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98" w:rsidRPr="00FD07C8" w:rsidRDefault="00436B60" w:rsidP="00211DE1">
      <w:pPr>
        <w:jc w:val="center"/>
        <w:rPr>
          <w:rFonts w:ascii="Times New Roman" w:hAnsi="Times New Roman"/>
          <w:b/>
        </w:rPr>
      </w:pPr>
      <w:r w:rsidRPr="00FD07C8">
        <w:rPr>
          <w:rFonts w:ascii="Times New Roman" w:hAnsi="Times New Roman"/>
          <w:b/>
        </w:rPr>
        <w:t>BEFORE THE</w:t>
      </w:r>
      <w:r w:rsidRPr="00FD07C8">
        <w:rPr>
          <w:rFonts w:ascii="Times New Roman" w:hAnsi="Times New Roman"/>
          <w:b/>
        </w:rPr>
        <w:br w:type="textWrapping" w:clear="all"/>
        <w:t xml:space="preserve">WASHINGTON UTILITIES </w:t>
      </w:r>
      <w:smartTag w:uri="urn:schemas-microsoft-com:office:smarttags" w:element="stockticker">
        <w:r w:rsidRPr="00FD07C8">
          <w:rPr>
            <w:rFonts w:ascii="Times New Roman" w:hAnsi="Times New Roman"/>
            <w:b/>
          </w:rPr>
          <w:t>AND</w:t>
        </w:r>
      </w:smartTag>
      <w:r w:rsidRPr="00FD07C8">
        <w:rPr>
          <w:rFonts w:ascii="Times New Roman" w:hAnsi="Times New Roman"/>
          <w:b/>
        </w:rPr>
        <w:t xml:space="preserve"> TRANSPORTATION COMMISSION</w:t>
      </w:r>
    </w:p>
    <w:p w:rsidR="00973298" w:rsidRPr="00FD07C8" w:rsidRDefault="00973298" w:rsidP="00211DE1">
      <w:pPr>
        <w:jc w:val="center"/>
        <w:rPr>
          <w:rFonts w:ascii="Times New Roman" w:hAnsi="Times New Roman"/>
          <w:b/>
        </w:rPr>
      </w:pPr>
    </w:p>
    <w:p w:rsidR="00973298" w:rsidRPr="00FD07C8" w:rsidRDefault="00973298" w:rsidP="00211DE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888"/>
      </w:tblGrid>
      <w:tr w:rsidR="00436B60" w:rsidRPr="00FD07C8" w:rsidTr="00436B60">
        <w:tc>
          <w:tcPr>
            <w:tcW w:w="4968" w:type="dxa"/>
            <w:tcBorders>
              <w:top w:val="nil"/>
              <w:left w:val="nil"/>
              <w:bottom w:val="nil"/>
              <w:right w:val="single" w:sz="4" w:space="0" w:color="auto"/>
            </w:tcBorders>
          </w:tcPr>
          <w:p w:rsidR="00973298" w:rsidRPr="00FD07C8" w:rsidRDefault="00436B60" w:rsidP="00211DE1">
            <w:pPr>
              <w:rPr>
                <w:rFonts w:ascii="Times New Roman" w:hAnsi="Times New Roman"/>
              </w:rPr>
            </w:pPr>
            <w:r w:rsidRPr="00FD07C8">
              <w:rPr>
                <w:rFonts w:ascii="Times New Roman" w:hAnsi="Times New Roman"/>
              </w:rPr>
              <w:t xml:space="preserve">WASHINGTON UTILITIES </w:t>
            </w:r>
            <w:smartTag w:uri="urn:schemas-microsoft-com:office:smarttags" w:element="stockticker">
              <w:r w:rsidRPr="00FD07C8">
                <w:rPr>
                  <w:rFonts w:ascii="Times New Roman" w:hAnsi="Times New Roman"/>
                </w:rPr>
                <w:t>AND</w:t>
              </w:r>
            </w:smartTag>
          </w:p>
          <w:p w:rsidR="00973298" w:rsidRPr="00FD07C8" w:rsidRDefault="00436B60" w:rsidP="00211DE1">
            <w:pPr>
              <w:rPr>
                <w:rFonts w:ascii="Times New Roman" w:hAnsi="Times New Roman"/>
              </w:rPr>
            </w:pPr>
            <w:r w:rsidRPr="00FD07C8">
              <w:rPr>
                <w:rFonts w:ascii="Times New Roman" w:hAnsi="Times New Roman"/>
              </w:rPr>
              <w:t>TRANSPOR</w:t>
            </w:r>
            <w:r w:rsidR="00B22976" w:rsidRPr="00FD07C8">
              <w:rPr>
                <w:rFonts w:ascii="Times New Roman" w:hAnsi="Times New Roman"/>
              </w:rPr>
              <w:t>T</w:t>
            </w:r>
            <w:r w:rsidRPr="00FD07C8">
              <w:rPr>
                <w:rFonts w:ascii="Times New Roman" w:hAnsi="Times New Roman"/>
              </w:rPr>
              <w:t>ATION COMMISSION</w:t>
            </w:r>
          </w:p>
          <w:p w:rsidR="00973298" w:rsidRPr="00FD07C8" w:rsidRDefault="00973298" w:rsidP="00211DE1">
            <w:pPr>
              <w:rPr>
                <w:rFonts w:ascii="Times New Roman" w:hAnsi="Times New Roman"/>
              </w:rPr>
            </w:pPr>
          </w:p>
          <w:p w:rsidR="00973298" w:rsidRPr="00FD07C8" w:rsidRDefault="00436B60" w:rsidP="00211DE1">
            <w:pPr>
              <w:rPr>
                <w:rFonts w:ascii="Times New Roman" w:hAnsi="Times New Roman"/>
              </w:rPr>
            </w:pPr>
            <w:r w:rsidRPr="00FD07C8">
              <w:rPr>
                <w:rFonts w:ascii="Times New Roman" w:hAnsi="Times New Roman"/>
              </w:rPr>
              <w:t xml:space="preserve">                              Complainant,</w:t>
            </w:r>
          </w:p>
          <w:p w:rsidR="00973298" w:rsidRPr="00FD07C8" w:rsidRDefault="00973298" w:rsidP="00211DE1">
            <w:pPr>
              <w:rPr>
                <w:rFonts w:ascii="Times New Roman" w:hAnsi="Times New Roman"/>
              </w:rPr>
            </w:pPr>
          </w:p>
          <w:p w:rsidR="00973298" w:rsidRPr="00FD07C8" w:rsidRDefault="00436B60" w:rsidP="00211DE1">
            <w:pPr>
              <w:rPr>
                <w:rFonts w:ascii="Times New Roman" w:hAnsi="Times New Roman"/>
              </w:rPr>
            </w:pPr>
            <w:r w:rsidRPr="00FD07C8">
              <w:rPr>
                <w:rFonts w:ascii="Times New Roman" w:hAnsi="Times New Roman"/>
              </w:rPr>
              <w:t xml:space="preserve">           vs.</w:t>
            </w:r>
          </w:p>
          <w:p w:rsidR="00973298" w:rsidRPr="00FD07C8" w:rsidRDefault="00973298" w:rsidP="00211DE1">
            <w:pPr>
              <w:rPr>
                <w:rFonts w:ascii="Times New Roman" w:hAnsi="Times New Roman"/>
              </w:rPr>
            </w:pPr>
          </w:p>
          <w:p w:rsidR="00973298" w:rsidRPr="00FD07C8" w:rsidRDefault="00436B60" w:rsidP="00211DE1">
            <w:pPr>
              <w:rPr>
                <w:rFonts w:ascii="Times New Roman" w:hAnsi="Times New Roman"/>
              </w:rPr>
            </w:pPr>
            <w:r w:rsidRPr="00FD07C8">
              <w:rPr>
                <w:rFonts w:ascii="Times New Roman" w:hAnsi="Times New Roman"/>
              </w:rPr>
              <w:t>PACIFICORP d.b.a. PACIFIC POWER,</w:t>
            </w:r>
          </w:p>
          <w:p w:rsidR="00973298" w:rsidRPr="00FD07C8" w:rsidRDefault="00973298" w:rsidP="00211DE1">
            <w:pPr>
              <w:rPr>
                <w:rFonts w:ascii="Times New Roman" w:hAnsi="Times New Roman"/>
              </w:rPr>
            </w:pPr>
          </w:p>
          <w:p w:rsidR="00973298" w:rsidRPr="00FD07C8" w:rsidRDefault="00436B60" w:rsidP="00211DE1">
            <w:pPr>
              <w:rPr>
                <w:rFonts w:ascii="Times New Roman" w:hAnsi="Times New Roman"/>
              </w:rPr>
            </w:pPr>
            <w:r w:rsidRPr="00FD07C8">
              <w:rPr>
                <w:rFonts w:ascii="Times New Roman" w:hAnsi="Times New Roman"/>
              </w:rPr>
              <w:t xml:space="preserve">                              Respondent.</w:t>
            </w:r>
          </w:p>
          <w:p w:rsidR="00973298" w:rsidRPr="00FD07C8" w:rsidRDefault="00973298" w:rsidP="00211DE1">
            <w:pPr>
              <w:rPr>
                <w:rFonts w:ascii="Times New Roman" w:hAnsi="Times New Roman"/>
              </w:rPr>
            </w:pPr>
          </w:p>
        </w:tc>
        <w:tc>
          <w:tcPr>
            <w:tcW w:w="3888" w:type="dxa"/>
            <w:tcBorders>
              <w:top w:val="nil"/>
              <w:left w:val="single" w:sz="4" w:space="0" w:color="auto"/>
              <w:bottom w:val="nil"/>
              <w:right w:val="nil"/>
            </w:tcBorders>
          </w:tcPr>
          <w:p w:rsidR="00973298" w:rsidRPr="00FD07C8" w:rsidRDefault="00973298" w:rsidP="00211DE1">
            <w:pPr>
              <w:rPr>
                <w:rFonts w:ascii="Times New Roman" w:hAnsi="Times New Roman"/>
              </w:rPr>
            </w:pPr>
          </w:p>
          <w:p w:rsidR="00973298" w:rsidRPr="00FD07C8" w:rsidRDefault="00973298" w:rsidP="00211DE1">
            <w:pPr>
              <w:rPr>
                <w:rFonts w:ascii="Times New Roman" w:hAnsi="Times New Roman"/>
                <w:b/>
              </w:rPr>
            </w:pPr>
          </w:p>
          <w:p w:rsidR="00973298" w:rsidRPr="00FD07C8" w:rsidRDefault="00973298" w:rsidP="00211DE1">
            <w:pPr>
              <w:rPr>
                <w:rFonts w:ascii="Times New Roman" w:hAnsi="Times New Roman"/>
                <w:b/>
              </w:rPr>
            </w:pPr>
          </w:p>
          <w:p w:rsidR="00973298" w:rsidRPr="00FD07C8" w:rsidRDefault="00973298" w:rsidP="00211DE1">
            <w:pPr>
              <w:rPr>
                <w:rFonts w:ascii="Times New Roman" w:hAnsi="Times New Roman"/>
                <w:b/>
              </w:rPr>
            </w:pPr>
          </w:p>
          <w:p w:rsidR="00973298" w:rsidRPr="00FD07C8" w:rsidRDefault="00973298" w:rsidP="00211DE1">
            <w:pPr>
              <w:rPr>
                <w:rFonts w:ascii="Times New Roman" w:hAnsi="Times New Roman"/>
                <w:b/>
              </w:rPr>
            </w:pPr>
          </w:p>
          <w:p w:rsidR="00AC28D6" w:rsidRPr="00FD07C8" w:rsidRDefault="00436B60" w:rsidP="00211DE1">
            <w:pPr>
              <w:rPr>
                <w:rFonts w:ascii="Times New Roman" w:hAnsi="Times New Roman"/>
                <w:b/>
              </w:rPr>
            </w:pPr>
            <w:r w:rsidRPr="00FD07C8">
              <w:rPr>
                <w:rFonts w:ascii="Times New Roman" w:hAnsi="Times New Roman"/>
                <w:b/>
              </w:rPr>
              <w:t>DOCKET UE-100749</w:t>
            </w:r>
          </w:p>
          <w:p w:rsidR="00973298" w:rsidRPr="00FD07C8" w:rsidRDefault="00AC28D6" w:rsidP="00211DE1">
            <w:pPr>
              <w:rPr>
                <w:rFonts w:ascii="Times New Roman" w:hAnsi="Times New Roman"/>
                <w:b/>
              </w:rPr>
            </w:pPr>
            <w:r w:rsidRPr="00FD07C8">
              <w:rPr>
                <w:rFonts w:ascii="Times New Roman" w:hAnsi="Times New Roman"/>
                <w:b/>
              </w:rPr>
              <w:t>PHASE 2</w:t>
            </w:r>
          </w:p>
          <w:p w:rsidR="00AC28D6" w:rsidRPr="00FD07C8" w:rsidRDefault="00AC28D6" w:rsidP="00211DE1">
            <w:pPr>
              <w:rPr>
                <w:rFonts w:ascii="Times New Roman" w:hAnsi="Times New Roman"/>
                <w:b/>
              </w:rPr>
            </w:pPr>
            <w:r w:rsidRPr="00FD07C8">
              <w:rPr>
                <w:rFonts w:ascii="Times New Roman" w:hAnsi="Times New Roman"/>
                <w:b/>
              </w:rPr>
              <w:t xml:space="preserve">      </w:t>
            </w:r>
          </w:p>
          <w:p w:rsidR="00973298" w:rsidRPr="00FD07C8" w:rsidRDefault="00973298" w:rsidP="00211DE1">
            <w:pPr>
              <w:rPr>
                <w:rFonts w:ascii="Times New Roman" w:hAnsi="Times New Roman"/>
              </w:rPr>
            </w:pPr>
          </w:p>
        </w:tc>
      </w:tr>
      <w:tr w:rsidR="00436B60" w:rsidRPr="00FD07C8" w:rsidTr="00436B60">
        <w:tc>
          <w:tcPr>
            <w:tcW w:w="4968" w:type="dxa"/>
            <w:tcBorders>
              <w:top w:val="nil"/>
              <w:left w:val="nil"/>
              <w:bottom w:val="single" w:sz="4" w:space="0" w:color="auto"/>
              <w:right w:val="single" w:sz="4" w:space="0" w:color="auto"/>
            </w:tcBorders>
          </w:tcPr>
          <w:p w:rsidR="00973298" w:rsidRPr="00FD07C8" w:rsidRDefault="00973298" w:rsidP="00211DE1">
            <w:pPr>
              <w:rPr>
                <w:rFonts w:ascii="Times New Roman" w:hAnsi="Times New Roman"/>
              </w:rPr>
            </w:pPr>
          </w:p>
        </w:tc>
        <w:tc>
          <w:tcPr>
            <w:tcW w:w="3888" w:type="dxa"/>
            <w:tcBorders>
              <w:top w:val="nil"/>
              <w:left w:val="single" w:sz="4" w:space="0" w:color="auto"/>
              <w:bottom w:val="nil"/>
              <w:right w:val="nil"/>
            </w:tcBorders>
          </w:tcPr>
          <w:p w:rsidR="00973298" w:rsidRPr="00FD07C8" w:rsidRDefault="00973298" w:rsidP="00211DE1">
            <w:pPr>
              <w:rPr>
                <w:rFonts w:ascii="Times New Roman" w:hAnsi="Times New Roman"/>
              </w:rPr>
            </w:pPr>
          </w:p>
        </w:tc>
      </w:tr>
    </w:tbl>
    <w:p w:rsidR="00973298" w:rsidRPr="00FD07C8" w:rsidRDefault="00973298" w:rsidP="00211DE1"/>
    <w:p w:rsidR="00973298" w:rsidRPr="00FD07C8" w:rsidRDefault="00973298" w:rsidP="00211DE1"/>
    <w:p w:rsidR="00973298" w:rsidRPr="00FD07C8" w:rsidRDefault="00973298" w:rsidP="00211DE1"/>
    <w:p w:rsidR="00973298" w:rsidRPr="00FD07C8" w:rsidRDefault="00973298" w:rsidP="00211DE1"/>
    <w:p w:rsidR="00973298" w:rsidRPr="00FD07C8" w:rsidRDefault="00973298" w:rsidP="00211DE1"/>
    <w:p w:rsidR="00973298" w:rsidRPr="00FD07C8" w:rsidRDefault="00436B60" w:rsidP="00211DE1">
      <w:pPr>
        <w:jc w:val="center"/>
        <w:rPr>
          <w:b/>
        </w:rPr>
      </w:pPr>
      <w:r w:rsidRPr="00FD07C8">
        <w:rPr>
          <w:b/>
        </w:rPr>
        <w:t>PACIFICORP’S</w:t>
      </w:r>
    </w:p>
    <w:p w:rsidR="00973298" w:rsidRPr="00FD07C8" w:rsidRDefault="0036717E" w:rsidP="00211DE1">
      <w:pPr>
        <w:jc w:val="center"/>
        <w:rPr>
          <w:b/>
        </w:rPr>
      </w:pPr>
      <w:r w:rsidRPr="00FD07C8">
        <w:rPr>
          <w:b/>
        </w:rPr>
        <w:t>REPLY</w:t>
      </w:r>
      <w:r w:rsidR="00436B60" w:rsidRPr="00FD07C8">
        <w:rPr>
          <w:b/>
        </w:rPr>
        <w:t xml:space="preserve"> BRIEF</w:t>
      </w:r>
    </w:p>
    <w:p w:rsidR="004E564F" w:rsidRPr="00FD07C8" w:rsidRDefault="004E564F" w:rsidP="00211DE1">
      <w:pPr>
        <w:jc w:val="center"/>
        <w:rPr>
          <w:b/>
        </w:rPr>
      </w:pPr>
      <w:r w:rsidRPr="00FD07C8">
        <w:rPr>
          <w:b/>
        </w:rPr>
        <w:t>ON RATE TREATMENT FOR</w:t>
      </w:r>
    </w:p>
    <w:p w:rsidR="00973298" w:rsidRPr="00FD07C8" w:rsidRDefault="004E564F" w:rsidP="00211DE1">
      <w:pPr>
        <w:jc w:val="center"/>
        <w:rPr>
          <w:b/>
        </w:rPr>
      </w:pPr>
      <w:r w:rsidRPr="00FD07C8">
        <w:rPr>
          <w:b/>
        </w:rPr>
        <w:t>RENEWABLE ENERGY CREDIT REVENUE</w:t>
      </w:r>
      <w:r w:rsidR="00AC28D6" w:rsidRPr="00FD07C8">
        <w:rPr>
          <w:b/>
        </w:rPr>
        <w:t>S</w:t>
      </w:r>
    </w:p>
    <w:p w:rsidR="00973298" w:rsidRPr="00FD07C8" w:rsidRDefault="00973298" w:rsidP="00211DE1">
      <w:pPr>
        <w:jc w:val="center"/>
        <w:rPr>
          <w:b/>
        </w:rPr>
      </w:pPr>
    </w:p>
    <w:p w:rsidR="00973298" w:rsidRPr="00FD07C8" w:rsidRDefault="00973298" w:rsidP="00211DE1">
      <w:pPr>
        <w:jc w:val="center"/>
        <w:rPr>
          <w:b/>
        </w:rPr>
      </w:pPr>
    </w:p>
    <w:p w:rsidR="00973298" w:rsidRDefault="0036717E" w:rsidP="00211DE1">
      <w:pPr>
        <w:jc w:val="center"/>
        <w:rPr>
          <w:b/>
        </w:rPr>
      </w:pPr>
      <w:r w:rsidRPr="00FD07C8">
        <w:rPr>
          <w:b/>
        </w:rPr>
        <w:t>November 18</w:t>
      </w:r>
      <w:r w:rsidR="00436B60" w:rsidRPr="00FD07C8">
        <w:rPr>
          <w:b/>
        </w:rPr>
        <w:t>, 2011</w:t>
      </w:r>
    </w:p>
    <w:p w:rsidR="00011027" w:rsidRDefault="00011027" w:rsidP="00211DE1">
      <w:pPr>
        <w:jc w:val="center"/>
        <w:rPr>
          <w:b/>
        </w:rPr>
      </w:pPr>
    </w:p>
    <w:p w:rsidR="00011027" w:rsidRDefault="00011027" w:rsidP="00211DE1">
      <w:pPr>
        <w:jc w:val="center"/>
        <w:rPr>
          <w:b/>
        </w:rPr>
      </w:pPr>
    </w:p>
    <w:p w:rsidR="00011027" w:rsidRPr="00D06599" w:rsidRDefault="00D06599" w:rsidP="00211DE1">
      <w:pPr>
        <w:jc w:val="center"/>
        <w:rPr>
          <w:b/>
        </w:rPr>
      </w:pPr>
      <w:r w:rsidRPr="00D06599">
        <w:rPr>
          <w:b/>
        </w:rPr>
        <w:t>REDACTED</w:t>
      </w:r>
    </w:p>
    <w:p w:rsidR="00211FD1" w:rsidRPr="00FD07C8" w:rsidRDefault="00211FD1" w:rsidP="00211DE1">
      <w:pPr>
        <w:jc w:val="center"/>
        <w:sectPr w:rsidR="00211FD1" w:rsidRPr="00FD07C8" w:rsidSect="005C105C">
          <w:footerReference w:type="default" r:id="rId7"/>
          <w:pgSz w:w="12240" w:h="15840"/>
          <w:pgMar w:top="1440" w:right="1440" w:bottom="1440" w:left="1440" w:header="720" w:footer="720" w:gutter="0"/>
          <w:cols w:space="720"/>
          <w:docGrid w:linePitch="360"/>
        </w:sectPr>
      </w:pPr>
    </w:p>
    <w:p w:rsidR="00973298" w:rsidRPr="00011027" w:rsidRDefault="00436B60" w:rsidP="005A625E">
      <w:pPr>
        <w:jc w:val="center"/>
        <w:rPr>
          <w:b/>
          <w:u w:val="single"/>
        </w:rPr>
      </w:pPr>
      <w:r w:rsidRPr="00011027">
        <w:rPr>
          <w:b/>
          <w:u w:val="single"/>
        </w:rPr>
        <w:lastRenderedPageBreak/>
        <w:t>TABLE OF CONTENTS</w:t>
      </w:r>
    </w:p>
    <w:p w:rsidR="005A625E" w:rsidRPr="00FD07C8" w:rsidRDefault="005A625E" w:rsidP="005A625E">
      <w:pPr>
        <w:jc w:val="center"/>
        <w:rPr>
          <w:b/>
        </w:rPr>
      </w:pPr>
    </w:p>
    <w:p w:rsidR="00CC6CF0" w:rsidRPr="00FD07C8" w:rsidRDefault="00A36793">
      <w:pPr>
        <w:pStyle w:val="TOC1"/>
        <w:rPr>
          <w:rFonts w:asciiTheme="minorHAnsi" w:eastAsiaTheme="minorEastAsia" w:hAnsiTheme="minorHAnsi" w:cstheme="minorBidi"/>
          <w:noProof/>
          <w:sz w:val="22"/>
          <w:szCs w:val="22"/>
        </w:rPr>
      </w:pPr>
      <w:r w:rsidRPr="00FD07C8">
        <w:fldChar w:fldCharType="begin"/>
      </w:r>
      <w:r w:rsidR="004F1D7F" w:rsidRPr="00FD07C8">
        <w:instrText xml:space="preserve"> TOC \o "1-3" \h \z \u </w:instrText>
      </w:r>
      <w:r w:rsidRPr="00FD07C8">
        <w:fldChar w:fldCharType="separate"/>
      </w:r>
      <w:hyperlink w:anchor="_Toc309373934" w:history="1">
        <w:r w:rsidR="00CC6CF0" w:rsidRPr="00FD07C8">
          <w:rPr>
            <w:rStyle w:val="Hyperlink"/>
            <w:noProof/>
          </w:rPr>
          <w:t>I.</w:t>
        </w:r>
        <w:r w:rsidR="00CC6CF0" w:rsidRPr="00FD07C8">
          <w:rPr>
            <w:rFonts w:asciiTheme="minorHAnsi" w:eastAsiaTheme="minorEastAsia" w:hAnsiTheme="minorHAnsi" w:cstheme="minorBidi"/>
            <w:noProof/>
            <w:sz w:val="22"/>
            <w:szCs w:val="22"/>
          </w:rPr>
          <w:tab/>
        </w:r>
        <w:r w:rsidR="00CC6CF0" w:rsidRPr="00FD07C8">
          <w:rPr>
            <w:rStyle w:val="Hyperlink"/>
            <w:noProof/>
          </w:rPr>
          <w:t>INTRODUCTION</w:t>
        </w:r>
        <w:r w:rsidR="00CC6CF0" w:rsidRPr="00FD07C8">
          <w:rPr>
            <w:noProof/>
            <w:webHidden/>
          </w:rPr>
          <w:tab/>
        </w:r>
        <w:r w:rsidRPr="00FD07C8">
          <w:rPr>
            <w:noProof/>
            <w:webHidden/>
          </w:rPr>
          <w:fldChar w:fldCharType="begin"/>
        </w:r>
        <w:r w:rsidR="00CC6CF0" w:rsidRPr="00FD07C8">
          <w:rPr>
            <w:noProof/>
            <w:webHidden/>
          </w:rPr>
          <w:instrText xml:space="preserve"> PAGEREF _Toc309373934 \h </w:instrText>
        </w:r>
        <w:r w:rsidRPr="00FD07C8">
          <w:rPr>
            <w:noProof/>
            <w:webHidden/>
          </w:rPr>
        </w:r>
        <w:r w:rsidRPr="00FD07C8">
          <w:rPr>
            <w:noProof/>
            <w:webHidden/>
          </w:rPr>
          <w:fldChar w:fldCharType="separate"/>
        </w:r>
        <w:r w:rsidR="00EC4D70">
          <w:rPr>
            <w:noProof/>
            <w:webHidden/>
          </w:rPr>
          <w:t>1</w:t>
        </w:r>
        <w:r w:rsidRPr="00FD07C8">
          <w:rPr>
            <w:noProof/>
            <w:webHidden/>
          </w:rPr>
          <w:fldChar w:fldCharType="end"/>
        </w:r>
      </w:hyperlink>
    </w:p>
    <w:p w:rsidR="00CC6CF0" w:rsidRPr="00FD07C8" w:rsidRDefault="00A36793">
      <w:pPr>
        <w:pStyle w:val="TOC1"/>
        <w:rPr>
          <w:rFonts w:asciiTheme="minorHAnsi" w:eastAsiaTheme="minorEastAsia" w:hAnsiTheme="minorHAnsi" w:cstheme="minorBidi"/>
          <w:noProof/>
          <w:sz w:val="22"/>
          <w:szCs w:val="22"/>
        </w:rPr>
      </w:pPr>
      <w:hyperlink w:anchor="_Toc309373935" w:history="1">
        <w:r w:rsidR="00CC6CF0" w:rsidRPr="00FD07C8">
          <w:rPr>
            <w:rStyle w:val="Hyperlink"/>
            <w:noProof/>
          </w:rPr>
          <w:t>II.</w:t>
        </w:r>
        <w:r w:rsidR="00CC6CF0" w:rsidRPr="00FD07C8">
          <w:rPr>
            <w:rFonts w:asciiTheme="minorHAnsi" w:eastAsiaTheme="minorEastAsia" w:hAnsiTheme="minorHAnsi" w:cstheme="minorBidi"/>
            <w:noProof/>
            <w:sz w:val="22"/>
            <w:szCs w:val="22"/>
          </w:rPr>
          <w:tab/>
        </w:r>
        <w:r w:rsidR="00CC6CF0" w:rsidRPr="00FD07C8">
          <w:rPr>
            <w:rStyle w:val="Hyperlink"/>
            <w:noProof/>
          </w:rPr>
          <w:t>DISCUSSION</w:t>
        </w:r>
        <w:r w:rsidR="00CC6CF0" w:rsidRPr="00FD07C8">
          <w:rPr>
            <w:noProof/>
            <w:webHidden/>
          </w:rPr>
          <w:tab/>
        </w:r>
        <w:r w:rsidRPr="00FD07C8">
          <w:rPr>
            <w:noProof/>
            <w:webHidden/>
          </w:rPr>
          <w:fldChar w:fldCharType="begin"/>
        </w:r>
        <w:r w:rsidR="00CC6CF0" w:rsidRPr="00FD07C8">
          <w:rPr>
            <w:noProof/>
            <w:webHidden/>
          </w:rPr>
          <w:instrText xml:space="preserve"> PAGEREF _Toc309373935 \h </w:instrText>
        </w:r>
        <w:r w:rsidRPr="00FD07C8">
          <w:rPr>
            <w:noProof/>
            <w:webHidden/>
          </w:rPr>
        </w:r>
        <w:r w:rsidRPr="00FD07C8">
          <w:rPr>
            <w:noProof/>
            <w:webHidden/>
          </w:rPr>
          <w:fldChar w:fldCharType="separate"/>
        </w:r>
        <w:r w:rsidR="00EC4D70">
          <w:rPr>
            <w:noProof/>
            <w:webHidden/>
          </w:rPr>
          <w:t>3</w:t>
        </w:r>
        <w:r w:rsidRPr="00FD07C8">
          <w:rPr>
            <w:noProof/>
            <w:webHidden/>
          </w:rPr>
          <w:fldChar w:fldCharType="end"/>
        </w:r>
      </w:hyperlink>
    </w:p>
    <w:p w:rsidR="00CC6CF0" w:rsidRPr="00FD07C8" w:rsidRDefault="00A36793">
      <w:pPr>
        <w:pStyle w:val="TOC2"/>
        <w:rPr>
          <w:rFonts w:asciiTheme="minorHAnsi" w:eastAsiaTheme="minorEastAsia" w:hAnsiTheme="minorHAnsi" w:cstheme="minorBidi"/>
          <w:noProof/>
          <w:sz w:val="22"/>
          <w:szCs w:val="22"/>
        </w:rPr>
      </w:pPr>
      <w:hyperlink w:anchor="_Toc309373936" w:history="1">
        <w:r w:rsidR="00CC6CF0" w:rsidRPr="00FD07C8">
          <w:rPr>
            <w:rStyle w:val="Hyperlink"/>
            <w:noProof/>
          </w:rPr>
          <w:t>A.</w:t>
        </w:r>
        <w:r w:rsidR="00CC6CF0" w:rsidRPr="00FD07C8">
          <w:rPr>
            <w:rFonts w:asciiTheme="minorHAnsi" w:eastAsiaTheme="minorEastAsia" w:hAnsiTheme="minorHAnsi" w:cstheme="minorBidi"/>
            <w:noProof/>
            <w:sz w:val="22"/>
            <w:szCs w:val="22"/>
          </w:rPr>
          <w:tab/>
        </w:r>
        <w:r w:rsidR="00CC6CF0" w:rsidRPr="00FD07C8">
          <w:rPr>
            <w:rStyle w:val="Hyperlink"/>
            <w:noProof/>
          </w:rPr>
          <w:t>Staff, Public Counsel, and ICNU Unpersuasively Attempt to Distort Normal Test Year Conventions to Evade the Rule against Retroactive Ratemaking.</w:t>
        </w:r>
        <w:r w:rsidR="00CC6CF0" w:rsidRPr="00FD07C8">
          <w:rPr>
            <w:noProof/>
            <w:webHidden/>
          </w:rPr>
          <w:tab/>
        </w:r>
        <w:r w:rsidRPr="00FD07C8">
          <w:rPr>
            <w:noProof/>
            <w:webHidden/>
          </w:rPr>
          <w:fldChar w:fldCharType="begin"/>
        </w:r>
        <w:r w:rsidR="00CC6CF0" w:rsidRPr="00FD07C8">
          <w:rPr>
            <w:noProof/>
            <w:webHidden/>
          </w:rPr>
          <w:instrText xml:space="preserve"> PAGEREF _Toc309373936 \h </w:instrText>
        </w:r>
        <w:r w:rsidRPr="00FD07C8">
          <w:rPr>
            <w:noProof/>
            <w:webHidden/>
          </w:rPr>
        </w:r>
        <w:r w:rsidRPr="00FD07C8">
          <w:rPr>
            <w:noProof/>
            <w:webHidden/>
          </w:rPr>
          <w:fldChar w:fldCharType="separate"/>
        </w:r>
        <w:r w:rsidR="00EC4D70">
          <w:rPr>
            <w:noProof/>
            <w:webHidden/>
          </w:rPr>
          <w:t>3</w:t>
        </w:r>
        <w:r w:rsidRPr="00FD07C8">
          <w:rPr>
            <w:noProof/>
            <w:webHidden/>
          </w:rPr>
          <w:fldChar w:fldCharType="end"/>
        </w:r>
      </w:hyperlink>
    </w:p>
    <w:p w:rsidR="00CC6CF0" w:rsidRPr="00FD07C8" w:rsidRDefault="00A36793">
      <w:pPr>
        <w:pStyle w:val="TOC2"/>
        <w:rPr>
          <w:rFonts w:asciiTheme="minorHAnsi" w:eastAsiaTheme="minorEastAsia" w:hAnsiTheme="minorHAnsi" w:cstheme="minorBidi"/>
          <w:noProof/>
          <w:sz w:val="22"/>
          <w:szCs w:val="22"/>
        </w:rPr>
      </w:pPr>
      <w:hyperlink w:anchor="_Toc309373937" w:history="1">
        <w:r w:rsidR="00CC6CF0" w:rsidRPr="00FD07C8">
          <w:rPr>
            <w:rStyle w:val="Hyperlink"/>
            <w:noProof/>
          </w:rPr>
          <w:t>B.</w:t>
        </w:r>
        <w:r w:rsidR="00CC6CF0" w:rsidRPr="00FD07C8">
          <w:rPr>
            <w:rFonts w:asciiTheme="minorHAnsi" w:eastAsiaTheme="minorEastAsia" w:hAnsiTheme="minorHAnsi" w:cstheme="minorBidi"/>
            <w:noProof/>
            <w:sz w:val="22"/>
            <w:szCs w:val="22"/>
          </w:rPr>
          <w:tab/>
        </w:r>
        <w:r w:rsidR="00CC6CF0" w:rsidRPr="00FD07C8">
          <w:rPr>
            <w:rStyle w:val="Hyperlink"/>
            <w:noProof/>
          </w:rPr>
          <w:t>There is no Basis for Adoption of the Responding Parties’ One-Sided, Ad Hoc Exceptions to the Rule against Retroactive Ratemaking.</w:t>
        </w:r>
        <w:r w:rsidR="00CC6CF0" w:rsidRPr="00FD07C8">
          <w:rPr>
            <w:noProof/>
            <w:webHidden/>
          </w:rPr>
          <w:tab/>
        </w:r>
        <w:r w:rsidRPr="00FD07C8">
          <w:rPr>
            <w:noProof/>
            <w:webHidden/>
          </w:rPr>
          <w:fldChar w:fldCharType="begin"/>
        </w:r>
        <w:r w:rsidR="00CC6CF0" w:rsidRPr="00FD07C8">
          <w:rPr>
            <w:noProof/>
            <w:webHidden/>
          </w:rPr>
          <w:instrText xml:space="preserve"> PAGEREF _Toc309373937 \h </w:instrText>
        </w:r>
        <w:r w:rsidRPr="00FD07C8">
          <w:rPr>
            <w:noProof/>
            <w:webHidden/>
          </w:rPr>
        </w:r>
        <w:r w:rsidRPr="00FD07C8">
          <w:rPr>
            <w:noProof/>
            <w:webHidden/>
          </w:rPr>
          <w:fldChar w:fldCharType="separate"/>
        </w:r>
        <w:r w:rsidR="00EC4D70">
          <w:rPr>
            <w:noProof/>
            <w:webHidden/>
          </w:rPr>
          <w:t>7</w:t>
        </w:r>
        <w:r w:rsidRPr="00FD07C8">
          <w:rPr>
            <w:noProof/>
            <w:webHidden/>
          </w:rPr>
          <w:fldChar w:fldCharType="end"/>
        </w:r>
      </w:hyperlink>
    </w:p>
    <w:p w:rsidR="00CC6CF0" w:rsidRPr="00FD07C8" w:rsidRDefault="00A36793" w:rsidP="00615005">
      <w:pPr>
        <w:pStyle w:val="TOC3"/>
        <w:rPr>
          <w:rFonts w:asciiTheme="minorHAnsi" w:eastAsiaTheme="minorEastAsia" w:hAnsiTheme="minorHAnsi" w:cstheme="minorBidi"/>
          <w:noProof/>
          <w:sz w:val="22"/>
          <w:szCs w:val="22"/>
        </w:rPr>
      </w:pPr>
      <w:hyperlink w:anchor="_Toc309373938" w:history="1">
        <w:r w:rsidR="00CC6CF0" w:rsidRPr="00FD07C8">
          <w:rPr>
            <w:rStyle w:val="Hyperlink"/>
            <w:noProof/>
          </w:rPr>
          <w:t>1.</w:t>
        </w:r>
        <w:r w:rsidR="00CC6CF0" w:rsidRPr="00FD07C8">
          <w:rPr>
            <w:rFonts w:asciiTheme="minorHAnsi" w:eastAsiaTheme="minorEastAsia" w:hAnsiTheme="minorHAnsi" w:cstheme="minorBidi"/>
            <w:noProof/>
            <w:sz w:val="22"/>
            <w:szCs w:val="22"/>
          </w:rPr>
          <w:tab/>
        </w:r>
        <w:r w:rsidR="00CC6CF0" w:rsidRPr="00FD07C8">
          <w:rPr>
            <w:rStyle w:val="Hyperlink"/>
            <w:noProof/>
          </w:rPr>
          <w:t>The Responding Parties’ Proposed Exceptions Undermine the Important Protections of the Rule Against Retroactive Ratemaking.</w:t>
        </w:r>
        <w:r w:rsidR="00CC6CF0" w:rsidRPr="00FD07C8">
          <w:rPr>
            <w:noProof/>
            <w:webHidden/>
          </w:rPr>
          <w:tab/>
        </w:r>
        <w:r w:rsidRPr="00FD07C8">
          <w:rPr>
            <w:noProof/>
            <w:webHidden/>
          </w:rPr>
          <w:fldChar w:fldCharType="begin"/>
        </w:r>
        <w:r w:rsidR="00CC6CF0" w:rsidRPr="00FD07C8">
          <w:rPr>
            <w:noProof/>
            <w:webHidden/>
          </w:rPr>
          <w:instrText xml:space="preserve"> PAGEREF _Toc309373938 \h </w:instrText>
        </w:r>
        <w:r w:rsidRPr="00FD07C8">
          <w:rPr>
            <w:noProof/>
            <w:webHidden/>
          </w:rPr>
        </w:r>
        <w:r w:rsidRPr="00FD07C8">
          <w:rPr>
            <w:noProof/>
            <w:webHidden/>
          </w:rPr>
          <w:fldChar w:fldCharType="separate"/>
        </w:r>
        <w:r w:rsidR="00EC4D70">
          <w:rPr>
            <w:noProof/>
            <w:webHidden/>
          </w:rPr>
          <w:t>8</w:t>
        </w:r>
        <w:r w:rsidRPr="00FD07C8">
          <w:rPr>
            <w:noProof/>
            <w:webHidden/>
          </w:rPr>
          <w:fldChar w:fldCharType="end"/>
        </w:r>
      </w:hyperlink>
    </w:p>
    <w:p w:rsidR="00CC6CF0" w:rsidRPr="00FD07C8" w:rsidRDefault="00A36793" w:rsidP="00615005">
      <w:pPr>
        <w:pStyle w:val="TOC3"/>
        <w:ind w:left="2880" w:hanging="1440"/>
        <w:rPr>
          <w:rFonts w:asciiTheme="minorHAnsi" w:eastAsiaTheme="minorEastAsia" w:hAnsiTheme="minorHAnsi" w:cstheme="minorBidi"/>
          <w:noProof/>
          <w:sz w:val="22"/>
          <w:szCs w:val="22"/>
        </w:rPr>
      </w:pPr>
      <w:hyperlink w:anchor="_Toc309373939" w:history="1">
        <w:r w:rsidR="00CC6CF0" w:rsidRPr="00FD07C8">
          <w:rPr>
            <w:rStyle w:val="Hyperlink"/>
            <w:noProof/>
          </w:rPr>
          <w:t>2.</w:t>
        </w:r>
        <w:r w:rsidR="00CC6CF0" w:rsidRPr="00FD07C8">
          <w:rPr>
            <w:rFonts w:asciiTheme="minorHAnsi" w:eastAsiaTheme="minorEastAsia" w:hAnsiTheme="minorHAnsi" w:cstheme="minorBidi"/>
            <w:noProof/>
            <w:sz w:val="22"/>
            <w:szCs w:val="22"/>
          </w:rPr>
          <w:tab/>
        </w:r>
        <w:r w:rsidR="00CC6CF0" w:rsidRPr="00FD07C8">
          <w:rPr>
            <w:rStyle w:val="Hyperlink"/>
            <w:noProof/>
          </w:rPr>
          <w:t>PacifiCorp Did Not Provide Misleading or Inaccurate REC Information.</w:t>
        </w:r>
        <w:r w:rsidR="00CC6CF0" w:rsidRPr="00FD07C8">
          <w:rPr>
            <w:noProof/>
            <w:webHidden/>
          </w:rPr>
          <w:tab/>
        </w:r>
        <w:r w:rsidRPr="00FD07C8">
          <w:rPr>
            <w:noProof/>
            <w:webHidden/>
          </w:rPr>
          <w:fldChar w:fldCharType="begin"/>
        </w:r>
        <w:r w:rsidR="00CC6CF0" w:rsidRPr="00FD07C8">
          <w:rPr>
            <w:noProof/>
            <w:webHidden/>
          </w:rPr>
          <w:instrText xml:space="preserve"> PAGEREF _Toc309373939 \h </w:instrText>
        </w:r>
        <w:r w:rsidRPr="00FD07C8">
          <w:rPr>
            <w:noProof/>
            <w:webHidden/>
          </w:rPr>
        </w:r>
        <w:r w:rsidRPr="00FD07C8">
          <w:rPr>
            <w:noProof/>
            <w:webHidden/>
          </w:rPr>
          <w:fldChar w:fldCharType="separate"/>
        </w:r>
        <w:r w:rsidR="00EC4D70">
          <w:rPr>
            <w:noProof/>
            <w:webHidden/>
          </w:rPr>
          <w:t>11</w:t>
        </w:r>
        <w:r w:rsidRPr="00FD07C8">
          <w:rPr>
            <w:noProof/>
            <w:webHidden/>
          </w:rPr>
          <w:fldChar w:fldCharType="end"/>
        </w:r>
      </w:hyperlink>
    </w:p>
    <w:p w:rsidR="00CC6CF0" w:rsidRPr="00FD07C8" w:rsidRDefault="00A36793" w:rsidP="00615005">
      <w:pPr>
        <w:pStyle w:val="TOC3"/>
        <w:rPr>
          <w:rFonts w:asciiTheme="minorHAnsi" w:eastAsiaTheme="minorEastAsia" w:hAnsiTheme="minorHAnsi" w:cstheme="minorBidi"/>
          <w:noProof/>
          <w:sz w:val="22"/>
          <w:szCs w:val="22"/>
        </w:rPr>
      </w:pPr>
      <w:hyperlink w:anchor="_Toc309373940" w:history="1">
        <w:r w:rsidR="00CC6CF0" w:rsidRPr="00FD07C8">
          <w:rPr>
            <w:rStyle w:val="Hyperlink"/>
            <w:noProof/>
          </w:rPr>
          <w:t>3.</w:t>
        </w:r>
        <w:r w:rsidR="00CC6CF0" w:rsidRPr="00FD07C8">
          <w:rPr>
            <w:rFonts w:asciiTheme="minorHAnsi" w:eastAsiaTheme="minorEastAsia" w:hAnsiTheme="minorHAnsi" w:cstheme="minorBidi"/>
            <w:noProof/>
            <w:sz w:val="22"/>
            <w:szCs w:val="22"/>
          </w:rPr>
          <w:tab/>
        </w:r>
        <w:r w:rsidR="00CC6CF0" w:rsidRPr="00FD07C8">
          <w:rPr>
            <w:rStyle w:val="Hyperlink"/>
            <w:noProof/>
          </w:rPr>
          <w:t>PacifiCorp’s REC Forecasts Were Reasonable at the Time They Were Made.</w:t>
        </w:r>
        <w:r w:rsidR="00CC6CF0" w:rsidRPr="00FD07C8">
          <w:rPr>
            <w:noProof/>
            <w:webHidden/>
          </w:rPr>
          <w:tab/>
        </w:r>
        <w:r w:rsidRPr="00FD07C8">
          <w:rPr>
            <w:noProof/>
            <w:webHidden/>
          </w:rPr>
          <w:fldChar w:fldCharType="begin"/>
        </w:r>
        <w:r w:rsidR="00CC6CF0" w:rsidRPr="00FD07C8">
          <w:rPr>
            <w:noProof/>
            <w:webHidden/>
          </w:rPr>
          <w:instrText xml:space="preserve"> PAGEREF _Toc309373940 \h </w:instrText>
        </w:r>
        <w:r w:rsidRPr="00FD07C8">
          <w:rPr>
            <w:noProof/>
            <w:webHidden/>
          </w:rPr>
        </w:r>
        <w:r w:rsidRPr="00FD07C8">
          <w:rPr>
            <w:noProof/>
            <w:webHidden/>
          </w:rPr>
          <w:fldChar w:fldCharType="separate"/>
        </w:r>
        <w:r w:rsidR="00EC4D70">
          <w:rPr>
            <w:noProof/>
            <w:webHidden/>
          </w:rPr>
          <w:t>13</w:t>
        </w:r>
        <w:r w:rsidRPr="00FD07C8">
          <w:rPr>
            <w:noProof/>
            <w:webHidden/>
          </w:rPr>
          <w:fldChar w:fldCharType="end"/>
        </w:r>
      </w:hyperlink>
    </w:p>
    <w:p w:rsidR="00CC6CF0" w:rsidRPr="00FD07C8" w:rsidRDefault="00A36793" w:rsidP="00615005">
      <w:pPr>
        <w:pStyle w:val="TOC3"/>
        <w:rPr>
          <w:rFonts w:asciiTheme="minorHAnsi" w:eastAsiaTheme="minorEastAsia" w:hAnsiTheme="minorHAnsi" w:cstheme="minorBidi"/>
          <w:noProof/>
          <w:sz w:val="22"/>
          <w:szCs w:val="22"/>
        </w:rPr>
      </w:pPr>
      <w:hyperlink w:anchor="_Toc309373941" w:history="1">
        <w:r w:rsidR="00CC6CF0" w:rsidRPr="00FD07C8">
          <w:rPr>
            <w:rStyle w:val="Hyperlink"/>
            <w:noProof/>
          </w:rPr>
          <w:t>4.</w:t>
        </w:r>
        <w:r w:rsidR="00CC6CF0" w:rsidRPr="00FD07C8">
          <w:rPr>
            <w:rFonts w:asciiTheme="minorHAnsi" w:eastAsiaTheme="minorEastAsia" w:hAnsiTheme="minorHAnsi" w:cstheme="minorBidi"/>
            <w:noProof/>
            <w:sz w:val="22"/>
            <w:szCs w:val="22"/>
          </w:rPr>
          <w:tab/>
        </w:r>
        <w:r w:rsidR="00CC6CF0" w:rsidRPr="00FD07C8">
          <w:rPr>
            <w:rStyle w:val="Hyperlink"/>
            <w:noProof/>
          </w:rPr>
          <w:t>An Exception to the Rule against Retroactive Ratemaking for Extraordinary and Unforeseeable Costs or Revenues is Not Justified in this Case and is Contrary to Commission Precedent.</w:t>
        </w:r>
        <w:r w:rsidR="00CC6CF0" w:rsidRPr="00FD07C8">
          <w:rPr>
            <w:noProof/>
            <w:webHidden/>
          </w:rPr>
          <w:tab/>
        </w:r>
        <w:r w:rsidRPr="00FD07C8">
          <w:rPr>
            <w:noProof/>
            <w:webHidden/>
          </w:rPr>
          <w:fldChar w:fldCharType="begin"/>
        </w:r>
        <w:r w:rsidR="00CC6CF0" w:rsidRPr="00FD07C8">
          <w:rPr>
            <w:noProof/>
            <w:webHidden/>
          </w:rPr>
          <w:instrText xml:space="preserve"> PAGEREF _Toc309373941 \h </w:instrText>
        </w:r>
        <w:r w:rsidRPr="00FD07C8">
          <w:rPr>
            <w:noProof/>
            <w:webHidden/>
          </w:rPr>
        </w:r>
        <w:r w:rsidRPr="00FD07C8">
          <w:rPr>
            <w:noProof/>
            <w:webHidden/>
          </w:rPr>
          <w:fldChar w:fldCharType="separate"/>
        </w:r>
        <w:r w:rsidR="00EC4D70">
          <w:rPr>
            <w:noProof/>
            <w:webHidden/>
          </w:rPr>
          <w:t>16</w:t>
        </w:r>
        <w:r w:rsidRPr="00FD07C8">
          <w:rPr>
            <w:noProof/>
            <w:webHidden/>
          </w:rPr>
          <w:fldChar w:fldCharType="end"/>
        </w:r>
      </w:hyperlink>
    </w:p>
    <w:p w:rsidR="00CC6CF0" w:rsidRPr="00FD07C8" w:rsidRDefault="00A36793" w:rsidP="00615005">
      <w:pPr>
        <w:pStyle w:val="TOC3"/>
        <w:rPr>
          <w:rFonts w:asciiTheme="minorHAnsi" w:eastAsiaTheme="minorEastAsia" w:hAnsiTheme="minorHAnsi" w:cstheme="minorBidi"/>
          <w:noProof/>
          <w:sz w:val="22"/>
          <w:szCs w:val="22"/>
        </w:rPr>
      </w:pPr>
      <w:hyperlink w:anchor="_Toc309373942" w:history="1">
        <w:r w:rsidR="00CC6CF0" w:rsidRPr="00FD07C8">
          <w:rPr>
            <w:rStyle w:val="Hyperlink"/>
            <w:noProof/>
          </w:rPr>
          <w:t>5.</w:t>
        </w:r>
        <w:r w:rsidR="00CC6CF0" w:rsidRPr="00FD07C8">
          <w:rPr>
            <w:rFonts w:asciiTheme="minorHAnsi" w:eastAsiaTheme="minorEastAsia" w:hAnsiTheme="minorHAnsi" w:cstheme="minorBidi"/>
            <w:noProof/>
            <w:sz w:val="22"/>
            <w:szCs w:val="22"/>
          </w:rPr>
          <w:tab/>
        </w:r>
        <w:r w:rsidR="00CC6CF0" w:rsidRPr="00FD07C8">
          <w:rPr>
            <w:rStyle w:val="Hyperlink"/>
            <w:noProof/>
          </w:rPr>
          <w:t>The Responding Parties Cannot Rely on Deferred Accounting to Justify their Proposals.</w:t>
        </w:r>
        <w:r w:rsidR="00CC6CF0" w:rsidRPr="00FD07C8">
          <w:rPr>
            <w:noProof/>
            <w:webHidden/>
          </w:rPr>
          <w:tab/>
        </w:r>
        <w:r w:rsidRPr="00FD07C8">
          <w:rPr>
            <w:noProof/>
            <w:webHidden/>
          </w:rPr>
          <w:fldChar w:fldCharType="begin"/>
        </w:r>
        <w:r w:rsidR="00CC6CF0" w:rsidRPr="00FD07C8">
          <w:rPr>
            <w:noProof/>
            <w:webHidden/>
          </w:rPr>
          <w:instrText xml:space="preserve"> PAGEREF _Toc309373942 \h </w:instrText>
        </w:r>
        <w:r w:rsidRPr="00FD07C8">
          <w:rPr>
            <w:noProof/>
            <w:webHidden/>
          </w:rPr>
        </w:r>
        <w:r w:rsidRPr="00FD07C8">
          <w:rPr>
            <w:noProof/>
            <w:webHidden/>
          </w:rPr>
          <w:fldChar w:fldCharType="separate"/>
        </w:r>
        <w:r w:rsidR="00EC4D70">
          <w:rPr>
            <w:noProof/>
            <w:webHidden/>
          </w:rPr>
          <w:t>19</w:t>
        </w:r>
        <w:r w:rsidRPr="00FD07C8">
          <w:rPr>
            <w:noProof/>
            <w:webHidden/>
          </w:rPr>
          <w:fldChar w:fldCharType="end"/>
        </w:r>
      </w:hyperlink>
    </w:p>
    <w:p w:rsidR="00CC6CF0" w:rsidRPr="00FD07C8" w:rsidRDefault="00A36793" w:rsidP="00615005">
      <w:pPr>
        <w:pStyle w:val="TOC3"/>
        <w:rPr>
          <w:rFonts w:asciiTheme="minorHAnsi" w:eastAsiaTheme="minorEastAsia" w:hAnsiTheme="minorHAnsi" w:cstheme="minorBidi"/>
          <w:noProof/>
          <w:sz w:val="22"/>
          <w:szCs w:val="22"/>
        </w:rPr>
      </w:pPr>
      <w:hyperlink w:anchor="_Toc309373943" w:history="1">
        <w:r w:rsidR="00CC6CF0" w:rsidRPr="00FD07C8">
          <w:rPr>
            <w:rStyle w:val="Hyperlink"/>
            <w:noProof/>
          </w:rPr>
          <w:t>6.</w:t>
        </w:r>
        <w:r w:rsidR="00CC6CF0" w:rsidRPr="00FD07C8">
          <w:rPr>
            <w:rFonts w:asciiTheme="minorHAnsi" w:eastAsiaTheme="minorEastAsia" w:hAnsiTheme="minorHAnsi" w:cstheme="minorBidi"/>
            <w:noProof/>
            <w:sz w:val="22"/>
            <w:szCs w:val="22"/>
          </w:rPr>
          <w:tab/>
        </w:r>
        <w:r w:rsidR="00CC6CF0" w:rsidRPr="00FD07C8">
          <w:rPr>
            <w:rStyle w:val="Hyperlink"/>
            <w:noProof/>
          </w:rPr>
          <w:t>The Other Orders Cited by Staff Do Not Support the Argument that Retroactive Recovery of REC Revenues is Appropriate.</w:t>
        </w:r>
        <w:r w:rsidR="00CC6CF0" w:rsidRPr="00FD07C8">
          <w:rPr>
            <w:noProof/>
            <w:webHidden/>
          </w:rPr>
          <w:tab/>
        </w:r>
        <w:r w:rsidRPr="00FD07C8">
          <w:rPr>
            <w:noProof/>
            <w:webHidden/>
          </w:rPr>
          <w:fldChar w:fldCharType="begin"/>
        </w:r>
        <w:r w:rsidR="00CC6CF0" w:rsidRPr="00FD07C8">
          <w:rPr>
            <w:noProof/>
            <w:webHidden/>
          </w:rPr>
          <w:instrText xml:space="preserve"> PAGEREF _Toc309373943 \h </w:instrText>
        </w:r>
        <w:r w:rsidRPr="00FD07C8">
          <w:rPr>
            <w:noProof/>
            <w:webHidden/>
          </w:rPr>
        </w:r>
        <w:r w:rsidRPr="00FD07C8">
          <w:rPr>
            <w:noProof/>
            <w:webHidden/>
          </w:rPr>
          <w:fldChar w:fldCharType="separate"/>
        </w:r>
        <w:r w:rsidR="00EC4D70">
          <w:rPr>
            <w:noProof/>
            <w:webHidden/>
          </w:rPr>
          <w:t>21</w:t>
        </w:r>
        <w:r w:rsidRPr="00FD07C8">
          <w:rPr>
            <w:noProof/>
            <w:webHidden/>
          </w:rPr>
          <w:fldChar w:fldCharType="end"/>
        </w:r>
      </w:hyperlink>
    </w:p>
    <w:p w:rsidR="00CC6CF0" w:rsidRPr="00FD07C8" w:rsidRDefault="00A36793">
      <w:pPr>
        <w:pStyle w:val="TOC2"/>
        <w:rPr>
          <w:rFonts w:asciiTheme="minorHAnsi" w:eastAsiaTheme="minorEastAsia" w:hAnsiTheme="minorHAnsi" w:cstheme="minorBidi"/>
          <w:noProof/>
          <w:sz w:val="22"/>
          <w:szCs w:val="22"/>
        </w:rPr>
      </w:pPr>
      <w:hyperlink w:anchor="_Toc309373944" w:history="1">
        <w:r w:rsidR="00CC6CF0" w:rsidRPr="00FD07C8">
          <w:rPr>
            <w:rStyle w:val="Hyperlink"/>
            <w:noProof/>
          </w:rPr>
          <w:t>C.</w:t>
        </w:r>
        <w:r w:rsidR="00CC6CF0" w:rsidRPr="00FD07C8">
          <w:rPr>
            <w:rFonts w:asciiTheme="minorHAnsi" w:eastAsiaTheme="minorEastAsia" w:hAnsiTheme="minorHAnsi" w:cstheme="minorBidi"/>
            <w:noProof/>
            <w:sz w:val="22"/>
            <w:szCs w:val="22"/>
          </w:rPr>
          <w:tab/>
        </w:r>
        <w:r w:rsidR="00CC6CF0" w:rsidRPr="00FD07C8">
          <w:rPr>
            <w:rStyle w:val="Hyperlink"/>
            <w:noProof/>
          </w:rPr>
          <w:t>The Parties’ Disregard of the Impact of their Proposals on the Company’s Financial Condition is Inconsistent with Washington Law.</w:t>
        </w:r>
        <w:r w:rsidR="00CC6CF0" w:rsidRPr="00FD07C8">
          <w:rPr>
            <w:noProof/>
            <w:webHidden/>
          </w:rPr>
          <w:tab/>
        </w:r>
        <w:r w:rsidRPr="00FD07C8">
          <w:rPr>
            <w:noProof/>
            <w:webHidden/>
          </w:rPr>
          <w:fldChar w:fldCharType="begin"/>
        </w:r>
        <w:r w:rsidR="00CC6CF0" w:rsidRPr="00FD07C8">
          <w:rPr>
            <w:noProof/>
            <w:webHidden/>
          </w:rPr>
          <w:instrText xml:space="preserve"> PAGEREF _Toc309373944 \h </w:instrText>
        </w:r>
        <w:r w:rsidRPr="00FD07C8">
          <w:rPr>
            <w:noProof/>
            <w:webHidden/>
          </w:rPr>
        </w:r>
        <w:r w:rsidRPr="00FD07C8">
          <w:rPr>
            <w:noProof/>
            <w:webHidden/>
          </w:rPr>
          <w:fldChar w:fldCharType="separate"/>
        </w:r>
        <w:r w:rsidR="00EC4D70">
          <w:rPr>
            <w:noProof/>
            <w:webHidden/>
          </w:rPr>
          <w:t>23</w:t>
        </w:r>
        <w:r w:rsidRPr="00FD07C8">
          <w:rPr>
            <w:noProof/>
            <w:webHidden/>
          </w:rPr>
          <w:fldChar w:fldCharType="end"/>
        </w:r>
      </w:hyperlink>
    </w:p>
    <w:p w:rsidR="00CC6CF0" w:rsidRPr="00FD07C8" w:rsidRDefault="00A36793">
      <w:pPr>
        <w:pStyle w:val="TOC2"/>
        <w:rPr>
          <w:rFonts w:asciiTheme="minorHAnsi" w:eastAsiaTheme="minorEastAsia" w:hAnsiTheme="minorHAnsi" w:cstheme="minorBidi"/>
          <w:noProof/>
          <w:sz w:val="22"/>
          <w:szCs w:val="22"/>
        </w:rPr>
      </w:pPr>
      <w:hyperlink w:anchor="_Toc309373945" w:history="1">
        <w:r w:rsidR="00CC6CF0" w:rsidRPr="00FD07C8">
          <w:rPr>
            <w:rStyle w:val="Hyperlink"/>
            <w:noProof/>
          </w:rPr>
          <w:t>D.</w:t>
        </w:r>
        <w:r w:rsidR="00CC6CF0" w:rsidRPr="00FD07C8">
          <w:rPr>
            <w:rFonts w:asciiTheme="minorHAnsi" w:eastAsiaTheme="minorEastAsia" w:hAnsiTheme="minorHAnsi" w:cstheme="minorBidi"/>
            <w:noProof/>
            <w:sz w:val="22"/>
            <w:szCs w:val="22"/>
          </w:rPr>
          <w:tab/>
        </w:r>
        <w:r w:rsidR="00CC6CF0" w:rsidRPr="00FD07C8">
          <w:rPr>
            <w:rStyle w:val="Hyperlink"/>
            <w:noProof/>
          </w:rPr>
          <w:t>Staff Mischaracterizes the Company’s Testimony on the Regulatory Environment in Washington.</w:t>
        </w:r>
        <w:r w:rsidR="00CC6CF0" w:rsidRPr="00FD07C8">
          <w:rPr>
            <w:noProof/>
            <w:webHidden/>
          </w:rPr>
          <w:tab/>
        </w:r>
        <w:r w:rsidRPr="00FD07C8">
          <w:rPr>
            <w:noProof/>
            <w:webHidden/>
          </w:rPr>
          <w:fldChar w:fldCharType="begin"/>
        </w:r>
        <w:r w:rsidR="00CC6CF0" w:rsidRPr="00FD07C8">
          <w:rPr>
            <w:noProof/>
            <w:webHidden/>
          </w:rPr>
          <w:instrText xml:space="preserve"> PAGEREF _Toc309373945 \h </w:instrText>
        </w:r>
        <w:r w:rsidRPr="00FD07C8">
          <w:rPr>
            <w:noProof/>
            <w:webHidden/>
          </w:rPr>
        </w:r>
        <w:r w:rsidRPr="00FD07C8">
          <w:rPr>
            <w:noProof/>
            <w:webHidden/>
          </w:rPr>
          <w:fldChar w:fldCharType="separate"/>
        </w:r>
        <w:r w:rsidR="00EC4D70">
          <w:rPr>
            <w:noProof/>
            <w:webHidden/>
          </w:rPr>
          <w:t>26</w:t>
        </w:r>
        <w:r w:rsidRPr="00FD07C8">
          <w:rPr>
            <w:noProof/>
            <w:webHidden/>
          </w:rPr>
          <w:fldChar w:fldCharType="end"/>
        </w:r>
      </w:hyperlink>
    </w:p>
    <w:p w:rsidR="00CC6CF0" w:rsidRPr="00FD07C8" w:rsidRDefault="00A36793">
      <w:pPr>
        <w:pStyle w:val="TOC2"/>
        <w:rPr>
          <w:rFonts w:asciiTheme="minorHAnsi" w:eastAsiaTheme="minorEastAsia" w:hAnsiTheme="minorHAnsi" w:cstheme="minorBidi"/>
          <w:noProof/>
          <w:sz w:val="22"/>
          <w:szCs w:val="22"/>
        </w:rPr>
      </w:pPr>
      <w:hyperlink w:anchor="_Toc309373946" w:history="1">
        <w:r w:rsidR="00CC6CF0" w:rsidRPr="00FD07C8">
          <w:rPr>
            <w:rStyle w:val="Hyperlink"/>
            <w:noProof/>
          </w:rPr>
          <w:t>E.</w:t>
        </w:r>
        <w:r w:rsidR="00CC6CF0" w:rsidRPr="00FD07C8">
          <w:rPr>
            <w:rFonts w:asciiTheme="minorHAnsi" w:eastAsiaTheme="minorEastAsia" w:hAnsiTheme="minorHAnsi" w:cstheme="minorBidi"/>
            <w:noProof/>
            <w:sz w:val="22"/>
            <w:szCs w:val="22"/>
          </w:rPr>
          <w:tab/>
        </w:r>
        <w:r w:rsidR="00CC6CF0" w:rsidRPr="00FD07C8">
          <w:rPr>
            <w:rStyle w:val="Hyperlink"/>
            <w:noProof/>
          </w:rPr>
          <w:t>Calculation of 2009 and 2010 REC Revenues</w:t>
        </w:r>
        <w:r w:rsidR="00CC6CF0" w:rsidRPr="00FD07C8">
          <w:rPr>
            <w:noProof/>
            <w:webHidden/>
          </w:rPr>
          <w:tab/>
        </w:r>
        <w:r w:rsidRPr="00FD07C8">
          <w:rPr>
            <w:noProof/>
            <w:webHidden/>
          </w:rPr>
          <w:fldChar w:fldCharType="begin"/>
        </w:r>
        <w:r w:rsidR="00CC6CF0" w:rsidRPr="00FD07C8">
          <w:rPr>
            <w:noProof/>
            <w:webHidden/>
          </w:rPr>
          <w:instrText xml:space="preserve"> PAGEREF _Toc309373946 \h </w:instrText>
        </w:r>
        <w:r w:rsidRPr="00FD07C8">
          <w:rPr>
            <w:noProof/>
            <w:webHidden/>
          </w:rPr>
        </w:r>
        <w:r w:rsidRPr="00FD07C8">
          <w:rPr>
            <w:noProof/>
            <w:webHidden/>
          </w:rPr>
          <w:fldChar w:fldCharType="separate"/>
        </w:r>
        <w:r w:rsidR="00EC4D70">
          <w:rPr>
            <w:noProof/>
            <w:webHidden/>
          </w:rPr>
          <w:t>27</w:t>
        </w:r>
        <w:r w:rsidRPr="00FD07C8">
          <w:rPr>
            <w:noProof/>
            <w:webHidden/>
          </w:rPr>
          <w:fldChar w:fldCharType="end"/>
        </w:r>
      </w:hyperlink>
    </w:p>
    <w:p w:rsidR="00CC6CF0" w:rsidRPr="00FD07C8" w:rsidRDefault="00A36793">
      <w:pPr>
        <w:pStyle w:val="TOC2"/>
        <w:rPr>
          <w:rFonts w:asciiTheme="minorHAnsi" w:eastAsiaTheme="minorEastAsia" w:hAnsiTheme="minorHAnsi" w:cstheme="minorBidi"/>
          <w:noProof/>
          <w:sz w:val="22"/>
          <w:szCs w:val="22"/>
        </w:rPr>
      </w:pPr>
      <w:hyperlink w:anchor="_Toc309373947" w:history="1">
        <w:r w:rsidR="00CC6CF0" w:rsidRPr="00FD07C8">
          <w:rPr>
            <w:rStyle w:val="Hyperlink"/>
            <w:noProof/>
          </w:rPr>
          <w:t>F.</w:t>
        </w:r>
        <w:r w:rsidR="00CC6CF0" w:rsidRPr="00FD07C8">
          <w:rPr>
            <w:rFonts w:asciiTheme="minorHAnsi" w:eastAsiaTheme="minorEastAsia" w:hAnsiTheme="minorHAnsi" w:cstheme="minorBidi"/>
            <w:noProof/>
            <w:sz w:val="22"/>
            <w:szCs w:val="22"/>
          </w:rPr>
          <w:tab/>
        </w:r>
        <w:r w:rsidR="00CC6CF0" w:rsidRPr="00FD07C8">
          <w:rPr>
            <w:rStyle w:val="Hyperlink"/>
            <w:noProof/>
          </w:rPr>
          <w:t>Schedule 95 Should Change Based on the Forecast and True Up Each Year.</w:t>
        </w:r>
        <w:r w:rsidR="00CC6CF0" w:rsidRPr="00FD07C8">
          <w:rPr>
            <w:noProof/>
            <w:webHidden/>
          </w:rPr>
          <w:tab/>
        </w:r>
        <w:r w:rsidRPr="00FD07C8">
          <w:rPr>
            <w:noProof/>
            <w:webHidden/>
          </w:rPr>
          <w:fldChar w:fldCharType="begin"/>
        </w:r>
        <w:r w:rsidR="00CC6CF0" w:rsidRPr="00FD07C8">
          <w:rPr>
            <w:noProof/>
            <w:webHidden/>
          </w:rPr>
          <w:instrText xml:space="preserve"> PAGEREF _Toc309373947 \h </w:instrText>
        </w:r>
        <w:r w:rsidRPr="00FD07C8">
          <w:rPr>
            <w:noProof/>
            <w:webHidden/>
          </w:rPr>
        </w:r>
        <w:r w:rsidRPr="00FD07C8">
          <w:rPr>
            <w:noProof/>
            <w:webHidden/>
          </w:rPr>
          <w:fldChar w:fldCharType="separate"/>
        </w:r>
        <w:r w:rsidR="00EC4D70">
          <w:rPr>
            <w:noProof/>
            <w:webHidden/>
          </w:rPr>
          <w:t>29</w:t>
        </w:r>
        <w:r w:rsidRPr="00FD07C8">
          <w:rPr>
            <w:noProof/>
            <w:webHidden/>
          </w:rPr>
          <w:fldChar w:fldCharType="end"/>
        </w:r>
      </w:hyperlink>
    </w:p>
    <w:p w:rsidR="00CC6CF0" w:rsidRPr="00FD07C8" w:rsidRDefault="00A36793">
      <w:pPr>
        <w:pStyle w:val="TOC1"/>
        <w:rPr>
          <w:rFonts w:asciiTheme="minorHAnsi" w:eastAsiaTheme="minorEastAsia" w:hAnsiTheme="minorHAnsi" w:cstheme="minorBidi"/>
          <w:noProof/>
          <w:sz w:val="22"/>
          <w:szCs w:val="22"/>
        </w:rPr>
      </w:pPr>
      <w:hyperlink w:anchor="_Toc309373948" w:history="1">
        <w:r w:rsidR="00CC6CF0" w:rsidRPr="00FD07C8">
          <w:rPr>
            <w:rStyle w:val="Hyperlink"/>
            <w:noProof/>
          </w:rPr>
          <w:t>III.</w:t>
        </w:r>
        <w:r w:rsidR="00CC6CF0" w:rsidRPr="00FD07C8">
          <w:rPr>
            <w:rFonts w:asciiTheme="minorHAnsi" w:eastAsiaTheme="minorEastAsia" w:hAnsiTheme="minorHAnsi" w:cstheme="minorBidi"/>
            <w:noProof/>
            <w:sz w:val="22"/>
            <w:szCs w:val="22"/>
          </w:rPr>
          <w:tab/>
        </w:r>
        <w:r w:rsidR="00CC6CF0" w:rsidRPr="00FD07C8">
          <w:rPr>
            <w:rStyle w:val="Hyperlink"/>
            <w:noProof/>
          </w:rPr>
          <w:t>CONCLUSION</w:t>
        </w:r>
        <w:r w:rsidR="00CC6CF0" w:rsidRPr="00FD07C8">
          <w:rPr>
            <w:noProof/>
            <w:webHidden/>
          </w:rPr>
          <w:tab/>
        </w:r>
        <w:r w:rsidRPr="00FD07C8">
          <w:rPr>
            <w:noProof/>
            <w:webHidden/>
          </w:rPr>
          <w:fldChar w:fldCharType="begin"/>
        </w:r>
        <w:r w:rsidR="00CC6CF0" w:rsidRPr="00FD07C8">
          <w:rPr>
            <w:noProof/>
            <w:webHidden/>
          </w:rPr>
          <w:instrText xml:space="preserve"> PAGEREF _Toc309373948 \h </w:instrText>
        </w:r>
        <w:r w:rsidRPr="00FD07C8">
          <w:rPr>
            <w:noProof/>
            <w:webHidden/>
          </w:rPr>
        </w:r>
        <w:r w:rsidRPr="00FD07C8">
          <w:rPr>
            <w:noProof/>
            <w:webHidden/>
          </w:rPr>
          <w:fldChar w:fldCharType="separate"/>
        </w:r>
        <w:r w:rsidR="00EC4D70">
          <w:rPr>
            <w:noProof/>
            <w:webHidden/>
          </w:rPr>
          <w:t>31</w:t>
        </w:r>
        <w:r w:rsidRPr="00FD07C8">
          <w:rPr>
            <w:noProof/>
            <w:webHidden/>
          </w:rPr>
          <w:fldChar w:fldCharType="end"/>
        </w:r>
      </w:hyperlink>
    </w:p>
    <w:p w:rsidR="004F1D7F" w:rsidRPr="00FD07C8" w:rsidRDefault="00A36793">
      <w:r w:rsidRPr="00FD07C8">
        <w:fldChar w:fldCharType="end"/>
      </w:r>
    </w:p>
    <w:p w:rsidR="00CC6CF0" w:rsidRPr="00FD07C8" w:rsidRDefault="00A36793" w:rsidP="00CC6CF0">
      <w:pPr>
        <w:rPr>
          <w:b/>
        </w:rPr>
      </w:pPr>
      <w:r w:rsidRPr="00FD07C8">
        <w:fldChar w:fldCharType="begin"/>
      </w:r>
      <w:r w:rsidR="00684C9E" w:rsidRPr="00FD07C8">
        <w:instrText xml:space="preserve"> TOC \o "1-4" \h \z \u </w:instrText>
      </w:r>
      <w:r w:rsidRPr="00FD07C8">
        <w:fldChar w:fldCharType="end"/>
      </w:r>
      <w:r w:rsidR="00613674" w:rsidRPr="00FD07C8">
        <w:rPr>
          <w:b/>
        </w:rPr>
        <w:br w:type="page"/>
      </w:r>
    </w:p>
    <w:p w:rsidR="00CC6CF0" w:rsidRPr="00FD07C8" w:rsidRDefault="00CC6CF0" w:rsidP="00CC6CF0">
      <w:pPr>
        <w:rPr>
          <w:b/>
        </w:rPr>
      </w:pPr>
    </w:p>
    <w:p w:rsidR="00FD07C8" w:rsidRPr="00FD07C8" w:rsidRDefault="00FD07C8" w:rsidP="00FD07C8">
      <w:pPr>
        <w:pStyle w:val="BATOATitle"/>
        <w:rPr>
          <w:noProof/>
        </w:rPr>
      </w:pPr>
      <w:bookmarkStart w:id="0" w:name="_BA_TOAAll"/>
      <w:bookmarkStart w:id="1" w:name="_BA_DraftTOALocation"/>
      <w:r w:rsidRPr="00FD07C8">
        <w:rPr>
          <w:noProof/>
        </w:rPr>
        <w:t>Table of Authorities</w:t>
      </w:r>
    </w:p>
    <w:p w:rsidR="00FD07C8" w:rsidRPr="00FD07C8" w:rsidRDefault="00FD07C8" w:rsidP="00FD07C8">
      <w:pPr>
        <w:pStyle w:val="BATOAPageHeading"/>
        <w:rPr>
          <w:noProof/>
        </w:rPr>
      </w:pPr>
      <w:r w:rsidRPr="00FD07C8">
        <w:rPr>
          <w:noProof/>
        </w:rPr>
        <w:tab/>
        <w:t>Page(s)</w:t>
      </w:r>
    </w:p>
    <w:p w:rsidR="00FD07C8" w:rsidRPr="00FD07C8" w:rsidRDefault="00FD07C8" w:rsidP="00FD07C8">
      <w:pPr>
        <w:pStyle w:val="BATOAHeading"/>
        <w:rPr>
          <w:noProof/>
        </w:rPr>
      </w:pPr>
      <w:bookmarkStart w:id="2" w:name="_BA95XTOA95FederalCases"/>
      <w:r w:rsidRPr="00FD07C8">
        <w:rPr>
          <w:noProof/>
        </w:rPr>
        <w:t>Cases</w:t>
      </w:r>
    </w:p>
    <w:p w:rsidR="00CE267C" w:rsidRPr="00FD07C8" w:rsidRDefault="00CE267C" w:rsidP="00CE267C">
      <w:pPr>
        <w:pStyle w:val="BATOAEntry"/>
        <w:rPr>
          <w:noProof/>
        </w:rPr>
      </w:pPr>
      <w:r w:rsidRPr="00FD07C8">
        <w:rPr>
          <w:rFonts w:ascii="Times" w:hAnsi="Times" w:cs="Times"/>
          <w:i/>
          <w:noProof/>
        </w:rPr>
        <w:t>City of Los Angeles v. Cal. Pub. Utils. Comm’n,</w:t>
      </w:r>
      <w:r w:rsidRPr="00FD07C8">
        <w:rPr>
          <w:rFonts w:ascii="Times" w:hAnsi="Times" w:cs="Times"/>
          <w:noProof/>
        </w:rPr>
        <w:br/>
        <w:t>7 Cal.3d 331 (CA 1972)</w:t>
      </w:r>
      <w:r w:rsidRPr="00FD07C8">
        <w:rPr>
          <w:noProof/>
        </w:rPr>
        <w:tab/>
      </w:r>
      <w:hyperlink w:anchor="_BA_Cite_96" w:tooltip="Long: City of Los Angeles v. Cal. Pub. Utils. Comm'n,  7 Cal.3d 331 (CA 1972)" w:history="1">
        <w:r w:rsidRPr="00FD07C8">
          <w:rPr>
            <w:noProof/>
          </w:rPr>
          <w:t>8</w:t>
        </w:r>
      </w:hyperlink>
      <w:r w:rsidRPr="00FD07C8">
        <w:rPr>
          <w:noProof/>
        </w:rPr>
        <w:t xml:space="preserve">, </w:t>
      </w:r>
      <w:hyperlink w:anchor="_BA_Cite_97" w:tooltip="Id" w:history="1">
        <w:r w:rsidRPr="00FD07C8">
          <w:rPr>
            <w:noProof/>
          </w:rPr>
          <w:t>9</w:t>
        </w:r>
      </w:hyperlink>
    </w:p>
    <w:p w:rsidR="00FD07C8" w:rsidRPr="00FD07C8" w:rsidRDefault="00FD07C8" w:rsidP="00FD07C8">
      <w:pPr>
        <w:pStyle w:val="BATOAEntry"/>
        <w:rPr>
          <w:noProof/>
        </w:rPr>
      </w:pPr>
      <w:r w:rsidRPr="00FD07C8">
        <w:rPr>
          <w:i/>
          <w:noProof/>
        </w:rPr>
        <w:t>Duquesne v. Barasch</w:t>
      </w:r>
      <w:r w:rsidRPr="00FD07C8">
        <w:rPr>
          <w:noProof/>
        </w:rPr>
        <w:t>,</w:t>
      </w:r>
      <w:r w:rsidRPr="00FD07C8">
        <w:rPr>
          <w:noProof/>
        </w:rPr>
        <w:br/>
        <w:t>488 US 299 (1989)</w:t>
      </w:r>
      <w:r w:rsidRPr="00FD07C8">
        <w:rPr>
          <w:noProof/>
        </w:rPr>
        <w:tab/>
      </w:r>
      <w:hyperlink w:anchor="_BA_Cite_123" w:tooltip="Long: Duquesne v. Barasch,  488 US 299 (1989)" w:history="1">
        <w:r w:rsidRPr="00FD07C8">
          <w:rPr>
            <w:noProof/>
          </w:rPr>
          <w:t>19</w:t>
        </w:r>
      </w:hyperlink>
    </w:p>
    <w:p w:rsidR="00FD07C8" w:rsidRDefault="00FD07C8" w:rsidP="00FD07C8">
      <w:pPr>
        <w:pStyle w:val="BATOAEntry"/>
        <w:rPr>
          <w:noProof/>
        </w:rPr>
      </w:pPr>
      <w:r w:rsidRPr="00FD07C8">
        <w:rPr>
          <w:i/>
          <w:noProof/>
        </w:rPr>
        <w:t>Fed. Power Comm’n v. Hope Natural Gas Co.</w:t>
      </w:r>
      <w:r w:rsidRPr="00FD07C8">
        <w:rPr>
          <w:noProof/>
        </w:rPr>
        <w:t>,</w:t>
      </w:r>
      <w:r w:rsidRPr="00FD07C8">
        <w:rPr>
          <w:noProof/>
        </w:rPr>
        <w:br/>
        <w:t>320 U.S. 591 (1944)</w:t>
      </w:r>
      <w:r w:rsidRPr="00FD07C8">
        <w:rPr>
          <w:noProof/>
        </w:rPr>
        <w:tab/>
      </w:r>
      <w:hyperlink w:anchor="_BA_Cite_131" w:tooltip="Long: Fed. Power Comm'n v. Hope Natural Gas Co.,  320 U.S. 591 (1944)" w:history="1">
        <w:r w:rsidRPr="00FD07C8">
          <w:rPr>
            <w:noProof/>
          </w:rPr>
          <w:t>24</w:t>
        </w:r>
      </w:hyperlink>
    </w:p>
    <w:p w:rsidR="00CE267C" w:rsidRPr="00FD07C8" w:rsidRDefault="00CE267C" w:rsidP="00CE267C">
      <w:pPr>
        <w:pStyle w:val="BATOAEntry"/>
        <w:rPr>
          <w:noProof/>
        </w:rPr>
      </w:pPr>
      <w:r w:rsidRPr="00FD07C8">
        <w:rPr>
          <w:rFonts w:ascii="Times" w:hAnsi="Times" w:cs="Times"/>
          <w:i/>
          <w:noProof/>
        </w:rPr>
        <w:t>In re Elizabethtown Water Co</w:t>
      </w:r>
      <w:r w:rsidRPr="00FD07C8">
        <w:rPr>
          <w:rFonts w:ascii="Times" w:hAnsi="Times" w:cs="Times"/>
          <w:noProof/>
        </w:rPr>
        <w:t xml:space="preserve"> </w:t>
      </w:r>
      <w:r w:rsidRPr="00FD07C8">
        <w:rPr>
          <w:rFonts w:ascii="Times" w:hAnsi="Times" w:cs="Times"/>
          <w:i/>
          <w:noProof/>
        </w:rPr>
        <w:t>v. N.J. Bd. of Pub. Util.</w:t>
      </w:r>
      <w:r w:rsidRPr="00FD07C8">
        <w:rPr>
          <w:rFonts w:ascii="Times" w:hAnsi="Times" w:cs="Times"/>
          <w:noProof/>
        </w:rPr>
        <w:t>,</w:t>
      </w:r>
      <w:r w:rsidRPr="00FD07C8">
        <w:rPr>
          <w:rFonts w:ascii="Times" w:hAnsi="Times" w:cs="Times"/>
          <w:noProof/>
        </w:rPr>
        <w:br/>
        <w:t>527 A.2d 354 (N.J., 1987)</w:t>
      </w:r>
      <w:r w:rsidRPr="00FD07C8">
        <w:rPr>
          <w:noProof/>
        </w:rPr>
        <w:tab/>
      </w:r>
      <w:hyperlink w:anchor="_BA_Cite_100" w:tooltip="Long: In re Elizabethtown Water Co v. N.J. Bd. of Pub. Util.,  527 A.2d 354 (N.J., 1987)" w:history="1">
        <w:r w:rsidRPr="00FD07C8">
          <w:rPr>
            <w:noProof/>
          </w:rPr>
          <w:t>9</w:t>
        </w:r>
      </w:hyperlink>
      <w:r w:rsidRPr="00FD07C8">
        <w:rPr>
          <w:noProof/>
        </w:rPr>
        <w:t xml:space="preserve">, </w:t>
      </w:r>
      <w:hyperlink w:anchor="_BA_Cite_129" w:tooltip="Short: re. Elizabethtown Water Co v. New Jersey Bd. of Pub. Util., 527 A.2d 354 (N.J., 1987)" w:history="1">
        <w:r w:rsidRPr="00FD07C8">
          <w:rPr>
            <w:noProof/>
          </w:rPr>
          <w:t>23</w:t>
        </w:r>
      </w:hyperlink>
    </w:p>
    <w:p w:rsidR="00CE267C" w:rsidRPr="00FD07C8" w:rsidRDefault="00CE267C" w:rsidP="00CE267C">
      <w:pPr>
        <w:pStyle w:val="BATOAEntry"/>
        <w:rPr>
          <w:noProof/>
        </w:rPr>
      </w:pPr>
      <w:r w:rsidRPr="00FD07C8">
        <w:rPr>
          <w:rFonts w:ascii="Times" w:hAnsi="Times" w:cs="Times"/>
          <w:i/>
          <w:noProof/>
        </w:rPr>
        <w:t>Matanuska Elec. Ass’n v. Chugach Elec. Ass’n</w:t>
      </w:r>
      <w:r w:rsidRPr="00FD07C8">
        <w:rPr>
          <w:rFonts w:ascii="Times" w:hAnsi="Times" w:cs="Times"/>
          <w:noProof/>
        </w:rPr>
        <w:t>,</w:t>
      </w:r>
      <w:r w:rsidRPr="00FD07C8">
        <w:rPr>
          <w:rFonts w:ascii="Times" w:hAnsi="Times" w:cs="Times"/>
          <w:noProof/>
        </w:rPr>
        <w:br/>
        <w:t>53 P.3d 578 (Alaska 2002)</w:t>
      </w:r>
      <w:r w:rsidRPr="00FD07C8">
        <w:rPr>
          <w:noProof/>
        </w:rPr>
        <w:tab/>
      </w:r>
      <w:hyperlink w:anchor="_BA_Cite_128" w:tooltip="Long: Matanuska Elec. Ass'n v. Chugach Elec. Ass'n,  53 P.3d 578 (Alaska 2002)" w:history="1">
        <w:r w:rsidRPr="00FD07C8">
          <w:rPr>
            <w:noProof/>
          </w:rPr>
          <w:t>23</w:t>
        </w:r>
      </w:hyperlink>
    </w:p>
    <w:p w:rsidR="00CE267C" w:rsidRPr="00FD07C8" w:rsidRDefault="00CE267C" w:rsidP="00CE267C">
      <w:pPr>
        <w:pStyle w:val="BATOAEntry"/>
        <w:rPr>
          <w:noProof/>
        </w:rPr>
      </w:pPr>
      <w:r w:rsidRPr="00FD07C8">
        <w:rPr>
          <w:rFonts w:ascii="Times" w:hAnsi="Times" w:cs="Times"/>
          <w:i/>
          <w:noProof/>
        </w:rPr>
        <w:t>MCI Telecomm. Corp. v. Pub. Serv. Comm’n of Utah</w:t>
      </w:r>
      <w:r w:rsidRPr="00FD07C8">
        <w:rPr>
          <w:rFonts w:ascii="Times" w:hAnsi="Times" w:cs="Times"/>
          <w:noProof/>
        </w:rPr>
        <w:t>,</w:t>
      </w:r>
      <w:r w:rsidRPr="00FD07C8">
        <w:rPr>
          <w:rFonts w:ascii="Times" w:hAnsi="Times" w:cs="Times"/>
          <w:noProof/>
        </w:rPr>
        <w:br/>
        <w:t>840 P.2d 765 (Utah 1992)</w:t>
      </w:r>
      <w:r w:rsidRPr="00FD07C8">
        <w:rPr>
          <w:noProof/>
        </w:rPr>
        <w:tab/>
      </w:r>
      <w:hyperlink w:anchor="_BA_Cite_114" w:tooltip="Long: MCI Telecomm. Corp. v. Pub. Serv. Comm'n of Utah,  840 P.2d 765 (Utah 1992)" w:history="1">
        <w:r w:rsidRPr="00FD07C8">
          <w:rPr>
            <w:noProof/>
          </w:rPr>
          <w:t>14</w:t>
        </w:r>
      </w:hyperlink>
      <w:r w:rsidRPr="00FD07C8">
        <w:rPr>
          <w:noProof/>
        </w:rPr>
        <w:t>,</w:t>
      </w:r>
      <w:hyperlink w:anchor="_BA_Cite_118" w:tooltip="Short: MCI Telecommunications Corporation v. Public Service Commission of Utah (&quot;MCI&quot;)" w:history="1">
        <w:r w:rsidRPr="00FD07C8">
          <w:rPr>
            <w:noProof/>
          </w:rPr>
          <w:t xml:space="preserve"> 17</w:t>
        </w:r>
      </w:hyperlink>
      <w:r w:rsidRPr="00FD07C8">
        <w:rPr>
          <w:noProof/>
        </w:rPr>
        <w:t xml:space="preserve">, </w:t>
      </w:r>
      <w:hyperlink w:anchor="_BA_Cite_119" w:tooltip="Short: MCI" w:history="1">
        <w:r w:rsidRPr="00FD07C8">
          <w:rPr>
            <w:noProof/>
          </w:rPr>
          <w:t>18</w:t>
        </w:r>
      </w:hyperlink>
    </w:p>
    <w:p w:rsidR="00CE267C" w:rsidRPr="00FD07C8" w:rsidRDefault="00CE267C" w:rsidP="00CE267C">
      <w:pPr>
        <w:pStyle w:val="BATOAEntry"/>
        <w:rPr>
          <w:noProof/>
        </w:rPr>
      </w:pPr>
      <w:r w:rsidRPr="00FD07C8">
        <w:rPr>
          <w:rFonts w:ascii="Times" w:hAnsi="Times" w:cs="Times"/>
          <w:i/>
          <w:noProof/>
        </w:rPr>
        <w:t>People's Org. for</w:t>
      </w:r>
      <w:r w:rsidRPr="00FD07C8">
        <w:rPr>
          <w:rFonts w:ascii="Times" w:hAnsi="Times" w:cs="Times"/>
          <w:noProof/>
        </w:rPr>
        <w:t xml:space="preserve"> </w:t>
      </w:r>
      <w:r w:rsidRPr="00FD07C8">
        <w:rPr>
          <w:rFonts w:ascii="Times" w:hAnsi="Times" w:cs="Times"/>
          <w:i/>
          <w:noProof/>
        </w:rPr>
        <w:t>Wash. Energy Resources v. Wash. Utils. &amp; Transp. Comm'n</w:t>
      </w:r>
      <w:r w:rsidRPr="00FD07C8">
        <w:rPr>
          <w:rFonts w:ascii="Times" w:hAnsi="Times" w:cs="Times"/>
          <w:noProof/>
        </w:rPr>
        <w:t>,</w:t>
      </w:r>
      <w:r w:rsidRPr="00FD07C8">
        <w:rPr>
          <w:rFonts w:ascii="Times" w:hAnsi="Times" w:cs="Times"/>
          <w:noProof/>
        </w:rPr>
        <w:br/>
        <w:t>104 Wash.2d 798 (Wash.1985)</w:t>
      </w:r>
      <w:r w:rsidRPr="00FD07C8">
        <w:rPr>
          <w:noProof/>
        </w:rPr>
        <w:tab/>
      </w:r>
      <w:hyperlink w:anchor="_BA_Cite_106" w:tooltip="Long: People's Org. for Wash. Energy Resources v. Wash. Utils. &amp; Transp. Comm'n,  104 Wash.2d 798 (Wash.1985)" w:history="1">
        <w:r w:rsidRPr="00FD07C8">
          <w:rPr>
            <w:noProof/>
          </w:rPr>
          <w:t>10</w:t>
        </w:r>
      </w:hyperlink>
    </w:p>
    <w:p w:rsidR="00CE267C" w:rsidRPr="00FD07C8" w:rsidRDefault="00CE267C" w:rsidP="00CE267C">
      <w:pPr>
        <w:pStyle w:val="BATOAEntry"/>
        <w:rPr>
          <w:noProof/>
        </w:rPr>
      </w:pPr>
      <w:r w:rsidRPr="00FD07C8">
        <w:rPr>
          <w:rFonts w:ascii="Times" w:hAnsi="Times" w:cs="Times"/>
          <w:i/>
          <w:noProof/>
        </w:rPr>
        <w:t>Re. Central Vt. Pub. Serv. Corp</w:t>
      </w:r>
      <w:r w:rsidRPr="00FD07C8">
        <w:rPr>
          <w:rFonts w:ascii="Times" w:hAnsi="Times" w:cs="Times"/>
          <w:noProof/>
        </w:rPr>
        <w:t>.,</w:t>
      </w:r>
      <w:r w:rsidRPr="00FD07C8">
        <w:rPr>
          <w:rFonts w:ascii="Times" w:hAnsi="Times" w:cs="Times"/>
          <w:noProof/>
        </w:rPr>
        <w:br/>
        <w:t>473 A.2d 1155 (Vt. 1984)</w:t>
      </w:r>
      <w:r w:rsidRPr="00FD07C8">
        <w:rPr>
          <w:noProof/>
        </w:rPr>
        <w:tab/>
      </w:r>
      <w:hyperlink w:anchor="_BA_Cite_101" w:tooltip="Long: Re. Central Vt. Pub. Serv. Corp.,  473 A.2d 1155 (Vt. 1984)" w:history="1">
        <w:r w:rsidRPr="00FD07C8">
          <w:rPr>
            <w:noProof/>
          </w:rPr>
          <w:t>9</w:t>
        </w:r>
      </w:hyperlink>
    </w:p>
    <w:p w:rsidR="00CE267C" w:rsidRPr="00FD07C8" w:rsidRDefault="00CE267C" w:rsidP="00CE267C">
      <w:pPr>
        <w:pStyle w:val="BATOAEntry"/>
        <w:rPr>
          <w:noProof/>
        </w:rPr>
      </w:pPr>
      <w:r w:rsidRPr="00FD07C8">
        <w:rPr>
          <w:i/>
          <w:noProof/>
        </w:rPr>
        <w:t>Richter v. Fla. Power Corp</w:t>
      </w:r>
      <w:r w:rsidRPr="00FD07C8">
        <w:rPr>
          <w:noProof/>
        </w:rPr>
        <w:t>.,</w:t>
      </w:r>
      <w:r w:rsidRPr="00FD07C8">
        <w:rPr>
          <w:noProof/>
        </w:rPr>
        <w:br/>
        <w:t>366 So.2d 798 (Fla.App. 1979)</w:t>
      </w:r>
      <w:r w:rsidRPr="00FD07C8">
        <w:rPr>
          <w:noProof/>
        </w:rPr>
        <w:tab/>
      </w:r>
      <w:hyperlink w:anchor="_BA_Cite_95" w:tooltip="Long: Richter v. Fla. Power Corp.,  366 So.2d 798 (Fla.App. 1979)" w:history="1">
        <w:r w:rsidRPr="00FD07C8">
          <w:rPr>
            <w:noProof/>
          </w:rPr>
          <w:t>8</w:t>
        </w:r>
      </w:hyperlink>
    </w:p>
    <w:p w:rsidR="00541BAE" w:rsidRPr="00FD07C8" w:rsidRDefault="00541BAE" w:rsidP="00541BAE">
      <w:pPr>
        <w:pStyle w:val="BATOAEntry"/>
        <w:rPr>
          <w:noProof/>
        </w:rPr>
      </w:pPr>
      <w:r w:rsidRPr="00FD07C8">
        <w:rPr>
          <w:i/>
          <w:noProof/>
        </w:rPr>
        <w:t>Salt Lake Citizen’s Congress v. Mountain States Telephone &amp; Telegraph Company</w:t>
      </w:r>
      <w:r w:rsidRPr="00FD07C8">
        <w:rPr>
          <w:noProof/>
        </w:rPr>
        <w:t xml:space="preserve"> </w:t>
      </w:r>
      <w:r w:rsidRPr="00FD07C8">
        <w:rPr>
          <w:noProof/>
        </w:rPr>
        <w:br/>
      </w:r>
      <w:r>
        <w:t>846 P.2d 1245, 49 (Utah 1993)</w:t>
      </w:r>
      <w:r w:rsidRPr="00FD07C8">
        <w:rPr>
          <w:noProof/>
        </w:rPr>
        <w:tab/>
      </w:r>
      <w:hyperlink w:anchor="_BA_Cite_112" w:tooltip="Long: Salt Lake Citizen's Congress v. Mountain States Telephone &amp; Telegraph Company  (Salt Lake)" w:history="1">
        <w:r w:rsidRPr="00FD07C8">
          <w:rPr>
            <w:noProof/>
          </w:rPr>
          <w:t>13</w:t>
        </w:r>
      </w:hyperlink>
    </w:p>
    <w:p w:rsidR="00CE267C" w:rsidRPr="00FD07C8" w:rsidRDefault="00CE267C" w:rsidP="00CE267C">
      <w:pPr>
        <w:pStyle w:val="BATOAEntry"/>
        <w:rPr>
          <w:noProof/>
        </w:rPr>
      </w:pPr>
      <w:r w:rsidRPr="00FD07C8">
        <w:rPr>
          <w:rFonts w:ascii="Times" w:hAnsi="Times" w:cs="Times"/>
          <w:i/>
          <w:noProof/>
        </w:rPr>
        <w:t>S.C. Elec. and Gas Co. v. Pub. Serv. Comm’n</w:t>
      </w:r>
      <w:r w:rsidRPr="00FD07C8">
        <w:rPr>
          <w:rFonts w:ascii="Times" w:hAnsi="Times" w:cs="Times"/>
          <w:noProof/>
        </w:rPr>
        <w:t>,</w:t>
      </w:r>
      <w:r w:rsidRPr="00FD07C8">
        <w:rPr>
          <w:rFonts w:ascii="Times" w:hAnsi="Times" w:cs="Times"/>
          <w:noProof/>
        </w:rPr>
        <w:br/>
        <w:t>272 S.E.2d 793 (S.C., 1980)</w:t>
      </w:r>
      <w:r w:rsidRPr="00FD07C8">
        <w:rPr>
          <w:noProof/>
        </w:rPr>
        <w:tab/>
      </w:r>
      <w:hyperlink w:anchor="_BA_Cite_99" w:tooltip="Long: S.C. Elec. and Gas Co. v. Pub. Serv. Comm'n,  272 S.E.2d 793 (S.C., 1980)" w:history="1">
        <w:r w:rsidRPr="00FD07C8">
          <w:rPr>
            <w:noProof/>
          </w:rPr>
          <w:t>9</w:t>
        </w:r>
      </w:hyperlink>
      <w:r w:rsidRPr="00FD07C8">
        <w:rPr>
          <w:noProof/>
        </w:rPr>
        <w:t xml:space="preserve">, </w:t>
      </w:r>
      <w:hyperlink w:anchor="_BA_Cite_130" w:tooltip="Short: SC Elec. and Gas Co. v. Pub. Serv. Comm'n, 272 S.E.2d 793, 795 (S.C., 1980)" w:history="1">
        <w:r w:rsidRPr="00FD07C8">
          <w:rPr>
            <w:noProof/>
          </w:rPr>
          <w:t>23</w:t>
        </w:r>
      </w:hyperlink>
    </w:p>
    <w:p w:rsidR="00541BAE" w:rsidRPr="00FD07C8" w:rsidRDefault="00541BAE" w:rsidP="00541BAE">
      <w:pPr>
        <w:pStyle w:val="BATOAEntry"/>
        <w:rPr>
          <w:noProof/>
        </w:rPr>
      </w:pPr>
      <w:r w:rsidRPr="00FD07C8">
        <w:rPr>
          <w:rFonts w:ascii="Times" w:hAnsi="Times" w:cs="Times"/>
          <w:i/>
          <w:noProof/>
        </w:rPr>
        <w:t>Sorensen v. Western Hotels, Inc</w:t>
      </w:r>
      <w:r w:rsidRPr="00FD07C8">
        <w:rPr>
          <w:rFonts w:ascii="Times" w:hAnsi="Times" w:cs="Times"/>
          <w:noProof/>
        </w:rPr>
        <w:t xml:space="preserve">. </w:t>
      </w:r>
      <w:r w:rsidRPr="00FD07C8">
        <w:rPr>
          <w:rFonts w:ascii="Times" w:hAnsi="Times" w:cs="Times"/>
          <w:noProof/>
        </w:rPr>
        <w:br/>
        <w:t>55 Wash.2d 625 (Wash. 1960)</w:t>
      </w:r>
      <w:r w:rsidRPr="00FD07C8">
        <w:rPr>
          <w:noProof/>
        </w:rPr>
        <w:tab/>
      </w:r>
      <w:hyperlink w:anchor="_BA_Cite_107" w:tooltip="Long: Sorensen v. Western Hotels, Inc.  55 Wash.2d 625 (Wash. 1960)" w:history="1">
        <w:r w:rsidRPr="00FD07C8">
          <w:rPr>
            <w:noProof/>
          </w:rPr>
          <w:t>10</w:t>
        </w:r>
      </w:hyperlink>
    </w:p>
    <w:p w:rsidR="00541BAE" w:rsidRDefault="00541BAE" w:rsidP="00541BAE">
      <w:pPr>
        <w:pStyle w:val="BATOAEntry"/>
      </w:pPr>
      <w:proofErr w:type="spellStart"/>
      <w:proofErr w:type="gramStart"/>
      <w:r w:rsidRPr="00FD07C8">
        <w:rPr>
          <w:i/>
        </w:rPr>
        <w:t>Spintman</w:t>
      </w:r>
      <w:proofErr w:type="spellEnd"/>
      <w:r w:rsidRPr="00FD07C8">
        <w:rPr>
          <w:i/>
        </w:rPr>
        <w:t xml:space="preserve"> v. Chesapeake &amp; Potomac Tel.Co.</w:t>
      </w:r>
      <w:proofErr w:type="gramEnd"/>
      <w:r>
        <w:rPr>
          <w:i/>
        </w:rPr>
        <w:br/>
      </w:r>
      <w:r w:rsidRPr="00FD07C8">
        <w:t>225 A.2d 304, 308 (Md. 1969))</w:t>
      </w:r>
      <w:r>
        <w:tab/>
        <w:t>8</w:t>
      </w:r>
    </w:p>
    <w:p w:rsidR="00541BAE" w:rsidRPr="00FD07C8" w:rsidRDefault="00541BAE" w:rsidP="00541BAE">
      <w:pPr>
        <w:pStyle w:val="BATOAEntry"/>
        <w:rPr>
          <w:noProof/>
        </w:rPr>
      </w:pPr>
      <w:r w:rsidRPr="00FD07C8">
        <w:rPr>
          <w:rFonts w:ascii="Times" w:hAnsi="Times" w:cs="Times"/>
          <w:i/>
          <w:noProof/>
        </w:rPr>
        <w:t>Turpin v. Okla. Corp. Comm’n</w:t>
      </w:r>
      <w:r w:rsidRPr="00FD07C8">
        <w:rPr>
          <w:rFonts w:ascii="Times" w:hAnsi="Times" w:cs="Times"/>
          <w:noProof/>
        </w:rPr>
        <w:t>,</w:t>
      </w:r>
      <w:r w:rsidRPr="00FD07C8">
        <w:rPr>
          <w:rFonts w:ascii="Times" w:hAnsi="Times" w:cs="Times"/>
          <w:noProof/>
        </w:rPr>
        <w:br/>
        <w:t>769 P.2d 1309 (Okla. 1988)</w:t>
      </w:r>
      <w:r w:rsidRPr="00FD07C8">
        <w:rPr>
          <w:noProof/>
        </w:rPr>
        <w:tab/>
      </w:r>
      <w:hyperlink w:anchor="_BA_Cite_117" w:tooltip="Long: Turpin v. Okla. Corp. Comm'n,  769 P.2d 1309 (Okla. 1988)" w:history="1">
        <w:r w:rsidRPr="00FD07C8">
          <w:rPr>
            <w:noProof/>
          </w:rPr>
          <w:t>17</w:t>
        </w:r>
      </w:hyperlink>
    </w:p>
    <w:p w:rsidR="00CE267C" w:rsidRPr="00FD07C8" w:rsidRDefault="00541BAE" w:rsidP="00FD07C8">
      <w:pPr>
        <w:pStyle w:val="BATOAEntry"/>
        <w:rPr>
          <w:noProof/>
        </w:rPr>
      </w:pPr>
      <w:proofErr w:type="gramStart"/>
      <w:r w:rsidRPr="00FD07C8">
        <w:rPr>
          <w:i/>
        </w:rPr>
        <w:lastRenderedPageBreak/>
        <w:t>Utah Dep’t of Bus.</w:t>
      </w:r>
      <w:proofErr w:type="gramEnd"/>
      <w:r w:rsidRPr="00FD07C8">
        <w:rPr>
          <w:i/>
        </w:rPr>
        <w:t xml:space="preserve"> </w:t>
      </w:r>
      <w:proofErr w:type="gramStart"/>
      <w:r w:rsidRPr="00FD07C8">
        <w:rPr>
          <w:i/>
        </w:rPr>
        <w:t>Reg. v. Pub.</w:t>
      </w:r>
      <w:proofErr w:type="gramEnd"/>
      <w:r w:rsidRPr="00FD07C8">
        <w:rPr>
          <w:i/>
        </w:rPr>
        <w:t xml:space="preserve"> Serv. Comm’n</w:t>
      </w:r>
      <w:r w:rsidRPr="00FD07C8">
        <w:t xml:space="preserve">, </w:t>
      </w:r>
      <w:r>
        <w:br/>
      </w:r>
      <w:r w:rsidRPr="00FD07C8">
        <w:t>720 P.2d 420 (Utah 1986))</w:t>
      </w:r>
      <w:r>
        <w:tab/>
        <w:t>14</w:t>
      </w:r>
    </w:p>
    <w:p w:rsidR="00FD07C8" w:rsidRPr="00FD07C8" w:rsidRDefault="00CE267C" w:rsidP="00FD07C8">
      <w:pPr>
        <w:pStyle w:val="BATOAHeading"/>
        <w:rPr>
          <w:noProof/>
        </w:rPr>
      </w:pPr>
      <w:bookmarkStart w:id="3" w:name="_BA95XTOA95OtherCases"/>
      <w:bookmarkEnd w:id="2"/>
      <w:r>
        <w:rPr>
          <w:noProof/>
        </w:rPr>
        <w:t>Washington Utilities &amp; Transportation Commission Orders</w:t>
      </w:r>
    </w:p>
    <w:p w:rsidR="00FD07C8" w:rsidRPr="00FD07C8" w:rsidRDefault="00FD07C8" w:rsidP="00FD07C8">
      <w:pPr>
        <w:pStyle w:val="BATOAEntry"/>
        <w:rPr>
          <w:noProof/>
        </w:rPr>
      </w:pPr>
      <w:r w:rsidRPr="00FD07C8">
        <w:rPr>
          <w:rFonts w:ascii="Times" w:hAnsi="Times" w:cs="Times"/>
          <w:i/>
          <w:noProof/>
        </w:rPr>
        <w:t>AT&amp;T Comm. of the Pac. NW, Inc. v. Verizon NW, Inc.</w:t>
      </w:r>
      <w:r w:rsidRPr="00FD07C8">
        <w:rPr>
          <w:rFonts w:ascii="Times" w:hAnsi="Times" w:cs="Times"/>
          <w:noProof/>
        </w:rPr>
        <w:t>,</w:t>
      </w:r>
      <w:r w:rsidRPr="00FD07C8">
        <w:rPr>
          <w:rFonts w:ascii="Times" w:hAnsi="Times" w:cs="Times"/>
          <w:noProof/>
        </w:rPr>
        <w:br/>
        <w:t>Docket No. UT-020406, 7th Supp. Order (Apr. 8, 2003)</w:t>
      </w:r>
      <w:r w:rsidRPr="00FD07C8">
        <w:rPr>
          <w:noProof/>
        </w:rPr>
        <w:tab/>
      </w:r>
      <w:hyperlink w:anchor="_BA_Cite_134" w:tooltip="Long: AT&amp;T Comm. of the Pac. NW, Inc. v. Verizon NW, Inc.,  Docket No. UT-020406, 7th Supp. Order ¶ 62 (Apr. 8, 2003)" w:history="1">
        <w:r w:rsidRPr="00FD07C8">
          <w:rPr>
            <w:noProof/>
          </w:rPr>
          <w:t>24</w:t>
        </w:r>
      </w:hyperlink>
    </w:p>
    <w:p w:rsidR="00FD07C8" w:rsidRPr="00FD07C8" w:rsidRDefault="00DF3FD7" w:rsidP="00FD07C8">
      <w:pPr>
        <w:pStyle w:val="BATOAEntry"/>
        <w:rPr>
          <w:noProof/>
        </w:rPr>
      </w:pPr>
      <w:r w:rsidRPr="00FD07C8">
        <w:rPr>
          <w:i/>
        </w:rPr>
        <w:t xml:space="preserve">Wash. State Attorney Gen.’s </w:t>
      </w:r>
      <w:r w:rsidR="00FD07C8" w:rsidRPr="00FD07C8">
        <w:rPr>
          <w:i/>
          <w:noProof/>
        </w:rPr>
        <w:t>Office and the Indus. Cust. of NW Util. v. PacifiCorp</w:t>
      </w:r>
      <w:r w:rsidR="00FD07C8" w:rsidRPr="00FD07C8">
        <w:rPr>
          <w:noProof/>
        </w:rPr>
        <w:t>,</w:t>
      </w:r>
      <w:r w:rsidR="00FD07C8" w:rsidRPr="00FD07C8">
        <w:rPr>
          <w:noProof/>
        </w:rPr>
        <w:br/>
        <w:t>Docket No. UE-110070, Order 1, Administrative Law Judge’s Initial Order Dismissing Complaint (Apr. 27, 2011). On May 26, 2011</w:t>
      </w:r>
      <w:r w:rsidR="00FD07C8" w:rsidRPr="00FD07C8">
        <w:rPr>
          <w:noProof/>
        </w:rPr>
        <w:tab/>
      </w:r>
      <w:hyperlink w:anchor="_BA_Cite_109" w:tooltip="Long: Office and the Indus. Cust. of NW Util. v. PacifiCorp,  Docket No. UE-110070, Order 1, Administrative Law Judge's Initial Order Dismissing Complaint ¶ 54 (Apr. 27, 2011). On May 26, 2011" w:history="1">
        <w:r w:rsidR="00FD07C8" w:rsidRPr="00FD07C8">
          <w:rPr>
            <w:noProof/>
          </w:rPr>
          <w:t>12</w:t>
        </w:r>
      </w:hyperlink>
    </w:p>
    <w:p w:rsidR="00FD07C8" w:rsidRPr="00FD07C8" w:rsidRDefault="00FD07C8" w:rsidP="00FD07C8">
      <w:pPr>
        <w:pStyle w:val="BATOAEntry"/>
        <w:rPr>
          <w:noProof/>
        </w:rPr>
      </w:pPr>
      <w:r w:rsidRPr="00FD07C8">
        <w:rPr>
          <w:rFonts w:ascii="Times" w:hAnsi="Times" w:cs="Times"/>
          <w:i/>
          <w:noProof/>
        </w:rPr>
        <w:t>Re Application of Puget Sound Energy for Authorization Regarding the Deferral of the Net Impact of the Conservation Incentive Credit Program</w:t>
      </w:r>
      <w:r w:rsidRPr="00FD07C8">
        <w:rPr>
          <w:rFonts w:ascii="Times" w:hAnsi="Times" w:cs="Times"/>
          <w:noProof/>
        </w:rPr>
        <w:t>,</w:t>
      </w:r>
      <w:r w:rsidRPr="00FD07C8">
        <w:rPr>
          <w:rFonts w:ascii="Times" w:hAnsi="Times" w:cs="Times"/>
          <w:noProof/>
        </w:rPr>
        <w:br/>
        <w:t>Docket No. UE-010410, Order Denying Petition to Amend Accounting Order (Nov. 9, 2001)</w:t>
      </w:r>
      <w:r w:rsidRPr="00FD07C8">
        <w:rPr>
          <w:noProof/>
        </w:rPr>
        <w:tab/>
      </w:r>
      <w:hyperlink w:anchor="_BA_Cite_103" w:tooltip="Long: Re Application of Puget Sound Energy for Authorization Regarding the Deferral of the Net Impact of the Conservation Incentive Credit Program,  Docket No. UE-010410, Order Denying Petition to Amend Accounting Order (Nov. 9, 2001)" w:history="1">
        <w:r w:rsidRPr="00FD07C8">
          <w:rPr>
            <w:noProof/>
          </w:rPr>
          <w:t>10</w:t>
        </w:r>
      </w:hyperlink>
    </w:p>
    <w:p w:rsidR="00FD07C8" w:rsidRPr="00FD07C8" w:rsidRDefault="00FD07C8" w:rsidP="00FD07C8">
      <w:pPr>
        <w:pStyle w:val="BATOAEntry"/>
        <w:rPr>
          <w:noProof/>
        </w:rPr>
      </w:pPr>
      <w:r w:rsidRPr="00FD07C8">
        <w:rPr>
          <w:rFonts w:ascii="Times" w:hAnsi="Times" w:cs="Times"/>
          <w:i/>
          <w:noProof/>
        </w:rPr>
        <w:t>Re Petition of PacifiCorp for an Accounting Order Authorizing Deferral of Excess Net Power Costs</w:t>
      </w:r>
      <w:r w:rsidRPr="00FD07C8">
        <w:rPr>
          <w:rFonts w:ascii="Times" w:hAnsi="Times" w:cs="Times"/>
          <w:noProof/>
        </w:rPr>
        <w:t>,</w:t>
      </w:r>
      <w:r w:rsidR="00CE267C">
        <w:rPr>
          <w:rFonts w:ascii="Times" w:hAnsi="Times" w:cs="Times"/>
          <w:noProof/>
        </w:rPr>
        <w:t xml:space="preserve"> </w:t>
      </w:r>
      <w:r w:rsidR="00CE267C">
        <w:rPr>
          <w:rFonts w:ascii="Times" w:hAnsi="Times" w:cs="Times"/>
          <w:noProof/>
        </w:rPr>
        <w:br/>
      </w:r>
      <w:r w:rsidRPr="00FD07C8">
        <w:rPr>
          <w:rFonts w:ascii="Times" w:hAnsi="Times" w:cs="Times"/>
          <w:noProof/>
        </w:rPr>
        <w:t>Docket No. UE-020417, 3</w:t>
      </w:r>
      <w:r w:rsidRPr="00FD07C8">
        <w:rPr>
          <w:rFonts w:ascii="Times" w:hAnsi="Times" w:cs="Times"/>
          <w:noProof/>
          <w:vertAlign w:val="superscript"/>
        </w:rPr>
        <w:t>rd</w:t>
      </w:r>
      <w:r w:rsidRPr="00FD07C8">
        <w:rPr>
          <w:rFonts w:ascii="Times" w:hAnsi="Times" w:cs="Times"/>
          <w:noProof/>
        </w:rPr>
        <w:t xml:space="preserve"> Supp. Order (Sept. 27, 2002)</w:t>
      </w:r>
      <w:r w:rsidRPr="00FD07C8">
        <w:rPr>
          <w:noProof/>
        </w:rPr>
        <w:tab/>
      </w:r>
      <w:hyperlink w:anchor="_BA_Cite_120" w:tooltip="Long: Re Petition of PacifiCorp for an Accounting Order Authorizing Deferral of Excess Net Power Costs,  Docket No. UE-020417, 3rd Supp. Order ¶ 24 (Sept. 27, 2002)" w:history="1">
        <w:r w:rsidRPr="00FD07C8">
          <w:rPr>
            <w:noProof/>
          </w:rPr>
          <w:t>19</w:t>
        </w:r>
      </w:hyperlink>
    </w:p>
    <w:p w:rsidR="00FD07C8" w:rsidRPr="00FD07C8" w:rsidRDefault="00FD07C8" w:rsidP="00FD07C8">
      <w:pPr>
        <w:pStyle w:val="BATOAEntry"/>
        <w:rPr>
          <w:noProof/>
        </w:rPr>
      </w:pPr>
      <w:r w:rsidRPr="00FD07C8">
        <w:rPr>
          <w:rFonts w:ascii="Times" w:hAnsi="Times" w:cs="Times"/>
          <w:i/>
          <w:noProof/>
        </w:rPr>
        <w:t>Re. Petition of PacifiCorp for an Accounting Order Authorizing Deferral of Excess Net Power Costs</w:t>
      </w:r>
      <w:r w:rsidRPr="00FD07C8">
        <w:rPr>
          <w:rFonts w:ascii="Times" w:hAnsi="Times" w:cs="Times"/>
          <w:noProof/>
        </w:rPr>
        <w:t>,</w:t>
      </w:r>
      <w:r w:rsidRPr="00FD07C8">
        <w:rPr>
          <w:rFonts w:ascii="Times" w:hAnsi="Times" w:cs="Times"/>
          <w:noProof/>
        </w:rPr>
        <w:br/>
        <w:t>Docket No. UE-020417, 6</w:t>
      </w:r>
      <w:r w:rsidRPr="00FD07C8">
        <w:rPr>
          <w:rFonts w:ascii="Times" w:hAnsi="Times" w:cs="Times"/>
          <w:noProof/>
          <w:vertAlign w:val="superscript"/>
        </w:rPr>
        <w:t>th</w:t>
      </w:r>
      <w:r w:rsidRPr="00FD07C8">
        <w:rPr>
          <w:rFonts w:ascii="Times" w:hAnsi="Times" w:cs="Times"/>
          <w:noProof/>
        </w:rPr>
        <w:t xml:space="preserve"> Supp. Order 32 (July 15, 2003)</w:t>
      </w:r>
      <w:r w:rsidRPr="00FD07C8">
        <w:rPr>
          <w:noProof/>
        </w:rPr>
        <w:tab/>
      </w:r>
      <w:r w:rsidR="00CE267C">
        <w:rPr>
          <w:noProof/>
        </w:rPr>
        <w:t xml:space="preserve">16, </w:t>
      </w:r>
      <w:hyperlink w:anchor="_BA_Cite_140" w:tooltip="Long: Re. Petition of PacifiCorp for an Accounting Order Authorizing Deferral of Excess Net Power Costs,  Docket No. UE-020417, 6th Supp. Order ¶ 32 (July 15, 2003)" w:history="1">
        <w:r w:rsidRPr="00FD07C8">
          <w:rPr>
            <w:noProof/>
          </w:rPr>
          <w:t>28</w:t>
        </w:r>
      </w:hyperlink>
    </w:p>
    <w:p w:rsidR="00D17B7E" w:rsidRDefault="00D17B7E" w:rsidP="00FD07C8">
      <w:pPr>
        <w:pStyle w:val="BATOAEntry"/>
      </w:pPr>
      <w:proofErr w:type="gramStart"/>
      <w:r w:rsidRPr="00FD07C8">
        <w:rPr>
          <w:i/>
        </w:rPr>
        <w:t>Wash. Utils.</w:t>
      </w:r>
      <w:proofErr w:type="gramEnd"/>
      <w:r w:rsidRPr="00FD07C8">
        <w:rPr>
          <w:i/>
        </w:rPr>
        <w:t xml:space="preserve"> &amp; Transp. Comm’n v. Avista Corp</w:t>
      </w:r>
      <w:proofErr w:type="gramStart"/>
      <w:r w:rsidRPr="00FD07C8">
        <w:rPr>
          <w:i/>
        </w:rPr>
        <w:t>.</w:t>
      </w:r>
      <w:proofErr w:type="gramEnd"/>
      <w:r>
        <w:rPr>
          <w:i/>
        </w:rPr>
        <w:br w:type="textWrapping" w:clear="all"/>
      </w:r>
      <w:r w:rsidRPr="00FD07C8">
        <w:t>Dockets No. UE-991606 and UG-991607 (Sept. 29, 2000).</w:t>
      </w:r>
      <w:r>
        <w:tab/>
        <w:t>6</w:t>
      </w:r>
    </w:p>
    <w:p w:rsidR="008651F6" w:rsidRDefault="008651F6" w:rsidP="00FD07C8">
      <w:pPr>
        <w:pStyle w:val="BATOAEntry"/>
      </w:pPr>
      <w:proofErr w:type="gramStart"/>
      <w:r w:rsidRPr="00FD07C8">
        <w:rPr>
          <w:i/>
        </w:rPr>
        <w:t>Wash. Utils.</w:t>
      </w:r>
      <w:proofErr w:type="gramEnd"/>
      <w:r w:rsidRPr="00FD07C8">
        <w:rPr>
          <w:i/>
        </w:rPr>
        <w:t xml:space="preserve"> &amp; Transp. Comm’n v. Avista Corp.</w:t>
      </w:r>
      <w:r w:rsidRPr="00FD07C8">
        <w:t xml:space="preserve">, </w:t>
      </w:r>
      <w:r>
        <w:br/>
      </w:r>
      <w:r w:rsidRPr="00FD07C8">
        <w:t xml:space="preserve">Dockets UE-090134 </w:t>
      </w:r>
      <w:r w:rsidR="00A36793" w:rsidRPr="00FD07C8">
        <w:fldChar w:fldCharType="begin"/>
      </w:r>
      <w:r w:rsidRPr="00FD07C8">
        <w:instrText xml:space="preserve"> ADDIN BA \xc &lt;@reg&gt; \xl 41 \s NSKEHB000010 \l "</w:instrText>
      </w:r>
      <w:r w:rsidRPr="00FD07C8">
        <w:rPr>
          <w:i/>
        </w:rPr>
        <w:instrText>et al.</w:instrText>
      </w:r>
      <w:r w:rsidRPr="00FD07C8">
        <w:instrText xml:space="preserve">, Order 10 ¶¶ 41-44 (Dec. 22, 2009)" </w:instrText>
      </w:r>
      <w:r w:rsidR="00A36793" w:rsidRPr="00FD07C8">
        <w:fldChar w:fldCharType="end"/>
      </w:r>
      <w:r w:rsidRPr="00FD07C8">
        <w:rPr>
          <w:i/>
        </w:rPr>
        <w:t>et al.</w:t>
      </w:r>
      <w:r w:rsidRPr="00FD07C8">
        <w:t>, Order 10 (Dec. 22, 2009)</w:t>
      </w:r>
      <w:r w:rsidR="007B3D16">
        <w:tab/>
        <w:t>3</w:t>
      </w:r>
      <w:r w:rsidR="009602ED">
        <w:t>, 4</w:t>
      </w:r>
    </w:p>
    <w:p w:rsidR="00FD07C8" w:rsidRPr="00FD07C8" w:rsidRDefault="00FD07C8" w:rsidP="00FD07C8">
      <w:pPr>
        <w:pStyle w:val="BATOAEntry"/>
        <w:rPr>
          <w:noProof/>
        </w:rPr>
      </w:pPr>
      <w:r w:rsidRPr="00FD07C8">
        <w:rPr>
          <w:i/>
          <w:noProof/>
        </w:rPr>
        <w:t>Wash. Utils. &amp; Transp. Comm’n v. Olympic Pipe Line Co.</w:t>
      </w:r>
      <w:r w:rsidRPr="00FD07C8">
        <w:rPr>
          <w:noProof/>
        </w:rPr>
        <w:t>,</w:t>
      </w:r>
      <w:r w:rsidRPr="00FD07C8">
        <w:rPr>
          <w:noProof/>
        </w:rPr>
        <w:br/>
        <w:t>Docket No. TO-011472, 20</w:t>
      </w:r>
      <w:r w:rsidRPr="00FD07C8">
        <w:rPr>
          <w:noProof/>
          <w:vertAlign w:val="superscript"/>
        </w:rPr>
        <w:t>th</w:t>
      </w:r>
      <w:r w:rsidRPr="00FD07C8">
        <w:rPr>
          <w:noProof/>
        </w:rPr>
        <w:t xml:space="preserve"> Supp. Order (Sept. 27, 2002)</w:t>
      </w:r>
      <w:r w:rsidRPr="00FD07C8">
        <w:rPr>
          <w:noProof/>
        </w:rPr>
        <w:tab/>
      </w:r>
      <w:hyperlink w:anchor="_BA_Cite_94" w:tooltip="Long: Wash. Utils. &amp; Transp. Comm'n v. Olympic Pipe Line Co.,  Docket No. TO-011472, 20th Supp. Order ¶ 119 (Sept. 27, 2002)" w:history="1">
        <w:r w:rsidRPr="00FD07C8">
          <w:rPr>
            <w:noProof/>
          </w:rPr>
          <w:t>8</w:t>
        </w:r>
      </w:hyperlink>
      <w:r w:rsidR="00541BAE">
        <w:rPr>
          <w:noProof/>
        </w:rPr>
        <w:t>, 21</w:t>
      </w:r>
    </w:p>
    <w:p w:rsidR="00FD07C8" w:rsidRPr="00FD07C8" w:rsidRDefault="00FD07C8" w:rsidP="00FD07C8">
      <w:pPr>
        <w:pStyle w:val="BATOAEntry"/>
        <w:rPr>
          <w:noProof/>
        </w:rPr>
      </w:pPr>
      <w:r w:rsidRPr="00FD07C8">
        <w:rPr>
          <w:rFonts w:ascii="Times" w:hAnsi="Times" w:cs="Times"/>
          <w:i/>
          <w:noProof/>
        </w:rPr>
        <w:t>Wash. Utils. &amp; Transp. Comm’n v. PacifiCorp</w:t>
      </w:r>
      <w:r w:rsidRPr="00FD07C8">
        <w:rPr>
          <w:rFonts w:ascii="Times" w:hAnsi="Times" w:cs="Times"/>
          <w:noProof/>
        </w:rPr>
        <w:t>,</w:t>
      </w:r>
      <w:r w:rsidRPr="00FD07C8">
        <w:rPr>
          <w:rFonts w:ascii="Times" w:hAnsi="Times" w:cs="Times"/>
          <w:noProof/>
        </w:rPr>
        <w:br/>
        <w:t>Docket No. UE-080220, Order 05 (Oct. 8, 2008)</w:t>
      </w:r>
      <w:r w:rsidRPr="00FD07C8">
        <w:rPr>
          <w:noProof/>
        </w:rPr>
        <w:tab/>
      </w:r>
      <w:hyperlink w:anchor="_BA_Cite_89" w:tooltip="Long: Wash. Utils. &amp; Transp. Comm'n v. PacifiCorp,  Docket No. UE-080220, Order 05 ¶ 11 (Oct. 8, 2008)" w:history="1">
        <w:r w:rsidRPr="00FD07C8">
          <w:rPr>
            <w:noProof/>
          </w:rPr>
          <w:t>7</w:t>
        </w:r>
      </w:hyperlink>
    </w:p>
    <w:p w:rsidR="00FD07C8" w:rsidRPr="00FD07C8" w:rsidRDefault="00FD07C8" w:rsidP="00FD07C8">
      <w:pPr>
        <w:pStyle w:val="BATOAEntry"/>
        <w:rPr>
          <w:noProof/>
        </w:rPr>
      </w:pPr>
      <w:r w:rsidRPr="00FD07C8">
        <w:rPr>
          <w:rFonts w:ascii="Times" w:hAnsi="Times" w:cs="Times"/>
          <w:i/>
          <w:noProof/>
        </w:rPr>
        <w:t>Wash. Utils. &amp; Transp. Comm’n v. PacifiCorp</w:t>
      </w:r>
      <w:r w:rsidRPr="00FD07C8">
        <w:rPr>
          <w:rFonts w:ascii="Times" w:hAnsi="Times" w:cs="Times"/>
          <w:noProof/>
        </w:rPr>
        <w:t>,</w:t>
      </w:r>
      <w:r w:rsidRPr="00FD07C8">
        <w:rPr>
          <w:rFonts w:ascii="Times" w:hAnsi="Times" w:cs="Times"/>
          <w:noProof/>
        </w:rPr>
        <w:br/>
        <w:t>Docket No. UE-090205, Order 09 (Dec. 16, 2009)</w:t>
      </w:r>
      <w:r w:rsidRPr="00FD07C8">
        <w:rPr>
          <w:noProof/>
        </w:rPr>
        <w:tab/>
      </w:r>
      <w:hyperlink w:anchor="_BA_Cite_90" w:tooltip="Long: Wash. Utils. &amp; Transp. Comm'n v. PacifiCorp,  Docket No. UE-090205, Order 09 ¶ 16 (Dec. 16, 2009)" w:history="1">
        <w:r w:rsidRPr="00FD07C8">
          <w:rPr>
            <w:noProof/>
          </w:rPr>
          <w:t>7</w:t>
        </w:r>
      </w:hyperlink>
    </w:p>
    <w:p w:rsidR="00FD07C8" w:rsidRPr="00FD07C8" w:rsidRDefault="00FD07C8" w:rsidP="00FD07C8">
      <w:pPr>
        <w:pStyle w:val="BATOAEntry"/>
        <w:rPr>
          <w:noProof/>
        </w:rPr>
      </w:pPr>
      <w:r w:rsidRPr="00FD07C8">
        <w:rPr>
          <w:rFonts w:ascii="Times" w:hAnsi="Times" w:cs="Times"/>
          <w:i/>
          <w:noProof/>
        </w:rPr>
        <w:t>Wash. Utils. &amp; Transp. Comm’n v. PacifiCorp</w:t>
      </w:r>
      <w:r w:rsidRPr="00FD07C8">
        <w:rPr>
          <w:rFonts w:ascii="Times" w:hAnsi="Times" w:cs="Times"/>
          <w:noProof/>
        </w:rPr>
        <w:t>,</w:t>
      </w:r>
      <w:r w:rsidRPr="00FD07C8">
        <w:rPr>
          <w:rFonts w:ascii="Times" w:hAnsi="Times" w:cs="Times"/>
          <w:noProof/>
        </w:rPr>
        <w:br/>
        <w:t>Docket No. UE-100749, Order 06 (Mar. 25, 2011)</w:t>
      </w:r>
      <w:r w:rsidRPr="00FD07C8">
        <w:rPr>
          <w:noProof/>
        </w:rPr>
        <w:tab/>
      </w:r>
      <w:r w:rsidR="00541BAE">
        <w:rPr>
          <w:noProof/>
        </w:rPr>
        <w:t>passim</w:t>
      </w:r>
    </w:p>
    <w:p w:rsidR="00AE7177" w:rsidRPr="00FD07C8" w:rsidRDefault="00AE7177" w:rsidP="00AE7177">
      <w:pPr>
        <w:pStyle w:val="BATOAEntry"/>
        <w:rPr>
          <w:noProof/>
        </w:rPr>
      </w:pPr>
      <w:r w:rsidRPr="00FD07C8">
        <w:rPr>
          <w:rFonts w:ascii="Times" w:hAnsi="Times" w:cs="Times"/>
          <w:i/>
          <w:noProof/>
        </w:rPr>
        <w:t>Wash. Utils. &amp; Transp. Comm’n v. Puget Sound Power &amp; Light Co.</w:t>
      </w:r>
      <w:r w:rsidRPr="00FD07C8">
        <w:rPr>
          <w:rFonts w:ascii="Times" w:hAnsi="Times" w:cs="Times"/>
          <w:noProof/>
        </w:rPr>
        <w:t>,</w:t>
      </w:r>
      <w:r w:rsidRPr="00FD07C8">
        <w:rPr>
          <w:rFonts w:ascii="Times" w:hAnsi="Times" w:cs="Times"/>
          <w:noProof/>
        </w:rPr>
        <w:br/>
        <w:t xml:space="preserve">Cause U-82-38 </w:t>
      </w:r>
      <w:r>
        <w:rPr>
          <w:rFonts w:ascii="Times" w:hAnsi="Times" w:cs="Times"/>
          <w:noProof/>
        </w:rPr>
        <w:t>3</w:t>
      </w:r>
      <w:r w:rsidRPr="00541BAE">
        <w:rPr>
          <w:rFonts w:ascii="Times" w:hAnsi="Times" w:cs="Times"/>
          <w:noProof/>
          <w:vertAlign w:val="superscript"/>
        </w:rPr>
        <w:t>rd</w:t>
      </w:r>
      <w:r>
        <w:rPr>
          <w:rFonts w:ascii="Times" w:hAnsi="Times" w:cs="Times"/>
          <w:noProof/>
        </w:rPr>
        <w:t xml:space="preserve"> Supp. Order </w:t>
      </w:r>
      <w:r w:rsidRPr="00FD07C8">
        <w:rPr>
          <w:rFonts w:ascii="Times" w:hAnsi="Times" w:cs="Times"/>
          <w:noProof/>
        </w:rPr>
        <w:t>(July 22, 1983)</w:t>
      </w:r>
      <w:r w:rsidRPr="00FD07C8">
        <w:rPr>
          <w:noProof/>
        </w:rPr>
        <w:tab/>
      </w:r>
      <w:hyperlink w:anchor="_BA_Cite_127" w:tooltip="Long: Wash. Utils. &amp; Transp. Comm'n v. Puget Sound Power &amp; Light Co.,  Cause U-82-38 (July 22, 1983)" w:history="1">
        <w:r w:rsidRPr="00FD07C8">
          <w:rPr>
            <w:noProof/>
          </w:rPr>
          <w:t>22</w:t>
        </w:r>
      </w:hyperlink>
    </w:p>
    <w:p w:rsidR="00AE7177" w:rsidRPr="00FD07C8" w:rsidRDefault="00AE7177" w:rsidP="00AE7177">
      <w:pPr>
        <w:pStyle w:val="BATOAEntry"/>
        <w:rPr>
          <w:noProof/>
        </w:rPr>
      </w:pPr>
      <w:r w:rsidRPr="00FD07C8">
        <w:rPr>
          <w:rFonts w:ascii="Times" w:hAnsi="Times" w:cs="Times"/>
          <w:i/>
          <w:noProof/>
        </w:rPr>
        <w:t>Wash. Utils. &amp; Transp. Comm’n v. Puget Sound Power &amp; Light Co.</w:t>
      </w:r>
      <w:r w:rsidRPr="00FD07C8">
        <w:rPr>
          <w:rFonts w:ascii="Times" w:hAnsi="Times" w:cs="Times"/>
          <w:noProof/>
        </w:rPr>
        <w:t>,</w:t>
      </w:r>
      <w:r w:rsidRPr="00FD07C8">
        <w:rPr>
          <w:rFonts w:ascii="Times" w:hAnsi="Times" w:cs="Times"/>
          <w:noProof/>
        </w:rPr>
        <w:br/>
        <w:t>Docket U-81-41, 6</w:t>
      </w:r>
      <w:r w:rsidRPr="00FD07C8">
        <w:rPr>
          <w:rFonts w:ascii="Times" w:hAnsi="Times" w:cs="Times"/>
          <w:noProof/>
          <w:vertAlign w:val="superscript"/>
        </w:rPr>
        <w:t>th</w:t>
      </w:r>
      <w:r w:rsidRPr="00FD07C8">
        <w:rPr>
          <w:rFonts w:ascii="Times" w:hAnsi="Times" w:cs="Times"/>
          <w:noProof/>
        </w:rPr>
        <w:t xml:space="preserve"> Supp. Order (Dec. 19, 1988)</w:t>
      </w:r>
      <w:r w:rsidRPr="00FD07C8">
        <w:rPr>
          <w:noProof/>
        </w:rPr>
        <w:tab/>
      </w:r>
      <w:hyperlink w:anchor="_BA_Cite_115" w:tooltip="Long: Wash. Utils. &amp; Transp. Comm'n v. Puget Sound Power &amp; Light Co.,  Docket U-81-41, 6th Supp. Order (Dec. 19, 1988)" w:history="1">
        <w:r w:rsidRPr="00FD07C8">
          <w:rPr>
            <w:noProof/>
          </w:rPr>
          <w:t>16</w:t>
        </w:r>
      </w:hyperlink>
      <w:r w:rsidRPr="00FD07C8">
        <w:rPr>
          <w:noProof/>
        </w:rPr>
        <w:t xml:space="preserve">, </w:t>
      </w:r>
      <w:hyperlink w:anchor="_BA_Cite_125" w:tooltip="Short: Wash. Utils. &amp; Transp. Comm'n v. Puget Sound Power &amp; Light Co., Docket U-81-41, 6th Supp. Order (Dec. 19, 1988)" w:history="1">
        <w:r w:rsidRPr="00FD07C8">
          <w:rPr>
            <w:noProof/>
          </w:rPr>
          <w:t>21</w:t>
        </w:r>
      </w:hyperlink>
    </w:p>
    <w:p w:rsidR="00AE7177" w:rsidRPr="00FD07C8" w:rsidRDefault="00AE7177" w:rsidP="00AE7177">
      <w:pPr>
        <w:pStyle w:val="BATOAEntry"/>
        <w:rPr>
          <w:noProof/>
        </w:rPr>
      </w:pPr>
      <w:r w:rsidRPr="00FD07C8">
        <w:rPr>
          <w:rFonts w:ascii="Times" w:hAnsi="Times" w:cs="Times"/>
          <w:i/>
          <w:noProof/>
        </w:rPr>
        <w:lastRenderedPageBreak/>
        <w:t>Wash. Utils. &amp; Transp. Comm’n v. Puget Sound Energy, Inc.</w:t>
      </w:r>
      <w:r w:rsidRPr="00FD07C8">
        <w:rPr>
          <w:rFonts w:ascii="Times" w:hAnsi="Times" w:cs="Times"/>
          <w:noProof/>
        </w:rPr>
        <w:t>,</w:t>
      </w:r>
      <w:r w:rsidRPr="00FD07C8">
        <w:rPr>
          <w:rFonts w:ascii="Times" w:hAnsi="Times" w:cs="Times"/>
          <w:noProof/>
        </w:rPr>
        <w:br/>
        <w:t>Docket No. UE-050870, Order 04 (Oct. 20, 2005)</w:t>
      </w:r>
      <w:r w:rsidRPr="00FD07C8">
        <w:rPr>
          <w:noProof/>
        </w:rPr>
        <w:tab/>
      </w:r>
      <w:hyperlink w:anchor="_BA_Cite_88" w:tooltip="Long: Wash. Utils. &amp; Transp. Comm'n v. Puget Sound Energy, Inc.,  Docket No. UE-050870, Order 04 ¶ 13 (Oct. 20, 2005)" w:history="1">
        <w:r w:rsidRPr="00FD07C8">
          <w:rPr>
            <w:noProof/>
          </w:rPr>
          <w:t>7</w:t>
        </w:r>
      </w:hyperlink>
    </w:p>
    <w:p w:rsidR="00FD07C8" w:rsidRPr="00FD07C8" w:rsidRDefault="00FD07C8" w:rsidP="00FD07C8">
      <w:pPr>
        <w:pStyle w:val="BATOAEntry"/>
        <w:rPr>
          <w:noProof/>
        </w:rPr>
      </w:pPr>
      <w:r w:rsidRPr="00FD07C8">
        <w:rPr>
          <w:rFonts w:ascii="Times" w:hAnsi="Times" w:cs="Times"/>
          <w:i/>
          <w:noProof/>
        </w:rPr>
        <w:t>Wash. Utils. &amp; Transp. Comm’n v. Puget Sound Energy Co.</w:t>
      </w:r>
      <w:r w:rsidRPr="00FD07C8">
        <w:rPr>
          <w:rFonts w:ascii="Times" w:hAnsi="Times" w:cs="Times"/>
          <w:noProof/>
        </w:rPr>
        <w:t>,</w:t>
      </w:r>
      <w:r w:rsidRPr="00FD07C8">
        <w:rPr>
          <w:rFonts w:ascii="Times" w:hAnsi="Times" w:cs="Times"/>
          <w:noProof/>
        </w:rPr>
        <w:br/>
        <w:t>Docket UE-070725, Order 03 (May 20, 2010)</w:t>
      </w:r>
      <w:r w:rsidRPr="00FD07C8">
        <w:rPr>
          <w:noProof/>
        </w:rPr>
        <w:tab/>
      </w:r>
      <w:hyperlink w:anchor="_BA_Cite_81" w:tooltip="Long: Wash. Utils. &amp; Transp. Comm'n v. Puget Sound Energy Co.,  Docket UE-070725, Order 03 ¶ 47 (May 20, 2010)" w:history="1">
        <w:r w:rsidR="007B3D16">
          <w:rPr>
            <w:noProof/>
          </w:rPr>
          <w:t>7</w:t>
        </w:r>
      </w:hyperlink>
    </w:p>
    <w:p w:rsidR="00FD07C8" w:rsidRPr="00FD07C8" w:rsidRDefault="00FD07C8" w:rsidP="00FD07C8">
      <w:pPr>
        <w:pStyle w:val="BATOAEntry"/>
        <w:rPr>
          <w:noProof/>
        </w:rPr>
      </w:pPr>
      <w:r w:rsidRPr="00FD07C8">
        <w:rPr>
          <w:rFonts w:ascii="Times" w:hAnsi="Times" w:cs="Times"/>
          <w:i/>
          <w:noProof/>
        </w:rPr>
        <w:t>Wash. Utils. &amp; Transp. Comm’n v. Verizon NW, Inc</w:t>
      </w:r>
      <w:r w:rsidRPr="00FD07C8">
        <w:rPr>
          <w:rFonts w:ascii="Times" w:hAnsi="Times" w:cs="Times"/>
          <w:noProof/>
        </w:rPr>
        <w:t>.,</w:t>
      </w:r>
      <w:r w:rsidRPr="00FD07C8">
        <w:rPr>
          <w:rFonts w:ascii="Times" w:hAnsi="Times" w:cs="Times"/>
          <w:noProof/>
        </w:rPr>
        <w:br/>
        <w:t>Docket No. UT-040788 Order 11 (Oct. 15, 2004)</w:t>
      </w:r>
      <w:r w:rsidRPr="00FD07C8">
        <w:rPr>
          <w:noProof/>
        </w:rPr>
        <w:tab/>
      </w:r>
      <w:hyperlink w:anchor="_BA_Cite_83" w:tooltip="Long: Wash. Utils. &amp; Transp. Comm'n v. Verizon NW, Inc.,  Docket No. UT-040788 Order 11 ¶ 140 (Oct. 15, 2004)" w:history="1">
        <w:r w:rsidRPr="00FD07C8">
          <w:rPr>
            <w:noProof/>
          </w:rPr>
          <w:t>3</w:t>
        </w:r>
      </w:hyperlink>
      <w:r w:rsidRPr="00FD07C8">
        <w:rPr>
          <w:noProof/>
        </w:rPr>
        <w:t xml:space="preserve">, </w:t>
      </w:r>
      <w:hyperlink w:anchor="_BA_Cite_121" w:tooltip="Short: Wash. Utils. &amp; Transp. Comm'n v. Verizon NW, Inc., Docket No. UT-040788 Order 11 ¶ 140 (Oct. 15, 2004)" w:history="1">
        <w:r w:rsidRPr="00FD07C8">
          <w:rPr>
            <w:noProof/>
          </w:rPr>
          <w:t>19</w:t>
        </w:r>
      </w:hyperlink>
    </w:p>
    <w:p w:rsidR="00FD07C8" w:rsidRPr="00FD07C8" w:rsidRDefault="00FD07C8" w:rsidP="00FD07C8">
      <w:pPr>
        <w:pStyle w:val="BATOAEntry"/>
        <w:rPr>
          <w:noProof/>
        </w:rPr>
      </w:pPr>
      <w:r w:rsidRPr="00FD07C8">
        <w:rPr>
          <w:i/>
          <w:noProof/>
        </w:rPr>
        <w:t>Wash. Utils. &amp; Transp. Comm’n v. Wash. Natural Gas Co</w:t>
      </w:r>
      <w:r w:rsidRPr="00FD07C8">
        <w:rPr>
          <w:noProof/>
        </w:rPr>
        <w:t>.,</w:t>
      </w:r>
      <w:r w:rsidRPr="00FD07C8">
        <w:rPr>
          <w:noProof/>
        </w:rPr>
        <w:br/>
        <w:t>Cause No. U-77-47 (Nov. 22, 1977)</w:t>
      </w:r>
      <w:r w:rsidRPr="00FD07C8">
        <w:rPr>
          <w:noProof/>
        </w:rPr>
        <w:tab/>
      </w:r>
      <w:hyperlink w:anchor="_BA_Cite_133" w:tooltip="Long: Wash. Utils. &amp; Transp. Comm'n v. Wash. Natural Gas Co.,  Cause No. U-77-47 (Nov. 22, 1977)" w:history="1">
        <w:r w:rsidRPr="00FD07C8">
          <w:rPr>
            <w:noProof/>
          </w:rPr>
          <w:t>24</w:t>
        </w:r>
      </w:hyperlink>
    </w:p>
    <w:p w:rsidR="00CE267C" w:rsidRDefault="00CE267C" w:rsidP="00FD07C8">
      <w:pPr>
        <w:pStyle w:val="BATOAHeading"/>
        <w:rPr>
          <w:noProof/>
        </w:rPr>
      </w:pPr>
      <w:bookmarkStart w:id="4" w:name="_BA95XTOA95OtherStatutes"/>
      <w:bookmarkEnd w:id="3"/>
      <w:r>
        <w:rPr>
          <w:noProof/>
        </w:rPr>
        <w:t>Other Orders</w:t>
      </w:r>
    </w:p>
    <w:p w:rsidR="008651F6" w:rsidRDefault="008651F6" w:rsidP="00CE267C">
      <w:pPr>
        <w:pStyle w:val="BATOAEntry"/>
      </w:pPr>
      <w:r w:rsidRPr="00FD07C8">
        <w:rPr>
          <w:i/>
        </w:rPr>
        <w:t>Re Application of the Utah Indus. Energy Consumers for a Deferred Accounting Order Directing Rocky Mountain</w:t>
      </w:r>
      <w:r>
        <w:rPr>
          <w:i/>
        </w:rPr>
        <w:t xml:space="preserve"> </w:t>
      </w:r>
      <w:r w:rsidR="00A36793" w:rsidRPr="00FD07C8">
        <w:fldChar w:fldCharType="begin"/>
      </w:r>
      <w:r w:rsidRPr="00FD07C8">
        <w:instrText xml:space="preserve"> ADDIN BA \xc &lt;@regcs&gt; \xl 141 \s NSKEHB000048 \xhfl Rep \l "</w:instrText>
      </w:r>
      <w:r w:rsidRPr="00FD07C8">
        <w:rPr>
          <w:i/>
        </w:rPr>
        <w:instrText>Power to Defer Incremental REC Revenue for Later Ratemaking Treatment</w:instrText>
      </w:r>
      <w:r w:rsidRPr="00FD07C8">
        <w:instrText xml:space="preserve">,&lt;SoftRt&gt; Docket 11-035-46, Order Denying Motion to Dismiss at 8 (June 20, 2011)" </w:instrText>
      </w:r>
      <w:r w:rsidR="00A36793" w:rsidRPr="00FD07C8">
        <w:fldChar w:fldCharType="end"/>
      </w:r>
      <w:r w:rsidRPr="00FD07C8">
        <w:rPr>
          <w:i/>
        </w:rPr>
        <w:t>Power to Defer Incremental REC Revenue for Later Ratemaking Treatment</w:t>
      </w:r>
      <w:r w:rsidRPr="00FD07C8">
        <w:t>, Docket 11-035-46, Order Denying Motion to Dismiss at 8 (June 20, 2011)</w:t>
      </w:r>
      <w:r>
        <w:tab/>
        <w:t>25</w:t>
      </w:r>
    </w:p>
    <w:p w:rsidR="00CE267C" w:rsidRDefault="00A57BE7" w:rsidP="00CE267C">
      <w:pPr>
        <w:pStyle w:val="BATOAEntry"/>
        <w:rPr>
          <w:noProof/>
        </w:rPr>
      </w:pPr>
      <w:r w:rsidRPr="00FD07C8">
        <w:rPr>
          <w:i/>
        </w:rPr>
        <w:t>Re Application of the Utah Indus. Energy Consumers for a Deferred Accounting Order Directing Rocky Mountain</w:t>
      </w:r>
      <w:r>
        <w:rPr>
          <w:i/>
        </w:rPr>
        <w:t xml:space="preserve"> </w:t>
      </w:r>
      <w:r w:rsidR="00CE267C" w:rsidRPr="00FD07C8">
        <w:rPr>
          <w:rFonts w:ascii="Times" w:hAnsi="Times" w:cs="Times"/>
          <w:i/>
          <w:noProof/>
        </w:rPr>
        <w:t>Power to Defer Incremental REC Revenue for Later Ratemaking Treatment</w:t>
      </w:r>
      <w:r w:rsidR="00CE267C" w:rsidRPr="00FD07C8">
        <w:rPr>
          <w:rFonts w:ascii="Times" w:hAnsi="Times" w:cs="Times"/>
          <w:noProof/>
        </w:rPr>
        <w:t>,</w:t>
      </w:r>
      <w:r w:rsidR="00CE267C" w:rsidRPr="00FD07C8">
        <w:rPr>
          <w:rFonts w:ascii="Times" w:hAnsi="Times" w:cs="Times"/>
          <w:noProof/>
        </w:rPr>
        <w:br/>
        <w:t>Docket 11-035-46, Report and Order at 30-32 (Sept. 13, 2011)</w:t>
      </w:r>
      <w:r w:rsidR="00CE267C" w:rsidRPr="00FD07C8">
        <w:rPr>
          <w:noProof/>
        </w:rPr>
        <w:tab/>
      </w:r>
      <w:hyperlink w:anchor="_BA_Cite_137" w:tooltip="Long: Power to Defer Incremental REC Revenue for Later Ratemaking Treatment,  Docket 11-035-46, Report and Order at 30-32 (Sept. 13, 2011)" w:history="1">
        <w:r w:rsidR="00CE267C" w:rsidRPr="00FD07C8">
          <w:rPr>
            <w:noProof/>
          </w:rPr>
          <w:t>25</w:t>
        </w:r>
      </w:hyperlink>
    </w:p>
    <w:p w:rsidR="00E568C1" w:rsidRPr="00FD07C8" w:rsidRDefault="00E568C1" w:rsidP="00E568C1">
      <w:pPr>
        <w:pStyle w:val="BATOAEntry"/>
        <w:rPr>
          <w:noProof/>
        </w:rPr>
      </w:pPr>
      <w:r w:rsidRPr="00FD07C8">
        <w:rPr>
          <w:i/>
        </w:rPr>
        <w:t>Re Portland Gen. Elec.</w:t>
      </w:r>
      <w:r w:rsidRPr="00FD07C8">
        <w:t xml:space="preserve">, </w:t>
      </w:r>
      <w:r>
        <w:br/>
      </w:r>
      <w:r w:rsidRPr="00FD07C8">
        <w:t xml:space="preserve">DR 10, UE 88 and UM 989, </w:t>
      </w:r>
      <w:r w:rsidR="00A36793" w:rsidRPr="00FD07C8">
        <w:fldChar w:fldCharType="begin"/>
      </w:r>
      <w:r w:rsidRPr="00FD07C8">
        <w:instrText xml:space="preserve"> ADDIN BA \xc &lt;@reg&gt; \xl 16 \s NSKEHB000015 \l "Order No. 08-487" </w:instrText>
      </w:r>
      <w:r w:rsidR="00A36793" w:rsidRPr="00FD07C8">
        <w:fldChar w:fldCharType="end"/>
      </w:r>
      <w:r w:rsidRPr="00FD07C8">
        <w:t>Order No. 08-487 (OPUC 2008)</w:t>
      </w:r>
      <w:r w:rsidRPr="00FD07C8">
        <w:rPr>
          <w:noProof/>
        </w:rPr>
        <w:tab/>
      </w:r>
      <w:hyperlink w:anchor="_BA_Cite_91" w:tooltip="Suspect: Re Portland Gen. Elec., DR 10, UE 88 and UM 989" w:history="1">
        <w:r w:rsidRPr="00FD07C8">
          <w:rPr>
            <w:noProof/>
          </w:rPr>
          <w:t>8</w:t>
        </w:r>
      </w:hyperlink>
      <w:r w:rsidRPr="00FD07C8">
        <w:rPr>
          <w:noProof/>
        </w:rPr>
        <w:t xml:space="preserve">, </w:t>
      </w:r>
      <w:hyperlink w:anchor="_BA_Cite_104" w:tooltip="Suspect: Re Portland Gen. Elec., DR 10, UE 88 and UM 989" w:history="1">
        <w:r w:rsidRPr="00FD07C8">
          <w:rPr>
            <w:noProof/>
          </w:rPr>
          <w:t>10</w:t>
        </w:r>
      </w:hyperlink>
    </w:p>
    <w:p w:rsidR="00FD07C8" w:rsidRPr="00FD07C8" w:rsidRDefault="00FD07C8" w:rsidP="00FD07C8">
      <w:pPr>
        <w:pStyle w:val="BATOAHeading"/>
        <w:rPr>
          <w:noProof/>
        </w:rPr>
      </w:pPr>
      <w:r w:rsidRPr="00FD07C8">
        <w:rPr>
          <w:noProof/>
        </w:rPr>
        <w:t>Statutes</w:t>
      </w:r>
    </w:p>
    <w:p w:rsidR="00FD07C8" w:rsidRPr="00FD07C8" w:rsidRDefault="00FD07C8" w:rsidP="00FD07C8">
      <w:pPr>
        <w:pStyle w:val="BATOAEntry"/>
        <w:rPr>
          <w:noProof/>
        </w:rPr>
      </w:pPr>
      <w:r w:rsidRPr="00FD07C8">
        <w:rPr>
          <w:rFonts w:ascii="Times" w:hAnsi="Times" w:cs="Times"/>
          <w:noProof/>
        </w:rPr>
        <w:t>RCW 80.01.040</w:t>
      </w:r>
      <w:r w:rsidRPr="00FD07C8">
        <w:rPr>
          <w:noProof/>
        </w:rPr>
        <w:tab/>
      </w:r>
      <w:hyperlink w:anchor="_BA_Cite_82" w:tooltip="Long: RCW 80.01.040" w:history="1">
        <w:r w:rsidRPr="00FD07C8">
          <w:rPr>
            <w:noProof/>
          </w:rPr>
          <w:t>3</w:t>
        </w:r>
      </w:hyperlink>
    </w:p>
    <w:p w:rsidR="00FD07C8" w:rsidRPr="00FD07C8" w:rsidRDefault="00FD07C8" w:rsidP="00FD07C8">
      <w:pPr>
        <w:pStyle w:val="BATOAEntry"/>
        <w:rPr>
          <w:noProof/>
        </w:rPr>
      </w:pPr>
      <w:r w:rsidRPr="00FD07C8">
        <w:rPr>
          <w:rFonts w:ascii="Times" w:hAnsi="Times" w:cs="Times"/>
          <w:noProof/>
        </w:rPr>
        <w:t>RCW 80.28.020</w:t>
      </w:r>
      <w:r w:rsidRPr="00FD07C8">
        <w:rPr>
          <w:noProof/>
        </w:rPr>
        <w:tab/>
      </w:r>
      <w:hyperlink w:anchor="_BA_Cite_132" w:tooltip="Long: RCW 80.28.020" w:history="1">
        <w:r w:rsidRPr="00FD07C8">
          <w:rPr>
            <w:noProof/>
          </w:rPr>
          <w:t>24</w:t>
        </w:r>
      </w:hyperlink>
    </w:p>
    <w:p w:rsidR="00FD07C8" w:rsidRPr="00FD07C8" w:rsidRDefault="00FD07C8" w:rsidP="00FD07C8">
      <w:pPr>
        <w:pStyle w:val="BATOAEntry"/>
        <w:rPr>
          <w:noProof/>
        </w:rPr>
      </w:pPr>
      <w:r w:rsidRPr="00FD07C8">
        <w:rPr>
          <w:noProof/>
        </w:rPr>
        <w:t>RCW 80.28.080</w:t>
      </w:r>
      <w:r w:rsidRPr="00FD07C8">
        <w:rPr>
          <w:noProof/>
        </w:rPr>
        <w:tab/>
      </w:r>
      <w:hyperlink w:anchor="_BA_Cite_102" w:tooltip="Long: RCW 80.28.080" w:history="1">
        <w:r w:rsidRPr="00FD07C8">
          <w:rPr>
            <w:noProof/>
          </w:rPr>
          <w:t>10</w:t>
        </w:r>
      </w:hyperlink>
    </w:p>
    <w:p w:rsidR="005B6692" w:rsidRDefault="005B6692" w:rsidP="00FD07C8">
      <w:pPr>
        <w:pStyle w:val="BATOAHeading"/>
        <w:rPr>
          <w:noProof/>
        </w:rPr>
      </w:pPr>
      <w:bookmarkStart w:id="5" w:name="_BA95XTOA95OtherAuthorities"/>
      <w:bookmarkEnd w:id="4"/>
      <w:r>
        <w:rPr>
          <w:noProof/>
        </w:rPr>
        <w:t>Rules</w:t>
      </w:r>
    </w:p>
    <w:p w:rsidR="005B6692" w:rsidRDefault="005B6692" w:rsidP="005B6692">
      <w:pPr>
        <w:pStyle w:val="BATOAEntry"/>
        <w:rPr>
          <w:noProof/>
        </w:rPr>
      </w:pPr>
      <w:r>
        <w:rPr>
          <w:noProof/>
        </w:rPr>
        <w:t>WAC 480-07-510(3)(g)</w:t>
      </w:r>
      <w:r>
        <w:rPr>
          <w:noProof/>
        </w:rPr>
        <w:tab/>
        <w:t>31</w:t>
      </w:r>
    </w:p>
    <w:p w:rsidR="00FD07C8" w:rsidRPr="00FD07C8" w:rsidRDefault="00FD07C8" w:rsidP="00FD07C8">
      <w:pPr>
        <w:pStyle w:val="BATOAHeading"/>
        <w:rPr>
          <w:noProof/>
        </w:rPr>
      </w:pPr>
      <w:r w:rsidRPr="00FD07C8">
        <w:rPr>
          <w:noProof/>
        </w:rPr>
        <w:t>Other Authorities</w:t>
      </w:r>
    </w:p>
    <w:p w:rsidR="00FD07C8" w:rsidRPr="00FD07C8" w:rsidRDefault="00FD07C8" w:rsidP="00FD07C8">
      <w:pPr>
        <w:pStyle w:val="BATOAEntry"/>
        <w:rPr>
          <w:noProof/>
        </w:rPr>
      </w:pPr>
      <w:r w:rsidRPr="00FD07C8">
        <w:rPr>
          <w:rFonts w:ascii="Times" w:hAnsi="Times" w:cs="Times"/>
          <w:noProof/>
        </w:rPr>
        <w:t xml:space="preserve">Stefan H. Krieger, </w:t>
      </w:r>
      <w:r w:rsidRPr="00FD07C8">
        <w:rPr>
          <w:rFonts w:ascii="Times" w:hAnsi="Times" w:cs="Times"/>
          <w:i/>
          <w:noProof/>
        </w:rPr>
        <w:t>The Ghost of Regulation Past: Current Application of the Rule Against Retroactive Ratemaking in Public Utility Proceedings</w:t>
      </w:r>
      <w:r w:rsidRPr="00FD07C8">
        <w:rPr>
          <w:rFonts w:ascii="Times" w:hAnsi="Times" w:cs="Times"/>
          <w:noProof/>
        </w:rPr>
        <w:t xml:space="preserve">, 1991 </w:t>
      </w:r>
      <w:r w:rsidRPr="00FD07C8">
        <w:rPr>
          <w:rFonts w:ascii="Times" w:hAnsi="Times" w:cs="Times"/>
          <w:smallCaps/>
          <w:noProof/>
        </w:rPr>
        <w:t>U. Ill. L. Rev.</w:t>
      </w:r>
      <w:r w:rsidRPr="00FD07C8">
        <w:rPr>
          <w:rFonts w:ascii="Times" w:hAnsi="Times" w:cs="Times"/>
          <w:noProof/>
        </w:rPr>
        <w:t xml:space="preserve"> 983</w:t>
      </w:r>
      <w:r w:rsidR="001D672E">
        <w:rPr>
          <w:rFonts w:ascii="Times" w:hAnsi="Times" w:cs="Times"/>
          <w:noProof/>
        </w:rPr>
        <w:t xml:space="preserve"> (1991)</w:t>
      </w:r>
      <w:r w:rsidRPr="00FD07C8">
        <w:rPr>
          <w:noProof/>
        </w:rPr>
        <w:tab/>
      </w:r>
      <w:r w:rsidR="008651F6">
        <w:rPr>
          <w:noProof/>
        </w:rPr>
        <w:t xml:space="preserve">8, </w:t>
      </w:r>
      <w:hyperlink w:anchor="_BA_Cite_98" w:tooltip="Long: Stefan H. Krieger, The Ghost of Regulation Past: Current Application of the Rule Against Retroactive Ratemaking in Public Utility Proceedings, 1991 U. Ill. L. Rev. 983, 1008" w:history="1">
        <w:r w:rsidRPr="00FD07C8">
          <w:rPr>
            <w:noProof/>
          </w:rPr>
          <w:t>9</w:t>
        </w:r>
      </w:hyperlink>
    </w:p>
    <w:bookmarkEnd w:id="5"/>
    <w:bookmarkEnd w:id="0"/>
    <w:bookmarkEnd w:id="1"/>
    <w:p w:rsidR="00937DC8" w:rsidRPr="00FD07C8" w:rsidRDefault="00937DC8" w:rsidP="00211DE1">
      <w:pPr>
        <w:pStyle w:val="ListParagraph"/>
        <w:spacing w:line="480" w:lineRule="auto"/>
        <w:ind w:left="0"/>
        <w:jc w:val="center"/>
        <w:rPr>
          <w:rFonts w:ascii="Times New Roman" w:hAnsi="Times New Roman"/>
          <w:b/>
        </w:rPr>
      </w:pPr>
    </w:p>
    <w:p w:rsidR="00211FD1" w:rsidRPr="00FD07C8" w:rsidRDefault="00211FD1" w:rsidP="00211DE1">
      <w:pPr>
        <w:spacing w:after="240"/>
        <w:sectPr w:rsidR="00211FD1" w:rsidRPr="00FD07C8" w:rsidSect="00235F14">
          <w:footerReference w:type="default" r:id="rId8"/>
          <w:pgSz w:w="12240" w:h="15840"/>
          <w:pgMar w:top="1440" w:right="1440" w:bottom="1440" w:left="1440" w:header="720" w:footer="720" w:gutter="0"/>
          <w:pgNumType w:fmt="lowerRoman" w:start="1"/>
          <w:cols w:space="720"/>
          <w:docGrid w:linePitch="360"/>
        </w:sectPr>
      </w:pPr>
    </w:p>
    <w:p w:rsidR="00973298" w:rsidRPr="00FD07C8" w:rsidRDefault="002E098B" w:rsidP="004F1D7F">
      <w:pPr>
        <w:pStyle w:val="Heading1"/>
      </w:pPr>
      <w:bookmarkStart w:id="6" w:name="_Toc308096698"/>
      <w:bookmarkStart w:id="7" w:name="_Toc308097456"/>
      <w:bookmarkStart w:id="8" w:name="_Toc309373934"/>
      <w:bookmarkStart w:id="9" w:name="_BA_ScanRange"/>
      <w:r w:rsidRPr="00FD07C8">
        <w:lastRenderedPageBreak/>
        <w:t>I.</w:t>
      </w:r>
      <w:r w:rsidRPr="00FD07C8">
        <w:tab/>
        <w:t>INTRODUCTION</w:t>
      </w:r>
      <w:bookmarkEnd w:id="6"/>
      <w:bookmarkEnd w:id="7"/>
      <w:bookmarkEnd w:id="8"/>
    </w:p>
    <w:p w:rsidR="00DB5EFA" w:rsidRPr="00FD07C8" w:rsidRDefault="00BC6AA7" w:rsidP="00F658E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F658E9" w:rsidRPr="00FD07C8">
        <w:rPr>
          <w:rFonts w:ascii="Times New Roman" w:hAnsi="Times New Roman"/>
          <w:szCs w:val="24"/>
        </w:rPr>
        <w:t>In their briefs file</w:t>
      </w:r>
      <w:r w:rsidR="00526976" w:rsidRPr="00FD07C8">
        <w:rPr>
          <w:rFonts w:ascii="Times New Roman" w:hAnsi="Times New Roman"/>
          <w:szCs w:val="24"/>
        </w:rPr>
        <w:t>d on November 4, 2011, in Phase 2</w:t>
      </w:r>
      <w:r w:rsidR="00F658E9" w:rsidRPr="00FD07C8">
        <w:rPr>
          <w:rFonts w:ascii="Times New Roman" w:hAnsi="Times New Roman"/>
          <w:szCs w:val="24"/>
        </w:rPr>
        <w:t xml:space="preserve"> of this proceeding, Commission Staff (Staff), Public Counsel, and the Industrial Customers of Northwest Utilities (ICNU) </w:t>
      </w:r>
      <w:r w:rsidR="00266C4C" w:rsidRPr="00FD07C8">
        <w:rPr>
          <w:rFonts w:ascii="Times New Roman" w:hAnsi="Times New Roman"/>
          <w:szCs w:val="24"/>
        </w:rPr>
        <w:t>(collectively</w:t>
      </w:r>
      <w:r w:rsidR="00DB5EFA" w:rsidRPr="00FD07C8">
        <w:rPr>
          <w:rFonts w:ascii="Times New Roman" w:hAnsi="Times New Roman"/>
          <w:szCs w:val="24"/>
        </w:rPr>
        <w:t>,</w:t>
      </w:r>
      <w:r w:rsidR="00266C4C" w:rsidRPr="00FD07C8">
        <w:rPr>
          <w:rFonts w:ascii="Times New Roman" w:hAnsi="Times New Roman"/>
          <w:szCs w:val="24"/>
        </w:rPr>
        <w:t xml:space="preserve"> Responding Parties) </w:t>
      </w:r>
      <w:r w:rsidR="0036717E" w:rsidRPr="00FD07C8">
        <w:rPr>
          <w:rFonts w:ascii="Times New Roman" w:hAnsi="Times New Roman"/>
          <w:szCs w:val="24"/>
        </w:rPr>
        <w:t xml:space="preserve">provide various justifications for retroactive recovery </w:t>
      </w:r>
      <w:r w:rsidR="00AA7646" w:rsidRPr="00FD07C8">
        <w:rPr>
          <w:rFonts w:ascii="Times New Roman" w:hAnsi="Times New Roman"/>
          <w:szCs w:val="24"/>
        </w:rPr>
        <w:t>of PacifiCorp’s (the Company) revenues from the sale of renewable energy credits (</w:t>
      </w:r>
      <w:r w:rsidR="0036717E" w:rsidRPr="00FD07C8">
        <w:rPr>
          <w:rFonts w:ascii="Times New Roman" w:hAnsi="Times New Roman"/>
          <w:szCs w:val="24"/>
        </w:rPr>
        <w:t>REC</w:t>
      </w:r>
      <w:r w:rsidR="00AA7646" w:rsidRPr="00FD07C8">
        <w:rPr>
          <w:rFonts w:ascii="Times New Roman" w:hAnsi="Times New Roman"/>
          <w:szCs w:val="24"/>
        </w:rPr>
        <w:t>s)</w:t>
      </w:r>
      <w:r w:rsidR="00346047" w:rsidRPr="00FD07C8">
        <w:rPr>
          <w:rFonts w:ascii="Times New Roman" w:hAnsi="Times New Roman"/>
          <w:szCs w:val="24"/>
        </w:rPr>
        <w:t xml:space="preserve"> </w:t>
      </w:r>
      <w:r w:rsidR="0036717E" w:rsidRPr="00FD07C8">
        <w:rPr>
          <w:rFonts w:ascii="Times New Roman" w:hAnsi="Times New Roman"/>
          <w:szCs w:val="24"/>
        </w:rPr>
        <w:t>in 2009 and 2010.</w:t>
      </w:r>
      <w:r w:rsidR="004E186E" w:rsidRPr="00FD07C8">
        <w:rPr>
          <w:rStyle w:val="FootnoteReference"/>
          <w:rFonts w:ascii="Times New Roman" w:hAnsi="Times New Roman"/>
          <w:szCs w:val="24"/>
        </w:rPr>
        <w:footnoteReference w:id="1"/>
      </w:r>
      <w:r w:rsidR="00F658E9" w:rsidRPr="00FD07C8">
        <w:rPr>
          <w:rFonts w:ascii="Times New Roman" w:hAnsi="Times New Roman"/>
          <w:szCs w:val="24"/>
        </w:rPr>
        <w:t xml:space="preserve">  </w:t>
      </w:r>
      <w:r w:rsidR="0036717E" w:rsidRPr="00FD07C8">
        <w:rPr>
          <w:rFonts w:ascii="Times New Roman" w:hAnsi="Times New Roman"/>
          <w:szCs w:val="24"/>
        </w:rPr>
        <w:t>They claim that such recovery does not constitute retroactive ratemaking</w:t>
      </w:r>
      <w:r w:rsidR="007328F7" w:rsidRPr="00FD07C8">
        <w:rPr>
          <w:rFonts w:ascii="Times New Roman" w:hAnsi="Times New Roman"/>
          <w:szCs w:val="24"/>
        </w:rPr>
        <w:t>, and even if it did</w:t>
      </w:r>
      <w:r w:rsidR="0036717E" w:rsidRPr="00FD07C8">
        <w:rPr>
          <w:rFonts w:ascii="Times New Roman" w:hAnsi="Times New Roman"/>
          <w:szCs w:val="24"/>
        </w:rPr>
        <w:t>, the Commission should make an exception to the rule against retroactive ratemaking in this case.</w:t>
      </w:r>
      <w:r w:rsidR="003612F3" w:rsidRPr="00FD07C8">
        <w:rPr>
          <w:rFonts w:ascii="Times New Roman" w:hAnsi="Times New Roman"/>
          <w:szCs w:val="24"/>
        </w:rPr>
        <w:t xml:space="preserve">  </w:t>
      </w:r>
    </w:p>
    <w:p w:rsidR="0036717E" w:rsidRPr="00FD07C8" w:rsidRDefault="00BC6AA7" w:rsidP="00F658E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266C4C" w:rsidRPr="00FD07C8">
        <w:rPr>
          <w:rFonts w:ascii="Times New Roman" w:hAnsi="Times New Roman"/>
          <w:szCs w:val="24"/>
        </w:rPr>
        <w:t>The Commission’s precedent is clear that retroactive ratemaking is illegal</w:t>
      </w:r>
      <w:r w:rsidR="007211F1" w:rsidRPr="00FD07C8">
        <w:rPr>
          <w:rFonts w:ascii="Times New Roman" w:hAnsi="Times New Roman"/>
          <w:szCs w:val="24"/>
        </w:rPr>
        <w:t>,</w:t>
      </w:r>
      <w:r w:rsidR="009E4F0C" w:rsidRPr="00FD07C8">
        <w:rPr>
          <w:rFonts w:ascii="Times New Roman" w:hAnsi="Times New Roman"/>
          <w:szCs w:val="24"/>
        </w:rPr>
        <w:t xml:space="preserve"> and </w:t>
      </w:r>
      <w:r w:rsidR="00DB5EFA" w:rsidRPr="00FD07C8">
        <w:rPr>
          <w:rFonts w:ascii="Times New Roman" w:hAnsi="Times New Roman"/>
          <w:szCs w:val="24"/>
        </w:rPr>
        <w:t xml:space="preserve">the Commission has always </w:t>
      </w:r>
      <w:r w:rsidR="009E4F0C" w:rsidRPr="00FD07C8">
        <w:rPr>
          <w:rFonts w:ascii="Times New Roman" w:hAnsi="Times New Roman"/>
          <w:szCs w:val="24"/>
        </w:rPr>
        <w:t>applie</w:t>
      </w:r>
      <w:r w:rsidR="00DB5EFA" w:rsidRPr="00FD07C8">
        <w:rPr>
          <w:rFonts w:ascii="Times New Roman" w:hAnsi="Times New Roman"/>
          <w:szCs w:val="24"/>
        </w:rPr>
        <w:t>d this rule</w:t>
      </w:r>
      <w:r w:rsidR="009E4F0C" w:rsidRPr="00FD07C8">
        <w:rPr>
          <w:rFonts w:ascii="Times New Roman" w:hAnsi="Times New Roman"/>
          <w:szCs w:val="24"/>
        </w:rPr>
        <w:t xml:space="preserve"> equally to utility and customer interests</w:t>
      </w:r>
      <w:r w:rsidR="00266C4C" w:rsidRPr="00FD07C8">
        <w:rPr>
          <w:rFonts w:ascii="Times New Roman" w:hAnsi="Times New Roman"/>
          <w:szCs w:val="24"/>
        </w:rPr>
        <w:t xml:space="preserve">.  </w:t>
      </w:r>
      <w:r w:rsidR="00AA7646" w:rsidRPr="00FD07C8">
        <w:rPr>
          <w:rFonts w:ascii="Times New Roman" w:hAnsi="Times New Roman"/>
          <w:szCs w:val="24"/>
        </w:rPr>
        <w:t xml:space="preserve">The Responding Parties’ </w:t>
      </w:r>
      <w:r w:rsidR="00EF6455" w:rsidRPr="00FD07C8">
        <w:rPr>
          <w:rFonts w:ascii="Times New Roman" w:hAnsi="Times New Roman"/>
          <w:szCs w:val="24"/>
        </w:rPr>
        <w:t>REC tracker proposals</w:t>
      </w:r>
      <w:r w:rsidR="00AA7646" w:rsidRPr="00FD07C8">
        <w:rPr>
          <w:rFonts w:ascii="Times New Roman" w:hAnsi="Times New Roman"/>
          <w:szCs w:val="24"/>
        </w:rPr>
        <w:t xml:space="preserve"> </w:t>
      </w:r>
      <w:r w:rsidR="00EF6455" w:rsidRPr="00FD07C8">
        <w:rPr>
          <w:rFonts w:ascii="Times New Roman" w:hAnsi="Times New Roman"/>
          <w:szCs w:val="24"/>
        </w:rPr>
        <w:t>are</w:t>
      </w:r>
      <w:r w:rsidR="00AA7646" w:rsidRPr="00FD07C8">
        <w:rPr>
          <w:rFonts w:ascii="Times New Roman" w:hAnsi="Times New Roman"/>
          <w:szCs w:val="24"/>
        </w:rPr>
        <w:t xml:space="preserve"> irreconcilable with t</w:t>
      </w:r>
      <w:r w:rsidR="009E4F0C" w:rsidRPr="00FD07C8">
        <w:rPr>
          <w:rFonts w:ascii="Times New Roman" w:hAnsi="Times New Roman"/>
          <w:szCs w:val="24"/>
        </w:rPr>
        <w:t>h</w:t>
      </w:r>
      <w:r w:rsidR="00AA7646" w:rsidRPr="00FD07C8">
        <w:rPr>
          <w:rFonts w:ascii="Times New Roman" w:hAnsi="Times New Roman"/>
          <w:szCs w:val="24"/>
        </w:rPr>
        <w:t>is</w:t>
      </w:r>
      <w:r w:rsidR="007610BD" w:rsidRPr="00FD07C8">
        <w:rPr>
          <w:rFonts w:ascii="Times New Roman" w:hAnsi="Times New Roman"/>
          <w:szCs w:val="24"/>
        </w:rPr>
        <w:t xml:space="preserve"> historic</w:t>
      </w:r>
      <w:r w:rsidR="009E4F0C" w:rsidRPr="00FD07C8">
        <w:rPr>
          <w:rFonts w:ascii="Times New Roman" w:hAnsi="Times New Roman"/>
          <w:szCs w:val="24"/>
        </w:rPr>
        <w:t xml:space="preserve"> precedent </w:t>
      </w:r>
      <w:r w:rsidR="00DB5EFA" w:rsidRPr="00FD07C8">
        <w:rPr>
          <w:rFonts w:ascii="Times New Roman" w:hAnsi="Times New Roman"/>
          <w:szCs w:val="24"/>
        </w:rPr>
        <w:t xml:space="preserve">and practice.  </w:t>
      </w:r>
      <w:r w:rsidR="00AA7646" w:rsidRPr="00FD07C8">
        <w:rPr>
          <w:rFonts w:ascii="Times New Roman" w:hAnsi="Times New Roman"/>
          <w:szCs w:val="24"/>
        </w:rPr>
        <w:t xml:space="preserve">Adoption of </w:t>
      </w:r>
      <w:r w:rsidR="00DB5EFA" w:rsidRPr="00FD07C8">
        <w:rPr>
          <w:rFonts w:ascii="Times New Roman" w:hAnsi="Times New Roman"/>
          <w:szCs w:val="24"/>
        </w:rPr>
        <w:t xml:space="preserve">the Responding Parties’ approach </w:t>
      </w:r>
      <w:r w:rsidR="0036717E" w:rsidRPr="00FD07C8">
        <w:rPr>
          <w:rFonts w:ascii="Times New Roman" w:hAnsi="Times New Roman"/>
          <w:szCs w:val="24"/>
        </w:rPr>
        <w:t xml:space="preserve">would result in unjust and unreasonable rates </w:t>
      </w:r>
      <w:r w:rsidR="00EB0F65" w:rsidRPr="00FD07C8">
        <w:rPr>
          <w:rFonts w:ascii="Times New Roman" w:hAnsi="Times New Roman"/>
          <w:szCs w:val="24"/>
        </w:rPr>
        <w:t xml:space="preserve">in this case </w:t>
      </w:r>
      <w:r w:rsidR="0036717E" w:rsidRPr="00FD07C8">
        <w:rPr>
          <w:rFonts w:ascii="Times New Roman" w:hAnsi="Times New Roman"/>
          <w:szCs w:val="24"/>
        </w:rPr>
        <w:t>and undermine regulatory certainty</w:t>
      </w:r>
      <w:r w:rsidR="00EB0F65" w:rsidRPr="00FD07C8">
        <w:rPr>
          <w:rFonts w:ascii="Times New Roman" w:hAnsi="Times New Roman"/>
          <w:szCs w:val="24"/>
        </w:rPr>
        <w:t xml:space="preserve"> to the detriment of both utilities and customers</w:t>
      </w:r>
      <w:r w:rsidR="00337EE3" w:rsidRPr="00FD07C8">
        <w:rPr>
          <w:rFonts w:ascii="Times New Roman" w:hAnsi="Times New Roman"/>
          <w:szCs w:val="24"/>
        </w:rPr>
        <w:t xml:space="preserve"> in the future</w:t>
      </w:r>
      <w:r w:rsidR="0036717E" w:rsidRPr="00FD07C8">
        <w:rPr>
          <w:rFonts w:ascii="Times New Roman" w:hAnsi="Times New Roman"/>
          <w:szCs w:val="24"/>
        </w:rPr>
        <w:t>.</w:t>
      </w:r>
    </w:p>
    <w:p w:rsidR="0036717E" w:rsidRPr="00FD07C8" w:rsidRDefault="00BC6AA7" w:rsidP="00F658E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 xml:space="preserve">A running theme in Staff’s brief is that it is “too late” </w:t>
      </w:r>
      <w:r w:rsidR="00EB0F65" w:rsidRPr="00FD07C8">
        <w:rPr>
          <w:rFonts w:ascii="Times New Roman" w:hAnsi="Times New Roman"/>
          <w:szCs w:val="24"/>
        </w:rPr>
        <w:t xml:space="preserve">for the Company </w:t>
      </w:r>
      <w:r w:rsidR="0036717E" w:rsidRPr="00FD07C8">
        <w:rPr>
          <w:rFonts w:ascii="Times New Roman" w:hAnsi="Times New Roman"/>
          <w:szCs w:val="24"/>
        </w:rPr>
        <w:t xml:space="preserve">to </w:t>
      </w:r>
      <w:r w:rsidR="008C1C9A" w:rsidRPr="00FD07C8">
        <w:rPr>
          <w:rFonts w:ascii="Times New Roman" w:hAnsi="Times New Roman"/>
          <w:szCs w:val="24"/>
        </w:rPr>
        <w:t>object</w:t>
      </w:r>
      <w:r w:rsidR="00DB5EFA" w:rsidRPr="00FD07C8">
        <w:rPr>
          <w:rFonts w:ascii="Times New Roman" w:hAnsi="Times New Roman"/>
          <w:szCs w:val="24"/>
        </w:rPr>
        <w:t xml:space="preserve"> to </w:t>
      </w:r>
      <w:r w:rsidR="00CF1696" w:rsidRPr="00FD07C8">
        <w:rPr>
          <w:rFonts w:ascii="Times New Roman" w:hAnsi="Times New Roman"/>
          <w:szCs w:val="24"/>
        </w:rPr>
        <w:t>S</w:t>
      </w:r>
      <w:r w:rsidR="00DB5EFA" w:rsidRPr="00FD07C8">
        <w:rPr>
          <w:rFonts w:ascii="Times New Roman" w:hAnsi="Times New Roman"/>
          <w:szCs w:val="24"/>
        </w:rPr>
        <w:t xml:space="preserve">taff’s claim </w:t>
      </w:r>
      <w:r w:rsidR="008C1C9A" w:rsidRPr="00FD07C8">
        <w:rPr>
          <w:rFonts w:ascii="Times New Roman" w:hAnsi="Times New Roman"/>
          <w:szCs w:val="24"/>
        </w:rPr>
        <w:t>for</w:t>
      </w:r>
      <w:r w:rsidR="00DB5EFA" w:rsidRPr="00FD07C8">
        <w:rPr>
          <w:rFonts w:ascii="Times New Roman" w:hAnsi="Times New Roman"/>
          <w:szCs w:val="24"/>
        </w:rPr>
        <w:t xml:space="preserve"> </w:t>
      </w:r>
      <w:r w:rsidR="008C1C9A" w:rsidRPr="00FD07C8">
        <w:rPr>
          <w:rFonts w:ascii="Times New Roman" w:hAnsi="Times New Roman"/>
          <w:szCs w:val="24"/>
        </w:rPr>
        <w:t>REC revenues from 2009</w:t>
      </w:r>
      <w:r w:rsidR="00AA7646" w:rsidRPr="00FD07C8">
        <w:rPr>
          <w:rFonts w:ascii="Times New Roman" w:hAnsi="Times New Roman"/>
          <w:szCs w:val="24"/>
        </w:rPr>
        <w:t xml:space="preserve"> and </w:t>
      </w:r>
      <w:r w:rsidR="008C1C9A" w:rsidRPr="00FD07C8">
        <w:rPr>
          <w:rFonts w:ascii="Times New Roman" w:hAnsi="Times New Roman"/>
          <w:szCs w:val="24"/>
        </w:rPr>
        <w:t>201</w:t>
      </w:r>
      <w:r w:rsidR="00AA7646" w:rsidRPr="00FD07C8">
        <w:rPr>
          <w:rFonts w:ascii="Times New Roman" w:hAnsi="Times New Roman"/>
          <w:szCs w:val="24"/>
        </w:rPr>
        <w:t>0</w:t>
      </w:r>
      <w:r w:rsidR="0036717E" w:rsidRPr="00FD07C8">
        <w:rPr>
          <w:rFonts w:ascii="Times New Roman" w:hAnsi="Times New Roman"/>
          <w:szCs w:val="24"/>
        </w:rPr>
        <w:t>.</w:t>
      </w:r>
      <w:r w:rsidR="00EB0F65" w:rsidRPr="00FD07C8">
        <w:rPr>
          <w:rStyle w:val="FootnoteReference"/>
          <w:rFonts w:ascii="Times New Roman" w:hAnsi="Times New Roman"/>
          <w:szCs w:val="24"/>
        </w:rPr>
        <w:footnoteReference w:id="2"/>
      </w:r>
      <w:r w:rsidR="00EB0F65" w:rsidRPr="00FD07C8">
        <w:rPr>
          <w:rFonts w:ascii="Times New Roman" w:hAnsi="Times New Roman"/>
          <w:szCs w:val="24"/>
        </w:rPr>
        <w:t xml:space="preserve">  </w:t>
      </w:r>
      <w:r w:rsidR="00CF1696" w:rsidRPr="00FD07C8">
        <w:rPr>
          <w:rFonts w:ascii="Times New Roman" w:hAnsi="Times New Roman"/>
          <w:szCs w:val="24"/>
        </w:rPr>
        <w:t xml:space="preserve">But </w:t>
      </w:r>
      <w:r w:rsidR="00750F10" w:rsidRPr="00FD07C8">
        <w:rPr>
          <w:rFonts w:ascii="Times New Roman" w:hAnsi="Times New Roman"/>
          <w:szCs w:val="24"/>
        </w:rPr>
        <w:t xml:space="preserve">Staff itself has raised a number of new </w:t>
      </w:r>
      <w:r w:rsidR="00CF1696" w:rsidRPr="00FD07C8">
        <w:rPr>
          <w:rFonts w:ascii="Times New Roman" w:hAnsi="Times New Roman"/>
          <w:szCs w:val="24"/>
        </w:rPr>
        <w:t>claims</w:t>
      </w:r>
      <w:r w:rsidR="008C1C9A" w:rsidRPr="00FD07C8">
        <w:rPr>
          <w:rFonts w:ascii="Times New Roman" w:hAnsi="Times New Roman"/>
          <w:szCs w:val="24"/>
        </w:rPr>
        <w:t xml:space="preserve"> </w:t>
      </w:r>
      <w:r w:rsidR="00CF1696" w:rsidRPr="00FD07C8">
        <w:rPr>
          <w:rFonts w:ascii="Times New Roman" w:hAnsi="Times New Roman"/>
          <w:szCs w:val="24"/>
        </w:rPr>
        <w:t xml:space="preserve">and issues </w:t>
      </w:r>
      <w:r w:rsidR="008C1C9A" w:rsidRPr="00FD07C8">
        <w:rPr>
          <w:rFonts w:ascii="Times New Roman" w:hAnsi="Times New Roman"/>
          <w:szCs w:val="24"/>
        </w:rPr>
        <w:t>in this phase of the docket</w:t>
      </w:r>
      <w:r w:rsidR="00750F10" w:rsidRPr="00FD07C8">
        <w:rPr>
          <w:rFonts w:ascii="Times New Roman" w:hAnsi="Times New Roman"/>
          <w:szCs w:val="24"/>
        </w:rPr>
        <w:t>,</w:t>
      </w:r>
      <w:r w:rsidR="00CF1696" w:rsidRPr="00FD07C8">
        <w:rPr>
          <w:rFonts w:ascii="Times New Roman" w:hAnsi="Times New Roman"/>
          <w:szCs w:val="24"/>
        </w:rPr>
        <w:t xml:space="preserve"> notably including the argument that the Commission should </w:t>
      </w:r>
      <w:r w:rsidR="00C15B76" w:rsidRPr="00FD07C8">
        <w:rPr>
          <w:rFonts w:ascii="Times New Roman" w:hAnsi="Times New Roman"/>
          <w:szCs w:val="24"/>
        </w:rPr>
        <w:t xml:space="preserve">now </w:t>
      </w:r>
      <w:r w:rsidR="00CF1696" w:rsidRPr="00FD07C8">
        <w:rPr>
          <w:rFonts w:ascii="Times New Roman" w:hAnsi="Times New Roman"/>
          <w:szCs w:val="24"/>
        </w:rPr>
        <w:t>retroactive</w:t>
      </w:r>
      <w:r w:rsidR="007610BD" w:rsidRPr="00FD07C8">
        <w:rPr>
          <w:rFonts w:ascii="Times New Roman" w:hAnsi="Times New Roman"/>
          <w:szCs w:val="24"/>
        </w:rPr>
        <w:t>ly</w:t>
      </w:r>
      <w:r w:rsidR="00CF1696" w:rsidRPr="00FD07C8">
        <w:rPr>
          <w:rFonts w:ascii="Times New Roman" w:hAnsi="Times New Roman"/>
          <w:szCs w:val="24"/>
        </w:rPr>
        <w:t xml:space="preserve"> impute REC revenues</w:t>
      </w:r>
      <w:r w:rsidR="00750F10" w:rsidRPr="00FD07C8">
        <w:rPr>
          <w:rFonts w:ascii="Times New Roman" w:hAnsi="Times New Roman"/>
          <w:szCs w:val="24"/>
        </w:rPr>
        <w:t xml:space="preserve">.  </w:t>
      </w:r>
      <w:r w:rsidR="007610BD" w:rsidRPr="00FD07C8">
        <w:rPr>
          <w:rFonts w:ascii="Times New Roman" w:hAnsi="Times New Roman"/>
          <w:szCs w:val="24"/>
        </w:rPr>
        <w:t xml:space="preserve">All of </w:t>
      </w:r>
      <w:r w:rsidR="0036717E" w:rsidRPr="00FD07C8">
        <w:t>PacifiCorp’s</w:t>
      </w:r>
      <w:r w:rsidR="0036717E" w:rsidRPr="00FD07C8">
        <w:rPr>
          <w:rFonts w:ascii="Times New Roman" w:hAnsi="Times New Roman"/>
          <w:szCs w:val="24"/>
        </w:rPr>
        <w:t xml:space="preserve"> arguments are </w:t>
      </w:r>
      <w:r w:rsidR="0036717E" w:rsidRPr="00FD07C8">
        <w:rPr>
          <w:rFonts w:ascii="Times New Roman" w:hAnsi="Times New Roman"/>
          <w:szCs w:val="24"/>
        </w:rPr>
        <w:lastRenderedPageBreak/>
        <w:t xml:space="preserve">consistent with </w:t>
      </w:r>
      <w:r w:rsidR="00A36793" w:rsidRPr="00FD07C8">
        <w:fldChar w:fldCharType="begin"/>
      </w:r>
      <w:r w:rsidR="00CC6CF0" w:rsidRPr="00FD07C8">
        <w:instrText xml:space="preserve"> ADDIN BA \xc &lt;@reg&gt; \xl 8 \s NSKEHB000001 \l "</w:instrText>
      </w:r>
      <w:r w:rsidR="00CC6CF0" w:rsidRPr="00FD07C8">
        <w:rPr>
          <w:rFonts w:ascii="Times New Roman" w:hAnsi="Times New Roman"/>
          <w:szCs w:val="24"/>
        </w:rPr>
        <w:instrText>Order 06</w:instrText>
      </w:r>
      <w:r w:rsidR="00CC6CF0" w:rsidRPr="00FD07C8">
        <w:instrText xml:space="preserve">" </w:instrText>
      </w:r>
      <w:r w:rsidR="00A36793" w:rsidRPr="00FD07C8">
        <w:fldChar w:fldCharType="end"/>
      </w:r>
      <w:bookmarkStart w:id="10" w:name="_BA_Cite_75"/>
      <w:r w:rsidR="00CF1696" w:rsidRPr="00FD07C8">
        <w:rPr>
          <w:rFonts w:ascii="Times New Roman" w:hAnsi="Times New Roman"/>
          <w:szCs w:val="24"/>
        </w:rPr>
        <w:t>O</w:t>
      </w:r>
      <w:r w:rsidR="0036717E" w:rsidRPr="00FD07C8">
        <w:rPr>
          <w:rFonts w:ascii="Times New Roman" w:hAnsi="Times New Roman"/>
          <w:szCs w:val="24"/>
        </w:rPr>
        <w:t>rder</w:t>
      </w:r>
      <w:r w:rsidR="00925E46" w:rsidRPr="00FD07C8">
        <w:rPr>
          <w:rFonts w:ascii="Times New Roman" w:hAnsi="Times New Roman"/>
          <w:szCs w:val="24"/>
        </w:rPr>
        <w:t xml:space="preserve"> </w:t>
      </w:r>
      <w:r w:rsidR="00CF1696" w:rsidRPr="00FD07C8">
        <w:rPr>
          <w:rFonts w:ascii="Times New Roman" w:hAnsi="Times New Roman"/>
          <w:szCs w:val="24"/>
        </w:rPr>
        <w:t>06</w:t>
      </w:r>
      <w:bookmarkEnd w:id="10"/>
      <w:r w:rsidR="00C17851" w:rsidRPr="00FD07C8">
        <w:rPr>
          <w:rStyle w:val="FootnoteReference"/>
          <w:rFonts w:ascii="Times New Roman" w:hAnsi="Times New Roman"/>
          <w:szCs w:val="24"/>
        </w:rPr>
        <w:footnoteReference w:id="3"/>
      </w:r>
      <w:r w:rsidR="00CF1696" w:rsidRPr="00FD07C8">
        <w:rPr>
          <w:rFonts w:ascii="Times New Roman" w:hAnsi="Times New Roman"/>
          <w:szCs w:val="24"/>
        </w:rPr>
        <w:t xml:space="preserve"> </w:t>
      </w:r>
      <w:r w:rsidR="00925E46" w:rsidRPr="00FD07C8">
        <w:rPr>
          <w:rFonts w:ascii="Times New Roman" w:hAnsi="Times New Roman"/>
          <w:szCs w:val="24"/>
        </w:rPr>
        <w:t>and with Washington law requiring that the Commission evaluate rates to determine whether they are just and reasonable</w:t>
      </w:r>
      <w:r w:rsidR="0036717E" w:rsidRPr="00FD07C8">
        <w:rPr>
          <w:rFonts w:ascii="Times New Roman" w:hAnsi="Times New Roman"/>
          <w:szCs w:val="24"/>
        </w:rPr>
        <w:t>.</w:t>
      </w:r>
    </w:p>
    <w:p w:rsidR="0036717E" w:rsidRPr="00FD07C8" w:rsidRDefault="00BC6AA7" w:rsidP="00F658E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925E46" w:rsidRPr="00FD07C8">
        <w:rPr>
          <w:rFonts w:ascii="Times New Roman" w:hAnsi="Times New Roman"/>
          <w:szCs w:val="24"/>
        </w:rPr>
        <w:t xml:space="preserve">Staff also mischaracterizes the Company’s legal and policy arguments against retroactive recovery of REC revenues as </w:t>
      </w:r>
      <w:r w:rsidR="009D1B44" w:rsidRPr="00FD07C8">
        <w:rPr>
          <w:rFonts w:ascii="Times New Roman" w:hAnsi="Times New Roman"/>
          <w:szCs w:val="24"/>
        </w:rPr>
        <w:t>“erecting as many other r</w:t>
      </w:r>
      <w:r w:rsidR="00925E46" w:rsidRPr="00FD07C8">
        <w:rPr>
          <w:rFonts w:ascii="Times New Roman" w:hAnsi="Times New Roman"/>
          <w:szCs w:val="24"/>
        </w:rPr>
        <w:t>oadblocks</w:t>
      </w:r>
      <w:r w:rsidR="009D1B44" w:rsidRPr="00FD07C8">
        <w:rPr>
          <w:rFonts w:ascii="Times New Roman" w:hAnsi="Times New Roman"/>
          <w:szCs w:val="24"/>
        </w:rPr>
        <w:t xml:space="preserve"> as possible” </w:t>
      </w:r>
      <w:r w:rsidR="00925E46" w:rsidRPr="00FD07C8">
        <w:rPr>
          <w:rFonts w:ascii="Times New Roman" w:hAnsi="Times New Roman"/>
          <w:szCs w:val="24"/>
        </w:rPr>
        <w:t>to crediting REC revenues to customers.</w:t>
      </w:r>
      <w:r w:rsidR="00925E46" w:rsidRPr="00FD07C8">
        <w:rPr>
          <w:rStyle w:val="FootnoteReference"/>
          <w:rFonts w:ascii="Times New Roman" w:hAnsi="Times New Roman"/>
          <w:szCs w:val="24"/>
        </w:rPr>
        <w:footnoteReference w:id="4"/>
      </w:r>
      <w:r w:rsidR="00925E46" w:rsidRPr="00FD07C8">
        <w:rPr>
          <w:rFonts w:ascii="Times New Roman" w:hAnsi="Times New Roman"/>
          <w:szCs w:val="24"/>
        </w:rPr>
        <w:t xml:space="preserve">  </w:t>
      </w:r>
      <w:r w:rsidR="009D1B44" w:rsidRPr="00FD07C8">
        <w:rPr>
          <w:rFonts w:ascii="Times New Roman" w:hAnsi="Times New Roman"/>
          <w:szCs w:val="24"/>
        </w:rPr>
        <w:t xml:space="preserve">This argument ignores the fact that customers have received a REC revenue credit in PacifiCorp’s rates since late 2008.  It also unfairly attacks the </w:t>
      </w:r>
      <w:r w:rsidR="0045608B" w:rsidRPr="00FD07C8">
        <w:rPr>
          <w:rFonts w:ascii="Times New Roman" w:hAnsi="Times New Roman"/>
          <w:szCs w:val="24"/>
        </w:rPr>
        <w:t xml:space="preserve">Company </w:t>
      </w:r>
      <w:r w:rsidR="009D1B44" w:rsidRPr="00FD07C8">
        <w:rPr>
          <w:rFonts w:ascii="Times New Roman" w:hAnsi="Times New Roman"/>
          <w:szCs w:val="24"/>
        </w:rPr>
        <w:t>for meeting its</w:t>
      </w:r>
      <w:r w:rsidR="0045608B" w:rsidRPr="00FD07C8">
        <w:rPr>
          <w:rFonts w:ascii="Times New Roman" w:hAnsi="Times New Roman"/>
          <w:szCs w:val="24"/>
        </w:rPr>
        <w:t xml:space="preserve"> responsibility to the Commission to raise t</w:t>
      </w:r>
      <w:r w:rsidR="00925E46" w:rsidRPr="00FD07C8">
        <w:rPr>
          <w:rFonts w:ascii="Times New Roman" w:hAnsi="Times New Roman"/>
          <w:szCs w:val="24"/>
        </w:rPr>
        <w:t xml:space="preserve">he </w:t>
      </w:r>
      <w:r w:rsidR="0045608B" w:rsidRPr="00FD07C8">
        <w:rPr>
          <w:rFonts w:ascii="Times New Roman" w:hAnsi="Times New Roman"/>
          <w:szCs w:val="24"/>
        </w:rPr>
        <w:t xml:space="preserve">serious </w:t>
      </w:r>
      <w:r w:rsidR="00925E46" w:rsidRPr="00FD07C8">
        <w:rPr>
          <w:rFonts w:ascii="Times New Roman" w:hAnsi="Times New Roman"/>
          <w:szCs w:val="24"/>
        </w:rPr>
        <w:t xml:space="preserve">legal and policy infirmaries in the </w:t>
      </w:r>
      <w:r w:rsidR="0045608B" w:rsidRPr="00FD07C8">
        <w:rPr>
          <w:rFonts w:ascii="Times New Roman" w:hAnsi="Times New Roman"/>
          <w:szCs w:val="24"/>
        </w:rPr>
        <w:t>Responding P</w:t>
      </w:r>
      <w:r w:rsidR="00925E46" w:rsidRPr="00FD07C8">
        <w:rPr>
          <w:rFonts w:ascii="Times New Roman" w:hAnsi="Times New Roman"/>
          <w:szCs w:val="24"/>
        </w:rPr>
        <w:t xml:space="preserve">arties’ </w:t>
      </w:r>
      <w:r w:rsidR="00EF6455" w:rsidRPr="00FD07C8">
        <w:rPr>
          <w:rFonts w:ascii="Times New Roman" w:hAnsi="Times New Roman"/>
          <w:szCs w:val="24"/>
        </w:rPr>
        <w:t xml:space="preserve">REC tracker </w:t>
      </w:r>
      <w:r w:rsidR="00925E46" w:rsidRPr="00FD07C8">
        <w:rPr>
          <w:rFonts w:ascii="Times New Roman" w:hAnsi="Times New Roman"/>
          <w:szCs w:val="24"/>
        </w:rPr>
        <w:t>proposals</w:t>
      </w:r>
      <w:r w:rsidR="0045608B" w:rsidRPr="00FD07C8">
        <w:rPr>
          <w:rFonts w:ascii="Times New Roman" w:hAnsi="Times New Roman"/>
          <w:szCs w:val="24"/>
        </w:rPr>
        <w:t>, especially when the adop</w:t>
      </w:r>
      <w:r w:rsidR="0036717E" w:rsidRPr="00FD07C8">
        <w:rPr>
          <w:rFonts w:ascii="Times New Roman" w:hAnsi="Times New Roman"/>
          <w:szCs w:val="24"/>
        </w:rPr>
        <w:t xml:space="preserve">tion of their proposals would </w:t>
      </w:r>
      <w:r w:rsidR="0045608B" w:rsidRPr="00FD07C8">
        <w:rPr>
          <w:rFonts w:ascii="Times New Roman" w:hAnsi="Times New Roman"/>
          <w:szCs w:val="24"/>
        </w:rPr>
        <w:t>e</w:t>
      </w:r>
      <w:r w:rsidR="0036717E" w:rsidRPr="00FD07C8">
        <w:rPr>
          <w:rFonts w:ascii="Times New Roman" w:hAnsi="Times New Roman"/>
          <w:szCs w:val="24"/>
        </w:rPr>
        <w:t>liminate the Company’s ability to earn its rate of return.</w:t>
      </w:r>
      <w:r w:rsidR="00925E46" w:rsidRPr="00FD07C8">
        <w:rPr>
          <w:rFonts w:ascii="Times New Roman" w:hAnsi="Times New Roman"/>
          <w:szCs w:val="24"/>
        </w:rPr>
        <w:t xml:space="preserve">  </w:t>
      </w:r>
    </w:p>
    <w:p w:rsidR="001B1EB8" w:rsidRPr="00FD07C8" w:rsidRDefault="001C3CC9" w:rsidP="00F658E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1B1EB8" w:rsidRPr="00FD07C8">
        <w:rPr>
          <w:rFonts w:ascii="Times New Roman" w:hAnsi="Times New Roman"/>
          <w:szCs w:val="24"/>
        </w:rPr>
        <w:t>T</w:t>
      </w:r>
      <w:r w:rsidR="00EC1EC1" w:rsidRPr="00FD07C8">
        <w:rPr>
          <w:rFonts w:ascii="Times New Roman" w:hAnsi="Times New Roman"/>
          <w:szCs w:val="24"/>
        </w:rPr>
        <w:t xml:space="preserve">he </w:t>
      </w:r>
      <w:r w:rsidR="00A36793" w:rsidRPr="00FD07C8">
        <w:fldChar w:fldCharType="begin"/>
      </w:r>
      <w:r w:rsidR="00CC6CF0" w:rsidRPr="00FD07C8">
        <w:instrText xml:space="preserve"> ADDIN BA \xc &lt;@reg&gt; \xl 21 \s NSKEHB000003 \l "</w:instrText>
      </w:r>
      <w:r w:rsidR="00CC6CF0" w:rsidRPr="00FD07C8">
        <w:rPr>
          <w:rFonts w:ascii="Times New Roman" w:hAnsi="Times New Roman"/>
          <w:szCs w:val="24"/>
        </w:rPr>
        <w:instrText>Commission’s Order 06</w:instrText>
      </w:r>
      <w:r w:rsidR="00CC6CF0" w:rsidRPr="00FD07C8">
        <w:instrText xml:space="preserve">" </w:instrText>
      </w:r>
      <w:r w:rsidR="00A36793" w:rsidRPr="00FD07C8">
        <w:fldChar w:fldCharType="end"/>
      </w:r>
      <w:bookmarkStart w:id="12" w:name="_BA_Cite_77"/>
      <w:r w:rsidR="00EC1EC1" w:rsidRPr="00FD07C8">
        <w:rPr>
          <w:rFonts w:ascii="Times New Roman" w:hAnsi="Times New Roman"/>
          <w:szCs w:val="24"/>
        </w:rPr>
        <w:t>Commission’s O</w:t>
      </w:r>
      <w:r w:rsidR="001B1EB8" w:rsidRPr="00FD07C8">
        <w:rPr>
          <w:rFonts w:ascii="Times New Roman" w:hAnsi="Times New Roman"/>
          <w:szCs w:val="24"/>
        </w:rPr>
        <w:t xml:space="preserve">rder </w:t>
      </w:r>
      <w:r w:rsidR="00EC1EC1" w:rsidRPr="00FD07C8">
        <w:rPr>
          <w:rFonts w:ascii="Times New Roman" w:hAnsi="Times New Roman"/>
          <w:szCs w:val="24"/>
        </w:rPr>
        <w:t>06</w:t>
      </w:r>
      <w:bookmarkEnd w:id="12"/>
      <w:r w:rsidR="001B1EB8" w:rsidRPr="00FD07C8">
        <w:rPr>
          <w:rFonts w:ascii="Times New Roman" w:hAnsi="Times New Roman"/>
          <w:szCs w:val="24"/>
        </w:rPr>
        <w:t xml:space="preserve"> clearly requested a detailed proposal for operation of a REC tracking mechanism going forward.</w:t>
      </w:r>
      <w:r w:rsidR="001B1EB8" w:rsidRPr="00FD07C8">
        <w:rPr>
          <w:rStyle w:val="FootnoteReference"/>
          <w:rFonts w:ascii="Times New Roman" w:hAnsi="Times New Roman"/>
          <w:szCs w:val="24"/>
        </w:rPr>
        <w:footnoteReference w:id="5"/>
      </w:r>
      <w:r w:rsidR="001B1EB8" w:rsidRPr="00FD07C8">
        <w:rPr>
          <w:rFonts w:ascii="Times New Roman" w:hAnsi="Times New Roman"/>
          <w:szCs w:val="24"/>
        </w:rPr>
        <w:t xml:space="preserve">  PacifiCorp’s REC track</w:t>
      </w:r>
      <w:r w:rsidR="00EC1EC1" w:rsidRPr="00FD07C8">
        <w:rPr>
          <w:rFonts w:ascii="Times New Roman" w:hAnsi="Times New Roman"/>
          <w:szCs w:val="24"/>
        </w:rPr>
        <w:t>er</w:t>
      </w:r>
      <w:r w:rsidR="001B1EB8" w:rsidRPr="00FD07C8">
        <w:rPr>
          <w:rFonts w:ascii="Times New Roman" w:hAnsi="Times New Roman"/>
          <w:szCs w:val="24"/>
        </w:rPr>
        <w:t xml:space="preserve"> proposal comprehensively responds to this req</w:t>
      </w:r>
      <w:r w:rsidR="00C15682" w:rsidRPr="00FD07C8">
        <w:rPr>
          <w:rFonts w:ascii="Times New Roman" w:hAnsi="Times New Roman"/>
          <w:szCs w:val="24"/>
        </w:rPr>
        <w:t>uest.  In contrast</w:t>
      </w:r>
      <w:r w:rsidR="00EC1EC1" w:rsidRPr="00FD07C8">
        <w:rPr>
          <w:rFonts w:ascii="Times New Roman" w:hAnsi="Times New Roman"/>
          <w:szCs w:val="24"/>
        </w:rPr>
        <w:t>, t</w:t>
      </w:r>
      <w:r w:rsidR="001B1EB8" w:rsidRPr="00FD07C8">
        <w:rPr>
          <w:rFonts w:ascii="Times New Roman" w:hAnsi="Times New Roman"/>
          <w:szCs w:val="24"/>
        </w:rPr>
        <w:t xml:space="preserve">he Responding Parties </w:t>
      </w:r>
      <w:r w:rsidR="00EC1EC1" w:rsidRPr="00FD07C8">
        <w:rPr>
          <w:rFonts w:ascii="Times New Roman" w:hAnsi="Times New Roman"/>
          <w:szCs w:val="24"/>
        </w:rPr>
        <w:t xml:space="preserve">have submitted tracker proposals designed to recover as much retroactive REC revenue as possible, without fully </w:t>
      </w:r>
      <w:r w:rsidR="00C15682" w:rsidRPr="00FD07C8">
        <w:rPr>
          <w:rFonts w:ascii="Times New Roman" w:hAnsi="Times New Roman"/>
          <w:szCs w:val="24"/>
        </w:rPr>
        <w:t>consider</w:t>
      </w:r>
      <w:r w:rsidR="00EC1EC1" w:rsidRPr="00FD07C8">
        <w:rPr>
          <w:rFonts w:ascii="Times New Roman" w:hAnsi="Times New Roman"/>
          <w:szCs w:val="24"/>
        </w:rPr>
        <w:t>ing</w:t>
      </w:r>
      <w:r w:rsidR="00C15682" w:rsidRPr="00FD07C8">
        <w:rPr>
          <w:rFonts w:ascii="Times New Roman" w:hAnsi="Times New Roman"/>
          <w:szCs w:val="24"/>
        </w:rPr>
        <w:t xml:space="preserve"> </w:t>
      </w:r>
      <w:r w:rsidR="001B1EB8" w:rsidRPr="00FD07C8">
        <w:rPr>
          <w:rFonts w:ascii="Times New Roman" w:hAnsi="Times New Roman"/>
          <w:szCs w:val="24"/>
        </w:rPr>
        <w:t>how the</w:t>
      </w:r>
      <w:r w:rsidR="00EC1EC1" w:rsidRPr="00FD07C8">
        <w:rPr>
          <w:rFonts w:ascii="Times New Roman" w:hAnsi="Times New Roman"/>
          <w:szCs w:val="24"/>
        </w:rPr>
        <w:t xml:space="preserve">se </w:t>
      </w:r>
      <w:r w:rsidR="001B1EB8" w:rsidRPr="00FD07C8">
        <w:rPr>
          <w:rFonts w:ascii="Times New Roman" w:hAnsi="Times New Roman"/>
          <w:szCs w:val="24"/>
        </w:rPr>
        <w:t xml:space="preserve">proposals </w:t>
      </w:r>
      <w:r w:rsidR="00EC1EC1" w:rsidRPr="00FD07C8">
        <w:rPr>
          <w:rFonts w:ascii="Times New Roman" w:hAnsi="Times New Roman"/>
          <w:szCs w:val="24"/>
        </w:rPr>
        <w:t xml:space="preserve">will operate </w:t>
      </w:r>
      <w:r w:rsidR="001A2417" w:rsidRPr="00FD07C8">
        <w:rPr>
          <w:rFonts w:ascii="Times New Roman" w:hAnsi="Times New Roman"/>
          <w:szCs w:val="24"/>
        </w:rPr>
        <w:t>on a forward-</w:t>
      </w:r>
      <w:r w:rsidR="001B1EB8" w:rsidRPr="00FD07C8">
        <w:rPr>
          <w:rFonts w:ascii="Times New Roman" w:hAnsi="Times New Roman"/>
          <w:szCs w:val="24"/>
        </w:rPr>
        <w:t>looking basis.  As explained in the Company’s response the Commission’s Ben</w:t>
      </w:r>
      <w:r w:rsidR="00EC1EC1" w:rsidRPr="00FD07C8">
        <w:rPr>
          <w:rFonts w:ascii="Times New Roman" w:hAnsi="Times New Roman"/>
          <w:szCs w:val="24"/>
        </w:rPr>
        <w:t xml:space="preserve">ch </w:t>
      </w:r>
      <w:r w:rsidR="00A36793" w:rsidRPr="00FD07C8">
        <w:fldChar w:fldCharType="begin"/>
      </w:r>
      <w:r w:rsidR="00CC6CF0" w:rsidRPr="00FD07C8">
        <w:instrText xml:space="preserve"> ADDIN BA \xc &lt;@admproc&gt; \xl 9 \s NSKEHB000005 \l "</w:instrText>
      </w:r>
      <w:r w:rsidR="00CC6CF0" w:rsidRPr="00FD07C8">
        <w:rPr>
          <w:rFonts w:ascii="Times New Roman" w:hAnsi="Times New Roman"/>
          <w:szCs w:val="24"/>
        </w:rPr>
        <w:instrText>Request 8</w:instrText>
      </w:r>
      <w:r w:rsidR="00CC6CF0" w:rsidRPr="00FD07C8">
        <w:instrText xml:space="preserve">" </w:instrText>
      </w:r>
      <w:r w:rsidR="00A36793" w:rsidRPr="00FD07C8">
        <w:fldChar w:fldCharType="end"/>
      </w:r>
      <w:bookmarkStart w:id="14" w:name="_BA_Cite_79"/>
      <w:r w:rsidR="00EC1EC1" w:rsidRPr="00FD07C8">
        <w:rPr>
          <w:rFonts w:ascii="Times New Roman" w:hAnsi="Times New Roman"/>
          <w:szCs w:val="24"/>
        </w:rPr>
        <w:t>Request</w:t>
      </w:r>
      <w:r w:rsidR="00DA77E6" w:rsidRPr="00FD07C8">
        <w:rPr>
          <w:rFonts w:ascii="Times New Roman" w:hAnsi="Times New Roman"/>
          <w:szCs w:val="24"/>
        </w:rPr>
        <w:t xml:space="preserve"> 8</w:t>
      </w:r>
      <w:bookmarkEnd w:id="14"/>
      <w:r w:rsidR="00EC1EC1" w:rsidRPr="00FD07C8">
        <w:rPr>
          <w:rFonts w:ascii="Times New Roman" w:hAnsi="Times New Roman"/>
          <w:szCs w:val="24"/>
        </w:rPr>
        <w:t xml:space="preserve">, </w:t>
      </w:r>
      <w:r w:rsidR="001B1EB8" w:rsidRPr="00FD07C8">
        <w:rPr>
          <w:rFonts w:ascii="Times New Roman" w:hAnsi="Times New Roman"/>
          <w:szCs w:val="24"/>
        </w:rPr>
        <w:t>Staff only applied its REC track</w:t>
      </w:r>
      <w:r w:rsidR="00EC1EC1" w:rsidRPr="00FD07C8">
        <w:rPr>
          <w:rFonts w:ascii="Times New Roman" w:hAnsi="Times New Roman"/>
          <w:szCs w:val="24"/>
        </w:rPr>
        <w:t>er</w:t>
      </w:r>
      <w:r w:rsidR="001B1EB8" w:rsidRPr="00FD07C8">
        <w:rPr>
          <w:rFonts w:ascii="Times New Roman" w:hAnsi="Times New Roman"/>
          <w:szCs w:val="24"/>
        </w:rPr>
        <w:t xml:space="preserve"> calculation to 2009 and 2010 REC revenues and failed to address how its </w:t>
      </w:r>
      <w:r w:rsidR="00EC1EC1" w:rsidRPr="00FD07C8">
        <w:rPr>
          <w:rFonts w:ascii="Times New Roman" w:hAnsi="Times New Roman"/>
          <w:szCs w:val="24"/>
        </w:rPr>
        <w:t>R</w:t>
      </w:r>
      <w:r w:rsidR="001B1EB8" w:rsidRPr="00FD07C8">
        <w:rPr>
          <w:rFonts w:ascii="Times New Roman" w:hAnsi="Times New Roman"/>
          <w:szCs w:val="24"/>
        </w:rPr>
        <w:t xml:space="preserve">EC tracker proposal could be applied on a forward-looking basis now that the Company is </w:t>
      </w:r>
      <w:r w:rsidR="007A6D61" w:rsidRPr="00FD07C8">
        <w:rPr>
          <w:rFonts w:ascii="Times New Roman" w:hAnsi="Times New Roman"/>
          <w:szCs w:val="24"/>
        </w:rPr>
        <w:t>holding</w:t>
      </w:r>
      <w:r w:rsidR="001B1EB8" w:rsidRPr="00FD07C8">
        <w:rPr>
          <w:rFonts w:ascii="Times New Roman" w:hAnsi="Times New Roman"/>
          <w:szCs w:val="24"/>
        </w:rPr>
        <w:t xml:space="preserve"> RECs for Washington</w:t>
      </w:r>
      <w:r w:rsidR="007A6D61" w:rsidRPr="00FD07C8">
        <w:rPr>
          <w:rFonts w:ascii="Times New Roman" w:hAnsi="Times New Roman"/>
          <w:szCs w:val="24"/>
        </w:rPr>
        <w:t xml:space="preserve"> renewable portfolio standard (RPS) compliance</w:t>
      </w:r>
      <w:r w:rsidR="001B1EB8" w:rsidRPr="00FD07C8">
        <w:rPr>
          <w:rFonts w:ascii="Times New Roman" w:hAnsi="Times New Roman"/>
          <w:szCs w:val="24"/>
        </w:rPr>
        <w:t>.</w:t>
      </w:r>
      <w:r w:rsidR="001B1EB8" w:rsidRPr="00FD07C8">
        <w:rPr>
          <w:rStyle w:val="FootnoteReference"/>
          <w:rFonts w:ascii="Times New Roman" w:hAnsi="Times New Roman"/>
          <w:szCs w:val="24"/>
        </w:rPr>
        <w:footnoteReference w:id="6"/>
      </w:r>
      <w:r w:rsidR="001B1EB8" w:rsidRPr="00FD07C8">
        <w:rPr>
          <w:rFonts w:ascii="Times New Roman" w:hAnsi="Times New Roman"/>
          <w:szCs w:val="24"/>
        </w:rPr>
        <w:t xml:space="preserve">  This Commission </w:t>
      </w:r>
      <w:r w:rsidR="00EC1EC1" w:rsidRPr="00FD07C8">
        <w:rPr>
          <w:rFonts w:ascii="Times New Roman" w:hAnsi="Times New Roman"/>
          <w:szCs w:val="24"/>
        </w:rPr>
        <w:t xml:space="preserve">should reject Responding Parties’ </w:t>
      </w:r>
      <w:r w:rsidR="00EF6455" w:rsidRPr="00FD07C8">
        <w:rPr>
          <w:rFonts w:ascii="Times New Roman" w:hAnsi="Times New Roman"/>
          <w:szCs w:val="24"/>
        </w:rPr>
        <w:t xml:space="preserve">REC </w:t>
      </w:r>
      <w:r w:rsidR="00EC1EC1" w:rsidRPr="00FD07C8">
        <w:rPr>
          <w:rFonts w:ascii="Times New Roman" w:hAnsi="Times New Roman"/>
          <w:szCs w:val="24"/>
        </w:rPr>
        <w:t xml:space="preserve">tracker proposals not just because they are illegal and unfair, but also because </w:t>
      </w:r>
      <w:r w:rsidR="00BE25FD" w:rsidRPr="00FD07C8">
        <w:rPr>
          <w:rFonts w:ascii="Times New Roman" w:hAnsi="Times New Roman"/>
          <w:szCs w:val="24"/>
        </w:rPr>
        <w:t>in Staff’s case it is</w:t>
      </w:r>
      <w:r w:rsidR="00EC1EC1" w:rsidRPr="00FD07C8">
        <w:rPr>
          <w:rFonts w:ascii="Times New Roman" w:hAnsi="Times New Roman"/>
          <w:szCs w:val="24"/>
        </w:rPr>
        <w:t xml:space="preserve"> unworkable</w:t>
      </w:r>
      <w:r w:rsidR="001B1EB8" w:rsidRPr="00FD07C8">
        <w:rPr>
          <w:rFonts w:ascii="Times New Roman" w:hAnsi="Times New Roman"/>
          <w:szCs w:val="24"/>
        </w:rPr>
        <w:t xml:space="preserve">.  </w:t>
      </w:r>
    </w:p>
    <w:p w:rsidR="008E3366" w:rsidRPr="00FD07C8" w:rsidRDefault="00BC6AA7" w:rsidP="008E3366">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8E3366" w:rsidRPr="00FD07C8">
        <w:rPr>
          <w:rFonts w:ascii="Times New Roman" w:hAnsi="Times New Roman"/>
          <w:szCs w:val="24"/>
        </w:rPr>
        <w:t xml:space="preserve">The Commission’s ultimate charge is to “regulate </w:t>
      </w:r>
      <w:r w:rsidR="008E3366" w:rsidRPr="00FD07C8">
        <w:rPr>
          <w:iCs/>
        </w:rPr>
        <w:t>in the public interest.”</w:t>
      </w:r>
      <w:r w:rsidR="008E3366" w:rsidRPr="00FD07C8">
        <w:rPr>
          <w:rStyle w:val="FootnoteReference"/>
          <w:iCs/>
        </w:rPr>
        <w:footnoteReference w:id="7"/>
      </w:r>
      <w:r w:rsidR="008E3366" w:rsidRPr="00FD07C8">
        <w:rPr>
          <w:iCs/>
        </w:rPr>
        <w:t xml:space="preserve">  The Commission has found that “[r]</w:t>
      </w:r>
      <w:proofErr w:type="spellStart"/>
      <w:r w:rsidR="008E3366" w:rsidRPr="00FD07C8">
        <w:t>egulating</w:t>
      </w:r>
      <w:proofErr w:type="spellEnd"/>
      <w:r w:rsidR="008E3366" w:rsidRPr="00FD07C8">
        <w:t xml:space="preserve"> in the public interest</w:t>
      </w:r>
      <w:bookmarkStart w:id="17" w:name="FN81"/>
      <w:bookmarkEnd w:id="17"/>
      <w:r w:rsidR="008E3366" w:rsidRPr="00FD07C8">
        <w:t xml:space="preserve"> means regulating consistently with laws, rules, and pertinent prior decisions.  Doing so provides </w:t>
      </w:r>
      <w:bookmarkStart w:id="18" w:name="SR;13736"/>
      <w:bookmarkEnd w:id="18"/>
      <w:r w:rsidR="008E3366" w:rsidRPr="00FD07C8">
        <w:t xml:space="preserve">certainty, consistency, and </w:t>
      </w:r>
      <w:r w:rsidR="008E3366" w:rsidRPr="00FD07C8">
        <w:rPr>
          <w:rFonts w:ascii="Times New Roman" w:hAnsi="Times New Roman"/>
          <w:szCs w:val="24"/>
        </w:rPr>
        <w:t>fairness</w:t>
      </w:r>
      <w:r w:rsidR="008E3366" w:rsidRPr="00FD07C8">
        <w:t xml:space="preserve"> to both </w:t>
      </w:r>
      <w:bookmarkStart w:id="19" w:name="SR;13742"/>
      <w:bookmarkEnd w:id="19"/>
      <w:r w:rsidR="008E3366" w:rsidRPr="00FD07C8">
        <w:t>utility companies and their customers.”</w:t>
      </w:r>
      <w:r w:rsidR="008E3366" w:rsidRPr="00FD07C8">
        <w:rPr>
          <w:rStyle w:val="FootnoteReference"/>
        </w:rPr>
        <w:footnoteReference w:id="8"/>
      </w:r>
      <w:r w:rsidR="008E3366" w:rsidRPr="00FD07C8">
        <w:t xml:space="preserve">  To approve the </w:t>
      </w:r>
      <w:r w:rsidR="0045608B" w:rsidRPr="00FD07C8">
        <w:t>Responding P</w:t>
      </w:r>
      <w:r w:rsidR="008E3366" w:rsidRPr="00FD07C8">
        <w:t xml:space="preserve">arties’ proposals </w:t>
      </w:r>
      <w:r w:rsidR="00C15B76" w:rsidRPr="00FD07C8">
        <w:t xml:space="preserve">for </w:t>
      </w:r>
      <w:r w:rsidR="008E3366" w:rsidRPr="00FD07C8">
        <w:t xml:space="preserve">recovery of 2009 and 2010 REC revenues, the Commission must either contort its ratemaking policies to find that the proposals do not constitute retroactive ratemaking, or develop an unprecedented and one-sided exception to the rule against retroactive ratemaking.  </w:t>
      </w:r>
      <w:r w:rsidR="0045608B" w:rsidRPr="00FD07C8">
        <w:t xml:space="preserve">Such </w:t>
      </w:r>
      <w:r w:rsidR="008E3366" w:rsidRPr="00FD07C8">
        <w:t>outcomes are inconsistent with the Commission’s mandate to regulate in the public interest to ensure “certa</w:t>
      </w:r>
      <w:r w:rsidR="00435AA3" w:rsidRPr="00FD07C8">
        <w:t>inty, consistency, and fairness</w:t>
      </w:r>
      <w:r w:rsidR="0045608B" w:rsidRPr="00FD07C8">
        <w:t>.</w:t>
      </w:r>
      <w:r w:rsidR="008E3366" w:rsidRPr="00FD07C8">
        <w:t>”</w:t>
      </w:r>
      <w:r w:rsidR="00435AA3" w:rsidRPr="00FD07C8">
        <w:t xml:space="preserve"> </w:t>
      </w:r>
    </w:p>
    <w:p w:rsidR="00973298" w:rsidRPr="00FD07C8" w:rsidRDefault="004E5505" w:rsidP="004F1D7F">
      <w:pPr>
        <w:pStyle w:val="Heading1"/>
      </w:pPr>
      <w:bookmarkStart w:id="21" w:name="_Toc308096699"/>
      <w:bookmarkStart w:id="22" w:name="_Toc308097457"/>
      <w:bookmarkStart w:id="23" w:name="_Toc309373935"/>
      <w:r w:rsidRPr="00FD07C8">
        <w:t>II.</w:t>
      </w:r>
      <w:r w:rsidRPr="00FD07C8">
        <w:tab/>
      </w:r>
      <w:bookmarkStart w:id="24" w:name="_Toc308096711"/>
      <w:bookmarkStart w:id="25" w:name="_Toc308097469"/>
      <w:bookmarkEnd w:id="21"/>
      <w:bookmarkEnd w:id="22"/>
      <w:r w:rsidR="004E564F" w:rsidRPr="00FD07C8">
        <w:t>DISCUSSION</w:t>
      </w:r>
      <w:bookmarkEnd w:id="24"/>
      <w:bookmarkEnd w:id="25"/>
      <w:bookmarkEnd w:id="23"/>
    </w:p>
    <w:p w:rsidR="0036717E" w:rsidRPr="00FD07C8" w:rsidRDefault="00472EF2" w:rsidP="004F1D7F">
      <w:pPr>
        <w:pStyle w:val="Heading2"/>
      </w:pPr>
      <w:bookmarkStart w:id="26" w:name="_Toc309373936"/>
      <w:r w:rsidRPr="00FD07C8">
        <w:t>A.</w:t>
      </w:r>
      <w:r w:rsidRPr="00FD07C8">
        <w:tab/>
      </w:r>
      <w:r w:rsidR="0036717E" w:rsidRPr="00FD07C8">
        <w:t xml:space="preserve">Staff, Public Counsel, and ICNU </w:t>
      </w:r>
      <w:r w:rsidR="003171AD" w:rsidRPr="00FD07C8">
        <w:t>Unpersuasively Attempt to Distort Normal Test Year Conventions to Evade</w:t>
      </w:r>
      <w:r w:rsidR="0036717E" w:rsidRPr="00FD07C8">
        <w:t xml:space="preserve"> the </w:t>
      </w:r>
      <w:r w:rsidRPr="00FD07C8">
        <w:t>R</w:t>
      </w:r>
      <w:r w:rsidR="0036717E" w:rsidRPr="00FD07C8">
        <w:t xml:space="preserve">ule against </w:t>
      </w:r>
      <w:r w:rsidRPr="00FD07C8">
        <w:t>R</w:t>
      </w:r>
      <w:r w:rsidR="0036717E" w:rsidRPr="00FD07C8">
        <w:t xml:space="preserve">etroactive </w:t>
      </w:r>
      <w:r w:rsidRPr="00FD07C8">
        <w:t>R</w:t>
      </w:r>
      <w:r w:rsidR="003171AD" w:rsidRPr="00FD07C8">
        <w:t>atemaking</w:t>
      </w:r>
      <w:r w:rsidR="0036717E" w:rsidRPr="00FD07C8">
        <w:t>.</w:t>
      </w:r>
      <w:bookmarkEnd w:id="26"/>
    </w:p>
    <w:p w:rsidR="0045608B" w:rsidRPr="00FD07C8" w:rsidRDefault="00BC6AA7" w:rsidP="007F077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 xml:space="preserve">The </w:t>
      </w:r>
      <w:r w:rsidR="0045608B" w:rsidRPr="00FD07C8">
        <w:rPr>
          <w:rFonts w:ascii="Times New Roman" w:hAnsi="Times New Roman"/>
          <w:szCs w:val="24"/>
        </w:rPr>
        <w:t>Responding P</w:t>
      </w:r>
      <w:r w:rsidR="0036717E" w:rsidRPr="00FD07C8">
        <w:rPr>
          <w:rFonts w:ascii="Times New Roman" w:hAnsi="Times New Roman"/>
          <w:szCs w:val="24"/>
        </w:rPr>
        <w:t xml:space="preserve">arties claim that allowing REC revenues </w:t>
      </w:r>
      <w:r w:rsidR="00B517DC" w:rsidRPr="00FD07C8">
        <w:rPr>
          <w:rFonts w:ascii="Times New Roman" w:hAnsi="Times New Roman"/>
          <w:szCs w:val="24"/>
        </w:rPr>
        <w:t>from 2009</w:t>
      </w:r>
      <w:r w:rsidR="00D01BFA" w:rsidRPr="00FD07C8">
        <w:rPr>
          <w:rFonts w:ascii="Times New Roman" w:hAnsi="Times New Roman"/>
          <w:szCs w:val="24"/>
        </w:rPr>
        <w:t xml:space="preserve"> through</w:t>
      </w:r>
      <w:r w:rsidR="00B517DC" w:rsidRPr="00FD07C8">
        <w:rPr>
          <w:rFonts w:ascii="Times New Roman" w:hAnsi="Times New Roman"/>
          <w:szCs w:val="24"/>
        </w:rPr>
        <w:t xml:space="preserve"> 2011 </w:t>
      </w:r>
      <w:r w:rsidR="0036717E" w:rsidRPr="00FD07C8">
        <w:rPr>
          <w:rFonts w:ascii="Times New Roman" w:hAnsi="Times New Roman"/>
          <w:szCs w:val="24"/>
        </w:rPr>
        <w:t xml:space="preserve">in rates </w:t>
      </w:r>
      <w:r w:rsidR="00D01BFA" w:rsidRPr="00FD07C8">
        <w:rPr>
          <w:rFonts w:ascii="Times New Roman" w:hAnsi="Times New Roman"/>
          <w:szCs w:val="24"/>
        </w:rPr>
        <w:t xml:space="preserve">in this case </w:t>
      </w:r>
      <w:r w:rsidR="0036717E" w:rsidRPr="00FD07C8">
        <w:rPr>
          <w:rFonts w:ascii="Times New Roman" w:hAnsi="Times New Roman"/>
          <w:szCs w:val="24"/>
        </w:rPr>
        <w:t xml:space="preserve">does not constitute retroactive ratemaking because </w:t>
      </w:r>
      <w:r w:rsidR="00750F10" w:rsidRPr="00FD07C8">
        <w:rPr>
          <w:rFonts w:ascii="Times New Roman" w:hAnsi="Times New Roman"/>
          <w:szCs w:val="24"/>
        </w:rPr>
        <w:t>certain REC</w:t>
      </w:r>
      <w:r w:rsidR="0036717E" w:rsidRPr="00FD07C8">
        <w:rPr>
          <w:rFonts w:ascii="Times New Roman" w:hAnsi="Times New Roman"/>
          <w:szCs w:val="24"/>
        </w:rPr>
        <w:t xml:space="preserve"> revenues were included in the </w:t>
      </w:r>
      <w:r w:rsidR="0045608B" w:rsidRPr="00FD07C8">
        <w:rPr>
          <w:rFonts w:ascii="Times New Roman" w:hAnsi="Times New Roman"/>
          <w:szCs w:val="24"/>
        </w:rPr>
        <w:t xml:space="preserve">2009 </w:t>
      </w:r>
      <w:r w:rsidR="0036717E" w:rsidRPr="00FD07C8">
        <w:rPr>
          <w:rFonts w:ascii="Times New Roman" w:hAnsi="Times New Roman"/>
          <w:szCs w:val="24"/>
        </w:rPr>
        <w:t>test period in this proceeding.</w:t>
      </w:r>
      <w:r w:rsidR="007741DC" w:rsidRPr="00FD07C8">
        <w:rPr>
          <w:rStyle w:val="FootnoteReference"/>
          <w:rFonts w:ascii="Times New Roman" w:hAnsi="Times New Roman"/>
          <w:szCs w:val="24"/>
        </w:rPr>
        <w:footnoteReference w:id="9"/>
      </w:r>
      <w:r w:rsidR="00676789" w:rsidRPr="00FD07C8">
        <w:rPr>
          <w:rFonts w:ascii="Times New Roman" w:hAnsi="Times New Roman"/>
          <w:szCs w:val="24"/>
        </w:rPr>
        <w:t xml:space="preserve">  </w:t>
      </w:r>
      <w:r w:rsidR="00F06980" w:rsidRPr="00FD07C8">
        <w:rPr>
          <w:rFonts w:ascii="Times New Roman" w:hAnsi="Times New Roman"/>
          <w:szCs w:val="24"/>
        </w:rPr>
        <w:t>Th</w:t>
      </w:r>
      <w:r w:rsidR="0045608B" w:rsidRPr="00FD07C8">
        <w:rPr>
          <w:rFonts w:ascii="Times New Roman" w:hAnsi="Times New Roman"/>
          <w:szCs w:val="24"/>
        </w:rPr>
        <w:t>is</w:t>
      </w:r>
      <w:r w:rsidR="00F06980" w:rsidRPr="00FD07C8">
        <w:rPr>
          <w:rFonts w:ascii="Times New Roman" w:hAnsi="Times New Roman"/>
          <w:szCs w:val="24"/>
        </w:rPr>
        <w:t xml:space="preserve"> </w:t>
      </w:r>
      <w:r w:rsidR="00C15B76" w:rsidRPr="00FD07C8">
        <w:rPr>
          <w:rFonts w:ascii="Times New Roman" w:hAnsi="Times New Roman"/>
          <w:szCs w:val="24"/>
        </w:rPr>
        <w:t xml:space="preserve">“test period” </w:t>
      </w:r>
      <w:r w:rsidR="00F06980" w:rsidRPr="00FD07C8">
        <w:rPr>
          <w:rFonts w:ascii="Times New Roman" w:hAnsi="Times New Roman"/>
          <w:szCs w:val="24"/>
        </w:rPr>
        <w:t xml:space="preserve">argument </w:t>
      </w:r>
      <w:r w:rsidR="00BC1010" w:rsidRPr="00FD07C8">
        <w:rPr>
          <w:rFonts w:ascii="Times New Roman" w:hAnsi="Times New Roman"/>
          <w:szCs w:val="24"/>
        </w:rPr>
        <w:t xml:space="preserve">is inconsistent with </w:t>
      </w:r>
      <w:r w:rsidR="00676789" w:rsidRPr="00FD07C8">
        <w:rPr>
          <w:rFonts w:ascii="Times New Roman" w:hAnsi="Times New Roman"/>
          <w:szCs w:val="24"/>
        </w:rPr>
        <w:t>the Commission’s ratemaking p</w:t>
      </w:r>
      <w:r w:rsidR="007F0777" w:rsidRPr="00FD07C8">
        <w:rPr>
          <w:rFonts w:ascii="Times New Roman" w:hAnsi="Times New Roman"/>
          <w:szCs w:val="24"/>
        </w:rPr>
        <w:t>rocess</w:t>
      </w:r>
      <w:r w:rsidR="00BC1010" w:rsidRPr="00FD07C8">
        <w:rPr>
          <w:rFonts w:ascii="Times New Roman" w:hAnsi="Times New Roman"/>
          <w:szCs w:val="24"/>
        </w:rPr>
        <w:t xml:space="preserve"> and the evidence in this case</w:t>
      </w:r>
      <w:r w:rsidR="007F0777" w:rsidRPr="00FD07C8">
        <w:rPr>
          <w:rFonts w:ascii="Times New Roman" w:hAnsi="Times New Roman"/>
          <w:szCs w:val="24"/>
        </w:rPr>
        <w:t>.</w:t>
      </w:r>
      <w:r w:rsidR="00676789" w:rsidRPr="00FD07C8">
        <w:rPr>
          <w:rFonts w:ascii="Times New Roman" w:hAnsi="Times New Roman"/>
          <w:szCs w:val="24"/>
        </w:rPr>
        <w:t xml:space="preserve">  </w:t>
      </w:r>
      <w:r w:rsidR="007F0777" w:rsidRPr="00FD07C8">
        <w:rPr>
          <w:rFonts w:ascii="Times New Roman" w:hAnsi="Times New Roman"/>
          <w:szCs w:val="24"/>
        </w:rPr>
        <w:t xml:space="preserve">As the Company explained in its Initial Post-Hearing </w:t>
      </w:r>
      <w:r w:rsidR="00204E0E">
        <w:rPr>
          <w:rFonts w:ascii="Times New Roman" w:hAnsi="Times New Roman"/>
          <w:szCs w:val="24"/>
        </w:rPr>
        <w:t>B</w:t>
      </w:r>
      <w:r w:rsidR="007F0777" w:rsidRPr="00FD07C8">
        <w:rPr>
          <w:rFonts w:ascii="Times New Roman" w:hAnsi="Times New Roman"/>
          <w:szCs w:val="24"/>
        </w:rPr>
        <w:t>rief, t</w:t>
      </w:r>
      <w:r w:rsidR="00676789" w:rsidRPr="00FD07C8">
        <w:rPr>
          <w:rFonts w:ascii="Times New Roman" w:hAnsi="Times New Roman"/>
          <w:szCs w:val="24"/>
        </w:rPr>
        <w:t>he Commission makes known and measurable changes to test period results to develop rates for the rate effective period.</w:t>
      </w:r>
      <w:r w:rsidR="00AA77CD" w:rsidRPr="00FD07C8">
        <w:rPr>
          <w:rStyle w:val="FootnoteReference"/>
          <w:rFonts w:ascii="Times New Roman" w:hAnsi="Times New Roman"/>
          <w:szCs w:val="24"/>
        </w:rPr>
        <w:footnoteReference w:id="10"/>
      </w:r>
      <w:r w:rsidR="00676789" w:rsidRPr="00FD07C8">
        <w:rPr>
          <w:rFonts w:ascii="Times New Roman" w:hAnsi="Times New Roman"/>
          <w:szCs w:val="24"/>
        </w:rPr>
        <w:t xml:space="preserve">  To be known and measurable, adjustments to test year operations must be known to have occurred during the test </w:t>
      </w:r>
      <w:r w:rsidR="00676789" w:rsidRPr="00FD07C8">
        <w:rPr>
          <w:rFonts w:ascii="Times New Roman" w:hAnsi="Times New Roman"/>
          <w:szCs w:val="24"/>
        </w:rPr>
        <w:lastRenderedPageBreak/>
        <w:t xml:space="preserve">year </w:t>
      </w:r>
      <w:r w:rsidR="00676789" w:rsidRPr="00FD07C8">
        <w:rPr>
          <w:rFonts w:ascii="Times New Roman" w:hAnsi="Times New Roman"/>
          <w:i/>
          <w:szCs w:val="24"/>
        </w:rPr>
        <w:t xml:space="preserve">and </w:t>
      </w:r>
      <w:r w:rsidR="00676789" w:rsidRPr="00FD07C8">
        <w:rPr>
          <w:rFonts w:ascii="Times New Roman" w:hAnsi="Times New Roman"/>
          <w:szCs w:val="24"/>
        </w:rPr>
        <w:t>“[</w:t>
      </w:r>
      <w:proofErr w:type="spellStart"/>
      <w:r w:rsidR="00676789" w:rsidRPr="00FD07C8">
        <w:rPr>
          <w:rFonts w:ascii="Times New Roman" w:hAnsi="Times New Roman"/>
          <w:szCs w:val="24"/>
        </w:rPr>
        <w:t>i</w:t>
      </w:r>
      <w:proofErr w:type="spellEnd"/>
      <w:r w:rsidR="00676789" w:rsidRPr="00FD07C8">
        <w:rPr>
          <w:rFonts w:ascii="Times New Roman" w:hAnsi="Times New Roman"/>
          <w:szCs w:val="24"/>
        </w:rPr>
        <w:t>]t must also be demonstrated (</w:t>
      </w:r>
      <w:r w:rsidR="00676789" w:rsidRPr="00FD07C8">
        <w:rPr>
          <w:rFonts w:ascii="Times New Roman" w:hAnsi="Times New Roman"/>
          <w:i/>
          <w:szCs w:val="24"/>
        </w:rPr>
        <w:t>i.e.</w:t>
      </w:r>
      <w:r w:rsidR="00676789" w:rsidRPr="00FD07C8">
        <w:rPr>
          <w:rFonts w:ascii="Times New Roman" w:hAnsi="Times New Roman"/>
          <w:szCs w:val="24"/>
        </w:rPr>
        <w:t xml:space="preserve">, </w:t>
      </w:r>
      <w:r w:rsidR="00676789" w:rsidRPr="00FD07C8">
        <w:rPr>
          <w:rFonts w:ascii="Times New Roman" w:hAnsi="Times New Roman"/>
          <w:i/>
          <w:szCs w:val="24"/>
        </w:rPr>
        <w:t>known</w:t>
      </w:r>
      <w:r w:rsidR="00676789" w:rsidRPr="00FD07C8">
        <w:rPr>
          <w:rFonts w:ascii="Times New Roman" w:hAnsi="Times New Roman"/>
          <w:szCs w:val="24"/>
        </w:rPr>
        <w:t>) that the effect of the event will be in place during the 12-month period when rates will likely be in effect.”</w:t>
      </w:r>
      <w:r w:rsidR="00AA77CD" w:rsidRPr="00FD07C8">
        <w:rPr>
          <w:rStyle w:val="FootnoteReference"/>
          <w:rFonts w:ascii="Times New Roman" w:hAnsi="Times New Roman"/>
          <w:szCs w:val="24"/>
        </w:rPr>
        <w:footnoteReference w:id="11"/>
      </w:r>
      <w:r w:rsidR="00676789" w:rsidRPr="00FD07C8">
        <w:rPr>
          <w:rFonts w:ascii="Times New Roman" w:hAnsi="Times New Roman"/>
          <w:szCs w:val="24"/>
        </w:rPr>
        <w:t xml:space="preserve">  </w:t>
      </w:r>
    </w:p>
    <w:p w:rsidR="0036717E" w:rsidRPr="00FD07C8" w:rsidRDefault="00B42D8A" w:rsidP="007F077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7F0777" w:rsidRPr="00FD07C8">
        <w:rPr>
          <w:rFonts w:ascii="Times New Roman" w:hAnsi="Times New Roman"/>
          <w:szCs w:val="24"/>
        </w:rPr>
        <w:t>In this case, t</w:t>
      </w:r>
      <w:r w:rsidR="0036717E" w:rsidRPr="00FD07C8">
        <w:rPr>
          <w:rFonts w:ascii="Times New Roman" w:hAnsi="Times New Roman"/>
          <w:szCs w:val="24"/>
        </w:rPr>
        <w:t xml:space="preserve">he </w:t>
      </w:r>
      <w:r w:rsidR="000262C8" w:rsidRPr="00FD07C8">
        <w:rPr>
          <w:rFonts w:ascii="Times New Roman" w:hAnsi="Times New Roman"/>
          <w:szCs w:val="24"/>
        </w:rPr>
        <w:t>Responding P</w:t>
      </w:r>
      <w:r w:rsidR="0036717E" w:rsidRPr="00FD07C8">
        <w:rPr>
          <w:rFonts w:ascii="Times New Roman" w:hAnsi="Times New Roman"/>
          <w:szCs w:val="24"/>
        </w:rPr>
        <w:t>arties propose including three years of REC revenues in the 12-month rate effective period</w:t>
      </w:r>
      <w:r w:rsidR="007F0777" w:rsidRPr="00FD07C8">
        <w:rPr>
          <w:rFonts w:ascii="Times New Roman" w:hAnsi="Times New Roman"/>
          <w:szCs w:val="24"/>
        </w:rPr>
        <w:t>—</w:t>
      </w:r>
      <w:r w:rsidR="000262C8" w:rsidRPr="00FD07C8">
        <w:rPr>
          <w:rFonts w:ascii="Times New Roman" w:hAnsi="Times New Roman"/>
          <w:szCs w:val="24"/>
        </w:rPr>
        <w:t xml:space="preserve">actual and imputed </w:t>
      </w:r>
      <w:r w:rsidR="007F0777" w:rsidRPr="00FD07C8">
        <w:rPr>
          <w:rFonts w:ascii="Times New Roman" w:hAnsi="Times New Roman"/>
          <w:szCs w:val="24"/>
        </w:rPr>
        <w:t xml:space="preserve">2009 and 2010 REC revenues on top of the </w:t>
      </w:r>
      <w:r w:rsidR="0045608B" w:rsidRPr="00FD07C8">
        <w:rPr>
          <w:rFonts w:ascii="Times New Roman" w:hAnsi="Times New Roman"/>
          <w:szCs w:val="24"/>
        </w:rPr>
        <w:t>2011</w:t>
      </w:r>
      <w:r w:rsidR="008700EE" w:rsidRPr="00FD07C8">
        <w:rPr>
          <w:rFonts w:ascii="Times New Roman" w:hAnsi="Times New Roman"/>
          <w:szCs w:val="24"/>
        </w:rPr>
        <w:t xml:space="preserve"> rate effective period</w:t>
      </w:r>
      <w:r w:rsidR="0045608B" w:rsidRPr="00FD07C8">
        <w:rPr>
          <w:rFonts w:ascii="Times New Roman" w:hAnsi="Times New Roman"/>
          <w:szCs w:val="24"/>
        </w:rPr>
        <w:t xml:space="preserve"> </w:t>
      </w:r>
      <w:r w:rsidR="007F0777" w:rsidRPr="00FD07C8">
        <w:rPr>
          <w:rFonts w:ascii="Times New Roman" w:hAnsi="Times New Roman"/>
          <w:szCs w:val="24"/>
        </w:rPr>
        <w:t xml:space="preserve">REC revenues </w:t>
      </w:r>
      <w:r w:rsidR="0045608B" w:rsidRPr="00FD07C8">
        <w:rPr>
          <w:rFonts w:ascii="Times New Roman" w:hAnsi="Times New Roman"/>
          <w:szCs w:val="24"/>
        </w:rPr>
        <w:t xml:space="preserve">now </w:t>
      </w:r>
      <w:r w:rsidR="007F0777" w:rsidRPr="00FD07C8">
        <w:rPr>
          <w:rFonts w:ascii="Times New Roman" w:hAnsi="Times New Roman"/>
          <w:szCs w:val="24"/>
        </w:rPr>
        <w:t>included in rates</w:t>
      </w:r>
      <w:r w:rsidR="0036717E" w:rsidRPr="00FD07C8">
        <w:rPr>
          <w:rFonts w:ascii="Times New Roman" w:hAnsi="Times New Roman"/>
          <w:szCs w:val="24"/>
        </w:rPr>
        <w:t>.</w:t>
      </w:r>
      <w:r w:rsidR="007F0777" w:rsidRPr="00FD07C8">
        <w:rPr>
          <w:rStyle w:val="FootnoteReference"/>
          <w:rFonts w:ascii="Times New Roman" w:hAnsi="Times New Roman"/>
          <w:szCs w:val="24"/>
        </w:rPr>
        <w:footnoteReference w:id="12"/>
      </w:r>
      <w:r w:rsidR="007F0777" w:rsidRPr="00FD07C8">
        <w:rPr>
          <w:rFonts w:ascii="Times New Roman" w:hAnsi="Times New Roman"/>
          <w:szCs w:val="24"/>
        </w:rPr>
        <w:t xml:space="preserve">  </w:t>
      </w:r>
      <w:r w:rsidR="0036717E" w:rsidRPr="00FD07C8">
        <w:rPr>
          <w:rFonts w:ascii="Times New Roman" w:hAnsi="Times New Roman"/>
          <w:szCs w:val="24"/>
        </w:rPr>
        <w:t>There is no evidence in the record that demonstrates that REC revenues for the 12-month period beginning on April 3, 2011 will be over $</w:t>
      </w:r>
      <w:r w:rsidR="00D06599" w:rsidRPr="006C31E9">
        <w:rPr>
          <w:rFonts w:ascii="Times New Roman" w:hAnsi="Times New Roman"/>
          <w:szCs w:val="24"/>
          <w:highlight w:val="darkGray"/>
        </w:rPr>
        <w:t>********</w:t>
      </w:r>
      <w:r w:rsidR="0036717E" w:rsidRPr="00FD07C8">
        <w:rPr>
          <w:rFonts w:ascii="Times New Roman" w:hAnsi="Times New Roman"/>
          <w:szCs w:val="24"/>
        </w:rPr>
        <w:t xml:space="preserve">, which is what the </w:t>
      </w:r>
      <w:r w:rsidR="000262C8" w:rsidRPr="00FD07C8">
        <w:rPr>
          <w:rFonts w:ascii="Times New Roman" w:hAnsi="Times New Roman"/>
          <w:szCs w:val="24"/>
        </w:rPr>
        <w:t>Responding P</w:t>
      </w:r>
      <w:r w:rsidR="0036717E" w:rsidRPr="00FD07C8">
        <w:rPr>
          <w:rFonts w:ascii="Times New Roman" w:hAnsi="Times New Roman"/>
          <w:szCs w:val="24"/>
        </w:rPr>
        <w:t>arties have proposed including in rates for th</w:t>
      </w:r>
      <w:r w:rsidR="008A5F4A" w:rsidRPr="00FD07C8">
        <w:rPr>
          <w:rFonts w:ascii="Times New Roman" w:hAnsi="Times New Roman"/>
          <w:szCs w:val="24"/>
        </w:rPr>
        <w:t>e</w:t>
      </w:r>
      <w:r w:rsidR="0036717E" w:rsidRPr="00FD07C8">
        <w:rPr>
          <w:rFonts w:ascii="Times New Roman" w:hAnsi="Times New Roman"/>
          <w:szCs w:val="24"/>
        </w:rPr>
        <w:t xml:space="preserve"> </w:t>
      </w:r>
      <w:r w:rsidR="008A5F4A" w:rsidRPr="00FD07C8">
        <w:rPr>
          <w:rFonts w:ascii="Times New Roman" w:hAnsi="Times New Roman"/>
          <w:szCs w:val="24"/>
        </w:rPr>
        <w:t xml:space="preserve">rate </w:t>
      </w:r>
      <w:r w:rsidR="0036717E" w:rsidRPr="00FD07C8">
        <w:rPr>
          <w:rFonts w:ascii="Times New Roman" w:hAnsi="Times New Roman"/>
          <w:szCs w:val="24"/>
        </w:rPr>
        <w:t>year.</w:t>
      </w:r>
    </w:p>
    <w:p w:rsidR="007F0777" w:rsidRPr="00FD07C8" w:rsidRDefault="00B42D8A" w:rsidP="007F077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A27938" w:rsidRPr="00FD07C8">
        <w:rPr>
          <w:rFonts w:ascii="Times New Roman" w:hAnsi="Times New Roman"/>
          <w:szCs w:val="24"/>
        </w:rPr>
        <w:t>In addition to the fundamental problem associated with doubling up 2009 historic and 2011 projected REC revenues,</w:t>
      </w:r>
      <w:r w:rsidR="000262C8" w:rsidRPr="00FD07C8">
        <w:rPr>
          <w:rFonts w:ascii="Times New Roman" w:hAnsi="Times New Roman"/>
          <w:szCs w:val="24"/>
        </w:rPr>
        <w:t xml:space="preserve"> the Responding Parties</w:t>
      </w:r>
      <w:r w:rsidR="00A27938" w:rsidRPr="00FD07C8">
        <w:rPr>
          <w:rFonts w:ascii="Times New Roman" w:hAnsi="Times New Roman"/>
          <w:szCs w:val="24"/>
        </w:rPr>
        <w:t>’</w:t>
      </w:r>
      <w:r w:rsidR="000262C8" w:rsidRPr="00FD07C8">
        <w:rPr>
          <w:rFonts w:ascii="Times New Roman" w:hAnsi="Times New Roman"/>
          <w:szCs w:val="24"/>
        </w:rPr>
        <w:t xml:space="preserve"> test period argument does not </w:t>
      </w:r>
      <w:r w:rsidR="008A5F4A" w:rsidRPr="00FD07C8">
        <w:rPr>
          <w:rFonts w:ascii="Times New Roman" w:hAnsi="Times New Roman"/>
          <w:szCs w:val="24"/>
        </w:rPr>
        <w:t xml:space="preserve">even purport to address </w:t>
      </w:r>
      <w:r w:rsidR="0046673D" w:rsidRPr="00FD07C8">
        <w:rPr>
          <w:rFonts w:ascii="Times New Roman" w:hAnsi="Times New Roman"/>
          <w:szCs w:val="24"/>
        </w:rPr>
        <w:t xml:space="preserve">incorporation of </w:t>
      </w:r>
      <w:r w:rsidR="007F0777" w:rsidRPr="00FD07C8">
        <w:rPr>
          <w:rFonts w:ascii="Times New Roman" w:hAnsi="Times New Roman"/>
          <w:szCs w:val="24"/>
        </w:rPr>
        <w:t xml:space="preserve">2010 REC revenues into </w:t>
      </w:r>
      <w:r w:rsidR="008A5F4A" w:rsidRPr="00FD07C8">
        <w:rPr>
          <w:rFonts w:ascii="Times New Roman" w:hAnsi="Times New Roman"/>
          <w:szCs w:val="24"/>
        </w:rPr>
        <w:t xml:space="preserve">current </w:t>
      </w:r>
      <w:r w:rsidR="007F0777" w:rsidRPr="00FD07C8">
        <w:rPr>
          <w:rFonts w:ascii="Times New Roman" w:hAnsi="Times New Roman"/>
          <w:szCs w:val="24"/>
        </w:rPr>
        <w:t>rates</w:t>
      </w:r>
      <w:r w:rsidR="00BC1010" w:rsidRPr="00FD07C8">
        <w:rPr>
          <w:rFonts w:ascii="Times New Roman" w:hAnsi="Times New Roman"/>
          <w:szCs w:val="24"/>
        </w:rPr>
        <w:t xml:space="preserve">.  </w:t>
      </w:r>
      <w:r w:rsidR="008A5F4A" w:rsidRPr="00FD07C8">
        <w:rPr>
          <w:rFonts w:ascii="Times New Roman" w:hAnsi="Times New Roman"/>
          <w:szCs w:val="24"/>
        </w:rPr>
        <w:t xml:space="preserve">Nowhere do the Responding Parties </w:t>
      </w:r>
      <w:r w:rsidR="00BC1010" w:rsidRPr="00FD07C8">
        <w:rPr>
          <w:rFonts w:ascii="Times New Roman" w:hAnsi="Times New Roman"/>
          <w:szCs w:val="24"/>
        </w:rPr>
        <w:t>explain why, if 2009 REC revenues can be incorporated in future rates because they were included in the test period, 2010 REC revenues, which are not in the test period or the rate effective period, can be incorporated in future rates.</w:t>
      </w:r>
    </w:p>
    <w:p w:rsidR="0036717E" w:rsidRPr="00FD07C8" w:rsidRDefault="00B42D8A" w:rsidP="009D05A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F06980" w:rsidRPr="00FD07C8">
        <w:rPr>
          <w:rFonts w:ascii="Times New Roman" w:hAnsi="Times New Roman"/>
          <w:szCs w:val="24"/>
        </w:rPr>
        <w:t>T</w:t>
      </w:r>
      <w:r w:rsidR="00BC1010" w:rsidRPr="00FD07C8">
        <w:rPr>
          <w:rFonts w:ascii="Times New Roman" w:hAnsi="Times New Roman"/>
          <w:szCs w:val="24"/>
        </w:rPr>
        <w:t xml:space="preserve">he </w:t>
      </w:r>
      <w:r w:rsidR="008A5F4A" w:rsidRPr="00FD07C8">
        <w:rPr>
          <w:rFonts w:ascii="Times New Roman" w:hAnsi="Times New Roman"/>
          <w:szCs w:val="24"/>
        </w:rPr>
        <w:t>Responding P</w:t>
      </w:r>
      <w:r w:rsidR="00BC1010" w:rsidRPr="00FD07C8">
        <w:rPr>
          <w:rFonts w:ascii="Times New Roman" w:hAnsi="Times New Roman"/>
          <w:szCs w:val="24"/>
        </w:rPr>
        <w:t>arties’ argument is</w:t>
      </w:r>
      <w:r w:rsidR="00F06980" w:rsidRPr="00FD07C8">
        <w:rPr>
          <w:rFonts w:ascii="Times New Roman" w:hAnsi="Times New Roman"/>
          <w:szCs w:val="24"/>
        </w:rPr>
        <w:t xml:space="preserve"> also</w:t>
      </w:r>
      <w:r w:rsidR="00BC1010" w:rsidRPr="00FD07C8">
        <w:rPr>
          <w:rFonts w:ascii="Times New Roman" w:hAnsi="Times New Roman"/>
          <w:szCs w:val="24"/>
        </w:rPr>
        <w:t xml:space="preserve"> inconsistent with the evidence in this case because it </w:t>
      </w:r>
      <w:r w:rsidR="00F06980" w:rsidRPr="00FD07C8">
        <w:rPr>
          <w:rFonts w:ascii="Times New Roman" w:hAnsi="Times New Roman"/>
          <w:szCs w:val="24"/>
        </w:rPr>
        <w:t xml:space="preserve">assumes </w:t>
      </w:r>
      <w:r w:rsidR="00BC1010" w:rsidRPr="00FD07C8">
        <w:rPr>
          <w:rFonts w:ascii="Times New Roman" w:hAnsi="Times New Roman"/>
          <w:szCs w:val="24"/>
        </w:rPr>
        <w:t xml:space="preserve">that </w:t>
      </w:r>
      <w:r w:rsidR="008A5F4A" w:rsidRPr="00FD07C8">
        <w:rPr>
          <w:rFonts w:ascii="Times New Roman" w:hAnsi="Times New Roman"/>
          <w:szCs w:val="24"/>
        </w:rPr>
        <w:t xml:space="preserve">the </w:t>
      </w:r>
      <w:r w:rsidR="00BC1010" w:rsidRPr="00FD07C8">
        <w:rPr>
          <w:rFonts w:ascii="Times New Roman" w:hAnsi="Times New Roman"/>
          <w:szCs w:val="24"/>
        </w:rPr>
        <w:t>$4.8 million of</w:t>
      </w:r>
      <w:r w:rsidR="0036717E" w:rsidRPr="00FD07C8">
        <w:rPr>
          <w:rFonts w:ascii="Times New Roman" w:hAnsi="Times New Roman"/>
          <w:szCs w:val="24"/>
        </w:rPr>
        <w:t xml:space="preserve"> REC revenues </w:t>
      </w:r>
      <w:r w:rsidR="008A5F4A" w:rsidRPr="00FD07C8">
        <w:rPr>
          <w:rFonts w:ascii="Times New Roman" w:hAnsi="Times New Roman"/>
          <w:szCs w:val="24"/>
        </w:rPr>
        <w:t xml:space="preserve">now </w:t>
      </w:r>
      <w:r w:rsidR="00BC1010" w:rsidRPr="00FD07C8">
        <w:rPr>
          <w:rFonts w:ascii="Times New Roman" w:hAnsi="Times New Roman"/>
          <w:szCs w:val="24"/>
        </w:rPr>
        <w:t xml:space="preserve">in rates reflects 2009 REC revenues and </w:t>
      </w:r>
      <w:r w:rsidR="0036717E" w:rsidRPr="00FD07C8">
        <w:rPr>
          <w:rFonts w:ascii="Times New Roman" w:hAnsi="Times New Roman"/>
          <w:szCs w:val="24"/>
        </w:rPr>
        <w:t xml:space="preserve">not a </w:t>
      </w:r>
      <w:r w:rsidR="008A5F4A" w:rsidRPr="00FD07C8">
        <w:rPr>
          <w:rFonts w:ascii="Times New Roman" w:hAnsi="Times New Roman"/>
          <w:szCs w:val="24"/>
        </w:rPr>
        <w:t>forecast</w:t>
      </w:r>
      <w:r w:rsidR="0036717E" w:rsidRPr="00FD07C8">
        <w:rPr>
          <w:rFonts w:ascii="Times New Roman" w:hAnsi="Times New Roman"/>
          <w:szCs w:val="24"/>
        </w:rPr>
        <w:t xml:space="preserve"> </w:t>
      </w:r>
      <w:r w:rsidR="00D64402" w:rsidRPr="00FD07C8">
        <w:rPr>
          <w:rFonts w:ascii="Times New Roman" w:hAnsi="Times New Roman"/>
          <w:szCs w:val="24"/>
        </w:rPr>
        <w:t xml:space="preserve">of REC revenues </w:t>
      </w:r>
      <w:r w:rsidR="0036717E" w:rsidRPr="00FD07C8">
        <w:rPr>
          <w:rFonts w:ascii="Times New Roman" w:hAnsi="Times New Roman"/>
          <w:szCs w:val="24"/>
        </w:rPr>
        <w:t xml:space="preserve">for </w:t>
      </w:r>
      <w:r w:rsidR="00D64402" w:rsidRPr="00FD07C8">
        <w:rPr>
          <w:rFonts w:ascii="Times New Roman" w:hAnsi="Times New Roman"/>
          <w:szCs w:val="24"/>
        </w:rPr>
        <w:t>the rate effective period</w:t>
      </w:r>
      <w:r w:rsidR="00BC1010" w:rsidRPr="00FD07C8">
        <w:rPr>
          <w:rFonts w:ascii="Times New Roman" w:hAnsi="Times New Roman"/>
          <w:szCs w:val="24"/>
        </w:rPr>
        <w:t>.</w:t>
      </w:r>
      <w:r w:rsidR="00BC1010" w:rsidRPr="00FD07C8">
        <w:rPr>
          <w:rStyle w:val="FootnoteReference"/>
          <w:rFonts w:ascii="Times New Roman" w:hAnsi="Times New Roman"/>
          <w:szCs w:val="24"/>
        </w:rPr>
        <w:footnoteReference w:id="13"/>
      </w:r>
      <w:r w:rsidR="00BC1010" w:rsidRPr="00FD07C8">
        <w:rPr>
          <w:rFonts w:ascii="Times New Roman" w:hAnsi="Times New Roman"/>
          <w:szCs w:val="24"/>
        </w:rPr>
        <w:t xml:space="preserve">  </w:t>
      </w:r>
      <w:r w:rsidR="00D64402" w:rsidRPr="00FD07C8">
        <w:rPr>
          <w:rFonts w:ascii="Times New Roman" w:hAnsi="Times New Roman"/>
          <w:szCs w:val="24"/>
        </w:rPr>
        <w:t xml:space="preserve">Most fundamentally, </w:t>
      </w:r>
      <w:r w:rsidR="009D05A2" w:rsidRPr="00FD07C8">
        <w:rPr>
          <w:rFonts w:ascii="Times New Roman" w:hAnsi="Times New Roman"/>
          <w:szCs w:val="24"/>
        </w:rPr>
        <w:t>t</w:t>
      </w:r>
      <w:r w:rsidR="0036717E" w:rsidRPr="00FD07C8">
        <w:rPr>
          <w:rFonts w:ascii="Times New Roman" w:hAnsi="Times New Roman"/>
          <w:szCs w:val="24"/>
        </w:rPr>
        <w:t xml:space="preserve">his interpretation is </w:t>
      </w:r>
      <w:r w:rsidR="00D64402" w:rsidRPr="00FD07C8">
        <w:rPr>
          <w:rFonts w:ascii="Times New Roman" w:hAnsi="Times New Roman"/>
          <w:szCs w:val="24"/>
        </w:rPr>
        <w:t>in</w:t>
      </w:r>
      <w:r w:rsidR="0036717E" w:rsidRPr="00FD07C8">
        <w:rPr>
          <w:rFonts w:ascii="Times New Roman" w:hAnsi="Times New Roman"/>
          <w:szCs w:val="24"/>
        </w:rPr>
        <w:t>consistent with the Commission’s order in this proceeding.</w:t>
      </w:r>
      <w:r w:rsidR="009D05A2" w:rsidRPr="00FD07C8">
        <w:rPr>
          <w:rFonts w:ascii="Times New Roman" w:hAnsi="Times New Roman"/>
          <w:szCs w:val="24"/>
        </w:rPr>
        <w:t xml:space="preserve">  The Commission accepted “for purposes of establishing 2011 credits the amount of REC revenues to which Staff and PacifiCorp agree, approximately $4.8 million</w:t>
      </w:r>
      <w:r w:rsidR="00D64402" w:rsidRPr="00FD07C8">
        <w:rPr>
          <w:rFonts w:ascii="Times New Roman" w:hAnsi="Times New Roman"/>
          <w:szCs w:val="24"/>
        </w:rPr>
        <w:t>,</w:t>
      </w:r>
      <w:r w:rsidR="009D05A2" w:rsidRPr="00FD07C8">
        <w:rPr>
          <w:rFonts w:ascii="Times New Roman" w:hAnsi="Times New Roman"/>
          <w:szCs w:val="24"/>
        </w:rPr>
        <w:t>”</w:t>
      </w:r>
      <w:r w:rsidR="009D05A2" w:rsidRPr="00FD07C8">
        <w:rPr>
          <w:rStyle w:val="FootnoteReference"/>
          <w:rFonts w:ascii="Times New Roman" w:hAnsi="Times New Roman"/>
          <w:szCs w:val="24"/>
        </w:rPr>
        <w:footnoteReference w:id="14"/>
      </w:r>
      <w:r w:rsidR="00D64402" w:rsidRPr="00FD07C8">
        <w:rPr>
          <w:rFonts w:ascii="Times New Roman" w:hAnsi="Times New Roman"/>
          <w:szCs w:val="24"/>
        </w:rPr>
        <w:t>and</w:t>
      </w:r>
      <w:r w:rsidR="00295366" w:rsidRPr="00FD07C8">
        <w:rPr>
          <w:rFonts w:ascii="Times New Roman" w:hAnsi="Times New Roman"/>
          <w:szCs w:val="24"/>
        </w:rPr>
        <w:t xml:space="preserve"> authorized a t</w:t>
      </w:r>
      <w:r w:rsidR="000E3658">
        <w:rPr>
          <w:rFonts w:ascii="Times New Roman" w:hAnsi="Times New Roman"/>
          <w:szCs w:val="24"/>
        </w:rPr>
        <w:t xml:space="preserve">rue </w:t>
      </w:r>
      <w:r w:rsidR="00295366" w:rsidRPr="00FD07C8">
        <w:rPr>
          <w:rFonts w:ascii="Times New Roman" w:hAnsi="Times New Roman"/>
          <w:szCs w:val="24"/>
        </w:rPr>
        <w:t xml:space="preserve">up of these initial credits </w:t>
      </w:r>
      <w:r w:rsidR="00F06980" w:rsidRPr="00FD07C8">
        <w:rPr>
          <w:rFonts w:ascii="Times New Roman" w:hAnsi="Times New Roman"/>
          <w:szCs w:val="24"/>
        </w:rPr>
        <w:t xml:space="preserve">with </w:t>
      </w:r>
      <w:r w:rsidR="00D64402" w:rsidRPr="00FD07C8">
        <w:rPr>
          <w:rFonts w:ascii="Times New Roman" w:hAnsi="Times New Roman"/>
          <w:szCs w:val="24"/>
        </w:rPr>
        <w:t>actual REC revenues received</w:t>
      </w:r>
      <w:r w:rsidR="00F06980" w:rsidRPr="00FD07C8">
        <w:rPr>
          <w:rFonts w:ascii="Times New Roman" w:hAnsi="Times New Roman"/>
          <w:szCs w:val="24"/>
        </w:rPr>
        <w:t xml:space="preserve"> during the 12-month rate effective </w:t>
      </w:r>
      <w:r w:rsidR="00F06980" w:rsidRPr="00FD07C8">
        <w:rPr>
          <w:rFonts w:ascii="Times New Roman" w:hAnsi="Times New Roman"/>
          <w:szCs w:val="24"/>
        </w:rPr>
        <w:lastRenderedPageBreak/>
        <w:t>period.</w:t>
      </w:r>
      <w:r w:rsidR="00F06980" w:rsidRPr="00FD07C8">
        <w:rPr>
          <w:rStyle w:val="FootnoteReference"/>
          <w:rFonts w:ascii="Times New Roman" w:hAnsi="Times New Roman"/>
          <w:szCs w:val="24"/>
        </w:rPr>
        <w:footnoteReference w:id="15"/>
      </w:r>
      <w:r w:rsidR="00EA6170" w:rsidRPr="00FD07C8">
        <w:rPr>
          <w:rFonts w:ascii="Times New Roman" w:hAnsi="Times New Roman"/>
          <w:szCs w:val="24"/>
        </w:rPr>
        <w:t xml:space="preserve">  </w:t>
      </w:r>
      <w:r w:rsidR="009B787A" w:rsidRPr="00FD07C8">
        <w:rPr>
          <w:rFonts w:ascii="Times New Roman" w:hAnsi="Times New Roman"/>
          <w:szCs w:val="24"/>
        </w:rPr>
        <w:t xml:space="preserve">The </w:t>
      </w:r>
      <w:r w:rsidR="00D64402" w:rsidRPr="00FD07C8">
        <w:rPr>
          <w:rFonts w:ascii="Times New Roman" w:hAnsi="Times New Roman"/>
          <w:szCs w:val="24"/>
        </w:rPr>
        <w:t>Responding P</w:t>
      </w:r>
      <w:r w:rsidR="009B787A" w:rsidRPr="00FD07C8">
        <w:rPr>
          <w:rFonts w:ascii="Times New Roman" w:hAnsi="Times New Roman"/>
          <w:szCs w:val="24"/>
        </w:rPr>
        <w:t>arties</w:t>
      </w:r>
      <w:r w:rsidR="00BD3146" w:rsidRPr="00FD07C8">
        <w:rPr>
          <w:rFonts w:ascii="Times New Roman" w:hAnsi="Times New Roman"/>
          <w:szCs w:val="24"/>
        </w:rPr>
        <w:t>’</w:t>
      </w:r>
      <w:r w:rsidR="009B787A" w:rsidRPr="00FD07C8">
        <w:rPr>
          <w:rFonts w:ascii="Times New Roman" w:hAnsi="Times New Roman"/>
          <w:szCs w:val="24"/>
        </w:rPr>
        <w:t xml:space="preserve"> interpretation would have the Commission ordering a true up of REC revenue credits paid in the 2011-2012 </w:t>
      </w:r>
      <w:r w:rsidR="00D64402" w:rsidRPr="00FD07C8">
        <w:rPr>
          <w:rFonts w:ascii="Times New Roman" w:hAnsi="Times New Roman"/>
          <w:szCs w:val="24"/>
        </w:rPr>
        <w:t xml:space="preserve">rate year </w:t>
      </w:r>
      <w:r w:rsidR="009B787A" w:rsidRPr="00FD07C8">
        <w:rPr>
          <w:rFonts w:ascii="Times New Roman" w:hAnsi="Times New Roman"/>
          <w:szCs w:val="24"/>
        </w:rPr>
        <w:t>to 2009 REC revenues, wh</w:t>
      </w:r>
      <w:r w:rsidR="00D64402" w:rsidRPr="00FD07C8">
        <w:rPr>
          <w:rFonts w:ascii="Times New Roman" w:hAnsi="Times New Roman"/>
          <w:szCs w:val="24"/>
        </w:rPr>
        <w:t>ich on its face is nonsensical.</w:t>
      </w:r>
    </w:p>
    <w:p w:rsidR="00BE6BCC" w:rsidRPr="00FD07C8" w:rsidRDefault="00B42D8A" w:rsidP="00BE6BCC">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EA6170" w:rsidRPr="00FD07C8">
        <w:rPr>
          <w:rFonts w:ascii="Times New Roman" w:hAnsi="Times New Roman"/>
          <w:szCs w:val="24"/>
        </w:rPr>
        <w:t xml:space="preserve">Second, </w:t>
      </w:r>
      <w:r w:rsidR="00D7266E" w:rsidRPr="00FD07C8">
        <w:rPr>
          <w:rFonts w:ascii="Times New Roman" w:hAnsi="Times New Roman"/>
          <w:szCs w:val="24"/>
        </w:rPr>
        <w:t xml:space="preserve">the </w:t>
      </w:r>
      <w:r w:rsidR="00D64402" w:rsidRPr="00FD07C8">
        <w:rPr>
          <w:rFonts w:ascii="Times New Roman" w:hAnsi="Times New Roman"/>
          <w:szCs w:val="24"/>
        </w:rPr>
        <w:t>Responding P</w:t>
      </w:r>
      <w:r w:rsidR="00D7266E" w:rsidRPr="00FD07C8">
        <w:rPr>
          <w:rFonts w:ascii="Times New Roman" w:hAnsi="Times New Roman"/>
          <w:szCs w:val="24"/>
        </w:rPr>
        <w:t>arties’ interpretation is inconsistent with testimony</w:t>
      </w:r>
      <w:r w:rsidR="00BE6BCC" w:rsidRPr="00FD07C8">
        <w:rPr>
          <w:rFonts w:ascii="Times New Roman" w:hAnsi="Times New Roman"/>
          <w:szCs w:val="24"/>
        </w:rPr>
        <w:t xml:space="preserve"> of PacifiCorp, Staff, and ICNU</w:t>
      </w:r>
      <w:r w:rsidR="00D7266E" w:rsidRPr="00FD07C8">
        <w:rPr>
          <w:rFonts w:ascii="Times New Roman" w:hAnsi="Times New Roman"/>
          <w:szCs w:val="24"/>
        </w:rPr>
        <w:t xml:space="preserve"> in this case.  Staff </w:t>
      </w:r>
      <w:r w:rsidR="00DE2019" w:rsidRPr="00FD07C8">
        <w:rPr>
          <w:rFonts w:ascii="Times New Roman" w:hAnsi="Times New Roman"/>
          <w:szCs w:val="24"/>
        </w:rPr>
        <w:t xml:space="preserve">wrongly </w:t>
      </w:r>
      <w:r w:rsidR="00D7266E" w:rsidRPr="00FD07C8">
        <w:rPr>
          <w:rFonts w:ascii="Times New Roman" w:hAnsi="Times New Roman"/>
          <w:szCs w:val="24"/>
        </w:rPr>
        <w:t xml:space="preserve">claims that the </w:t>
      </w:r>
      <w:r w:rsidR="00AD745E" w:rsidRPr="00FD07C8">
        <w:rPr>
          <w:rFonts w:ascii="Times New Roman" w:hAnsi="Times New Roman"/>
          <w:szCs w:val="24"/>
        </w:rPr>
        <w:t>“</w:t>
      </w:r>
      <w:r w:rsidR="00D7266E" w:rsidRPr="00FD07C8">
        <w:rPr>
          <w:rFonts w:ascii="Times New Roman" w:hAnsi="Times New Roman"/>
          <w:szCs w:val="24"/>
        </w:rPr>
        <w:t>2009 REC revenues at issue here are in the same test period as the other costs and revenues at issue i</w:t>
      </w:r>
      <w:r w:rsidR="0035422F" w:rsidRPr="00FD07C8">
        <w:rPr>
          <w:rFonts w:ascii="Times New Roman" w:hAnsi="Times New Roman"/>
          <w:szCs w:val="24"/>
        </w:rPr>
        <w:t>n this case.</w:t>
      </w:r>
      <w:r w:rsidR="00AD745E" w:rsidRPr="00FD07C8">
        <w:rPr>
          <w:rFonts w:ascii="Times New Roman" w:hAnsi="Times New Roman"/>
          <w:szCs w:val="24"/>
        </w:rPr>
        <w:t>”</w:t>
      </w:r>
      <w:r w:rsidR="0035422F" w:rsidRPr="00FD07C8">
        <w:rPr>
          <w:rStyle w:val="FootnoteReference"/>
          <w:rFonts w:ascii="Times New Roman" w:hAnsi="Times New Roman"/>
          <w:szCs w:val="24"/>
        </w:rPr>
        <w:footnoteReference w:id="16"/>
      </w:r>
      <w:r w:rsidR="00DE2019" w:rsidRPr="00FD07C8">
        <w:rPr>
          <w:rFonts w:ascii="Times New Roman" w:hAnsi="Times New Roman"/>
          <w:szCs w:val="24"/>
        </w:rPr>
        <w:t xml:space="preserve">  </w:t>
      </w:r>
      <w:r w:rsidR="00AD745E" w:rsidRPr="00FD07C8">
        <w:rPr>
          <w:rFonts w:ascii="Times New Roman" w:hAnsi="Times New Roman"/>
          <w:szCs w:val="24"/>
        </w:rPr>
        <w:t>It is undisputed, however, that the Company’s net power costs in this case were based upon a forecast for the 2011 rate effective period.</w:t>
      </w:r>
      <w:r w:rsidR="00AD745E" w:rsidRPr="00FD07C8">
        <w:rPr>
          <w:rStyle w:val="FootnoteReference"/>
          <w:rFonts w:ascii="Times New Roman" w:hAnsi="Times New Roman"/>
          <w:szCs w:val="24"/>
        </w:rPr>
        <w:footnoteReference w:id="17"/>
      </w:r>
      <w:r w:rsidR="00AD745E" w:rsidRPr="00FD07C8">
        <w:rPr>
          <w:rFonts w:ascii="Times New Roman" w:hAnsi="Times New Roman"/>
          <w:szCs w:val="24"/>
        </w:rPr>
        <w:t xml:space="preserve">  </w:t>
      </w:r>
      <w:r w:rsidR="00DE2019" w:rsidRPr="00FD07C8">
        <w:rPr>
          <w:rFonts w:ascii="Times New Roman" w:hAnsi="Times New Roman"/>
          <w:szCs w:val="24"/>
        </w:rPr>
        <w:t xml:space="preserve">The record is </w:t>
      </w:r>
      <w:r w:rsidR="00AD745E" w:rsidRPr="00FD07C8">
        <w:rPr>
          <w:rFonts w:ascii="Times New Roman" w:hAnsi="Times New Roman"/>
          <w:szCs w:val="24"/>
        </w:rPr>
        <w:t xml:space="preserve">also </w:t>
      </w:r>
      <w:r w:rsidR="00DE2019" w:rsidRPr="00FD07C8">
        <w:rPr>
          <w:rFonts w:ascii="Times New Roman" w:hAnsi="Times New Roman"/>
          <w:szCs w:val="24"/>
        </w:rPr>
        <w:t xml:space="preserve">clear that the REC revenues included in the Company’s rebuttal filing </w:t>
      </w:r>
      <w:r w:rsidR="00AD745E" w:rsidRPr="00FD07C8">
        <w:rPr>
          <w:rFonts w:ascii="Times New Roman" w:hAnsi="Times New Roman"/>
          <w:szCs w:val="24"/>
        </w:rPr>
        <w:t>were</w:t>
      </w:r>
      <w:r w:rsidR="00DE2019" w:rsidRPr="00FD07C8">
        <w:rPr>
          <w:rFonts w:ascii="Times New Roman" w:hAnsi="Times New Roman"/>
          <w:szCs w:val="24"/>
        </w:rPr>
        <w:t xml:space="preserve"> based on a forecast for the </w:t>
      </w:r>
      <w:r w:rsidR="00E160E7" w:rsidRPr="00FD07C8">
        <w:rPr>
          <w:rFonts w:ascii="Times New Roman" w:hAnsi="Times New Roman"/>
          <w:szCs w:val="24"/>
        </w:rPr>
        <w:t xml:space="preserve">2011 </w:t>
      </w:r>
      <w:r w:rsidR="00DE2019" w:rsidRPr="00FD07C8">
        <w:rPr>
          <w:rFonts w:ascii="Times New Roman" w:hAnsi="Times New Roman"/>
          <w:szCs w:val="24"/>
        </w:rPr>
        <w:t xml:space="preserve">rate effective period, consistent with </w:t>
      </w:r>
      <w:r w:rsidR="003E04D9" w:rsidRPr="00FD07C8">
        <w:rPr>
          <w:rFonts w:ascii="Times New Roman" w:hAnsi="Times New Roman"/>
          <w:szCs w:val="24"/>
        </w:rPr>
        <w:t xml:space="preserve">the test period </w:t>
      </w:r>
      <w:r w:rsidR="00DE2019" w:rsidRPr="00FD07C8">
        <w:rPr>
          <w:rFonts w:ascii="Times New Roman" w:hAnsi="Times New Roman"/>
          <w:szCs w:val="24"/>
        </w:rPr>
        <w:t>net power costs.</w:t>
      </w:r>
      <w:r w:rsidR="00E160E7" w:rsidRPr="00FD07C8">
        <w:rPr>
          <w:rStyle w:val="FootnoteReference"/>
          <w:rFonts w:ascii="Times New Roman" w:hAnsi="Times New Roman"/>
          <w:szCs w:val="24"/>
        </w:rPr>
        <w:footnoteReference w:id="18"/>
      </w:r>
      <w:r w:rsidR="003E04D9" w:rsidRPr="00FD07C8">
        <w:rPr>
          <w:rFonts w:ascii="Times New Roman" w:hAnsi="Times New Roman"/>
          <w:szCs w:val="24"/>
        </w:rPr>
        <w:t xml:space="preserve">  </w:t>
      </w:r>
    </w:p>
    <w:p w:rsidR="009B7C34" w:rsidRPr="00FD07C8" w:rsidRDefault="00B42D8A" w:rsidP="009B7C34">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BE6BCC" w:rsidRPr="00FD07C8">
        <w:rPr>
          <w:rFonts w:ascii="Times New Roman" w:hAnsi="Times New Roman"/>
          <w:szCs w:val="24"/>
        </w:rPr>
        <w:t xml:space="preserve">In addition, </w:t>
      </w:r>
      <w:r w:rsidR="003E04D9" w:rsidRPr="00FD07C8">
        <w:rPr>
          <w:rFonts w:ascii="Times New Roman" w:hAnsi="Times New Roman"/>
          <w:szCs w:val="24"/>
        </w:rPr>
        <w:t xml:space="preserve">Staff </w:t>
      </w:r>
      <w:r w:rsidR="00E160E7" w:rsidRPr="00FD07C8">
        <w:rPr>
          <w:rFonts w:ascii="Times New Roman" w:hAnsi="Times New Roman"/>
          <w:szCs w:val="24"/>
        </w:rPr>
        <w:t xml:space="preserve">has acknowledged </w:t>
      </w:r>
      <w:r w:rsidR="003E04D9" w:rsidRPr="00FD07C8">
        <w:rPr>
          <w:rFonts w:ascii="Times New Roman" w:hAnsi="Times New Roman"/>
          <w:szCs w:val="24"/>
        </w:rPr>
        <w:t xml:space="preserve">that the </w:t>
      </w:r>
      <w:r w:rsidR="00E160E7" w:rsidRPr="00FD07C8">
        <w:rPr>
          <w:rFonts w:ascii="Times New Roman" w:hAnsi="Times New Roman"/>
          <w:szCs w:val="24"/>
        </w:rPr>
        <w:t xml:space="preserve">Company’s </w:t>
      </w:r>
      <w:r w:rsidR="003E04D9" w:rsidRPr="00FD07C8">
        <w:rPr>
          <w:rFonts w:ascii="Times New Roman" w:hAnsi="Times New Roman"/>
          <w:szCs w:val="24"/>
        </w:rPr>
        <w:t xml:space="preserve">2008 </w:t>
      </w:r>
      <w:r w:rsidR="001C70CF" w:rsidRPr="00FD07C8">
        <w:rPr>
          <w:rFonts w:ascii="Times New Roman" w:hAnsi="Times New Roman"/>
          <w:szCs w:val="24"/>
        </w:rPr>
        <w:t>general rate case (</w:t>
      </w:r>
      <w:r w:rsidR="003E04D9" w:rsidRPr="00FD07C8">
        <w:rPr>
          <w:rFonts w:ascii="Times New Roman" w:hAnsi="Times New Roman"/>
          <w:szCs w:val="24"/>
        </w:rPr>
        <w:t>GRC</w:t>
      </w:r>
      <w:r w:rsidR="001C70CF" w:rsidRPr="00FD07C8">
        <w:rPr>
          <w:rFonts w:ascii="Times New Roman" w:hAnsi="Times New Roman"/>
          <w:szCs w:val="24"/>
        </w:rPr>
        <w:t>)</w:t>
      </w:r>
      <w:r w:rsidR="003E04D9" w:rsidRPr="00FD07C8">
        <w:rPr>
          <w:rFonts w:ascii="Times New Roman" w:hAnsi="Times New Roman"/>
          <w:szCs w:val="24"/>
        </w:rPr>
        <w:t xml:space="preserve"> included a foreca</w:t>
      </w:r>
      <w:r w:rsidR="00BE6BCC" w:rsidRPr="00FD07C8">
        <w:rPr>
          <w:rFonts w:ascii="Times New Roman" w:hAnsi="Times New Roman"/>
          <w:szCs w:val="24"/>
        </w:rPr>
        <w:t>st of REC revenues for 2009.</w:t>
      </w:r>
      <w:r w:rsidR="00BE6BCC" w:rsidRPr="00FD07C8">
        <w:rPr>
          <w:rStyle w:val="FootnoteReference"/>
          <w:rFonts w:ascii="Times New Roman" w:hAnsi="Times New Roman"/>
          <w:szCs w:val="24"/>
        </w:rPr>
        <w:footnoteReference w:id="19"/>
      </w:r>
      <w:r w:rsidR="006F293C" w:rsidRPr="00FD07C8">
        <w:rPr>
          <w:rFonts w:ascii="Times New Roman" w:hAnsi="Times New Roman"/>
          <w:szCs w:val="24"/>
        </w:rPr>
        <w:t xml:space="preserve">  </w:t>
      </w:r>
      <w:r w:rsidR="00DA79E3" w:rsidRPr="00FD07C8">
        <w:rPr>
          <w:rFonts w:ascii="Times New Roman" w:hAnsi="Times New Roman"/>
          <w:szCs w:val="24"/>
        </w:rPr>
        <w:t xml:space="preserve">This testimony is in direct conflict with Staff’s </w:t>
      </w:r>
      <w:r w:rsidR="00E160E7" w:rsidRPr="00FD07C8">
        <w:rPr>
          <w:rFonts w:ascii="Times New Roman" w:hAnsi="Times New Roman"/>
          <w:szCs w:val="24"/>
        </w:rPr>
        <w:t>current claim</w:t>
      </w:r>
      <w:r w:rsidR="00DA79E3" w:rsidRPr="00FD07C8">
        <w:rPr>
          <w:rFonts w:ascii="Times New Roman" w:hAnsi="Times New Roman"/>
          <w:szCs w:val="24"/>
        </w:rPr>
        <w:t xml:space="preserve"> that </w:t>
      </w:r>
      <w:r w:rsidR="00E160E7" w:rsidRPr="00FD07C8">
        <w:rPr>
          <w:rFonts w:ascii="Times New Roman" w:hAnsi="Times New Roman"/>
          <w:szCs w:val="24"/>
        </w:rPr>
        <w:t>“</w:t>
      </w:r>
      <w:r w:rsidR="00DA79E3" w:rsidRPr="00FD07C8">
        <w:rPr>
          <w:rFonts w:ascii="Times New Roman" w:hAnsi="Times New Roman"/>
          <w:szCs w:val="24"/>
        </w:rPr>
        <w:t>the Commission has not set rates using any of the 2009 REC revenues Staff calculated.</w:t>
      </w:r>
      <w:r w:rsidR="00E160E7" w:rsidRPr="00FD07C8">
        <w:rPr>
          <w:rFonts w:ascii="Times New Roman" w:hAnsi="Times New Roman"/>
          <w:szCs w:val="24"/>
        </w:rPr>
        <w:t>”</w:t>
      </w:r>
      <w:r w:rsidR="00DA79E3" w:rsidRPr="00FD07C8">
        <w:rPr>
          <w:rStyle w:val="FootnoteReference"/>
          <w:rFonts w:ascii="Times New Roman" w:hAnsi="Times New Roman"/>
          <w:szCs w:val="24"/>
        </w:rPr>
        <w:footnoteReference w:id="20"/>
      </w:r>
      <w:r w:rsidR="00DA79E3" w:rsidRPr="00FD07C8">
        <w:rPr>
          <w:rFonts w:ascii="Times New Roman" w:hAnsi="Times New Roman"/>
          <w:szCs w:val="24"/>
        </w:rPr>
        <w:t xml:space="preserve">  </w:t>
      </w:r>
      <w:r w:rsidR="009B7C34" w:rsidRPr="00FD07C8">
        <w:rPr>
          <w:rFonts w:ascii="Times New Roman" w:hAnsi="Times New Roman"/>
          <w:szCs w:val="24"/>
        </w:rPr>
        <w:t>Given Staff</w:t>
      </w:r>
      <w:r w:rsidR="00E160E7" w:rsidRPr="00FD07C8">
        <w:rPr>
          <w:rFonts w:ascii="Times New Roman" w:hAnsi="Times New Roman"/>
          <w:szCs w:val="24"/>
        </w:rPr>
        <w:t xml:space="preserve">’s concession that the Commission set rates </w:t>
      </w:r>
      <w:r w:rsidR="00C063B7" w:rsidRPr="00FD07C8">
        <w:rPr>
          <w:rFonts w:ascii="Times New Roman" w:hAnsi="Times New Roman"/>
          <w:szCs w:val="24"/>
        </w:rPr>
        <w:t xml:space="preserve">in 2008 </w:t>
      </w:r>
      <w:r w:rsidR="00E160E7" w:rsidRPr="00FD07C8">
        <w:rPr>
          <w:rFonts w:ascii="Times New Roman" w:hAnsi="Times New Roman"/>
          <w:szCs w:val="24"/>
        </w:rPr>
        <w:t>covering 2009 REC revenues</w:t>
      </w:r>
      <w:r w:rsidR="003E04D9" w:rsidRPr="00FD07C8">
        <w:rPr>
          <w:rFonts w:ascii="Times New Roman" w:hAnsi="Times New Roman"/>
          <w:szCs w:val="24"/>
        </w:rPr>
        <w:t xml:space="preserve">, </w:t>
      </w:r>
      <w:r w:rsidR="009B7C34" w:rsidRPr="00FD07C8">
        <w:rPr>
          <w:rFonts w:ascii="Times New Roman" w:hAnsi="Times New Roman"/>
          <w:szCs w:val="24"/>
        </w:rPr>
        <w:t xml:space="preserve">it is unreasonable to find that </w:t>
      </w:r>
      <w:r w:rsidR="00E160E7" w:rsidRPr="00FD07C8">
        <w:rPr>
          <w:rFonts w:ascii="Times New Roman" w:hAnsi="Times New Roman"/>
          <w:szCs w:val="24"/>
        </w:rPr>
        <w:t>the REC cr</w:t>
      </w:r>
      <w:r w:rsidR="00D01BFA" w:rsidRPr="00FD07C8">
        <w:rPr>
          <w:rFonts w:ascii="Times New Roman" w:hAnsi="Times New Roman"/>
          <w:szCs w:val="24"/>
        </w:rPr>
        <w:t xml:space="preserve">edit in this case </w:t>
      </w:r>
      <w:r w:rsidR="00E160E7" w:rsidRPr="00FD07C8">
        <w:rPr>
          <w:rFonts w:ascii="Times New Roman" w:hAnsi="Times New Roman"/>
          <w:szCs w:val="24"/>
        </w:rPr>
        <w:t>was set using 2009 REC revenues</w:t>
      </w:r>
      <w:r w:rsidR="003E04D9" w:rsidRPr="00FD07C8">
        <w:rPr>
          <w:rFonts w:ascii="Times New Roman" w:hAnsi="Times New Roman"/>
          <w:szCs w:val="24"/>
        </w:rPr>
        <w:t>.</w:t>
      </w:r>
      <w:r w:rsidR="007962AF" w:rsidRPr="00FD07C8">
        <w:rPr>
          <w:rFonts w:ascii="Times New Roman" w:hAnsi="Times New Roman"/>
          <w:szCs w:val="24"/>
        </w:rPr>
        <w:t xml:space="preserve">  </w:t>
      </w:r>
    </w:p>
    <w:p w:rsidR="003E04D9" w:rsidRPr="00FD07C8" w:rsidRDefault="00B42D8A" w:rsidP="0078280C">
      <w:pPr>
        <w:pStyle w:val="ListParagraph"/>
        <w:numPr>
          <w:ilvl w:val="0"/>
          <w:numId w:val="12"/>
        </w:numPr>
        <w:tabs>
          <w:tab w:val="clear" w:pos="1440"/>
          <w:tab w:val="num" w:pos="720"/>
        </w:tabs>
        <w:autoSpaceDE w:val="0"/>
        <w:autoSpaceDN w:val="0"/>
        <w:adjustRightInd w:val="0"/>
        <w:spacing w:line="480" w:lineRule="auto"/>
        <w:ind w:left="0"/>
        <w:rPr>
          <w:rFonts w:ascii="Times New Roman" w:hAnsi="Times New Roman"/>
          <w:szCs w:val="24"/>
        </w:rPr>
      </w:pPr>
      <w:r w:rsidRPr="00FD07C8">
        <w:rPr>
          <w:rFonts w:ascii="Times New Roman" w:hAnsi="Times New Roman"/>
          <w:szCs w:val="24"/>
        </w:rPr>
        <w:tab/>
      </w:r>
      <w:r w:rsidR="009B7C34" w:rsidRPr="00FD07C8">
        <w:rPr>
          <w:rFonts w:ascii="Times New Roman" w:hAnsi="Times New Roman"/>
          <w:szCs w:val="24"/>
        </w:rPr>
        <w:t xml:space="preserve">ICNU’s testimony provides further support for the </w:t>
      </w:r>
      <w:r w:rsidR="00C063B7" w:rsidRPr="00FD07C8">
        <w:rPr>
          <w:rFonts w:ascii="Times New Roman" w:hAnsi="Times New Roman"/>
          <w:szCs w:val="24"/>
        </w:rPr>
        <w:t xml:space="preserve">fact that the </w:t>
      </w:r>
      <w:r w:rsidR="00686F31" w:rsidRPr="00FD07C8">
        <w:rPr>
          <w:rFonts w:ascii="Times New Roman" w:hAnsi="Times New Roman"/>
          <w:szCs w:val="24"/>
        </w:rPr>
        <w:t>$4.8 million of REC</w:t>
      </w:r>
      <w:r w:rsidR="00C063B7" w:rsidRPr="00FD07C8">
        <w:rPr>
          <w:rFonts w:ascii="Times New Roman" w:hAnsi="Times New Roman"/>
          <w:szCs w:val="24"/>
        </w:rPr>
        <w:t xml:space="preserve"> revenues</w:t>
      </w:r>
      <w:r w:rsidR="00686F31" w:rsidRPr="00FD07C8">
        <w:rPr>
          <w:rFonts w:ascii="Times New Roman" w:hAnsi="Times New Roman"/>
          <w:szCs w:val="24"/>
        </w:rPr>
        <w:t xml:space="preserve"> included in r</w:t>
      </w:r>
      <w:r w:rsidR="00C063B7" w:rsidRPr="00FD07C8">
        <w:rPr>
          <w:rFonts w:ascii="Times New Roman" w:hAnsi="Times New Roman"/>
          <w:szCs w:val="24"/>
        </w:rPr>
        <w:t xml:space="preserve">ates in this case reflects forecast REC revenues </w:t>
      </w:r>
      <w:r w:rsidR="00686F31" w:rsidRPr="00FD07C8">
        <w:rPr>
          <w:rFonts w:ascii="Times New Roman" w:hAnsi="Times New Roman"/>
          <w:szCs w:val="24"/>
        </w:rPr>
        <w:t xml:space="preserve">in the rate effective period, not </w:t>
      </w:r>
      <w:r w:rsidR="00C063B7" w:rsidRPr="00FD07C8">
        <w:rPr>
          <w:rFonts w:ascii="Times New Roman" w:hAnsi="Times New Roman"/>
          <w:szCs w:val="24"/>
        </w:rPr>
        <w:t xml:space="preserve">historic </w:t>
      </w:r>
      <w:r w:rsidR="00686F31" w:rsidRPr="00FD07C8">
        <w:rPr>
          <w:rFonts w:ascii="Times New Roman" w:hAnsi="Times New Roman"/>
          <w:szCs w:val="24"/>
        </w:rPr>
        <w:t>2009</w:t>
      </w:r>
      <w:r w:rsidR="00C063B7" w:rsidRPr="00FD07C8">
        <w:rPr>
          <w:rFonts w:ascii="Times New Roman" w:hAnsi="Times New Roman"/>
          <w:szCs w:val="24"/>
        </w:rPr>
        <w:t xml:space="preserve"> REC revenues</w:t>
      </w:r>
      <w:r w:rsidR="00686F31" w:rsidRPr="00FD07C8">
        <w:rPr>
          <w:rFonts w:ascii="Times New Roman" w:hAnsi="Times New Roman"/>
          <w:szCs w:val="24"/>
        </w:rPr>
        <w:t xml:space="preserve">.  </w:t>
      </w:r>
      <w:r w:rsidR="001C70CF" w:rsidRPr="00FD07C8">
        <w:rPr>
          <w:rFonts w:ascii="Times New Roman" w:hAnsi="Times New Roman"/>
          <w:szCs w:val="24"/>
        </w:rPr>
        <w:t xml:space="preserve">ICNU’s witness, </w:t>
      </w:r>
      <w:r w:rsidR="00686F31" w:rsidRPr="00FD07C8">
        <w:rPr>
          <w:rFonts w:ascii="Times New Roman" w:hAnsi="Times New Roman"/>
          <w:szCs w:val="24"/>
        </w:rPr>
        <w:t>Mr. Falkenberg</w:t>
      </w:r>
      <w:r w:rsidR="001C70CF" w:rsidRPr="00FD07C8">
        <w:rPr>
          <w:rFonts w:ascii="Times New Roman" w:hAnsi="Times New Roman"/>
          <w:szCs w:val="24"/>
        </w:rPr>
        <w:t>,</w:t>
      </w:r>
      <w:r w:rsidR="00686F31" w:rsidRPr="00FD07C8">
        <w:rPr>
          <w:rFonts w:ascii="Times New Roman" w:hAnsi="Times New Roman"/>
          <w:szCs w:val="24"/>
        </w:rPr>
        <w:t xml:space="preserve"> testified that </w:t>
      </w:r>
      <w:r w:rsidR="0078280C" w:rsidRPr="00FD07C8">
        <w:rPr>
          <w:rFonts w:ascii="TimesNewRomanPSMT" w:eastAsia="Calibri" w:hAnsi="TimesNewRomanPSMT" w:cs="TimesNewRomanPSMT"/>
          <w:szCs w:val="24"/>
        </w:rPr>
        <w:t>his proposed REC adjustment was “</w:t>
      </w:r>
      <w:r w:rsidR="00686F31" w:rsidRPr="00FD07C8">
        <w:rPr>
          <w:rFonts w:ascii="TimesNewRomanPSMT" w:eastAsia="Calibri" w:hAnsi="TimesNewRomanPSMT" w:cs="TimesNewRomanPSMT"/>
          <w:szCs w:val="24"/>
        </w:rPr>
        <w:t>a reasonable estimate of REC revenues allocated to Washington d</w:t>
      </w:r>
      <w:r w:rsidR="0078280C" w:rsidRPr="00FD07C8">
        <w:rPr>
          <w:rFonts w:ascii="TimesNewRomanPSMT" w:eastAsia="Calibri" w:hAnsi="TimesNewRomanPSMT" w:cs="TimesNewRomanPSMT"/>
          <w:szCs w:val="24"/>
        </w:rPr>
        <w:t xml:space="preserve">uring </w:t>
      </w:r>
      <w:r w:rsidR="0078280C" w:rsidRPr="00FD07C8">
        <w:rPr>
          <w:rFonts w:ascii="TimesNewRomanPSMT" w:eastAsia="Calibri" w:hAnsi="TimesNewRomanPSMT" w:cs="TimesNewRomanPSMT"/>
          <w:szCs w:val="24"/>
        </w:rPr>
        <w:lastRenderedPageBreak/>
        <w:t>the rate effective period,” noting that his calculation “is close to the 2009 actual REC revenues, but less than the most recent 12 months of data available.”</w:t>
      </w:r>
      <w:r w:rsidR="0078280C" w:rsidRPr="00FD07C8">
        <w:rPr>
          <w:rStyle w:val="FootnoteReference"/>
          <w:rFonts w:ascii="TimesNewRomanPSMT" w:eastAsia="Calibri" w:hAnsi="TimesNewRomanPSMT" w:cs="TimesNewRomanPSMT"/>
          <w:szCs w:val="24"/>
        </w:rPr>
        <w:footnoteReference w:id="21"/>
      </w:r>
    </w:p>
    <w:p w:rsidR="0036717E" w:rsidRPr="00FD07C8" w:rsidRDefault="00B42D8A" w:rsidP="00B1780E">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D7266E" w:rsidRPr="00FD07C8">
        <w:rPr>
          <w:rFonts w:ascii="Times New Roman" w:hAnsi="Times New Roman"/>
          <w:szCs w:val="24"/>
        </w:rPr>
        <w:t xml:space="preserve">Third, </w:t>
      </w:r>
      <w:r w:rsidR="00BD3146" w:rsidRPr="00FD07C8">
        <w:rPr>
          <w:rFonts w:ascii="Times New Roman" w:hAnsi="Times New Roman"/>
          <w:szCs w:val="24"/>
        </w:rPr>
        <w:t>t</w:t>
      </w:r>
      <w:r w:rsidR="0036717E" w:rsidRPr="00FD07C8">
        <w:rPr>
          <w:rFonts w:ascii="Times New Roman" w:hAnsi="Times New Roman"/>
          <w:szCs w:val="24"/>
        </w:rPr>
        <w:t>h</w:t>
      </w:r>
      <w:r w:rsidR="00BD3146" w:rsidRPr="00FD07C8">
        <w:rPr>
          <w:rFonts w:ascii="Times New Roman" w:hAnsi="Times New Roman"/>
          <w:szCs w:val="24"/>
        </w:rPr>
        <w:t xml:space="preserve">e </w:t>
      </w:r>
      <w:r w:rsidR="00F22B5D" w:rsidRPr="00FD07C8">
        <w:rPr>
          <w:rFonts w:ascii="Times New Roman" w:hAnsi="Times New Roman"/>
          <w:szCs w:val="24"/>
        </w:rPr>
        <w:t>Responding P</w:t>
      </w:r>
      <w:r w:rsidR="00BD3146" w:rsidRPr="00FD07C8">
        <w:rPr>
          <w:rFonts w:ascii="Times New Roman" w:hAnsi="Times New Roman"/>
          <w:szCs w:val="24"/>
        </w:rPr>
        <w:t>arties’</w:t>
      </w:r>
      <w:r w:rsidR="0036717E" w:rsidRPr="00FD07C8">
        <w:rPr>
          <w:rFonts w:ascii="Times New Roman" w:hAnsi="Times New Roman"/>
          <w:szCs w:val="24"/>
        </w:rPr>
        <w:t xml:space="preserve"> </w:t>
      </w:r>
      <w:r w:rsidR="00F22B5D" w:rsidRPr="00FD07C8">
        <w:rPr>
          <w:rFonts w:ascii="Times New Roman" w:hAnsi="Times New Roman"/>
          <w:szCs w:val="24"/>
        </w:rPr>
        <w:t>position</w:t>
      </w:r>
      <w:r w:rsidR="0036717E" w:rsidRPr="00FD07C8">
        <w:rPr>
          <w:rFonts w:ascii="Times New Roman" w:hAnsi="Times New Roman"/>
          <w:szCs w:val="24"/>
        </w:rPr>
        <w:t xml:space="preserve"> is </w:t>
      </w:r>
      <w:r w:rsidR="00BD3146" w:rsidRPr="00FD07C8">
        <w:rPr>
          <w:rFonts w:ascii="Times New Roman" w:hAnsi="Times New Roman"/>
          <w:szCs w:val="24"/>
        </w:rPr>
        <w:t>in</w:t>
      </w:r>
      <w:r w:rsidR="0036717E" w:rsidRPr="00FD07C8">
        <w:rPr>
          <w:rFonts w:ascii="Times New Roman" w:hAnsi="Times New Roman"/>
          <w:szCs w:val="24"/>
        </w:rPr>
        <w:t>consistent with the matching principle.</w:t>
      </w:r>
      <w:r w:rsidR="00BD3146" w:rsidRPr="00FD07C8">
        <w:rPr>
          <w:rFonts w:ascii="Times New Roman" w:hAnsi="Times New Roman"/>
          <w:szCs w:val="24"/>
        </w:rPr>
        <w:t xml:space="preserve">  </w:t>
      </w:r>
      <w:r w:rsidR="00F22B5D" w:rsidRPr="00FD07C8">
        <w:rPr>
          <w:rFonts w:ascii="Times New Roman" w:hAnsi="Times New Roman"/>
          <w:szCs w:val="24"/>
        </w:rPr>
        <w:t xml:space="preserve">As Public Counsel </w:t>
      </w:r>
      <w:r w:rsidR="005D31EB" w:rsidRPr="00FD07C8">
        <w:rPr>
          <w:rFonts w:ascii="Times New Roman" w:hAnsi="Times New Roman"/>
          <w:szCs w:val="24"/>
        </w:rPr>
        <w:t>h</w:t>
      </w:r>
      <w:r w:rsidR="00F22B5D" w:rsidRPr="00FD07C8">
        <w:rPr>
          <w:rFonts w:ascii="Times New Roman" w:hAnsi="Times New Roman"/>
          <w:szCs w:val="24"/>
        </w:rPr>
        <w:t xml:space="preserve">as previously argued: </w:t>
      </w:r>
      <w:r w:rsidR="00F22B5D" w:rsidRPr="00FD07C8">
        <w:t>“REC revenue issues are directly related to the proper analysis of power costs.. . .[W]hen wind generation costs are included in the power costs sought to be recovered, proper ratemaking principles requires that revenues derived from the related RECs must also be considered.. . . Failure to take these known and measurable revenues into account would be a violation of the matching principle.”</w:t>
      </w:r>
      <w:r w:rsidR="00147F1F" w:rsidRPr="00FD07C8">
        <w:rPr>
          <w:rFonts w:ascii="Times New Roman" w:hAnsi="Times New Roman"/>
          <w:szCs w:val="24"/>
        </w:rPr>
        <w:t xml:space="preserve">  </w:t>
      </w:r>
      <w:r w:rsidR="0036717E" w:rsidRPr="00FD07C8">
        <w:rPr>
          <w:rFonts w:ascii="Times New Roman" w:hAnsi="Times New Roman"/>
          <w:szCs w:val="24"/>
        </w:rPr>
        <w:t xml:space="preserve">It </w:t>
      </w:r>
      <w:r w:rsidR="00F22B5D" w:rsidRPr="00FD07C8">
        <w:rPr>
          <w:rFonts w:ascii="Times New Roman" w:hAnsi="Times New Roman"/>
          <w:szCs w:val="24"/>
        </w:rPr>
        <w:t xml:space="preserve">would </w:t>
      </w:r>
      <w:r w:rsidR="00B21A3D" w:rsidRPr="00FD07C8">
        <w:rPr>
          <w:rFonts w:ascii="Times New Roman" w:hAnsi="Times New Roman"/>
          <w:szCs w:val="24"/>
        </w:rPr>
        <w:t xml:space="preserve">have been </w:t>
      </w:r>
      <w:r w:rsidR="0036717E" w:rsidRPr="00FD07C8">
        <w:rPr>
          <w:rFonts w:ascii="Times New Roman" w:hAnsi="Times New Roman"/>
          <w:szCs w:val="24"/>
        </w:rPr>
        <w:t xml:space="preserve">a violation of the matching </w:t>
      </w:r>
      <w:r w:rsidR="00F22B5D" w:rsidRPr="00FD07C8">
        <w:rPr>
          <w:rFonts w:ascii="Times New Roman" w:hAnsi="Times New Roman"/>
          <w:szCs w:val="24"/>
        </w:rPr>
        <w:t>p</w:t>
      </w:r>
      <w:r w:rsidR="0036717E" w:rsidRPr="00FD07C8">
        <w:rPr>
          <w:rFonts w:ascii="Times New Roman" w:hAnsi="Times New Roman"/>
          <w:szCs w:val="24"/>
        </w:rPr>
        <w:t>rinciple to</w:t>
      </w:r>
      <w:r w:rsidR="00F22B5D" w:rsidRPr="00FD07C8">
        <w:rPr>
          <w:rFonts w:ascii="Times New Roman" w:hAnsi="Times New Roman"/>
          <w:szCs w:val="24"/>
        </w:rPr>
        <w:t xml:space="preserve"> set rates in 2011-2012 </w:t>
      </w:r>
      <w:r w:rsidR="0036717E" w:rsidRPr="00FD07C8">
        <w:rPr>
          <w:rFonts w:ascii="Times New Roman" w:hAnsi="Times New Roman"/>
          <w:szCs w:val="24"/>
        </w:rPr>
        <w:t>us</w:t>
      </w:r>
      <w:r w:rsidR="00F22B5D" w:rsidRPr="00FD07C8">
        <w:rPr>
          <w:rFonts w:ascii="Times New Roman" w:hAnsi="Times New Roman"/>
          <w:szCs w:val="24"/>
        </w:rPr>
        <w:t>ing</w:t>
      </w:r>
      <w:r w:rsidR="0036717E" w:rsidRPr="00FD07C8">
        <w:rPr>
          <w:rFonts w:ascii="Times New Roman" w:hAnsi="Times New Roman"/>
          <w:szCs w:val="24"/>
        </w:rPr>
        <w:t xml:space="preserve"> REC revenues from 2009 and </w:t>
      </w:r>
      <w:r w:rsidR="00F22B5D" w:rsidRPr="00FD07C8">
        <w:rPr>
          <w:rFonts w:ascii="Times New Roman" w:hAnsi="Times New Roman"/>
          <w:szCs w:val="24"/>
        </w:rPr>
        <w:t xml:space="preserve">net power </w:t>
      </w:r>
      <w:r w:rsidR="0036717E" w:rsidRPr="00FD07C8">
        <w:rPr>
          <w:rFonts w:ascii="Times New Roman" w:hAnsi="Times New Roman"/>
          <w:szCs w:val="24"/>
        </w:rPr>
        <w:t>costs from 2011-2012.</w:t>
      </w:r>
      <w:r w:rsidR="003E04D9" w:rsidRPr="00FD07C8">
        <w:rPr>
          <w:rStyle w:val="FootnoteReference"/>
          <w:rFonts w:ascii="Times New Roman" w:hAnsi="Times New Roman"/>
          <w:szCs w:val="24"/>
        </w:rPr>
        <w:footnoteReference w:id="22"/>
      </w:r>
      <w:r w:rsidR="003E04D9" w:rsidRPr="00FD07C8">
        <w:rPr>
          <w:rFonts w:ascii="Times New Roman" w:hAnsi="Times New Roman"/>
          <w:szCs w:val="24"/>
        </w:rPr>
        <w:t xml:space="preserve">  </w:t>
      </w:r>
    </w:p>
    <w:p w:rsidR="003173D4" w:rsidRPr="00FD07C8" w:rsidRDefault="00B42D8A" w:rsidP="00544D91">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171AD" w:rsidRPr="00FD07C8">
        <w:rPr>
          <w:rFonts w:ascii="Times New Roman" w:hAnsi="Times New Roman"/>
          <w:szCs w:val="24"/>
        </w:rPr>
        <w:t xml:space="preserve">The briefs of </w:t>
      </w:r>
      <w:r w:rsidR="003173D4" w:rsidRPr="00FD07C8">
        <w:rPr>
          <w:rFonts w:ascii="Times New Roman" w:hAnsi="Times New Roman"/>
          <w:szCs w:val="24"/>
        </w:rPr>
        <w:t>ICNU</w:t>
      </w:r>
      <w:r w:rsidR="008700EE" w:rsidRPr="00FD07C8">
        <w:rPr>
          <w:rFonts w:ascii="Times New Roman" w:hAnsi="Times New Roman"/>
          <w:szCs w:val="24"/>
        </w:rPr>
        <w:t xml:space="preserve"> </w:t>
      </w:r>
      <w:r w:rsidR="003173D4" w:rsidRPr="00FD07C8">
        <w:rPr>
          <w:rFonts w:ascii="Times New Roman" w:hAnsi="Times New Roman"/>
          <w:szCs w:val="24"/>
        </w:rPr>
        <w:t xml:space="preserve">and Public Counsel </w:t>
      </w:r>
      <w:r w:rsidR="00DF4FBC" w:rsidRPr="00FD07C8">
        <w:rPr>
          <w:rFonts w:ascii="Times New Roman" w:hAnsi="Times New Roman"/>
          <w:szCs w:val="24"/>
        </w:rPr>
        <w:t xml:space="preserve">rely on </w:t>
      </w:r>
      <w:r w:rsidR="003173D4" w:rsidRPr="00FD07C8">
        <w:rPr>
          <w:rFonts w:ascii="Times New Roman" w:hAnsi="Times New Roman"/>
          <w:szCs w:val="24"/>
        </w:rPr>
        <w:t xml:space="preserve">the </w:t>
      </w:r>
      <w:r w:rsidR="003171AD" w:rsidRPr="00FD07C8">
        <w:rPr>
          <w:rFonts w:ascii="Times New Roman" w:hAnsi="Times New Roman"/>
          <w:szCs w:val="24"/>
        </w:rPr>
        <w:t xml:space="preserve">Commission’s </w:t>
      </w:r>
      <w:r w:rsidR="003173D4" w:rsidRPr="00FD07C8">
        <w:rPr>
          <w:rFonts w:ascii="Times New Roman" w:hAnsi="Times New Roman"/>
          <w:szCs w:val="24"/>
        </w:rPr>
        <w:t>treatment of a contract buy-down in a</w:t>
      </w:r>
      <w:r w:rsidR="00DF4FBC" w:rsidRPr="00FD07C8">
        <w:rPr>
          <w:rFonts w:ascii="Times New Roman" w:hAnsi="Times New Roman"/>
          <w:szCs w:val="24"/>
        </w:rPr>
        <w:t xml:space="preserve"> </w:t>
      </w:r>
      <w:r w:rsidR="00D02BD4" w:rsidRPr="00FD07C8">
        <w:rPr>
          <w:rFonts w:ascii="Times New Roman" w:hAnsi="Times New Roman"/>
          <w:szCs w:val="24"/>
        </w:rPr>
        <w:t xml:space="preserve">1999 </w:t>
      </w:r>
      <w:r w:rsidR="0036717E" w:rsidRPr="00FD07C8">
        <w:rPr>
          <w:rFonts w:ascii="Times New Roman" w:hAnsi="Times New Roman"/>
          <w:szCs w:val="24"/>
        </w:rPr>
        <w:t xml:space="preserve">Avista </w:t>
      </w:r>
      <w:r w:rsidR="003173D4" w:rsidRPr="00FD07C8">
        <w:rPr>
          <w:rFonts w:ascii="Times New Roman" w:hAnsi="Times New Roman"/>
          <w:szCs w:val="24"/>
        </w:rPr>
        <w:t xml:space="preserve">rate case as the primary </w:t>
      </w:r>
      <w:r w:rsidR="008700EE" w:rsidRPr="00FD07C8">
        <w:rPr>
          <w:rFonts w:ascii="Times New Roman" w:hAnsi="Times New Roman"/>
          <w:szCs w:val="24"/>
        </w:rPr>
        <w:t>authority</w:t>
      </w:r>
      <w:r w:rsidR="003173D4" w:rsidRPr="00FD07C8">
        <w:rPr>
          <w:rFonts w:ascii="Times New Roman" w:hAnsi="Times New Roman"/>
          <w:szCs w:val="24"/>
        </w:rPr>
        <w:t xml:space="preserve"> in support of their test year argument.</w:t>
      </w:r>
      <w:r w:rsidR="008700EE" w:rsidRPr="00FD07C8">
        <w:rPr>
          <w:rStyle w:val="FootnoteReference"/>
          <w:rFonts w:ascii="Times New Roman" w:hAnsi="Times New Roman"/>
          <w:szCs w:val="24"/>
        </w:rPr>
        <w:footnoteReference w:id="23"/>
      </w:r>
      <w:r w:rsidR="008700EE" w:rsidRPr="00FD07C8">
        <w:rPr>
          <w:rFonts w:ascii="Times New Roman" w:hAnsi="Times New Roman"/>
          <w:szCs w:val="24"/>
        </w:rPr>
        <w:t xml:space="preserve">  </w:t>
      </w:r>
      <w:r w:rsidR="00F51C42" w:rsidRPr="00FD07C8">
        <w:rPr>
          <w:rFonts w:ascii="Times New Roman" w:hAnsi="Times New Roman"/>
          <w:szCs w:val="24"/>
        </w:rPr>
        <w:t xml:space="preserve">The case is readily distinguishable, which may </w:t>
      </w:r>
      <w:r w:rsidR="00D27E55" w:rsidRPr="00FD07C8">
        <w:rPr>
          <w:rFonts w:ascii="Times New Roman" w:hAnsi="Times New Roman"/>
          <w:szCs w:val="24"/>
        </w:rPr>
        <w:t>explain why</w:t>
      </w:r>
      <w:r w:rsidR="00F51C42" w:rsidRPr="00FD07C8">
        <w:rPr>
          <w:rFonts w:ascii="Times New Roman" w:hAnsi="Times New Roman"/>
          <w:szCs w:val="24"/>
        </w:rPr>
        <w:t xml:space="preserve"> </w:t>
      </w:r>
      <w:r w:rsidR="003173D4" w:rsidRPr="00FD07C8">
        <w:rPr>
          <w:rFonts w:ascii="Times New Roman" w:hAnsi="Times New Roman"/>
          <w:szCs w:val="24"/>
        </w:rPr>
        <w:t>Staff</w:t>
      </w:r>
      <w:r w:rsidR="00F51C42" w:rsidRPr="00FD07C8">
        <w:rPr>
          <w:rFonts w:ascii="Times New Roman" w:hAnsi="Times New Roman"/>
          <w:szCs w:val="24"/>
        </w:rPr>
        <w:t xml:space="preserve"> failed to argue the </w:t>
      </w:r>
      <w:r w:rsidR="008700EE" w:rsidRPr="00FD07C8">
        <w:rPr>
          <w:rFonts w:ascii="Times New Roman" w:hAnsi="Times New Roman"/>
          <w:szCs w:val="24"/>
        </w:rPr>
        <w:t xml:space="preserve">Avista </w:t>
      </w:r>
      <w:r w:rsidR="00F51C42" w:rsidRPr="00FD07C8">
        <w:rPr>
          <w:rFonts w:ascii="Times New Roman" w:hAnsi="Times New Roman"/>
          <w:szCs w:val="24"/>
        </w:rPr>
        <w:t xml:space="preserve">contract buy-down </w:t>
      </w:r>
      <w:r w:rsidR="008700EE" w:rsidRPr="00FD07C8">
        <w:rPr>
          <w:rFonts w:ascii="Times New Roman" w:hAnsi="Times New Roman"/>
          <w:szCs w:val="24"/>
        </w:rPr>
        <w:t xml:space="preserve">precedent </w:t>
      </w:r>
      <w:r w:rsidR="00F51C42" w:rsidRPr="00FD07C8">
        <w:rPr>
          <w:rFonts w:ascii="Times New Roman" w:hAnsi="Times New Roman"/>
          <w:szCs w:val="24"/>
        </w:rPr>
        <w:t xml:space="preserve">in its brief, despite having cited </w:t>
      </w:r>
      <w:r w:rsidR="008700EE" w:rsidRPr="00FD07C8">
        <w:rPr>
          <w:rFonts w:ascii="Times New Roman" w:hAnsi="Times New Roman"/>
          <w:szCs w:val="24"/>
        </w:rPr>
        <w:t xml:space="preserve">it </w:t>
      </w:r>
      <w:r w:rsidR="00F51C42" w:rsidRPr="00FD07C8">
        <w:rPr>
          <w:rFonts w:ascii="Times New Roman" w:hAnsi="Times New Roman"/>
          <w:szCs w:val="24"/>
        </w:rPr>
        <w:t>in testimony.  The Avista case addresse</w:t>
      </w:r>
      <w:r w:rsidR="003171AD" w:rsidRPr="00FD07C8">
        <w:rPr>
          <w:rFonts w:ascii="Times New Roman" w:hAnsi="Times New Roman"/>
          <w:szCs w:val="24"/>
        </w:rPr>
        <w:t>d</w:t>
      </w:r>
      <w:r w:rsidR="00F51C42" w:rsidRPr="00FD07C8">
        <w:rPr>
          <w:rFonts w:ascii="Times New Roman" w:hAnsi="Times New Roman"/>
          <w:szCs w:val="24"/>
        </w:rPr>
        <w:t xml:space="preserve"> the proper rate treatment of a one-time contract buy-down payment received from an affiliate in the test period.</w:t>
      </w:r>
      <w:r w:rsidR="008700EE" w:rsidRPr="00FD07C8">
        <w:rPr>
          <w:rStyle w:val="FootnoteReference"/>
          <w:rFonts w:ascii="Times New Roman" w:hAnsi="Times New Roman"/>
          <w:szCs w:val="24"/>
        </w:rPr>
        <w:footnoteReference w:id="24"/>
      </w:r>
      <w:r w:rsidR="00F51C42" w:rsidRPr="00FD07C8">
        <w:rPr>
          <w:rFonts w:ascii="Times New Roman" w:hAnsi="Times New Roman"/>
          <w:szCs w:val="24"/>
        </w:rPr>
        <w:t xml:space="preserve">  It does not </w:t>
      </w:r>
      <w:r w:rsidR="00D27E55" w:rsidRPr="00FD07C8">
        <w:rPr>
          <w:rFonts w:ascii="Times New Roman" w:hAnsi="Times New Roman"/>
          <w:szCs w:val="24"/>
        </w:rPr>
        <w:t xml:space="preserve">address or </w:t>
      </w:r>
      <w:r w:rsidR="00F51C42" w:rsidRPr="00FD07C8">
        <w:rPr>
          <w:rFonts w:ascii="Times New Roman" w:hAnsi="Times New Roman"/>
          <w:szCs w:val="24"/>
        </w:rPr>
        <w:t>provide any precedent for the most troubling aspects of the Responding Parties</w:t>
      </w:r>
      <w:r w:rsidR="00D27E55" w:rsidRPr="00FD07C8">
        <w:rPr>
          <w:rFonts w:ascii="Times New Roman" w:hAnsi="Times New Roman"/>
          <w:szCs w:val="24"/>
        </w:rPr>
        <w:t>’</w:t>
      </w:r>
      <w:r w:rsidR="00F51C42" w:rsidRPr="00FD07C8">
        <w:rPr>
          <w:rFonts w:ascii="Times New Roman" w:hAnsi="Times New Roman"/>
          <w:szCs w:val="24"/>
        </w:rPr>
        <w:t xml:space="preserve"> proposals: </w:t>
      </w:r>
      <w:r w:rsidR="00D27E55" w:rsidRPr="00FD07C8">
        <w:rPr>
          <w:rFonts w:ascii="Times New Roman" w:hAnsi="Times New Roman"/>
          <w:szCs w:val="24"/>
        </w:rPr>
        <w:t>the</w:t>
      </w:r>
      <w:r w:rsidR="00F51C42" w:rsidRPr="00FD07C8">
        <w:rPr>
          <w:rFonts w:ascii="Times New Roman" w:hAnsi="Times New Roman"/>
          <w:szCs w:val="24"/>
        </w:rPr>
        <w:t xml:space="preserve"> </w:t>
      </w:r>
      <w:r w:rsidR="008700EE" w:rsidRPr="00FD07C8">
        <w:rPr>
          <w:rFonts w:ascii="Times New Roman" w:hAnsi="Times New Roman"/>
          <w:szCs w:val="24"/>
        </w:rPr>
        <w:t xml:space="preserve">retroactive </w:t>
      </w:r>
      <w:r w:rsidR="00F51C42" w:rsidRPr="00FD07C8">
        <w:rPr>
          <w:rFonts w:ascii="Times New Roman" w:hAnsi="Times New Roman"/>
          <w:szCs w:val="24"/>
        </w:rPr>
        <w:t xml:space="preserve">restatement of </w:t>
      </w:r>
      <w:r w:rsidR="003171AD" w:rsidRPr="00FD07C8">
        <w:rPr>
          <w:rFonts w:ascii="Times New Roman" w:hAnsi="Times New Roman"/>
          <w:szCs w:val="24"/>
        </w:rPr>
        <w:t xml:space="preserve">a </w:t>
      </w:r>
      <w:r w:rsidR="00F51C42" w:rsidRPr="00FD07C8">
        <w:rPr>
          <w:rFonts w:ascii="Times New Roman" w:hAnsi="Times New Roman"/>
          <w:szCs w:val="24"/>
        </w:rPr>
        <w:t>revenue item previously reflected in rates</w:t>
      </w:r>
      <w:r w:rsidR="008700EE" w:rsidRPr="00FD07C8">
        <w:rPr>
          <w:rFonts w:ascii="Times New Roman" w:hAnsi="Times New Roman"/>
          <w:szCs w:val="24"/>
        </w:rPr>
        <w:t xml:space="preserve"> to </w:t>
      </w:r>
      <w:r w:rsidR="003171AD" w:rsidRPr="00FD07C8">
        <w:rPr>
          <w:rFonts w:ascii="Times New Roman" w:hAnsi="Times New Roman"/>
          <w:szCs w:val="24"/>
        </w:rPr>
        <w:t>capture</w:t>
      </w:r>
      <w:r w:rsidR="008700EE" w:rsidRPr="00FD07C8">
        <w:rPr>
          <w:rFonts w:ascii="Times New Roman" w:hAnsi="Times New Roman"/>
          <w:szCs w:val="24"/>
        </w:rPr>
        <w:t xml:space="preserve"> actual and imputed revenues</w:t>
      </w:r>
      <w:r w:rsidR="00F51C42" w:rsidRPr="00FD07C8">
        <w:rPr>
          <w:rFonts w:ascii="Times New Roman" w:hAnsi="Times New Roman"/>
          <w:szCs w:val="24"/>
        </w:rPr>
        <w:t xml:space="preserve">; the double or triple counting of a </w:t>
      </w:r>
      <w:r w:rsidR="003171AD" w:rsidRPr="00FD07C8">
        <w:rPr>
          <w:rFonts w:ascii="Times New Roman" w:hAnsi="Times New Roman"/>
          <w:szCs w:val="24"/>
        </w:rPr>
        <w:t xml:space="preserve">single </w:t>
      </w:r>
      <w:r w:rsidR="00F51C42" w:rsidRPr="00FD07C8">
        <w:rPr>
          <w:rFonts w:ascii="Times New Roman" w:hAnsi="Times New Roman"/>
          <w:szCs w:val="24"/>
        </w:rPr>
        <w:t xml:space="preserve">test year revenue item; </w:t>
      </w:r>
      <w:r w:rsidR="008700EE" w:rsidRPr="00FD07C8">
        <w:rPr>
          <w:rFonts w:ascii="Times New Roman" w:hAnsi="Times New Roman"/>
          <w:szCs w:val="24"/>
        </w:rPr>
        <w:t xml:space="preserve">and </w:t>
      </w:r>
      <w:r w:rsidR="00F51C42" w:rsidRPr="00FD07C8">
        <w:rPr>
          <w:rFonts w:ascii="Times New Roman" w:hAnsi="Times New Roman"/>
          <w:szCs w:val="24"/>
        </w:rPr>
        <w:t xml:space="preserve">the </w:t>
      </w:r>
      <w:r w:rsidR="008700EE" w:rsidRPr="00FD07C8">
        <w:rPr>
          <w:rFonts w:ascii="Times New Roman" w:hAnsi="Times New Roman"/>
          <w:szCs w:val="24"/>
        </w:rPr>
        <w:t>use of a test year theory to capture revenues (but not costs) from the intervening period between the test pe</w:t>
      </w:r>
      <w:r w:rsidR="00D27E55" w:rsidRPr="00FD07C8">
        <w:rPr>
          <w:rFonts w:ascii="Times New Roman" w:hAnsi="Times New Roman"/>
          <w:szCs w:val="24"/>
        </w:rPr>
        <w:t>r</w:t>
      </w:r>
      <w:r w:rsidR="008700EE" w:rsidRPr="00FD07C8">
        <w:rPr>
          <w:rFonts w:ascii="Times New Roman" w:hAnsi="Times New Roman"/>
          <w:szCs w:val="24"/>
        </w:rPr>
        <w:t xml:space="preserve">iod and the rate effective period.  </w:t>
      </w:r>
    </w:p>
    <w:p w:rsidR="004C6B46" w:rsidRDefault="004C6B46" w:rsidP="00DE04FF">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684C9E" w:rsidRPr="00FD07C8">
        <w:rPr>
          <w:rFonts w:ascii="Times New Roman" w:hAnsi="Times New Roman"/>
          <w:szCs w:val="24"/>
        </w:rPr>
        <w:t>Public Counsel cites other Commission orders that it claims allowed recovery of test period and post-test period revenues and expenses.</w:t>
      </w:r>
      <w:r w:rsidR="00684C9E" w:rsidRPr="00FD07C8">
        <w:rPr>
          <w:rStyle w:val="FootnoteReference"/>
          <w:rFonts w:ascii="Times New Roman" w:hAnsi="Times New Roman"/>
          <w:szCs w:val="24"/>
        </w:rPr>
        <w:footnoteReference w:id="25"/>
      </w:r>
      <w:r w:rsidR="00684C9E" w:rsidRPr="00FD07C8">
        <w:rPr>
          <w:rFonts w:ascii="Times New Roman" w:hAnsi="Times New Roman"/>
          <w:szCs w:val="24"/>
        </w:rPr>
        <w:t xml:space="preserve">  Public Counsel’s reference to the Puget</w:t>
      </w:r>
      <w:r w:rsidR="00DE04FF" w:rsidRPr="00FD07C8">
        <w:rPr>
          <w:rFonts w:ascii="Times New Roman" w:hAnsi="Times New Roman"/>
          <w:szCs w:val="24"/>
        </w:rPr>
        <w:t xml:space="preserve"> Sound Energy, Inc. (Puget) production tax credit (PTC) tariff schedule </w:t>
      </w:r>
      <w:r w:rsidR="00A946DE" w:rsidRPr="00FD07C8">
        <w:rPr>
          <w:rFonts w:ascii="Times New Roman" w:hAnsi="Times New Roman"/>
          <w:szCs w:val="24"/>
        </w:rPr>
        <w:t>does not support this claim</w:t>
      </w:r>
      <w:r w:rsidR="00DE04FF" w:rsidRPr="00FD07C8">
        <w:rPr>
          <w:rFonts w:ascii="Times New Roman" w:hAnsi="Times New Roman"/>
          <w:szCs w:val="24"/>
        </w:rPr>
        <w:t xml:space="preserve">.  That tariff </w:t>
      </w:r>
      <w:r w:rsidR="00067102" w:rsidRPr="00FD07C8">
        <w:rPr>
          <w:rFonts w:ascii="Times New Roman" w:hAnsi="Times New Roman"/>
          <w:szCs w:val="24"/>
        </w:rPr>
        <w:t xml:space="preserve">was established to credit </w:t>
      </w:r>
      <w:r w:rsidR="00DE04FF" w:rsidRPr="00FD07C8">
        <w:rPr>
          <w:rFonts w:ascii="Times New Roman" w:hAnsi="Times New Roman"/>
          <w:szCs w:val="24"/>
        </w:rPr>
        <w:t>PTCs associated with a facility that was not even in service when the Commission’s order was issued</w:t>
      </w:r>
      <w:r w:rsidR="00067102" w:rsidRPr="00FD07C8">
        <w:rPr>
          <w:rFonts w:ascii="Times New Roman" w:hAnsi="Times New Roman"/>
          <w:szCs w:val="24"/>
        </w:rPr>
        <w:t xml:space="preserve"> and therefore operated on a prospective basis</w:t>
      </w:r>
      <w:r w:rsidR="00DE04FF" w:rsidRPr="00FD07C8">
        <w:rPr>
          <w:rFonts w:ascii="Times New Roman" w:hAnsi="Times New Roman"/>
          <w:szCs w:val="24"/>
        </w:rPr>
        <w:t>.</w:t>
      </w:r>
      <w:r w:rsidR="00DE04FF" w:rsidRPr="00FD07C8">
        <w:rPr>
          <w:rStyle w:val="FootnoteReference"/>
          <w:rFonts w:ascii="Times New Roman" w:hAnsi="Times New Roman"/>
          <w:szCs w:val="24"/>
        </w:rPr>
        <w:footnoteReference w:id="26"/>
      </w:r>
      <w:r w:rsidR="00DE04FF" w:rsidRPr="00FD07C8">
        <w:rPr>
          <w:rFonts w:ascii="Times New Roman" w:hAnsi="Times New Roman"/>
          <w:szCs w:val="24"/>
        </w:rPr>
        <w:t xml:space="preserve">  Public Counsel</w:t>
      </w:r>
      <w:r w:rsidR="0078120F" w:rsidRPr="00FD07C8">
        <w:rPr>
          <w:rFonts w:ascii="Times New Roman" w:hAnsi="Times New Roman"/>
          <w:szCs w:val="24"/>
        </w:rPr>
        <w:t xml:space="preserve"> also relies on orders allowing </w:t>
      </w:r>
      <w:r w:rsidR="00937DC8" w:rsidRPr="00FD07C8">
        <w:rPr>
          <w:rFonts w:ascii="Times New Roman" w:hAnsi="Times New Roman"/>
          <w:szCs w:val="24"/>
        </w:rPr>
        <w:t>the use of deferred accounting</w:t>
      </w:r>
      <w:r w:rsidR="005F5B17" w:rsidRPr="00FD07C8">
        <w:rPr>
          <w:rFonts w:ascii="Times New Roman" w:hAnsi="Times New Roman"/>
          <w:szCs w:val="24"/>
        </w:rPr>
        <w:t xml:space="preserve"> after notice by the Company.</w:t>
      </w:r>
      <w:r w:rsidR="00DE04FF" w:rsidRPr="00FD07C8">
        <w:rPr>
          <w:rStyle w:val="FootnoteReference"/>
          <w:rFonts w:ascii="Times New Roman" w:hAnsi="Times New Roman"/>
          <w:szCs w:val="24"/>
        </w:rPr>
        <w:footnoteReference w:id="27"/>
      </w:r>
      <w:r w:rsidR="005F5B17" w:rsidRPr="00FD07C8">
        <w:rPr>
          <w:rFonts w:ascii="Times New Roman" w:hAnsi="Times New Roman"/>
          <w:szCs w:val="24"/>
        </w:rPr>
        <w:t xml:space="preserve">  None of these orders stand for the proposition cited by Public Counsel.</w:t>
      </w:r>
    </w:p>
    <w:p w:rsidR="00E73621" w:rsidRPr="00F3395E" w:rsidRDefault="00E73621" w:rsidP="00F3395E">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Pr>
          <w:rFonts w:ascii="Times New Roman" w:hAnsi="Times New Roman"/>
          <w:szCs w:val="24"/>
        </w:rPr>
        <w:t>Finally</w:t>
      </w:r>
      <w:r w:rsidRPr="00FD07C8">
        <w:rPr>
          <w:rFonts w:ascii="Times New Roman" w:hAnsi="Times New Roman"/>
          <w:szCs w:val="24"/>
        </w:rPr>
        <w:t xml:space="preserve">, </w:t>
      </w:r>
      <w:r>
        <w:rPr>
          <w:rFonts w:ascii="Times New Roman" w:hAnsi="Times New Roman"/>
          <w:szCs w:val="24"/>
        </w:rPr>
        <w:t xml:space="preserve">in briefing and testimony </w:t>
      </w:r>
      <w:r w:rsidRPr="00FD07C8">
        <w:rPr>
          <w:rFonts w:ascii="Times New Roman" w:hAnsi="Times New Roman"/>
          <w:szCs w:val="24"/>
        </w:rPr>
        <w:t xml:space="preserve">the Responding Parties </w:t>
      </w:r>
      <w:r>
        <w:rPr>
          <w:rFonts w:ascii="Times New Roman" w:hAnsi="Times New Roman"/>
          <w:szCs w:val="24"/>
        </w:rPr>
        <w:t xml:space="preserve">claim that the </w:t>
      </w:r>
      <w:r w:rsidRPr="00FD07C8">
        <w:rPr>
          <w:rFonts w:ascii="Times New Roman" w:hAnsi="Times New Roman"/>
          <w:szCs w:val="24"/>
        </w:rPr>
        <w:t xml:space="preserve">Puget REC case </w:t>
      </w:r>
      <w:r>
        <w:rPr>
          <w:rFonts w:ascii="Times New Roman" w:hAnsi="Times New Roman"/>
          <w:szCs w:val="24"/>
        </w:rPr>
        <w:t>stands for the proposition that all REC revenues should be returned to customers.</w:t>
      </w:r>
      <w:r>
        <w:rPr>
          <w:rStyle w:val="FootnoteReference"/>
          <w:rFonts w:ascii="Times New Roman" w:hAnsi="Times New Roman"/>
          <w:szCs w:val="24"/>
        </w:rPr>
        <w:footnoteReference w:id="28"/>
      </w:r>
      <w:r w:rsidR="00F3395E">
        <w:rPr>
          <w:rFonts w:ascii="Times New Roman" w:hAnsi="Times New Roman"/>
          <w:szCs w:val="24"/>
        </w:rPr>
        <w:t xml:space="preserve">  Their citation to the Puget REC case is misleading.  The Responding Parties i</w:t>
      </w:r>
      <w:r w:rsidRPr="00F3395E">
        <w:rPr>
          <w:rFonts w:ascii="Times New Roman" w:hAnsi="Times New Roman"/>
          <w:szCs w:val="24"/>
        </w:rPr>
        <w:t xml:space="preserve">gnore the </w:t>
      </w:r>
      <w:r w:rsidR="00F3395E">
        <w:rPr>
          <w:rFonts w:ascii="Times New Roman" w:hAnsi="Times New Roman"/>
          <w:szCs w:val="24"/>
        </w:rPr>
        <w:t xml:space="preserve">fact that the </w:t>
      </w:r>
      <w:r w:rsidRPr="00FD07C8">
        <w:t xml:space="preserve">Commission found </w:t>
      </w:r>
      <w:r w:rsidR="00F3395E">
        <w:t>on equitable grounds to return less than all of the REC revenues at issue in that proceeding</w:t>
      </w:r>
      <w:r w:rsidR="007B3D16">
        <w:t xml:space="preserve"> to customers</w:t>
      </w:r>
      <w:r w:rsidR="00F3395E">
        <w:t xml:space="preserve">.  </w:t>
      </w:r>
    </w:p>
    <w:p w:rsidR="0036717E" w:rsidRPr="00FD07C8" w:rsidRDefault="00472EF2" w:rsidP="004F1D7F">
      <w:pPr>
        <w:pStyle w:val="Heading2"/>
      </w:pPr>
      <w:bookmarkStart w:id="34" w:name="_Toc309373937"/>
      <w:r w:rsidRPr="00FD07C8">
        <w:t>B.</w:t>
      </w:r>
      <w:r w:rsidRPr="00FD07C8">
        <w:tab/>
      </w:r>
      <w:r w:rsidR="003171AD" w:rsidRPr="00FD07C8">
        <w:t>There is no Basis for Adoption of t</w:t>
      </w:r>
      <w:r w:rsidR="0036717E" w:rsidRPr="00FD07C8">
        <w:t xml:space="preserve">he </w:t>
      </w:r>
      <w:r w:rsidR="003171AD" w:rsidRPr="00FD07C8">
        <w:t xml:space="preserve">Responding </w:t>
      </w:r>
      <w:r w:rsidRPr="00FD07C8">
        <w:t>P</w:t>
      </w:r>
      <w:r w:rsidR="0036717E" w:rsidRPr="00FD07C8">
        <w:t>arties</w:t>
      </w:r>
      <w:r w:rsidR="00A0279C" w:rsidRPr="00FD07C8">
        <w:t>’</w:t>
      </w:r>
      <w:r w:rsidR="0036717E" w:rsidRPr="00FD07C8">
        <w:t xml:space="preserve"> </w:t>
      </w:r>
      <w:r w:rsidRPr="00FD07C8">
        <w:t>One-Sided</w:t>
      </w:r>
      <w:r w:rsidR="003171AD" w:rsidRPr="00FD07C8">
        <w:t>,</w:t>
      </w:r>
      <w:r w:rsidRPr="00FD07C8">
        <w:t xml:space="preserve"> Ad Hoc Exceptions to the Rule </w:t>
      </w:r>
      <w:r w:rsidR="0036717E" w:rsidRPr="00FD07C8">
        <w:t xml:space="preserve">against </w:t>
      </w:r>
      <w:r w:rsidRPr="00FD07C8">
        <w:t>R</w:t>
      </w:r>
      <w:r w:rsidR="0036717E" w:rsidRPr="00FD07C8">
        <w:t xml:space="preserve">etroactive </w:t>
      </w:r>
      <w:r w:rsidRPr="00FD07C8">
        <w:t>R</w:t>
      </w:r>
      <w:r w:rsidR="0036717E" w:rsidRPr="00FD07C8">
        <w:t>atemaking</w:t>
      </w:r>
      <w:r w:rsidRPr="00FD07C8">
        <w:t>.</w:t>
      </w:r>
      <w:bookmarkEnd w:id="34"/>
    </w:p>
    <w:p w:rsidR="0010477B" w:rsidRPr="00FD07C8" w:rsidRDefault="00B42D8A" w:rsidP="0010477B">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10477B" w:rsidRPr="00FD07C8">
        <w:rPr>
          <w:rFonts w:ascii="Times New Roman" w:hAnsi="Times New Roman"/>
          <w:szCs w:val="24"/>
        </w:rPr>
        <w:t xml:space="preserve">The </w:t>
      </w:r>
      <w:r w:rsidR="003171AD" w:rsidRPr="00FD07C8">
        <w:rPr>
          <w:rFonts w:ascii="Times New Roman" w:hAnsi="Times New Roman"/>
          <w:szCs w:val="24"/>
        </w:rPr>
        <w:t>Responding P</w:t>
      </w:r>
      <w:r w:rsidR="0010477B" w:rsidRPr="00FD07C8">
        <w:rPr>
          <w:rFonts w:ascii="Times New Roman" w:hAnsi="Times New Roman"/>
          <w:szCs w:val="24"/>
        </w:rPr>
        <w:t xml:space="preserve">arties argue that even if their proposals constitute retroactive ratemaking, the Commission should make an exception to the </w:t>
      </w:r>
      <w:r w:rsidR="003171AD" w:rsidRPr="00FD07C8">
        <w:rPr>
          <w:rFonts w:ascii="Times New Roman" w:hAnsi="Times New Roman"/>
          <w:szCs w:val="24"/>
        </w:rPr>
        <w:t>rule</w:t>
      </w:r>
      <w:r w:rsidR="0010477B" w:rsidRPr="00FD07C8">
        <w:rPr>
          <w:rFonts w:ascii="Times New Roman" w:hAnsi="Times New Roman"/>
          <w:szCs w:val="24"/>
        </w:rPr>
        <w:t xml:space="preserve"> in this case.  </w:t>
      </w:r>
      <w:r w:rsidR="00544D91" w:rsidRPr="00FD07C8">
        <w:rPr>
          <w:rFonts w:ascii="Times New Roman" w:hAnsi="Times New Roman"/>
          <w:szCs w:val="24"/>
        </w:rPr>
        <w:t xml:space="preserve">The </w:t>
      </w:r>
      <w:r w:rsidR="00A0279C" w:rsidRPr="00FD07C8">
        <w:rPr>
          <w:rFonts w:ascii="Times New Roman" w:hAnsi="Times New Roman"/>
          <w:szCs w:val="24"/>
        </w:rPr>
        <w:t>Responding P</w:t>
      </w:r>
      <w:r w:rsidR="00544D91" w:rsidRPr="00FD07C8">
        <w:rPr>
          <w:rFonts w:ascii="Times New Roman" w:hAnsi="Times New Roman"/>
          <w:szCs w:val="24"/>
        </w:rPr>
        <w:t xml:space="preserve">arties propose various exceptions to the </w:t>
      </w:r>
      <w:r w:rsidR="00A0279C" w:rsidRPr="00FD07C8">
        <w:rPr>
          <w:rFonts w:ascii="Times New Roman" w:hAnsi="Times New Roman"/>
          <w:szCs w:val="24"/>
        </w:rPr>
        <w:t>rule</w:t>
      </w:r>
      <w:r w:rsidR="0051018A" w:rsidRPr="00FD07C8">
        <w:rPr>
          <w:rFonts w:ascii="Times New Roman" w:hAnsi="Times New Roman"/>
          <w:szCs w:val="24"/>
        </w:rPr>
        <w:t>, none of which are supported by Washington precedent</w:t>
      </w:r>
      <w:r w:rsidR="00F31F3D" w:rsidRPr="00FD07C8">
        <w:rPr>
          <w:rFonts w:ascii="Times New Roman" w:hAnsi="Times New Roman"/>
          <w:szCs w:val="24"/>
        </w:rPr>
        <w:t xml:space="preserve"> or the facts of this case</w:t>
      </w:r>
      <w:r w:rsidR="0051018A" w:rsidRPr="00FD07C8">
        <w:rPr>
          <w:rFonts w:ascii="Times New Roman" w:hAnsi="Times New Roman"/>
          <w:szCs w:val="24"/>
        </w:rPr>
        <w:t xml:space="preserve">.  </w:t>
      </w:r>
    </w:p>
    <w:p w:rsidR="0010477B" w:rsidRPr="00FD07C8" w:rsidRDefault="00472EF2" w:rsidP="004F1D7F">
      <w:pPr>
        <w:pStyle w:val="Heading3"/>
      </w:pPr>
      <w:bookmarkStart w:id="35" w:name="_Toc309373938"/>
      <w:r w:rsidRPr="00FD07C8">
        <w:lastRenderedPageBreak/>
        <w:t>1.</w:t>
      </w:r>
      <w:r w:rsidRPr="00FD07C8">
        <w:tab/>
      </w:r>
      <w:r w:rsidR="00544D91" w:rsidRPr="00FD07C8">
        <w:t xml:space="preserve">The </w:t>
      </w:r>
      <w:r w:rsidR="00A0279C" w:rsidRPr="00FD07C8">
        <w:t xml:space="preserve">Responding </w:t>
      </w:r>
      <w:r w:rsidR="00544D91" w:rsidRPr="00FD07C8">
        <w:t xml:space="preserve">Parties’ Proposed Exceptions Undermine the Important </w:t>
      </w:r>
      <w:r w:rsidR="0051018A" w:rsidRPr="00FD07C8">
        <w:t xml:space="preserve">Protections of the </w:t>
      </w:r>
      <w:r w:rsidR="00A0279C" w:rsidRPr="00FD07C8">
        <w:t>Rule</w:t>
      </w:r>
      <w:r w:rsidR="0051018A" w:rsidRPr="00FD07C8">
        <w:t xml:space="preserve"> Against Retroactive Ratemaking.</w:t>
      </w:r>
      <w:bookmarkEnd w:id="35"/>
    </w:p>
    <w:p w:rsidR="00544D91" w:rsidRPr="00FD07C8" w:rsidRDefault="00B42D8A" w:rsidP="00544D91">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544D91" w:rsidRPr="00FD07C8">
        <w:rPr>
          <w:rFonts w:ascii="Times New Roman" w:hAnsi="Times New Roman"/>
          <w:szCs w:val="24"/>
        </w:rPr>
        <w:t>The rule against retroactive ratemaking</w:t>
      </w:r>
      <w:r w:rsidR="00D72463" w:rsidRPr="00FD07C8">
        <w:rPr>
          <w:rFonts w:ascii="Times New Roman" w:hAnsi="Times New Roman"/>
          <w:szCs w:val="24"/>
        </w:rPr>
        <w:t xml:space="preserve"> contains important protections for both customers and utilities</w:t>
      </w:r>
      <w:r w:rsidR="00544D91" w:rsidRPr="00FD07C8">
        <w:t>.</w:t>
      </w:r>
      <w:r w:rsidR="00544D91" w:rsidRPr="00FD07C8">
        <w:rPr>
          <w:rStyle w:val="FootnoteReference"/>
        </w:rPr>
        <w:footnoteReference w:id="29"/>
      </w:r>
      <w:r w:rsidR="00544D91" w:rsidRPr="00FD07C8">
        <w:t xml:space="preserve">  </w:t>
      </w:r>
      <w:r w:rsidR="00D72463" w:rsidRPr="00FD07C8">
        <w:t xml:space="preserve">As the </w:t>
      </w:r>
      <w:r w:rsidR="00A0279C" w:rsidRPr="00FD07C8">
        <w:t>Responding P</w:t>
      </w:r>
      <w:r w:rsidR="00D72463" w:rsidRPr="00FD07C8">
        <w:t>arties note in their briefs, the rule against retroactive ratemaking ensures that customers pay rates that reflect the cost of service at the time the service is rendered.</w:t>
      </w:r>
      <w:r w:rsidR="00D72463" w:rsidRPr="00FD07C8">
        <w:rPr>
          <w:rStyle w:val="FootnoteReference"/>
        </w:rPr>
        <w:footnoteReference w:id="30"/>
      </w:r>
      <w:r w:rsidR="00D72463" w:rsidRPr="00FD07C8">
        <w:t xml:space="preserve">  </w:t>
      </w:r>
      <w:r w:rsidR="00276243" w:rsidRPr="00FD07C8">
        <w:t xml:space="preserve">The </w:t>
      </w:r>
      <w:r w:rsidR="00A0279C" w:rsidRPr="00FD07C8">
        <w:t>Responding P</w:t>
      </w:r>
      <w:r w:rsidR="00276243" w:rsidRPr="00FD07C8">
        <w:t xml:space="preserve">arties, however, ignore the fact that the rule provides </w:t>
      </w:r>
      <w:r w:rsidR="008004ED" w:rsidRPr="00FD07C8">
        <w:t xml:space="preserve">reciprocal </w:t>
      </w:r>
      <w:r w:rsidR="00276243" w:rsidRPr="00FD07C8">
        <w:t>protections for utilities</w:t>
      </w:r>
      <w:r w:rsidR="00760EDC" w:rsidRPr="00FD07C8">
        <w:t>.  T</w:t>
      </w:r>
      <w:r w:rsidR="00D72463" w:rsidRPr="00FD07C8">
        <w:t xml:space="preserve">he rule </w:t>
      </w:r>
      <w:r w:rsidR="00760EDC" w:rsidRPr="00FD07C8">
        <w:t xml:space="preserve">provides constitutional safeguards against confiscatory rates by ensuring </w:t>
      </w:r>
      <w:r w:rsidR="00276243" w:rsidRPr="00FD07C8">
        <w:t>that</w:t>
      </w:r>
      <w:r w:rsidR="00D72463" w:rsidRPr="00FD07C8">
        <w:t xml:space="preserve"> past profits </w:t>
      </w:r>
      <w:r w:rsidR="00276243" w:rsidRPr="00FD07C8">
        <w:t>are not used</w:t>
      </w:r>
      <w:r w:rsidR="00D72463" w:rsidRPr="00FD07C8">
        <w:t xml:space="preserve"> </w:t>
      </w:r>
      <w:r w:rsidR="00FD07C8">
        <w:t xml:space="preserve">to </w:t>
      </w:r>
      <w:r w:rsidR="00D72463" w:rsidRPr="00FD07C8">
        <w:t>reduce future</w:t>
      </w:r>
      <w:r w:rsidR="00276243" w:rsidRPr="00FD07C8">
        <w:t xml:space="preserve"> rates</w:t>
      </w:r>
      <w:r w:rsidR="00D72463" w:rsidRPr="00FD07C8">
        <w:t>.</w:t>
      </w:r>
      <w:r w:rsidR="00276243" w:rsidRPr="00FD07C8">
        <w:rPr>
          <w:rStyle w:val="FootnoteReference"/>
        </w:rPr>
        <w:footnoteReference w:id="31"/>
      </w:r>
      <w:r w:rsidR="00D72463" w:rsidRPr="00FD07C8">
        <w:t xml:space="preserve">  </w:t>
      </w:r>
      <w:r w:rsidR="00F31F3D" w:rsidRPr="00FD07C8">
        <w:t>Th</w:t>
      </w:r>
      <w:r w:rsidR="00E96F33" w:rsidRPr="00FD07C8">
        <w:t xml:space="preserve">e rule also ensures the </w:t>
      </w:r>
      <w:bookmarkStart w:id="39" w:name="SR;1891"/>
      <w:bookmarkEnd w:id="39"/>
      <w:r w:rsidR="00F31F3D" w:rsidRPr="00FD07C8">
        <w:t xml:space="preserve">regulatory </w:t>
      </w:r>
      <w:bookmarkStart w:id="40" w:name="SR;1892"/>
      <w:bookmarkEnd w:id="40"/>
      <w:r w:rsidR="00F31F3D" w:rsidRPr="00FD07C8">
        <w:t xml:space="preserve">certainty and long-term fairness </w:t>
      </w:r>
      <w:r w:rsidR="00E96F33" w:rsidRPr="00FD07C8">
        <w:t>that the Commission has found to be important in establishing rates.</w:t>
      </w:r>
      <w:r w:rsidR="00E96F33" w:rsidRPr="00FD07C8">
        <w:rPr>
          <w:rStyle w:val="FootnoteReference"/>
        </w:rPr>
        <w:footnoteReference w:id="32"/>
      </w:r>
      <w:r w:rsidR="00E96F33" w:rsidRPr="00FD07C8">
        <w:t xml:space="preserve">  </w:t>
      </w:r>
      <w:r w:rsidR="00544D91" w:rsidRPr="00FD07C8">
        <w:t>The rule al</w:t>
      </w:r>
      <w:r w:rsidR="00760EDC" w:rsidRPr="00FD07C8">
        <w:t>so bolsters investor confidence, thereby ensuring that utilities can attract capital.</w:t>
      </w:r>
      <w:r w:rsidR="00544D91" w:rsidRPr="00FD07C8">
        <w:rPr>
          <w:rStyle w:val="FootnoteReference"/>
        </w:rPr>
        <w:footnoteReference w:id="33"/>
      </w:r>
      <w:r w:rsidR="00544D91" w:rsidRPr="00FD07C8">
        <w:t xml:space="preserve">  </w:t>
      </w:r>
      <w:r w:rsidR="00E9419E" w:rsidRPr="00FD07C8">
        <w:t xml:space="preserve">The </w:t>
      </w:r>
      <w:r w:rsidR="00B60417" w:rsidRPr="00FD07C8">
        <w:t>Responding P</w:t>
      </w:r>
      <w:r w:rsidR="00E9419E" w:rsidRPr="00FD07C8">
        <w:t xml:space="preserve">arties’ characterization of the rule against retroactive ratemaking as a doctrine intended primarily to protect </w:t>
      </w:r>
      <w:r w:rsidR="008004ED" w:rsidRPr="00FD07C8">
        <w:t xml:space="preserve">against </w:t>
      </w:r>
      <w:r w:rsidR="00E9419E" w:rsidRPr="00FD07C8">
        <w:t xml:space="preserve">utilities including past losses in future rates is </w:t>
      </w:r>
      <w:r w:rsidR="008004ED" w:rsidRPr="00FD07C8">
        <w:t>in</w:t>
      </w:r>
      <w:r w:rsidR="00E9419E" w:rsidRPr="00FD07C8">
        <w:t>accurate.</w:t>
      </w:r>
    </w:p>
    <w:p w:rsidR="009E70F9" w:rsidRPr="00FD07C8" w:rsidRDefault="00B42D8A" w:rsidP="009E70F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B60417" w:rsidRPr="00FD07C8">
        <w:rPr>
          <w:rFonts w:ascii="Times New Roman" w:hAnsi="Times New Roman"/>
          <w:szCs w:val="24"/>
        </w:rPr>
        <w:t xml:space="preserve">Staff has </w:t>
      </w:r>
      <w:r w:rsidR="00F52613" w:rsidRPr="00FD07C8">
        <w:rPr>
          <w:rFonts w:ascii="Times New Roman" w:hAnsi="Times New Roman"/>
          <w:szCs w:val="24"/>
        </w:rPr>
        <w:t xml:space="preserve">previously recognized the reciprocal nature of </w:t>
      </w:r>
      <w:r w:rsidR="00B60417" w:rsidRPr="00FD07C8">
        <w:rPr>
          <w:rFonts w:ascii="Times New Roman" w:hAnsi="Times New Roman"/>
          <w:szCs w:val="24"/>
        </w:rPr>
        <w:t>the rule against retroactive ratemaking</w:t>
      </w:r>
      <w:r w:rsidR="00F52613" w:rsidRPr="00FD07C8">
        <w:rPr>
          <w:rFonts w:ascii="Times New Roman" w:hAnsi="Times New Roman"/>
          <w:szCs w:val="24"/>
        </w:rPr>
        <w:t>.</w:t>
      </w:r>
      <w:r w:rsidR="00F52613" w:rsidRPr="00FD07C8">
        <w:rPr>
          <w:rStyle w:val="FootnoteReference"/>
          <w:rFonts w:ascii="Times New Roman" w:hAnsi="Times New Roman"/>
          <w:szCs w:val="24"/>
        </w:rPr>
        <w:footnoteReference w:id="34"/>
      </w:r>
      <w:r w:rsidR="00F52613" w:rsidRPr="00FD07C8">
        <w:rPr>
          <w:rFonts w:ascii="Times New Roman" w:hAnsi="Times New Roman"/>
          <w:szCs w:val="24"/>
        </w:rPr>
        <w:t xml:space="preserve">  In a recent Puget rate case, Puget proposed a regulatory liability to reflect </w:t>
      </w:r>
      <w:r w:rsidR="00214ED8" w:rsidRPr="00FD07C8">
        <w:rPr>
          <w:rFonts w:ascii="Times New Roman" w:hAnsi="Times New Roman"/>
          <w:szCs w:val="24"/>
        </w:rPr>
        <w:t xml:space="preserve">past </w:t>
      </w:r>
      <w:r w:rsidR="00F52613" w:rsidRPr="00FD07C8">
        <w:rPr>
          <w:rFonts w:ascii="Times New Roman" w:hAnsi="Times New Roman"/>
          <w:szCs w:val="24"/>
        </w:rPr>
        <w:t>over-collections of operations and maintenance expenses from customers.</w:t>
      </w:r>
      <w:r w:rsidR="00B60417" w:rsidRPr="00FD07C8">
        <w:rPr>
          <w:rStyle w:val="FootnoteReference"/>
          <w:rFonts w:ascii="Times New Roman" w:hAnsi="Times New Roman"/>
          <w:szCs w:val="24"/>
        </w:rPr>
        <w:footnoteReference w:id="35"/>
      </w:r>
      <w:r w:rsidR="00F52613" w:rsidRPr="00FD07C8">
        <w:rPr>
          <w:rFonts w:ascii="Times New Roman" w:hAnsi="Times New Roman"/>
          <w:szCs w:val="24"/>
        </w:rPr>
        <w:t xml:space="preserve">  Staff witness Kathryn </w:t>
      </w:r>
      <w:r w:rsidR="00B60417" w:rsidRPr="00FD07C8">
        <w:rPr>
          <w:rFonts w:ascii="Times New Roman" w:hAnsi="Times New Roman"/>
          <w:szCs w:val="24"/>
        </w:rPr>
        <w:t>Breda testified that she removed the liability</w:t>
      </w:r>
      <w:r w:rsidR="00F52613" w:rsidRPr="00FD07C8">
        <w:rPr>
          <w:rFonts w:ascii="Times New Roman" w:hAnsi="Times New Roman"/>
          <w:szCs w:val="24"/>
        </w:rPr>
        <w:t>, which would have substantially reduced rates,</w:t>
      </w:r>
      <w:r w:rsidR="00B60417" w:rsidRPr="00FD07C8">
        <w:rPr>
          <w:rFonts w:ascii="Times New Roman" w:hAnsi="Times New Roman"/>
          <w:szCs w:val="24"/>
        </w:rPr>
        <w:t xml:space="preserve"> “because it is retroactive ratemaking.”</w:t>
      </w:r>
      <w:r w:rsidR="00B60417" w:rsidRPr="00FD07C8">
        <w:rPr>
          <w:rStyle w:val="FootnoteReference"/>
          <w:rFonts w:ascii="Times New Roman" w:hAnsi="Times New Roman"/>
          <w:szCs w:val="24"/>
        </w:rPr>
        <w:footnoteReference w:id="36"/>
      </w:r>
      <w:r w:rsidR="00B60417" w:rsidRPr="00FD07C8">
        <w:rPr>
          <w:rFonts w:ascii="Times New Roman" w:hAnsi="Times New Roman"/>
          <w:szCs w:val="24"/>
        </w:rPr>
        <w:t xml:space="preserve"> </w:t>
      </w:r>
      <w:r w:rsidR="009E70F9" w:rsidRPr="00FD07C8">
        <w:rPr>
          <w:rFonts w:ascii="Times New Roman" w:hAnsi="Times New Roman"/>
          <w:szCs w:val="24"/>
        </w:rPr>
        <w:t>Ms. Breda’s willingness to expressly address and apply the rule against retroactive ratemaking in the Puget case when it operated to benefit the utility is in stark contra</w:t>
      </w:r>
      <w:r w:rsidR="00214ED8" w:rsidRPr="00FD07C8">
        <w:rPr>
          <w:rFonts w:ascii="Times New Roman" w:hAnsi="Times New Roman"/>
          <w:szCs w:val="24"/>
        </w:rPr>
        <w:t>s</w:t>
      </w:r>
      <w:r w:rsidR="009E70F9" w:rsidRPr="00FD07C8">
        <w:rPr>
          <w:rFonts w:ascii="Times New Roman" w:hAnsi="Times New Roman"/>
          <w:szCs w:val="24"/>
        </w:rPr>
        <w:t>t to this case where Ms. Breda’s testimony refuse</w:t>
      </w:r>
      <w:r w:rsidR="00214ED8" w:rsidRPr="00FD07C8">
        <w:rPr>
          <w:rFonts w:ascii="Times New Roman" w:hAnsi="Times New Roman"/>
          <w:szCs w:val="24"/>
        </w:rPr>
        <w:t>d</w:t>
      </w:r>
      <w:r w:rsidR="009E70F9" w:rsidRPr="00FD07C8">
        <w:rPr>
          <w:rFonts w:ascii="Times New Roman" w:hAnsi="Times New Roman"/>
          <w:szCs w:val="24"/>
        </w:rPr>
        <w:t xml:space="preserve"> to even address the issue.</w:t>
      </w:r>
      <w:r w:rsidR="00214ED8" w:rsidRPr="00FD07C8">
        <w:rPr>
          <w:rStyle w:val="FootnoteReference"/>
          <w:rFonts w:ascii="Times New Roman" w:hAnsi="Times New Roman"/>
          <w:szCs w:val="24"/>
        </w:rPr>
        <w:footnoteReference w:id="37"/>
      </w:r>
      <w:r w:rsidR="009E70F9" w:rsidRPr="00FD07C8">
        <w:rPr>
          <w:rFonts w:ascii="Times New Roman" w:hAnsi="Times New Roman"/>
          <w:szCs w:val="24"/>
        </w:rPr>
        <w:t xml:space="preserve">  </w:t>
      </w:r>
    </w:p>
    <w:p w:rsidR="007211F1" w:rsidRPr="00FD07C8" w:rsidRDefault="00B42D8A" w:rsidP="00B96E74">
      <w:pPr>
        <w:pStyle w:val="ListParagraph"/>
        <w:numPr>
          <w:ilvl w:val="0"/>
          <w:numId w:val="12"/>
        </w:numPr>
        <w:tabs>
          <w:tab w:val="clear" w:pos="1440"/>
          <w:tab w:val="num" w:pos="720"/>
        </w:tabs>
        <w:spacing w:line="480" w:lineRule="auto"/>
        <w:ind w:left="0"/>
      </w:pPr>
      <w:r w:rsidRPr="00FD07C8">
        <w:tab/>
      </w:r>
      <w:r w:rsidR="005A1BD7" w:rsidRPr="00FD07C8">
        <w:t>Th</w:t>
      </w:r>
      <w:r w:rsidR="00BD01F8" w:rsidRPr="00FD07C8">
        <w:t xml:space="preserve">e </w:t>
      </w:r>
      <w:r w:rsidR="00214ED8" w:rsidRPr="00FD07C8">
        <w:t>Responding Parties</w:t>
      </w:r>
      <w:r w:rsidR="00BD01F8" w:rsidRPr="00FD07C8">
        <w:t xml:space="preserve"> cite to cases from</w:t>
      </w:r>
      <w:r w:rsidR="005A1BD7" w:rsidRPr="00FD07C8">
        <w:t xml:space="preserve"> other juris</w:t>
      </w:r>
      <w:r w:rsidR="005A1BD7" w:rsidRPr="00FD07C8">
        <w:rPr>
          <w:rFonts w:ascii="Times New Roman" w:hAnsi="Times New Roman"/>
          <w:szCs w:val="24"/>
        </w:rPr>
        <w:t>dictions to support their arguments in favor of applying an exception to retroactive ratemaking in this case.</w:t>
      </w:r>
      <w:r w:rsidR="005A1BD7" w:rsidRPr="00FD07C8">
        <w:rPr>
          <w:rStyle w:val="FootnoteReference"/>
          <w:rFonts w:ascii="Times New Roman" w:hAnsi="Times New Roman"/>
          <w:szCs w:val="24"/>
        </w:rPr>
        <w:footnoteReference w:id="38"/>
      </w:r>
      <w:r w:rsidR="005A1BD7" w:rsidRPr="00FD07C8">
        <w:rPr>
          <w:rFonts w:ascii="Times New Roman" w:hAnsi="Times New Roman"/>
          <w:szCs w:val="24"/>
        </w:rPr>
        <w:t xml:space="preserve">  As ICNU concedes, states apply the rule with varying degrees of strictness</w:t>
      </w:r>
      <w:r w:rsidR="008004ED" w:rsidRPr="00FD07C8">
        <w:rPr>
          <w:rFonts w:ascii="Times New Roman" w:hAnsi="Times New Roman"/>
          <w:szCs w:val="24"/>
        </w:rPr>
        <w:t xml:space="preserve">.  Just as there are jurisdictions that allow exceptions to the rule against retroactive ratemaking, </w:t>
      </w:r>
      <w:r w:rsidR="00BD01F8" w:rsidRPr="00FD07C8">
        <w:rPr>
          <w:rFonts w:ascii="Times New Roman" w:hAnsi="Times New Roman"/>
          <w:szCs w:val="24"/>
        </w:rPr>
        <w:t>there are many states</w:t>
      </w:r>
      <w:r w:rsidR="00214ED8" w:rsidRPr="00FD07C8">
        <w:rPr>
          <w:rFonts w:ascii="Times New Roman" w:hAnsi="Times New Roman"/>
          <w:szCs w:val="24"/>
        </w:rPr>
        <w:t>—Washington among them—</w:t>
      </w:r>
      <w:r w:rsidR="00BD01F8" w:rsidRPr="00FD07C8">
        <w:rPr>
          <w:rFonts w:ascii="Times New Roman" w:hAnsi="Times New Roman"/>
          <w:szCs w:val="24"/>
        </w:rPr>
        <w:t xml:space="preserve">in which the </w:t>
      </w:r>
      <w:r w:rsidR="0027276D" w:rsidRPr="00FD07C8">
        <w:rPr>
          <w:rFonts w:ascii="Times New Roman" w:hAnsi="Times New Roman"/>
          <w:szCs w:val="24"/>
        </w:rPr>
        <w:t>rule</w:t>
      </w:r>
      <w:r w:rsidR="00BD01F8" w:rsidRPr="00FD07C8">
        <w:rPr>
          <w:rFonts w:ascii="Times New Roman" w:hAnsi="Times New Roman"/>
          <w:szCs w:val="24"/>
        </w:rPr>
        <w:t xml:space="preserve"> is applied strictly.</w:t>
      </w:r>
      <w:r w:rsidR="005A1BD7" w:rsidRPr="00FD07C8">
        <w:rPr>
          <w:rStyle w:val="FootnoteReference"/>
          <w:rFonts w:ascii="Times New Roman" w:hAnsi="Times New Roman"/>
          <w:szCs w:val="24"/>
        </w:rPr>
        <w:footnoteReference w:id="39"/>
      </w:r>
      <w:r w:rsidR="005A1BD7" w:rsidRPr="00FD07C8">
        <w:rPr>
          <w:rFonts w:ascii="Times New Roman" w:hAnsi="Times New Roman"/>
          <w:szCs w:val="24"/>
        </w:rPr>
        <w:t xml:space="preserve"> </w:t>
      </w:r>
      <w:r w:rsidR="00BD01F8" w:rsidRPr="00FD07C8">
        <w:rPr>
          <w:rFonts w:ascii="Times New Roman" w:hAnsi="Times New Roman"/>
          <w:szCs w:val="24"/>
        </w:rPr>
        <w:t xml:space="preserve"> </w:t>
      </w:r>
    </w:p>
    <w:p w:rsidR="00B96E74" w:rsidRPr="00FD07C8" w:rsidRDefault="00B42D8A" w:rsidP="00B96E74">
      <w:pPr>
        <w:pStyle w:val="ListParagraph"/>
        <w:numPr>
          <w:ilvl w:val="0"/>
          <w:numId w:val="12"/>
        </w:numPr>
        <w:tabs>
          <w:tab w:val="clear" w:pos="1440"/>
          <w:tab w:val="num" w:pos="720"/>
        </w:tabs>
        <w:spacing w:line="480" w:lineRule="auto"/>
        <w:ind w:left="0"/>
      </w:pPr>
      <w:r w:rsidRPr="00FD07C8">
        <w:rPr>
          <w:rFonts w:ascii="Times New Roman" w:hAnsi="Times New Roman"/>
          <w:szCs w:val="24"/>
        </w:rPr>
        <w:lastRenderedPageBreak/>
        <w:tab/>
      </w:r>
      <w:r w:rsidR="00BD01F8" w:rsidRPr="00FD07C8">
        <w:rPr>
          <w:rFonts w:ascii="Times New Roman" w:hAnsi="Times New Roman"/>
          <w:szCs w:val="24"/>
        </w:rPr>
        <w:t xml:space="preserve">The </w:t>
      </w:r>
      <w:r w:rsidR="007211F1" w:rsidRPr="00FD07C8">
        <w:rPr>
          <w:rFonts w:ascii="Times New Roman" w:hAnsi="Times New Roman"/>
          <w:szCs w:val="24"/>
        </w:rPr>
        <w:t>Responding P</w:t>
      </w:r>
      <w:r w:rsidR="00BD01F8" w:rsidRPr="00FD07C8">
        <w:rPr>
          <w:rFonts w:ascii="Times New Roman" w:hAnsi="Times New Roman"/>
          <w:szCs w:val="24"/>
        </w:rPr>
        <w:t xml:space="preserve">arties’ arguments </w:t>
      </w:r>
      <w:r w:rsidR="007211F1" w:rsidRPr="00FD07C8">
        <w:rPr>
          <w:rFonts w:ascii="Times New Roman" w:hAnsi="Times New Roman"/>
          <w:szCs w:val="24"/>
        </w:rPr>
        <w:t>urging an</w:t>
      </w:r>
      <w:r w:rsidR="00BD01F8" w:rsidRPr="00FD07C8">
        <w:rPr>
          <w:rFonts w:ascii="Times New Roman" w:hAnsi="Times New Roman"/>
          <w:szCs w:val="24"/>
        </w:rPr>
        <w:t xml:space="preserve"> exception to the rule against retroactive ratemaking </w:t>
      </w:r>
      <w:r w:rsidR="00F330B1" w:rsidRPr="00FD07C8">
        <w:rPr>
          <w:rFonts w:ascii="Times New Roman" w:hAnsi="Times New Roman"/>
          <w:szCs w:val="24"/>
        </w:rPr>
        <w:t xml:space="preserve">in this case </w:t>
      </w:r>
      <w:r w:rsidR="00BD01F8" w:rsidRPr="00FD07C8">
        <w:rPr>
          <w:rFonts w:ascii="Times New Roman" w:hAnsi="Times New Roman"/>
          <w:szCs w:val="24"/>
        </w:rPr>
        <w:t>ignore the fact that the rule</w:t>
      </w:r>
      <w:r w:rsidR="005F7FFD" w:rsidRPr="00FD07C8">
        <w:rPr>
          <w:rFonts w:ascii="Times New Roman" w:hAnsi="Times New Roman"/>
          <w:szCs w:val="24"/>
        </w:rPr>
        <w:t xml:space="preserve"> against retroactive ratemaking</w:t>
      </w:r>
      <w:r w:rsidR="00BD01F8" w:rsidRPr="00FD07C8">
        <w:rPr>
          <w:rFonts w:ascii="Times New Roman" w:hAnsi="Times New Roman"/>
          <w:szCs w:val="24"/>
        </w:rPr>
        <w:t xml:space="preserve"> and its corollary</w:t>
      </w:r>
      <w:r w:rsidR="007211F1" w:rsidRPr="00FD07C8">
        <w:rPr>
          <w:rFonts w:ascii="Times New Roman" w:hAnsi="Times New Roman"/>
          <w:szCs w:val="24"/>
        </w:rPr>
        <w:t>,</w:t>
      </w:r>
      <w:r w:rsidR="00BD01F8" w:rsidRPr="00FD07C8">
        <w:rPr>
          <w:rFonts w:ascii="Times New Roman" w:hAnsi="Times New Roman"/>
          <w:szCs w:val="24"/>
        </w:rPr>
        <w:t xml:space="preserve"> the filed rate doctrine</w:t>
      </w:r>
      <w:r w:rsidR="007211F1" w:rsidRPr="00FD07C8">
        <w:rPr>
          <w:rFonts w:ascii="Times New Roman" w:hAnsi="Times New Roman"/>
          <w:szCs w:val="24"/>
        </w:rPr>
        <w:t>,</w:t>
      </w:r>
      <w:r w:rsidR="00BD01F8" w:rsidRPr="00FD07C8">
        <w:rPr>
          <w:rFonts w:ascii="Times New Roman" w:hAnsi="Times New Roman"/>
          <w:szCs w:val="24"/>
        </w:rPr>
        <w:t xml:space="preserve"> are embodied in Washington law.  </w:t>
      </w:r>
      <w:r w:rsidR="00A36793" w:rsidRPr="00FD07C8">
        <w:fldChar w:fldCharType="begin"/>
      </w:r>
      <w:r w:rsidR="00CC6CF0" w:rsidRPr="00FD07C8">
        <w:instrText xml:space="preserve"> ADDIN BA \xc &lt;@st&gt; \xl 13 \s NSKEHB000025 \l "</w:instrText>
      </w:r>
      <w:r w:rsidR="00CC6CF0" w:rsidRPr="00FD07C8">
        <w:rPr>
          <w:rFonts w:ascii="Times New Roman" w:hAnsi="Times New Roman"/>
          <w:szCs w:val="24"/>
        </w:rPr>
        <w:instrText>RCW 80.28.080</w:instrText>
      </w:r>
      <w:r w:rsidR="00CC6CF0" w:rsidRPr="00FD07C8">
        <w:instrText xml:space="preserve">" </w:instrText>
      </w:r>
      <w:r w:rsidR="00A36793" w:rsidRPr="00FD07C8">
        <w:fldChar w:fldCharType="end"/>
      </w:r>
      <w:bookmarkStart w:id="49" w:name="_BA_Cite_102"/>
      <w:r w:rsidR="00100F0D" w:rsidRPr="00FD07C8">
        <w:rPr>
          <w:rFonts w:ascii="Times New Roman" w:hAnsi="Times New Roman"/>
          <w:szCs w:val="24"/>
        </w:rPr>
        <w:t>RCW 80.28.080</w:t>
      </w:r>
      <w:bookmarkEnd w:id="49"/>
      <w:r w:rsidR="00100F0D" w:rsidRPr="00FD07C8">
        <w:rPr>
          <w:rFonts w:ascii="Times New Roman" w:hAnsi="Times New Roman"/>
          <w:szCs w:val="24"/>
        </w:rPr>
        <w:t xml:space="preserve"> provides that when the Commission finds rates to be unjust or unreasonable, it shall determine the just and reasonable rates “to be thereafter observed and in force.”  The Commission has found that this statute requires that “with few exceptions . . . the Commission is charged with setting rates on a </w:t>
      </w:r>
      <w:r w:rsidR="00100F0D" w:rsidRPr="00FD07C8">
        <w:rPr>
          <w:rFonts w:ascii="Times New Roman" w:hAnsi="Times New Roman"/>
          <w:i/>
          <w:szCs w:val="24"/>
        </w:rPr>
        <w:t xml:space="preserve">prospective </w:t>
      </w:r>
      <w:r w:rsidR="00100F0D" w:rsidRPr="00FD07C8">
        <w:rPr>
          <w:rFonts w:ascii="Times New Roman" w:hAnsi="Times New Roman"/>
          <w:szCs w:val="24"/>
        </w:rPr>
        <w:t>basis.”</w:t>
      </w:r>
      <w:r w:rsidR="00100F0D" w:rsidRPr="00FD07C8">
        <w:rPr>
          <w:rStyle w:val="FootnoteReference"/>
          <w:rFonts w:ascii="Times New Roman" w:hAnsi="Times New Roman"/>
          <w:szCs w:val="24"/>
        </w:rPr>
        <w:footnoteReference w:id="40"/>
      </w:r>
      <w:r w:rsidR="00100F0D" w:rsidRPr="00FD07C8">
        <w:rPr>
          <w:rFonts w:ascii="Times New Roman" w:hAnsi="Times New Roman"/>
          <w:szCs w:val="24"/>
        </w:rPr>
        <w:t xml:space="preserve">  </w:t>
      </w:r>
      <w:r w:rsidR="00A36793" w:rsidRPr="00FD07C8">
        <w:fldChar w:fldCharType="begin"/>
      </w:r>
      <w:r w:rsidR="00CC6CF0" w:rsidRPr="00FD07C8">
        <w:instrText xml:space="preserve"> ADDIN BA \xc &lt;@$st&gt; \xl 13 \s NSKEHB000025 </w:instrText>
      </w:r>
      <w:r w:rsidR="00A36793" w:rsidRPr="00FD07C8">
        <w:fldChar w:fldCharType="end"/>
      </w:r>
      <w:r w:rsidR="00302118" w:rsidRPr="00FD07C8">
        <w:rPr>
          <w:rFonts w:ascii="Times New Roman" w:hAnsi="Times New Roman"/>
          <w:szCs w:val="24"/>
        </w:rPr>
        <w:t xml:space="preserve">RCW 80.28.080 requires that a utility charge the rates specified in its rate schedule filed and in effect at the time and cannot “directly or indirectly refund or remit in any manner or by any device any portion of the rates or charges so specified.”  </w:t>
      </w:r>
      <w:r w:rsidR="00B96E74" w:rsidRPr="00FD07C8">
        <w:rPr>
          <w:rFonts w:ascii="Times New Roman" w:hAnsi="Times New Roman"/>
          <w:szCs w:val="24"/>
        </w:rPr>
        <w:t xml:space="preserve">These statutes are consistent with the fact that </w:t>
      </w:r>
      <w:r w:rsidR="00B96E74" w:rsidRPr="00FD07C8">
        <w:t xml:space="preserve">ratemaking is a </w:t>
      </w:r>
      <w:bookmarkStart w:id="51" w:name="SR;19339"/>
      <w:bookmarkStart w:id="52" w:name="SearchTerm"/>
      <w:bookmarkEnd w:id="51"/>
      <w:r w:rsidR="00B96E74" w:rsidRPr="00FD07C8">
        <w:t xml:space="preserve">legislative act and, like legislation, ratemaking is applied prospectively absent explicit </w:t>
      </w:r>
      <w:bookmarkStart w:id="53" w:name="SR;19358"/>
      <w:bookmarkEnd w:id="52"/>
      <w:bookmarkEnd w:id="53"/>
      <w:r w:rsidR="00B96E74" w:rsidRPr="00FD07C8">
        <w:t>legislative direction to the contrary.</w:t>
      </w:r>
      <w:r w:rsidR="00B96E74" w:rsidRPr="00FD07C8">
        <w:rPr>
          <w:rStyle w:val="FootnoteReference"/>
        </w:rPr>
        <w:footnoteReference w:id="41"/>
      </w:r>
      <w:r w:rsidR="00B96E74" w:rsidRPr="00FD07C8">
        <w:t xml:space="preserve"> </w:t>
      </w:r>
    </w:p>
    <w:p w:rsidR="00F330B1" w:rsidRPr="00FD07C8" w:rsidRDefault="00B42D8A" w:rsidP="004F1D7F">
      <w:pPr>
        <w:pStyle w:val="ListParagraph"/>
        <w:numPr>
          <w:ilvl w:val="0"/>
          <w:numId w:val="12"/>
        </w:numPr>
        <w:tabs>
          <w:tab w:val="clear" w:pos="1440"/>
          <w:tab w:val="num" w:pos="720"/>
        </w:tabs>
        <w:spacing w:line="480" w:lineRule="auto"/>
        <w:ind w:left="0"/>
      </w:pPr>
      <w:r w:rsidRPr="00FD07C8">
        <w:rPr>
          <w:rFonts w:ascii="Times New Roman" w:hAnsi="Times New Roman"/>
          <w:szCs w:val="24"/>
        </w:rPr>
        <w:tab/>
      </w:r>
      <w:r w:rsidR="00F330B1" w:rsidRPr="00FD07C8">
        <w:rPr>
          <w:rFonts w:ascii="Times New Roman" w:hAnsi="Times New Roman"/>
          <w:szCs w:val="24"/>
        </w:rPr>
        <w:t>T</w:t>
      </w:r>
      <w:r w:rsidR="00BD01F8" w:rsidRPr="00FD07C8">
        <w:rPr>
          <w:rFonts w:ascii="Times New Roman" w:hAnsi="Times New Roman"/>
          <w:szCs w:val="24"/>
        </w:rPr>
        <w:t xml:space="preserve">he </w:t>
      </w:r>
      <w:r w:rsidR="007211F1" w:rsidRPr="00FD07C8">
        <w:rPr>
          <w:rFonts w:ascii="Times New Roman" w:hAnsi="Times New Roman"/>
          <w:szCs w:val="24"/>
        </w:rPr>
        <w:t>Responding P</w:t>
      </w:r>
      <w:r w:rsidR="005A1BD7" w:rsidRPr="00FD07C8">
        <w:rPr>
          <w:rFonts w:ascii="Times New Roman" w:hAnsi="Times New Roman"/>
          <w:szCs w:val="24"/>
        </w:rPr>
        <w:t xml:space="preserve">arties </w:t>
      </w:r>
      <w:r w:rsidR="007211F1" w:rsidRPr="00FD07C8">
        <w:rPr>
          <w:rFonts w:ascii="Times New Roman" w:hAnsi="Times New Roman"/>
          <w:szCs w:val="24"/>
        </w:rPr>
        <w:t>cannot</w:t>
      </w:r>
      <w:r w:rsidR="00BD01F8" w:rsidRPr="00FD07C8">
        <w:rPr>
          <w:rFonts w:ascii="Times New Roman" w:hAnsi="Times New Roman"/>
          <w:szCs w:val="24"/>
        </w:rPr>
        <w:t xml:space="preserve"> cite to a</w:t>
      </w:r>
      <w:r w:rsidR="0027276D" w:rsidRPr="00FD07C8">
        <w:rPr>
          <w:rFonts w:ascii="Times New Roman" w:hAnsi="Times New Roman"/>
          <w:szCs w:val="24"/>
        </w:rPr>
        <w:t>ny</w:t>
      </w:r>
      <w:r w:rsidR="00BD01F8" w:rsidRPr="00FD07C8">
        <w:rPr>
          <w:rFonts w:ascii="Times New Roman" w:hAnsi="Times New Roman"/>
          <w:szCs w:val="24"/>
        </w:rPr>
        <w:t xml:space="preserve"> Washington case or order </w:t>
      </w:r>
      <w:r w:rsidR="00F330B1" w:rsidRPr="00FD07C8">
        <w:rPr>
          <w:rFonts w:ascii="Times New Roman" w:hAnsi="Times New Roman"/>
          <w:szCs w:val="24"/>
        </w:rPr>
        <w:t xml:space="preserve">supporting </w:t>
      </w:r>
      <w:r w:rsidR="003572AE" w:rsidRPr="00FD07C8">
        <w:rPr>
          <w:rFonts w:ascii="Times New Roman" w:hAnsi="Times New Roman"/>
          <w:szCs w:val="24"/>
        </w:rPr>
        <w:t xml:space="preserve">an exception </w:t>
      </w:r>
      <w:r w:rsidR="009761C2" w:rsidRPr="00FD07C8">
        <w:rPr>
          <w:rFonts w:ascii="Times New Roman" w:hAnsi="Times New Roman"/>
          <w:szCs w:val="24"/>
        </w:rPr>
        <w:t>to the rule against retroactive ratemaking</w:t>
      </w:r>
      <w:r w:rsidR="00F330B1" w:rsidRPr="00FD07C8">
        <w:rPr>
          <w:rFonts w:ascii="Times New Roman" w:hAnsi="Times New Roman"/>
          <w:szCs w:val="24"/>
        </w:rPr>
        <w:t xml:space="preserve"> in this case.</w:t>
      </w:r>
      <w:r w:rsidR="009761C2" w:rsidRPr="00FD07C8">
        <w:rPr>
          <w:rFonts w:ascii="Times New Roman" w:hAnsi="Times New Roman"/>
          <w:szCs w:val="24"/>
        </w:rPr>
        <w:t xml:space="preserve"> </w:t>
      </w:r>
      <w:r w:rsidR="00F330B1" w:rsidRPr="00FD07C8">
        <w:rPr>
          <w:rFonts w:ascii="Times New Roman" w:hAnsi="Times New Roman"/>
          <w:szCs w:val="24"/>
        </w:rPr>
        <w:t xml:space="preserve"> ICNU </w:t>
      </w:r>
      <w:r w:rsidR="000B6D15" w:rsidRPr="00FD07C8">
        <w:rPr>
          <w:rFonts w:ascii="Times New Roman" w:hAnsi="Times New Roman"/>
          <w:szCs w:val="24"/>
        </w:rPr>
        <w:t>claims that the rule against retroactive ratemaking has been applied on a “contradictory, ad hoc and inconsistent” basis across jurisdictions.</w:t>
      </w:r>
      <w:r w:rsidR="000B6D15" w:rsidRPr="00FD07C8">
        <w:rPr>
          <w:rStyle w:val="FootnoteReference"/>
          <w:rFonts w:ascii="Times New Roman" w:hAnsi="Times New Roman"/>
          <w:szCs w:val="24"/>
        </w:rPr>
        <w:footnoteReference w:id="42"/>
      </w:r>
      <w:r w:rsidR="000B6D15" w:rsidRPr="00FD07C8">
        <w:rPr>
          <w:rFonts w:ascii="Times New Roman" w:hAnsi="Times New Roman"/>
          <w:szCs w:val="24"/>
        </w:rPr>
        <w:t xml:space="preserve">  </w:t>
      </w:r>
      <w:r w:rsidR="009761C2" w:rsidRPr="00FD07C8">
        <w:rPr>
          <w:rFonts w:ascii="Times New Roman" w:hAnsi="Times New Roman"/>
          <w:szCs w:val="24"/>
        </w:rPr>
        <w:t xml:space="preserve">This Commission has </w:t>
      </w:r>
      <w:r w:rsidR="00F330B1" w:rsidRPr="00FD07C8">
        <w:rPr>
          <w:rFonts w:ascii="Times New Roman" w:hAnsi="Times New Roman"/>
          <w:szCs w:val="24"/>
        </w:rPr>
        <w:t>been steadfast and consistent in its approach to the rule</w:t>
      </w:r>
      <w:r w:rsidR="009761C2" w:rsidRPr="00FD07C8">
        <w:rPr>
          <w:rFonts w:ascii="Times New Roman" w:hAnsi="Times New Roman"/>
          <w:szCs w:val="24"/>
        </w:rPr>
        <w:t xml:space="preserve"> and should </w:t>
      </w:r>
      <w:r w:rsidR="00F330B1" w:rsidRPr="00FD07C8">
        <w:rPr>
          <w:rFonts w:ascii="Times New Roman" w:hAnsi="Times New Roman"/>
          <w:szCs w:val="24"/>
        </w:rPr>
        <w:t>decline the Responding Parties’ invitation to move to an inconsistent and ad hoc approach</w:t>
      </w:r>
      <w:r w:rsidR="009761C2" w:rsidRPr="00FD07C8">
        <w:rPr>
          <w:rFonts w:ascii="Times New Roman" w:hAnsi="Times New Roman"/>
          <w:szCs w:val="24"/>
        </w:rPr>
        <w:t xml:space="preserve">.  </w:t>
      </w:r>
    </w:p>
    <w:p w:rsidR="0036717E" w:rsidRPr="00FD07C8" w:rsidRDefault="0010477B" w:rsidP="00EE60FD">
      <w:pPr>
        <w:pStyle w:val="Heading3"/>
      </w:pPr>
      <w:bookmarkStart w:id="58" w:name="_Toc309373939"/>
      <w:r w:rsidRPr="00FD07C8">
        <w:lastRenderedPageBreak/>
        <w:t>2.</w:t>
      </w:r>
      <w:r w:rsidRPr="00FD07C8">
        <w:tab/>
      </w:r>
      <w:r w:rsidR="0036717E" w:rsidRPr="00FD07C8">
        <w:t xml:space="preserve">PacifiCorp </w:t>
      </w:r>
      <w:r w:rsidR="00472EF2" w:rsidRPr="00FD07C8">
        <w:t>D</w:t>
      </w:r>
      <w:r w:rsidR="0036717E" w:rsidRPr="00FD07C8">
        <w:t xml:space="preserve">id </w:t>
      </w:r>
      <w:r w:rsidR="00472EF2" w:rsidRPr="00FD07C8">
        <w:t>N</w:t>
      </w:r>
      <w:r w:rsidR="0036717E" w:rsidRPr="00FD07C8">
        <w:t xml:space="preserve">ot </w:t>
      </w:r>
      <w:r w:rsidR="00472EF2" w:rsidRPr="00FD07C8">
        <w:t>P</w:t>
      </w:r>
      <w:r w:rsidR="0036717E" w:rsidRPr="00FD07C8">
        <w:t xml:space="preserve">rovide </w:t>
      </w:r>
      <w:r w:rsidR="00472EF2" w:rsidRPr="00FD07C8">
        <w:t>M</w:t>
      </w:r>
      <w:r w:rsidR="0036717E" w:rsidRPr="00FD07C8">
        <w:t xml:space="preserve">isleading or </w:t>
      </w:r>
      <w:r w:rsidR="00472EF2" w:rsidRPr="00FD07C8">
        <w:t>I</w:t>
      </w:r>
      <w:r w:rsidR="0036717E" w:rsidRPr="00FD07C8">
        <w:t xml:space="preserve">naccurate REC </w:t>
      </w:r>
      <w:r w:rsidR="00472EF2" w:rsidRPr="00FD07C8">
        <w:t>I</w:t>
      </w:r>
      <w:r w:rsidR="0036717E" w:rsidRPr="00FD07C8">
        <w:t>nformation.</w:t>
      </w:r>
      <w:bookmarkEnd w:id="58"/>
    </w:p>
    <w:p w:rsidR="00025281" w:rsidRPr="00FD07C8" w:rsidRDefault="00B42D8A" w:rsidP="0064285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5F7FFD" w:rsidRPr="00FD07C8">
        <w:rPr>
          <w:rFonts w:ascii="Times New Roman" w:hAnsi="Times New Roman"/>
          <w:szCs w:val="24"/>
        </w:rPr>
        <w:t>Public Counsel and ICNU claim</w:t>
      </w:r>
      <w:r w:rsidR="0036717E" w:rsidRPr="00FD07C8">
        <w:rPr>
          <w:rFonts w:ascii="Times New Roman" w:hAnsi="Times New Roman"/>
          <w:szCs w:val="24"/>
        </w:rPr>
        <w:t xml:space="preserve"> that </w:t>
      </w:r>
      <w:r w:rsidR="005F7FFD" w:rsidRPr="00FD07C8">
        <w:rPr>
          <w:rFonts w:ascii="Times New Roman" w:hAnsi="Times New Roman"/>
          <w:szCs w:val="24"/>
        </w:rPr>
        <w:t xml:space="preserve">an exception to the rule against retroactive ratemaking is appropriate in this case because </w:t>
      </w:r>
      <w:r w:rsidR="0036717E" w:rsidRPr="00FD07C8">
        <w:rPr>
          <w:rFonts w:ascii="Times New Roman" w:hAnsi="Times New Roman"/>
          <w:szCs w:val="24"/>
        </w:rPr>
        <w:t>PacifiCorp provided misleading REC information</w:t>
      </w:r>
      <w:r w:rsidR="005F7FFD" w:rsidRPr="00FD07C8">
        <w:rPr>
          <w:rFonts w:ascii="Times New Roman" w:hAnsi="Times New Roman"/>
          <w:szCs w:val="24"/>
        </w:rPr>
        <w:t>.</w:t>
      </w:r>
      <w:r w:rsidR="005F7FFD" w:rsidRPr="00FD07C8">
        <w:rPr>
          <w:rStyle w:val="FootnoteReference"/>
          <w:rFonts w:ascii="Times New Roman" w:hAnsi="Times New Roman"/>
          <w:szCs w:val="24"/>
        </w:rPr>
        <w:footnoteReference w:id="43"/>
      </w:r>
      <w:r w:rsidR="005F7FFD" w:rsidRPr="00FD07C8">
        <w:rPr>
          <w:rFonts w:ascii="Times New Roman" w:hAnsi="Times New Roman"/>
          <w:szCs w:val="24"/>
        </w:rPr>
        <w:t xml:space="preserve">  </w:t>
      </w:r>
      <w:r w:rsidR="001E4C4B" w:rsidRPr="00FD07C8">
        <w:rPr>
          <w:rFonts w:ascii="Times New Roman" w:hAnsi="Times New Roman"/>
          <w:szCs w:val="24"/>
        </w:rPr>
        <w:t xml:space="preserve">Their claim fails on a number of levels.  </w:t>
      </w:r>
      <w:r w:rsidR="00642852" w:rsidRPr="00FD07C8">
        <w:rPr>
          <w:rFonts w:ascii="Times New Roman" w:hAnsi="Times New Roman"/>
          <w:szCs w:val="24"/>
        </w:rPr>
        <w:t xml:space="preserve">Most </w:t>
      </w:r>
      <w:r w:rsidR="00D01BFA" w:rsidRPr="00FD07C8">
        <w:rPr>
          <w:rFonts w:ascii="Times New Roman" w:hAnsi="Times New Roman"/>
          <w:szCs w:val="24"/>
        </w:rPr>
        <w:t>basi</w:t>
      </w:r>
      <w:r w:rsidR="00B93555" w:rsidRPr="00FD07C8">
        <w:rPr>
          <w:rFonts w:ascii="Times New Roman" w:hAnsi="Times New Roman"/>
          <w:szCs w:val="24"/>
        </w:rPr>
        <w:t>c</w:t>
      </w:r>
      <w:r w:rsidR="00D01BFA" w:rsidRPr="00FD07C8">
        <w:rPr>
          <w:rFonts w:ascii="Times New Roman" w:hAnsi="Times New Roman"/>
          <w:szCs w:val="24"/>
        </w:rPr>
        <w:t>ally</w:t>
      </w:r>
      <w:r w:rsidR="00642852" w:rsidRPr="00FD07C8">
        <w:rPr>
          <w:rFonts w:ascii="Times New Roman" w:hAnsi="Times New Roman"/>
          <w:szCs w:val="24"/>
        </w:rPr>
        <w:t>,</w:t>
      </w:r>
      <w:r w:rsidR="001E4C4B" w:rsidRPr="00FD07C8">
        <w:rPr>
          <w:rFonts w:ascii="Times New Roman" w:hAnsi="Times New Roman"/>
          <w:szCs w:val="24"/>
        </w:rPr>
        <w:t xml:space="preserve"> there is </w:t>
      </w:r>
      <w:r w:rsidR="0036717E" w:rsidRPr="00FD07C8">
        <w:rPr>
          <w:rFonts w:ascii="Times New Roman" w:hAnsi="Times New Roman"/>
          <w:szCs w:val="24"/>
        </w:rPr>
        <w:t>no evidentiary support</w:t>
      </w:r>
      <w:r w:rsidR="001E4C4B" w:rsidRPr="00FD07C8">
        <w:rPr>
          <w:rFonts w:ascii="Times New Roman" w:hAnsi="Times New Roman"/>
          <w:szCs w:val="24"/>
        </w:rPr>
        <w:t xml:space="preserve"> in this or any other </w:t>
      </w:r>
      <w:r w:rsidR="0027276D" w:rsidRPr="00FD07C8">
        <w:rPr>
          <w:rFonts w:ascii="Times New Roman" w:hAnsi="Times New Roman"/>
          <w:szCs w:val="24"/>
        </w:rPr>
        <w:t>case</w:t>
      </w:r>
      <w:r w:rsidR="001E4C4B" w:rsidRPr="00FD07C8">
        <w:rPr>
          <w:rFonts w:ascii="Times New Roman" w:hAnsi="Times New Roman"/>
          <w:szCs w:val="24"/>
        </w:rPr>
        <w:t xml:space="preserve"> that PacifiCorp has misled parties on REC information</w:t>
      </w:r>
      <w:r w:rsidR="0036717E" w:rsidRPr="00FD07C8">
        <w:rPr>
          <w:rFonts w:ascii="Times New Roman" w:hAnsi="Times New Roman"/>
          <w:szCs w:val="24"/>
        </w:rPr>
        <w:t>.</w:t>
      </w:r>
      <w:r w:rsidR="00025281" w:rsidRPr="00FD07C8">
        <w:rPr>
          <w:rFonts w:ascii="Times New Roman" w:hAnsi="Times New Roman"/>
          <w:szCs w:val="24"/>
        </w:rPr>
        <w:t xml:space="preserve">  </w:t>
      </w:r>
    </w:p>
    <w:p w:rsidR="00025281" w:rsidRPr="00FD07C8" w:rsidRDefault="00B42D8A" w:rsidP="0064285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B30C00" w:rsidRPr="00FD07C8">
        <w:rPr>
          <w:rFonts w:ascii="Times New Roman" w:hAnsi="Times New Roman"/>
          <w:szCs w:val="24"/>
        </w:rPr>
        <w:t>In</w:t>
      </w:r>
      <w:r w:rsidR="00B61F5E" w:rsidRPr="00FD07C8">
        <w:rPr>
          <w:rFonts w:ascii="Times New Roman" w:hAnsi="Times New Roman"/>
          <w:szCs w:val="24"/>
        </w:rPr>
        <w:t xml:space="preserve"> their zeal to retroactively </w:t>
      </w:r>
      <w:r w:rsidR="00C35F0B" w:rsidRPr="00FD07C8">
        <w:rPr>
          <w:rFonts w:ascii="Times New Roman" w:hAnsi="Times New Roman"/>
          <w:szCs w:val="24"/>
        </w:rPr>
        <w:t>recover PacifiCorp’s</w:t>
      </w:r>
      <w:r w:rsidR="00B61F5E" w:rsidRPr="00FD07C8">
        <w:rPr>
          <w:rFonts w:ascii="Times New Roman" w:hAnsi="Times New Roman"/>
          <w:szCs w:val="24"/>
        </w:rPr>
        <w:t xml:space="preserve"> REC revenues</w:t>
      </w:r>
      <w:r w:rsidR="00D01BFA" w:rsidRPr="00FD07C8">
        <w:rPr>
          <w:rFonts w:ascii="Times New Roman" w:hAnsi="Times New Roman"/>
          <w:szCs w:val="24"/>
        </w:rPr>
        <w:t xml:space="preserve"> (despite having not filed for deferred accounting)</w:t>
      </w:r>
      <w:r w:rsidR="00B61F5E" w:rsidRPr="00FD07C8">
        <w:rPr>
          <w:rFonts w:ascii="Times New Roman" w:hAnsi="Times New Roman"/>
          <w:szCs w:val="24"/>
        </w:rPr>
        <w:t xml:space="preserve">, </w:t>
      </w:r>
      <w:r w:rsidR="00D01BFA" w:rsidRPr="00FD07C8">
        <w:rPr>
          <w:rFonts w:ascii="Times New Roman" w:hAnsi="Times New Roman"/>
          <w:szCs w:val="24"/>
        </w:rPr>
        <w:t xml:space="preserve">it is </w:t>
      </w:r>
      <w:r w:rsidR="00B61F5E" w:rsidRPr="00FD07C8">
        <w:rPr>
          <w:rFonts w:ascii="Times New Roman" w:hAnsi="Times New Roman"/>
          <w:szCs w:val="24"/>
        </w:rPr>
        <w:t xml:space="preserve">Public Counsel and ICNU </w:t>
      </w:r>
      <w:r w:rsidR="00D01BFA" w:rsidRPr="00FD07C8">
        <w:rPr>
          <w:rFonts w:ascii="Times New Roman" w:hAnsi="Times New Roman"/>
          <w:szCs w:val="24"/>
        </w:rPr>
        <w:t xml:space="preserve">that </w:t>
      </w:r>
      <w:r w:rsidR="00B61F5E" w:rsidRPr="00FD07C8">
        <w:rPr>
          <w:rFonts w:ascii="Times New Roman" w:hAnsi="Times New Roman"/>
          <w:szCs w:val="24"/>
        </w:rPr>
        <w:t>have engaged in</w:t>
      </w:r>
      <w:r w:rsidR="00EE0980" w:rsidRPr="00FD07C8">
        <w:rPr>
          <w:rFonts w:ascii="Times New Roman" w:hAnsi="Times New Roman"/>
          <w:szCs w:val="24"/>
        </w:rPr>
        <w:t xml:space="preserve"> </w:t>
      </w:r>
      <w:r w:rsidR="00B61F5E" w:rsidRPr="00FD07C8">
        <w:rPr>
          <w:rFonts w:ascii="Times New Roman" w:hAnsi="Times New Roman"/>
          <w:szCs w:val="24"/>
        </w:rPr>
        <w:t xml:space="preserve">questionable </w:t>
      </w:r>
      <w:r w:rsidR="00D01BFA" w:rsidRPr="00FD07C8">
        <w:rPr>
          <w:rFonts w:ascii="Times New Roman" w:hAnsi="Times New Roman"/>
          <w:szCs w:val="24"/>
        </w:rPr>
        <w:t xml:space="preserve">and misleading </w:t>
      </w:r>
      <w:r w:rsidR="00B61F5E" w:rsidRPr="00FD07C8">
        <w:rPr>
          <w:rFonts w:ascii="Times New Roman" w:hAnsi="Times New Roman"/>
          <w:szCs w:val="24"/>
        </w:rPr>
        <w:t>tactics.</w:t>
      </w:r>
      <w:r w:rsidR="00C35F0B" w:rsidRPr="00FD07C8">
        <w:rPr>
          <w:rFonts w:ascii="Times New Roman" w:hAnsi="Times New Roman"/>
          <w:szCs w:val="24"/>
        </w:rPr>
        <w:t xml:space="preserve">  </w:t>
      </w:r>
      <w:r w:rsidR="00025281" w:rsidRPr="00FD07C8">
        <w:rPr>
          <w:rFonts w:ascii="Times New Roman" w:hAnsi="Times New Roman"/>
          <w:szCs w:val="24"/>
        </w:rPr>
        <w:t>Public Counsel and ICNU have repeatedly denied</w:t>
      </w:r>
      <w:r w:rsidR="00D01BFA" w:rsidRPr="00FD07C8">
        <w:rPr>
          <w:rFonts w:ascii="Times New Roman" w:hAnsi="Times New Roman"/>
          <w:szCs w:val="24"/>
        </w:rPr>
        <w:t xml:space="preserve"> </w:t>
      </w:r>
      <w:r w:rsidR="00025281" w:rsidRPr="00FD07C8">
        <w:rPr>
          <w:rFonts w:ascii="Times New Roman" w:hAnsi="Times New Roman"/>
          <w:szCs w:val="24"/>
        </w:rPr>
        <w:t xml:space="preserve">knowledge of PacifiCorp’s California REC </w:t>
      </w:r>
      <w:r w:rsidR="004E0913" w:rsidRPr="00FD07C8">
        <w:rPr>
          <w:rFonts w:ascii="Times New Roman" w:hAnsi="Times New Roman"/>
          <w:szCs w:val="24"/>
        </w:rPr>
        <w:t>revenues</w:t>
      </w:r>
      <w:r w:rsidR="00025281" w:rsidRPr="00FD07C8">
        <w:rPr>
          <w:rFonts w:ascii="Times New Roman" w:hAnsi="Times New Roman"/>
          <w:szCs w:val="24"/>
        </w:rPr>
        <w:t xml:space="preserve"> until July 2010</w:t>
      </w:r>
      <w:r w:rsidR="00D7694D" w:rsidRPr="00FD07C8">
        <w:rPr>
          <w:rFonts w:ascii="Times New Roman" w:hAnsi="Times New Roman"/>
          <w:szCs w:val="24"/>
        </w:rPr>
        <w:t>.</w:t>
      </w:r>
      <w:r w:rsidR="004E0913" w:rsidRPr="00FD07C8">
        <w:rPr>
          <w:rStyle w:val="FootnoteReference"/>
          <w:rFonts w:ascii="Times New Roman" w:hAnsi="Times New Roman"/>
          <w:szCs w:val="24"/>
        </w:rPr>
        <w:footnoteReference w:id="44"/>
      </w:r>
      <w:r w:rsidR="00025281" w:rsidRPr="00FD07C8">
        <w:rPr>
          <w:rFonts w:ascii="Times New Roman" w:hAnsi="Times New Roman"/>
          <w:szCs w:val="24"/>
        </w:rPr>
        <w:t xml:space="preserve"> </w:t>
      </w:r>
      <w:r w:rsidR="00B61F5E" w:rsidRPr="00FD07C8">
        <w:rPr>
          <w:rFonts w:ascii="Times New Roman" w:hAnsi="Times New Roman"/>
          <w:szCs w:val="24"/>
        </w:rPr>
        <w:t xml:space="preserve"> </w:t>
      </w:r>
      <w:r w:rsidR="00D7694D" w:rsidRPr="00FD07C8">
        <w:rPr>
          <w:rFonts w:ascii="Times New Roman" w:hAnsi="Times New Roman"/>
          <w:szCs w:val="24"/>
        </w:rPr>
        <w:t>T</w:t>
      </w:r>
      <w:r w:rsidR="00025281" w:rsidRPr="00FD07C8">
        <w:rPr>
          <w:rFonts w:ascii="Times New Roman" w:hAnsi="Times New Roman"/>
          <w:szCs w:val="24"/>
        </w:rPr>
        <w:t xml:space="preserve">he record in this case now </w:t>
      </w:r>
      <w:r w:rsidR="00B2460C" w:rsidRPr="00FD07C8">
        <w:rPr>
          <w:rFonts w:ascii="Times New Roman" w:hAnsi="Times New Roman"/>
          <w:szCs w:val="24"/>
        </w:rPr>
        <w:t xml:space="preserve">irrefutably </w:t>
      </w:r>
      <w:r w:rsidR="00025281" w:rsidRPr="00FD07C8">
        <w:rPr>
          <w:rFonts w:ascii="Times New Roman" w:hAnsi="Times New Roman"/>
          <w:szCs w:val="24"/>
        </w:rPr>
        <w:t xml:space="preserve">demonstrates </w:t>
      </w:r>
      <w:r w:rsidR="00B2460C" w:rsidRPr="00FD07C8">
        <w:rPr>
          <w:rFonts w:ascii="Times New Roman" w:hAnsi="Times New Roman"/>
          <w:szCs w:val="24"/>
        </w:rPr>
        <w:t xml:space="preserve">that Mr. Schoenbeck filed testimony </w:t>
      </w:r>
      <w:r w:rsidR="00D7694D" w:rsidRPr="00FD07C8">
        <w:rPr>
          <w:rFonts w:ascii="Times New Roman" w:hAnsi="Times New Roman"/>
          <w:szCs w:val="24"/>
        </w:rPr>
        <w:t xml:space="preserve">for ICNU </w:t>
      </w:r>
      <w:r w:rsidR="00B2460C" w:rsidRPr="00FD07C8">
        <w:rPr>
          <w:rFonts w:ascii="Times New Roman" w:hAnsi="Times New Roman"/>
          <w:szCs w:val="24"/>
        </w:rPr>
        <w:t>in Jan</w:t>
      </w:r>
      <w:r w:rsidR="00D7694D" w:rsidRPr="00FD07C8">
        <w:rPr>
          <w:rFonts w:ascii="Times New Roman" w:hAnsi="Times New Roman"/>
          <w:szCs w:val="24"/>
        </w:rPr>
        <w:t>ua</w:t>
      </w:r>
      <w:r w:rsidR="00B2460C" w:rsidRPr="00FD07C8">
        <w:rPr>
          <w:rFonts w:ascii="Times New Roman" w:hAnsi="Times New Roman"/>
          <w:szCs w:val="24"/>
        </w:rPr>
        <w:t>ry 2010 addressing P</w:t>
      </w:r>
      <w:r w:rsidR="00025281" w:rsidRPr="00FD07C8">
        <w:rPr>
          <w:rFonts w:ascii="Times New Roman" w:hAnsi="Times New Roman"/>
          <w:szCs w:val="24"/>
        </w:rPr>
        <w:t>acifiCorp’s REC</w:t>
      </w:r>
      <w:r w:rsidR="00B2460C" w:rsidRPr="00FD07C8">
        <w:rPr>
          <w:rFonts w:ascii="Times New Roman" w:hAnsi="Times New Roman"/>
          <w:szCs w:val="24"/>
        </w:rPr>
        <w:t xml:space="preserve"> contract with Southern California Edison (SCE)</w:t>
      </w:r>
      <w:r w:rsidR="00D7694D" w:rsidRPr="00FD07C8">
        <w:rPr>
          <w:rFonts w:ascii="Times New Roman" w:hAnsi="Times New Roman"/>
          <w:szCs w:val="24"/>
        </w:rPr>
        <w:t>, claiming its terms were comparable to Puget’s California REC contracts</w:t>
      </w:r>
      <w:r w:rsidR="00B2460C" w:rsidRPr="00FD07C8">
        <w:rPr>
          <w:rFonts w:ascii="Times New Roman" w:hAnsi="Times New Roman"/>
          <w:szCs w:val="24"/>
        </w:rPr>
        <w:t xml:space="preserve">.  </w:t>
      </w:r>
      <w:r w:rsidR="00D7694D" w:rsidRPr="00FD07C8">
        <w:rPr>
          <w:rFonts w:ascii="Times New Roman" w:hAnsi="Times New Roman"/>
          <w:szCs w:val="24"/>
        </w:rPr>
        <w:t>This testimony was filed in the Puget REC docket to which Staff and Public Counsel were both part</w:t>
      </w:r>
      <w:r w:rsidR="00B61F5E" w:rsidRPr="00FD07C8">
        <w:rPr>
          <w:rFonts w:ascii="Times New Roman" w:hAnsi="Times New Roman"/>
          <w:szCs w:val="24"/>
        </w:rPr>
        <w:t>ies,</w:t>
      </w:r>
      <w:r w:rsidR="00AF01FF" w:rsidRPr="00FD07C8">
        <w:rPr>
          <w:rStyle w:val="FootnoteReference"/>
          <w:rFonts w:ascii="Times New Roman" w:hAnsi="Times New Roman"/>
          <w:szCs w:val="24"/>
        </w:rPr>
        <w:footnoteReference w:id="45"/>
      </w:r>
      <w:r w:rsidR="00B61F5E" w:rsidRPr="00FD07C8">
        <w:rPr>
          <w:rFonts w:ascii="Times New Roman" w:hAnsi="Times New Roman"/>
          <w:szCs w:val="24"/>
        </w:rPr>
        <w:t xml:space="preserve"> but </w:t>
      </w:r>
      <w:r w:rsidR="00526976" w:rsidRPr="00FD07C8">
        <w:rPr>
          <w:rFonts w:ascii="Times New Roman" w:hAnsi="Times New Roman"/>
          <w:szCs w:val="24"/>
        </w:rPr>
        <w:t>none of the Responding Parties</w:t>
      </w:r>
      <w:r w:rsidR="00B61F5E" w:rsidRPr="00FD07C8">
        <w:rPr>
          <w:rFonts w:ascii="Times New Roman" w:hAnsi="Times New Roman"/>
          <w:szCs w:val="24"/>
        </w:rPr>
        <w:t xml:space="preserve"> previously </w:t>
      </w:r>
      <w:r w:rsidR="0027276D" w:rsidRPr="00FD07C8">
        <w:rPr>
          <w:rFonts w:ascii="Times New Roman" w:hAnsi="Times New Roman"/>
          <w:szCs w:val="24"/>
        </w:rPr>
        <w:t>disclosed this filing</w:t>
      </w:r>
      <w:r w:rsidR="00D01BFA" w:rsidRPr="00FD07C8">
        <w:rPr>
          <w:rFonts w:ascii="Times New Roman" w:hAnsi="Times New Roman"/>
          <w:szCs w:val="24"/>
        </w:rPr>
        <w:t xml:space="preserve"> </w:t>
      </w:r>
      <w:r w:rsidR="00526976" w:rsidRPr="00FD07C8">
        <w:rPr>
          <w:rFonts w:ascii="Times New Roman" w:hAnsi="Times New Roman"/>
          <w:szCs w:val="24"/>
        </w:rPr>
        <w:t xml:space="preserve">in this </w:t>
      </w:r>
      <w:r w:rsidR="00360728" w:rsidRPr="00FD07C8">
        <w:rPr>
          <w:rFonts w:ascii="Times New Roman" w:hAnsi="Times New Roman"/>
          <w:szCs w:val="24"/>
        </w:rPr>
        <w:t>case</w:t>
      </w:r>
      <w:r w:rsidR="00D01BFA" w:rsidRPr="00FD07C8">
        <w:rPr>
          <w:rFonts w:ascii="Times New Roman" w:hAnsi="Times New Roman"/>
          <w:szCs w:val="24"/>
        </w:rPr>
        <w:t xml:space="preserve"> or </w:t>
      </w:r>
      <w:r w:rsidR="00B93555" w:rsidRPr="00FD07C8">
        <w:rPr>
          <w:rFonts w:ascii="Times New Roman" w:hAnsi="Times New Roman"/>
          <w:szCs w:val="24"/>
        </w:rPr>
        <w:t xml:space="preserve">in </w:t>
      </w:r>
      <w:r w:rsidR="00D01BFA" w:rsidRPr="00FD07C8">
        <w:rPr>
          <w:rFonts w:ascii="Times New Roman" w:hAnsi="Times New Roman"/>
          <w:szCs w:val="24"/>
        </w:rPr>
        <w:t>the</w:t>
      </w:r>
      <w:r w:rsidR="00697124">
        <w:rPr>
          <w:rFonts w:ascii="Times New Roman" w:hAnsi="Times New Roman"/>
          <w:szCs w:val="24"/>
        </w:rPr>
        <w:t xml:space="preserve"> ICNU/Public Counsel</w:t>
      </w:r>
      <w:r w:rsidR="00D01BFA" w:rsidRPr="00FD07C8">
        <w:rPr>
          <w:rFonts w:ascii="Times New Roman" w:hAnsi="Times New Roman"/>
          <w:szCs w:val="24"/>
        </w:rPr>
        <w:t xml:space="preserve"> complaint case</w:t>
      </w:r>
      <w:r w:rsidR="00B61F5E" w:rsidRPr="00FD07C8">
        <w:rPr>
          <w:rFonts w:ascii="Times New Roman" w:hAnsi="Times New Roman"/>
          <w:szCs w:val="24"/>
        </w:rPr>
        <w:t>.</w:t>
      </w:r>
      <w:r w:rsidR="009C2704" w:rsidRPr="00FD07C8">
        <w:rPr>
          <w:rStyle w:val="FootnoteReference"/>
          <w:rFonts w:ascii="Times New Roman" w:hAnsi="Times New Roman"/>
          <w:szCs w:val="24"/>
        </w:rPr>
        <w:footnoteReference w:id="46"/>
      </w:r>
      <w:r w:rsidR="00B61F5E" w:rsidRPr="00FD07C8">
        <w:rPr>
          <w:rFonts w:ascii="Times New Roman" w:hAnsi="Times New Roman"/>
          <w:szCs w:val="24"/>
        </w:rPr>
        <w:t xml:space="preserve"> </w:t>
      </w:r>
      <w:r w:rsidR="00D7694D" w:rsidRPr="00FD07C8">
        <w:rPr>
          <w:rFonts w:ascii="Times New Roman" w:hAnsi="Times New Roman"/>
          <w:szCs w:val="24"/>
        </w:rPr>
        <w:t xml:space="preserve">  </w:t>
      </w:r>
    </w:p>
    <w:p w:rsidR="00C35F0B" w:rsidRPr="00FD07C8" w:rsidRDefault="00B42D8A" w:rsidP="003665C5">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B61F5E" w:rsidRPr="00FD07C8">
        <w:rPr>
          <w:rFonts w:ascii="Times New Roman" w:hAnsi="Times New Roman"/>
          <w:szCs w:val="24"/>
        </w:rPr>
        <w:t xml:space="preserve">In addition, while </w:t>
      </w:r>
      <w:r w:rsidR="00D7694D" w:rsidRPr="00FD07C8">
        <w:rPr>
          <w:rFonts w:ascii="Times New Roman" w:hAnsi="Times New Roman"/>
          <w:szCs w:val="24"/>
        </w:rPr>
        <w:t>ICNU</w:t>
      </w:r>
      <w:r w:rsidR="00B61F5E" w:rsidRPr="00FD07C8">
        <w:rPr>
          <w:rFonts w:ascii="Times New Roman" w:hAnsi="Times New Roman"/>
          <w:szCs w:val="24"/>
        </w:rPr>
        <w:t xml:space="preserve"> and Public Counsel cite the order dismissing their complaint as s</w:t>
      </w:r>
      <w:r w:rsidR="00B30C00" w:rsidRPr="00FD07C8">
        <w:rPr>
          <w:rFonts w:ascii="Times New Roman" w:hAnsi="Times New Roman"/>
          <w:szCs w:val="24"/>
        </w:rPr>
        <w:t xml:space="preserve">upport, </w:t>
      </w:r>
      <w:r w:rsidR="00D01BFA" w:rsidRPr="00FD07C8">
        <w:rPr>
          <w:rFonts w:ascii="Times New Roman" w:hAnsi="Times New Roman"/>
          <w:szCs w:val="24"/>
        </w:rPr>
        <w:t xml:space="preserve">the only finding in that order relating to misleading behavior went against </w:t>
      </w:r>
      <w:r w:rsidR="00B30C00" w:rsidRPr="00FD07C8">
        <w:rPr>
          <w:rFonts w:ascii="Times New Roman" w:hAnsi="Times New Roman"/>
          <w:szCs w:val="24"/>
        </w:rPr>
        <w:t>ICNU and Public Counse</w:t>
      </w:r>
      <w:r w:rsidR="00D01BFA" w:rsidRPr="00FD07C8">
        <w:rPr>
          <w:rFonts w:ascii="Times New Roman" w:hAnsi="Times New Roman"/>
          <w:szCs w:val="24"/>
        </w:rPr>
        <w:t>l, not PacifiCorp.  The Admin</w:t>
      </w:r>
      <w:r w:rsidR="00A050B6" w:rsidRPr="00FD07C8">
        <w:rPr>
          <w:rFonts w:ascii="Times New Roman" w:hAnsi="Times New Roman"/>
          <w:szCs w:val="24"/>
        </w:rPr>
        <w:t>i</w:t>
      </w:r>
      <w:r w:rsidR="00D01BFA" w:rsidRPr="00FD07C8">
        <w:rPr>
          <w:rFonts w:ascii="Times New Roman" w:hAnsi="Times New Roman"/>
          <w:szCs w:val="24"/>
        </w:rPr>
        <w:t xml:space="preserve">strative Law Judge (ALJ) found that </w:t>
      </w:r>
      <w:r w:rsidR="00697124">
        <w:rPr>
          <w:rFonts w:ascii="Times New Roman" w:hAnsi="Times New Roman"/>
          <w:szCs w:val="24"/>
        </w:rPr>
        <w:t>ICNU/Public Counsel’s</w:t>
      </w:r>
      <w:r w:rsidR="00D01BFA" w:rsidRPr="00FD07C8">
        <w:rPr>
          <w:rFonts w:ascii="Times New Roman" w:hAnsi="Times New Roman"/>
          <w:szCs w:val="24"/>
        </w:rPr>
        <w:t xml:space="preserve"> argument on</w:t>
      </w:r>
      <w:r w:rsidR="00B30C00" w:rsidRPr="00FD07C8">
        <w:rPr>
          <w:rFonts w:ascii="Times New Roman" w:hAnsi="Times New Roman"/>
          <w:szCs w:val="24"/>
        </w:rPr>
        <w:t xml:space="preserve"> </w:t>
      </w:r>
      <w:r w:rsidR="0027276D" w:rsidRPr="00FD07C8">
        <w:rPr>
          <w:rFonts w:ascii="Times New Roman" w:hAnsi="Times New Roman"/>
          <w:szCs w:val="24"/>
        </w:rPr>
        <w:t xml:space="preserve">the </w:t>
      </w:r>
      <w:r w:rsidR="00B30C00" w:rsidRPr="00FD07C8">
        <w:rPr>
          <w:rFonts w:ascii="Times New Roman" w:hAnsi="Times New Roman"/>
          <w:szCs w:val="24"/>
        </w:rPr>
        <w:t xml:space="preserve">accrual of their claim was “misleading,” because </w:t>
      </w:r>
      <w:r w:rsidR="00B93555" w:rsidRPr="00FD07C8">
        <w:rPr>
          <w:rFonts w:ascii="Times New Roman" w:hAnsi="Times New Roman"/>
          <w:szCs w:val="24"/>
        </w:rPr>
        <w:t xml:space="preserve">they </w:t>
      </w:r>
      <w:r w:rsidR="00C35F0B" w:rsidRPr="00FD07C8">
        <w:rPr>
          <w:rFonts w:ascii="Times New Roman" w:hAnsi="Times New Roman"/>
          <w:szCs w:val="24"/>
        </w:rPr>
        <w:t>relied</w:t>
      </w:r>
      <w:r w:rsidR="00B30C00" w:rsidRPr="00FD07C8">
        <w:rPr>
          <w:rFonts w:ascii="Times New Roman" w:hAnsi="Times New Roman"/>
          <w:szCs w:val="24"/>
        </w:rPr>
        <w:t xml:space="preserve"> upon a case that the </w:t>
      </w:r>
      <w:r w:rsidR="00D01BFA" w:rsidRPr="00FD07C8">
        <w:rPr>
          <w:rFonts w:ascii="Times New Roman" w:hAnsi="Times New Roman"/>
          <w:szCs w:val="24"/>
        </w:rPr>
        <w:t>Commission had reversed</w:t>
      </w:r>
      <w:r w:rsidR="00B93555" w:rsidRPr="00FD07C8">
        <w:rPr>
          <w:rFonts w:ascii="Times New Roman" w:hAnsi="Times New Roman"/>
          <w:szCs w:val="24"/>
        </w:rPr>
        <w:t xml:space="preserve"> without acknowledging that fact</w:t>
      </w:r>
      <w:r w:rsidR="00B30C00" w:rsidRPr="00FD07C8">
        <w:rPr>
          <w:rFonts w:ascii="Times New Roman" w:hAnsi="Times New Roman"/>
          <w:szCs w:val="24"/>
        </w:rPr>
        <w:t xml:space="preserve">.  </w:t>
      </w:r>
      <w:r w:rsidR="00C35F0B" w:rsidRPr="00FD07C8">
        <w:rPr>
          <w:rFonts w:ascii="Times New Roman" w:hAnsi="Times New Roman"/>
          <w:szCs w:val="24"/>
        </w:rPr>
        <w:t xml:space="preserve">At the same time, the ALJ examined the allegations related to PacifiCorp’s REC discovery responses and found that “PacifiCorp provided full responses to ICNU’s data requests, as formulated, during the period </w:t>
      </w:r>
      <w:r w:rsidR="00C35F0B" w:rsidRPr="00FD07C8">
        <w:rPr>
          <w:rFonts w:ascii="Times New Roman" w:hAnsi="Times New Roman"/>
          <w:szCs w:val="24"/>
        </w:rPr>
        <w:lastRenderedPageBreak/>
        <w:t>when discovery continued.”</w:t>
      </w:r>
      <w:r w:rsidR="00C35F0B" w:rsidRPr="00FD07C8">
        <w:rPr>
          <w:rStyle w:val="FootnoteReference"/>
          <w:rFonts w:ascii="Times New Roman" w:hAnsi="Times New Roman"/>
          <w:szCs w:val="24"/>
        </w:rPr>
        <w:footnoteReference w:id="47"/>
      </w:r>
      <w:r w:rsidR="00C35F0B" w:rsidRPr="00FD07C8">
        <w:rPr>
          <w:rFonts w:ascii="Times New Roman" w:hAnsi="Times New Roman"/>
          <w:szCs w:val="24"/>
        </w:rPr>
        <w:t xml:space="preserve">  </w:t>
      </w:r>
      <w:r w:rsidR="0036717E" w:rsidRPr="00FD07C8">
        <w:rPr>
          <w:rFonts w:ascii="Times New Roman" w:hAnsi="Times New Roman"/>
          <w:szCs w:val="24"/>
        </w:rPr>
        <w:t>The only reservation the ALJ expressed with respect to PacifiCorp’s responses was that it was a “matter of some concern that the Company did not disclose any information about the California contracts when the regulatory contingency was removed from them and they became fully effective.”</w:t>
      </w:r>
      <w:r w:rsidR="00C35F0B" w:rsidRPr="00FD07C8">
        <w:rPr>
          <w:rStyle w:val="FootnoteReference"/>
          <w:rFonts w:ascii="Times New Roman" w:hAnsi="Times New Roman"/>
          <w:szCs w:val="24"/>
        </w:rPr>
        <w:footnoteReference w:id="48"/>
      </w:r>
      <w:r w:rsidR="00C35F0B" w:rsidRPr="00FD07C8">
        <w:rPr>
          <w:rFonts w:ascii="Times New Roman" w:hAnsi="Times New Roman"/>
          <w:szCs w:val="24"/>
        </w:rPr>
        <w:t xml:space="preserve">  But, as just noted, the ALJ was not informed that ICNU </w:t>
      </w:r>
      <w:r w:rsidR="00D01BFA" w:rsidRPr="00FD07C8">
        <w:rPr>
          <w:rFonts w:ascii="Times New Roman" w:hAnsi="Times New Roman"/>
          <w:szCs w:val="24"/>
        </w:rPr>
        <w:t xml:space="preserve">had </w:t>
      </w:r>
      <w:r w:rsidR="00B93555" w:rsidRPr="00FD07C8">
        <w:rPr>
          <w:rFonts w:ascii="Times New Roman" w:hAnsi="Times New Roman"/>
          <w:szCs w:val="24"/>
        </w:rPr>
        <w:t xml:space="preserve">actually filed </w:t>
      </w:r>
      <w:r w:rsidR="00C35F0B" w:rsidRPr="00FD07C8">
        <w:rPr>
          <w:rFonts w:ascii="Times New Roman" w:hAnsi="Times New Roman"/>
          <w:szCs w:val="24"/>
        </w:rPr>
        <w:t xml:space="preserve">testimony on </w:t>
      </w:r>
      <w:r w:rsidR="00B93555" w:rsidRPr="00FD07C8">
        <w:rPr>
          <w:rFonts w:ascii="Times New Roman" w:hAnsi="Times New Roman"/>
          <w:szCs w:val="24"/>
        </w:rPr>
        <w:t xml:space="preserve">one of </w:t>
      </w:r>
      <w:r w:rsidR="00C35F0B" w:rsidRPr="00FD07C8">
        <w:rPr>
          <w:rFonts w:ascii="Times New Roman" w:hAnsi="Times New Roman"/>
          <w:szCs w:val="24"/>
        </w:rPr>
        <w:t>PacifiCorp’s California REC contract</w:t>
      </w:r>
      <w:r w:rsidR="00B93555" w:rsidRPr="00FD07C8">
        <w:rPr>
          <w:rFonts w:ascii="Times New Roman" w:hAnsi="Times New Roman"/>
          <w:szCs w:val="24"/>
        </w:rPr>
        <w:t>s</w:t>
      </w:r>
      <w:r w:rsidR="00C35F0B" w:rsidRPr="00FD07C8">
        <w:rPr>
          <w:rFonts w:ascii="Times New Roman" w:hAnsi="Times New Roman"/>
          <w:szCs w:val="24"/>
        </w:rPr>
        <w:t xml:space="preserve"> in </w:t>
      </w:r>
      <w:r w:rsidR="00D01BFA" w:rsidRPr="00FD07C8">
        <w:rPr>
          <w:rFonts w:ascii="Times New Roman" w:hAnsi="Times New Roman"/>
          <w:szCs w:val="24"/>
        </w:rPr>
        <w:t xml:space="preserve">the Puget REC case in </w:t>
      </w:r>
      <w:r w:rsidR="00C35F0B" w:rsidRPr="00FD07C8">
        <w:rPr>
          <w:rFonts w:ascii="Times New Roman" w:hAnsi="Times New Roman"/>
          <w:szCs w:val="24"/>
        </w:rPr>
        <w:t>January 2010</w:t>
      </w:r>
      <w:r w:rsidR="00526976" w:rsidRPr="00FD07C8">
        <w:rPr>
          <w:rFonts w:ascii="Times New Roman" w:hAnsi="Times New Roman"/>
          <w:szCs w:val="24"/>
        </w:rPr>
        <w:t xml:space="preserve"> (</w:t>
      </w:r>
      <w:r w:rsidR="006456AD" w:rsidRPr="00FD07C8">
        <w:rPr>
          <w:rFonts w:ascii="Times New Roman" w:hAnsi="Times New Roman"/>
          <w:szCs w:val="24"/>
        </w:rPr>
        <w:t xml:space="preserve">just </w:t>
      </w:r>
      <w:r w:rsidR="00C35F0B" w:rsidRPr="00FD07C8">
        <w:rPr>
          <w:rFonts w:ascii="Times New Roman" w:hAnsi="Times New Roman"/>
          <w:szCs w:val="24"/>
        </w:rPr>
        <w:t>shortly after the regulatory contingency</w:t>
      </w:r>
      <w:r w:rsidR="00D01BFA" w:rsidRPr="00FD07C8">
        <w:rPr>
          <w:rFonts w:ascii="Times New Roman" w:hAnsi="Times New Roman"/>
          <w:szCs w:val="24"/>
        </w:rPr>
        <w:t xml:space="preserve"> </w:t>
      </w:r>
      <w:r w:rsidR="00C35F0B" w:rsidRPr="00FD07C8">
        <w:rPr>
          <w:rFonts w:ascii="Times New Roman" w:hAnsi="Times New Roman"/>
          <w:szCs w:val="24"/>
        </w:rPr>
        <w:t>was removed</w:t>
      </w:r>
      <w:r w:rsidR="00526976" w:rsidRPr="00FD07C8">
        <w:rPr>
          <w:rFonts w:ascii="Times New Roman" w:hAnsi="Times New Roman"/>
          <w:szCs w:val="24"/>
        </w:rPr>
        <w:t>)</w:t>
      </w:r>
      <w:r w:rsidR="00B93555" w:rsidRPr="00FD07C8">
        <w:rPr>
          <w:rFonts w:ascii="Times New Roman" w:hAnsi="Times New Roman"/>
          <w:szCs w:val="24"/>
        </w:rPr>
        <w:t xml:space="preserve">, showing that </w:t>
      </w:r>
      <w:r w:rsidR="00526976" w:rsidRPr="00FD07C8">
        <w:rPr>
          <w:rFonts w:ascii="Times New Roman" w:hAnsi="Times New Roman"/>
          <w:szCs w:val="24"/>
        </w:rPr>
        <w:t>Public Counsel and ICNU</w:t>
      </w:r>
      <w:r w:rsidR="00B93555" w:rsidRPr="00FD07C8">
        <w:rPr>
          <w:rFonts w:ascii="Times New Roman" w:hAnsi="Times New Roman"/>
          <w:szCs w:val="24"/>
        </w:rPr>
        <w:t xml:space="preserve"> were well aware of the existence of these contracts</w:t>
      </w:r>
      <w:r w:rsidR="00C35F0B" w:rsidRPr="00FD07C8">
        <w:rPr>
          <w:rFonts w:ascii="Times New Roman" w:hAnsi="Times New Roman"/>
          <w:szCs w:val="24"/>
        </w:rPr>
        <w:t xml:space="preserve">. </w:t>
      </w:r>
    </w:p>
    <w:p w:rsidR="006456AD" w:rsidRPr="00FD07C8" w:rsidRDefault="00B42D8A" w:rsidP="000A4FA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83753C" w:rsidRPr="00FD07C8">
        <w:rPr>
          <w:rFonts w:ascii="Times New Roman" w:hAnsi="Times New Roman"/>
          <w:szCs w:val="24"/>
        </w:rPr>
        <w:t xml:space="preserve">Public Counsel also incorrectly claims that the Company </w:t>
      </w:r>
      <w:r w:rsidR="0036717E" w:rsidRPr="00FD07C8">
        <w:rPr>
          <w:rFonts w:ascii="Times New Roman" w:hAnsi="Times New Roman"/>
          <w:szCs w:val="24"/>
        </w:rPr>
        <w:t>withheld REC information in this case.</w:t>
      </w:r>
      <w:r w:rsidR="0083753C" w:rsidRPr="00FD07C8">
        <w:rPr>
          <w:rStyle w:val="FootnoteReference"/>
          <w:rFonts w:ascii="Times New Roman" w:hAnsi="Times New Roman"/>
          <w:szCs w:val="24"/>
        </w:rPr>
        <w:footnoteReference w:id="49"/>
      </w:r>
      <w:r w:rsidR="000A4FA9" w:rsidRPr="00FD07C8">
        <w:rPr>
          <w:rFonts w:ascii="Times New Roman" w:hAnsi="Times New Roman"/>
          <w:szCs w:val="24"/>
        </w:rPr>
        <w:t xml:space="preserve">  Although </w:t>
      </w:r>
      <w:r w:rsidR="0036717E" w:rsidRPr="00FD07C8">
        <w:rPr>
          <w:rFonts w:ascii="Times New Roman" w:hAnsi="Times New Roman"/>
          <w:szCs w:val="24"/>
        </w:rPr>
        <w:t xml:space="preserve">Public Counsel </w:t>
      </w:r>
      <w:r w:rsidR="000A4FA9" w:rsidRPr="00FD07C8">
        <w:rPr>
          <w:rFonts w:ascii="Times New Roman" w:hAnsi="Times New Roman"/>
          <w:szCs w:val="24"/>
        </w:rPr>
        <w:t xml:space="preserve">devotes two pages of its brief to this claim, the claim boils down to the fact that </w:t>
      </w:r>
      <w:r w:rsidR="0036717E" w:rsidRPr="00FD07C8">
        <w:rPr>
          <w:rFonts w:ascii="Times New Roman" w:hAnsi="Times New Roman"/>
          <w:szCs w:val="24"/>
        </w:rPr>
        <w:t xml:space="preserve">the Company supplemented </w:t>
      </w:r>
      <w:r w:rsidR="006456AD" w:rsidRPr="00FD07C8">
        <w:rPr>
          <w:rFonts w:ascii="Times New Roman" w:hAnsi="Times New Roman"/>
          <w:szCs w:val="24"/>
        </w:rPr>
        <w:t>a</w:t>
      </w:r>
      <w:r w:rsidR="0036717E" w:rsidRPr="00FD07C8">
        <w:rPr>
          <w:rFonts w:ascii="Times New Roman" w:hAnsi="Times New Roman"/>
          <w:szCs w:val="24"/>
        </w:rPr>
        <w:t xml:space="preserve"> response to </w:t>
      </w:r>
      <w:r w:rsidR="003465B0" w:rsidRPr="00FD07C8">
        <w:rPr>
          <w:rFonts w:ascii="Times New Roman" w:hAnsi="Times New Roman"/>
          <w:szCs w:val="24"/>
        </w:rPr>
        <w:t xml:space="preserve">Public Counsel Data </w:t>
      </w:r>
      <w:r w:rsidR="00A36793" w:rsidRPr="00FD07C8">
        <w:fldChar w:fldCharType="begin"/>
      </w:r>
      <w:r w:rsidR="00CC6CF0" w:rsidRPr="00FD07C8">
        <w:instrText xml:space="preserve"> ADDIN BA \xc &lt;@admproc&gt; \xl 11 \s NSKEHB000031 \l "</w:instrText>
      </w:r>
      <w:r w:rsidR="00CC6CF0" w:rsidRPr="00FD07C8">
        <w:rPr>
          <w:rFonts w:ascii="Times New Roman" w:hAnsi="Times New Roman"/>
          <w:szCs w:val="24"/>
        </w:rPr>
        <w:instrText>Request 189</w:instrText>
      </w:r>
      <w:r w:rsidR="00CC6CF0" w:rsidRPr="00FD07C8">
        <w:instrText xml:space="preserve">" </w:instrText>
      </w:r>
      <w:r w:rsidR="00A36793" w:rsidRPr="00FD07C8">
        <w:fldChar w:fldCharType="end"/>
      </w:r>
      <w:bookmarkStart w:id="61" w:name="_BA_Cite_110"/>
      <w:r w:rsidR="003465B0" w:rsidRPr="00FD07C8">
        <w:rPr>
          <w:rFonts w:ascii="Times New Roman" w:hAnsi="Times New Roman"/>
          <w:szCs w:val="24"/>
        </w:rPr>
        <w:t>Request </w:t>
      </w:r>
      <w:r w:rsidR="0036717E" w:rsidRPr="00FD07C8">
        <w:rPr>
          <w:rFonts w:ascii="Times New Roman" w:hAnsi="Times New Roman"/>
          <w:szCs w:val="24"/>
        </w:rPr>
        <w:t>189</w:t>
      </w:r>
      <w:bookmarkEnd w:id="61"/>
      <w:r w:rsidR="0036717E" w:rsidRPr="00FD07C8">
        <w:rPr>
          <w:rFonts w:ascii="Times New Roman" w:hAnsi="Times New Roman"/>
          <w:szCs w:val="24"/>
        </w:rPr>
        <w:t xml:space="preserve"> </w:t>
      </w:r>
      <w:r w:rsidR="000A4FA9" w:rsidRPr="00FD07C8">
        <w:rPr>
          <w:rFonts w:ascii="Times New Roman" w:hAnsi="Times New Roman"/>
          <w:szCs w:val="24"/>
        </w:rPr>
        <w:t>to provide additional REC contracts</w:t>
      </w:r>
      <w:r w:rsidR="003465B0" w:rsidRPr="00FD07C8">
        <w:rPr>
          <w:rFonts w:ascii="Times New Roman" w:hAnsi="Times New Roman"/>
          <w:szCs w:val="24"/>
        </w:rPr>
        <w:t xml:space="preserve"> effective beginning in 2011</w:t>
      </w:r>
      <w:r w:rsidR="006456AD" w:rsidRPr="00FD07C8">
        <w:rPr>
          <w:rFonts w:ascii="Times New Roman" w:hAnsi="Times New Roman"/>
          <w:szCs w:val="24"/>
        </w:rPr>
        <w:t>.  These contracts are</w:t>
      </w:r>
      <w:r w:rsidR="003465B0" w:rsidRPr="00FD07C8">
        <w:rPr>
          <w:rFonts w:ascii="Times New Roman" w:hAnsi="Times New Roman"/>
          <w:szCs w:val="24"/>
        </w:rPr>
        <w:t xml:space="preserve"> irrelevant to evaluating 2009 and 2010 RECs in this </w:t>
      </w:r>
      <w:r w:rsidR="006456AD" w:rsidRPr="00FD07C8">
        <w:rPr>
          <w:rFonts w:ascii="Times New Roman" w:hAnsi="Times New Roman"/>
          <w:szCs w:val="24"/>
        </w:rPr>
        <w:t xml:space="preserve">stage of the proceeding and no party has alleged otherwise.  </w:t>
      </w:r>
      <w:r w:rsidR="00EE0980" w:rsidRPr="00FD07C8">
        <w:rPr>
          <w:rFonts w:ascii="Times New Roman" w:hAnsi="Times New Roman"/>
          <w:szCs w:val="24"/>
        </w:rPr>
        <w:t>Indeed, t</w:t>
      </w:r>
      <w:r w:rsidR="006456AD" w:rsidRPr="00FD07C8">
        <w:rPr>
          <w:rFonts w:ascii="Times New Roman" w:hAnsi="Times New Roman"/>
          <w:szCs w:val="24"/>
        </w:rPr>
        <w:t>he fact that the Company supplemented a prior data request response to provide additional REC data to the parties demonstrates the Company’s continuing effort to be forthcoming on this issue</w:t>
      </w:r>
      <w:r w:rsidR="00EE0980" w:rsidRPr="00FD07C8">
        <w:rPr>
          <w:rFonts w:ascii="Times New Roman" w:hAnsi="Times New Roman"/>
          <w:szCs w:val="24"/>
        </w:rPr>
        <w:t>, not the opposite</w:t>
      </w:r>
      <w:r w:rsidR="006456AD" w:rsidRPr="00FD07C8">
        <w:rPr>
          <w:rFonts w:ascii="Times New Roman" w:hAnsi="Times New Roman"/>
          <w:szCs w:val="24"/>
        </w:rPr>
        <w:t xml:space="preserve">. </w:t>
      </w:r>
    </w:p>
    <w:p w:rsidR="0016364F" w:rsidRPr="00FD07C8" w:rsidRDefault="00B42D8A" w:rsidP="000A4FA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16364F" w:rsidRPr="00FD07C8">
        <w:rPr>
          <w:rFonts w:ascii="Times New Roman" w:hAnsi="Times New Roman"/>
          <w:szCs w:val="24"/>
        </w:rPr>
        <w:t>Public Counsel also references proceedings in Utah and Oregon in which parties “raised concerns regarding potential concealment of REC sales information by PacifiCorp.”</w:t>
      </w:r>
      <w:r w:rsidR="0016364F" w:rsidRPr="00FD07C8">
        <w:rPr>
          <w:rStyle w:val="FootnoteReference"/>
          <w:rFonts w:ascii="Times New Roman" w:hAnsi="Times New Roman"/>
          <w:szCs w:val="24"/>
        </w:rPr>
        <w:footnoteReference w:id="50"/>
      </w:r>
      <w:r w:rsidR="0016364F" w:rsidRPr="00FD07C8">
        <w:rPr>
          <w:rFonts w:ascii="Times New Roman" w:hAnsi="Times New Roman"/>
          <w:szCs w:val="24"/>
        </w:rPr>
        <w:t xml:space="preserve">  </w:t>
      </w:r>
      <w:r w:rsidR="006456AD" w:rsidRPr="00FD07C8">
        <w:rPr>
          <w:rFonts w:ascii="Times New Roman" w:hAnsi="Times New Roman"/>
          <w:szCs w:val="24"/>
        </w:rPr>
        <w:t>These are irresponsible allegations because, as Public Counsel well knows, n</w:t>
      </w:r>
      <w:r w:rsidR="00EE0980" w:rsidRPr="00FD07C8">
        <w:rPr>
          <w:rFonts w:ascii="Times New Roman" w:hAnsi="Times New Roman"/>
          <w:szCs w:val="24"/>
        </w:rPr>
        <w:t xml:space="preserve">o </w:t>
      </w:r>
      <w:r w:rsidR="0016364F" w:rsidRPr="00FD07C8">
        <w:rPr>
          <w:rFonts w:ascii="Times New Roman" w:hAnsi="Times New Roman"/>
          <w:szCs w:val="24"/>
        </w:rPr>
        <w:t>commission</w:t>
      </w:r>
      <w:r w:rsidR="006456AD" w:rsidRPr="00FD07C8">
        <w:rPr>
          <w:rFonts w:ascii="Times New Roman" w:hAnsi="Times New Roman"/>
          <w:szCs w:val="24"/>
        </w:rPr>
        <w:t xml:space="preserve"> has</w:t>
      </w:r>
      <w:r w:rsidR="0016364F" w:rsidRPr="00FD07C8">
        <w:rPr>
          <w:rFonts w:ascii="Times New Roman" w:hAnsi="Times New Roman"/>
          <w:szCs w:val="24"/>
        </w:rPr>
        <w:t xml:space="preserve"> ever found that PacifiCorp withheld or concealed REC information. </w:t>
      </w:r>
      <w:r w:rsidR="00EE0980" w:rsidRPr="00FD07C8">
        <w:rPr>
          <w:rFonts w:ascii="Times New Roman" w:hAnsi="Times New Roman"/>
          <w:szCs w:val="24"/>
        </w:rPr>
        <w:t xml:space="preserve"> In any event,</w:t>
      </w:r>
      <w:r w:rsidR="0016364F" w:rsidRPr="00FD07C8">
        <w:rPr>
          <w:rFonts w:ascii="Times New Roman" w:hAnsi="Times New Roman"/>
          <w:szCs w:val="24"/>
        </w:rPr>
        <w:t xml:space="preserve"> Public Counsel’s reference to an unsubstantiated claim by a party in Utah and an application for deferred accounting by ICNU in Oregon that did not even allege that the Company withheld REC information cannot serve as a basis for establishing an exception to the rule against retroactive ratemaking.</w:t>
      </w:r>
    </w:p>
    <w:p w:rsidR="00BA034F" w:rsidRPr="00FD07C8" w:rsidRDefault="00B42D8A" w:rsidP="0016364F">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BA034F" w:rsidRPr="00FD07C8">
        <w:rPr>
          <w:rFonts w:ascii="Times New Roman" w:hAnsi="Times New Roman"/>
          <w:szCs w:val="24"/>
        </w:rPr>
        <w:t xml:space="preserve">Public Counsel and ICNU cite to </w:t>
      </w:r>
      <w:r w:rsidR="00A36793" w:rsidRPr="00FD07C8">
        <w:fldChar w:fldCharType="begin"/>
      </w:r>
      <w:r w:rsidR="00CC6CF0" w:rsidRPr="00FD07C8">
        <w:instrText xml:space="preserve"> ADDIN BA \xc &lt;@cs&gt; \xl 89 \s NSKEHB000032 \xhfl Rep \l "</w:instrText>
      </w:r>
      <w:r w:rsidR="00CC6CF0" w:rsidRPr="00FD07C8">
        <w:rPr>
          <w:rFonts w:ascii="Times New Roman" w:hAnsi="Times New Roman"/>
          <w:i/>
          <w:szCs w:val="24"/>
        </w:rPr>
        <w:instrText>Salt Lake Citizen’s Congress v. Mountain States Telephone &amp; Telegraph Company</w:instrText>
      </w:r>
      <w:r w:rsidR="00CC6CF0" w:rsidRPr="00FD07C8">
        <w:rPr>
          <w:rFonts w:ascii="Times New Roman" w:hAnsi="Times New Roman"/>
          <w:szCs w:val="24"/>
        </w:rPr>
        <w:instrText xml:space="preserve"> &lt;SoftRt&gt;(</w:instrText>
      </w:r>
      <w:r w:rsidR="00CC6CF0" w:rsidRPr="00FD07C8">
        <w:rPr>
          <w:rFonts w:ascii="Times New Roman" w:hAnsi="Times New Roman"/>
          <w:i/>
          <w:szCs w:val="24"/>
        </w:rPr>
        <w:instrText>Salt Lake</w:instrText>
      </w:r>
      <w:r w:rsidR="00CC6CF0" w:rsidRPr="00FD07C8">
        <w:rPr>
          <w:rFonts w:ascii="Times New Roman" w:hAnsi="Times New Roman"/>
          <w:szCs w:val="24"/>
        </w:rPr>
        <w:instrText>)</w:instrText>
      </w:r>
      <w:r w:rsidR="00CC6CF0" w:rsidRPr="00FD07C8">
        <w:instrText xml:space="preserve">" </w:instrText>
      </w:r>
      <w:r w:rsidR="00A36793" w:rsidRPr="00FD07C8">
        <w:fldChar w:fldCharType="end"/>
      </w:r>
      <w:bookmarkStart w:id="63" w:name="_BA_Cite_112"/>
      <w:r w:rsidR="00BA034F" w:rsidRPr="00FD07C8">
        <w:rPr>
          <w:rFonts w:ascii="Times New Roman" w:hAnsi="Times New Roman"/>
          <w:i/>
          <w:szCs w:val="24"/>
        </w:rPr>
        <w:t>Salt Lake Citizen’s Congress v. Mountain States Telephone &amp; Telegraph Company</w:t>
      </w:r>
      <w:bookmarkEnd w:id="63"/>
      <w:r w:rsidR="00BA034F" w:rsidRPr="00FD07C8">
        <w:rPr>
          <w:rStyle w:val="FootnoteReference"/>
          <w:rFonts w:ascii="Times New Roman" w:hAnsi="Times New Roman"/>
          <w:szCs w:val="24"/>
        </w:rPr>
        <w:footnoteReference w:id="51"/>
      </w:r>
      <w:r w:rsidR="00BA034F" w:rsidRPr="00FD07C8">
        <w:rPr>
          <w:rFonts w:ascii="Times New Roman" w:hAnsi="Times New Roman"/>
          <w:szCs w:val="24"/>
        </w:rPr>
        <w:t xml:space="preserve"> for precedent that an exception to the rule against retroactive ratemaking is appropriate in the case of utility misconduct.</w:t>
      </w:r>
      <w:r w:rsidR="00BA034F" w:rsidRPr="00FD07C8">
        <w:rPr>
          <w:rStyle w:val="FootnoteReference"/>
          <w:rFonts w:ascii="Times New Roman" w:hAnsi="Times New Roman"/>
          <w:szCs w:val="24"/>
        </w:rPr>
        <w:footnoteReference w:id="52"/>
      </w:r>
      <w:r w:rsidR="00BA034F" w:rsidRPr="00FD07C8">
        <w:rPr>
          <w:rFonts w:ascii="Times New Roman" w:hAnsi="Times New Roman"/>
          <w:szCs w:val="24"/>
        </w:rPr>
        <w:t xml:space="preserve">  </w:t>
      </w:r>
      <w:r w:rsidR="00EE0980" w:rsidRPr="00FD07C8">
        <w:rPr>
          <w:rFonts w:ascii="Times New Roman" w:hAnsi="Times New Roman"/>
          <w:szCs w:val="24"/>
        </w:rPr>
        <w:t xml:space="preserve">But the key facts of </w:t>
      </w:r>
      <w:r w:rsidR="006C29DE" w:rsidRPr="00FD07C8">
        <w:rPr>
          <w:rFonts w:ascii="Times New Roman" w:hAnsi="Times New Roman"/>
          <w:szCs w:val="24"/>
        </w:rPr>
        <w:t>that case</w:t>
      </w:r>
      <w:r w:rsidR="002B3543" w:rsidRPr="00FD07C8">
        <w:rPr>
          <w:rFonts w:ascii="Times New Roman" w:hAnsi="Times New Roman"/>
          <w:szCs w:val="24"/>
        </w:rPr>
        <w:t>—a utility violating a commission order</w:t>
      </w:r>
      <w:r w:rsidR="00E35302" w:rsidRPr="00FD07C8">
        <w:rPr>
          <w:rFonts w:ascii="Times New Roman" w:hAnsi="Times New Roman"/>
          <w:szCs w:val="24"/>
        </w:rPr>
        <w:t xml:space="preserve">, </w:t>
      </w:r>
      <w:r w:rsidR="002B3543" w:rsidRPr="00FD07C8">
        <w:rPr>
          <w:rFonts w:ascii="Times New Roman" w:hAnsi="Times New Roman"/>
          <w:szCs w:val="24"/>
        </w:rPr>
        <w:t>failing to disclose information on questioning by the commission</w:t>
      </w:r>
      <w:r w:rsidR="00E35302" w:rsidRPr="00FD07C8">
        <w:rPr>
          <w:rFonts w:ascii="Times New Roman" w:hAnsi="Times New Roman"/>
          <w:szCs w:val="24"/>
        </w:rPr>
        <w:t xml:space="preserve"> and earning an unusually high rate of return</w:t>
      </w:r>
      <w:r w:rsidR="002B3543" w:rsidRPr="00FD07C8">
        <w:rPr>
          <w:rFonts w:ascii="Times New Roman" w:hAnsi="Times New Roman"/>
          <w:szCs w:val="24"/>
        </w:rPr>
        <w:t>—</w:t>
      </w:r>
      <w:r w:rsidR="006C29DE" w:rsidRPr="00FD07C8">
        <w:rPr>
          <w:rFonts w:ascii="Times New Roman" w:hAnsi="Times New Roman"/>
          <w:szCs w:val="24"/>
        </w:rPr>
        <w:t>have no parallel</w:t>
      </w:r>
      <w:r w:rsidR="00526976" w:rsidRPr="00FD07C8">
        <w:rPr>
          <w:rFonts w:ascii="Times New Roman" w:hAnsi="Times New Roman"/>
          <w:szCs w:val="24"/>
        </w:rPr>
        <w:t>s</w:t>
      </w:r>
      <w:r w:rsidR="006C29DE" w:rsidRPr="00FD07C8">
        <w:rPr>
          <w:rFonts w:ascii="Times New Roman" w:hAnsi="Times New Roman"/>
          <w:szCs w:val="24"/>
        </w:rPr>
        <w:t xml:space="preserve"> in this case.</w:t>
      </w:r>
      <w:r w:rsidR="00E35302" w:rsidRPr="00FD07C8">
        <w:t xml:space="preserve"> </w:t>
      </w:r>
    </w:p>
    <w:p w:rsidR="00107AA2" w:rsidRPr="00FD07C8" w:rsidRDefault="00B42D8A" w:rsidP="0016364F">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16364F" w:rsidRPr="00FD07C8">
        <w:rPr>
          <w:rFonts w:ascii="Times New Roman" w:hAnsi="Times New Roman"/>
          <w:szCs w:val="24"/>
        </w:rPr>
        <w:t>Finally, i</w:t>
      </w:r>
      <w:r w:rsidR="00107AA2" w:rsidRPr="00FD07C8">
        <w:rPr>
          <w:rFonts w:ascii="Times New Roman" w:hAnsi="Times New Roman"/>
          <w:szCs w:val="24"/>
        </w:rPr>
        <w:t>f the basis of</w:t>
      </w:r>
      <w:r w:rsidR="0016364F" w:rsidRPr="00FD07C8">
        <w:rPr>
          <w:rFonts w:ascii="Times New Roman" w:hAnsi="Times New Roman"/>
          <w:szCs w:val="24"/>
        </w:rPr>
        <w:t xml:space="preserve"> Public Counsel’s and</w:t>
      </w:r>
      <w:r w:rsidR="00107AA2" w:rsidRPr="00FD07C8">
        <w:rPr>
          <w:rFonts w:ascii="Times New Roman" w:hAnsi="Times New Roman"/>
          <w:szCs w:val="24"/>
        </w:rPr>
        <w:t xml:space="preserve"> ICNU’s proposed exception to the rule against retroactive ratemaking is that PacifiCorp provided misleading discovery responses in the 2009 GRC, there is no basis for including REC revenues from the 2008 GRC in rates.</w:t>
      </w:r>
      <w:r w:rsidR="0016364F" w:rsidRPr="00FD07C8">
        <w:rPr>
          <w:rFonts w:ascii="Times New Roman" w:hAnsi="Times New Roman"/>
          <w:szCs w:val="24"/>
        </w:rPr>
        <w:t xml:space="preserve">  Public Counsel </w:t>
      </w:r>
      <w:r w:rsidR="0085586B" w:rsidRPr="00FD07C8">
        <w:rPr>
          <w:rFonts w:ascii="Times New Roman" w:hAnsi="Times New Roman"/>
          <w:szCs w:val="24"/>
        </w:rPr>
        <w:t xml:space="preserve">and ICNU </w:t>
      </w:r>
      <w:r w:rsidR="0016364F" w:rsidRPr="00FD07C8">
        <w:rPr>
          <w:rFonts w:ascii="Times New Roman" w:hAnsi="Times New Roman"/>
          <w:szCs w:val="24"/>
        </w:rPr>
        <w:t xml:space="preserve">have not claimed in this or any other </w:t>
      </w:r>
      <w:proofErr w:type="gramStart"/>
      <w:r w:rsidR="0016364F" w:rsidRPr="00FD07C8">
        <w:rPr>
          <w:rFonts w:ascii="Times New Roman" w:hAnsi="Times New Roman"/>
          <w:szCs w:val="24"/>
        </w:rPr>
        <w:t>proceeding</w:t>
      </w:r>
      <w:proofErr w:type="gramEnd"/>
      <w:r w:rsidR="0016364F" w:rsidRPr="00FD07C8">
        <w:rPr>
          <w:rFonts w:ascii="Times New Roman" w:hAnsi="Times New Roman"/>
          <w:szCs w:val="24"/>
        </w:rPr>
        <w:t xml:space="preserve"> that PacifiCorp withheld information on REC revenues </w:t>
      </w:r>
      <w:r w:rsidR="00DE4DE8" w:rsidRPr="00FD07C8">
        <w:rPr>
          <w:rFonts w:ascii="Times New Roman" w:hAnsi="Times New Roman"/>
          <w:szCs w:val="24"/>
        </w:rPr>
        <w:t xml:space="preserve">during </w:t>
      </w:r>
      <w:r w:rsidR="0016364F" w:rsidRPr="00FD07C8">
        <w:rPr>
          <w:rFonts w:ascii="Times New Roman" w:hAnsi="Times New Roman"/>
          <w:szCs w:val="24"/>
        </w:rPr>
        <w:t>the 2008 GRC</w:t>
      </w:r>
      <w:r w:rsidR="00DE4DE8" w:rsidRPr="00FD07C8">
        <w:rPr>
          <w:rFonts w:ascii="Times New Roman" w:hAnsi="Times New Roman"/>
          <w:szCs w:val="24"/>
        </w:rPr>
        <w:t>.  Therefore, even under Public Counsel’s and ICNU’s proposed exception</w:t>
      </w:r>
      <w:r w:rsidR="0085586B" w:rsidRPr="00FD07C8">
        <w:rPr>
          <w:rFonts w:ascii="Times New Roman" w:hAnsi="Times New Roman"/>
          <w:szCs w:val="24"/>
        </w:rPr>
        <w:t>,</w:t>
      </w:r>
      <w:r w:rsidR="00DE4DE8" w:rsidRPr="00FD07C8">
        <w:rPr>
          <w:rFonts w:ascii="Times New Roman" w:hAnsi="Times New Roman"/>
          <w:szCs w:val="24"/>
        </w:rPr>
        <w:t xml:space="preserve"> there is no foundation to include 2009 REC revenues in rates.</w:t>
      </w:r>
    </w:p>
    <w:p w:rsidR="0036717E" w:rsidRPr="00FD07C8" w:rsidRDefault="0010477B" w:rsidP="004F1D7F">
      <w:pPr>
        <w:pStyle w:val="Heading3"/>
      </w:pPr>
      <w:bookmarkStart w:id="65" w:name="_Toc309373940"/>
      <w:r w:rsidRPr="00FD07C8">
        <w:t>3</w:t>
      </w:r>
      <w:r w:rsidR="00472EF2" w:rsidRPr="00FD07C8">
        <w:t>.</w:t>
      </w:r>
      <w:r w:rsidR="00472EF2" w:rsidRPr="00FD07C8">
        <w:tab/>
      </w:r>
      <w:r w:rsidR="0036717E" w:rsidRPr="00FD07C8">
        <w:t xml:space="preserve">PacifiCorp’s REC </w:t>
      </w:r>
      <w:r w:rsidR="00472EF2" w:rsidRPr="00FD07C8">
        <w:t>F</w:t>
      </w:r>
      <w:r w:rsidR="0036717E" w:rsidRPr="00FD07C8">
        <w:t xml:space="preserve">orecasts </w:t>
      </w:r>
      <w:r w:rsidR="00472EF2" w:rsidRPr="00FD07C8">
        <w:t>W</w:t>
      </w:r>
      <w:r w:rsidR="0036717E" w:rsidRPr="00FD07C8">
        <w:t xml:space="preserve">ere </w:t>
      </w:r>
      <w:r w:rsidR="00472EF2" w:rsidRPr="00FD07C8">
        <w:t>R</w:t>
      </w:r>
      <w:r w:rsidR="0036717E" w:rsidRPr="00FD07C8">
        <w:t xml:space="preserve">easonable at the </w:t>
      </w:r>
      <w:r w:rsidR="00472EF2" w:rsidRPr="00FD07C8">
        <w:t>T</w:t>
      </w:r>
      <w:r w:rsidR="0036717E" w:rsidRPr="00FD07C8">
        <w:t xml:space="preserve">ime </w:t>
      </w:r>
      <w:r w:rsidR="00472EF2" w:rsidRPr="00FD07C8">
        <w:t>T</w:t>
      </w:r>
      <w:r w:rsidR="0036717E" w:rsidRPr="00FD07C8">
        <w:t xml:space="preserve">hey </w:t>
      </w:r>
      <w:r w:rsidR="00472EF2" w:rsidRPr="00FD07C8">
        <w:t>W</w:t>
      </w:r>
      <w:r w:rsidR="0036717E" w:rsidRPr="00FD07C8">
        <w:t xml:space="preserve">ere </w:t>
      </w:r>
      <w:r w:rsidR="00472EF2" w:rsidRPr="00FD07C8">
        <w:t>M</w:t>
      </w:r>
      <w:r w:rsidR="0036717E" w:rsidRPr="00FD07C8">
        <w:t>ade.</w:t>
      </w:r>
      <w:bookmarkEnd w:id="65"/>
    </w:p>
    <w:p w:rsidR="009F5960" w:rsidRPr="00FD07C8" w:rsidRDefault="00B42D8A" w:rsidP="009F5960">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9F5960" w:rsidRPr="00FD07C8">
        <w:rPr>
          <w:rFonts w:ascii="Times New Roman" w:hAnsi="Times New Roman"/>
          <w:szCs w:val="24"/>
        </w:rPr>
        <w:t xml:space="preserve">ICNU also claims the Commission should establish an exception to the rule against retroactive ratemaking on the basis that PacifiCorp provided inaccurate REC revenue forecasts in </w:t>
      </w:r>
      <w:r w:rsidR="009F5960" w:rsidRPr="00FD07C8">
        <w:rPr>
          <w:rFonts w:ascii="Times New Roman" w:hAnsi="Times New Roman"/>
          <w:szCs w:val="24"/>
        </w:rPr>
        <w:lastRenderedPageBreak/>
        <w:t>the 2009 and 2010 GRCs.</w:t>
      </w:r>
      <w:r w:rsidR="009F5960" w:rsidRPr="00FD07C8">
        <w:rPr>
          <w:rStyle w:val="FootnoteReference"/>
          <w:rFonts w:ascii="Times New Roman" w:hAnsi="Times New Roman"/>
          <w:szCs w:val="24"/>
        </w:rPr>
        <w:footnoteReference w:id="53"/>
      </w:r>
      <w:r w:rsidR="009F5960" w:rsidRPr="00FD07C8">
        <w:rPr>
          <w:rFonts w:ascii="Times New Roman" w:hAnsi="Times New Roman"/>
          <w:szCs w:val="24"/>
        </w:rPr>
        <w:t xml:space="preserve">  </w:t>
      </w:r>
      <w:r w:rsidR="0027276D" w:rsidRPr="00FD07C8">
        <w:rPr>
          <w:rFonts w:ascii="Times New Roman" w:hAnsi="Times New Roman"/>
          <w:szCs w:val="24"/>
        </w:rPr>
        <w:t>A</w:t>
      </w:r>
      <w:r w:rsidR="00346DA2" w:rsidRPr="00FD07C8">
        <w:rPr>
          <w:rFonts w:ascii="Times New Roman" w:hAnsi="Times New Roman"/>
          <w:szCs w:val="24"/>
        </w:rPr>
        <w:t xml:space="preserve">n exception to the rule against retroactive ratemaking </w:t>
      </w:r>
      <w:r w:rsidR="0027276D" w:rsidRPr="00FD07C8">
        <w:rPr>
          <w:rFonts w:ascii="Times New Roman" w:hAnsi="Times New Roman"/>
          <w:szCs w:val="24"/>
        </w:rPr>
        <w:t xml:space="preserve">based upon an inaccurate </w:t>
      </w:r>
      <w:r w:rsidR="00346DA2" w:rsidRPr="00FD07C8">
        <w:rPr>
          <w:rFonts w:ascii="Times New Roman" w:hAnsi="Times New Roman"/>
          <w:szCs w:val="24"/>
        </w:rPr>
        <w:t xml:space="preserve">utility forecast of costs or revenues </w:t>
      </w:r>
      <w:r w:rsidR="0027276D" w:rsidRPr="00FD07C8">
        <w:rPr>
          <w:rFonts w:ascii="Times New Roman" w:hAnsi="Times New Roman"/>
          <w:szCs w:val="24"/>
        </w:rPr>
        <w:t>would eviscerate the rule</w:t>
      </w:r>
      <w:r w:rsidR="00346DA2" w:rsidRPr="00FD07C8">
        <w:rPr>
          <w:rFonts w:ascii="Times New Roman" w:hAnsi="Times New Roman"/>
          <w:szCs w:val="24"/>
        </w:rPr>
        <w:t>.</w:t>
      </w:r>
      <w:r w:rsidR="00346DA2" w:rsidRPr="00FD07C8">
        <w:rPr>
          <w:rStyle w:val="FootnoteReference"/>
          <w:rFonts w:ascii="Times New Roman" w:hAnsi="Times New Roman"/>
          <w:szCs w:val="24"/>
        </w:rPr>
        <w:footnoteReference w:id="54"/>
      </w:r>
      <w:r w:rsidR="00346DA2" w:rsidRPr="00FD07C8">
        <w:rPr>
          <w:rFonts w:ascii="Times New Roman" w:hAnsi="Times New Roman"/>
          <w:szCs w:val="24"/>
        </w:rPr>
        <w:t xml:space="preserve">  ICNU attempts to justify </w:t>
      </w:r>
      <w:r w:rsidR="0027276D" w:rsidRPr="00FD07C8">
        <w:rPr>
          <w:rFonts w:ascii="Times New Roman" w:hAnsi="Times New Roman"/>
          <w:szCs w:val="24"/>
        </w:rPr>
        <w:t xml:space="preserve">this </w:t>
      </w:r>
      <w:r w:rsidR="00346DA2" w:rsidRPr="00FD07C8">
        <w:rPr>
          <w:rFonts w:ascii="Times New Roman" w:hAnsi="Times New Roman"/>
          <w:szCs w:val="24"/>
        </w:rPr>
        <w:t xml:space="preserve">exception </w:t>
      </w:r>
      <w:r w:rsidR="0027276D" w:rsidRPr="00FD07C8">
        <w:rPr>
          <w:rFonts w:ascii="Times New Roman" w:hAnsi="Times New Roman"/>
          <w:szCs w:val="24"/>
        </w:rPr>
        <w:t xml:space="preserve">based on the unsubstantiated claim </w:t>
      </w:r>
      <w:r w:rsidR="00346DA2" w:rsidRPr="00FD07C8">
        <w:rPr>
          <w:rFonts w:ascii="Times New Roman" w:hAnsi="Times New Roman"/>
          <w:szCs w:val="24"/>
        </w:rPr>
        <w:t>that the Company “knowingly” provided inaccurate forecasts.</w:t>
      </w:r>
      <w:r w:rsidR="00346DA2" w:rsidRPr="00FD07C8">
        <w:rPr>
          <w:rStyle w:val="FootnoteReference"/>
          <w:rFonts w:ascii="Times New Roman" w:hAnsi="Times New Roman"/>
          <w:szCs w:val="24"/>
        </w:rPr>
        <w:footnoteReference w:id="55"/>
      </w:r>
      <w:r w:rsidR="00346DA2" w:rsidRPr="00FD07C8">
        <w:rPr>
          <w:rFonts w:ascii="Times New Roman" w:hAnsi="Times New Roman"/>
          <w:szCs w:val="24"/>
        </w:rPr>
        <w:t xml:space="preserve">  </w:t>
      </w:r>
    </w:p>
    <w:p w:rsidR="00A34376" w:rsidRPr="00FD07C8" w:rsidRDefault="00B42D8A" w:rsidP="009F5960">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A34376" w:rsidRPr="00FD07C8">
        <w:rPr>
          <w:rFonts w:ascii="Times New Roman" w:hAnsi="Times New Roman"/>
          <w:szCs w:val="24"/>
        </w:rPr>
        <w:t xml:space="preserve">With respect to 2009 REC revenues included in the 2008 GRC, there is no evidence, and indeed not even any allegation, supporting a finding that the Company knowingly provided an inaccurate REC revenue forecast in that case.  The ICNU/Public Counsel complaint related to REC revenues that were included in the 2009 GRC, not the 2008 GRC, so even the unsupported claims in that proceeding cannot be used to establish that the Company knowingly provided an inaccurate forecast in the 2008 GRC.  Moreover, no party ever challenged the forecast of REC revenues in that case.  Although ICNU and Public Counsel claim that ICNU and Staff previously objected to the Company’s REC revenue forecast, </w:t>
      </w:r>
      <w:r w:rsidR="004D1BBA" w:rsidRPr="00FD07C8">
        <w:rPr>
          <w:rFonts w:ascii="Times New Roman" w:hAnsi="Times New Roman"/>
          <w:szCs w:val="24"/>
        </w:rPr>
        <w:t xml:space="preserve">they cite to testimony </w:t>
      </w:r>
      <w:r w:rsidR="00A34376" w:rsidRPr="00FD07C8">
        <w:rPr>
          <w:rFonts w:ascii="Times New Roman" w:hAnsi="Times New Roman"/>
          <w:szCs w:val="24"/>
        </w:rPr>
        <w:t>in this proceeding.</w:t>
      </w:r>
      <w:r w:rsidR="00A34376" w:rsidRPr="00FD07C8">
        <w:rPr>
          <w:rStyle w:val="FootnoteReference"/>
          <w:rFonts w:ascii="Times New Roman" w:hAnsi="Times New Roman"/>
          <w:szCs w:val="24"/>
        </w:rPr>
        <w:footnoteReference w:id="56"/>
      </w:r>
      <w:r w:rsidR="004D1BBA" w:rsidRPr="00FD07C8">
        <w:rPr>
          <w:rFonts w:ascii="Times New Roman" w:hAnsi="Times New Roman"/>
          <w:szCs w:val="24"/>
        </w:rPr>
        <w:t xml:space="preserve">  It is uncontested that no party objected to the REC revenue forecast in the 2008 GRC.</w:t>
      </w:r>
    </w:p>
    <w:p w:rsidR="004D1BBA" w:rsidRPr="00FD07C8" w:rsidRDefault="00B42D8A" w:rsidP="009F5960">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4D1BBA" w:rsidRPr="00FD07C8">
        <w:rPr>
          <w:rFonts w:ascii="Times New Roman" w:hAnsi="Times New Roman"/>
          <w:szCs w:val="24"/>
        </w:rPr>
        <w:t>With respect to 2010 REC revenues included in the 2009 GRC, ICNU provides no support for its claim that the Company was “well aware” that it would experience extraordinary REC revenues in 2009.</w:t>
      </w:r>
      <w:r w:rsidR="004D1BBA" w:rsidRPr="00FD07C8">
        <w:rPr>
          <w:rStyle w:val="FootnoteReference"/>
          <w:rFonts w:ascii="Times New Roman" w:hAnsi="Times New Roman"/>
          <w:szCs w:val="24"/>
        </w:rPr>
        <w:footnoteReference w:id="57"/>
      </w:r>
      <w:r w:rsidR="00F3639B" w:rsidRPr="00FD07C8">
        <w:rPr>
          <w:rFonts w:ascii="Times New Roman" w:hAnsi="Times New Roman"/>
          <w:szCs w:val="24"/>
        </w:rPr>
        <w:t xml:space="preserve">  In fact, in the complaint proceeding, </w:t>
      </w:r>
      <w:r w:rsidR="0027276D" w:rsidRPr="00FD07C8">
        <w:rPr>
          <w:rFonts w:ascii="Times New Roman" w:hAnsi="Times New Roman"/>
          <w:szCs w:val="24"/>
        </w:rPr>
        <w:t xml:space="preserve">the </w:t>
      </w:r>
      <w:r w:rsidR="00F3639B" w:rsidRPr="00FD07C8">
        <w:rPr>
          <w:rFonts w:ascii="Times New Roman" w:hAnsi="Times New Roman"/>
          <w:szCs w:val="24"/>
        </w:rPr>
        <w:t xml:space="preserve">ALJ found that the REC contracts that drove the increase in REC revenues in 2010 would not have been considered “known and measurable” until the regulatory contingency was removed—in September and </w:t>
      </w:r>
      <w:r w:rsidR="00F3639B" w:rsidRPr="00FD07C8">
        <w:rPr>
          <w:rFonts w:ascii="Times New Roman" w:hAnsi="Times New Roman"/>
          <w:szCs w:val="24"/>
        </w:rPr>
        <w:lastRenderedPageBreak/>
        <w:t>October, 2009, after the settlement in the 2009 GRC.</w:t>
      </w:r>
      <w:r w:rsidR="00F3639B" w:rsidRPr="00FD07C8">
        <w:rPr>
          <w:rStyle w:val="FootnoteReference"/>
          <w:rFonts w:ascii="Times New Roman" w:hAnsi="Times New Roman"/>
          <w:szCs w:val="24"/>
        </w:rPr>
        <w:footnoteReference w:id="58"/>
      </w:r>
      <w:r w:rsidR="00F3639B" w:rsidRPr="00FD07C8">
        <w:rPr>
          <w:rFonts w:ascii="Times New Roman" w:hAnsi="Times New Roman"/>
          <w:szCs w:val="24"/>
        </w:rPr>
        <w:t xml:space="preserve">  As was the case in the 2008 GRC, no party objected to the 2010 REC revenue forecast included in the 2009 GRC.</w:t>
      </w:r>
    </w:p>
    <w:p w:rsidR="006C5252" w:rsidRPr="00FD07C8" w:rsidRDefault="00B42D8A" w:rsidP="006C525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1C70CF" w:rsidRPr="00FD07C8">
        <w:rPr>
          <w:rFonts w:ascii="Times New Roman" w:hAnsi="Times New Roman"/>
          <w:szCs w:val="24"/>
        </w:rPr>
        <w:t>W</w:t>
      </w:r>
      <w:r w:rsidR="00F3639B" w:rsidRPr="00FD07C8">
        <w:rPr>
          <w:rFonts w:ascii="Times New Roman" w:hAnsi="Times New Roman"/>
          <w:szCs w:val="24"/>
        </w:rPr>
        <w:t>ith respect to 2011-2012 REC revenues included in this case, t</w:t>
      </w:r>
      <w:r w:rsidR="0036717E" w:rsidRPr="00FD07C8">
        <w:rPr>
          <w:rFonts w:ascii="Times New Roman" w:hAnsi="Times New Roman"/>
          <w:szCs w:val="24"/>
        </w:rPr>
        <w:t>he Company’s initial forecast of REC revenues was based on reasonable assumptions, and was updated when those assumptions changed.</w:t>
      </w:r>
      <w:r w:rsidR="00F3639B" w:rsidRPr="00FD07C8">
        <w:rPr>
          <w:rFonts w:ascii="Times New Roman" w:hAnsi="Times New Roman"/>
          <w:szCs w:val="24"/>
        </w:rPr>
        <w:t xml:space="preserve">  </w:t>
      </w:r>
      <w:r w:rsidR="0036717E" w:rsidRPr="00FD07C8">
        <w:rPr>
          <w:rFonts w:ascii="Times New Roman" w:hAnsi="Times New Roman"/>
          <w:szCs w:val="24"/>
        </w:rPr>
        <w:t xml:space="preserve">At the time </w:t>
      </w:r>
      <w:r w:rsidR="00F3639B" w:rsidRPr="00FD07C8">
        <w:rPr>
          <w:rFonts w:ascii="Times New Roman" w:hAnsi="Times New Roman"/>
          <w:szCs w:val="24"/>
        </w:rPr>
        <w:t xml:space="preserve">of </w:t>
      </w:r>
      <w:r w:rsidR="0036717E" w:rsidRPr="00FD07C8">
        <w:rPr>
          <w:rFonts w:ascii="Times New Roman" w:hAnsi="Times New Roman"/>
          <w:szCs w:val="24"/>
        </w:rPr>
        <w:t xml:space="preserve">the Company's </w:t>
      </w:r>
      <w:r w:rsidR="00F3639B" w:rsidRPr="00FD07C8">
        <w:rPr>
          <w:rFonts w:ascii="Times New Roman" w:hAnsi="Times New Roman"/>
          <w:szCs w:val="24"/>
        </w:rPr>
        <w:t xml:space="preserve">initial </w:t>
      </w:r>
      <w:proofErr w:type="gramStart"/>
      <w:r w:rsidR="00F3639B" w:rsidRPr="00FD07C8">
        <w:rPr>
          <w:rFonts w:ascii="Times New Roman" w:hAnsi="Times New Roman"/>
          <w:szCs w:val="24"/>
        </w:rPr>
        <w:t>filing,</w:t>
      </w:r>
      <w:proofErr w:type="gramEnd"/>
      <w:r w:rsidR="00F3639B" w:rsidRPr="00FD07C8">
        <w:rPr>
          <w:rFonts w:ascii="Times New Roman" w:hAnsi="Times New Roman"/>
          <w:szCs w:val="24"/>
        </w:rPr>
        <w:t xml:space="preserve"> its </w:t>
      </w:r>
      <w:r w:rsidR="0036717E" w:rsidRPr="00FD07C8">
        <w:rPr>
          <w:rFonts w:ascii="Times New Roman" w:hAnsi="Times New Roman"/>
          <w:szCs w:val="24"/>
        </w:rPr>
        <w:t>actual practice was to bank a</w:t>
      </w:r>
      <w:r w:rsidR="00C406E4" w:rsidRPr="00FD07C8">
        <w:rPr>
          <w:rFonts w:ascii="Times New Roman" w:hAnsi="Times New Roman"/>
          <w:szCs w:val="24"/>
        </w:rPr>
        <w:t>ll Washington-allocated RECs.</w:t>
      </w:r>
      <w:r w:rsidR="00C406E4" w:rsidRPr="00FD07C8">
        <w:rPr>
          <w:rStyle w:val="FootnoteReference"/>
          <w:rFonts w:ascii="Times New Roman" w:hAnsi="Times New Roman"/>
          <w:szCs w:val="24"/>
        </w:rPr>
        <w:footnoteReference w:id="59"/>
      </w:r>
      <w:r w:rsidR="00C406E4" w:rsidRPr="00FD07C8">
        <w:rPr>
          <w:rFonts w:ascii="Times New Roman" w:hAnsi="Times New Roman"/>
          <w:szCs w:val="24"/>
        </w:rPr>
        <w:t xml:space="preserve">  The Company modified its position on rebuttal to reflect </w:t>
      </w:r>
      <w:r w:rsidR="00796EA1" w:rsidRPr="00FD07C8">
        <w:rPr>
          <w:rFonts w:ascii="Times New Roman" w:hAnsi="Times New Roman"/>
          <w:szCs w:val="24"/>
        </w:rPr>
        <w:t xml:space="preserve">the fact that </w:t>
      </w:r>
      <w:r w:rsidR="00C406E4" w:rsidRPr="00FD07C8">
        <w:rPr>
          <w:rFonts w:ascii="Times New Roman" w:hAnsi="Times New Roman"/>
          <w:szCs w:val="24"/>
        </w:rPr>
        <w:t xml:space="preserve">Washington’s RPS </w:t>
      </w:r>
      <w:r w:rsidR="00796EA1" w:rsidRPr="00FD07C8">
        <w:rPr>
          <w:rFonts w:ascii="Times New Roman" w:hAnsi="Times New Roman"/>
          <w:szCs w:val="24"/>
        </w:rPr>
        <w:t xml:space="preserve">would not be amended to </w:t>
      </w:r>
      <w:r w:rsidR="00C406E4" w:rsidRPr="00FD07C8">
        <w:rPr>
          <w:rFonts w:ascii="Times New Roman" w:hAnsi="Times New Roman"/>
          <w:szCs w:val="24"/>
        </w:rPr>
        <w:t>allow longer-term banking.</w:t>
      </w:r>
      <w:r w:rsidR="00C406E4" w:rsidRPr="00FD07C8">
        <w:rPr>
          <w:rStyle w:val="FootnoteReference"/>
          <w:rFonts w:ascii="Times New Roman" w:hAnsi="Times New Roman"/>
          <w:szCs w:val="24"/>
        </w:rPr>
        <w:footnoteReference w:id="60"/>
      </w:r>
      <w:r w:rsidR="00C406E4" w:rsidRPr="00FD07C8">
        <w:rPr>
          <w:rFonts w:ascii="Times New Roman" w:hAnsi="Times New Roman"/>
          <w:szCs w:val="24"/>
        </w:rPr>
        <w:t xml:space="preserve">  ICNU claims that the Company should have reflected REC revenues in its initial case because the legislative session ended three weeks before the Company’s initial filing in this case.</w:t>
      </w:r>
      <w:r w:rsidR="00C406E4" w:rsidRPr="00FD07C8">
        <w:rPr>
          <w:rStyle w:val="FootnoteReference"/>
          <w:rFonts w:ascii="Times New Roman" w:hAnsi="Times New Roman"/>
          <w:szCs w:val="24"/>
        </w:rPr>
        <w:footnoteReference w:id="61"/>
      </w:r>
      <w:r w:rsidR="00C406E4" w:rsidRPr="00FD07C8">
        <w:rPr>
          <w:rFonts w:ascii="Times New Roman" w:hAnsi="Times New Roman"/>
          <w:szCs w:val="24"/>
        </w:rPr>
        <w:t xml:space="preserve">  </w:t>
      </w:r>
      <w:r w:rsidR="006C5252" w:rsidRPr="00FD07C8">
        <w:rPr>
          <w:rFonts w:ascii="Times New Roman" w:hAnsi="Times New Roman"/>
          <w:szCs w:val="24"/>
        </w:rPr>
        <w:t xml:space="preserve">ICNU’s criticism is unwarranted because it is unreasonable to have expected the Company to incorporate this change in the case given </w:t>
      </w:r>
      <w:r w:rsidR="00C406E4" w:rsidRPr="00FD07C8">
        <w:rPr>
          <w:rFonts w:ascii="Times New Roman" w:hAnsi="Times New Roman"/>
          <w:szCs w:val="24"/>
        </w:rPr>
        <w:t>the rapidity of changes in the area of RECs and the lead time required to prepare a general rate case</w:t>
      </w:r>
      <w:r w:rsidR="006C5252" w:rsidRPr="00FD07C8">
        <w:rPr>
          <w:rFonts w:ascii="Times New Roman" w:hAnsi="Times New Roman"/>
          <w:szCs w:val="24"/>
        </w:rPr>
        <w:t>.</w:t>
      </w:r>
    </w:p>
    <w:p w:rsidR="00066AFE" w:rsidRPr="00FD07C8" w:rsidRDefault="00B42D8A" w:rsidP="006C525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6C5252" w:rsidRPr="00FD07C8">
        <w:rPr>
          <w:rFonts w:ascii="Times New Roman" w:hAnsi="Times New Roman"/>
          <w:szCs w:val="24"/>
        </w:rPr>
        <w:t xml:space="preserve">Finally, the </w:t>
      </w:r>
      <w:r w:rsidR="00E35302" w:rsidRPr="00FD07C8">
        <w:rPr>
          <w:rFonts w:ascii="Times New Roman" w:hAnsi="Times New Roman"/>
          <w:szCs w:val="24"/>
        </w:rPr>
        <w:t>Responding P</w:t>
      </w:r>
      <w:r w:rsidR="006C5252" w:rsidRPr="00FD07C8">
        <w:rPr>
          <w:rFonts w:ascii="Times New Roman" w:hAnsi="Times New Roman"/>
          <w:szCs w:val="24"/>
        </w:rPr>
        <w:t>arties all propose basing the bill credit on actual revenues rather than forecasts because of the unpredictable nature of REC revenues.</w:t>
      </w:r>
      <w:r w:rsidR="006C5252" w:rsidRPr="00FD07C8">
        <w:rPr>
          <w:rStyle w:val="FootnoteReference"/>
          <w:rFonts w:ascii="Times New Roman" w:hAnsi="Times New Roman"/>
          <w:szCs w:val="24"/>
        </w:rPr>
        <w:footnoteReference w:id="62"/>
      </w:r>
      <w:r w:rsidR="006C5252" w:rsidRPr="00FD07C8">
        <w:rPr>
          <w:rFonts w:ascii="Times New Roman" w:hAnsi="Times New Roman"/>
          <w:szCs w:val="24"/>
        </w:rPr>
        <w:t xml:space="preserve">  </w:t>
      </w:r>
      <w:r w:rsidR="00066AFE" w:rsidRPr="00FD07C8">
        <w:rPr>
          <w:rFonts w:ascii="Times New Roman" w:hAnsi="Times New Roman"/>
          <w:szCs w:val="24"/>
        </w:rPr>
        <w:t xml:space="preserve">It is unreasonable for the </w:t>
      </w:r>
      <w:r w:rsidR="00F75962">
        <w:rPr>
          <w:rFonts w:ascii="Times New Roman" w:hAnsi="Times New Roman"/>
          <w:szCs w:val="24"/>
        </w:rPr>
        <w:t>Responding P</w:t>
      </w:r>
      <w:r w:rsidR="00066AFE" w:rsidRPr="00FD07C8">
        <w:rPr>
          <w:rFonts w:ascii="Times New Roman" w:hAnsi="Times New Roman"/>
          <w:szCs w:val="24"/>
        </w:rPr>
        <w:t>arties to rely on the unpredictable and quickly changing nature of the REC market to support their proposed bill credit structure</w:t>
      </w:r>
      <w:r w:rsidR="006C5252" w:rsidRPr="00FD07C8">
        <w:rPr>
          <w:rFonts w:ascii="Times New Roman" w:hAnsi="Times New Roman"/>
          <w:szCs w:val="24"/>
        </w:rPr>
        <w:t xml:space="preserve"> but ignore these factors when assessing the accuracies of the Company’s past REC revenue forecasts</w:t>
      </w:r>
      <w:r w:rsidR="00066AFE" w:rsidRPr="00FD07C8">
        <w:rPr>
          <w:rFonts w:ascii="Times New Roman" w:hAnsi="Times New Roman"/>
          <w:szCs w:val="24"/>
        </w:rPr>
        <w:t>.</w:t>
      </w:r>
    </w:p>
    <w:p w:rsidR="0036717E" w:rsidRPr="00FD07C8" w:rsidRDefault="0010477B" w:rsidP="004F1D7F">
      <w:pPr>
        <w:pStyle w:val="Heading3"/>
      </w:pPr>
      <w:bookmarkStart w:id="67" w:name="_Toc309373941"/>
      <w:r w:rsidRPr="00FD07C8">
        <w:lastRenderedPageBreak/>
        <w:t>4</w:t>
      </w:r>
      <w:r w:rsidR="003A77A0" w:rsidRPr="00FD07C8">
        <w:t>.</w:t>
      </w:r>
      <w:r w:rsidR="003A77A0" w:rsidRPr="00FD07C8">
        <w:tab/>
      </w:r>
      <w:r w:rsidR="0059264A" w:rsidRPr="00FD07C8">
        <w:t>An E</w:t>
      </w:r>
      <w:r w:rsidR="0036717E" w:rsidRPr="00FD07C8">
        <w:t xml:space="preserve">xception to the </w:t>
      </w:r>
      <w:r w:rsidR="0059264A" w:rsidRPr="00FD07C8">
        <w:t>R</w:t>
      </w:r>
      <w:r w:rsidR="0036717E" w:rsidRPr="00FD07C8">
        <w:t xml:space="preserve">ule against </w:t>
      </w:r>
      <w:r w:rsidR="0059264A" w:rsidRPr="00FD07C8">
        <w:t>R</w:t>
      </w:r>
      <w:r w:rsidR="0036717E" w:rsidRPr="00FD07C8">
        <w:t xml:space="preserve">etroactive </w:t>
      </w:r>
      <w:r w:rsidR="0059264A" w:rsidRPr="00FD07C8">
        <w:t>R</w:t>
      </w:r>
      <w:r w:rsidR="0036717E" w:rsidRPr="00FD07C8">
        <w:t xml:space="preserve">atemaking for </w:t>
      </w:r>
      <w:r w:rsidR="0059264A" w:rsidRPr="00FD07C8">
        <w:t>E</w:t>
      </w:r>
      <w:r w:rsidR="0036717E" w:rsidRPr="00FD07C8">
        <w:t xml:space="preserve">xtraordinary and </w:t>
      </w:r>
      <w:r w:rsidR="0059264A" w:rsidRPr="00FD07C8">
        <w:t>U</w:t>
      </w:r>
      <w:r w:rsidR="0036717E" w:rsidRPr="00FD07C8">
        <w:t xml:space="preserve">nforeseeable </w:t>
      </w:r>
      <w:r w:rsidR="0059264A" w:rsidRPr="00FD07C8">
        <w:t>C</w:t>
      </w:r>
      <w:r w:rsidR="0036717E" w:rsidRPr="00FD07C8">
        <w:t>ost</w:t>
      </w:r>
      <w:r w:rsidR="00B3385B" w:rsidRPr="00FD07C8">
        <w:t>s</w:t>
      </w:r>
      <w:r w:rsidR="0036717E" w:rsidRPr="00FD07C8">
        <w:t xml:space="preserve"> or </w:t>
      </w:r>
      <w:r w:rsidR="0059264A" w:rsidRPr="00FD07C8">
        <w:t>R</w:t>
      </w:r>
      <w:r w:rsidR="0036717E" w:rsidRPr="00FD07C8">
        <w:t xml:space="preserve">evenues is </w:t>
      </w:r>
      <w:r w:rsidR="00B3385B" w:rsidRPr="00FD07C8">
        <w:t>Not Justified in this Case and is Contrary to Commission Precedent</w:t>
      </w:r>
      <w:r w:rsidR="0036717E" w:rsidRPr="00FD07C8">
        <w:t>.</w:t>
      </w:r>
      <w:bookmarkEnd w:id="67"/>
    </w:p>
    <w:p w:rsidR="00A6077B" w:rsidRPr="00FD07C8" w:rsidRDefault="00B560E2" w:rsidP="00B562C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B562C2" w:rsidRPr="00FD07C8">
        <w:rPr>
          <w:rFonts w:ascii="Times New Roman" w:hAnsi="Times New Roman"/>
          <w:szCs w:val="24"/>
        </w:rPr>
        <w:t xml:space="preserve">Public Counsel also proposes that the Commission establish </w:t>
      </w:r>
      <w:r w:rsidR="00A6077B" w:rsidRPr="00FD07C8">
        <w:rPr>
          <w:rFonts w:ascii="Times New Roman" w:hAnsi="Times New Roman"/>
          <w:szCs w:val="24"/>
        </w:rPr>
        <w:t>an exception to the rule against retroactive ratemaking for “extraordinary and unforeseeable losses or gains.”</w:t>
      </w:r>
      <w:r w:rsidR="00A6077B" w:rsidRPr="00FD07C8">
        <w:rPr>
          <w:rStyle w:val="FootnoteReference"/>
          <w:rFonts w:ascii="Times New Roman" w:hAnsi="Times New Roman"/>
          <w:szCs w:val="24"/>
        </w:rPr>
        <w:footnoteReference w:id="63"/>
      </w:r>
      <w:r w:rsidR="00A6077B" w:rsidRPr="00FD07C8">
        <w:rPr>
          <w:rFonts w:ascii="Times New Roman" w:hAnsi="Times New Roman"/>
          <w:szCs w:val="24"/>
        </w:rPr>
        <w:t xml:space="preserve">  Although Public Counsel claims that the Commission has applied this exception previously, it has not done so absent a deferred accounting petition.  Public Counsel cites to a 1988 order in which the Commission noted that “it has on rare occasions authorized the recovery of past expenses in instances where doing so is consistent with the public interest and sound regulatory policy.”</w:t>
      </w:r>
      <w:r w:rsidR="00A6077B" w:rsidRPr="00FD07C8">
        <w:rPr>
          <w:rStyle w:val="FootnoteReference"/>
          <w:rFonts w:ascii="Times New Roman" w:hAnsi="Times New Roman"/>
          <w:szCs w:val="24"/>
        </w:rPr>
        <w:footnoteReference w:id="64"/>
      </w:r>
      <w:r w:rsidR="00A6077B" w:rsidRPr="00FD07C8">
        <w:rPr>
          <w:rFonts w:ascii="Times New Roman" w:hAnsi="Times New Roman"/>
          <w:szCs w:val="24"/>
        </w:rPr>
        <w:t xml:space="preserve">  However, in that case the Commission was evaluating an energy cost adjustment clause.  The Commission noted that the adjustment clause would not constitute retroactive ratemaking because it would be based on a “fixed mathematical formula” and would </w:t>
      </w:r>
      <w:r w:rsidR="003C1245" w:rsidRPr="00FD07C8">
        <w:rPr>
          <w:rFonts w:ascii="Times New Roman" w:hAnsi="Times New Roman"/>
          <w:szCs w:val="24"/>
        </w:rPr>
        <w:t>be applied only after notice and hearing.</w:t>
      </w:r>
      <w:r w:rsidR="003C1245" w:rsidRPr="00FD07C8">
        <w:rPr>
          <w:rStyle w:val="FootnoteReference"/>
          <w:rFonts w:ascii="Times New Roman" w:hAnsi="Times New Roman"/>
          <w:szCs w:val="24"/>
        </w:rPr>
        <w:footnoteReference w:id="65"/>
      </w:r>
      <w:r w:rsidR="003C1245" w:rsidRPr="00FD07C8">
        <w:rPr>
          <w:rFonts w:ascii="Times New Roman" w:hAnsi="Times New Roman"/>
          <w:szCs w:val="24"/>
        </w:rPr>
        <w:t xml:space="preserve">  In this case, </w:t>
      </w:r>
      <w:r w:rsidR="000A6C71" w:rsidRPr="00FD07C8">
        <w:rPr>
          <w:rFonts w:ascii="Times New Roman" w:hAnsi="Times New Roman"/>
          <w:szCs w:val="24"/>
        </w:rPr>
        <w:t>parties are proposing a retroactive true</w:t>
      </w:r>
      <w:r w:rsidR="001C70CF" w:rsidRPr="00FD07C8">
        <w:rPr>
          <w:rFonts w:ascii="Times New Roman" w:hAnsi="Times New Roman"/>
          <w:szCs w:val="24"/>
        </w:rPr>
        <w:t xml:space="preserve"> </w:t>
      </w:r>
      <w:r w:rsidR="000A6C71" w:rsidRPr="00FD07C8">
        <w:rPr>
          <w:rFonts w:ascii="Times New Roman" w:hAnsi="Times New Roman"/>
          <w:szCs w:val="24"/>
        </w:rPr>
        <w:t>up of REC revenues, not a forward-looking true</w:t>
      </w:r>
      <w:r w:rsidR="001C70CF" w:rsidRPr="00FD07C8">
        <w:rPr>
          <w:rFonts w:ascii="Times New Roman" w:hAnsi="Times New Roman"/>
          <w:szCs w:val="24"/>
        </w:rPr>
        <w:t xml:space="preserve"> </w:t>
      </w:r>
      <w:r w:rsidR="000A6C71" w:rsidRPr="00FD07C8">
        <w:rPr>
          <w:rFonts w:ascii="Times New Roman" w:hAnsi="Times New Roman"/>
          <w:szCs w:val="24"/>
        </w:rPr>
        <w:t>up that the Commission has found is not retroactive ratemaking.</w:t>
      </w:r>
    </w:p>
    <w:p w:rsidR="0036717E" w:rsidRPr="00FD07C8" w:rsidRDefault="00B560E2" w:rsidP="00B562C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0A6C71" w:rsidRPr="00FD07C8">
        <w:rPr>
          <w:rFonts w:ascii="Times New Roman" w:hAnsi="Times New Roman"/>
          <w:szCs w:val="24"/>
        </w:rPr>
        <w:t xml:space="preserve">Commission precedent shows that it has </w:t>
      </w:r>
      <w:r w:rsidR="00EF1B8A" w:rsidRPr="00FD07C8">
        <w:rPr>
          <w:rFonts w:ascii="Times New Roman" w:hAnsi="Times New Roman"/>
          <w:szCs w:val="24"/>
        </w:rPr>
        <w:t xml:space="preserve">previously rejected the arguments that form the basis of </w:t>
      </w:r>
      <w:r w:rsidR="000A6C71" w:rsidRPr="00FD07C8">
        <w:rPr>
          <w:rFonts w:ascii="Times New Roman" w:hAnsi="Times New Roman"/>
          <w:szCs w:val="24"/>
        </w:rPr>
        <w:t xml:space="preserve">the exception sought by Public Counsel in this case.  </w:t>
      </w:r>
      <w:r w:rsidR="00EF1B8A" w:rsidRPr="00FD07C8">
        <w:rPr>
          <w:rFonts w:ascii="Times New Roman" w:hAnsi="Times New Roman"/>
          <w:szCs w:val="24"/>
        </w:rPr>
        <w:t>In 2002, the Company filed a request for deferral of excess power costs related to the energy crisis.</w:t>
      </w:r>
      <w:r w:rsidR="00EF1B8A" w:rsidRPr="00FD07C8">
        <w:rPr>
          <w:rStyle w:val="FootnoteReference"/>
          <w:rFonts w:ascii="Times New Roman" w:hAnsi="Times New Roman"/>
          <w:szCs w:val="24"/>
        </w:rPr>
        <w:footnoteReference w:id="66"/>
      </w:r>
      <w:r w:rsidR="00EF1B8A" w:rsidRPr="00FD07C8">
        <w:rPr>
          <w:rFonts w:ascii="Times New Roman" w:hAnsi="Times New Roman"/>
          <w:szCs w:val="24"/>
        </w:rPr>
        <w:t xml:space="preserve">  </w:t>
      </w:r>
      <w:r w:rsidR="00143EAB" w:rsidRPr="00FD07C8">
        <w:rPr>
          <w:rFonts w:ascii="Times New Roman" w:hAnsi="Times New Roman"/>
          <w:szCs w:val="24"/>
        </w:rPr>
        <w:t>The Commission rejected PacifiCorp’s request</w:t>
      </w:r>
      <w:r w:rsidR="0036717E" w:rsidRPr="00FD07C8">
        <w:rPr>
          <w:rFonts w:ascii="Times New Roman" w:hAnsi="Times New Roman"/>
          <w:szCs w:val="24"/>
        </w:rPr>
        <w:t>.</w:t>
      </w:r>
      <w:r w:rsidR="00143EAB" w:rsidRPr="00FD07C8">
        <w:rPr>
          <w:rStyle w:val="FootnoteReference"/>
          <w:rFonts w:ascii="Times New Roman" w:hAnsi="Times New Roman"/>
          <w:szCs w:val="24"/>
        </w:rPr>
        <w:footnoteReference w:id="67"/>
      </w:r>
      <w:r w:rsidR="00143EAB" w:rsidRPr="00FD07C8">
        <w:rPr>
          <w:rFonts w:ascii="Times New Roman" w:hAnsi="Times New Roman"/>
          <w:szCs w:val="24"/>
        </w:rPr>
        <w:t xml:space="preserve">  If the Commission found that the energy crisis was not extraordinary and unforeseen enough to justify an exception</w:t>
      </w:r>
      <w:r w:rsidR="00E35302" w:rsidRPr="00FD07C8">
        <w:rPr>
          <w:rFonts w:ascii="Times New Roman" w:hAnsi="Times New Roman"/>
          <w:szCs w:val="24"/>
        </w:rPr>
        <w:t xml:space="preserve"> to retroactive ratemaking, PacifiCorp’s </w:t>
      </w:r>
      <w:r w:rsidR="00143EAB" w:rsidRPr="00FD07C8">
        <w:rPr>
          <w:rFonts w:ascii="Times New Roman" w:hAnsi="Times New Roman"/>
          <w:szCs w:val="24"/>
        </w:rPr>
        <w:t>higher-than-expected REC revenues in 2009 and 2010 certainly cannot justify such an exception.</w:t>
      </w:r>
    </w:p>
    <w:p w:rsidR="003A59BC" w:rsidRPr="00FD07C8" w:rsidRDefault="00B560E2" w:rsidP="00B562C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3A59BC" w:rsidRPr="00FD07C8">
        <w:rPr>
          <w:rFonts w:ascii="Times New Roman" w:hAnsi="Times New Roman"/>
          <w:szCs w:val="24"/>
        </w:rPr>
        <w:t>Moreover, Public Counsel itself claims that for this exception to apply, the item must be “non-recurring.”</w:t>
      </w:r>
      <w:r w:rsidR="003A59BC" w:rsidRPr="00FD07C8">
        <w:rPr>
          <w:rStyle w:val="FootnoteReference"/>
          <w:rFonts w:ascii="Times New Roman" w:hAnsi="Times New Roman"/>
          <w:szCs w:val="24"/>
        </w:rPr>
        <w:footnoteReference w:id="68"/>
      </w:r>
      <w:r w:rsidR="003A59BC" w:rsidRPr="00FD07C8">
        <w:rPr>
          <w:rFonts w:ascii="Times New Roman" w:hAnsi="Times New Roman"/>
          <w:szCs w:val="24"/>
        </w:rPr>
        <w:t xml:space="preserve">  There is no question that REC revenues are recurring—this is why the parties are debating REC revenues </w:t>
      </w:r>
      <w:r w:rsidR="0032002C" w:rsidRPr="00FD07C8">
        <w:rPr>
          <w:rFonts w:ascii="Times New Roman" w:hAnsi="Times New Roman"/>
          <w:szCs w:val="24"/>
        </w:rPr>
        <w:t xml:space="preserve">for </w:t>
      </w:r>
      <w:r w:rsidR="003A59BC" w:rsidRPr="00FD07C8">
        <w:rPr>
          <w:rFonts w:ascii="Times New Roman" w:hAnsi="Times New Roman"/>
          <w:szCs w:val="24"/>
        </w:rPr>
        <w:t>2009, 2010, and 2011.  The</w:t>
      </w:r>
      <w:r w:rsidR="0032002C" w:rsidRPr="00FD07C8">
        <w:rPr>
          <w:rFonts w:ascii="Times New Roman" w:hAnsi="Times New Roman"/>
          <w:szCs w:val="24"/>
        </w:rPr>
        <w:t xml:space="preserve"> revenues at issue </w:t>
      </w:r>
      <w:r w:rsidR="003A59BC" w:rsidRPr="00FD07C8">
        <w:rPr>
          <w:rFonts w:ascii="Times New Roman" w:hAnsi="Times New Roman"/>
          <w:szCs w:val="24"/>
        </w:rPr>
        <w:t>were not unexpected one-time events</w:t>
      </w:r>
      <w:r w:rsidR="0032002C" w:rsidRPr="00FD07C8">
        <w:rPr>
          <w:rFonts w:ascii="Times New Roman" w:hAnsi="Times New Roman"/>
          <w:szCs w:val="24"/>
        </w:rPr>
        <w:t>, but rather the result of an inaccurate forecast of recurring revenues</w:t>
      </w:r>
      <w:r w:rsidR="003A59BC" w:rsidRPr="00FD07C8">
        <w:rPr>
          <w:rFonts w:ascii="Times New Roman" w:hAnsi="Times New Roman"/>
          <w:szCs w:val="24"/>
        </w:rPr>
        <w:t>.</w:t>
      </w:r>
      <w:r w:rsidR="003A59BC" w:rsidRPr="00FD07C8">
        <w:rPr>
          <w:rStyle w:val="FootnoteReference"/>
          <w:rFonts w:ascii="Times New Roman" w:hAnsi="Times New Roman"/>
          <w:szCs w:val="24"/>
        </w:rPr>
        <w:footnoteReference w:id="69"/>
      </w:r>
      <w:r w:rsidR="0032002C" w:rsidRPr="00FD07C8">
        <w:rPr>
          <w:rFonts w:ascii="Times New Roman" w:hAnsi="Times New Roman"/>
          <w:szCs w:val="24"/>
        </w:rPr>
        <w:t xml:space="preserve">  Therefore, even under Public Counsel’s characterization of the exception for unforeseen and exceptional cost items, </w:t>
      </w:r>
      <w:r w:rsidR="00E35302" w:rsidRPr="00FD07C8">
        <w:rPr>
          <w:rFonts w:ascii="Times New Roman" w:hAnsi="Times New Roman"/>
          <w:szCs w:val="24"/>
        </w:rPr>
        <w:t xml:space="preserve">it would </w:t>
      </w:r>
      <w:r w:rsidR="0032002C" w:rsidRPr="00FD07C8">
        <w:rPr>
          <w:rFonts w:ascii="Times New Roman" w:hAnsi="Times New Roman"/>
          <w:szCs w:val="24"/>
        </w:rPr>
        <w:t>not apply</w:t>
      </w:r>
      <w:r w:rsidR="00E35302" w:rsidRPr="00FD07C8">
        <w:rPr>
          <w:rFonts w:ascii="Times New Roman" w:hAnsi="Times New Roman"/>
          <w:szCs w:val="24"/>
        </w:rPr>
        <w:t xml:space="preserve"> to the REC revenues at issue in this case</w:t>
      </w:r>
      <w:r w:rsidR="0032002C" w:rsidRPr="00FD07C8">
        <w:rPr>
          <w:rFonts w:ascii="Times New Roman" w:hAnsi="Times New Roman"/>
          <w:szCs w:val="24"/>
        </w:rPr>
        <w:t>.</w:t>
      </w:r>
    </w:p>
    <w:p w:rsidR="00B3385B" w:rsidRPr="00FD07C8" w:rsidRDefault="00B560E2" w:rsidP="00B560E2">
      <w:pPr>
        <w:pStyle w:val="ListParagraph"/>
        <w:numPr>
          <w:ilvl w:val="0"/>
          <w:numId w:val="12"/>
        </w:numPr>
        <w:tabs>
          <w:tab w:val="clear" w:pos="1440"/>
          <w:tab w:val="num" w:pos="720"/>
        </w:tabs>
        <w:spacing w:line="480" w:lineRule="auto"/>
        <w:ind w:left="0"/>
      </w:pPr>
      <w:r w:rsidRPr="00FD07C8">
        <w:rPr>
          <w:rFonts w:ascii="Times New Roman" w:hAnsi="Times New Roman"/>
          <w:szCs w:val="24"/>
        </w:rPr>
        <w:tab/>
      </w:r>
      <w:r w:rsidR="00B3385B" w:rsidRPr="00FD07C8">
        <w:rPr>
          <w:rFonts w:ascii="Times New Roman" w:hAnsi="Times New Roman"/>
          <w:szCs w:val="24"/>
        </w:rPr>
        <w:t>Even</w:t>
      </w:r>
      <w:r w:rsidR="00B3385B" w:rsidRPr="00FD07C8">
        <w:t xml:space="preserve"> if </w:t>
      </w:r>
      <w:r w:rsidR="00620F70" w:rsidRPr="00FD07C8">
        <w:t xml:space="preserve">the Commission established </w:t>
      </w:r>
      <w:r w:rsidR="00B3385B" w:rsidRPr="00FD07C8">
        <w:t xml:space="preserve">an exception for </w:t>
      </w:r>
      <w:r w:rsidR="00620F70" w:rsidRPr="00FD07C8">
        <w:t>extraordinary and unforeseeable cost items and found that such an exception is relevant to this case, the fact that the Company was under</w:t>
      </w:r>
      <w:r w:rsidR="00E35302" w:rsidRPr="00FD07C8">
        <w:t xml:space="preserve"> </w:t>
      </w:r>
      <w:r w:rsidR="00620F70" w:rsidRPr="00FD07C8">
        <w:t xml:space="preserve">earning in 2009 and 2010 </w:t>
      </w:r>
      <w:r w:rsidR="00E35302" w:rsidRPr="00FD07C8">
        <w:t xml:space="preserve">should </w:t>
      </w:r>
      <w:r w:rsidR="00620F70" w:rsidRPr="00FD07C8">
        <w:t xml:space="preserve">negate application of the exception.  Public Counsel cites to </w:t>
      </w:r>
      <w:r w:rsidR="00A36793" w:rsidRPr="00FD07C8">
        <w:fldChar w:fldCharType="begin"/>
      </w:r>
      <w:r w:rsidR="00CC6CF0" w:rsidRPr="00FD07C8">
        <w:instrText xml:space="preserve"> ADDIN BA \xc &lt;@$cs&gt; \xl 79 \s NSKEHB000033 \xhfl Rep \xch </w:instrText>
      </w:r>
      <w:r w:rsidR="00A36793" w:rsidRPr="00FD07C8">
        <w:fldChar w:fldCharType="end"/>
      </w:r>
      <w:bookmarkStart w:id="71" w:name="_BA_Cite_118"/>
      <w:r w:rsidR="00620F70" w:rsidRPr="00FD07C8">
        <w:rPr>
          <w:i/>
        </w:rPr>
        <w:t>MCI Telecommunications Corporation v. Public Service Commission of Utah</w:t>
      </w:r>
      <w:r w:rsidR="00620F70" w:rsidRPr="00FD07C8">
        <w:t xml:space="preserve"> (“</w:t>
      </w:r>
      <w:r w:rsidR="00620F70" w:rsidRPr="00FD07C8">
        <w:rPr>
          <w:i/>
        </w:rPr>
        <w:t>MCI</w:t>
      </w:r>
      <w:r w:rsidR="00620F70" w:rsidRPr="00FD07C8">
        <w:t>”)</w:t>
      </w:r>
      <w:bookmarkEnd w:id="71"/>
      <w:r w:rsidR="00620F70" w:rsidRPr="00FD07C8">
        <w:rPr>
          <w:rStyle w:val="FootnoteReference"/>
        </w:rPr>
        <w:footnoteReference w:id="70"/>
      </w:r>
      <w:r w:rsidR="00620F70" w:rsidRPr="00FD07C8">
        <w:t xml:space="preserve"> for support of its argument that unforeseeable revenues can be retroactively included in rates.  In that case, the Utah Supreme Court evaluated whether an exception to the rule against retroactive ratemaking was applicable when a change in the tax law reduced U.</w:t>
      </w:r>
      <w:r w:rsidR="00594596">
        <w:t>S. West’s income tax rate by 26 percent</w:t>
      </w:r>
      <w:r w:rsidR="00620F70" w:rsidRPr="00FD07C8">
        <w:t xml:space="preserve"> </w:t>
      </w:r>
      <w:r w:rsidR="00A3344F" w:rsidRPr="00FD07C8">
        <w:t>below</w:t>
      </w:r>
      <w:r w:rsidR="00620F70" w:rsidRPr="00FD07C8">
        <w:t xml:space="preserve"> what was included in rates.</w:t>
      </w:r>
      <w:r w:rsidR="00620F70" w:rsidRPr="00FD07C8">
        <w:rPr>
          <w:rStyle w:val="FootnoteReference"/>
        </w:rPr>
        <w:footnoteReference w:id="71"/>
      </w:r>
      <w:r w:rsidR="00620F70" w:rsidRPr="00FD07C8">
        <w:t xml:space="preserve">  </w:t>
      </w:r>
      <w:r w:rsidR="00DD579E" w:rsidRPr="00FD07C8">
        <w:t xml:space="preserve">The court reviewed </w:t>
      </w:r>
      <w:r w:rsidR="00B3385B" w:rsidRPr="00FD07C8">
        <w:t>cases recognizing an exception to the rule against retroactive ratemaking when an unforeseeable and extraordinary increase in utility expenses resulted from a natural disaster.</w:t>
      </w:r>
      <w:r w:rsidR="00DD579E" w:rsidRPr="00FD07C8">
        <w:rPr>
          <w:rStyle w:val="FootnoteReference"/>
        </w:rPr>
        <w:footnoteReference w:id="72"/>
      </w:r>
      <w:r w:rsidR="00B3385B" w:rsidRPr="00FD07C8">
        <w:t xml:space="preserve">  The</w:t>
      </w:r>
      <w:r w:rsidR="00DD579E" w:rsidRPr="00FD07C8">
        <w:t xml:space="preserve"> court noted that this exception was justified because, </w:t>
      </w:r>
      <w:r w:rsidR="00B3385B" w:rsidRPr="00FD07C8">
        <w:t>absent such an exception, a utility would not be afforded a reasonable opportunity to earn a reasonable rate of return.</w:t>
      </w:r>
      <w:r w:rsidR="00DD579E" w:rsidRPr="00FD07C8">
        <w:rPr>
          <w:rStyle w:val="FootnoteReference"/>
        </w:rPr>
        <w:footnoteReference w:id="73"/>
      </w:r>
      <w:r w:rsidR="00B3385B" w:rsidRPr="00FD07C8">
        <w:t xml:space="preserve">  </w:t>
      </w:r>
      <w:r w:rsidR="00DD579E" w:rsidRPr="00FD07C8">
        <w:t xml:space="preserve">Based on this justification, </w:t>
      </w:r>
      <w:r w:rsidR="00B3385B" w:rsidRPr="00FD07C8">
        <w:t xml:space="preserve">it is clear the exception for an unforeseeable and extraordinary event that caused a decrease in earnings would </w:t>
      </w:r>
      <w:r w:rsidR="00B3385B" w:rsidRPr="00FD07C8">
        <w:lastRenderedPageBreak/>
        <w:t>only be justified if the utility was earning less than its authorized return as a result.</w:t>
      </w:r>
      <w:r w:rsidR="00DD579E" w:rsidRPr="00FD07C8">
        <w:t xml:space="preserve">  Correspondingly, an exception for an unforeseeable and extraordinary event that caused a</w:t>
      </w:r>
      <w:r w:rsidR="00A3344F" w:rsidRPr="00FD07C8">
        <w:t>n</w:t>
      </w:r>
      <w:r w:rsidR="00DD579E" w:rsidRPr="00FD07C8">
        <w:t xml:space="preserve"> increase in earnings would only be justified if the utility was earning more than its authorized return as a result.  </w:t>
      </w:r>
    </w:p>
    <w:p w:rsidR="00B3385B" w:rsidRPr="00FD07C8" w:rsidRDefault="00B560E2" w:rsidP="00B560E2">
      <w:pPr>
        <w:pStyle w:val="ListParagraph"/>
        <w:numPr>
          <w:ilvl w:val="0"/>
          <w:numId w:val="12"/>
        </w:numPr>
        <w:tabs>
          <w:tab w:val="clear" w:pos="1440"/>
          <w:tab w:val="num" w:pos="720"/>
        </w:tabs>
        <w:spacing w:line="480" w:lineRule="auto"/>
        <w:ind w:left="0"/>
      </w:pPr>
      <w:r w:rsidRPr="00FD07C8">
        <w:tab/>
      </w:r>
      <w:r w:rsidR="00B3385B" w:rsidRPr="00FD07C8">
        <w:t xml:space="preserve">This rationale is confirmed by the </w:t>
      </w:r>
      <w:r w:rsidR="001C70CF" w:rsidRPr="00FD07C8">
        <w:t xml:space="preserve">court’s </w:t>
      </w:r>
      <w:r w:rsidR="00B3385B" w:rsidRPr="00FD07C8">
        <w:t xml:space="preserve">holding and direction on remand in </w:t>
      </w:r>
      <w:r w:rsidR="00A36793" w:rsidRPr="00FD07C8">
        <w:fldChar w:fldCharType="begin"/>
      </w:r>
      <w:r w:rsidR="00CC6CF0" w:rsidRPr="00FD07C8">
        <w:instrText xml:space="preserve"> ADDIN BA \xc &lt;@$cs&gt; \xl 3 \s NSKEHB000033 </w:instrText>
      </w:r>
      <w:r w:rsidR="00A36793" w:rsidRPr="00FD07C8">
        <w:fldChar w:fldCharType="end"/>
      </w:r>
      <w:bookmarkStart w:id="72" w:name="_BA_Cite_119"/>
      <w:r w:rsidR="00B3385B" w:rsidRPr="00FD07C8">
        <w:rPr>
          <w:i/>
        </w:rPr>
        <w:t>MCI</w:t>
      </w:r>
      <w:bookmarkEnd w:id="72"/>
      <w:r w:rsidR="00B3385B" w:rsidRPr="00FD07C8">
        <w:t xml:space="preserve">.  After holding that an exception to the rule against retroactive ratemaking for unforeseeable and </w:t>
      </w:r>
      <w:r w:rsidR="00B3385B" w:rsidRPr="00FD07C8">
        <w:rPr>
          <w:i/>
        </w:rPr>
        <w:t>extraordinary</w:t>
      </w:r>
      <w:r w:rsidR="00B3385B" w:rsidRPr="00FD07C8">
        <w:t xml:space="preserve"> increases or decreases in expenses is recognized in Utah,</w:t>
      </w:r>
      <w:r w:rsidR="00DD579E" w:rsidRPr="00FD07C8">
        <w:rPr>
          <w:rStyle w:val="FootnoteReference"/>
        </w:rPr>
        <w:footnoteReference w:id="74"/>
      </w:r>
      <w:r w:rsidR="00B3385B" w:rsidRPr="00FD07C8">
        <w:t xml:space="preserve"> the </w:t>
      </w:r>
      <w:r w:rsidR="001C70CF" w:rsidRPr="00FD07C8">
        <w:t>court</w:t>
      </w:r>
      <w:r w:rsidR="00B3385B" w:rsidRPr="00FD07C8">
        <w:t xml:space="preserve"> directed the Commission on remand to make factual findings that, “at a minimum, include (1) U.S. West’s earnings and rate of return for the years 1986, 1987, 1988, and 1989 . . . ; (2) the extent to which U.S West’s earnings exceeded the authorized rate of return in 1987, 1988, and 1989 . . . .”</w:t>
      </w:r>
      <w:r w:rsidR="00DD579E" w:rsidRPr="00FD07C8">
        <w:rPr>
          <w:rStyle w:val="FootnoteReference"/>
        </w:rPr>
        <w:footnoteReference w:id="75"/>
      </w:r>
      <w:r w:rsidR="00B3385B" w:rsidRPr="00FD07C8">
        <w:t xml:space="preserve">  The </w:t>
      </w:r>
      <w:r w:rsidR="00DD579E" w:rsidRPr="00FD07C8">
        <w:t>c</w:t>
      </w:r>
      <w:r w:rsidR="00B3385B" w:rsidRPr="00FD07C8">
        <w:t>ourt went on to state:</w:t>
      </w:r>
    </w:p>
    <w:p w:rsidR="00B3385B" w:rsidRPr="00FD07C8" w:rsidRDefault="00B3385B" w:rsidP="00B3385B">
      <w:pPr>
        <w:pStyle w:val="Quote"/>
      </w:pPr>
      <w:r w:rsidRPr="00FD07C8">
        <w:rPr>
          <w:i/>
        </w:rPr>
        <w:t xml:space="preserve">[I]f a utility earns profits in excess of its authorized rate of return because of an exception to the rule against retroactive ratemaking, </w:t>
      </w:r>
      <w:r w:rsidRPr="00FD07C8">
        <w:t>the authorized return is the best available measure of a fair return and</w:t>
      </w:r>
      <w:r w:rsidRPr="00FD07C8">
        <w:rPr>
          <w:i/>
        </w:rPr>
        <w:t xml:space="preserve"> earnings in excess of that rate are subject to </w:t>
      </w:r>
      <w:r w:rsidRPr="00FD07C8">
        <w:rPr>
          <w:i/>
        </w:rPr>
        <w:tab/>
        <w:t>refund</w:t>
      </w:r>
      <w:r w:rsidRPr="00FD07C8">
        <w:t xml:space="preserve">.  Accordingly, if on remand the </w:t>
      </w:r>
      <w:r w:rsidR="00A36793" w:rsidRPr="00FD07C8">
        <w:fldChar w:fldCharType="begin"/>
      </w:r>
      <w:r w:rsidR="00CC6CF0" w:rsidRPr="00FD07C8">
        <w:instrText xml:space="preserve"> ADDIN BA \xc &lt;@st&gt; \xl 22 \s NSKEHB000038 \xqt \l "Tax Reform Act of 1986" </w:instrText>
      </w:r>
      <w:r w:rsidR="00A36793" w:rsidRPr="00FD07C8">
        <w:fldChar w:fldCharType="end"/>
      </w:r>
      <w:r w:rsidRPr="00FD07C8">
        <w:t xml:space="preserve">Tax Reform Act of 1986 is found to have resulted in an unforeseeable and extraordinary decrease in expenses . . . , </w:t>
      </w:r>
      <w:r w:rsidRPr="00FD07C8">
        <w:rPr>
          <w:i/>
        </w:rPr>
        <w:t>we hold that U.S. West’s earnings, to the extent they exceeded its authorized rate of return</w:t>
      </w:r>
      <w:r w:rsidRPr="00FD07C8">
        <w:t xml:space="preserve"> established in the 1985 general rate case, </w:t>
      </w:r>
      <w:r w:rsidRPr="00FD07C8">
        <w:rPr>
          <w:i/>
        </w:rPr>
        <w:t>should be refunded</w:t>
      </w:r>
      <w:r w:rsidRPr="00FD07C8">
        <w:t xml:space="preserve"> to U.S. West ratepayers.</w:t>
      </w:r>
      <w:r w:rsidR="00DD579E" w:rsidRPr="00FD07C8">
        <w:rPr>
          <w:rStyle w:val="FootnoteReference"/>
        </w:rPr>
        <w:footnoteReference w:id="76"/>
      </w:r>
    </w:p>
    <w:p w:rsidR="00B3385B" w:rsidRPr="00FD07C8" w:rsidRDefault="00B560E2" w:rsidP="00B560E2">
      <w:pPr>
        <w:pStyle w:val="ListParagraph"/>
        <w:numPr>
          <w:ilvl w:val="0"/>
          <w:numId w:val="12"/>
        </w:numPr>
        <w:tabs>
          <w:tab w:val="clear" w:pos="1440"/>
          <w:tab w:val="num" w:pos="720"/>
        </w:tabs>
        <w:spacing w:line="480" w:lineRule="auto"/>
        <w:ind w:left="0"/>
      </w:pPr>
      <w:r w:rsidRPr="00FD07C8">
        <w:tab/>
      </w:r>
      <w:r w:rsidR="00DD579E" w:rsidRPr="00FD07C8">
        <w:t>The c</w:t>
      </w:r>
      <w:r w:rsidR="00B3385B" w:rsidRPr="00FD07C8">
        <w:t>ourt clearly and explicitly recognized that application of exceptions to the rule against retroactive ratemaking is contingent on the level of utility earnings.</w:t>
      </w:r>
      <w:r w:rsidR="00DD579E" w:rsidRPr="00FD07C8">
        <w:t xml:space="preserve">  In this case, there is no factual dispute that the Company was under</w:t>
      </w:r>
      <w:r w:rsidR="00E35302" w:rsidRPr="00FD07C8">
        <w:t xml:space="preserve"> </w:t>
      </w:r>
      <w:r w:rsidR="00DD579E" w:rsidRPr="00FD07C8">
        <w:t>earning in 2009 and 2010.  As a result, even under Public Counsel’s justification for the exception for unforeseeable and significant revenues, there is no basis to include the past REC revenues in rates.</w:t>
      </w:r>
    </w:p>
    <w:p w:rsidR="006368D7" w:rsidRPr="00FD07C8" w:rsidRDefault="006368D7" w:rsidP="004F1D7F">
      <w:pPr>
        <w:pStyle w:val="Heading3"/>
      </w:pPr>
      <w:bookmarkStart w:id="73" w:name="_Toc309373942"/>
      <w:r w:rsidRPr="00FD07C8">
        <w:lastRenderedPageBreak/>
        <w:t>5.</w:t>
      </w:r>
      <w:r w:rsidRPr="00FD07C8">
        <w:tab/>
        <w:t xml:space="preserve">The </w:t>
      </w:r>
      <w:r w:rsidR="00871A0F" w:rsidRPr="00FD07C8">
        <w:t xml:space="preserve">Responding </w:t>
      </w:r>
      <w:r w:rsidRPr="00FD07C8">
        <w:t>Parties Cannot Rely on Deferred Accounting to Justify their Proposals.</w:t>
      </w:r>
      <w:bookmarkEnd w:id="73"/>
    </w:p>
    <w:p w:rsidR="006368D7" w:rsidRPr="00FD07C8" w:rsidRDefault="00B560E2" w:rsidP="008A3FA9">
      <w:pPr>
        <w:pStyle w:val="ListParagraph"/>
        <w:numPr>
          <w:ilvl w:val="0"/>
          <w:numId w:val="12"/>
        </w:numPr>
        <w:tabs>
          <w:tab w:val="clear" w:pos="1440"/>
          <w:tab w:val="num" w:pos="720"/>
        </w:tabs>
        <w:spacing w:line="480" w:lineRule="auto"/>
        <w:ind w:left="0"/>
        <w:rPr>
          <w:rFonts w:ascii="Times New Roman" w:hAnsi="Times New Roman"/>
          <w:szCs w:val="24"/>
        </w:rPr>
      </w:pPr>
      <w:r w:rsidRPr="00FD07C8">
        <w:tab/>
      </w:r>
      <w:r w:rsidR="00871A0F" w:rsidRPr="00FD07C8">
        <w:t>T</w:t>
      </w:r>
      <w:r w:rsidR="008A3FA9" w:rsidRPr="00FD07C8">
        <w:t xml:space="preserve">he Commission has previously recognized that deferred accounting can be used to track costs during one period with the possibility </w:t>
      </w:r>
      <w:r w:rsidR="008A3FA9" w:rsidRPr="00FD07C8">
        <w:rPr>
          <w:rFonts w:ascii="Times New Roman" w:hAnsi="Times New Roman"/>
          <w:szCs w:val="24"/>
        </w:rPr>
        <w:t>for</w:t>
      </w:r>
      <w:r w:rsidR="008A3FA9" w:rsidRPr="00FD07C8">
        <w:t xml:space="preserve"> inclusion in rates in a future period.</w:t>
      </w:r>
      <w:r w:rsidR="008A3FA9" w:rsidRPr="00FD07C8">
        <w:rPr>
          <w:rStyle w:val="FootnoteReference"/>
        </w:rPr>
        <w:footnoteReference w:id="77"/>
      </w:r>
      <w:r w:rsidR="008A3FA9" w:rsidRPr="00FD07C8">
        <w:t xml:space="preserve">  Staff and ICNU cite to the Commission’s use of deferred accounting as a basis for allowing the 2009 and 2010 REC revenues into rates in this case.</w:t>
      </w:r>
      <w:r w:rsidR="008A3FA9" w:rsidRPr="00FD07C8">
        <w:rPr>
          <w:rStyle w:val="FootnoteReference"/>
        </w:rPr>
        <w:footnoteReference w:id="78"/>
      </w:r>
      <w:r w:rsidR="008A3FA9" w:rsidRPr="00FD07C8">
        <w:t xml:space="preserve">  </w:t>
      </w:r>
      <w:r w:rsidR="006368D7" w:rsidRPr="00FD07C8">
        <w:rPr>
          <w:rFonts w:ascii="Times New Roman" w:hAnsi="Times New Roman"/>
          <w:szCs w:val="24"/>
        </w:rPr>
        <w:t xml:space="preserve">The key difference </w:t>
      </w:r>
      <w:r w:rsidR="008A3FA9" w:rsidRPr="00FD07C8">
        <w:rPr>
          <w:rFonts w:ascii="Times New Roman" w:hAnsi="Times New Roman"/>
          <w:szCs w:val="24"/>
        </w:rPr>
        <w:t xml:space="preserve">between the examples of deferred accounting cited by Staff and ICNU </w:t>
      </w:r>
      <w:r w:rsidR="00A3656B" w:rsidRPr="00FD07C8">
        <w:rPr>
          <w:rFonts w:ascii="Times New Roman" w:hAnsi="Times New Roman"/>
          <w:szCs w:val="24"/>
        </w:rPr>
        <w:t>and this case is that the Commission has not previously allowed for deferred accounting absent notice of a deferred accounting request, and in fact has emphasized the importance of notice.</w:t>
      </w:r>
      <w:r w:rsidR="00A3656B" w:rsidRPr="00FD07C8">
        <w:rPr>
          <w:rStyle w:val="FootnoteReference"/>
          <w:rFonts w:ascii="Times New Roman" w:hAnsi="Times New Roman"/>
          <w:szCs w:val="24"/>
        </w:rPr>
        <w:footnoteReference w:id="79"/>
      </w:r>
      <w:r w:rsidR="00A3656B" w:rsidRPr="00FD07C8">
        <w:rPr>
          <w:rFonts w:ascii="Times New Roman" w:hAnsi="Times New Roman"/>
          <w:szCs w:val="24"/>
        </w:rPr>
        <w:t xml:space="preserve">  </w:t>
      </w:r>
    </w:p>
    <w:p w:rsidR="005239B3" w:rsidRPr="00FD07C8" w:rsidRDefault="00B560E2" w:rsidP="005239B3">
      <w:pPr>
        <w:pStyle w:val="ListParagraph"/>
        <w:numPr>
          <w:ilvl w:val="0"/>
          <w:numId w:val="12"/>
        </w:numPr>
        <w:tabs>
          <w:tab w:val="clear" w:pos="1440"/>
          <w:tab w:val="num" w:pos="720"/>
        </w:tabs>
        <w:spacing w:line="480" w:lineRule="auto"/>
        <w:ind w:left="0"/>
        <w:rPr>
          <w:rFonts w:ascii="Times New Roman" w:eastAsia="Calibri" w:hAnsi="Times New Roman"/>
          <w:szCs w:val="24"/>
        </w:rPr>
      </w:pPr>
      <w:r w:rsidRPr="00FD07C8">
        <w:rPr>
          <w:rFonts w:ascii="Times New Roman" w:hAnsi="Times New Roman"/>
          <w:szCs w:val="24"/>
        </w:rPr>
        <w:tab/>
      </w:r>
      <w:r w:rsidR="006368D7" w:rsidRPr="00FD07C8">
        <w:rPr>
          <w:rFonts w:ascii="Times New Roman" w:hAnsi="Times New Roman"/>
          <w:szCs w:val="24"/>
        </w:rPr>
        <w:t>ICNU claims that not</w:t>
      </w:r>
      <w:r w:rsidR="00A3656B" w:rsidRPr="00FD07C8">
        <w:rPr>
          <w:rFonts w:ascii="Times New Roman" w:hAnsi="Times New Roman"/>
          <w:szCs w:val="24"/>
        </w:rPr>
        <w:t>ice is not required for deferred accounting requested by non-utility parties</w:t>
      </w:r>
      <w:r w:rsidR="006368D7" w:rsidRPr="00FD07C8">
        <w:rPr>
          <w:rFonts w:ascii="Times New Roman" w:hAnsi="Times New Roman"/>
          <w:szCs w:val="24"/>
        </w:rPr>
        <w:t>.</w:t>
      </w:r>
      <w:r w:rsidR="00A3656B" w:rsidRPr="00FD07C8">
        <w:rPr>
          <w:rStyle w:val="FootnoteReference"/>
          <w:rFonts w:ascii="Times New Roman" w:hAnsi="Times New Roman"/>
          <w:szCs w:val="24"/>
        </w:rPr>
        <w:footnoteReference w:id="80"/>
      </w:r>
      <w:r w:rsidR="00A3656B" w:rsidRPr="00FD07C8">
        <w:rPr>
          <w:rFonts w:ascii="Times New Roman" w:hAnsi="Times New Roman"/>
          <w:szCs w:val="24"/>
        </w:rPr>
        <w:t xml:space="preserve">  </w:t>
      </w:r>
      <w:r w:rsidR="005239B3" w:rsidRPr="00FD07C8">
        <w:rPr>
          <w:rFonts w:ascii="Times New Roman" w:hAnsi="Times New Roman"/>
          <w:szCs w:val="24"/>
        </w:rPr>
        <w:t xml:space="preserve">Although ICNU </w:t>
      </w:r>
      <w:r w:rsidR="001913D6" w:rsidRPr="00FD07C8">
        <w:rPr>
          <w:rFonts w:ascii="Times New Roman" w:hAnsi="Times New Roman"/>
          <w:szCs w:val="24"/>
        </w:rPr>
        <w:t>cites</w:t>
      </w:r>
      <w:r w:rsidR="005239B3" w:rsidRPr="00FD07C8">
        <w:rPr>
          <w:rFonts w:ascii="Times New Roman" w:hAnsi="Times New Roman"/>
          <w:szCs w:val="24"/>
        </w:rPr>
        <w:t xml:space="preserve"> a Commission order </w:t>
      </w:r>
      <w:r w:rsidR="001913D6" w:rsidRPr="00FD07C8">
        <w:rPr>
          <w:rFonts w:ascii="Times New Roman" w:hAnsi="Times New Roman"/>
          <w:szCs w:val="24"/>
        </w:rPr>
        <w:t>purportedly in support of</w:t>
      </w:r>
      <w:r w:rsidR="005239B3" w:rsidRPr="00FD07C8">
        <w:rPr>
          <w:rFonts w:ascii="Times New Roman" w:hAnsi="Times New Roman"/>
          <w:szCs w:val="24"/>
        </w:rPr>
        <w:t xml:space="preserve"> th</w:t>
      </w:r>
      <w:r w:rsidR="001913D6" w:rsidRPr="00FD07C8">
        <w:rPr>
          <w:rFonts w:ascii="Times New Roman" w:hAnsi="Times New Roman"/>
          <w:szCs w:val="24"/>
        </w:rPr>
        <w:t>is</w:t>
      </w:r>
      <w:r w:rsidR="005239B3" w:rsidRPr="00FD07C8">
        <w:rPr>
          <w:rFonts w:ascii="Times New Roman" w:hAnsi="Times New Roman"/>
          <w:szCs w:val="24"/>
        </w:rPr>
        <w:t xml:space="preserve"> proposition</w:t>
      </w:r>
      <w:r w:rsidR="001913D6" w:rsidRPr="00FD07C8">
        <w:rPr>
          <w:rFonts w:ascii="Times New Roman" w:hAnsi="Times New Roman"/>
          <w:szCs w:val="24"/>
        </w:rPr>
        <w:t>,</w:t>
      </w:r>
      <w:r w:rsidR="005239B3" w:rsidRPr="00FD07C8">
        <w:rPr>
          <w:rFonts w:ascii="Times New Roman" w:hAnsi="Times New Roman"/>
          <w:szCs w:val="24"/>
        </w:rPr>
        <w:t xml:space="preserve"> the order referenced by ICNU does not stand for that proposition, nor does any other Commission order.  The Commission should not adopt ICNU’s proposal, as it would </w:t>
      </w:r>
      <w:r w:rsidR="001913D6" w:rsidRPr="00FD07C8">
        <w:rPr>
          <w:rFonts w:ascii="Times New Roman" w:hAnsi="Times New Roman"/>
          <w:szCs w:val="24"/>
        </w:rPr>
        <w:t>effectively</w:t>
      </w:r>
      <w:r w:rsidR="005239B3" w:rsidRPr="00FD07C8">
        <w:rPr>
          <w:rFonts w:ascii="Times New Roman" w:hAnsi="Times New Roman"/>
          <w:szCs w:val="24"/>
        </w:rPr>
        <w:t xml:space="preserve"> eliminate the rule against retroactive ratemaking as applied to revenues, but maintain it as applied to costs.  Such a result </w:t>
      </w:r>
      <w:r w:rsidR="006368D7" w:rsidRPr="00FD07C8">
        <w:rPr>
          <w:rFonts w:ascii="Times New Roman" w:hAnsi="Times New Roman"/>
          <w:szCs w:val="24"/>
        </w:rPr>
        <w:t xml:space="preserve">is at odds with </w:t>
      </w:r>
      <w:r w:rsidR="005239B3" w:rsidRPr="00FD07C8">
        <w:t xml:space="preserve">the Commission’s mission to regulate with “certainty, consistency, and </w:t>
      </w:r>
      <w:r w:rsidR="005239B3" w:rsidRPr="00FD07C8">
        <w:rPr>
          <w:rFonts w:ascii="Times New Roman" w:hAnsi="Times New Roman"/>
          <w:szCs w:val="24"/>
        </w:rPr>
        <w:t>fairness</w:t>
      </w:r>
      <w:r w:rsidR="005239B3" w:rsidRPr="00FD07C8">
        <w:t xml:space="preserve"> to both utility companies and their customers.”</w:t>
      </w:r>
      <w:r w:rsidR="005239B3" w:rsidRPr="00FD07C8">
        <w:rPr>
          <w:rStyle w:val="FootnoteReference"/>
        </w:rPr>
        <w:footnoteReference w:id="81"/>
      </w:r>
      <w:r w:rsidR="005239B3" w:rsidRPr="00FD07C8">
        <w:t xml:space="preserve">  </w:t>
      </w:r>
      <w:r w:rsidR="005444A9" w:rsidRPr="00FD07C8">
        <w:t xml:space="preserve">Allowing for unnoticed deferred accounting of revenues but not costs would also be </w:t>
      </w:r>
      <w:r w:rsidR="005239B3" w:rsidRPr="00FD07C8">
        <w:t xml:space="preserve">at odds with </w:t>
      </w:r>
      <w:r w:rsidR="00A36793" w:rsidRPr="00FD07C8">
        <w:fldChar w:fldCharType="begin"/>
      </w:r>
      <w:r w:rsidR="00CC6CF0" w:rsidRPr="00FD07C8">
        <w:instrText xml:space="preserve"> ADDIN BA \xc &lt;@ocsn&gt; \xl 18 \s NSKEHB000094 \l "</w:instrText>
      </w:r>
      <w:r w:rsidR="00CC6CF0" w:rsidRPr="00FD07C8">
        <w:rPr>
          <w:i/>
        </w:rPr>
        <w:instrText>Duquesne v. Barach</w:instrText>
      </w:r>
      <w:r w:rsidR="00CC6CF0" w:rsidRPr="00FD07C8">
        <w:instrText xml:space="preserve">" </w:instrText>
      </w:r>
      <w:r w:rsidR="00A36793" w:rsidRPr="00FD07C8">
        <w:fldChar w:fldCharType="end"/>
      </w:r>
      <w:bookmarkStart w:id="76" w:name="_BA_Cite_122"/>
      <w:r w:rsidR="005444A9" w:rsidRPr="00FD07C8">
        <w:rPr>
          <w:i/>
        </w:rPr>
        <w:t xml:space="preserve">Duquesne v. </w:t>
      </w:r>
      <w:proofErr w:type="spellStart"/>
      <w:r w:rsidR="005444A9" w:rsidRPr="00FD07C8">
        <w:rPr>
          <w:i/>
        </w:rPr>
        <w:t>Barach</w:t>
      </w:r>
      <w:bookmarkEnd w:id="76"/>
      <w:proofErr w:type="spellEnd"/>
      <w:r w:rsidR="005444A9" w:rsidRPr="00FD07C8">
        <w:t xml:space="preserve">, because </w:t>
      </w:r>
      <w:r w:rsidR="00277070" w:rsidRPr="00FD07C8">
        <w:t>it would require the utility to bear the risk of increased costs, but would result in the utility returning increased revenues to customers</w:t>
      </w:r>
      <w:r w:rsidR="005239B3" w:rsidRPr="00FD07C8">
        <w:rPr>
          <w:rFonts w:ascii="Times New Roman" w:hAnsi="Times New Roman"/>
          <w:szCs w:val="24"/>
        </w:rPr>
        <w:t>.</w:t>
      </w:r>
      <w:r w:rsidR="005239B3" w:rsidRPr="00FD07C8">
        <w:rPr>
          <w:rStyle w:val="FootnoteReference"/>
          <w:rFonts w:ascii="Times New Roman" w:hAnsi="Times New Roman"/>
          <w:szCs w:val="24"/>
        </w:rPr>
        <w:footnoteReference w:id="82"/>
      </w:r>
      <w:r w:rsidR="005239B3" w:rsidRPr="00FD07C8">
        <w:rPr>
          <w:rFonts w:ascii="Times New Roman" w:hAnsi="Times New Roman"/>
          <w:szCs w:val="24"/>
        </w:rPr>
        <w:t xml:space="preserve">  </w:t>
      </w:r>
    </w:p>
    <w:p w:rsidR="006368D7" w:rsidRPr="00FD07C8" w:rsidRDefault="00B560E2" w:rsidP="008A3FA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5239B3" w:rsidRPr="00FD07C8">
        <w:rPr>
          <w:rFonts w:ascii="Times New Roman" w:hAnsi="Times New Roman"/>
          <w:szCs w:val="24"/>
        </w:rPr>
        <w:t xml:space="preserve">ICNU’s claim is also at odds with </w:t>
      </w:r>
      <w:r w:rsidR="006368D7" w:rsidRPr="00FD07C8">
        <w:rPr>
          <w:rFonts w:ascii="Times New Roman" w:hAnsi="Times New Roman"/>
          <w:szCs w:val="24"/>
        </w:rPr>
        <w:t xml:space="preserve">ICNU’s representation in the 2009 GRC stipulation that set forth a baseline to be used if a party files an application for deferral. </w:t>
      </w:r>
      <w:r w:rsidR="00A3656B" w:rsidRPr="00FD07C8">
        <w:rPr>
          <w:rFonts w:ascii="Times New Roman" w:hAnsi="Times New Roman"/>
          <w:szCs w:val="24"/>
        </w:rPr>
        <w:t xml:space="preserve"> If ICNU understood </w:t>
      </w:r>
      <w:r w:rsidR="005239B3" w:rsidRPr="00FD07C8">
        <w:rPr>
          <w:rFonts w:ascii="Times New Roman" w:hAnsi="Times New Roman"/>
          <w:szCs w:val="24"/>
        </w:rPr>
        <w:t xml:space="preserve">at the time of the 2009 GRC stipulation that a request for deferred accounting </w:t>
      </w:r>
      <w:r w:rsidR="00277070" w:rsidRPr="00FD07C8">
        <w:rPr>
          <w:rFonts w:ascii="Times New Roman" w:hAnsi="Times New Roman"/>
          <w:szCs w:val="24"/>
        </w:rPr>
        <w:t>was not necessary for parties to request retroactive recovery of 2010 REC revenues, there would have been no need to call the issue out in the stipulation.  Indeed, this is the first time ICNU has made the argument that a non-utility party is not required to provide notice of a request for deferred accounting.</w:t>
      </w:r>
    </w:p>
    <w:p w:rsidR="001913D6" w:rsidRPr="00FD07C8" w:rsidRDefault="00B560E2" w:rsidP="008A3FA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6368D7" w:rsidRPr="00FD07C8">
        <w:rPr>
          <w:rFonts w:ascii="Times New Roman" w:hAnsi="Times New Roman"/>
          <w:szCs w:val="24"/>
        </w:rPr>
        <w:t xml:space="preserve">Public Counsel </w:t>
      </w:r>
      <w:r w:rsidR="009D5F02" w:rsidRPr="00FD07C8">
        <w:rPr>
          <w:rFonts w:ascii="Times New Roman" w:hAnsi="Times New Roman"/>
          <w:szCs w:val="24"/>
        </w:rPr>
        <w:t xml:space="preserve">also </w:t>
      </w:r>
      <w:r w:rsidR="006368D7" w:rsidRPr="00FD07C8">
        <w:rPr>
          <w:rFonts w:ascii="Times New Roman" w:hAnsi="Times New Roman"/>
          <w:szCs w:val="24"/>
        </w:rPr>
        <w:t xml:space="preserve">claims that the parties were not privy to information that would form the basis of a </w:t>
      </w:r>
      <w:r w:rsidR="009D5F02" w:rsidRPr="00FD07C8">
        <w:rPr>
          <w:rFonts w:ascii="Times New Roman" w:hAnsi="Times New Roman"/>
          <w:szCs w:val="24"/>
        </w:rPr>
        <w:t>deferred accounting request</w:t>
      </w:r>
      <w:r w:rsidR="006368D7" w:rsidRPr="00FD07C8">
        <w:rPr>
          <w:rFonts w:ascii="Times New Roman" w:hAnsi="Times New Roman"/>
          <w:szCs w:val="24"/>
        </w:rPr>
        <w:t>.</w:t>
      </w:r>
      <w:r w:rsidR="009D5F02" w:rsidRPr="00FD07C8">
        <w:rPr>
          <w:rStyle w:val="FootnoteReference"/>
          <w:rFonts w:ascii="Times New Roman" w:hAnsi="Times New Roman"/>
          <w:szCs w:val="24"/>
        </w:rPr>
        <w:footnoteReference w:id="83"/>
      </w:r>
      <w:r w:rsidR="009D5F02" w:rsidRPr="00FD07C8">
        <w:rPr>
          <w:rFonts w:ascii="Times New Roman" w:hAnsi="Times New Roman"/>
          <w:szCs w:val="24"/>
        </w:rPr>
        <w:t xml:space="preserve">  Public Counsel continues to claim that “it was not until July 28, 2010, that the REC reports showed the jump in revenue</w:t>
      </w:r>
      <w:r w:rsidR="001913D6" w:rsidRPr="00FD07C8">
        <w:rPr>
          <w:rFonts w:ascii="Times New Roman" w:hAnsi="Times New Roman"/>
          <w:szCs w:val="24"/>
        </w:rPr>
        <w:t>s that occurred in October 2009.</w:t>
      </w:r>
      <w:r w:rsidR="00A3344F" w:rsidRPr="00FD07C8">
        <w:rPr>
          <w:rFonts w:ascii="Times New Roman" w:hAnsi="Times New Roman"/>
          <w:szCs w:val="24"/>
        </w:rPr>
        <w:t>”</w:t>
      </w:r>
      <w:r w:rsidR="009D5F02" w:rsidRPr="00FD07C8">
        <w:rPr>
          <w:rStyle w:val="FootnoteReference"/>
          <w:rFonts w:ascii="Times New Roman" w:hAnsi="Times New Roman"/>
          <w:szCs w:val="24"/>
        </w:rPr>
        <w:footnoteReference w:id="84"/>
      </w:r>
      <w:r w:rsidR="009D5F02" w:rsidRPr="00FD07C8">
        <w:rPr>
          <w:rFonts w:ascii="Times New Roman" w:hAnsi="Times New Roman"/>
          <w:szCs w:val="24"/>
        </w:rPr>
        <w:t xml:space="preserve">  </w:t>
      </w:r>
      <w:r w:rsidR="001913D6" w:rsidRPr="00FD07C8">
        <w:rPr>
          <w:rFonts w:ascii="Times New Roman" w:hAnsi="Times New Roman"/>
          <w:szCs w:val="24"/>
        </w:rPr>
        <w:t xml:space="preserve">As addressed above, all of the Responding Parties were aware of PacifiCorp’s REC sale to SCE by </w:t>
      </w:r>
      <w:r w:rsidR="00F17927" w:rsidRPr="00FD07C8">
        <w:rPr>
          <w:rFonts w:ascii="Times New Roman" w:hAnsi="Times New Roman"/>
          <w:szCs w:val="24"/>
        </w:rPr>
        <w:t>January</w:t>
      </w:r>
      <w:r w:rsidR="001913D6" w:rsidRPr="00FD07C8">
        <w:rPr>
          <w:rFonts w:ascii="Times New Roman" w:hAnsi="Times New Roman"/>
          <w:szCs w:val="24"/>
        </w:rPr>
        <w:t xml:space="preserve"> 2010 when ICNU provided testimony on it in the Puget REC proceeding.  </w:t>
      </w:r>
    </w:p>
    <w:p w:rsidR="006368D7" w:rsidRPr="00FD07C8" w:rsidRDefault="00B560E2" w:rsidP="008A3FA9">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D06E5C" w:rsidRPr="00FD07C8">
        <w:rPr>
          <w:rFonts w:ascii="Times New Roman" w:hAnsi="Times New Roman"/>
          <w:szCs w:val="24"/>
        </w:rPr>
        <w:t>In addition, as Public Counsel itself points out, p</w:t>
      </w:r>
      <w:r w:rsidR="006368D7" w:rsidRPr="00FD07C8">
        <w:rPr>
          <w:rFonts w:ascii="Times New Roman" w:hAnsi="Times New Roman"/>
          <w:szCs w:val="24"/>
        </w:rPr>
        <w:t xml:space="preserve">arties </w:t>
      </w:r>
      <w:r w:rsidR="001913D6" w:rsidRPr="00FD07C8">
        <w:rPr>
          <w:rFonts w:ascii="Times New Roman" w:hAnsi="Times New Roman"/>
          <w:szCs w:val="24"/>
        </w:rPr>
        <w:t xml:space="preserve">(including ICNU) </w:t>
      </w:r>
      <w:r w:rsidR="006368D7" w:rsidRPr="00FD07C8">
        <w:rPr>
          <w:rFonts w:ascii="Times New Roman" w:hAnsi="Times New Roman"/>
          <w:szCs w:val="24"/>
        </w:rPr>
        <w:t xml:space="preserve">filed for deferred accounting </w:t>
      </w:r>
      <w:r w:rsidR="00D06E5C" w:rsidRPr="00FD07C8">
        <w:rPr>
          <w:rFonts w:ascii="Times New Roman" w:hAnsi="Times New Roman"/>
          <w:szCs w:val="24"/>
        </w:rPr>
        <w:t xml:space="preserve">of REC revenues </w:t>
      </w:r>
      <w:r w:rsidR="006368D7" w:rsidRPr="00FD07C8">
        <w:rPr>
          <w:rFonts w:ascii="Times New Roman" w:hAnsi="Times New Roman"/>
          <w:szCs w:val="24"/>
        </w:rPr>
        <w:t>in Oregon and Utah.</w:t>
      </w:r>
      <w:r w:rsidR="00244865" w:rsidRPr="00FD07C8">
        <w:rPr>
          <w:rStyle w:val="FootnoteReference"/>
          <w:rFonts w:ascii="Times New Roman" w:hAnsi="Times New Roman"/>
          <w:szCs w:val="24"/>
        </w:rPr>
        <w:footnoteReference w:id="85"/>
      </w:r>
      <w:r w:rsidR="00244865" w:rsidRPr="00FD07C8">
        <w:rPr>
          <w:rFonts w:ascii="Times New Roman" w:hAnsi="Times New Roman"/>
          <w:szCs w:val="24"/>
        </w:rPr>
        <w:t xml:space="preserve">  If those parties were aware of the need to file for deferred accounting of REC revenues, there is no reason why the parties in this case should not have been aware, especially given their recognition in the 2009 GRC stipulation that such a request </w:t>
      </w:r>
      <w:r w:rsidR="001913D6" w:rsidRPr="00FD07C8">
        <w:rPr>
          <w:rFonts w:ascii="Times New Roman" w:hAnsi="Times New Roman"/>
          <w:szCs w:val="24"/>
        </w:rPr>
        <w:t>could</w:t>
      </w:r>
      <w:r w:rsidR="00244865" w:rsidRPr="00FD07C8">
        <w:rPr>
          <w:rFonts w:ascii="Times New Roman" w:hAnsi="Times New Roman"/>
          <w:szCs w:val="24"/>
        </w:rPr>
        <w:t xml:space="preserve"> occur in the future.</w:t>
      </w:r>
    </w:p>
    <w:p w:rsidR="00277070" w:rsidRPr="00FD07C8" w:rsidRDefault="00B560E2" w:rsidP="003F2FC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244865" w:rsidRPr="00FD07C8">
        <w:rPr>
          <w:rFonts w:ascii="Times New Roman" w:hAnsi="Times New Roman"/>
          <w:szCs w:val="24"/>
        </w:rPr>
        <w:t xml:space="preserve">With respect to the 2009 GRC stipulation, </w:t>
      </w:r>
      <w:r w:rsidR="00277070" w:rsidRPr="00FD07C8">
        <w:rPr>
          <w:rFonts w:ascii="Times New Roman" w:hAnsi="Times New Roman"/>
          <w:szCs w:val="24"/>
        </w:rPr>
        <w:t xml:space="preserve">Staff claims that Staff is “implementing” the </w:t>
      </w:r>
      <w:r w:rsidR="00244865" w:rsidRPr="00FD07C8">
        <w:rPr>
          <w:rFonts w:ascii="Times New Roman" w:hAnsi="Times New Roman"/>
          <w:szCs w:val="24"/>
        </w:rPr>
        <w:t xml:space="preserve">stipulation </w:t>
      </w:r>
      <w:r w:rsidR="00277070" w:rsidRPr="00FD07C8">
        <w:rPr>
          <w:rFonts w:ascii="Times New Roman" w:hAnsi="Times New Roman"/>
          <w:szCs w:val="24"/>
        </w:rPr>
        <w:t>by proposing retroactive recovery of 2010 RECs.</w:t>
      </w:r>
      <w:r w:rsidR="00244865" w:rsidRPr="00FD07C8">
        <w:rPr>
          <w:rStyle w:val="FootnoteReference"/>
          <w:rFonts w:ascii="Times New Roman" w:hAnsi="Times New Roman"/>
          <w:szCs w:val="24"/>
        </w:rPr>
        <w:footnoteReference w:id="86"/>
      </w:r>
      <w:r w:rsidR="003F2FC2" w:rsidRPr="00FD07C8">
        <w:rPr>
          <w:rFonts w:ascii="Times New Roman" w:hAnsi="Times New Roman"/>
          <w:szCs w:val="24"/>
        </w:rPr>
        <w:t xml:space="preserve">  But Staff still has not explained </w:t>
      </w:r>
      <w:r w:rsidR="00277070" w:rsidRPr="00FD07C8">
        <w:rPr>
          <w:rFonts w:ascii="Times New Roman" w:hAnsi="Times New Roman"/>
          <w:szCs w:val="24"/>
        </w:rPr>
        <w:t xml:space="preserve">why the stipulation includes specific reference to deferred accounting and a REC revenue baseline if </w:t>
      </w:r>
      <w:r w:rsidR="00A6059E" w:rsidRPr="00FD07C8">
        <w:rPr>
          <w:rFonts w:ascii="Times New Roman" w:hAnsi="Times New Roman"/>
          <w:szCs w:val="24"/>
        </w:rPr>
        <w:t>a request for deferred accounting was</w:t>
      </w:r>
      <w:r w:rsidR="00277070" w:rsidRPr="00FD07C8">
        <w:rPr>
          <w:rFonts w:ascii="Times New Roman" w:hAnsi="Times New Roman"/>
          <w:szCs w:val="24"/>
        </w:rPr>
        <w:t xml:space="preserve"> not required for retroactive recovery</w:t>
      </w:r>
      <w:r w:rsidR="003F2FC2" w:rsidRPr="00FD07C8">
        <w:rPr>
          <w:rFonts w:ascii="Times New Roman" w:hAnsi="Times New Roman"/>
          <w:szCs w:val="24"/>
        </w:rPr>
        <w:t xml:space="preserve"> of REC revenues</w:t>
      </w:r>
      <w:r w:rsidR="00277070" w:rsidRPr="00FD07C8">
        <w:rPr>
          <w:rFonts w:ascii="Times New Roman" w:hAnsi="Times New Roman"/>
          <w:szCs w:val="24"/>
        </w:rPr>
        <w:t>.</w:t>
      </w:r>
      <w:r w:rsidR="003F2FC2" w:rsidRPr="00FD07C8">
        <w:rPr>
          <w:rFonts w:ascii="Times New Roman" w:hAnsi="Times New Roman"/>
          <w:szCs w:val="24"/>
        </w:rPr>
        <w:t xml:space="preserve">  Although the language stated that parties could “</w:t>
      </w:r>
      <w:r w:rsidR="003F2FC2" w:rsidRPr="00FD07C8">
        <w:rPr>
          <w:rFonts w:eastAsia="Calibri"/>
        </w:rPr>
        <w:t xml:space="preserve">request that the Commission take any </w:t>
      </w:r>
      <w:r w:rsidR="003F2FC2" w:rsidRPr="00FD07C8">
        <w:rPr>
          <w:rFonts w:eastAsia="Calibri"/>
        </w:rPr>
        <w:lastRenderedPageBreak/>
        <w:t xml:space="preserve">other action regarding PacifiCorp’s Washington-allocated RECs,” the specific reference to deferred accounting indicates that the parties understood that such a request would </w:t>
      </w:r>
      <w:r w:rsidR="00135168" w:rsidRPr="00FD07C8">
        <w:rPr>
          <w:rFonts w:eastAsia="Calibri"/>
        </w:rPr>
        <w:t>be required.  Staff’s disavowal of the import of the reference to deferred accounting in the stipulation is disingenuous.</w:t>
      </w:r>
    </w:p>
    <w:p w:rsidR="00F31F3D" w:rsidRPr="00FD07C8" w:rsidRDefault="00B560E2" w:rsidP="003F2FC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eastAsia="Calibri"/>
        </w:rPr>
        <w:tab/>
      </w:r>
      <w:r w:rsidR="00F31F3D" w:rsidRPr="00FD07C8">
        <w:rPr>
          <w:rFonts w:eastAsia="Calibri"/>
        </w:rPr>
        <w:t>Finally, the Commission has explicitly held that it cannot “reach back in time to alter the tariffed rate under which [the utility] operated by recognizing a deferral that was neither authorized nor recorded.”</w:t>
      </w:r>
      <w:r w:rsidR="00F31F3D" w:rsidRPr="00FD07C8">
        <w:rPr>
          <w:rStyle w:val="FootnoteReference"/>
          <w:rFonts w:eastAsia="Calibri"/>
        </w:rPr>
        <w:footnoteReference w:id="87"/>
      </w:r>
      <w:r w:rsidR="00F31F3D" w:rsidRPr="00FD07C8">
        <w:rPr>
          <w:rFonts w:eastAsia="Calibri"/>
        </w:rPr>
        <w:t xml:space="preserve">  The Commission found that doing so would be retroactive ratemaking and illegal.  The </w:t>
      </w:r>
      <w:r w:rsidR="00A6059E" w:rsidRPr="00FD07C8">
        <w:rPr>
          <w:rFonts w:eastAsia="Calibri"/>
        </w:rPr>
        <w:t>Responding Parties</w:t>
      </w:r>
      <w:r w:rsidR="00F31F3D" w:rsidRPr="00FD07C8">
        <w:rPr>
          <w:rFonts w:eastAsia="Calibri"/>
        </w:rPr>
        <w:t xml:space="preserve"> are asking the Commission to recognize a deferral that was neither authorized nor recorded in this case, and the Commission should similarly reject their proposals as illegal retroactive ratemaking.</w:t>
      </w:r>
    </w:p>
    <w:p w:rsidR="0036717E" w:rsidRPr="00FD07C8" w:rsidRDefault="0092423D" w:rsidP="004F1D7F">
      <w:pPr>
        <w:pStyle w:val="Heading3"/>
      </w:pPr>
      <w:bookmarkStart w:id="79" w:name="_Toc309373943"/>
      <w:r w:rsidRPr="00FD07C8">
        <w:t>6</w:t>
      </w:r>
      <w:r w:rsidR="003A77A0" w:rsidRPr="00FD07C8">
        <w:t>.</w:t>
      </w:r>
      <w:r w:rsidR="003A77A0" w:rsidRPr="00FD07C8">
        <w:tab/>
      </w:r>
      <w:r w:rsidR="0059264A" w:rsidRPr="00FD07C8">
        <w:t xml:space="preserve">The Other Orders Cited by </w:t>
      </w:r>
      <w:r w:rsidR="0036717E" w:rsidRPr="00FD07C8">
        <w:t xml:space="preserve">Staff </w:t>
      </w:r>
      <w:r w:rsidR="0059264A" w:rsidRPr="00FD07C8">
        <w:t>Do Not Support the Argument that Retroactive Recovery of REC Revenues is Appropriate</w:t>
      </w:r>
      <w:r w:rsidR="0036717E" w:rsidRPr="00FD07C8">
        <w:t>.</w:t>
      </w:r>
      <w:bookmarkEnd w:id="79"/>
    </w:p>
    <w:p w:rsidR="00135168" w:rsidRPr="00FD07C8" w:rsidRDefault="00B560E2" w:rsidP="00135168">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135168" w:rsidRPr="00FD07C8">
        <w:rPr>
          <w:rFonts w:ascii="Times New Roman" w:hAnsi="Times New Roman"/>
          <w:szCs w:val="24"/>
        </w:rPr>
        <w:t>Staff cites to a number of other orders to support the argument that retroactive recovery of RECs is appropriate, none of which stand for the proposition that allowing three years of revenues in a single rate effective period is appropriate absent a request for deferred accounting.</w:t>
      </w:r>
    </w:p>
    <w:p w:rsidR="0036717E" w:rsidRPr="00FD07C8" w:rsidRDefault="000C1F43" w:rsidP="00255A4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 xml:space="preserve">Staff first cites to power cost adjustment </w:t>
      </w:r>
      <w:r w:rsidR="00135168" w:rsidRPr="00FD07C8">
        <w:rPr>
          <w:rFonts w:ascii="Times New Roman" w:hAnsi="Times New Roman"/>
          <w:szCs w:val="24"/>
        </w:rPr>
        <w:t xml:space="preserve">(PCA) </w:t>
      </w:r>
      <w:r w:rsidR="0036717E" w:rsidRPr="00FD07C8">
        <w:rPr>
          <w:rFonts w:ascii="Times New Roman" w:hAnsi="Times New Roman"/>
          <w:szCs w:val="24"/>
        </w:rPr>
        <w:t>tariffs.</w:t>
      </w:r>
      <w:r w:rsidR="00135168" w:rsidRPr="00FD07C8">
        <w:rPr>
          <w:rStyle w:val="FootnoteReference"/>
          <w:rFonts w:ascii="Times New Roman" w:hAnsi="Times New Roman"/>
          <w:szCs w:val="24"/>
        </w:rPr>
        <w:footnoteReference w:id="88"/>
      </w:r>
      <w:r w:rsidR="00135168" w:rsidRPr="00FD07C8">
        <w:rPr>
          <w:rFonts w:ascii="Times New Roman" w:hAnsi="Times New Roman"/>
          <w:szCs w:val="24"/>
        </w:rPr>
        <w:t xml:space="preserve">  </w:t>
      </w:r>
      <w:r w:rsidR="0036717E" w:rsidRPr="00FD07C8">
        <w:rPr>
          <w:rFonts w:ascii="Times New Roman" w:hAnsi="Times New Roman"/>
          <w:szCs w:val="24"/>
        </w:rPr>
        <w:t>These mechanisms have two crucial elements that are absent from Staff’s, Public Counsel’s, and ICNU’s proposals</w:t>
      </w:r>
      <w:r w:rsidR="00135168" w:rsidRPr="00FD07C8">
        <w:rPr>
          <w:rFonts w:ascii="Times New Roman" w:hAnsi="Times New Roman"/>
          <w:szCs w:val="24"/>
        </w:rPr>
        <w:t xml:space="preserve"> in this case</w:t>
      </w:r>
      <w:r w:rsidR="0036717E" w:rsidRPr="00FD07C8">
        <w:rPr>
          <w:rFonts w:ascii="Times New Roman" w:hAnsi="Times New Roman"/>
          <w:szCs w:val="24"/>
        </w:rPr>
        <w:t>:  the</w:t>
      </w:r>
      <w:r w:rsidR="00135168" w:rsidRPr="00FD07C8">
        <w:rPr>
          <w:rFonts w:ascii="Times New Roman" w:hAnsi="Times New Roman"/>
          <w:szCs w:val="24"/>
        </w:rPr>
        <w:t>y</w:t>
      </w:r>
      <w:r w:rsidR="0036717E" w:rsidRPr="00FD07C8">
        <w:rPr>
          <w:rFonts w:ascii="Times New Roman" w:hAnsi="Times New Roman"/>
          <w:szCs w:val="24"/>
        </w:rPr>
        <w:t xml:space="preserve"> are implemented on a going-forward basis and they are symmetrical.</w:t>
      </w:r>
      <w:r w:rsidR="00255A42" w:rsidRPr="00FD07C8">
        <w:rPr>
          <w:rStyle w:val="FootnoteReference"/>
          <w:rFonts w:ascii="Times New Roman" w:hAnsi="Times New Roman"/>
          <w:szCs w:val="24"/>
        </w:rPr>
        <w:footnoteReference w:id="89"/>
      </w:r>
      <w:r w:rsidR="00135168" w:rsidRPr="00FD07C8">
        <w:rPr>
          <w:rFonts w:ascii="Times New Roman" w:hAnsi="Times New Roman"/>
          <w:szCs w:val="24"/>
        </w:rPr>
        <w:t xml:space="preserve">  </w:t>
      </w:r>
      <w:r w:rsidR="0036717E" w:rsidRPr="00FD07C8">
        <w:rPr>
          <w:rFonts w:ascii="Times New Roman" w:hAnsi="Times New Roman"/>
          <w:szCs w:val="24"/>
        </w:rPr>
        <w:t>PCAs operate like the Commission’s going-forward REC</w:t>
      </w:r>
      <w:r w:rsidR="000E3658">
        <w:rPr>
          <w:rFonts w:ascii="Times New Roman" w:hAnsi="Times New Roman"/>
          <w:szCs w:val="24"/>
        </w:rPr>
        <w:t xml:space="preserve"> revenue </w:t>
      </w:r>
      <w:r w:rsidR="0036717E" w:rsidRPr="00FD07C8">
        <w:rPr>
          <w:rFonts w:ascii="Times New Roman" w:hAnsi="Times New Roman"/>
          <w:szCs w:val="24"/>
        </w:rPr>
        <w:t xml:space="preserve"> </w:t>
      </w:r>
      <w:r w:rsidR="00255A42" w:rsidRPr="00FD07C8">
        <w:rPr>
          <w:rFonts w:ascii="Times New Roman" w:hAnsi="Times New Roman"/>
          <w:szCs w:val="24"/>
        </w:rPr>
        <w:t>true</w:t>
      </w:r>
      <w:r w:rsidR="000E3658">
        <w:rPr>
          <w:rFonts w:ascii="Times New Roman" w:hAnsi="Times New Roman"/>
          <w:szCs w:val="24"/>
        </w:rPr>
        <w:t xml:space="preserve"> </w:t>
      </w:r>
      <w:r w:rsidR="00255A42" w:rsidRPr="00FD07C8">
        <w:rPr>
          <w:rFonts w:ascii="Times New Roman" w:hAnsi="Times New Roman"/>
          <w:szCs w:val="24"/>
        </w:rPr>
        <w:t xml:space="preserve">up and </w:t>
      </w:r>
      <w:r w:rsidR="0036717E" w:rsidRPr="00FD07C8">
        <w:rPr>
          <w:rFonts w:ascii="Times New Roman" w:hAnsi="Times New Roman"/>
          <w:szCs w:val="24"/>
        </w:rPr>
        <w:t>adjustment</w:t>
      </w:r>
      <w:r w:rsidR="00255A42" w:rsidRPr="00FD07C8">
        <w:rPr>
          <w:rFonts w:ascii="Times New Roman" w:hAnsi="Times New Roman"/>
          <w:szCs w:val="24"/>
        </w:rPr>
        <w:t xml:space="preserve"> ordered by the Commission for REC</w:t>
      </w:r>
      <w:r w:rsidR="00814F29">
        <w:rPr>
          <w:rFonts w:ascii="Times New Roman" w:hAnsi="Times New Roman"/>
          <w:szCs w:val="24"/>
        </w:rPr>
        <w:t xml:space="preserve"> revenue</w:t>
      </w:r>
      <w:r w:rsidR="00255A42" w:rsidRPr="00FD07C8">
        <w:rPr>
          <w:rFonts w:ascii="Times New Roman" w:hAnsi="Times New Roman"/>
          <w:szCs w:val="24"/>
        </w:rPr>
        <w:t>s beginning on the rate effective date in this case</w:t>
      </w:r>
      <w:r w:rsidR="0036717E" w:rsidRPr="00FD07C8">
        <w:rPr>
          <w:rFonts w:ascii="Times New Roman" w:hAnsi="Times New Roman"/>
          <w:szCs w:val="24"/>
        </w:rPr>
        <w:t>.</w:t>
      </w:r>
      <w:r w:rsidR="00255A42" w:rsidRPr="00FD07C8">
        <w:rPr>
          <w:rFonts w:ascii="Times New Roman" w:hAnsi="Times New Roman"/>
          <w:szCs w:val="24"/>
        </w:rPr>
        <w:t xml:space="preserve">  </w:t>
      </w:r>
      <w:r w:rsidR="0036717E" w:rsidRPr="00FD07C8">
        <w:rPr>
          <w:rFonts w:ascii="Times New Roman" w:hAnsi="Times New Roman"/>
          <w:szCs w:val="24"/>
        </w:rPr>
        <w:t xml:space="preserve">PacifiCorp has </w:t>
      </w:r>
      <w:r w:rsidR="0036717E" w:rsidRPr="00FD07C8">
        <w:rPr>
          <w:rFonts w:ascii="Times New Roman" w:hAnsi="Times New Roman"/>
          <w:szCs w:val="24"/>
        </w:rPr>
        <w:lastRenderedPageBreak/>
        <w:t>not challenged the legality of a going-forward true up of REC revenues</w:t>
      </w:r>
      <w:r w:rsidR="00255A42" w:rsidRPr="00FD07C8">
        <w:rPr>
          <w:rFonts w:ascii="Times New Roman" w:hAnsi="Times New Roman"/>
          <w:szCs w:val="24"/>
        </w:rPr>
        <w:t>—PacifiCorp is objecting to the retroactive recovery of 2009 and 2010 REC revenues</w:t>
      </w:r>
      <w:r w:rsidR="0036717E" w:rsidRPr="00FD07C8">
        <w:rPr>
          <w:rFonts w:ascii="Times New Roman" w:hAnsi="Times New Roman"/>
          <w:szCs w:val="24"/>
        </w:rPr>
        <w:t>.</w:t>
      </w:r>
    </w:p>
    <w:p w:rsidR="004D119E" w:rsidRPr="00FD07C8" w:rsidRDefault="000C1F43" w:rsidP="004D119E">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4D119E" w:rsidRPr="00FD07C8">
        <w:rPr>
          <w:rFonts w:ascii="Times New Roman" w:hAnsi="Times New Roman"/>
          <w:szCs w:val="24"/>
        </w:rPr>
        <w:t xml:space="preserve">Similarly, Staff claims that the fact that </w:t>
      </w:r>
      <w:r w:rsidR="00A36793" w:rsidRPr="00FD07C8">
        <w:fldChar w:fldCharType="begin"/>
      </w:r>
      <w:r w:rsidR="00CC6CF0" w:rsidRPr="00FD07C8">
        <w:instrText xml:space="preserve"> ADDIN BA \xc &lt;@osdv&gt; \xl 28 \s NSKEHB000098 \l "</w:instrText>
      </w:r>
      <w:r w:rsidR="00CC6CF0" w:rsidRPr="00FD07C8">
        <w:rPr>
          <w:rFonts w:ascii="Times New Roman" w:hAnsi="Times New Roman"/>
          <w:szCs w:val="24"/>
        </w:rPr>
        <w:instrText>Schedule 96 and Schedule 191</w:instrText>
      </w:r>
      <w:r w:rsidR="00CC6CF0" w:rsidRPr="00FD07C8">
        <w:instrText xml:space="preserve">" </w:instrText>
      </w:r>
      <w:r w:rsidR="00A36793" w:rsidRPr="00FD07C8">
        <w:fldChar w:fldCharType="end"/>
      </w:r>
      <w:bookmarkStart w:id="81" w:name="_BA_Cite_126"/>
      <w:r w:rsidR="004D119E" w:rsidRPr="00FD07C8">
        <w:rPr>
          <w:rFonts w:ascii="Times New Roman" w:hAnsi="Times New Roman"/>
          <w:szCs w:val="24"/>
        </w:rPr>
        <w:t>Schedule 96 and Schedule 191</w:t>
      </w:r>
      <w:bookmarkEnd w:id="81"/>
      <w:r w:rsidR="004D119E" w:rsidRPr="00FD07C8">
        <w:rPr>
          <w:rFonts w:ascii="Times New Roman" w:hAnsi="Times New Roman"/>
          <w:szCs w:val="24"/>
        </w:rPr>
        <w:t xml:space="preserve"> include surcharges for specific costs justifies Staff’s approach on REC</w:t>
      </w:r>
      <w:r w:rsidR="00814F29">
        <w:rPr>
          <w:rFonts w:ascii="Times New Roman" w:hAnsi="Times New Roman"/>
          <w:szCs w:val="24"/>
        </w:rPr>
        <w:t xml:space="preserve"> revenue</w:t>
      </w:r>
      <w:r w:rsidR="004D119E" w:rsidRPr="00FD07C8">
        <w:rPr>
          <w:rFonts w:ascii="Times New Roman" w:hAnsi="Times New Roman"/>
          <w:szCs w:val="24"/>
        </w:rPr>
        <w:t>s.</w:t>
      </w:r>
      <w:r w:rsidR="004D119E" w:rsidRPr="00FD07C8">
        <w:rPr>
          <w:rStyle w:val="FootnoteReference"/>
          <w:rFonts w:ascii="Times New Roman" w:hAnsi="Times New Roman"/>
          <w:szCs w:val="24"/>
        </w:rPr>
        <w:footnoteReference w:id="90"/>
      </w:r>
      <w:r w:rsidR="004D119E" w:rsidRPr="00FD07C8">
        <w:rPr>
          <w:rFonts w:ascii="Times New Roman" w:hAnsi="Times New Roman"/>
          <w:szCs w:val="24"/>
        </w:rPr>
        <w:t xml:space="preserve">  These surcharges, however, operate on a forward-looking basis</w:t>
      </w:r>
      <w:r w:rsidR="00ED07BF" w:rsidRPr="00FD07C8">
        <w:rPr>
          <w:rFonts w:ascii="Times New Roman" w:hAnsi="Times New Roman"/>
          <w:szCs w:val="24"/>
        </w:rPr>
        <w:t xml:space="preserve"> and did not provide </w:t>
      </w:r>
      <w:r w:rsidR="008B6BEC">
        <w:rPr>
          <w:rFonts w:ascii="Times New Roman" w:hAnsi="Times New Roman"/>
          <w:szCs w:val="24"/>
        </w:rPr>
        <w:t>for an inclusion of three years</w:t>
      </w:r>
      <w:r w:rsidR="00ED07BF" w:rsidRPr="00FD07C8">
        <w:rPr>
          <w:rFonts w:ascii="Times New Roman" w:hAnsi="Times New Roman"/>
          <w:szCs w:val="24"/>
        </w:rPr>
        <w:t xml:space="preserve"> of costs into rates during one rate effective period</w:t>
      </w:r>
      <w:r w:rsidR="004D119E" w:rsidRPr="00FD07C8">
        <w:rPr>
          <w:rFonts w:ascii="Times New Roman" w:hAnsi="Times New Roman"/>
          <w:szCs w:val="24"/>
        </w:rPr>
        <w:t>.</w:t>
      </w:r>
    </w:p>
    <w:p w:rsidR="00B76D66" w:rsidRPr="00FD07C8" w:rsidRDefault="00B76D66" w:rsidP="004D119E">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t>Staff cites to the Commission’s use of deferred accounting as justification for including REC revenues from prior periods in rates.</w:t>
      </w:r>
      <w:r w:rsidRPr="00FD07C8">
        <w:rPr>
          <w:rStyle w:val="FootnoteReference"/>
          <w:rFonts w:ascii="Times New Roman" w:hAnsi="Times New Roman"/>
          <w:szCs w:val="24"/>
        </w:rPr>
        <w:footnoteReference w:id="91"/>
      </w:r>
      <w:r w:rsidRPr="00FD07C8">
        <w:rPr>
          <w:rFonts w:ascii="Times New Roman" w:hAnsi="Times New Roman"/>
          <w:szCs w:val="24"/>
        </w:rPr>
        <w:t xml:space="preserve">  The Company explained in its Initial Filing why the Responding Parties’ proposals cannot be construed as deferred accounting and Staff’s citations to deferred accounting are therefore irrelevant.  </w:t>
      </w:r>
    </w:p>
    <w:p w:rsidR="0036717E" w:rsidRPr="00FD07C8" w:rsidRDefault="000C1F43" w:rsidP="00255A42">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Staff also cites to using amortization of costs incurred only in the test period.</w:t>
      </w:r>
      <w:r w:rsidR="003B2871" w:rsidRPr="00FD07C8">
        <w:rPr>
          <w:rStyle w:val="FootnoteReference"/>
          <w:rFonts w:ascii="Times New Roman" w:hAnsi="Times New Roman"/>
          <w:szCs w:val="24"/>
        </w:rPr>
        <w:footnoteReference w:id="92"/>
      </w:r>
      <w:r w:rsidR="00255A42" w:rsidRPr="00FD07C8">
        <w:rPr>
          <w:rFonts w:ascii="Times New Roman" w:hAnsi="Times New Roman"/>
          <w:szCs w:val="24"/>
        </w:rPr>
        <w:t xml:space="preserve">  </w:t>
      </w:r>
      <w:r w:rsidR="0036717E" w:rsidRPr="00FD07C8">
        <w:rPr>
          <w:rFonts w:ascii="Times New Roman" w:hAnsi="Times New Roman"/>
          <w:szCs w:val="24"/>
        </w:rPr>
        <w:t>The example Staff cites is from a Puget case allowing amortization of abandoned plant costs.</w:t>
      </w:r>
      <w:r w:rsidR="003B2871" w:rsidRPr="00FD07C8">
        <w:rPr>
          <w:rStyle w:val="FootnoteReference"/>
          <w:rFonts w:ascii="Times New Roman" w:hAnsi="Times New Roman"/>
          <w:szCs w:val="24"/>
        </w:rPr>
        <w:footnoteReference w:id="93"/>
      </w:r>
      <w:r w:rsidR="003B2871" w:rsidRPr="00FD07C8">
        <w:rPr>
          <w:rFonts w:ascii="Times New Roman" w:hAnsi="Times New Roman"/>
          <w:szCs w:val="24"/>
        </w:rPr>
        <w:t xml:space="preserve">  This order addressed </w:t>
      </w:r>
      <w:r w:rsidR="00A30A17" w:rsidRPr="00FD07C8">
        <w:rPr>
          <w:rFonts w:ascii="Times New Roman" w:hAnsi="Times New Roman"/>
          <w:szCs w:val="24"/>
        </w:rPr>
        <w:t>how the utility could recover costs associated with an abandoned plant.</w:t>
      </w:r>
      <w:r w:rsidR="00A30A17" w:rsidRPr="00FD07C8">
        <w:rPr>
          <w:rStyle w:val="FootnoteReference"/>
          <w:rFonts w:ascii="Times New Roman" w:hAnsi="Times New Roman"/>
          <w:szCs w:val="24"/>
        </w:rPr>
        <w:footnoteReference w:id="94"/>
      </w:r>
      <w:r w:rsidR="00A30A17" w:rsidRPr="00FD07C8">
        <w:rPr>
          <w:rFonts w:ascii="Times New Roman" w:hAnsi="Times New Roman"/>
          <w:szCs w:val="24"/>
        </w:rPr>
        <w:t xml:space="preserve">  The question in that Puget case was whether plant costs could be recovered if the plant was abandoned, not whether a</w:t>
      </w:r>
      <w:r w:rsidR="00A3344F" w:rsidRPr="00FD07C8">
        <w:rPr>
          <w:rFonts w:ascii="Times New Roman" w:hAnsi="Times New Roman"/>
          <w:szCs w:val="24"/>
        </w:rPr>
        <w:t>n</w:t>
      </w:r>
      <w:r w:rsidR="00A30A17" w:rsidRPr="00FD07C8">
        <w:rPr>
          <w:rFonts w:ascii="Times New Roman" w:hAnsi="Times New Roman"/>
          <w:szCs w:val="24"/>
        </w:rPr>
        <w:t xml:space="preserve"> expense from a past period could be included in rates.  </w:t>
      </w:r>
      <w:r w:rsidR="0036717E" w:rsidRPr="00FD07C8">
        <w:rPr>
          <w:rFonts w:ascii="Times New Roman" w:hAnsi="Times New Roman"/>
          <w:szCs w:val="24"/>
        </w:rPr>
        <w:t xml:space="preserve">Amortization of </w:t>
      </w:r>
      <w:r w:rsidR="00A30A17" w:rsidRPr="00FD07C8">
        <w:rPr>
          <w:rFonts w:ascii="Times New Roman" w:hAnsi="Times New Roman"/>
          <w:szCs w:val="24"/>
        </w:rPr>
        <w:t xml:space="preserve">capital </w:t>
      </w:r>
      <w:r w:rsidR="0036717E" w:rsidRPr="00FD07C8">
        <w:rPr>
          <w:rFonts w:ascii="Times New Roman" w:hAnsi="Times New Roman"/>
          <w:szCs w:val="24"/>
        </w:rPr>
        <w:t>items</w:t>
      </w:r>
      <w:r w:rsidR="00A30A17" w:rsidRPr="00FD07C8">
        <w:rPr>
          <w:rFonts w:ascii="Times New Roman" w:hAnsi="Times New Roman"/>
          <w:szCs w:val="24"/>
        </w:rPr>
        <w:t>, which is a standard ratemaking element that does not implicate retroactive ratemaking,</w:t>
      </w:r>
      <w:r w:rsidR="0036717E" w:rsidRPr="00FD07C8">
        <w:rPr>
          <w:rFonts w:ascii="Times New Roman" w:hAnsi="Times New Roman"/>
          <w:szCs w:val="24"/>
        </w:rPr>
        <w:t xml:space="preserve"> is not analogous to retroactive recovery of revenues.</w:t>
      </w:r>
      <w:r w:rsidR="00A30A17" w:rsidRPr="00FD07C8">
        <w:rPr>
          <w:rFonts w:ascii="Times New Roman" w:hAnsi="Times New Roman"/>
          <w:szCs w:val="24"/>
        </w:rPr>
        <w:t xml:space="preserve">  </w:t>
      </w:r>
    </w:p>
    <w:p w:rsidR="0036717E" w:rsidRPr="00FD07C8" w:rsidRDefault="000C1F43" w:rsidP="00C06A05">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C06A05" w:rsidRPr="00FD07C8">
        <w:rPr>
          <w:rFonts w:ascii="Times New Roman" w:hAnsi="Times New Roman"/>
          <w:szCs w:val="24"/>
        </w:rPr>
        <w:t xml:space="preserve">Staff also cites to the amortization of </w:t>
      </w:r>
      <w:r w:rsidR="0036717E" w:rsidRPr="00FD07C8">
        <w:rPr>
          <w:rFonts w:ascii="Times New Roman" w:hAnsi="Times New Roman"/>
          <w:szCs w:val="24"/>
        </w:rPr>
        <w:t xml:space="preserve">Y2K costs </w:t>
      </w:r>
      <w:r w:rsidR="00C06A05" w:rsidRPr="00FD07C8">
        <w:rPr>
          <w:rFonts w:ascii="Times New Roman" w:hAnsi="Times New Roman"/>
          <w:szCs w:val="24"/>
        </w:rPr>
        <w:t>in Avista’s 1999 rate case.</w:t>
      </w:r>
      <w:r w:rsidR="00E559EE" w:rsidRPr="00FD07C8">
        <w:rPr>
          <w:rStyle w:val="FootnoteReference"/>
          <w:rFonts w:ascii="Times New Roman" w:hAnsi="Times New Roman"/>
          <w:szCs w:val="24"/>
        </w:rPr>
        <w:footnoteReference w:id="95"/>
      </w:r>
      <w:r w:rsidR="00C06A05" w:rsidRPr="00FD07C8">
        <w:rPr>
          <w:rFonts w:ascii="Times New Roman" w:hAnsi="Times New Roman"/>
          <w:szCs w:val="24"/>
        </w:rPr>
        <w:t xml:space="preserve">  </w:t>
      </w:r>
      <w:r w:rsidR="005F7A5B" w:rsidRPr="00FD07C8">
        <w:rPr>
          <w:rFonts w:ascii="Times New Roman" w:hAnsi="Times New Roman"/>
          <w:szCs w:val="24"/>
        </w:rPr>
        <w:t xml:space="preserve">That case </w:t>
      </w:r>
      <w:r w:rsidR="00E559EE" w:rsidRPr="00FD07C8">
        <w:rPr>
          <w:rFonts w:ascii="Times New Roman" w:hAnsi="Times New Roman"/>
          <w:szCs w:val="24"/>
        </w:rPr>
        <w:t xml:space="preserve">is not analogous to this case because it </w:t>
      </w:r>
      <w:r w:rsidR="005F7A5B" w:rsidRPr="00FD07C8">
        <w:rPr>
          <w:rFonts w:ascii="Times New Roman" w:hAnsi="Times New Roman"/>
          <w:szCs w:val="24"/>
        </w:rPr>
        <w:t xml:space="preserve">apparently involved one-time costs for Y2K preparation, not recurring costs or revenues that are forecast in each rate case, as is the case for REC revenues.  </w:t>
      </w:r>
    </w:p>
    <w:p w:rsidR="0036717E" w:rsidRPr="00FD07C8" w:rsidRDefault="000C1F43" w:rsidP="004D119E">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4D119E" w:rsidRPr="00FD07C8">
        <w:rPr>
          <w:rFonts w:ascii="Times New Roman" w:hAnsi="Times New Roman"/>
          <w:szCs w:val="24"/>
        </w:rPr>
        <w:t>Staff cites to the amortization of the Company’s pension gain.</w:t>
      </w:r>
      <w:r w:rsidR="00E559EE" w:rsidRPr="00FD07C8">
        <w:rPr>
          <w:rStyle w:val="FootnoteReference"/>
          <w:rFonts w:ascii="Times New Roman" w:hAnsi="Times New Roman"/>
          <w:szCs w:val="24"/>
        </w:rPr>
        <w:footnoteReference w:id="96"/>
      </w:r>
      <w:r w:rsidR="004D119E" w:rsidRPr="00FD07C8">
        <w:rPr>
          <w:rFonts w:ascii="Times New Roman" w:hAnsi="Times New Roman"/>
          <w:szCs w:val="24"/>
        </w:rPr>
        <w:t xml:space="preserve">  That</w:t>
      </w:r>
      <w:r w:rsidR="0036717E" w:rsidRPr="00FD07C8">
        <w:rPr>
          <w:rFonts w:ascii="Times New Roman" w:hAnsi="Times New Roman"/>
          <w:szCs w:val="24"/>
        </w:rPr>
        <w:t xml:space="preserve"> pension gain was the subject of an accounting petition, and therefore not </w:t>
      </w:r>
      <w:r w:rsidR="00E559EE" w:rsidRPr="00FD07C8">
        <w:rPr>
          <w:rFonts w:ascii="Times New Roman" w:hAnsi="Times New Roman"/>
          <w:szCs w:val="24"/>
        </w:rPr>
        <w:t xml:space="preserve">comparable </w:t>
      </w:r>
      <w:r w:rsidR="0036717E" w:rsidRPr="00FD07C8">
        <w:rPr>
          <w:rFonts w:ascii="Times New Roman" w:hAnsi="Times New Roman"/>
          <w:szCs w:val="24"/>
        </w:rPr>
        <w:t>to the proposal for retroactive recovery without notice.</w:t>
      </w:r>
    </w:p>
    <w:p w:rsidR="0036717E" w:rsidRPr="00FD07C8" w:rsidRDefault="000C1F43" w:rsidP="005E04F6">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5E04F6" w:rsidRPr="00FD07C8">
        <w:rPr>
          <w:rFonts w:ascii="Times New Roman" w:hAnsi="Times New Roman"/>
          <w:szCs w:val="24"/>
        </w:rPr>
        <w:t xml:space="preserve">Finally, </w:t>
      </w:r>
      <w:r w:rsidR="0036717E" w:rsidRPr="00FD07C8">
        <w:rPr>
          <w:rFonts w:ascii="Times New Roman" w:hAnsi="Times New Roman"/>
          <w:szCs w:val="24"/>
        </w:rPr>
        <w:t>Staff cites to “other practices” by other states to include in rates previously-incurred costs and revenues.</w:t>
      </w:r>
      <w:r w:rsidR="005E04F6" w:rsidRPr="00FD07C8">
        <w:rPr>
          <w:rStyle w:val="FootnoteReference"/>
          <w:rFonts w:ascii="Times New Roman" w:hAnsi="Times New Roman"/>
          <w:szCs w:val="24"/>
        </w:rPr>
        <w:footnoteReference w:id="97"/>
      </w:r>
      <w:r w:rsidR="005E04F6" w:rsidRPr="00FD07C8">
        <w:rPr>
          <w:rFonts w:ascii="Times New Roman" w:hAnsi="Times New Roman"/>
          <w:szCs w:val="24"/>
        </w:rPr>
        <w:t xml:space="preserve">  </w:t>
      </w:r>
      <w:r w:rsidR="0036717E" w:rsidRPr="00FD07C8">
        <w:rPr>
          <w:rFonts w:ascii="Times New Roman" w:hAnsi="Times New Roman"/>
          <w:szCs w:val="24"/>
        </w:rPr>
        <w:t>There are just as many examples</w:t>
      </w:r>
      <w:r w:rsidR="005E04F6" w:rsidRPr="00FD07C8">
        <w:rPr>
          <w:rFonts w:ascii="Times New Roman" w:hAnsi="Times New Roman"/>
          <w:szCs w:val="24"/>
        </w:rPr>
        <w:t>, however,</w:t>
      </w:r>
      <w:r w:rsidR="0036717E" w:rsidRPr="00FD07C8">
        <w:rPr>
          <w:rFonts w:ascii="Times New Roman" w:hAnsi="Times New Roman"/>
          <w:szCs w:val="24"/>
        </w:rPr>
        <w:t xml:space="preserve"> of states rejecting retroactive </w:t>
      </w:r>
      <w:r w:rsidR="005E04F6" w:rsidRPr="00FD07C8">
        <w:rPr>
          <w:rFonts w:ascii="Times New Roman" w:hAnsi="Times New Roman"/>
          <w:szCs w:val="24"/>
        </w:rPr>
        <w:t>treatment of costs and revenues</w:t>
      </w:r>
      <w:r w:rsidR="0036717E" w:rsidRPr="00FD07C8">
        <w:rPr>
          <w:rFonts w:ascii="Times New Roman" w:hAnsi="Times New Roman"/>
          <w:szCs w:val="24"/>
        </w:rPr>
        <w:t>.</w:t>
      </w:r>
      <w:r w:rsidR="005E04F6" w:rsidRPr="00FD07C8">
        <w:rPr>
          <w:rStyle w:val="FootnoteReference"/>
          <w:rFonts w:ascii="Times New Roman" w:hAnsi="Times New Roman"/>
          <w:szCs w:val="24"/>
        </w:rPr>
        <w:footnoteReference w:id="98"/>
      </w:r>
      <w:r w:rsidR="007175E8" w:rsidRPr="00FD07C8">
        <w:rPr>
          <w:rFonts w:ascii="Times New Roman" w:hAnsi="Times New Roman"/>
          <w:szCs w:val="24"/>
        </w:rPr>
        <w:t xml:space="preserve">  The decision of other states to allow exceptions to the rule against retroactive ratemaking is irrelevant to the Commission’s determination of whether the propose</w:t>
      </w:r>
      <w:r w:rsidR="00DA77E6" w:rsidRPr="00FD07C8">
        <w:rPr>
          <w:rFonts w:ascii="Times New Roman" w:hAnsi="Times New Roman"/>
          <w:szCs w:val="24"/>
        </w:rPr>
        <w:t>d</w:t>
      </w:r>
      <w:r w:rsidR="007175E8" w:rsidRPr="00FD07C8">
        <w:rPr>
          <w:rFonts w:ascii="Times New Roman" w:hAnsi="Times New Roman"/>
          <w:szCs w:val="24"/>
        </w:rPr>
        <w:t xml:space="preserve"> rate treatment in this case is in accordance with Washington law, policy, and Commission precedent.</w:t>
      </w:r>
    </w:p>
    <w:p w:rsidR="0036717E" w:rsidRPr="00FD07C8" w:rsidRDefault="003A77A0" w:rsidP="004F1D7F">
      <w:pPr>
        <w:pStyle w:val="Heading2"/>
      </w:pPr>
      <w:bookmarkStart w:id="86" w:name="_Toc309373944"/>
      <w:r w:rsidRPr="00FD07C8">
        <w:t>C.</w:t>
      </w:r>
      <w:r w:rsidRPr="00FD07C8">
        <w:tab/>
      </w:r>
      <w:r w:rsidR="0036717E" w:rsidRPr="00FD07C8">
        <w:t xml:space="preserve">The </w:t>
      </w:r>
      <w:r w:rsidR="007460F7" w:rsidRPr="00FD07C8">
        <w:t>P</w:t>
      </w:r>
      <w:r w:rsidR="0036717E" w:rsidRPr="00FD07C8">
        <w:t xml:space="preserve">arties’ </w:t>
      </w:r>
      <w:r w:rsidR="007460F7" w:rsidRPr="00FD07C8">
        <w:t>D</w:t>
      </w:r>
      <w:r w:rsidR="0036717E" w:rsidRPr="00FD07C8">
        <w:t xml:space="preserve">isregard of the </w:t>
      </w:r>
      <w:r w:rsidR="007460F7" w:rsidRPr="00FD07C8">
        <w:t>I</w:t>
      </w:r>
      <w:r w:rsidR="0036717E" w:rsidRPr="00FD07C8">
        <w:t xml:space="preserve">mpact of their </w:t>
      </w:r>
      <w:r w:rsidR="007460F7" w:rsidRPr="00FD07C8">
        <w:t>P</w:t>
      </w:r>
      <w:r w:rsidR="0036717E" w:rsidRPr="00FD07C8">
        <w:t xml:space="preserve">roposals on the Company’s </w:t>
      </w:r>
      <w:r w:rsidR="007460F7" w:rsidRPr="00FD07C8">
        <w:t>F</w:t>
      </w:r>
      <w:r w:rsidR="0036717E" w:rsidRPr="00FD07C8">
        <w:t xml:space="preserve">inancial </w:t>
      </w:r>
      <w:r w:rsidR="007460F7" w:rsidRPr="00FD07C8">
        <w:t>C</w:t>
      </w:r>
      <w:r w:rsidR="0036717E" w:rsidRPr="00FD07C8">
        <w:t xml:space="preserve">ondition is </w:t>
      </w:r>
      <w:r w:rsidR="007460F7" w:rsidRPr="00FD07C8">
        <w:t>I</w:t>
      </w:r>
      <w:r w:rsidR="0036717E" w:rsidRPr="00FD07C8">
        <w:t xml:space="preserve">nconsistent with Washington </w:t>
      </w:r>
      <w:r w:rsidR="007460F7" w:rsidRPr="00FD07C8">
        <w:t>L</w:t>
      </w:r>
      <w:r w:rsidR="0036717E" w:rsidRPr="00FD07C8">
        <w:t>aw.</w:t>
      </w:r>
      <w:bookmarkEnd w:id="86"/>
    </w:p>
    <w:p w:rsidR="0036717E" w:rsidRPr="00FD07C8" w:rsidRDefault="000C1F43" w:rsidP="00092D41">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092D41" w:rsidRPr="00FD07C8">
        <w:rPr>
          <w:rFonts w:ascii="Times New Roman" w:hAnsi="Times New Roman"/>
          <w:szCs w:val="24"/>
        </w:rPr>
        <w:t>Staff and Public Counsel recommend that the Commission ignore evidence showing that the Company significantly under</w:t>
      </w:r>
      <w:r w:rsidR="00A6059E" w:rsidRPr="00FD07C8">
        <w:rPr>
          <w:rFonts w:ascii="Times New Roman" w:hAnsi="Times New Roman"/>
          <w:szCs w:val="24"/>
        </w:rPr>
        <w:t xml:space="preserve"> </w:t>
      </w:r>
      <w:r w:rsidR="00092D41" w:rsidRPr="00FD07C8">
        <w:rPr>
          <w:rFonts w:ascii="Times New Roman" w:hAnsi="Times New Roman"/>
          <w:szCs w:val="24"/>
        </w:rPr>
        <w:t>earned in 2009 and 2010, and ICNU does not address the evidence on the Company’s earnings at all.</w:t>
      </w:r>
      <w:r w:rsidR="00092D41" w:rsidRPr="00FD07C8">
        <w:rPr>
          <w:rStyle w:val="FootnoteReference"/>
          <w:rFonts w:ascii="Times New Roman" w:hAnsi="Times New Roman"/>
          <w:szCs w:val="24"/>
        </w:rPr>
        <w:footnoteReference w:id="99"/>
      </w:r>
      <w:r w:rsidR="00092D41" w:rsidRPr="00FD07C8">
        <w:rPr>
          <w:rFonts w:ascii="Times New Roman" w:hAnsi="Times New Roman"/>
          <w:szCs w:val="24"/>
        </w:rPr>
        <w:t xml:space="preserve">  The </w:t>
      </w:r>
      <w:r w:rsidR="00A6059E" w:rsidRPr="00FD07C8">
        <w:rPr>
          <w:rFonts w:ascii="Times New Roman" w:hAnsi="Times New Roman"/>
          <w:szCs w:val="24"/>
        </w:rPr>
        <w:t>Responding P</w:t>
      </w:r>
      <w:r w:rsidR="00092D41" w:rsidRPr="00FD07C8">
        <w:rPr>
          <w:rFonts w:ascii="Times New Roman" w:hAnsi="Times New Roman"/>
          <w:szCs w:val="24"/>
        </w:rPr>
        <w:t xml:space="preserve">arties’ arguments are inconsistent with the requirement that the Commission evaluate rates to determine whether they </w:t>
      </w:r>
      <w:r w:rsidR="00092D41" w:rsidRPr="00FD07C8">
        <w:rPr>
          <w:rFonts w:ascii="Times New Roman" w:hAnsi="Times New Roman"/>
          <w:szCs w:val="24"/>
        </w:rPr>
        <w:lastRenderedPageBreak/>
        <w:t xml:space="preserve">are just and reasonable, and </w:t>
      </w:r>
      <w:r w:rsidR="00016ADE" w:rsidRPr="00FD07C8">
        <w:rPr>
          <w:rFonts w:ascii="Times New Roman" w:hAnsi="Times New Roman"/>
          <w:szCs w:val="24"/>
        </w:rPr>
        <w:t>to set rates that allow the utility an opportunity to earn its authorized rate of return.</w:t>
      </w:r>
    </w:p>
    <w:p w:rsidR="00205B62" w:rsidRPr="00FD07C8" w:rsidRDefault="000C1F43" w:rsidP="00016ADE">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 xml:space="preserve">Staff argues that it is “too late” </w:t>
      </w:r>
      <w:r w:rsidR="00016ADE" w:rsidRPr="00FD07C8">
        <w:rPr>
          <w:rFonts w:ascii="Times New Roman" w:hAnsi="Times New Roman"/>
          <w:szCs w:val="24"/>
        </w:rPr>
        <w:t xml:space="preserve">for the Company </w:t>
      </w:r>
      <w:r w:rsidR="0036717E" w:rsidRPr="00FD07C8">
        <w:rPr>
          <w:rFonts w:ascii="Times New Roman" w:hAnsi="Times New Roman"/>
          <w:szCs w:val="24"/>
        </w:rPr>
        <w:t>to argue for an earnings test</w:t>
      </w:r>
      <w:r w:rsidR="00016ADE" w:rsidRPr="00FD07C8">
        <w:rPr>
          <w:rFonts w:ascii="Times New Roman" w:hAnsi="Times New Roman"/>
          <w:szCs w:val="24"/>
        </w:rPr>
        <w:t>.</w:t>
      </w:r>
      <w:r w:rsidR="00016ADE" w:rsidRPr="00FD07C8">
        <w:rPr>
          <w:rStyle w:val="FootnoteReference"/>
          <w:rFonts w:ascii="Times New Roman" w:hAnsi="Times New Roman"/>
          <w:szCs w:val="24"/>
        </w:rPr>
        <w:footnoteReference w:id="100"/>
      </w:r>
      <w:r w:rsidR="00016ADE" w:rsidRPr="00FD07C8">
        <w:rPr>
          <w:rFonts w:ascii="Times New Roman" w:hAnsi="Times New Roman"/>
          <w:szCs w:val="24"/>
        </w:rPr>
        <w:t xml:space="preserve">  The Commission has a </w:t>
      </w:r>
      <w:r w:rsidR="00384B02" w:rsidRPr="00FD07C8">
        <w:rPr>
          <w:rFonts w:ascii="Times New Roman" w:hAnsi="Times New Roman"/>
          <w:szCs w:val="24"/>
        </w:rPr>
        <w:t xml:space="preserve">constitutional and a </w:t>
      </w:r>
      <w:r w:rsidR="00016ADE" w:rsidRPr="00FD07C8">
        <w:rPr>
          <w:rFonts w:ascii="Times New Roman" w:hAnsi="Times New Roman"/>
          <w:szCs w:val="24"/>
        </w:rPr>
        <w:t>statutory duty to determine whether the rates it orders are just and reasonable.</w:t>
      </w:r>
      <w:r w:rsidR="00016ADE" w:rsidRPr="00FD07C8">
        <w:rPr>
          <w:rStyle w:val="FootnoteReference"/>
          <w:rFonts w:ascii="Times New Roman" w:hAnsi="Times New Roman"/>
          <w:szCs w:val="24"/>
        </w:rPr>
        <w:footnoteReference w:id="101"/>
      </w:r>
      <w:r w:rsidR="00016ADE" w:rsidRPr="00FD07C8">
        <w:rPr>
          <w:rFonts w:ascii="Times New Roman" w:hAnsi="Times New Roman"/>
          <w:szCs w:val="24"/>
        </w:rPr>
        <w:t xml:space="preserve">  </w:t>
      </w:r>
      <w:r w:rsidR="00205B62" w:rsidRPr="00FD07C8">
        <w:rPr>
          <w:rFonts w:ascii="Times New Roman" w:hAnsi="Times New Roman"/>
          <w:szCs w:val="24"/>
        </w:rPr>
        <w:t>Determining whether rates provide the utility to earn a reasonable rate of return is fundamental to determining whether rates are just and reasonable.</w:t>
      </w:r>
      <w:r w:rsidR="00205B62" w:rsidRPr="00FD07C8">
        <w:rPr>
          <w:rStyle w:val="FootnoteReference"/>
          <w:rFonts w:ascii="Times New Roman" w:hAnsi="Times New Roman"/>
          <w:szCs w:val="24"/>
        </w:rPr>
        <w:footnoteReference w:id="102"/>
      </w:r>
      <w:r w:rsidR="00994FB1" w:rsidRPr="00FD07C8">
        <w:rPr>
          <w:rFonts w:ascii="Times New Roman" w:hAnsi="Times New Roman"/>
          <w:szCs w:val="24"/>
        </w:rPr>
        <w:t xml:space="preserve">  The Commission should not adopt Staff’s proposal that the Commission </w:t>
      </w:r>
      <w:r w:rsidR="005D31EB" w:rsidRPr="00FD07C8">
        <w:rPr>
          <w:rFonts w:ascii="Times New Roman" w:hAnsi="Times New Roman"/>
          <w:szCs w:val="24"/>
        </w:rPr>
        <w:t xml:space="preserve">violate </w:t>
      </w:r>
      <w:r w:rsidR="00994FB1" w:rsidRPr="00FD07C8">
        <w:rPr>
          <w:rFonts w:ascii="Times New Roman" w:hAnsi="Times New Roman"/>
          <w:szCs w:val="24"/>
        </w:rPr>
        <w:t>this constitutional and statutory duty.</w:t>
      </w:r>
    </w:p>
    <w:p w:rsidR="00016ADE" w:rsidRPr="00FD07C8" w:rsidRDefault="000C1F43" w:rsidP="00016ADE">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994FB1" w:rsidRPr="00FD07C8">
        <w:rPr>
          <w:rFonts w:ascii="Times New Roman" w:hAnsi="Times New Roman"/>
          <w:szCs w:val="24"/>
        </w:rPr>
        <w:t>Additionally, the Commission has previously found that testimony on earnings is relevant even when the scope of the hearing was specifically limited and was not to address ratemaking issues.</w:t>
      </w:r>
      <w:r w:rsidR="00A6059E" w:rsidRPr="00FD07C8">
        <w:rPr>
          <w:rStyle w:val="FootnoteReference"/>
          <w:rFonts w:ascii="Times New Roman" w:hAnsi="Times New Roman"/>
          <w:szCs w:val="24"/>
        </w:rPr>
        <w:footnoteReference w:id="103"/>
      </w:r>
      <w:r w:rsidR="001C70CF" w:rsidRPr="00FD07C8">
        <w:rPr>
          <w:rFonts w:ascii="Times New Roman" w:hAnsi="Times New Roman"/>
          <w:szCs w:val="24"/>
        </w:rPr>
        <w:t xml:space="preserve"> </w:t>
      </w:r>
      <w:r w:rsidR="00994FB1" w:rsidRPr="00FD07C8">
        <w:rPr>
          <w:rFonts w:ascii="Times New Roman" w:hAnsi="Times New Roman"/>
          <w:szCs w:val="24"/>
        </w:rPr>
        <w:t xml:space="preserve"> In that case</w:t>
      </w:r>
      <w:r w:rsidR="00016ADE" w:rsidRPr="00FD07C8">
        <w:rPr>
          <w:rFonts w:ascii="Times New Roman" w:hAnsi="Times New Roman"/>
          <w:szCs w:val="24"/>
        </w:rPr>
        <w:t xml:space="preserve">, </w:t>
      </w:r>
      <w:r w:rsidR="00F47BED" w:rsidRPr="00FD07C8">
        <w:rPr>
          <w:rFonts w:ascii="Times New Roman" w:hAnsi="Times New Roman"/>
          <w:szCs w:val="24"/>
        </w:rPr>
        <w:t xml:space="preserve">after determining that the scope of the hearing was limited and would not address ratemaking issues, </w:t>
      </w:r>
      <w:r w:rsidR="00016ADE" w:rsidRPr="00FD07C8">
        <w:rPr>
          <w:rFonts w:ascii="Times New Roman" w:hAnsi="Times New Roman"/>
          <w:szCs w:val="24"/>
        </w:rPr>
        <w:t xml:space="preserve">the Commission </w:t>
      </w:r>
      <w:r w:rsidR="00F47BED" w:rsidRPr="00FD07C8">
        <w:rPr>
          <w:rFonts w:ascii="Times New Roman" w:hAnsi="Times New Roman"/>
          <w:szCs w:val="24"/>
        </w:rPr>
        <w:t xml:space="preserve">still </w:t>
      </w:r>
      <w:r w:rsidR="00016ADE" w:rsidRPr="00FD07C8">
        <w:rPr>
          <w:rFonts w:ascii="Times New Roman" w:hAnsi="Times New Roman"/>
          <w:szCs w:val="24"/>
        </w:rPr>
        <w:t>found that “earnings testimony may only be used to examine whether access charges are fair, just and reasonable.”</w:t>
      </w:r>
      <w:r w:rsidR="00994FB1" w:rsidRPr="00FD07C8">
        <w:rPr>
          <w:rFonts w:ascii="Times New Roman" w:hAnsi="Times New Roman"/>
          <w:szCs w:val="24"/>
        </w:rPr>
        <w:t xml:space="preserve"> </w:t>
      </w:r>
      <w:r w:rsidR="00A6059E" w:rsidRPr="00FD07C8">
        <w:rPr>
          <w:rStyle w:val="FootnoteReference"/>
          <w:rFonts w:ascii="Times New Roman" w:hAnsi="Times New Roman"/>
          <w:szCs w:val="24"/>
        </w:rPr>
        <w:footnoteReference w:id="104"/>
      </w:r>
      <w:r w:rsidR="00994FB1" w:rsidRPr="00FD07C8">
        <w:rPr>
          <w:rFonts w:ascii="Times New Roman" w:hAnsi="Times New Roman"/>
          <w:szCs w:val="24"/>
        </w:rPr>
        <w:t xml:space="preserve"> This finding indicates that the Commission will evaluate earnings to determine the just and reasonableness of rates in this case.</w:t>
      </w:r>
    </w:p>
    <w:p w:rsidR="00953740" w:rsidRPr="00FD07C8" w:rsidRDefault="000C1F43" w:rsidP="00830EF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830EF7" w:rsidRPr="00FD07C8">
        <w:rPr>
          <w:rFonts w:ascii="Times New Roman" w:hAnsi="Times New Roman"/>
          <w:szCs w:val="24"/>
        </w:rPr>
        <w:t>Staff also argues that it is “not the Commission’s problem” if PacifiCorp must restate its earnings if the Commission uses a start date prior to the beginning of the rate year.</w:t>
      </w:r>
      <w:r w:rsidR="00830EF7" w:rsidRPr="00FD07C8">
        <w:rPr>
          <w:rStyle w:val="FootnoteReference"/>
          <w:rFonts w:ascii="Times New Roman" w:hAnsi="Times New Roman"/>
          <w:szCs w:val="24"/>
        </w:rPr>
        <w:footnoteReference w:id="105"/>
      </w:r>
      <w:r w:rsidR="00830EF7" w:rsidRPr="00FD07C8">
        <w:rPr>
          <w:rFonts w:ascii="Times New Roman" w:hAnsi="Times New Roman"/>
          <w:szCs w:val="24"/>
        </w:rPr>
        <w:t xml:space="preserve">  Staff misses the point of the Company’s concerns related to earnings</w:t>
      </w:r>
      <w:r w:rsidR="00A6059E" w:rsidRPr="00FD07C8">
        <w:rPr>
          <w:rFonts w:ascii="Times New Roman" w:hAnsi="Times New Roman"/>
          <w:szCs w:val="24"/>
        </w:rPr>
        <w:t xml:space="preserve">, which is that adoption of the </w:t>
      </w:r>
      <w:r w:rsidR="00A6059E" w:rsidRPr="00FD07C8">
        <w:rPr>
          <w:rFonts w:ascii="Times New Roman" w:hAnsi="Times New Roman"/>
          <w:szCs w:val="24"/>
        </w:rPr>
        <w:lastRenderedPageBreak/>
        <w:t>Responding P</w:t>
      </w:r>
      <w:r w:rsidR="00830EF7" w:rsidRPr="00FD07C8">
        <w:rPr>
          <w:rFonts w:ascii="Times New Roman" w:hAnsi="Times New Roman"/>
          <w:szCs w:val="24"/>
        </w:rPr>
        <w:t>arties’ proposals will deny the Company the ability to earn its authorized rate of return</w:t>
      </w:r>
      <w:r w:rsidR="005D31EB" w:rsidRPr="00FD07C8">
        <w:rPr>
          <w:rFonts w:ascii="Times New Roman" w:hAnsi="Times New Roman"/>
          <w:szCs w:val="24"/>
        </w:rPr>
        <w:t xml:space="preserve"> in the rate effective period of this rate case</w:t>
      </w:r>
      <w:r w:rsidR="00830EF7" w:rsidRPr="00FD07C8">
        <w:rPr>
          <w:rFonts w:ascii="Times New Roman" w:hAnsi="Times New Roman"/>
          <w:szCs w:val="24"/>
        </w:rPr>
        <w:t>.</w:t>
      </w:r>
      <w:r w:rsidR="00830EF7" w:rsidRPr="00FD07C8">
        <w:rPr>
          <w:rStyle w:val="FootnoteReference"/>
          <w:rFonts w:ascii="Times New Roman" w:hAnsi="Times New Roman"/>
          <w:szCs w:val="24"/>
        </w:rPr>
        <w:footnoteReference w:id="106"/>
      </w:r>
      <w:r w:rsidR="00830EF7" w:rsidRPr="00FD07C8">
        <w:rPr>
          <w:rFonts w:ascii="Times New Roman" w:hAnsi="Times New Roman"/>
          <w:szCs w:val="24"/>
        </w:rPr>
        <w:t xml:space="preserve">  </w:t>
      </w:r>
    </w:p>
    <w:p w:rsidR="00830EF7" w:rsidRPr="00FD07C8" w:rsidRDefault="000C1F43" w:rsidP="00830EF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A6059E" w:rsidRPr="00FD07C8">
        <w:rPr>
          <w:rFonts w:ascii="Times New Roman" w:hAnsi="Times New Roman"/>
          <w:szCs w:val="24"/>
        </w:rPr>
        <w:t xml:space="preserve">In any event, </w:t>
      </w:r>
      <w:r w:rsidR="00830EF7" w:rsidRPr="00FD07C8">
        <w:rPr>
          <w:rFonts w:ascii="Times New Roman" w:hAnsi="Times New Roman"/>
          <w:szCs w:val="24"/>
        </w:rPr>
        <w:t xml:space="preserve">Staff’s </w:t>
      </w:r>
      <w:r w:rsidR="00A6059E" w:rsidRPr="00FD07C8">
        <w:rPr>
          <w:rFonts w:ascii="Times New Roman" w:hAnsi="Times New Roman"/>
          <w:szCs w:val="24"/>
        </w:rPr>
        <w:t xml:space="preserve">cavalier </w:t>
      </w:r>
      <w:r w:rsidR="00830EF7" w:rsidRPr="00FD07C8">
        <w:rPr>
          <w:rFonts w:ascii="Times New Roman" w:hAnsi="Times New Roman"/>
          <w:szCs w:val="24"/>
        </w:rPr>
        <w:t xml:space="preserve">perspective on the impact of </w:t>
      </w:r>
      <w:r w:rsidR="00A6059E" w:rsidRPr="00FD07C8">
        <w:rPr>
          <w:rFonts w:ascii="Times New Roman" w:hAnsi="Times New Roman"/>
          <w:szCs w:val="24"/>
        </w:rPr>
        <w:t>it</w:t>
      </w:r>
      <w:r w:rsidR="00830EF7" w:rsidRPr="00FD07C8">
        <w:rPr>
          <w:rFonts w:ascii="Times New Roman" w:hAnsi="Times New Roman"/>
          <w:szCs w:val="24"/>
        </w:rPr>
        <w:t xml:space="preserve">s proposal on Company’s earnings is troubling.  </w:t>
      </w:r>
      <w:r w:rsidR="00A6059E" w:rsidRPr="00FD07C8">
        <w:rPr>
          <w:rFonts w:ascii="Times New Roman" w:hAnsi="Times New Roman"/>
          <w:szCs w:val="24"/>
        </w:rPr>
        <w:t>Staff’s</w:t>
      </w:r>
      <w:r w:rsidR="00830EF7" w:rsidRPr="00FD07C8">
        <w:rPr>
          <w:rFonts w:ascii="Times New Roman" w:hAnsi="Times New Roman"/>
          <w:szCs w:val="24"/>
        </w:rPr>
        <w:t xml:space="preserve"> proposed retroactive recovery of two years of REC revenues on top of the REC revenues already included in rates in the rate effective period is unprecedented.  The Commission has a responsibility to take into account </w:t>
      </w:r>
      <w:r w:rsidR="005D31EB" w:rsidRPr="00FD07C8">
        <w:rPr>
          <w:rFonts w:ascii="Times New Roman" w:hAnsi="Times New Roman"/>
          <w:szCs w:val="24"/>
        </w:rPr>
        <w:t xml:space="preserve">the impact </w:t>
      </w:r>
      <w:r w:rsidR="00830EF7" w:rsidRPr="00FD07C8">
        <w:rPr>
          <w:rFonts w:ascii="Times New Roman" w:hAnsi="Times New Roman"/>
          <w:szCs w:val="24"/>
        </w:rPr>
        <w:t>of such a proposal on the financial well</w:t>
      </w:r>
      <w:r w:rsidR="00A6059E" w:rsidRPr="00FD07C8">
        <w:rPr>
          <w:rFonts w:ascii="Times New Roman" w:hAnsi="Times New Roman"/>
          <w:szCs w:val="24"/>
        </w:rPr>
        <w:t>-</w:t>
      </w:r>
      <w:r w:rsidR="00830EF7" w:rsidRPr="00FD07C8">
        <w:rPr>
          <w:rFonts w:ascii="Times New Roman" w:hAnsi="Times New Roman"/>
          <w:szCs w:val="24"/>
        </w:rPr>
        <w:t xml:space="preserve">being of the utility.  Staff’s argument to the contrary </w:t>
      </w:r>
      <w:r w:rsidR="00A6059E" w:rsidRPr="00FD07C8">
        <w:rPr>
          <w:rFonts w:ascii="Times New Roman" w:hAnsi="Times New Roman"/>
          <w:szCs w:val="24"/>
        </w:rPr>
        <w:t xml:space="preserve">demonstrates a </w:t>
      </w:r>
      <w:r w:rsidR="00830EF7" w:rsidRPr="00FD07C8">
        <w:rPr>
          <w:rFonts w:ascii="Times New Roman" w:hAnsi="Times New Roman"/>
          <w:szCs w:val="24"/>
        </w:rPr>
        <w:t xml:space="preserve">disregard for the </w:t>
      </w:r>
      <w:r w:rsidR="00233F74" w:rsidRPr="00FD07C8">
        <w:rPr>
          <w:rFonts w:ascii="Times New Roman" w:hAnsi="Times New Roman"/>
          <w:szCs w:val="24"/>
        </w:rPr>
        <w:t>Commission’s need to adhere to Washington and constitutional law and to balance the needs of customers and the utility in making its determination in this case.</w:t>
      </w:r>
    </w:p>
    <w:p w:rsidR="00584F3D" w:rsidRPr="00FD07C8" w:rsidRDefault="000C1F43" w:rsidP="00092D41">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584F3D" w:rsidRPr="00FD07C8">
        <w:rPr>
          <w:rFonts w:ascii="Times New Roman" w:hAnsi="Times New Roman"/>
          <w:szCs w:val="24"/>
        </w:rPr>
        <w:t xml:space="preserve">Public Counsel similarly argues that whether the Company earned </w:t>
      </w:r>
      <w:r w:rsidR="004A196C">
        <w:rPr>
          <w:rFonts w:ascii="Times New Roman" w:hAnsi="Times New Roman"/>
          <w:szCs w:val="24"/>
        </w:rPr>
        <w:t>its authorized return on equity</w:t>
      </w:r>
      <w:r w:rsidR="00584F3D" w:rsidRPr="00FD07C8">
        <w:rPr>
          <w:rFonts w:ascii="Times New Roman" w:hAnsi="Times New Roman"/>
          <w:szCs w:val="24"/>
        </w:rPr>
        <w:t xml:space="preserve"> in 2009 and 2010 is irrelevant to the question of whether the Commission can order a rate credit for REC revenues received during those years.</w:t>
      </w:r>
      <w:r w:rsidR="00584F3D" w:rsidRPr="00FD07C8">
        <w:rPr>
          <w:rStyle w:val="FootnoteReference"/>
          <w:rFonts w:ascii="Times New Roman" w:hAnsi="Times New Roman"/>
          <w:szCs w:val="24"/>
        </w:rPr>
        <w:footnoteReference w:id="107"/>
      </w:r>
      <w:r w:rsidR="00584F3D" w:rsidRPr="00FD07C8">
        <w:rPr>
          <w:rFonts w:ascii="Times New Roman" w:hAnsi="Times New Roman"/>
          <w:szCs w:val="24"/>
        </w:rPr>
        <w:t xml:space="preserve">  Public Counsel cites to a Utah Public Service Commission (Utah Commission) order rejecting </w:t>
      </w:r>
      <w:r w:rsidR="00C45BCD" w:rsidRPr="00FD07C8">
        <w:rPr>
          <w:rFonts w:ascii="Times New Roman" w:hAnsi="Times New Roman"/>
          <w:szCs w:val="24"/>
        </w:rPr>
        <w:t>PacifiCorp’s motion to dismiss an application for deferred accounting of REC revenues filed by industrial customers.</w:t>
      </w:r>
      <w:r w:rsidR="00C45BCD" w:rsidRPr="00FD07C8">
        <w:rPr>
          <w:rStyle w:val="FootnoteReference"/>
          <w:rFonts w:ascii="Times New Roman" w:hAnsi="Times New Roman"/>
          <w:szCs w:val="24"/>
        </w:rPr>
        <w:footnoteReference w:id="108"/>
      </w:r>
      <w:r w:rsidR="00537764" w:rsidRPr="00FD07C8">
        <w:rPr>
          <w:rFonts w:ascii="Times New Roman" w:hAnsi="Times New Roman"/>
          <w:szCs w:val="24"/>
        </w:rPr>
        <w:t xml:space="preserve">  However, the Utah Commission found in that order only that the proponents presented factual and policy issues that warranted further examination, including the factual question of the Company’s earnings in 2009 and </w:t>
      </w:r>
      <w:r w:rsidR="00213565" w:rsidRPr="00FD07C8">
        <w:rPr>
          <w:rFonts w:ascii="Times New Roman" w:hAnsi="Times New Roman"/>
          <w:szCs w:val="24"/>
        </w:rPr>
        <w:t xml:space="preserve">whether </w:t>
      </w:r>
      <w:r w:rsidR="00537764" w:rsidRPr="00FD07C8">
        <w:rPr>
          <w:rFonts w:ascii="Times New Roman" w:hAnsi="Times New Roman"/>
          <w:szCs w:val="24"/>
        </w:rPr>
        <w:t xml:space="preserve">case law foreclosed the retroactive return of revenues for years the utility was </w:t>
      </w:r>
      <w:r w:rsidR="00F17927" w:rsidRPr="00FD07C8">
        <w:rPr>
          <w:rFonts w:ascii="Times New Roman" w:hAnsi="Times New Roman"/>
          <w:szCs w:val="24"/>
        </w:rPr>
        <w:t>under earning</w:t>
      </w:r>
      <w:r w:rsidR="00537764" w:rsidRPr="00FD07C8">
        <w:rPr>
          <w:rFonts w:ascii="Times New Roman" w:hAnsi="Times New Roman"/>
          <w:szCs w:val="24"/>
        </w:rPr>
        <w:t>.</w:t>
      </w:r>
      <w:r w:rsidR="00537764" w:rsidRPr="00FD07C8">
        <w:rPr>
          <w:rStyle w:val="FootnoteReference"/>
          <w:rFonts w:ascii="Times New Roman" w:hAnsi="Times New Roman"/>
          <w:szCs w:val="24"/>
        </w:rPr>
        <w:footnoteReference w:id="109"/>
      </w:r>
      <w:r w:rsidR="00537764" w:rsidRPr="00FD07C8">
        <w:rPr>
          <w:rFonts w:ascii="Times New Roman" w:hAnsi="Times New Roman"/>
          <w:szCs w:val="24"/>
        </w:rPr>
        <w:t xml:space="preserve">  The Utah Commission did not rule on this issue and that case was resolved via settlement.</w:t>
      </w:r>
      <w:r w:rsidR="00537764" w:rsidRPr="00FD07C8">
        <w:rPr>
          <w:rStyle w:val="FootnoteReference"/>
          <w:rFonts w:ascii="Times New Roman" w:hAnsi="Times New Roman"/>
          <w:szCs w:val="24"/>
        </w:rPr>
        <w:footnoteReference w:id="110"/>
      </w:r>
    </w:p>
    <w:p w:rsidR="0036717E" w:rsidRPr="00FD07C8" w:rsidRDefault="000C1F43" w:rsidP="00092D41">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lastRenderedPageBreak/>
        <w:tab/>
      </w:r>
      <w:r w:rsidR="0036717E" w:rsidRPr="00FD07C8">
        <w:rPr>
          <w:rFonts w:ascii="Times New Roman" w:hAnsi="Times New Roman"/>
          <w:szCs w:val="24"/>
        </w:rPr>
        <w:t>Public Counsel also claims that the Company’s earnings in 2009 and 2010 were “quite robust.”</w:t>
      </w:r>
      <w:r w:rsidR="00C45BCD" w:rsidRPr="00FD07C8">
        <w:rPr>
          <w:rStyle w:val="FootnoteReference"/>
          <w:rFonts w:ascii="Times New Roman" w:hAnsi="Times New Roman"/>
          <w:szCs w:val="24"/>
        </w:rPr>
        <w:footnoteReference w:id="111"/>
      </w:r>
      <w:r w:rsidR="00C45BCD" w:rsidRPr="00FD07C8">
        <w:rPr>
          <w:rFonts w:ascii="Times New Roman" w:hAnsi="Times New Roman"/>
          <w:szCs w:val="24"/>
        </w:rPr>
        <w:t xml:space="preserve">  This claim is </w:t>
      </w:r>
      <w:r w:rsidR="005D31EB" w:rsidRPr="00FD07C8">
        <w:rPr>
          <w:rFonts w:ascii="Times New Roman" w:hAnsi="Times New Roman"/>
          <w:szCs w:val="24"/>
        </w:rPr>
        <w:t xml:space="preserve">misleading and </w:t>
      </w:r>
      <w:r w:rsidR="00C45BCD" w:rsidRPr="00FD07C8">
        <w:rPr>
          <w:rFonts w:ascii="Times New Roman" w:hAnsi="Times New Roman"/>
          <w:szCs w:val="24"/>
        </w:rPr>
        <w:t>demonstrably wrong.  The data requests cited by Public Counsel show that the Company under</w:t>
      </w:r>
      <w:r w:rsidR="00213565" w:rsidRPr="00FD07C8">
        <w:rPr>
          <w:rFonts w:ascii="Times New Roman" w:hAnsi="Times New Roman"/>
          <w:szCs w:val="24"/>
        </w:rPr>
        <w:t xml:space="preserve"> </w:t>
      </w:r>
      <w:r w:rsidR="00C45BCD" w:rsidRPr="00FD07C8">
        <w:rPr>
          <w:rFonts w:ascii="Times New Roman" w:hAnsi="Times New Roman"/>
          <w:szCs w:val="24"/>
        </w:rPr>
        <w:t xml:space="preserve">earned </w:t>
      </w:r>
      <w:r w:rsidR="005D31EB" w:rsidRPr="00FD07C8">
        <w:rPr>
          <w:rFonts w:ascii="Times New Roman" w:hAnsi="Times New Roman"/>
          <w:szCs w:val="24"/>
        </w:rPr>
        <w:t xml:space="preserve">on a total-company basis </w:t>
      </w:r>
      <w:r w:rsidR="00C45BCD" w:rsidRPr="00FD07C8">
        <w:rPr>
          <w:rFonts w:ascii="Times New Roman" w:hAnsi="Times New Roman"/>
          <w:szCs w:val="24"/>
        </w:rPr>
        <w:t>in these years.</w:t>
      </w:r>
      <w:r w:rsidR="00C45BCD" w:rsidRPr="00FD07C8">
        <w:rPr>
          <w:rStyle w:val="FootnoteReference"/>
          <w:rFonts w:ascii="Times New Roman" w:hAnsi="Times New Roman"/>
          <w:szCs w:val="24"/>
        </w:rPr>
        <w:footnoteReference w:id="112"/>
      </w:r>
      <w:r w:rsidR="00C45BCD" w:rsidRPr="00FD07C8">
        <w:rPr>
          <w:rFonts w:ascii="Times New Roman" w:hAnsi="Times New Roman"/>
          <w:szCs w:val="24"/>
        </w:rPr>
        <w:t xml:space="preserve">  In addition, Public Counsel’s claim that </w:t>
      </w:r>
      <w:r w:rsidR="0036717E" w:rsidRPr="00FD07C8">
        <w:rPr>
          <w:rFonts w:ascii="Times New Roman" w:hAnsi="Times New Roman"/>
          <w:szCs w:val="24"/>
        </w:rPr>
        <w:t xml:space="preserve">the Company issued dividends </w:t>
      </w:r>
      <w:r w:rsidR="00C45BCD" w:rsidRPr="00FD07C8">
        <w:rPr>
          <w:rFonts w:ascii="Times New Roman" w:hAnsi="Times New Roman"/>
          <w:szCs w:val="24"/>
        </w:rPr>
        <w:t xml:space="preserve">in </w:t>
      </w:r>
      <w:r w:rsidR="00C90044" w:rsidRPr="00FD07C8">
        <w:rPr>
          <w:rFonts w:ascii="Times New Roman" w:hAnsi="Times New Roman"/>
          <w:szCs w:val="24"/>
        </w:rPr>
        <w:t xml:space="preserve">these </w:t>
      </w:r>
      <w:r w:rsidR="00C45BCD" w:rsidRPr="00FD07C8">
        <w:rPr>
          <w:rFonts w:ascii="Times New Roman" w:hAnsi="Times New Roman"/>
          <w:szCs w:val="24"/>
        </w:rPr>
        <w:t xml:space="preserve">years fails to explain that the Company issued dividends </w:t>
      </w:r>
      <w:r w:rsidR="0036717E" w:rsidRPr="00FD07C8">
        <w:rPr>
          <w:rFonts w:ascii="Times New Roman" w:hAnsi="Times New Roman"/>
          <w:szCs w:val="24"/>
        </w:rPr>
        <w:t>only to preferred stock holders</w:t>
      </w:r>
      <w:r w:rsidR="00C45BCD" w:rsidRPr="00FD07C8">
        <w:rPr>
          <w:rFonts w:ascii="Times New Roman" w:hAnsi="Times New Roman"/>
          <w:szCs w:val="24"/>
        </w:rPr>
        <w:t xml:space="preserve"> and did not issue dividends</w:t>
      </w:r>
      <w:r w:rsidR="00830EF7" w:rsidRPr="00FD07C8">
        <w:rPr>
          <w:rFonts w:ascii="Times New Roman" w:hAnsi="Times New Roman"/>
          <w:szCs w:val="24"/>
        </w:rPr>
        <w:t xml:space="preserve"> to common stock holders</w:t>
      </w:r>
      <w:r w:rsidR="00C45BCD" w:rsidRPr="00FD07C8">
        <w:rPr>
          <w:rFonts w:ascii="Times New Roman" w:hAnsi="Times New Roman"/>
          <w:szCs w:val="24"/>
        </w:rPr>
        <w:t>.</w:t>
      </w:r>
      <w:r w:rsidR="00C45BCD" w:rsidRPr="00FD07C8">
        <w:rPr>
          <w:rStyle w:val="FootnoteReference"/>
          <w:rFonts w:ascii="Times New Roman" w:hAnsi="Times New Roman"/>
          <w:szCs w:val="24"/>
        </w:rPr>
        <w:footnoteReference w:id="113"/>
      </w:r>
      <w:r w:rsidR="00C45BCD" w:rsidRPr="00FD07C8">
        <w:rPr>
          <w:rFonts w:ascii="Times New Roman" w:hAnsi="Times New Roman"/>
          <w:szCs w:val="24"/>
        </w:rPr>
        <w:t xml:space="preserve">  The holdings of preferre</w:t>
      </w:r>
      <w:r w:rsidR="00830EF7" w:rsidRPr="00FD07C8">
        <w:rPr>
          <w:rFonts w:ascii="Times New Roman" w:hAnsi="Times New Roman"/>
          <w:szCs w:val="24"/>
        </w:rPr>
        <w:t>d stock</w:t>
      </w:r>
      <w:r w:rsidR="00953740" w:rsidRPr="00FD07C8">
        <w:rPr>
          <w:rFonts w:ascii="Times New Roman" w:hAnsi="Times New Roman"/>
          <w:szCs w:val="24"/>
        </w:rPr>
        <w:t xml:space="preserve"> </w:t>
      </w:r>
      <w:r w:rsidR="00830EF7" w:rsidRPr="00FD07C8">
        <w:rPr>
          <w:rFonts w:ascii="Times New Roman" w:hAnsi="Times New Roman"/>
          <w:szCs w:val="24"/>
        </w:rPr>
        <w:t>holders represent</w:t>
      </w:r>
      <w:r w:rsidR="00C45BCD" w:rsidRPr="00FD07C8">
        <w:rPr>
          <w:rFonts w:ascii="Times New Roman" w:hAnsi="Times New Roman"/>
          <w:szCs w:val="24"/>
        </w:rPr>
        <w:t xml:space="preserve"> only 0.3</w:t>
      </w:r>
      <w:r w:rsidR="004A196C">
        <w:rPr>
          <w:rFonts w:ascii="Times New Roman" w:hAnsi="Times New Roman"/>
          <w:szCs w:val="24"/>
        </w:rPr>
        <w:t xml:space="preserve"> percent</w:t>
      </w:r>
      <w:r w:rsidR="007A6D61" w:rsidRPr="00FD07C8">
        <w:rPr>
          <w:rFonts w:ascii="Times New Roman" w:hAnsi="Times New Roman"/>
          <w:szCs w:val="24"/>
        </w:rPr>
        <w:t xml:space="preserve"> of the Company’s authorized capital structure in Washington</w:t>
      </w:r>
      <w:r w:rsidR="0036717E" w:rsidRPr="00FD07C8">
        <w:rPr>
          <w:rFonts w:ascii="Times New Roman" w:hAnsi="Times New Roman"/>
          <w:szCs w:val="24"/>
        </w:rPr>
        <w:t>.</w:t>
      </w:r>
      <w:r w:rsidR="00C45BCD" w:rsidRPr="00FD07C8">
        <w:rPr>
          <w:rStyle w:val="FootnoteReference"/>
          <w:rFonts w:ascii="Times New Roman" w:hAnsi="Times New Roman"/>
          <w:szCs w:val="24"/>
        </w:rPr>
        <w:footnoteReference w:id="114"/>
      </w:r>
      <w:r w:rsidR="00953740" w:rsidRPr="00FD07C8">
        <w:rPr>
          <w:rFonts w:ascii="Times New Roman" w:hAnsi="Times New Roman"/>
          <w:szCs w:val="24"/>
        </w:rPr>
        <w:t xml:space="preserve">  </w:t>
      </w:r>
    </w:p>
    <w:p w:rsidR="0036717E" w:rsidRPr="00FD07C8" w:rsidRDefault="003A77A0" w:rsidP="00EE60FD">
      <w:pPr>
        <w:pStyle w:val="Heading2"/>
      </w:pPr>
      <w:bookmarkStart w:id="95" w:name="_Toc309373945"/>
      <w:r w:rsidRPr="00FD07C8">
        <w:t>D.</w:t>
      </w:r>
      <w:r w:rsidRPr="00FD07C8">
        <w:tab/>
      </w:r>
      <w:r w:rsidR="0036717E" w:rsidRPr="00FD07C8">
        <w:t xml:space="preserve">Staff </w:t>
      </w:r>
      <w:r w:rsidR="00D340BB" w:rsidRPr="00FD07C8">
        <w:t>M</w:t>
      </w:r>
      <w:r w:rsidR="0036717E" w:rsidRPr="00FD07C8">
        <w:t xml:space="preserve">ischaracterizes the Company’s </w:t>
      </w:r>
      <w:r w:rsidR="00D340BB" w:rsidRPr="00FD07C8">
        <w:t>T</w:t>
      </w:r>
      <w:r w:rsidR="0036717E" w:rsidRPr="00FD07C8">
        <w:t xml:space="preserve">estimony on the </w:t>
      </w:r>
      <w:r w:rsidR="00D340BB" w:rsidRPr="00FD07C8">
        <w:t>R</w:t>
      </w:r>
      <w:r w:rsidR="0036717E" w:rsidRPr="00FD07C8">
        <w:t xml:space="preserve">egulatory </w:t>
      </w:r>
      <w:r w:rsidR="00D340BB" w:rsidRPr="00FD07C8">
        <w:t>E</w:t>
      </w:r>
      <w:r w:rsidR="0036717E" w:rsidRPr="00FD07C8">
        <w:t xml:space="preserve">nvironment in </w:t>
      </w:r>
      <w:r w:rsidR="0036717E" w:rsidRPr="00FD07C8">
        <w:rPr>
          <w:rFonts w:eastAsia="Times"/>
        </w:rPr>
        <w:t>W</w:t>
      </w:r>
      <w:r w:rsidR="0036717E" w:rsidRPr="00FD07C8">
        <w:t>ashington.</w:t>
      </w:r>
      <w:bookmarkEnd w:id="95"/>
    </w:p>
    <w:p w:rsidR="0004122C" w:rsidRPr="00FD07C8" w:rsidRDefault="000C1F43" w:rsidP="00E23708">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E23708" w:rsidRPr="00FD07C8">
        <w:rPr>
          <w:rFonts w:ascii="Times New Roman" w:hAnsi="Times New Roman"/>
          <w:szCs w:val="24"/>
        </w:rPr>
        <w:t xml:space="preserve">Staff’s discussion of PacifiCorp’s testimony on the regulatory environment in Washington is a mischaracterization.  </w:t>
      </w:r>
      <w:r w:rsidR="0036717E" w:rsidRPr="00FD07C8">
        <w:rPr>
          <w:rFonts w:ascii="Times New Roman" w:hAnsi="Times New Roman"/>
          <w:szCs w:val="24"/>
        </w:rPr>
        <w:t>The Company did not “attack” the Commission or its policies as Staff claims.</w:t>
      </w:r>
      <w:r w:rsidR="00E23708" w:rsidRPr="00FD07C8">
        <w:rPr>
          <w:rFonts w:ascii="Times New Roman" w:hAnsi="Times New Roman"/>
          <w:szCs w:val="24"/>
        </w:rPr>
        <w:t xml:space="preserve">  </w:t>
      </w:r>
      <w:r w:rsidR="0036717E" w:rsidRPr="00FD07C8">
        <w:rPr>
          <w:rFonts w:ascii="Times New Roman" w:hAnsi="Times New Roman"/>
          <w:szCs w:val="24"/>
        </w:rPr>
        <w:t xml:space="preserve">The Company </w:t>
      </w:r>
      <w:r w:rsidR="0004122C" w:rsidRPr="00FD07C8">
        <w:rPr>
          <w:rFonts w:ascii="Times New Roman" w:hAnsi="Times New Roman"/>
          <w:szCs w:val="24"/>
        </w:rPr>
        <w:t xml:space="preserve">described the “unique set of challenges” related to the Company’s opportunity to recover its costs and earn its authorized rate </w:t>
      </w:r>
      <w:r w:rsidR="0036717E" w:rsidRPr="00FD07C8">
        <w:rPr>
          <w:rFonts w:ascii="Times New Roman" w:hAnsi="Times New Roman"/>
          <w:szCs w:val="24"/>
        </w:rPr>
        <w:t>of return in Washington.</w:t>
      </w:r>
      <w:r w:rsidR="00D60ECF" w:rsidRPr="00FD07C8">
        <w:rPr>
          <w:rStyle w:val="FootnoteReference"/>
          <w:rFonts w:ascii="Times New Roman" w:hAnsi="Times New Roman"/>
          <w:szCs w:val="24"/>
        </w:rPr>
        <w:footnoteReference w:id="115"/>
      </w:r>
      <w:r w:rsidR="0004122C" w:rsidRPr="00FD07C8">
        <w:rPr>
          <w:rFonts w:ascii="Times New Roman" w:hAnsi="Times New Roman"/>
          <w:szCs w:val="24"/>
        </w:rPr>
        <w:t xml:space="preserve">  Staff’s recommendation that the Commission ignore the overall impact of Washington ratemaking policies on the utility’s opportunity to earn its rate of return is contrary to the Commission’s charge to regulate in the public interest.</w:t>
      </w:r>
    </w:p>
    <w:p w:rsidR="0036717E" w:rsidRPr="00FD07C8" w:rsidRDefault="000C1F43" w:rsidP="00E23708">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 xml:space="preserve">Staff claims that the other two investor-owned utilities </w:t>
      </w:r>
      <w:r w:rsidR="0004122C" w:rsidRPr="00FD07C8">
        <w:rPr>
          <w:rFonts w:ascii="Times New Roman" w:hAnsi="Times New Roman"/>
          <w:szCs w:val="24"/>
        </w:rPr>
        <w:t xml:space="preserve">in Washington </w:t>
      </w:r>
      <w:r w:rsidR="0036717E" w:rsidRPr="00FD07C8">
        <w:rPr>
          <w:rFonts w:ascii="Times New Roman" w:hAnsi="Times New Roman"/>
          <w:szCs w:val="24"/>
        </w:rPr>
        <w:t>are able to operate successfully under the same policies.</w:t>
      </w:r>
      <w:r w:rsidR="0004122C" w:rsidRPr="00FD07C8">
        <w:rPr>
          <w:rStyle w:val="FootnoteReference"/>
          <w:rFonts w:ascii="Times New Roman" w:hAnsi="Times New Roman"/>
          <w:szCs w:val="24"/>
        </w:rPr>
        <w:footnoteReference w:id="116"/>
      </w:r>
      <w:r w:rsidR="0004122C" w:rsidRPr="00FD07C8">
        <w:rPr>
          <w:rFonts w:ascii="Times New Roman" w:hAnsi="Times New Roman"/>
          <w:szCs w:val="24"/>
        </w:rPr>
        <w:t xml:space="preserve">  </w:t>
      </w:r>
      <w:r w:rsidR="00C90044" w:rsidRPr="00FD07C8">
        <w:rPr>
          <w:rFonts w:ascii="Times New Roman" w:hAnsi="Times New Roman"/>
          <w:szCs w:val="24"/>
        </w:rPr>
        <w:t xml:space="preserve">Notably, this statement was not supported by any evidence or citation.  The level of rate case activity over the past several years by Washington’s investor-owned utilities undermines Staff’s unsubstantiated assertion. </w:t>
      </w:r>
      <w:r w:rsidR="00940207" w:rsidRPr="00FD07C8">
        <w:rPr>
          <w:rFonts w:ascii="Times New Roman" w:hAnsi="Times New Roman"/>
          <w:szCs w:val="24"/>
        </w:rPr>
        <w:t xml:space="preserve">  </w:t>
      </w:r>
    </w:p>
    <w:p w:rsidR="0036717E" w:rsidRPr="00FD07C8" w:rsidRDefault="003A77A0" w:rsidP="004F1D7F">
      <w:pPr>
        <w:pStyle w:val="Heading2"/>
      </w:pPr>
      <w:bookmarkStart w:id="96" w:name="_Toc309373946"/>
      <w:r w:rsidRPr="00FD07C8">
        <w:lastRenderedPageBreak/>
        <w:t>E.</w:t>
      </w:r>
      <w:r w:rsidRPr="00FD07C8">
        <w:tab/>
      </w:r>
      <w:r w:rsidR="0036717E" w:rsidRPr="00FD07C8">
        <w:t>Ca</w:t>
      </w:r>
      <w:r w:rsidR="00360728" w:rsidRPr="00FD07C8">
        <w:t>lculation of 2009 and 2010 REC R</w:t>
      </w:r>
      <w:r w:rsidR="0036717E" w:rsidRPr="00FD07C8">
        <w:t>evenues</w:t>
      </w:r>
      <w:bookmarkEnd w:id="96"/>
    </w:p>
    <w:p w:rsidR="0036717E" w:rsidRPr="00FD07C8" w:rsidRDefault="000C1F43" w:rsidP="00E140A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E140A7" w:rsidRPr="00FD07C8">
        <w:rPr>
          <w:rFonts w:ascii="Times New Roman" w:hAnsi="Times New Roman"/>
          <w:szCs w:val="24"/>
        </w:rPr>
        <w:t>Staff, Public Counsel, and ICNU propose i</w:t>
      </w:r>
      <w:r w:rsidR="0036717E" w:rsidRPr="00FD07C8">
        <w:rPr>
          <w:rFonts w:ascii="Times New Roman" w:hAnsi="Times New Roman"/>
          <w:szCs w:val="24"/>
        </w:rPr>
        <w:t>mputing REC revenues that were not allocated to Washington in 2009 and 2010</w:t>
      </w:r>
      <w:r w:rsidR="00E140A7" w:rsidRPr="00FD07C8">
        <w:rPr>
          <w:rFonts w:ascii="Times New Roman" w:hAnsi="Times New Roman"/>
          <w:szCs w:val="24"/>
        </w:rPr>
        <w:t>.</w:t>
      </w:r>
      <w:r w:rsidR="00E140A7" w:rsidRPr="00FD07C8">
        <w:rPr>
          <w:rStyle w:val="FootnoteReference"/>
          <w:rFonts w:ascii="Times New Roman" w:hAnsi="Times New Roman"/>
          <w:szCs w:val="24"/>
        </w:rPr>
        <w:footnoteReference w:id="117"/>
      </w:r>
      <w:r w:rsidR="00E140A7" w:rsidRPr="00FD07C8">
        <w:rPr>
          <w:rFonts w:ascii="Times New Roman" w:hAnsi="Times New Roman"/>
          <w:szCs w:val="24"/>
        </w:rPr>
        <w:t xml:space="preserve">  There is no question that the revenues that Staff, Public Counsel, and ICNU are imputing were not allocated to Washington in those years.  The question is whether the Commission should retroactively change the allocation</w:t>
      </w:r>
      <w:r w:rsidR="00A80C87" w:rsidRPr="00FD07C8">
        <w:rPr>
          <w:rFonts w:ascii="Times New Roman" w:hAnsi="Times New Roman"/>
          <w:szCs w:val="24"/>
        </w:rPr>
        <w:t xml:space="preserve"> of REC revenues</w:t>
      </w:r>
      <w:r w:rsidR="00E140A7" w:rsidRPr="00FD07C8">
        <w:rPr>
          <w:rFonts w:ascii="Times New Roman" w:hAnsi="Times New Roman"/>
          <w:szCs w:val="24"/>
        </w:rPr>
        <w:t xml:space="preserve">, even when the parties had all the information available to them </w:t>
      </w:r>
      <w:r w:rsidR="00A80C87" w:rsidRPr="00FD07C8">
        <w:rPr>
          <w:rFonts w:ascii="Times New Roman" w:hAnsi="Times New Roman"/>
          <w:szCs w:val="24"/>
        </w:rPr>
        <w:t>in 2009 and 2010 to propose changing the allocation on a prospective basis.  Staff continues to claim that Staff “discovered” the need to impute additional RECs during the course of this proceeding,</w:t>
      </w:r>
      <w:r w:rsidR="00A80C87" w:rsidRPr="00FD07C8">
        <w:rPr>
          <w:rStyle w:val="FootnoteReference"/>
          <w:rFonts w:ascii="Times New Roman" w:hAnsi="Times New Roman"/>
          <w:szCs w:val="24"/>
        </w:rPr>
        <w:footnoteReference w:id="118"/>
      </w:r>
      <w:r w:rsidR="00A80C87" w:rsidRPr="00FD07C8">
        <w:rPr>
          <w:rFonts w:ascii="Times New Roman" w:hAnsi="Times New Roman"/>
          <w:szCs w:val="24"/>
        </w:rPr>
        <w:t xml:space="preserve"> but as the Company has explained, </w:t>
      </w:r>
      <w:r w:rsidR="006029A7" w:rsidRPr="00FD07C8">
        <w:rPr>
          <w:rFonts w:ascii="Times New Roman" w:hAnsi="Times New Roman"/>
          <w:szCs w:val="24"/>
        </w:rPr>
        <w:t>Staff has known this information for almost three years</w:t>
      </w:r>
      <w:r w:rsidR="00A80C87" w:rsidRPr="00FD07C8">
        <w:rPr>
          <w:rFonts w:ascii="Times New Roman" w:hAnsi="Times New Roman"/>
          <w:szCs w:val="24"/>
        </w:rPr>
        <w:t>.</w:t>
      </w:r>
      <w:r w:rsidR="00A80C87" w:rsidRPr="00FD07C8">
        <w:rPr>
          <w:rStyle w:val="FootnoteReference"/>
          <w:rFonts w:ascii="Times New Roman" w:hAnsi="Times New Roman"/>
          <w:szCs w:val="24"/>
        </w:rPr>
        <w:footnoteReference w:id="119"/>
      </w:r>
      <w:r w:rsidR="006029A7" w:rsidRPr="00FD07C8">
        <w:rPr>
          <w:rFonts w:ascii="Times New Roman" w:hAnsi="Times New Roman"/>
          <w:szCs w:val="24"/>
        </w:rPr>
        <w:t xml:space="preserve">  Moreover, t</w:t>
      </w:r>
      <w:r w:rsidR="00A80C87" w:rsidRPr="00FD07C8">
        <w:rPr>
          <w:rFonts w:ascii="Times New Roman" w:hAnsi="Times New Roman"/>
          <w:szCs w:val="24"/>
        </w:rPr>
        <w:t>he REC</w:t>
      </w:r>
      <w:r w:rsidR="006029A7" w:rsidRPr="00FD07C8">
        <w:rPr>
          <w:rFonts w:ascii="Times New Roman" w:hAnsi="Times New Roman"/>
          <w:szCs w:val="24"/>
        </w:rPr>
        <w:t xml:space="preserve"> revenue</w:t>
      </w:r>
      <w:r w:rsidR="00A80C87" w:rsidRPr="00FD07C8">
        <w:rPr>
          <w:rFonts w:ascii="Times New Roman" w:hAnsi="Times New Roman"/>
          <w:szCs w:val="24"/>
        </w:rPr>
        <w:t>s included in rates for 2009 and 2010 and the baseline in the 2009 GRC stipulation were based on the allocation method used in the Company’s filing.</w:t>
      </w:r>
      <w:r w:rsidR="00346028" w:rsidRPr="00FD07C8">
        <w:rPr>
          <w:rFonts w:ascii="Times New Roman" w:hAnsi="Times New Roman"/>
          <w:szCs w:val="24"/>
        </w:rPr>
        <w:t xml:space="preserve">  Imputing additional revenue on a retroactive basis</w:t>
      </w:r>
      <w:r w:rsidR="0036717E" w:rsidRPr="00FD07C8">
        <w:rPr>
          <w:rFonts w:ascii="Times New Roman" w:hAnsi="Times New Roman"/>
          <w:szCs w:val="24"/>
        </w:rPr>
        <w:t xml:space="preserve"> </w:t>
      </w:r>
      <w:r w:rsidR="00346028" w:rsidRPr="00FD07C8">
        <w:rPr>
          <w:rFonts w:ascii="Times New Roman" w:hAnsi="Times New Roman"/>
          <w:szCs w:val="24"/>
        </w:rPr>
        <w:t xml:space="preserve">adds to the unfairness of the </w:t>
      </w:r>
      <w:r w:rsidR="00A75FA6" w:rsidRPr="00FD07C8">
        <w:rPr>
          <w:rFonts w:ascii="Times New Roman" w:hAnsi="Times New Roman"/>
          <w:szCs w:val="24"/>
        </w:rPr>
        <w:t xml:space="preserve">Responding Parties’ </w:t>
      </w:r>
      <w:r w:rsidR="00346028" w:rsidRPr="00FD07C8">
        <w:rPr>
          <w:rFonts w:ascii="Times New Roman" w:hAnsi="Times New Roman"/>
          <w:szCs w:val="24"/>
        </w:rPr>
        <w:t>proposals</w:t>
      </w:r>
      <w:r w:rsidR="0036717E" w:rsidRPr="00FD07C8">
        <w:rPr>
          <w:rFonts w:ascii="Times New Roman" w:hAnsi="Times New Roman"/>
          <w:szCs w:val="24"/>
        </w:rPr>
        <w:t>.</w:t>
      </w:r>
    </w:p>
    <w:p w:rsidR="007A428C" w:rsidRPr="00FD07C8" w:rsidRDefault="000C1F43" w:rsidP="00E140A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7A428C" w:rsidRPr="00FD07C8">
        <w:rPr>
          <w:rFonts w:ascii="Times New Roman" w:hAnsi="Times New Roman"/>
          <w:szCs w:val="24"/>
        </w:rPr>
        <w:t>ICNU claims that the Company agrees with “ICNU, Staff and Public Counsel’s approach, but only on a going forward basis.”</w:t>
      </w:r>
      <w:r w:rsidR="007A428C" w:rsidRPr="00FD07C8">
        <w:rPr>
          <w:rStyle w:val="FootnoteReference"/>
          <w:rFonts w:ascii="Times New Roman" w:hAnsi="Times New Roman"/>
          <w:szCs w:val="24"/>
        </w:rPr>
        <w:footnoteReference w:id="120"/>
      </w:r>
      <w:r w:rsidR="007A428C" w:rsidRPr="00FD07C8">
        <w:rPr>
          <w:rFonts w:ascii="Times New Roman" w:hAnsi="Times New Roman"/>
          <w:szCs w:val="24"/>
        </w:rPr>
        <w:t xml:space="preserve">  It was the Company, however, </w:t>
      </w:r>
      <w:r w:rsidR="00C90044" w:rsidRPr="00FD07C8">
        <w:rPr>
          <w:rFonts w:ascii="Times New Roman" w:hAnsi="Times New Roman"/>
          <w:szCs w:val="24"/>
        </w:rPr>
        <w:t xml:space="preserve">who </w:t>
      </w:r>
      <w:r w:rsidR="007A428C" w:rsidRPr="00FD07C8">
        <w:rPr>
          <w:rFonts w:ascii="Times New Roman" w:hAnsi="Times New Roman"/>
          <w:szCs w:val="24"/>
        </w:rPr>
        <w:t xml:space="preserve">proposed the methodology now adopted by the </w:t>
      </w:r>
      <w:r w:rsidR="00A75FA6" w:rsidRPr="00FD07C8">
        <w:rPr>
          <w:rFonts w:ascii="Times New Roman" w:hAnsi="Times New Roman"/>
          <w:szCs w:val="24"/>
        </w:rPr>
        <w:t>Responding Parties</w:t>
      </w:r>
      <w:r w:rsidR="007A428C" w:rsidRPr="00FD07C8">
        <w:rPr>
          <w:rFonts w:ascii="Times New Roman" w:hAnsi="Times New Roman"/>
          <w:szCs w:val="24"/>
        </w:rPr>
        <w:t>.  The Company appropriately applied the new approach on a prospective basis only.</w:t>
      </w:r>
    </w:p>
    <w:p w:rsidR="0036717E" w:rsidRPr="00FD07C8" w:rsidRDefault="000C1F43" w:rsidP="00E140A7">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46028" w:rsidRPr="00FD07C8">
        <w:rPr>
          <w:rFonts w:ascii="Times New Roman" w:hAnsi="Times New Roman"/>
          <w:szCs w:val="24"/>
        </w:rPr>
        <w:t xml:space="preserve">In addition, Staff’s proposed change to the allocation of 2009 and 2010 REC revenues is inconsistent with Staff’s claim </w:t>
      </w:r>
      <w:r w:rsidR="0036717E" w:rsidRPr="00FD07C8">
        <w:rPr>
          <w:rFonts w:ascii="Times New Roman" w:hAnsi="Times New Roman"/>
          <w:szCs w:val="24"/>
        </w:rPr>
        <w:t xml:space="preserve">that </w:t>
      </w:r>
      <w:r w:rsidR="00346028" w:rsidRPr="00FD07C8">
        <w:rPr>
          <w:rFonts w:ascii="Times New Roman" w:hAnsi="Times New Roman"/>
          <w:szCs w:val="24"/>
        </w:rPr>
        <w:t xml:space="preserve">some of </w:t>
      </w:r>
      <w:r w:rsidR="0036717E" w:rsidRPr="00FD07C8">
        <w:rPr>
          <w:rFonts w:ascii="Times New Roman" w:hAnsi="Times New Roman"/>
          <w:szCs w:val="24"/>
        </w:rPr>
        <w:t>the Company’s arguments are “too late” based on the Commission’s order.</w:t>
      </w:r>
      <w:r w:rsidR="00261E2B" w:rsidRPr="00FD07C8">
        <w:rPr>
          <w:rStyle w:val="FootnoteReference"/>
          <w:rFonts w:ascii="Times New Roman" w:hAnsi="Times New Roman"/>
          <w:szCs w:val="24"/>
        </w:rPr>
        <w:footnoteReference w:id="121"/>
      </w:r>
      <w:r w:rsidR="00261E2B" w:rsidRPr="00FD07C8">
        <w:rPr>
          <w:rFonts w:ascii="Times New Roman" w:hAnsi="Times New Roman"/>
          <w:szCs w:val="24"/>
        </w:rPr>
        <w:t xml:space="preserve">  Staff’s position that the Company cannot at this point argue in favor of an earnings review and to evaluate the one-sided nature of the other parties </w:t>
      </w:r>
      <w:r w:rsidR="00F6767C" w:rsidRPr="00FD07C8">
        <w:rPr>
          <w:rFonts w:ascii="Times New Roman" w:hAnsi="Times New Roman"/>
          <w:szCs w:val="24"/>
        </w:rPr>
        <w:t xml:space="preserve">proposals is </w:t>
      </w:r>
      <w:r w:rsidR="00F6767C" w:rsidRPr="00FD07C8">
        <w:rPr>
          <w:rFonts w:ascii="Times New Roman" w:hAnsi="Times New Roman"/>
          <w:szCs w:val="24"/>
        </w:rPr>
        <w:lastRenderedPageBreak/>
        <w:t xml:space="preserve">inconsistent </w:t>
      </w:r>
      <w:r w:rsidR="00261E2B" w:rsidRPr="00FD07C8">
        <w:rPr>
          <w:rFonts w:ascii="Times New Roman" w:hAnsi="Times New Roman"/>
          <w:szCs w:val="24"/>
        </w:rPr>
        <w:t>with Staff’s attempt to reallocate and impute additional revenues in 2009 and 2010.</w:t>
      </w:r>
      <w:r w:rsidR="00C90044" w:rsidRPr="00FD07C8">
        <w:rPr>
          <w:rFonts w:ascii="Times New Roman" w:hAnsi="Times New Roman"/>
          <w:szCs w:val="24"/>
        </w:rPr>
        <w:t xml:space="preserve">  The Commission’s order is clear that this phase of the proceeding is to assess REC proceeds actually received by the Company, not imputed revenues.</w:t>
      </w:r>
      <w:r w:rsidR="00C90044" w:rsidRPr="00FD07C8">
        <w:rPr>
          <w:rStyle w:val="FootnoteReference"/>
          <w:rFonts w:ascii="Times New Roman" w:hAnsi="Times New Roman"/>
          <w:szCs w:val="24"/>
        </w:rPr>
        <w:footnoteReference w:id="122"/>
      </w:r>
    </w:p>
    <w:p w:rsidR="006B2E90" w:rsidRPr="00FD07C8" w:rsidRDefault="000C1F43" w:rsidP="006B2E90">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7A428C" w:rsidRPr="00FD07C8">
        <w:rPr>
          <w:rFonts w:ascii="Times New Roman" w:hAnsi="Times New Roman"/>
          <w:szCs w:val="24"/>
        </w:rPr>
        <w:t xml:space="preserve">Staff, Public Counsel, and ICNU argue that </w:t>
      </w:r>
      <w:r w:rsidR="0036717E" w:rsidRPr="00FD07C8">
        <w:rPr>
          <w:rFonts w:ascii="Times New Roman" w:hAnsi="Times New Roman"/>
          <w:szCs w:val="24"/>
        </w:rPr>
        <w:t>2009 REC revenues</w:t>
      </w:r>
      <w:r w:rsidR="006B2E90" w:rsidRPr="00FD07C8">
        <w:rPr>
          <w:rStyle w:val="FootnoteReference"/>
          <w:rFonts w:ascii="Times New Roman" w:hAnsi="Times New Roman"/>
          <w:szCs w:val="24"/>
        </w:rPr>
        <w:footnoteReference w:id="123"/>
      </w:r>
      <w:r w:rsidR="0036717E" w:rsidRPr="00FD07C8">
        <w:rPr>
          <w:rFonts w:ascii="Times New Roman" w:hAnsi="Times New Roman"/>
          <w:szCs w:val="24"/>
        </w:rPr>
        <w:t xml:space="preserve"> should </w:t>
      </w:r>
      <w:r w:rsidR="007A428C" w:rsidRPr="00FD07C8">
        <w:rPr>
          <w:rFonts w:ascii="Times New Roman" w:hAnsi="Times New Roman"/>
          <w:szCs w:val="24"/>
        </w:rPr>
        <w:t xml:space="preserve">not </w:t>
      </w:r>
      <w:r w:rsidR="0036717E" w:rsidRPr="00FD07C8">
        <w:rPr>
          <w:rFonts w:ascii="Times New Roman" w:hAnsi="Times New Roman"/>
          <w:szCs w:val="24"/>
        </w:rPr>
        <w:t xml:space="preserve">be offset by the amount of REC revenues included in the Company’s 2008 </w:t>
      </w:r>
      <w:r w:rsidR="007A428C" w:rsidRPr="00FD07C8">
        <w:rPr>
          <w:rFonts w:ascii="Times New Roman" w:hAnsi="Times New Roman"/>
          <w:szCs w:val="24"/>
        </w:rPr>
        <w:t>GRC</w:t>
      </w:r>
      <w:r w:rsidR="0036717E" w:rsidRPr="00FD07C8">
        <w:rPr>
          <w:rFonts w:ascii="Times New Roman" w:hAnsi="Times New Roman"/>
          <w:szCs w:val="24"/>
        </w:rPr>
        <w:t>.</w:t>
      </w:r>
      <w:r w:rsidR="007A428C" w:rsidRPr="00FD07C8">
        <w:rPr>
          <w:rStyle w:val="FootnoteReference"/>
          <w:rFonts w:ascii="Times New Roman" w:hAnsi="Times New Roman"/>
          <w:szCs w:val="24"/>
        </w:rPr>
        <w:footnoteReference w:id="124"/>
      </w:r>
      <w:r w:rsidR="007A428C" w:rsidRPr="00FD07C8">
        <w:rPr>
          <w:rFonts w:ascii="Times New Roman" w:hAnsi="Times New Roman"/>
          <w:szCs w:val="24"/>
        </w:rPr>
        <w:t xml:space="preserve">  </w:t>
      </w:r>
      <w:r w:rsidR="006B2E90" w:rsidRPr="00FD07C8">
        <w:rPr>
          <w:rFonts w:ascii="Times New Roman" w:hAnsi="Times New Roman"/>
          <w:szCs w:val="24"/>
        </w:rPr>
        <w:t xml:space="preserve">They argue that the 2008 GRC stipulation did not include a baseline for REC revenues, so 2009 REC revenues should not be offset.  </w:t>
      </w:r>
      <w:r w:rsidR="007A428C" w:rsidRPr="00FD07C8">
        <w:rPr>
          <w:rFonts w:ascii="Times New Roman" w:hAnsi="Times New Roman"/>
          <w:szCs w:val="24"/>
        </w:rPr>
        <w:t xml:space="preserve">The </w:t>
      </w:r>
      <w:r w:rsidR="00A75FA6" w:rsidRPr="00FD07C8">
        <w:rPr>
          <w:rFonts w:ascii="Times New Roman" w:hAnsi="Times New Roman"/>
          <w:szCs w:val="24"/>
        </w:rPr>
        <w:t>Responding P</w:t>
      </w:r>
      <w:r w:rsidR="007A428C" w:rsidRPr="00FD07C8">
        <w:rPr>
          <w:rFonts w:ascii="Times New Roman" w:hAnsi="Times New Roman"/>
          <w:szCs w:val="24"/>
        </w:rPr>
        <w:t>arties’ proposal to exclude the $576,254 of REC revenues</w:t>
      </w:r>
      <w:r w:rsidR="006B2E90" w:rsidRPr="00FD07C8">
        <w:rPr>
          <w:rFonts w:ascii="Times New Roman" w:hAnsi="Times New Roman"/>
          <w:szCs w:val="24"/>
        </w:rPr>
        <w:t xml:space="preserve"> that were</w:t>
      </w:r>
      <w:r w:rsidR="007A428C" w:rsidRPr="00FD07C8">
        <w:rPr>
          <w:rFonts w:ascii="Times New Roman" w:hAnsi="Times New Roman"/>
          <w:szCs w:val="24"/>
        </w:rPr>
        <w:t xml:space="preserve"> included in the Company’s 2008 GRC </w:t>
      </w:r>
      <w:r w:rsidR="006B2E90" w:rsidRPr="00FD07C8">
        <w:rPr>
          <w:rFonts w:ascii="Times New Roman" w:hAnsi="Times New Roman"/>
          <w:szCs w:val="24"/>
        </w:rPr>
        <w:t xml:space="preserve">filing </w:t>
      </w:r>
      <w:r w:rsidR="007A428C" w:rsidRPr="00FD07C8">
        <w:rPr>
          <w:rFonts w:ascii="Times New Roman" w:hAnsi="Times New Roman"/>
          <w:szCs w:val="24"/>
        </w:rPr>
        <w:t xml:space="preserve">emphasizes the unreasonableness of their </w:t>
      </w:r>
      <w:r w:rsidR="006B2E90" w:rsidRPr="00FD07C8">
        <w:rPr>
          <w:rFonts w:ascii="Times New Roman" w:hAnsi="Times New Roman"/>
          <w:szCs w:val="24"/>
        </w:rPr>
        <w:t xml:space="preserve">overall </w:t>
      </w:r>
      <w:r w:rsidR="007A428C" w:rsidRPr="00FD07C8">
        <w:rPr>
          <w:rFonts w:ascii="Times New Roman" w:hAnsi="Times New Roman"/>
          <w:szCs w:val="24"/>
        </w:rPr>
        <w:t>proposal</w:t>
      </w:r>
      <w:r w:rsidR="00A75FA6" w:rsidRPr="00FD07C8">
        <w:rPr>
          <w:rFonts w:ascii="Times New Roman" w:hAnsi="Times New Roman"/>
          <w:szCs w:val="24"/>
        </w:rPr>
        <w:t>s</w:t>
      </w:r>
      <w:r w:rsidR="007A428C" w:rsidRPr="00FD07C8">
        <w:rPr>
          <w:rFonts w:ascii="Times New Roman" w:hAnsi="Times New Roman"/>
          <w:szCs w:val="24"/>
        </w:rPr>
        <w:t xml:space="preserve">.  The </w:t>
      </w:r>
      <w:r w:rsidR="00A75FA6" w:rsidRPr="00FD07C8">
        <w:rPr>
          <w:rFonts w:ascii="Times New Roman" w:hAnsi="Times New Roman"/>
          <w:szCs w:val="24"/>
        </w:rPr>
        <w:t>Responding P</w:t>
      </w:r>
      <w:r w:rsidR="007A428C" w:rsidRPr="00FD07C8">
        <w:rPr>
          <w:rFonts w:ascii="Times New Roman" w:hAnsi="Times New Roman"/>
          <w:szCs w:val="24"/>
        </w:rPr>
        <w:t xml:space="preserve">arties </w:t>
      </w:r>
      <w:r w:rsidR="006B2E90" w:rsidRPr="00FD07C8">
        <w:rPr>
          <w:rFonts w:ascii="Times New Roman" w:hAnsi="Times New Roman"/>
          <w:szCs w:val="24"/>
        </w:rPr>
        <w:t>did not include a baseline for REC revenues in</w:t>
      </w:r>
      <w:r w:rsidR="00A050B6" w:rsidRPr="00FD07C8">
        <w:rPr>
          <w:rFonts w:ascii="Times New Roman" w:hAnsi="Times New Roman"/>
          <w:szCs w:val="24"/>
        </w:rPr>
        <w:t xml:space="preserve"> the</w:t>
      </w:r>
      <w:r w:rsidR="006B2E90" w:rsidRPr="00FD07C8">
        <w:rPr>
          <w:rFonts w:ascii="Times New Roman" w:hAnsi="Times New Roman"/>
          <w:szCs w:val="24"/>
        </w:rPr>
        <w:t xml:space="preserve"> 2008 GRC stipulation because they </w:t>
      </w:r>
      <w:r w:rsidR="007A428C" w:rsidRPr="00FD07C8">
        <w:rPr>
          <w:rFonts w:ascii="Times New Roman" w:hAnsi="Times New Roman"/>
          <w:szCs w:val="24"/>
        </w:rPr>
        <w:t>had not contemplated the potential for filing a deferred accounting application for 2009 REC revenues as they did in the case of 2010 REC revenues.</w:t>
      </w:r>
      <w:r w:rsidR="006B2E90" w:rsidRPr="00FD07C8">
        <w:rPr>
          <w:rFonts w:ascii="Times New Roman" w:hAnsi="Times New Roman"/>
          <w:szCs w:val="24"/>
        </w:rPr>
        <w:t xml:space="preserve">  On one hand</w:t>
      </w:r>
      <w:r w:rsidR="00A75FA6" w:rsidRPr="00FD07C8">
        <w:rPr>
          <w:rFonts w:ascii="Times New Roman" w:hAnsi="Times New Roman"/>
          <w:szCs w:val="24"/>
        </w:rPr>
        <w:t>,</w:t>
      </w:r>
      <w:r w:rsidR="006B2E90" w:rsidRPr="00FD07C8">
        <w:rPr>
          <w:rFonts w:ascii="Times New Roman" w:hAnsi="Times New Roman"/>
          <w:szCs w:val="24"/>
        </w:rPr>
        <w:t xml:space="preserve"> the </w:t>
      </w:r>
      <w:r w:rsidR="00A75FA6" w:rsidRPr="00FD07C8">
        <w:rPr>
          <w:rFonts w:ascii="Times New Roman" w:hAnsi="Times New Roman"/>
          <w:szCs w:val="24"/>
        </w:rPr>
        <w:t>Responding P</w:t>
      </w:r>
      <w:r w:rsidR="006B2E90" w:rsidRPr="00FD07C8">
        <w:rPr>
          <w:rFonts w:ascii="Times New Roman" w:hAnsi="Times New Roman"/>
          <w:szCs w:val="24"/>
        </w:rPr>
        <w:t>arties are arguing that the Company should get no credit for 2008 REC revenues included in rates because they did not contemplate filing a deferred accounting application in the 2008 GRC stipulation, and on the other</w:t>
      </w:r>
      <w:r w:rsidR="00A75FA6" w:rsidRPr="00FD07C8">
        <w:rPr>
          <w:rFonts w:ascii="Times New Roman" w:hAnsi="Times New Roman"/>
          <w:szCs w:val="24"/>
        </w:rPr>
        <w:t>,</w:t>
      </w:r>
      <w:r w:rsidR="006B2E90" w:rsidRPr="00FD07C8">
        <w:rPr>
          <w:rFonts w:ascii="Times New Roman" w:hAnsi="Times New Roman"/>
          <w:szCs w:val="24"/>
        </w:rPr>
        <w:t xml:space="preserve"> they are arguing that even though the parties contemplated filing a deferred accounting application in the 2009 GRC stipulation, they do not need to file one to have those REC revenues be included in rates.  </w:t>
      </w:r>
    </w:p>
    <w:p w:rsidR="007A428C" w:rsidRPr="00FD07C8" w:rsidRDefault="000C1F43" w:rsidP="007A428C">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6B2E90" w:rsidRPr="00FD07C8">
        <w:rPr>
          <w:rFonts w:ascii="Times New Roman" w:hAnsi="Times New Roman"/>
          <w:szCs w:val="24"/>
        </w:rPr>
        <w:t xml:space="preserve">Moreover, as the Company explained in its </w:t>
      </w:r>
      <w:r w:rsidR="001C70CF" w:rsidRPr="00FD07C8">
        <w:rPr>
          <w:rFonts w:ascii="Times New Roman" w:hAnsi="Times New Roman"/>
          <w:szCs w:val="24"/>
        </w:rPr>
        <w:t>Initial Post-Hearing Brief</w:t>
      </w:r>
      <w:r w:rsidR="006B2E90" w:rsidRPr="00FD07C8">
        <w:rPr>
          <w:rFonts w:ascii="Times New Roman" w:hAnsi="Times New Roman"/>
          <w:szCs w:val="24"/>
        </w:rPr>
        <w:t xml:space="preserve">, under Commission precedent, the remedy for not having a baseline against which to measure the amounts deferred is to reject the deferral, not to assume </w:t>
      </w:r>
      <w:r w:rsidR="00A75FA6" w:rsidRPr="00FD07C8">
        <w:rPr>
          <w:rFonts w:ascii="Times New Roman" w:hAnsi="Times New Roman"/>
          <w:szCs w:val="24"/>
        </w:rPr>
        <w:t xml:space="preserve">a </w:t>
      </w:r>
      <w:r w:rsidR="006B2E90" w:rsidRPr="00FD07C8">
        <w:rPr>
          <w:rFonts w:ascii="Times New Roman" w:hAnsi="Times New Roman"/>
          <w:szCs w:val="24"/>
        </w:rPr>
        <w:t xml:space="preserve">baseline </w:t>
      </w:r>
      <w:r w:rsidR="00A75FA6" w:rsidRPr="00FD07C8">
        <w:rPr>
          <w:rFonts w:ascii="Times New Roman" w:hAnsi="Times New Roman"/>
          <w:szCs w:val="24"/>
        </w:rPr>
        <w:t>of zero</w:t>
      </w:r>
      <w:r w:rsidR="006B2E90" w:rsidRPr="00FD07C8">
        <w:rPr>
          <w:rFonts w:ascii="Times New Roman" w:hAnsi="Times New Roman"/>
          <w:szCs w:val="24"/>
        </w:rPr>
        <w:t>.</w:t>
      </w:r>
      <w:r w:rsidR="006B2E90" w:rsidRPr="00FD07C8">
        <w:rPr>
          <w:rStyle w:val="FootnoteReference"/>
          <w:rFonts w:ascii="Times New Roman" w:hAnsi="Times New Roman"/>
          <w:szCs w:val="24"/>
        </w:rPr>
        <w:footnoteReference w:id="125"/>
      </w:r>
      <w:r w:rsidR="006B2E90" w:rsidRPr="00FD07C8">
        <w:rPr>
          <w:rFonts w:ascii="Times New Roman" w:hAnsi="Times New Roman"/>
          <w:szCs w:val="24"/>
        </w:rPr>
        <w:t xml:space="preserve">  </w:t>
      </w:r>
      <w:r w:rsidR="007A428C" w:rsidRPr="00FD07C8">
        <w:rPr>
          <w:rFonts w:ascii="Times New Roman" w:hAnsi="Times New Roman"/>
          <w:szCs w:val="24"/>
        </w:rPr>
        <w:t xml:space="preserve">The fact that the parties are arguing </w:t>
      </w:r>
      <w:r w:rsidR="007A428C" w:rsidRPr="00FD07C8">
        <w:rPr>
          <w:rFonts w:ascii="Times New Roman" w:hAnsi="Times New Roman"/>
          <w:szCs w:val="24"/>
        </w:rPr>
        <w:lastRenderedPageBreak/>
        <w:t xml:space="preserve">about the baseline for 2009 REC revenues </w:t>
      </w:r>
      <w:r w:rsidR="00A75FA6" w:rsidRPr="00FD07C8">
        <w:rPr>
          <w:rFonts w:ascii="Times New Roman" w:hAnsi="Times New Roman"/>
          <w:szCs w:val="24"/>
        </w:rPr>
        <w:t xml:space="preserve">shows that </w:t>
      </w:r>
      <w:r w:rsidR="007A428C" w:rsidRPr="00FD07C8">
        <w:rPr>
          <w:rFonts w:ascii="Times New Roman" w:hAnsi="Times New Roman"/>
          <w:szCs w:val="24"/>
        </w:rPr>
        <w:t>the Commission</w:t>
      </w:r>
      <w:r w:rsidR="00A75FA6" w:rsidRPr="00FD07C8">
        <w:rPr>
          <w:rFonts w:ascii="Times New Roman" w:hAnsi="Times New Roman"/>
          <w:szCs w:val="24"/>
        </w:rPr>
        <w:t>’s previously expressed concerns on this issue are</w:t>
      </w:r>
      <w:r w:rsidR="006B2E90" w:rsidRPr="00FD07C8">
        <w:rPr>
          <w:rFonts w:ascii="Times New Roman" w:hAnsi="Times New Roman"/>
          <w:szCs w:val="24"/>
        </w:rPr>
        <w:t xml:space="preserve"> implicated here</w:t>
      </w:r>
      <w:r w:rsidR="007A428C" w:rsidRPr="00FD07C8">
        <w:rPr>
          <w:rFonts w:ascii="Times New Roman" w:hAnsi="Times New Roman"/>
          <w:szCs w:val="24"/>
        </w:rPr>
        <w:t>.</w:t>
      </w:r>
      <w:r w:rsidR="006B2E90" w:rsidRPr="00FD07C8">
        <w:rPr>
          <w:rFonts w:ascii="Times New Roman" w:hAnsi="Times New Roman"/>
          <w:szCs w:val="24"/>
        </w:rPr>
        <w:t xml:space="preserve">  </w:t>
      </w:r>
      <w:r w:rsidR="007A428C" w:rsidRPr="00FD07C8">
        <w:rPr>
          <w:rFonts w:ascii="Times New Roman" w:hAnsi="Times New Roman"/>
          <w:szCs w:val="24"/>
        </w:rPr>
        <w:t>The absence of a 2009 REC baseline means that 2009 REC</w:t>
      </w:r>
      <w:r w:rsidR="00814F29">
        <w:rPr>
          <w:rFonts w:ascii="Times New Roman" w:hAnsi="Times New Roman"/>
          <w:szCs w:val="24"/>
        </w:rPr>
        <w:t xml:space="preserve"> revenue</w:t>
      </w:r>
      <w:r w:rsidR="007A428C" w:rsidRPr="00FD07C8">
        <w:rPr>
          <w:rFonts w:ascii="Times New Roman" w:hAnsi="Times New Roman"/>
          <w:szCs w:val="24"/>
        </w:rPr>
        <w:t>s cannot be measured accurately and including them in rates is inappropriate.</w:t>
      </w:r>
    </w:p>
    <w:p w:rsidR="0036717E" w:rsidRPr="00FD07C8" w:rsidRDefault="000C1F43" w:rsidP="001144E3">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 xml:space="preserve">The Commission should reject ICNU/PC’s calculation </w:t>
      </w:r>
      <w:r w:rsidR="001144E3" w:rsidRPr="00FD07C8">
        <w:rPr>
          <w:rFonts w:ascii="Times New Roman" w:hAnsi="Times New Roman"/>
          <w:szCs w:val="24"/>
        </w:rPr>
        <w:t xml:space="preserve">of REC revenues </w:t>
      </w:r>
      <w:r w:rsidR="0036717E" w:rsidRPr="00FD07C8">
        <w:rPr>
          <w:rFonts w:ascii="Times New Roman" w:hAnsi="Times New Roman"/>
          <w:szCs w:val="24"/>
        </w:rPr>
        <w:t>that assumes the Company can sell 100 percent of RECs.</w:t>
      </w:r>
      <w:r w:rsidR="001144E3" w:rsidRPr="00FD07C8">
        <w:rPr>
          <w:rFonts w:ascii="Times New Roman" w:hAnsi="Times New Roman"/>
          <w:szCs w:val="24"/>
        </w:rPr>
        <w:t xml:space="preserve">  </w:t>
      </w:r>
      <w:r w:rsidR="0036717E" w:rsidRPr="00FD07C8">
        <w:rPr>
          <w:rFonts w:ascii="Times New Roman" w:hAnsi="Times New Roman"/>
          <w:szCs w:val="24"/>
        </w:rPr>
        <w:t>Public Counsel</w:t>
      </w:r>
      <w:r w:rsidR="001144E3" w:rsidRPr="00FD07C8">
        <w:rPr>
          <w:rFonts w:ascii="Times New Roman" w:hAnsi="Times New Roman"/>
          <w:szCs w:val="24"/>
        </w:rPr>
        <w:t xml:space="preserve"> claims</w:t>
      </w:r>
      <w:r w:rsidR="0036717E" w:rsidRPr="00FD07C8">
        <w:rPr>
          <w:rFonts w:ascii="Times New Roman" w:hAnsi="Times New Roman"/>
          <w:szCs w:val="24"/>
        </w:rPr>
        <w:t xml:space="preserve"> that it would be “the prudent course of action for PacifiCorp to sell 100 percent of RECs</w:t>
      </w:r>
      <w:r w:rsidR="001144E3" w:rsidRPr="00FD07C8">
        <w:rPr>
          <w:rFonts w:ascii="Times New Roman" w:hAnsi="Times New Roman"/>
          <w:szCs w:val="24"/>
        </w:rPr>
        <w:t>.</w:t>
      </w:r>
      <w:r w:rsidR="0036717E" w:rsidRPr="00FD07C8">
        <w:rPr>
          <w:rFonts w:ascii="Times New Roman" w:hAnsi="Times New Roman"/>
          <w:szCs w:val="24"/>
        </w:rPr>
        <w:t>”</w:t>
      </w:r>
      <w:r w:rsidR="000E5E64" w:rsidRPr="00FD07C8">
        <w:rPr>
          <w:rStyle w:val="FootnoteReference"/>
          <w:rFonts w:ascii="Times New Roman" w:hAnsi="Times New Roman"/>
          <w:szCs w:val="24"/>
        </w:rPr>
        <w:footnoteReference w:id="126"/>
      </w:r>
      <w:r w:rsidR="001144E3" w:rsidRPr="00FD07C8">
        <w:rPr>
          <w:rFonts w:ascii="Times New Roman" w:hAnsi="Times New Roman"/>
          <w:szCs w:val="24"/>
        </w:rPr>
        <w:t xml:space="preserve">  </w:t>
      </w:r>
      <w:r w:rsidR="000E5E64" w:rsidRPr="00FD07C8">
        <w:rPr>
          <w:rFonts w:ascii="Times New Roman" w:hAnsi="Times New Roman"/>
          <w:szCs w:val="24"/>
        </w:rPr>
        <w:t>Public Counsel</w:t>
      </w:r>
      <w:r w:rsidR="0036717E" w:rsidRPr="00FD07C8">
        <w:rPr>
          <w:rFonts w:ascii="Times New Roman" w:hAnsi="Times New Roman"/>
          <w:szCs w:val="24"/>
        </w:rPr>
        <w:t xml:space="preserve"> ignores the fact that the Company </w:t>
      </w:r>
      <w:r w:rsidR="000E5E64" w:rsidRPr="00FD07C8">
        <w:rPr>
          <w:rFonts w:ascii="Times New Roman" w:hAnsi="Times New Roman"/>
          <w:szCs w:val="24"/>
        </w:rPr>
        <w:t>has not sold 100 percent of its RECs and cannot do so</w:t>
      </w:r>
      <w:r w:rsidR="0036717E" w:rsidRPr="00FD07C8">
        <w:rPr>
          <w:rFonts w:ascii="Times New Roman" w:hAnsi="Times New Roman"/>
          <w:szCs w:val="24"/>
        </w:rPr>
        <w:t>.</w:t>
      </w:r>
      <w:r w:rsidR="000E5E64" w:rsidRPr="00FD07C8">
        <w:rPr>
          <w:rFonts w:ascii="Times New Roman" w:hAnsi="Times New Roman"/>
          <w:szCs w:val="24"/>
        </w:rPr>
        <w:t xml:space="preserve">  Neither Public Counsel nor ICNU allege that the Company has been imprudent with respect to the proportion of its RECs it has been able to market.  </w:t>
      </w:r>
      <w:r w:rsidR="0036717E" w:rsidRPr="00FD07C8">
        <w:rPr>
          <w:rFonts w:ascii="Times New Roman" w:hAnsi="Times New Roman"/>
          <w:szCs w:val="24"/>
        </w:rPr>
        <w:t xml:space="preserve">There is </w:t>
      </w:r>
      <w:r w:rsidR="000E5E64" w:rsidRPr="00FD07C8">
        <w:rPr>
          <w:rFonts w:ascii="Times New Roman" w:hAnsi="Times New Roman"/>
          <w:szCs w:val="24"/>
        </w:rPr>
        <w:t xml:space="preserve">therefore </w:t>
      </w:r>
      <w:r w:rsidR="0036717E" w:rsidRPr="00FD07C8">
        <w:rPr>
          <w:rFonts w:ascii="Times New Roman" w:hAnsi="Times New Roman"/>
          <w:szCs w:val="24"/>
        </w:rPr>
        <w:t xml:space="preserve">no reasonable basis for imputing REC revenues above the percentage the Company has </w:t>
      </w:r>
      <w:r w:rsidR="000E5E64" w:rsidRPr="00FD07C8">
        <w:rPr>
          <w:rFonts w:ascii="Times New Roman" w:hAnsi="Times New Roman"/>
          <w:szCs w:val="24"/>
        </w:rPr>
        <w:t xml:space="preserve">actually </w:t>
      </w:r>
      <w:r w:rsidR="0036717E" w:rsidRPr="00FD07C8">
        <w:rPr>
          <w:rFonts w:ascii="Times New Roman" w:hAnsi="Times New Roman"/>
          <w:szCs w:val="24"/>
        </w:rPr>
        <w:t>been able to sell.</w:t>
      </w:r>
      <w:r w:rsidR="000E5E64" w:rsidRPr="00FD07C8">
        <w:rPr>
          <w:rFonts w:ascii="Times New Roman" w:hAnsi="Times New Roman"/>
          <w:szCs w:val="24"/>
        </w:rPr>
        <w:t xml:space="preserve">  </w:t>
      </w:r>
      <w:r w:rsidR="00F6767C" w:rsidRPr="00FD07C8">
        <w:rPr>
          <w:rFonts w:ascii="Times New Roman" w:hAnsi="Times New Roman"/>
          <w:szCs w:val="24"/>
        </w:rPr>
        <w:t>ICNU’s suggestion that ICNU’s approach is appropriate because it focuses on “when a REC was generated”</w:t>
      </w:r>
      <w:r w:rsidR="00F6767C" w:rsidRPr="00FD07C8">
        <w:rPr>
          <w:rStyle w:val="FootnoteReference"/>
          <w:rFonts w:ascii="Times New Roman" w:hAnsi="Times New Roman"/>
          <w:szCs w:val="24"/>
        </w:rPr>
        <w:footnoteReference w:id="127"/>
      </w:r>
      <w:r w:rsidR="00F6767C" w:rsidRPr="00FD07C8">
        <w:rPr>
          <w:rFonts w:ascii="Times New Roman" w:hAnsi="Times New Roman"/>
          <w:szCs w:val="24"/>
        </w:rPr>
        <w:t xml:space="preserve"> is nonsensical.  Just because a REC was generated does not mean it is marketable.  </w:t>
      </w:r>
      <w:r w:rsidR="0036717E" w:rsidRPr="00FD07C8">
        <w:rPr>
          <w:rFonts w:ascii="Times New Roman" w:hAnsi="Times New Roman"/>
          <w:szCs w:val="24"/>
        </w:rPr>
        <w:t xml:space="preserve">Staff agrees </w:t>
      </w:r>
      <w:r w:rsidR="000E5E64" w:rsidRPr="00FD07C8">
        <w:rPr>
          <w:rFonts w:ascii="Times New Roman" w:hAnsi="Times New Roman"/>
          <w:szCs w:val="24"/>
        </w:rPr>
        <w:t>that basing REC revenues on the actual proportion of RECs sold in the applicable period makes more sense because it reflects actual sales</w:t>
      </w:r>
      <w:r w:rsidR="0036717E" w:rsidRPr="00FD07C8">
        <w:rPr>
          <w:rFonts w:ascii="Times New Roman" w:hAnsi="Times New Roman"/>
          <w:szCs w:val="24"/>
        </w:rPr>
        <w:t>.</w:t>
      </w:r>
      <w:r w:rsidR="000E5E64" w:rsidRPr="00FD07C8">
        <w:rPr>
          <w:rStyle w:val="FootnoteReference"/>
          <w:rFonts w:ascii="Times New Roman" w:hAnsi="Times New Roman"/>
          <w:szCs w:val="24"/>
        </w:rPr>
        <w:footnoteReference w:id="128"/>
      </w:r>
      <w:r w:rsidR="00C90044" w:rsidRPr="00FD07C8">
        <w:rPr>
          <w:rFonts w:ascii="Times New Roman" w:hAnsi="Times New Roman"/>
          <w:szCs w:val="24"/>
        </w:rPr>
        <w:t xml:space="preserve">  Furthermore, to the extent RECs can be sold in a year after the REC was generated, the proceeds of those sales will be reflected in the tracking mechanism</w:t>
      </w:r>
      <w:r w:rsidR="007219E1" w:rsidRPr="00FD07C8">
        <w:rPr>
          <w:rFonts w:ascii="Times New Roman" w:hAnsi="Times New Roman"/>
          <w:szCs w:val="24"/>
        </w:rPr>
        <w:t xml:space="preserve"> during the annual true-up process.</w:t>
      </w:r>
      <w:r w:rsidR="007219E1" w:rsidRPr="00FD07C8">
        <w:rPr>
          <w:rStyle w:val="FootnoteReference"/>
          <w:rFonts w:ascii="Times New Roman" w:hAnsi="Times New Roman"/>
          <w:szCs w:val="24"/>
        </w:rPr>
        <w:footnoteReference w:id="129"/>
      </w:r>
      <w:r w:rsidR="00C90044" w:rsidRPr="00FD07C8">
        <w:rPr>
          <w:rFonts w:ascii="Times New Roman" w:hAnsi="Times New Roman"/>
          <w:szCs w:val="24"/>
        </w:rPr>
        <w:t xml:space="preserve"> </w:t>
      </w:r>
    </w:p>
    <w:p w:rsidR="00CD07A1" w:rsidRPr="00FD07C8" w:rsidRDefault="003A77A0" w:rsidP="004F1D7F">
      <w:pPr>
        <w:pStyle w:val="Heading2"/>
      </w:pPr>
      <w:bookmarkStart w:id="101" w:name="_Toc309373947"/>
      <w:r w:rsidRPr="00FD07C8">
        <w:rPr>
          <w:szCs w:val="24"/>
        </w:rPr>
        <w:t>F.</w:t>
      </w:r>
      <w:r w:rsidRPr="00FD07C8">
        <w:rPr>
          <w:szCs w:val="24"/>
        </w:rPr>
        <w:tab/>
      </w:r>
      <w:r w:rsidR="00A36793" w:rsidRPr="00FD07C8">
        <w:fldChar w:fldCharType="begin"/>
      </w:r>
      <w:r w:rsidR="00CC6CF0" w:rsidRPr="00FD07C8">
        <w:instrText xml:space="preserve"> ADDIN BA \xc &lt;@osdv&gt; \xl 11 \s NSKEHB000124 \l "Schedule 95" </w:instrText>
      </w:r>
      <w:r w:rsidR="00A36793" w:rsidRPr="00FD07C8">
        <w:fldChar w:fldCharType="end"/>
      </w:r>
      <w:bookmarkStart w:id="102" w:name="_BA_Cite_143"/>
      <w:r w:rsidR="00CD07A1" w:rsidRPr="00FD07C8">
        <w:t>Schedule 95</w:t>
      </w:r>
      <w:bookmarkEnd w:id="102"/>
      <w:r w:rsidR="00CD07A1" w:rsidRPr="00FD07C8">
        <w:t xml:space="preserve"> Should Change Based on the Forecast and True Up Each Year.</w:t>
      </w:r>
      <w:bookmarkEnd w:id="101"/>
    </w:p>
    <w:p w:rsidR="0036717E" w:rsidRPr="00FD07C8" w:rsidRDefault="000C1F43" w:rsidP="00CD07A1">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The Commission should reject the parties’ proposals to maintain the same level of bill credit regardless of the REC revenues incurred in each year.</w:t>
      </w:r>
      <w:r w:rsidR="00CD07A1" w:rsidRPr="00FD07C8">
        <w:rPr>
          <w:rStyle w:val="FootnoteReference"/>
          <w:rFonts w:ascii="Times New Roman" w:hAnsi="Times New Roman"/>
          <w:szCs w:val="24"/>
        </w:rPr>
        <w:footnoteReference w:id="130"/>
      </w:r>
      <w:r w:rsidR="00CD07A1" w:rsidRPr="00FD07C8">
        <w:rPr>
          <w:rFonts w:ascii="Times New Roman" w:hAnsi="Times New Roman"/>
          <w:szCs w:val="24"/>
        </w:rPr>
        <w:t xml:space="preserve">  </w:t>
      </w:r>
      <w:r w:rsidR="00A36793" w:rsidRPr="00FD07C8">
        <w:fldChar w:fldCharType="begin"/>
      </w:r>
      <w:r w:rsidR="00CC6CF0" w:rsidRPr="00FD07C8">
        <w:instrText xml:space="preserve"> ADDIN BA \xc &lt;@$reg&gt; \xl 8 \s NSKEHB000001 </w:instrText>
      </w:r>
      <w:r w:rsidR="00A36793" w:rsidRPr="00FD07C8">
        <w:fldChar w:fldCharType="end"/>
      </w:r>
      <w:bookmarkStart w:id="103" w:name="_BA_Cite_144"/>
      <w:r w:rsidR="00CD07A1" w:rsidRPr="00FD07C8">
        <w:rPr>
          <w:rFonts w:ascii="Times New Roman" w:hAnsi="Times New Roman"/>
          <w:szCs w:val="24"/>
        </w:rPr>
        <w:t>Order 06</w:t>
      </w:r>
      <w:bookmarkEnd w:id="103"/>
      <w:r w:rsidR="00CD07A1" w:rsidRPr="00FD07C8">
        <w:rPr>
          <w:rFonts w:ascii="Times New Roman" w:hAnsi="Times New Roman"/>
          <w:szCs w:val="24"/>
        </w:rPr>
        <w:t xml:space="preserve"> established a bill credit mechanism that would </w:t>
      </w:r>
      <w:r w:rsidR="00A55E08" w:rsidRPr="00FD07C8">
        <w:rPr>
          <w:rFonts w:ascii="Times New Roman" w:hAnsi="Times New Roman"/>
          <w:szCs w:val="24"/>
        </w:rPr>
        <w:t xml:space="preserve">credit customers for REC revenues forecast in the rate effective </w:t>
      </w:r>
      <w:proofErr w:type="gramStart"/>
      <w:r w:rsidR="00A55E08" w:rsidRPr="00FD07C8">
        <w:rPr>
          <w:rFonts w:ascii="Times New Roman" w:hAnsi="Times New Roman"/>
          <w:szCs w:val="24"/>
        </w:rPr>
        <w:t>period,</w:t>
      </w:r>
      <w:proofErr w:type="gramEnd"/>
      <w:r w:rsidR="00A55E08" w:rsidRPr="00FD07C8">
        <w:rPr>
          <w:rFonts w:ascii="Times New Roman" w:hAnsi="Times New Roman"/>
          <w:szCs w:val="24"/>
        </w:rPr>
        <w:t xml:space="preserve"> </w:t>
      </w:r>
      <w:r w:rsidR="00A55E08" w:rsidRPr="00FD07C8">
        <w:rPr>
          <w:rFonts w:ascii="Times New Roman" w:hAnsi="Times New Roman"/>
          <w:szCs w:val="24"/>
        </w:rPr>
        <w:lastRenderedPageBreak/>
        <w:t>and true up the initial credits based on actual REC revenues received during the 12-month period.</w:t>
      </w:r>
      <w:r w:rsidR="00A55E08" w:rsidRPr="00FD07C8">
        <w:rPr>
          <w:rStyle w:val="FootnoteReference"/>
          <w:rFonts w:ascii="Times New Roman" w:hAnsi="Times New Roman"/>
          <w:szCs w:val="24"/>
        </w:rPr>
        <w:footnoteReference w:id="131"/>
      </w:r>
      <w:r w:rsidR="00A55E08" w:rsidRPr="00FD07C8">
        <w:rPr>
          <w:rFonts w:ascii="Times New Roman" w:hAnsi="Times New Roman"/>
          <w:szCs w:val="24"/>
        </w:rPr>
        <w:t xml:space="preserve">  </w:t>
      </w:r>
      <w:r w:rsidR="00CD07A1" w:rsidRPr="00FD07C8">
        <w:rPr>
          <w:rFonts w:ascii="Times New Roman" w:hAnsi="Times New Roman"/>
          <w:szCs w:val="24"/>
        </w:rPr>
        <w:t>Once a</w:t>
      </w:r>
      <w:r w:rsidR="0036717E" w:rsidRPr="00FD07C8">
        <w:rPr>
          <w:rFonts w:ascii="Times New Roman" w:hAnsi="Times New Roman"/>
          <w:szCs w:val="24"/>
        </w:rPr>
        <w:t>gain, Staff is picking and choosing which aspect</w:t>
      </w:r>
      <w:r w:rsidR="00CD07A1" w:rsidRPr="00FD07C8">
        <w:rPr>
          <w:rFonts w:ascii="Times New Roman" w:hAnsi="Times New Roman"/>
          <w:szCs w:val="24"/>
        </w:rPr>
        <w:t>s</w:t>
      </w:r>
      <w:r w:rsidR="0036717E" w:rsidRPr="00FD07C8">
        <w:rPr>
          <w:rFonts w:ascii="Times New Roman" w:hAnsi="Times New Roman"/>
          <w:szCs w:val="24"/>
        </w:rPr>
        <w:t xml:space="preserve"> </w:t>
      </w:r>
      <w:r w:rsidR="00A36793" w:rsidRPr="00FD07C8">
        <w:fldChar w:fldCharType="begin"/>
      </w:r>
      <w:r w:rsidR="00CC6CF0" w:rsidRPr="00FD07C8">
        <w:instrText xml:space="preserve"> ADDIN BA \xc &lt;@reg&gt; \xl 28 \s NSKEHB000055 \l "</w:instrText>
      </w:r>
      <w:r w:rsidR="00CC6CF0" w:rsidRPr="00FD07C8">
        <w:rPr>
          <w:rFonts w:ascii="Times New Roman" w:hAnsi="Times New Roman"/>
          <w:szCs w:val="24"/>
        </w:rPr>
        <w:instrText>of the Commission’s Order 06</w:instrText>
      </w:r>
      <w:r w:rsidR="00CC6CF0" w:rsidRPr="00FD07C8">
        <w:instrText xml:space="preserve">" </w:instrText>
      </w:r>
      <w:r w:rsidR="00A36793" w:rsidRPr="00FD07C8">
        <w:fldChar w:fldCharType="end"/>
      </w:r>
      <w:bookmarkStart w:id="105" w:name="_BA_Cite_146"/>
      <w:r w:rsidR="0036717E" w:rsidRPr="00FD07C8">
        <w:rPr>
          <w:rFonts w:ascii="Times New Roman" w:hAnsi="Times New Roman"/>
          <w:szCs w:val="24"/>
        </w:rPr>
        <w:t xml:space="preserve">of the Commission’s </w:t>
      </w:r>
      <w:r w:rsidR="00A55E08" w:rsidRPr="00FD07C8">
        <w:rPr>
          <w:rFonts w:ascii="Times New Roman" w:hAnsi="Times New Roman"/>
          <w:szCs w:val="24"/>
        </w:rPr>
        <w:t>Order </w:t>
      </w:r>
      <w:r w:rsidR="00CD07A1" w:rsidRPr="00FD07C8">
        <w:rPr>
          <w:rFonts w:ascii="Times New Roman" w:hAnsi="Times New Roman"/>
          <w:szCs w:val="24"/>
        </w:rPr>
        <w:t>06</w:t>
      </w:r>
      <w:bookmarkEnd w:id="105"/>
      <w:r w:rsidR="00A55E08" w:rsidRPr="00FD07C8">
        <w:rPr>
          <w:rFonts w:ascii="Times New Roman" w:hAnsi="Times New Roman"/>
          <w:szCs w:val="24"/>
        </w:rPr>
        <w:t xml:space="preserve"> to which the parties can propose modifications</w:t>
      </w:r>
      <w:r w:rsidR="0036717E" w:rsidRPr="00FD07C8">
        <w:rPr>
          <w:rFonts w:ascii="Times New Roman" w:hAnsi="Times New Roman"/>
          <w:szCs w:val="24"/>
        </w:rPr>
        <w:t>.</w:t>
      </w:r>
      <w:r w:rsidR="00A55E08" w:rsidRPr="00FD07C8">
        <w:rPr>
          <w:rFonts w:ascii="Times New Roman" w:hAnsi="Times New Roman"/>
          <w:szCs w:val="24"/>
        </w:rPr>
        <w:t xml:space="preserve">  </w:t>
      </w:r>
      <w:r w:rsidR="0036717E" w:rsidRPr="00FD07C8">
        <w:rPr>
          <w:rFonts w:ascii="Times New Roman" w:hAnsi="Times New Roman"/>
          <w:szCs w:val="24"/>
        </w:rPr>
        <w:t>On one hand, Staff claims that the Company’s objections to including 2009 and 2010 revenues in future rates is “too late,” even when the Commission specifically left that issue for resolution in this phase of the docket.</w:t>
      </w:r>
      <w:r w:rsidR="00A55E08" w:rsidRPr="00FD07C8">
        <w:rPr>
          <w:rFonts w:ascii="Times New Roman" w:hAnsi="Times New Roman"/>
          <w:szCs w:val="24"/>
        </w:rPr>
        <w:t xml:space="preserve">  </w:t>
      </w:r>
      <w:r w:rsidR="00A050B6" w:rsidRPr="00FD07C8">
        <w:rPr>
          <w:rFonts w:ascii="Times New Roman" w:hAnsi="Times New Roman"/>
          <w:szCs w:val="24"/>
        </w:rPr>
        <w:t>At the same time</w:t>
      </w:r>
      <w:r w:rsidR="00A75FA6" w:rsidRPr="00FD07C8">
        <w:rPr>
          <w:rFonts w:ascii="Times New Roman" w:hAnsi="Times New Roman"/>
          <w:szCs w:val="24"/>
        </w:rPr>
        <w:t>,</w:t>
      </w:r>
      <w:r w:rsidR="0036717E" w:rsidRPr="00FD07C8">
        <w:rPr>
          <w:rFonts w:ascii="Times New Roman" w:hAnsi="Times New Roman"/>
          <w:szCs w:val="24"/>
        </w:rPr>
        <w:t xml:space="preserve"> </w:t>
      </w:r>
      <w:r w:rsidR="00A55E08" w:rsidRPr="00FD07C8">
        <w:rPr>
          <w:rFonts w:ascii="Times New Roman" w:hAnsi="Times New Roman"/>
          <w:szCs w:val="24"/>
        </w:rPr>
        <w:t xml:space="preserve">Staff proposes </w:t>
      </w:r>
      <w:r w:rsidR="0036717E" w:rsidRPr="00FD07C8">
        <w:rPr>
          <w:rFonts w:ascii="Times New Roman" w:hAnsi="Times New Roman"/>
          <w:szCs w:val="24"/>
        </w:rPr>
        <w:t xml:space="preserve">changes </w:t>
      </w:r>
      <w:r w:rsidR="00A55E08" w:rsidRPr="00FD07C8">
        <w:rPr>
          <w:rFonts w:ascii="Times New Roman" w:hAnsi="Times New Roman"/>
          <w:szCs w:val="24"/>
        </w:rPr>
        <w:t xml:space="preserve">to </w:t>
      </w:r>
      <w:r w:rsidR="0036717E" w:rsidRPr="00FD07C8">
        <w:rPr>
          <w:rFonts w:ascii="Times New Roman" w:hAnsi="Times New Roman"/>
          <w:szCs w:val="24"/>
        </w:rPr>
        <w:t xml:space="preserve">the credit mechanism that the Commission has already </w:t>
      </w:r>
      <w:r w:rsidR="00A55E08" w:rsidRPr="00FD07C8">
        <w:rPr>
          <w:rFonts w:ascii="Times New Roman" w:hAnsi="Times New Roman"/>
          <w:szCs w:val="24"/>
        </w:rPr>
        <w:t>established</w:t>
      </w:r>
      <w:r w:rsidR="0036717E" w:rsidRPr="00FD07C8">
        <w:rPr>
          <w:rFonts w:ascii="Times New Roman" w:hAnsi="Times New Roman"/>
          <w:szCs w:val="24"/>
        </w:rPr>
        <w:t>.</w:t>
      </w:r>
      <w:r w:rsidR="00D16AD1" w:rsidRPr="00FD07C8">
        <w:rPr>
          <w:rFonts w:ascii="Times New Roman" w:hAnsi="Times New Roman"/>
          <w:szCs w:val="24"/>
        </w:rPr>
        <w:t xml:space="preserve">  Responding Parties had the ability to seek reconsideration on the forecast and true-up nature of the REC balancing account in the first phase of this proceeding and failed to do so.  </w:t>
      </w:r>
      <w:r w:rsidR="002E182E">
        <w:rPr>
          <w:rFonts w:ascii="Times New Roman" w:hAnsi="Times New Roman"/>
          <w:szCs w:val="24"/>
        </w:rPr>
        <w:t xml:space="preserve">In this phase, </w:t>
      </w:r>
      <w:r w:rsidR="008E11CA">
        <w:rPr>
          <w:rFonts w:ascii="Times New Roman" w:hAnsi="Times New Roman"/>
          <w:szCs w:val="24"/>
        </w:rPr>
        <w:t xml:space="preserve">the </w:t>
      </w:r>
      <w:r w:rsidR="002E182E">
        <w:rPr>
          <w:rFonts w:ascii="Times New Roman" w:hAnsi="Times New Roman"/>
          <w:szCs w:val="24"/>
        </w:rPr>
        <w:t>Responding Parties have not provided any new evidence that warrants a change to Order 06 on this issue</w:t>
      </w:r>
      <w:r w:rsidR="00D16AD1" w:rsidRPr="00FD07C8">
        <w:rPr>
          <w:rFonts w:ascii="Times New Roman" w:hAnsi="Times New Roman"/>
          <w:szCs w:val="24"/>
        </w:rPr>
        <w:t>.</w:t>
      </w:r>
    </w:p>
    <w:p w:rsidR="00F82B75" w:rsidRPr="00FD07C8" w:rsidRDefault="000C1F43" w:rsidP="00F82B75">
      <w:pPr>
        <w:pStyle w:val="ListParagraph"/>
        <w:numPr>
          <w:ilvl w:val="0"/>
          <w:numId w:val="12"/>
        </w:numPr>
        <w:tabs>
          <w:tab w:val="clear" w:pos="1440"/>
          <w:tab w:val="num" w:pos="720"/>
        </w:tabs>
        <w:spacing w:line="480" w:lineRule="auto"/>
        <w:ind w:left="0"/>
        <w:rPr>
          <w:rFonts w:ascii="Times New Roman" w:eastAsia="Calibri" w:hAnsi="Times New Roman"/>
          <w:szCs w:val="24"/>
        </w:rPr>
      </w:pPr>
      <w:r w:rsidRPr="00FD07C8">
        <w:rPr>
          <w:rFonts w:ascii="Times New Roman" w:hAnsi="Times New Roman"/>
          <w:szCs w:val="24"/>
        </w:rPr>
        <w:tab/>
      </w:r>
      <w:r w:rsidR="00F82B75" w:rsidRPr="00FD07C8">
        <w:rPr>
          <w:rFonts w:ascii="Times New Roman" w:hAnsi="Times New Roman"/>
          <w:szCs w:val="24"/>
        </w:rPr>
        <w:t>Aside from th</w:t>
      </w:r>
      <w:r w:rsidR="00A75FA6" w:rsidRPr="00FD07C8">
        <w:rPr>
          <w:rFonts w:ascii="Times New Roman" w:hAnsi="Times New Roman"/>
          <w:szCs w:val="24"/>
        </w:rPr>
        <w:t>is</w:t>
      </w:r>
      <w:r w:rsidR="00F82B75" w:rsidRPr="00FD07C8">
        <w:rPr>
          <w:rFonts w:ascii="Times New Roman" w:hAnsi="Times New Roman"/>
          <w:szCs w:val="24"/>
        </w:rPr>
        <w:t xml:space="preserve"> contradiction</w:t>
      </w:r>
      <w:r w:rsidR="00A75FA6" w:rsidRPr="00FD07C8">
        <w:rPr>
          <w:rFonts w:ascii="Times New Roman" w:hAnsi="Times New Roman"/>
          <w:szCs w:val="24"/>
        </w:rPr>
        <w:t>,</w:t>
      </w:r>
      <w:r w:rsidR="00F82B75" w:rsidRPr="00FD07C8">
        <w:rPr>
          <w:rFonts w:ascii="Times New Roman" w:hAnsi="Times New Roman"/>
          <w:szCs w:val="24"/>
        </w:rPr>
        <w:t xml:space="preserve"> the </w:t>
      </w:r>
      <w:r w:rsidR="00A75FA6" w:rsidRPr="00FD07C8">
        <w:rPr>
          <w:rFonts w:ascii="Times New Roman" w:hAnsi="Times New Roman"/>
          <w:szCs w:val="24"/>
        </w:rPr>
        <w:t>Responding P</w:t>
      </w:r>
      <w:r w:rsidR="00F82B75" w:rsidRPr="00FD07C8">
        <w:rPr>
          <w:rFonts w:ascii="Times New Roman" w:hAnsi="Times New Roman"/>
          <w:szCs w:val="24"/>
        </w:rPr>
        <w:t xml:space="preserve">arties’ proposal should be rejected because it is </w:t>
      </w:r>
      <w:r w:rsidR="0036717E" w:rsidRPr="00FD07C8">
        <w:rPr>
          <w:rFonts w:ascii="Times New Roman" w:hAnsi="Times New Roman"/>
          <w:szCs w:val="24"/>
        </w:rPr>
        <w:t>prejudicial to the Company</w:t>
      </w:r>
      <w:r w:rsidR="00F82B75" w:rsidRPr="00FD07C8">
        <w:rPr>
          <w:rFonts w:ascii="Times New Roman" w:hAnsi="Times New Roman"/>
          <w:szCs w:val="24"/>
        </w:rPr>
        <w:t xml:space="preserve"> and will provide no benefit to customers</w:t>
      </w:r>
      <w:r w:rsidR="0036717E" w:rsidRPr="00FD07C8">
        <w:rPr>
          <w:rFonts w:ascii="Times New Roman" w:hAnsi="Times New Roman"/>
          <w:szCs w:val="24"/>
        </w:rPr>
        <w:t>.</w:t>
      </w:r>
      <w:r w:rsidR="00F82B75" w:rsidRPr="00FD07C8">
        <w:rPr>
          <w:rFonts w:ascii="Times New Roman" w:hAnsi="Times New Roman"/>
          <w:szCs w:val="24"/>
        </w:rPr>
        <w:t xml:space="preserve">  </w:t>
      </w:r>
      <w:r w:rsidR="0036717E" w:rsidRPr="00FD07C8">
        <w:rPr>
          <w:rFonts w:ascii="Times New Roman" w:hAnsi="Times New Roman"/>
          <w:szCs w:val="24"/>
        </w:rPr>
        <w:t xml:space="preserve">Requiring the Company to return REC revenues over a </w:t>
      </w:r>
      <w:r w:rsidR="00D06599" w:rsidRPr="006C31E9">
        <w:rPr>
          <w:rFonts w:ascii="Times New Roman" w:hAnsi="Times New Roman"/>
          <w:szCs w:val="24"/>
          <w:highlight w:val="darkGray"/>
        </w:rPr>
        <w:t>************</w:t>
      </w:r>
      <w:r w:rsidR="00D06599">
        <w:rPr>
          <w:rFonts w:ascii="Times New Roman" w:hAnsi="Times New Roman"/>
          <w:szCs w:val="24"/>
        </w:rPr>
        <w:t xml:space="preserve"> </w:t>
      </w:r>
      <w:r w:rsidR="0036717E" w:rsidRPr="00FD07C8">
        <w:rPr>
          <w:rFonts w:ascii="Times New Roman" w:hAnsi="Times New Roman"/>
          <w:szCs w:val="24"/>
        </w:rPr>
        <w:t xml:space="preserve">period when the Company must </w:t>
      </w:r>
      <w:r w:rsidR="00F82B75" w:rsidRPr="00FD07C8">
        <w:rPr>
          <w:rFonts w:ascii="Times New Roman" w:hAnsi="Times New Roman"/>
          <w:szCs w:val="24"/>
        </w:rPr>
        <w:t>record the full amount of the adjustment in 2011 increases the financial burden of the already burdensome proposal.</w:t>
      </w:r>
      <w:r w:rsidR="00F82B75" w:rsidRPr="00FD07C8">
        <w:rPr>
          <w:rStyle w:val="FootnoteReference"/>
          <w:rFonts w:ascii="Times New Roman" w:hAnsi="Times New Roman"/>
          <w:szCs w:val="24"/>
        </w:rPr>
        <w:footnoteReference w:id="132"/>
      </w:r>
      <w:r w:rsidR="00F82B75" w:rsidRPr="00FD07C8">
        <w:rPr>
          <w:rFonts w:ascii="Times New Roman" w:hAnsi="Times New Roman"/>
          <w:szCs w:val="24"/>
        </w:rPr>
        <w:t xml:space="preserve">  </w:t>
      </w:r>
    </w:p>
    <w:p w:rsidR="0036717E" w:rsidRPr="00FD07C8" w:rsidRDefault="000C1F43" w:rsidP="00A55E08">
      <w:pPr>
        <w:pStyle w:val="ListParagraph"/>
        <w:numPr>
          <w:ilvl w:val="0"/>
          <w:numId w:val="12"/>
        </w:numPr>
        <w:tabs>
          <w:tab w:val="clear" w:pos="1440"/>
          <w:tab w:val="num" w:pos="720"/>
        </w:tabs>
        <w:spacing w:line="480" w:lineRule="auto"/>
        <w:ind w:left="0"/>
        <w:rPr>
          <w:rFonts w:ascii="Times New Roman" w:hAnsi="Times New Roman"/>
          <w:szCs w:val="24"/>
        </w:rPr>
      </w:pPr>
      <w:r w:rsidRPr="00FD07C8">
        <w:rPr>
          <w:rFonts w:ascii="Times New Roman" w:hAnsi="Times New Roman"/>
          <w:szCs w:val="24"/>
        </w:rPr>
        <w:tab/>
      </w:r>
      <w:r w:rsidR="0036717E" w:rsidRPr="00FD07C8">
        <w:rPr>
          <w:rFonts w:ascii="Times New Roman" w:hAnsi="Times New Roman"/>
          <w:szCs w:val="24"/>
        </w:rPr>
        <w:t>Public Counsel notes that its proposal is intended to avoid “the accumulation of a cash balance in an interest-bearing account that must ultimately be recovered from customers.”</w:t>
      </w:r>
      <w:r w:rsidR="00F82B75" w:rsidRPr="00FD07C8">
        <w:rPr>
          <w:rStyle w:val="FootnoteReference"/>
          <w:rFonts w:ascii="Times New Roman" w:hAnsi="Times New Roman"/>
          <w:szCs w:val="24"/>
        </w:rPr>
        <w:footnoteReference w:id="133"/>
      </w:r>
      <w:r w:rsidR="00F82B75" w:rsidRPr="00FD07C8">
        <w:rPr>
          <w:rFonts w:ascii="Times New Roman" w:hAnsi="Times New Roman"/>
          <w:szCs w:val="24"/>
        </w:rPr>
        <w:t xml:space="preserve">  </w:t>
      </w:r>
      <w:r w:rsidR="0036717E" w:rsidRPr="00FD07C8">
        <w:rPr>
          <w:rFonts w:ascii="Times New Roman" w:hAnsi="Times New Roman"/>
          <w:szCs w:val="24"/>
        </w:rPr>
        <w:t>The</w:t>
      </w:r>
      <w:r w:rsidR="00F82B75" w:rsidRPr="00FD07C8">
        <w:rPr>
          <w:rFonts w:ascii="Times New Roman" w:hAnsi="Times New Roman"/>
          <w:szCs w:val="24"/>
        </w:rPr>
        <w:t xml:space="preserve">re is no evidence that the mechanism established in </w:t>
      </w:r>
      <w:r w:rsidR="00A36793" w:rsidRPr="00FD07C8">
        <w:fldChar w:fldCharType="begin"/>
      </w:r>
      <w:r w:rsidR="00CC6CF0" w:rsidRPr="00FD07C8">
        <w:instrText xml:space="preserve"> ADDIN BA \xc &lt;@$reg&gt; \xl 8 \s NSKEHB000001 </w:instrText>
      </w:r>
      <w:r w:rsidR="00A36793" w:rsidRPr="00FD07C8">
        <w:fldChar w:fldCharType="end"/>
      </w:r>
      <w:bookmarkStart w:id="106" w:name="_BA_Cite_147"/>
      <w:r w:rsidR="00F82B75" w:rsidRPr="00FD07C8">
        <w:rPr>
          <w:rFonts w:ascii="Times New Roman" w:hAnsi="Times New Roman"/>
          <w:szCs w:val="24"/>
        </w:rPr>
        <w:t>Order 06</w:t>
      </w:r>
      <w:bookmarkEnd w:id="106"/>
      <w:r w:rsidR="00F82B75" w:rsidRPr="00FD07C8">
        <w:rPr>
          <w:rFonts w:ascii="Times New Roman" w:hAnsi="Times New Roman"/>
          <w:szCs w:val="24"/>
        </w:rPr>
        <w:t xml:space="preserve"> and supported by the Company will result in </w:t>
      </w:r>
      <w:r w:rsidR="00DB1536" w:rsidRPr="00FD07C8">
        <w:rPr>
          <w:rFonts w:ascii="Times New Roman" w:hAnsi="Times New Roman"/>
          <w:szCs w:val="24"/>
        </w:rPr>
        <w:t xml:space="preserve">the Company </w:t>
      </w:r>
      <w:r w:rsidR="00F82B75" w:rsidRPr="00FD07C8">
        <w:rPr>
          <w:rFonts w:ascii="Times New Roman" w:hAnsi="Times New Roman"/>
          <w:szCs w:val="24"/>
        </w:rPr>
        <w:t>carrying a balance in an interest-bearing account</w:t>
      </w:r>
      <w:r w:rsidR="00DB1536" w:rsidRPr="00FD07C8">
        <w:rPr>
          <w:rFonts w:ascii="Times New Roman" w:hAnsi="Times New Roman"/>
          <w:szCs w:val="24"/>
        </w:rPr>
        <w:t xml:space="preserve"> that must be recovered from customers</w:t>
      </w:r>
      <w:r w:rsidR="00F82B75" w:rsidRPr="00FD07C8">
        <w:rPr>
          <w:rFonts w:ascii="Times New Roman" w:hAnsi="Times New Roman"/>
          <w:szCs w:val="24"/>
        </w:rPr>
        <w:t xml:space="preserve">.  </w:t>
      </w:r>
      <w:r w:rsidR="001C70CF" w:rsidRPr="00FD07C8">
        <w:rPr>
          <w:rFonts w:ascii="Times New Roman" w:hAnsi="Times New Roman"/>
          <w:szCs w:val="24"/>
        </w:rPr>
        <w:t xml:space="preserve">On the other </w:t>
      </w:r>
      <w:r w:rsidR="00F82B75" w:rsidRPr="00FD07C8">
        <w:rPr>
          <w:rFonts w:ascii="Times New Roman" w:hAnsi="Times New Roman"/>
          <w:szCs w:val="24"/>
        </w:rPr>
        <w:t xml:space="preserve">hand, the </w:t>
      </w:r>
      <w:r w:rsidR="00DB1536" w:rsidRPr="00FD07C8">
        <w:rPr>
          <w:rFonts w:ascii="Times New Roman" w:hAnsi="Times New Roman"/>
          <w:szCs w:val="24"/>
        </w:rPr>
        <w:t xml:space="preserve">evidence shows that </w:t>
      </w:r>
      <w:r w:rsidR="00F82B75" w:rsidRPr="00FD07C8">
        <w:rPr>
          <w:rFonts w:ascii="Times New Roman" w:hAnsi="Times New Roman"/>
          <w:szCs w:val="24"/>
        </w:rPr>
        <w:t xml:space="preserve">parties’ proposal will certainly </w:t>
      </w:r>
      <w:r w:rsidR="0036717E" w:rsidRPr="00FD07C8">
        <w:rPr>
          <w:rFonts w:ascii="Times New Roman" w:hAnsi="Times New Roman"/>
          <w:szCs w:val="24"/>
        </w:rPr>
        <w:t>require the Company to accumulate a balance in an interest-b</w:t>
      </w:r>
      <w:r w:rsidR="00F82B75" w:rsidRPr="00FD07C8">
        <w:rPr>
          <w:rFonts w:ascii="Times New Roman" w:hAnsi="Times New Roman"/>
          <w:szCs w:val="24"/>
        </w:rPr>
        <w:t>e</w:t>
      </w:r>
      <w:r w:rsidR="0036717E" w:rsidRPr="00FD07C8">
        <w:rPr>
          <w:rFonts w:ascii="Times New Roman" w:hAnsi="Times New Roman"/>
          <w:szCs w:val="24"/>
        </w:rPr>
        <w:t xml:space="preserve">aring account for </w:t>
      </w:r>
      <w:r w:rsidR="00D06599" w:rsidRPr="006C31E9">
        <w:rPr>
          <w:rFonts w:ascii="Times New Roman" w:hAnsi="Times New Roman"/>
          <w:szCs w:val="24"/>
          <w:highlight w:val="darkGray"/>
        </w:rPr>
        <w:t>******</w:t>
      </w:r>
      <w:r w:rsidR="0036717E" w:rsidRPr="00FD07C8">
        <w:rPr>
          <w:rFonts w:ascii="Times New Roman" w:hAnsi="Times New Roman"/>
          <w:szCs w:val="24"/>
          <w:highlight w:val="lightGray"/>
        </w:rPr>
        <w:t xml:space="preserve"> </w:t>
      </w:r>
      <w:r w:rsidR="00D06599" w:rsidRPr="006C31E9">
        <w:rPr>
          <w:rFonts w:ascii="Times New Roman" w:hAnsi="Times New Roman"/>
          <w:szCs w:val="24"/>
          <w:highlight w:val="darkGray"/>
        </w:rPr>
        <w:lastRenderedPageBreak/>
        <w:t>************</w:t>
      </w:r>
      <w:r w:rsidR="0036717E" w:rsidRPr="00FD07C8">
        <w:rPr>
          <w:rFonts w:ascii="Times New Roman" w:hAnsi="Times New Roman"/>
          <w:szCs w:val="24"/>
        </w:rPr>
        <w:t>.</w:t>
      </w:r>
      <w:r w:rsidR="00DB1536" w:rsidRPr="00FD07C8">
        <w:rPr>
          <w:rFonts w:ascii="Times New Roman" w:hAnsi="Times New Roman"/>
          <w:szCs w:val="24"/>
        </w:rPr>
        <w:t xml:space="preserve">  It is unfair to place this burden on the Company with no evidence that there is a corresponding harm to customers that will be avoided by this treatment.</w:t>
      </w:r>
    </w:p>
    <w:p w:rsidR="00973298" w:rsidRPr="00FD07C8" w:rsidRDefault="00330ED0" w:rsidP="004F1D7F">
      <w:pPr>
        <w:pStyle w:val="Heading1"/>
      </w:pPr>
      <w:bookmarkStart w:id="107" w:name="_Toc308096724"/>
      <w:bookmarkStart w:id="108" w:name="_Toc308097488"/>
      <w:bookmarkStart w:id="109" w:name="_Toc309373948"/>
      <w:r w:rsidRPr="00FD07C8">
        <w:t>III</w:t>
      </w:r>
      <w:r w:rsidR="00235F14" w:rsidRPr="00FD07C8">
        <w:t>.</w:t>
      </w:r>
      <w:r w:rsidR="00235F14" w:rsidRPr="00FD07C8">
        <w:tab/>
        <w:t>CONCLUSION</w:t>
      </w:r>
      <w:bookmarkEnd w:id="107"/>
      <w:bookmarkEnd w:id="108"/>
      <w:bookmarkEnd w:id="109"/>
    </w:p>
    <w:p w:rsidR="000E6C2F" w:rsidRPr="00FD07C8" w:rsidRDefault="000C1F43" w:rsidP="000E6C2F">
      <w:pPr>
        <w:pStyle w:val="ListParagraph"/>
        <w:numPr>
          <w:ilvl w:val="0"/>
          <w:numId w:val="12"/>
        </w:numPr>
        <w:tabs>
          <w:tab w:val="clear" w:pos="1440"/>
          <w:tab w:val="num" w:pos="720"/>
        </w:tabs>
        <w:spacing w:line="480" w:lineRule="auto"/>
        <w:ind w:left="0"/>
      </w:pPr>
      <w:r w:rsidRPr="00FD07C8">
        <w:tab/>
      </w:r>
      <w:r w:rsidR="000E6C2F" w:rsidRPr="00FD07C8">
        <w:t xml:space="preserve">No matter how hard the Responding Parties work to justify their retroactive </w:t>
      </w:r>
      <w:bookmarkStart w:id="110" w:name="_GoBack"/>
      <w:r w:rsidR="000E6C2F" w:rsidRPr="00FD07C8">
        <w:t>REC trac</w:t>
      </w:r>
      <w:bookmarkEnd w:id="110"/>
      <w:r w:rsidR="000E6C2F" w:rsidRPr="00FD07C8">
        <w:t xml:space="preserve">ker proposals, they cannot overcome the numerous legal and policy impediments </w:t>
      </w:r>
      <w:r w:rsidR="00953566" w:rsidRPr="00FD07C8">
        <w:t xml:space="preserve">raised.  </w:t>
      </w:r>
      <w:r w:rsidR="0001403A" w:rsidRPr="00FD07C8">
        <w:t>A</w:t>
      </w:r>
      <w:r w:rsidR="005F7989" w:rsidRPr="00FD07C8">
        <w:t>n</w:t>
      </w:r>
      <w:r w:rsidR="00953566" w:rsidRPr="00FD07C8">
        <w:t xml:space="preserve"> order </w:t>
      </w:r>
      <w:r w:rsidR="0001403A" w:rsidRPr="00FD07C8">
        <w:t xml:space="preserve">directing </w:t>
      </w:r>
      <w:r w:rsidR="00953566" w:rsidRPr="00FD07C8">
        <w:t>retroactive recovery of the Company’s 2009 and 2010 REC revenues wi</w:t>
      </w:r>
      <w:r w:rsidR="0001403A" w:rsidRPr="00FD07C8">
        <w:t>ll</w:t>
      </w:r>
      <w:r w:rsidR="00953566" w:rsidRPr="00FD07C8">
        <w:t xml:space="preserve"> upset n</w:t>
      </w:r>
      <w:r w:rsidR="000E6C2F" w:rsidRPr="00FD07C8">
        <w:t>umerous Commission policies and precedents</w:t>
      </w:r>
      <w:r w:rsidR="0001403A" w:rsidRPr="00FD07C8">
        <w:t xml:space="preserve">, </w:t>
      </w:r>
      <w:proofErr w:type="spellStart"/>
      <w:r w:rsidR="0001403A" w:rsidRPr="00FD07C8">
        <w:t>disincentivize</w:t>
      </w:r>
      <w:proofErr w:type="spellEnd"/>
      <w:r w:rsidR="0001403A" w:rsidRPr="00FD07C8">
        <w:t xml:space="preserve"> utilities to pursue strategies beneficial to customers and the utility,</w:t>
      </w:r>
      <w:r w:rsidR="008D266E">
        <w:rPr>
          <w:rStyle w:val="FootnoteReference"/>
        </w:rPr>
        <w:footnoteReference w:id="134"/>
      </w:r>
      <w:r w:rsidR="0001403A" w:rsidRPr="00FD07C8">
        <w:t xml:space="preserve"> </w:t>
      </w:r>
      <w:r w:rsidR="00953566" w:rsidRPr="00FD07C8">
        <w:t>and</w:t>
      </w:r>
      <w:r w:rsidR="000E6C2F" w:rsidRPr="00FD07C8">
        <w:t xml:space="preserve"> eliminat</w:t>
      </w:r>
      <w:r w:rsidR="0001403A" w:rsidRPr="00FD07C8">
        <w:t>e</w:t>
      </w:r>
      <w:r w:rsidR="000E6C2F" w:rsidRPr="00FD07C8">
        <w:t xml:space="preserve"> any possibility that PacifiCorp will earn its allowed rate of return in the rate effective period.  </w:t>
      </w:r>
    </w:p>
    <w:p w:rsidR="00F17927" w:rsidRPr="00FD07C8" w:rsidRDefault="000C1F43" w:rsidP="00F17927">
      <w:pPr>
        <w:pStyle w:val="ListParagraph"/>
        <w:numPr>
          <w:ilvl w:val="0"/>
          <w:numId w:val="12"/>
        </w:numPr>
        <w:tabs>
          <w:tab w:val="clear" w:pos="1440"/>
          <w:tab w:val="num" w:pos="720"/>
        </w:tabs>
        <w:spacing w:line="480" w:lineRule="auto"/>
        <w:ind w:left="0"/>
      </w:pPr>
      <w:r w:rsidRPr="00FD07C8">
        <w:tab/>
      </w:r>
      <w:r w:rsidR="00953566" w:rsidRPr="00FD07C8">
        <w:t xml:space="preserve">PacifiCorp respectfully requests that the </w:t>
      </w:r>
      <w:r w:rsidR="000E6C2F" w:rsidRPr="00FD07C8">
        <w:t>Commission</w:t>
      </w:r>
      <w:r w:rsidR="00953566" w:rsidRPr="00FD07C8">
        <w:t xml:space="preserve"> </w:t>
      </w:r>
      <w:r w:rsidR="005F7989" w:rsidRPr="00FD07C8">
        <w:t xml:space="preserve">instead </w:t>
      </w:r>
      <w:r w:rsidR="00360728" w:rsidRPr="00FD07C8">
        <w:t xml:space="preserve">decide to </w:t>
      </w:r>
      <w:r w:rsidR="00953566" w:rsidRPr="00FD07C8">
        <w:t>commenc</w:t>
      </w:r>
      <w:r w:rsidR="0001403A" w:rsidRPr="00FD07C8">
        <w:t>e</w:t>
      </w:r>
      <w:r w:rsidR="00953566" w:rsidRPr="00FD07C8">
        <w:t xml:space="preserve"> </w:t>
      </w:r>
      <w:r w:rsidR="0001403A" w:rsidRPr="00FD07C8">
        <w:t>PacifiCorp’s</w:t>
      </w:r>
      <w:r w:rsidR="00953566" w:rsidRPr="00FD07C8">
        <w:t xml:space="preserve"> REC tracker on a prospective basis</w:t>
      </w:r>
      <w:r w:rsidR="0001403A" w:rsidRPr="00FD07C8">
        <w:t xml:space="preserve"> beginning April 2011</w:t>
      </w:r>
      <w:r w:rsidR="000E6C2F" w:rsidRPr="00FD07C8">
        <w:t>.  This</w:t>
      </w:r>
      <w:r w:rsidR="0001403A" w:rsidRPr="00FD07C8">
        <w:t xml:space="preserve"> outcome </w:t>
      </w:r>
      <w:r w:rsidR="00EC1DAD" w:rsidRPr="00FD07C8">
        <w:t xml:space="preserve">is consistent with the Commission’s strong and stabilizing past adherence to the rule against retroactive ratemaking and related legal doctrines. </w:t>
      </w:r>
      <w:r w:rsidR="00360728" w:rsidRPr="00FD07C8">
        <w:t xml:space="preserve"> </w:t>
      </w:r>
      <w:r w:rsidR="00F17927" w:rsidRPr="00FD07C8">
        <w:t xml:space="preserve">It is also fair because PacifiCorp’s </w:t>
      </w:r>
      <w:r w:rsidR="00526976" w:rsidRPr="00FD07C8">
        <w:t xml:space="preserve">actual </w:t>
      </w:r>
      <w:r w:rsidR="00A36793" w:rsidRPr="00FD07C8">
        <w:fldChar w:fldCharType="begin"/>
      </w:r>
      <w:r w:rsidR="00CC6CF0" w:rsidRPr="00FD07C8">
        <w:instrText xml:space="preserve"> ADDIN BA \xc &lt;@oppt&gt; \xl 24 \s NSKEHB000126 \l "2009 and 2010 Washington" </w:instrText>
      </w:r>
      <w:r w:rsidR="00A36793" w:rsidRPr="00FD07C8">
        <w:fldChar w:fldCharType="end"/>
      </w:r>
      <w:bookmarkStart w:id="111" w:name="_BA_Cite_148"/>
      <w:r w:rsidR="00F17927" w:rsidRPr="00FD07C8">
        <w:t>2009 and 2010 Washington</w:t>
      </w:r>
      <w:bookmarkEnd w:id="111"/>
      <w:r w:rsidR="00F17927" w:rsidRPr="00FD07C8">
        <w:t xml:space="preserve"> </w:t>
      </w:r>
      <w:r w:rsidR="004B07A4" w:rsidRPr="00FD07C8">
        <w:t xml:space="preserve">REC revenues did nothing </w:t>
      </w:r>
      <w:r w:rsidR="00F17927" w:rsidRPr="00FD07C8">
        <w:t xml:space="preserve">but slightly </w:t>
      </w:r>
      <w:r w:rsidR="00526976" w:rsidRPr="00FD07C8">
        <w:t>lessen</w:t>
      </w:r>
      <w:r w:rsidR="00F17927" w:rsidRPr="00FD07C8">
        <w:t xml:space="preserve"> PacifiCorp’s under</w:t>
      </w:r>
      <w:r w:rsidR="004B07A4" w:rsidRPr="00FD07C8">
        <w:t xml:space="preserve"> </w:t>
      </w:r>
      <w:r w:rsidR="00F17927" w:rsidRPr="00FD07C8">
        <w:t xml:space="preserve">earning during the historic period.  </w:t>
      </w:r>
    </w:p>
    <w:p w:rsidR="00EC1DAD" w:rsidRPr="00FD07C8" w:rsidRDefault="000C1F43" w:rsidP="00953566">
      <w:pPr>
        <w:pStyle w:val="ListParagraph"/>
        <w:numPr>
          <w:ilvl w:val="0"/>
          <w:numId w:val="12"/>
        </w:numPr>
        <w:tabs>
          <w:tab w:val="clear" w:pos="1440"/>
          <w:tab w:val="num" w:pos="720"/>
        </w:tabs>
        <w:spacing w:line="480" w:lineRule="auto"/>
        <w:ind w:left="0"/>
      </w:pPr>
      <w:r w:rsidRPr="00FD07C8">
        <w:tab/>
      </w:r>
      <w:r w:rsidR="00EC1DAD" w:rsidRPr="00FD07C8">
        <w:t>If the Commission concludes that it may order recovery of historic REC revenues</w:t>
      </w:r>
      <w:r w:rsidR="00526976" w:rsidRPr="00FD07C8">
        <w:t xml:space="preserve"> despite the precedents cited</w:t>
      </w:r>
      <w:r w:rsidR="00EC1DAD" w:rsidRPr="00FD07C8">
        <w:t xml:space="preserve">, the Company urges the Commission to </w:t>
      </w:r>
      <w:r w:rsidR="00F17927" w:rsidRPr="00FD07C8">
        <w:t>exe</w:t>
      </w:r>
      <w:r w:rsidR="00EC1DAD" w:rsidRPr="00FD07C8">
        <w:t xml:space="preserve">rcise its discretion to </w:t>
      </w:r>
      <w:r w:rsidR="004B07A4" w:rsidRPr="00FD07C8">
        <w:t>m</w:t>
      </w:r>
      <w:r w:rsidR="00EC1DAD" w:rsidRPr="00FD07C8">
        <w:t xml:space="preserve">itigate the </w:t>
      </w:r>
      <w:r w:rsidR="004B07A4" w:rsidRPr="00FD07C8">
        <w:t xml:space="preserve">adverse </w:t>
      </w:r>
      <w:r w:rsidR="00F17927" w:rsidRPr="00FD07C8">
        <w:t xml:space="preserve">financial impact </w:t>
      </w:r>
      <w:r w:rsidR="004B07A4" w:rsidRPr="00FD07C8">
        <w:t xml:space="preserve">on the Company by </w:t>
      </w:r>
      <w:r w:rsidR="005F7989" w:rsidRPr="00FD07C8">
        <w:t xml:space="preserve">relying on PacifiCorp’s approach to allocation of </w:t>
      </w:r>
      <w:r w:rsidR="004B07A4" w:rsidRPr="00FD07C8">
        <w:t>historic REC</w:t>
      </w:r>
      <w:r w:rsidR="005F7989" w:rsidRPr="00FD07C8">
        <w:t xml:space="preserve"> revenues, </w:t>
      </w:r>
      <w:r w:rsidR="00EC1DAD" w:rsidRPr="00FD07C8">
        <w:t>delayin</w:t>
      </w:r>
      <w:r w:rsidR="005F7989" w:rsidRPr="00FD07C8">
        <w:t>g</w:t>
      </w:r>
      <w:r w:rsidR="00EC1DAD" w:rsidRPr="00FD07C8">
        <w:t xml:space="preserve"> the REC tracker commencement date </w:t>
      </w:r>
      <w:r w:rsidR="004B07A4" w:rsidRPr="00FD07C8">
        <w:t xml:space="preserve">until late 2010 </w:t>
      </w:r>
      <w:r w:rsidR="00526976" w:rsidRPr="00FD07C8">
        <w:t xml:space="preserve">(when the Puget REC case was finally resolved) </w:t>
      </w:r>
      <w:r w:rsidR="00EC1DAD" w:rsidRPr="00FD07C8">
        <w:t xml:space="preserve">and </w:t>
      </w:r>
      <w:r w:rsidR="00F17927" w:rsidRPr="00FD07C8">
        <w:t>offsetting</w:t>
      </w:r>
      <w:r w:rsidR="00EC1DAD" w:rsidRPr="00FD07C8">
        <w:t xml:space="preserve"> </w:t>
      </w:r>
      <w:r w:rsidR="004B07A4" w:rsidRPr="00FD07C8">
        <w:t xml:space="preserve">the </w:t>
      </w:r>
      <w:r w:rsidR="00F17927" w:rsidRPr="00FD07C8">
        <w:t>historic</w:t>
      </w:r>
      <w:r w:rsidR="00EC1DAD" w:rsidRPr="00FD07C8">
        <w:t xml:space="preserve"> REC revenues with historic </w:t>
      </w:r>
      <w:r w:rsidR="004B07A4" w:rsidRPr="00FD07C8">
        <w:t xml:space="preserve">increased </w:t>
      </w:r>
      <w:r w:rsidR="00EC1DAD" w:rsidRPr="00FD07C8">
        <w:t>hydro costs</w:t>
      </w:r>
      <w:r w:rsidR="005F7989" w:rsidRPr="00FD07C8">
        <w:t xml:space="preserve"> for the same period.</w:t>
      </w:r>
      <w:r w:rsidR="00EC1DAD" w:rsidRPr="00FD07C8">
        <w:t xml:space="preserve">  </w:t>
      </w:r>
    </w:p>
    <w:p w:rsidR="005D07E7" w:rsidRPr="00FD07C8" w:rsidRDefault="000C1F43" w:rsidP="005D07E7">
      <w:pPr>
        <w:pStyle w:val="ListParagraph"/>
        <w:numPr>
          <w:ilvl w:val="0"/>
          <w:numId w:val="12"/>
        </w:numPr>
        <w:tabs>
          <w:tab w:val="clear" w:pos="1440"/>
          <w:tab w:val="num" w:pos="720"/>
        </w:tabs>
        <w:spacing w:line="480" w:lineRule="auto"/>
        <w:ind w:left="0"/>
      </w:pPr>
      <w:r w:rsidRPr="00FD07C8">
        <w:lastRenderedPageBreak/>
        <w:tab/>
      </w:r>
      <w:r w:rsidR="000E6C2F" w:rsidRPr="00FD07C8">
        <w:t xml:space="preserve">Based upon the record in this proceeding and the legal arguments presented in </w:t>
      </w:r>
      <w:r w:rsidR="005F7989" w:rsidRPr="00FD07C8">
        <w:t xml:space="preserve">the Company’s </w:t>
      </w:r>
      <w:r w:rsidR="00526976" w:rsidRPr="00FD07C8">
        <w:t>initial</w:t>
      </w:r>
      <w:r w:rsidR="005F7989" w:rsidRPr="00FD07C8">
        <w:t xml:space="preserve"> and reply briefs</w:t>
      </w:r>
      <w:r w:rsidR="000E6C2F" w:rsidRPr="00FD07C8">
        <w:t xml:space="preserve">, the Company respectfully requests that the Commission adopt its forward-looking REC tracking proposal and reject </w:t>
      </w:r>
      <w:r w:rsidR="005F7989" w:rsidRPr="00FD07C8">
        <w:t xml:space="preserve">the Responding Parties’ retroactive </w:t>
      </w:r>
      <w:r w:rsidR="000E6C2F" w:rsidRPr="00FD07C8">
        <w:t xml:space="preserve">tracking proposals.  </w:t>
      </w:r>
      <w:bookmarkEnd w:id="9"/>
    </w:p>
    <w:p w:rsidR="00DA0961" w:rsidRPr="00FD07C8" w:rsidRDefault="00DA0961" w:rsidP="00211DE1">
      <w:pPr>
        <w:rPr>
          <w:rFonts w:ascii="Times New Roman" w:hAnsi="Times New Roman"/>
        </w:rPr>
      </w:pPr>
    </w:p>
    <w:p w:rsidR="00156702" w:rsidRPr="00FD07C8" w:rsidRDefault="00156702" w:rsidP="00211DE1">
      <w:pPr>
        <w:rPr>
          <w:rFonts w:ascii="Times New Roman" w:hAnsi="Times New Roman"/>
        </w:rPr>
      </w:pPr>
      <w:proofErr w:type="gramStart"/>
      <w:r w:rsidRPr="00FD07C8">
        <w:rPr>
          <w:rFonts w:ascii="Times New Roman" w:hAnsi="Times New Roman"/>
        </w:rPr>
        <w:t>DATED:</w:t>
      </w:r>
      <w:r w:rsidRPr="00FD07C8">
        <w:rPr>
          <w:rFonts w:ascii="Times New Roman" w:hAnsi="Times New Roman"/>
        </w:rPr>
        <w:tab/>
      </w:r>
      <w:r w:rsidR="00F06980" w:rsidRPr="00FD07C8">
        <w:rPr>
          <w:rFonts w:ascii="Times New Roman" w:hAnsi="Times New Roman"/>
        </w:rPr>
        <w:t>November 18</w:t>
      </w:r>
      <w:r w:rsidR="00121067" w:rsidRPr="00FD07C8">
        <w:rPr>
          <w:rFonts w:ascii="Times New Roman" w:hAnsi="Times New Roman"/>
        </w:rPr>
        <w:t>, 2011</w:t>
      </w:r>
      <w:r w:rsidRPr="00FD07C8">
        <w:rPr>
          <w:rFonts w:ascii="Times New Roman" w:hAnsi="Times New Roman"/>
        </w:rPr>
        <w:t>.</w:t>
      </w:r>
      <w:proofErr w:type="gramEnd"/>
      <w:r w:rsidR="00DF39F7" w:rsidRPr="00FD07C8">
        <w:rPr>
          <w:rFonts w:ascii="Times New Roman" w:hAnsi="Times New Roman"/>
        </w:rPr>
        <w:tab/>
      </w:r>
      <w:r w:rsidR="00DF39F7" w:rsidRPr="00FD07C8">
        <w:rPr>
          <w:rFonts w:ascii="Times New Roman" w:hAnsi="Times New Roman"/>
        </w:rPr>
        <w:tab/>
      </w:r>
      <w:r w:rsidRPr="00FD07C8">
        <w:rPr>
          <w:rFonts w:ascii="Times New Roman" w:hAnsi="Times New Roman"/>
        </w:rPr>
        <w:t>Respectfully Submitted,</w:t>
      </w:r>
      <w:r w:rsidRPr="00FD07C8">
        <w:rPr>
          <w:rFonts w:ascii="Times New Roman" w:hAnsi="Times New Roman"/>
        </w:rPr>
        <w:tab/>
      </w:r>
      <w:r w:rsidRPr="00FD07C8">
        <w:rPr>
          <w:rFonts w:ascii="Times New Roman" w:hAnsi="Times New Roman"/>
        </w:rPr>
        <w:tab/>
      </w:r>
    </w:p>
    <w:p w:rsidR="00EF2BD9" w:rsidRPr="00FD07C8" w:rsidRDefault="00EF2BD9" w:rsidP="00211DE1">
      <w:pPr>
        <w:rPr>
          <w:rFonts w:ascii="Times New Roman" w:hAnsi="Times New Roman"/>
        </w:rPr>
      </w:pPr>
    </w:p>
    <w:p w:rsidR="00156702" w:rsidRPr="00FD07C8" w:rsidRDefault="00156702" w:rsidP="00211DE1">
      <w:pPr>
        <w:ind w:left="4320"/>
        <w:jc w:val="right"/>
        <w:rPr>
          <w:rFonts w:ascii="Times New Roman" w:hAnsi="Times New Roman"/>
        </w:rPr>
      </w:pPr>
    </w:p>
    <w:p w:rsidR="00156702" w:rsidRPr="00FD07C8" w:rsidRDefault="00156702" w:rsidP="00211DE1">
      <w:pPr>
        <w:ind w:left="4320"/>
        <w:jc w:val="right"/>
        <w:rPr>
          <w:rFonts w:ascii="Times New Roman" w:hAnsi="Times New Roman"/>
        </w:rPr>
      </w:pPr>
    </w:p>
    <w:p w:rsidR="00156702" w:rsidRPr="00FD07C8" w:rsidRDefault="00156702" w:rsidP="00211DE1">
      <w:pPr>
        <w:ind w:left="4320"/>
        <w:rPr>
          <w:rFonts w:ascii="Times New Roman" w:hAnsi="Times New Roman"/>
        </w:rPr>
      </w:pPr>
      <w:r w:rsidRPr="00FD07C8">
        <w:rPr>
          <w:rFonts w:ascii="Times New Roman" w:hAnsi="Times New Roman"/>
        </w:rPr>
        <w:t>___________________________</w:t>
      </w:r>
    </w:p>
    <w:p w:rsidR="00156702" w:rsidRPr="00FD07C8" w:rsidRDefault="00156702" w:rsidP="00211DE1">
      <w:pPr>
        <w:ind w:left="4320"/>
        <w:rPr>
          <w:rFonts w:ascii="Times New Roman" w:hAnsi="Times New Roman"/>
        </w:rPr>
      </w:pPr>
      <w:r w:rsidRPr="00FD07C8">
        <w:rPr>
          <w:rFonts w:ascii="Times New Roman" w:hAnsi="Times New Roman"/>
        </w:rPr>
        <w:t>Katherine A. McDowell</w:t>
      </w:r>
      <w:r w:rsidRPr="00FD07C8">
        <w:rPr>
          <w:rFonts w:ascii="Times New Roman" w:hAnsi="Times New Roman"/>
        </w:rPr>
        <w:tab/>
      </w:r>
    </w:p>
    <w:p w:rsidR="00D06599" w:rsidRDefault="00D06599" w:rsidP="00211DE1">
      <w:pPr>
        <w:ind w:left="4320"/>
        <w:jc w:val="both"/>
        <w:rPr>
          <w:rFonts w:ascii="Times New Roman" w:hAnsi="Times New Roman"/>
        </w:rPr>
      </w:pPr>
      <w:r>
        <w:rPr>
          <w:rFonts w:ascii="Times New Roman" w:hAnsi="Times New Roman"/>
        </w:rPr>
        <w:t>Amie Jamieson</w:t>
      </w:r>
    </w:p>
    <w:p w:rsidR="00156702" w:rsidRPr="00FD07C8" w:rsidRDefault="00156702" w:rsidP="00211DE1">
      <w:pPr>
        <w:ind w:left="4320"/>
        <w:jc w:val="both"/>
        <w:rPr>
          <w:rFonts w:ascii="Times New Roman" w:hAnsi="Times New Roman"/>
        </w:rPr>
      </w:pPr>
      <w:r w:rsidRPr="00FD07C8">
        <w:rPr>
          <w:rFonts w:ascii="Times New Roman" w:hAnsi="Times New Roman"/>
        </w:rPr>
        <w:t>McDowell Rackner &amp; Gibson PC</w:t>
      </w:r>
    </w:p>
    <w:p w:rsidR="00156702" w:rsidRPr="00FD07C8" w:rsidRDefault="004E564F" w:rsidP="00211DE1">
      <w:pPr>
        <w:ind w:left="4320"/>
        <w:jc w:val="both"/>
        <w:rPr>
          <w:rFonts w:ascii="Times New Roman" w:hAnsi="Times New Roman"/>
        </w:rPr>
      </w:pPr>
      <w:r w:rsidRPr="00FD07C8">
        <w:rPr>
          <w:rFonts w:ascii="Times New Roman" w:hAnsi="Times New Roman"/>
        </w:rPr>
        <w:t>419 SW 11</w:t>
      </w:r>
      <w:r w:rsidR="00156702" w:rsidRPr="00FD07C8">
        <w:rPr>
          <w:rFonts w:ascii="Times New Roman" w:hAnsi="Times New Roman"/>
          <w:vertAlign w:val="superscript"/>
        </w:rPr>
        <w:t>th</w:t>
      </w:r>
      <w:r w:rsidR="00156702" w:rsidRPr="00FD07C8">
        <w:rPr>
          <w:rFonts w:ascii="Times New Roman" w:hAnsi="Times New Roman"/>
        </w:rPr>
        <w:t xml:space="preserve"> Ave., Suite </w:t>
      </w:r>
      <w:r w:rsidRPr="00FD07C8">
        <w:rPr>
          <w:rFonts w:ascii="Times New Roman" w:hAnsi="Times New Roman"/>
        </w:rPr>
        <w:t>40</w:t>
      </w:r>
      <w:r w:rsidR="00156702" w:rsidRPr="00FD07C8">
        <w:rPr>
          <w:rFonts w:ascii="Times New Roman" w:hAnsi="Times New Roman"/>
        </w:rPr>
        <w:t>0</w:t>
      </w:r>
    </w:p>
    <w:p w:rsidR="00156702" w:rsidRPr="00FD07C8" w:rsidRDefault="004E564F" w:rsidP="00211DE1">
      <w:pPr>
        <w:ind w:left="4320"/>
        <w:jc w:val="both"/>
        <w:rPr>
          <w:rFonts w:ascii="Times New Roman" w:hAnsi="Times New Roman"/>
        </w:rPr>
      </w:pPr>
      <w:r w:rsidRPr="00FD07C8">
        <w:rPr>
          <w:rFonts w:ascii="Times New Roman" w:hAnsi="Times New Roman"/>
        </w:rPr>
        <w:t>Portland, OR 97205</w:t>
      </w:r>
    </w:p>
    <w:p w:rsidR="00156702" w:rsidRPr="00FD07C8" w:rsidRDefault="00156702" w:rsidP="00211DE1">
      <w:pPr>
        <w:ind w:left="4320"/>
        <w:jc w:val="both"/>
        <w:rPr>
          <w:rFonts w:ascii="Times New Roman" w:hAnsi="Times New Roman"/>
        </w:rPr>
      </w:pPr>
      <w:r w:rsidRPr="00FD07C8">
        <w:rPr>
          <w:rFonts w:ascii="Times New Roman" w:hAnsi="Times New Roman"/>
        </w:rPr>
        <w:t>Telephone:  (503) 595-3924</w:t>
      </w:r>
    </w:p>
    <w:p w:rsidR="00156702" w:rsidRPr="00FD07C8" w:rsidRDefault="00156702" w:rsidP="00211DE1">
      <w:pPr>
        <w:ind w:left="4320"/>
        <w:jc w:val="both"/>
        <w:rPr>
          <w:rFonts w:ascii="Times New Roman" w:hAnsi="Times New Roman"/>
        </w:rPr>
      </w:pPr>
      <w:r w:rsidRPr="00FD07C8">
        <w:rPr>
          <w:rFonts w:ascii="Times New Roman" w:hAnsi="Times New Roman"/>
        </w:rPr>
        <w:t>Facsimile: (503)</w:t>
      </w:r>
      <w:r w:rsidR="00121067" w:rsidRPr="00FD07C8">
        <w:rPr>
          <w:rFonts w:ascii="Times New Roman" w:hAnsi="Times New Roman"/>
        </w:rPr>
        <w:t xml:space="preserve"> </w:t>
      </w:r>
      <w:r w:rsidRPr="00FD07C8">
        <w:rPr>
          <w:rFonts w:ascii="Times New Roman" w:hAnsi="Times New Roman"/>
        </w:rPr>
        <w:t>595-3928</w:t>
      </w:r>
    </w:p>
    <w:p w:rsidR="00156702" w:rsidRPr="00FD07C8" w:rsidRDefault="00156702" w:rsidP="00211DE1">
      <w:pPr>
        <w:ind w:left="4320"/>
        <w:jc w:val="both"/>
        <w:rPr>
          <w:rFonts w:ascii="Times New Roman" w:hAnsi="Times New Roman"/>
        </w:rPr>
      </w:pPr>
      <w:r w:rsidRPr="00FD07C8">
        <w:rPr>
          <w:rFonts w:ascii="Times New Roman" w:hAnsi="Times New Roman"/>
        </w:rPr>
        <w:t xml:space="preserve">Email: </w:t>
      </w:r>
      <w:r w:rsidR="007E217D" w:rsidRPr="00FD07C8">
        <w:rPr>
          <w:rFonts w:ascii="Times New Roman" w:hAnsi="Times New Roman"/>
        </w:rPr>
        <w:t>katherine@mcd-law.com</w:t>
      </w:r>
    </w:p>
    <w:p w:rsidR="00EF2BD9" w:rsidRPr="00FD07C8" w:rsidRDefault="00EF2BD9" w:rsidP="00EF2BD9">
      <w:pPr>
        <w:ind w:left="720" w:firstLine="2160"/>
        <w:rPr>
          <w:rFonts w:ascii="Times New Roman" w:hAnsi="Times New Roman"/>
        </w:rPr>
      </w:pPr>
    </w:p>
    <w:p w:rsidR="00EF2BD9" w:rsidRPr="00FD07C8" w:rsidRDefault="00EF2BD9" w:rsidP="00EF2BD9">
      <w:pPr>
        <w:ind w:left="2160" w:firstLine="2160"/>
        <w:rPr>
          <w:rFonts w:ascii="Times New Roman" w:hAnsi="Times New Roman"/>
          <w:szCs w:val="24"/>
        </w:rPr>
      </w:pPr>
      <w:r w:rsidRPr="00FD07C8">
        <w:rPr>
          <w:rFonts w:ascii="Times New Roman" w:hAnsi="Times New Roman"/>
        </w:rPr>
        <w:t>Mary M. Wiencke</w:t>
      </w:r>
    </w:p>
    <w:p w:rsidR="00EF2BD9" w:rsidRPr="00FD07C8" w:rsidRDefault="00EF2BD9" w:rsidP="00EF2BD9">
      <w:pPr>
        <w:ind w:left="3600" w:firstLine="720"/>
        <w:rPr>
          <w:rFonts w:ascii="Times New Roman" w:hAnsi="Times New Roman"/>
          <w:szCs w:val="24"/>
        </w:rPr>
      </w:pPr>
      <w:r w:rsidRPr="00FD07C8">
        <w:rPr>
          <w:rFonts w:ascii="Times New Roman" w:hAnsi="Times New Roman"/>
          <w:szCs w:val="24"/>
        </w:rPr>
        <w:t>Legal Counsel</w:t>
      </w:r>
    </w:p>
    <w:p w:rsidR="00EF2BD9" w:rsidRPr="00FD07C8" w:rsidRDefault="00EF2BD9" w:rsidP="00EF2BD9">
      <w:pPr>
        <w:ind w:left="2160" w:firstLine="2160"/>
        <w:rPr>
          <w:rFonts w:ascii="Times New Roman" w:hAnsi="Times New Roman"/>
          <w:szCs w:val="24"/>
        </w:rPr>
      </w:pPr>
      <w:r w:rsidRPr="00FD07C8">
        <w:rPr>
          <w:rFonts w:ascii="Times New Roman" w:hAnsi="Times New Roman"/>
          <w:szCs w:val="24"/>
        </w:rPr>
        <w:t>PacifiCorp</w:t>
      </w:r>
    </w:p>
    <w:p w:rsidR="00EF2BD9" w:rsidRPr="00FD07C8" w:rsidRDefault="00EF2BD9" w:rsidP="00EF2BD9">
      <w:pPr>
        <w:ind w:left="2160" w:firstLine="2160"/>
        <w:rPr>
          <w:rFonts w:ascii="Times New Roman" w:hAnsi="Times New Roman"/>
          <w:szCs w:val="24"/>
        </w:rPr>
      </w:pPr>
      <w:r w:rsidRPr="00FD07C8">
        <w:rPr>
          <w:rFonts w:ascii="Times New Roman" w:hAnsi="Times New Roman"/>
          <w:szCs w:val="24"/>
        </w:rPr>
        <w:t>825 NE Multnomah, Suite 1800</w:t>
      </w:r>
    </w:p>
    <w:p w:rsidR="00EF2BD9" w:rsidRPr="00FD07C8" w:rsidRDefault="00EF2BD9" w:rsidP="00EF2BD9">
      <w:pPr>
        <w:ind w:left="2160" w:firstLine="2160"/>
        <w:rPr>
          <w:rFonts w:ascii="Times New Roman" w:hAnsi="Times New Roman"/>
          <w:szCs w:val="24"/>
        </w:rPr>
      </w:pPr>
      <w:r w:rsidRPr="00FD07C8">
        <w:rPr>
          <w:rFonts w:ascii="Times New Roman" w:hAnsi="Times New Roman"/>
          <w:szCs w:val="24"/>
        </w:rPr>
        <w:t>Portland, OR  97232</w:t>
      </w:r>
    </w:p>
    <w:p w:rsidR="00EF2BD9" w:rsidRPr="00FD07C8" w:rsidRDefault="00EF2BD9" w:rsidP="00EF2BD9">
      <w:pPr>
        <w:ind w:firstLine="2160"/>
        <w:rPr>
          <w:rFonts w:ascii="Times New Roman" w:hAnsi="Times New Roman"/>
          <w:szCs w:val="24"/>
        </w:rPr>
      </w:pPr>
      <w:r w:rsidRPr="00FD07C8">
        <w:rPr>
          <w:rFonts w:ascii="Times New Roman" w:hAnsi="Times New Roman"/>
          <w:szCs w:val="24"/>
        </w:rPr>
        <w:tab/>
      </w:r>
      <w:r w:rsidRPr="00FD07C8">
        <w:rPr>
          <w:rFonts w:ascii="Times New Roman" w:hAnsi="Times New Roman"/>
          <w:szCs w:val="24"/>
        </w:rPr>
        <w:tab/>
      </w:r>
      <w:r w:rsidRPr="00FD07C8">
        <w:rPr>
          <w:rFonts w:ascii="Times New Roman" w:hAnsi="Times New Roman"/>
          <w:szCs w:val="24"/>
        </w:rPr>
        <w:tab/>
        <w:t>Telephone:</w:t>
      </w:r>
      <w:r w:rsidRPr="00FD07C8">
        <w:rPr>
          <w:rFonts w:ascii="Times New Roman" w:hAnsi="Times New Roman"/>
          <w:szCs w:val="24"/>
        </w:rPr>
        <w:tab/>
        <w:t>(503) 813</w:t>
      </w:r>
      <w:r w:rsidRPr="00FD07C8">
        <w:rPr>
          <w:rFonts w:ascii="Times New Roman" w:hAnsi="Times New Roman"/>
          <w:szCs w:val="24"/>
        </w:rPr>
        <w:noBreakHyphen/>
        <w:t>5058</w:t>
      </w:r>
    </w:p>
    <w:p w:rsidR="00EF2BD9" w:rsidRPr="00FD07C8" w:rsidRDefault="00EF2BD9" w:rsidP="00EF2BD9">
      <w:pPr>
        <w:ind w:firstLine="2160"/>
        <w:rPr>
          <w:rFonts w:ascii="Times New Roman" w:hAnsi="Times New Roman"/>
          <w:szCs w:val="24"/>
        </w:rPr>
      </w:pPr>
      <w:r w:rsidRPr="00FD07C8">
        <w:rPr>
          <w:rFonts w:ascii="Times New Roman" w:hAnsi="Times New Roman"/>
          <w:szCs w:val="24"/>
        </w:rPr>
        <w:tab/>
      </w:r>
      <w:r w:rsidRPr="00FD07C8">
        <w:rPr>
          <w:rFonts w:ascii="Times New Roman" w:hAnsi="Times New Roman"/>
          <w:szCs w:val="24"/>
        </w:rPr>
        <w:tab/>
      </w:r>
      <w:r w:rsidRPr="00FD07C8">
        <w:rPr>
          <w:rFonts w:ascii="Times New Roman" w:hAnsi="Times New Roman"/>
          <w:szCs w:val="24"/>
        </w:rPr>
        <w:tab/>
        <w:t>Facsimile:</w:t>
      </w:r>
      <w:r w:rsidRPr="00FD07C8">
        <w:rPr>
          <w:rFonts w:ascii="Times New Roman" w:hAnsi="Times New Roman"/>
          <w:szCs w:val="24"/>
        </w:rPr>
        <w:tab/>
        <w:t>(503) 813</w:t>
      </w:r>
      <w:r w:rsidRPr="00FD07C8">
        <w:rPr>
          <w:rFonts w:ascii="Times New Roman" w:hAnsi="Times New Roman"/>
          <w:szCs w:val="24"/>
        </w:rPr>
        <w:noBreakHyphen/>
        <w:t>7252</w:t>
      </w:r>
    </w:p>
    <w:p w:rsidR="00EF2BD9" w:rsidRPr="00FD07C8" w:rsidRDefault="00EF2BD9" w:rsidP="00EF2BD9">
      <w:pPr>
        <w:jc w:val="both"/>
        <w:rPr>
          <w:rFonts w:ascii="Times New Roman" w:hAnsi="Times New Roman"/>
        </w:rPr>
      </w:pPr>
      <w:r w:rsidRPr="00FD07C8">
        <w:rPr>
          <w:rFonts w:ascii="Times New Roman" w:hAnsi="Times New Roman"/>
          <w:szCs w:val="24"/>
        </w:rPr>
        <w:tab/>
      </w:r>
      <w:r w:rsidRPr="00FD07C8">
        <w:rPr>
          <w:rFonts w:ascii="Times New Roman" w:hAnsi="Times New Roman"/>
          <w:szCs w:val="24"/>
        </w:rPr>
        <w:tab/>
      </w:r>
      <w:r w:rsidRPr="00FD07C8">
        <w:rPr>
          <w:rFonts w:ascii="Times New Roman" w:hAnsi="Times New Roman"/>
          <w:szCs w:val="24"/>
        </w:rPr>
        <w:tab/>
      </w:r>
      <w:r w:rsidRPr="00FD07C8">
        <w:rPr>
          <w:rFonts w:ascii="Times New Roman" w:hAnsi="Times New Roman"/>
          <w:szCs w:val="24"/>
        </w:rPr>
        <w:tab/>
      </w:r>
      <w:r w:rsidRPr="00FD07C8">
        <w:rPr>
          <w:rFonts w:ascii="Times New Roman" w:hAnsi="Times New Roman"/>
          <w:szCs w:val="24"/>
        </w:rPr>
        <w:tab/>
      </w:r>
      <w:r w:rsidRPr="00FD07C8">
        <w:rPr>
          <w:rFonts w:ascii="Times New Roman" w:hAnsi="Times New Roman"/>
          <w:szCs w:val="24"/>
        </w:rPr>
        <w:tab/>
        <w:t>Email:</w:t>
      </w:r>
      <w:r w:rsidRPr="00FD07C8">
        <w:rPr>
          <w:rFonts w:ascii="Times New Roman" w:hAnsi="Times New Roman"/>
          <w:szCs w:val="24"/>
        </w:rPr>
        <w:tab/>
      </w:r>
      <w:r w:rsidRPr="00FD07C8">
        <w:rPr>
          <w:rFonts w:ascii="Times New Roman" w:hAnsi="Times New Roman"/>
        </w:rPr>
        <w:t>mary.wiencke@pacificorp.com</w:t>
      </w:r>
      <w:r w:rsidRPr="00FD07C8">
        <w:rPr>
          <w:rFonts w:ascii="Times New Roman" w:hAnsi="Times New Roman"/>
        </w:rPr>
        <w:tab/>
      </w:r>
    </w:p>
    <w:p w:rsidR="00EF2BD9" w:rsidRPr="00FD07C8" w:rsidRDefault="00EF2BD9" w:rsidP="00EF2BD9">
      <w:pPr>
        <w:ind w:firstLine="2160"/>
        <w:rPr>
          <w:rFonts w:ascii="Times New Roman" w:hAnsi="Times New Roman"/>
          <w:szCs w:val="24"/>
        </w:rPr>
      </w:pPr>
    </w:p>
    <w:p w:rsidR="00CC6CF0" w:rsidRPr="00FD07C8" w:rsidRDefault="00156702" w:rsidP="007219E1">
      <w:pPr>
        <w:ind w:left="4320"/>
        <w:rPr>
          <w:rFonts w:ascii="Times New Roman" w:hAnsi="Times New Roman"/>
        </w:rPr>
      </w:pPr>
      <w:r w:rsidRPr="00FD07C8">
        <w:rPr>
          <w:rFonts w:ascii="Times New Roman" w:hAnsi="Times New Roman"/>
        </w:rPr>
        <w:t>Attorneys for PacifiCorp</w:t>
      </w:r>
    </w:p>
    <w:sectPr w:rsidR="00CC6CF0" w:rsidRPr="00FD07C8" w:rsidSect="003E4FC8">
      <w:footerReference w:type="default" r:id="rId9"/>
      <w:pgSz w:w="12240" w:h="15840"/>
      <w:pgMar w:top="1440" w:right="1440" w:bottom="144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05" w:rsidRPr="00FD07C8" w:rsidRDefault="00615005" w:rsidP="00235F14">
      <w:r w:rsidRPr="00FD07C8">
        <w:separator/>
      </w:r>
    </w:p>
  </w:endnote>
  <w:endnote w:type="continuationSeparator" w:id="0">
    <w:p w:rsidR="00615005" w:rsidRPr="00FD07C8" w:rsidRDefault="00615005" w:rsidP="00235F14">
      <w:r w:rsidRPr="00FD07C8">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05" w:rsidRPr="00FD07C8" w:rsidRDefault="00615005">
    <w:pPr>
      <w:pStyle w:val="Footer"/>
      <w:jc w:val="center"/>
    </w:pPr>
  </w:p>
  <w:p w:rsidR="00615005" w:rsidRPr="00FD07C8" w:rsidRDefault="006150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05" w:rsidRDefault="00A36793">
    <w:pPr>
      <w:pStyle w:val="Footer"/>
      <w:jc w:val="center"/>
    </w:pPr>
    <w:r>
      <w:fldChar w:fldCharType="begin"/>
    </w:r>
    <w:r w:rsidR="00615005">
      <w:instrText xml:space="preserve"> PAGE   \* MERGEFORMAT </w:instrText>
    </w:r>
    <w:r>
      <w:fldChar w:fldCharType="separate"/>
    </w:r>
    <w:r w:rsidR="00EC4D70">
      <w:rPr>
        <w:noProof/>
      </w:rPr>
      <w:t>i</w:t>
    </w:r>
    <w:r>
      <w:rPr>
        <w:noProof/>
      </w:rPr>
      <w:fldChar w:fldCharType="end"/>
    </w:r>
  </w:p>
  <w:p w:rsidR="00615005" w:rsidRDefault="006150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05" w:rsidRDefault="00A36793">
    <w:pPr>
      <w:pStyle w:val="Footer"/>
      <w:jc w:val="center"/>
    </w:pPr>
    <w:r>
      <w:fldChar w:fldCharType="begin"/>
    </w:r>
    <w:r w:rsidR="00615005">
      <w:instrText xml:space="preserve"> PAGE   \* MERGEFORMAT </w:instrText>
    </w:r>
    <w:r>
      <w:fldChar w:fldCharType="separate"/>
    </w:r>
    <w:r w:rsidR="00EC4D70">
      <w:rPr>
        <w:noProof/>
      </w:rPr>
      <w:t>29</w:t>
    </w:r>
    <w:r>
      <w:rPr>
        <w:noProof/>
      </w:rPr>
      <w:fldChar w:fldCharType="end"/>
    </w:r>
  </w:p>
  <w:p w:rsidR="00615005" w:rsidRPr="00D06599" w:rsidRDefault="00D06599" w:rsidP="00F15E2F">
    <w:pPr>
      <w:pStyle w:val="Footer"/>
      <w:rPr>
        <w:b/>
      </w:rPr>
    </w:pPr>
    <w:r w:rsidRPr="00D06599">
      <w:rPr>
        <w:b/>
      </w:rPr>
      <w:t>REDACTED</w:t>
    </w:r>
  </w:p>
  <w:p w:rsidR="00615005" w:rsidRDefault="003E4FC8">
    <w:pPr>
      <w:pStyle w:val="Footer"/>
    </w:pPr>
    <w:r>
      <w:t>PACIFICORP’S REPLY BRIEF ON RATE TREATMENT FOR RENEWABLE ENERGY CREDIT REVENUES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05" w:rsidRPr="00FD07C8" w:rsidRDefault="00615005" w:rsidP="00235F14">
      <w:r w:rsidRPr="00FD07C8">
        <w:separator/>
      </w:r>
    </w:p>
  </w:footnote>
  <w:footnote w:type="continuationSeparator" w:id="0">
    <w:p w:rsidR="00615005" w:rsidRPr="00FD07C8" w:rsidRDefault="00615005" w:rsidP="00235F14">
      <w:r w:rsidRPr="00FD07C8">
        <w:continuationSeparator/>
      </w:r>
    </w:p>
  </w:footnote>
  <w:footnote w:id="1">
    <w:p w:rsidR="00615005" w:rsidRPr="00FD07C8" w:rsidRDefault="00615005">
      <w:pPr>
        <w:pStyle w:val="FootnoteText"/>
      </w:pPr>
      <w:r w:rsidRPr="00FD07C8">
        <w:rPr>
          <w:rStyle w:val="FootnoteReference"/>
        </w:rPr>
        <w:footnoteRef/>
      </w:r>
      <w:r w:rsidRPr="00FD07C8">
        <w:t xml:space="preserve"> Post Hearing Brief on Behalf of Commission Staff </w:t>
      </w:r>
      <w:r w:rsidR="00A36793" w:rsidRPr="00FD07C8">
        <w:fldChar w:fldCharType="begin"/>
      </w:r>
      <w:r w:rsidRPr="00FD07C8">
        <w:instrText xml:space="preserve"> ADDIN BA \xc &lt;@rec&gt; \xl 24 \s NSKEHB000056 \xpl 1 \l "</w:instrText>
      </w:r>
      <w:r w:rsidRPr="00FD07C8">
        <w:rPr>
          <w:sz w:val="24"/>
        </w:rPr>
        <w:instrText>(Staff’s Phase II Brief)</w:instrText>
      </w:r>
      <w:r w:rsidRPr="00FD07C8">
        <w:instrText xml:space="preserve">" </w:instrText>
      </w:r>
      <w:r w:rsidR="00A36793" w:rsidRPr="00FD07C8">
        <w:fldChar w:fldCharType="end"/>
      </w:r>
      <w:r w:rsidRPr="00FD07C8">
        <w:t xml:space="preserve">(Staff’s </w:t>
      </w:r>
      <w:r w:rsidR="00211A66">
        <w:t>Phase II Opening Brief</w:t>
      </w:r>
      <w:r w:rsidRPr="00FD07C8">
        <w:t xml:space="preserve">); Phase II Opening Brief of Public Counsel </w:t>
      </w:r>
      <w:r w:rsidR="00A36793" w:rsidRPr="00FD07C8">
        <w:fldChar w:fldCharType="begin"/>
      </w:r>
      <w:r w:rsidRPr="00FD07C8">
        <w:instrText xml:space="preserve"> ADDIN BA \xc &lt;@rec&gt; \xl 33 \s NSKEHB000057 \xpl 1 \l "</w:instrText>
      </w:r>
      <w:r w:rsidRPr="00FD07C8">
        <w:rPr>
          <w:sz w:val="24"/>
        </w:rPr>
        <w:instrText>(Public Counsel’s Phase II Brief)</w:instrText>
      </w:r>
      <w:r w:rsidRPr="00FD07C8">
        <w:instrText xml:space="preserve">" </w:instrText>
      </w:r>
      <w:r w:rsidR="00A36793" w:rsidRPr="00FD07C8">
        <w:fldChar w:fldCharType="end"/>
      </w:r>
      <w:r w:rsidRPr="00FD07C8">
        <w:t xml:space="preserve">(Public Counsel’s </w:t>
      </w:r>
      <w:r w:rsidR="00211A66">
        <w:t>Phase II Opening Brief</w:t>
      </w:r>
      <w:r w:rsidRPr="00FD07C8">
        <w:t xml:space="preserve">); Phase II Opening Brief of the Industrial Customers of Northwest Utilities </w:t>
      </w:r>
      <w:r w:rsidR="00A36793" w:rsidRPr="00FD07C8">
        <w:fldChar w:fldCharType="begin"/>
      </w:r>
      <w:r w:rsidRPr="00FD07C8">
        <w:instrText xml:space="preserve"> ADDIN BA \xc &lt;@rec&gt; \xl 23 \s NSKEHB000058 \xpl 1 \l "</w:instrText>
      </w:r>
      <w:r w:rsidRPr="00FD07C8">
        <w:rPr>
          <w:sz w:val="24"/>
        </w:rPr>
        <w:instrText>(ICNU’s Phase II Brief)</w:instrText>
      </w:r>
      <w:r w:rsidRPr="00FD07C8">
        <w:instrText xml:space="preserve">" </w:instrText>
      </w:r>
      <w:r w:rsidR="00A36793" w:rsidRPr="00FD07C8">
        <w:fldChar w:fldCharType="end"/>
      </w:r>
      <w:r w:rsidRPr="00FD07C8">
        <w:t xml:space="preserve">(ICNU’s </w:t>
      </w:r>
      <w:r w:rsidR="00211A66">
        <w:t>Phase II Opening Brief</w:t>
      </w:r>
      <w:r w:rsidRPr="00FD07C8">
        <w:t>).</w:t>
      </w:r>
    </w:p>
  </w:footnote>
  <w:footnote w:id="2">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35 \s NSKEHB000059 \l "</w:instrText>
      </w:r>
      <w:r w:rsidRPr="00FD07C8">
        <w:rPr>
          <w:sz w:val="24"/>
        </w:rPr>
        <w:instrText>Staff’s Phase II Brief ¶¶ 1, 23, 25</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1, 23, 25.</w:t>
      </w:r>
      <w:proofErr w:type="gramEnd"/>
      <w:r w:rsidRPr="00FD07C8">
        <w:rPr>
          <w:rFonts w:ascii="Times New Roman" w:hAnsi="Times New Roman"/>
          <w:szCs w:val="24"/>
        </w:rPr>
        <w:t xml:space="preserve"> Specifically, Staff claims that the Company is foreclosed from arguing against including 2009 and 2010 REC</w:t>
      </w:r>
      <w:r w:rsidR="00814F29">
        <w:rPr>
          <w:rFonts w:ascii="Times New Roman" w:hAnsi="Times New Roman"/>
          <w:szCs w:val="24"/>
        </w:rPr>
        <w:t xml:space="preserve"> revenue</w:t>
      </w:r>
      <w:r w:rsidRPr="00FD07C8">
        <w:rPr>
          <w:rFonts w:ascii="Times New Roman" w:hAnsi="Times New Roman"/>
          <w:szCs w:val="24"/>
        </w:rPr>
        <w:t>s in rates without offsetting costs being included, and in favor of an earnings test before doing so.  Staff’s position is unreasonable, as the Commission specifically left the issue of whether 2009 and 2010 REC</w:t>
      </w:r>
      <w:r w:rsidR="00814F29">
        <w:rPr>
          <w:rFonts w:ascii="Times New Roman" w:hAnsi="Times New Roman"/>
          <w:szCs w:val="24"/>
        </w:rPr>
        <w:t xml:space="preserve"> revenue</w:t>
      </w:r>
      <w:r w:rsidRPr="00FD07C8">
        <w:rPr>
          <w:rFonts w:ascii="Times New Roman" w:hAnsi="Times New Roman"/>
          <w:szCs w:val="24"/>
        </w:rPr>
        <w:t>s should be included in rates to this phase of the case.</w:t>
      </w:r>
    </w:p>
  </w:footnote>
  <w:footnote w:id="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116 \s NSKEHB000002 \xhfl Rep \l "</w:instrText>
      </w:r>
      <w:r w:rsidRPr="00FD07C8">
        <w:rPr>
          <w:i/>
          <w:sz w:val="24"/>
        </w:rPr>
        <w:instrText>Wash. Utils. &amp; Transp. Comm’n v. PacifiCorp</w:instrText>
      </w:r>
      <w:r w:rsidRPr="00FD07C8">
        <w:rPr>
          <w:sz w:val="24"/>
        </w:rPr>
        <w:instrText>,&lt;SoftRt&gt; Docket No. UE-100749, Order 06 (Mar. 25, 2011) [hereinafter “Order 06”]</w:instrText>
      </w:r>
      <w:r w:rsidRPr="00FD07C8">
        <w:instrText xml:space="preserve">" </w:instrText>
      </w:r>
      <w:r w:rsidR="00A36793" w:rsidRPr="00FD07C8">
        <w:fldChar w:fldCharType="end"/>
      </w:r>
      <w:bookmarkStart w:id="11" w:name="_BA_Cite_76"/>
      <w:proofErr w:type="gramStart"/>
      <w:r w:rsidRPr="00FD07C8">
        <w:rPr>
          <w:i/>
        </w:rPr>
        <w:t>Wash. Utils.</w:t>
      </w:r>
      <w:proofErr w:type="gramEnd"/>
      <w:r w:rsidRPr="00FD07C8">
        <w:rPr>
          <w:i/>
        </w:rPr>
        <w:t xml:space="preserve"> &amp; Transp. Comm’n v. PacifiCorp</w:t>
      </w:r>
      <w:r w:rsidRPr="00FD07C8">
        <w:t xml:space="preserve">, Docket No. </w:t>
      </w:r>
      <w:proofErr w:type="gramStart"/>
      <w:r w:rsidRPr="00FD07C8">
        <w:t>UE-100749, Order 06 (Mar. 25, 2011) [hereinafter “Order 06”]</w:t>
      </w:r>
      <w:bookmarkEnd w:id="11"/>
      <w:r w:rsidRPr="00FD07C8">
        <w:t>.</w:t>
      </w:r>
      <w:proofErr w:type="gramEnd"/>
    </w:p>
  </w:footnote>
  <w:footnote w:id="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NSKEHB000060 \l "</w:instrText>
      </w:r>
      <w:r w:rsidRPr="00FD07C8">
        <w:rPr>
          <w:sz w:val="24"/>
        </w:rPr>
        <w:instrText>Staff’s Phase II Brief ¶ 22</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22.</w:t>
      </w:r>
      <w:proofErr w:type="gramEnd"/>
    </w:p>
  </w:footnote>
  <w:footnote w:id="5">
    <w:p w:rsidR="00615005" w:rsidRPr="00FD07C8" w:rsidRDefault="00615005" w:rsidP="001B1EB8">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&lt;@reg&gt; \xl 14 \s NSKEHB000004 \l "</w:instrText>
      </w:r>
      <w:r w:rsidRPr="00FD07C8">
        <w:rPr>
          <w:sz w:val="24"/>
        </w:rPr>
        <w:instrText>Order 06 ¶ 208</w:instrText>
      </w:r>
      <w:r w:rsidRPr="00FD07C8">
        <w:instrText xml:space="preserve">" </w:instrText>
      </w:r>
      <w:r w:rsidR="00A36793" w:rsidRPr="00FD07C8">
        <w:fldChar w:fldCharType="end"/>
      </w:r>
      <w:bookmarkStart w:id="13" w:name="_BA_Cite_78"/>
      <w:r w:rsidRPr="00FD07C8">
        <w:t>Order 06 ¶ 208</w:t>
      </w:r>
      <w:bookmarkEnd w:id="13"/>
      <w:r w:rsidRPr="00FD07C8">
        <w:t>.</w:t>
      </w:r>
    </w:p>
  </w:footnote>
  <w:footnote w:id="6">
    <w:p w:rsidR="00615005" w:rsidRPr="00FD07C8" w:rsidRDefault="00615005" w:rsidP="001B1EB8">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&lt;@cs&gt; \xl 65 \s NSKEHB000006 \xhfl Rep \l "</w:instrText>
      </w:r>
      <w:r w:rsidRPr="00FD07C8">
        <w:rPr>
          <w:i/>
          <w:sz w:val="24"/>
        </w:rPr>
        <w:instrText>Wash. Utils. &amp; Transp. Comm’n v. PacifiCorp</w:instrText>
      </w:r>
      <w:r w:rsidRPr="00FD07C8">
        <w:rPr>
          <w:sz w:val="24"/>
        </w:rPr>
        <w:instrText>,&lt;SoftRt&gt; Docket No. UE-100749</w:instrText>
      </w:r>
      <w:r w:rsidRPr="00FD07C8">
        <w:instrText xml:space="preserve">" </w:instrText>
      </w:r>
      <w:r w:rsidR="00A36793" w:rsidRPr="00FD07C8">
        <w:fldChar w:fldCharType="end"/>
      </w:r>
      <w:bookmarkStart w:id="15" w:name="_BA_Cite_80"/>
      <w:proofErr w:type="gramStart"/>
      <w:r w:rsidRPr="00FD07C8">
        <w:rPr>
          <w:i/>
        </w:rPr>
        <w:t>Wash. Utils.</w:t>
      </w:r>
      <w:proofErr w:type="gramEnd"/>
      <w:r w:rsidRPr="00FD07C8">
        <w:rPr>
          <w:i/>
        </w:rPr>
        <w:t xml:space="preserve"> &amp; Transp. Comm’n v. PacifiCorp</w:t>
      </w:r>
      <w:r w:rsidRPr="00FD07C8">
        <w:t xml:space="preserve">, Docket No. </w:t>
      </w:r>
      <w:proofErr w:type="gramStart"/>
      <w:r w:rsidRPr="00FD07C8">
        <w:t>UE-100749</w:t>
      </w:r>
      <w:bookmarkEnd w:id="15"/>
      <w:r w:rsidRPr="00FD07C8">
        <w:t xml:space="preserve">, PacifiCorp’s Response to Commission Bench </w:t>
      </w:r>
      <w:proofErr w:type="gramEnd"/>
      <w:r w:rsidR="00A36793" w:rsidRPr="00FD07C8">
        <w:fldChar w:fldCharType="begin"/>
      </w:r>
      <w:r w:rsidRPr="00FD07C8">
        <w:instrText xml:space="preserve"> ADDIN BA \xc &lt;@$admproc&gt; \xl 25 \s NSKEHB000005 </w:instrText>
      </w:r>
      <w:r w:rsidR="00A36793" w:rsidRPr="00FD07C8">
        <w:fldChar w:fldCharType="end"/>
      </w:r>
      <w:proofErr w:type="gramStart"/>
      <w:r w:rsidRPr="00FD07C8">
        <w:t>Request 8 (Nov. 14, 2011).</w:t>
      </w:r>
      <w:proofErr w:type="gramEnd"/>
    </w:p>
  </w:footnote>
  <w:footnote w:id="7">
    <w:p w:rsidR="00615005" w:rsidRPr="00FD07C8" w:rsidRDefault="00615005" w:rsidP="008E3366">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&lt;@st&gt; \xl 13 \s NSKEHB000008 \l "</w:instrText>
      </w:r>
      <w:r w:rsidRPr="00FD07C8">
        <w:rPr>
          <w:sz w:val="24"/>
        </w:rPr>
        <w:instrText>RCW 80.01.040</w:instrText>
      </w:r>
      <w:r w:rsidRPr="00FD07C8">
        <w:instrText xml:space="preserve">" </w:instrText>
      </w:r>
      <w:r w:rsidR="00A36793" w:rsidRPr="00FD07C8">
        <w:fldChar w:fldCharType="end"/>
      </w:r>
      <w:bookmarkStart w:id="16" w:name="_BA_Cite_82"/>
      <w:proofErr w:type="gramStart"/>
      <w:r w:rsidRPr="00FD07C8">
        <w:t>RCW 80.01.040</w:t>
      </w:r>
      <w:bookmarkEnd w:id="16"/>
      <w:r w:rsidRPr="00FD07C8">
        <w:t>.</w:t>
      </w:r>
      <w:proofErr w:type="gramEnd"/>
    </w:p>
  </w:footnote>
  <w:footnote w:id="8">
    <w:p w:rsidR="00615005" w:rsidRPr="00FD07C8" w:rsidRDefault="00615005" w:rsidP="008E3366">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102 \s NSKEHB000009 \xhfl Rep \l "</w:instrText>
      </w:r>
      <w:r w:rsidRPr="00FD07C8">
        <w:rPr>
          <w:i/>
          <w:sz w:val="24"/>
        </w:rPr>
        <w:instrText>Wash. Utils. &amp; Transp. Comm’n v. Verizon NW, Inc</w:instrText>
      </w:r>
      <w:r w:rsidRPr="00FD07C8">
        <w:rPr>
          <w:sz w:val="24"/>
        </w:rPr>
        <w:instrText>.,&lt;SoftRt&gt; Docket No. UT-040788 Order 11 ¶ 140 (Oct. 15, 2004)</w:instrText>
      </w:r>
      <w:r w:rsidRPr="00FD07C8">
        <w:instrText xml:space="preserve">" </w:instrText>
      </w:r>
      <w:r w:rsidR="00A36793" w:rsidRPr="00FD07C8">
        <w:fldChar w:fldCharType="end"/>
      </w:r>
      <w:bookmarkStart w:id="20" w:name="_BA_Cite_83"/>
      <w:proofErr w:type="gramStart"/>
      <w:r w:rsidRPr="00FD07C8">
        <w:rPr>
          <w:i/>
        </w:rPr>
        <w:t>Wash. Utils.</w:t>
      </w:r>
      <w:proofErr w:type="gramEnd"/>
      <w:r w:rsidRPr="00FD07C8">
        <w:rPr>
          <w:i/>
        </w:rPr>
        <w:t xml:space="preserve"> &amp; Transp. Comm’n v. Verizon NW, Inc</w:t>
      </w:r>
      <w:r w:rsidRPr="00FD07C8">
        <w:t>., Docket No. UT-040788 Order 11 ¶ 140 (Oct. 15, 2004)</w:t>
      </w:r>
      <w:bookmarkEnd w:id="20"/>
      <w:r w:rsidRPr="00FD07C8">
        <w:t>.</w:t>
      </w:r>
    </w:p>
  </w:footnote>
  <w:footnote w:id="9">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NSKEHB000061 \l "</w:instrText>
      </w:r>
      <w:r w:rsidRPr="00FD07C8">
        <w:rPr>
          <w:sz w:val="24"/>
        </w:rPr>
        <w:instrText>Staff’s Phase II Brief ¶ 10</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10; </w:t>
      </w:r>
      <w:proofErr w:type="gramEnd"/>
      <w:r w:rsidR="00A36793" w:rsidRPr="00FD07C8">
        <w:fldChar w:fldCharType="begin"/>
      </w:r>
      <w:r w:rsidRPr="00FD07C8">
        <w:instrText xml:space="preserve"> ADDIN BA \xc &lt;@rec&gt; \xl 36 \s NSKEHB000062 \l "</w:instrText>
      </w:r>
      <w:r w:rsidRPr="00FD07C8">
        <w:rPr>
          <w:sz w:val="24"/>
        </w:rPr>
        <w:instrText>Public Counsel’s Phase II Brief ¶ 10</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10; </w:t>
      </w:r>
      <w:proofErr w:type="gramEnd"/>
      <w:r w:rsidR="00A36793" w:rsidRPr="00FD07C8">
        <w:fldChar w:fldCharType="begin"/>
      </w:r>
      <w:r w:rsidRPr="00FD07C8">
        <w:instrText xml:space="preserve"> ADDIN BA \xc &lt;@rec&gt; \xl 25 \s NSKEHB000063 \l "</w:instrText>
      </w:r>
      <w:r w:rsidRPr="00FD07C8">
        <w:rPr>
          <w:sz w:val="24"/>
        </w:rPr>
        <w:instrText>ICNU’s Phase II Brief ¶ 9</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9.</w:t>
      </w:r>
      <w:proofErr w:type="gramEnd"/>
    </w:p>
  </w:footnote>
  <w:footnote w:id="1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&lt;@ocsn&gt; \xl 45 \s NSKEHB000064 \l "</w:instrText>
      </w:r>
      <w:r w:rsidRPr="00FD07C8">
        <w:rPr>
          <w:i/>
          <w:sz w:val="24"/>
        </w:rPr>
        <w:instrText>Wash. Utils. &amp; Transp. Comm’n v. Avista Corp.</w:instrText>
      </w:r>
      <w:r w:rsidRPr="00FD07C8">
        <w:instrText xml:space="preserve">" </w:instrText>
      </w:r>
      <w:r w:rsidR="00A36793" w:rsidRPr="00FD07C8">
        <w:fldChar w:fldCharType="end"/>
      </w:r>
      <w:bookmarkStart w:id="27" w:name="_BA_Cite_84"/>
      <w:proofErr w:type="gramStart"/>
      <w:r w:rsidRPr="00FD07C8">
        <w:rPr>
          <w:i/>
        </w:rPr>
        <w:t>Wash. Utils.</w:t>
      </w:r>
      <w:proofErr w:type="gramEnd"/>
      <w:r w:rsidRPr="00FD07C8">
        <w:rPr>
          <w:i/>
        </w:rPr>
        <w:t xml:space="preserve"> &amp; Transp. Comm’n v. Avista Corp.</w:t>
      </w:r>
      <w:bookmarkEnd w:id="27"/>
      <w:r w:rsidRPr="00FD07C8">
        <w:t xml:space="preserve">, Dockets UE-090134 </w:t>
      </w:r>
      <w:r w:rsidR="00A36793" w:rsidRPr="00FD07C8">
        <w:fldChar w:fldCharType="begin"/>
      </w:r>
      <w:r w:rsidRPr="00FD07C8">
        <w:instrText xml:space="preserve"> ADDIN BA \xc &lt;@reg&gt; \xl 41 \s NSKEHB000010 \l "</w:instrText>
      </w:r>
      <w:r w:rsidRPr="00FD07C8">
        <w:rPr>
          <w:i/>
          <w:sz w:val="24"/>
        </w:rPr>
        <w:instrText>et al.</w:instrText>
      </w:r>
      <w:r w:rsidRPr="00FD07C8">
        <w:rPr>
          <w:sz w:val="24"/>
        </w:rPr>
        <w:instrText>, Order 10 ¶¶ 41-44 (Dec. 22, 2009)</w:instrText>
      </w:r>
      <w:r w:rsidRPr="00FD07C8">
        <w:instrText xml:space="preserve">" </w:instrText>
      </w:r>
      <w:r w:rsidR="00A36793" w:rsidRPr="00FD07C8">
        <w:fldChar w:fldCharType="end"/>
      </w:r>
      <w:bookmarkStart w:id="28" w:name="_BA_Cite_85"/>
      <w:r w:rsidRPr="00FD07C8">
        <w:rPr>
          <w:i/>
        </w:rPr>
        <w:t>et al.</w:t>
      </w:r>
      <w:r w:rsidRPr="00FD07C8">
        <w:t>, Order 10 ¶¶ 41-44 (Dec. 22, 2009)</w:t>
      </w:r>
      <w:bookmarkEnd w:id="28"/>
      <w:r w:rsidRPr="00FD07C8">
        <w:t>.</w:t>
      </w:r>
    </w:p>
  </w:footnote>
  <w:footnote w:id="1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8 \s ID </w:instrText>
      </w:r>
      <w:r w:rsidR="00A36793" w:rsidRPr="00FD07C8">
        <w:fldChar w:fldCharType="end"/>
      </w:r>
      <w:proofErr w:type="gramStart"/>
      <w:r w:rsidRPr="00FD07C8">
        <w:rPr>
          <w:i/>
        </w:rPr>
        <w:t>Id.</w:t>
      </w:r>
      <w:r w:rsidRPr="00FD07C8">
        <w:t xml:space="preserve"> ¶ 45.</w:t>
      </w:r>
      <w:proofErr w:type="gramEnd"/>
    </w:p>
  </w:footnote>
  <w:footnote w:id="12">
    <w:p w:rsidR="00615005" w:rsidRPr="00FD07C8" w:rsidRDefault="00615005">
      <w:pPr>
        <w:pStyle w:val="FootnoteText"/>
      </w:pPr>
      <w:r w:rsidRPr="00FD07C8">
        <w:rPr>
          <w:rStyle w:val="FootnoteReference"/>
        </w:rPr>
        <w:footnoteRef/>
      </w:r>
      <w:r w:rsidRPr="00FD07C8">
        <w:t xml:space="preserve"> Kelly, Exh. No. ALK-2CT 3:2-11.</w:t>
      </w:r>
    </w:p>
  </w:footnote>
  <w:footnote w:id="13">
    <w:p w:rsidR="00615005" w:rsidRPr="00FD07C8" w:rsidRDefault="00615005">
      <w:pPr>
        <w:pStyle w:val="FootnoteText"/>
        <w:rPr>
          <w:i/>
        </w:rPr>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&lt;@rec&gt; \xl 26 \s NSKEHB000065 \l "</w:instrText>
      </w:r>
      <w:r w:rsidRPr="00FD07C8">
        <w:rPr>
          <w:sz w:val="24"/>
        </w:rPr>
        <w:instrText>Staff’s Phase II Brief ¶ 6</w:instrText>
      </w:r>
      <w:r w:rsidRPr="00FD07C8">
        <w:instrText xml:space="preserve">" </w:instrText>
      </w:r>
      <w:r w:rsidR="00A36793" w:rsidRPr="00FD07C8">
        <w:fldChar w:fldCharType="end"/>
      </w:r>
      <w:r w:rsidRPr="00FD07C8">
        <w:t xml:space="preserve">Staff’s </w:t>
      </w:r>
      <w:r w:rsidR="00211A66">
        <w:t>Phase II Opening Brief</w:t>
      </w:r>
      <w:r w:rsidRPr="00FD07C8">
        <w:t xml:space="preserve"> ¶ 6.</w:t>
      </w:r>
    </w:p>
  </w:footnote>
  <w:footnote w:id="1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&lt;@reg&gt; \xl 14 \s NSKEHB000011 \l "</w:instrText>
      </w:r>
      <w:r w:rsidRPr="00FD07C8">
        <w:rPr>
          <w:sz w:val="24"/>
        </w:rPr>
        <w:instrText>Order 06 ¶ 204</w:instrText>
      </w:r>
      <w:r w:rsidRPr="00FD07C8">
        <w:instrText xml:space="preserve">" </w:instrText>
      </w:r>
      <w:r w:rsidR="00A36793" w:rsidRPr="00FD07C8">
        <w:fldChar w:fldCharType="end"/>
      </w:r>
      <w:bookmarkStart w:id="29" w:name="_BA_Cite_86"/>
      <w:r w:rsidRPr="00FD07C8">
        <w:t>Order 06 ¶ 204</w:t>
      </w:r>
      <w:bookmarkEnd w:id="29"/>
      <w:r w:rsidRPr="00FD07C8">
        <w:t>.</w:t>
      </w:r>
    </w:p>
  </w:footnote>
  <w:footnote w:id="1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9 \s ID </w:instrText>
      </w:r>
      <w:r w:rsidR="00A36793" w:rsidRPr="00FD07C8">
        <w:fldChar w:fldCharType="end"/>
      </w:r>
      <w:proofErr w:type="gramStart"/>
      <w:r w:rsidRPr="00FD07C8">
        <w:rPr>
          <w:i/>
        </w:rPr>
        <w:t>Id.</w:t>
      </w:r>
      <w:r w:rsidRPr="00FD07C8">
        <w:t xml:space="preserve"> ¶ 205.</w:t>
      </w:r>
      <w:proofErr w:type="gramEnd"/>
    </w:p>
  </w:footnote>
  <w:footnote w:id="1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NSKEHB000061 </w:instrText>
      </w:r>
      <w:r w:rsidR="00A36793" w:rsidRPr="00FD07C8">
        <w:fldChar w:fldCharType="end"/>
      </w:r>
      <w:proofErr w:type="gramStart"/>
      <w:r w:rsidRPr="00FD07C8">
        <w:t xml:space="preserve">Staff’s </w:t>
      </w:r>
      <w:r w:rsidR="00211A66">
        <w:t>Phase II Opening Brief</w:t>
      </w:r>
      <w:r w:rsidRPr="00FD07C8">
        <w:t xml:space="preserve"> ¶</w:t>
      </w:r>
      <w:r w:rsidRPr="00FD07C8">
        <w:rPr>
          <w:rFonts w:ascii="Times New Roman" w:hAnsi="Times New Roman"/>
          <w:szCs w:val="24"/>
        </w:rPr>
        <w:t xml:space="preserve"> 10.</w:t>
      </w:r>
      <w:proofErr w:type="gramEnd"/>
    </w:p>
  </w:footnote>
  <w:footnote w:id="17">
    <w:p w:rsidR="00615005" w:rsidRPr="00FD07C8" w:rsidRDefault="00615005" w:rsidP="00AD745E">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20 \s NSKEHB000066 \l "</w:instrText>
      </w:r>
      <w:r w:rsidRPr="00FD07C8">
        <w:rPr>
          <w:rFonts w:ascii="Times New Roman" w:hAnsi="Times New Roman"/>
          <w:sz w:val="24"/>
        </w:rPr>
        <w:instrText>Dalley, TR. 370:5-13</w:instrText>
      </w:r>
      <w:r w:rsidRPr="00FD07C8">
        <w:instrText xml:space="preserve">" </w:instrText>
      </w:r>
      <w:r w:rsidR="00A36793" w:rsidRPr="00FD07C8">
        <w:fldChar w:fldCharType="end"/>
      </w:r>
      <w:r w:rsidRPr="00FD07C8">
        <w:rPr>
          <w:rFonts w:ascii="Times New Roman" w:hAnsi="Times New Roman"/>
        </w:rPr>
        <w:t xml:space="preserve">Dalley, TR. 370:5-13; </w:t>
      </w:r>
      <w:r w:rsidRPr="00FD07C8">
        <w:t>Duvall, Exh. No. GND-5T 2:11-20.</w:t>
      </w:r>
    </w:p>
  </w:footnote>
  <w:footnote w:id="1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3 \s ID </w:instrText>
      </w:r>
      <w:r w:rsidR="00A36793" w:rsidRPr="00FD07C8">
        <w:fldChar w:fldCharType="end"/>
      </w:r>
      <w:r w:rsidRPr="00FD07C8">
        <w:rPr>
          <w:i/>
        </w:rPr>
        <w:t>Id</w:t>
      </w:r>
      <w:r w:rsidRPr="00FD07C8">
        <w:t>.</w:t>
      </w:r>
    </w:p>
  </w:footnote>
  <w:footnote w:id="19">
    <w:p w:rsidR="00615005" w:rsidRPr="00FD07C8" w:rsidRDefault="00615005">
      <w:pPr>
        <w:pStyle w:val="FootnoteText"/>
      </w:pPr>
      <w:r w:rsidRPr="00FD07C8">
        <w:rPr>
          <w:rStyle w:val="FootnoteReference"/>
        </w:rPr>
        <w:footnoteRef/>
      </w:r>
      <w:r w:rsidRPr="00FD07C8">
        <w:t xml:space="preserve"> </w:t>
      </w:r>
      <w:r w:rsidRPr="00FD07C8">
        <w:rPr>
          <w:rFonts w:ascii="Times New Roman" w:hAnsi="Times New Roman"/>
          <w:szCs w:val="24"/>
        </w:rPr>
        <w:t>Breda, Exh. No. KHB-7TC 11:3-5.</w:t>
      </w:r>
    </w:p>
  </w:footnote>
  <w:footnote w:id="20">
    <w:p w:rsidR="00615005" w:rsidRPr="00FD07C8" w:rsidRDefault="00615005" w:rsidP="00DA79E3">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&lt;@$rec&gt; \xl 27 \s NSKEHB000061 </w:instrText>
      </w:r>
      <w:r w:rsidR="00A36793" w:rsidRPr="00FD07C8">
        <w:fldChar w:fldCharType="end"/>
      </w:r>
      <w:r w:rsidRPr="00FD07C8">
        <w:t xml:space="preserve">Staff’s </w:t>
      </w:r>
      <w:r w:rsidR="00211A66">
        <w:t>Phase II Opening Brief</w:t>
      </w:r>
      <w:r w:rsidRPr="00FD07C8">
        <w:t xml:space="preserve"> ¶ 10.</w:t>
      </w:r>
    </w:p>
  </w:footnote>
  <w:footnote w:id="21">
    <w:p w:rsidR="00615005" w:rsidRPr="00FD07C8" w:rsidRDefault="00615005">
      <w:pPr>
        <w:pStyle w:val="FootnoteText"/>
      </w:pPr>
      <w:r w:rsidRPr="00FD07C8">
        <w:rPr>
          <w:rStyle w:val="FootnoteReference"/>
        </w:rPr>
        <w:footnoteRef/>
      </w:r>
      <w:r w:rsidRPr="00FD07C8">
        <w:t xml:space="preserve"> Falkenberg, Exh. No. RJF-1T 63:14-17.</w:t>
      </w:r>
    </w:p>
  </w:footnote>
  <w:footnote w:id="22">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Pr="00FD07C8">
        <w:t>Duvall, Exh. No. GND-5T 6:12-16.</w:t>
      </w:r>
    </w:p>
  </w:footnote>
  <w:footnote w:id="23">
    <w:p w:rsidR="00615005" w:rsidRPr="00FD07C8" w:rsidRDefault="00615005" w:rsidP="008700EE">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39 \s NSKEHB000067 \l "</w:instrText>
      </w:r>
      <w:r w:rsidRPr="00FD07C8">
        <w:rPr>
          <w:sz w:val="24"/>
        </w:rPr>
        <w:instrText>Public Counsel’s Phase II Brief ¶¶ 8-10</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8-10.</w:t>
      </w:r>
      <w:proofErr w:type="gramEnd"/>
    </w:p>
  </w:footnote>
  <w:footnote w:id="24">
    <w:p w:rsidR="00615005" w:rsidRPr="00FD07C8" w:rsidRDefault="00615005" w:rsidP="008700EE">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&lt;@$ocsn&gt; \xl 45 \s NSKEHB000064 </w:instrText>
      </w:r>
      <w:r w:rsidR="00A36793" w:rsidRPr="00FD07C8">
        <w:fldChar w:fldCharType="end"/>
      </w:r>
      <w:bookmarkStart w:id="30" w:name="_BA_Cite_87"/>
      <w:proofErr w:type="gramStart"/>
      <w:r w:rsidRPr="00FD07C8">
        <w:rPr>
          <w:i/>
        </w:rPr>
        <w:t>Wash. Utils.</w:t>
      </w:r>
      <w:proofErr w:type="gramEnd"/>
      <w:r w:rsidRPr="00FD07C8">
        <w:rPr>
          <w:i/>
        </w:rPr>
        <w:t xml:space="preserve"> &amp; Transp. Comm’n v. Avista Corp</w:t>
      </w:r>
      <w:proofErr w:type="gramStart"/>
      <w:r w:rsidRPr="00FD07C8">
        <w:rPr>
          <w:i/>
        </w:rPr>
        <w:t>.</w:t>
      </w:r>
      <w:bookmarkEnd w:id="30"/>
      <w:r w:rsidR="00496DC2">
        <w:t>,</w:t>
      </w:r>
      <w:proofErr w:type="gramEnd"/>
      <w:r w:rsidRPr="00FD07C8">
        <w:t xml:space="preserve"> Dockets No. </w:t>
      </w:r>
      <w:proofErr w:type="gramStart"/>
      <w:r w:rsidRPr="00FD07C8">
        <w:t>UE-991606 and UG-991607 ¶¶68-69, 75 (Sept. 29, 2000).</w:t>
      </w:r>
      <w:proofErr w:type="gramEnd"/>
    </w:p>
  </w:footnote>
  <w:footnote w:id="2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NSKEHB000062 </w:instrText>
      </w:r>
      <w:r w:rsidR="00A36793" w:rsidRPr="00FD07C8">
        <w:fldChar w:fldCharType="end"/>
      </w:r>
      <w:proofErr w:type="gramStart"/>
      <w:r w:rsidRPr="00FD07C8">
        <w:t xml:space="preserve">Public Counsel’s </w:t>
      </w:r>
      <w:r w:rsidR="00211A66">
        <w:t>Phase II Opening Brief</w:t>
      </w:r>
      <w:r w:rsidRPr="00FD07C8">
        <w:t xml:space="preserve"> ¶ 10.</w:t>
      </w:r>
      <w:proofErr w:type="gramEnd"/>
    </w:p>
  </w:footnote>
  <w:footnote w:id="2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110 \s NSKEHB000012 \xhfl Rep \l "</w:instrText>
      </w:r>
      <w:r w:rsidRPr="00FD07C8">
        <w:rPr>
          <w:i/>
          <w:sz w:val="24"/>
        </w:rPr>
        <w:instrText>Wash. Utils. &amp; Transp. Comm’n v. Puget Sound Energy, Inc.</w:instrText>
      </w:r>
      <w:r w:rsidRPr="00FD07C8">
        <w:rPr>
          <w:sz w:val="24"/>
        </w:rPr>
        <w:instrText>,&lt;SoftRt&gt; Docket No. UE-050870, Order 04 ¶ 13 (Oct. 20, 2005)</w:instrText>
      </w:r>
      <w:r w:rsidRPr="00FD07C8">
        <w:instrText xml:space="preserve">" </w:instrText>
      </w:r>
      <w:r w:rsidR="00A36793" w:rsidRPr="00FD07C8">
        <w:fldChar w:fldCharType="end"/>
      </w:r>
      <w:bookmarkStart w:id="31" w:name="_BA_Cite_88"/>
      <w:proofErr w:type="gramStart"/>
      <w:r w:rsidRPr="00FD07C8">
        <w:rPr>
          <w:i/>
        </w:rPr>
        <w:t>Wash. Utils.</w:t>
      </w:r>
      <w:proofErr w:type="gramEnd"/>
      <w:r w:rsidRPr="00FD07C8">
        <w:rPr>
          <w:i/>
        </w:rPr>
        <w:t xml:space="preserve"> &amp; Transp. Comm’n v. Puget Sound Energy, Inc.</w:t>
      </w:r>
      <w:r w:rsidRPr="00FD07C8">
        <w:t>, Docket No. UE-050870, Order 04 ¶ 13 (Oct. 20, 2005)</w:t>
      </w:r>
      <w:bookmarkEnd w:id="31"/>
      <w:r w:rsidRPr="00FD07C8">
        <w:t>.</w:t>
      </w:r>
    </w:p>
  </w:footnote>
  <w:footnote w:id="2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95 \s NSKEHB000013 \xhfl Rep \l "</w:instrText>
      </w:r>
      <w:r w:rsidRPr="00FD07C8">
        <w:rPr>
          <w:i/>
          <w:sz w:val="24"/>
        </w:rPr>
        <w:instrText>Wash. Utils. &amp; Transp. Comm’n v. PacifiCorp</w:instrText>
      </w:r>
      <w:r w:rsidRPr="00FD07C8">
        <w:rPr>
          <w:sz w:val="24"/>
        </w:rPr>
        <w:instrText>,&lt;SoftRt&gt; Docket No. UE-080220, Order 05 ¶ 11 (Oct. 8, 2008)</w:instrText>
      </w:r>
      <w:r w:rsidRPr="00FD07C8">
        <w:instrText xml:space="preserve">" </w:instrText>
      </w:r>
      <w:r w:rsidR="00A36793" w:rsidRPr="00FD07C8">
        <w:fldChar w:fldCharType="end"/>
      </w:r>
      <w:bookmarkStart w:id="32" w:name="_BA_Cite_89"/>
      <w:proofErr w:type="gramStart"/>
      <w:r w:rsidRPr="00FD07C8">
        <w:rPr>
          <w:i/>
        </w:rPr>
        <w:t>Wash. Utils.</w:t>
      </w:r>
      <w:proofErr w:type="gramEnd"/>
      <w:r w:rsidRPr="00FD07C8">
        <w:rPr>
          <w:i/>
        </w:rPr>
        <w:t xml:space="preserve"> &amp; Transp. Comm’n v. PacifiCorp</w:t>
      </w:r>
      <w:r w:rsidRPr="00FD07C8">
        <w:t xml:space="preserve">, Docket No. </w:t>
      </w:r>
      <w:proofErr w:type="gramStart"/>
      <w:r w:rsidRPr="00FD07C8">
        <w:t>UE-080220, Order 05 ¶ 11 (Oct. 8, 2008)</w:t>
      </w:r>
      <w:bookmarkEnd w:id="32"/>
      <w:r w:rsidRPr="00FD07C8">
        <w:t xml:space="preserve">; </w:t>
      </w:r>
      <w:proofErr w:type="gramEnd"/>
      <w:r w:rsidR="00A36793" w:rsidRPr="00FD07C8">
        <w:fldChar w:fldCharType="begin"/>
      </w:r>
      <w:r w:rsidRPr="00FD07C8">
        <w:instrText xml:space="preserve"> ADDIN BA \xc &lt;@regcs&gt; \xl 96 \s NSKEHB000014 \xhfl Rep \l "</w:instrText>
      </w:r>
      <w:r w:rsidRPr="00FD07C8">
        <w:rPr>
          <w:i/>
          <w:sz w:val="24"/>
        </w:rPr>
        <w:instrText>Wash. Utils. &amp; Transp. Comm’n v. PacifiCorp</w:instrText>
      </w:r>
      <w:r w:rsidRPr="00FD07C8">
        <w:rPr>
          <w:sz w:val="24"/>
        </w:rPr>
        <w:instrText>,&lt;SoftRt&gt; Docket No. UE-090205, Order 09 ¶ 16 (Dec. 16, 2009)</w:instrText>
      </w:r>
      <w:r w:rsidRPr="00FD07C8">
        <w:instrText xml:space="preserve">" </w:instrText>
      </w:r>
      <w:r w:rsidR="00A36793" w:rsidRPr="00FD07C8">
        <w:fldChar w:fldCharType="end"/>
      </w:r>
      <w:bookmarkStart w:id="33" w:name="_BA_Cite_90"/>
      <w:proofErr w:type="gramStart"/>
      <w:r w:rsidRPr="00FD07C8">
        <w:rPr>
          <w:i/>
        </w:rPr>
        <w:t>Wash. Utils.</w:t>
      </w:r>
      <w:proofErr w:type="gramEnd"/>
      <w:r w:rsidRPr="00FD07C8">
        <w:rPr>
          <w:i/>
        </w:rPr>
        <w:t xml:space="preserve"> &amp; Transp. Comm’n v. PacifiCorp</w:t>
      </w:r>
      <w:r w:rsidRPr="00FD07C8">
        <w:t>, Docket No. UE-090205, Order 09 ¶ 16 (Dec. 16, 2009)</w:t>
      </w:r>
      <w:bookmarkEnd w:id="33"/>
      <w:r w:rsidRPr="00FD07C8">
        <w:t>.  Public Counsel’s reference to abandoned plant costs in Cause U-82-38 is addressed in paragraph 51 below.</w:t>
      </w:r>
    </w:p>
  </w:footnote>
  <w:footnote w:id="28">
    <w:p w:rsidR="00E73621" w:rsidRDefault="00E73621">
      <w:pPr>
        <w:pStyle w:val="FootnoteText"/>
      </w:pPr>
      <w:r>
        <w:rPr>
          <w:rStyle w:val="FootnoteReference"/>
        </w:rPr>
        <w:footnoteRef/>
      </w:r>
      <w:r>
        <w:t xml:space="preserve"> Breda, Exh. No. </w:t>
      </w:r>
      <w:proofErr w:type="gramStart"/>
      <w:r>
        <w:t>KHB-7TC 1:10-17; ICNU’s Phase II Opening Brief ¶ 4, Public Counsel’s Phase II Brief ¶ 3.</w:t>
      </w:r>
      <w:proofErr w:type="gramEnd"/>
    </w:p>
  </w:footnote>
  <w:footnote w:id="29">
    <w:p w:rsidR="00615005" w:rsidRPr="00FD07C8" w:rsidRDefault="00615005" w:rsidP="00544D91">
      <w:pPr>
        <w:pStyle w:val="FootnoteText"/>
        <w:rPr>
          <w:rFonts w:ascii="Calibri" w:hAnsi="Calibri"/>
        </w:rPr>
      </w:pPr>
      <w:r w:rsidRPr="00FD07C8">
        <w:rPr>
          <w:rStyle w:val="FootnoteReference"/>
        </w:rPr>
        <w:footnoteRef/>
      </w:r>
      <w:r w:rsidRPr="00FD07C8">
        <w:t xml:space="preserve"> </w:t>
      </w:r>
      <w:proofErr w:type="gramStart"/>
      <w:r w:rsidRPr="00FD07C8">
        <w:rPr>
          <w:i/>
        </w:rPr>
        <w:t xml:space="preserve">See </w:t>
      </w:r>
      <w:proofErr w:type="gramEnd"/>
      <w:r w:rsidR="00A36793" w:rsidRPr="00FD07C8">
        <w:fldChar w:fldCharType="begin"/>
      </w:r>
      <w:r w:rsidRPr="00FD07C8">
        <w:instrText xml:space="preserve"> ADDIN BA \xc &lt;@ocsn&gt; \xl 47 \s NSKEHB000068 \l "</w:instrText>
      </w:r>
      <w:r w:rsidRPr="00FD07C8">
        <w:rPr>
          <w:i/>
          <w:sz w:val="24"/>
        </w:rPr>
        <w:instrText>Re Portland Gen. Elec.</w:instrText>
      </w:r>
      <w:r w:rsidRPr="00FD07C8">
        <w:rPr>
          <w:sz w:val="24"/>
        </w:rPr>
        <w:instrText>, DR 10, UE 88 and UM 989</w:instrText>
      </w:r>
      <w:r w:rsidRPr="00FD07C8">
        <w:instrText xml:space="preserve">" </w:instrText>
      </w:r>
      <w:r w:rsidR="00A36793" w:rsidRPr="00FD07C8">
        <w:fldChar w:fldCharType="end"/>
      </w:r>
      <w:bookmarkStart w:id="36" w:name="_BA_Cite_91"/>
      <w:proofErr w:type="gramStart"/>
      <w:r w:rsidRPr="00FD07C8">
        <w:rPr>
          <w:i/>
        </w:rPr>
        <w:t>Re Portland Gen. Elec.</w:t>
      </w:r>
      <w:r w:rsidRPr="00FD07C8">
        <w:t>, DR 10, UE 88 and UM 989</w:t>
      </w:r>
      <w:bookmarkEnd w:id="36"/>
      <w:r w:rsidRPr="00FD07C8">
        <w:t xml:space="preserve">, </w:t>
      </w:r>
      <w:proofErr w:type="gramEnd"/>
      <w:r w:rsidR="00A36793" w:rsidRPr="00FD07C8">
        <w:fldChar w:fldCharType="begin"/>
      </w:r>
      <w:r w:rsidRPr="00FD07C8">
        <w:instrText xml:space="preserve"> ADDIN BA \xc &lt;@reg&gt; \xl 16 \s NSKEHB000015 \l "</w:instrText>
      </w:r>
      <w:r w:rsidRPr="00FD07C8">
        <w:rPr>
          <w:sz w:val="24"/>
        </w:rPr>
        <w:instrText>Order No. 08-487</w:instrText>
      </w:r>
      <w:r w:rsidRPr="00FD07C8">
        <w:instrText xml:space="preserve">" </w:instrText>
      </w:r>
      <w:r w:rsidR="00A36793" w:rsidRPr="00FD07C8">
        <w:fldChar w:fldCharType="end"/>
      </w:r>
      <w:bookmarkStart w:id="37" w:name="_BA_Cite_92"/>
      <w:proofErr w:type="gramStart"/>
      <w:r w:rsidRPr="00FD07C8">
        <w:t>Order No. 08-487</w:t>
      </w:r>
      <w:bookmarkEnd w:id="37"/>
      <w:r w:rsidRPr="00FD07C8">
        <w:t xml:space="preserve"> (OPUC 2008) (“The prospective nature of ratemaking protects both customer and utility interests.</w:t>
      </w:r>
      <w:proofErr w:type="gramEnd"/>
      <w:r w:rsidRPr="00FD07C8">
        <w:t xml:space="preserve">  The rule against retroactive ratemaking is intended to ensure that customers are paying rates that reflect the cost of service at the time the service is rendered.  Similarly, the rule protects utilities because the use of past profits to reduce future rates may violate constitutional safeguards against confiscatory rates.”).  </w:t>
      </w:r>
      <w:r w:rsidRPr="00FD07C8">
        <w:rPr>
          <w:i/>
        </w:rPr>
        <w:t>See also</w:t>
      </w:r>
      <w:r w:rsidRPr="00FD07C8">
        <w:t xml:space="preserve"> </w:t>
      </w:r>
      <w:r w:rsidR="00A36793" w:rsidRPr="00FD07C8">
        <w:fldChar w:fldCharType="begin"/>
      </w:r>
      <w:r w:rsidRPr="00FD07C8">
        <w:instrText xml:space="preserve"> ADDIN BA \xc &lt;@per&gt; \xl 180 \s NSKEHB000016 \l "</w:instrText>
      </w:r>
      <w:r w:rsidRPr="00FD07C8">
        <w:rPr>
          <w:sz w:val="24"/>
        </w:rPr>
        <w:instrText xml:space="preserve">Stefan H. Krieger, </w:instrText>
      </w:r>
      <w:r w:rsidRPr="00FD07C8">
        <w:rPr>
          <w:i/>
          <w:sz w:val="24"/>
        </w:rPr>
        <w:instrText>The Ghost of Regulation Past: Current Application of the Rule Against Retroactive Ratemaking in Public Utility Proceedings</w:instrText>
      </w:r>
      <w:r w:rsidRPr="00FD07C8">
        <w:rPr>
          <w:sz w:val="24"/>
        </w:rPr>
        <w:instrText xml:space="preserve">, 1991 </w:instrText>
      </w:r>
      <w:r w:rsidRPr="00FD07C8">
        <w:rPr>
          <w:smallCaps/>
          <w:sz w:val="24"/>
        </w:rPr>
        <w:instrText>U. Ill. L. Rev</w:instrText>
      </w:r>
      <w:r w:rsidRPr="00FD07C8">
        <w:rPr>
          <w:sz w:val="24"/>
        </w:rPr>
        <w:instrText>. 983, 1039 (1991)</w:instrText>
      </w:r>
      <w:r w:rsidRPr="00FD07C8">
        <w:instrText xml:space="preserve">" </w:instrText>
      </w:r>
      <w:r w:rsidR="00A36793" w:rsidRPr="00FD07C8">
        <w:fldChar w:fldCharType="end"/>
      </w:r>
      <w:bookmarkStart w:id="38" w:name="_BA_Cite_93"/>
      <w:r w:rsidRPr="00FD07C8">
        <w:t xml:space="preserve">Stefan H. Krieger, </w:t>
      </w:r>
      <w:r w:rsidRPr="00FD07C8">
        <w:rPr>
          <w:i/>
        </w:rPr>
        <w:t xml:space="preserve">The Ghost of Regulation Past: Current Application of the Rule </w:t>
      </w:r>
      <w:proofErr w:type="gramStart"/>
      <w:r w:rsidRPr="00FD07C8">
        <w:rPr>
          <w:i/>
        </w:rPr>
        <w:t>Against</w:t>
      </w:r>
      <w:proofErr w:type="gramEnd"/>
      <w:r w:rsidRPr="00FD07C8">
        <w:rPr>
          <w:i/>
        </w:rPr>
        <w:t xml:space="preserve"> Retroactive Ratemaking in Public Utility Proceedings</w:t>
      </w:r>
      <w:r w:rsidRPr="00FD07C8">
        <w:t xml:space="preserve">, 1991 </w:t>
      </w:r>
      <w:r w:rsidRPr="00FD07C8">
        <w:rPr>
          <w:smallCaps/>
        </w:rPr>
        <w:t>U. Ill. L. Rev</w:t>
      </w:r>
      <w:r w:rsidRPr="00FD07C8">
        <w:t>. 983, 1039 (1991)</w:t>
      </w:r>
      <w:bookmarkEnd w:id="38"/>
      <w:r w:rsidRPr="00FD07C8">
        <w:t xml:space="preserve"> (“Even when a product is unregulated, the consumer is confident once he purchases a product that the merchant will not claim that he is liable for a retroactive price increase on the product.  Similarly, a utility, like a merchant in the unregulated context, is confident that the consumer will not be able to obtain a refund of the amount paid.” (</w:t>
      </w:r>
      <w:proofErr w:type="gramStart"/>
      <w:r w:rsidRPr="00FD07C8">
        <w:t>quoting</w:t>
      </w:r>
      <w:proofErr w:type="gramEnd"/>
      <w:r w:rsidRPr="00FD07C8">
        <w:t xml:space="preserve"> </w:t>
      </w:r>
      <w:r w:rsidR="00A36793" w:rsidRPr="00FD07C8">
        <w:fldChar w:fldCharType="begin"/>
      </w:r>
      <w:r w:rsidRPr="00FD07C8">
        <w:instrText xml:space="preserve"> ADDIN BA \xc &lt;@cs&gt; \xl 70 \s NSKEHB000017 \xhfl Rep \xqt \xpl 2 \l "</w:instrText>
      </w:r>
      <w:r w:rsidRPr="00FD07C8">
        <w:rPr>
          <w:i/>
          <w:sz w:val="24"/>
        </w:rPr>
        <w:instrText>Spintman v. Chesapeake &amp; Potomac Tel.Co.,</w:instrText>
      </w:r>
      <w:r w:rsidRPr="00FD07C8">
        <w:rPr>
          <w:sz w:val="24"/>
        </w:rPr>
        <w:instrText>&lt;SoftRt&gt;</w:instrText>
      </w:r>
      <w:r w:rsidRPr="00FD07C8">
        <w:rPr>
          <w:i/>
          <w:sz w:val="24"/>
        </w:rPr>
        <w:instrText xml:space="preserve"> </w:instrText>
      </w:r>
      <w:r w:rsidRPr="00FD07C8">
        <w:rPr>
          <w:sz w:val="24"/>
        </w:rPr>
        <w:instrText>225 A.2d 304 (Md. 1969)</w:instrText>
      </w:r>
      <w:r w:rsidRPr="00FD07C8">
        <w:instrText xml:space="preserve">" </w:instrText>
      </w:r>
      <w:r w:rsidR="00A36793" w:rsidRPr="00FD07C8">
        <w:fldChar w:fldCharType="end"/>
      </w:r>
      <w:proofErr w:type="spellStart"/>
      <w:r w:rsidRPr="00FD07C8">
        <w:rPr>
          <w:i/>
        </w:rPr>
        <w:t>Spintman</w:t>
      </w:r>
      <w:proofErr w:type="spellEnd"/>
      <w:r w:rsidRPr="00FD07C8">
        <w:rPr>
          <w:i/>
        </w:rPr>
        <w:t xml:space="preserve"> v. Chesapeake &amp; Potomac </w:t>
      </w:r>
      <w:proofErr w:type="spellStart"/>
      <w:r w:rsidRPr="00FD07C8">
        <w:rPr>
          <w:i/>
        </w:rPr>
        <w:t>Tel.Co</w:t>
      </w:r>
      <w:proofErr w:type="spellEnd"/>
      <w:r w:rsidRPr="00FD07C8">
        <w:rPr>
          <w:i/>
        </w:rPr>
        <w:t xml:space="preserve">., </w:t>
      </w:r>
      <w:r w:rsidRPr="00FD07C8">
        <w:t>225 A.2d 304, 308 (Md. 1969)).</w:t>
      </w:r>
    </w:p>
  </w:footnote>
  <w:footnote w:id="30">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&lt;@$ocsn&gt; \xl 47 \s NSKEHB000068 </w:instrText>
      </w:r>
      <w:r w:rsidR="00A36793" w:rsidRPr="00FD07C8">
        <w:fldChar w:fldCharType="end"/>
      </w:r>
      <w:r w:rsidRPr="00FD07C8">
        <w:rPr>
          <w:i/>
        </w:rPr>
        <w:t>Re Portland Gen. Elec.</w:t>
      </w:r>
      <w:r w:rsidRPr="00FD07C8">
        <w:t xml:space="preserve">, DR 10, UE 88 and UM 989, </w:t>
      </w:r>
      <w:r w:rsidR="00A36793" w:rsidRPr="00FD07C8">
        <w:fldChar w:fldCharType="begin"/>
      </w:r>
      <w:r w:rsidRPr="00FD07C8">
        <w:instrText xml:space="preserve"> ADDIN BA \xc &lt;@$reg&gt; \xl 16 \s NSKEHB000015 </w:instrText>
      </w:r>
      <w:r w:rsidR="00A36793" w:rsidRPr="00FD07C8">
        <w:fldChar w:fldCharType="end"/>
      </w:r>
      <w:r w:rsidRPr="00FD07C8">
        <w:t>Order No. 08-487 (OPUC 2008).</w:t>
      </w:r>
    </w:p>
  </w:footnote>
  <w:footnote w:id="31">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&lt;@$id&gt; \xl 3 \s ID </w:instrText>
      </w:r>
      <w:r w:rsidR="00A36793" w:rsidRPr="00FD07C8">
        <w:fldChar w:fldCharType="end"/>
      </w:r>
      <w:r w:rsidRPr="00FD07C8">
        <w:rPr>
          <w:i/>
        </w:rPr>
        <w:t>id.</w:t>
      </w:r>
    </w:p>
  </w:footnote>
  <w:footnote w:id="32">
    <w:p w:rsidR="00615005" w:rsidRPr="00FD07C8" w:rsidRDefault="00615005" w:rsidP="008A147C">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117 \s NSKEHB000018 \xhfl Rep \l "</w:instrText>
      </w:r>
      <w:r w:rsidRPr="00FD07C8">
        <w:rPr>
          <w:rFonts w:ascii="Times New Roman" w:hAnsi="Times New Roman"/>
          <w:i/>
          <w:sz w:val="24"/>
        </w:rPr>
        <w:instrText>Wash. Utils. &amp; Transp. Comm’n v. Olympic Pipe Line Co.</w:instrText>
      </w:r>
      <w:r w:rsidRPr="00FD07C8">
        <w:rPr>
          <w:rFonts w:ascii="Times New Roman" w:hAnsi="Times New Roman"/>
          <w:sz w:val="24"/>
        </w:rPr>
        <w:instrText>,&lt;SoftRt&gt; Docket No. TO-011472, 20</w:instrText>
      </w:r>
      <w:r w:rsidRPr="00FD07C8">
        <w:rPr>
          <w:rFonts w:ascii="Times New Roman" w:hAnsi="Times New Roman"/>
          <w:sz w:val="24"/>
          <w:vertAlign w:val="superscript"/>
        </w:rPr>
        <w:instrText>th</w:instrText>
      </w:r>
      <w:r w:rsidRPr="00FD07C8">
        <w:rPr>
          <w:rFonts w:ascii="Times New Roman" w:hAnsi="Times New Roman"/>
          <w:sz w:val="24"/>
        </w:rPr>
        <w:instrText xml:space="preserve"> Supp. Order ¶ 119 (Sept. 27, 2002)</w:instrText>
      </w:r>
      <w:r w:rsidRPr="00FD07C8">
        <w:instrText xml:space="preserve">" </w:instrText>
      </w:r>
      <w:r w:rsidR="00A36793" w:rsidRPr="00FD07C8">
        <w:fldChar w:fldCharType="end"/>
      </w:r>
      <w:bookmarkStart w:id="41" w:name="_BA_Cite_94"/>
      <w:proofErr w:type="gramStart"/>
      <w:r w:rsidRPr="00FD07C8">
        <w:rPr>
          <w:rFonts w:ascii="Times New Roman" w:hAnsi="Times New Roman"/>
          <w:i/>
        </w:rPr>
        <w:t>Wash. Utils.</w:t>
      </w:r>
      <w:proofErr w:type="gramEnd"/>
      <w:r w:rsidRPr="00FD07C8">
        <w:rPr>
          <w:rFonts w:ascii="Times New Roman" w:hAnsi="Times New Roman"/>
          <w:i/>
        </w:rPr>
        <w:t xml:space="preserve"> &amp; Transp. Comm’n v. Olympic Pipe Line Co.</w:t>
      </w:r>
      <w:r w:rsidRPr="00FD07C8">
        <w:rPr>
          <w:rFonts w:ascii="Times New Roman" w:hAnsi="Times New Roman"/>
        </w:rPr>
        <w:t>, Docket No. TO-011472, 20</w:t>
      </w:r>
      <w:r w:rsidRPr="00FD07C8">
        <w:rPr>
          <w:rFonts w:ascii="Times New Roman" w:hAnsi="Times New Roman"/>
          <w:vertAlign w:val="superscript"/>
        </w:rPr>
        <w:t>th</w:t>
      </w:r>
      <w:r w:rsidRPr="00FD07C8">
        <w:rPr>
          <w:rFonts w:ascii="Times New Roman" w:hAnsi="Times New Roman"/>
        </w:rPr>
        <w:t xml:space="preserve"> Supp. Order ¶ 119 (Sept. 27, 2002)</w:t>
      </w:r>
      <w:bookmarkEnd w:id="41"/>
      <w:r w:rsidRPr="00FD07C8">
        <w:rPr>
          <w:rFonts w:ascii="Times New Roman" w:hAnsi="Times New Roman"/>
        </w:rPr>
        <w:t xml:space="preserve">.  </w:t>
      </w:r>
      <w:r w:rsidRPr="00FD07C8">
        <w:rPr>
          <w:rFonts w:ascii="Times New Roman" w:hAnsi="Times New Roman"/>
          <w:i/>
        </w:rPr>
        <w:t>See also</w:t>
      </w:r>
      <w:r w:rsidRPr="00FD07C8">
        <w:rPr>
          <w:rFonts w:ascii="Times New Roman" w:hAnsi="Times New Roman"/>
        </w:rPr>
        <w:t>,</w:t>
      </w:r>
      <w:r w:rsidRPr="00FD07C8">
        <w:rPr>
          <w:rFonts w:ascii="Times New Roman" w:hAnsi="Times New Roman"/>
          <w:i/>
        </w:rPr>
        <w:t xml:space="preserve"> </w:t>
      </w:r>
      <w:r w:rsidR="00A36793" w:rsidRPr="00FD07C8">
        <w:fldChar w:fldCharType="begin"/>
      </w:r>
      <w:r w:rsidRPr="00FD07C8">
        <w:instrText xml:space="preserve"> ADDIN BA \xc &lt;@cs&gt; \xl 63 \s NSKEHB000019 \xhfl Rep \l "</w:instrText>
      </w:r>
      <w:r w:rsidRPr="00FD07C8">
        <w:rPr>
          <w:rFonts w:ascii="Times New Roman" w:hAnsi="Times New Roman"/>
          <w:i/>
          <w:sz w:val="24"/>
        </w:rPr>
        <w:instrText>Richter v. Fla. Power Corp</w:instrText>
      </w:r>
      <w:r w:rsidRPr="00FD07C8">
        <w:rPr>
          <w:rFonts w:ascii="Times New Roman" w:hAnsi="Times New Roman"/>
          <w:sz w:val="24"/>
        </w:rPr>
        <w:instrText>.,&lt;SoftRt&gt; 366 So.2d 798 (Fla.App. 1979)</w:instrText>
      </w:r>
      <w:r w:rsidRPr="00FD07C8">
        <w:instrText xml:space="preserve">" </w:instrText>
      </w:r>
      <w:r w:rsidR="00A36793" w:rsidRPr="00FD07C8">
        <w:fldChar w:fldCharType="end"/>
      </w:r>
      <w:bookmarkStart w:id="42" w:name="_BA_Cite_95"/>
      <w:r w:rsidRPr="00FD07C8">
        <w:rPr>
          <w:rFonts w:ascii="Times New Roman" w:hAnsi="Times New Roman"/>
          <w:i/>
        </w:rPr>
        <w:t>Richter v. Fla. Power Corp</w:t>
      </w:r>
      <w:r w:rsidRPr="00FD07C8">
        <w:rPr>
          <w:rFonts w:ascii="Times New Roman" w:hAnsi="Times New Roman"/>
        </w:rPr>
        <w:t>., 366 So.2d 798, 799 (</w:t>
      </w:r>
      <w:proofErr w:type="spellStart"/>
      <w:r w:rsidRPr="00FD07C8">
        <w:rPr>
          <w:rFonts w:ascii="Times New Roman" w:hAnsi="Times New Roman"/>
        </w:rPr>
        <w:t>Fla.App</w:t>
      </w:r>
      <w:proofErr w:type="spellEnd"/>
      <w:r w:rsidRPr="00FD07C8">
        <w:rPr>
          <w:rFonts w:ascii="Times New Roman" w:hAnsi="Times New Roman"/>
        </w:rPr>
        <w:t>. 1979)</w:t>
      </w:r>
      <w:bookmarkEnd w:id="42"/>
      <w:r w:rsidRPr="00FD07C8">
        <w:rPr>
          <w:rFonts w:ascii="Times New Roman" w:hAnsi="Times New Roman"/>
        </w:rPr>
        <w:t xml:space="preserve"> (the case cited by ICNU, which states “It is, of course, vital to both the regulated utility and the consumers that the PSC's rate orders be final.”).</w:t>
      </w:r>
    </w:p>
  </w:footnote>
  <w:footnote w:id="33">
    <w:p w:rsidR="00615005" w:rsidRPr="00FD07C8" w:rsidRDefault="00615005" w:rsidP="00544D91">
      <w:pPr>
        <w:pStyle w:val="FootnoteText"/>
        <w:rPr>
          <w:i/>
        </w:rPr>
      </w:pPr>
      <w:r w:rsidRPr="00FD07C8">
        <w:rPr>
          <w:rStyle w:val="FootnoteReference"/>
        </w:rPr>
        <w:footnoteRef/>
      </w:r>
      <w:r w:rsidRPr="00FD07C8">
        <w:t xml:space="preserve"> If investors could not rely on the rates fixed by commissions, “utilities would find it difficult to attract capital.”  </w:t>
      </w:r>
      <w:r w:rsidR="00A36793" w:rsidRPr="00FD07C8">
        <w:fldChar w:fldCharType="begin"/>
      </w:r>
      <w:r w:rsidRPr="00FD07C8">
        <w:instrText xml:space="preserve"> ADDIN BA \xc &lt;@$per&gt; \xl 180 \s NSKEHB000016 </w:instrText>
      </w:r>
      <w:r w:rsidR="00A36793" w:rsidRPr="00FD07C8">
        <w:fldChar w:fldCharType="end"/>
      </w:r>
      <w:r w:rsidRPr="00FD07C8">
        <w:t xml:space="preserve">Stefan H. Krieger, </w:t>
      </w:r>
      <w:r w:rsidRPr="00FD07C8">
        <w:rPr>
          <w:i/>
        </w:rPr>
        <w:t>The Ghost of Regulation Past: Current Application of the Rule Against Retroactive Ratemaking in Public Utility Proceedings</w:t>
      </w:r>
      <w:r w:rsidRPr="00FD07C8">
        <w:t xml:space="preserve">, 1991 </w:t>
      </w:r>
      <w:r w:rsidRPr="00FD07C8">
        <w:rPr>
          <w:smallCaps/>
        </w:rPr>
        <w:t>U. Ill. L. Rev.</w:t>
      </w:r>
      <w:r w:rsidRPr="00FD07C8">
        <w:t xml:space="preserve"> 983, 1039 (1991).  </w:t>
      </w:r>
      <w:r w:rsidRPr="00FD07C8">
        <w:rPr>
          <w:i/>
        </w:rPr>
        <w:t xml:space="preserve">See also </w:t>
      </w:r>
      <w:r w:rsidR="00A36793" w:rsidRPr="00FD07C8">
        <w:fldChar w:fldCharType="begin"/>
      </w:r>
      <w:r w:rsidRPr="00FD07C8">
        <w:instrText xml:space="preserve"> ADDIN BA \xc &lt;@cs&gt; \xl 75 \s NSKEHB000020 \xhfl Rep \l "</w:instrText>
      </w:r>
      <w:r w:rsidRPr="00FD07C8">
        <w:rPr>
          <w:i/>
          <w:sz w:val="24"/>
        </w:rPr>
        <w:instrText>City of Los Angeles v. Cal. Pub. Utils. Comm’n,</w:instrText>
      </w:r>
      <w:r w:rsidRPr="00FD07C8">
        <w:rPr>
          <w:sz w:val="24"/>
        </w:rPr>
        <w:instrText>&lt;SoftRt&gt;</w:instrText>
      </w:r>
      <w:r w:rsidRPr="00FD07C8">
        <w:rPr>
          <w:i/>
          <w:sz w:val="24"/>
        </w:rPr>
        <w:instrText xml:space="preserve"> </w:instrText>
      </w:r>
      <w:r w:rsidRPr="00FD07C8">
        <w:rPr>
          <w:sz w:val="24"/>
        </w:rPr>
        <w:instrText>7 Cal.3d 331 (CA 1972)</w:instrText>
      </w:r>
      <w:r w:rsidRPr="00FD07C8">
        <w:instrText xml:space="preserve">" </w:instrText>
      </w:r>
      <w:r w:rsidR="00A36793" w:rsidRPr="00FD07C8">
        <w:fldChar w:fldCharType="end"/>
      </w:r>
      <w:bookmarkStart w:id="43" w:name="_BA_Cite_96"/>
      <w:r w:rsidRPr="00FD07C8">
        <w:rPr>
          <w:i/>
        </w:rPr>
        <w:t xml:space="preserve">City of Los Angeles v. Cal. Pub. </w:t>
      </w:r>
      <w:proofErr w:type="gramStart"/>
      <w:r w:rsidRPr="00FD07C8">
        <w:rPr>
          <w:i/>
        </w:rPr>
        <w:t>Utils.</w:t>
      </w:r>
      <w:proofErr w:type="gramEnd"/>
      <w:r w:rsidRPr="00FD07C8">
        <w:rPr>
          <w:i/>
        </w:rPr>
        <w:t xml:space="preserve"> Comm’n, </w:t>
      </w:r>
      <w:r w:rsidRPr="00FD07C8">
        <w:t>7 Cal.3d 331, 358 (CA 1972)</w:t>
      </w:r>
      <w:bookmarkEnd w:id="43"/>
      <w:r w:rsidRPr="00FD07C8">
        <w:t xml:space="preserve"> (“The adoption of a comprehensive scheme of public utility rate regulation involves numerous considerations, and it has been recognized that absolute equity must sometimes give way to the greater overall good, including the demands of </w:t>
      </w:r>
      <w:r w:rsidRPr="00FD07C8">
        <w:rPr>
          <w:i/>
        </w:rPr>
        <w:t>certainty and efficiency</w:t>
      </w:r>
      <w:r w:rsidRPr="00FD07C8">
        <w:t>.” (referring to the rule against retroactive ratemaking) (emphasis added)).</w:t>
      </w:r>
    </w:p>
  </w:footnote>
  <w:footnote w:id="34">
    <w:p w:rsidR="00615005" w:rsidRPr="00FD07C8" w:rsidRDefault="00615005" w:rsidP="00F52613">
      <w:pPr>
        <w:pStyle w:val="FootnoteText"/>
      </w:pPr>
      <w:r w:rsidRPr="00FD07C8">
        <w:rPr>
          <w:rStyle w:val="FootnoteReference"/>
        </w:rPr>
        <w:footnoteRef/>
      </w:r>
      <w:r w:rsidRPr="00FD07C8">
        <w:t xml:space="preserve"> Breda, Exh. No. KHB-14 at 37-38.</w:t>
      </w:r>
    </w:p>
  </w:footnote>
  <w:footnote w:id="35">
    <w:p w:rsidR="00615005" w:rsidRPr="00FD07C8" w:rsidRDefault="00615005" w:rsidP="00B60417">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9 \s ID \xhfl Rep </w:instrText>
      </w:r>
      <w:r w:rsidR="00A36793" w:rsidRPr="00FD07C8">
        <w:fldChar w:fldCharType="end"/>
      </w:r>
      <w:bookmarkStart w:id="44" w:name="_BA_Cite_97"/>
      <w:proofErr w:type="gramStart"/>
      <w:r w:rsidRPr="00FD07C8">
        <w:rPr>
          <w:i/>
        </w:rPr>
        <w:t>Id.</w:t>
      </w:r>
      <w:r w:rsidRPr="00FD07C8">
        <w:t xml:space="preserve"> at 38</w:t>
      </w:r>
      <w:bookmarkEnd w:id="44"/>
      <w:r w:rsidRPr="00FD07C8">
        <w:t>.</w:t>
      </w:r>
      <w:proofErr w:type="gramEnd"/>
    </w:p>
  </w:footnote>
  <w:footnote w:id="36">
    <w:p w:rsidR="00615005" w:rsidRPr="00FD07C8" w:rsidRDefault="00615005" w:rsidP="00B60417">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3 \s ID </w:instrText>
      </w:r>
      <w:r w:rsidR="00A36793" w:rsidRPr="00FD07C8">
        <w:fldChar w:fldCharType="end"/>
      </w:r>
      <w:r w:rsidRPr="00FD07C8">
        <w:rPr>
          <w:i/>
        </w:rPr>
        <w:t>Id.</w:t>
      </w:r>
      <w:r w:rsidRPr="00FD07C8">
        <w:t xml:space="preserve"> </w:t>
      </w:r>
    </w:p>
  </w:footnote>
  <w:footnote w:id="37">
    <w:p w:rsidR="00615005" w:rsidRPr="00FD07C8" w:rsidRDefault="00615005">
      <w:pPr>
        <w:pStyle w:val="FootnoteText"/>
      </w:pPr>
      <w:r w:rsidRPr="00FD07C8">
        <w:rPr>
          <w:rStyle w:val="FootnoteReference"/>
        </w:rPr>
        <w:footnoteRef/>
      </w:r>
      <w:r w:rsidRPr="00FD07C8">
        <w:t xml:space="preserve"> Breda, Exh. No. KHB-7TC 12:15-17. </w:t>
      </w:r>
    </w:p>
  </w:footnote>
  <w:footnote w:id="38">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&lt;@rec&gt; \xl 27 \s NSKEHB000069 \l "</w:instrText>
      </w:r>
      <w:r w:rsidRPr="00FD07C8">
        <w:rPr>
          <w:sz w:val="24"/>
        </w:rPr>
        <w:instrText>Staff’s Phase II Brief ¶ 12</w:instrText>
      </w:r>
      <w:r w:rsidRPr="00FD07C8">
        <w:instrText xml:space="preserve">" </w:instrText>
      </w:r>
      <w:r w:rsidR="00A36793" w:rsidRPr="00FD07C8">
        <w:fldChar w:fldCharType="end"/>
      </w:r>
      <w:r w:rsidRPr="00FD07C8">
        <w:t xml:space="preserve">Staff’s </w:t>
      </w:r>
      <w:r w:rsidR="00211A66">
        <w:t>Phase II Opening Brief</w:t>
      </w:r>
      <w:r w:rsidRPr="00FD07C8">
        <w:t xml:space="preserve"> ¶ 12; </w:t>
      </w:r>
      <w:r w:rsidR="00A36793" w:rsidRPr="00FD07C8">
        <w:fldChar w:fldCharType="begin"/>
      </w:r>
      <w:r w:rsidRPr="00FD07C8">
        <w:instrText xml:space="preserve"> ADDIN BA \xc &lt;@rec&gt; \xl 36 \s NSKEHB000070 \l "</w:instrText>
      </w:r>
      <w:r w:rsidRPr="00FD07C8">
        <w:rPr>
          <w:sz w:val="24"/>
        </w:rPr>
        <w:instrText>Public Counsel’s Phase II Brief ¶ 18</w:instrText>
      </w:r>
      <w:r w:rsidRPr="00FD07C8">
        <w:instrText xml:space="preserve">" </w:instrText>
      </w:r>
      <w:r w:rsidR="00A36793" w:rsidRPr="00FD07C8">
        <w:fldChar w:fldCharType="end"/>
      </w:r>
      <w:r w:rsidRPr="00FD07C8">
        <w:t xml:space="preserve">Public Counsel’s </w:t>
      </w:r>
      <w:r w:rsidR="00211A66">
        <w:t>Phase II Opening Brief</w:t>
      </w:r>
      <w:r w:rsidRPr="00FD07C8">
        <w:t xml:space="preserve"> ¶ 18; </w:t>
      </w:r>
      <w:r w:rsidR="00A36793" w:rsidRPr="00FD07C8">
        <w:fldChar w:fldCharType="begin"/>
      </w:r>
      <w:r w:rsidRPr="00FD07C8">
        <w:instrText xml:space="preserve"> ADDIN BA \xc &lt;@rec&gt; \xl 26 \s NSKEHB000071 \l "</w:instrText>
      </w:r>
      <w:r w:rsidRPr="00FD07C8">
        <w:rPr>
          <w:sz w:val="24"/>
        </w:rPr>
        <w:instrText>ICNU’s Phase II Brief ¶ 10</w:instrText>
      </w:r>
      <w:r w:rsidRPr="00FD07C8">
        <w:instrText xml:space="preserve">" </w:instrText>
      </w:r>
      <w:r w:rsidR="00A36793" w:rsidRPr="00FD07C8">
        <w:fldChar w:fldCharType="end"/>
      </w:r>
      <w:r w:rsidRPr="00FD07C8">
        <w:t xml:space="preserve">ICNU’s </w:t>
      </w:r>
      <w:r w:rsidR="00211A66">
        <w:t>Phase II Opening Brief</w:t>
      </w:r>
      <w:r w:rsidRPr="00FD07C8">
        <w:t xml:space="preserve"> ¶ 10.</w:t>
      </w:r>
    </w:p>
  </w:footnote>
  <w:footnote w:id="39">
    <w:p w:rsidR="00615005" w:rsidRPr="00FD07C8" w:rsidRDefault="00615005" w:rsidP="00AF3702">
      <w:pPr>
        <w:pStyle w:val="FootnoteText"/>
      </w:pPr>
      <w:r w:rsidRPr="00FD07C8">
        <w:rPr>
          <w:rStyle w:val="FootnoteReference"/>
        </w:rPr>
        <w:footnoteRef/>
      </w:r>
      <w:r w:rsidRPr="00FD07C8">
        <w:t xml:space="preserve"> </w:t>
      </w:r>
      <w:r w:rsidRPr="00FD07C8">
        <w:rPr>
          <w:i/>
        </w:rPr>
        <w:t xml:space="preserve">See, e.g., </w:t>
      </w:r>
      <w:r w:rsidR="00A36793" w:rsidRPr="00FD07C8">
        <w:fldChar w:fldCharType="begin"/>
      </w:r>
      <w:r w:rsidRPr="00FD07C8">
        <w:instrText xml:space="preserve"> ADDIN BA \xc &lt;@per&gt; \xl 173 \s NSKEHB000021 \l "</w:instrText>
      </w:r>
      <w:r w:rsidRPr="00FD07C8">
        <w:rPr>
          <w:sz w:val="24"/>
        </w:rPr>
        <w:instrText xml:space="preserve">Stefan H. Krieger, </w:instrText>
      </w:r>
      <w:r w:rsidRPr="00FD07C8">
        <w:rPr>
          <w:i/>
          <w:sz w:val="24"/>
        </w:rPr>
        <w:instrText>The Ghost of Regulation Past: Current Application of the Rule Against Retroactive Ratemaking in Public Utility Proceedings</w:instrText>
      </w:r>
      <w:r w:rsidRPr="00FD07C8">
        <w:rPr>
          <w:sz w:val="24"/>
        </w:rPr>
        <w:instrText xml:space="preserve">, 1991 </w:instrText>
      </w:r>
      <w:r w:rsidRPr="00FD07C8">
        <w:rPr>
          <w:smallCaps/>
          <w:sz w:val="24"/>
        </w:rPr>
        <w:instrText>U. Ill. L. Rev.</w:instrText>
      </w:r>
      <w:r w:rsidRPr="00FD07C8">
        <w:rPr>
          <w:sz w:val="24"/>
        </w:rPr>
        <w:instrText xml:space="preserve"> 983, 1008</w:instrText>
      </w:r>
      <w:r w:rsidRPr="00FD07C8">
        <w:instrText xml:space="preserve">" </w:instrText>
      </w:r>
      <w:r w:rsidR="00A36793" w:rsidRPr="00FD07C8">
        <w:fldChar w:fldCharType="end"/>
      </w:r>
      <w:bookmarkStart w:id="45" w:name="_BA_Cite_98"/>
      <w:r w:rsidRPr="00FD07C8">
        <w:t xml:space="preserve">Stefan H. Krieger, </w:t>
      </w:r>
      <w:r w:rsidRPr="00FD07C8">
        <w:rPr>
          <w:i/>
        </w:rPr>
        <w:t>The Ghost of Regulation Past: Current Application of the Rule Against Retroactive Ratemaking in Public Utility Proceedings</w:t>
      </w:r>
      <w:r w:rsidRPr="00FD07C8">
        <w:t xml:space="preserve">, 1991 </w:t>
      </w:r>
      <w:r w:rsidRPr="00FD07C8">
        <w:rPr>
          <w:smallCaps/>
        </w:rPr>
        <w:t>U. Ill. L. Rev.</w:t>
      </w:r>
      <w:r w:rsidRPr="00FD07C8">
        <w:t xml:space="preserve"> 983, 1008</w:t>
      </w:r>
      <w:bookmarkEnd w:id="45"/>
      <w:r w:rsidRPr="00FD07C8">
        <w:t xml:space="preserve"> (“Not all courts, however, have adopted the ‘extraordinary loss or gain’ exception to the retroactivity rule.  A number of courts have held to a strict construction of the rule and have concluded that commissions have the power to set rates prospectively only.”).  </w:t>
      </w:r>
      <w:proofErr w:type="gramStart"/>
      <w:r w:rsidRPr="00FD07C8">
        <w:rPr>
          <w:i/>
        </w:rPr>
        <w:t xml:space="preserve">See, e.g., </w:t>
      </w:r>
      <w:proofErr w:type="gramEnd"/>
      <w:r w:rsidR="00A36793" w:rsidRPr="00FD07C8">
        <w:fldChar w:fldCharType="begin"/>
      </w:r>
      <w:r w:rsidRPr="00FD07C8">
        <w:instrText xml:space="preserve"> ADDIN BA \xc &lt;@cs&gt; \xl 77 \s NSKEHB000022 \xhfl Rep \l "</w:instrText>
      </w:r>
      <w:r w:rsidRPr="00FD07C8">
        <w:rPr>
          <w:i/>
          <w:sz w:val="24"/>
        </w:rPr>
        <w:instrText>S.C. Elec. and Gas Co. v. Pub. Serv. Comm’n</w:instrText>
      </w:r>
      <w:r w:rsidRPr="00FD07C8">
        <w:rPr>
          <w:sz w:val="24"/>
        </w:rPr>
        <w:instrText>,&lt;SoftRt&gt; 272 S.E.2d 793 (S.C., 1980)</w:instrText>
      </w:r>
      <w:r w:rsidRPr="00FD07C8">
        <w:instrText xml:space="preserve">" </w:instrText>
      </w:r>
      <w:r w:rsidR="00A36793" w:rsidRPr="00FD07C8">
        <w:fldChar w:fldCharType="end"/>
      </w:r>
      <w:bookmarkStart w:id="46" w:name="_BA_Cite_99"/>
      <w:proofErr w:type="gramStart"/>
      <w:r w:rsidRPr="00FD07C8">
        <w:rPr>
          <w:i/>
        </w:rPr>
        <w:t>S.C. Elec. and Gas Co. v. Pub.</w:t>
      </w:r>
      <w:proofErr w:type="gramEnd"/>
      <w:r w:rsidRPr="00FD07C8">
        <w:rPr>
          <w:i/>
        </w:rPr>
        <w:t xml:space="preserve"> Serv. Comm’n</w:t>
      </w:r>
      <w:r w:rsidRPr="00FD07C8">
        <w:t>, 272 S.E.2d 793, 795 (S.C., 1980)</w:t>
      </w:r>
      <w:bookmarkEnd w:id="46"/>
      <w:r w:rsidRPr="00FD07C8">
        <w:t xml:space="preserve"> (“We are not persuaded by the fact the Commission referred to the refund here as an adjustment for extraordinary operating expenses. Semantics aside, the Commission's action constituted retroactive rate-making . . . The result reached here may initially appear unjust to the retail customer and unduly generous to SCE&amp;G. This is not the case. The crux of this issue is the firm principle that rate-making is prospective rather than retroactive.”); </w:t>
      </w:r>
      <w:r w:rsidRPr="00FD07C8">
        <w:rPr>
          <w:i/>
        </w:rPr>
        <w:t xml:space="preserve">see also, </w:t>
      </w:r>
      <w:r w:rsidR="00A36793" w:rsidRPr="00FD07C8">
        <w:fldChar w:fldCharType="begin"/>
      </w:r>
      <w:r w:rsidRPr="00FD07C8">
        <w:instrText xml:space="preserve"> ADDIN BA \xc &lt;@cs&gt; \xl 81 \s NSKEHB000023 \xhfl Rep \l "</w:instrText>
      </w:r>
      <w:r w:rsidRPr="00FD07C8">
        <w:rPr>
          <w:i/>
          <w:sz w:val="24"/>
        </w:rPr>
        <w:instrText>In re Elizabethtown Water Co</w:instrText>
      </w:r>
      <w:r w:rsidRPr="00FD07C8">
        <w:rPr>
          <w:sz w:val="24"/>
        </w:rPr>
        <w:instrText xml:space="preserve"> </w:instrText>
      </w:r>
      <w:r w:rsidRPr="00FD07C8">
        <w:rPr>
          <w:i/>
          <w:sz w:val="24"/>
        </w:rPr>
        <w:instrText>v. N.J. Bd. of Pub. Util.</w:instrText>
      </w:r>
      <w:r w:rsidRPr="00FD07C8">
        <w:rPr>
          <w:sz w:val="24"/>
        </w:rPr>
        <w:instrText>,&lt;SoftRt&gt; 527 A.2d 354 (N.J., 1987)</w:instrText>
      </w:r>
      <w:r w:rsidRPr="00FD07C8">
        <w:instrText xml:space="preserve">" </w:instrText>
      </w:r>
      <w:r w:rsidR="00A36793" w:rsidRPr="00FD07C8">
        <w:fldChar w:fldCharType="end"/>
      </w:r>
      <w:bookmarkStart w:id="47" w:name="_BA_Cite_100"/>
      <w:r w:rsidRPr="00FD07C8">
        <w:rPr>
          <w:i/>
        </w:rPr>
        <w:t>In re Elizabethtown Water Co</w:t>
      </w:r>
      <w:r w:rsidRPr="00FD07C8">
        <w:t xml:space="preserve"> </w:t>
      </w:r>
      <w:r w:rsidRPr="00FD07C8">
        <w:rPr>
          <w:i/>
        </w:rPr>
        <w:t>v. N.J. Bd. of Pub. Util.</w:t>
      </w:r>
      <w:r w:rsidRPr="00FD07C8">
        <w:t>, 527 A.2d 354 (N.J., 1987)</w:t>
      </w:r>
      <w:bookmarkEnd w:id="47"/>
      <w:r w:rsidRPr="00FD07C8">
        <w:t xml:space="preserve"> (the court overruled the commission’s order postponing the water company’s rate effective date in order to offset the water company’s unusual gains resulting from high water prices during a drought.  The court stated that “[t]he orderly processes of ratemaking are necessarily present and prospective if ratemaking is to be effective.” (</w:t>
      </w:r>
      <w:proofErr w:type="gramStart"/>
      <w:r w:rsidRPr="00FD07C8">
        <w:t>citations</w:t>
      </w:r>
      <w:proofErr w:type="gramEnd"/>
      <w:r w:rsidRPr="00FD07C8">
        <w:t xml:space="preserve"> omitted)); </w:t>
      </w:r>
      <w:r w:rsidR="00A36793" w:rsidRPr="00FD07C8">
        <w:fldChar w:fldCharType="begin"/>
      </w:r>
      <w:r w:rsidRPr="00FD07C8">
        <w:instrText xml:space="preserve"> ADDIN BA \xc &lt;@cs&gt; \xl 64 \s NSKEHB000024 \xhfl Rep \l "</w:instrText>
      </w:r>
      <w:r w:rsidRPr="00FD07C8">
        <w:rPr>
          <w:i/>
          <w:sz w:val="24"/>
        </w:rPr>
        <w:instrText>Re. Central Vt. Pub. Serv. Corp</w:instrText>
      </w:r>
      <w:r w:rsidRPr="00FD07C8">
        <w:rPr>
          <w:sz w:val="24"/>
        </w:rPr>
        <w:instrText>.,&lt;SoftRt&gt; 473 A.2d 1155 (Vt. 1984)</w:instrText>
      </w:r>
      <w:r w:rsidRPr="00FD07C8">
        <w:instrText xml:space="preserve">" </w:instrText>
      </w:r>
      <w:r w:rsidR="00A36793" w:rsidRPr="00FD07C8">
        <w:fldChar w:fldCharType="end"/>
      </w:r>
      <w:bookmarkStart w:id="48" w:name="_BA_Cite_101"/>
      <w:r w:rsidRPr="00FD07C8">
        <w:rPr>
          <w:i/>
        </w:rPr>
        <w:t>Re. Central Vt. Pub. Serv. Corp</w:t>
      </w:r>
      <w:r w:rsidRPr="00FD07C8">
        <w:t>., 473 A.2d 1155, 1160 (Vt. 1984)</w:t>
      </w:r>
      <w:bookmarkEnd w:id="48"/>
      <w:r w:rsidRPr="00FD07C8">
        <w:t xml:space="preserve"> (“We hold that, unless authorized by statute, a rate that requires consumers to pay for past deficits of a utility or that requires a utility to refund to consumers a portion of its previously earned profits constitutes illegal retroactive ratemaking.”).</w:t>
      </w:r>
    </w:p>
  </w:footnote>
  <w:footnote w:id="4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227 \s NSKEHB000026 \xhfl Rep \l "</w:instrText>
      </w:r>
      <w:r w:rsidRPr="00FD07C8">
        <w:rPr>
          <w:i/>
          <w:sz w:val="24"/>
        </w:rPr>
        <w:instrText>Re Application of Puget Sound Energy for Authorization Regarding the Deferral of the Net Impact of the Conservation Incentive Credit Program</w:instrText>
      </w:r>
      <w:r w:rsidRPr="00FD07C8">
        <w:rPr>
          <w:sz w:val="24"/>
        </w:rPr>
        <w:instrText>,&lt;SoftRt&gt; Docket No. UE-010410, Order Denying Petition to Amend Accounting Order (Nov. 9, 2001)</w:instrText>
      </w:r>
      <w:r w:rsidRPr="00FD07C8">
        <w:instrText xml:space="preserve">" </w:instrText>
      </w:r>
      <w:r w:rsidR="00A36793" w:rsidRPr="00FD07C8">
        <w:fldChar w:fldCharType="end"/>
      </w:r>
      <w:bookmarkStart w:id="50" w:name="_BA_Cite_103"/>
      <w:r w:rsidRPr="00FD07C8">
        <w:rPr>
          <w:i/>
        </w:rPr>
        <w:t>Re Application of Puget Sound Energy for Authorization Regarding the Deferral of the Net Impact of the Conservation Incentive Credit Program</w:t>
      </w:r>
      <w:r w:rsidRPr="00FD07C8">
        <w:t xml:space="preserve">, Docket No. </w:t>
      </w:r>
      <w:proofErr w:type="gramStart"/>
      <w:r w:rsidRPr="00FD07C8">
        <w:t>UE-010410, Order Denying Petition to Amend Accounting Order (Nov. 9, 2001)</w:t>
      </w:r>
      <w:bookmarkEnd w:id="50"/>
      <w:r w:rsidRPr="00FD07C8">
        <w:t xml:space="preserve"> (emphasis in original).</w:t>
      </w:r>
      <w:proofErr w:type="gramEnd"/>
    </w:p>
  </w:footnote>
  <w:footnote w:id="4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&lt;@$ocsn&gt; \xl 47 \s NSKEHB000068 </w:instrText>
      </w:r>
      <w:r w:rsidR="00A36793" w:rsidRPr="00FD07C8">
        <w:fldChar w:fldCharType="end"/>
      </w:r>
      <w:bookmarkStart w:id="54" w:name="_BA_Cite_104"/>
      <w:r w:rsidRPr="00FD07C8">
        <w:rPr>
          <w:i/>
        </w:rPr>
        <w:t>Re Portland Gen. Elec.</w:t>
      </w:r>
      <w:r w:rsidRPr="00FD07C8">
        <w:t>, DR 10, UE 88 and UM 989</w:t>
      </w:r>
      <w:bookmarkEnd w:id="54"/>
      <w:r w:rsidRPr="00FD07C8">
        <w:t xml:space="preserve">, </w:t>
      </w:r>
      <w:r w:rsidR="00A36793" w:rsidRPr="00FD07C8">
        <w:fldChar w:fldCharType="begin"/>
      </w:r>
      <w:r w:rsidRPr="00FD07C8">
        <w:instrText xml:space="preserve"> ADDIN BA \xc &lt;@$reg&gt; \xl 16 \s NSKEHB000015 </w:instrText>
      </w:r>
      <w:r w:rsidR="00A36793" w:rsidRPr="00FD07C8">
        <w:fldChar w:fldCharType="end"/>
      </w:r>
      <w:bookmarkStart w:id="55" w:name="_BA_Cite_105"/>
      <w:r w:rsidRPr="00FD07C8">
        <w:t>Order No. 08-487</w:t>
      </w:r>
      <w:bookmarkEnd w:id="55"/>
      <w:r w:rsidRPr="00FD07C8">
        <w:t xml:space="preserve"> (OPUC 2008) (stating that ratemaking is a legislative act and, like legislation, is prospective in nature absent explicit legislative direction); </w:t>
      </w:r>
      <w:r w:rsidR="00A36793" w:rsidRPr="00FD07C8">
        <w:fldChar w:fldCharType="begin"/>
      </w:r>
      <w:r w:rsidRPr="00FD07C8">
        <w:instrText xml:space="preserve"> ADDIN BA \xc &lt;@cs&gt; \xl 108 \s NSKEHB000027 \xhfl Rep \l "</w:instrText>
      </w:r>
      <w:r w:rsidRPr="00FD07C8">
        <w:rPr>
          <w:i/>
          <w:sz w:val="24"/>
        </w:rPr>
        <w:instrText>People's Org. for</w:instrText>
      </w:r>
      <w:r w:rsidRPr="00FD07C8">
        <w:rPr>
          <w:sz w:val="24"/>
        </w:rPr>
        <w:instrText xml:space="preserve"> </w:instrText>
      </w:r>
      <w:r w:rsidRPr="00FD07C8">
        <w:rPr>
          <w:i/>
          <w:sz w:val="24"/>
        </w:rPr>
        <w:instrText>Wash. Energy Resources v. Wash. Utils. &amp; Transp. Comm'n</w:instrText>
      </w:r>
      <w:r w:rsidRPr="00FD07C8">
        <w:rPr>
          <w:sz w:val="24"/>
        </w:rPr>
        <w:instrText>,&lt;SoftRt&gt; 104 Wash.2d 798 (Wash.1985)</w:instrText>
      </w:r>
      <w:r w:rsidRPr="00FD07C8">
        <w:instrText xml:space="preserve">" </w:instrText>
      </w:r>
      <w:r w:rsidR="00A36793" w:rsidRPr="00FD07C8">
        <w:fldChar w:fldCharType="end"/>
      </w:r>
      <w:bookmarkStart w:id="56" w:name="_BA_Cite_106"/>
      <w:r w:rsidRPr="00FD07C8">
        <w:rPr>
          <w:i/>
        </w:rPr>
        <w:t>People's Org. for</w:t>
      </w:r>
      <w:r w:rsidRPr="00FD07C8">
        <w:t xml:space="preserve"> </w:t>
      </w:r>
      <w:r w:rsidRPr="00FD07C8">
        <w:rPr>
          <w:i/>
        </w:rPr>
        <w:t>Wash. Energy Resources v. Wash. Utils. &amp; Transp. Comm'n</w:t>
      </w:r>
      <w:r w:rsidRPr="00FD07C8">
        <w:t>,</w:t>
      </w:r>
      <w:proofErr w:type="gramStart"/>
      <w:r w:rsidRPr="00FD07C8">
        <w:t>  104</w:t>
      </w:r>
      <w:proofErr w:type="gramEnd"/>
      <w:r w:rsidRPr="00FD07C8">
        <w:t xml:space="preserve"> Wash.2d 798, 807 (Wash.1985)</w:t>
      </w:r>
      <w:bookmarkEnd w:id="56"/>
      <w:r w:rsidRPr="00FD07C8">
        <w:t xml:space="preserve"> (ratemaking is legislative in character); </w:t>
      </w:r>
      <w:r w:rsidR="00A36793" w:rsidRPr="00FD07C8">
        <w:fldChar w:fldCharType="begin"/>
      </w:r>
      <w:r w:rsidRPr="00FD07C8">
        <w:instrText xml:space="preserve"> ADDIN BA \xc &lt;@cs&gt; \xl 66 \s NSKEHB000028 \xhfl Rep \l "</w:instrText>
      </w:r>
      <w:r w:rsidRPr="00FD07C8">
        <w:rPr>
          <w:i/>
          <w:sz w:val="24"/>
        </w:rPr>
        <w:instrText>Sorensen v. Western Hotels, Inc</w:instrText>
      </w:r>
      <w:r w:rsidRPr="00FD07C8">
        <w:rPr>
          <w:sz w:val="24"/>
        </w:rPr>
        <w:instrText>. &lt;SoftRt&gt;55 Wash.2d 625 (Wash. 1960)</w:instrText>
      </w:r>
      <w:r w:rsidRPr="00FD07C8">
        <w:instrText xml:space="preserve">" </w:instrText>
      </w:r>
      <w:r w:rsidR="00A36793" w:rsidRPr="00FD07C8">
        <w:fldChar w:fldCharType="end"/>
      </w:r>
      <w:bookmarkStart w:id="57" w:name="_BA_Cite_107"/>
      <w:r w:rsidRPr="00FD07C8">
        <w:rPr>
          <w:i/>
        </w:rPr>
        <w:t>Sorensen v. Western Hotels, Inc</w:t>
      </w:r>
      <w:r w:rsidRPr="00FD07C8">
        <w:t>.  55 Wash.2d 625, 629 (Wash. 1960)</w:t>
      </w:r>
      <w:bookmarkEnd w:id="57"/>
      <w:r w:rsidRPr="00FD07C8">
        <w:t xml:space="preserve"> (legislative acts will generally be given prospective, and not retroactive, effect).</w:t>
      </w:r>
    </w:p>
  </w:footnote>
  <w:footnote w:id="42">
    <w:p w:rsidR="00615005" w:rsidRPr="00FD07C8" w:rsidRDefault="00615005">
      <w:pPr>
        <w:pStyle w:val="FootnoteText"/>
      </w:pPr>
      <w:r w:rsidRPr="00FD07C8">
        <w:rPr>
          <w:rStyle w:val="FootnoteReference"/>
        </w:rPr>
        <w:footnoteRef/>
      </w:r>
      <w:r w:rsidRPr="00FD07C8">
        <w:t xml:space="preserve"> </w:t>
      </w:r>
      <w:proofErr w:type="gramStart"/>
      <w:r w:rsidR="00211A66">
        <w:t>ICNU’s Phase II Opening Brief</w:t>
      </w:r>
      <w:r w:rsidRPr="00FD07C8">
        <w:t xml:space="preserve"> ¶ 10.</w:t>
      </w:r>
      <w:proofErr w:type="gramEnd"/>
    </w:p>
  </w:footnote>
  <w:footnote w:id="4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40 \s NSKEHB000072 \l "</w:instrText>
      </w:r>
      <w:r w:rsidRPr="00FD07C8">
        <w:rPr>
          <w:sz w:val="24"/>
        </w:rPr>
        <w:instrText>Public Counsel’s Phase II Brief ¶¶ 18-36</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18-36; </w:t>
      </w:r>
      <w:proofErr w:type="gramEnd"/>
      <w:r w:rsidR="00A36793" w:rsidRPr="00FD07C8">
        <w:fldChar w:fldCharType="begin"/>
      </w:r>
      <w:r w:rsidRPr="00FD07C8">
        <w:instrText xml:space="preserve"> ADDIN BA \xc &lt;@rec&gt; \xl 30 \s NSKEHB000073 \l "</w:instrText>
      </w:r>
      <w:r w:rsidRPr="00FD07C8">
        <w:rPr>
          <w:sz w:val="24"/>
        </w:rPr>
        <w:instrText>ICNU’s Phase II Brief ¶¶ 19-21</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19-21.</w:t>
      </w:r>
      <w:proofErr w:type="gramEnd"/>
    </w:p>
  </w:footnote>
  <w:footnote w:id="44">
    <w:p w:rsidR="00615005" w:rsidRPr="00FD07C8" w:rsidRDefault="00615005">
      <w:pPr>
        <w:pStyle w:val="FootnoteText"/>
      </w:pPr>
      <w:r w:rsidRPr="00FD07C8">
        <w:rPr>
          <w:rStyle w:val="FootnoteReference"/>
        </w:rPr>
        <w:footnoteRef/>
      </w:r>
      <w:r w:rsidRPr="00FD07C8">
        <w:t xml:space="preserve"> </w:t>
      </w:r>
      <w:proofErr w:type="gramStart"/>
      <w:r w:rsidRPr="00FD07C8">
        <w:t>Exh.</w:t>
      </w:r>
      <w:proofErr w:type="gramEnd"/>
      <w:r w:rsidRPr="00FD07C8">
        <w:t xml:space="preserve"> No. </w:t>
      </w:r>
      <w:proofErr w:type="gramStart"/>
      <w:r w:rsidRPr="00FD07C8">
        <w:t xml:space="preserve">DWS-13 </w:t>
      </w:r>
      <w:r w:rsidRPr="00FD07C8">
        <w:rPr>
          <w:rFonts w:cs="Times"/>
        </w:rPr>
        <w:t>¶ 7</w:t>
      </w:r>
      <w:r w:rsidRPr="00FD07C8">
        <w:t xml:space="preserve"> n.5.</w:t>
      </w:r>
      <w:proofErr w:type="gramEnd"/>
    </w:p>
  </w:footnote>
  <w:footnote w:id="4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&lt;@cs&gt; \xl 194 \s NSKEHB000029 \xhfl Rep \l "</w:instrText>
      </w:r>
      <w:r w:rsidRPr="00FD07C8">
        <w:rPr>
          <w:i/>
          <w:sz w:val="24"/>
        </w:rPr>
        <w:instrText>Re. Amended Petition of Puget Sound Energy, Inc. for an Order Authorizing the Use of the Proceeds from the Sale of Renewable Energy Credits and Carbon Financial Instruments</w:instrText>
      </w:r>
      <w:r w:rsidRPr="00FD07C8">
        <w:rPr>
          <w:sz w:val="24"/>
        </w:rPr>
        <w:instrText>,&lt;SoftRt&gt; Docket No. UE-070725</w:instrText>
      </w:r>
      <w:r w:rsidRPr="00FD07C8">
        <w:instrText xml:space="preserve">" </w:instrText>
      </w:r>
      <w:r w:rsidR="00A36793" w:rsidRPr="00FD07C8">
        <w:fldChar w:fldCharType="end"/>
      </w:r>
      <w:bookmarkStart w:id="59" w:name="_BA_Cite_108"/>
      <w:r w:rsidRPr="00FD07C8">
        <w:rPr>
          <w:i/>
        </w:rPr>
        <w:t>Re. Amended Petition of Puget Sound Energy, Inc. for an Order Authorizing the Use of the Proceeds from the Sale of Renewable Energy Credits and Carbon Financial Instruments</w:t>
      </w:r>
      <w:r w:rsidRPr="00FD07C8">
        <w:t xml:space="preserve">, Docket No. </w:t>
      </w:r>
      <w:proofErr w:type="gramStart"/>
      <w:r w:rsidRPr="00FD07C8">
        <w:t>UE-070725</w:t>
      </w:r>
      <w:bookmarkEnd w:id="59"/>
      <w:r w:rsidRPr="00FD07C8">
        <w:t>.</w:t>
      </w:r>
      <w:proofErr w:type="gramEnd"/>
    </w:p>
  </w:footnote>
  <w:footnote w:id="46">
    <w:p w:rsidR="00615005" w:rsidRPr="00FD07C8" w:rsidRDefault="00615005">
      <w:pPr>
        <w:pStyle w:val="FootnoteText"/>
        <w:rPr>
          <w:i/>
        </w:rPr>
      </w:pPr>
      <w:r w:rsidRPr="00FD07C8">
        <w:rPr>
          <w:rStyle w:val="FootnoteReference"/>
        </w:rPr>
        <w:footnoteRef/>
      </w:r>
      <w:r w:rsidRPr="00FD07C8">
        <w:t xml:space="preserve"> </w:t>
      </w:r>
      <w:r w:rsidRPr="00FD07C8">
        <w:rPr>
          <w:i/>
        </w:rPr>
        <w:t xml:space="preserve">See </w:t>
      </w:r>
      <w:r w:rsidRPr="00FD07C8">
        <w:t xml:space="preserve">Exh. No. </w:t>
      </w:r>
      <w:proofErr w:type="gramStart"/>
      <w:r w:rsidRPr="00FD07C8">
        <w:t>KHB-13; Exh.</w:t>
      </w:r>
      <w:proofErr w:type="gramEnd"/>
      <w:r w:rsidRPr="00FD07C8">
        <w:t xml:space="preserve"> No. </w:t>
      </w:r>
      <w:proofErr w:type="gramStart"/>
      <w:r w:rsidRPr="00FD07C8">
        <w:t>DWS-13; Exh.</w:t>
      </w:r>
      <w:proofErr w:type="gramEnd"/>
      <w:r w:rsidRPr="00FD07C8">
        <w:t xml:space="preserve"> No. </w:t>
      </w:r>
      <w:proofErr w:type="gramStart"/>
      <w:r w:rsidRPr="00FD07C8">
        <w:t>DWS-16.</w:t>
      </w:r>
      <w:proofErr w:type="gramEnd"/>
    </w:p>
  </w:footnote>
  <w:footnote w:id="47">
    <w:p w:rsidR="00615005" w:rsidRPr="00FD07C8" w:rsidRDefault="00615005" w:rsidP="00C35F0B">
      <w:pPr>
        <w:pStyle w:val="FootnoteText"/>
      </w:pPr>
      <w:r w:rsidRPr="00FD07C8">
        <w:rPr>
          <w:rStyle w:val="FootnoteReference"/>
        </w:rPr>
        <w:footnoteRef/>
      </w:r>
      <w:r w:rsidRPr="00FD07C8">
        <w:t xml:space="preserve"> </w:t>
      </w:r>
      <w:r w:rsidRPr="00FD07C8">
        <w:rPr>
          <w:i/>
        </w:rPr>
        <w:t xml:space="preserve">Wash. State Attorney Gen.’s </w:t>
      </w:r>
      <w:r w:rsidR="00A36793" w:rsidRPr="00FD07C8">
        <w:fldChar w:fldCharType="begin"/>
      </w:r>
      <w:r w:rsidRPr="00FD07C8">
        <w:instrText xml:space="preserve"> ADDIN BA \xc &lt;@regcs&gt; \xl 186 \s NSKEHB000030 \xhfl Rep \l "</w:instrText>
      </w:r>
      <w:r w:rsidRPr="00FD07C8">
        <w:rPr>
          <w:i/>
          <w:sz w:val="24"/>
        </w:rPr>
        <w:instrText>Office and the Indus. Cust. of NW Util. v. PacifiCorp</w:instrText>
      </w:r>
      <w:r w:rsidRPr="00FD07C8">
        <w:rPr>
          <w:sz w:val="24"/>
        </w:rPr>
        <w:instrText>,&lt;SoftRt&gt; Docket No. UE-110070, Order 1, Administrative Law Judge’s Initial Order Dismissing Complaint ¶ 54 (Apr. 27, 2011)</w:instrText>
      </w:r>
      <w:r w:rsidRPr="00FD07C8">
        <w:rPr>
          <w:rFonts w:ascii="Times New Roman" w:hAnsi="Times New Roman"/>
          <w:sz w:val="24"/>
          <w:szCs w:val="24"/>
        </w:rPr>
        <w:instrText xml:space="preserve">. </w:instrText>
      </w:r>
      <w:r w:rsidRPr="00FD07C8">
        <w:rPr>
          <w:sz w:val="24"/>
        </w:rPr>
        <w:instrText>On May 26, 2011</w:instrText>
      </w:r>
      <w:r w:rsidRPr="00FD07C8">
        <w:instrText xml:space="preserve">" </w:instrText>
      </w:r>
      <w:r w:rsidR="00A36793" w:rsidRPr="00FD07C8">
        <w:fldChar w:fldCharType="end"/>
      </w:r>
      <w:bookmarkStart w:id="60" w:name="_BA_Cite_109"/>
      <w:r w:rsidRPr="00FD07C8">
        <w:rPr>
          <w:i/>
        </w:rPr>
        <w:t xml:space="preserve">Office and the Indus. </w:t>
      </w:r>
      <w:proofErr w:type="spellStart"/>
      <w:r w:rsidRPr="00FD07C8">
        <w:rPr>
          <w:i/>
        </w:rPr>
        <w:t>Cust</w:t>
      </w:r>
      <w:proofErr w:type="spellEnd"/>
      <w:r w:rsidRPr="00FD07C8">
        <w:rPr>
          <w:i/>
        </w:rPr>
        <w:t xml:space="preserve">. </w:t>
      </w:r>
      <w:proofErr w:type="gramStart"/>
      <w:r w:rsidRPr="00FD07C8">
        <w:rPr>
          <w:i/>
        </w:rPr>
        <w:t>of</w:t>
      </w:r>
      <w:proofErr w:type="gramEnd"/>
      <w:r w:rsidRPr="00FD07C8">
        <w:rPr>
          <w:i/>
        </w:rPr>
        <w:t xml:space="preserve"> NW Util. v. PacifiCorp</w:t>
      </w:r>
      <w:r w:rsidRPr="00FD07C8">
        <w:t xml:space="preserve">, Docket No. </w:t>
      </w:r>
      <w:proofErr w:type="gramStart"/>
      <w:r w:rsidRPr="00FD07C8">
        <w:t>UE-110070, Order 1, Administrative Law Judge’s Initial Order Dismissing Complaint ¶ 54 (Apr. 27, 2011)</w:t>
      </w:r>
      <w:r w:rsidRPr="00FD07C8">
        <w:rPr>
          <w:rFonts w:ascii="Times New Roman" w:hAnsi="Times New Roman"/>
          <w:szCs w:val="24"/>
        </w:rPr>
        <w:t>.</w:t>
      </w:r>
      <w:proofErr w:type="gramEnd"/>
      <w:r w:rsidRPr="00FD07C8">
        <w:rPr>
          <w:rFonts w:ascii="Times New Roman" w:hAnsi="Times New Roman"/>
          <w:szCs w:val="24"/>
        </w:rPr>
        <w:t xml:space="preserve">  </w:t>
      </w:r>
      <w:r w:rsidRPr="00FD07C8">
        <w:t>On May 26, 2011</w:t>
      </w:r>
      <w:bookmarkEnd w:id="60"/>
      <w:r w:rsidRPr="00FD07C8">
        <w:t>, the Commission issued a Notice of Finality with respect to the Initial Order Dismissing Complaint.  The Notice of Finality stated that no party petitioned for administrative review of the initial order and the Commission did not give notice of its intention to review the order on its own motion, so the order became final on May 25, 2011 by operation of law.  The Notice of Finality also stated that the Commission does not endorse the order’s reasoning and conclusions, and if cited in the future, the order must be identified as an ALJ’s order.</w:t>
      </w:r>
    </w:p>
  </w:footnote>
  <w:footnote w:id="48">
    <w:p w:rsidR="00615005" w:rsidRPr="00FD07C8" w:rsidRDefault="00615005" w:rsidP="00C35F0B">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18 \s NSKEHB000074 \l "</w:instrText>
      </w:r>
      <w:r w:rsidRPr="00FD07C8">
        <w:rPr>
          <w:sz w:val="24"/>
        </w:rPr>
        <w:instrText>Initial Order ¶ 55</w:instrText>
      </w:r>
      <w:r w:rsidRPr="00FD07C8">
        <w:instrText xml:space="preserve">" </w:instrText>
      </w:r>
      <w:r w:rsidR="00A36793" w:rsidRPr="00FD07C8">
        <w:fldChar w:fldCharType="end"/>
      </w:r>
      <w:r w:rsidRPr="00FD07C8">
        <w:t>Initial Order ¶ 55 (“Although it appears PacifiCorp adhered to the letter of the Commission’s procedural rules governing discovery, it nevertheless is a matter of some concern that the Company did not disclose any information about the California contracts when the regulatory contingency was removed from them and they became fully effective.  It would be no more than pure speculation at this point to consider what impact, if any, such disclosure might have had on the Settlement or the Commission’s consideration of it.  PacifiCorp knew, however, that this was an issue of some significance to at least some parties, and should have known it is a matter of significance to the Commission.  The Commission must rely to some degree on the good faith effort of the companies it regulates to be forthcoming with information even when not legally compelled to do so.  That effort appears to have been lacking in this instance, a shortcoming the Commission would expect to see corrected if similar circumstances arise again.”).</w:t>
      </w:r>
    </w:p>
  </w:footnote>
  <w:footnote w:id="49">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40 \s NSKEHB000075 \l "</w:instrText>
      </w:r>
      <w:r w:rsidRPr="00FD07C8">
        <w:rPr>
          <w:sz w:val="24"/>
        </w:rPr>
        <w:instrText>Public Counsel’s Phase II Brief ¶¶ 26-32</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26-32.</w:t>
      </w:r>
      <w:proofErr w:type="gramEnd"/>
    </w:p>
  </w:footnote>
  <w:footnote w:id="5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8 \s ID </w:instrText>
      </w:r>
      <w:r w:rsidR="00A36793" w:rsidRPr="00FD07C8">
        <w:fldChar w:fldCharType="end"/>
      </w:r>
      <w:bookmarkStart w:id="62" w:name="_BA_Cite_111"/>
      <w:proofErr w:type="gramStart"/>
      <w:r w:rsidRPr="00FD07C8">
        <w:rPr>
          <w:i/>
        </w:rPr>
        <w:t>Id.</w:t>
      </w:r>
      <w:r w:rsidRPr="00FD07C8">
        <w:t xml:space="preserve"> ¶ 33</w:t>
      </w:r>
      <w:bookmarkEnd w:id="62"/>
      <w:r w:rsidRPr="00FD07C8">
        <w:t>.</w:t>
      </w:r>
      <w:proofErr w:type="gramEnd"/>
    </w:p>
  </w:footnote>
  <w:footnote w:id="5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&lt;@oppt&gt; \xl 29 \s NSKEHB000076 \l "</w:instrText>
      </w:r>
      <w:r w:rsidRPr="00FD07C8">
        <w:rPr>
          <w:sz w:val="24"/>
        </w:rPr>
        <w:instrText>846 P.2d 1245, 49 (Utah 1993)</w:instrText>
      </w:r>
      <w:r w:rsidRPr="00FD07C8">
        <w:instrText xml:space="preserve">" </w:instrText>
      </w:r>
      <w:r w:rsidR="00A36793" w:rsidRPr="00FD07C8">
        <w:fldChar w:fldCharType="end"/>
      </w:r>
      <w:bookmarkStart w:id="64" w:name="_BA_Cite_113"/>
      <w:proofErr w:type="gramStart"/>
      <w:r w:rsidRPr="00FD07C8">
        <w:t>846 P.2d 1245, 49 (Utah 1993)</w:t>
      </w:r>
      <w:bookmarkEnd w:id="64"/>
      <w:r w:rsidRPr="00FD07C8">
        <w:t>.</w:t>
      </w:r>
      <w:proofErr w:type="gramEnd"/>
    </w:p>
  </w:footnote>
  <w:footnote w:id="52">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40 \s NSKEHB000077 \l "</w:instrText>
      </w:r>
      <w:r w:rsidRPr="00FD07C8">
        <w:rPr>
          <w:sz w:val="24"/>
        </w:rPr>
        <w:instrText>Public Counsel’s Phase II Brief ¶¶ 19-22</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19-22; </w:t>
      </w:r>
      <w:proofErr w:type="gramEnd"/>
      <w:r w:rsidR="00A36793" w:rsidRPr="00FD07C8">
        <w:fldChar w:fldCharType="begin"/>
      </w:r>
      <w:r w:rsidRPr="00FD07C8">
        <w:instrText xml:space="preserve"> ADDIN BA \xc &lt;@rec&gt; \xl 28 \s NSKEHB000078 \l "</w:instrText>
      </w:r>
      <w:r w:rsidRPr="00FD07C8">
        <w:rPr>
          <w:sz w:val="24"/>
        </w:rPr>
        <w:instrText>ICNU’s Phase II Brief ¶19-20</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¶19-20.</w:t>
      </w:r>
      <w:proofErr w:type="gramEnd"/>
    </w:p>
  </w:footnote>
  <w:footnote w:id="5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26 \s NSKEHB000079 \l "</w:instrText>
      </w:r>
      <w:r w:rsidRPr="00FD07C8">
        <w:rPr>
          <w:sz w:val="24"/>
        </w:rPr>
        <w:instrText>ICNU’s Phase II Brief ¶ 21</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21.</w:t>
      </w:r>
      <w:proofErr w:type="gramEnd"/>
    </w:p>
  </w:footnote>
  <w:footnote w:id="54">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&lt;@cs&gt; \xl 79 \s NSKEHB000033 \xhfl Rep \l "</w:instrText>
      </w:r>
      <w:r w:rsidRPr="00FD07C8">
        <w:rPr>
          <w:i/>
          <w:sz w:val="24"/>
        </w:rPr>
        <w:instrText>MCI Telecomm. Corp. v. Pub. Serv. Comm’n of Utah</w:instrText>
      </w:r>
      <w:r w:rsidRPr="00FD07C8">
        <w:rPr>
          <w:sz w:val="24"/>
        </w:rPr>
        <w:instrText>,&lt;SoftRt&gt;</w:instrText>
      </w:r>
      <w:r w:rsidRPr="00FD07C8">
        <w:rPr>
          <w:i/>
          <w:sz w:val="24"/>
        </w:rPr>
        <w:instrText xml:space="preserve"> </w:instrText>
      </w:r>
      <w:r w:rsidRPr="00FD07C8">
        <w:rPr>
          <w:sz w:val="24"/>
        </w:rPr>
        <w:instrText>840 P.2d 765 (Utah 1992)</w:instrText>
      </w:r>
      <w:r w:rsidRPr="00FD07C8">
        <w:instrText xml:space="preserve">" </w:instrText>
      </w:r>
      <w:r w:rsidR="00A36793" w:rsidRPr="00FD07C8">
        <w:fldChar w:fldCharType="end"/>
      </w:r>
      <w:bookmarkStart w:id="66" w:name="_BA_Cite_114"/>
      <w:r w:rsidRPr="00FD07C8">
        <w:rPr>
          <w:i/>
        </w:rPr>
        <w:t xml:space="preserve">MCI Telecomm. </w:t>
      </w:r>
      <w:proofErr w:type="gramStart"/>
      <w:r w:rsidRPr="00FD07C8">
        <w:rPr>
          <w:i/>
        </w:rPr>
        <w:t>Corp. v. Pub.</w:t>
      </w:r>
      <w:proofErr w:type="gramEnd"/>
      <w:r w:rsidRPr="00FD07C8">
        <w:rPr>
          <w:i/>
        </w:rPr>
        <w:t xml:space="preserve"> Serv. Comm’n of Utah</w:t>
      </w:r>
      <w:r w:rsidRPr="00FD07C8">
        <w:t>,</w:t>
      </w:r>
      <w:r w:rsidRPr="00FD07C8">
        <w:rPr>
          <w:i/>
        </w:rPr>
        <w:t xml:space="preserve"> </w:t>
      </w:r>
      <w:r w:rsidRPr="00FD07C8">
        <w:t>840 P.2d 765, 770 (Utah 1992)</w:t>
      </w:r>
      <w:bookmarkEnd w:id="66"/>
      <w:r w:rsidRPr="00FD07C8">
        <w:t xml:space="preserve"> (stating that “‘[t]he bar on retroactive ratemaking makes no exception for missteps in the rate-making process,’ even though the projections of expenses and revenues for the test year will necessarily vary from actual experience.” (</w:t>
      </w:r>
      <w:proofErr w:type="gramStart"/>
      <w:r w:rsidRPr="00FD07C8">
        <w:t>quoting</w:t>
      </w:r>
      <w:proofErr w:type="gramEnd"/>
      <w:r w:rsidRPr="00FD07C8">
        <w:t xml:space="preserve"> </w:t>
      </w:r>
      <w:r w:rsidR="00A36793" w:rsidRPr="00FD07C8">
        <w:fldChar w:fldCharType="begin"/>
      </w:r>
      <w:r w:rsidRPr="00FD07C8">
        <w:instrText xml:space="preserve"> ADDIN BA \xc &lt;@cs&gt; \xl 70 \s NSKEHB000034 \xhfl Rep \xqt \xpl 2 \l "</w:instrText>
      </w:r>
      <w:r w:rsidRPr="00FD07C8">
        <w:rPr>
          <w:i/>
          <w:sz w:val="24"/>
        </w:rPr>
        <w:instrText>Utah Dep’t of Bus. Reg. v. Pub. Serv. Comm’n</w:instrText>
      </w:r>
      <w:r w:rsidRPr="00FD07C8">
        <w:rPr>
          <w:sz w:val="24"/>
        </w:rPr>
        <w:instrText>,&lt;SoftRt&gt; 720 P.2d 420 (Utah 1986)</w:instrText>
      </w:r>
      <w:r w:rsidRPr="00FD07C8">
        <w:instrText xml:space="preserve">" </w:instrText>
      </w:r>
      <w:r w:rsidR="00A36793" w:rsidRPr="00FD07C8">
        <w:fldChar w:fldCharType="end"/>
      </w:r>
      <w:r w:rsidRPr="00FD07C8">
        <w:rPr>
          <w:i/>
        </w:rPr>
        <w:t xml:space="preserve">Utah Dep’t of Bus. </w:t>
      </w:r>
      <w:proofErr w:type="gramStart"/>
      <w:r w:rsidRPr="00FD07C8">
        <w:rPr>
          <w:i/>
        </w:rPr>
        <w:t>Reg. v. Pub.</w:t>
      </w:r>
      <w:proofErr w:type="gramEnd"/>
      <w:r w:rsidRPr="00FD07C8">
        <w:rPr>
          <w:i/>
        </w:rPr>
        <w:t xml:space="preserve"> </w:t>
      </w:r>
      <w:proofErr w:type="gramStart"/>
      <w:r w:rsidRPr="00FD07C8">
        <w:rPr>
          <w:i/>
        </w:rPr>
        <w:t>Serv. Comm’n</w:t>
      </w:r>
      <w:r w:rsidRPr="00FD07C8">
        <w:t>, 720 P.2d 420 (Utah 1986)).</w:t>
      </w:r>
      <w:proofErr w:type="gramEnd"/>
    </w:p>
  </w:footnote>
  <w:footnote w:id="5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26 \s NSKEHB000080 \l "</w:instrText>
      </w:r>
      <w:r w:rsidRPr="00FD07C8">
        <w:rPr>
          <w:sz w:val="24"/>
        </w:rPr>
        <w:instrText>ICNU’s Phase II Brief ¶ 13</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13.</w:t>
      </w:r>
      <w:proofErr w:type="gramEnd"/>
    </w:p>
  </w:footnote>
  <w:footnote w:id="5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NSKEHB000081 \l "</w:instrText>
      </w:r>
      <w:r w:rsidRPr="00FD07C8">
        <w:rPr>
          <w:sz w:val="24"/>
        </w:rPr>
        <w:instrText>Public Counsel’s Phase II Brief ¶ 67</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67; </w:t>
      </w:r>
      <w:proofErr w:type="gramEnd"/>
      <w:r w:rsidR="00A36793" w:rsidRPr="00FD07C8">
        <w:fldChar w:fldCharType="begin"/>
      </w:r>
      <w:r w:rsidRPr="00FD07C8">
        <w:instrText xml:space="preserve"> ADDIN BA \xc &lt;@rec&gt; \xl 26 \s NSKEHB000082 \l "</w:instrText>
      </w:r>
      <w:r w:rsidRPr="00FD07C8">
        <w:rPr>
          <w:sz w:val="24"/>
        </w:rPr>
        <w:instrText>ICNU’s Phase II Brief ¶ 29</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29.</w:t>
      </w:r>
      <w:proofErr w:type="gramEnd"/>
    </w:p>
  </w:footnote>
  <w:footnote w:id="5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25 \s NSKEHB000083 \l "</w:instrText>
      </w:r>
      <w:r w:rsidRPr="00FD07C8">
        <w:rPr>
          <w:sz w:val="24"/>
        </w:rPr>
        <w:instrText>ICNU’s Phase II Brief ¶ 5</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5.</w:t>
      </w:r>
      <w:proofErr w:type="gramEnd"/>
    </w:p>
  </w:footnote>
  <w:footnote w:id="5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24 \s NSKEHB000084 \l "</w:instrText>
      </w:r>
      <w:r w:rsidRPr="00FD07C8">
        <w:rPr>
          <w:rFonts w:ascii="Times New Roman" w:hAnsi="Times New Roman"/>
          <w:sz w:val="24"/>
          <w:szCs w:val="24"/>
        </w:rPr>
        <w:instrText>Initial Order at ¶ 53-54</w:instrText>
      </w:r>
      <w:r w:rsidRPr="00FD07C8">
        <w:instrText xml:space="preserve">" </w:instrText>
      </w:r>
      <w:r w:rsidR="00A36793" w:rsidRPr="00FD07C8">
        <w:fldChar w:fldCharType="end"/>
      </w:r>
      <w:r w:rsidRPr="00FD07C8">
        <w:rPr>
          <w:rFonts w:ascii="Times New Roman" w:hAnsi="Times New Roman"/>
          <w:szCs w:val="24"/>
        </w:rPr>
        <w:t>Initial Order at ¶ 53-54.</w:t>
      </w:r>
    </w:p>
  </w:footnote>
  <w:footnote w:id="59">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21 \s NSKEHB000085 \l "</w:instrText>
      </w:r>
      <w:r w:rsidRPr="00FD07C8">
        <w:rPr>
          <w:rFonts w:ascii="Times New Roman" w:hAnsi="Times New Roman"/>
          <w:sz w:val="24"/>
        </w:rPr>
        <w:instrText>Duvall, TR. 298:15-23</w:instrText>
      </w:r>
      <w:r w:rsidRPr="00FD07C8">
        <w:instrText xml:space="preserve">" </w:instrText>
      </w:r>
      <w:r w:rsidR="00A36793" w:rsidRPr="00FD07C8">
        <w:fldChar w:fldCharType="end"/>
      </w:r>
      <w:r w:rsidRPr="00FD07C8">
        <w:rPr>
          <w:rFonts w:ascii="Times New Roman" w:hAnsi="Times New Roman"/>
        </w:rPr>
        <w:t>Duvall, TR. 298:15-23.</w:t>
      </w:r>
    </w:p>
  </w:footnote>
  <w:footnote w:id="60">
    <w:p w:rsidR="00615005" w:rsidRPr="00FD07C8" w:rsidRDefault="00615005">
      <w:pPr>
        <w:pStyle w:val="FootnoteText"/>
      </w:pPr>
      <w:r w:rsidRPr="00FD07C8">
        <w:rPr>
          <w:rStyle w:val="FootnoteReference"/>
        </w:rPr>
        <w:footnoteRef/>
      </w:r>
      <w:r w:rsidRPr="00FD07C8">
        <w:t xml:space="preserve"> Duvall, Exh. No. GND-5T 3:10-19.</w:t>
      </w:r>
    </w:p>
  </w:footnote>
  <w:footnote w:id="61">
    <w:p w:rsidR="00615005" w:rsidRPr="00FD07C8" w:rsidRDefault="00615005">
      <w:pPr>
        <w:pStyle w:val="FootnoteText"/>
      </w:pPr>
      <w:r w:rsidRPr="00FD07C8">
        <w:rPr>
          <w:rStyle w:val="FootnoteReference"/>
        </w:rPr>
        <w:footnoteRef/>
      </w:r>
      <w:r w:rsidRPr="00FD07C8">
        <w:t xml:space="preserve"> ICNU’s </w:t>
      </w:r>
      <w:r w:rsidR="00211A66">
        <w:t>Phase II Opening Brief</w:t>
      </w:r>
      <w:r w:rsidRPr="00FD07C8">
        <w:t>.</w:t>
      </w:r>
    </w:p>
  </w:footnote>
  <w:footnote w:id="62">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NSKEHB000086 \l "</w:instrText>
      </w:r>
      <w:r w:rsidRPr="00FD07C8">
        <w:rPr>
          <w:sz w:val="24"/>
        </w:rPr>
        <w:instrText>Staff’s Phase II Brief ¶ 57</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57; </w:t>
      </w:r>
      <w:proofErr w:type="gramEnd"/>
      <w:r w:rsidR="00A36793" w:rsidRPr="00FD07C8">
        <w:fldChar w:fldCharType="begin"/>
      </w:r>
      <w:r w:rsidRPr="00FD07C8">
        <w:instrText xml:space="preserve"> ADDIN BA \xc &lt;@rec&gt; \xl 36 \s NSKEHB000087 \l "</w:instrText>
      </w:r>
      <w:r w:rsidRPr="00FD07C8">
        <w:rPr>
          <w:sz w:val="24"/>
        </w:rPr>
        <w:instrText>Public Counsel’s Phase II Brief ¶ 66</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66; </w:t>
      </w:r>
      <w:proofErr w:type="gramEnd"/>
      <w:r w:rsidR="00A36793" w:rsidRPr="00FD07C8">
        <w:fldChar w:fldCharType="begin"/>
      </w:r>
      <w:r w:rsidRPr="00FD07C8">
        <w:instrText xml:space="preserve"> ADDIN BA \xc &lt;@rec&gt; \xl 26 \s NSKEHB000088 \l "</w:instrText>
      </w:r>
      <w:r w:rsidRPr="00FD07C8">
        <w:rPr>
          <w:sz w:val="24"/>
        </w:rPr>
        <w:instrText>ICNU’s Phase II Brief ¶ 39</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39.</w:t>
      </w:r>
      <w:proofErr w:type="gramEnd"/>
    </w:p>
  </w:footnote>
  <w:footnote w:id="6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NSKEHB000089 \l "</w:instrText>
      </w:r>
      <w:r w:rsidRPr="00FD07C8">
        <w:rPr>
          <w:sz w:val="24"/>
        </w:rPr>
        <w:instrText>Public Counsel’s Phase II Brief ¶ 37</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37.</w:t>
      </w:r>
      <w:proofErr w:type="gramEnd"/>
    </w:p>
  </w:footnote>
  <w:footnote w:id="6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111 \s NSKEHB000035 \xhfl Rep \l "</w:instrText>
      </w:r>
      <w:r w:rsidRPr="00FD07C8">
        <w:rPr>
          <w:i/>
          <w:sz w:val="24"/>
        </w:rPr>
        <w:instrText>Wash. Utils. &amp; Transp. Comm’n v. Puget Sound Power &amp; Light Co.</w:instrText>
      </w:r>
      <w:r w:rsidRPr="00FD07C8">
        <w:rPr>
          <w:sz w:val="24"/>
        </w:rPr>
        <w:instrText>,&lt;SoftRt&gt; Docket U-81-41, 6</w:instrText>
      </w:r>
      <w:r w:rsidRPr="00FD07C8">
        <w:rPr>
          <w:sz w:val="24"/>
          <w:vertAlign w:val="superscript"/>
        </w:rPr>
        <w:instrText>th</w:instrText>
      </w:r>
      <w:r w:rsidRPr="00FD07C8">
        <w:rPr>
          <w:sz w:val="24"/>
        </w:rPr>
        <w:instrText xml:space="preserve"> Supp. Order (Dec. 19, 1988)</w:instrText>
      </w:r>
      <w:r w:rsidRPr="00FD07C8">
        <w:instrText xml:space="preserve">" </w:instrText>
      </w:r>
      <w:r w:rsidR="00A36793" w:rsidRPr="00FD07C8">
        <w:fldChar w:fldCharType="end"/>
      </w:r>
      <w:bookmarkStart w:id="68" w:name="_BA_Cite_115"/>
      <w:proofErr w:type="gramStart"/>
      <w:r w:rsidRPr="00FD07C8">
        <w:rPr>
          <w:i/>
        </w:rPr>
        <w:t>Wash. Utils.</w:t>
      </w:r>
      <w:proofErr w:type="gramEnd"/>
      <w:r w:rsidRPr="00FD07C8">
        <w:rPr>
          <w:i/>
        </w:rPr>
        <w:t xml:space="preserve"> &amp; Transp. Comm’n v. Puget Sound Power &amp; Light Co.</w:t>
      </w:r>
      <w:r w:rsidRPr="00FD07C8">
        <w:t>, Docket U-81-41, 6</w:t>
      </w:r>
      <w:r w:rsidRPr="00FD07C8">
        <w:rPr>
          <w:vertAlign w:val="superscript"/>
        </w:rPr>
        <w:t>th</w:t>
      </w:r>
      <w:r w:rsidRPr="00FD07C8">
        <w:t xml:space="preserve"> Supp. Order (Dec. 19, 1988)</w:t>
      </w:r>
      <w:bookmarkEnd w:id="68"/>
      <w:r w:rsidRPr="00FD07C8">
        <w:t>.</w:t>
      </w:r>
    </w:p>
  </w:footnote>
  <w:footnote w:id="65">
    <w:p w:rsidR="00615005" w:rsidRPr="00FD07C8" w:rsidRDefault="00615005">
      <w:pPr>
        <w:pStyle w:val="FootnoteText"/>
        <w:rPr>
          <w:i/>
        </w:rPr>
      </w:pPr>
      <w:r w:rsidRPr="00FD07C8">
        <w:rPr>
          <w:rStyle w:val="FootnoteReference"/>
        </w:rPr>
        <w:footnoteRef/>
      </w:r>
      <w:r w:rsidRPr="00FD07C8">
        <w:t xml:space="preserve"> </w:t>
      </w:r>
      <w:r w:rsidR="00A36793" w:rsidRPr="00FD07C8">
        <w:fldChar w:fldCharType="begin"/>
      </w:r>
      <w:r w:rsidRPr="00FD07C8">
        <w:instrText xml:space="preserve"> ADDIN BA \xc &lt;@$id&gt; \xl 3 \s ID </w:instrText>
      </w:r>
      <w:r w:rsidR="00A36793" w:rsidRPr="00FD07C8">
        <w:fldChar w:fldCharType="end"/>
      </w:r>
      <w:r w:rsidRPr="00FD07C8">
        <w:rPr>
          <w:i/>
        </w:rPr>
        <w:t>Id.</w:t>
      </w:r>
    </w:p>
  </w:footnote>
  <w:footnote w:id="6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156 \s NSKEHB000036 \xhfl Rep \l "</w:instrText>
      </w:r>
      <w:r w:rsidRPr="00FD07C8">
        <w:rPr>
          <w:i/>
          <w:sz w:val="24"/>
        </w:rPr>
        <w:instrText>Re Petition of PacifiCorp for an Accounting Order Authorizing Deferral of Excess Net Power Costs</w:instrText>
      </w:r>
      <w:r w:rsidRPr="00FD07C8">
        <w:rPr>
          <w:sz w:val="24"/>
        </w:rPr>
        <w:instrText>,&lt;SoftRt&gt; Docket No. UE-020417, 6</w:instrText>
      </w:r>
      <w:r w:rsidRPr="00FD07C8">
        <w:rPr>
          <w:sz w:val="24"/>
          <w:vertAlign w:val="superscript"/>
        </w:rPr>
        <w:instrText>th</w:instrText>
      </w:r>
      <w:r w:rsidRPr="00FD07C8">
        <w:rPr>
          <w:sz w:val="24"/>
        </w:rPr>
        <w:instrText xml:space="preserve"> Supp. Order ¶ 53 (July 15, 2003)</w:instrText>
      </w:r>
      <w:r w:rsidRPr="00FD07C8">
        <w:instrText xml:space="preserve">" </w:instrText>
      </w:r>
      <w:r w:rsidR="00A36793" w:rsidRPr="00FD07C8">
        <w:fldChar w:fldCharType="end"/>
      </w:r>
      <w:bookmarkStart w:id="69" w:name="_BA_Cite_116"/>
      <w:r w:rsidRPr="00FD07C8">
        <w:rPr>
          <w:i/>
        </w:rPr>
        <w:t>Re Petition of PacifiCorp for an Accounting Order Authorizing Deferral of Excess Net Power Costs</w:t>
      </w:r>
      <w:r w:rsidRPr="00FD07C8">
        <w:t>, Docket No. UE-020417, 6</w:t>
      </w:r>
      <w:r w:rsidRPr="00FD07C8">
        <w:rPr>
          <w:vertAlign w:val="superscript"/>
        </w:rPr>
        <w:t>th</w:t>
      </w:r>
      <w:r w:rsidRPr="00FD07C8">
        <w:t xml:space="preserve"> Supp. Order ¶ 53 (July 15, 2003)</w:t>
      </w:r>
      <w:bookmarkEnd w:id="69"/>
      <w:r w:rsidRPr="00FD07C8">
        <w:t>.</w:t>
      </w:r>
    </w:p>
  </w:footnote>
  <w:footnote w:id="6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3 \s ID </w:instrText>
      </w:r>
      <w:r w:rsidR="00A36793" w:rsidRPr="00FD07C8">
        <w:fldChar w:fldCharType="end"/>
      </w:r>
      <w:r w:rsidRPr="00FD07C8">
        <w:rPr>
          <w:i/>
        </w:rPr>
        <w:t>Id.</w:t>
      </w:r>
    </w:p>
  </w:footnote>
  <w:footnote w:id="6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NSKEHB000090 \l "</w:instrText>
      </w:r>
      <w:r w:rsidRPr="00FD07C8">
        <w:rPr>
          <w:sz w:val="24"/>
        </w:rPr>
        <w:instrText>Public Counsel’s Phase II Brief ¶ 38</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38.</w:t>
      </w:r>
      <w:proofErr w:type="gramEnd"/>
    </w:p>
  </w:footnote>
  <w:footnote w:id="69">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&lt;@cs&gt; \xl 62 \s NSKEHB000037 \xhfl Rep \l "</w:instrText>
      </w:r>
      <w:r w:rsidRPr="00FD07C8">
        <w:rPr>
          <w:i/>
          <w:sz w:val="24"/>
        </w:rPr>
        <w:instrText>Turpin v. Okla. Corp. Comm’n</w:instrText>
      </w:r>
      <w:r w:rsidRPr="00FD07C8">
        <w:rPr>
          <w:sz w:val="24"/>
        </w:rPr>
        <w:instrText>,&lt;SoftRt&gt; 769 P.2d 1309 (Okla. 1988)</w:instrText>
      </w:r>
      <w:r w:rsidRPr="00FD07C8">
        <w:instrText xml:space="preserve">" </w:instrText>
      </w:r>
      <w:r w:rsidR="00A36793" w:rsidRPr="00FD07C8">
        <w:fldChar w:fldCharType="end"/>
      </w:r>
      <w:bookmarkStart w:id="70" w:name="_BA_Cite_117"/>
      <w:r w:rsidRPr="00FD07C8">
        <w:rPr>
          <w:i/>
        </w:rPr>
        <w:t>Turpin v. Okla. Corp. Comm’n</w:t>
      </w:r>
      <w:r w:rsidRPr="00FD07C8">
        <w:t>, 769 P.2d 1309, 1332 (Okla. 1988)</w:t>
      </w:r>
      <w:bookmarkEnd w:id="70"/>
      <w:r w:rsidRPr="00FD07C8">
        <w:t xml:space="preserve"> (distinguishing between errors in ratemaking and unexpected windfalls).</w:t>
      </w:r>
    </w:p>
  </w:footnote>
  <w:footnote w:id="7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&lt;@$cs&gt; \xl 24 \s NSKEHB000033 \xhfl Rep \xct </w:instrText>
      </w:r>
      <w:r w:rsidR="00A36793" w:rsidRPr="00FD07C8">
        <w:fldChar w:fldCharType="end"/>
      </w:r>
      <w:proofErr w:type="gramStart"/>
      <w:r w:rsidRPr="00FD07C8">
        <w:t>840 P.2d 765 (Utah 1992).</w:t>
      </w:r>
      <w:proofErr w:type="gramEnd"/>
    </w:p>
  </w:footnote>
  <w:footnote w:id="7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10 \s ID \xhfl Rep </w:instrText>
      </w:r>
      <w:r w:rsidR="00A36793" w:rsidRPr="00FD07C8">
        <w:fldChar w:fldCharType="end"/>
      </w:r>
      <w:proofErr w:type="gramStart"/>
      <w:r w:rsidRPr="00FD07C8">
        <w:rPr>
          <w:i/>
        </w:rPr>
        <w:t xml:space="preserve">Id. </w:t>
      </w:r>
      <w:r w:rsidRPr="00FD07C8">
        <w:t>at 767.</w:t>
      </w:r>
      <w:proofErr w:type="gramEnd"/>
    </w:p>
  </w:footnote>
  <w:footnote w:id="72">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10 \s ID \xhfl Rep </w:instrText>
      </w:r>
      <w:r w:rsidR="00A36793" w:rsidRPr="00FD07C8">
        <w:fldChar w:fldCharType="end"/>
      </w:r>
      <w:proofErr w:type="gramStart"/>
      <w:r w:rsidRPr="00FD07C8">
        <w:rPr>
          <w:i/>
        </w:rPr>
        <w:t>Id.</w:t>
      </w:r>
      <w:r w:rsidRPr="00FD07C8">
        <w:t xml:space="preserve"> at 771.</w:t>
      </w:r>
      <w:proofErr w:type="gramEnd"/>
    </w:p>
  </w:footnote>
  <w:footnote w:id="7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3 \s ID </w:instrText>
      </w:r>
      <w:r w:rsidR="00A36793" w:rsidRPr="00FD07C8">
        <w:fldChar w:fldCharType="end"/>
      </w:r>
      <w:r w:rsidRPr="00FD07C8">
        <w:rPr>
          <w:i/>
        </w:rPr>
        <w:t>Id.</w:t>
      </w:r>
      <w:r w:rsidRPr="00FD07C8">
        <w:t xml:space="preserve">  </w:t>
      </w:r>
    </w:p>
  </w:footnote>
  <w:footnote w:id="7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10 \s ID \xhfl Rep </w:instrText>
      </w:r>
      <w:r w:rsidR="00A36793" w:rsidRPr="00FD07C8">
        <w:fldChar w:fldCharType="end"/>
      </w:r>
      <w:proofErr w:type="gramStart"/>
      <w:r w:rsidRPr="00FD07C8">
        <w:rPr>
          <w:i/>
        </w:rPr>
        <w:t>Id.</w:t>
      </w:r>
      <w:r w:rsidRPr="00FD07C8">
        <w:t xml:space="preserve"> at 772.</w:t>
      </w:r>
      <w:proofErr w:type="gramEnd"/>
    </w:p>
  </w:footnote>
  <w:footnote w:id="7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10 \s ID \xhfl Rep </w:instrText>
      </w:r>
      <w:r w:rsidR="00A36793" w:rsidRPr="00FD07C8">
        <w:fldChar w:fldCharType="end"/>
      </w:r>
      <w:proofErr w:type="gramStart"/>
      <w:r w:rsidRPr="00FD07C8">
        <w:rPr>
          <w:i/>
        </w:rPr>
        <w:t>Id.</w:t>
      </w:r>
      <w:r w:rsidRPr="00FD07C8">
        <w:t xml:space="preserve"> at 774.</w:t>
      </w:r>
      <w:proofErr w:type="gramEnd"/>
      <w:r w:rsidRPr="00FD07C8">
        <w:t xml:space="preserve">  </w:t>
      </w:r>
    </w:p>
  </w:footnote>
  <w:footnote w:id="7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10 \s ID \xhfl Rep </w:instrText>
      </w:r>
      <w:r w:rsidR="00A36793" w:rsidRPr="00FD07C8">
        <w:fldChar w:fldCharType="end"/>
      </w:r>
      <w:r w:rsidRPr="00FD07C8">
        <w:rPr>
          <w:i/>
        </w:rPr>
        <w:t>Id.</w:t>
      </w:r>
      <w:r w:rsidRPr="00FD07C8">
        <w:t xml:space="preserve"> at 776 (emphasis added).  </w:t>
      </w:r>
    </w:p>
  </w:footnote>
  <w:footnote w:id="77">
    <w:p w:rsidR="00615005" w:rsidRPr="00FD07C8" w:rsidRDefault="00615005" w:rsidP="008A3FA9">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157 \s NSKEHB000039 \xhfl Rep \l "</w:instrText>
      </w:r>
      <w:r w:rsidRPr="00FD07C8">
        <w:rPr>
          <w:i/>
          <w:sz w:val="24"/>
        </w:rPr>
        <w:instrText>Re Petition of PacifiCorp for an Accounting Order Authorizing Deferral of Excess Net Power Costs</w:instrText>
      </w:r>
      <w:r w:rsidRPr="00FD07C8">
        <w:rPr>
          <w:sz w:val="24"/>
        </w:rPr>
        <w:instrText>,&lt;SoftRt&gt; Docket No. UE-020417, 3</w:instrText>
      </w:r>
      <w:r w:rsidRPr="00FD07C8">
        <w:rPr>
          <w:sz w:val="24"/>
          <w:vertAlign w:val="superscript"/>
        </w:rPr>
        <w:instrText>rd</w:instrText>
      </w:r>
      <w:r w:rsidRPr="00FD07C8">
        <w:rPr>
          <w:sz w:val="24"/>
        </w:rPr>
        <w:instrText xml:space="preserve"> Supp. Order ¶ 24 (Sept. 27, 2002)</w:instrText>
      </w:r>
      <w:r w:rsidRPr="00FD07C8">
        <w:instrText xml:space="preserve">" </w:instrText>
      </w:r>
      <w:r w:rsidR="00A36793" w:rsidRPr="00FD07C8">
        <w:fldChar w:fldCharType="end"/>
      </w:r>
      <w:bookmarkStart w:id="74" w:name="_BA_Cite_120"/>
      <w:r w:rsidRPr="00FD07C8">
        <w:rPr>
          <w:i/>
        </w:rPr>
        <w:t>Re Petition of PacifiCorp for an Accounting Order Authorizing Deferral of Excess Net Power Costs</w:t>
      </w:r>
      <w:r w:rsidRPr="00FD07C8">
        <w:t>, Docket No. UE-020417, 3</w:t>
      </w:r>
      <w:r w:rsidRPr="00FD07C8">
        <w:rPr>
          <w:vertAlign w:val="superscript"/>
        </w:rPr>
        <w:t>rd</w:t>
      </w:r>
      <w:r w:rsidRPr="00FD07C8">
        <w:t xml:space="preserve"> Supp. Order ¶ 24 (Sept. 27, 2002)</w:t>
      </w:r>
      <w:bookmarkEnd w:id="74"/>
      <w:r w:rsidRPr="00FD07C8">
        <w:t>.</w:t>
      </w:r>
    </w:p>
  </w:footnote>
  <w:footnote w:id="7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NSKEHB000091 \l "</w:instrText>
      </w:r>
      <w:r w:rsidRPr="00FD07C8">
        <w:rPr>
          <w:sz w:val="24"/>
        </w:rPr>
        <w:instrText>Staff’s Phase II Brief ¶ 14</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14; </w:t>
      </w:r>
      <w:proofErr w:type="gramEnd"/>
      <w:r w:rsidR="00A36793" w:rsidRPr="00FD07C8">
        <w:fldChar w:fldCharType="begin"/>
      </w:r>
      <w:r w:rsidRPr="00FD07C8">
        <w:instrText xml:space="preserve"> ADDIN BA \xc &lt;@rec&gt; \xl 26 \s NSKEHB000092 \l "</w:instrText>
      </w:r>
      <w:r w:rsidRPr="00FD07C8">
        <w:rPr>
          <w:sz w:val="24"/>
        </w:rPr>
        <w:instrText>ICNU’s Phase II Brief ¶ 12</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12.</w:t>
      </w:r>
      <w:proofErr w:type="gramEnd"/>
    </w:p>
  </w:footnote>
  <w:footnote w:id="79">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157 \s NSKEHB000039 \xhfl Rep </w:instrText>
      </w:r>
      <w:r w:rsidR="00A36793" w:rsidRPr="00FD07C8">
        <w:fldChar w:fldCharType="end"/>
      </w:r>
      <w:r w:rsidRPr="00FD07C8">
        <w:rPr>
          <w:i/>
        </w:rPr>
        <w:t>Re Petition of PacifiCorp for an Accounting Order Authorizing Deferral of Excess Net Power Costs</w:t>
      </w:r>
      <w:r w:rsidRPr="00FD07C8">
        <w:t>, Docket No. UE-020417, 3</w:t>
      </w:r>
      <w:r w:rsidRPr="00FD07C8">
        <w:rPr>
          <w:vertAlign w:val="superscript"/>
        </w:rPr>
        <w:t>rd</w:t>
      </w:r>
      <w:r w:rsidRPr="00FD07C8">
        <w:t xml:space="preserve"> Supp. Order ¶ 24 (Sept. 27, 2002).</w:t>
      </w:r>
    </w:p>
  </w:footnote>
  <w:footnote w:id="8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37 \s NSKEHB000093 \l "</w:instrText>
      </w:r>
      <w:r w:rsidRPr="00FD07C8">
        <w:rPr>
          <w:sz w:val="24"/>
        </w:rPr>
        <w:instrText>ICNU’s Phase II Opening Brief at ¶ 12</w:instrText>
      </w:r>
      <w:r w:rsidRPr="00FD07C8">
        <w:instrText xml:space="preserve">" </w:instrText>
      </w:r>
      <w:r w:rsidR="00A36793" w:rsidRPr="00FD07C8">
        <w:fldChar w:fldCharType="end"/>
      </w:r>
      <w:r w:rsidRPr="00FD07C8">
        <w:t>ICNU’s Phase II Opening Brief at ¶ 12.</w:t>
      </w:r>
    </w:p>
  </w:footnote>
  <w:footnote w:id="81">
    <w:p w:rsidR="00615005" w:rsidRPr="00FD07C8" w:rsidRDefault="00615005" w:rsidP="005239B3">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102 \s NSKEHB000009 \xhfl Rep </w:instrText>
      </w:r>
      <w:r w:rsidR="00A36793" w:rsidRPr="00FD07C8">
        <w:fldChar w:fldCharType="end"/>
      </w:r>
      <w:bookmarkStart w:id="75" w:name="_BA_Cite_121"/>
      <w:proofErr w:type="gramStart"/>
      <w:r w:rsidRPr="00FD07C8">
        <w:rPr>
          <w:i/>
        </w:rPr>
        <w:t>Wash. Utils.</w:t>
      </w:r>
      <w:proofErr w:type="gramEnd"/>
      <w:r w:rsidRPr="00FD07C8">
        <w:rPr>
          <w:i/>
        </w:rPr>
        <w:t xml:space="preserve"> &amp; Transp. Comm’n v. Verizon NW, Inc</w:t>
      </w:r>
      <w:r w:rsidRPr="00FD07C8">
        <w:t>., Docket No. UT-040788 Order 11 ¶ 140 (Oct. 15, 2004)</w:t>
      </w:r>
      <w:bookmarkEnd w:id="75"/>
      <w:r w:rsidRPr="00FD07C8">
        <w:t>.</w:t>
      </w:r>
    </w:p>
  </w:footnote>
  <w:footnote w:id="82">
    <w:p w:rsidR="00615005" w:rsidRPr="00FD07C8" w:rsidRDefault="00615005" w:rsidP="005239B3">
      <w:pPr>
        <w:pStyle w:val="FootnoteText"/>
        <w:rPr>
          <w:rFonts w:ascii="Times New Roman" w:hAnsi="Times New Roman"/>
        </w:rPr>
      </w:pPr>
      <w:r w:rsidRPr="00FD07C8">
        <w:rPr>
          <w:rStyle w:val="FootnoteReference"/>
          <w:rFonts w:ascii="Times New Roman" w:hAnsi="Times New Roman"/>
        </w:rPr>
        <w:footnoteRef/>
      </w:r>
      <w:r w:rsidRPr="00FD07C8">
        <w:rPr>
          <w:rFonts w:ascii="Times New Roman" w:hAnsi="Times New Roman"/>
        </w:rPr>
        <w:t xml:space="preserve"> </w:t>
      </w:r>
      <w:r w:rsidRPr="00FD07C8">
        <w:rPr>
          <w:rFonts w:ascii="Times New Roman" w:hAnsi="Times New Roman"/>
          <w:i/>
        </w:rPr>
        <w:t xml:space="preserve">See </w:t>
      </w:r>
      <w:r w:rsidR="00A36793" w:rsidRPr="00FD07C8">
        <w:fldChar w:fldCharType="begin"/>
      </w:r>
      <w:r w:rsidRPr="00FD07C8">
        <w:instrText xml:space="preserve"> ADDIN BA \xc &lt;@cs&gt; \xl 43 \s NSKEHB000040 \xhfl Rep \l "</w:instrText>
      </w:r>
      <w:r w:rsidRPr="00FD07C8">
        <w:rPr>
          <w:rFonts w:ascii="Times New Roman" w:hAnsi="Times New Roman"/>
          <w:i/>
          <w:sz w:val="24"/>
        </w:rPr>
        <w:instrText>Duquesne v. Barasch</w:instrText>
      </w:r>
      <w:r w:rsidRPr="00FD07C8">
        <w:rPr>
          <w:rFonts w:ascii="Times New Roman" w:hAnsi="Times New Roman"/>
          <w:sz w:val="24"/>
        </w:rPr>
        <w:instrText>,&lt;SoftRt&gt; 488 US 299 (1989)</w:instrText>
      </w:r>
      <w:r w:rsidRPr="00FD07C8">
        <w:instrText xml:space="preserve">" </w:instrText>
      </w:r>
      <w:r w:rsidR="00A36793" w:rsidRPr="00FD07C8">
        <w:fldChar w:fldCharType="end"/>
      </w:r>
      <w:bookmarkStart w:id="77" w:name="_BA_Cite_123"/>
      <w:r w:rsidRPr="00FD07C8">
        <w:rPr>
          <w:rFonts w:ascii="Times New Roman" w:hAnsi="Times New Roman"/>
          <w:i/>
        </w:rPr>
        <w:t>Duquesne v. Barasch</w:t>
      </w:r>
      <w:r w:rsidRPr="00FD07C8">
        <w:rPr>
          <w:rFonts w:ascii="Times New Roman" w:hAnsi="Times New Roman"/>
        </w:rPr>
        <w:t>, 488 US 299, 314 (1989)</w:t>
      </w:r>
      <w:bookmarkEnd w:id="77"/>
      <w:r w:rsidRPr="00FD07C8">
        <w:rPr>
          <w:rFonts w:ascii="Times New Roman" w:hAnsi="Times New Roman"/>
        </w:rPr>
        <w:t>.</w:t>
      </w:r>
    </w:p>
  </w:footnote>
  <w:footnote w:id="8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35 \s NSKEHB000095 \l "</w:instrText>
      </w:r>
      <w:r w:rsidRPr="00FD07C8">
        <w:rPr>
          <w:sz w:val="24"/>
        </w:rPr>
        <w:instrText>Public Counsel’s Phase II Brief ¶12</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¶12.</w:t>
      </w:r>
      <w:proofErr w:type="gramEnd"/>
    </w:p>
  </w:footnote>
  <w:footnote w:id="8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8 \s ID </w:instrText>
      </w:r>
      <w:r w:rsidR="00A36793" w:rsidRPr="00FD07C8">
        <w:fldChar w:fldCharType="end"/>
      </w:r>
      <w:proofErr w:type="gramStart"/>
      <w:r w:rsidRPr="00FD07C8">
        <w:rPr>
          <w:i/>
        </w:rPr>
        <w:t>Id.</w:t>
      </w:r>
      <w:r w:rsidRPr="00FD07C8">
        <w:t xml:space="preserve"> ¶ 43.</w:t>
      </w:r>
      <w:proofErr w:type="gramEnd"/>
    </w:p>
  </w:footnote>
  <w:footnote w:id="8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13 \s ID </w:instrText>
      </w:r>
      <w:r w:rsidR="00A36793" w:rsidRPr="00FD07C8">
        <w:fldChar w:fldCharType="end"/>
      </w:r>
      <w:proofErr w:type="gramStart"/>
      <w:r w:rsidRPr="00FD07C8">
        <w:rPr>
          <w:i/>
        </w:rPr>
        <w:t xml:space="preserve">Id. </w:t>
      </w:r>
      <w:r w:rsidRPr="00FD07C8">
        <w:t>¶¶ 33, 35.</w:t>
      </w:r>
      <w:proofErr w:type="gramEnd"/>
    </w:p>
  </w:footnote>
  <w:footnote w:id="8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NSKEHB000096 \l "</w:instrText>
      </w:r>
      <w:r w:rsidRPr="00FD07C8">
        <w:rPr>
          <w:sz w:val="24"/>
        </w:rPr>
        <w:instrText>Staff’s Phase II Brief ¶ 44</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44.</w:t>
      </w:r>
      <w:proofErr w:type="gramEnd"/>
    </w:p>
  </w:footnote>
  <w:footnote w:id="8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113 \s NSKEHB000041 \xhfl Rep \l "</w:instrText>
      </w:r>
      <w:r w:rsidRPr="00FD07C8">
        <w:rPr>
          <w:rFonts w:ascii="Times New Roman" w:hAnsi="Times New Roman"/>
          <w:i/>
          <w:sz w:val="24"/>
        </w:rPr>
        <w:instrText>Wash. Utils. &amp; Transp. Comm’n v. Olympic Pipe Line Co.</w:instrText>
      </w:r>
      <w:r w:rsidRPr="00FD07C8">
        <w:rPr>
          <w:rFonts w:ascii="Times New Roman" w:hAnsi="Times New Roman"/>
          <w:sz w:val="24"/>
        </w:rPr>
        <w:instrText>,&lt;SoftRt&gt; Docket TO-011472, 20</w:instrText>
      </w:r>
      <w:r w:rsidRPr="00FD07C8">
        <w:rPr>
          <w:rFonts w:ascii="Times New Roman" w:hAnsi="Times New Roman"/>
          <w:sz w:val="24"/>
          <w:vertAlign w:val="superscript"/>
        </w:rPr>
        <w:instrText>th</w:instrText>
      </w:r>
      <w:r w:rsidRPr="00FD07C8">
        <w:rPr>
          <w:rFonts w:ascii="Times New Roman" w:hAnsi="Times New Roman"/>
          <w:sz w:val="24"/>
        </w:rPr>
        <w:instrText xml:space="preserve"> Supp. Order ¶ 119 (Sept. 27, 2002)</w:instrText>
      </w:r>
      <w:r w:rsidRPr="00FD07C8">
        <w:instrText xml:space="preserve">" </w:instrText>
      </w:r>
      <w:r w:rsidR="00A36793" w:rsidRPr="00FD07C8">
        <w:fldChar w:fldCharType="end"/>
      </w:r>
      <w:bookmarkStart w:id="78" w:name="_BA_Cite_124"/>
      <w:proofErr w:type="gramStart"/>
      <w:r w:rsidRPr="00FD07C8">
        <w:rPr>
          <w:rFonts w:ascii="Times New Roman" w:hAnsi="Times New Roman"/>
          <w:i/>
        </w:rPr>
        <w:t>Wash. Utils.</w:t>
      </w:r>
      <w:proofErr w:type="gramEnd"/>
      <w:r w:rsidRPr="00FD07C8">
        <w:rPr>
          <w:rFonts w:ascii="Times New Roman" w:hAnsi="Times New Roman"/>
          <w:i/>
        </w:rPr>
        <w:t xml:space="preserve"> &amp; Transp. Comm’n v. Olympic Pipe Line Co.</w:t>
      </w:r>
      <w:r w:rsidRPr="00FD07C8">
        <w:rPr>
          <w:rFonts w:ascii="Times New Roman" w:hAnsi="Times New Roman"/>
        </w:rPr>
        <w:t>, Docket TO-011472, 20</w:t>
      </w:r>
      <w:r w:rsidRPr="00FD07C8">
        <w:rPr>
          <w:rFonts w:ascii="Times New Roman" w:hAnsi="Times New Roman"/>
          <w:vertAlign w:val="superscript"/>
        </w:rPr>
        <w:t>th</w:t>
      </w:r>
      <w:r w:rsidRPr="00FD07C8">
        <w:rPr>
          <w:rFonts w:ascii="Times New Roman" w:hAnsi="Times New Roman"/>
        </w:rPr>
        <w:t xml:space="preserve"> Supp. Order ¶ 119 (Sept. 27, 2002)</w:t>
      </w:r>
      <w:bookmarkEnd w:id="78"/>
      <w:r w:rsidRPr="00FD07C8">
        <w:rPr>
          <w:rFonts w:ascii="Times New Roman" w:hAnsi="Times New Roman"/>
        </w:rPr>
        <w:t>.</w:t>
      </w:r>
    </w:p>
  </w:footnote>
  <w:footnote w:id="8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NSKEHB000097 \l "</w:instrText>
      </w:r>
      <w:r w:rsidRPr="00FD07C8">
        <w:rPr>
          <w:sz w:val="24"/>
        </w:rPr>
        <w:instrText>Staff’s Phase II Brief ¶ 13</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13.</w:t>
      </w:r>
      <w:proofErr w:type="gramEnd"/>
    </w:p>
  </w:footnote>
  <w:footnote w:id="89">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&lt;@$regcs&gt; \xl 111 \s NSKEHB000035 \xhfl Rep </w:instrText>
      </w:r>
      <w:r w:rsidR="00A36793" w:rsidRPr="00FD07C8">
        <w:fldChar w:fldCharType="end"/>
      </w:r>
      <w:bookmarkStart w:id="80" w:name="_BA_Cite_125"/>
      <w:r w:rsidRPr="00FD07C8">
        <w:rPr>
          <w:i/>
        </w:rPr>
        <w:t>Wash. Utils. &amp; Transp. Comm’n v. Puget Sound Power &amp; Light Co.</w:t>
      </w:r>
      <w:r w:rsidRPr="00FD07C8">
        <w:t>, Docket U-81-41, 6</w:t>
      </w:r>
      <w:r w:rsidRPr="00FD07C8">
        <w:rPr>
          <w:vertAlign w:val="superscript"/>
        </w:rPr>
        <w:t>th</w:t>
      </w:r>
      <w:r w:rsidRPr="00FD07C8">
        <w:t xml:space="preserve"> Supp. Order (Dec. 19, 1988)</w:t>
      </w:r>
      <w:bookmarkEnd w:id="80"/>
      <w:r w:rsidRPr="00FD07C8">
        <w:t xml:space="preserve"> (giving notice that the Commission would consider changes to the ECAC and explaining that actual power costs are trued up against a baseline).</w:t>
      </w:r>
    </w:p>
  </w:footnote>
  <w:footnote w:id="9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NSKEHB000099 \l "</w:instrText>
      </w:r>
      <w:r w:rsidRPr="00FD07C8">
        <w:rPr>
          <w:sz w:val="24"/>
        </w:rPr>
        <w:instrText>Staff’s Phase II Brief ¶ 27</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27.</w:t>
      </w:r>
      <w:proofErr w:type="gramEnd"/>
    </w:p>
  </w:footnote>
  <w:footnote w:id="9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8 \s ID </w:instrText>
      </w:r>
      <w:r w:rsidR="00A36793" w:rsidRPr="00FD07C8">
        <w:fldChar w:fldCharType="end"/>
      </w:r>
      <w:proofErr w:type="gramStart"/>
      <w:r w:rsidRPr="00FD07C8">
        <w:rPr>
          <w:i/>
        </w:rPr>
        <w:t xml:space="preserve">Id. </w:t>
      </w:r>
      <w:r w:rsidRPr="00FD07C8">
        <w:t>¶ 14.</w:t>
      </w:r>
      <w:proofErr w:type="gramEnd"/>
    </w:p>
  </w:footnote>
  <w:footnote w:id="92">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NSKEHB000100 \l "</w:instrText>
      </w:r>
      <w:r w:rsidRPr="00FD07C8">
        <w:rPr>
          <w:sz w:val="24"/>
        </w:rPr>
        <w:instrText>Staff’s Phase II Brief ¶ 15</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15.</w:t>
      </w:r>
      <w:proofErr w:type="gramEnd"/>
    </w:p>
  </w:footnote>
  <w:footnote w:id="9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&lt;@cs&gt; \xl 93 \s NSKEHB000042 \xhfl Rep \l "</w:instrText>
      </w:r>
      <w:r w:rsidRPr="00FD07C8">
        <w:rPr>
          <w:i/>
          <w:sz w:val="24"/>
        </w:rPr>
        <w:instrText>Wash. Utils. &amp; Transp. Comm’n v. Puget Sound Power &amp; Light Co.</w:instrText>
      </w:r>
      <w:r w:rsidRPr="00FD07C8">
        <w:rPr>
          <w:sz w:val="24"/>
        </w:rPr>
        <w:instrText>,&lt;SoftRt&gt; Cause U-82-38 (July 22, 1983)</w:instrText>
      </w:r>
      <w:r w:rsidRPr="00FD07C8">
        <w:instrText xml:space="preserve">" </w:instrText>
      </w:r>
      <w:r w:rsidR="00A36793" w:rsidRPr="00FD07C8">
        <w:fldChar w:fldCharType="end"/>
      </w:r>
      <w:bookmarkStart w:id="82" w:name="_BA_Cite_127"/>
      <w:proofErr w:type="gramStart"/>
      <w:r w:rsidRPr="00FD07C8">
        <w:rPr>
          <w:i/>
        </w:rPr>
        <w:t>Wash. Utils.</w:t>
      </w:r>
      <w:proofErr w:type="gramEnd"/>
      <w:r w:rsidRPr="00FD07C8">
        <w:rPr>
          <w:i/>
        </w:rPr>
        <w:t xml:space="preserve"> &amp; Transp. Comm’n v. Puget Sound Power &amp; Light Co.</w:t>
      </w:r>
      <w:r>
        <w:t>, Cause U-82-38, 3</w:t>
      </w:r>
      <w:r w:rsidRPr="00541BAE">
        <w:rPr>
          <w:vertAlign w:val="superscript"/>
        </w:rPr>
        <w:t>rd</w:t>
      </w:r>
      <w:r>
        <w:t xml:space="preserve"> Supp. Order </w:t>
      </w:r>
      <w:r w:rsidRPr="00FD07C8">
        <w:t>(July 22, 1983)</w:t>
      </w:r>
      <w:bookmarkEnd w:id="82"/>
      <w:r w:rsidRPr="00FD07C8">
        <w:t>.</w:t>
      </w:r>
    </w:p>
  </w:footnote>
  <w:footnote w:id="9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12 \s NSKEHB000100 \xhfl Rep </w:instrText>
      </w:r>
      <w:r w:rsidR="00A36793" w:rsidRPr="00FD07C8">
        <w:fldChar w:fldCharType="end"/>
      </w:r>
      <w:r w:rsidRPr="00FD07C8">
        <w:rPr>
          <w:i/>
        </w:rPr>
        <w:t xml:space="preserve">Id. </w:t>
      </w:r>
      <w:r w:rsidRPr="00FD07C8">
        <w:t>at 17-21.</w:t>
      </w:r>
    </w:p>
  </w:footnote>
  <w:footnote w:id="9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NSKEHB000101 \l "</w:instrText>
      </w:r>
      <w:r w:rsidRPr="00FD07C8">
        <w:rPr>
          <w:sz w:val="24"/>
        </w:rPr>
        <w:instrText>Staff’s Phase II Brief ¶ 18</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18.</w:t>
      </w:r>
      <w:proofErr w:type="gramEnd"/>
    </w:p>
  </w:footnote>
  <w:footnote w:id="96">
    <w:p w:rsidR="00615005" w:rsidRPr="00FD07C8" w:rsidRDefault="00615005">
      <w:pPr>
        <w:pStyle w:val="FootnoteText"/>
      </w:pPr>
      <w:r w:rsidRPr="00FD07C8">
        <w:rPr>
          <w:rStyle w:val="FootnoteReference"/>
        </w:rPr>
        <w:footnoteRef/>
      </w:r>
      <w:r w:rsidRPr="00FD07C8">
        <w:t xml:space="preserve"> </w:t>
      </w:r>
      <w:r w:rsidR="00A36793" w:rsidRPr="0009158C">
        <w:rPr>
          <w:i/>
        </w:rPr>
        <w:fldChar w:fldCharType="begin"/>
      </w:r>
      <w:r w:rsidRPr="0009158C">
        <w:rPr>
          <w:i/>
        </w:rPr>
        <w:instrText xml:space="preserve"> ADDIN BA \xc &lt;@rec&gt; \xl 27 \s NSKEHB000102 \l "</w:instrText>
      </w:r>
      <w:r w:rsidRPr="0009158C">
        <w:rPr>
          <w:i/>
          <w:sz w:val="24"/>
        </w:rPr>
        <w:instrText>Staff’s Phase II Brief ¶ 19</w:instrText>
      </w:r>
      <w:r w:rsidRPr="0009158C">
        <w:rPr>
          <w:i/>
        </w:rPr>
        <w:instrText xml:space="preserve">" </w:instrText>
      </w:r>
      <w:r w:rsidR="00A36793" w:rsidRPr="0009158C">
        <w:rPr>
          <w:i/>
        </w:rPr>
        <w:fldChar w:fldCharType="end"/>
      </w:r>
      <w:proofErr w:type="gramStart"/>
      <w:r w:rsidR="0009158C">
        <w:rPr>
          <w:i/>
        </w:rPr>
        <w:t>Id.</w:t>
      </w:r>
      <w:r w:rsidRPr="00FD07C8">
        <w:t xml:space="preserve"> ¶ 19.</w:t>
      </w:r>
      <w:proofErr w:type="gramEnd"/>
    </w:p>
  </w:footnote>
  <w:footnote w:id="9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NSKEHB000103 \l "</w:instrText>
      </w:r>
      <w:r w:rsidRPr="00FD07C8">
        <w:rPr>
          <w:sz w:val="24"/>
        </w:rPr>
        <w:instrText>Staff’s Phase II Brief ¶ 20</w:instrText>
      </w:r>
      <w:r w:rsidRPr="00FD07C8">
        <w:instrText xml:space="preserve">" </w:instrText>
      </w:r>
      <w:r w:rsidR="00A36793" w:rsidRPr="00FD07C8">
        <w:fldChar w:fldCharType="end"/>
      </w:r>
      <w:r w:rsidR="0009158C" w:rsidRPr="0009158C">
        <w:rPr>
          <w:i/>
        </w:rPr>
        <w:t xml:space="preserve"> </w:t>
      </w:r>
      <w:proofErr w:type="gramStart"/>
      <w:r w:rsidR="0009158C">
        <w:rPr>
          <w:i/>
        </w:rPr>
        <w:t>Id.</w:t>
      </w:r>
      <w:r w:rsidRPr="00FD07C8">
        <w:t>¶ 20.</w:t>
      </w:r>
      <w:proofErr w:type="gramEnd"/>
    </w:p>
  </w:footnote>
  <w:footnote w:id="98">
    <w:p w:rsidR="00615005" w:rsidRPr="00FD07C8" w:rsidRDefault="00615005" w:rsidP="005E04F6">
      <w:pPr>
        <w:pStyle w:val="FootnoteText"/>
      </w:pPr>
      <w:r w:rsidRPr="00FD07C8">
        <w:rPr>
          <w:rStyle w:val="FootnoteReference"/>
        </w:rPr>
        <w:footnoteRef/>
      </w:r>
      <w:r w:rsidRPr="00FD07C8">
        <w:t xml:space="preserve"> </w:t>
      </w:r>
      <w:r w:rsidRPr="00FD07C8">
        <w:rPr>
          <w:i/>
        </w:rPr>
        <w:t>See, e.g.</w:t>
      </w:r>
      <w:r w:rsidRPr="00FD07C8">
        <w:t xml:space="preserve">, </w:t>
      </w:r>
      <w:r w:rsidR="00A36793" w:rsidRPr="00FD07C8">
        <w:fldChar w:fldCharType="begin"/>
      </w:r>
      <w:r w:rsidRPr="00FD07C8">
        <w:instrText xml:space="preserve"> ADDIN BA \xc &lt;@cs&gt; \xl 76 \s NSKEHB000043 \xhfl Rep \l "</w:instrText>
      </w:r>
      <w:r w:rsidRPr="00FD07C8">
        <w:rPr>
          <w:i/>
          <w:sz w:val="24"/>
        </w:rPr>
        <w:instrText>Matanuska Elec. Ass’n v. Chugach Elec. Ass’n</w:instrText>
      </w:r>
      <w:r w:rsidRPr="00FD07C8">
        <w:rPr>
          <w:sz w:val="24"/>
        </w:rPr>
        <w:instrText>,&lt;SoftRt&gt; 53 P.3d 578 (Alaska 2002)</w:instrText>
      </w:r>
      <w:r w:rsidRPr="00FD07C8">
        <w:instrText xml:space="preserve">" </w:instrText>
      </w:r>
      <w:r w:rsidR="00A36793" w:rsidRPr="00FD07C8">
        <w:fldChar w:fldCharType="end"/>
      </w:r>
      <w:bookmarkStart w:id="83" w:name="_BA_Cite_128"/>
      <w:r w:rsidRPr="00FD07C8">
        <w:rPr>
          <w:i/>
        </w:rPr>
        <w:t xml:space="preserve">Matanuska Elec. </w:t>
      </w:r>
      <w:proofErr w:type="spellStart"/>
      <w:r w:rsidRPr="00FD07C8">
        <w:rPr>
          <w:i/>
        </w:rPr>
        <w:t>Ass’n</w:t>
      </w:r>
      <w:proofErr w:type="spellEnd"/>
      <w:r w:rsidRPr="00FD07C8">
        <w:rPr>
          <w:i/>
        </w:rPr>
        <w:t xml:space="preserve"> v. Chugach Elec. </w:t>
      </w:r>
      <w:proofErr w:type="spellStart"/>
      <w:r w:rsidRPr="00FD07C8">
        <w:rPr>
          <w:i/>
        </w:rPr>
        <w:t>Ass’n</w:t>
      </w:r>
      <w:proofErr w:type="spellEnd"/>
      <w:r w:rsidRPr="00FD07C8">
        <w:t>, 53 P.3d 578, 587 (Alaska 2002)</w:t>
      </w:r>
      <w:bookmarkEnd w:id="83"/>
      <w:r w:rsidRPr="00FD07C8">
        <w:t xml:space="preserve"> (finding that a refund of amounts collected in excess of line loss factor would violate the rule against retroactive ratemaking); </w:t>
      </w:r>
      <w:r w:rsidR="00A36793" w:rsidRPr="00FD07C8">
        <w:fldChar w:fldCharType="begin"/>
      </w:r>
      <w:r w:rsidRPr="00FD07C8">
        <w:instrText xml:space="preserve"> ADDIN BA \xc &lt;@$cs&gt; \xl 85 \s NSKEHB000023 \xhfl Rep </w:instrText>
      </w:r>
      <w:r w:rsidR="00A36793" w:rsidRPr="00FD07C8">
        <w:fldChar w:fldCharType="end"/>
      </w:r>
      <w:bookmarkStart w:id="84" w:name="_BA_Cite_129"/>
      <w:r w:rsidRPr="00FD07C8">
        <w:rPr>
          <w:i/>
        </w:rPr>
        <w:t>re. Elizabethtown Water Co</w:t>
      </w:r>
      <w:r w:rsidRPr="00FD07C8">
        <w:t xml:space="preserve"> </w:t>
      </w:r>
      <w:r w:rsidRPr="00FD07C8">
        <w:rPr>
          <w:i/>
        </w:rPr>
        <w:t>v. New Jersey Bd. of Pub. Util.</w:t>
      </w:r>
      <w:r w:rsidRPr="00FD07C8">
        <w:t>, 527 A.2d 354 (N.J., 1987)</w:t>
      </w:r>
      <w:bookmarkEnd w:id="84"/>
      <w:r w:rsidRPr="00FD07C8">
        <w:t xml:space="preserve"> (overruling the commission’s order postponing the water company’s rate effective date in order to offset the water company’s unusual gains resulting from high water prices during a drought because “[t]he orderly processes of ratemaking are necessarily present and prospective if ratemaking is to be effective.” (citations omitted)); </w:t>
      </w:r>
      <w:r w:rsidR="00A36793" w:rsidRPr="00FD07C8">
        <w:fldChar w:fldCharType="begin"/>
      </w:r>
      <w:r w:rsidRPr="00FD07C8">
        <w:instrText xml:space="preserve"> ADDIN BA \xc &lt;@$cs&gt; \xl 75 \s NSKEHB000022 \xhfl Rep </w:instrText>
      </w:r>
      <w:r w:rsidR="00A36793" w:rsidRPr="00FD07C8">
        <w:fldChar w:fldCharType="end"/>
      </w:r>
      <w:bookmarkStart w:id="85" w:name="_BA_Cite_130"/>
      <w:r w:rsidRPr="00FD07C8">
        <w:rPr>
          <w:i/>
        </w:rPr>
        <w:t>SC Elec. and Gas Co. v. Pub. Serv. Comm’n</w:t>
      </w:r>
      <w:r w:rsidRPr="00FD07C8">
        <w:t>, 272 S.E.2d 793, 795 (S.C., 1980)</w:t>
      </w:r>
      <w:bookmarkEnd w:id="85"/>
      <w:r w:rsidRPr="00FD07C8">
        <w:t xml:space="preserve"> (reversing the Commission’s decision to provide a refund for the sale and purchase of energy between the utility and other parties because “the crux of this issue is the firm principle that rate-making is prospective rather than retroactive.”).</w:t>
      </w:r>
    </w:p>
  </w:footnote>
  <w:footnote w:id="99">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&lt;@rec&gt; \xl 32 \s NSKEHB000104 \l "</w:instrText>
      </w:r>
      <w:r w:rsidRPr="00FD07C8">
        <w:rPr>
          <w:sz w:val="24"/>
        </w:rPr>
        <w:instrText>Staff’s Phase II Brief ¶¶ 23, 34</w:instrText>
      </w:r>
      <w:r w:rsidRPr="00FD07C8">
        <w:instrText xml:space="preserve">" </w:instrText>
      </w:r>
      <w:r w:rsidR="00A36793" w:rsidRPr="00FD07C8">
        <w:fldChar w:fldCharType="end"/>
      </w:r>
      <w:r w:rsidRPr="00FD07C8">
        <w:t xml:space="preserve">Staff’s </w:t>
      </w:r>
      <w:r w:rsidR="00211A66">
        <w:t>Phase II Opening Brief</w:t>
      </w:r>
      <w:r w:rsidRPr="00FD07C8">
        <w:t xml:space="preserve"> ¶¶ 23, 34; </w:t>
      </w:r>
      <w:r w:rsidR="00A36793" w:rsidRPr="00FD07C8">
        <w:fldChar w:fldCharType="begin"/>
      </w:r>
      <w:r w:rsidRPr="00FD07C8">
        <w:instrText xml:space="preserve"> ADDIN BA \xc &lt;@rec&gt; \xl 40 \s NSKEHB000105 \l "</w:instrText>
      </w:r>
      <w:r w:rsidRPr="00FD07C8">
        <w:rPr>
          <w:sz w:val="24"/>
        </w:rPr>
        <w:instrText>Public Counsel’s Phase II Brief ¶¶ 48-52</w:instrText>
      </w:r>
      <w:r w:rsidRPr="00FD07C8">
        <w:instrText xml:space="preserve">" </w:instrText>
      </w:r>
      <w:r w:rsidR="00A36793" w:rsidRPr="00FD07C8">
        <w:fldChar w:fldCharType="end"/>
      </w:r>
      <w:r w:rsidRPr="00FD07C8">
        <w:t xml:space="preserve">Public Counsel’s </w:t>
      </w:r>
      <w:r w:rsidR="00211A66">
        <w:t>Phase II Opening Brief</w:t>
      </w:r>
      <w:r w:rsidRPr="00FD07C8">
        <w:t xml:space="preserve"> ¶¶ 48-52.</w:t>
      </w:r>
    </w:p>
  </w:footnote>
  <w:footnote w:id="10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28 \s NSKEHB000106 \l "</w:instrText>
      </w:r>
      <w:r w:rsidRPr="00FD07C8">
        <w:rPr>
          <w:sz w:val="24"/>
        </w:rPr>
        <w:instrText>Staff’s Phase II Brief ¶¶ 23</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23.</w:t>
      </w:r>
      <w:proofErr w:type="gramEnd"/>
    </w:p>
  </w:footnote>
  <w:footnote w:id="10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&lt;@cs&gt; \xl 71 \s NSKEHB000044 \xhfl Rep \l "</w:instrText>
      </w:r>
      <w:r w:rsidRPr="00FD07C8">
        <w:rPr>
          <w:i/>
          <w:sz w:val="24"/>
        </w:rPr>
        <w:instrText>Fed. Power Comm’n v. Hope Natural Gas Co.</w:instrText>
      </w:r>
      <w:r w:rsidRPr="00FD07C8">
        <w:rPr>
          <w:sz w:val="24"/>
        </w:rPr>
        <w:instrText>,&lt;SoftRt&gt;</w:instrText>
      </w:r>
      <w:r w:rsidRPr="00FD07C8">
        <w:rPr>
          <w:i/>
          <w:sz w:val="24"/>
        </w:rPr>
        <w:instrText xml:space="preserve"> </w:instrText>
      </w:r>
      <w:r w:rsidRPr="00FD07C8">
        <w:rPr>
          <w:rFonts w:ascii="Times New Roman" w:hAnsi="Times New Roman"/>
          <w:sz w:val="24"/>
          <w:szCs w:val="24"/>
        </w:rPr>
        <w:instrText>320 U.S. 591 (1944)</w:instrText>
      </w:r>
      <w:r w:rsidRPr="00FD07C8">
        <w:instrText xml:space="preserve">" </w:instrText>
      </w:r>
      <w:r w:rsidR="00A36793" w:rsidRPr="00FD07C8">
        <w:fldChar w:fldCharType="end"/>
      </w:r>
      <w:bookmarkStart w:id="87" w:name="_BA_Cite_131"/>
      <w:proofErr w:type="gramStart"/>
      <w:r w:rsidRPr="00FD07C8">
        <w:rPr>
          <w:i/>
        </w:rPr>
        <w:t>Fed.</w:t>
      </w:r>
      <w:proofErr w:type="gramEnd"/>
      <w:r w:rsidRPr="00FD07C8">
        <w:rPr>
          <w:i/>
        </w:rPr>
        <w:t xml:space="preserve"> </w:t>
      </w:r>
      <w:proofErr w:type="gramStart"/>
      <w:r w:rsidRPr="00FD07C8">
        <w:rPr>
          <w:i/>
        </w:rPr>
        <w:t>Power Comm’n v. Hope Natural Gas Co.</w:t>
      </w:r>
      <w:r w:rsidRPr="00FD07C8">
        <w:t>,</w:t>
      </w:r>
      <w:r w:rsidRPr="00FD07C8">
        <w:rPr>
          <w:i/>
        </w:rPr>
        <w:t xml:space="preserve"> </w:t>
      </w:r>
      <w:r w:rsidRPr="00FD07C8">
        <w:rPr>
          <w:rFonts w:ascii="Times New Roman" w:hAnsi="Times New Roman"/>
          <w:szCs w:val="24"/>
        </w:rPr>
        <w:t>320 U.S. 591, 601-603 (1944)</w:t>
      </w:r>
      <w:bookmarkEnd w:id="87"/>
      <w:r w:rsidRPr="00FD07C8">
        <w:rPr>
          <w:rFonts w:ascii="Times New Roman" w:hAnsi="Times New Roman"/>
          <w:szCs w:val="24"/>
        </w:rPr>
        <w:t xml:space="preserve">; </w:t>
      </w:r>
      <w:proofErr w:type="gramEnd"/>
      <w:r w:rsidR="00A36793" w:rsidRPr="00FD07C8">
        <w:fldChar w:fldCharType="begin"/>
      </w:r>
      <w:r w:rsidRPr="00FD07C8">
        <w:instrText xml:space="preserve"> ADDIN BA \xc &lt;@st&gt; \xl 13 \s NSKEHB000045 \l "</w:instrText>
      </w:r>
      <w:r w:rsidRPr="00FD07C8">
        <w:rPr>
          <w:sz w:val="24"/>
        </w:rPr>
        <w:instrText>RCW 80.28.020</w:instrText>
      </w:r>
      <w:r w:rsidRPr="00FD07C8">
        <w:instrText xml:space="preserve">" </w:instrText>
      </w:r>
      <w:r w:rsidR="00A36793" w:rsidRPr="00FD07C8">
        <w:fldChar w:fldCharType="end"/>
      </w:r>
      <w:bookmarkStart w:id="88" w:name="_BA_Cite_132"/>
      <w:proofErr w:type="gramStart"/>
      <w:r w:rsidRPr="00FD07C8">
        <w:t>RCW 80.28.020</w:t>
      </w:r>
      <w:bookmarkEnd w:id="88"/>
      <w:r w:rsidRPr="00FD07C8">
        <w:t>.</w:t>
      </w:r>
      <w:proofErr w:type="gramEnd"/>
    </w:p>
  </w:footnote>
  <w:footnote w:id="102">
    <w:p w:rsidR="00615005" w:rsidRPr="00FD07C8" w:rsidRDefault="00615005" w:rsidP="00205B62">
      <w:pPr>
        <w:pStyle w:val="FootnoteText"/>
      </w:pPr>
      <w:r w:rsidRPr="00FD07C8">
        <w:rPr>
          <w:rStyle w:val="FootnoteReference"/>
        </w:rPr>
        <w:footnoteRef/>
      </w:r>
      <w:r w:rsidRPr="00FD07C8">
        <w:t xml:space="preserve"> </w:t>
      </w:r>
      <w:r w:rsidR="00A36793" w:rsidRPr="008B6BEC">
        <w:rPr>
          <w:i/>
        </w:rPr>
        <w:fldChar w:fldCharType="begin"/>
      </w:r>
      <w:r w:rsidRPr="008B6BEC">
        <w:rPr>
          <w:i/>
        </w:rPr>
        <w:instrText xml:space="preserve"> ADDIN BA \xc &lt;@$cs&gt; \xl 67 \s NSKEHB000044 \xhfl Rep </w:instrText>
      </w:r>
      <w:r w:rsidR="00A36793" w:rsidRPr="008B6BEC">
        <w:rPr>
          <w:i/>
        </w:rPr>
        <w:fldChar w:fldCharType="end"/>
      </w:r>
      <w:proofErr w:type="gramStart"/>
      <w:r w:rsidR="008B6BEC" w:rsidRPr="008B6BEC">
        <w:rPr>
          <w:i/>
        </w:rPr>
        <w:t>Id.</w:t>
      </w:r>
      <w:r w:rsidR="008B6BEC">
        <w:rPr>
          <w:rFonts w:ascii="Times New Roman" w:hAnsi="Times New Roman"/>
          <w:szCs w:val="24"/>
        </w:rPr>
        <w:t xml:space="preserve"> at</w:t>
      </w:r>
      <w:r w:rsidRPr="00FD07C8">
        <w:rPr>
          <w:rFonts w:ascii="Times New Roman" w:hAnsi="Times New Roman"/>
          <w:szCs w:val="24"/>
        </w:rPr>
        <w:t xml:space="preserve"> </w:t>
      </w:r>
      <w:r w:rsidR="008B6BEC">
        <w:rPr>
          <w:rFonts w:ascii="Times New Roman" w:hAnsi="Times New Roman"/>
          <w:szCs w:val="24"/>
        </w:rPr>
        <w:t>603</w:t>
      </w:r>
      <w:r w:rsidRPr="00FD07C8">
        <w:rPr>
          <w:rFonts w:ascii="Times New Roman" w:hAnsi="Times New Roman"/>
          <w:szCs w:val="24"/>
        </w:rPr>
        <w:t xml:space="preserve">; </w:t>
      </w:r>
      <w:proofErr w:type="gramEnd"/>
      <w:r w:rsidR="00A36793" w:rsidRPr="00FD07C8">
        <w:fldChar w:fldCharType="begin"/>
      </w:r>
      <w:r w:rsidRPr="00FD07C8">
        <w:instrText xml:space="preserve"> ADDIN BA \xc &lt;@cs&gt; \xl 89 \s NSKEHB000046 \xhfl Rep \l "</w:instrText>
      </w:r>
      <w:r w:rsidRPr="00FD07C8">
        <w:rPr>
          <w:rFonts w:ascii="Times New Roman" w:hAnsi="Times New Roman"/>
          <w:i/>
          <w:sz w:val="24"/>
          <w:szCs w:val="24"/>
        </w:rPr>
        <w:instrText>Wash. Utils. &amp; Transp. Comm’n v. Wash. Natural Gas Co</w:instrText>
      </w:r>
      <w:r w:rsidRPr="00FD07C8">
        <w:rPr>
          <w:rFonts w:ascii="Times New Roman" w:hAnsi="Times New Roman"/>
          <w:sz w:val="24"/>
          <w:szCs w:val="24"/>
        </w:rPr>
        <w:instrText>.,&lt;SoftRt&gt; Cause No. U-77-47 (Nov. 22, 1977)</w:instrText>
      </w:r>
      <w:r w:rsidRPr="00FD07C8">
        <w:instrText xml:space="preserve">" </w:instrText>
      </w:r>
      <w:r w:rsidR="00A36793" w:rsidRPr="00FD07C8">
        <w:fldChar w:fldCharType="end"/>
      </w:r>
      <w:bookmarkStart w:id="89" w:name="_BA_Cite_133"/>
      <w:proofErr w:type="gramStart"/>
      <w:r w:rsidRPr="00FD07C8">
        <w:rPr>
          <w:rFonts w:ascii="Times New Roman" w:hAnsi="Times New Roman"/>
          <w:i/>
          <w:szCs w:val="24"/>
        </w:rPr>
        <w:t>Wash. Utils.</w:t>
      </w:r>
      <w:proofErr w:type="gramEnd"/>
      <w:r w:rsidRPr="00FD07C8">
        <w:rPr>
          <w:rFonts w:ascii="Times New Roman" w:hAnsi="Times New Roman"/>
          <w:i/>
          <w:szCs w:val="24"/>
        </w:rPr>
        <w:t xml:space="preserve"> </w:t>
      </w:r>
      <w:proofErr w:type="gramStart"/>
      <w:r w:rsidRPr="00FD07C8">
        <w:rPr>
          <w:rFonts w:ascii="Times New Roman" w:hAnsi="Times New Roman"/>
          <w:i/>
          <w:szCs w:val="24"/>
        </w:rPr>
        <w:t>&amp; Transp. Comm’n v. Wash. Natural Gas Co</w:t>
      </w:r>
      <w:r w:rsidRPr="00FD07C8">
        <w:rPr>
          <w:rFonts w:ascii="Times New Roman" w:hAnsi="Times New Roman"/>
          <w:szCs w:val="24"/>
        </w:rPr>
        <w:t>., Cause No.</w:t>
      </w:r>
      <w:proofErr w:type="gramEnd"/>
      <w:r w:rsidRPr="00FD07C8">
        <w:rPr>
          <w:rFonts w:ascii="Times New Roman" w:hAnsi="Times New Roman"/>
          <w:szCs w:val="24"/>
        </w:rPr>
        <w:t xml:space="preserve"> </w:t>
      </w:r>
      <w:proofErr w:type="gramStart"/>
      <w:r w:rsidRPr="00FD07C8">
        <w:rPr>
          <w:rFonts w:ascii="Times New Roman" w:hAnsi="Times New Roman"/>
          <w:szCs w:val="24"/>
        </w:rPr>
        <w:t>U-77-47 (Nov. 22, 1977)</w:t>
      </w:r>
      <w:bookmarkEnd w:id="89"/>
      <w:r w:rsidRPr="00FD07C8">
        <w:rPr>
          <w:rFonts w:ascii="Times New Roman" w:hAnsi="Times New Roman"/>
          <w:szCs w:val="24"/>
        </w:rPr>
        <w:t>.</w:t>
      </w:r>
      <w:proofErr w:type="gramEnd"/>
    </w:p>
  </w:footnote>
  <w:footnote w:id="103">
    <w:p w:rsidR="00615005" w:rsidRPr="00FD07C8" w:rsidRDefault="00615005" w:rsidP="00A6059E">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110 \s NSKEHB000047 \xhfl Rep \l "</w:instrText>
      </w:r>
      <w:r w:rsidRPr="00FD07C8">
        <w:rPr>
          <w:i/>
          <w:sz w:val="24"/>
        </w:rPr>
        <w:instrText>AT&amp;T Comm. of the Pac. NW, Inc. v. Verizon NW, Inc.</w:instrText>
      </w:r>
      <w:r w:rsidRPr="00FD07C8">
        <w:rPr>
          <w:sz w:val="24"/>
        </w:rPr>
        <w:instrText>,&lt;SoftRt&gt;</w:instrText>
      </w:r>
      <w:r w:rsidRPr="00FD07C8">
        <w:rPr>
          <w:i/>
          <w:sz w:val="24"/>
        </w:rPr>
        <w:instrText xml:space="preserve"> </w:instrText>
      </w:r>
      <w:r w:rsidRPr="00FD07C8">
        <w:rPr>
          <w:sz w:val="24"/>
        </w:rPr>
        <w:instrText>Docket No. UT-020406, 7th Supp. Order ¶ 62 (Apr. 8, 2003)</w:instrText>
      </w:r>
      <w:r w:rsidRPr="00FD07C8">
        <w:instrText xml:space="preserve">" </w:instrText>
      </w:r>
      <w:r w:rsidR="00A36793" w:rsidRPr="00FD07C8">
        <w:fldChar w:fldCharType="end"/>
      </w:r>
      <w:bookmarkStart w:id="90" w:name="_BA_Cite_134"/>
      <w:r w:rsidRPr="00FD07C8">
        <w:rPr>
          <w:i/>
        </w:rPr>
        <w:t>AT&amp;T Comm. of the Pac. NW, Inc. v. Verizon NW, Inc.</w:t>
      </w:r>
      <w:r w:rsidRPr="00FD07C8">
        <w:t>,</w:t>
      </w:r>
      <w:r w:rsidRPr="00FD07C8">
        <w:rPr>
          <w:i/>
        </w:rPr>
        <w:t xml:space="preserve"> </w:t>
      </w:r>
      <w:r w:rsidRPr="00FD07C8">
        <w:t>Docket No. UT-020406, 7th Supp. Order ¶ 62 (Apr. 8, 2003)</w:t>
      </w:r>
      <w:bookmarkEnd w:id="90"/>
      <w:r w:rsidRPr="00FD07C8">
        <w:t>.</w:t>
      </w:r>
    </w:p>
  </w:footnote>
  <w:footnote w:id="104">
    <w:p w:rsidR="00615005" w:rsidRPr="00FD07C8" w:rsidRDefault="00615005">
      <w:pPr>
        <w:pStyle w:val="FootnoteText"/>
        <w:rPr>
          <w:i/>
        </w:rPr>
      </w:pPr>
      <w:r w:rsidRPr="00FD07C8">
        <w:rPr>
          <w:rStyle w:val="FootnoteReference"/>
        </w:rPr>
        <w:footnoteRef/>
      </w:r>
      <w:r w:rsidRPr="00FD07C8">
        <w:t xml:space="preserve"> </w:t>
      </w:r>
      <w:r w:rsidR="00A36793" w:rsidRPr="00FD07C8">
        <w:fldChar w:fldCharType="begin"/>
      </w:r>
      <w:r w:rsidRPr="00FD07C8">
        <w:instrText xml:space="preserve"> ADDIN BA \xc &lt;@$id&gt; \xl 3 \s ID </w:instrText>
      </w:r>
      <w:r w:rsidR="00A36793" w:rsidRPr="00FD07C8">
        <w:fldChar w:fldCharType="end"/>
      </w:r>
      <w:r w:rsidRPr="00FD07C8">
        <w:rPr>
          <w:i/>
        </w:rPr>
        <w:t xml:space="preserve">Id. </w:t>
      </w:r>
    </w:p>
  </w:footnote>
  <w:footnote w:id="10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NSKEHB000107 \l "</w:instrText>
      </w:r>
      <w:r w:rsidRPr="00FD07C8">
        <w:rPr>
          <w:sz w:val="24"/>
        </w:rPr>
        <w:instrText>Staff’s Phase II Brief ¶ 34</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34.</w:t>
      </w:r>
      <w:proofErr w:type="gramEnd"/>
    </w:p>
  </w:footnote>
  <w:footnote w:id="106">
    <w:p w:rsidR="00615005" w:rsidRPr="00FD07C8" w:rsidRDefault="00615005">
      <w:pPr>
        <w:pStyle w:val="FootnoteText"/>
      </w:pPr>
      <w:r w:rsidRPr="00FD07C8">
        <w:rPr>
          <w:rStyle w:val="FootnoteReference"/>
        </w:rPr>
        <w:footnoteRef/>
      </w:r>
      <w:r w:rsidRPr="00FD07C8">
        <w:t xml:space="preserve"> Dalley, Exh. No. RBD-28CT 3:14-21.</w:t>
      </w:r>
    </w:p>
  </w:footnote>
  <w:footnote w:id="10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NSKEHB000108 \l "</w:instrText>
      </w:r>
      <w:r w:rsidRPr="00FD07C8">
        <w:rPr>
          <w:sz w:val="24"/>
        </w:rPr>
        <w:instrText>Public Counsel’s Phase II Brief ¶ 49</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49.</w:t>
      </w:r>
      <w:proofErr w:type="gramEnd"/>
    </w:p>
  </w:footnote>
  <w:footnote w:id="10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&lt;@$id&gt; \xl 8 \s ID </w:instrText>
      </w:r>
      <w:r w:rsidR="00A36793" w:rsidRPr="00FD07C8">
        <w:fldChar w:fldCharType="end"/>
      </w:r>
      <w:proofErr w:type="gramStart"/>
      <w:r w:rsidRPr="00FD07C8">
        <w:rPr>
          <w:i/>
        </w:rPr>
        <w:t>Id.</w:t>
      </w:r>
      <w:r w:rsidRPr="00FD07C8">
        <w:t xml:space="preserve"> ¶ 50.</w:t>
      </w:r>
      <w:proofErr w:type="gramEnd"/>
    </w:p>
  </w:footnote>
  <w:footnote w:id="109">
    <w:p w:rsidR="00615005" w:rsidRPr="00FD07C8" w:rsidRDefault="00615005" w:rsidP="00537764">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&lt;@ocsn&gt; \xl 107 \s NSKEHB000109 \l "</w:instrText>
      </w:r>
      <w:r w:rsidRPr="00FD07C8">
        <w:rPr>
          <w:i/>
          <w:sz w:val="24"/>
        </w:rPr>
        <w:instrText>Re Application of the Utah Indus. Energy Consumers for a Deferred Accounting Order Directing Rocky Mountain</w:instrText>
      </w:r>
      <w:r w:rsidRPr="00FD07C8">
        <w:instrText xml:space="preserve">" </w:instrText>
      </w:r>
      <w:r w:rsidR="00A36793" w:rsidRPr="00FD07C8">
        <w:fldChar w:fldCharType="end"/>
      </w:r>
      <w:bookmarkStart w:id="91" w:name="_BA_Cite_135"/>
      <w:r w:rsidRPr="00FD07C8">
        <w:rPr>
          <w:i/>
        </w:rPr>
        <w:t>Re Application of the Utah Indus. Energy Consumers for a Deferred Accounting Order Directing Rocky Mountain</w:t>
      </w:r>
      <w:bookmarkEnd w:id="91"/>
      <w:r>
        <w:rPr>
          <w:i/>
        </w:rPr>
        <w:t xml:space="preserve"> </w:t>
      </w:r>
      <w:r w:rsidR="00A36793" w:rsidRPr="00FD07C8">
        <w:fldChar w:fldCharType="begin"/>
      </w:r>
      <w:r w:rsidRPr="00FD07C8">
        <w:instrText xml:space="preserve"> ADDIN BA \xc &lt;@regcs&gt; \xl 141 \s NSKEHB000048 \xhfl Rep \l "</w:instrText>
      </w:r>
      <w:r w:rsidRPr="00FD07C8">
        <w:rPr>
          <w:i/>
          <w:sz w:val="24"/>
        </w:rPr>
        <w:instrText>Power to Defer Incremental REC Revenue for Later Ratemaking Treatment</w:instrText>
      </w:r>
      <w:r w:rsidRPr="00FD07C8">
        <w:rPr>
          <w:sz w:val="24"/>
        </w:rPr>
        <w:instrText>,&lt;SoftRt&gt; Docket 11-035-46, Order Denying Motion to Dismiss at 8 (June 20, 2011)</w:instrText>
      </w:r>
      <w:r w:rsidRPr="00FD07C8">
        <w:instrText xml:space="preserve">" </w:instrText>
      </w:r>
      <w:r w:rsidR="00A36793" w:rsidRPr="00FD07C8">
        <w:fldChar w:fldCharType="end"/>
      </w:r>
      <w:bookmarkStart w:id="92" w:name="_BA_Cite_136"/>
      <w:r w:rsidRPr="00FD07C8">
        <w:rPr>
          <w:i/>
        </w:rPr>
        <w:t>Power to Defer Incremental REC Revenue for Later Ratemaking Treatment</w:t>
      </w:r>
      <w:r w:rsidRPr="00FD07C8">
        <w:t>, Docket 11-035-46, Order Denying Motion to Dismiss at 8 (June 20, 2011)</w:t>
      </w:r>
      <w:bookmarkEnd w:id="92"/>
      <w:r w:rsidRPr="00FD07C8">
        <w:t>.</w:t>
      </w:r>
    </w:p>
  </w:footnote>
  <w:footnote w:id="110">
    <w:p w:rsidR="00615005" w:rsidRPr="00FD07C8" w:rsidRDefault="00615005" w:rsidP="00C449CF">
      <w:pPr>
        <w:pStyle w:val="FootnoteText"/>
        <w:rPr>
          <w:i/>
        </w:rPr>
      </w:pPr>
      <w:r w:rsidRPr="00FD07C8">
        <w:rPr>
          <w:rStyle w:val="FootnoteReference"/>
        </w:rPr>
        <w:footnoteRef/>
      </w:r>
      <w:r w:rsidRPr="00FD07C8">
        <w:t xml:space="preserve"> </w:t>
      </w:r>
      <w:r w:rsidR="00A36793" w:rsidRPr="00FD07C8">
        <w:fldChar w:fldCharType="begin"/>
      </w:r>
      <w:r w:rsidRPr="00FD07C8">
        <w:instrText xml:space="preserve"> ADDIN BA \xc &lt;@$ocsn&gt; \xl 107 \s NSKEHB000109 </w:instrText>
      </w:r>
      <w:r w:rsidR="00A36793" w:rsidRPr="00FD07C8">
        <w:fldChar w:fldCharType="end"/>
      </w:r>
      <w:r w:rsidRPr="00FD07C8">
        <w:rPr>
          <w:i/>
        </w:rPr>
        <w:t>Re Application of the Utah Indus. Energy Consumers for a Deferred Accounting Order Directing Rocky Mountain</w:t>
      </w:r>
    </w:p>
    <w:p w:rsidR="00615005" w:rsidRPr="00FD07C8" w:rsidRDefault="00A36793" w:rsidP="00C449CF">
      <w:pPr>
        <w:pStyle w:val="FootnoteText"/>
      </w:pPr>
      <w:r w:rsidRPr="00FD07C8">
        <w:fldChar w:fldCharType="begin"/>
      </w:r>
      <w:r w:rsidR="00615005" w:rsidRPr="00FD07C8">
        <w:instrText xml:space="preserve"> ADDIN BA \xc &lt;@regcs&gt; \xl 131 \s NSKEHB000049 \xhfl Rep \l "</w:instrText>
      </w:r>
      <w:r w:rsidR="00615005" w:rsidRPr="00FD07C8">
        <w:rPr>
          <w:i/>
          <w:sz w:val="24"/>
        </w:rPr>
        <w:instrText>Power to Defer Incremental REC Revenue for Later Ratemaking Treatment</w:instrText>
      </w:r>
      <w:r w:rsidR="00615005" w:rsidRPr="00FD07C8">
        <w:rPr>
          <w:sz w:val="24"/>
        </w:rPr>
        <w:instrText>,&lt;SoftRt&gt; Docket 11-035-46, Report and Order at 30-32 (Sept. 13, 2011)</w:instrText>
      </w:r>
      <w:r w:rsidR="00615005" w:rsidRPr="00FD07C8">
        <w:instrText xml:space="preserve">" </w:instrText>
      </w:r>
      <w:r w:rsidRPr="00FD07C8">
        <w:fldChar w:fldCharType="end"/>
      </w:r>
      <w:bookmarkStart w:id="93" w:name="_BA_Cite_137"/>
      <w:proofErr w:type="gramStart"/>
      <w:r w:rsidR="00615005" w:rsidRPr="00FD07C8">
        <w:rPr>
          <w:i/>
        </w:rPr>
        <w:t>Power to Defer Incremental REC Revenue for Later Ratemaking Treatment</w:t>
      </w:r>
      <w:r w:rsidR="00615005" w:rsidRPr="00FD07C8">
        <w:t>, Docket 11-035-46, Report and Order at 30-32 (Sept. 13, 2011)</w:t>
      </w:r>
      <w:bookmarkEnd w:id="93"/>
      <w:r w:rsidR="00615005" w:rsidRPr="00FD07C8">
        <w:t>.</w:t>
      </w:r>
      <w:proofErr w:type="gramEnd"/>
    </w:p>
  </w:footnote>
  <w:footnote w:id="11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NSKEHB000110 \l "</w:instrText>
      </w:r>
      <w:r w:rsidRPr="00FD07C8">
        <w:rPr>
          <w:sz w:val="24"/>
        </w:rPr>
        <w:instrText>Public Counsel’s Phase II Brief ¶ 51</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51.</w:t>
      </w:r>
      <w:proofErr w:type="gramEnd"/>
    </w:p>
  </w:footnote>
  <w:footnote w:id="112">
    <w:p w:rsidR="00615005" w:rsidRPr="00FD07C8" w:rsidRDefault="00615005">
      <w:pPr>
        <w:pStyle w:val="FootnoteText"/>
      </w:pPr>
      <w:r w:rsidRPr="00FD07C8">
        <w:rPr>
          <w:rStyle w:val="FootnoteReference"/>
        </w:rPr>
        <w:footnoteRef/>
      </w:r>
      <w:r w:rsidRPr="00FD07C8">
        <w:t xml:space="preserve"> </w:t>
      </w:r>
      <w:proofErr w:type="gramStart"/>
      <w:r w:rsidRPr="00FD07C8">
        <w:t>Exh.</w:t>
      </w:r>
      <w:proofErr w:type="gramEnd"/>
      <w:r w:rsidRPr="00FD07C8">
        <w:t xml:space="preserve"> No. </w:t>
      </w:r>
      <w:proofErr w:type="gramStart"/>
      <w:r w:rsidRPr="00FD07C8">
        <w:t>ALK-5.</w:t>
      </w:r>
      <w:proofErr w:type="gramEnd"/>
    </w:p>
  </w:footnote>
  <w:footnote w:id="113">
    <w:p w:rsidR="00615005" w:rsidRPr="00FD07C8" w:rsidRDefault="00615005">
      <w:pPr>
        <w:pStyle w:val="FootnoteText"/>
      </w:pPr>
      <w:r w:rsidRPr="00FD07C8">
        <w:rPr>
          <w:rStyle w:val="FootnoteReference"/>
        </w:rPr>
        <w:footnoteRef/>
      </w:r>
      <w:r w:rsidRPr="00FD07C8">
        <w:t xml:space="preserve"> </w:t>
      </w:r>
      <w:proofErr w:type="gramStart"/>
      <w:r w:rsidRPr="00FD07C8">
        <w:t>Exh.</w:t>
      </w:r>
      <w:proofErr w:type="gramEnd"/>
      <w:r w:rsidRPr="00FD07C8">
        <w:t xml:space="preserve"> No. </w:t>
      </w:r>
      <w:proofErr w:type="gramStart"/>
      <w:r w:rsidRPr="00FD07C8">
        <w:t>ALK-4.</w:t>
      </w:r>
      <w:proofErr w:type="gramEnd"/>
    </w:p>
  </w:footnote>
  <w:footnote w:id="11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102 \s NSKEHB000050 \xhfl Rep \l "</w:instrText>
      </w:r>
      <w:r w:rsidRPr="00FD07C8">
        <w:rPr>
          <w:i/>
          <w:sz w:val="24"/>
        </w:rPr>
        <w:instrText>Wash. Utils. &amp; Transp. Comm’n v. PacifiCorp</w:instrText>
      </w:r>
      <w:r w:rsidRPr="00FD07C8">
        <w:rPr>
          <w:sz w:val="24"/>
        </w:rPr>
        <w:instrText>,&lt;SoftRt&gt; Docket No. UE-100749, Order 06 at Table 1 (Mar. 25, 2011)</w:instrText>
      </w:r>
      <w:r w:rsidRPr="00FD07C8">
        <w:instrText xml:space="preserve">" </w:instrText>
      </w:r>
      <w:r w:rsidR="00A36793" w:rsidRPr="00FD07C8">
        <w:fldChar w:fldCharType="end"/>
      </w:r>
      <w:bookmarkStart w:id="94" w:name="_BA_Cite_138"/>
      <w:proofErr w:type="gramStart"/>
      <w:r w:rsidRPr="00FD07C8">
        <w:rPr>
          <w:i/>
        </w:rPr>
        <w:t>Wash. Utils.</w:t>
      </w:r>
      <w:proofErr w:type="gramEnd"/>
      <w:r w:rsidRPr="00FD07C8">
        <w:rPr>
          <w:i/>
        </w:rPr>
        <w:t xml:space="preserve"> &amp; Transp. Comm’n v. PacifiCorp</w:t>
      </w:r>
      <w:r w:rsidRPr="00FD07C8">
        <w:t>, Docket No. UE-100749, Order 06 at Table 1 (Mar. 25, 2011)</w:t>
      </w:r>
      <w:bookmarkEnd w:id="94"/>
      <w:r w:rsidRPr="00FD07C8">
        <w:t>.</w:t>
      </w:r>
    </w:p>
  </w:footnote>
  <w:footnote w:id="115">
    <w:p w:rsidR="00615005" w:rsidRPr="00FD07C8" w:rsidRDefault="00615005">
      <w:pPr>
        <w:pStyle w:val="FootnoteText"/>
      </w:pPr>
      <w:r w:rsidRPr="00FD07C8">
        <w:rPr>
          <w:rStyle w:val="FootnoteReference"/>
        </w:rPr>
        <w:footnoteRef/>
      </w:r>
      <w:r w:rsidRPr="00FD07C8">
        <w:t xml:space="preserve"> Kelly, Exh. No. ALK-2CT 12-13.</w:t>
      </w:r>
    </w:p>
  </w:footnote>
  <w:footnote w:id="11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NSKEHB000111 \l "</w:instrText>
      </w:r>
      <w:r w:rsidRPr="00FD07C8">
        <w:rPr>
          <w:sz w:val="24"/>
        </w:rPr>
        <w:instrText>Staff’s Phase II Brief ¶ 31</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31.</w:t>
      </w:r>
      <w:proofErr w:type="gramEnd"/>
    </w:p>
  </w:footnote>
  <w:footnote w:id="11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NSKEHB000112 \l "</w:instrText>
      </w:r>
      <w:r w:rsidRPr="00FD07C8">
        <w:rPr>
          <w:sz w:val="24"/>
        </w:rPr>
        <w:instrText>Staff’s Phase II Brief ¶ 46</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46; </w:t>
      </w:r>
      <w:proofErr w:type="gramEnd"/>
      <w:r w:rsidR="00A36793" w:rsidRPr="00FD07C8">
        <w:fldChar w:fldCharType="begin"/>
      </w:r>
      <w:r w:rsidRPr="00FD07C8">
        <w:instrText xml:space="preserve"> ADDIN BA \xc &lt;@rec&gt; \xl 36 \s NSKEHB000113 \l "</w:instrText>
      </w:r>
      <w:r w:rsidRPr="00FD07C8">
        <w:rPr>
          <w:sz w:val="24"/>
        </w:rPr>
        <w:instrText>Public Counsel’s Phase II Brief ¶ 55</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55; </w:t>
      </w:r>
      <w:proofErr w:type="gramEnd"/>
      <w:r w:rsidR="00A36793" w:rsidRPr="00FD07C8">
        <w:fldChar w:fldCharType="begin"/>
      </w:r>
      <w:r w:rsidRPr="00FD07C8">
        <w:instrText xml:space="preserve"> ADDIN BA \xc &lt;@rec&gt; \xl 26 \s NSKEHB000114 \l "</w:instrText>
      </w:r>
      <w:r w:rsidRPr="00FD07C8">
        <w:rPr>
          <w:sz w:val="24"/>
        </w:rPr>
        <w:instrText>ICNU’s Phase II Brief ¶ 22</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22.</w:t>
      </w:r>
      <w:proofErr w:type="gramEnd"/>
    </w:p>
  </w:footnote>
  <w:footnote w:id="11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26 \s NSKEHB000115 \l "</w:instrText>
      </w:r>
      <w:r w:rsidRPr="00FD07C8">
        <w:rPr>
          <w:sz w:val="24"/>
        </w:rPr>
        <w:instrText>Staff’s Phase II Brief ¶ 8</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8.</w:t>
      </w:r>
      <w:proofErr w:type="gramEnd"/>
    </w:p>
  </w:footnote>
  <w:footnote w:id="119">
    <w:p w:rsidR="00615005" w:rsidRPr="00FD07C8" w:rsidRDefault="00615005">
      <w:pPr>
        <w:pStyle w:val="FootnoteText"/>
      </w:pPr>
      <w:r w:rsidRPr="00FD07C8">
        <w:rPr>
          <w:rStyle w:val="FootnoteReference"/>
        </w:rPr>
        <w:footnoteRef/>
      </w:r>
      <w:r w:rsidRPr="00FD07C8">
        <w:t xml:space="preserve"> Dalley, Exh. No. RBD-28CT 11:3-14.</w:t>
      </w:r>
    </w:p>
  </w:footnote>
  <w:footnote w:id="120">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26 \s NSKEHB000116 \l "</w:instrText>
      </w:r>
      <w:r w:rsidRPr="00FD07C8">
        <w:rPr>
          <w:sz w:val="24"/>
        </w:rPr>
        <w:instrText>ICNU’s Phase II Brief ¶ 27</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27.</w:t>
      </w:r>
      <w:proofErr w:type="gramEnd"/>
    </w:p>
  </w:footnote>
  <w:footnote w:id="12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32 \s NSKEHB000117 \l "</w:instrText>
      </w:r>
      <w:r w:rsidRPr="00FD07C8">
        <w:rPr>
          <w:sz w:val="24"/>
        </w:rPr>
        <w:instrText>Staff’s Phase II Brief ¶¶ 23, 25</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23, 25.</w:t>
      </w:r>
      <w:proofErr w:type="gramEnd"/>
    </w:p>
  </w:footnote>
  <w:footnote w:id="122">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&lt;@reg&gt; \xl 25 \s NSKEHB000051 \l "</w:instrText>
      </w:r>
      <w:r w:rsidRPr="00FD07C8">
        <w:rPr>
          <w:sz w:val="24"/>
        </w:rPr>
        <w:instrText>Order 06 ¶¶ 203, 205, 207</w:instrText>
      </w:r>
      <w:r w:rsidRPr="00FD07C8">
        <w:instrText xml:space="preserve">" </w:instrText>
      </w:r>
      <w:r w:rsidR="00A36793" w:rsidRPr="00FD07C8">
        <w:fldChar w:fldCharType="end"/>
      </w:r>
      <w:bookmarkStart w:id="97" w:name="_BA_Cite_139"/>
      <w:r w:rsidRPr="00FD07C8">
        <w:t>Order 06 ¶¶ 203, 205, 207</w:t>
      </w:r>
      <w:bookmarkEnd w:id="97"/>
      <w:r w:rsidRPr="00FD07C8">
        <w:t>.</w:t>
      </w:r>
    </w:p>
  </w:footnote>
  <w:footnote w:id="123">
    <w:p w:rsidR="00615005" w:rsidRPr="00FD07C8" w:rsidRDefault="00615005" w:rsidP="006B2E90">
      <w:pPr>
        <w:pStyle w:val="FootnoteText"/>
      </w:pPr>
      <w:r w:rsidRPr="00FD07C8">
        <w:rPr>
          <w:rStyle w:val="FootnoteReference"/>
        </w:rPr>
        <w:footnoteRef/>
      </w:r>
      <w:r w:rsidRPr="00FD07C8">
        <w:t xml:space="preserve"> Staff now refers to the revenues included in the 2008 GRC as “2008 REC revenues,” even though Staff’s witness repeatedly refers to these revenues as 2009 revenues.  </w:t>
      </w:r>
      <w:proofErr w:type="gramStart"/>
      <w:r w:rsidRPr="00FD07C8">
        <w:rPr>
          <w:i/>
        </w:rPr>
        <w:t>See, e.g.</w:t>
      </w:r>
      <w:r w:rsidRPr="00FD07C8">
        <w:t>, Breda, Exh.</w:t>
      </w:r>
      <w:proofErr w:type="gramEnd"/>
      <w:r w:rsidRPr="00FD07C8">
        <w:t xml:space="preserve"> No. KHB-6:21.  This </w:t>
      </w:r>
      <w:proofErr w:type="spellStart"/>
      <w:r w:rsidRPr="00FD07C8">
        <w:t>redesignation</w:t>
      </w:r>
      <w:proofErr w:type="spellEnd"/>
      <w:r w:rsidRPr="00FD07C8">
        <w:t xml:space="preserve"> of 2009 REC revenues as 2008 REC revenues in Staff’s brief appears to be Staff’s attempt to support Staff’s argument that 2009 REC revenues were not previously included in rate, despite all factual evidence to the contrary.</w:t>
      </w:r>
    </w:p>
  </w:footnote>
  <w:footnote w:id="124">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24 \s NSKEHB000118 \l "</w:instrText>
      </w:r>
      <w:r w:rsidRPr="00FD07C8">
        <w:rPr>
          <w:sz w:val="24"/>
        </w:rPr>
        <w:instrText>Staff’s Phase II Brief 4</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4; </w:t>
      </w:r>
      <w:proofErr w:type="gramEnd"/>
      <w:r w:rsidR="00A36793" w:rsidRPr="00FD07C8">
        <w:fldChar w:fldCharType="begin"/>
      </w:r>
      <w:r w:rsidRPr="00FD07C8">
        <w:instrText xml:space="preserve"> ADDIN BA \xc &lt;@rec&gt; \xl 36 \s NSKEHB000119 \l "</w:instrText>
      </w:r>
      <w:r w:rsidRPr="00FD07C8">
        <w:rPr>
          <w:sz w:val="24"/>
        </w:rPr>
        <w:instrText>Public Counsel’s Phase II Brief ¶ 58</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58; </w:t>
      </w:r>
      <w:proofErr w:type="gramEnd"/>
      <w:r w:rsidR="00A36793" w:rsidRPr="00FD07C8">
        <w:fldChar w:fldCharType="begin"/>
      </w:r>
      <w:r w:rsidRPr="00FD07C8">
        <w:instrText xml:space="preserve"> ADDIN BA \xc &lt;@rec&gt; \xl 26 \s NSKEHB000120 \l "</w:instrText>
      </w:r>
      <w:r w:rsidRPr="00FD07C8">
        <w:rPr>
          <w:sz w:val="24"/>
        </w:rPr>
        <w:instrText>ICNU’s Phase II Brief ¶ 34</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34.</w:t>
      </w:r>
      <w:proofErr w:type="gramEnd"/>
    </w:p>
  </w:footnote>
  <w:footnote w:id="125">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&lt;@regcs&gt; \xl 157 \s NSKEHB000052 \xhfl Rep \l "</w:instrText>
      </w:r>
      <w:r w:rsidRPr="00FD07C8">
        <w:rPr>
          <w:i/>
          <w:sz w:val="24"/>
        </w:rPr>
        <w:instrText>Re. Petition of PacifiCorp for an Accounting Order Authorizing Deferral of Excess Net Power Costs</w:instrText>
      </w:r>
      <w:r w:rsidRPr="00FD07C8">
        <w:rPr>
          <w:sz w:val="24"/>
        </w:rPr>
        <w:instrText>,&lt;SoftRt&gt; Docket No. UE-020417, 6</w:instrText>
      </w:r>
      <w:r w:rsidRPr="00FD07C8">
        <w:rPr>
          <w:sz w:val="24"/>
          <w:vertAlign w:val="superscript"/>
        </w:rPr>
        <w:instrText>th</w:instrText>
      </w:r>
      <w:r w:rsidRPr="00FD07C8">
        <w:rPr>
          <w:sz w:val="24"/>
        </w:rPr>
        <w:instrText xml:space="preserve"> Supp. Order ¶ 32 (July 15, 2003)</w:instrText>
      </w:r>
      <w:r w:rsidRPr="00FD07C8">
        <w:instrText xml:space="preserve">" </w:instrText>
      </w:r>
      <w:r w:rsidR="00A36793" w:rsidRPr="00FD07C8">
        <w:fldChar w:fldCharType="end"/>
      </w:r>
      <w:bookmarkStart w:id="98" w:name="_BA_Cite_140"/>
      <w:r w:rsidRPr="00FD07C8">
        <w:rPr>
          <w:i/>
        </w:rPr>
        <w:t>Re. Petition of PacifiCorp for an Accounting Order Authorizing Deferral of Excess Net Power Costs</w:t>
      </w:r>
      <w:r w:rsidRPr="00FD07C8">
        <w:t>, Docket No. UE-020417, 6</w:t>
      </w:r>
      <w:r w:rsidRPr="00FD07C8">
        <w:rPr>
          <w:vertAlign w:val="superscript"/>
        </w:rPr>
        <w:t>th</w:t>
      </w:r>
      <w:r w:rsidRPr="00FD07C8">
        <w:t xml:space="preserve"> Supp. Order ¶ 32 (July 15, 2003)</w:t>
      </w:r>
      <w:bookmarkEnd w:id="98"/>
      <w:r w:rsidRPr="00FD07C8">
        <w:t>.</w:t>
      </w:r>
    </w:p>
  </w:footnote>
  <w:footnote w:id="126">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NSKEHB000121 \l "</w:instrText>
      </w:r>
      <w:r w:rsidRPr="00FD07C8">
        <w:rPr>
          <w:sz w:val="24"/>
        </w:rPr>
        <w:instrText>Public Counsel’s Phase II Brief ¶ 63</w:instrText>
      </w:r>
      <w:r w:rsidRPr="00FD07C8">
        <w:instrText xml:space="preserve">" </w:instrText>
      </w:r>
      <w:r w:rsidR="00A36793" w:rsidRPr="00FD07C8">
        <w:fldChar w:fldCharType="end"/>
      </w:r>
      <w:proofErr w:type="gramStart"/>
      <w:r w:rsidRPr="00FD07C8">
        <w:t xml:space="preserve">Public Counsel’s </w:t>
      </w:r>
      <w:r w:rsidR="00211A66">
        <w:t>Phase II Opening Brief</w:t>
      </w:r>
      <w:r w:rsidRPr="00FD07C8">
        <w:t xml:space="preserve"> ¶ 63.</w:t>
      </w:r>
      <w:proofErr w:type="gramEnd"/>
    </w:p>
  </w:footnote>
  <w:footnote w:id="127">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26 \s NSKEHB000122 \l "</w:instrText>
      </w:r>
      <w:r w:rsidRPr="00FD07C8">
        <w:rPr>
          <w:sz w:val="24"/>
        </w:rPr>
        <w:instrText>ICNU’s Phase II Brief ¶ 33</w:instrText>
      </w:r>
      <w:r w:rsidRPr="00FD07C8">
        <w:instrText xml:space="preserve">" </w:instrText>
      </w:r>
      <w:r w:rsidR="00A36793" w:rsidRPr="00FD07C8">
        <w:fldChar w:fldCharType="end"/>
      </w:r>
      <w:proofErr w:type="gramStart"/>
      <w:r w:rsidRPr="00FD07C8">
        <w:t xml:space="preserve">ICNU’s </w:t>
      </w:r>
      <w:r w:rsidR="00211A66">
        <w:t>Phase II Opening Brief</w:t>
      </w:r>
      <w:r w:rsidRPr="00FD07C8">
        <w:t xml:space="preserve"> ¶ 33.</w:t>
      </w:r>
      <w:proofErr w:type="gramEnd"/>
    </w:p>
  </w:footnote>
  <w:footnote w:id="128">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27 \s NSKEHB000123 \l "</w:instrText>
      </w:r>
      <w:r w:rsidRPr="00FD07C8">
        <w:rPr>
          <w:sz w:val="24"/>
        </w:rPr>
        <w:instrText>Staff’s Phase II Brief ¶ 55</w:instrText>
      </w:r>
      <w:r w:rsidRPr="00FD07C8">
        <w:instrText xml:space="preserve">" </w:instrText>
      </w:r>
      <w:r w:rsidR="00A36793" w:rsidRPr="00FD07C8">
        <w:fldChar w:fldCharType="end"/>
      </w:r>
      <w:proofErr w:type="gramStart"/>
      <w:r w:rsidRPr="00FD07C8">
        <w:t xml:space="preserve">Staff’s </w:t>
      </w:r>
      <w:r w:rsidR="00211A66">
        <w:t>Phase II Opening Brief</w:t>
      </w:r>
      <w:r w:rsidRPr="00FD07C8">
        <w:t xml:space="preserve"> ¶ 55.</w:t>
      </w:r>
      <w:proofErr w:type="gramEnd"/>
    </w:p>
  </w:footnote>
  <w:footnote w:id="129">
    <w:p w:rsidR="00615005" w:rsidRPr="00FD07C8" w:rsidRDefault="00615005">
      <w:pPr>
        <w:pStyle w:val="FootnoteText"/>
      </w:pPr>
      <w:r w:rsidRPr="00FD07C8">
        <w:rPr>
          <w:rStyle w:val="FootnoteReference"/>
        </w:rPr>
        <w:footnoteRef/>
      </w:r>
      <w:r w:rsidRPr="00FD07C8">
        <w:t xml:space="preserve"> </w:t>
      </w:r>
      <w:r w:rsidRPr="00FD07C8">
        <w:rPr>
          <w:i/>
        </w:rPr>
        <w:t>See</w:t>
      </w:r>
      <w:r w:rsidRPr="00FD07C8">
        <w:t xml:space="preserve"> </w:t>
      </w:r>
      <w:r w:rsidR="00A36793" w:rsidRPr="00FD07C8">
        <w:fldChar w:fldCharType="begin"/>
      </w:r>
      <w:r w:rsidRPr="00FD07C8">
        <w:instrText xml:space="preserve"> ADDIN BA \xc &lt;@$cs&gt; \xl 65 \s NSKEHB000006 \xhfl Rep </w:instrText>
      </w:r>
      <w:r w:rsidR="00A36793" w:rsidRPr="00FD07C8">
        <w:fldChar w:fldCharType="end"/>
      </w:r>
      <w:bookmarkStart w:id="99" w:name="_BA_Cite_141"/>
      <w:r w:rsidRPr="00FD07C8">
        <w:rPr>
          <w:i/>
        </w:rPr>
        <w:t>Wash. Utils. &amp; Transp. Comm’n v. PacifiCorp</w:t>
      </w:r>
      <w:r w:rsidRPr="00FD07C8">
        <w:t xml:space="preserve">, Docket No. </w:t>
      </w:r>
      <w:proofErr w:type="gramStart"/>
      <w:r w:rsidRPr="00FD07C8">
        <w:t>UE-100749</w:t>
      </w:r>
      <w:bookmarkEnd w:id="99"/>
      <w:r w:rsidRPr="00FD07C8">
        <w:t xml:space="preserve">, PacifiCorp’s Response to Commission Bench </w:t>
      </w:r>
      <w:proofErr w:type="gramEnd"/>
      <w:r w:rsidR="00A36793" w:rsidRPr="00FD07C8">
        <w:fldChar w:fldCharType="begin"/>
      </w:r>
      <w:r w:rsidRPr="00FD07C8">
        <w:instrText xml:space="preserve"> ADDIN BA \xc &lt;@admproc&gt; \xl 25 \s NSKEHB000053 \l "</w:instrText>
      </w:r>
      <w:r w:rsidRPr="00FD07C8">
        <w:rPr>
          <w:sz w:val="24"/>
        </w:rPr>
        <w:instrText>Request 6 (Nov. 14, 2011)</w:instrText>
      </w:r>
      <w:r w:rsidRPr="00FD07C8">
        <w:instrText xml:space="preserve">" </w:instrText>
      </w:r>
      <w:r w:rsidR="00A36793" w:rsidRPr="00FD07C8">
        <w:fldChar w:fldCharType="end"/>
      </w:r>
      <w:bookmarkStart w:id="100" w:name="_BA_Cite_142"/>
      <w:proofErr w:type="gramStart"/>
      <w:r w:rsidRPr="00FD07C8">
        <w:t>Request 6 (Nov. 14, 2011)</w:t>
      </w:r>
      <w:bookmarkEnd w:id="100"/>
      <w:r w:rsidRPr="00FD07C8">
        <w:t>.</w:t>
      </w:r>
      <w:proofErr w:type="gramEnd"/>
    </w:p>
  </w:footnote>
  <w:footnote w:id="130">
    <w:p w:rsidR="00615005" w:rsidRPr="00FD07C8" w:rsidRDefault="00615005">
      <w:pPr>
        <w:pStyle w:val="FootnoteText"/>
      </w:pPr>
      <w:r w:rsidRPr="00FD07C8">
        <w:rPr>
          <w:rStyle w:val="FootnoteReference"/>
        </w:rPr>
        <w:footnoteRef/>
      </w:r>
      <w:r w:rsidRPr="00FD07C8">
        <w:t xml:space="preserve"> </w:t>
      </w:r>
      <w:r w:rsidRPr="00FD07C8">
        <w:rPr>
          <w:i/>
        </w:rPr>
        <w:t xml:space="preserve">See </w:t>
      </w:r>
      <w:r w:rsidR="00A36793" w:rsidRPr="00FD07C8">
        <w:fldChar w:fldCharType="begin"/>
      </w:r>
      <w:r w:rsidRPr="00FD07C8">
        <w:instrText xml:space="preserve"> ADDIN BA \xc &lt;@$rec&gt; \xl 27 \s NSKEHB000086 </w:instrText>
      </w:r>
      <w:r w:rsidR="00A36793" w:rsidRPr="00FD07C8">
        <w:fldChar w:fldCharType="end"/>
      </w:r>
      <w:r w:rsidRPr="00FD07C8">
        <w:t xml:space="preserve">Staff’s </w:t>
      </w:r>
      <w:r w:rsidR="00211A66">
        <w:t>Phase II Opening Brief</w:t>
      </w:r>
      <w:r w:rsidRPr="00FD07C8">
        <w:t xml:space="preserve"> ¶ 57; </w:t>
      </w:r>
      <w:r w:rsidR="00A36793" w:rsidRPr="00FD07C8">
        <w:fldChar w:fldCharType="begin"/>
      </w:r>
      <w:r w:rsidRPr="00FD07C8">
        <w:instrText xml:space="preserve"> ADDIN BA \xc &lt;@$rec&gt; \xl 36 \s NSKEHB000087 </w:instrText>
      </w:r>
      <w:r w:rsidR="00A36793" w:rsidRPr="00FD07C8">
        <w:fldChar w:fldCharType="end"/>
      </w:r>
      <w:r w:rsidRPr="00FD07C8">
        <w:t xml:space="preserve">Public Counsel’s </w:t>
      </w:r>
      <w:r w:rsidR="00211A66">
        <w:t>Phase II Opening Brief</w:t>
      </w:r>
      <w:r w:rsidRPr="00FD07C8">
        <w:t xml:space="preserve"> ¶ 66; </w:t>
      </w:r>
      <w:r w:rsidR="00A36793" w:rsidRPr="00FD07C8">
        <w:fldChar w:fldCharType="begin"/>
      </w:r>
      <w:r w:rsidRPr="00FD07C8">
        <w:instrText xml:space="preserve"> ADDIN BA \xc &lt;@rec&gt; \xl 26 \s NSKEHB000125 \l "</w:instrText>
      </w:r>
      <w:r w:rsidRPr="00FD07C8">
        <w:rPr>
          <w:sz w:val="24"/>
        </w:rPr>
        <w:instrText>ICNU’s Phase II Brief ¶ 38</w:instrText>
      </w:r>
      <w:r w:rsidRPr="00FD07C8">
        <w:instrText xml:space="preserve">" </w:instrText>
      </w:r>
      <w:r w:rsidR="00A36793" w:rsidRPr="00FD07C8">
        <w:fldChar w:fldCharType="end"/>
      </w:r>
      <w:r w:rsidRPr="00FD07C8">
        <w:t xml:space="preserve">ICNU’s </w:t>
      </w:r>
      <w:r w:rsidR="00211A66">
        <w:t>Phase II Opening Brief</w:t>
      </w:r>
      <w:r w:rsidRPr="00FD07C8">
        <w:t xml:space="preserve"> ¶ 38.</w:t>
      </w:r>
    </w:p>
  </w:footnote>
  <w:footnote w:id="131">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&lt;@reg&gt; \xl 18 \s NSKEHB000054 \l "</w:instrText>
      </w:r>
      <w:r w:rsidRPr="00FD07C8">
        <w:rPr>
          <w:sz w:val="24"/>
        </w:rPr>
        <w:instrText>Order 06 ¶ 204-205</w:instrText>
      </w:r>
      <w:r w:rsidRPr="00FD07C8">
        <w:instrText xml:space="preserve">" </w:instrText>
      </w:r>
      <w:r w:rsidR="00A36793" w:rsidRPr="00FD07C8">
        <w:fldChar w:fldCharType="end"/>
      </w:r>
      <w:bookmarkStart w:id="104" w:name="_BA_Cite_145"/>
      <w:r w:rsidRPr="00FD07C8">
        <w:t>Order 06 ¶ 204-205</w:t>
      </w:r>
      <w:bookmarkEnd w:id="104"/>
      <w:r w:rsidRPr="00FD07C8">
        <w:t>.</w:t>
      </w:r>
    </w:p>
  </w:footnote>
  <w:footnote w:id="132">
    <w:p w:rsidR="00615005" w:rsidRPr="00FD07C8" w:rsidRDefault="00615005" w:rsidP="00F82B75">
      <w:pPr>
        <w:pStyle w:val="FootnoteText"/>
      </w:pPr>
      <w:r w:rsidRPr="00FD07C8">
        <w:rPr>
          <w:rStyle w:val="FootnoteReference"/>
        </w:rPr>
        <w:footnoteRef/>
      </w:r>
      <w:r w:rsidRPr="00FD07C8">
        <w:t xml:space="preserve"> Kelly, Exh. No. ALK-2CT 11:18-21; Dalley, Exh. No. RBD-28CT 3:3-13.</w:t>
      </w:r>
    </w:p>
  </w:footnote>
  <w:footnote w:id="133">
    <w:p w:rsidR="00615005" w:rsidRPr="00FD07C8" w:rsidRDefault="00615005">
      <w:pPr>
        <w:pStyle w:val="FootnoteText"/>
      </w:pPr>
      <w:r w:rsidRPr="00FD07C8">
        <w:rPr>
          <w:rStyle w:val="FootnoteReference"/>
        </w:rPr>
        <w:footnoteRef/>
      </w:r>
      <w:r w:rsidRPr="00FD07C8">
        <w:t xml:space="preserve"> </w:t>
      </w:r>
      <w:r w:rsidR="00A36793" w:rsidRPr="00FD07C8">
        <w:fldChar w:fldCharType="begin"/>
      </w:r>
      <w:r w:rsidRPr="00FD07C8">
        <w:instrText xml:space="preserve"> ADDIN BA \xc &lt;@$rec&gt; \xl 36 \s NSKEHB000087 </w:instrText>
      </w:r>
      <w:r w:rsidR="00A36793" w:rsidRPr="00FD07C8">
        <w:fldChar w:fldCharType="end"/>
      </w:r>
      <w:proofErr w:type="gramStart"/>
      <w:r w:rsidRPr="00FD07C8">
        <w:t xml:space="preserve">Public Counsel’s </w:t>
      </w:r>
      <w:r w:rsidR="00211A66">
        <w:t>Phase II Opening Brief</w:t>
      </w:r>
      <w:r w:rsidRPr="00FD07C8">
        <w:t xml:space="preserve"> ¶ 66.</w:t>
      </w:r>
      <w:proofErr w:type="gramEnd"/>
    </w:p>
  </w:footnote>
  <w:footnote w:id="134">
    <w:p w:rsidR="00615005" w:rsidRDefault="00615005">
      <w:pPr>
        <w:pStyle w:val="FootnoteText"/>
      </w:pPr>
      <w:r>
        <w:rPr>
          <w:rStyle w:val="FootnoteReference"/>
        </w:rPr>
        <w:footnoteRef/>
      </w:r>
      <w:r>
        <w:t xml:space="preserve">  As a part of a rate case filing, the Commission’s rules require a utility that has not earned its rate of return to explain </w:t>
      </w:r>
      <w:r w:rsidRPr="0061371F">
        <w:t xml:space="preserve">why </w:t>
      </w:r>
      <w:r>
        <w:t xml:space="preserve">it </w:t>
      </w:r>
      <w:r w:rsidRPr="0061371F">
        <w:t xml:space="preserve">has not and </w:t>
      </w:r>
      <w:r>
        <w:t>“</w:t>
      </w:r>
      <w:r w:rsidRPr="0061371F">
        <w:t>what the company is doing to improve its earnings in addition to its request for increased rates.</w:t>
      </w:r>
      <w:r>
        <w:t>”  WAC 480-07-510(3</w:t>
      </w:r>
      <w:proofErr w:type="gramStart"/>
      <w:r>
        <w:t>)(</w:t>
      </w:r>
      <w:proofErr w:type="gramEnd"/>
      <w:r>
        <w:t>g).  Thus, the Commission rules include an expectation that a company will engage in activity such as the REC sales involved in this case to mitigate under earning and delay or reduce the level of future rate filings.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2641260"/>
    <w:multiLevelType w:val="multilevel"/>
    <w:tmpl w:val="8B64117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bullet"/>
      <w:lvlText w:val=""/>
      <w:lvlJc w:val="left"/>
      <w:pPr>
        <w:tabs>
          <w:tab w:val="num" w:pos="4320"/>
        </w:tabs>
        <w:ind w:left="4320" w:hanging="72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694EC6"/>
    <w:multiLevelType w:val="multilevel"/>
    <w:tmpl w:val="EB2EFA7A"/>
    <w:lvl w:ilvl="0">
      <w:start w:val="1"/>
      <w:numFmt w:val="upperRoman"/>
      <w:lvlText w:val="%1."/>
      <w:lvlJc w:val="left"/>
      <w:pPr>
        <w:tabs>
          <w:tab w:val="num" w:pos="720"/>
        </w:tabs>
        <w:ind w:left="720" w:hanging="720"/>
      </w:pPr>
      <w:rPr>
        <w:rFonts w:ascii="Times New Roman" w:hAnsi="Times New Roman" w:hint="default"/>
        <w:b/>
        <w:i w:val="0"/>
        <w:sz w:val="24"/>
      </w:rPr>
    </w:lvl>
    <w:lvl w:ilvl="1">
      <w:start w:val="2"/>
      <w:numFmt w:val="upperLetter"/>
      <w:lvlText w:val="%2."/>
      <w:lvlJc w:val="left"/>
      <w:pPr>
        <w:tabs>
          <w:tab w:val="num" w:pos="1440"/>
        </w:tabs>
        <w:ind w:left="1440" w:hanging="720"/>
      </w:pPr>
      <w:rPr>
        <w:rFonts w:ascii="Times New Roman" w:hAnsi="Times New Roman" w:hint="default"/>
        <w:b/>
        <w:i w:val="0"/>
        <w:sz w:val="24"/>
        <w:u w:val="none"/>
      </w:rPr>
    </w:lvl>
    <w:lvl w:ilvl="2">
      <w:numFmt w:val="decimal"/>
      <w:lvlText w:val="%3."/>
      <w:lvlJc w:val="left"/>
      <w:pPr>
        <w:tabs>
          <w:tab w:val="num" w:pos="2160"/>
        </w:tabs>
        <w:ind w:left="2160" w:hanging="720"/>
      </w:pPr>
      <w:rPr>
        <w:rFonts w:ascii="Times New Roman" w:hAnsi="Times New Roman" w:hint="default"/>
        <w:b/>
        <w:i w:val="0"/>
        <w:sz w:val="24"/>
      </w:rPr>
    </w:lvl>
    <w:lvl w:ilvl="3">
      <w:numFmt w:val="lowerLetter"/>
      <w:lvlText w:val="%4)"/>
      <w:lvlJc w:val="left"/>
      <w:pPr>
        <w:tabs>
          <w:tab w:val="num" w:pos="2520"/>
        </w:tabs>
        <w:ind w:left="2160" w:firstLine="0"/>
      </w:pPr>
    </w:lvl>
    <w:lvl w:ilvl="4">
      <w:start w:val="59"/>
      <w:numFmt w:val="decimal"/>
      <w:lvlText w:val="(%5)"/>
      <w:lvlJc w:val="left"/>
      <w:pPr>
        <w:tabs>
          <w:tab w:val="num" w:pos="3240"/>
        </w:tabs>
        <w:ind w:left="2880" w:firstLine="0"/>
      </w:pPr>
    </w:lvl>
    <w:lvl w:ilvl="5">
      <w:start w:val="6"/>
      <w:numFmt w:val="lowerLetter"/>
      <w:lvlText w:val="(%6)"/>
      <w:lvlJc w:val="left"/>
      <w:pPr>
        <w:tabs>
          <w:tab w:val="num" w:pos="3960"/>
        </w:tabs>
        <w:ind w:left="3600" w:firstLine="0"/>
      </w:pPr>
    </w:lvl>
    <w:lvl w:ilvl="6">
      <w:numFmt w:val="lowerRoman"/>
      <w:lvlText w:val="(%7)"/>
      <w:lvlJc w:val="left"/>
      <w:pPr>
        <w:tabs>
          <w:tab w:val="num" w:pos="4680"/>
        </w:tabs>
        <w:ind w:left="4320" w:firstLine="0"/>
      </w:pPr>
    </w:lvl>
    <w:lvl w:ilvl="7">
      <w:start w:val="805831232"/>
      <w:numFmt w:val="lowerLetter"/>
      <w:lvlText w:val="(%8)"/>
      <w:lvlJc w:val="left"/>
      <w:pPr>
        <w:tabs>
          <w:tab w:val="num" w:pos="5400"/>
        </w:tabs>
        <w:ind w:left="5040" w:firstLine="0"/>
      </w:pPr>
    </w:lvl>
    <w:lvl w:ilvl="8">
      <w:start w:val="6809607"/>
      <w:numFmt w:val="lowerRoman"/>
      <w:lvlText w:val="(%9)"/>
      <w:lvlJc w:val="left"/>
      <w:pPr>
        <w:tabs>
          <w:tab w:val="num" w:pos="6120"/>
        </w:tabs>
        <w:ind w:left="5760" w:firstLine="0"/>
      </w:pPr>
    </w:lvl>
  </w:abstractNum>
  <w:abstractNum w:abstractNumId="4">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5">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7">
    <w:nsid w:val="50E35727"/>
    <w:multiLevelType w:val="multilevel"/>
    <w:tmpl w:val="78560072"/>
    <w:numStyleLink w:val="Style2"/>
  </w:abstractNum>
  <w:abstractNum w:abstractNumId="8">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9">
    <w:nsid w:val="53FC2C38"/>
    <w:multiLevelType w:val="multilevel"/>
    <w:tmpl w:val="8B64117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bullet"/>
      <w:lvlText w:val=""/>
      <w:lvlJc w:val="left"/>
      <w:pPr>
        <w:tabs>
          <w:tab w:val="num" w:pos="4320"/>
        </w:tabs>
        <w:ind w:left="4320" w:hanging="72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5E0C5D"/>
    <w:multiLevelType w:val="hybridMultilevel"/>
    <w:tmpl w:val="BF5CB91C"/>
    <w:lvl w:ilvl="0" w:tplc="095C5420">
      <w:start w:val="1"/>
      <w:numFmt w:val="upperRoman"/>
      <w:lvlText w:val="%1."/>
      <w:lvlJc w:val="left"/>
      <w:pPr>
        <w:ind w:left="1440" w:hanging="720"/>
      </w:pPr>
      <w:rPr>
        <w:rFonts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02750A"/>
    <w:multiLevelType w:val="hybridMultilevel"/>
    <w:tmpl w:val="0C707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D81CFF"/>
    <w:multiLevelType w:val="multilevel"/>
    <w:tmpl w:val="7C1EF050"/>
    <w:lvl w:ilvl="0">
      <w:start w:val="1"/>
      <w:numFmt w:val="decimal"/>
      <w:lvlText w:val="%1"/>
      <w:lvlJc w:val="left"/>
      <w:pPr>
        <w:tabs>
          <w:tab w:val="num" w:pos="1440"/>
        </w:tabs>
        <w:ind w:left="0" w:hanging="720"/>
      </w:pPr>
      <w:rPr>
        <w:rFonts w:ascii="Times New Roman" w:hAnsi="Times New Roman" w:hint="default"/>
        <w:b w:val="0"/>
        <w:i/>
        <w:color w:val="auto"/>
        <w:sz w:val="22"/>
        <w:szCs w:val="22"/>
        <w:u w:val="none"/>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nsid w:val="70CF075A"/>
    <w:multiLevelType w:val="hybridMultilevel"/>
    <w:tmpl w:val="AB406888"/>
    <w:lvl w:ilvl="0" w:tplc="E70C6212">
      <w:numFmt w:val="bullet"/>
      <w:lvlText w:val=""/>
      <w:lvlJc w:val="left"/>
      <w:pPr>
        <w:ind w:left="1800" w:hanging="360"/>
      </w:pPr>
      <w:rPr>
        <w:rFonts w:ascii="Symbol" w:eastAsia="Times"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19">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0">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1">
    <w:nsid w:val="7B7B708E"/>
    <w:multiLevelType w:val="hybridMultilevel"/>
    <w:tmpl w:val="F3C8EB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16"/>
  </w:num>
  <w:num w:numId="5">
    <w:abstractNumId w:val="14"/>
  </w:num>
  <w:num w:numId="6">
    <w:abstractNumId w:val="4"/>
  </w:num>
  <w:num w:numId="7">
    <w:abstractNumId w:val="0"/>
  </w:num>
  <w:num w:numId="8">
    <w:abstractNumId w:val="7"/>
  </w:num>
  <w:num w:numId="9">
    <w:abstractNumId w:val="6"/>
  </w:num>
  <w:num w:numId="10">
    <w:abstractNumId w:val="8"/>
  </w:num>
  <w:num w:numId="11">
    <w:abstractNumId w:val="19"/>
  </w:num>
  <w:num w:numId="12">
    <w:abstractNumId w:val="20"/>
  </w:num>
  <w:num w:numId="13">
    <w:abstractNumId w:val="15"/>
  </w:num>
  <w:num w:numId="14">
    <w:abstractNumId w:val="18"/>
  </w:num>
  <w:num w:numId="15">
    <w:abstractNumId w:val="17"/>
  </w:num>
  <w:num w:numId="16">
    <w:abstractNumId w:val="13"/>
  </w:num>
  <w:num w:numId="17">
    <w:abstractNumId w:val="3"/>
  </w:num>
  <w:num w:numId="18">
    <w:abstractNumId w:val="13"/>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2"/>
  </w:num>
  <w:num w:numId="24">
    <w:abstractNumId w:val="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docVars>
    <w:docVar w:name="_BA_DictionariesAutoLoaded_" w:val="True"/>
    <w:docVar w:name="_BA_DictionaryFile_AutoLoadEveryone" w:val="C:\Users\candace\AppData\Roaming\Levit &amp; James, Inc\Best Authority\Shared\Dictionaries\AutoLoadEveryone.baod"/>
    <w:docVar w:name="_BA_DictionaryFile_AutoLoadPersonal" w:val="C:\Users\candace\AppData\Roaming\Levit &amp; James, Inc\Best Authority\Private\Dictionaries\AutoLoadPersonal.baod"/>
    <w:docVar w:name="_BA_Hash" w:val="NSKEHB"/>
    <w:docVar w:name="_BA_History_" w:val="|11/18/2011 10:04 AM;Set Scheme: Sample Detail;candace|11/18/2011 10:05 AM;Scan;candace|11/18/2011 10:06 AM;Draft Review;candace|11/18/2011 10:15 AM;Build Fully-Formatted TOAs;candace"/>
    <w:docVar w:name="_BA_LastTab_Right" w:val="0"/>
    <w:docVar w:name="_BA_PrintOptions" w:val="-1|0|2"/>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Tru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_x000D__x000A__x000D__x000A_[@Scope=1@]_x000D__x000A__x000D__x000A_[@Description=Fed Cases, Other Cases, Fed Statutes, Other Statutes, Rules, Regulations, Const Provisions, Other Authorities included&lt;ret&gt;Mentions NOT suppressed&lt;ret&gt;Quoted citations suppressed&lt;ret&gt;Subdivision substitutions enabled@]_x000D__x000A__x000D__x000A_[@Name=Sample Detail@]_x000D__x000A__x000D__x000A_[@[FileControl]@]_x000D__x000A__x000D__x000A_[@FileType=Best Authority Scheme File@]_x000D__x000A__x000D__x000A_[@FileVersion=02.07.0002@]_x000D__x000A__x000D__x000A_[@MinAppVersion=01.00.0090@]_x000D__x000A__x000D__x000A_[@[XTOAs]@]_x000D__x000A__x000D__x000A_[@1=Federal Cases.False.4.@]_x000D__x000A__x000D__x000A_[@2=Other Cases.False.0.@]_x000D__x000A__x000D__x000A_[@3=Federal Statutes.False.4.@]_x000D__x000A__x000D__x000A_[@4=Other Statutes.False.0.@]_x000D__x000A__x000D__x000A_[@5=Rules.False.0.@]_x000D__x000A__x000D__x000A_[@6=Regulations.False.0.@]_x000D__x000A__x000D__x000A_[@7=Constitutional Provisions.False.0.@]_x000D__x000A__x000D__x000A_[@8=Other Authorities.False.0.@]_x000D__x000A__x000D__x000A_[@9=Suspects.False.0.@]_x000D__x000A__x000D__x000A_[@10=Non-TOA References.False.0.@]_x000D__x000A__x000D__x000A_[@[Federal Cases.False.4.]@]_x000D__x000A__x000D__x000A_[@HitClasses=&lt;@cs&gt;|&lt;@regcs&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Cases@]_x000D__x000A__x000D__x000A_[@AutoOverride=0@]_x000D__x000A__x000D__x000A_[@PageRangeSep=3@]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Federal Statutes.False.4.]@]_x000D__x000A__x000D__x000A_[@HitClasses=&lt;@st&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egulations.False.0.]@]_x000D__x000A__x000D__x000A_[@HitClasses=&lt;@reg&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egulat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onstitutional Provisions.False.0.]@]_x000D__x000A__x000D__x000A_[@HitClasses=&lt;@con&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onstitutional Provis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leg&gt;|&lt;@misc&gt;|&lt;@nper&gt;|&lt;@pat&gt;|&lt;@per&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Other Authoriti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Non-TOA Referenc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SubstitutionsApplied" w:val="Current"/>
    <w:docVar w:name="_BA_TOAGroupsOptions_FullFormat" w:val="|Non-TOA References|"/>
    <w:docVar w:name="_BA_TOAGroupsOptions_Review" w:val="&lt;&lt;None&gt;&gt;"/>
    <w:docVar w:name="_BA_WizardTabs" w:val="4|5|0;True;Startup|1;True;Scan|2;True;Draft Review|3;False;Full-Page Review|4;True;Build||Startup|Startup@Scan|Startup@Scan|Startup@Scan"/>
  </w:docVars>
  <w:rsids>
    <w:rsidRoot w:val="00436B60"/>
    <w:rsid w:val="00000A92"/>
    <w:rsid w:val="00002286"/>
    <w:rsid w:val="000024E1"/>
    <w:rsid w:val="000040D8"/>
    <w:rsid w:val="000047EF"/>
    <w:rsid w:val="0000489D"/>
    <w:rsid w:val="00011027"/>
    <w:rsid w:val="00011113"/>
    <w:rsid w:val="0001128F"/>
    <w:rsid w:val="00011BE4"/>
    <w:rsid w:val="000135CC"/>
    <w:rsid w:val="0001403A"/>
    <w:rsid w:val="0001673D"/>
    <w:rsid w:val="00016ADE"/>
    <w:rsid w:val="00022353"/>
    <w:rsid w:val="00022B04"/>
    <w:rsid w:val="00025281"/>
    <w:rsid w:val="000261EE"/>
    <w:rsid w:val="000262C8"/>
    <w:rsid w:val="00030846"/>
    <w:rsid w:val="00037B64"/>
    <w:rsid w:val="00037D15"/>
    <w:rsid w:val="00040600"/>
    <w:rsid w:val="0004122C"/>
    <w:rsid w:val="00043309"/>
    <w:rsid w:val="0004501C"/>
    <w:rsid w:val="00047AD1"/>
    <w:rsid w:val="00047E08"/>
    <w:rsid w:val="00050A5C"/>
    <w:rsid w:val="0005548F"/>
    <w:rsid w:val="00057F75"/>
    <w:rsid w:val="0006065A"/>
    <w:rsid w:val="00065C8D"/>
    <w:rsid w:val="00066AFE"/>
    <w:rsid w:val="00066DA6"/>
    <w:rsid w:val="00067102"/>
    <w:rsid w:val="0007035F"/>
    <w:rsid w:val="00070AC0"/>
    <w:rsid w:val="00071612"/>
    <w:rsid w:val="000722F3"/>
    <w:rsid w:val="000724C2"/>
    <w:rsid w:val="0007350C"/>
    <w:rsid w:val="00074834"/>
    <w:rsid w:val="000758D1"/>
    <w:rsid w:val="00076C55"/>
    <w:rsid w:val="00076FEC"/>
    <w:rsid w:val="000801BE"/>
    <w:rsid w:val="000814D9"/>
    <w:rsid w:val="00082749"/>
    <w:rsid w:val="000838B7"/>
    <w:rsid w:val="00085EF7"/>
    <w:rsid w:val="000879B8"/>
    <w:rsid w:val="0009158C"/>
    <w:rsid w:val="000920FA"/>
    <w:rsid w:val="00092D41"/>
    <w:rsid w:val="00093AFC"/>
    <w:rsid w:val="00094222"/>
    <w:rsid w:val="000958E3"/>
    <w:rsid w:val="00097439"/>
    <w:rsid w:val="000A1905"/>
    <w:rsid w:val="000A3331"/>
    <w:rsid w:val="000A4FA9"/>
    <w:rsid w:val="000A5150"/>
    <w:rsid w:val="000A59EE"/>
    <w:rsid w:val="000A6C71"/>
    <w:rsid w:val="000A7FC2"/>
    <w:rsid w:val="000B2566"/>
    <w:rsid w:val="000B4931"/>
    <w:rsid w:val="000B68FF"/>
    <w:rsid w:val="000B6D15"/>
    <w:rsid w:val="000B7D7D"/>
    <w:rsid w:val="000C05FE"/>
    <w:rsid w:val="000C1F43"/>
    <w:rsid w:val="000C1F56"/>
    <w:rsid w:val="000C20E6"/>
    <w:rsid w:val="000C4E28"/>
    <w:rsid w:val="000C56AC"/>
    <w:rsid w:val="000D031C"/>
    <w:rsid w:val="000D08CE"/>
    <w:rsid w:val="000D097B"/>
    <w:rsid w:val="000D0BC3"/>
    <w:rsid w:val="000D12AB"/>
    <w:rsid w:val="000D2CEA"/>
    <w:rsid w:val="000D3A86"/>
    <w:rsid w:val="000D3CAE"/>
    <w:rsid w:val="000D4EA7"/>
    <w:rsid w:val="000D624B"/>
    <w:rsid w:val="000D6A9A"/>
    <w:rsid w:val="000E09BF"/>
    <w:rsid w:val="000E158B"/>
    <w:rsid w:val="000E2A78"/>
    <w:rsid w:val="000E3658"/>
    <w:rsid w:val="000E4436"/>
    <w:rsid w:val="000E4642"/>
    <w:rsid w:val="000E534A"/>
    <w:rsid w:val="000E5E64"/>
    <w:rsid w:val="000E69C7"/>
    <w:rsid w:val="000E6C2F"/>
    <w:rsid w:val="000F101B"/>
    <w:rsid w:val="000F1E88"/>
    <w:rsid w:val="000F48B1"/>
    <w:rsid w:val="000F5763"/>
    <w:rsid w:val="000F5788"/>
    <w:rsid w:val="000F6CED"/>
    <w:rsid w:val="00100885"/>
    <w:rsid w:val="00100F0D"/>
    <w:rsid w:val="0010477B"/>
    <w:rsid w:val="001051E9"/>
    <w:rsid w:val="00105765"/>
    <w:rsid w:val="00107581"/>
    <w:rsid w:val="00107AA2"/>
    <w:rsid w:val="00113D93"/>
    <w:rsid w:val="001144E3"/>
    <w:rsid w:val="00116661"/>
    <w:rsid w:val="0011709B"/>
    <w:rsid w:val="00121067"/>
    <w:rsid w:val="0012247F"/>
    <w:rsid w:val="00122DC1"/>
    <w:rsid w:val="0012301A"/>
    <w:rsid w:val="00123DE0"/>
    <w:rsid w:val="00124969"/>
    <w:rsid w:val="001260C1"/>
    <w:rsid w:val="00126616"/>
    <w:rsid w:val="00127418"/>
    <w:rsid w:val="00131144"/>
    <w:rsid w:val="001316FD"/>
    <w:rsid w:val="00131C4A"/>
    <w:rsid w:val="00132EE9"/>
    <w:rsid w:val="0013460F"/>
    <w:rsid w:val="001347B3"/>
    <w:rsid w:val="00134D85"/>
    <w:rsid w:val="00135168"/>
    <w:rsid w:val="00136104"/>
    <w:rsid w:val="00136D8E"/>
    <w:rsid w:val="00140CA1"/>
    <w:rsid w:val="001416A8"/>
    <w:rsid w:val="001416B7"/>
    <w:rsid w:val="001420FD"/>
    <w:rsid w:val="00143EAB"/>
    <w:rsid w:val="001457AE"/>
    <w:rsid w:val="0014686F"/>
    <w:rsid w:val="001479D2"/>
    <w:rsid w:val="00147F1F"/>
    <w:rsid w:val="001505D9"/>
    <w:rsid w:val="00153DFE"/>
    <w:rsid w:val="0015445A"/>
    <w:rsid w:val="00154E45"/>
    <w:rsid w:val="001551AE"/>
    <w:rsid w:val="00156702"/>
    <w:rsid w:val="00157BBA"/>
    <w:rsid w:val="0016114A"/>
    <w:rsid w:val="0016174B"/>
    <w:rsid w:val="00161AB7"/>
    <w:rsid w:val="0016364F"/>
    <w:rsid w:val="00167755"/>
    <w:rsid w:val="00172A77"/>
    <w:rsid w:val="00172DA3"/>
    <w:rsid w:val="00173BBC"/>
    <w:rsid w:val="001767FD"/>
    <w:rsid w:val="00177EE4"/>
    <w:rsid w:val="0018136A"/>
    <w:rsid w:val="00182A2C"/>
    <w:rsid w:val="00182AE1"/>
    <w:rsid w:val="0018501A"/>
    <w:rsid w:val="00186735"/>
    <w:rsid w:val="00187250"/>
    <w:rsid w:val="00187EF1"/>
    <w:rsid w:val="001913D6"/>
    <w:rsid w:val="00191DF2"/>
    <w:rsid w:val="00192230"/>
    <w:rsid w:val="00195BDE"/>
    <w:rsid w:val="00197367"/>
    <w:rsid w:val="001A0036"/>
    <w:rsid w:val="001A2417"/>
    <w:rsid w:val="001A252F"/>
    <w:rsid w:val="001A5F41"/>
    <w:rsid w:val="001B16FE"/>
    <w:rsid w:val="001B1EB8"/>
    <w:rsid w:val="001B32AE"/>
    <w:rsid w:val="001B3915"/>
    <w:rsid w:val="001B6C5D"/>
    <w:rsid w:val="001B7B16"/>
    <w:rsid w:val="001C1F48"/>
    <w:rsid w:val="001C23A0"/>
    <w:rsid w:val="001C2CE0"/>
    <w:rsid w:val="001C3CC9"/>
    <w:rsid w:val="001C3F72"/>
    <w:rsid w:val="001C5685"/>
    <w:rsid w:val="001C6D8B"/>
    <w:rsid w:val="001C70CF"/>
    <w:rsid w:val="001D4421"/>
    <w:rsid w:val="001D672E"/>
    <w:rsid w:val="001D7818"/>
    <w:rsid w:val="001E044B"/>
    <w:rsid w:val="001E0509"/>
    <w:rsid w:val="001E05C8"/>
    <w:rsid w:val="001E11C2"/>
    <w:rsid w:val="001E12E1"/>
    <w:rsid w:val="001E2A97"/>
    <w:rsid w:val="001E2EEC"/>
    <w:rsid w:val="001E3829"/>
    <w:rsid w:val="001E4C4B"/>
    <w:rsid w:val="001E61D5"/>
    <w:rsid w:val="001E7DD3"/>
    <w:rsid w:val="001E7E5C"/>
    <w:rsid w:val="001F112C"/>
    <w:rsid w:val="001F14CD"/>
    <w:rsid w:val="001F3E8D"/>
    <w:rsid w:val="001F43E4"/>
    <w:rsid w:val="001F4BDC"/>
    <w:rsid w:val="001F55BC"/>
    <w:rsid w:val="001F582A"/>
    <w:rsid w:val="001F7016"/>
    <w:rsid w:val="00200277"/>
    <w:rsid w:val="0020075D"/>
    <w:rsid w:val="002031A6"/>
    <w:rsid w:val="00203FF7"/>
    <w:rsid w:val="00204E0E"/>
    <w:rsid w:val="00205B62"/>
    <w:rsid w:val="00206357"/>
    <w:rsid w:val="0020650B"/>
    <w:rsid w:val="002102FB"/>
    <w:rsid w:val="00211678"/>
    <w:rsid w:val="00211A66"/>
    <w:rsid w:val="00211DE1"/>
    <w:rsid w:val="00211FD1"/>
    <w:rsid w:val="002121C8"/>
    <w:rsid w:val="00213565"/>
    <w:rsid w:val="00214ED8"/>
    <w:rsid w:val="0021765A"/>
    <w:rsid w:val="00217E78"/>
    <w:rsid w:val="002206CB"/>
    <w:rsid w:val="00220CD9"/>
    <w:rsid w:val="002217CA"/>
    <w:rsid w:val="002220BB"/>
    <w:rsid w:val="0022319D"/>
    <w:rsid w:val="002236C7"/>
    <w:rsid w:val="00223BA6"/>
    <w:rsid w:val="00224728"/>
    <w:rsid w:val="00226297"/>
    <w:rsid w:val="002277A8"/>
    <w:rsid w:val="002310AA"/>
    <w:rsid w:val="00232617"/>
    <w:rsid w:val="00232E31"/>
    <w:rsid w:val="00233CD5"/>
    <w:rsid w:val="00233F74"/>
    <w:rsid w:val="0023523C"/>
    <w:rsid w:val="00235EA0"/>
    <w:rsid w:val="00235F14"/>
    <w:rsid w:val="00236476"/>
    <w:rsid w:val="00237D87"/>
    <w:rsid w:val="00240ED7"/>
    <w:rsid w:val="00242464"/>
    <w:rsid w:val="00243F60"/>
    <w:rsid w:val="00244865"/>
    <w:rsid w:val="002525E9"/>
    <w:rsid w:val="00252933"/>
    <w:rsid w:val="00255277"/>
    <w:rsid w:val="00255A42"/>
    <w:rsid w:val="0025631A"/>
    <w:rsid w:val="002565E0"/>
    <w:rsid w:val="002604AB"/>
    <w:rsid w:val="00261A8C"/>
    <w:rsid w:val="00261E2B"/>
    <w:rsid w:val="0026211C"/>
    <w:rsid w:val="00264104"/>
    <w:rsid w:val="0026517A"/>
    <w:rsid w:val="002655B4"/>
    <w:rsid w:val="00266C4C"/>
    <w:rsid w:val="00266CCB"/>
    <w:rsid w:val="00266CDD"/>
    <w:rsid w:val="0027063B"/>
    <w:rsid w:val="0027276D"/>
    <w:rsid w:val="00273E3D"/>
    <w:rsid w:val="002741CE"/>
    <w:rsid w:val="00274E87"/>
    <w:rsid w:val="00276243"/>
    <w:rsid w:val="00276F23"/>
    <w:rsid w:val="00277070"/>
    <w:rsid w:val="00280C71"/>
    <w:rsid w:val="00281293"/>
    <w:rsid w:val="00282577"/>
    <w:rsid w:val="00282D2E"/>
    <w:rsid w:val="00283522"/>
    <w:rsid w:val="00285BA2"/>
    <w:rsid w:val="00290DA9"/>
    <w:rsid w:val="002944C5"/>
    <w:rsid w:val="002952B1"/>
    <w:rsid w:val="00295366"/>
    <w:rsid w:val="00295A8B"/>
    <w:rsid w:val="002962AF"/>
    <w:rsid w:val="00296791"/>
    <w:rsid w:val="002A0949"/>
    <w:rsid w:val="002A1117"/>
    <w:rsid w:val="002A4560"/>
    <w:rsid w:val="002A61EE"/>
    <w:rsid w:val="002B02BA"/>
    <w:rsid w:val="002B0878"/>
    <w:rsid w:val="002B0F2A"/>
    <w:rsid w:val="002B1B0F"/>
    <w:rsid w:val="002B3543"/>
    <w:rsid w:val="002C0256"/>
    <w:rsid w:val="002C0A02"/>
    <w:rsid w:val="002C13F7"/>
    <w:rsid w:val="002C21AE"/>
    <w:rsid w:val="002C2499"/>
    <w:rsid w:val="002C33CE"/>
    <w:rsid w:val="002C5AB9"/>
    <w:rsid w:val="002C6926"/>
    <w:rsid w:val="002C7E07"/>
    <w:rsid w:val="002D7300"/>
    <w:rsid w:val="002D78CF"/>
    <w:rsid w:val="002D7E7D"/>
    <w:rsid w:val="002D7E83"/>
    <w:rsid w:val="002E098B"/>
    <w:rsid w:val="002E182E"/>
    <w:rsid w:val="002E210B"/>
    <w:rsid w:val="002E28BF"/>
    <w:rsid w:val="002E39C3"/>
    <w:rsid w:val="002E4C43"/>
    <w:rsid w:val="002F43B1"/>
    <w:rsid w:val="002F4D72"/>
    <w:rsid w:val="002F7C9D"/>
    <w:rsid w:val="003009F5"/>
    <w:rsid w:val="00302118"/>
    <w:rsid w:val="0030309D"/>
    <w:rsid w:val="00303DA5"/>
    <w:rsid w:val="003057A2"/>
    <w:rsid w:val="0030588A"/>
    <w:rsid w:val="00306435"/>
    <w:rsid w:val="0031044E"/>
    <w:rsid w:val="0031239B"/>
    <w:rsid w:val="00314545"/>
    <w:rsid w:val="00314A95"/>
    <w:rsid w:val="0031593A"/>
    <w:rsid w:val="003159A5"/>
    <w:rsid w:val="00316E39"/>
    <w:rsid w:val="003171AD"/>
    <w:rsid w:val="003173D4"/>
    <w:rsid w:val="0032002C"/>
    <w:rsid w:val="0032214D"/>
    <w:rsid w:val="00324706"/>
    <w:rsid w:val="00326F03"/>
    <w:rsid w:val="00327F90"/>
    <w:rsid w:val="003308FA"/>
    <w:rsid w:val="00330ED0"/>
    <w:rsid w:val="00335F1A"/>
    <w:rsid w:val="00336AB8"/>
    <w:rsid w:val="00337B53"/>
    <w:rsid w:val="00337EE3"/>
    <w:rsid w:val="003425D7"/>
    <w:rsid w:val="00343EB8"/>
    <w:rsid w:val="00346028"/>
    <w:rsid w:val="00346047"/>
    <w:rsid w:val="003465B0"/>
    <w:rsid w:val="00346DA2"/>
    <w:rsid w:val="00346F41"/>
    <w:rsid w:val="003508A4"/>
    <w:rsid w:val="00352703"/>
    <w:rsid w:val="00352B37"/>
    <w:rsid w:val="00353819"/>
    <w:rsid w:val="0035422F"/>
    <w:rsid w:val="00355B37"/>
    <w:rsid w:val="003560DF"/>
    <w:rsid w:val="003568FC"/>
    <w:rsid w:val="00356AE2"/>
    <w:rsid w:val="00357265"/>
    <w:rsid w:val="003572AE"/>
    <w:rsid w:val="00357BD6"/>
    <w:rsid w:val="00357F79"/>
    <w:rsid w:val="00360728"/>
    <w:rsid w:val="003612F3"/>
    <w:rsid w:val="00361EDC"/>
    <w:rsid w:val="00363AFB"/>
    <w:rsid w:val="003643B9"/>
    <w:rsid w:val="003648F8"/>
    <w:rsid w:val="003665C5"/>
    <w:rsid w:val="0036717E"/>
    <w:rsid w:val="00371A07"/>
    <w:rsid w:val="0037225E"/>
    <w:rsid w:val="003728BE"/>
    <w:rsid w:val="0037314F"/>
    <w:rsid w:val="00376BC1"/>
    <w:rsid w:val="00380341"/>
    <w:rsid w:val="003824DE"/>
    <w:rsid w:val="003825DF"/>
    <w:rsid w:val="00384B02"/>
    <w:rsid w:val="00385FED"/>
    <w:rsid w:val="00391255"/>
    <w:rsid w:val="00392F8A"/>
    <w:rsid w:val="00397380"/>
    <w:rsid w:val="003977CD"/>
    <w:rsid w:val="003A0EDD"/>
    <w:rsid w:val="003A1698"/>
    <w:rsid w:val="003A296E"/>
    <w:rsid w:val="003A3ED0"/>
    <w:rsid w:val="003A43AF"/>
    <w:rsid w:val="003A5563"/>
    <w:rsid w:val="003A59BC"/>
    <w:rsid w:val="003A5BED"/>
    <w:rsid w:val="003A6B89"/>
    <w:rsid w:val="003A77A0"/>
    <w:rsid w:val="003B0430"/>
    <w:rsid w:val="003B1562"/>
    <w:rsid w:val="003B2871"/>
    <w:rsid w:val="003B3057"/>
    <w:rsid w:val="003B3983"/>
    <w:rsid w:val="003B3ABB"/>
    <w:rsid w:val="003B472B"/>
    <w:rsid w:val="003B63DD"/>
    <w:rsid w:val="003B7746"/>
    <w:rsid w:val="003C1245"/>
    <w:rsid w:val="003C1514"/>
    <w:rsid w:val="003C3241"/>
    <w:rsid w:val="003C43D7"/>
    <w:rsid w:val="003C570E"/>
    <w:rsid w:val="003C757D"/>
    <w:rsid w:val="003D09FD"/>
    <w:rsid w:val="003D389A"/>
    <w:rsid w:val="003D6AC5"/>
    <w:rsid w:val="003D7450"/>
    <w:rsid w:val="003E04D9"/>
    <w:rsid w:val="003E0C86"/>
    <w:rsid w:val="003E2DA6"/>
    <w:rsid w:val="003E4FC8"/>
    <w:rsid w:val="003E5E6F"/>
    <w:rsid w:val="003E682A"/>
    <w:rsid w:val="003E6A5A"/>
    <w:rsid w:val="003E7B80"/>
    <w:rsid w:val="003F2FC2"/>
    <w:rsid w:val="003F2FE6"/>
    <w:rsid w:val="003F3D2A"/>
    <w:rsid w:val="003F4583"/>
    <w:rsid w:val="003F459B"/>
    <w:rsid w:val="0040036F"/>
    <w:rsid w:val="0040067B"/>
    <w:rsid w:val="00401025"/>
    <w:rsid w:val="00402D19"/>
    <w:rsid w:val="00407F7A"/>
    <w:rsid w:val="00410596"/>
    <w:rsid w:val="0041250B"/>
    <w:rsid w:val="00414ED0"/>
    <w:rsid w:val="00415030"/>
    <w:rsid w:val="004154CD"/>
    <w:rsid w:val="004162F7"/>
    <w:rsid w:val="00420D80"/>
    <w:rsid w:val="00421C80"/>
    <w:rsid w:val="004222B4"/>
    <w:rsid w:val="00424D6B"/>
    <w:rsid w:val="00431ACA"/>
    <w:rsid w:val="00431B89"/>
    <w:rsid w:val="0043548B"/>
    <w:rsid w:val="0043554E"/>
    <w:rsid w:val="004355A3"/>
    <w:rsid w:val="004356C4"/>
    <w:rsid w:val="00435760"/>
    <w:rsid w:val="00435AA3"/>
    <w:rsid w:val="00436B60"/>
    <w:rsid w:val="004444DA"/>
    <w:rsid w:val="00444582"/>
    <w:rsid w:val="00444D94"/>
    <w:rsid w:val="00446E29"/>
    <w:rsid w:val="004475BA"/>
    <w:rsid w:val="00450E9C"/>
    <w:rsid w:val="00451544"/>
    <w:rsid w:val="004515D8"/>
    <w:rsid w:val="0045342F"/>
    <w:rsid w:val="00454B8B"/>
    <w:rsid w:val="0045608B"/>
    <w:rsid w:val="00457572"/>
    <w:rsid w:val="00460174"/>
    <w:rsid w:val="004619B8"/>
    <w:rsid w:val="00461A7B"/>
    <w:rsid w:val="0046331F"/>
    <w:rsid w:val="004657B6"/>
    <w:rsid w:val="00465CDA"/>
    <w:rsid w:val="0046673D"/>
    <w:rsid w:val="00470738"/>
    <w:rsid w:val="00472EF2"/>
    <w:rsid w:val="0047425A"/>
    <w:rsid w:val="0047541B"/>
    <w:rsid w:val="00477253"/>
    <w:rsid w:val="004822D1"/>
    <w:rsid w:val="004905A5"/>
    <w:rsid w:val="004905A9"/>
    <w:rsid w:val="00491699"/>
    <w:rsid w:val="0049430F"/>
    <w:rsid w:val="004949F5"/>
    <w:rsid w:val="00494D45"/>
    <w:rsid w:val="00496DC2"/>
    <w:rsid w:val="004A196C"/>
    <w:rsid w:val="004A59F7"/>
    <w:rsid w:val="004A6BD1"/>
    <w:rsid w:val="004A6FD2"/>
    <w:rsid w:val="004A7FB0"/>
    <w:rsid w:val="004B066C"/>
    <w:rsid w:val="004B07A4"/>
    <w:rsid w:val="004B3169"/>
    <w:rsid w:val="004B359E"/>
    <w:rsid w:val="004B3E36"/>
    <w:rsid w:val="004B6DD6"/>
    <w:rsid w:val="004C1AB7"/>
    <w:rsid w:val="004C2888"/>
    <w:rsid w:val="004C2FCF"/>
    <w:rsid w:val="004C4028"/>
    <w:rsid w:val="004C58C1"/>
    <w:rsid w:val="004C5B76"/>
    <w:rsid w:val="004C5CB2"/>
    <w:rsid w:val="004C62B3"/>
    <w:rsid w:val="004C6B46"/>
    <w:rsid w:val="004D07FE"/>
    <w:rsid w:val="004D0851"/>
    <w:rsid w:val="004D119E"/>
    <w:rsid w:val="004D1BBA"/>
    <w:rsid w:val="004D3B23"/>
    <w:rsid w:val="004D40C2"/>
    <w:rsid w:val="004E00A2"/>
    <w:rsid w:val="004E0913"/>
    <w:rsid w:val="004E186E"/>
    <w:rsid w:val="004E2532"/>
    <w:rsid w:val="004E27B4"/>
    <w:rsid w:val="004E2D15"/>
    <w:rsid w:val="004E333C"/>
    <w:rsid w:val="004E40C1"/>
    <w:rsid w:val="004E4E40"/>
    <w:rsid w:val="004E5505"/>
    <w:rsid w:val="004E564F"/>
    <w:rsid w:val="004E6202"/>
    <w:rsid w:val="004E685A"/>
    <w:rsid w:val="004F0114"/>
    <w:rsid w:val="004F046D"/>
    <w:rsid w:val="004F0C42"/>
    <w:rsid w:val="004F1787"/>
    <w:rsid w:val="004F1D7F"/>
    <w:rsid w:val="004F2535"/>
    <w:rsid w:val="004F2709"/>
    <w:rsid w:val="004F3E3D"/>
    <w:rsid w:val="004F518C"/>
    <w:rsid w:val="004F57BE"/>
    <w:rsid w:val="004F7362"/>
    <w:rsid w:val="004F79DB"/>
    <w:rsid w:val="00502295"/>
    <w:rsid w:val="00502BBB"/>
    <w:rsid w:val="00503179"/>
    <w:rsid w:val="0050354E"/>
    <w:rsid w:val="0050431F"/>
    <w:rsid w:val="00504827"/>
    <w:rsid w:val="00504D71"/>
    <w:rsid w:val="00505546"/>
    <w:rsid w:val="00507099"/>
    <w:rsid w:val="00507811"/>
    <w:rsid w:val="0051018A"/>
    <w:rsid w:val="0051041C"/>
    <w:rsid w:val="00512AE6"/>
    <w:rsid w:val="0051311B"/>
    <w:rsid w:val="0051593B"/>
    <w:rsid w:val="0051624A"/>
    <w:rsid w:val="0051756F"/>
    <w:rsid w:val="005208C5"/>
    <w:rsid w:val="00521903"/>
    <w:rsid w:val="005229A9"/>
    <w:rsid w:val="005239B3"/>
    <w:rsid w:val="00526976"/>
    <w:rsid w:val="005271F4"/>
    <w:rsid w:val="00530AA8"/>
    <w:rsid w:val="005312C5"/>
    <w:rsid w:val="00535679"/>
    <w:rsid w:val="00537764"/>
    <w:rsid w:val="00537B28"/>
    <w:rsid w:val="00541825"/>
    <w:rsid w:val="00541BAE"/>
    <w:rsid w:val="00541C39"/>
    <w:rsid w:val="00541E3B"/>
    <w:rsid w:val="00543B17"/>
    <w:rsid w:val="005444A9"/>
    <w:rsid w:val="00544D91"/>
    <w:rsid w:val="005464D1"/>
    <w:rsid w:val="00550DB7"/>
    <w:rsid w:val="0055334E"/>
    <w:rsid w:val="00554845"/>
    <w:rsid w:val="00557B47"/>
    <w:rsid w:val="00562D4D"/>
    <w:rsid w:val="005667FA"/>
    <w:rsid w:val="0056765B"/>
    <w:rsid w:val="00567C0E"/>
    <w:rsid w:val="00570593"/>
    <w:rsid w:val="00573C9F"/>
    <w:rsid w:val="00574B1E"/>
    <w:rsid w:val="0058012B"/>
    <w:rsid w:val="00580F20"/>
    <w:rsid w:val="00583867"/>
    <w:rsid w:val="00584F3D"/>
    <w:rsid w:val="005857A4"/>
    <w:rsid w:val="00586A2B"/>
    <w:rsid w:val="005906F6"/>
    <w:rsid w:val="00590D5F"/>
    <w:rsid w:val="005918E4"/>
    <w:rsid w:val="00591B5B"/>
    <w:rsid w:val="005921A0"/>
    <w:rsid w:val="0059264A"/>
    <w:rsid w:val="00593F6F"/>
    <w:rsid w:val="0059401F"/>
    <w:rsid w:val="00594596"/>
    <w:rsid w:val="00595DF9"/>
    <w:rsid w:val="0059626E"/>
    <w:rsid w:val="005A0515"/>
    <w:rsid w:val="005A063E"/>
    <w:rsid w:val="005A0DB0"/>
    <w:rsid w:val="005A1BD7"/>
    <w:rsid w:val="005A2586"/>
    <w:rsid w:val="005A39DD"/>
    <w:rsid w:val="005A625E"/>
    <w:rsid w:val="005A7E82"/>
    <w:rsid w:val="005B3041"/>
    <w:rsid w:val="005B37C9"/>
    <w:rsid w:val="005B3E81"/>
    <w:rsid w:val="005B41A1"/>
    <w:rsid w:val="005B62EE"/>
    <w:rsid w:val="005B651B"/>
    <w:rsid w:val="005B6692"/>
    <w:rsid w:val="005B6C67"/>
    <w:rsid w:val="005B7E42"/>
    <w:rsid w:val="005C105C"/>
    <w:rsid w:val="005C365F"/>
    <w:rsid w:val="005C3FC6"/>
    <w:rsid w:val="005C734A"/>
    <w:rsid w:val="005C76B4"/>
    <w:rsid w:val="005D07E7"/>
    <w:rsid w:val="005D1ADE"/>
    <w:rsid w:val="005D2DCA"/>
    <w:rsid w:val="005D31EB"/>
    <w:rsid w:val="005D4EA9"/>
    <w:rsid w:val="005D67DD"/>
    <w:rsid w:val="005E04F6"/>
    <w:rsid w:val="005E2D86"/>
    <w:rsid w:val="005E3302"/>
    <w:rsid w:val="005F0595"/>
    <w:rsid w:val="005F22D6"/>
    <w:rsid w:val="005F25FA"/>
    <w:rsid w:val="005F4368"/>
    <w:rsid w:val="005F4724"/>
    <w:rsid w:val="005F5B17"/>
    <w:rsid w:val="005F75D0"/>
    <w:rsid w:val="005F7989"/>
    <w:rsid w:val="005F7A5B"/>
    <w:rsid w:val="005F7FFD"/>
    <w:rsid w:val="006010DC"/>
    <w:rsid w:val="0060128D"/>
    <w:rsid w:val="00601453"/>
    <w:rsid w:val="006029A7"/>
    <w:rsid w:val="00602D2C"/>
    <w:rsid w:val="00602F59"/>
    <w:rsid w:val="006035F9"/>
    <w:rsid w:val="00604331"/>
    <w:rsid w:val="0060514C"/>
    <w:rsid w:val="00605CAF"/>
    <w:rsid w:val="006073AF"/>
    <w:rsid w:val="00607CE6"/>
    <w:rsid w:val="00612880"/>
    <w:rsid w:val="00613674"/>
    <w:rsid w:val="00614CF5"/>
    <w:rsid w:val="00615005"/>
    <w:rsid w:val="00616D59"/>
    <w:rsid w:val="00620F70"/>
    <w:rsid w:val="006216F3"/>
    <w:rsid w:val="006221F1"/>
    <w:rsid w:val="00622761"/>
    <w:rsid w:val="006269CD"/>
    <w:rsid w:val="00626F84"/>
    <w:rsid w:val="006279A9"/>
    <w:rsid w:val="00627BCB"/>
    <w:rsid w:val="00630734"/>
    <w:rsid w:val="00631E69"/>
    <w:rsid w:val="00632AFA"/>
    <w:rsid w:val="006336F8"/>
    <w:rsid w:val="006358A7"/>
    <w:rsid w:val="006368D7"/>
    <w:rsid w:val="00641E24"/>
    <w:rsid w:val="00642852"/>
    <w:rsid w:val="006437B2"/>
    <w:rsid w:val="0064475A"/>
    <w:rsid w:val="006455B8"/>
    <w:rsid w:val="006456AD"/>
    <w:rsid w:val="006458FE"/>
    <w:rsid w:val="0065044B"/>
    <w:rsid w:val="0065107C"/>
    <w:rsid w:val="006511B4"/>
    <w:rsid w:val="00652B40"/>
    <w:rsid w:val="00653B56"/>
    <w:rsid w:val="006543D7"/>
    <w:rsid w:val="00655827"/>
    <w:rsid w:val="00656BD2"/>
    <w:rsid w:val="006603EB"/>
    <w:rsid w:val="00661174"/>
    <w:rsid w:val="00662D6E"/>
    <w:rsid w:val="00664426"/>
    <w:rsid w:val="00665421"/>
    <w:rsid w:val="00666CBB"/>
    <w:rsid w:val="00667579"/>
    <w:rsid w:val="0066789E"/>
    <w:rsid w:val="00667A58"/>
    <w:rsid w:val="00672AB1"/>
    <w:rsid w:val="00672C5F"/>
    <w:rsid w:val="00673FB8"/>
    <w:rsid w:val="00676789"/>
    <w:rsid w:val="006773D3"/>
    <w:rsid w:val="0068013C"/>
    <w:rsid w:val="00684787"/>
    <w:rsid w:val="00684C9E"/>
    <w:rsid w:val="00684ED1"/>
    <w:rsid w:val="00686F31"/>
    <w:rsid w:val="00692703"/>
    <w:rsid w:val="00692ADD"/>
    <w:rsid w:val="00696257"/>
    <w:rsid w:val="00697124"/>
    <w:rsid w:val="006A2498"/>
    <w:rsid w:val="006A3537"/>
    <w:rsid w:val="006A453F"/>
    <w:rsid w:val="006A4BB1"/>
    <w:rsid w:val="006A5271"/>
    <w:rsid w:val="006A582A"/>
    <w:rsid w:val="006A7C5B"/>
    <w:rsid w:val="006B0AE4"/>
    <w:rsid w:val="006B1405"/>
    <w:rsid w:val="006B195F"/>
    <w:rsid w:val="006B2548"/>
    <w:rsid w:val="006B2E90"/>
    <w:rsid w:val="006B3908"/>
    <w:rsid w:val="006B424C"/>
    <w:rsid w:val="006B4591"/>
    <w:rsid w:val="006B45ED"/>
    <w:rsid w:val="006B76C6"/>
    <w:rsid w:val="006B7743"/>
    <w:rsid w:val="006C049E"/>
    <w:rsid w:val="006C07B2"/>
    <w:rsid w:val="006C1A71"/>
    <w:rsid w:val="006C29DE"/>
    <w:rsid w:val="006C3068"/>
    <w:rsid w:val="006C31E9"/>
    <w:rsid w:val="006C431D"/>
    <w:rsid w:val="006C4814"/>
    <w:rsid w:val="006C4CEE"/>
    <w:rsid w:val="006C5252"/>
    <w:rsid w:val="006D047B"/>
    <w:rsid w:val="006D0D94"/>
    <w:rsid w:val="006D27F5"/>
    <w:rsid w:val="006D3EB1"/>
    <w:rsid w:val="006E1047"/>
    <w:rsid w:val="006E1B6E"/>
    <w:rsid w:val="006E531B"/>
    <w:rsid w:val="006E5711"/>
    <w:rsid w:val="006E5FFB"/>
    <w:rsid w:val="006E6FBF"/>
    <w:rsid w:val="006F030B"/>
    <w:rsid w:val="006F1C04"/>
    <w:rsid w:val="006F293C"/>
    <w:rsid w:val="006F2C03"/>
    <w:rsid w:val="006F39C3"/>
    <w:rsid w:val="006F6D2F"/>
    <w:rsid w:val="006F78D1"/>
    <w:rsid w:val="0070082C"/>
    <w:rsid w:val="00702300"/>
    <w:rsid w:val="00702358"/>
    <w:rsid w:val="00702AAC"/>
    <w:rsid w:val="0070315C"/>
    <w:rsid w:val="00705584"/>
    <w:rsid w:val="00705D5C"/>
    <w:rsid w:val="007079B1"/>
    <w:rsid w:val="00707CD8"/>
    <w:rsid w:val="00712E03"/>
    <w:rsid w:val="0071339A"/>
    <w:rsid w:val="007137F7"/>
    <w:rsid w:val="00715509"/>
    <w:rsid w:val="00716F1C"/>
    <w:rsid w:val="007175E8"/>
    <w:rsid w:val="00717677"/>
    <w:rsid w:val="00720470"/>
    <w:rsid w:val="00720669"/>
    <w:rsid w:val="007209B9"/>
    <w:rsid w:val="007211F1"/>
    <w:rsid w:val="007219E1"/>
    <w:rsid w:val="00722BD1"/>
    <w:rsid w:val="0072337B"/>
    <w:rsid w:val="00723AF6"/>
    <w:rsid w:val="007247D9"/>
    <w:rsid w:val="00727F11"/>
    <w:rsid w:val="0073105B"/>
    <w:rsid w:val="007328F7"/>
    <w:rsid w:val="007349E6"/>
    <w:rsid w:val="00736BD4"/>
    <w:rsid w:val="007418E0"/>
    <w:rsid w:val="00743012"/>
    <w:rsid w:val="007447D2"/>
    <w:rsid w:val="007460F7"/>
    <w:rsid w:val="0074622A"/>
    <w:rsid w:val="00746542"/>
    <w:rsid w:val="00746AB9"/>
    <w:rsid w:val="00750EB3"/>
    <w:rsid w:val="00750F10"/>
    <w:rsid w:val="00753912"/>
    <w:rsid w:val="00760EDC"/>
    <w:rsid w:val="007610BD"/>
    <w:rsid w:val="00761427"/>
    <w:rsid w:val="0076718E"/>
    <w:rsid w:val="007718FD"/>
    <w:rsid w:val="00773BFF"/>
    <w:rsid w:val="007741DC"/>
    <w:rsid w:val="007754C1"/>
    <w:rsid w:val="0077584C"/>
    <w:rsid w:val="0077682F"/>
    <w:rsid w:val="007771A9"/>
    <w:rsid w:val="0077752F"/>
    <w:rsid w:val="00780437"/>
    <w:rsid w:val="00780BD8"/>
    <w:rsid w:val="0078120F"/>
    <w:rsid w:val="0078280C"/>
    <w:rsid w:val="00782923"/>
    <w:rsid w:val="00785358"/>
    <w:rsid w:val="00786789"/>
    <w:rsid w:val="007870DF"/>
    <w:rsid w:val="0079050E"/>
    <w:rsid w:val="00791A75"/>
    <w:rsid w:val="00791BA3"/>
    <w:rsid w:val="007925EB"/>
    <w:rsid w:val="00792C30"/>
    <w:rsid w:val="00792DA5"/>
    <w:rsid w:val="00793234"/>
    <w:rsid w:val="00794907"/>
    <w:rsid w:val="00794D46"/>
    <w:rsid w:val="007962AF"/>
    <w:rsid w:val="007964A4"/>
    <w:rsid w:val="00796EA1"/>
    <w:rsid w:val="00797514"/>
    <w:rsid w:val="007A0065"/>
    <w:rsid w:val="007A23B3"/>
    <w:rsid w:val="007A428C"/>
    <w:rsid w:val="007A43C5"/>
    <w:rsid w:val="007A6D61"/>
    <w:rsid w:val="007B0947"/>
    <w:rsid w:val="007B2C40"/>
    <w:rsid w:val="007B3D16"/>
    <w:rsid w:val="007B47FD"/>
    <w:rsid w:val="007B58DE"/>
    <w:rsid w:val="007B58E9"/>
    <w:rsid w:val="007B6ACB"/>
    <w:rsid w:val="007B797B"/>
    <w:rsid w:val="007B7C22"/>
    <w:rsid w:val="007C3842"/>
    <w:rsid w:val="007C4236"/>
    <w:rsid w:val="007C6690"/>
    <w:rsid w:val="007D1E33"/>
    <w:rsid w:val="007D428B"/>
    <w:rsid w:val="007D4683"/>
    <w:rsid w:val="007D7ADA"/>
    <w:rsid w:val="007E1AAA"/>
    <w:rsid w:val="007E217D"/>
    <w:rsid w:val="007E2D9C"/>
    <w:rsid w:val="007E3001"/>
    <w:rsid w:val="007E7AE6"/>
    <w:rsid w:val="007F0777"/>
    <w:rsid w:val="007F24A2"/>
    <w:rsid w:val="007F494E"/>
    <w:rsid w:val="007F6908"/>
    <w:rsid w:val="008004ED"/>
    <w:rsid w:val="00801539"/>
    <w:rsid w:val="00802292"/>
    <w:rsid w:val="0080390D"/>
    <w:rsid w:val="008059B0"/>
    <w:rsid w:val="008059C1"/>
    <w:rsid w:val="00806AD1"/>
    <w:rsid w:val="00810ADB"/>
    <w:rsid w:val="00811C2E"/>
    <w:rsid w:val="00813731"/>
    <w:rsid w:val="00814F29"/>
    <w:rsid w:val="00816025"/>
    <w:rsid w:val="00816229"/>
    <w:rsid w:val="0081667A"/>
    <w:rsid w:val="008170C4"/>
    <w:rsid w:val="00817889"/>
    <w:rsid w:val="00820301"/>
    <w:rsid w:val="00822600"/>
    <w:rsid w:val="00830424"/>
    <w:rsid w:val="00830EF7"/>
    <w:rsid w:val="00831159"/>
    <w:rsid w:val="00835C19"/>
    <w:rsid w:val="00835FE5"/>
    <w:rsid w:val="00836158"/>
    <w:rsid w:val="00836698"/>
    <w:rsid w:val="0083753C"/>
    <w:rsid w:val="008376D7"/>
    <w:rsid w:val="00840B5D"/>
    <w:rsid w:val="0084156F"/>
    <w:rsid w:val="00842C54"/>
    <w:rsid w:val="00843017"/>
    <w:rsid w:val="00843969"/>
    <w:rsid w:val="00845662"/>
    <w:rsid w:val="008514FA"/>
    <w:rsid w:val="00851C01"/>
    <w:rsid w:val="00853F4F"/>
    <w:rsid w:val="008548E1"/>
    <w:rsid w:val="0085530A"/>
    <w:rsid w:val="0085586B"/>
    <w:rsid w:val="008559B3"/>
    <w:rsid w:val="0085659B"/>
    <w:rsid w:val="008620C5"/>
    <w:rsid w:val="008626B7"/>
    <w:rsid w:val="008651F6"/>
    <w:rsid w:val="00866B53"/>
    <w:rsid w:val="00867FC8"/>
    <w:rsid w:val="008700EE"/>
    <w:rsid w:val="00870B01"/>
    <w:rsid w:val="00870B90"/>
    <w:rsid w:val="00871A0F"/>
    <w:rsid w:val="00873C48"/>
    <w:rsid w:val="00875791"/>
    <w:rsid w:val="008760FD"/>
    <w:rsid w:val="008766D1"/>
    <w:rsid w:val="0088014F"/>
    <w:rsid w:val="00882F63"/>
    <w:rsid w:val="0088470B"/>
    <w:rsid w:val="00885204"/>
    <w:rsid w:val="00887041"/>
    <w:rsid w:val="00890A2B"/>
    <w:rsid w:val="00894F74"/>
    <w:rsid w:val="008A10EA"/>
    <w:rsid w:val="008A147C"/>
    <w:rsid w:val="008A261B"/>
    <w:rsid w:val="008A366C"/>
    <w:rsid w:val="008A3FA9"/>
    <w:rsid w:val="008A5F2A"/>
    <w:rsid w:val="008A5F4A"/>
    <w:rsid w:val="008B18E3"/>
    <w:rsid w:val="008B2A3A"/>
    <w:rsid w:val="008B2B6F"/>
    <w:rsid w:val="008B392B"/>
    <w:rsid w:val="008B4396"/>
    <w:rsid w:val="008B46EC"/>
    <w:rsid w:val="008B61CB"/>
    <w:rsid w:val="008B6B34"/>
    <w:rsid w:val="008B6BEC"/>
    <w:rsid w:val="008B73D2"/>
    <w:rsid w:val="008C0BAD"/>
    <w:rsid w:val="008C18A0"/>
    <w:rsid w:val="008C1C9A"/>
    <w:rsid w:val="008C319B"/>
    <w:rsid w:val="008C4D5D"/>
    <w:rsid w:val="008C67CE"/>
    <w:rsid w:val="008D07B7"/>
    <w:rsid w:val="008D07DF"/>
    <w:rsid w:val="008D199F"/>
    <w:rsid w:val="008D245F"/>
    <w:rsid w:val="008D266E"/>
    <w:rsid w:val="008D63F0"/>
    <w:rsid w:val="008E0663"/>
    <w:rsid w:val="008E11CA"/>
    <w:rsid w:val="008E14F7"/>
    <w:rsid w:val="008E302E"/>
    <w:rsid w:val="008E3366"/>
    <w:rsid w:val="008E5E5E"/>
    <w:rsid w:val="008E67E0"/>
    <w:rsid w:val="008F0743"/>
    <w:rsid w:val="008F0DB0"/>
    <w:rsid w:val="008F1BF7"/>
    <w:rsid w:val="008F1F92"/>
    <w:rsid w:val="00903AF0"/>
    <w:rsid w:val="00905025"/>
    <w:rsid w:val="009071EC"/>
    <w:rsid w:val="00911900"/>
    <w:rsid w:val="009126AE"/>
    <w:rsid w:val="00912D70"/>
    <w:rsid w:val="00913BE2"/>
    <w:rsid w:val="00915FD5"/>
    <w:rsid w:val="00921C71"/>
    <w:rsid w:val="00923500"/>
    <w:rsid w:val="0092423D"/>
    <w:rsid w:val="009252FA"/>
    <w:rsid w:val="00925E46"/>
    <w:rsid w:val="009267F2"/>
    <w:rsid w:val="00927277"/>
    <w:rsid w:val="00927CF8"/>
    <w:rsid w:val="00930B60"/>
    <w:rsid w:val="00936285"/>
    <w:rsid w:val="009369B6"/>
    <w:rsid w:val="009369F4"/>
    <w:rsid w:val="00937DC8"/>
    <w:rsid w:val="00940207"/>
    <w:rsid w:val="009461C7"/>
    <w:rsid w:val="009502FA"/>
    <w:rsid w:val="00950991"/>
    <w:rsid w:val="00951DCE"/>
    <w:rsid w:val="009527CA"/>
    <w:rsid w:val="009534FC"/>
    <w:rsid w:val="00953566"/>
    <w:rsid w:val="00953740"/>
    <w:rsid w:val="00954183"/>
    <w:rsid w:val="0095492A"/>
    <w:rsid w:val="009554CA"/>
    <w:rsid w:val="00955B70"/>
    <w:rsid w:val="009602ED"/>
    <w:rsid w:val="00960585"/>
    <w:rsid w:val="00961D66"/>
    <w:rsid w:val="009637C6"/>
    <w:rsid w:val="00964473"/>
    <w:rsid w:val="00965C53"/>
    <w:rsid w:val="00966431"/>
    <w:rsid w:val="009675BE"/>
    <w:rsid w:val="0097109E"/>
    <w:rsid w:val="00971F1F"/>
    <w:rsid w:val="00972C7F"/>
    <w:rsid w:val="00973298"/>
    <w:rsid w:val="009761C2"/>
    <w:rsid w:val="00980016"/>
    <w:rsid w:val="00980DE2"/>
    <w:rsid w:val="0098280A"/>
    <w:rsid w:val="009832BD"/>
    <w:rsid w:val="009835B6"/>
    <w:rsid w:val="009849E9"/>
    <w:rsid w:val="009850F5"/>
    <w:rsid w:val="00985A60"/>
    <w:rsid w:val="00990CE6"/>
    <w:rsid w:val="009913DA"/>
    <w:rsid w:val="0099496E"/>
    <w:rsid w:val="00994D05"/>
    <w:rsid w:val="00994FB1"/>
    <w:rsid w:val="009956C3"/>
    <w:rsid w:val="009A0E13"/>
    <w:rsid w:val="009A10AA"/>
    <w:rsid w:val="009A1C75"/>
    <w:rsid w:val="009A2338"/>
    <w:rsid w:val="009A4B88"/>
    <w:rsid w:val="009A756E"/>
    <w:rsid w:val="009A770A"/>
    <w:rsid w:val="009A7E54"/>
    <w:rsid w:val="009B10E2"/>
    <w:rsid w:val="009B19B5"/>
    <w:rsid w:val="009B2231"/>
    <w:rsid w:val="009B33DC"/>
    <w:rsid w:val="009B4DC6"/>
    <w:rsid w:val="009B53CF"/>
    <w:rsid w:val="009B6864"/>
    <w:rsid w:val="009B787A"/>
    <w:rsid w:val="009B7C34"/>
    <w:rsid w:val="009C1356"/>
    <w:rsid w:val="009C24A8"/>
    <w:rsid w:val="009C2704"/>
    <w:rsid w:val="009C2EEA"/>
    <w:rsid w:val="009C5ABC"/>
    <w:rsid w:val="009C6B59"/>
    <w:rsid w:val="009C7B3D"/>
    <w:rsid w:val="009D05A2"/>
    <w:rsid w:val="009D10DF"/>
    <w:rsid w:val="009D1918"/>
    <w:rsid w:val="009D19D8"/>
    <w:rsid w:val="009D1B44"/>
    <w:rsid w:val="009D239E"/>
    <w:rsid w:val="009D2B66"/>
    <w:rsid w:val="009D2D0E"/>
    <w:rsid w:val="009D3365"/>
    <w:rsid w:val="009D355E"/>
    <w:rsid w:val="009D4925"/>
    <w:rsid w:val="009D4EC4"/>
    <w:rsid w:val="009D5F02"/>
    <w:rsid w:val="009D71D8"/>
    <w:rsid w:val="009E4F0C"/>
    <w:rsid w:val="009E524B"/>
    <w:rsid w:val="009E680C"/>
    <w:rsid w:val="009E6DD9"/>
    <w:rsid w:val="009E70F9"/>
    <w:rsid w:val="009E7778"/>
    <w:rsid w:val="009F0823"/>
    <w:rsid w:val="009F11E3"/>
    <w:rsid w:val="009F430E"/>
    <w:rsid w:val="009F5960"/>
    <w:rsid w:val="009F74B7"/>
    <w:rsid w:val="009F7732"/>
    <w:rsid w:val="00A00420"/>
    <w:rsid w:val="00A01150"/>
    <w:rsid w:val="00A0191B"/>
    <w:rsid w:val="00A023C4"/>
    <w:rsid w:val="00A0245E"/>
    <w:rsid w:val="00A0279C"/>
    <w:rsid w:val="00A029CA"/>
    <w:rsid w:val="00A04782"/>
    <w:rsid w:val="00A04A05"/>
    <w:rsid w:val="00A04E33"/>
    <w:rsid w:val="00A050B6"/>
    <w:rsid w:val="00A079CF"/>
    <w:rsid w:val="00A133F8"/>
    <w:rsid w:val="00A15EBB"/>
    <w:rsid w:val="00A17538"/>
    <w:rsid w:val="00A207E4"/>
    <w:rsid w:val="00A21196"/>
    <w:rsid w:val="00A2173E"/>
    <w:rsid w:val="00A22E4F"/>
    <w:rsid w:val="00A234FB"/>
    <w:rsid w:val="00A24350"/>
    <w:rsid w:val="00A2459D"/>
    <w:rsid w:val="00A25A4F"/>
    <w:rsid w:val="00A25F5A"/>
    <w:rsid w:val="00A26C1A"/>
    <w:rsid w:val="00A274EB"/>
    <w:rsid w:val="00A27938"/>
    <w:rsid w:val="00A3010B"/>
    <w:rsid w:val="00A30A17"/>
    <w:rsid w:val="00A320A9"/>
    <w:rsid w:val="00A329F1"/>
    <w:rsid w:val="00A3344F"/>
    <w:rsid w:val="00A33509"/>
    <w:rsid w:val="00A34376"/>
    <w:rsid w:val="00A355A6"/>
    <w:rsid w:val="00A3656B"/>
    <w:rsid w:val="00A36793"/>
    <w:rsid w:val="00A367F5"/>
    <w:rsid w:val="00A37032"/>
    <w:rsid w:val="00A3707F"/>
    <w:rsid w:val="00A4001F"/>
    <w:rsid w:val="00A414B9"/>
    <w:rsid w:val="00A41A56"/>
    <w:rsid w:val="00A4375F"/>
    <w:rsid w:val="00A43B78"/>
    <w:rsid w:val="00A44484"/>
    <w:rsid w:val="00A45093"/>
    <w:rsid w:val="00A45E14"/>
    <w:rsid w:val="00A55252"/>
    <w:rsid w:val="00A55E08"/>
    <w:rsid w:val="00A5726F"/>
    <w:rsid w:val="00A57BE7"/>
    <w:rsid w:val="00A6059E"/>
    <w:rsid w:val="00A6077B"/>
    <w:rsid w:val="00A60FD2"/>
    <w:rsid w:val="00A63CF9"/>
    <w:rsid w:val="00A652AE"/>
    <w:rsid w:val="00A65EBE"/>
    <w:rsid w:val="00A65F7F"/>
    <w:rsid w:val="00A704CF"/>
    <w:rsid w:val="00A714F9"/>
    <w:rsid w:val="00A7207D"/>
    <w:rsid w:val="00A75FA6"/>
    <w:rsid w:val="00A77077"/>
    <w:rsid w:val="00A80758"/>
    <w:rsid w:val="00A80C87"/>
    <w:rsid w:val="00A81379"/>
    <w:rsid w:val="00A87B6D"/>
    <w:rsid w:val="00A87C50"/>
    <w:rsid w:val="00A92F86"/>
    <w:rsid w:val="00A931BB"/>
    <w:rsid w:val="00A946DE"/>
    <w:rsid w:val="00A960BF"/>
    <w:rsid w:val="00A96ABA"/>
    <w:rsid w:val="00AA25AF"/>
    <w:rsid w:val="00AA2B20"/>
    <w:rsid w:val="00AA3A36"/>
    <w:rsid w:val="00AA423D"/>
    <w:rsid w:val="00AA5B00"/>
    <w:rsid w:val="00AA6458"/>
    <w:rsid w:val="00AA6CE4"/>
    <w:rsid w:val="00AA6DA3"/>
    <w:rsid w:val="00AA7646"/>
    <w:rsid w:val="00AA76CA"/>
    <w:rsid w:val="00AA77CD"/>
    <w:rsid w:val="00AB372B"/>
    <w:rsid w:val="00AB50E8"/>
    <w:rsid w:val="00AB706D"/>
    <w:rsid w:val="00AC127A"/>
    <w:rsid w:val="00AC1D8C"/>
    <w:rsid w:val="00AC28D6"/>
    <w:rsid w:val="00AC2A24"/>
    <w:rsid w:val="00AC39EB"/>
    <w:rsid w:val="00AC3F5A"/>
    <w:rsid w:val="00AC4967"/>
    <w:rsid w:val="00AC5136"/>
    <w:rsid w:val="00AC625D"/>
    <w:rsid w:val="00AC74C7"/>
    <w:rsid w:val="00AD2BD4"/>
    <w:rsid w:val="00AD3915"/>
    <w:rsid w:val="00AD5518"/>
    <w:rsid w:val="00AD745E"/>
    <w:rsid w:val="00AD78A6"/>
    <w:rsid w:val="00AE12B5"/>
    <w:rsid w:val="00AE3484"/>
    <w:rsid w:val="00AE7177"/>
    <w:rsid w:val="00AE7F06"/>
    <w:rsid w:val="00AF01FF"/>
    <w:rsid w:val="00AF0895"/>
    <w:rsid w:val="00AF2EBC"/>
    <w:rsid w:val="00AF325C"/>
    <w:rsid w:val="00AF331E"/>
    <w:rsid w:val="00AF3702"/>
    <w:rsid w:val="00AF3DFB"/>
    <w:rsid w:val="00AF4DB3"/>
    <w:rsid w:val="00AF7260"/>
    <w:rsid w:val="00AF7AE3"/>
    <w:rsid w:val="00B02559"/>
    <w:rsid w:val="00B043C0"/>
    <w:rsid w:val="00B04528"/>
    <w:rsid w:val="00B0557E"/>
    <w:rsid w:val="00B0668A"/>
    <w:rsid w:val="00B10BEB"/>
    <w:rsid w:val="00B12084"/>
    <w:rsid w:val="00B1232E"/>
    <w:rsid w:val="00B12CCE"/>
    <w:rsid w:val="00B13C7F"/>
    <w:rsid w:val="00B14EB0"/>
    <w:rsid w:val="00B155BB"/>
    <w:rsid w:val="00B16355"/>
    <w:rsid w:val="00B17304"/>
    <w:rsid w:val="00B1780E"/>
    <w:rsid w:val="00B20C4D"/>
    <w:rsid w:val="00B20FA7"/>
    <w:rsid w:val="00B21A3D"/>
    <w:rsid w:val="00B22976"/>
    <w:rsid w:val="00B2460C"/>
    <w:rsid w:val="00B24D94"/>
    <w:rsid w:val="00B24F18"/>
    <w:rsid w:val="00B24F6D"/>
    <w:rsid w:val="00B255D7"/>
    <w:rsid w:val="00B26B7F"/>
    <w:rsid w:val="00B30C00"/>
    <w:rsid w:val="00B31029"/>
    <w:rsid w:val="00B3184D"/>
    <w:rsid w:val="00B32AF4"/>
    <w:rsid w:val="00B3385B"/>
    <w:rsid w:val="00B34334"/>
    <w:rsid w:val="00B35935"/>
    <w:rsid w:val="00B37D9D"/>
    <w:rsid w:val="00B42D8A"/>
    <w:rsid w:val="00B4613D"/>
    <w:rsid w:val="00B506CE"/>
    <w:rsid w:val="00B50CD4"/>
    <w:rsid w:val="00B517DC"/>
    <w:rsid w:val="00B5259E"/>
    <w:rsid w:val="00B53CA3"/>
    <w:rsid w:val="00B55843"/>
    <w:rsid w:val="00B560E2"/>
    <w:rsid w:val="00B562C2"/>
    <w:rsid w:val="00B570C7"/>
    <w:rsid w:val="00B574BD"/>
    <w:rsid w:val="00B60417"/>
    <w:rsid w:val="00B60983"/>
    <w:rsid w:val="00B61F5E"/>
    <w:rsid w:val="00B63AB6"/>
    <w:rsid w:val="00B64282"/>
    <w:rsid w:val="00B64D24"/>
    <w:rsid w:val="00B64DB2"/>
    <w:rsid w:val="00B65847"/>
    <w:rsid w:val="00B67FB0"/>
    <w:rsid w:val="00B7258F"/>
    <w:rsid w:val="00B72D9D"/>
    <w:rsid w:val="00B74CAA"/>
    <w:rsid w:val="00B766DA"/>
    <w:rsid w:val="00B76D66"/>
    <w:rsid w:val="00B80C1B"/>
    <w:rsid w:val="00B858ED"/>
    <w:rsid w:val="00B859C7"/>
    <w:rsid w:val="00B85BD2"/>
    <w:rsid w:val="00B92CCC"/>
    <w:rsid w:val="00B93555"/>
    <w:rsid w:val="00B9517E"/>
    <w:rsid w:val="00B95242"/>
    <w:rsid w:val="00B960FE"/>
    <w:rsid w:val="00B96E74"/>
    <w:rsid w:val="00BA034F"/>
    <w:rsid w:val="00BA0D17"/>
    <w:rsid w:val="00BA573F"/>
    <w:rsid w:val="00BA5B12"/>
    <w:rsid w:val="00BA6112"/>
    <w:rsid w:val="00BA7E86"/>
    <w:rsid w:val="00BB0698"/>
    <w:rsid w:val="00BB11DE"/>
    <w:rsid w:val="00BB19C5"/>
    <w:rsid w:val="00BB593B"/>
    <w:rsid w:val="00BC02BB"/>
    <w:rsid w:val="00BC04BD"/>
    <w:rsid w:val="00BC1010"/>
    <w:rsid w:val="00BC1C3D"/>
    <w:rsid w:val="00BC4B79"/>
    <w:rsid w:val="00BC5E0C"/>
    <w:rsid w:val="00BC6AA7"/>
    <w:rsid w:val="00BD01F8"/>
    <w:rsid w:val="00BD14D4"/>
    <w:rsid w:val="00BD3146"/>
    <w:rsid w:val="00BD3427"/>
    <w:rsid w:val="00BD3AEB"/>
    <w:rsid w:val="00BD4A2F"/>
    <w:rsid w:val="00BE0487"/>
    <w:rsid w:val="00BE130F"/>
    <w:rsid w:val="00BE1A3F"/>
    <w:rsid w:val="00BE25FD"/>
    <w:rsid w:val="00BE28DB"/>
    <w:rsid w:val="00BE332B"/>
    <w:rsid w:val="00BE5993"/>
    <w:rsid w:val="00BE6804"/>
    <w:rsid w:val="00BE6BCC"/>
    <w:rsid w:val="00BF0593"/>
    <w:rsid w:val="00BF065D"/>
    <w:rsid w:val="00BF34A0"/>
    <w:rsid w:val="00BF4BC4"/>
    <w:rsid w:val="00C00BA5"/>
    <w:rsid w:val="00C01196"/>
    <w:rsid w:val="00C012B0"/>
    <w:rsid w:val="00C016EA"/>
    <w:rsid w:val="00C025FD"/>
    <w:rsid w:val="00C04426"/>
    <w:rsid w:val="00C063B7"/>
    <w:rsid w:val="00C06A05"/>
    <w:rsid w:val="00C06F12"/>
    <w:rsid w:val="00C1243E"/>
    <w:rsid w:val="00C14813"/>
    <w:rsid w:val="00C15682"/>
    <w:rsid w:val="00C15B76"/>
    <w:rsid w:val="00C165BE"/>
    <w:rsid w:val="00C16B60"/>
    <w:rsid w:val="00C174C5"/>
    <w:rsid w:val="00C17851"/>
    <w:rsid w:val="00C20677"/>
    <w:rsid w:val="00C21A0F"/>
    <w:rsid w:val="00C22AC9"/>
    <w:rsid w:val="00C24DA6"/>
    <w:rsid w:val="00C25243"/>
    <w:rsid w:val="00C2598C"/>
    <w:rsid w:val="00C273ED"/>
    <w:rsid w:val="00C30EC5"/>
    <w:rsid w:val="00C34EE5"/>
    <w:rsid w:val="00C35A97"/>
    <w:rsid w:val="00C35F0B"/>
    <w:rsid w:val="00C370CE"/>
    <w:rsid w:val="00C37CBE"/>
    <w:rsid w:val="00C37D8D"/>
    <w:rsid w:val="00C4002A"/>
    <w:rsid w:val="00C406E4"/>
    <w:rsid w:val="00C42E26"/>
    <w:rsid w:val="00C43AD8"/>
    <w:rsid w:val="00C449CF"/>
    <w:rsid w:val="00C45BCD"/>
    <w:rsid w:val="00C500ED"/>
    <w:rsid w:val="00C51C95"/>
    <w:rsid w:val="00C53490"/>
    <w:rsid w:val="00C53686"/>
    <w:rsid w:val="00C5497B"/>
    <w:rsid w:val="00C54B45"/>
    <w:rsid w:val="00C55B7A"/>
    <w:rsid w:val="00C56AE3"/>
    <w:rsid w:val="00C5771F"/>
    <w:rsid w:val="00C6066A"/>
    <w:rsid w:val="00C6104E"/>
    <w:rsid w:val="00C61637"/>
    <w:rsid w:val="00C6284D"/>
    <w:rsid w:val="00C676D2"/>
    <w:rsid w:val="00C67C1D"/>
    <w:rsid w:val="00C722E4"/>
    <w:rsid w:val="00C73F80"/>
    <w:rsid w:val="00C74CDE"/>
    <w:rsid w:val="00C75259"/>
    <w:rsid w:val="00C75FB4"/>
    <w:rsid w:val="00C80F0E"/>
    <w:rsid w:val="00C81BBA"/>
    <w:rsid w:val="00C859D6"/>
    <w:rsid w:val="00C8604F"/>
    <w:rsid w:val="00C87B20"/>
    <w:rsid w:val="00C90044"/>
    <w:rsid w:val="00C90245"/>
    <w:rsid w:val="00C921EE"/>
    <w:rsid w:val="00C9288A"/>
    <w:rsid w:val="00C93FDA"/>
    <w:rsid w:val="00C95111"/>
    <w:rsid w:val="00C97FA2"/>
    <w:rsid w:val="00CA088C"/>
    <w:rsid w:val="00CA134D"/>
    <w:rsid w:val="00CA321B"/>
    <w:rsid w:val="00CA3CE6"/>
    <w:rsid w:val="00CA55C7"/>
    <w:rsid w:val="00CA5C22"/>
    <w:rsid w:val="00CA62FA"/>
    <w:rsid w:val="00CA636B"/>
    <w:rsid w:val="00CB022F"/>
    <w:rsid w:val="00CB02CA"/>
    <w:rsid w:val="00CB11E4"/>
    <w:rsid w:val="00CB1528"/>
    <w:rsid w:val="00CB17E7"/>
    <w:rsid w:val="00CB29D9"/>
    <w:rsid w:val="00CB3802"/>
    <w:rsid w:val="00CB584C"/>
    <w:rsid w:val="00CB5DA0"/>
    <w:rsid w:val="00CB600D"/>
    <w:rsid w:val="00CB618F"/>
    <w:rsid w:val="00CB701B"/>
    <w:rsid w:val="00CB764F"/>
    <w:rsid w:val="00CB7E0B"/>
    <w:rsid w:val="00CC3540"/>
    <w:rsid w:val="00CC43D3"/>
    <w:rsid w:val="00CC5E3D"/>
    <w:rsid w:val="00CC6416"/>
    <w:rsid w:val="00CC6CF0"/>
    <w:rsid w:val="00CD057F"/>
    <w:rsid w:val="00CD07A1"/>
    <w:rsid w:val="00CD0AAC"/>
    <w:rsid w:val="00CD1A13"/>
    <w:rsid w:val="00CD1AAA"/>
    <w:rsid w:val="00CD3B29"/>
    <w:rsid w:val="00CD429C"/>
    <w:rsid w:val="00CD6178"/>
    <w:rsid w:val="00CE02B6"/>
    <w:rsid w:val="00CE087A"/>
    <w:rsid w:val="00CE267C"/>
    <w:rsid w:val="00CE2723"/>
    <w:rsid w:val="00CE6015"/>
    <w:rsid w:val="00CE61C8"/>
    <w:rsid w:val="00CE667D"/>
    <w:rsid w:val="00CE6BD8"/>
    <w:rsid w:val="00CF0E4C"/>
    <w:rsid w:val="00CF1696"/>
    <w:rsid w:val="00CF2634"/>
    <w:rsid w:val="00CF2769"/>
    <w:rsid w:val="00CF5910"/>
    <w:rsid w:val="00D01BFA"/>
    <w:rsid w:val="00D02BD4"/>
    <w:rsid w:val="00D032F6"/>
    <w:rsid w:val="00D06599"/>
    <w:rsid w:val="00D06E5C"/>
    <w:rsid w:val="00D109CE"/>
    <w:rsid w:val="00D151F9"/>
    <w:rsid w:val="00D15DC2"/>
    <w:rsid w:val="00D15E28"/>
    <w:rsid w:val="00D161EE"/>
    <w:rsid w:val="00D16AD1"/>
    <w:rsid w:val="00D17B7E"/>
    <w:rsid w:val="00D27227"/>
    <w:rsid w:val="00D27AE5"/>
    <w:rsid w:val="00D27E55"/>
    <w:rsid w:val="00D30F83"/>
    <w:rsid w:val="00D32FB1"/>
    <w:rsid w:val="00D340BB"/>
    <w:rsid w:val="00D34C7F"/>
    <w:rsid w:val="00D43B6C"/>
    <w:rsid w:val="00D45798"/>
    <w:rsid w:val="00D467D8"/>
    <w:rsid w:val="00D46DD4"/>
    <w:rsid w:val="00D4794D"/>
    <w:rsid w:val="00D5252A"/>
    <w:rsid w:val="00D5413E"/>
    <w:rsid w:val="00D56FD4"/>
    <w:rsid w:val="00D60ECF"/>
    <w:rsid w:val="00D616BE"/>
    <w:rsid w:val="00D6346C"/>
    <w:rsid w:val="00D64402"/>
    <w:rsid w:val="00D66914"/>
    <w:rsid w:val="00D66A37"/>
    <w:rsid w:val="00D6791D"/>
    <w:rsid w:val="00D67C8B"/>
    <w:rsid w:val="00D7091F"/>
    <w:rsid w:val="00D70FB9"/>
    <w:rsid w:val="00D71DD6"/>
    <w:rsid w:val="00D72463"/>
    <w:rsid w:val="00D7266E"/>
    <w:rsid w:val="00D73DB9"/>
    <w:rsid w:val="00D75126"/>
    <w:rsid w:val="00D7694D"/>
    <w:rsid w:val="00D81935"/>
    <w:rsid w:val="00D84134"/>
    <w:rsid w:val="00D85AE0"/>
    <w:rsid w:val="00D868AC"/>
    <w:rsid w:val="00D86B8F"/>
    <w:rsid w:val="00D874A1"/>
    <w:rsid w:val="00D8795E"/>
    <w:rsid w:val="00D927C2"/>
    <w:rsid w:val="00D94D20"/>
    <w:rsid w:val="00D9670C"/>
    <w:rsid w:val="00D97CFF"/>
    <w:rsid w:val="00DA04FF"/>
    <w:rsid w:val="00DA0961"/>
    <w:rsid w:val="00DA0F4A"/>
    <w:rsid w:val="00DA10D1"/>
    <w:rsid w:val="00DA3BB3"/>
    <w:rsid w:val="00DA4DF1"/>
    <w:rsid w:val="00DA6D09"/>
    <w:rsid w:val="00DA77E6"/>
    <w:rsid w:val="00DA79E3"/>
    <w:rsid w:val="00DB089D"/>
    <w:rsid w:val="00DB1536"/>
    <w:rsid w:val="00DB2360"/>
    <w:rsid w:val="00DB5EFA"/>
    <w:rsid w:val="00DB6762"/>
    <w:rsid w:val="00DB6D3A"/>
    <w:rsid w:val="00DB6E4A"/>
    <w:rsid w:val="00DC102B"/>
    <w:rsid w:val="00DC1D6E"/>
    <w:rsid w:val="00DC223A"/>
    <w:rsid w:val="00DC4D65"/>
    <w:rsid w:val="00DD0DEE"/>
    <w:rsid w:val="00DD2942"/>
    <w:rsid w:val="00DD3E2D"/>
    <w:rsid w:val="00DD579E"/>
    <w:rsid w:val="00DD60BA"/>
    <w:rsid w:val="00DD7DD9"/>
    <w:rsid w:val="00DE04FF"/>
    <w:rsid w:val="00DE1A1E"/>
    <w:rsid w:val="00DE2019"/>
    <w:rsid w:val="00DE2D75"/>
    <w:rsid w:val="00DE4DE8"/>
    <w:rsid w:val="00DE6A3B"/>
    <w:rsid w:val="00DE6F4D"/>
    <w:rsid w:val="00DE7714"/>
    <w:rsid w:val="00DF0AC7"/>
    <w:rsid w:val="00DF2E49"/>
    <w:rsid w:val="00DF315C"/>
    <w:rsid w:val="00DF39F7"/>
    <w:rsid w:val="00DF3FD7"/>
    <w:rsid w:val="00DF4C31"/>
    <w:rsid w:val="00DF4FBC"/>
    <w:rsid w:val="00DF5B1E"/>
    <w:rsid w:val="00DF5BF9"/>
    <w:rsid w:val="00E00141"/>
    <w:rsid w:val="00E00D96"/>
    <w:rsid w:val="00E010DB"/>
    <w:rsid w:val="00E01F72"/>
    <w:rsid w:val="00E0419F"/>
    <w:rsid w:val="00E05926"/>
    <w:rsid w:val="00E06AAE"/>
    <w:rsid w:val="00E06EF9"/>
    <w:rsid w:val="00E10858"/>
    <w:rsid w:val="00E1179E"/>
    <w:rsid w:val="00E1181C"/>
    <w:rsid w:val="00E12952"/>
    <w:rsid w:val="00E140A7"/>
    <w:rsid w:val="00E14247"/>
    <w:rsid w:val="00E1485E"/>
    <w:rsid w:val="00E160E7"/>
    <w:rsid w:val="00E17368"/>
    <w:rsid w:val="00E22256"/>
    <w:rsid w:val="00E23708"/>
    <w:rsid w:val="00E32A1E"/>
    <w:rsid w:val="00E35302"/>
    <w:rsid w:val="00E3738E"/>
    <w:rsid w:val="00E400AD"/>
    <w:rsid w:val="00E41288"/>
    <w:rsid w:val="00E46694"/>
    <w:rsid w:val="00E50EDA"/>
    <w:rsid w:val="00E51007"/>
    <w:rsid w:val="00E52DDB"/>
    <w:rsid w:val="00E53EBD"/>
    <w:rsid w:val="00E543BA"/>
    <w:rsid w:val="00E559EE"/>
    <w:rsid w:val="00E568C1"/>
    <w:rsid w:val="00E57B6E"/>
    <w:rsid w:val="00E613A1"/>
    <w:rsid w:val="00E61538"/>
    <w:rsid w:val="00E622E7"/>
    <w:rsid w:val="00E62486"/>
    <w:rsid w:val="00E62E71"/>
    <w:rsid w:val="00E64259"/>
    <w:rsid w:val="00E649E7"/>
    <w:rsid w:val="00E65F40"/>
    <w:rsid w:val="00E66580"/>
    <w:rsid w:val="00E70A8C"/>
    <w:rsid w:val="00E7124C"/>
    <w:rsid w:val="00E73621"/>
    <w:rsid w:val="00E7381D"/>
    <w:rsid w:val="00E73BD6"/>
    <w:rsid w:val="00E74C9C"/>
    <w:rsid w:val="00E74FE7"/>
    <w:rsid w:val="00E76E64"/>
    <w:rsid w:val="00E805C5"/>
    <w:rsid w:val="00E80922"/>
    <w:rsid w:val="00E83AFD"/>
    <w:rsid w:val="00E85521"/>
    <w:rsid w:val="00E85693"/>
    <w:rsid w:val="00E86464"/>
    <w:rsid w:val="00E90C7C"/>
    <w:rsid w:val="00E91DE6"/>
    <w:rsid w:val="00E93797"/>
    <w:rsid w:val="00E9419E"/>
    <w:rsid w:val="00E95031"/>
    <w:rsid w:val="00E953EB"/>
    <w:rsid w:val="00E9592B"/>
    <w:rsid w:val="00E962D0"/>
    <w:rsid w:val="00E96F33"/>
    <w:rsid w:val="00E97A98"/>
    <w:rsid w:val="00EA0A8F"/>
    <w:rsid w:val="00EA1A10"/>
    <w:rsid w:val="00EA1B62"/>
    <w:rsid w:val="00EA3000"/>
    <w:rsid w:val="00EA32AD"/>
    <w:rsid w:val="00EA6029"/>
    <w:rsid w:val="00EA6170"/>
    <w:rsid w:val="00EB0320"/>
    <w:rsid w:val="00EB0F65"/>
    <w:rsid w:val="00EB1BE4"/>
    <w:rsid w:val="00EC1DAD"/>
    <w:rsid w:val="00EC1EAA"/>
    <w:rsid w:val="00EC1EC1"/>
    <w:rsid w:val="00EC3EA1"/>
    <w:rsid w:val="00EC4D70"/>
    <w:rsid w:val="00EC53BE"/>
    <w:rsid w:val="00EC5FC8"/>
    <w:rsid w:val="00EC71F6"/>
    <w:rsid w:val="00ED009A"/>
    <w:rsid w:val="00ED07BF"/>
    <w:rsid w:val="00ED0AFF"/>
    <w:rsid w:val="00ED1B73"/>
    <w:rsid w:val="00ED2A92"/>
    <w:rsid w:val="00ED41C9"/>
    <w:rsid w:val="00ED63C5"/>
    <w:rsid w:val="00ED6986"/>
    <w:rsid w:val="00ED6D50"/>
    <w:rsid w:val="00EE01AC"/>
    <w:rsid w:val="00EE0980"/>
    <w:rsid w:val="00EE1648"/>
    <w:rsid w:val="00EE22F6"/>
    <w:rsid w:val="00EE32B4"/>
    <w:rsid w:val="00EE46B2"/>
    <w:rsid w:val="00EE5E5E"/>
    <w:rsid w:val="00EE60FD"/>
    <w:rsid w:val="00EE73E7"/>
    <w:rsid w:val="00EF1B8A"/>
    <w:rsid w:val="00EF2049"/>
    <w:rsid w:val="00EF20E4"/>
    <w:rsid w:val="00EF2BD9"/>
    <w:rsid w:val="00EF3B9E"/>
    <w:rsid w:val="00EF435F"/>
    <w:rsid w:val="00EF4E5A"/>
    <w:rsid w:val="00EF5977"/>
    <w:rsid w:val="00EF6114"/>
    <w:rsid w:val="00EF6455"/>
    <w:rsid w:val="00EF71DF"/>
    <w:rsid w:val="00F01ED0"/>
    <w:rsid w:val="00F058D8"/>
    <w:rsid w:val="00F06980"/>
    <w:rsid w:val="00F1105E"/>
    <w:rsid w:val="00F1283E"/>
    <w:rsid w:val="00F15CDA"/>
    <w:rsid w:val="00F15E2F"/>
    <w:rsid w:val="00F16F87"/>
    <w:rsid w:val="00F17927"/>
    <w:rsid w:val="00F20419"/>
    <w:rsid w:val="00F21772"/>
    <w:rsid w:val="00F22092"/>
    <w:rsid w:val="00F224A8"/>
    <w:rsid w:val="00F22B5D"/>
    <w:rsid w:val="00F233A8"/>
    <w:rsid w:val="00F2465A"/>
    <w:rsid w:val="00F251C6"/>
    <w:rsid w:val="00F25671"/>
    <w:rsid w:val="00F27586"/>
    <w:rsid w:val="00F31F3D"/>
    <w:rsid w:val="00F32400"/>
    <w:rsid w:val="00F330B1"/>
    <w:rsid w:val="00F33574"/>
    <w:rsid w:val="00F3395E"/>
    <w:rsid w:val="00F346DF"/>
    <w:rsid w:val="00F355A3"/>
    <w:rsid w:val="00F3609E"/>
    <w:rsid w:val="00F362A4"/>
    <w:rsid w:val="00F3639B"/>
    <w:rsid w:val="00F40B95"/>
    <w:rsid w:val="00F446D3"/>
    <w:rsid w:val="00F476A4"/>
    <w:rsid w:val="00F47BED"/>
    <w:rsid w:val="00F500BD"/>
    <w:rsid w:val="00F502E4"/>
    <w:rsid w:val="00F505D8"/>
    <w:rsid w:val="00F51622"/>
    <w:rsid w:val="00F51AB7"/>
    <w:rsid w:val="00F51C42"/>
    <w:rsid w:val="00F52613"/>
    <w:rsid w:val="00F53B40"/>
    <w:rsid w:val="00F57E91"/>
    <w:rsid w:val="00F601C2"/>
    <w:rsid w:val="00F621F9"/>
    <w:rsid w:val="00F657BC"/>
    <w:rsid w:val="00F658E9"/>
    <w:rsid w:val="00F65926"/>
    <w:rsid w:val="00F6652D"/>
    <w:rsid w:val="00F6767C"/>
    <w:rsid w:val="00F71E89"/>
    <w:rsid w:val="00F753EB"/>
    <w:rsid w:val="00F75962"/>
    <w:rsid w:val="00F81CBA"/>
    <w:rsid w:val="00F82B75"/>
    <w:rsid w:val="00F82D45"/>
    <w:rsid w:val="00F8433B"/>
    <w:rsid w:val="00F85918"/>
    <w:rsid w:val="00F86D54"/>
    <w:rsid w:val="00F92957"/>
    <w:rsid w:val="00F93965"/>
    <w:rsid w:val="00F956E7"/>
    <w:rsid w:val="00F967FF"/>
    <w:rsid w:val="00F96ABC"/>
    <w:rsid w:val="00F96B3C"/>
    <w:rsid w:val="00FA0C3E"/>
    <w:rsid w:val="00FA28FF"/>
    <w:rsid w:val="00FA2A99"/>
    <w:rsid w:val="00FA2CE7"/>
    <w:rsid w:val="00FA4A04"/>
    <w:rsid w:val="00FA5870"/>
    <w:rsid w:val="00FA63BB"/>
    <w:rsid w:val="00FA77BA"/>
    <w:rsid w:val="00FB0712"/>
    <w:rsid w:val="00FB5B03"/>
    <w:rsid w:val="00FB6431"/>
    <w:rsid w:val="00FC1612"/>
    <w:rsid w:val="00FC2575"/>
    <w:rsid w:val="00FC35ED"/>
    <w:rsid w:val="00FC4B3E"/>
    <w:rsid w:val="00FC6627"/>
    <w:rsid w:val="00FC785E"/>
    <w:rsid w:val="00FD07C8"/>
    <w:rsid w:val="00FD1EF9"/>
    <w:rsid w:val="00FD7C0E"/>
    <w:rsid w:val="00FE0C65"/>
    <w:rsid w:val="00FE19DE"/>
    <w:rsid w:val="00FE28CB"/>
    <w:rsid w:val="00FE29E4"/>
    <w:rsid w:val="00FE2EFE"/>
    <w:rsid w:val="00FE341A"/>
    <w:rsid w:val="00FE5B6A"/>
    <w:rsid w:val="00FE60E3"/>
    <w:rsid w:val="00FE6853"/>
    <w:rsid w:val="00FE6F70"/>
    <w:rsid w:val="00FF03B6"/>
    <w:rsid w:val="00FF1780"/>
    <w:rsid w:val="00FF206C"/>
    <w:rsid w:val="00FF2C06"/>
    <w:rsid w:val="00FF59DF"/>
    <w:rsid w:val="00FF60BF"/>
    <w:rsid w:val="00FF6A9D"/>
    <w:rsid w:val="00FF7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60"/>
    <w:rPr>
      <w:rFonts w:ascii="Times" w:eastAsia="Times" w:hAnsi="Times"/>
      <w:sz w:val="24"/>
    </w:rPr>
  </w:style>
  <w:style w:type="paragraph" w:styleId="Heading1">
    <w:name w:val="heading 1"/>
    <w:aliases w:val="WUTC HEADING 1"/>
    <w:basedOn w:val="Normal"/>
    <w:next w:val="Normal"/>
    <w:link w:val="Heading1Char"/>
    <w:uiPriority w:val="9"/>
    <w:qFormat/>
    <w:rsid w:val="009675BE"/>
    <w:pPr>
      <w:keepNext/>
      <w:spacing w:line="480" w:lineRule="auto"/>
      <w:jc w:val="center"/>
      <w:outlineLvl w:val="0"/>
    </w:pPr>
    <w:rPr>
      <w:rFonts w:ascii="Times New Roman Bold" w:eastAsia="Times New Roman" w:hAnsi="Times New Roman Bold"/>
      <w:b/>
      <w:bCs/>
      <w:caps/>
      <w:kern w:val="32"/>
      <w:szCs w:val="32"/>
    </w:rPr>
  </w:style>
  <w:style w:type="paragraph" w:styleId="Heading2">
    <w:name w:val="heading 2"/>
    <w:aliases w:val="WUTC HEADING 2"/>
    <w:basedOn w:val="Normal"/>
    <w:next w:val="Normal"/>
    <w:link w:val="Heading2Char"/>
    <w:uiPriority w:val="9"/>
    <w:unhideWhenUsed/>
    <w:qFormat/>
    <w:rsid w:val="009675BE"/>
    <w:pPr>
      <w:keepNext/>
      <w:spacing w:after="240"/>
      <w:ind w:left="720" w:hanging="720"/>
      <w:outlineLvl w:val="1"/>
    </w:pPr>
    <w:rPr>
      <w:rFonts w:ascii="Times New Roman" w:eastAsia="Times New Roman" w:hAnsi="Times New Roman"/>
      <w:b/>
      <w:bCs/>
      <w:iCs/>
      <w:szCs w:val="28"/>
    </w:rPr>
  </w:style>
  <w:style w:type="paragraph" w:styleId="Heading3">
    <w:name w:val="heading 3"/>
    <w:aliases w:val="WUTC HEADING 3"/>
    <w:basedOn w:val="Normal"/>
    <w:next w:val="Normal"/>
    <w:link w:val="Heading3Char"/>
    <w:uiPriority w:val="9"/>
    <w:unhideWhenUsed/>
    <w:qFormat/>
    <w:rsid w:val="009675BE"/>
    <w:pPr>
      <w:keepNext/>
      <w:spacing w:after="240"/>
      <w:ind w:left="1440" w:hanging="720"/>
      <w:outlineLvl w:val="2"/>
    </w:pPr>
    <w:rPr>
      <w:rFonts w:ascii="Times New Roman" w:eastAsia="Times New Roman" w:hAnsi="Times New Roman"/>
      <w:b/>
      <w:bCs/>
      <w:szCs w:val="26"/>
    </w:rPr>
  </w:style>
  <w:style w:type="paragraph" w:styleId="Heading4">
    <w:name w:val="heading 4"/>
    <w:aliases w:val="WUTC HEADING 4"/>
    <w:basedOn w:val="Normal"/>
    <w:next w:val="Normal"/>
    <w:link w:val="Heading4Char"/>
    <w:uiPriority w:val="9"/>
    <w:unhideWhenUsed/>
    <w:qFormat/>
    <w:rsid w:val="009675BE"/>
    <w:pPr>
      <w:keepNext/>
      <w:spacing w:after="240"/>
      <w:ind w:left="2160" w:hanging="720"/>
      <w:outlineLvl w:val="3"/>
    </w:pPr>
    <w:rPr>
      <w:rFonts w:ascii="Times New Roman" w:eastAsia="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94D45"/>
    <w:pPr>
      <w:spacing w:before="240"/>
    </w:pPr>
    <w:rPr>
      <w:szCs w:val="24"/>
    </w:rPr>
  </w:style>
  <w:style w:type="paragraph" w:styleId="ListParagraph">
    <w:name w:val="List Paragraph"/>
    <w:basedOn w:val="Normal"/>
    <w:uiPriority w:val="34"/>
    <w:qFormat/>
    <w:rsid w:val="002525E9"/>
    <w:pPr>
      <w:ind w:left="720"/>
      <w:contextualSpacing/>
    </w:pPr>
  </w:style>
  <w:style w:type="paragraph" w:styleId="Header">
    <w:name w:val="header"/>
    <w:basedOn w:val="Normal"/>
    <w:link w:val="HeaderChar"/>
    <w:uiPriority w:val="99"/>
    <w:semiHidden/>
    <w:unhideWhenUsed/>
    <w:rsid w:val="00235F14"/>
    <w:pPr>
      <w:tabs>
        <w:tab w:val="center" w:pos="4680"/>
        <w:tab w:val="right" w:pos="9360"/>
      </w:tabs>
    </w:pPr>
  </w:style>
  <w:style w:type="character" w:customStyle="1" w:styleId="HeaderChar">
    <w:name w:val="Header Char"/>
    <w:link w:val="Header"/>
    <w:uiPriority w:val="99"/>
    <w:semiHidden/>
    <w:rsid w:val="00235F14"/>
    <w:rPr>
      <w:rFonts w:ascii="Times" w:eastAsia="Times" w:hAnsi="Times" w:cs="Times New Roman"/>
      <w:sz w:val="24"/>
      <w:szCs w:val="20"/>
    </w:rPr>
  </w:style>
  <w:style w:type="paragraph" w:styleId="Footer">
    <w:name w:val="footer"/>
    <w:basedOn w:val="Normal"/>
    <w:link w:val="FooterChar"/>
    <w:uiPriority w:val="99"/>
    <w:unhideWhenUsed/>
    <w:rsid w:val="00235F14"/>
    <w:pPr>
      <w:tabs>
        <w:tab w:val="center" w:pos="4680"/>
        <w:tab w:val="right" w:pos="9360"/>
      </w:tabs>
    </w:pPr>
  </w:style>
  <w:style w:type="character" w:customStyle="1" w:styleId="FooterChar">
    <w:name w:val="Footer Char"/>
    <w:link w:val="Footer"/>
    <w:uiPriority w:val="99"/>
    <w:rsid w:val="00235F14"/>
    <w:rPr>
      <w:rFonts w:ascii="Times" w:eastAsia="Times" w:hAnsi="Times" w:cs="Times New Roman"/>
      <w:sz w:val="24"/>
      <w:szCs w:val="20"/>
    </w:rPr>
  </w:style>
  <w:style w:type="paragraph" w:customStyle="1" w:styleId="WashingtonParagraphs">
    <w:name w:val="Washington Paragraphs"/>
    <w:basedOn w:val="ListParagraph"/>
    <w:rsid w:val="00FA5870"/>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8760FD"/>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Footnote Text "/>
    <w:basedOn w:val="Normal"/>
    <w:link w:val="FootnoteTextChar"/>
    <w:uiPriority w:val="99"/>
    <w:unhideWhenUsed/>
    <w:rsid w:val="00161AB7"/>
    <w:rPr>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link w:val="FootnoteText"/>
    <w:uiPriority w:val="99"/>
    <w:rsid w:val="00161AB7"/>
    <w:rPr>
      <w:rFonts w:ascii="Times" w:eastAsia="Times" w:hAnsi="Times" w:cs="Times New Roman"/>
      <w:sz w:val="20"/>
      <w:szCs w:val="20"/>
    </w:rPr>
  </w:style>
  <w:style w:type="character" w:styleId="FootnoteReference">
    <w:name w:val="footnote reference"/>
    <w:uiPriority w:val="99"/>
    <w:unhideWhenUsed/>
    <w:rsid w:val="00161AB7"/>
    <w:rPr>
      <w:vertAlign w:val="superscript"/>
    </w:rPr>
  </w:style>
  <w:style w:type="paragraph" w:styleId="BalloonText">
    <w:name w:val="Balloon Text"/>
    <w:basedOn w:val="Normal"/>
    <w:link w:val="BalloonTextChar"/>
    <w:uiPriority w:val="99"/>
    <w:semiHidden/>
    <w:unhideWhenUsed/>
    <w:rsid w:val="00C24DA6"/>
    <w:rPr>
      <w:rFonts w:ascii="Tahoma" w:hAnsi="Tahoma"/>
      <w:sz w:val="16"/>
      <w:szCs w:val="16"/>
    </w:rPr>
  </w:style>
  <w:style w:type="character" w:customStyle="1" w:styleId="BalloonTextChar">
    <w:name w:val="Balloon Text Char"/>
    <w:link w:val="BalloonText"/>
    <w:uiPriority w:val="99"/>
    <w:semiHidden/>
    <w:rsid w:val="00C24DA6"/>
    <w:rPr>
      <w:rFonts w:ascii="Tahoma" w:eastAsia="Times" w:hAnsi="Tahoma" w:cs="Times New Roman"/>
      <w:sz w:val="16"/>
      <w:szCs w:val="16"/>
    </w:rPr>
  </w:style>
  <w:style w:type="paragraph" w:styleId="NormalWeb">
    <w:name w:val="Normal (Web)"/>
    <w:basedOn w:val="Normal"/>
    <w:uiPriority w:val="99"/>
    <w:semiHidden/>
    <w:unhideWhenUsed/>
    <w:rsid w:val="00612880"/>
    <w:pPr>
      <w:spacing w:before="100" w:beforeAutospacing="1" w:after="100" w:afterAutospacing="1"/>
    </w:pPr>
    <w:rPr>
      <w:rFonts w:ascii="Times New Roman" w:eastAsia="Times New Roman" w:hAnsi="Times New Roman"/>
      <w:szCs w:val="24"/>
    </w:rPr>
  </w:style>
  <w:style w:type="character" w:styleId="CommentReference">
    <w:name w:val="annotation reference"/>
    <w:uiPriority w:val="99"/>
    <w:semiHidden/>
    <w:unhideWhenUsed/>
    <w:rsid w:val="002E4C43"/>
    <w:rPr>
      <w:sz w:val="16"/>
      <w:szCs w:val="16"/>
    </w:rPr>
  </w:style>
  <w:style w:type="paragraph" w:styleId="CommentText">
    <w:name w:val="annotation text"/>
    <w:basedOn w:val="Normal"/>
    <w:link w:val="CommentTextChar"/>
    <w:uiPriority w:val="99"/>
    <w:semiHidden/>
    <w:unhideWhenUsed/>
    <w:rsid w:val="002E4C43"/>
    <w:pPr>
      <w:spacing w:after="200"/>
    </w:pPr>
    <w:rPr>
      <w:rFonts w:ascii="Calibri" w:eastAsia="Calibri" w:hAnsi="Calibri"/>
      <w:sz w:val="20"/>
    </w:rPr>
  </w:style>
  <w:style w:type="character" w:customStyle="1" w:styleId="CommentTextChar">
    <w:name w:val="Comment Text Char"/>
    <w:link w:val="CommentText"/>
    <w:uiPriority w:val="99"/>
    <w:semiHidden/>
    <w:rsid w:val="002E4C43"/>
    <w:rPr>
      <w:sz w:val="20"/>
      <w:szCs w:val="20"/>
    </w:rPr>
  </w:style>
  <w:style w:type="paragraph" w:styleId="CommentSubject">
    <w:name w:val="annotation subject"/>
    <w:basedOn w:val="CommentText"/>
    <w:next w:val="CommentText"/>
    <w:link w:val="CommentSubjectChar"/>
    <w:uiPriority w:val="99"/>
    <w:semiHidden/>
    <w:unhideWhenUsed/>
    <w:rsid w:val="00E01F72"/>
    <w:pPr>
      <w:spacing w:after="0"/>
    </w:pPr>
    <w:rPr>
      <w:rFonts w:ascii="Times" w:eastAsia="Times" w:hAnsi="Times"/>
      <w:b/>
      <w:bCs/>
    </w:rPr>
  </w:style>
  <w:style w:type="character" w:customStyle="1" w:styleId="CommentSubjectChar">
    <w:name w:val="Comment Subject Char"/>
    <w:link w:val="CommentSubject"/>
    <w:uiPriority w:val="99"/>
    <w:semiHidden/>
    <w:rsid w:val="00E01F72"/>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2F43B1"/>
    <w:pPr>
      <w:spacing w:after="240"/>
      <w:ind w:left="720" w:hanging="720"/>
    </w:pPr>
    <w:rPr>
      <w:rFonts w:ascii="Times New Roman" w:hAnsi="Times New Roman" w:cs="Calibri"/>
    </w:rPr>
  </w:style>
  <w:style w:type="paragraph" w:styleId="TOAHeading">
    <w:name w:val="toa heading"/>
    <w:basedOn w:val="Normal"/>
    <w:next w:val="Normal"/>
    <w:uiPriority w:val="99"/>
    <w:unhideWhenUsed/>
    <w:rsid w:val="002F43B1"/>
    <w:pPr>
      <w:spacing w:before="240" w:after="120"/>
    </w:pPr>
    <w:rPr>
      <w:rFonts w:ascii="Times New Roman" w:hAnsi="Times New Roman" w:cs="Calibri"/>
      <w:b/>
      <w:bCs/>
      <w:caps/>
    </w:rPr>
  </w:style>
  <w:style w:type="character" w:styleId="Hyperlink">
    <w:name w:val="Hyperlink"/>
    <w:uiPriority w:val="99"/>
    <w:rsid w:val="00156702"/>
    <w:rPr>
      <w:color w:val="0000FF"/>
      <w:u w:val="single"/>
    </w:rPr>
  </w:style>
  <w:style w:type="paragraph" w:customStyle="1" w:styleId="Default">
    <w:name w:val="Default"/>
    <w:rsid w:val="00000A92"/>
    <w:pPr>
      <w:autoSpaceDE w:val="0"/>
      <w:autoSpaceDN w:val="0"/>
      <w:adjustRightInd w:val="0"/>
    </w:pPr>
    <w:rPr>
      <w:rFonts w:ascii="Times New Roman" w:hAnsi="Times New Roman"/>
      <w:color w:val="000000"/>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1"/>
    <w:uiPriority w:val="99"/>
    <w:semiHidden/>
    <w:locked/>
    <w:rsid w:val="00E1179E"/>
    <w:rPr>
      <w:sz w:val="22"/>
    </w:rPr>
  </w:style>
  <w:style w:type="paragraph" w:customStyle="1" w:styleId="AutoNumBodyCharCharCharChar">
    <w:name w:val="AutoNum Body Char Char Char Char"/>
    <w:basedOn w:val="Normal"/>
    <w:link w:val="AutoNumBodyCharCharCharCharChar"/>
    <w:autoRedefine/>
    <w:qFormat/>
    <w:rsid w:val="00E64259"/>
    <w:pPr>
      <w:widowControl w:val="0"/>
      <w:spacing w:line="480" w:lineRule="auto"/>
      <w:ind w:firstLine="720"/>
    </w:pPr>
    <w:rPr>
      <w:rFonts w:ascii="Times New Roman" w:eastAsia="Times New Roman" w:hAnsi="Times New Roman"/>
      <w:color w:val="000000"/>
      <w:szCs w:val="24"/>
    </w:rPr>
  </w:style>
  <w:style w:type="character" w:customStyle="1" w:styleId="AutoNumBodyCharCharCharCharChar">
    <w:name w:val="AutoNum Body Char Char Char Char Char"/>
    <w:link w:val="AutoNumBodyCharCharCharChar"/>
    <w:rsid w:val="00E64259"/>
    <w:rPr>
      <w:rFonts w:ascii="Times New Roman" w:eastAsia="Times New Roman" w:hAnsi="Times New Roman"/>
      <w:color w:val="000000"/>
      <w:sz w:val="24"/>
      <w:szCs w:val="24"/>
    </w:rPr>
  </w:style>
  <w:style w:type="character" w:customStyle="1" w:styleId="FootnoteTextChar2">
    <w:name w:val="Footnote Text Char2"/>
    <w:aliases w:val="ALTS FOOTNOTE Char Char,ALTS FOOTNOTE Char1,fn Char,Footnote Text 2 Char,Footnote text Char,FOOTNOTE Char,fn Char Char Char,ft Char Char Char,Footnote Text Char3 Char Char Char"/>
    <w:uiPriority w:val="99"/>
    <w:rsid w:val="002A61EE"/>
    <w:rPr>
      <w:lang w:val="en-US" w:eastAsia="en-US" w:bidi="ar-SA"/>
    </w:rPr>
  </w:style>
  <w:style w:type="paragraph" w:styleId="EndnoteText">
    <w:name w:val="endnote text"/>
    <w:basedOn w:val="Normal"/>
    <w:link w:val="EndnoteTextChar"/>
    <w:uiPriority w:val="99"/>
    <w:semiHidden/>
    <w:unhideWhenUsed/>
    <w:rsid w:val="00A414B9"/>
    <w:rPr>
      <w:sz w:val="20"/>
    </w:rPr>
  </w:style>
  <w:style w:type="character" w:customStyle="1" w:styleId="EndnoteTextChar">
    <w:name w:val="Endnote Text Char"/>
    <w:link w:val="EndnoteText"/>
    <w:uiPriority w:val="99"/>
    <w:semiHidden/>
    <w:rsid w:val="00A414B9"/>
    <w:rPr>
      <w:rFonts w:ascii="Times" w:eastAsia="Times" w:hAnsi="Times"/>
    </w:rPr>
  </w:style>
  <w:style w:type="character" w:styleId="EndnoteReference">
    <w:name w:val="endnote reference"/>
    <w:uiPriority w:val="99"/>
    <w:semiHidden/>
    <w:unhideWhenUsed/>
    <w:rsid w:val="00A414B9"/>
    <w:rPr>
      <w:vertAlign w:val="superscript"/>
    </w:rPr>
  </w:style>
  <w:style w:type="character" w:customStyle="1" w:styleId="Heading1Char">
    <w:name w:val="Heading 1 Char"/>
    <w:aliases w:val="WUTC HEADING 1 Char"/>
    <w:link w:val="Heading1"/>
    <w:uiPriority w:val="9"/>
    <w:rsid w:val="009675BE"/>
    <w:rPr>
      <w:rFonts w:ascii="Times New Roman Bold" w:eastAsia="Times New Roman" w:hAnsi="Times New Roman Bold" w:cs="Times New Roman"/>
      <w:b/>
      <w:bCs/>
      <w:caps/>
      <w:kern w:val="32"/>
      <w:sz w:val="24"/>
      <w:szCs w:val="32"/>
    </w:rPr>
  </w:style>
  <w:style w:type="character" w:customStyle="1" w:styleId="Heading2Char">
    <w:name w:val="Heading 2 Char"/>
    <w:aliases w:val="WUTC HEADING 2 Char"/>
    <w:link w:val="Heading2"/>
    <w:uiPriority w:val="9"/>
    <w:rsid w:val="009675BE"/>
    <w:rPr>
      <w:rFonts w:ascii="Times New Roman" w:eastAsia="Times New Roman" w:hAnsi="Times New Roman" w:cs="Times New Roman"/>
      <w:b/>
      <w:bCs/>
      <w:iCs/>
      <w:sz w:val="24"/>
      <w:szCs w:val="28"/>
    </w:rPr>
  </w:style>
  <w:style w:type="character" w:customStyle="1" w:styleId="Heading3Char">
    <w:name w:val="Heading 3 Char"/>
    <w:aliases w:val="WUTC HEADING 3 Char"/>
    <w:link w:val="Heading3"/>
    <w:uiPriority w:val="9"/>
    <w:rsid w:val="009675BE"/>
    <w:rPr>
      <w:rFonts w:ascii="Times New Roman" w:eastAsia="Times New Roman" w:hAnsi="Times New Roman" w:cs="Times New Roman"/>
      <w:b/>
      <w:bCs/>
      <w:sz w:val="24"/>
      <w:szCs w:val="26"/>
    </w:rPr>
  </w:style>
  <w:style w:type="character" w:customStyle="1" w:styleId="Heading4Char">
    <w:name w:val="Heading 4 Char"/>
    <w:aliases w:val="WUTC HEADING 4 Char"/>
    <w:link w:val="Heading4"/>
    <w:uiPriority w:val="9"/>
    <w:rsid w:val="009675BE"/>
    <w:rPr>
      <w:rFonts w:ascii="Times New Roman" w:eastAsia="Times New Roman" w:hAnsi="Times New Roman" w:cs="Times New Roman"/>
      <w:b/>
      <w:bCs/>
      <w:sz w:val="24"/>
      <w:szCs w:val="28"/>
    </w:rPr>
  </w:style>
  <w:style w:type="paragraph" w:styleId="TOC1">
    <w:name w:val="toc 1"/>
    <w:basedOn w:val="Normal"/>
    <w:next w:val="Normal"/>
    <w:autoRedefine/>
    <w:uiPriority w:val="39"/>
    <w:unhideWhenUsed/>
    <w:rsid w:val="0036717E"/>
    <w:pPr>
      <w:tabs>
        <w:tab w:val="left" w:pos="440"/>
        <w:tab w:val="right" w:leader="dot" w:pos="9350"/>
      </w:tabs>
      <w:spacing w:after="240"/>
      <w:jc w:val="center"/>
    </w:pPr>
  </w:style>
  <w:style w:type="paragraph" w:styleId="TOC2">
    <w:name w:val="toc 2"/>
    <w:basedOn w:val="Normal"/>
    <w:next w:val="Normal"/>
    <w:autoRedefine/>
    <w:uiPriority w:val="39"/>
    <w:unhideWhenUsed/>
    <w:rsid w:val="00295A8B"/>
    <w:pPr>
      <w:tabs>
        <w:tab w:val="left" w:pos="1440"/>
        <w:tab w:val="right" w:leader="dot" w:pos="9350"/>
      </w:tabs>
      <w:spacing w:after="240"/>
      <w:ind w:left="1440" w:hanging="720"/>
    </w:pPr>
  </w:style>
  <w:style w:type="paragraph" w:styleId="TOC3">
    <w:name w:val="toc 3"/>
    <w:basedOn w:val="Normal"/>
    <w:next w:val="Normal"/>
    <w:autoRedefine/>
    <w:uiPriority w:val="39"/>
    <w:unhideWhenUsed/>
    <w:rsid w:val="00615005"/>
    <w:pPr>
      <w:tabs>
        <w:tab w:val="left" w:pos="2160"/>
        <w:tab w:val="right" w:leader="dot" w:pos="9350"/>
      </w:tabs>
      <w:spacing w:after="240"/>
      <w:ind w:left="2160" w:hanging="720"/>
    </w:pPr>
  </w:style>
  <w:style w:type="paragraph" w:styleId="TOCHeading">
    <w:name w:val="TOC Heading"/>
    <w:basedOn w:val="Heading1"/>
    <w:next w:val="Normal"/>
    <w:uiPriority w:val="39"/>
    <w:semiHidden/>
    <w:unhideWhenUsed/>
    <w:qFormat/>
    <w:rsid w:val="005A625E"/>
    <w:pPr>
      <w:keepLines/>
      <w:spacing w:before="480" w:line="276" w:lineRule="auto"/>
      <w:jc w:val="left"/>
      <w:outlineLvl w:val="9"/>
    </w:pPr>
    <w:rPr>
      <w:rFonts w:ascii="Cambria" w:hAnsi="Cambria"/>
      <w:caps w:val="0"/>
      <w:color w:val="365F91"/>
      <w:kern w:val="0"/>
      <w:sz w:val="28"/>
      <w:szCs w:val="28"/>
    </w:rPr>
  </w:style>
  <w:style w:type="character" w:customStyle="1" w:styleId="apple-style-span">
    <w:name w:val="apple-style-span"/>
    <w:rsid w:val="00100F0D"/>
  </w:style>
  <w:style w:type="paragraph" w:styleId="TOC4">
    <w:name w:val="toc 4"/>
    <w:basedOn w:val="Normal"/>
    <w:next w:val="Normal"/>
    <w:autoRedefine/>
    <w:uiPriority w:val="39"/>
    <w:unhideWhenUsed/>
    <w:rsid w:val="00295A8B"/>
    <w:pPr>
      <w:spacing w:after="240"/>
      <w:ind w:left="2880" w:hanging="720"/>
    </w:pPr>
  </w:style>
  <w:style w:type="character" w:customStyle="1" w:styleId="apple-converted-space">
    <w:name w:val="apple-converted-space"/>
    <w:rsid w:val="00F31F3D"/>
  </w:style>
  <w:style w:type="character" w:customStyle="1" w:styleId="searchterm">
    <w:name w:val="searchterm"/>
    <w:rsid w:val="00F31F3D"/>
  </w:style>
  <w:style w:type="paragraph" w:styleId="BodyText">
    <w:name w:val="Body Text"/>
    <w:basedOn w:val="Normal"/>
    <w:link w:val="BodyTextChar"/>
    <w:rsid w:val="00B3385B"/>
    <w:pPr>
      <w:spacing w:line="480" w:lineRule="auto"/>
      <w:ind w:firstLine="720"/>
    </w:pPr>
    <w:rPr>
      <w:rFonts w:ascii="Times New Roman" w:eastAsia="Times New Roman" w:hAnsi="Times New Roman"/>
    </w:rPr>
  </w:style>
  <w:style w:type="character" w:customStyle="1" w:styleId="BodyTextChar">
    <w:name w:val="Body Text Char"/>
    <w:link w:val="BodyText"/>
    <w:rsid w:val="00B3385B"/>
    <w:rPr>
      <w:rFonts w:ascii="Times New Roman" w:eastAsia="Times New Roman" w:hAnsi="Times New Roman"/>
      <w:sz w:val="24"/>
    </w:rPr>
  </w:style>
  <w:style w:type="paragraph" w:customStyle="1" w:styleId="BodyTextContinued">
    <w:name w:val="Body Text Continued"/>
    <w:basedOn w:val="BodyText"/>
    <w:next w:val="BodyText"/>
    <w:rsid w:val="00B3385B"/>
    <w:pPr>
      <w:ind w:firstLine="0"/>
    </w:pPr>
  </w:style>
  <w:style w:type="paragraph" w:styleId="Quote">
    <w:name w:val="Quote"/>
    <w:basedOn w:val="Normal"/>
    <w:next w:val="BodyTextContinued"/>
    <w:link w:val="QuoteChar"/>
    <w:qFormat/>
    <w:rsid w:val="00B3385B"/>
    <w:pPr>
      <w:spacing w:after="240"/>
      <w:ind w:left="1080" w:right="1080"/>
    </w:pPr>
    <w:rPr>
      <w:rFonts w:ascii="Times New Roman" w:eastAsia="Times New Roman" w:hAnsi="Times New Roman"/>
    </w:rPr>
  </w:style>
  <w:style w:type="character" w:customStyle="1" w:styleId="QuoteChar">
    <w:name w:val="Quote Char"/>
    <w:link w:val="Quote"/>
    <w:rsid w:val="00B3385B"/>
    <w:rPr>
      <w:rFonts w:ascii="Times New Roman" w:eastAsia="Times New Roman" w:hAnsi="Times New Roman"/>
      <w:sz w:val="24"/>
    </w:rPr>
  </w:style>
  <w:style w:type="paragraph" w:customStyle="1" w:styleId="BATOAPageHeading">
    <w:name w:val="BA TOA Page Heading"/>
    <w:basedOn w:val="Normal"/>
    <w:rsid w:val="00CC6CF0"/>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CC6CF0"/>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CC6CF0"/>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CC6CF0"/>
    <w:pPr>
      <w:keepLines/>
      <w:widowControl w:val="0"/>
      <w:spacing w:line="240" w:lineRule="auto"/>
      <w:ind w:firstLine="0"/>
    </w:pPr>
    <w:rPr>
      <w:szCs w:val="24"/>
    </w:rPr>
  </w:style>
  <w:style w:type="paragraph" w:customStyle="1" w:styleId="BATOATitle">
    <w:name w:val="BA TOA Title"/>
    <w:basedOn w:val="Normal"/>
    <w:rsid w:val="00CC6CF0"/>
    <w:pPr>
      <w:keepNext/>
      <w:spacing w:before="120" w:after="240"/>
      <w:jc w:val="center"/>
    </w:pPr>
    <w:rPr>
      <w:rFonts w:ascii="Times New Roman" w:eastAsia="Times New Roman" w:hAnsi="Times New Roman"/>
      <w:b/>
      <w:cap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2"/>
    <w:pPr>
      <w:numPr>
        <w:numId w:val="9"/>
      </w:numPr>
    </w:pPr>
  </w:style>
</w:styles>
</file>

<file path=word/webSettings.xml><?xml version="1.0" encoding="utf-8"?>
<w:webSettings xmlns:r="http://schemas.openxmlformats.org/officeDocument/2006/relationships" xmlns:w="http://schemas.openxmlformats.org/wordprocessingml/2006/main">
  <w:divs>
    <w:div w:id="815222">
      <w:bodyDiv w:val="1"/>
      <w:marLeft w:val="0"/>
      <w:marRight w:val="0"/>
      <w:marTop w:val="0"/>
      <w:marBottom w:val="0"/>
      <w:divBdr>
        <w:top w:val="none" w:sz="0" w:space="0" w:color="auto"/>
        <w:left w:val="none" w:sz="0" w:space="0" w:color="auto"/>
        <w:bottom w:val="none" w:sz="0" w:space="0" w:color="auto"/>
        <w:right w:val="none" w:sz="0" w:space="0" w:color="auto"/>
      </w:divBdr>
    </w:div>
    <w:div w:id="263460669">
      <w:bodyDiv w:val="1"/>
      <w:marLeft w:val="0"/>
      <w:marRight w:val="0"/>
      <w:marTop w:val="0"/>
      <w:marBottom w:val="0"/>
      <w:divBdr>
        <w:top w:val="none" w:sz="0" w:space="0" w:color="auto"/>
        <w:left w:val="none" w:sz="0" w:space="0" w:color="auto"/>
        <w:bottom w:val="none" w:sz="0" w:space="0" w:color="auto"/>
        <w:right w:val="none" w:sz="0" w:space="0" w:color="auto"/>
      </w:divBdr>
    </w:div>
    <w:div w:id="295530903">
      <w:bodyDiv w:val="1"/>
      <w:marLeft w:val="0"/>
      <w:marRight w:val="0"/>
      <w:marTop w:val="0"/>
      <w:marBottom w:val="0"/>
      <w:divBdr>
        <w:top w:val="none" w:sz="0" w:space="0" w:color="auto"/>
        <w:left w:val="none" w:sz="0" w:space="0" w:color="auto"/>
        <w:bottom w:val="none" w:sz="0" w:space="0" w:color="auto"/>
        <w:right w:val="none" w:sz="0" w:space="0" w:color="auto"/>
      </w:divBdr>
    </w:div>
    <w:div w:id="297615225">
      <w:bodyDiv w:val="1"/>
      <w:marLeft w:val="0"/>
      <w:marRight w:val="0"/>
      <w:marTop w:val="0"/>
      <w:marBottom w:val="0"/>
      <w:divBdr>
        <w:top w:val="none" w:sz="0" w:space="0" w:color="auto"/>
        <w:left w:val="none" w:sz="0" w:space="0" w:color="auto"/>
        <w:bottom w:val="none" w:sz="0" w:space="0" w:color="auto"/>
        <w:right w:val="none" w:sz="0" w:space="0" w:color="auto"/>
      </w:divBdr>
    </w:div>
    <w:div w:id="318656502">
      <w:bodyDiv w:val="1"/>
      <w:marLeft w:val="0"/>
      <w:marRight w:val="0"/>
      <w:marTop w:val="0"/>
      <w:marBottom w:val="0"/>
      <w:divBdr>
        <w:top w:val="none" w:sz="0" w:space="0" w:color="auto"/>
        <w:left w:val="none" w:sz="0" w:space="0" w:color="auto"/>
        <w:bottom w:val="none" w:sz="0" w:space="0" w:color="auto"/>
        <w:right w:val="none" w:sz="0" w:space="0" w:color="auto"/>
      </w:divBdr>
    </w:div>
    <w:div w:id="412822837">
      <w:bodyDiv w:val="1"/>
      <w:marLeft w:val="0"/>
      <w:marRight w:val="0"/>
      <w:marTop w:val="0"/>
      <w:marBottom w:val="0"/>
      <w:divBdr>
        <w:top w:val="none" w:sz="0" w:space="0" w:color="auto"/>
        <w:left w:val="none" w:sz="0" w:space="0" w:color="auto"/>
        <w:bottom w:val="none" w:sz="0" w:space="0" w:color="auto"/>
        <w:right w:val="none" w:sz="0" w:space="0" w:color="auto"/>
      </w:divBdr>
    </w:div>
    <w:div w:id="419448663">
      <w:bodyDiv w:val="1"/>
      <w:marLeft w:val="0"/>
      <w:marRight w:val="0"/>
      <w:marTop w:val="0"/>
      <w:marBottom w:val="0"/>
      <w:divBdr>
        <w:top w:val="none" w:sz="0" w:space="0" w:color="auto"/>
        <w:left w:val="none" w:sz="0" w:space="0" w:color="auto"/>
        <w:bottom w:val="none" w:sz="0" w:space="0" w:color="auto"/>
        <w:right w:val="none" w:sz="0" w:space="0" w:color="auto"/>
      </w:divBdr>
    </w:div>
    <w:div w:id="672955766">
      <w:bodyDiv w:val="1"/>
      <w:marLeft w:val="0"/>
      <w:marRight w:val="0"/>
      <w:marTop w:val="0"/>
      <w:marBottom w:val="0"/>
      <w:divBdr>
        <w:top w:val="none" w:sz="0" w:space="0" w:color="auto"/>
        <w:left w:val="none" w:sz="0" w:space="0" w:color="auto"/>
        <w:bottom w:val="none" w:sz="0" w:space="0" w:color="auto"/>
        <w:right w:val="none" w:sz="0" w:space="0" w:color="auto"/>
      </w:divBdr>
    </w:div>
    <w:div w:id="698169760">
      <w:bodyDiv w:val="1"/>
      <w:marLeft w:val="0"/>
      <w:marRight w:val="0"/>
      <w:marTop w:val="0"/>
      <w:marBottom w:val="0"/>
      <w:divBdr>
        <w:top w:val="none" w:sz="0" w:space="0" w:color="auto"/>
        <w:left w:val="none" w:sz="0" w:space="0" w:color="auto"/>
        <w:bottom w:val="none" w:sz="0" w:space="0" w:color="auto"/>
        <w:right w:val="none" w:sz="0" w:space="0" w:color="auto"/>
      </w:divBdr>
    </w:div>
    <w:div w:id="836919489">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18889380">
      <w:bodyDiv w:val="1"/>
      <w:marLeft w:val="0"/>
      <w:marRight w:val="0"/>
      <w:marTop w:val="0"/>
      <w:marBottom w:val="0"/>
      <w:divBdr>
        <w:top w:val="none" w:sz="0" w:space="0" w:color="auto"/>
        <w:left w:val="none" w:sz="0" w:space="0" w:color="auto"/>
        <w:bottom w:val="none" w:sz="0" w:space="0" w:color="auto"/>
        <w:right w:val="none" w:sz="0" w:space="0" w:color="auto"/>
      </w:divBdr>
    </w:div>
    <w:div w:id="1082024092">
      <w:bodyDiv w:val="1"/>
      <w:marLeft w:val="0"/>
      <w:marRight w:val="0"/>
      <w:marTop w:val="0"/>
      <w:marBottom w:val="0"/>
      <w:divBdr>
        <w:top w:val="none" w:sz="0" w:space="0" w:color="auto"/>
        <w:left w:val="none" w:sz="0" w:space="0" w:color="auto"/>
        <w:bottom w:val="none" w:sz="0" w:space="0" w:color="auto"/>
        <w:right w:val="none" w:sz="0" w:space="0" w:color="auto"/>
      </w:divBdr>
    </w:div>
    <w:div w:id="1232930646">
      <w:bodyDiv w:val="1"/>
      <w:marLeft w:val="0"/>
      <w:marRight w:val="0"/>
      <w:marTop w:val="0"/>
      <w:marBottom w:val="0"/>
      <w:divBdr>
        <w:top w:val="none" w:sz="0" w:space="0" w:color="auto"/>
        <w:left w:val="none" w:sz="0" w:space="0" w:color="auto"/>
        <w:bottom w:val="none" w:sz="0" w:space="0" w:color="auto"/>
        <w:right w:val="none" w:sz="0" w:space="0" w:color="auto"/>
      </w:divBdr>
    </w:div>
    <w:div w:id="1489437831">
      <w:bodyDiv w:val="1"/>
      <w:marLeft w:val="0"/>
      <w:marRight w:val="0"/>
      <w:marTop w:val="0"/>
      <w:marBottom w:val="0"/>
      <w:divBdr>
        <w:top w:val="none" w:sz="0" w:space="0" w:color="auto"/>
        <w:left w:val="none" w:sz="0" w:space="0" w:color="auto"/>
        <w:bottom w:val="none" w:sz="0" w:space="0" w:color="auto"/>
        <w:right w:val="none" w:sz="0" w:space="0" w:color="auto"/>
      </w:divBdr>
    </w:div>
    <w:div w:id="1499223532">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610618938">
      <w:bodyDiv w:val="1"/>
      <w:marLeft w:val="0"/>
      <w:marRight w:val="0"/>
      <w:marTop w:val="0"/>
      <w:marBottom w:val="0"/>
      <w:divBdr>
        <w:top w:val="none" w:sz="0" w:space="0" w:color="auto"/>
        <w:left w:val="none" w:sz="0" w:space="0" w:color="auto"/>
        <w:bottom w:val="none" w:sz="0" w:space="0" w:color="auto"/>
        <w:right w:val="none" w:sz="0" w:space="0" w:color="auto"/>
      </w:divBdr>
    </w:div>
    <w:div w:id="1770007021">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95054335">
      <w:bodyDiv w:val="1"/>
      <w:marLeft w:val="0"/>
      <w:marRight w:val="0"/>
      <w:marTop w:val="0"/>
      <w:marBottom w:val="0"/>
      <w:divBdr>
        <w:top w:val="none" w:sz="0" w:space="0" w:color="auto"/>
        <w:left w:val="none" w:sz="0" w:space="0" w:color="auto"/>
        <w:bottom w:val="none" w:sz="0" w:space="0" w:color="auto"/>
        <w:right w:val="none" w:sz="0" w:space="0" w:color="auto"/>
      </w:divBdr>
    </w:div>
    <w:div w:id="18151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2011-11-18T08:00:00+00:00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8965F-FF3C-464F-8724-42C08AD97A35}"/>
</file>

<file path=customXml/itemProps2.xml><?xml version="1.0" encoding="utf-8"?>
<ds:datastoreItem xmlns:ds="http://schemas.openxmlformats.org/officeDocument/2006/customXml" ds:itemID="{A9D9056F-C567-4CF6-AAE7-1F0CB49EE3B8}"/>
</file>

<file path=customXml/itemProps3.xml><?xml version="1.0" encoding="utf-8"?>
<ds:datastoreItem xmlns:ds="http://schemas.openxmlformats.org/officeDocument/2006/customXml" ds:itemID="{93C52038-DFF7-4BAB-833E-F496CB83E54F}"/>
</file>

<file path=customXml/itemProps4.xml><?xml version="1.0" encoding="utf-8"?>
<ds:datastoreItem xmlns:ds="http://schemas.openxmlformats.org/officeDocument/2006/customXml" ds:itemID="{92550288-8F98-4EFB-94B3-FDF2C186071B}"/>
</file>

<file path=docProps/app.xml><?xml version="1.0" encoding="utf-8"?>
<Properties xmlns="http://schemas.openxmlformats.org/officeDocument/2006/extended-properties" xmlns:vt="http://schemas.openxmlformats.org/officeDocument/2006/docPropsVTypes">
  <Template>Normal</Template>
  <TotalTime>0</TotalTime>
  <Pages>37</Pages>
  <Words>9714</Words>
  <Characters>55372</Characters>
  <Application>Microsoft Office Word</Application>
  <DocSecurity>0</DocSecurity>
  <Lines>461</Lines>
  <Paragraphs>129</Paragraphs>
  <ScaleCrop>false</ScaleCrop>
  <LinksUpToDate>false</LinksUpToDate>
  <CharactersWithSpaces>64957</CharactersWithSpaces>
  <SharedDoc>false</SharedDoc>
  <HLinks>
    <vt:vector size="90" baseType="variant">
      <vt:variant>
        <vt:i4>1441851</vt:i4>
      </vt:variant>
      <vt:variant>
        <vt:i4>86</vt:i4>
      </vt:variant>
      <vt:variant>
        <vt:i4>0</vt:i4>
      </vt:variant>
      <vt:variant>
        <vt:i4>5</vt:i4>
      </vt:variant>
      <vt:variant>
        <vt:lpwstr/>
      </vt:variant>
      <vt:variant>
        <vt:lpwstr>_Toc309226354</vt:lpwstr>
      </vt:variant>
      <vt:variant>
        <vt:i4>1441851</vt:i4>
      </vt:variant>
      <vt:variant>
        <vt:i4>80</vt:i4>
      </vt:variant>
      <vt:variant>
        <vt:i4>0</vt:i4>
      </vt:variant>
      <vt:variant>
        <vt:i4>5</vt:i4>
      </vt:variant>
      <vt:variant>
        <vt:lpwstr/>
      </vt:variant>
      <vt:variant>
        <vt:lpwstr>_Toc309226353</vt:lpwstr>
      </vt:variant>
      <vt:variant>
        <vt:i4>1441851</vt:i4>
      </vt:variant>
      <vt:variant>
        <vt:i4>74</vt:i4>
      </vt:variant>
      <vt:variant>
        <vt:i4>0</vt:i4>
      </vt:variant>
      <vt:variant>
        <vt:i4>5</vt:i4>
      </vt:variant>
      <vt:variant>
        <vt:lpwstr/>
      </vt:variant>
      <vt:variant>
        <vt:lpwstr>_Toc309226352</vt:lpwstr>
      </vt:variant>
      <vt:variant>
        <vt:i4>1441851</vt:i4>
      </vt:variant>
      <vt:variant>
        <vt:i4>68</vt:i4>
      </vt:variant>
      <vt:variant>
        <vt:i4>0</vt:i4>
      </vt:variant>
      <vt:variant>
        <vt:i4>5</vt:i4>
      </vt:variant>
      <vt:variant>
        <vt:lpwstr/>
      </vt:variant>
      <vt:variant>
        <vt:lpwstr>_Toc309226351</vt:lpwstr>
      </vt:variant>
      <vt:variant>
        <vt:i4>1441851</vt:i4>
      </vt:variant>
      <vt:variant>
        <vt:i4>62</vt:i4>
      </vt:variant>
      <vt:variant>
        <vt:i4>0</vt:i4>
      </vt:variant>
      <vt:variant>
        <vt:i4>5</vt:i4>
      </vt:variant>
      <vt:variant>
        <vt:lpwstr/>
      </vt:variant>
      <vt:variant>
        <vt:lpwstr>_Toc309226350</vt:lpwstr>
      </vt:variant>
      <vt:variant>
        <vt:i4>1507387</vt:i4>
      </vt:variant>
      <vt:variant>
        <vt:i4>56</vt:i4>
      </vt:variant>
      <vt:variant>
        <vt:i4>0</vt:i4>
      </vt:variant>
      <vt:variant>
        <vt:i4>5</vt:i4>
      </vt:variant>
      <vt:variant>
        <vt:lpwstr/>
      </vt:variant>
      <vt:variant>
        <vt:lpwstr>_Toc309226349</vt:lpwstr>
      </vt:variant>
      <vt:variant>
        <vt:i4>1507387</vt:i4>
      </vt:variant>
      <vt:variant>
        <vt:i4>50</vt:i4>
      </vt:variant>
      <vt:variant>
        <vt:i4>0</vt:i4>
      </vt:variant>
      <vt:variant>
        <vt:i4>5</vt:i4>
      </vt:variant>
      <vt:variant>
        <vt:lpwstr/>
      </vt:variant>
      <vt:variant>
        <vt:lpwstr>_Toc309226348</vt:lpwstr>
      </vt:variant>
      <vt:variant>
        <vt:i4>1507387</vt:i4>
      </vt:variant>
      <vt:variant>
        <vt:i4>44</vt:i4>
      </vt:variant>
      <vt:variant>
        <vt:i4>0</vt:i4>
      </vt:variant>
      <vt:variant>
        <vt:i4>5</vt:i4>
      </vt:variant>
      <vt:variant>
        <vt:lpwstr/>
      </vt:variant>
      <vt:variant>
        <vt:lpwstr>_Toc309226347</vt:lpwstr>
      </vt:variant>
      <vt:variant>
        <vt:i4>1507387</vt:i4>
      </vt:variant>
      <vt:variant>
        <vt:i4>38</vt:i4>
      </vt:variant>
      <vt:variant>
        <vt:i4>0</vt:i4>
      </vt:variant>
      <vt:variant>
        <vt:i4>5</vt:i4>
      </vt:variant>
      <vt:variant>
        <vt:lpwstr/>
      </vt:variant>
      <vt:variant>
        <vt:lpwstr>_Toc309226346</vt:lpwstr>
      </vt:variant>
      <vt:variant>
        <vt:i4>1507387</vt:i4>
      </vt:variant>
      <vt:variant>
        <vt:i4>32</vt:i4>
      </vt:variant>
      <vt:variant>
        <vt:i4>0</vt:i4>
      </vt:variant>
      <vt:variant>
        <vt:i4>5</vt:i4>
      </vt:variant>
      <vt:variant>
        <vt:lpwstr/>
      </vt:variant>
      <vt:variant>
        <vt:lpwstr>_Toc309226345</vt:lpwstr>
      </vt:variant>
      <vt:variant>
        <vt:i4>1507387</vt:i4>
      </vt:variant>
      <vt:variant>
        <vt:i4>26</vt:i4>
      </vt:variant>
      <vt:variant>
        <vt:i4>0</vt:i4>
      </vt:variant>
      <vt:variant>
        <vt:i4>5</vt:i4>
      </vt:variant>
      <vt:variant>
        <vt:lpwstr/>
      </vt:variant>
      <vt:variant>
        <vt:lpwstr>_Toc309226344</vt:lpwstr>
      </vt:variant>
      <vt:variant>
        <vt:i4>1507387</vt:i4>
      </vt:variant>
      <vt:variant>
        <vt:i4>20</vt:i4>
      </vt:variant>
      <vt:variant>
        <vt:i4>0</vt:i4>
      </vt:variant>
      <vt:variant>
        <vt:i4>5</vt:i4>
      </vt:variant>
      <vt:variant>
        <vt:lpwstr/>
      </vt:variant>
      <vt:variant>
        <vt:lpwstr>_Toc309226343</vt:lpwstr>
      </vt:variant>
      <vt:variant>
        <vt:i4>1507387</vt:i4>
      </vt:variant>
      <vt:variant>
        <vt:i4>14</vt:i4>
      </vt:variant>
      <vt:variant>
        <vt:i4>0</vt:i4>
      </vt:variant>
      <vt:variant>
        <vt:i4>5</vt:i4>
      </vt:variant>
      <vt:variant>
        <vt:lpwstr/>
      </vt:variant>
      <vt:variant>
        <vt:lpwstr>_Toc309226342</vt:lpwstr>
      </vt:variant>
      <vt:variant>
        <vt:i4>1507387</vt:i4>
      </vt:variant>
      <vt:variant>
        <vt:i4>8</vt:i4>
      </vt:variant>
      <vt:variant>
        <vt:i4>0</vt:i4>
      </vt:variant>
      <vt:variant>
        <vt:i4>5</vt:i4>
      </vt:variant>
      <vt:variant>
        <vt:lpwstr/>
      </vt:variant>
      <vt:variant>
        <vt:lpwstr>_Toc309226341</vt:lpwstr>
      </vt:variant>
      <vt:variant>
        <vt:i4>1507387</vt:i4>
      </vt:variant>
      <vt:variant>
        <vt:i4>2</vt:i4>
      </vt:variant>
      <vt:variant>
        <vt:i4>0</vt:i4>
      </vt:variant>
      <vt:variant>
        <vt:i4>5</vt:i4>
      </vt:variant>
      <vt:variant>
        <vt:lpwstr/>
      </vt:variant>
      <vt:variant>
        <vt:lpwstr>_Toc309226340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2011-11-18T21:02:00Z</dcterms:created>
  <dcterms:modified xsi:type="dcterms:W3CDTF">2011-11-18T21:22:00Z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