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6F4" w:rsidRPr="00672F5A" w:rsidRDefault="002866F4" w:rsidP="00E90E7E">
      <w:pPr>
        <w:pStyle w:val="Style1"/>
        <w:suppressLineNumbers/>
        <w:kinsoku w:val="0"/>
        <w:autoSpaceDE/>
        <w:autoSpaceDN/>
        <w:adjustRightInd/>
        <w:ind w:firstLine="0"/>
        <w:jc w:val="center"/>
        <w:rPr>
          <w:rStyle w:val="CharacterStyle1"/>
          <w:b/>
          <w:bCs/>
          <w:w w:val="105"/>
          <w:sz w:val="24"/>
          <w:szCs w:val="24"/>
        </w:rPr>
      </w:pPr>
      <w:r w:rsidRPr="00672F5A">
        <w:rPr>
          <w:rStyle w:val="CharacterStyle1"/>
          <w:b/>
          <w:bCs/>
          <w:w w:val="105"/>
          <w:sz w:val="24"/>
          <w:szCs w:val="24"/>
        </w:rPr>
        <w:t>BEFORE THE</w:t>
      </w:r>
    </w:p>
    <w:p w:rsidR="002866F4" w:rsidRDefault="002866F4" w:rsidP="00E90E7E">
      <w:pPr>
        <w:pStyle w:val="Style1"/>
        <w:suppressLineNumbers/>
        <w:kinsoku w:val="0"/>
        <w:autoSpaceDE/>
        <w:autoSpaceDN/>
        <w:adjustRightInd/>
        <w:ind w:firstLine="0"/>
        <w:jc w:val="center"/>
        <w:rPr>
          <w:rStyle w:val="CharacterStyle1"/>
          <w:b/>
          <w:bCs/>
          <w:spacing w:val="-6"/>
          <w:w w:val="105"/>
          <w:sz w:val="24"/>
          <w:szCs w:val="24"/>
        </w:rPr>
      </w:pPr>
      <w:r>
        <w:rPr>
          <w:rStyle w:val="CharacterStyle1"/>
          <w:b/>
          <w:bCs/>
          <w:spacing w:val="-6"/>
          <w:w w:val="105"/>
          <w:sz w:val="24"/>
          <w:szCs w:val="24"/>
        </w:rPr>
        <w:t>WASHINGTON UTILITIES AND</w:t>
      </w:r>
    </w:p>
    <w:p w:rsidR="002866F4" w:rsidRDefault="002866F4" w:rsidP="00E90E7E">
      <w:pPr>
        <w:pStyle w:val="Style1"/>
        <w:suppressLineNumbers/>
        <w:kinsoku w:val="0"/>
        <w:autoSpaceDE/>
        <w:autoSpaceDN/>
        <w:adjustRightInd/>
        <w:ind w:firstLine="0"/>
        <w:jc w:val="center"/>
        <w:rPr>
          <w:rStyle w:val="CharacterStyle1"/>
          <w:b/>
          <w:bCs/>
          <w:spacing w:val="-6"/>
          <w:w w:val="105"/>
          <w:sz w:val="24"/>
          <w:szCs w:val="24"/>
        </w:rPr>
      </w:pPr>
      <w:r>
        <w:rPr>
          <w:rStyle w:val="CharacterStyle1"/>
          <w:b/>
          <w:bCs/>
          <w:spacing w:val="-6"/>
          <w:w w:val="105"/>
          <w:sz w:val="24"/>
          <w:szCs w:val="24"/>
        </w:rPr>
        <w:t>TRANSPORTATION COMMISSION</w:t>
      </w:r>
    </w:p>
    <w:p w:rsidR="002866F4" w:rsidRPr="002866F4" w:rsidRDefault="002866F4" w:rsidP="003813A9">
      <w:pPr>
        <w:pStyle w:val="Style1"/>
        <w:suppressLineNumbers/>
        <w:kinsoku w:val="0"/>
        <w:autoSpaceDE/>
        <w:autoSpaceDN/>
        <w:adjustRightInd/>
        <w:jc w:val="center"/>
        <w:rPr>
          <w:rStyle w:val="CharacterStyle1"/>
          <w:bCs/>
          <w:spacing w:val="-6"/>
          <w:w w:val="10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450"/>
        <w:gridCol w:w="4068"/>
      </w:tblGrid>
      <w:tr w:rsidR="002866F4" w:rsidTr="00F42C4D">
        <w:tc>
          <w:tcPr>
            <w:tcW w:w="5058" w:type="dxa"/>
            <w:tcBorders>
              <w:bottom w:val="single" w:sz="4" w:space="0" w:color="auto"/>
            </w:tcBorders>
          </w:tcPr>
          <w:p w:rsidR="002866F4" w:rsidRDefault="002866F4" w:rsidP="003813A9">
            <w:pPr>
              <w:pStyle w:val="Style1"/>
              <w:suppressLineNumbers/>
              <w:kinsoku w:val="0"/>
              <w:ind w:firstLine="0"/>
              <w:rPr>
                <w:rStyle w:val="CharacterStyle1"/>
                <w:spacing w:val="-8"/>
                <w:w w:val="110"/>
                <w:sz w:val="24"/>
                <w:szCs w:val="24"/>
              </w:rPr>
            </w:pPr>
            <w:r w:rsidRPr="002866F4">
              <w:rPr>
                <w:rStyle w:val="CharacterStyle1"/>
                <w:spacing w:val="-8"/>
                <w:w w:val="110"/>
                <w:sz w:val="24"/>
                <w:szCs w:val="24"/>
              </w:rPr>
              <w:t xml:space="preserve">Re: Rulemaking to Consider Modifications to, or Elimination of, the Requirement Related to </w:t>
            </w:r>
            <w:r>
              <w:rPr>
                <w:rStyle w:val="CharacterStyle1"/>
                <w:spacing w:val="-8"/>
                <w:w w:val="110"/>
                <w:sz w:val="24"/>
                <w:szCs w:val="24"/>
              </w:rPr>
              <w:t>Distribution of Telephone Books in</w:t>
            </w:r>
          </w:p>
          <w:p w:rsidR="002866F4" w:rsidRDefault="002866F4" w:rsidP="003813A9">
            <w:pPr>
              <w:pStyle w:val="Style1"/>
              <w:suppressLineNumbers/>
              <w:kinsoku w:val="0"/>
              <w:ind w:firstLine="0"/>
              <w:rPr>
                <w:rStyle w:val="CharacterStyle1"/>
                <w:spacing w:val="-8"/>
                <w:w w:val="110"/>
                <w:sz w:val="24"/>
                <w:szCs w:val="24"/>
              </w:rPr>
            </w:pPr>
            <w:r w:rsidRPr="002866F4">
              <w:rPr>
                <w:rStyle w:val="CharacterStyle1"/>
                <w:spacing w:val="-8"/>
                <w:w w:val="110"/>
                <w:sz w:val="24"/>
                <w:szCs w:val="24"/>
              </w:rPr>
              <w:t>WAC 480-120-251</w:t>
            </w:r>
          </w:p>
          <w:p w:rsidR="002866F4" w:rsidRPr="002866F4" w:rsidRDefault="002866F4" w:rsidP="003813A9">
            <w:pPr>
              <w:pStyle w:val="Style1"/>
              <w:suppressLineNumbers/>
              <w:kinsoku w:val="0"/>
              <w:ind w:firstLine="0"/>
              <w:rPr>
                <w:rStyle w:val="CharacterStyle1"/>
                <w:spacing w:val="-8"/>
                <w:w w:val="110"/>
                <w:sz w:val="24"/>
                <w:szCs w:val="24"/>
              </w:rPr>
            </w:pPr>
          </w:p>
          <w:p w:rsidR="002866F4" w:rsidRDefault="002866F4" w:rsidP="003813A9">
            <w:pPr>
              <w:pStyle w:val="Style1"/>
              <w:suppressLineNumbers/>
              <w:kinsoku w:val="0"/>
              <w:autoSpaceDE/>
              <w:autoSpaceDN/>
              <w:adjustRightInd/>
              <w:ind w:right="432" w:firstLine="0"/>
              <w:rPr>
                <w:rStyle w:val="CharacterStyle1"/>
                <w:spacing w:val="-10"/>
                <w:w w:val="110"/>
                <w:sz w:val="24"/>
                <w:szCs w:val="24"/>
              </w:rPr>
            </w:pPr>
            <w:r>
              <w:rPr>
                <w:rStyle w:val="CharacterStyle1"/>
                <w:spacing w:val="-10"/>
                <w:w w:val="110"/>
                <w:sz w:val="24"/>
                <w:szCs w:val="24"/>
              </w:rPr>
              <w:t>Notice of Opportunity to File Written Comments</w:t>
            </w:r>
            <w:r w:rsidR="00DD36E5">
              <w:rPr>
                <w:rStyle w:val="CharacterStyle1"/>
                <w:spacing w:val="-10"/>
                <w:w w:val="110"/>
                <w:sz w:val="24"/>
                <w:szCs w:val="24"/>
              </w:rPr>
              <w:t xml:space="preserve"> Issue October 31, 2012</w:t>
            </w:r>
          </w:p>
          <w:p w:rsidR="002866F4" w:rsidRDefault="002866F4" w:rsidP="003813A9">
            <w:pPr>
              <w:suppressLineNumbers/>
              <w:ind w:firstLine="0"/>
            </w:pPr>
          </w:p>
        </w:tc>
        <w:tc>
          <w:tcPr>
            <w:tcW w:w="450" w:type="dxa"/>
          </w:tcPr>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Default="00F42C4D" w:rsidP="003813A9">
            <w:pPr>
              <w:suppressLineNumbers/>
              <w:ind w:firstLine="0"/>
            </w:pPr>
            <w:r w:rsidRPr="00250866">
              <w:t>)</w:t>
            </w:r>
          </w:p>
          <w:p w:rsidR="00791CFE" w:rsidRPr="00250866" w:rsidRDefault="00791CFE" w:rsidP="003813A9">
            <w:pPr>
              <w:suppressLineNumbers/>
              <w:ind w:firstLine="0"/>
            </w:pPr>
            <w:r>
              <w:t>)</w:t>
            </w:r>
          </w:p>
        </w:tc>
        <w:tc>
          <w:tcPr>
            <w:tcW w:w="4068" w:type="dxa"/>
          </w:tcPr>
          <w:p w:rsidR="00F42C4D" w:rsidRDefault="00F42C4D" w:rsidP="003813A9">
            <w:pPr>
              <w:suppressLineNumbers/>
              <w:ind w:firstLine="0"/>
            </w:pPr>
          </w:p>
          <w:p w:rsidR="00F42C4D" w:rsidRDefault="00F42C4D" w:rsidP="003813A9">
            <w:pPr>
              <w:suppressLineNumbers/>
              <w:ind w:firstLine="0"/>
            </w:pPr>
          </w:p>
          <w:p w:rsidR="00F42C4D" w:rsidRDefault="00F42C4D" w:rsidP="003813A9">
            <w:pPr>
              <w:suppressLineNumbers/>
              <w:ind w:firstLine="0"/>
            </w:pPr>
          </w:p>
          <w:p w:rsidR="00F42C4D" w:rsidRDefault="00F42C4D" w:rsidP="003813A9">
            <w:pPr>
              <w:suppressLineNumbers/>
              <w:ind w:firstLine="0"/>
              <w:rPr>
                <w:rStyle w:val="CharacterStyle1"/>
                <w:spacing w:val="-8"/>
                <w:w w:val="110"/>
                <w:sz w:val="24"/>
                <w:szCs w:val="24"/>
              </w:rPr>
            </w:pPr>
            <w:r w:rsidRPr="00F42C4D">
              <w:rPr>
                <w:rStyle w:val="CharacterStyle1"/>
                <w:spacing w:val="-8"/>
                <w:w w:val="110"/>
                <w:sz w:val="24"/>
                <w:szCs w:val="24"/>
              </w:rPr>
              <w:t>Docket UT-120451</w:t>
            </w:r>
          </w:p>
          <w:p w:rsidR="00791CFE" w:rsidRDefault="00791CFE" w:rsidP="003813A9">
            <w:pPr>
              <w:suppressLineNumbers/>
              <w:ind w:firstLine="0"/>
              <w:rPr>
                <w:rStyle w:val="CharacterStyle1"/>
                <w:spacing w:val="-8"/>
                <w:w w:val="110"/>
                <w:sz w:val="24"/>
                <w:szCs w:val="24"/>
              </w:rPr>
            </w:pPr>
          </w:p>
          <w:p w:rsidR="00791CFE" w:rsidRPr="00F42C4D" w:rsidRDefault="00DD36E5" w:rsidP="00DD36E5">
            <w:pPr>
              <w:suppressLineNumbers/>
              <w:ind w:firstLine="0"/>
              <w:rPr>
                <w:szCs w:val="24"/>
              </w:rPr>
            </w:pPr>
            <w:r>
              <w:rPr>
                <w:szCs w:val="24"/>
              </w:rPr>
              <w:t xml:space="preserve">FURTHER </w:t>
            </w:r>
            <w:r w:rsidR="00791CFE" w:rsidRPr="00791CFE">
              <w:rPr>
                <w:szCs w:val="24"/>
              </w:rPr>
              <w:t>COMMENTS OF DEX ONE CORPORATION</w:t>
            </w:r>
          </w:p>
        </w:tc>
      </w:tr>
    </w:tbl>
    <w:p w:rsidR="002866F4" w:rsidRDefault="002866F4" w:rsidP="003813A9">
      <w:pPr>
        <w:suppressLineNumbers/>
        <w:spacing w:after="0"/>
      </w:pPr>
    </w:p>
    <w:p w:rsidR="00F42C4D" w:rsidRDefault="008D6992" w:rsidP="00DB0830">
      <w:pPr>
        <w:suppressLineNumbers/>
        <w:spacing w:before="100" w:beforeAutospacing="1" w:after="100" w:afterAutospacing="1" w:line="480" w:lineRule="auto"/>
        <w:ind w:firstLine="0"/>
        <w:contextualSpacing/>
        <w:jc w:val="center"/>
      </w:pPr>
      <w:r>
        <w:rPr>
          <w:b/>
          <w:u w:val="single"/>
        </w:rPr>
        <w:t xml:space="preserve">FURTHER </w:t>
      </w:r>
      <w:r w:rsidR="00F42C4D" w:rsidRPr="00F42C4D">
        <w:rPr>
          <w:b/>
          <w:u w:val="single"/>
        </w:rPr>
        <w:t>COMMENTS OF DEX ONE CORPORATION</w:t>
      </w:r>
    </w:p>
    <w:p w:rsidR="00221EE4" w:rsidRDefault="00DD36E5" w:rsidP="00DB0830">
      <w:pPr>
        <w:spacing w:before="100" w:beforeAutospacing="1" w:after="100" w:afterAutospacing="1" w:line="480" w:lineRule="auto"/>
        <w:contextualSpacing/>
      </w:pPr>
      <w:r>
        <w:t xml:space="preserve">Dex One Corporation </w:t>
      </w:r>
      <w:r w:rsidR="00F42C4D">
        <w:t>(“Dex</w:t>
      </w:r>
      <w:r w:rsidR="00A305B0">
        <w:t xml:space="preserve"> One</w:t>
      </w:r>
      <w:r w:rsidR="00F42C4D">
        <w:t xml:space="preserve">”) appreciates this </w:t>
      </w:r>
      <w:r>
        <w:t xml:space="preserve">further </w:t>
      </w:r>
      <w:r w:rsidR="00F42C4D">
        <w:t xml:space="preserve">opportunity to comment on </w:t>
      </w:r>
      <w:r>
        <w:t xml:space="preserve">possible revisions to WAC 480-120-251 (“Directory Rule”), pursuant to the </w:t>
      </w:r>
      <w:r w:rsidR="00F42C4D">
        <w:t xml:space="preserve">Commission’s </w:t>
      </w:r>
      <w:r>
        <w:t>October 31</w:t>
      </w:r>
      <w:r w:rsidR="00F42C4D">
        <w:t xml:space="preserve">, 2012, Notice of Opportunity to </w:t>
      </w:r>
      <w:r>
        <w:t>Comment (“Notice”)</w:t>
      </w:r>
      <w:r w:rsidR="00F42C4D">
        <w:t>.</w:t>
      </w:r>
      <w:r>
        <w:t xml:space="preserve">  The Notice specifically requests further comm</w:t>
      </w:r>
      <w:r w:rsidR="008F415D">
        <w:t xml:space="preserve">ent on </w:t>
      </w:r>
      <w:r>
        <w:t>the Commission’s latest proposed revised rule</w:t>
      </w:r>
      <w:r w:rsidR="00651D6F">
        <w:t xml:space="preserve"> (“Draft”), as is set forth in the Notice. </w:t>
      </w:r>
      <w:r w:rsidR="008F415D">
        <w:t xml:space="preserve"> At the outset</w:t>
      </w:r>
      <w:r w:rsidR="00651D6F">
        <w:t>,</w:t>
      </w:r>
      <w:r w:rsidR="008F415D">
        <w:t xml:space="preserve"> Dex One notes its </w:t>
      </w:r>
      <w:r w:rsidR="004B60BC">
        <w:t xml:space="preserve">sincere </w:t>
      </w:r>
      <w:r w:rsidR="008F415D">
        <w:t>appreciation for the Commission’s expeditious, considered, and clearly well-intentioned approach to this issue, especially in light of the recently changed l</w:t>
      </w:r>
      <w:r w:rsidR="00651D6F">
        <w:t>egal l</w:t>
      </w:r>
      <w:r w:rsidR="008F415D">
        <w:t xml:space="preserve">andscape created by the opinion in </w:t>
      </w:r>
      <w:r w:rsidR="008F415D" w:rsidRPr="008F415D">
        <w:rPr>
          <w:i/>
        </w:rPr>
        <w:t>Dex Media v. Seattle</w:t>
      </w:r>
      <w:r w:rsidR="008F415D" w:rsidRPr="008F415D">
        <w:t>, ___ F.3d ___ (9th Cir., Oct. 15, 2012)</w:t>
      </w:r>
      <w:r w:rsidR="008F415D">
        <w:t>.  Unfortunately, despite the Commission’s best intentions, for Dex One the new Draft creates a “worst of both worlds” situation.</w:t>
      </w:r>
    </w:p>
    <w:p w:rsidR="009A62C6" w:rsidRPr="00DB0830" w:rsidRDefault="009A62C6" w:rsidP="00DB0830">
      <w:pPr>
        <w:pStyle w:val="ListParagraph"/>
        <w:numPr>
          <w:ilvl w:val="0"/>
          <w:numId w:val="13"/>
        </w:numPr>
        <w:spacing w:before="100" w:beforeAutospacing="1" w:after="100" w:afterAutospacing="1"/>
        <w:rPr>
          <w:b/>
        </w:rPr>
      </w:pPr>
      <w:r w:rsidRPr="00DB0830">
        <w:rPr>
          <w:b/>
        </w:rPr>
        <w:t>“</w:t>
      </w:r>
      <w:r w:rsidRPr="00DB0830">
        <w:rPr>
          <w:b/>
          <w:u w:val="single"/>
        </w:rPr>
        <w:t>Worst of Both Worlds</w:t>
      </w:r>
      <w:r w:rsidRPr="00DB0830">
        <w:rPr>
          <w:b/>
        </w:rPr>
        <w:t>.”</w:t>
      </w:r>
    </w:p>
    <w:p w:rsidR="008F415D" w:rsidRDefault="00651D6F" w:rsidP="00DB0830">
      <w:pPr>
        <w:spacing w:before="100" w:beforeAutospacing="1" w:after="100" w:afterAutospacing="1" w:line="480" w:lineRule="auto"/>
        <w:contextualSpacing/>
      </w:pPr>
      <w:r>
        <w:t>F</w:t>
      </w:r>
      <w:r w:rsidR="008F415D">
        <w:t xml:space="preserve">irst, in order to switch to upon request delivery of the residential white pages </w:t>
      </w:r>
      <w:r>
        <w:t>the Draft</w:t>
      </w:r>
      <w:r w:rsidR="008F415D">
        <w:t xml:space="preserve"> requires action by the LEC; </w:t>
      </w:r>
      <w:r w:rsidR="008F415D" w:rsidRPr="00221EE4">
        <w:rPr>
          <w:i/>
        </w:rPr>
        <w:t>i.e.</w:t>
      </w:r>
      <w:r w:rsidR="008F415D">
        <w:t xml:space="preserve"> putting directory listings online or linking to an online database of listings.  </w:t>
      </w:r>
      <w:r w:rsidR="00221EE4">
        <w:t xml:space="preserve">CenturyLink and Dex One have made clear that they are not in agreement on this issue, meaning it is </w:t>
      </w:r>
      <w:r w:rsidR="00221EE4" w:rsidRPr="00335F0A">
        <w:rPr>
          <w:b/>
          <w:i/>
        </w:rPr>
        <w:t>unlikely</w:t>
      </w:r>
      <w:r w:rsidR="00221EE4">
        <w:t xml:space="preserve"> that Dex One, CenturyLink’s customers, or the communities in the </w:t>
      </w:r>
      <w:r w:rsidR="00221EE4">
        <w:lastRenderedPageBreak/>
        <w:t xml:space="preserve">five most populous areas in the state will obtain the intended benefits of the Draft—reduced waste and reduced costs—in </w:t>
      </w:r>
      <w:r w:rsidR="000F116B">
        <w:t xml:space="preserve">the </w:t>
      </w:r>
      <w:r w:rsidR="00221EE4">
        <w:t xml:space="preserve">foreseeable future. </w:t>
      </w:r>
    </w:p>
    <w:p w:rsidR="006970F9" w:rsidRDefault="00221EE4" w:rsidP="00DB0830">
      <w:pPr>
        <w:spacing w:before="100" w:beforeAutospacing="1" w:after="100" w:afterAutospacing="1" w:line="480" w:lineRule="auto"/>
        <w:contextualSpacing/>
      </w:pPr>
      <w:r>
        <w:t xml:space="preserve">Second, despite the Ninth Circuit case striking down mandatory regulation of directories, the Draft creates new </w:t>
      </w:r>
      <w:r w:rsidRPr="009A62C6">
        <w:rPr>
          <w:b/>
          <w:i/>
        </w:rPr>
        <w:t>mandatory</w:t>
      </w:r>
      <w:r>
        <w:t xml:space="preserve"> opt-out provisions</w:t>
      </w:r>
      <w:r w:rsidR="004B50A4">
        <w:t>, raising serious First Amendment issues</w:t>
      </w:r>
      <w:r>
        <w:t xml:space="preserve">.  The directory industry has been aggressive in litigating undue regulation of the content and distribution of directories as </w:t>
      </w:r>
      <w:r w:rsidRPr="00221EE4">
        <w:rPr>
          <w:i/>
        </w:rPr>
        <w:t>Dex Media v. Seattle</w:t>
      </w:r>
      <w:r>
        <w:t xml:space="preserve"> illustrates.  The Draft goes so far toward reducing directory regulation th</w:t>
      </w:r>
      <w:r w:rsidR="00651D6F">
        <w:t>at</w:t>
      </w:r>
      <w:r>
        <w:t xml:space="preserve"> Dex One can only assume the Commission did</w:t>
      </w:r>
      <w:r w:rsidR="00651D6F">
        <w:t xml:space="preserve"> not realize that that provision</w:t>
      </w:r>
      <w:r>
        <w:t xml:space="preserve"> </w:t>
      </w:r>
      <w:r w:rsidR="00651D6F">
        <w:t xml:space="preserve">of the Draft </w:t>
      </w:r>
      <w:r>
        <w:t xml:space="preserve">would be such an anathema to the industry.  </w:t>
      </w:r>
      <w:r w:rsidR="005C0007">
        <w:t>The unintended (hopefully) regulatory overreach can be easily remedied, ho</w:t>
      </w:r>
      <w:r w:rsidR="00916139">
        <w:t xml:space="preserve">wever.  </w:t>
      </w:r>
    </w:p>
    <w:p w:rsidR="00221EE4" w:rsidRDefault="00666B0C" w:rsidP="00DB0830">
      <w:pPr>
        <w:spacing w:before="100" w:beforeAutospacing="1" w:after="100" w:afterAutospacing="1" w:line="480" w:lineRule="auto"/>
        <w:contextualSpacing/>
      </w:pPr>
      <w:r>
        <w:t xml:space="preserve">Dex </w:t>
      </w:r>
      <w:proofErr w:type="gramStart"/>
      <w:r>
        <w:t>One</w:t>
      </w:r>
      <w:proofErr w:type="gramEnd"/>
      <w:r>
        <w:t xml:space="preserve"> has developed three</w:t>
      </w:r>
      <w:r w:rsidR="005C0007">
        <w:t xml:space="preserve"> alternative</w:t>
      </w:r>
      <w:r w:rsidR="00916139">
        <w:t>s</w:t>
      </w:r>
      <w:r w:rsidR="005C0007">
        <w:t xml:space="preserve"> to the Draft, which </w:t>
      </w:r>
      <w:r w:rsidR="00916139">
        <w:t>are attached as Appendices</w:t>
      </w:r>
      <w:r w:rsidR="005C0007">
        <w:t xml:space="preserve"> A</w:t>
      </w:r>
      <w:r>
        <w:t>, B, and C</w:t>
      </w:r>
      <w:r w:rsidR="005C0007">
        <w:t>.</w:t>
      </w:r>
      <w:r>
        <w:t xml:space="preserve">  Adoption of any</w:t>
      </w:r>
      <w:r w:rsidR="00916139">
        <w:t xml:space="preserve"> alternative would solve </w:t>
      </w:r>
      <w:r w:rsidR="006970F9">
        <w:t>both of the foregoing</w:t>
      </w:r>
      <w:r w:rsidR="00916139">
        <w:t xml:space="preserve"> problems and </w:t>
      </w:r>
      <w:r w:rsidR="006970F9">
        <w:t>enable Dex One and other LEC publishers to take full advantage of the relaxed regulatory requirements.</w:t>
      </w:r>
      <w:r w:rsidR="005C0007">
        <w:t xml:space="preserve"> </w:t>
      </w:r>
    </w:p>
    <w:p w:rsidR="009A62C6" w:rsidRPr="00DB0830" w:rsidRDefault="009A62C6" w:rsidP="00DB0830">
      <w:pPr>
        <w:pStyle w:val="ListParagraph"/>
        <w:numPr>
          <w:ilvl w:val="0"/>
          <w:numId w:val="13"/>
        </w:numPr>
        <w:spacing w:before="100" w:beforeAutospacing="1" w:after="100" w:afterAutospacing="1"/>
        <w:rPr>
          <w:b/>
        </w:rPr>
      </w:pPr>
      <w:r w:rsidRPr="00DB0830">
        <w:rPr>
          <w:b/>
          <w:u w:val="single"/>
        </w:rPr>
        <w:t>Revisit Repeal</w:t>
      </w:r>
      <w:r w:rsidRPr="00DB0830">
        <w:rPr>
          <w:b/>
        </w:rPr>
        <w:t>?</w:t>
      </w:r>
    </w:p>
    <w:p w:rsidR="00651D6F" w:rsidRDefault="005C0007" w:rsidP="00DB0830">
      <w:pPr>
        <w:spacing w:before="100" w:beforeAutospacing="1" w:after="100" w:afterAutospacing="1" w:line="480" w:lineRule="auto"/>
        <w:contextualSpacing/>
      </w:pPr>
      <w:r>
        <w:t>Before discussi</w:t>
      </w:r>
      <w:r w:rsidR="009A62C6">
        <w:t>ng</w:t>
      </w:r>
      <w:r w:rsidR="00666B0C">
        <w:t xml:space="preserve"> Appendices</w:t>
      </w:r>
      <w:r>
        <w:t xml:space="preserve"> A</w:t>
      </w:r>
      <w:r w:rsidR="00666B0C">
        <w:t>, B and C</w:t>
      </w:r>
      <w:r>
        <w:t xml:space="preserve">, Dex One respectfully suggests that the Commission may wish to revisit the possibility of simply repealing the Directory Rule.  Numerous states have no directory rule or no rule that regulates distribution of directories.  No party in this docket has been able to point to a single such state and demonstrate that lack of a rule has led to problems for LEC customers.  Dex </w:t>
      </w:r>
      <w:proofErr w:type="gramStart"/>
      <w:r>
        <w:t>One</w:t>
      </w:r>
      <w:proofErr w:type="gramEnd"/>
      <w:r>
        <w:t xml:space="preserve"> is not aware of such problem</w:t>
      </w:r>
      <w:r w:rsidR="00651D6F">
        <w:t>s</w:t>
      </w:r>
      <w:r>
        <w:t xml:space="preserve">.  Nor has any party pointed to any state that lacked a directory rule and has found need to enact one.  Dex </w:t>
      </w:r>
      <w:proofErr w:type="gramStart"/>
      <w:r>
        <w:t>One</w:t>
      </w:r>
      <w:proofErr w:type="gramEnd"/>
      <w:r>
        <w:t xml:space="preserve"> does not believe such a situation has arisen anywhere.  </w:t>
      </w:r>
    </w:p>
    <w:p w:rsidR="005C0007" w:rsidRDefault="005C0007" w:rsidP="00DB0830">
      <w:pPr>
        <w:spacing w:before="100" w:beforeAutospacing="1" w:after="100" w:afterAutospacing="1" w:line="480" w:lineRule="auto"/>
        <w:contextualSpacing/>
      </w:pPr>
      <w:r>
        <w:t xml:space="preserve">As the Commission labors in good faith on the difficult task of developing a rule that avoids the familiar “law of unintended consequences” it may well wish to revisit the possibility </w:t>
      </w:r>
      <w:r>
        <w:lastRenderedPageBreak/>
        <w:t xml:space="preserve">of outright repeal.  That will have consequences, but the precedent in </w:t>
      </w:r>
      <w:r w:rsidR="004075FB">
        <w:t xml:space="preserve">numerous </w:t>
      </w:r>
      <w:r>
        <w:t>other states demonstrates they are not dire or even serious</w:t>
      </w:r>
      <w:r w:rsidR="00651D6F">
        <w:t xml:space="preserve"> consequences</w:t>
      </w:r>
      <w:r>
        <w:t>.  Consumers have adapted well to the new environment</w:t>
      </w:r>
      <w:r w:rsidR="00651D6F">
        <w:t xml:space="preserve"> in deregulated and unregulated states</w:t>
      </w:r>
      <w:r>
        <w:t>.</w:t>
      </w:r>
    </w:p>
    <w:p w:rsidR="009A62C6" w:rsidRPr="00DB0830" w:rsidRDefault="009A62C6" w:rsidP="00DB0830">
      <w:pPr>
        <w:pStyle w:val="ListParagraph"/>
        <w:numPr>
          <w:ilvl w:val="0"/>
          <w:numId w:val="13"/>
        </w:numPr>
        <w:spacing w:before="100" w:beforeAutospacing="1" w:after="100" w:afterAutospacing="1"/>
        <w:rPr>
          <w:b/>
        </w:rPr>
      </w:pPr>
      <w:r w:rsidRPr="00DB0830">
        <w:rPr>
          <w:b/>
          <w:u w:val="single"/>
        </w:rPr>
        <w:t>Possible Fix</w:t>
      </w:r>
      <w:r w:rsidR="00826A43" w:rsidRPr="00DB0830">
        <w:rPr>
          <w:b/>
          <w:u w:val="single"/>
        </w:rPr>
        <w:t>es</w:t>
      </w:r>
      <w:r w:rsidRPr="00DB0830">
        <w:rPr>
          <w:b/>
          <w:u w:val="single"/>
        </w:rPr>
        <w:t>—A Middle Ground.</w:t>
      </w:r>
    </w:p>
    <w:p w:rsidR="00826A43" w:rsidRPr="00826A43" w:rsidRDefault="00826A43" w:rsidP="00DB0830">
      <w:pPr>
        <w:spacing w:before="100" w:beforeAutospacing="1" w:after="100" w:afterAutospacing="1" w:line="480" w:lineRule="auto"/>
        <w:contextualSpacing/>
        <w:rPr>
          <w:i/>
        </w:rPr>
      </w:pPr>
      <w:r w:rsidRPr="00826A43">
        <w:rPr>
          <w:i/>
        </w:rPr>
        <w:t>Alternative 1:  Appendix A</w:t>
      </w:r>
    </w:p>
    <w:p w:rsidR="004075FB" w:rsidRDefault="005C0007" w:rsidP="00DB0830">
      <w:pPr>
        <w:spacing w:before="100" w:beforeAutospacing="1" w:after="100" w:afterAutospacing="1" w:line="480" w:lineRule="auto"/>
        <w:contextualSpacing/>
      </w:pPr>
      <w:r>
        <w:t xml:space="preserve">Should the Commission wish to retain some form of regulation of directories </w:t>
      </w:r>
      <w:r w:rsidR="00651D6F">
        <w:t>or</w:t>
      </w:r>
      <w:r>
        <w:t xml:space="preserve"> directory distribution, </w:t>
      </w:r>
      <w:r w:rsidR="009A62C6">
        <w:t>despite the challe</w:t>
      </w:r>
      <w:r w:rsidR="00651D6F">
        <w:t>nges, Dex One recommends revising</w:t>
      </w:r>
      <w:r w:rsidR="009A62C6">
        <w:t xml:space="preserve"> the Draft as shown in Appendix A to these comments.  </w:t>
      </w:r>
      <w:r w:rsidR="00E94480">
        <w:t>Because the Draft takes such a deregulatory approach, the changes that are required to eliminate the foregoing problems are actually pretty minimal.  The key changes are, first, to insert after “LEC” the phrase “</w:t>
      </w:r>
      <w:r w:rsidR="00E85778">
        <w:t>or its publisher</w:t>
      </w:r>
      <w:r w:rsidR="00E94480">
        <w:t>”</w:t>
      </w:r>
      <w:r w:rsidR="00E85778">
        <w:t xml:space="preserve"> in subsection (2</w:t>
      </w:r>
      <w:proofErr w:type="gramStart"/>
      <w:r w:rsidR="00E85778">
        <w:t>)(</w:t>
      </w:r>
      <w:proofErr w:type="gramEnd"/>
      <w:r w:rsidR="00E85778">
        <w:t>a).</w:t>
      </w:r>
      <w:r w:rsidR="00E94480">
        <w:t xml:space="preserve">  </w:t>
      </w:r>
      <w:r w:rsidR="00E85778">
        <w:t xml:space="preserve">This will enable an official LEC directory publisher to provide </w:t>
      </w:r>
      <w:r w:rsidR="004075FB">
        <w:t xml:space="preserve">an </w:t>
      </w:r>
      <w:r w:rsidR="00E85778">
        <w:t>electronic database even absent any cooperation or interest by the LEC itself in moving to upon request (opt-in) distribution of residential white pages.</w:t>
      </w:r>
      <w:r w:rsidR="00E85778">
        <w:rPr>
          <w:rStyle w:val="FootnoteReference"/>
        </w:rPr>
        <w:footnoteReference w:id="1"/>
      </w:r>
    </w:p>
    <w:p w:rsidR="00CB6B4F" w:rsidRDefault="004075FB" w:rsidP="00DB0830">
      <w:pPr>
        <w:spacing w:before="100" w:beforeAutospacing="1" w:after="100" w:afterAutospacing="1" w:line="480" w:lineRule="auto"/>
        <w:contextualSpacing/>
      </w:pPr>
      <w:r>
        <w:t xml:space="preserve">The second change allows LECs the flexibility to “arrange for” the provision of a reasonable opt-out program in lieu of establishing </w:t>
      </w:r>
      <w:proofErr w:type="gramStart"/>
      <w:r>
        <w:t>one themselves</w:t>
      </w:r>
      <w:proofErr w:type="gramEnd"/>
      <w:r>
        <w:t xml:space="preserve">.  </w:t>
      </w:r>
      <w:r w:rsidR="00916139">
        <w:t xml:space="preserve">The revision to subsection (3) </w:t>
      </w:r>
      <w:r w:rsidR="002558DE">
        <w:t>avoids putting an added regulatory burden on LECs relating to opt-out if their publisher has already established an opt-out program.</w:t>
      </w:r>
    </w:p>
    <w:p w:rsidR="005C0007" w:rsidRDefault="00E85778" w:rsidP="00DB0830">
      <w:pPr>
        <w:spacing w:before="100" w:beforeAutospacing="1" w:after="100" w:afterAutospacing="1" w:line="480" w:lineRule="auto"/>
        <w:contextualSpacing/>
      </w:pPr>
      <w:r>
        <w:t>The second and critically important change is to replace the word “shall” with “need”</w:t>
      </w:r>
      <w:r w:rsidR="00CB6B4F">
        <w:t xml:space="preserve"> in subsection (2</w:t>
      </w:r>
      <w:proofErr w:type="gramStart"/>
      <w:r w:rsidR="00CB6B4F">
        <w:t>)(</w:t>
      </w:r>
      <w:proofErr w:type="gramEnd"/>
      <w:r w:rsidR="00CB6B4F">
        <w:t xml:space="preserve">b).  The effect of this change is to make the opt-out provision optional and thereby eliminate any risk of First Amendment challenges.  LECs and independent </w:t>
      </w:r>
      <w:r w:rsidR="00651D6F">
        <w:t xml:space="preserve">publishers already </w:t>
      </w:r>
      <w:r w:rsidR="00651D6F">
        <w:lastRenderedPageBreak/>
        <w:t>implemented voluntary</w:t>
      </w:r>
      <w:r w:rsidR="00CB6B4F">
        <w:t xml:space="preserve"> </w:t>
      </w:r>
      <w:r w:rsidR="00651D6F">
        <w:t>program</w:t>
      </w:r>
      <w:r w:rsidR="00CB6B4F">
        <w:t>s to honor opt-out requests by consumers.  They have a strong economic incentive not to incur the costs to print and deliver directories to households that don’t want them.  Layering a regulatory obligation on top</w:t>
      </w:r>
      <w:r w:rsidR="00651D6F">
        <w:t xml:space="preserve"> of</w:t>
      </w:r>
      <w:r w:rsidR="00CB6B4F">
        <w:t xml:space="preserve"> the existing economic incentive</w:t>
      </w:r>
      <w:r w:rsidR="00651D6F">
        <w:t>s</w:t>
      </w:r>
      <w:r w:rsidR="00CB6B4F">
        <w:t xml:space="preserve"> only s</w:t>
      </w:r>
      <w:r w:rsidR="00651D6F">
        <w:t>erves</w:t>
      </w:r>
      <w:r w:rsidR="00CB6B4F">
        <w:t xml:space="preserve"> to create potential liability for honest mistakes and to create unnecessary First Amendment issues.</w:t>
      </w:r>
    </w:p>
    <w:p w:rsidR="00CB6B4F" w:rsidRDefault="00CB6B4F" w:rsidP="00DB0830">
      <w:pPr>
        <w:spacing w:before="100" w:beforeAutospacing="1" w:after="100" w:afterAutospacing="1" w:line="480" w:lineRule="auto"/>
        <w:contextualSpacing/>
      </w:pPr>
      <w:r>
        <w:t>The only other change that Dex One suggests for clarity is to create and consistently use the term “basic directory listings” in the Draft.  This is not intended to be a substantive change, but it is helpful to distinguish between the bare-bones name, address, and phone number listing</w:t>
      </w:r>
      <w:r w:rsidR="00651D6F">
        <w:t>s</w:t>
      </w:r>
      <w:r>
        <w:t xml:space="preserve"> the Commission seeks to regulate and more expansive publications that the Commission is not intending to regulate.  </w:t>
      </w:r>
    </w:p>
    <w:p w:rsidR="00916139" w:rsidRPr="00916139" w:rsidRDefault="00916139" w:rsidP="00DB0830">
      <w:pPr>
        <w:spacing w:before="100" w:beforeAutospacing="1" w:after="100" w:afterAutospacing="1" w:line="480" w:lineRule="auto"/>
        <w:contextualSpacing/>
        <w:rPr>
          <w:i/>
        </w:rPr>
      </w:pPr>
      <w:r w:rsidRPr="00916139">
        <w:rPr>
          <w:i/>
        </w:rPr>
        <w:t>Alternative 2:  Appendix B</w:t>
      </w:r>
    </w:p>
    <w:p w:rsidR="006753F3" w:rsidRDefault="006970F9" w:rsidP="00DB0830">
      <w:pPr>
        <w:spacing w:before="100" w:beforeAutospacing="1" w:after="100" w:afterAutospacing="1" w:line="480" w:lineRule="auto"/>
        <w:contextualSpacing/>
      </w:pPr>
      <w:r>
        <w:t xml:space="preserve">Alternative 1 is the most straightforward approach to fixing the problems with the Draft by recognizing that in the real world some LECs are quite independent from their directory publishers.  However, in case the Commission is uncomfortable adopting a rule that some might interpret as regulating an entity over which the Commission lacks jurisdiction, Dex One offers an alternative, attached as Appendix B.  </w:t>
      </w:r>
      <w:r w:rsidR="006753F3">
        <w:t>Alternative 2</w:t>
      </w:r>
      <w:r>
        <w:t xml:space="preserve"> </w:t>
      </w:r>
      <w:r w:rsidR="006753F3">
        <w:t>contains no references to directory publishers. As with Alternative 1, it changes the opt-out provision in (c) to be optional, not mandatory</w:t>
      </w:r>
      <w:r w:rsidR="004075FB">
        <w:t xml:space="preserve"> and in subsection (3) allows LECs the flexibility to “arrange for” the provision of a reasonable opt-out program in lieu of establishing </w:t>
      </w:r>
      <w:proofErr w:type="gramStart"/>
      <w:r w:rsidR="004075FB">
        <w:t>one themselves</w:t>
      </w:r>
      <w:proofErr w:type="gramEnd"/>
      <w:r w:rsidR="006753F3">
        <w:t>.  And to avoid the problem that Dex One will not be able to move to opt-in if CenturyLink does not change its website to comply with proposed subsection (2</w:t>
      </w:r>
      <w:proofErr w:type="gramStart"/>
      <w:r w:rsidR="006753F3">
        <w:t>)(</w:t>
      </w:r>
      <w:proofErr w:type="gramEnd"/>
      <w:r w:rsidR="006753F3">
        <w:t>a), Alternative 2 makes the opt-in provision a stand-alone option and de-couples it from the website requirement.</w:t>
      </w:r>
    </w:p>
    <w:p w:rsidR="00E23FFC" w:rsidRPr="00E23FFC" w:rsidRDefault="00E23FFC" w:rsidP="00DB0830">
      <w:pPr>
        <w:pStyle w:val="ListParagraph"/>
        <w:spacing w:before="100" w:beforeAutospacing="1" w:after="100" w:afterAutospacing="1" w:line="480" w:lineRule="auto"/>
        <w:ind w:firstLine="0"/>
        <w:rPr>
          <w:i/>
        </w:rPr>
      </w:pPr>
      <w:r>
        <w:rPr>
          <w:i/>
        </w:rPr>
        <w:lastRenderedPageBreak/>
        <w:t>Alternative 3:  Appendix C</w:t>
      </w:r>
    </w:p>
    <w:p w:rsidR="00666B0C" w:rsidRDefault="00E23FFC" w:rsidP="00DB0830">
      <w:pPr>
        <w:pStyle w:val="ListParagraph"/>
        <w:spacing w:before="100" w:beforeAutospacing="1" w:after="100" w:afterAutospacing="1" w:line="480" w:lineRule="auto"/>
        <w:ind w:left="0"/>
      </w:pPr>
      <w:r>
        <w:t xml:space="preserve">Alternative 3 is another possible approach to fixing the problems with the Draft that again takes into account real world issues and options.  In particular, it allows for opt-in, but deletes the requirement that the LEC must also have an online database to qualify for that option.  For Dex One, the real world barrier to the online link is that CenturyLink may not be willing to provide the link, even though the Dex One website already provides all the required listing.  But also, smaller independent LECs may have the opposite problem; </w:t>
      </w:r>
      <w:r w:rsidRPr="00E23FFC">
        <w:rPr>
          <w:i/>
        </w:rPr>
        <w:t>i.e.,</w:t>
      </w:r>
      <w:r>
        <w:t xml:space="preserve"> they might be quite willing to go online and opt-in, but they have no existing database to link to.  And it might be expensive and difficult to create a compliant database.  </w:t>
      </w:r>
    </w:p>
    <w:p w:rsidR="00E23FFC" w:rsidRDefault="00666B0C" w:rsidP="00DB0830">
      <w:pPr>
        <w:pStyle w:val="ListParagraph"/>
        <w:spacing w:before="100" w:beforeAutospacing="1" w:after="100" w:afterAutospacing="1" w:line="480" w:lineRule="auto"/>
        <w:ind w:left="0"/>
      </w:pPr>
      <w:r>
        <w:t xml:space="preserve">Since the parties concerned about access by the poor and elderly seem to assume a lack of Internet access, deleting the online requirement would not seem to reduce protection of “vulnerable” customers meaningfully.  The provision for easy and free upon request delivery of the residential white pages provides a reasonable “floor” to protect customers who lack Internet access.  </w:t>
      </w:r>
      <w:r w:rsidR="00E23FFC">
        <w:t>Alternative 3 also contains no references to directory publishers.  And, as with Alternative 1, it changes the opt-out provision in (c) to be optional, not mandatory</w:t>
      </w:r>
      <w:r>
        <w:t>, to avoid First Amendment issues</w:t>
      </w:r>
      <w:r w:rsidR="004075FB">
        <w:t xml:space="preserve"> and in subsection (3) grants more flexibility to LECs in making opt-out available to consumers</w:t>
      </w:r>
      <w:r w:rsidR="00E23FFC">
        <w:t>.</w:t>
      </w:r>
    </w:p>
    <w:p w:rsidR="00166CFA" w:rsidRPr="00DB0830" w:rsidRDefault="00166CFA" w:rsidP="00DB0830">
      <w:pPr>
        <w:pStyle w:val="ListParagraph"/>
        <w:numPr>
          <w:ilvl w:val="0"/>
          <w:numId w:val="13"/>
        </w:numPr>
        <w:spacing w:before="100" w:beforeAutospacing="1" w:after="100" w:afterAutospacing="1"/>
        <w:rPr>
          <w:b/>
          <w:u w:val="single"/>
        </w:rPr>
      </w:pPr>
      <w:r w:rsidRPr="00DB0830">
        <w:rPr>
          <w:b/>
          <w:u w:val="single"/>
        </w:rPr>
        <w:t>Conclusion</w:t>
      </w:r>
    </w:p>
    <w:p w:rsidR="004075FB" w:rsidRDefault="00166CFA" w:rsidP="00DB0830">
      <w:pPr>
        <w:spacing w:before="100" w:beforeAutospacing="1" w:after="100" w:afterAutospacing="1" w:line="480" w:lineRule="auto"/>
        <w:contextualSpacing/>
      </w:pPr>
      <w:r w:rsidRPr="00166CFA">
        <w:t>We look forward to</w:t>
      </w:r>
      <w:r w:rsidR="009A62C6">
        <w:t xml:space="preserve"> continuing to</w:t>
      </w:r>
      <w:r w:rsidRPr="00166CFA">
        <w:t xml:space="preserve"> work with the Commission to update or eliminate its </w:t>
      </w:r>
      <w:r w:rsidR="009A62C6">
        <w:t>Directory R</w:t>
      </w:r>
      <w:r w:rsidRPr="00166CFA">
        <w:t xml:space="preserve">ule to promote the public interest in light of significant </w:t>
      </w:r>
      <w:r w:rsidR="009A62C6">
        <w:t>changes driven by</w:t>
      </w:r>
    </w:p>
    <w:p w:rsidR="00166CFA" w:rsidRPr="00166CFA" w:rsidRDefault="004075FB" w:rsidP="004075FB">
      <w:pPr>
        <w:ind w:firstLine="0"/>
      </w:pPr>
      <w:r>
        <w:br w:type="page"/>
      </w:r>
      <w:proofErr w:type="gramStart"/>
      <w:r w:rsidR="009A62C6">
        <w:t>technology</w:t>
      </w:r>
      <w:proofErr w:type="gramEnd"/>
      <w:r w:rsidR="009A62C6">
        <w:t>, law, and</w:t>
      </w:r>
      <w:r w:rsidR="00166CFA" w:rsidRPr="00166CFA">
        <w:t xml:space="preserve"> </w:t>
      </w:r>
      <w:r w:rsidR="00512BE6">
        <w:t xml:space="preserve">changed </w:t>
      </w:r>
      <w:r w:rsidR="00166CFA" w:rsidRPr="00166CFA">
        <w:t>consumer habits and needs.</w:t>
      </w:r>
    </w:p>
    <w:p w:rsidR="00617D7D" w:rsidRDefault="00617D7D" w:rsidP="00267B92">
      <w:pPr>
        <w:keepNext/>
        <w:keepLines/>
        <w:suppressLineNumbers/>
        <w:spacing w:after="0" w:line="240" w:lineRule="auto"/>
      </w:pPr>
      <w:r>
        <w:tab/>
      </w:r>
      <w:r>
        <w:tab/>
      </w:r>
      <w:r>
        <w:tab/>
      </w:r>
      <w:r>
        <w:tab/>
        <w:t>Respectfully submitted,</w:t>
      </w:r>
    </w:p>
    <w:p w:rsidR="00DF09E3" w:rsidRDefault="00DF09E3" w:rsidP="00267B92">
      <w:pPr>
        <w:keepNext/>
        <w:keepLines/>
        <w:suppressLineNumbers/>
        <w:spacing w:after="0" w:line="240" w:lineRule="auto"/>
      </w:pPr>
    </w:p>
    <w:p w:rsidR="00EE7C98" w:rsidRDefault="006468E5" w:rsidP="00267B92">
      <w:pPr>
        <w:keepNext/>
        <w:keepLines/>
        <w:suppressLineNumbers/>
        <w:spacing w:after="0" w:line="240" w:lineRule="auto"/>
      </w:pPr>
      <w:r>
        <w:tab/>
      </w:r>
      <w:r>
        <w:tab/>
      </w:r>
      <w:r>
        <w:tab/>
      </w:r>
      <w:r>
        <w:tab/>
      </w:r>
      <w:r>
        <w:rPr>
          <w:noProof/>
        </w:rPr>
        <w:drawing>
          <wp:inline distT="0" distB="0" distL="0" distR="0">
            <wp:extent cx="1937385" cy="391795"/>
            <wp:effectExtent l="19050" t="0" r="5715" b="0"/>
            <wp:docPr id="2" name="Picture 2" descr="K:\WP\JSM\Admin\Firm Docs\Digital Signature - B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P\JSM\Admin\Firm Docs\Digital Signature - BEH.png"/>
                    <pic:cNvPicPr>
                      <a:picLocks noChangeAspect="1" noChangeArrowheads="1"/>
                    </pic:cNvPicPr>
                  </pic:nvPicPr>
                  <pic:blipFill>
                    <a:blip r:embed="rId8" cstate="print"/>
                    <a:srcRect/>
                    <a:stretch>
                      <a:fillRect/>
                    </a:stretch>
                  </pic:blipFill>
                  <pic:spPr bwMode="auto">
                    <a:xfrm>
                      <a:off x="0" y="0"/>
                      <a:ext cx="1937385" cy="391795"/>
                    </a:xfrm>
                    <a:prstGeom prst="rect">
                      <a:avLst/>
                    </a:prstGeom>
                    <a:noFill/>
                    <a:ln w="9525">
                      <a:noFill/>
                      <a:miter lim="800000"/>
                      <a:headEnd/>
                      <a:tailEnd/>
                    </a:ln>
                  </pic:spPr>
                </pic:pic>
              </a:graphicData>
            </a:graphic>
          </wp:inline>
        </w:drawing>
      </w:r>
    </w:p>
    <w:p w:rsidR="00DF09E3" w:rsidRDefault="00617D7D" w:rsidP="00267B92">
      <w:pPr>
        <w:keepNext/>
        <w:keepLines/>
        <w:suppressLineNumbers/>
        <w:spacing w:line="240" w:lineRule="auto"/>
      </w:pPr>
      <w:r>
        <w:tab/>
      </w:r>
      <w:r>
        <w:tab/>
      </w:r>
      <w:r>
        <w:tab/>
      </w:r>
      <w:r>
        <w:tab/>
        <w:t>______________________________</w:t>
      </w:r>
      <w:r>
        <w:br/>
      </w:r>
      <w:r>
        <w:tab/>
      </w:r>
      <w:r>
        <w:tab/>
      </w:r>
      <w:r>
        <w:tab/>
      </w:r>
      <w:r>
        <w:tab/>
      </w:r>
      <w:r>
        <w:tab/>
        <w:t>Brooks E. Harlow</w:t>
      </w:r>
      <w:r>
        <w:br/>
      </w:r>
      <w:r>
        <w:tab/>
      </w:r>
      <w:r>
        <w:tab/>
      </w:r>
      <w:r>
        <w:tab/>
      </w:r>
      <w:r>
        <w:tab/>
      </w:r>
      <w:r>
        <w:tab/>
        <w:t>Lukas, Nace, Gutierrez &amp; Sachs, LLP</w:t>
      </w:r>
      <w:r>
        <w:br/>
      </w:r>
      <w:r>
        <w:tab/>
      </w:r>
      <w:r>
        <w:tab/>
      </w:r>
      <w:r>
        <w:tab/>
      </w:r>
      <w:r>
        <w:tab/>
      </w:r>
      <w:r>
        <w:tab/>
        <w:t>8300 Greensboro Drive, Suite 1200</w:t>
      </w:r>
      <w:r>
        <w:br/>
      </w:r>
      <w:r>
        <w:tab/>
      </w:r>
      <w:r>
        <w:tab/>
      </w:r>
      <w:r>
        <w:tab/>
      </w:r>
      <w:r>
        <w:tab/>
      </w:r>
      <w:r>
        <w:tab/>
        <w:t>McLean, VA 22102</w:t>
      </w:r>
      <w:r w:rsidR="00DF09E3">
        <w:br/>
      </w:r>
      <w:r w:rsidR="00DF09E3">
        <w:tab/>
      </w:r>
      <w:r w:rsidR="00DF09E3">
        <w:tab/>
      </w:r>
      <w:r w:rsidR="00DF09E3">
        <w:tab/>
      </w:r>
      <w:r w:rsidR="00DF09E3">
        <w:tab/>
      </w:r>
      <w:r w:rsidR="00DF09E3">
        <w:tab/>
        <w:t>Tel: (703) 584-8678</w:t>
      </w:r>
      <w:r w:rsidR="00DF09E3">
        <w:br/>
      </w:r>
      <w:r w:rsidR="00DF09E3">
        <w:tab/>
      </w:r>
      <w:r w:rsidR="00DF09E3">
        <w:tab/>
      </w:r>
      <w:r w:rsidR="00DF09E3">
        <w:tab/>
      </w:r>
      <w:r w:rsidR="00DF09E3">
        <w:tab/>
      </w:r>
      <w:r w:rsidR="00DF09E3">
        <w:tab/>
        <w:t>Fax (703) 584-8680</w:t>
      </w:r>
    </w:p>
    <w:p w:rsidR="00964AD2" w:rsidRDefault="00DF09E3" w:rsidP="00964AD2">
      <w:pPr>
        <w:keepNext/>
        <w:keepLines/>
        <w:suppressLineNumbers/>
        <w:spacing w:line="240" w:lineRule="auto"/>
        <w:sectPr w:rsidR="00964AD2" w:rsidSect="006B3896">
          <w:footerReference w:type="default" r:id="rId9"/>
          <w:pgSz w:w="12240" w:h="15840"/>
          <w:pgMar w:top="1440" w:right="1440" w:bottom="1440" w:left="1440" w:header="720" w:footer="94" w:gutter="0"/>
          <w:lnNumType w:countBy="1"/>
          <w:cols w:space="720"/>
          <w:docGrid w:linePitch="360"/>
        </w:sectPr>
      </w:pPr>
      <w:r>
        <w:tab/>
      </w:r>
      <w:r>
        <w:tab/>
      </w:r>
      <w:r>
        <w:tab/>
      </w:r>
      <w:r>
        <w:tab/>
      </w:r>
      <w:r>
        <w:rPr>
          <w:i/>
        </w:rPr>
        <w:t>Counsel for Dex One Corporation</w:t>
      </w:r>
      <w:r w:rsidR="00617D7D">
        <w:br/>
      </w:r>
      <w:r w:rsidR="009A62C6">
        <w:t>November 14</w:t>
      </w:r>
      <w:r w:rsidR="004F7FD4" w:rsidRPr="004F7FD4">
        <w:t>, 2012</w:t>
      </w:r>
    </w:p>
    <w:p w:rsidR="009A62C6" w:rsidRDefault="009A62C6" w:rsidP="009A62C6">
      <w:pPr>
        <w:keepNext/>
        <w:keepLines/>
        <w:suppressLineNumbers/>
        <w:spacing w:line="240" w:lineRule="auto"/>
        <w:ind w:firstLine="0"/>
        <w:jc w:val="center"/>
        <w:rPr>
          <w:u w:val="single"/>
        </w:rPr>
      </w:pPr>
      <w:r w:rsidRPr="009A62C6">
        <w:rPr>
          <w:u w:val="single"/>
        </w:rPr>
        <w:t>APPENDIX A</w:t>
      </w:r>
    </w:p>
    <w:p w:rsidR="009A62C6" w:rsidRDefault="009A62C6" w:rsidP="009A62C6">
      <w:pPr>
        <w:keepNext/>
        <w:keepLines/>
        <w:suppressLineNumbers/>
        <w:spacing w:line="240" w:lineRule="auto"/>
        <w:ind w:firstLine="0"/>
        <w:jc w:val="center"/>
        <w:rPr>
          <w:u w:val="single"/>
        </w:rPr>
      </w:pPr>
    </w:p>
    <w:p w:rsidR="00E85778" w:rsidRDefault="00E85778" w:rsidP="00E85778">
      <w:pPr>
        <w:rPr>
          <w:rFonts w:ascii="Arial" w:hAnsi="Arial" w:cs="Arial"/>
          <w:szCs w:val="24"/>
        </w:rPr>
      </w:pPr>
      <w:r>
        <w:rPr>
          <w:rFonts w:ascii="Arial" w:hAnsi="Arial" w:cs="Arial"/>
          <w:szCs w:val="24"/>
        </w:rPr>
        <w:t>WAC 480-120-251</w:t>
      </w:r>
    </w:p>
    <w:p w:rsidR="00E85778" w:rsidRDefault="00E85778" w:rsidP="00E85778">
      <w:pPr>
        <w:rPr>
          <w:rFonts w:ascii="Arial" w:hAnsi="Arial" w:cs="Arial"/>
          <w:szCs w:val="24"/>
        </w:rPr>
      </w:pPr>
      <w:proofErr w:type="gramStart"/>
      <w:r>
        <w:rPr>
          <w:rFonts w:ascii="Arial" w:hAnsi="Arial" w:cs="Arial"/>
          <w:szCs w:val="24"/>
        </w:rPr>
        <w:t>Directory Listings.</w:t>
      </w:r>
      <w:proofErr w:type="gramEnd"/>
    </w:p>
    <w:p w:rsidR="00E85778" w:rsidRDefault="00E85778" w:rsidP="000F116B">
      <w:pPr>
        <w:rPr>
          <w:rFonts w:ascii="Arial" w:hAnsi="Arial" w:cs="Arial"/>
          <w:szCs w:val="24"/>
        </w:rPr>
      </w:pPr>
      <w:r>
        <w:rPr>
          <w:rFonts w:ascii="Arial" w:hAnsi="Arial" w:cs="Arial"/>
          <w:szCs w:val="24"/>
        </w:rPr>
        <w:t>(1) Basic local exchange service includes access to</w:t>
      </w:r>
      <w:r w:rsidRPr="00E460EC">
        <w:rPr>
          <w:rFonts w:ascii="Arial" w:hAnsi="Arial" w:cs="Arial"/>
          <w:szCs w:val="24"/>
          <w:u w:val="single"/>
        </w:rPr>
        <w:t xml:space="preserve"> basic</w:t>
      </w:r>
      <w:r>
        <w:rPr>
          <w:rFonts w:ascii="Arial" w:hAnsi="Arial" w:cs="Arial"/>
          <w:szCs w:val="24"/>
        </w:rPr>
        <w:t xml:space="preserve"> directory listings comprised of the name, address, and primary telephone number for each customer that the local exchange company (LEC) serves in a local calling area unless the customer requests to exclude some or all of this information from the LEC’s directory listings. </w:t>
      </w:r>
    </w:p>
    <w:p w:rsidR="00E85778" w:rsidRDefault="00E85778" w:rsidP="000F116B">
      <w:pPr>
        <w:rPr>
          <w:rFonts w:ascii="Arial" w:hAnsi="Arial" w:cs="Arial"/>
          <w:szCs w:val="24"/>
        </w:rPr>
      </w:pPr>
      <w:r>
        <w:rPr>
          <w:rFonts w:ascii="Arial" w:hAnsi="Arial" w:cs="Arial"/>
          <w:szCs w:val="24"/>
        </w:rPr>
        <w:t>(2) A LEC must ensure that each of its basic local exchange service customers has access to</w:t>
      </w:r>
      <w:r w:rsidRPr="00E460EC">
        <w:rPr>
          <w:rFonts w:ascii="Arial" w:hAnsi="Arial" w:cs="Arial"/>
          <w:szCs w:val="24"/>
          <w:u w:val="single"/>
        </w:rPr>
        <w:t xml:space="preserve"> basic</w:t>
      </w:r>
      <w:r>
        <w:rPr>
          <w:rFonts w:ascii="Arial" w:hAnsi="Arial" w:cs="Arial"/>
          <w:szCs w:val="24"/>
        </w:rPr>
        <w:t xml:space="preserve"> directory listings for the customer's local calling area through at least one of the following means:</w:t>
      </w:r>
    </w:p>
    <w:p w:rsidR="00E85778" w:rsidRDefault="00E85778" w:rsidP="000F116B">
      <w:pPr>
        <w:rPr>
          <w:rFonts w:ascii="Arial" w:hAnsi="Arial" w:cs="Arial"/>
          <w:szCs w:val="24"/>
        </w:rPr>
      </w:pPr>
      <w:r>
        <w:rPr>
          <w:rFonts w:ascii="Arial" w:hAnsi="Arial" w:cs="Arial"/>
          <w:szCs w:val="24"/>
        </w:rPr>
        <w:t xml:space="preserve">(a) Electronically via a document, database, or link on the LEC’s </w:t>
      </w:r>
      <w:r w:rsidRPr="00E460EC">
        <w:rPr>
          <w:rFonts w:ascii="Arial" w:hAnsi="Arial" w:cs="Arial"/>
          <w:szCs w:val="24"/>
          <w:u w:val="single"/>
        </w:rPr>
        <w:t xml:space="preserve">or its publisher’s </w:t>
      </w:r>
      <w:r>
        <w:rPr>
          <w:rFonts w:ascii="Arial" w:hAnsi="Arial" w:cs="Arial"/>
          <w:szCs w:val="24"/>
        </w:rPr>
        <w:t>website, provided that the LEC</w:t>
      </w:r>
      <w:r w:rsidR="00CF71DD" w:rsidRPr="00CF71DD">
        <w:rPr>
          <w:rFonts w:ascii="Arial" w:hAnsi="Arial" w:cs="Arial"/>
          <w:szCs w:val="24"/>
        </w:rPr>
        <w:t xml:space="preserve"> </w:t>
      </w:r>
      <w:r>
        <w:rPr>
          <w:rFonts w:ascii="Arial" w:hAnsi="Arial" w:cs="Arial"/>
          <w:szCs w:val="24"/>
        </w:rPr>
        <w:t>also distributes or arranges to distribute printed directory listings to all of the LEC’s customers who request a printed directory; and/or</w:t>
      </w:r>
    </w:p>
    <w:p w:rsidR="00E85778" w:rsidRDefault="00E85778" w:rsidP="000F116B">
      <w:pPr>
        <w:rPr>
          <w:rFonts w:ascii="Arial" w:hAnsi="Arial" w:cs="Arial"/>
          <w:szCs w:val="24"/>
        </w:rPr>
      </w:pPr>
      <w:r>
        <w:rPr>
          <w:rFonts w:ascii="Arial" w:hAnsi="Arial" w:cs="Arial"/>
          <w:szCs w:val="24"/>
        </w:rPr>
        <w:t xml:space="preserve">(b) In hard copy via publishing or arranging to be published a printed telephone directory that includes the </w:t>
      </w:r>
      <w:r w:rsidRPr="00E460EC">
        <w:rPr>
          <w:rFonts w:ascii="Arial" w:hAnsi="Arial" w:cs="Arial"/>
          <w:szCs w:val="24"/>
          <w:u w:val="single"/>
        </w:rPr>
        <w:t xml:space="preserve">basic </w:t>
      </w:r>
      <w:r>
        <w:rPr>
          <w:rFonts w:ascii="Arial" w:hAnsi="Arial" w:cs="Arial"/>
          <w:szCs w:val="24"/>
        </w:rPr>
        <w:t xml:space="preserve">directory listings and distributing that directory to the LEC’s customers, provided that a printed telephone directory </w:t>
      </w:r>
      <w:proofErr w:type="spellStart"/>
      <w:r w:rsidRPr="00E460EC">
        <w:rPr>
          <w:rFonts w:ascii="Arial" w:hAnsi="Arial" w:cs="Arial"/>
          <w:strike/>
          <w:szCs w:val="24"/>
        </w:rPr>
        <w:t>shall</w:t>
      </w:r>
      <w:r w:rsidRPr="00E460EC">
        <w:rPr>
          <w:rFonts w:ascii="Arial" w:hAnsi="Arial" w:cs="Arial"/>
          <w:szCs w:val="24"/>
          <w:u w:val="single"/>
        </w:rPr>
        <w:t>need</w:t>
      </w:r>
      <w:proofErr w:type="spellEnd"/>
      <w:r>
        <w:rPr>
          <w:rFonts w:ascii="Arial" w:hAnsi="Arial" w:cs="Arial"/>
          <w:szCs w:val="24"/>
        </w:rPr>
        <w:t xml:space="preserve"> not be distributed to any customer who requests not to receive a printed directory.</w:t>
      </w:r>
    </w:p>
    <w:p w:rsidR="00E85778" w:rsidRDefault="00E85778" w:rsidP="00E85778">
      <w:r>
        <w:rPr>
          <w:rFonts w:ascii="Arial" w:hAnsi="Arial" w:cs="Arial"/>
          <w:szCs w:val="24"/>
        </w:rPr>
        <w:t xml:space="preserve">(3) A LEC must establish </w:t>
      </w:r>
      <w:r w:rsidR="00CF71DD" w:rsidRPr="00CF71DD">
        <w:rPr>
          <w:rFonts w:ascii="Arial" w:hAnsi="Arial" w:cs="Arial"/>
          <w:szCs w:val="24"/>
          <w:u w:val="single"/>
        </w:rPr>
        <w:t>or arrange</w:t>
      </w:r>
      <w:r w:rsidR="00D93DB4">
        <w:rPr>
          <w:rFonts w:ascii="Arial" w:hAnsi="Arial" w:cs="Arial"/>
          <w:szCs w:val="24"/>
          <w:u w:val="single"/>
        </w:rPr>
        <w:t xml:space="preserve"> for</w:t>
      </w:r>
      <w:r w:rsidR="00CF71DD">
        <w:rPr>
          <w:rFonts w:ascii="Arial" w:hAnsi="Arial" w:cs="Arial"/>
          <w:szCs w:val="24"/>
        </w:rPr>
        <w:t xml:space="preserve"> </w:t>
      </w:r>
      <w:r>
        <w:rPr>
          <w:rFonts w:ascii="Arial" w:hAnsi="Arial" w:cs="Arial"/>
          <w:szCs w:val="24"/>
        </w:rPr>
        <w:t xml:space="preserve">reasonable means for its customers to request to exclude some or all of their information from the LEC’s </w:t>
      </w:r>
      <w:r w:rsidRPr="00E460EC">
        <w:rPr>
          <w:rFonts w:ascii="Arial" w:hAnsi="Arial" w:cs="Arial"/>
          <w:szCs w:val="24"/>
          <w:u w:val="single"/>
        </w:rPr>
        <w:t xml:space="preserve">basic </w:t>
      </w:r>
      <w:r>
        <w:rPr>
          <w:rFonts w:ascii="Arial" w:hAnsi="Arial" w:cs="Arial"/>
          <w:szCs w:val="24"/>
        </w:rPr>
        <w:t>directory listings and to request to receive, or not to receive, a printed directory.</w:t>
      </w:r>
    </w:p>
    <w:p w:rsidR="000F116B" w:rsidRDefault="000F116B">
      <w:pPr>
        <w:ind w:firstLine="0"/>
      </w:pPr>
      <w:r>
        <w:br w:type="page"/>
      </w:r>
    </w:p>
    <w:p w:rsidR="000F116B" w:rsidRDefault="000F116B" w:rsidP="000F116B">
      <w:pPr>
        <w:keepNext/>
        <w:keepLines/>
        <w:suppressLineNumbers/>
        <w:spacing w:line="240" w:lineRule="auto"/>
        <w:ind w:firstLine="0"/>
        <w:jc w:val="center"/>
        <w:rPr>
          <w:u w:val="single"/>
        </w:rPr>
      </w:pPr>
      <w:r>
        <w:rPr>
          <w:u w:val="single"/>
        </w:rPr>
        <w:t>APPENDIX B</w:t>
      </w:r>
    </w:p>
    <w:p w:rsidR="000F116B" w:rsidRDefault="000F116B" w:rsidP="000F116B">
      <w:pPr>
        <w:keepNext/>
        <w:keepLines/>
        <w:suppressLineNumbers/>
        <w:spacing w:line="240" w:lineRule="auto"/>
        <w:ind w:firstLine="0"/>
        <w:jc w:val="center"/>
        <w:rPr>
          <w:u w:val="single"/>
        </w:rPr>
      </w:pPr>
    </w:p>
    <w:p w:rsidR="000F116B" w:rsidRDefault="000F116B" w:rsidP="000F116B">
      <w:pPr>
        <w:rPr>
          <w:rFonts w:ascii="Arial" w:hAnsi="Arial" w:cs="Arial"/>
          <w:szCs w:val="24"/>
        </w:rPr>
      </w:pPr>
      <w:r>
        <w:rPr>
          <w:rFonts w:ascii="Arial" w:hAnsi="Arial" w:cs="Arial"/>
          <w:szCs w:val="24"/>
        </w:rPr>
        <w:t>WAC 480-120-251</w:t>
      </w:r>
    </w:p>
    <w:p w:rsidR="000F116B" w:rsidRDefault="000F116B" w:rsidP="000F116B">
      <w:pPr>
        <w:rPr>
          <w:rFonts w:ascii="Arial" w:hAnsi="Arial" w:cs="Arial"/>
          <w:szCs w:val="24"/>
        </w:rPr>
      </w:pPr>
      <w:proofErr w:type="gramStart"/>
      <w:r>
        <w:rPr>
          <w:rFonts w:ascii="Arial" w:hAnsi="Arial" w:cs="Arial"/>
          <w:szCs w:val="24"/>
        </w:rPr>
        <w:t>Directory Listings.</w:t>
      </w:r>
      <w:proofErr w:type="gramEnd"/>
    </w:p>
    <w:p w:rsidR="000F116B" w:rsidRDefault="000F116B" w:rsidP="000F116B">
      <w:pPr>
        <w:rPr>
          <w:rFonts w:ascii="Arial" w:hAnsi="Arial" w:cs="Arial"/>
          <w:szCs w:val="24"/>
        </w:rPr>
      </w:pPr>
      <w:r>
        <w:rPr>
          <w:rFonts w:ascii="Arial" w:hAnsi="Arial" w:cs="Arial"/>
          <w:szCs w:val="24"/>
        </w:rPr>
        <w:t xml:space="preserve">(1) Basic local exchange service includes access to </w:t>
      </w:r>
      <w:r w:rsidR="00646272" w:rsidRPr="000F05FE">
        <w:rPr>
          <w:rFonts w:ascii="Arial" w:hAnsi="Arial" w:cs="Arial"/>
          <w:szCs w:val="24"/>
          <w:u w:val="single"/>
        </w:rPr>
        <w:t xml:space="preserve">basic </w:t>
      </w:r>
      <w:r>
        <w:rPr>
          <w:rFonts w:ascii="Arial" w:hAnsi="Arial" w:cs="Arial"/>
          <w:szCs w:val="24"/>
        </w:rPr>
        <w:t xml:space="preserve">directory listings comprised of the name, address, and primary telephone number for each customer that the local exchange company (LEC) serves in a local calling area unless the customer requests to exclude some or all of this information from the LEC’s directory listings. </w:t>
      </w:r>
    </w:p>
    <w:p w:rsidR="000F116B" w:rsidRDefault="000F116B" w:rsidP="000F116B">
      <w:pPr>
        <w:rPr>
          <w:rFonts w:ascii="Arial" w:hAnsi="Arial" w:cs="Arial"/>
          <w:szCs w:val="24"/>
        </w:rPr>
      </w:pPr>
      <w:r>
        <w:rPr>
          <w:rFonts w:ascii="Arial" w:hAnsi="Arial" w:cs="Arial"/>
          <w:szCs w:val="24"/>
        </w:rPr>
        <w:t>(2) A LEC must ensure that each of its basic local exchange service customers has access to directory listings for the customer's local calling area through at least one of the following means:</w:t>
      </w:r>
    </w:p>
    <w:p w:rsidR="00646272" w:rsidRPr="000F05FE" w:rsidRDefault="000F116B" w:rsidP="000F116B">
      <w:pPr>
        <w:rPr>
          <w:rFonts w:ascii="Arial" w:hAnsi="Arial" w:cs="Arial"/>
          <w:szCs w:val="24"/>
          <w:u w:val="single"/>
        </w:rPr>
      </w:pPr>
      <w:r>
        <w:rPr>
          <w:rFonts w:ascii="Arial" w:hAnsi="Arial" w:cs="Arial"/>
          <w:szCs w:val="24"/>
        </w:rPr>
        <w:t>(a) Electronically via a document, database, or link on the LEC’s website</w:t>
      </w:r>
      <w:proofErr w:type="gramStart"/>
      <w:r w:rsidRPr="000F05FE">
        <w:rPr>
          <w:rFonts w:ascii="Arial" w:hAnsi="Arial" w:cs="Arial"/>
          <w:strike/>
          <w:szCs w:val="24"/>
        </w:rPr>
        <w:t>,</w:t>
      </w:r>
      <w:r w:rsidR="00646272" w:rsidRPr="000F05FE">
        <w:rPr>
          <w:rFonts w:ascii="Arial" w:hAnsi="Arial" w:cs="Arial"/>
          <w:szCs w:val="24"/>
          <w:u w:val="single"/>
        </w:rPr>
        <w:t>;</w:t>
      </w:r>
      <w:proofErr w:type="gramEnd"/>
    </w:p>
    <w:p w:rsidR="000F116B" w:rsidRDefault="00646272" w:rsidP="000F116B">
      <w:pPr>
        <w:rPr>
          <w:rFonts w:ascii="Arial" w:hAnsi="Arial" w:cs="Arial"/>
          <w:szCs w:val="24"/>
        </w:rPr>
      </w:pPr>
      <w:r w:rsidRPr="000F05FE">
        <w:rPr>
          <w:rFonts w:ascii="Arial" w:hAnsi="Arial" w:cs="Arial"/>
          <w:szCs w:val="24"/>
          <w:u w:val="single"/>
        </w:rPr>
        <w:t>(b)</w:t>
      </w:r>
      <w:r w:rsidR="00D31281" w:rsidRPr="000F05FE">
        <w:rPr>
          <w:rFonts w:ascii="Arial" w:hAnsi="Arial" w:cs="Arial"/>
          <w:szCs w:val="24"/>
          <w:u w:val="single"/>
        </w:rPr>
        <w:t xml:space="preserve"> </w:t>
      </w:r>
      <w:r w:rsidR="000F116B" w:rsidRPr="000F05FE">
        <w:rPr>
          <w:rFonts w:ascii="Arial" w:hAnsi="Arial" w:cs="Arial"/>
          <w:strike/>
          <w:szCs w:val="24"/>
        </w:rPr>
        <w:t xml:space="preserve"> </w:t>
      </w:r>
      <w:proofErr w:type="gramStart"/>
      <w:r w:rsidR="000F116B" w:rsidRPr="000F05FE">
        <w:rPr>
          <w:rFonts w:ascii="Arial" w:hAnsi="Arial" w:cs="Arial"/>
          <w:strike/>
          <w:szCs w:val="24"/>
        </w:rPr>
        <w:t>provided</w:t>
      </w:r>
      <w:proofErr w:type="gramEnd"/>
      <w:r w:rsidR="000F116B" w:rsidRPr="000F05FE">
        <w:rPr>
          <w:rFonts w:ascii="Arial" w:hAnsi="Arial" w:cs="Arial"/>
          <w:strike/>
          <w:szCs w:val="24"/>
        </w:rPr>
        <w:t xml:space="preserve"> that the LEC also </w:t>
      </w:r>
      <w:proofErr w:type="spellStart"/>
      <w:r w:rsidR="000F116B" w:rsidRPr="000F05FE">
        <w:rPr>
          <w:rFonts w:ascii="Arial" w:hAnsi="Arial" w:cs="Arial"/>
          <w:strike/>
          <w:szCs w:val="24"/>
        </w:rPr>
        <w:t>d</w:t>
      </w:r>
      <w:r w:rsidRPr="000F05FE">
        <w:rPr>
          <w:rFonts w:ascii="Arial" w:hAnsi="Arial" w:cs="Arial"/>
          <w:szCs w:val="24"/>
          <w:u w:val="single"/>
        </w:rPr>
        <w:t>D</w:t>
      </w:r>
      <w:r w:rsidR="000F116B">
        <w:rPr>
          <w:rFonts w:ascii="Arial" w:hAnsi="Arial" w:cs="Arial"/>
          <w:szCs w:val="24"/>
        </w:rPr>
        <w:t>istribut</w:t>
      </w:r>
      <w:r w:rsidRPr="000F05FE">
        <w:rPr>
          <w:rFonts w:ascii="Arial" w:hAnsi="Arial" w:cs="Arial"/>
          <w:szCs w:val="24"/>
          <w:u w:val="single"/>
        </w:rPr>
        <w:t>ing</w:t>
      </w:r>
      <w:r w:rsidR="000F116B" w:rsidRPr="00EF46D3">
        <w:rPr>
          <w:rFonts w:ascii="Arial" w:hAnsi="Arial" w:cs="Arial"/>
          <w:strike/>
          <w:szCs w:val="24"/>
        </w:rPr>
        <w:t>es</w:t>
      </w:r>
      <w:proofErr w:type="spellEnd"/>
      <w:r w:rsidR="000F116B">
        <w:rPr>
          <w:rFonts w:ascii="Arial" w:hAnsi="Arial" w:cs="Arial"/>
          <w:szCs w:val="24"/>
        </w:rPr>
        <w:t xml:space="preserve"> or </w:t>
      </w:r>
      <w:proofErr w:type="spellStart"/>
      <w:r w:rsidR="000F116B">
        <w:rPr>
          <w:rFonts w:ascii="Arial" w:hAnsi="Arial" w:cs="Arial"/>
          <w:szCs w:val="24"/>
        </w:rPr>
        <w:t>arrang</w:t>
      </w:r>
      <w:r w:rsidRPr="00EF46D3">
        <w:rPr>
          <w:rFonts w:ascii="Arial" w:hAnsi="Arial" w:cs="Arial"/>
          <w:szCs w:val="24"/>
          <w:u w:val="single"/>
        </w:rPr>
        <w:t>ing</w:t>
      </w:r>
      <w:r w:rsidR="000F116B" w:rsidRPr="00EF46D3">
        <w:rPr>
          <w:rFonts w:ascii="Arial" w:hAnsi="Arial" w:cs="Arial"/>
          <w:strike/>
          <w:szCs w:val="24"/>
        </w:rPr>
        <w:t>es</w:t>
      </w:r>
      <w:proofErr w:type="spellEnd"/>
      <w:r w:rsidR="000F116B">
        <w:rPr>
          <w:rFonts w:ascii="Arial" w:hAnsi="Arial" w:cs="Arial"/>
          <w:szCs w:val="24"/>
        </w:rPr>
        <w:t xml:space="preserve"> to </w:t>
      </w:r>
      <w:r w:rsidRPr="00EF46D3">
        <w:rPr>
          <w:rFonts w:ascii="Arial" w:hAnsi="Arial" w:cs="Arial"/>
          <w:szCs w:val="24"/>
          <w:u w:val="single"/>
        </w:rPr>
        <w:t xml:space="preserve">be </w:t>
      </w:r>
      <w:r w:rsidR="000F116B">
        <w:rPr>
          <w:rFonts w:ascii="Arial" w:hAnsi="Arial" w:cs="Arial"/>
          <w:szCs w:val="24"/>
        </w:rPr>
        <w:t>distribute</w:t>
      </w:r>
      <w:r w:rsidRPr="00EF46D3">
        <w:rPr>
          <w:rFonts w:ascii="Arial" w:hAnsi="Arial" w:cs="Arial"/>
          <w:szCs w:val="24"/>
          <w:u w:val="single"/>
        </w:rPr>
        <w:t>d</w:t>
      </w:r>
      <w:r w:rsidR="000F116B">
        <w:rPr>
          <w:rFonts w:ascii="Arial" w:hAnsi="Arial" w:cs="Arial"/>
          <w:szCs w:val="24"/>
        </w:rPr>
        <w:t xml:space="preserve"> printed directory listings to all of the LEC’s customers who request a printed directory; and/or</w:t>
      </w:r>
    </w:p>
    <w:p w:rsidR="000F116B" w:rsidRDefault="000F116B" w:rsidP="000F116B">
      <w:pPr>
        <w:rPr>
          <w:rFonts w:ascii="Arial" w:hAnsi="Arial" w:cs="Arial"/>
          <w:szCs w:val="24"/>
        </w:rPr>
      </w:pPr>
      <w:r>
        <w:rPr>
          <w:rFonts w:ascii="Arial" w:hAnsi="Arial" w:cs="Arial"/>
          <w:szCs w:val="24"/>
        </w:rPr>
        <w:t>(</w:t>
      </w:r>
      <w:proofErr w:type="gramStart"/>
      <w:r w:rsidRPr="00EF46D3">
        <w:rPr>
          <w:rFonts w:ascii="Arial" w:hAnsi="Arial" w:cs="Arial"/>
          <w:strike/>
          <w:szCs w:val="24"/>
        </w:rPr>
        <w:t>b</w:t>
      </w:r>
      <w:r w:rsidR="00646272" w:rsidRPr="00EF46D3">
        <w:rPr>
          <w:rFonts w:ascii="Arial" w:hAnsi="Arial" w:cs="Arial"/>
          <w:szCs w:val="24"/>
          <w:u w:val="single"/>
        </w:rPr>
        <w:t>c</w:t>
      </w:r>
      <w:proofErr w:type="gramEnd"/>
      <w:r>
        <w:rPr>
          <w:rFonts w:ascii="Arial" w:hAnsi="Arial" w:cs="Arial"/>
          <w:szCs w:val="24"/>
        </w:rPr>
        <w:t xml:space="preserve">) In hard copy via publishing or arranging to be published a printed telephone directory that includes the </w:t>
      </w:r>
      <w:r w:rsidR="00646272" w:rsidRPr="00EF46D3">
        <w:rPr>
          <w:rFonts w:ascii="Arial" w:hAnsi="Arial" w:cs="Arial"/>
          <w:szCs w:val="24"/>
          <w:u w:val="single"/>
        </w:rPr>
        <w:t xml:space="preserve">basic </w:t>
      </w:r>
      <w:r>
        <w:rPr>
          <w:rFonts w:ascii="Arial" w:hAnsi="Arial" w:cs="Arial"/>
          <w:szCs w:val="24"/>
        </w:rPr>
        <w:t xml:space="preserve">directory listings and distributing that directory to the LEC’s customers, provided that a printed telephone directory </w:t>
      </w:r>
      <w:r w:rsidRPr="00EF46D3">
        <w:rPr>
          <w:rFonts w:ascii="Arial" w:hAnsi="Arial" w:cs="Arial"/>
          <w:strike/>
          <w:szCs w:val="24"/>
        </w:rPr>
        <w:t xml:space="preserve">shall </w:t>
      </w:r>
      <w:r w:rsidR="00646272" w:rsidRPr="00EF46D3">
        <w:rPr>
          <w:rFonts w:ascii="Arial" w:hAnsi="Arial" w:cs="Arial"/>
          <w:szCs w:val="24"/>
          <w:u w:val="single"/>
        </w:rPr>
        <w:t xml:space="preserve">need </w:t>
      </w:r>
      <w:r>
        <w:rPr>
          <w:rFonts w:ascii="Arial" w:hAnsi="Arial" w:cs="Arial"/>
          <w:szCs w:val="24"/>
        </w:rPr>
        <w:t>not be distributed to any customer who requests not to receive a printed directory.</w:t>
      </w:r>
    </w:p>
    <w:p w:rsidR="000F116B" w:rsidRDefault="000F116B" w:rsidP="000F116B">
      <w:pPr>
        <w:rPr>
          <w:rFonts w:ascii="Arial" w:hAnsi="Arial" w:cs="Arial"/>
          <w:szCs w:val="24"/>
        </w:rPr>
      </w:pPr>
      <w:r>
        <w:rPr>
          <w:rFonts w:ascii="Arial" w:hAnsi="Arial" w:cs="Arial"/>
          <w:szCs w:val="24"/>
        </w:rPr>
        <w:t xml:space="preserve">(3) A LEC must establish </w:t>
      </w:r>
      <w:r w:rsidR="006970F9" w:rsidRPr="00EF46D3">
        <w:rPr>
          <w:rFonts w:ascii="Arial" w:hAnsi="Arial" w:cs="Arial"/>
          <w:szCs w:val="24"/>
          <w:u w:val="single"/>
        </w:rPr>
        <w:t xml:space="preserve">or arrange for </w:t>
      </w:r>
      <w:r>
        <w:rPr>
          <w:rFonts w:ascii="Arial" w:hAnsi="Arial" w:cs="Arial"/>
          <w:szCs w:val="24"/>
        </w:rPr>
        <w:t xml:space="preserve">reasonable means for its customers to request to exclude some or all of their information from the LEC’s </w:t>
      </w:r>
      <w:r w:rsidR="00646272" w:rsidRPr="00EF46D3">
        <w:rPr>
          <w:rFonts w:ascii="Arial" w:hAnsi="Arial" w:cs="Arial"/>
          <w:szCs w:val="24"/>
          <w:u w:val="single"/>
        </w:rPr>
        <w:t xml:space="preserve">basic </w:t>
      </w:r>
      <w:r>
        <w:rPr>
          <w:rFonts w:ascii="Arial" w:hAnsi="Arial" w:cs="Arial"/>
          <w:szCs w:val="24"/>
        </w:rPr>
        <w:t>directory listings and to request to receive, or not to receive, a printed directory.</w:t>
      </w:r>
    </w:p>
    <w:p w:rsidR="006753F3" w:rsidRDefault="006753F3">
      <w:pPr>
        <w:ind w:firstLine="0"/>
        <w:rPr>
          <w:rFonts w:ascii="Arial" w:hAnsi="Arial" w:cs="Arial"/>
          <w:szCs w:val="24"/>
        </w:rPr>
      </w:pPr>
      <w:r>
        <w:rPr>
          <w:rFonts w:ascii="Arial" w:hAnsi="Arial" w:cs="Arial"/>
          <w:szCs w:val="24"/>
        </w:rPr>
        <w:br w:type="page"/>
      </w:r>
    </w:p>
    <w:p w:rsidR="006753F3" w:rsidRDefault="006753F3" w:rsidP="006753F3">
      <w:pPr>
        <w:keepNext/>
        <w:keepLines/>
        <w:suppressLineNumbers/>
        <w:spacing w:line="240" w:lineRule="auto"/>
        <w:ind w:firstLine="0"/>
        <w:jc w:val="center"/>
        <w:rPr>
          <w:u w:val="single"/>
        </w:rPr>
      </w:pPr>
      <w:r>
        <w:rPr>
          <w:u w:val="single"/>
        </w:rPr>
        <w:t xml:space="preserve">APPENDIX </w:t>
      </w:r>
      <w:r w:rsidR="001C0946">
        <w:rPr>
          <w:u w:val="single"/>
        </w:rPr>
        <w:t>C</w:t>
      </w:r>
    </w:p>
    <w:p w:rsidR="006753F3" w:rsidRDefault="006753F3" w:rsidP="006753F3">
      <w:pPr>
        <w:keepNext/>
        <w:keepLines/>
        <w:suppressLineNumbers/>
        <w:spacing w:line="240" w:lineRule="auto"/>
        <w:ind w:firstLine="0"/>
        <w:jc w:val="center"/>
        <w:rPr>
          <w:u w:val="single"/>
        </w:rPr>
      </w:pPr>
    </w:p>
    <w:p w:rsidR="006753F3" w:rsidRDefault="006753F3" w:rsidP="006753F3">
      <w:pPr>
        <w:rPr>
          <w:rFonts w:ascii="Arial" w:hAnsi="Arial" w:cs="Arial"/>
          <w:szCs w:val="24"/>
        </w:rPr>
      </w:pPr>
      <w:r>
        <w:rPr>
          <w:rFonts w:ascii="Arial" w:hAnsi="Arial" w:cs="Arial"/>
          <w:szCs w:val="24"/>
        </w:rPr>
        <w:t>WAC 480-120-251</w:t>
      </w:r>
    </w:p>
    <w:p w:rsidR="006753F3" w:rsidRDefault="006753F3" w:rsidP="006753F3">
      <w:pPr>
        <w:rPr>
          <w:rFonts w:ascii="Arial" w:hAnsi="Arial" w:cs="Arial"/>
          <w:szCs w:val="24"/>
        </w:rPr>
      </w:pPr>
      <w:proofErr w:type="gramStart"/>
      <w:r>
        <w:rPr>
          <w:rFonts w:ascii="Arial" w:hAnsi="Arial" w:cs="Arial"/>
          <w:szCs w:val="24"/>
        </w:rPr>
        <w:t>Directory Listings.</w:t>
      </w:r>
      <w:proofErr w:type="gramEnd"/>
    </w:p>
    <w:p w:rsidR="006753F3" w:rsidRDefault="006753F3" w:rsidP="006753F3">
      <w:pPr>
        <w:rPr>
          <w:rFonts w:ascii="Arial" w:hAnsi="Arial" w:cs="Arial"/>
          <w:szCs w:val="24"/>
        </w:rPr>
      </w:pPr>
      <w:r>
        <w:rPr>
          <w:rFonts w:ascii="Arial" w:hAnsi="Arial" w:cs="Arial"/>
          <w:szCs w:val="24"/>
        </w:rPr>
        <w:t xml:space="preserve">(1) Basic local exchange service includes access to </w:t>
      </w:r>
      <w:r w:rsidRPr="00EF46D3">
        <w:rPr>
          <w:rFonts w:ascii="Arial" w:hAnsi="Arial" w:cs="Arial"/>
          <w:szCs w:val="24"/>
          <w:u w:val="single"/>
        </w:rPr>
        <w:t xml:space="preserve">basic </w:t>
      </w:r>
      <w:r>
        <w:rPr>
          <w:rFonts w:ascii="Arial" w:hAnsi="Arial" w:cs="Arial"/>
          <w:szCs w:val="24"/>
        </w:rPr>
        <w:t xml:space="preserve">directory listings comprised of the name, address, and primary telephone number for each customer that the local exchange company (LEC) serves in a local calling area unless the customer requests to exclude some or all of this information from the LEC’s directory listings. </w:t>
      </w:r>
    </w:p>
    <w:p w:rsidR="006753F3" w:rsidRDefault="006753F3" w:rsidP="006753F3">
      <w:pPr>
        <w:rPr>
          <w:rFonts w:ascii="Arial" w:hAnsi="Arial" w:cs="Arial"/>
          <w:szCs w:val="24"/>
        </w:rPr>
      </w:pPr>
      <w:r>
        <w:rPr>
          <w:rFonts w:ascii="Arial" w:hAnsi="Arial" w:cs="Arial"/>
          <w:szCs w:val="24"/>
        </w:rPr>
        <w:t>(2) A LEC must ensure that each of its basic local exchange service customers has access to directory listings for the customer's local calling area through at least one of the following means:</w:t>
      </w:r>
    </w:p>
    <w:p w:rsidR="006753F3" w:rsidRDefault="006753F3" w:rsidP="006753F3">
      <w:pPr>
        <w:rPr>
          <w:rFonts w:ascii="Arial" w:hAnsi="Arial" w:cs="Arial"/>
          <w:szCs w:val="24"/>
        </w:rPr>
      </w:pPr>
      <w:r>
        <w:rPr>
          <w:rFonts w:ascii="Arial" w:hAnsi="Arial" w:cs="Arial"/>
          <w:szCs w:val="24"/>
        </w:rPr>
        <w:t xml:space="preserve">(a) </w:t>
      </w:r>
      <w:r w:rsidRPr="00EF46D3">
        <w:rPr>
          <w:rFonts w:ascii="Arial" w:hAnsi="Arial" w:cs="Arial"/>
          <w:strike/>
          <w:szCs w:val="24"/>
        </w:rPr>
        <w:t xml:space="preserve">Electronically via a document, database, or link on the LEC’s website, provided that the LEC also </w:t>
      </w:r>
      <w:proofErr w:type="spellStart"/>
      <w:r w:rsidRPr="00EF46D3">
        <w:rPr>
          <w:rFonts w:ascii="Arial" w:hAnsi="Arial" w:cs="Arial"/>
          <w:strike/>
          <w:szCs w:val="24"/>
        </w:rPr>
        <w:t>d</w:t>
      </w:r>
      <w:r w:rsidRPr="00EF46D3">
        <w:rPr>
          <w:rFonts w:ascii="Arial" w:hAnsi="Arial" w:cs="Arial"/>
          <w:szCs w:val="24"/>
          <w:u w:val="single"/>
        </w:rPr>
        <w:t>D</w:t>
      </w:r>
      <w:r>
        <w:rPr>
          <w:rFonts w:ascii="Arial" w:hAnsi="Arial" w:cs="Arial"/>
          <w:szCs w:val="24"/>
        </w:rPr>
        <w:t>istribut</w:t>
      </w:r>
      <w:r w:rsidRPr="00EF46D3">
        <w:rPr>
          <w:rFonts w:ascii="Arial" w:hAnsi="Arial" w:cs="Arial"/>
          <w:szCs w:val="24"/>
          <w:u w:val="single"/>
        </w:rPr>
        <w:t>ing</w:t>
      </w:r>
      <w:r w:rsidRPr="00EF46D3">
        <w:rPr>
          <w:rFonts w:ascii="Arial" w:hAnsi="Arial" w:cs="Arial"/>
          <w:strike/>
          <w:szCs w:val="24"/>
        </w:rPr>
        <w:t>es</w:t>
      </w:r>
      <w:proofErr w:type="spellEnd"/>
      <w:r>
        <w:rPr>
          <w:rFonts w:ascii="Arial" w:hAnsi="Arial" w:cs="Arial"/>
          <w:szCs w:val="24"/>
        </w:rPr>
        <w:t xml:space="preserve"> or </w:t>
      </w:r>
      <w:proofErr w:type="spellStart"/>
      <w:r>
        <w:rPr>
          <w:rFonts w:ascii="Arial" w:hAnsi="Arial" w:cs="Arial"/>
          <w:szCs w:val="24"/>
        </w:rPr>
        <w:t>arrang</w:t>
      </w:r>
      <w:r w:rsidRPr="00EF46D3">
        <w:rPr>
          <w:rFonts w:ascii="Arial" w:hAnsi="Arial" w:cs="Arial"/>
          <w:szCs w:val="24"/>
          <w:u w:val="single"/>
        </w:rPr>
        <w:t>ing</w:t>
      </w:r>
      <w:r w:rsidRPr="00EF46D3">
        <w:rPr>
          <w:rFonts w:ascii="Arial" w:hAnsi="Arial" w:cs="Arial"/>
          <w:strike/>
          <w:szCs w:val="24"/>
        </w:rPr>
        <w:t>es</w:t>
      </w:r>
      <w:proofErr w:type="spellEnd"/>
      <w:r>
        <w:rPr>
          <w:rFonts w:ascii="Arial" w:hAnsi="Arial" w:cs="Arial"/>
          <w:szCs w:val="24"/>
        </w:rPr>
        <w:t xml:space="preserve"> to </w:t>
      </w:r>
      <w:r w:rsidRPr="00EF46D3">
        <w:rPr>
          <w:rFonts w:ascii="Arial" w:hAnsi="Arial" w:cs="Arial"/>
          <w:szCs w:val="24"/>
          <w:u w:val="single"/>
        </w:rPr>
        <w:t xml:space="preserve">be </w:t>
      </w:r>
      <w:r>
        <w:rPr>
          <w:rFonts w:ascii="Arial" w:hAnsi="Arial" w:cs="Arial"/>
          <w:szCs w:val="24"/>
        </w:rPr>
        <w:t>distribute</w:t>
      </w:r>
      <w:r w:rsidRPr="00EF46D3">
        <w:rPr>
          <w:rFonts w:ascii="Arial" w:hAnsi="Arial" w:cs="Arial"/>
          <w:szCs w:val="24"/>
          <w:u w:val="single"/>
        </w:rPr>
        <w:t>d</w:t>
      </w:r>
      <w:r>
        <w:rPr>
          <w:rFonts w:ascii="Arial" w:hAnsi="Arial" w:cs="Arial"/>
          <w:szCs w:val="24"/>
        </w:rPr>
        <w:t xml:space="preserve"> printed directory listings to all of the LEC’s customers who request a printed directory; and/or</w:t>
      </w:r>
    </w:p>
    <w:p w:rsidR="006753F3" w:rsidRDefault="006753F3" w:rsidP="006753F3">
      <w:pPr>
        <w:rPr>
          <w:rFonts w:ascii="Arial" w:hAnsi="Arial" w:cs="Arial"/>
          <w:szCs w:val="24"/>
        </w:rPr>
      </w:pPr>
      <w:r>
        <w:rPr>
          <w:rFonts w:ascii="Arial" w:hAnsi="Arial" w:cs="Arial"/>
          <w:szCs w:val="24"/>
        </w:rPr>
        <w:t xml:space="preserve">(b) In hard copy via publishing or arranging to be published a printed telephone directory that includes the </w:t>
      </w:r>
      <w:r w:rsidRPr="00EF46D3">
        <w:rPr>
          <w:rFonts w:ascii="Arial" w:hAnsi="Arial" w:cs="Arial"/>
          <w:szCs w:val="24"/>
          <w:u w:val="single"/>
        </w:rPr>
        <w:t xml:space="preserve">basic </w:t>
      </w:r>
      <w:r>
        <w:rPr>
          <w:rFonts w:ascii="Arial" w:hAnsi="Arial" w:cs="Arial"/>
          <w:szCs w:val="24"/>
        </w:rPr>
        <w:t xml:space="preserve">directory listings and distributing that directory to the LEC’s customers, provided that a printed telephone directory </w:t>
      </w:r>
      <w:r w:rsidRPr="00EF46D3">
        <w:rPr>
          <w:rFonts w:ascii="Arial" w:hAnsi="Arial" w:cs="Arial"/>
          <w:strike/>
          <w:szCs w:val="24"/>
        </w:rPr>
        <w:t xml:space="preserve">shall </w:t>
      </w:r>
      <w:r w:rsidRPr="00EF46D3">
        <w:rPr>
          <w:rFonts w:ascii="Arial" w:hAnsi="Arial" w:cs="Arial"/>
          <w:szCs w:val="24"/>
          <w:u w:val="single"/>
        </w:rPr>
        <w:t xml:space="preserve">need </w:t>
      </w:r>
      <w:r>
        <w:rPr>
          <w:rFonts w:ascii="Arial" w:hAnsi="Arial" w:cs="Arial"/>
          <w:szCs w:val="24"/>
        </w:rPr>
        <w:t>not be distributed to any customer who requests not to receive a printed directory.</w:t>
      </w:r>
    </w:p>
    <w:p w:rsidR="009A62C6" w:rsidRPr="00EF46D3" w:rsidRDefault="006753F3" w:rsidP="00EF46D3">
      <w:pPr>
        <w:rPr>
          <w:rFonts w:ascii="Arial" w:hAnsi="Arial" w:cs="Arial"/>
          <w:szCs w:val="24"/>
        </w:rPr>
      </w:pPr>
      <w:r>
        <w:rPr>
          <w:rFonts w:ascii="Arial" w:hAnsi="Arial" w:cs="Arial"/>
          <w:szCs w:val="24"/>
        </w:rPr>
        <w:t xml:space="preserve">(3) A LEC must establish </w:t>
      </w:r>
      <w:r w:rsidRPr="00EF46D3">
        <w:rPr>
          <w:rFonts w:ascii="Arial" w:hAnsi="Arial" w:cs="Arial"/>
          <w:szCs w:val="24"/>
          <w:u w:val="single"/>
        </w:rPr>
        <w:t xml:space="preserve">or arrange for </w:t>
      </w:r>
      <w:r>
        <w:rPr>
          <w:rFonts w:ascii="Arial" w:hAnsi="Arial" w:cs="Arial"/>
          <w:szCs w:val="24"/>
        </w:rPr>
        <w:t xml:space="preserve">reasonable means for its customers to request to exclude some or all of their information from the LEC’s </w:t>
      </w:r>
      <w:r w:rsidRPr="00EF46D3">
        <w:rPr>
          <w:rFonts w:ascii="Arial" w:hAnsi="Arial" w:cs="Arial"/>
          <w:szCs w:val="24"/>
          <w:u w:val="single"/>
        </w:rPr>
        <w:t xml:space="preserve">basic </w:t>
      </w:r>
      <w:r>
        <w:rPr>
          <w:rFonts w:ascii="Arial" w:hAnsi="Arial" w:cs="Arial"/>
          <w:szCs w:val="24"/>
        </w:rPr>
        <w:t>directory listings and to request to receive, or not to receive, a printed directory.</w:t>
      </w:r>
    </w:p>
    <w:sectPr w:rsidR="009A62C6" w:rsidRPr="00EF46D3" w:rsidSect="00964AD2">
      <w:footerReference w:type="default" r:id="rId10"/>
      <w:pgSz w:w="12240" w:h="15840"/>
      <w:pgMar w:top="1440" w:right="1440" w:bottom="1440" w:left="1440" w:header="720" w:footer="9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B17" w:rsidRDefault="00323B17" w:rsidP="00F42C4D">
      <w:pPr>
        <w:spacing w:after="0" w:line="240" w:lineRule="auto"/>
      </w:pPr>
      <w:r>
        <w:separator/>
      </w:r>
    </w:p>
  </w:endnote>
  <w:endnote w:type="continuationSeparator" w:id="0">
    <w:p w:rsidR="00323B17" w:rsidRDefault="00323B17" w:rsidP="00F42C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830" w:rsidRDefault="00DB0830"/>
  <w:tbl>
    <w:tblPr>
      <w:tblStyle w:val="TableGrid"/>
      <w:tblW w:w="0" w:type="auto"/>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0"/>
      <w:gridCol w:w="5148"/>
    </w:tblGrid>
    <w:tr w:rsidR="00DB0830" w:rsidTr="008E2B27">
      <w:tc>
        <w:tcPr>
          <w:tcW w:w="4950" w:type="dxa"/>
        </w:tcPr>
        <w:p w:rsidR="00DB0830" w:rsidRDefault="00DB0830" w:rsidP="00232647">
          <w:pPr>
            <w:pStyle w:val="Footer"/>
            <w:tabs>
              <w:tab w:val="left" w:pos="6480"/>
            </w:tabs>
            <w:ind w:firstLine="0"/>
          </w:pPr>
          <w:r>
            <w:t xml:space="preserve">COMMENTS OF DEX ONE – Page </w:t>
          </w:r>
          <w:fldSimple w:instr=" PAGE   \* MERGEFORMAT ">
            <w:r w:rsidR="004D6D60">
              <w:rPr>
                <w:noProof/>
              </w:rPr>
              <w:t>1</w:t>
            </w:r>
          </w:fldSimple>
        </w:p>
      </w:tc>
      <w:tc>
        <w:tcPr>
          <w:tcW w:w="5148" w:type="dxa"/>
          <w:vAlign w:val="bottom"/>
        </w:tcPr>
        <w:p w:rsidR="00DB0830" w:rsidRDefault="00DB0830" w:rsidP="00232647">
          <w:pPr>
            <w:pStyle w:val="Footer"/>
            <w:tabs>
              <w:tab w:val="left" w:pos="6480"/>
            </w:tabs>
            <w:ind w:firstLine="0"/>
          </w:pPr>
          <w:r>
            <w:t>LUKAS, NACE, GUTIERREZ &amp; SACHS, LLP</w:t>
          </w:r>
        </w:p>
        <w:p w:rsidR="00DB0830" w:rsidRDefault="00DB0830" w:rsidP="00232647">
          <w:pPr>
            <w:pStyle w:val="Footer"/>
            <w:tabs>
              <w:tab w:val="left" w:pos="6480"/>
            </w:tabs>
            <w:ind w:firstLine="0"/>
          </w:pPr>
          <w:r>
            <w:t>8300 GREENSBORO DR., STE. 1200</w:t>
          </w:r>
        </w:p>
        <w:p w:rsidR="00DB0830" w:rsidRDefault="00DB0830" w:rsidP="00232647">
          <w:pPr>
            <w:pStyle w:val="Footer"/>
            <w:tabs>
              <w:tab w:val="left" w:pos="6480"/>
            </w:tabs>
            <w:ind w:firstLine="0"/>
          </w:pPr>
          <w:r>
            <w:t>MCLEAN, VA 22102</w:t>
          </w:r>
        </w:p>
      </w:tc>
    </w:tr>
  </w:tbl>
  <w:p w:rsidR="00DB0830" w:rsidRPr="00232647" w:rsidRDefault="00DB0830" w:rsidP="002326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830" w:rsidRPr="00232647" w:rsidRDefault="00DB0830" w:rsidP="002326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B17" w:rsidRDefault="00323B17" w:rsidP="00F42C4D">
      <w:pPr>
        <w:spacing w:after="0" w:line="240" w:lineRule="auto"/>
      </w:pPr>
      <w:r>
        <w:separator/>
      </w:r>
    </w:p>
  </w:footnote>
  <w:footnote w:type="continuationSeparator" w:id="0">
    <w:p w:rsidR="00323B17" w:rsidRDefault="00323B17" w:rsidP="00F42C4D">
      <w:pPr>
        <w:spacing w:after="0" w:line="240" w:lineRule="auto"/>
      </w:pPr>
      <w:r>
        <w:continuationSeparator/>
      </w:r>
    </w:p>
  </w:footnote>
  <w:footnote w:id="1">
    <w:p w:rsidR="00DB0830" w:rsidRDefault="00DB0830">
      <w:pPr>
        <w:pStyle w:val="FootnoteText"/>
      </w:pPr>
      <w:r>
        <w:rPr>
          <w:rStyle w:val="FootnoteReference"/>
        </w:rPr>
        <w:footnoteRef/>
      </w:r>
      <w:r>
        <w:t xml:space="preserve"> </w:t>
      </w:r>
      <w:proofErr w:type="gramStart"/>
      <w:r w:rsidRPr="006468E5">
        <w:rPr>
          <w:rFonts w:ascii="Times New Roman" w:hAnsi="Times New Roman"/>
        </w:rPr>
        <w:t>Subject, of course, to any contractual restrictions as between the LEC and the publisher.</w:t>
      </w:r>
      <w:proofErr w:type="gramEnd"/>
      <w:r w:rsidRPr="006468E5">
        <w:rPr>
          <w:rFonts w:ascii="Times New Roman" w:hAnsi="Times New Roman"/>
        </w:rPr>
        <w:t xml:space="preserve">  In the case of CenturyLink, the requirements of the contract with Dex </w:t>
      </w:r>
      <w:proofErr w:type="gramStart"/>
      <w:r w:rsidRPr="006468E5">
        <w:rPr>
          <w:rFonts w:ascii="Times New Roman" w:hAnsi="Times New Roman"/>
        </w:rPr>
        <w:t>One</w:t>
      </w:r>
      <w:proofErr w:type="gramEnd"/>
      <w:r w:rsidRPr="006468E5">
        <w:rPr>
          <w:rFonts w:ascii="Times New Roman" w:hAnsi="Times New Roman"/>
        </w:rPr>
        <w:t xml:space="preserve"> are disputed and in litigation.  The Commission need not concern itself with the merits of that contract dispute, as it will be resolved one way or the other in another and more appropriate forum.  But the Commission needs to take into account the fact of the dispute if it is to achieve any public interest benefits from the relaxed regulation provided by the Draft.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43704"/>
    <w:multiLevelType w:val="multilevel"/>
    <w:tmpl w:val="7DD613F2"/>
    <w:lvl w:ilvl="0">
      <w:start w:val="1"/>
      <w:numFmt w:val="upperLetter"/>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39331B76"/>
    <w:multiLevelType w:val="hybridMultilevel"/>
    <w:tmpl w:val="36222476"/>
    <w:lvl w:ilvl="0" w:tplc="39E8CB80">
      <w:start w:val="1"/>
      <w:numFmt w:val="upperLetter"/>
      <w:pStyle w:val="Heading2"/>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A55154"/>
    <w:multiLevelType w:val="hybridMultilevel"/>
    <w:tmpl w:val="7480D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0BD376C"/>
    <w:multiLevelType w:val="hybridMultilevel"/>
    <w:tmpl w:val="C27A758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79D6EA7"/>
    <w:multiLevelType w:val="hybridMultilevel"/>
    <w:tmpl w:val="FDC87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B75AEB"/>
    <w:multiLevelType w:val="hybridMultilevel"/>
    <w:tmpl w:val="781A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4"/>
  </w:num>
  <w:num w:numId="11">
    <w:abstractNumId w:val="5"/>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rsids>
    <w:rsidRoot w:val="002866F4"/>
    <w:rsid w:val="000442E8"/>
    <w:rsid w:val="00045361"/>
    <w:rsid w:val="0007060D"/>
    <w:rsid w:val="00093D75"/>
    <w:rsid w:val="00095FCC"/>
    <w:rsid w:val="000B0784"/>
    <w:rsid w:val="000F05FE"/>
    <w:rsid w:val="000F116B"/>
    <w:rsid w:val="00123298"/>
    <w:rsid w:val="001321A4"/>
    <w:rsid w:val="00166CFA"/>
    <w:rsid w:val="00175778"/>
    <w:rsid w:val="00197CC5"/>
    <w:rsid w:val="001C0946"/>
    <w:rsid w:val="001C1B03"/>
    <w:rsid w:val="001C3D38"/>
    <w:rsid w:val="001E0459"/>
    <w:rsid w:val="001F2067"/>
    <w:rsid w:val="001F4939"/>
    <w:rsid w:val="00221EE4"/>
    <w:rsid w:val="00232647"/>
    <w:rsid w:val="00250866"/>
    <w:rsid w:val="002558DE"/>
    <w:rsid w:val="00267B92"/>
    <w:rsid w:val="002866F4"/>
    <w:rsid w:val="002E123F"/>
    <w:rsid w:val="00310A67"/>
    <w:rsid w:val="00313217"/>
    <w:rsid w:val="00323B17"/>
    <w:rsid w:val="00335F0A"/>
    <w:rsid w:val="00354245"/>
    <w:rsid w:val="003813A9"/>
    <w:rsid w:val="00396339"/>
    <w:rsid w:val="003A2A3A"/>
    <w:rsid w:val="003A7DE4"/>
    <w:rsid w:val="003E0A07"/>
    <w:rsid w:val="003F2FEA"/>
    <w:rsid w:val="004040CA"/>
    <w:rsid w:val="004075FB"/>
    <w:rsid w:val="0043786A"/>
    <w:rsid w:val="00443A33"/>
    <w:rsid w:val="004939B4"/>
    <w:rsid w:val="004B50A4"/>
    <w:rsid w:val="004B60BC"/>
    <w:rsid w:val="004D2EF0"/>
    <w:rsid w:val="004D6D60"/>
    <w:rsid w:val="004F7FD4"/>
    <w:rsid w:val="00512BE6"/>
    <w:rsid w:val="00515C59"/>
    <w:rsid w:val="00517B4F"/>
    <w:rsid w:val="0055184F"/>
    <w:rsid w:val="00554C7C"/>
    <w:rsid w:val="00556891"/>
    <w:rsid w:val="00586C69"/>
    <w:rsid w:val="005A02CD"/>
    <w:rsid w:val="005C0007"/>
    <w:rsid w:val="00613459"/>
    <w:rsid w:val="00617D7D"/>
    <w:rsid w:val="00646272"/>
    <w:rsid w:val="006468E5"/>
    <w:rsid w:val="00651D6F"/>
    <w:rsid w:val="00666B0C"/>
    <w:rsid w:val="0067428C"/>
    <w:rsid w:val="006753F3"/>
    <w:rsid w:val="006970F9"/>
    <w:rsid w:val="006A4BA6"/>
    <w:rsid w:val="006B3896"/>
    <w:rsid w:val="006C3E6D"/>
    <w:rsid w:val="00701AA1"/>
    <w:rsid w:val="00756F19"/>
    <w:rsid w:val="00781DB5"/>
    <w:rsid w:val="00791AEB"/>
    <w:rsid w:val="00791CFE"/>
    <w:rsid w:val="007D35FA"/>
    <w:rsid w:val="007F5DD3"/>
    <w:rsid w:val="008118B5"/>
    <w:rsid w:val="00826A43"/>
    <w:rsid w:val="0084113E"/>
    <w:rsid w:val="00851A30"/>
    <w:rsid w:val="00876845"/>
    <w:rsid w:val="008B4EC1"/>
    <w:rsid w:val="008B6D56"/>
    <w:rsid w:val="008C7C46"/>
    <w:rsid w:val="008D6992"/>
    <w:rsid w:val="008E0F4F"/>
    <w:rsid w:val="008E2B27"/>
    <w:rsid w:val="008F415D"/>
    <w:rsid w:val="00916139"/>
    <w:rsid w:val="00920EB2"/>
    <w:rsid w:val="00964AD2"/>
    <w:rsid w:val="00990F49"/>
    <w:rsid w:val="009A62C6"/>
    <w:rsid w:val="009D5527"/>
    <w:rsid w:val="009E22A4"/>
    <w:rsid w:val="00A305B0"/>
    <w:rsid w:val="00A47444"/>
    <w:rsid w:val="00AA7E00"/>
    <w:rsid w:val="00AB561C"/>
    <w:rsid w:val="00AC59AF"/>
    <w:rsid w:val="00AE2C92"/>
    <w:rsid w:val="00B234A5"/>
    <w:rsid w:val="00B44D93"/>
    <w:rsid w:val="00B45E28"/>
    <w:rsid w:val="00B531E3"/>
    <w:rsid w:val="00B555DD"/>
    <w:rsid w:val="00BB357C"/>
    <w:rsid w:val="00C065A8"/>
    <w:rsid w:val="00C608F5"/>
    <w:rsid w:val="00C85EC7"/>
    <w:rsid w:val="00CB4A24"/>
    <w:rsid w:val="00CB6B4F"/>
    <w:rsid w:val="00CC70EA"/>
    <w:rsid w:val="00CF1298"/>
    <w:rsid w:val="00CF71DD"/>
    <w:rsid w:val="00D009FA"/>
    <w:rsid w:val="00D31281"/>
    <w:rsid w:val="00D375BD"/>
    <w:rsid w:val="00D85D9A"/>
    <w:rsid w:val="00D93DB4"/>
    <w:rsid w:val="00DB0830"/>
    <w:rsid w:val="00DB5977"/>
    <w:rsid w:val="00DD00EA"/>
    <w:rsid w:val="00DD36E5"/>
    <w:rsid w:val="00DF09E3"/>
    <w:rsid w:val="00E03898"/>
    <w:rsid w:val="00E23FFC"/>
    <w:rsid w:val="00E24170"/>
    <w:rsid w:val="00E271FA"/>
    <w:rsid w:val="00E406B2"/>
    <w:rsid w:val="00E72D92"/>
    <w:rsid w:val="00E85778"/>
    <w:rsid w:val="00E90B38"/>
    <w:rsid w:val="00E90E7E"/>
    <w:rsid w:val="00E94480"/>
    <w:rsid w:val="00E94A1F"/>
    <w:rsid w:val="00ED02D8"/>
    <w:rsid w:val="00EE7B59"/>
    <w:rsid w:val="00EE7C98"/>
    <w:rsid w:val="00EF46D3"/>
    <w:rsid w:val="00F42C4D"/>
    <w:rsid w:val="00F63711"/>
    <w:rsid w:val="00FA5978"/>
    <w:rsid w:val="00FB30CF"/>
    <w:rsid w:val="00FE37C3"/>
    <w:rsid w:val="00FE776D"/>
    <w:rsid w:val="00FF35C1"/>
    <w:rsid w:val="00FF4B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866"/>
    <w:pPr>
      <w:ind w:firstLine="720"/>
    </w:pPr>
    <w:rPr>
      <w:rFonts w:cstheme="minorBidi"/>
      <w:szCs w:val="22"/>
    </w:rPr>
  </w:style>
  <w:style w:type="paragraph" w:styleId="Heading1">
    <w:name w:val="heading 1"/>
    <w:basedOn w:val="Normal"/>
    <w:next w:val="Normal"/>
    <w:link w:val="Heading1Char"/>
    <w:uiPriority w:val="9"/>
    <w:qFormat/>
    <w:rsid w:val="00791CFE"/>
    <w:pPr>
      <w:keepNext/>
      <w:numPr>
        <w:numId w:val="9"/>
      </w:numPr>
      <w:spacing w:line="480" w:lineRule="auto"/>
      <w:outlineLvl w:val="0"/>
    </w:pPr>
    <w:rPr>
      <w:b/>
      <w:u w:val="single"/>
    </w:rPr>
  </w:style>
  <w:style w:type="paragraph" w:styleId="Heading2">
    <w:name w:val="heading 2"/>
    <w:basedOn w:val="Normal"/>
    <w:next w:val="Normal"/>
    <w:link w:val="Heading2Char"/>
    <w:uiPriority w:val="9"/>
    <w:unhideWhenUsed/>
    <w:qFormat/>
    <w:rsid w:val="00517B4F"/>
    <w:pPr>
      <w:numPr>
        <w:numId w:val="2"/>
      </w:numPr>
      <w:spacing w:after="240" w:line="240" w:lineRule="auto"/>
      <w:outlineLvl w:val="1"/>
    </w:pPr>
    <w:rPr>
      <w:b/>
      <w:u w:val="single"/>
    </w:rPr>
  </w:style>
  <w:style w:type="paragraph" w:styleId="Heading3">
    <w:name w:val="heading 3"/>
    <w:basedOn w:val="Normal"/>
    <w:next w:val="Normal"/>
    <w:link w:val="Heading3Char"/>
    <w:uiPriority w:val="9"/>
    <w:unhideWhenUsed/>
    <w:qFormat/>
    <w:rsid w:val="00517B4F"/>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7B4F"/>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17B4F"/>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17B4F"/>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17B4F"/>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17B4F"/>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17B4F"/>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CFE"/>
    <w:rPr>
      <w:rFonts w:cstheme="minorBidi"/>
      <w:b/>
      <w:szCs w:val="22"/>
      <w:u w:val="single"/>
    </w:rPr>
  </w:style>
  <w:style w:type="character" w:customStyle="1" w:styleId="Heading2Char">
    <w:name w:val="Heading 2 Char"/>
    <w:basedOn w:val="DefaultParagraphFont"/>
    <w:link w:val="Heading2"/>
    <w:uiPriority w:val="9"/>
    <w:rsid w:val="00517B4F"/>
    <w:rPr>
      <w:b/>
      <w:u w:val="single"/>
    </w:rPr>
  </w:style>
  <w:style w:type="character" w:customStyle="1" w:styleId="Heading3Char">
    <w:name w:val="Heading 3 Char"/>
    <w:basedOn w:val="DefaultParagraphFont"/>
    <w:link w:val="Heading3"/>
    <w:uiPriority w:val="9"/>
    <w:rsid w:val="00517B4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17B4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17B4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17B4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17B4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17B4F"/>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517B4F"/>
    <w:rPr>
      <w:rFonts w:asciiTheme="majorHAnsi" w:eastAsiaTheme="majorEastAsia" w:hAnsiTheme="majorHAnsi" w:cstheme="majorBidi"/>
      <w:i/>
      <w:iCs/>
      <w:color w:val="404040" w:themeColor="text1" w:themeTint="BF"/>
      <w:sz w:val="20"/>
    </w:rPr>
  </w:style>
  <w:style w:type="paragraph" w:styleId="NoSpacing">
    <w:name w:val="No Spacing"/>
    <w:uiPriority w:val="1"/>
    <w:qFormat/>
    <w:rsid w:val="00517B4F"/>
    <w:pPr>
      <w:widowControl w:val="0"/>
      <w:spacing w:after="0" w:line="240" w:lineRule="auto"/>
    </w:pPr>
    <w:rPr>
      <w:rFonts w:ascii="Calibri" w:eastAsia="Calibri" w:hAnsi="Calibri"/>
      <w:sz w:val="22"/>
      <w:szCs w:val="22"/>
    </w:rPr>
  </w:style>
  <w:style w:type="paragraph" w:styleId="ListParagraph">
    <w:name w:val="List Paragraph"/>
    <w:basedOn w:val="Normal"/>
    <w:uiPriority w:val="34"/>
    <w:qFormat/>
    <w:rsid w:val="00517B4F"/>
    <w:pPr>
      <w:spacing w:after="0" w:line="240" w:lineRule="auto"/>
      <w:ind w:left="720"/>
      <w:contextualSpacing/>
    </w:pPr>
    <w:rPr>
      <w:szCs w:val="24"/>
      <w:lang w:eastAsia="zh-CN"/>
    </w:rPr>
  </w:style>
  <w:style w:type="paragraph" w:customStyle="1" w:styleId="Style1">
    <w:name w:val="Style 1"/>
    <w:basedOn w:val="Normal"/>
    <w:uiPriority w:val="99"/>
    <w:rsid w:val="002866F4"/>
    <w:pPr>
      <w:widowControl w:val="0"/>
      <w:autoSpaceDE w:val="0"/>
      <w:autoSpaceDN w:val="0"/>
      <w:adjustRightInd w:val="0"/>
      <w:spacing w:after="0" w:line="240" w:lineRule="auto"/>
    </w:pPr>
    <w:rPr>
      <w:rFonts w:eastAsiaTheme="minorEastAsia" w:cs="Times New Roman"/>
      <w:sz w:val="20"/>
      <w:szCs w:val="20"/>
    </w:rPr>
  </w:style>
  <w:style w:type="character" w:customStyle="1" w:styleId="CharacterStyle1">
    <w:name w:val="Character Style 1"/>
    <w:uiPriority w:val="99"/>
    <w:rsid w:val="002866F4"/>
    <w:rPr>
      <w:sz w:val="20"/>
      <w:szCs w:val="20"/>
    </w:rPr>
  </w:style>
  <w:style w:type="table" w:styleId="TableGrid">
    <w:name w:val="Table Grid"/>
    <w:basedOn w:val="TableNormal"/>
    <w:uiPriority w:val="59"/>
    <w:rsid w:val="002866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42C4D"/>
    <w:rPr>
      <w:color w:val="0000FF"/>
      <w:u w:val="single"/>
    </w:rPr>
  </w:style>
  <w:style w:type="paragraph" w:styleId="FootnoteText">
    <w:name w:val="footnote text"/>
    <w:basedOn w:val="Normal"/>
    <w:link w:val="FootnoteTextChar"/>
    <w:uiPriority w:val="99"/>
    <w:semiHidden/>
    <w:unhideWhenUsed/>
    <w:rsid w:val="00F42C4D"/>
    <w:pPr>
      <w:spacing w:after="0" w:line="240" w:lineRule="auto"/>
    </w:pPr>
    <w:rPr>
      <w:rFonts w:ascii="Times" w:eastAsia="Times" w:hAnsi="Times" w:cs="Times New Roman"/>
      <w:sz w:val="20"/>
      <w:szCs w:val="20"/>
    </w:rPr>
  </w:style>
  <w:style w:type="character" w:customStyle="1" w:styleId="FootnoteTextChar">
    <w:name w:val="Footnote Text Char"/>
    <w:basedOn w:val="DefaultParagraphFont"/>
    <w:link w:val="FootnoteText"/>
    <w:uiPriority w:val="99"/>
    <w:semiHidden/>
    <w:rsid w:val="00F42C4D"/>
    <w:rPr>
      <w:rFonts w:ascii="Times" w:eastAsia="Times" w:hAnsi="Times"/>
      <w:sz w:val="20"/>
    </w:rPr>
  </w:style>
  <w:style w:type="character" w:styleId="FootnoteReference">
    <w:name w:val="footnote reference"/>
    <w:basedOn w:val="DefaultParagraphFont"/>
    <w:uiPriority w:val="99"/>
    <w:semiHidden/>
    <w:unhideWhenUsed/>
    <w:rsid w:val="00F42C4D"/>
    <w:rPr>
      <w:vertAlign w:val="superscript"/>
    </w:rPr>
  </w:style>
  <w:style w:type="paragraph" w:styleId="Header">
    <w:name w:val="header"/>
    <w:basedOn w:val="Normal"/>
    <w:link w:val="HeaderChar"/>
    <w:uiPriority w:val="99"/>
    <w:semiHidden/>
    <w:unhideWhenUsed/>
    <w:rsid w:val="002508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0866"/>
    <w:rPr>
      <w:rFonts w:cstheme="minorBidi"/>
      <w:szCs w:val="22"/>
    </w:rPr>
  </w:style>
  <w:style w:type="paragraph" w:styleId="Footer">
    <w:name w:val="footer"/>
    <w:basedOn w:val="Normal"/>
    <w:link w:val="FooterChar"/>
    <w:uiPriority w:val="99"/>
    <w:unhideWhenUsed/>
    <w:rsid w:val="00250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866"/>
    <w:rPr>
      <w:rFonts w:cstheme="minorBidi"/>
      <w:szCs w:val="22"/>
    </w:rPr>
  </w:style>
  <w:style w:type="paragraph" w:styleId="DocumentMap">
    <w:name w:val="Document Map"/>
    <w:basedOn w:val="Normal"/>
    <w:link w:val="DocumentMapChar"/>
    <w:uiPriority w:val="99"/>
    <w:semiHidden/>
    <w:unhideWhenUsed/>
    <w:rsid w:val="00B234A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234A5"/>
    <w:rPr>
      <w:rFonts w:ascii="Tahoma" w:hAnsi="Tahoma" w:cs="Tahoma"/>
      <w:sz w:val="16"/>
      <w:szCs w:val="16"/>
    </w:rPr>
  </w:style>
  <w:style w:type="paragraph" w:customStyle="1" w:styleId="Default">
    <w:name w:val="Default"/>
    <w:basedOn w:val="Normal"/>
    <w:rsid w:val="00617D7D"/>
    <w:pPr>
      <w:autoSpaceDE w:val="0"/>
      <w:autoSpaceDN w:val="0"/>
      <w:spacing w:after="0" w:line="240" w:lineRule="auto"/>
      <w:ind w:firstLine="0"/>
    </w:pPr>
    <w:rPr>
      <w:rFonts w:eastAsia="Calibri" w:cs="Times New Roman"/>
      <w:color w:val="000000"/>
      <w:szCs w:val="24"/>
    </w:rPr>
  </w:style>
  <w:style w:type="paragraph" w:styleId="BalloonText">
    <w:name w:val="Balloon Text"/>
    <w:basedOn w:val="Normal"/>
    <w:link w:val="BalloonTextChar"/>
    <w:uiPriority w:val="99"/>
    <w:semiHidden/>
    <w:unhideWhenUsed/>
    <w:rsid w:val="00BB3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57C"/>
    <w:rPr>
      <w:rFonts w:ascii="Tahoma" w:hAnsi="Tahoma" w:cs="Tahoma"/>
      <w:sz w:val="16"/>
      <w:szCs w:val="16"/>
    </w:rPr>
  </w:style>
  <w:style w:type="character" w:styleId="LineNumber">
    <w:name w:val="line number"/>
    <w:basedOn w:val="DefaultParagraphFont"/>
    <w:uiPriority w:val="99"/>
    <w:semiHidden/>
    <w:unhideWhenUsed/>
    <w:rsid w:val="003813A9"/>
  </w:style>
  <w:style w:type="character" w:styleId="CommentReference">
    <w:name w:val="annotation reference"/>
    <w:basedOn w:val="DefaultParagraphFont"/>
    <w:uiPriority w:val="99"/>
    <w:semiHidden/>
    <w:unhideWhenUsed/>
    <w:rsid w:val="003F2FEA"/>
    <w:rPr>
      <w:sz w:val="16"/>
      <w:szCs w:val="16"/>
    </w:rPr>
  </w:style>
  <w:style w:type="paragraph" w:styleId="CommentText">
    <w:name w:val="annotation text"/>
    <w:basedOn w:val="Normal"/>
    <w:link w:val="CommentTextChar"/>
    <w:uiPriority w:val="99"/>
    <w:semiHidden/>
    <w:unhideWhenUsed/>
    <w:rsid w:val="003F2FEA"/>
    <w:pPr>
      <w:spacing w:line="240" w:lineRule="auto"/>
    </w:pPr>
    <w:rPr>
      <w:sz w:val="20"/>
      <w:szCs w:val="20"/>
    </w:rPr>
  </w:style>
  <w:style w:type="character" w:customStyle="1" w:styleId="CommentTextChar">
    <w:name w:val="Comment Text Char"/>
    <w:basedOn w:val="DefaultParagraphFont"/>
    <w:link w:val="CommentText"/>
    <w:uiPriority w:val="99"/>
    <w:semiHidden/>
    <w:rsid w:val="003F2FEA"/>
    <w:rPr>
      <w:rFonts w:cstheme="minorBidi"/>
      <w:sz w:val="20"/>
    </w:rPr>
  </w:style>
  <w:style w:type="paragraph" w:styleId="CommentSubject">
    <w:name w:val="annotation subject"/>
    <w:basedOn w:val="CommentText"/>
    <w:next w:val="CommentText"/>
    <w:link w:val="CommentSubjectChar"/>
    <w:uiPriority w:val="99"/>
    <w:semiHidden/>
    <w:unhideWhenUsed/>
    <w:rsid w:val="003F2FEA"/>
    <w:rPr>
      <w:b/>
      <w:bCs/>
    </w:rPr>
  </w:style>
  <w:style w:type="character" w:customStyle="1" w:styleId="CommentSubjectChar">
    <w:name w:val="Comment Subject Char"/>
    <w:basedOn w:val="CommentTextChar"/>
    <w:link w:val="CommentSubject"/>
    <w:uiPriority w:val="99"/>
    <w:semiHidden/>
    <w:rsid w:val="003F2FEA"/>
    <w:rPr>
      <w:b/>
      <w:bCs/>
    </w:rPr>
  </w:style>
</w:styles>
</file>

<file path=word/webSettings.xml><?xml version="1.0" encoding="utf-8"?>
<w:webSettings xmlns:r="http://schemas.openxmlformats.org/officeDocument/2006/relationships" xmlns:w="http://schemas.openxmlformats.org/wordprocessingml/2006/main">
  <w:divs>
    <w:div w:id="1042829133">
      <w:bodyDiv w:val="1"/>
      <w:marLeft w:val="0"/>
      <w:marRight w:val="0"/>
      <w:marTop w:val="0"/>
      <w:marBottom w:val="0"/>
      <w:divBdr>
        <w:top w:val="none" w:sz="0" w:space="0" w:color="auto"/>
        <w:left w:val="none" w:sz="0" w:space="0" w:color="auto"/>
        <w:bottom w:val="none" w:sz="0" w:space="0" w:color="auto"/>
        <w:right w:val="none" w:sz="0" w:space="0" w:color="auto"/>
      </w:divBdr>
    </w:div>
    <w:div w:id="1228800619">
      <w:bodyDiv w:val="1"/>
      <w:marLeft w:val="0"/>
      <w:marRight w:val="0"/>
      <w:marTop w:val="0"/>
      <w:marBottom w:val="0"/>
      <w:divBdr>
        <w:top w:val="none" w:sz="0" w:space="0" w:color="auto"/>
        <w:left w:val="none" w:sz="0" w:space="0" w:color="auto"/>
        <w:bottom w:val="none" w:sz="0" w:space="0" w:color="auto"/>
        <w:right w:val="none" w:sz="0" w:space="0" w:color="auto"/>
      </w:divBdr>
      <w:divsChild>
        <w:div w:id="801387335">
          <w:marLeft w:val="90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4A096B9B710745BC8C1C9B41F0D584" ma:contentTypeVersion="139" ma:contentTypeDescription="" ma:contentTypeScope="" ma:versionID="aaa8c34c527217b3c7814a05848f08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2012-04-04T07:00:00+00:00</OpenedDate>
    <Date1 xmlns="dc463f71-b30c-4ab2-9473-d307f9d35888">2012-11-14T08:00:00+00:00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120451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CB94067-BAEC-48FD-9DEF-2D4EA834725E}"/>
</file>

<file path=customXml/itemProps2.xml><?xml version="1.0" encoding="utf-8"?>
<ds:datastoreItem xmlns:ds="http://schemas.openxmlformats.org/officeDocument/2006/customXml" ds:itemID="{35EEF20D-4443-4AA1-AECC-212E854B4190}"/>
</file>

<file path=customXml/itemProps3.xml><?xml version="1.0" encoding="utf-8"?>
<ds:datastoreItem xmlns:ds="http://schemas.openxmlformats.org/officeDocument/2006/customXml" ds:itemID="{10978823-C6A6-4035-88A0-720011491AA8}"/>
</file>

<file path=customXml/itemProps4.xml><?xml version="1.0" encoding="utf-8"?>
<ds:datastoreItem xmlns:ds="http://schemas.openxmlformats.org/officeDocument/2006/customXml" ds:itemID="{F1035808-64F2-41AB-AA53-AF1060453CED}"/>
</file>

<file path=customXml/itemProps5.xml><?xml version="1.0" encoding="utf-8"?>
<ds:datastoreItem xmlns:ds="http://schemas.openxmlformats.org/officeDocument/2006/customXml" ds:itemID="{F076C7AB-5E12-4E41-B403-2974BDC66877}"/>
</file>

<file path=docProps/app.xml><?xml version="1.0" encoding="utf-8"?>
<Properties xmlns="http://schemas.openxmlformats.org/officeDocument/2006/extended-properties" xmlns:vt="http://schemas.openxmlformats.org/officeDocument/2006/docPropsVTypes">
  <Template>Normal.dotm</Template>
  <TotalTime>0</TotalTime>
  <Pages>9</Pages>
  <Words>1941</Words>
  <Characters>11069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2012-11-13T20:39:00Z</dcterms:created>
  <dcterms:modified xsi:type="dcterms:W3CDTF">2012-11-14T19:55:00Z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0x0101006E56B4D1795A2E4DB2F0B01679ED314A008C4A096B9B710745BC8C1C9B41F0D584</vt:lpwstr>
  </property>
  <property fmtid="{D5CDD505-2E9C-101B-9397-08002B2CF9AE}" pid="3" name="_docset_NoMedatataSyncRequired">
    <vt:lpwstr>False</vt:lpwstr>
  </property>
</Properties>
</file>