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AVAILABLE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In all territory served by Company in the State of Washington.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APPLICABLE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To residential Customers only for all single-phase electric requirements when all service is supplied at one point of delivery.  For three-phase residential service see Schedule 18.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MONTHLY BILLING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F309CC" w:rsidP="00683DD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48714" wp14:editId="7F6EEFB7">
                <wp:simplePos x="0" y="0"/>
                <wp:positionH relativeFrom="column">
                  <wp:posOffset>6210300</wp:posOffset>
                </wp:positionH>
                <wp:positionV relativeFrom="paragraph">
                  <wp:posOffset>129540</wp:posOffset>
                </wp:positionV>
                <wp:extent cx="669925" cy="56578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565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8926AA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26AA" w:rsidRDefault="008926AA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26AA" w:rsidRDefault="008926AA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8926AA" w:rsidRDefault="008926AA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(R)</w:t>
                            </w:r>
                          </w:p>
                          <w:p w:rsidR="008926AA" w:rsidRDefault="008926AA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26AA" w:rsidRDefault="008926AA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C2FC5" w:rsidRDefault="00AC2FC5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26AA" w:rsidRDefault="008926AA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8926AA" w:rsidRDefault="008926AA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26AA" w:rsidRDefault="008926AA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26AA" w:rsidRDefault="008926AA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(C)</w:t>
                            </w:r>
                          </w:p>
                          <w:p w:rsidR="008926AA" w:rsidRDefault="008926AA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26AA" w:rsidRDefault="008926AA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26AA" w:rsidRDefault="008926AA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(C)</w:t>
                            </w:r>
                          </w:p>
                          <w:p w:rsidR="008926AA" w:rsidRDefault="008926AA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926AA" w:rsidRDefault="008926AA" w:rsidP="00AC2F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(C)</w:t>
                            </w:r>
                          </w:p>
                          <w:p w:rsidR="00D128F9" w:rsidRDefault="00D128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128F9" w:rsidRDefault="00D128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128F9" w:rsidRDefault="00D128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A0B2E" w:rsidRDefault="00AA0B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A0B2E" w:rsidRDefault="00AA0B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A0B2E" w:rsidRDefault="00AA0B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A0B2E" w:rsidRDefault="00AA0B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A0B2E" w:rsidRDefault="00AA0B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A0B2E" w:rsidRDefault="00AA0B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A0B2E" w:rsidRDefault="00AA0B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A0B2E" w:rsidRDefault="00AA0B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A0B2E" w:rsidRDefault="00AA0B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A0B2E" w:rsidRDefault="00AA0B2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15745" w:rsidRPr="00915745" w:rsidRDefault="00915745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915745" w:rsidRDefault="009157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48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9pt;margin-top:10.2pt;width:52.75pt;height:4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PD8tgIAALk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" filled="f" stroked="f">
                <v:textbox>
                  <w:txbxContent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8926AA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926AA" w:rsidRDefault="008926AA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926AA" w:rsidRDefault="008926AA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8926AA" w:rsidRDefault="008926AA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(R)</w:t>
                      </w:r>
                    </w:p>
                    <w:p w:rsidR="008926AA" w:rsidRDefault="008926AA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926AA" w:rsidRDefault="008926AA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C2FC5" w:rsidRDefault="00AC2FC5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926AA" w:rsidRDefault="008926AA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8926AA" w:rsidRDefault="008926AA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926AA" w:rsidRDefault="008926AA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926AA" w:rsidRDefault="008926AA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(C)</w:t>
                      </w:r>
                    </w:p>
                    <w:p w:rsidR="008926AA" w:rsidRDefault="008926AA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926AA" w:rsidRDefault="008926AA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926AA" w:rsidRDefault="008926AA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(C)</w:t>
                      </w:r>
                    </w:p>
                    <w:p w:rsidR="008926AA" w:rsidRDefault="008926AA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926AA" w:rsidRDefault="008926AA" w:rsidP="00AC2FC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(C)</w:t>
                      </w:r>
                    </w:p>
                    <w:p w:rsidR="00D128F9" w:rsidRDefault="00D128F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128F9" w:rsidRDefault="00D128F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128F9" w:rsidRDefault="00D128F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A0B2E" w:rsidRDefault="00AA0B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A0B2E" w:rsidRDefault="00AA0B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A0B2E" w:rsidRDefault="00AA0B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A0B2E" w:rsidRDefault="00AA0B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A0B2E" w:rsidRDefault="00AA0B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A0B2E" w:rsidRDefault="00AA0B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A0B2E" w:rsidRDefault="00AA0B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A0B2E" w:rsidRDefault="00AA0B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A0B2E" w:rsidRDefault="00AA0B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A0B2E" w:rsidRDefault="00AA0B2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15745" w:rsidRPr="00915745" w:rsidRDefault="00915745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  <w:p w:rsidR="00915745" w:rsidRDefault="0091574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DDC" w:rsidRPr="00683DDC">
        <w:rPr>
          <w:rFonts w:ascii="Arial" w:hAnsi="Arial" w:cs="Arial"/>
          <w:sz w:val="20"/>
        </w:rPr>
        <w:tab/>
        <w:t xml:space="preserve">The Monthly Billing shall be the sum of the Basic and Energy Charges and the Low Income Energy Credit. All Monthly Billings shall be adjusted in </w:t>
      </w:r>
      <w:r w:rsidR="00AC2482">
        <w:rPr>
          <w:rFonts w:ascii="Arial" w:hAnsi="Arial" w:cs="Arial"/>
          <w:sz w:val="20"/>
        </w:rPr>
        <w:t>accordance with Schedule</w:t>
      </w:r>
      <w:r w:rsidR="00F52440">
        <w:rPr>
          <w:rFonts w:ascii="Arial" w:hAnsi="Arial" w:cs="Arial"/>
          <w:sz w:val="20"/>
        </w:rPr>
        <w:t xml:space="preserve"> </w:t>
      </w:r>
      <w:r w:rsidR="00B57CA4">
        <w:rPr>
          <w:rFonts w:ascii="Arial" w:hAnsi="Arial" w:cs="Arial"/>
          <w:sz w:val="20"/>
        </w:rPr>
        <w:t>80.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  <w:u w:val="single"/>
        </w:rPr>
        <w:t>Basic Charge</w:t>
      </w:r>
      <w:r w:rsidRPr="00683DDC">
        <w:rPr>
          <w:rFonts w:ascii="Arial" w:hAnsi="Arial" w:cs="Arial"/>
          <w:sz w:val="20"/>
        </w:rPr>
        <w:t>:    $</w:t>
      </w:r>
      <w:r w:rsidR="008926AA">
        <w:rPr>
          <w:rFonts w:ascii="Arial" w:hAnsi="Arial" w:cs="Arial"/>
          <w:sz w:val="20"/>
        </w:rPr>
        <w:t>9.50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  <w:u w:val="single"/>
        </w:rPr>
        <w:t>Energy Charge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Base</w:t>
      </w:r>
      <w:r w:rsidRPr="00683DDC">
        <w:rPr>
          <w:rFonts w:ascii="Arial" w:hAnsi="Arial" w:cs="Arial"/>
          <w:sz w:val="20"/>
        </w:rPr>
        <w:tab/>
      </w:r>
      <w:r w:rsidRPr="00683DDC">
        <w:rPr>
          <w:rFonts w:ascii="Arial" w:hAnsi="Arial" w:cs="Arial"/>
          <w:sz w:val="20"/>
        </w:rPr>
        <w:tab/>
      </w:r>
    </w:p>
    <w:p w:rsidR="00683DDC" w:rsidRPr="00683DDC" w:rsidRDefault="00683DDC" w:rsidP="00683DDC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Rate</w:t>
      </w:r>
      <w:r w:rsidRPr="00683DDC">
        <w:rPr>
          <w:rFonts w:ascii="Arial" w:hAnsi="Arial" w:cs="Arial"/>
          <w:sz w:val="20"/>
        </w:rPr>
        <w:tab/>
      </w:r>
    </w:p>
    <w:p w:rsidR="00683DDC" w:rsidRPr="00683DDC" w:rsidRDefault="008926AA" w:rsidP="00683DDC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</w:t>
      </w:r>
      <w:r w:rsidR="006E0465">
        <w:rPr>
          <w:rFonts w:ascii="Arial" w:hAnsi="Arial" w:cs="Arial"/>
          <w:sz w:val="20"/>
        </w:rPr>
        <w:t>796</w:t>
      </w:r>
      <w:r w:rsidR="00683DDC" w:rsidRPr="00683DDC">
        <w:rPr>
          <w:rFonts w:ascii="Arial" w:hAnsi="Arial" w:cs="Arial"/>
          <w:sz w:val="20"/>
        </w:rPr>
        <w:t>¢</w:t>
      </w:r>
      <w:r w:rsidR="00683DDC" w:rsidRPr="00683DDC">
        <w:rPr>
          <w:rFonts w:ascii="Arial" w:hAnsi="Arial" w:cs="Arial"/>
          <w:sz w:val="20"/>
        </w:rPr>
        <w:tab/>
        <w:t xml:space="preserve"> per kWh for the first 600 kWh</w:t>
      </w:r>
    </w:p>
    <w:p w:rsidR="00683DDC" w:rsidRPr="00683DDC" w:rsidRDefault="008926AA" w:rsidP="00683DDC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</w:t>
      </w:r>
      <w:r w:rsidR="006E0465">
        <w:rPr>
          <w:rFonts w:ascii="Arial" w:hAnsi="Arial" w:cs="Arial"/>
          <w:sz w:val="20"/>
        </w:rPr>
        <w:t>744</w:t>
      </w:r>
      <w:r w:rsidR="00683DDC" w:rsidRPr="00683DDC">
        <w:rPr>
          <w:rFonts w:ascii="Arial" w:hAnsi="Arial" w:cs="Arial"/>
          <w:sz w:val="20"/>
        </w:rPr>
        <w:t>¢</w:t>
      </w:r>
      <w:r w:rsidR="00683DDC" w:rsidRPr="00683DDC">
        <w:rPr>
          <w:rFonts w:ascii="Arial" w:hAnsi="Arial" w:cs="Arial"/>
          <w:sz w:val="20"/>
        </w:rPr>
        <w:tab/>
        <w:t xml:space="preserve"> per kWh for all additional kWh</w:t>
      </w:r>
    </w:p>
    <w:p w:rsidR="00683DDC" w:rsidRPr="00683DDC" w:rsidRDefault="00683DDC" w:rsidP="00683DDC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LOW INCOME ENERGY CREDIT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firstLine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 xml:space="preserve">The credit </w:t>
      </w:r>
      <w:r w:rsidR="008926AA">
        <w:rPr>
          <w:rFonts w:ascii="Arial" w:hAnsi="Arial" w:cs="Arial"/>
          <w:sz w:val="20"/>
        </w:rPr>
        <w:t>percentage</w:t>
      </w:r>
      <w:r w:rsidR="008926AA" w:rsidRPr="00683DDC">
        <w:rPr>
          <w:rFonts w:ascii="Arial" w:hAnsi="Arial" w:cs="Arial"/>
          <w:sz w:val="20"/>
        </w:rPr>
        <w:t xml:space="preserve"> </w:t>
      </w:r>
      <w:r w:rsidRPr="00683DDC">
        <w:rPr>
          <w:rFonts w:ascii="Arial" w:hAnsi="Arial" w:cs="Arial"/>
          <w:sz w:val="20"/>
        </w:rPr>
        <w:t>shall be based on the qualification level for which the customer was certified.</w:t>
      </w:r>
      <w:r w:rsidR="008926AA">
        <w:rPr>
          <w:rFonts w:ascii="Arial" w:hAnsi="Arial" w:cs="Arial"/>
          <w:sz w:val="20"/>
        </w:rPr>
        <w:t xml:space="preserve">  The credit percentage will be applied to the Basic Charge, Energy Charge, and applicable Schedule 80 adjustments to calculate the Low Income Energy Credit amount. </w:t>
      </w:r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  <w:u w:val="single"/>
        </w:rPr>
      </w:pPr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 xml:space="preserve">0-75% of Federal Poverty </w:t>
      </w:r>
      <w:proofErr w:type="gramStart"/>
      <w:r w:rsidRPr="00683DDC">
        <w:rPr>
          <w:rFonts w:ascii="Arial" w:hAnsi="Arial" w:cs="Arial"/>
          <w:sz w:val="20"/>
          <w:u w:val="single"/>
        </w:rPr>
        <w:t>Level(</w:t>
      </w:r>
      <w:proofErr w:type="gramEnd"/>
      <w:r w:rsidRPr="00683DDC">
        <w:rPr>
          <w:rFonts w:ascii="Arial" w:hAnsi="Arial" w:cs="Arial"/>
          <w:sz w:val="20"/>
          <w:u w:val="single"/>
        </w:rPr>
        <w:t>FPL)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8926AA" w:rsidP="00683DDC">
      <w:pPr>
        <w:ind w:left="144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 w:rsidR="006E0465">
        <w:rPr>
          <w:rFonts w:ascii="Arial" w:hAnsi="Arial" w:cs="Arial"/>
          <w:sz w:val="20"/>
        </w:rPr>
        <w:t>59.5</w:t>
      </w:r>
      <w:r>
        <w:rPr>
          <w:rFonts w:ascii="Arial" w:hAnsi="Arial" w:cs="Arial"/>
          <w:sz w:val="20"/>
        </w:rPr>
        <w:t>%</w:t>
      </w:r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 xml:space="preserve">76-100% of Federal Poverty </w:t>
      </w:r>
      <w:proofErr w:type="gramStart"/>
      <w:r w:rsidRPr="00683DDC">
        <w:rPr>
          <w:rFonts w:ascii="Arial" w:hAnsi="Arial" w:cs="Arial"/>
          <w:sz w:val="20"/>
          <w:u w:val="single"/>
        </w:rPr>
        <w:t>Level(</w:t>
      </w:r>
      <w:proofErr w:type="gramEnd"/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8926AA" w:rsidP="00683DDC">
      <w:pPr>
        <w:ind w:left="1350" w:hanging="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-38.</w:t>
      </w:r>
      <w:r w:rsidR="006E0465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%</w:t>
      </w:r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101-150% of Federal Poverty Level (</w:t>
      </w:r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8926AA" w:rsidP="00683DDC">
      <w:pPr>
        <w:ind w:left="1440" w:hanging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-24.</w:t>
      </w:r>
      <w:r w:rsidR="006E0465">
        <w:rPr>
          <w:rFonts w:ascii="Arial" w:hAnsi="Arial" w:cs="Arial"/>
          <w:sz w:val="20"/>
        </w:rPr>
        <w:t>9</w:t>
      </w:r>
      <w:bookmarkStart w:id="0" w:name="_GoBack"/>
      <w:bookmarkEnd w:id="0"/>
      <w:r>
        <w:rPr>
          <w:rFonts w:ascii="Arial" w:hAnsi="Arial" w:cs="Arial"/>
          <w:sz w:val="20"/>
        </w:rPr>
        <w:t>%</w:t>
      </w:r>
    </w:p>
    <w:p w:rsidR="00683DDC" w:rsidRPr="00413993" w:rsidRDefault="00683DDC" w:rsidP="00683DDC">
      <w:pPr>
        <w:ind w:left="1440"/>
        <w:jc w:val="both"/>
      </w:pPr>
    </w:p>
    <w:p w:rsidR="00683DDC" w:rsidRPr="00683DDC" w:rsidRDefault="00683DDC" w:rsidP="00683DDC">
      <w:pPr>
        <w:jc w:val="center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MINIMUM CHARGE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sectPr w:rsidR="00683DDC" w:rsidRPr="00683DDC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4D" w:rsidRDefault="00917B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DC" w:rsidRDefault="00E27F44" w:rsidP="00E80DB8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917B4D" w:rsidRDefault="00F52440" w:rsidP="00917B4D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8926AA">
      <w:rPr>
        <w:rFonts w:ascii="Arial" w:hAnsi="Arial" w:cs="Arial"/>
        <w:sz w:val="20"/>
      </w:rPr>
      <w:t>December 13, 2019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 w:rsidR="00143FEE">
      <w:rPr>
        <w:rFonts w:ascii="Arial" w:hAnsi="Arial" w:cs="Arial"/>
        <w:sz w:val="20"/>
      </w:rPr>
      <w:t xml:space="preserve"> </w:t>
    </w:r>
  </w:p>
  <w:p w:rsidR="00917B4D" w:rsidRDefault="00917B4D" w:rsidP="00917B4D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March 1, 2020</w:t>
    </w:r>
  </w:p>
  <w:p w:rsidR="00F52440" w:rsidRDefault="00F52440" w:rsidP="00F52440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</w:p>
  <w:p w:rsidR="00F52440" w:rsidRDefault="0073129A" w:rsidP="00F5244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Advice </w:t>
    </w:r>
    <w:r w:rsidR="00F52440">
      <w:rPr>
        <w:rFonts w:ascii="Arial" w:hAnsi="Arial" w:cs="Arial"/>
        <w:b/>
        <w:sz w:val="20"/>
      </w:rPr>
      <w:t>No.</w:t>
    </w:r>
    <w:r w:rsidR="00F52440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</w:t>
    </w:r>
    <w:r w:rsidR="008926AA">
      <w:rPr>
        <w:rFonts w:ascii="Arial" w:hAnsi="Arial" w:cs="Arial"/>
        <w:sz w:val="20"/>
      </w:rPr>
      <w:t>9</w:t>
    </w:r>
    <w:r>
      <w:rPr>
        <w:rFonts w:ascii="Arial" w:hAnsi="Arial" w:cs="Arial"/>
        <w:sz w:val="20"/>
      </w:rPr>
      <w:t>-0</w:t>
    </w:r>
    <w:r w:rsidR="008926AA">
      <w:rPr>
        <w:rFonts w:ascii="Arial" w:hAnsi="Arial" w:cs="Arial"/>
        <w:sz w:val="20"/>
      </w:rPr>
      <w:t>8</w:t>
    </w:r>
  </w:p>
  <w:p w:rsidR="00B57CA4" w:rsidRDefault="00015E85" w:rsidP="00B57CA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 w:rsidRPr="000554FF">
      <w:rPr>
        <w:noProof/>
        <w:lang w:eastAsia="en-US"/>
      </w:rPr>
      <w:drawing>
        <wp:anchor distT="0" distB="0" distL="114300" distR="114300" simplePos="0" relativeHeight="251676672" behindDoc="1" locked="0" layoutInCell="1" allowOverlap="1" wp14:anchorId="4FD0C453" wp14:editId="17088689">
          <wp:simplePos x="0" y="0"/>
          <wp:positionH relativeFrom="margin">
            <wp:posOffset>161925</wp:posOffset>
          </wp:positionH>
          <wp:positionV relativeFrom="paragraph">
            <wp:posOffset>95250</wp:posOffset>
          </wp:positionV>
          <wp:extent cx="2143125" cy="80940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09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CA4">
      <w:rPr>
        <w:rFonts w:ascii="Arial" w:hAnsi="Arial" w:cs="Arial"/>
        <w:b/>
        <w:sz w:val="20"/>
      </w:rPr>
      <w:t>Issued By Pacific Power &amp; Light Company</w:t>
    </w:r>
  </w:p>
  <w:p w:rsidR="00B57CA4" w:rsidRDefault="00B57CA4" w:rsidP="00B57CA4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</w:p>
  <w:p w:rsidR="000B36F4" w:rsidRDefault="00B57CA4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 w:rsidR="00015E85"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 </w:t>
    </w:r>
    <w:r w:rsidR="00087CF7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4D" w:rsidRDefault="00917B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4D" w:rsidRDefault="00917B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ED" w:rsidRPr="0067469C" w:rsidRDefault="005B48FC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-63500</wp:posOffset>
              </wp:positionV>
              <wp:extent cx="0" cy="1457325"/>
              <wp:effectExtent l="13335" t="12700" r="5715" b="63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01C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62.55pt;margin-top:-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HuGw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5BC35"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Fgc1D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7469C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8926A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Eighth </w:t>
    </w:r>
    <w:r w:rsidR="00F6678A">
      <w:rPr>
        <w:rFonts w:ascii="Arial" w:hAnsi="Arial" w:cs="Arial"/>
        <w:sz w:val="20"/>
      </w:rPr>
      <w:t>Revision of Sheet No. 17.1</w:t>
    </w:r>
  </w:p>
  <w:p w:rsidR="00A91A21" w:rsidRDefault="00F6678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8926AA">
      <w:rPr>
        <w:rFonts w:ascii="Arial" w:hAnsi="Arial" w:cs="Arial"/>
        <w:sz w:val="20"/>
      </w:rPr>
      <w:t xml:space="preserve">Seventh </w:t>
    </w:r>
    <w:r w:rsidR="006D0DD7">
      <w:rPr>
        <w:rFonts w:ascii="Arial" w:hAnsi="Arial" w:cs="Arial"/>
        <w:sz w:val="20"/>
      </w:rPr>
      <w:t xml:space="preserve">Revision of </w:t>
    </w:r>
    <w:r w:rsidR="00683DDC">
      <w:rPr>
        <w:rFonts w:ascii="Arial" w:hAnsi="Arial" w:cs="Arial"/>
        <w:sz w:val="20"/>
      </w:rPr>
      <w:t>Sheet No. 17</w:t>
    </w:r>
    <w:r w:rsidR="00A91A21">
      <w:rPr>
        <w:rFonts w:ascii="Arial" w:hAnsi="Arial" w:cs="Arial"/>
        <w:sz w:val="20"/>
      </w:rPr>
      <w:t>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683DDC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17</w:t>
    </w:r>
  </w:p>
  <w:p w:rsidR="002E41E4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LOW INCOME BILL ASSISTANCE PROGRAM – RESIDENTIAL SERVICE</w:t>
    </w:r>
  </w:p>
  <w:p w:rsidR="00683DDC" w:rsidRPr="00A91A21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OPTIONAL FOR QUALIFYING CUSTOMERS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4D" w:rsidRDefault="00917B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revisionView w:markup="0"/>
  <w:defaultTabStop w:val="720"/>
  <w:characterSpacingControl w:val="doNotCompress"/>
  <w:hdrShapeDefaults>
    <o:shapedefaults v:ext="edit" spidmax="696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F2"/>
    <w:rsid w:val="0001158B"/>
    <w:rsid w:val="00013419"/>
    <w:rsid w:val="00015E85"/>
    <w:rsid w:val="00047CED"/>
    <w:rsid w:val="00056B56"/>
    <w:rsid w:val="00070316"/>
    <w:rsid w:val="00071461"/>
    <w:rsid w:val="00087CF7"/>
    <w:rsid w:val="000A0FF1"/>
    <w:rsid w:val="000B36F4"/>
    <w:rsid w:val="000B58B7"/>
    <w:rsid w:val="000E3B96"/>
    <w:rsid w:val="00100DBD"/>
    <w:rsid w:val="00113567"/>
    <w:rsid w:val="00143FEE"/>
    <w:rsid w:val="001522E7"/>
    <w:rsid w:val="001620F1"/>
    <w:rsid w:val="001D4F15"/>
    <w:rsid w:val="001F19AC"/>
    <w:rsid w:val="00204381"/>
    <w:rsid w:val="002043B8"/>
    <w:rsid w:val="00205735"/>
    <w:rsid w:val="00266E07"/>
    <w:rsid w:val="002823BF"/>
    <w:rsid w:val="00293D4C"/>
    <w:rsid w:val="002972ED"/>
    <w:rsid w:val="002C017A"/>
    <w:rsid w:val="002C1B76"/>
    <w:rsid w:val="002C79BC"/>
    <w:rsid w:val="002E41E4"/>
    <w:rsid w:val="002E6C6E"/>
    <w:rsid w:val="00302E66"/>
    <w:rsid w:val="00341521"/>
    <w:rsid w:val="0034455A"/>
    <w:rsid w:val="003B179D"/>
    <w:rsid w:val="003F4F94"/>
    <w:rsid w:val="003F72C1"/>
    <w:rsid w:val="004043D5"/>
    <w:rsid w:val="00442FCF"/>
    <w:rsid w:val="00445488"/>
    <w:rsid w:val="004A30F3"/>
    <w:rsid w:val="004B1617"/>
    <w:rsid w:val="004C5FE8"/>
    <w:rsid w:val="00522C08"/>
    <w:rsid w:val="00534D32"/>
    <w:rsid w:val="00546A05"/>
    <w:rsid w:val="00555712"/>
    <w:rsid w:val="00564506"/>
    <w:rsid w:val="00577682"/>
    <w:rsid w:val="00580EC3"/>
    <w:rsid w:val="00592EC3"/>
    <w:rsid w:val="005A1156"/>
    <w:rsid w:val="005B07DF"/>
    <w:rsid w:val="005B2262"/>
    <w:rsid w:val="005B48FC"/>
    <w:rsid w:val="005E008E"/>
    <w:rsid w:val="005E29DE"/>
    <w:rsid w:val="005F64B9"/>
    <w:rsid w:val="005F7880"/>
    <w:rsid w:val="006172F4"/>
    <w:rsid w:val="00622840"/>
    <w:rsid w:val="006638F3"/>
    <w:rsid w:val="0067469C"/>
    <w:rsid w:val="00683DDC"/>
    <w:rsid w:val="0068713C"/>
    <w:rsid w:val="006A266F"/>
    <w:rsid w:val="006D0DD7"/>
    <w:rsid w:val="006E0465"/>
    <w:rsid w:val="006E1287"/>
    <w:rsid w:val="00710518"/>
    <w:rsid w:val="00717169"/>
    <w:rsid w:val="0073129A"/>
    <w:rsid w:val="007504BF"/>
    <w:rsid w:val="00773775"/>
    <w:rsid w:val="0077488B"/>
    <w:rsid w:val="007867B4"/>
    <w:rsid w:val="007A1586"/>
    <w:rsid w:val="007E0BC7"/>
    <w:rsid w:val="007E1CAC"/>
    <w:rsid w:val="007F06C3"/>
    <w:rsid w:val="007F6029"/>
    <w:rsid w:val="00813698"/>
    <w:rsid w:val="00823ACF"/>
    <w:rsid w:val="00826847"/>
    <w:rsid w:val="00831CEF"/>
    <w:rsid w:val="008474F2"/>
    <w:rsid w:val="008766A2"/>
    <w:rsid w:val="00876B56"/>
    <w:rsid w:val="00886645"/>
    <w:rsid w:val="008926AA"/>
    <w:rsid w:val="008A77C7"/>
    <w:rsid w:val="008E7364"/>
    <w:rsid w:val="00915745"/>
    <w:rsid w:val="00917B4D"/>
    <w:rsid w:val="00920A5D"/>
    <w:rsid w:val="0093045F"/>
    <w:rsid w:val="00973BCD"/>
    <w:rsid w:val="0097597D"/>
    <w:rsid w:val="009C0BBD"/>
    <w:rsid w:val="009E0C82"/>
    <w:rsid w:val="00A15C35"/>
    <w:rsid w:val="00A261ED"/>
    <w:rsid w:val="00A57263"/>
    <w:rsid w:val="00A870EE"/>
    <w:rsid w:val="00A91A21"/>
    <w:rsid w:val="00AA0B2E"/>
    <w:rsid w:val="00AA6EAF"/>
    <w:rsid w:val="00AC2482"/>
    <w:rsid w:val="00AC2FC5"/>
    <w:rsid w:val="00AC5483"/>
    <w:rsid w:val="00AD4335"/>
    <w:rsid w:val="00AE07BB"/>
    <w:rsid w:val="00AE1E9E"/>
    <w:rsid w:val="00AE7611"/>
    <w:rsid w:val="00AF0EAC"/>
    <w:rsid w:val="00B14270"/>
    <w:rsid w:val="00B20EEB"/>
    <w:rsid w:val="00B43CBE"/>
    <w:rsid w:val="00B54432"/>
    <w:rsid w:val="00B57CA4"/>
    <w:rsid w:val="00B62CA7"/>
    <w:rsid w:val="00B86CD1"/>
    <w:rsid w:val="00BA088F"/>
    <w:rsid w:val="00BE7AEE"/>
    <w:rsid w:val="00C0493E"/>
    <w:rsid w:val="00C210FD"/>
    <w:rsid w:val="00C60F7D"/>
    <w:rsid w:val="00C91131"/>
    <w:rsid w:val="00CB45E3"/>
    <w:rsid w:val="00CD01ED"/>
    <w:rsid w:val="00CE6692"/>
    <w:rsid w:val="00CF1250"/>
    <w:rsid w:val="00CF64E6"/>
    <w:rsid w:val="00D128F9"/>
    <w:rsid w:val="00D313E0"/>
    <w:rsid w:val="00D45A57"/>
    <w:rsid w:val="00D5445E"/>
    <w:rsid w:val="00D60206"/>
    <w:rsid w:val="00D932B5"/>
    <w:rsid w:val="00E27F44"/>
    <w:rsid w:val="00E35BE4"/>
    <w:rsid w:val="00E53EC5"/>
    <w:rsid w:val="00E57223"/>
    <w:rsid w:val="00E80DB8"/>
    <w:rsid w:val="00E84454"/>
    <w:rsid w:val="00E86C83"/>
    <w:rsid w:val="00EA7D2F"/>
    <w:rsid w:val="00F309CC"/>
    <w:rsid w:val="00F30DDC"/>
    <w:rsid w:val="00F3756B"/>
    <w:rsid w:val="00F50525"/>
    <w:rsid w:val="00F52440"/>
    <w:rsid w:val="00F528E2"/>
    <w:rsid w:val="00F61FF9"/>
    <w:rsid w:val="00F6678A"/>
    <w:rsid w:val="00F66F8A"/>
    <w:rsid w:val="00FA1AC8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963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0FE9D05-A1DA-477D-BB18-4455F692A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458102-970E-4676-B721-72A2A2567588}"/>
</file>

<file path=customXml/itemProps3.xml><?xml version="1.0" encoding="utf-8"?>
<ds:datastoreItem xmlns:ds="http://schemas.openxmlformats.org/officeDocument/2006/customXml" ds:itemID="{29B86916-8CC2-4BF8-A7EA-D6930A258279}"/>
</file>

<file path=customXml/itemProps4.xml><?xml version="1.0" encoding="utf-8"?>
<ds:datastoreItem xmlns:ds="http://schemas.openxmlformats.org/officeDocument/2006/customXml" ds:itemID="{7968EB5C-8E33-427F-9DD7-5894B267EB50}"/>
</file>

<file path=customXml/itemProps5.xml><?xml version="1.0" encoding="utf-8"?>
<ds:datastoreItem xmlns:ds="http://schemas.openxmlformats.org/officeDocument/2006/customXml" ds:itemID="{178D5B0C-404A-4C4A-A426-49F0BCFA40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2019-12-07T00:08:00Z</dcterms:created>
  <dcterms:modified xsi:type="dcterms:W3CDTF">2019-12-07T00:08:00Z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