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47" w:rsidRPr="00FE5347" w:rsidRDefault="00C1073A" w:rsidP="00C1073A">
      <w:pPr>
        <w:pStyle w:val="CourtName"/>
        <w:rPr>
          <w:b/>
          <w:caps/>
        </w:rPr>
      </w:pPr>
      <w:bookmarkStart w:id="0" w:name="TitleOfPleading"/>
      <w:bookmarkEnd w:id="0"/>
      <w:r w:rsidRPr="00FE5347">
        <w:rPr>
          <w:b/>
          <w:caps/>
        </w:rPr>
        <w:t xml:space="preserve">BEFORE THE WASHINGTON </w:t>
      </w:r>
      <w:r w:rsidR="0051308D">
        <w:rPr>
          <w:b/>
          <w:caps/>
        </w:rPr>
        <w:t>STATE</w:t>
      </w:r>
    </w:p>
    <w:p w:rsidR="00C1073A" w:rsidRPr="00FE5347" w:rsidRDefault="00C1073A" w:rsidP="00C1073A">
      <w:pPr>
        <w:pStyle w:val="CourtName"/>
        <w:rPr>
          <w:b/>
          <w:caps/>
        </w:rPr>
      </w:pPr>
      <w:r w:rsidRPr="00FE5347">
        <w:rPr>
          <w:b/>
          <w:caps/>
        </w:rPr>
        <w:t>UTILITIES AND TRANSPORTATION COMMISSION</w:t>
      </w:r>
    </w:p>
    <w:p w:rsidR="00C1073A" w:rsidRDefault="00C1073A" w:rsidP="00C1073A">
      <w:pPr>
        <w:jc w:val="center"/>
      </w:pPr>
    </w:p>
    <w:tbl>
      <w:tblPr>
        <w:tblW w:w="0" w:type="auto"/>
        <w:tblInd w:w="54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90"/>
        <w:gridCol w:w="4230"/>
      </w:tblGrid>
      <w:tr w:rsidR="00C1073A">
        <w:tc>
          <w:tcPr>
            <w:tcW w:w="4590" w:type="dxa"/>
            <w:tcBorders>
              <w:bottom w:val="single" w:sz="4" w:space="0" w:color="auto"/>
              <w:right w:val="single" w:sz="6" w:space="0" w:color="auto"/>
            </w:tcBorders>
          </w:tcPr>
          <w:p w:rsidR="006C1845" w:rsidRDefault="006C1845" w:rsidP="006C1845">
            <w:pPr>
              <w:pStyle w:val="Header"/>
            </w:pPr>
            <w:bookmarkStart w:id="1" w:name="Appellant_Name"/>
            <w:bookmarkStart w:id="2" w:name="tag1"/>
            <w:bookmarkStart w:id="3" w:name="Respondent_Name"/>
            <w:bookmarkStart w:id="4" w:name="tag2"/>
            <w:bookmarkStart w:id="5" w:name="Caption"/>
            <w:bookmarkEnd w:id="1"/>
            <w:bookmarkEnd w:id="2"/>
            <w:bookmarkEnd w:id="3"/>
            <w:bookmarkEnd w:id="4"/>
          </w:p>
          <w:p w:rsidR="006C1845" w:rsidRPr="006C1845" w:rsidRDefault="006C1845" w:rsidP="006C1845">
            <w:pPr>
              <w:pStyle w:val="Header"/>
              <w:ind w:left="-360"/>
            </w:pPr>
            <w:r w:rsidRPr="006C1845">
              <w:t>WASHINGTON UTILITIES AND TRANSPORTATION COMMISSION,</w:t>
            </w:r>
          </w:p>
          <w:p w:rsidR="006C1845" w:rsidRPr="006C1845" w:rsidRDefault="006C1845" w:rsidP="006C1845">
            <w:pPr>
              <w:pStyle w:val="Header"/>
            </w:pPr>
          </w:p>
          <w:p w:rsidR="006C1845" w:rsidRPr="006C1845" w:rsidRDefault="006C1845" w:rsidP="006C1845">
            <w:pPr>
              <w:pStyle w:val="Header"/>
            </w:pPr>
            <w:r w:rsidRPr="006C1845">
              <w:t xml:space="preserve">                           Complainant,</w:t>
            </w:r>
          </w:p>
          <w:p w:rsidR="006C1845" w:rsidRPr="006C1845" w:rsidRDefault="006C1845" w:rsidP="006C1845">
            <w:pPr>
              <w:pStyle w:val="Header"/>
            </w:pPr>
          </w:p>
          <w:p w:rsidR="006C1845" w:rsidRPr="006C1845" w:rsidRDefault="006C1845" w:rsidP="006C1845">
            <w:pPr>
              <w:pStyle w:val="Header"/>
              <w:ind w:left="-360"/>
            </w:pPr>
            <w:r w:rsidRPr="006C1845">
              <w:t>v.</w:t>
            </w:r>
          </w:p>
          <w:p w:rsidR="006C1845" w:rsidRPr="006C1845" w:rsidRDefault="006C1845" w:rsidP="006C1845">
            <w:pPr>
              <w:pStyle w:val="Header"/>
            </w:pPr>
          </w:p>
          <w:p w:rsidR="006C1845" w:rsidRPr="006C1845" w:rsidRDefault="006C1845" w:rsidP="006C1845">
            <w:pPr>
              <w:pStyle w:val="Header"/>
              <w:ind w:left="-360"/>
            </w:pPr>
            <w:r w:rsidRPr="006C1845">
              <w:t>PUGET SOUND ENERGY,</w:t>
            </w:r>
          </w:p>
          <w:p w:rsidR="006C1845" w:rsidRPr="006C1845" w:rsidRDefault="006C1845" w:rsidP="006C1845">
            <w:pPr>
              <w:pStyle w:val="Header"/>
              <w:rPr>
                <w:b/>
                <w:bCs/>
              </w:rPr>
            </w:pPr>
          </w:p>
          <w:p w:rsidR="006C1845" w:rsidRPr="006C1845" w:rsidRDefault="006C1845" w:rsidP="006C1845">
            <w:pPr>
              <w:pStyle w:val="Header"/>
            </w:pPr>
            <w:r w:rsidRPr="006C1845">
              <w:t xml:space="preserve">                           Respondent.</w:t>
            </w:r>
          </w:p>
          <w:p w:rsidR="00C1073A" w:rsidRDefault="00C1073A" w:rsidP="00954A47">
            <w:pPr>
              <w:tabs>
                <w:tab w:val="left" w:pos="2520"/>
              </w:tabs>
              <w:ind w:left="-360"/>
            </w:pPr>
          </w:p>
        </w:tc>
        <w:tc>
          <w:tcPr>
            <w:tcW w:w="4230" w:type="dxa"/>
            <w:tcBorders>
              <w:left w:val="nil"/>
            </w:tcBorders>
          </w:tcPr>
          <w:p w:rsidR="00C1073A" w:rsidRDefault="00C1073A" w:rsidP="00954A47"/>
          <w:p w:rsidR="00C1073A" w:rsidRDefault="0062170E" w:rsidP="00954A47">
            <w:bookmarkStart w:id="6" w:name="Court_Doc_Number"/>
            <w:bookmarkEnd w:id="6"/>
            <w:r>
              <w:t>DOCKETS UE-121697 and UG</w:t>
            </w:r>
            <w:r>
              <w:noBreakHyphen/>
            </w:r>
            <w:r w:rsidR="006C1845">
              <w:t>121705 (</w:t>
            </w:r>
            <w:r w:rsidR="006C1845">
              <w:rPr>
                <w:i/>
              </w:rPr>
              <w:t>consolidated</w:t>
            </w:r>
            <w:r w:rsidR="006C1845">
              <w:t>)</w:t>
            </w:r>
          </w:p>
          <w:p w:rsidR="006C1845" w:rsidRDefault="006C1845" w:rsidP="00954A47"/>
          <w:p w:rsidR="006C1845" w:rsidRDefault="006C1845" w:rsidP="00954A47"/>
          <w:p w:rsidR="006C1845" w:rsidRDefault="006C1845" w:rsidP="00954A47"/>
          <w:p w:rsidR="006C1845" w:rsidRPr="006C1845" w:rsidRDefault="006C1845" w:rsidP="00954A47"/>
          <w:p w:rsidR="00C1073A" w:rsidRDefault="00C1073A" w:rsidP="00954A47"/>
          <w:p w:rsidR="00C1073A" w:rsidRDefault="00C1073A" w:rsidP="00954A47"/>
          <w:p w:rsidR="00C1073A" w:rsidRDefault="00C1073A" w:rsidP="00954A47"/>
          <w:p w:rsidR="00C1073A" w:rsidRDefault="00C1073A" w:rsidP="00954A47"/>
        </w:tc>
      </w:tr>
      <w:tr w:rsidR="006C1845">
        <w:tc>
          <w:tcPr>
            <w:tcW w:w="4590" w:type="dxa"/>
            <w:tcBorders>
              <w:top w:val="single" w:sz="4" w:space="0" w:color="auto"/>
              <w:bottom w:val="single" w:sz="6" w:space="0" w:color="auto"/>
              <w:right w:val="single" w:sz="6" w:space="0" w:color="auto"/>
            </w:tcBorders>
          </w:tcPr>
          <w:p w:rsidR="006C1845" w:rsidRDefault="006C1845" w:rsidP="006C1845">
            <w:pPr>
              <w:pStyle w:val="Header"/>
              <w:ind w:left="-360"/>
            </w:pPr>
          </w:p>
          <w:p w:rsidR="006C1845" w:rsidRPr="006C1845" w:rsidRDefault="006C1845" w:rsidP="006C1845">
            <w:pPr>
              <w:pStyle w:val="Header"/>
              <w:ind w:left="-360"/>
            </w:pPr>
            <w:r w:rsidRPr="006C1845">
              <w:t>WASHINGTON UTILITIES AND TRANSPORTATION COMMISSION,</w:t>
            </w:r>
          </w:p>
          <w:p w:rsidR="006C1845" w:rsidRPr="006C1845" w:rsidRDefault="006C1845" w:rsidP="006C1845">
            <w:pPr>
              <w:pStyle w:val="Header"/>
            </w:pPr>
          </w:p>
          <w:p w:rsidR="006C1845" w:rsidRPr="006C1845" w:rsidRDefault="006C1845" w:rsidP="006C1845">
            <w:pPr>
              <w:pStyle w:val="Header"/>
            </w:pPr>
            <w:r w:rsidRPr="006C1845">
              <w:t xml:space="preserve">                           Complainant,</w:t>
            </w:r>
          </w:p>
          <w:p w:rsidR="006C1845" w:rsidRPr="006C1845" w:rsidRDefault="006C1845" w:rsidP="006C1845">
            <w:pPr>
              <w:pStyle w:val="Header"/>
            </w:pPr>
          </w:p>
          <w:p w:rsidR="006C1845" w:rsidRPr="006C1845" w:rsidRDefault="006C1845" w:rsidP="006C1845">
            <w:pPr>
              <w:pStyle w:val="Header"/>
              <w:ind w:left="-360"/>
            </w:pPr>
            <w:r w:rsidRPr="006C1845">
              <w:t>v.</w:t>
            </w:r>
          </w:p>
          <w:p w:rsidR="006C1845" w:rsidRPr="006C1845" w:rsidRDefault="006C1845" w:rsidP="006C1845">
            <w:pPr>
              <w:pStyle w:val="Header"/>
              <w:ind w:left="-360"/>
            </w:pPr>
          </w:p>
          <w:p w:rsidR="006C1845" w:rsidRPr="006C1845" w:rsidRDefault="006C1845" w:rsidP="006C1845">
            <w:pPr>
              <w:pStyle w:val="Header"/>
              <w:ind w:left="-360"/>
            </w:pPr>
            <w:r w:rsidRPr="006C1845">
              <w:t>PUGET SOUND ENERGY,</w:t>
            </w:r>
          </w:p>
          <w:p w:rsidR="006C1845" w:rsidRPr="006C1845" w:rsidRDefault="006C1845" w:rsidP="006C1845">
            <w:pPr>
              <w:pStyle w:val="Header"/>
            </w:pPr>
          </w:p>
          <w:p w:rsidR="006C1845" w:rsidRPr="006C1845" w:rsidRDefault="006C1845" w:rsidP="006C1845">
            <w:pPr>
              <w:pStyle w:val="Header"/>
            </w:pPr>
            <w:r w:rsidRPr="006C1845">
              <w:t xml:space="preserve">                           Respondent.</w:t>
            </w:r>
          </w:p>
          <w:p w:rsidR="006C1845" w:rsidRPr="006C1845" w:rsidRDefault="006C1845" w:rsidP="006C1845">
            <w:pPr>
              <w:pStyle w:val="Header"/>
            </w:pPr>
          </w:p>
        </w:tc>
        <w:tc>
          <w:tcPr>
            <w:tcW w:w="4230" w:type="dxa"/>
            <w:tcBorders>
              <w:left w:val="nil"/>
              <w:bottom w:val="nil"/>
            </w:tcBorders>
          </w:tcPr>
          <w:p w:rsidR="006C1845" w:rsidRDefault="006C1845" w:rsidP="006C1845">
            <w:pPr>
              <w:pStyle w:val="Header"/>
            </w:pPr>
          </w:p>
          <w:p w:rsidR="006C1845" w:rsidRPr="006C1845" w:rsidRDefault="006C1845" w:rsidP="006C1845">
            <w:pPr>
              <w:pStyle w:val="Header"/>
            </w:pPr>
            <w:r w:rsidRPr="006C1845">
              <w:t>DOCKETS UE-130137</w:t>
            </w:r>
            <w:r w:rsidR="0062170E">
              <w:t xml:space="preserve"> and UG</w:t>
            </w:r>
            <w:r w:rsidR="0062170E">
              <w:noBreakHyphen/>
            </w:r>
            <w:r w:rsidRPr="006C1845">
              <w:t>130138 (</w:t>
            </w:r>
            <w:r w:rsidRPr="006C1845">
              <w:rPr>
                <w:i/>
              </w:rPr>
              <w:t>consolidated</w:t>
            </w:r>
            <w:r w:rsidRPr="006C1845">
              <w:t>)</w:t>
            </w:r>
          </w:p>
          <w:p w:rsidR="006C1845" w:rsidRPr="006C1845" w:rsidRDefault="006C1845" w:rsidP="00954A47"/>
        </w:tc>
      </w:tr>
      <w:bookmarkEnd w:id="5"/>
    </w:tbl>
    <w:p w:rsidR="00C1073A" w:rsidRDefault="00C1073A" w:rsidP="00C1073A">
      <w:pPr>
        <w:pStyle w:val="CourtName"/>
        <w:spacing w:line="480" w:lineRule="exact"/>
        <w:ind w:firstLine="720"/>
        <w:jc w:val="left"/>
      </w:pPr>
    </w:p>
    <w:p w:rsidR="00C1073A" w:rsidRDefault="00C1073A" w:rsidP="00C1073A">
      <w:pPr>
        <w:pStyle w:val="CourtName"/>
        <w:spacing w:line="480" w:lineRule="exact"/>
        <w:ind w:firstLine="720"/>
        <w:rPr>
          <w:b/>
        </w:rPr>
      </w:pPr>
    </w:p>
    <w:p w:rsidR="006C2064" w:rsidRDefault="006C2064" w:rsidP="00C1073A">
      <w:pPr>
        <w:pStyle w:val="CourtName"/>
        <w:spacing w:line="480" w:lineRule="exact"/>
        <w:ind w:firstLine="720"/>
        <w:rPr>
          <w:b/>
        </w:rPr>
      </w:pPr>
    </w:p>
    <w:p w:rsidR="00C1073A" w:rsidRDefault="00A30A76" w:rsidP="0062170E">
      <w:pPr>
        <w:pStyle w:val="CourtName"/>
        <w:spacing w:line="480" w:lineRule="exact"/>
        <w:rPr>
          <w:b/>
        </w:rPr>
      </w:pPr>
      <w:r>
        <w:rPr>
          <w:b/>
        </w:rPr>
        <w:t xml:space="preserve">INITIAL </w:t>
      </w:r>
      <w:r w:rsidR="00C1073A">
        <w:rPr>
          <w:b/>
        </w:rPr>
        <w:t>BRIEF OF PUBLIC COUNSEL</w:t>
      </w:r>
    </w:p>
    <w:p w:rsidR="00C1073A" w:rsidRDefault="00C1073A" w:rsidP="00C1073A">
      <w:pPr>
        <w:pStyle w:val="CourtName"/>
        <w:spacing w:line="480" w:lineRule="exact"/>
        <w:ind w:firstLine="720"/>
        <w:rPr>
          <w:b/>
        </w:rPr>
      </w:pPr>
    </w:p>
    <w:p w:rsidR="00C1073A" w:rsidRDefault="00C1073A" w:rsidP="00C1073A">
      <w:pPr>
        <w:pStyle w:val="CourtName"/>
        <w:spacing w:line="480" w:lineRule="exact"/>
        <w:ind w:firstLine="720"/>
        <w:rPr>
          <w:b/>
        </w:rPr>
      </w:pPr>
    </w:p>
    <w:p w:rsidR="00C1073A" w:rsidRDefault="00F908E6" w:rsidP="005A77E9">
      <w:pPr>
        <w:pStyle w:val="CourtName"/>
        <w:spacing w:line="480" w:lineRule="exact"/>
        <w:sectPr w:rsidR="00C1073A">
          <w:headerReference w:type="default" r:id="rId9"/>
          <w:footerReference w:type="default" r:id="rId10"/>
          <w:pgSz w:w="12240" w:h="15840" w:code="1"/>
          <w:pgMar w:top="1440" w:right="1440" w:bottom="1440" w:left="1440" w:header="720" w:footer="720" w:gutter="0"/>
          <w:cols w:space="720"/>
          <w:titlePg/>
        </w:sectPr>
      </w:pPr>
      <w:r>
        <w:t>March 6, 201</w:t>
      </w:r>
      <w:r w:rsidR="001B1F2E">
        <w:t>5</w:t>
      </w:r>
    </w:p>
    <w:p w:rsidR="00BE528C" w:rsidRDefault="00BE528C" w:rsidP="00B901E3">
      <w:pPr>
        <w:pStyle w:val="Heading1"/>
        <w:spacing w:before="0"/>
      </w:pPr>
      <w:bookmarkStart w:id="7" w:name="_Toc413395558"/>
      <w:r>
        <w:lastRenderedPageBreak/>
        <w:t>introduction</w:t>
      </w:r>
      <w:bookmarkEnd w:id="7"/>
    </w:p>
    <w:p w:rsidR="006A1A7D" w:rsidRDefault="006A1A7D" w:rsidP="006A1A7D"/>
    <w:p w:rsidR="005A77E9" w:rsidRDefault="005A77E9" w:rsidP="005A77E9">
      <w:pPr>
        <w:pStyle w:val="ParNumber"/>
        <w:ind w:left="0" w:hanging="720"/>
      </w:pPr>
      <w:r>
        <w:tab/>
      </w:r>
      <w:r w:rsidR="006A1A7D">
        <w:t xml:space="preserve">This case addresses an </w:t>
      </w:r>
      <w:r w:rsidR="00AC6173">
        <w:t xml:space="preserve">important </w:t>
      </w:r>
      <w:r w:rsidR="006A1A7D">
        <w:t>unresolved issue from the Commission’s approval in 2013 of a multi-year Rate Plan for Puget Sound Energy, Inc. (PSE).  That issue</w:t>
      </w:r>
      <w:r w:rsidR="00A46136">
        <w:t xml:space="preserve"> is the</w:t>
      </w:r>
      <w:r w:rsidR="003904BF">
        <w:t xml:space="preserve"> establish</w:t>
      </w:r>
      <w:r w:rsidR="00A46136">
        <w:t>ment</w:t>
      </w:r>
      <w:r w:rsidR="003904BF">
        <w:t xml:space="preserve"> </w:t>
      </w:r>
      <w:r w:rsidR="00A46136">
        <w:t xml:space="preserve">of </w:t>
      </w:r>
      <w:r w:rsidR="003904BF">
        <w:t>fair, just, reasonable, and sufficient rates to b</w:t>
      </w:r>
      <w:r w:rsidR="00A46136">
        <w:t>e charged under the plan.</w:t>
      </w:r>
      <w:r w:rsidR="003904BF">
        <w:t xml:space="preserve">  This proceeding focuses on the key component necessary to set fair rates </w:t>
      </w:r>
      <w:r w:rsidR="00AC6173">
        <w:t>which was not decided in the initial phase of the case</w:t>
      </w:r>
      <w:r w:rsidR="00227912">
        <w:t xml:space="preserve"> --</w:t>
      </w:r>
      <w:r w:rsidR="003904BF">
        <w:t xml:space="preserve"> </w:t>
      </w:r>
      <w:r w:rsidR="006A1A7D">
        <w:t xml:space="preserve">the determination </w:t>
      </w:r>
      <w:r w:rsidR="003904BF">
        <w:t xml:space="preserve">of </w:t>
      </w:r>
      <w:r w:rsidR="001D5038">
        <w:t xml:space="preserve">PSE’s </w:t>
      </w:r>
      <w:r w:rsidR="006A1A7D">
        <w:t>return on</w:t>
      </w:r>
      <w:r w:rsidR="003904BF">
        <w:t xml:space="preserve"> equity (ROE), as o</w:t>
      </w:r>
      <w:r w:rsidR="00A46136">
        <w:t>f early 2013</w:t>
      </w:r>
      <w:r w:rsidR="006A1A7D">
        <w:t>.</w:t>
      </w:r>
      <w:r w:rsidR="006A1A7D">
        <w:rPr>
          <w:rStyle w:val="FootnoteReference"/>
        </w:rPr>
        <w:footnoteReference w:id="1"/>
      </w:r>
      <w:r w:rsidR="003904BF">
        <w:t xml:space="preserve">   </w:t>
      </w:r>
    </w:p>
    <w:p w:rsidR="005A77E9" w:rsidRDefault="005A77E9" w:rsidP="005A77E9">
      <w:pPr>
        <w:pStyle w:val="ParNumber"/>
        <w:ind w:left="0" w:hanging="720"/>
      </w:pPr>
      <w:r>
        <w:tab/>
      </w:r>
      <w:r w:rsidR="00AC6173">
        <w:t xml:space="preserve">In this Remand proceeding, the Commission directed the parties to submit </w:t>
      </w:r>
      <w:r w:rsidR="00F82162">
        <w:t xml:space="preserve">fully developed analyses </w:t>
      </w:r>
      <w:r w:rsidR="00AC6173">
        <w:t xml:space="preserve">on the issue of return on equity </w:t>
      </w:r>
      <w:r w:rsidR="00F82162">
        <w:t xml:space="preserve">consistent with the evidence that would </w:t>
      </w:r>
      <w:r w:rsidR="001917B4">
        <w:t xml:space="preserve">have </w:t>
      </w:r>
      <w:r w:rsidR="00F82162">
        <w:t>be</w:t>
      </w:r>
      <w:r w:rsidR="001917B4">
        <w:t>en</w:t>
      </w:r>
      <w:r w:rsidR="00F82162">
        <w:t xml:space="preserve"> submitted in a contested general rate proceeding</w:t>
      </w:r>
      <w:r w:rsidR="00A46136">
        <w:t xml:space="preserve"> held i</w:t>
      </w:r>
      <w:r w:rsidR="001917B4">
        <w:t>n early 2013</w:t>
      </w:r>
      <w:r w:rsidR="00F82162">
        <w:t>.</w:t>
      </w:r>
      <w:r w:rsidR="00F82162">
        <w:rPr>
          <w:rStyle w:val="FootnoteReference"/>
        </w:rPr>
        <w:footnoteReference w:id="2"/>
      </w:r>
      <w:r w:rsidR="00F82162">
        <w:t xml:space="preserve">  In accordance w</w:t>
      </w:r>
      <w:r w:rsidR="00227912">
        <w:t>ith the Commission’s directive,</w:t>
      </w:r>
      <w:r w:rsidR="00F82162">
        <w:t xml:space="preserve"> Public Counsel has </w:t>
      </w:r>
      <w:r w:rsidR="001917B4">
        <w:t xml:space="preserve">submitted a full return on equity analysis developed by </w:t>
      </w:r>
      <w:r w:rsidR="00A46136">
        <w:t>cost of capital analyst Stephen</w:t>
      </w:r>
      <w:r w:rsidR="00227912">
        <w:t xml:space="preserve"> </w:t>
      </w:r>
      <w:r w:rsidR="001917B4">
        <w:t>Hill</w:t>
      </w:r>
      <w:r w:rsidR="00DB3C96">
        <w:t>.</w:t>
      </w:r>
      <w:r w:rsidR="002902C7">
        <w:t xml:space="preserve"> </w:t>
      </w:r>
    </w:p>
    <w:p w:rsidR="005A77E9" w:rsidRDefault="005A77E9" w:rsidP="005A77E9">
      <w:pPr>
        <w:pStyle w:val="ParNumber"/>
        <w:ind w:left="0" w:hanging="720"/>
      </w:pPr>
      <w:r>
        <w:tab/>
      </w:r>
      <w:r w:rsidR="002902C7">
        <w:t>Mr. Hill’s analysis concludes that, based on a range</w:t>
      </w:r>
      <w:r w:rsidR="00227912">
        <w:t xml:space="preserve"> of 8.5 to 9.5</w:t>
      </w:r>
      <w:r w:rsidR="00E84DD5">
        <w:t>%,</w:t>
      </w:r>
      <w:r w:rsidR="002902C7">
        <w:t xml:space="preserve"> a recommende</w:t>
      </w:r>
      <w:r w:rsidR="00227912">
        <w:t>d cost of equity for PSE is 9.0%</w:t>
      </w:r>
      <w:r w:rsidR="00DB3C96">
        <w:t xml:space="preserve">, consistent with the declining trend in capital costs. </w:t>
      </w:r>
      <w:r w:rsidR="00C6592D">
        <w:t xml:space="preserve"> </w:t>
      </w:r>
      <w:r w:rsidR="00A46136">
        <w:t>The recommendations of both</w:t>
      </w:r>
      <w:r w:rsidR="00ED702C">
        <w:t xml:space="preserve"> </w:t>
      </w:r>
      <w:r w:rsidR="00A46136">
        <w:t>Michael</w:t>
      </w:r>
      <w:r w:rsidR="00227912">
        <w:t xml:space="preserve"> </w:t>
      </w:r>
      <w:r w:rsidR="00ED702C">
        <w:t>Gorman for I</w:t>
      </w:r>
      <w:r w:rsidR="00227912">
        <w:t>ndustrial Customers of NW Utilities (ICNU)</w:t>
      </w:r>
      <w:r w:rsidR="00ED702C">
        <w:t xml:space="preserve"> </w:t>
      </w:r>
      <w:r w:rsidR="007B4BC3">
        <w:t xml:space="preserve">(9.3 %) </w:t>
      </w:r>
      <w:r w:rsidR="00A46136">
        <w:t>and</w:t>
      </w:r>
      <w:r w:rsidR="00ED702C">
        <w:t xml:space="preserve"> </w:t>
      </w:r>
      <w:r w:rsidR="00A46136">
        <w:t>David</w:t>
      </w:r>
      <w:r w:rsidR="00227912">
        <w:t xml:space="preserve"> Parcell for Commission Staff</w:t>
      </w:r>
      <w:r w:rsidR="00E6242D">
        <w:t xml:space="preserve"> (Staff)</w:t>
      </w:r>
      <w:r w:rsidR="00DB3C96">
        <w:t xml:space="preserve"> </w:t>
      </w:r>
      <w:r w:rsidR="007B4BC3">
        <w:t>(9.5</w:t>
      </w:r>
      <w:r w:rsidR="00227912">
        <w:t xml:space="preserve">%) also reflect this decline.  </w:t>
      </w:r>
      <w:r w:rsidR="007B4BC3">
        <w:t>This evidence clearly establishes that the currently authorized ROE is excessive.</w:t>
      </w:r>
    </w:p>
    <w:p w:rsidR="005A77E9" w:rsidRPr="005A77E9" w:rsidRDefault="005A77E9" w:rsidP="005A77E9">
      <w:pPr>
        <w:pStyle w:val="ParNumber"/>
        <w:ind w:left="0" w:hanging="720"/>
      </w:pPr>
      <w:r>
        <w:tab/>
      </w:r>
      <w:r w:rsidR="007B4BC3">
        <w:t>In addition, b</w:t>
      </w:r>
      <w:r w:rsidR="00DB3C96">
        <w:t>ecause all relevant factors that bear on PS</w:t>
      </w:r>
      <w:r w:rsidR="00227912">
        <w:t>E’s ROE must be considered, Mr. </w:t>
      </w:r>
      <w:r w:rsidR="00DB3C96">
        <w:t>Hill evaluate</w:t>
      </w:r>
      <w:r w:rsidR="007B4BC3">
        <w:t xml:space="preserve">d </w:t>
      </w:r>
      <w:r w:rsidR="00DB3C96">
        <w:t>the impact of PSE’s newly a</w:t>
      </w:r>
      <w:r w:rsidR="00227912">
        <w:t xml:space="preserve">pproved decoupling mechanism.  </w:t>
      </w:r>
      <w:r w:rsidR="00DB3C96">
        <w:t>Based on two analyses</w:t>
      </w:r>
      <w:r w:rsidR="007B4BC3">
        <w:t xml:space="preserve">: </w:t>
      </w:r>
      <w:r w:rsidR="00227912">
        <w:t xml:space="preserve"> </w:t>
      </w:r>
      <w:r w:rsidR="007B4BC3">
        <w:t xml:space="preserve">a revenue volatility </w:t>
      </w:r>
      <w:r w:rsidR="00C60389">
        <w:t>analysis</w:t>
      </w:r>
      <w:r w:rsidR="007B4BC3">
        <w:t xml:space="preserve">, and </w:t>
      </w:r>
      <w:r w:rsidR="00DB3C96">
        <w:t xml:space="preserve">a review of the Brattle Group results with the </w:t>
      </w:r>
      <w:r w:rsidR="00A46136">
        <w:lastRenderedPageBreak/>
        <w:t>assistance of Dr. Christopher</w:t>
      </w:r>
      <w:r w:rsidR="00227912">
        <w:t xml:space="preserve"> </w:t>
      </w:r>
      <w:r w:rsidR="00DB3C96">
        <w:t>Adolph, Mr. Hill recommends a downwar</w:t>
      </w:r>
      <w:r w:rsidR="00A46136">
        <w:t>d adjustment of 35 basis points</w:t>
      </w:r>
      <w:r w:rsidR="00DB3C96">
        <w:t xml:space="preserve"> to reflect the red</w:t>
      </w:r>
      <w:r w:rsidR="00227912">
        <w:t>uced risk under decoupling.  In combination,</w:t>
      </w:r>
      <w:r w:rsidR="00DB3C96">
        <w:t xml:space="preserve"> the analyses of market-based ROE and the impact of decoupling result in a recommended cost of equity for PSE of 8.65%</w:t>
      </w:r>
      <w:r>
        <w:rPr>
          <w:i/>
        </w:rPr>
        <w:t>.</w:t>
      </w:r>
    </w:p>
    <w:p w:rsidR="005A77E9" w:rsidRDefault="005A77E9" w:rsidP="005A77E9">
      <w:pPr>
        <w:pStyle w:val="ParNumber"/>
        <w:ind w:left="0" w:hanging="720"/>
      </w:pPr>
      <w:r>
        <w:rPr>
          <w:i/>
        </w:rPr>
        <w:tab/>
      </w:r>
      <w:r w:rsidR="00E6242D">
        <w:t xml:space="preserve">Neither PSE nor </w:t>
      </w:r>
      <w:r w:rsidR="00C87681">
        <w:t>Staff in this Remand case have approached the case in a manner consistent with the Commission’s directives, or with the Court’s o</w:t>
      </w:r>
      <w:r w:rsidR="00227912">
        <w:t>rder.</w:t>
      </w:r>
      <w:r w:rsidR="00B66B36">
        <w:t xml:space="preserve">  </w:t>
      </w:r>
      <w:r w:rsidR="0097071D">
        <w:t xml:space="preserve">PSE continues its efforts, similar to the initial phase of the case, to shift the burden to other parties to rebut the presumption that </w:t>
      </w:r>
      <w:r w:rsidR="00EA02F8">
        <w:t xml:space="preserve">its </w:t>
      </w:r>
      <w:r w:rsidR="0097071D">
        <w:t>legacy ROE is still reasonable</w:t>
      </w:r>
      <w:r w:rsidR="00EA02F8">
        <w:t>,</w:t>
      </w:r>
      <w:r w:rsidR="0097071D">
        <w:t xml:space="preserve"> </w:t>
      </w:r>
      <w:r w:rsidR="00471B15">
        <w:t xml:space="preserve">failing to present a specific ROE recommendation, and </w:t>
      </w:r>
      <w:r w:rsidR="00EA02F8">
        <w:t xml:space="preserve">framing </w:t>
      </w:r>
      <w:r w:rsidR="007B4BC3">
        <w:t>the issue on Remand as whether it</w:t>
      </w:r>
      <w:r w:rsidR="00227912">
        <w:t>s prior ROE of 9.8</w:t>
      </w:r>
      <w:r w:rsidR="007B4BC3">
        <w:t xml:space="preserve">% </w:t>
      </w:r>
      <w:r w:rsidR="00A46136">
        <w:t>“remains within the range</w:t>
      </w:r>
      <w:r w:rsidR="008366F0">
        <w:t xml:space="preserve"> of reasonableness.</w:t>
      </w:r>
      <w:r w:rsidR="00B66B36">
        <w:t>”</w:t>
      </w:r>
      <w:r w:rsidR="00B66B36">
        <w:rPr>
          <w:rStyle w:val="FootnoteReference"/>
        </w:rPr>
        <w:footnoteReference w:id="3"/>
      </w:r>
      <w:r w:rsidR="008366F0">
        <w:t xml:space="preserve">  </w:t>
      </w:r>
      <w:r w:rsidR="0097071D">
        <w:t xml:space="preserve"> </w:t>
      </w:r>
    </w:p>
    <w:p w:rsidR="005A77E9" w:rsidRDefault="005A77E9" w:rsidP="005A77E9">
      <w:pPr>
        <w:pStyle w:val="ParNumber"/>
        <w:ind w:left="0" w:hanging="720"/>
      </w:pPr>
      <w:r>
        <w:tab/>
      </w:r>
      <w:r w:rsidR="00EA02F8">
        <w:t>R</w:t>
      </w:r>
      <w:r w:rsidR="00013778">
        <w:t xml:space="preserve">ather than present “fully developed” cases </w:t>
      </w:r>
      <w:r w:rsidR="00EA02F8">
        <w:t xml:space="preserve">of the type presented in a general rate case as the Commission directed, </w:t>
      </w:r>
      <w:r w:rsidR="00FD5A3E">
        <w:t xml:space="preserve">PSE and Staff </w:t>
      </w:r>
      <w:r w:rsidR="00013778">
        <w:t xml:space="preserve">have chosen instead to present </w:t>
      </w:r>
      <w:r w:rsidR="00B66B36">
        <w:t xml:space="preserve">artificially narrow expert analyses </w:t>
      </w:r>
      <w:r w:rsidR="00013778">
        <w:t xml:space="preserve">which do not address </w:t>
      </w:r>
      <w:r w:rsidR="00EA02F8">
        <w:t xml:space="preserve">the impact </w:t>
      </w:r>
      <w:r w:rsidR="00471B15">
        <w:t xml:space="preserve">of </w:t>
      </w:r>
      <w:r w:rsidR="00013778">
        <w:t xml:space="preserve">PSE’s </w:t>
      </w:r>
      <w:r w:rsidR="00EA02F8">
        <w:t xml:space="preserve">major </w:t>
      </w:r>
      <w:r w:rsidR="00013778">
        <w:t>risk reduction mechanism – full “true up” decoupling</w:t>
      </w:r>
      <w:r w:rsidR="00EA02F8">
        <w:t xml:space="preserve"> in the context of the Rate Plan</w:t>
      </w:r>
      <w:r w:rsidR="00E6242D">
        <w:t xml:space="preserve">.  </w:t>
      </w:r>
      <w:r w:rsidR="00471B15">
        <w:t xml:space="preserve">This </w:t>
      </w:r>
      <w:r w:rsidR="00E6242D">
        <w:t xml:space="preserve">is </w:t>
      </w:r>
      <w:r w:rsidR="00471B15">
        <w:t xml:space="preserve">particularly notable given that both the PSE and Staff experts are on record as agreeing that decoupling should be specifically recognized in an adjustment to cost of capital to reflect reduced risk.  </w:t>
      </w:r>
    </w:p>
    <w:p w:rsidR="005A77E9" w:rsidRDefault="005A77E9" w:rsidP="005A77E9">
      <w:pPr>
        <w:pStyle w:val="ParNumber"/>
        <w:ind w:left="0" w:hanging="720"/>
      </w:pPr>
      <w:r>
        <w:tab/>
      </w:r>
      <w:r w:rsidR="00C735FF">
        <w:t xml:space="preserve">In this Remand proceeding, the Commission has the opportunity to </w:t>
      </w:r>
      <w:r w:rsidR="00ED702C">
        <w:t xml:space="preserve">determine, on a clean slate and with sufficient evidence in the record, an appropriate ROE for PSE as of the inception of its Rate Plan.  The substantial weight of the evidence presented by the parties leads to the conclusion that PSE’s rate of return on equity </w:t>
      </w:r>
      <w:r w:rsidR="00E6242D">
        <w:t xml:space="preserve">in </w:t>
      </w:r>
      <w:r w:rsidR="00A46136">
        <w:t>early 2013 had</w:t>
      </w:r>
      <w:r w:rsidR="00ED702C">
        <w:t xml:space="preserve"> declined significantly since the </w:t>
      </w:r>
      <w:r w:rsidR="00AB68E6">
        <w:lastRenderedPageBreak/>
        <w:t>2011 General Rate Case</w:t>
      </w:r>
      <w:r w:rsidR="00A46136">
        <w:t xml:space="preserve"> when it was set</w:t>
      </w:r>
      <w:r w:rsidR="00AB68E6">
        <w:t xml:space="preserve">.  </w:t>
      </w:r>
      <w:r w:rsidR="00ED702C">
        <w:t xml:space="preserve">The ROE which was built into the </w:t>
      </w:r>
      <w:r w:rsidR="00927682">
        <w:t xml:space="preserve">initially approved </w:t>
      </w:r>
      <w:r w:rsidR="00ED702C">
        <w:t xml:space="preserve">Rate Plan is </w:t>
      </w:r>
      <w:r w:rsidR="00927682">
        <w:t>too high, and the resulting rates were and are excessive</w:t>
      </w:r>
      <w:r w:rsidR="00ED702C">
        <w:t>.</w:t>
      </w:r>
      <w:r w:rsidR="00927682">
        <w:t xml:space="preserve">  </w:t>
      </w:r>
    </w:p>
    <w:p w:rsidR="006A1A7D" w:rsidRPr="006A1A7D" w:rsidRDefault="005A77E9" w:rsidP="006A1A7D">
      <w:pPr>
        <w:pStyle w:val="ParNumber"/>
        <w:ind w:left="0" w:hanging="720"/>
      </w:pPr>
      <w:r>
        <w:tab/>
      </w:r>
      <w:r w:rsidR="00927682">
        <w:t xml:space="preserve">Public Counsel respectfully requests that the Commission set a fair ROE </w:t>
      </w:r>
      <w:r w:rsidR="001B1F2E">
        <w:t>that</w:t>
      </w:r>
      <w:r w:rsidR="00927682">
        <w:t xml:space="preserve"> takes all factors bearing on PSE’s risk into</w:t>
      </w:r>
      <w:r w:rsidR="00AB68E6">
        <w:t xml:space="preserve"> account, including decoupling,</w:t>
      </w:r>
      <w:r w:rsidR="00927682">
        <w:t xml:space="preserve"> and reflects the declining cost of ca</w:t>
      </w:r>
      <w:r w:rsidR="00AB68E6">
        <w:t xml:space="preserve">pital in the relevant period.  </w:t>
      </w:r>
      <w:r w:rsidR="00CF6BC3">
        <w:t xml:space="preserve">Updating PSE’s ROE to the lower level recommended by Public Counsel will </w:t>
      </w:r>
      <w:r w:rsidR="006E1FCB">
        <w:t xml:space="preserve">allow the Commission to set fair, </w:t>
      </w:r>
      <w:r w:rsidR="00CF6BC3">
        <w:t>just</w:t>
      </w:r>
      <w:r w:rsidR="006E1FCB">
        <w:t>,</w:t>
      </w:r>
      <w:r w:rsidR="00CF6BC3">
        <w:t xml:space="preserve"> and reasonable </w:t>
      </w:r>
      <w:r w:rsidR="006E1FCB">
        <w:t xml:space="preserve">and sufficient </w:t>
      </w:r>
      <w:r w:rsidR="00CF6BC3">
        <w:t xml:space="preserve">rates </w:t>
      </w:r>
      <w:r w:rsidR="006E1FCB">
        <w:t xml:space="preserve">for customers </w:t>
      </w:r>
      <w:r w:rsidR="00CF6BC3">
        <w:t>under the Rate Plan</w:t>
      </w:r>
      <w:r w:rsidR="00D66B0F">
        <w:t>.</w:t>
      </w:r>
      <w:r w:rsidR="00CF6BC3">
        <w:t xml:space="preserve"> </w:t>
      </w:r>
    </w:p>
    <w:p w:rsidR="00BE528C" w:rsidRDefault="00BE528C" w:rsidP="00AB68E6">
      <w:pPr>
        <w:pStyle w:val="Heading1"/>
        <w:spacing w:before="0"/>
      </w:pPr>
      <w:bookmarkStart w:id="8" w:name="_Toc413395559"/>
      <w:r>
        <w:t xml:space="preserve">Applicable law and </w:t>
      </w:r>
      <w:r w:rsidR="00B7072E">
        <w:t>nature of the case</w:t>
      </w:r>
      <w:bookmarkEnd w:id="8"/>
    </w:p>
    <w:p w:rsidR="0051308D" w:rsidRDefault="00A20851" w:rsidP="005A77E9">
      <w:pPr>
        <w:pStyle w:val="Heading2"/>
      </w:pPr>
      <w:bookmarkStart w:id="9" w:name="_Toc413395560"/>
      <w:r>
        <w:t xml:space="preserve">The </w:t>
      </w:r>
      <w:r w:rsidR="00741FE7">
        <w:t xml:space="preserve">Superior </w:t>
      </w:r>
      <w:r>
        <w:t>Court Order</w:t>
      </w:r>
      <w:r w:rsidR="00B56600">
        <w:t>.</w:t>
      </w:r>
      <w:bookmarkEnd w:id="9"/>
      <w:r w:rsidR="00B56600">
        <w:t xml:space="preserve"> </w:t>
      </w:r>
    </w:p>
    <w:p w:rsidR="005A77E9" w:rsidRPr="005A77E9" w:rsidRDefault="005A77E9" w:rsidP="005A77E9"/>
    <w:p w:rsidR="005A77E9" w:rsidRDefault="0051308D" w:rsidP="005A77E9">
      <w:pPr>
        <w:pStyle w:val="ParNumber"/>
        <w:ind w:left="0" w:hanging="720"/>
      </w:pPr>
      <w:r>
        <w:tab/>
      </w:r>
      <w:r w:rsidR="006817B6">
        <w:t xml:space="preserve">In its </w:t>
      </w:r>
      <w:r w:rsidR="00255DDB">
        <w:t xml:space="preserve">initial </w:t>
      </w:r>
      <w:r w:rsidR="006817B6">
        <w:t xml:space="preserve">decision </w:t>
      </w:r>
      <w:r w:rsidR="00AF69E0">
        <w:t xml:space="preserve">approving </w:t>
      </w:r>
      <w:r w:rsidR="006817B6">
        <w:t>the Rate Plan rates,</w:t>
      </w:r>
      <w:r w:rsidR="00B56600">
        <w:t xml:space="preserve"> </w:t>
      </w:r>
      <w:r w:rsidR="00EE1F7E">
        <w:t xml:space="preserve">the Commission </w:t>
      </w:r>
      <w:r w:rsidR="006D393B">
        <w:t>did not conduct a comprehensive review of cost of capital in the case for purposes of updating PSE’s ROE to the begi</w:t>
      </w:r>
      <w:r w:rsidR="00EE1F7E">
        <w:t>nning of the Rate Plan</w:t>
      </w:r>
      <w:r w:rsidR="006E1FCB">
        <w:t>.  I</w:t>
      </w:r>
      <w:r w:rsidR="00EE1F7E">
        <w:t>nstead</w:t>
      </w:r>
      <w:r w:rsidR="006E1FCB">
        <w:t>, the decision</w:t>
      </w:r>
      <w:r w:rsidR="00EE1F7E">
        <w:t xml:space="preserve"> </w:t>
      </w:r>
      <w:r w:rsidR="006E1FCB">
        <w:t xml:space="preserve">based rates on </w:t>
      </w:r>
      <w:r w:rsidR="00AB68E6">
        <w:t>the ROE of 9.8</w:t>
      </w:r>
      <w:r w:rsidR="00A133C1">
        <w:t>%</w:t>
      </w:r>
      <w:r w:rsidR="006817B6">
        <w:t xml:space="preserve"> established in PSE’s 2011 General Rate Case</w:t>
      </w:r>
      <w:r w:rsidR="00B56600">
        <w:t xml:space="preserve"> (GRC)</w:t>
      </w:r>
      <w:r w:rsidR="00EE1F7E">
        <w:t>.</w:t>
      </w:r>
      <w:r w:rsidR="00AF69E0">
        <w:rPr>
          <w:rStyle w:val="FootnoteReference"/>
        </w:rPr>
        <w:footnoteReference w:id="4"/>
      </w:r>
      <w:r w:rsidR="00AB68E6">
        <w:t xml:space="preserve">  Public Counsel and ICNU</w:t>
      </w:r>
      <w:r w:rsidR="00AF69E0">
        <w:t xml:space="preserve"> </w:t>
      </w:r>
      <w:r w:rsidR="00EE1F7E">
        <w:t xml:space="preserve">appealed the decision, arguing </w:t>
      </w:r>
      <w:r w:rsidR="00AF69E0">
        <w:t xml:space="preserve">that the Commission erred </w:t>
      </w:r>
      <w:r w:rsidR="00EE1F7E">
        <w:t>by not updating PSE’s cost of capital, and specifically its ROE, to consider the current market-based cost of capital as of 2013, and the impact o</w:t>
      </w:r>
      <w:r w:rsidR="00B56600">
        <w:t>f decoupling and the multi</w:t>
      </w:r>
      <w:r w:rsidR="00C42EDB">
        <w:t>-</w:t>
      </w:r>
      <w:r w:rsidR="00B56600">
        <w:t>year rate p</w:t>
      </w:r>
      <w:r w:rsidR="00EE1F7E">
        <w:t xml:space="preserve">lan in reducing PSE’s risk.  </w:t>
      </w:r>
    </w:p>
    <w:p w:rsidR="00FC7AF7" w:rsidRDefault="005A77E9" w:rsidP="005A77E9">
      <w:pPr>
        <w:pStyle w:val="ParNumber"/>
        <w:tabs>
          <w:tab w:val="num" w:pos="540"/>
        </w:tabs>
        <w:ind w:left="0" w:hanging="720"/>
      </w:pPr>
      <w:r>
        <w:tab/>
      </w:r>
      <w:r w:rsidR="00EE1F7E">
        <w:t>T</w:t>
      </w:r>
      <w:r w:rsidR="00255DDB">
        <w:t>he Thurston</w:t>
      </w:r>
      <w:r w:rsidR="00EE1F7E">
        <w:t xml:space="preserve"> County </w:t>
      </w:r>
      <w:r w:rsidR="00FC7AF7">
        <w:t xml:space="preserve">Superior Court </w:t>
      </w:r>
      <w:r w:rsidR="00D40C9C">
        <w:t xml:space="preserve">reversed the Commission’s approval </w:t>
      </w:r>
      <w:r w:rsidR="00EE1F7E">
        <w:t xml:space="preserve">of </w:t>
      </w:r>
      <w:r w:rsidR="00D40C9C">
        <w:t xml:space="preserve">the Rate Plan rates </w:t>
      </w:r>
      <w:r w:rsidR="00FC7AF7">
        <w:t>“because the Commission’s findings of fact with respect to the return on equity component of Puget Sound Energy’s cost of ca</w:t>
      </w:r>
      <w:r w:rsidR="00B56600">
        <w:t>pital in the context of a multi</w:t>
      </w:r>
      <w:r w:rsidR="00C42EDB">
        <w:t>-</w:t>
      </w:r>
      <w:r w:rsidR="00FC7AF7">
        <w:t xml:space="preserve">year rate plan are unsupported by substantial evidence and the Commission improperly shifted the burden of proof on this issue </w:t>
      </w:r>
      <w:r w:rsidR="00FC7AF7">
        <w:lastRenderedPageBreak/>
        <w:t>from Puget Sound Energy, Inc., to the other parties in this proceeding below, contrary to RCW 34.05.</w:t>
      </w:r>
      <w:r w:rsidR="00D40C9C">
        <w:t>461(4) and RCW 80.04.130(4).</w:t>
      </w:r>
      <w:r w:rsidR="00AB68E6">
        <w:t>"</w:t>
      </w:r>
      <w:r w:rsidR="006D393B">
        <w:rPr>
          <w:rStyle w:val="FootnoteReference"/>
        </w:rPr>
        <w:footnoteReference w:id="5"/>
      </w:r>
      <w:r w:rsidR="00D40C9C">
        <w:t xml:space="preserve"> </w:t>
      </w:r>
      <w:r w:rsidR="006D393B">
        <w:t xml:space="preserve"> Accordingly, the Court ordered the case remanded to the Commission </w:t>
      </w:r>
      <w:r w:rsidR="00AB4628">
        <w:t>“</w:t>
      </w:r>
      <w:r w:rsidR="006D393B">
        <w:t xml:space="preserve">to establish fair, just, reasonable, and sufficient rates to be charged under the </w:t>
      </w:r>
      <w:r w:rsidR="00D5613F">
        <w:t>Rate Plan</w:t>
      </w:r>
      <w:r w:rsidR="006D393B">
        <w:t>, and to order any other appropriate relief.”</w:t>
      </w:r>
      <w:r w:rsidR="006D393B">
        <w:rPr>
          <w:rStyle w:val="FootnoteReference"/>
        </w:rPr>
        <w:footnoteReference w:id="6"/>
      </w:r>
    </w:p>
    <w:p w:rsidR="00A20851" w:rsidRDefault="0012463A" w:rsidP="006C2064">
      <w:pPr>
        <w:pStyle w:val="Heading2"/>
        <w:spacing w:before="0"/>
      </w:pPr>
      <w:bookmarkStart w:id="10" w:name="_Toc413395561"/>
      <w:r>
        <w:t>The Commission’s Orders on Remand</w:t>
      </w:r>
      <w:r w:rsidR="00B56600">
        <w:t>.</w:t>
      </w:r>
      <w:bookmarkEnd w:id="10"/>
      <w:r w:rsidR="00B56600">
        <w:t xml:space="preserve"> </w:t>
      </w:r>
    </w:p>
    <w:p w:rsidR="0012463A" w:rsidRPr="0012463A" w:rsidRDefault="0012463A" w:rsidP="0012463A"/>
    <w:p w:rsidR="005A77E9" w:rsidRDefault="005A77E9" w:rsidP="005A77E9">
      <w:pPr>
        <w:pStyle w:val="ParNumber"/>
        <w:ind w:left="0" w:hanging="720"/>
      </w:pPr>
      <w:r>
        <w:tab/>
      </w:r>
      <w:r w:rsidR="003752C4">
        <w:t>On r</w:t>
      </w:r>
      <w:r w:rsidR="002C6557">
        <w:t xml:space="preserve">emand, the Commission </w:t>
      </w:r>
      <w:r w:rsidR="003E7879">
        <w:t xml:space="preserve">interpreted the Court’s order as a determination that “the Commission cannot adjust rates in the context of considering a multi-year rate plan without </w:t>
      </w:r>
      <w:r w:rsidR="00A20851">
        <w:t>undertaking a thorough</w:t>
      </w:r>
      <w:r w:rsidR="003E7879">
        <w:t>going analysis of return on equity with the Company bearing the burden of proof, as is typically required, if at all, only in general rate proceedings.”</w:t>
      </w:r>
      <w:r w:rsidR="003E7879">
        <w:rPr>
          <w:rStyle w:val="FootnoteReference"/>
        </w:rPr>
        <w:footnoteReference w:id="7"/>
      </w:r>
      <w:r w:rsidR="00512325">
        <w:t xml:space="preserve">  </w:t>
      </w:r>
      <w:r w:rsidR="003E7879">
        <w:t>The Commission stated that it was “the Court’s direction to the Commission to conduct additional process to develop a record that includes the full body of evidence the Commission typically considers when determining a regulated utility’s return on equity to be effective during the rate period.</w:t>
      </w:r>
      <w:r w:rsidR="00A20851">
        <w:t>”</w:t>
      </w:r>
      <w:r w:rsidR="00512325">
        <w:rPr>
          <w:rStyle w:val="FootnoteReference"/>
        </w:rPr>
        <w:footnoteReference w:id="8"/>
      </w:r>
      <w:r w:rsidR="00A72234">
        <w:t xml:space="preserve">  </w:t>
      </w:r>
      <w:r w:rsidR="00A20851">
        <w:t>The Commission further observed that “[i]t is essential that we conduct additional process to allow PSE and the other parties the opportunity to develop and present such evidence on the issues as they believe will provide the Commiss</w:t>
      </w:r>
      <w:r w:rsidR="00512325">
        <w:t>ion with an adequate record</w:t>
      </w:r>
      <w:r w:rsidR="00A20851">
        <w:t>, as they would do, for example, in the context of a general rate case.”</w:t>
      </w:r>
      <w:r w:rsidR="00512325">
        <w:rPr>
          <w:rStyle w:val="FootnoteReference"/>
        </w:rPr>
        <w:footnoteReference w:id="9"/>
      </w:r>
    </w:p>
    <w:p w:rsidR="005A77E9" w:rsidRDefault="005A77E9" w:rsidP="005A77E9">
      <w:pPr>
        <w:pStyle w:val="ParNumber"/>
        <w:ind w:left="0" w:hanging="720"/>
      </w:pPr>
      <w:r>
        <w:lastRenderedPageBreak/>
        <w:tab/>
      </w:r>
      <w:r w:rsidR="0012463A">
        <w:t>In Order 10, the Commission summarized its decisions as to scope, stating “the Commission expects the parties to provide focused and detailed analyses such as would have informed a determination of return on equity in early 2013 for purposes of upda</w:t>
      </w:r>
      <w:r w:rsidR="001B1F2E">
        <w:t>ting PSE’s rates from the 2012</w:t>
      </w:r>
      <w:r w:rsidR="00512325">
        <w:t xml:space="preserve"> </w:t>
      </w:r>
      <w:r w:rsidR="001B1F2E">
        <w:t>G</w:t>
      </w:r>
      <w:r w:rsidR="00512325">
        <w:t>eneral rate c</w:t>
      </w:r>
      <w:r w:rsidR="0012463A">
        <w:t xml:space="preserve">ase and for continued application </w:t>
      </w:r>
      <w:r w:rsidR="006E3B21">
        <w:t>through the rate plan period,”</w:t>
      </w:r>
      <w:r w:rsidR="00512325">
        <w:rPr>
          <w:rStyle w:val="FootnoteReference"/>
        </w:rPr>
        <w:footnoteReference w:id="10"/>
      </w:r>
      <w:r w:rsidR="006E3B21">
        <w:t xml:space="preserve">  while indicating that there might </w:t>
      </w:r>
      <w:r w:rsidR="00AB4628">
        <w:t xml:space="preserve">also </w:t>
      </w:r>
      <w:r w:rsidR="006E3B21">
        <w:t xml:space="preserve">be other relevant evidence filed for consideration.  The Commission declined to </w:t>
      </w:r>
      <w:r w:rsidR="004E48D0">
        <w:t xml:space="preserve">adopt </w:t>
      </w:r>
      <w:r w:rsidR="008C3E7E">
        <w:t>narrower boundaries</w:t>
      </w:r>
      <w:r w:rsidR="00512325">
        <w:t xml:space="preserve"> for the proceeding than</w:t>
      </w:r>
      <w:r w:rsidR="004E48D0">
        <w:t xml:space="preserve"> those customarily applied in a general rate proceeding.</w:t>
      </w:r>
      <w:r w:rsidR="004E48D0">
        <w:rPr>
          <w:rStyle w:val="FootnoteReference"/>
        </w:rPr>
        <w:footnoteReference w:id="11"/>
      </w:r>
      <w:r w:rsidR="00BF64F1">
        <w:t xml:space="preserve">  </w:t>
      </w:r>
    </w:p>
    <w:p w:rsidR="00663966" w:rsidRDefault="005A77E9" w:rsidP="005A77E9">
      <w:pPr>
        <w:pStyle w:val="ParNumber"/>
        <w:tabs>
          <w:tab w:val="num" w:pos="540"/>
        </w:tabs>
        <w:ind w:left="0" w:hanging="720"/>
      </w:pPr>
      <w:r>
        <w:tab/>
      </w:r>
      <w:r w:rsidR="00C41C20">
        <w:t xml:space="preserve">In Order 11, </w:t>
      </w:r>
      <w:r w:rsidR="00C41C20" w:rsidRPr="00885A6A">
        <w:t xml:space="preserve">the Commission </w:t>
      </w:r>
      <w:r w:rsidR="00885A6A" w:rsidRPr="00885A6A">
        <w:t>noted that</w:t>
      </w:r>
      <w:r w:rsidR="00885A6A" w:rsidRPr="005A77E9">
        <w:rPr>
          <w:i/>
        </w:rPr>
        <w:t xml:space="preserve"> </w:t>
      </w:r>
      <w:r w:rsidR="00885A6A" w:rsidRPr="00885A6A">
        <w:t>“</w:t>
      </w:r>
      <w:r w:rsidR="00BF64F1" w:rsidRPr="00885A6A">
        <w:t>[t]he Court determined</w:t>
      </w:r>
      <w:r w:rsidR="00B14997">
        <w:t xml:space="preserve"> </w:t>
      </w:r>
      <w:r w:rsidR="00BF64F1" w:rsidRPr="00885A6A">
        <w:t>…</w:t>
      </w:r>
      <w:r w:rsidR="00B14997">
        <w:t xml:space="preserve"> </w:t>
      </w:r>
      <w:r w:rsidR="00BF64F1" w:rsidRPr="00885A6A">
        <w:t>that the Commission …</w:t>
      </w:r>
      <w:r w:rsidR="00B14997">
        <w:t xml:space="preserve"> </w:t>
      </w:r>
      <w:r w:rsidR="00BF64F1" w:rsidRPr="00885A6A">
        <w:t>should not have left</w:t>
      </w:r>
      <w:r w:rsidR="00B14997">
        <w:t xml:space="preserve"> the previously approved rate of</w:t>
      </w:r>
      <w:r w:rsidR="00BF64F1" w:rsidRPr="00885A6A">
        <w:t xml:space="preserve"> return on equity in place and should </w:t>
      </w:r>
      <w:r w:rsidR="00B14997">
        <w:t>instead have</w:t>
      </w:r>
      <w:r w:rsidR="00BF64F1" w:rsidRPr="00885A6A">
        <w:t xml:space="preserve"> required the sub</w:t>
      </w:r>
      <w:r w:rsidR="00D50798">
        <w:t>mission of additional evidence.”</w:t>
      </w:r>
      <w:r w:rsidR="00D50798">
        <w:rPr>
          <w:rStyle w:val="FootnoteReference"/>
        </w:rPr>
        <w:footnoteReference w:id="12"/>
      </w:r>
      <w:r w:rsidR="002B3F6D" w:rsidRPr="00885A6A">
        <w:t xml:space="preserve"> </w:t>
      </w:r>
      <w:r w:rsidR="00885A6A" w:rsidRPr="00885A6A">
        <w:t xml:space="preserve"> </w:t>
      </w:r>
      <w:r w:rsidR="002B3F6D" w:rsidRPr="00885A6A">
        <w:t>The Commission stated its intention</w:t>
      </w:r>
      <w:r w:rsidR="00885A6A">
        <w:t>,</w:t>
      </w:r>
      <w:r w:rsidR="002B3F6D" w:rsidRPr="00885A6A">
        <w:t xml:space="preserve"> “following the Cou</w:t>
      </w:r>
      <w:r w:rsidR="00885A6A">
        <w:t>rt’s direction, to receive such</w:t>
      </w:r>
      <w:r w:rsidR="002B3F6D" w:rsidRPr="00885A6A">
        <w:t xml:space="preserve"> evidence during the re</w:t>
      </w:r>
      <w:r w:rsidR="00885A6A" w:rsidRPr="00885A6A">
        <w:t>mand phase of these proceedings.</w:t>
      </w:r>
      <w:r w:rsidR="00B14997">
        <w:t>”</w:t>
      </w:r>
      <w:r w:rsidR="00BF64F1" w:rsidRPr="00885A6A">
        <w:rPr>
          <w:rStyle w:val="FootnoteReference"/>
        </w:rPr>
        <w:footnoteReference w:id="13"/>
      </w:r>
      <w:r w:rsidR="00885A6A" w:rsidRPr="00885A6A">
        <w:t xml:space="preserve"> </w:t>
      </w:r>
      <w:r w:rsidR="00BF64F1" w:rsidRPr="00885A6A">
        <w:t xml:space="preserve"> </w:t>
      </w:r>
      <w:r w:rsidR="00BF64F1">
        <w:t>The Commission stated its intention for the conduct of this proceeding:  “As in the context of a contested general rate proceeding, the Commission will consider all relevant evidence admitted on the question of return on equity, weigh the evidence, determine a range of reasonable returns, and set a return on equity that falls within</w:t>
      </w:r>
      <w:r w:rsidR="002B3F6D">
        <w:t xml:space="preserve"> that range.”</w:t>
      </w:r>
      <w:r w:rsidR="002B3F6D">
        <w:rPr>
          <w:rStyle w:val="FootnoteReference"/>
        </w:rPr>
        <w:footnoteReference w:id="14"/>
      </w:r>
      <w:r w:rsidR="00A369D1">
        <w:t xml:space="preserve">  The Commission described the required presentation of additional evidence as follows:</w:t>
      </w:r>
    </w:p>
    <w:p w:rsidR="0087293F" w:rsidRDefault="00A369D1" w:rsidP="00885A6A">
      <w:pPr>
        <w:ind w:left="720" w:right="720"/>
        <w:jc w:val="both"/>
      </w:pPr>
      <w:r>
        <w:t>What the Commission minimally requires on remand are fully developed analyses of data available prior to June 25, 2013, such as are usually undertaken to support advocacy on the issue of return on equity.  That is we expect</w:t>
      </w:r>
      <w:r w:rsidR="00B14997">
        <w:t xml:space="preserve"> to</w:t>
      </w:r>
      <w:r>
        <w:t xml:space="preserve"> see from </w:t>
      </w:r>
      <w:r w:rsidR="00B14997">
        <w:t xml:space="preserve">the </w:t>
      </w:r>
      <w:r>
        <w:t xml:space="preserve">expert witnesses their </w:t>
      </w:r>
      <w:r w:rsidR="00B14997">
        <w:t>development of the usual models</w:t>
      </w:r>
      <w:r>
        <w:t xml:space="preserve"> (</w:t>
      </w:r>
      <w:r w:rsidRPr="00B14997">
        <w:rPr>
          <w:i/>
        </w:rPr>
        <w:t>e.g.</w:t>
      </w:r>
      <w:r w:rsidR="00B14997">
        <w:rPr>
          <w:i/>
        </w:rPr>
        <w:t>,</w:t>
      </w:r>
      <w:r>
        <w:t xml:space="preserve"> discounted cash flow analyses, capital asset pricing models, and other risk premium models) using </w:t>
      </w:r>
      <w:r>
        <w:lastRenderedPageBreak/>
        <w:t xml:space="preserve">such data.  Beyond this, parties are free to develop and present such </w:t>
      </w:r>
      <w:r w:rsidR="000029D7">
        <w:t>other evidence as they believe is relevant and helpful to the Commission in meeting its obligation to ensure that PSEs rates under the rate plan are fair, just, reasonable, and sufficient.</w:t>
      </w:r>
      <w:r w:rsidR="00663966">
        <w:rPr>
          <w:rStyle w:val="FootnoteReference"/>
        </w:rPr>
        <w:footnoteReference w:id="15"/>
      </w:r>
    </w:p>
    <w:p w:rsidR="002C7B25" w:rsidRPr="0051308D" w:rsidRDefault="00741FE7" w:rsidP="002C7B25">
      <w:pPr>
        <w:pStyle w:val="Heading2"/>
      </w:pPr>
      <w:bookmarkStart w:id="11" w:name="_Toc413395562"/>
      <w:r>
        <w:t xml:space="preserve">Fundamental Legal Principles for Establishing </w:t>
      </w:r>
      <w:r w:rsidR="00DC6F4F">
        <w:t>a</w:t>
      </w:r>
      <w:r>
        <w:t xml:space="preserve"> Fair Rate of Return</w:t>
      </w:r>
      <w:r w:rsidR="00127775">
        <w:t>.</w:t>
      </w:r>
      <w:bookmarkEnd w:id="11"/>
      <w:r w:rsidR="00127775">
        <w:t xml:space="preserve"> </w:t>
      </w:r>
    </w:p>
    <w:p w:rsidR="002C7B25" w:rsidRDefault="002C7B25" w:rsidP="002C7B25"/>
    <w:p w:rsidR="0051308D" w:rsidRDefault="0051308D" w:rsidP="005A77E9">
      <w:pPr>
        <w:pStyle w:val="ParNumber"/>
        <w:ind w:left="0" w:hanging="720"/>
      </w:pPr>
      <w:r>
        <w:tab/>
      </w:r>
      <w:r w:rsidR="002C7B25">
        <w:t xml:space="preserve">The </w:t>
      </w:r>
      <w:r w:rsidR="00681221">
        <w:t xml:space="preserve">United States Supreme Court has </w:t>
      </w:r>
      <w:r w:rsidR="006A1886">
        <w:t>established</w:t>
      </w:r>
      <w:r w:rsidR="00681221">
        <w:t xml:space="preserve"> the foundational principles for establishing a fair rate of </w:t>
      </w:r>
      <w:r w:rsidR="008C3E7E">
        <w:t>return in</w:t>
      </w:r>
      <w:r w:rsidR="00681221">
        <w:t xml:space="preserve"> utility ratemaking</w:t>
      </w:r>
      <w:r w:rsidR="00E84DD5">
        <w:t xml:space="preserve">.  </w:t>
      </w:r>
      <w:r w:rsidR="00637F5F">
        <w:t xml:space="preserve">In the </w:t>
      </w:r>
      <w:r w:rsidR="00637F5F" w:rsidRPr="006A7232">
        <w:rPr>
          <w:i/>
        </w:rPr>
        <w:t>Bluefield</w:t>
      </w:r>
      <w:r w:rsidR="00047593">
        <w:rPr>
          <w:i/>
        </w:rPr>
        <w:t xml:space="preserve"> Waterworks v. Public Service Commission</w:t>
      </w:r>
      <w:r w:rsidR="00637F5F">
        <w:t xml:space="preserve"> case, the Court stated:</w:t>
      </w:r>
    </w:p>
    <w:p w:rsidR="00127775" w:rsidRDefault="000B7752" w:rsidP="006C2064">
      <w:pPr>
        <w:pStyle w:val="ParNumber"/>
        <w:numPr>
          <w:ilvl w:val="0"/>
          <w:numId w:val="0"/>
        </w:numPr>
        <w:spacing w:line="240" w:lineRule="auto"/>
        <w:ind w:left="720" w:right="720"/>
        <w:jc w:val="both"/>
        <w:rPr>
          <w:i/>
        </w:rPr>
      </w:pPr>
      <w:r>
        <w:t xml:space="preserve">What annual rate will constitute just compensation depends upon many circumstances and must be determined by the exercise of fair and enlightened judgment, </w:t>
      </w:r>
      <w:r w:rsidRPr="0051308D">
        <w:rPr>
          <w:i/>
        </w:rPr>
        <w:t>having regard to all relevant facts</w:t>
      </w:r>
      <w:r w:rsidR="00637F5F">
        <w:t>.</w:t>
      </w:r>
      <w:r>
        <w:t xml:space="preserve">  A public utility is entitled to earn a return on the val</w:t>
      </w:r>
      <w:r w:rsidR="00991BEC">
        <w:t xml:space="preserve">ue of property which it employs for the convenience of the public equal to that generally being made at the same time and in the same general part of the country or investments in other undertakings which are attended </w:t>
      </w:r>
      <w:r w:rsidR="00991BEC" w:rsidRPr="0051308D">
        <w:rPr>
          <w:i/>
        </w:rPr>
        <w:t xml:space="preserve">by corresponding risks and uncertainties, </w:t>
      </w:r>
      <w:r w:rsidR="00991BEC" w:rsidRPr="00991BEC">
        <w:t>but it has no constitutional right to profits</w:t>
      </w:r>
      <w:r w:rsidR="00991BEC" w:rsidRPr="0051308D">
        <w:rPr>
          <w:i/>
        </w:rPr>
        <w:t>[.]</w:t>
      </w:r>
      <w:r w:rsidR="006A1886">
        <w:rPr>
          <w:rStyle w:val="FootnoteReference"/>
        </w:rPr>
        <w:footnoteReference w:id="16"/>
      </w:r>
    </w:p>
    <w:p w:rsidR="006C2064" w:rsidRPr="006C2064" w:rsidRDefault="006C2064" w:rsidP="006C2064">
      <w:pPr>
        <w:pStyle w:val="ParNumber"/>
        <w:numPr>
          <w:ilvl w:val="0"/>
          <w:numId w:val="0"/>
        </w:numPr>
        <w:spacing w:line="240" w:lineRule="auto"/>
        <w:ind w:left="720"/>
        <w:rPr>
          <w:i/>
        </w:rPr>
      </w:pPr>
    </w:p>
    <w:p w:rsidR="007F448A" w:rsidRDefault="0051308D" w:rsidP="000B718D">
      <w:pPr>
        <w:pStyle w:val="ParNumber"/>
        <w:ind w:left="0" w:hanging="720"/>
      </w:pPr>
      <w:r>
        <w:rPr>
          <w:i/>
        </w:rPr>
        <w:tab/>
      </w:r>
      <w:r w:rsidR="00991BEC">
        <w:t xml:space="preserve">A </w:t>
      </w:r>
      <w:r w:rsidR="00637F5F">
        <w:t xml:space="preserve">second key decision is the </w:t>
      </w:r>
      <w:r w:rsidR="00047593">
        <w:rPr>
          <w:i/>
        </w:rPr>
        <w:t xml:space="preserve">Federal Power Commission v. </w:t>
      </w:r>
      <w:r w:rsidR="00637F5F" w:rsidRPr="006A7232">
        <w:rPr>
          <w:i/>
        </w:rPr>
        <w:t>Hope</w:t>
      </w:r>
      <w:r w:rsidR="00047593">
        <w:t xml:space="preserve"> </w:t>
      </w:r>
      <w:r w:rsidR="00047593">
        <w:rPr>
          <w:i/>
        </w:rPr>
        <w:t xml:space="preserve">Natural Gas Co. </w:t>
      </w:r>
      <w:r w:rsidR="00637F5F">
        <w:t>case, which held</w:t>
      </w:r>
      <w:r w:rsidR="00991BEC">
        <w:t xml:space="preserve"> </w:t>
      </w:r>
      <w:r w:rsidR="00991BEC" w:rsidRPr="0051308D">
        <w:rPr>
          <w:i/>
        </w:rPr>
        <w:t>inter alia</w:t>
      </w:r>
      <w:r w:rsidR="00991BEC">
        <w:t>, that “the fixing of ‘just and reasonable’ rates involves a balancing of the investor and consumer interests” and “should be commensurate with returns on investments in other enterprises having corresponding risks.”</w:t>
      </w:r>
      <w:r w:rsidR="006A1886">
        <w:rPr>
          <w:rStyle w:val="FootnoteReference"/>
        </w:rPr>
        <w:footnoteReference w:id="17"/>
      </w:r>
      <w:r w:rsidR="00C909F5">
        <w:t xml:space="preserve">  </w:t>
      </w:r>
    </w:p>
    <w:p w:rsidR="00297636" w:rsidRDefault="007F448A" w:rsidP="000B718D">
      <w:pPr>
        <w:pStyle w:val="ParNumber"/>
        <w:ind w:left="0" w:hanging="720"/>
      </w:pPr>
      <w:r>
        <w:lastRenderedPageBreak/>
        <w:tab/>
      </w:r>
      <w:r w:rsidR="00297636">
        <w:t xml:space="preserve">In the </w:t>
      </w:r>
      <w:r w:rsidR="00297636" w:rsidRPr="007F448A">
        <w:rPr>
          <w:i/>
        </w:rPr>
        <w:t xml:space="preserve">Permian Basin </w:t>
      </w:r>
      <w:r w:rsidR="00047593" w:rsidRPr="007F448A">
        <w:rPr>
          <w:i/>
        </w:rPr>
        <w:t xml:space="preserve">Area Rate </w:t>
      </w:r>
      <w:r w:rsidR="009A1545">
        <w:t>case</w:t>
      </w:r>
      <w:r w:rsidR="00297636" w:rsidRPr="009A1545">
        <w:t>,</w:t>
      </w:r>
      <w:r w:rsidR="00297636">
        <w:t xml:space="preserve"> the Court affirmed these principles, while noting that investor interests in profitability do not exhaust the relevant considerations in rate setting.</w:t>
      </w:r>
      <w:r w:rsidR="00297636">
        <w:rPr>
          <w:rStyle w:val="FootnoteReference"/>
        </w:rPr>
        <w:footnoteReference w:id="18"/>
      </w:r>
      <w:r w:rsidR="000D5CB4">
        <w:t xml:space="preserve">  </w:t>
      </w:r>
      <w:r w:rsidR="00DE6E5C">
        <w:t>Two essential elements ident</w:t>
      </w:r>
      <w:r w:rsidR="000D5CB4">
        <w:t>ified by the U.S. Supreme Court</w:t>
      </w:r>
      <w:r w:rsidR="00DE6E5C">
        <w:t xml:space="preserve"> </w:t>
      </w:r>
      <w:r w:rsidR="006A4D89">
        <w:t>of particular</w:t>
      </w:r>
      <w:r w:rsidR="002D1E28">
        <w:t xml:space="preserve"> </w:t>
      </w:r>
      <w:r w:rsidR="00C60389">
        <w:t>importance</w:t>
      </w:r>
      <w:r w:rsidR="002D1E28">
        <w:t xml:space="preserve"> </w:t>
      </w:r>
      <w:r w:rsidR="00DE6E5C">
        <w:t>in this case are</w:t>
      </w:r>
      <w:r w:rsidR="0051308D">
        <w:t xml:space="preserve"> </w:t>
      </w:r>
      <w:r w:rsidR="00DE6E5C">
        <w:t>that “all relevant facts” must be taken into account,</w:t>
      </w:r>
      <w:r w:rsidR="00DE6E5C">
        <w:rPr>
          <w:rStyle w:val="FootnoteReference"/>
        </w:rPr>
        <w:footnoteReference w:id="19"/>
      </w:r>
      <w:r w:rsidR="000D5CB4">
        <w:t xml:space="preserve"> </w:t>
      </w:r>
      <w:r w:rsidR="00DE6E5C">
        <w:t>and that the fair return is determined in light of the risk of the investment.</w:t>
      </w:r>
      <w:r w:rsidR="00DE6E5C">
        <w:rPr>
          <w:rStyle w:val="FootnoteReference"/>
        </w:rPr>
        <w:footnoteReference w:id="20"/>
      </w:r>
      <w:r w:rsidR="00DE6E5C">
        <w:t xml:space="preserve">  </w:t>
      </w:r>
      <w:r w:rsidR="00297636">
        <w:t xml:space="preserve">These principles are fully recognized and applied in the Washington courts, as the state Supreme Court made clear in the seminal </w:t>
      </w:r>
      <w:r w:rsidR="00297636" w:rsidRPr="007F448A">
        <w:rPr>
          <w:i/>
        </w:rPr>
        <w:t>POWER</w:t>
      </w:r>
      <w:r w:rsidR="000B5255">
        <w:rPr>
          <w:i/>
        </w:rPr>
        <w:t xml:space="preserve"> v. Utilities &amp;</w:t>
      </w:r>
      <w:r w:rsidR="006A4D89">
        <w:rPr>
          <w:i/>
        </w:rPr>
        <w:t xml:space="preserve"> Transportation Commission</w:t>
      </w:r>
      <w:r w:rsidR="00297636">
        <w:rPr>
          <w:rStyle w:val="FootnoteReference"/>
          <w:i/>
        </w:rPr>
        <w:footnoteReference w:id="21"/>
      </w:r>
      <w:r w:rsidR="000D5CB4" w:rsidRPr="007F448A">
        <w:rPr>
          <w:i/>
        </w:rPr>
        <w:t xml:space="preserve"> </w:t>
      </w:r>
      <w:r w:rsidR="00297636">
        <w:t>decision.  The Commission, likewise, has endorsed and applied these precedents and principles in its rate cases.</w:t>
      </w:r>
      <w:r w:rsidR="00297636">
        <w:rPr>
          <w:rStyle w:val="FootnoteReference"/>
        </w:rPr>
        <w:footnoteReference w:id="22"/>
      </w:r>
      <w:r w:rsidR="00297636">
        <w:t xml:space="preserve">  </w:t>
      </w:r>
    </w:p>
    <w:p w:rsidR="008C7B43" w:rsidRDefault="008C7B43" w:rsidP="00EE19C1">
      <w:pPr>
        <w:pStyle w:val="Heading2"/>
        <w:spacing w:before="0"/>
      </w:pPr>
      <w:bookmarkStart w:id="12" w:name="_Toc413395563"/>
      <w:r>
        <w:t xml:space="preserve">The Impact of </w:t>
      </w:r>
      <w:r w:rsidR="00741FE7">
        <w:t xml:space="preserve">PSE’s </w:t>
      </w:r>
      <w:r w:rsidR="005275DB">
        <w:t>Decoupling Mechanism Must be Taken Into Account i</w:t>
      </w:r>
      <w:r>
        <w:t xml:space="preserve">n </w:t>
      </w:r>
      <w:r w:rsidR="008C3E7E">
        <w:t>Setting</w:t>
      </w:r>
      <w:r>
        <w:t xml:space="preserve"> Return on Equity</w:t>
      </w:r>
      <w:r w:rsidR="00741FE7">
        <w:t xml:space="preserve"> For Rate Plan Rates</w:t>
      </w:r>
      <w:r>
        <w:t>.</w:t>
      </w:r>
      <w:bookmarkEnd w:id="12"/>
    </w:p>
    <w:p w:rsidR="008C7B43" w:rsidRPr="008C7B43" w:rsidRDefault="008C7B43" w:rsidP="008C7B43"/>
    <w:p w:rsidR="0051308D" w:rsidRDefault="00F07740" w:rsidP="005A77E9">
      <w:pPr>
        <w:pStyle w:val="ParNumber"/>
        <w:ind w:left="0" w:hanging="720"/>
      </w:pPr>
      <w:r>
        <w:lastRenderedPageBreak/>
        <w:tab/>
      </w:r>
      <w:r w:rsidR="00297636" w:rsidRPr="00297636">
        <w:t xml:space="preserve">All the cost of capital witnesses in this case agree that </w:t>
      </w:r>
      <w:r>
        <w:t>the</w:t>
      </w:r>
      <w:r w:rsidR="00297636" w:rsidRPr="00297636">
        <w:t xml:space="preserve"> </w:t>
      </w:r>
      <w:r>
        <w:t>well</w:t>
      </w:r>
      <w:r>
        <w:noBreakHyphen/>
      </w:r>
      <w:r w:rsidR="008C7B43">
        <w:t xml:space="preserve">established guiding </w:t>
      </w:r>
      <w:r w:rsidR="00297636" w:rsidRPr="00297636">
        <w:t xml:space="preserve">principles </w:t>
      </w:r>
      <w:r w:rsidR="008C7B43">
        <w:t xml:space="preserve">reviewed above </w:t>
      </w:r>
      <w:r w:rsidR="00297636" w:rsidRPr="00297636">
        <w:t xml:space="preserve">are the principles </w:t>
      </w:r>
      <w:r w:rsidR="00DE6E5C">
        <w:t xml:space="preserve">to be applied in establishing a fair return </w:t>
      </w:r>
      <w:r w:rsidR="00297636" w:rsidRPr="00297636">
        <w:t>in this case.</w:t>
      </w:r>
      <w:r w:rsidR="00297636" w:rsidRPr="00297636">
        <w:rPr>
          <w:rStyle w:val="FootnoteReference"/>
        </w:rPr>
        <w:footnoteReference w:id="23"/>
      </w:r>
      <w:r w:rsidR="008C7B43">
        <w:t xml:space="preserve">  N</w:t>
      </w:r>
      <w:r w:rsidR="00954A0D">
        <w:t>evertheless, neither PSE</w:t>
      </w:r>
      <w:r w:rsidR="008C7B43">
        <w:t xml:space="preserve"> no</w:t>
      </w:r>
      <w:r w:rsidR="000D72E1">
        <w:t>r</w:t>
      </w:r>
      <w:r w:rsidR="008C7B43">
        <w:t xml:space="preserve"> Commission Staff cost of capital experts </w:t>
      </w:r>
      <w:r w:rsidR="0067157B">
        <w:t xml:space="preserve">analyzed the impact of decoupling </w:t>
      </w:r>
      <w:r w:rsidR="008C7B43">
        <w:t>in their testimony</w:t>
      </w:r>
      <w:r w:rsidR="0067157B">
        <w:t>, though both agree decoupling reduces risk</w:t>
      </w:r>
      <w:r w:rsidR="008C7B43">
        <w:t xml:space="preserve">. </w:t>
      </w:r>
      <w:r w:rsidR="00954A0D">
        <w:t xml:space="preserve"> </w:t>
      </w:r>
      <w:r w:rsidR="00E317AE">
        <w:t>Their position</w:t>
      </w:r>
      <w:r w:rsidR="00954A0D">
        <w:t xml:space="preserve">, </w:t>
      </w:r>
      <w:r w:rsidR="000D72E1">
        <w:t>that the Commission can set a fair return for PSE without addressing the impa</w:t>
      </w:r>
      <w:r w:rsidR="0067157B">
        <w:t xml:space="preserve">ct of decoupling, </w:t>
      </w:r>
      <w:r w:rsidR="000D72E1">
        <w:t xml:space="preserve">is at odds with the </w:t>
      </w:r>
      <w:r w:rsidR="0067157B">
        <w:t xml:space="preserve">applicable </w:t>
      </w:r>
      <w:r w:rsidR="000D72E1">
        <w:t xml:space="preserve">law, </w:t>
      </w:r>
      <w:r w:rsidR="0067157B">
        <w:t xml:space="preserve">with Commission </w:t>
      </w:r>
      <w:r w:rsidR="000D72E1">
        <w:t xml:space="preserve">policy, and </w:t>
      </w:r>
      <w:r w:rsidR="0067157B">
        <w:t xml:space="preserve">with </w:t>
      </w:r>
      <w:r w:rsidR="000D72E1">
        <w:t xml:space="preserve">economic reality.   </w:t>
      </w:r>
    </w:p>
    <w:p w:rsidR="002C7B25" w:rsidRPr="002C7B25" w:rsidRDefault="0051308D" w:rsidP="00231F7B">
      <w:pPr>
        <w:pStyle w:val="ParNumber"/>
        <w:ind w:left="0" w:hanging="720"/>
      </w:pPr>
      <w:r>
        <w:tab/>
      </w:r>
      <w:r w:rsidR="00E317AE">
        <w:t xml:space="preserve">The </w:t>
      </w:r>
      <w:r w:rsidR="000D72E1">
        <w:t xml:space="preserve">foregoing precedents clearly </w:t>
      </w:r>
      <w:r w:rsidR="00E317AE">
        <w:t xml:space="preserve">require </w:t>
      </w:r>
      <w:r w:rsidR="000D72E1">
        <w:t xml:space="preserve">that “all relevant facts” must be considered and that an assessment of “risk” is integral to setting a fair return.  </w:t>
      </w:r>
      <w:r w:rsidR="003B43EA">
        <w:t xml:space="preserve">The Commission, in </w:t>
      </w:r>
      <w:r w:rsidR="00954A0D">
        <w:t>its Decoupling Policy Statement</w:t>
      </w:r>
      <w:r w:rsidR="00262E86">
        <w:t>,</w:t>
      </w:r>
      <w:r w:rsidR="003B43EA">
        <w:t xml:space="preserve"> </w:t>
      </w:r>
      <w:r w:rsidR="00A0245A">
        <w:t>found that “[a full decoupling] mechanism can serve to reduce risk to the company, and therefore to investors, which in turn should benefit customers reducing a company’s debt and equity costs.”</w:t>
      </w:r>
      <w:r w:rsidR="00A0245A">
        <w:rPr>
          <w:rStyle w:val="FootnoteReference"/>
        </w:rPr>
        <w:footnoteReference w:id="24"/>
      </w:r>
      <w:r w:rsidR="00231F7B">
        <w:t xml:space="preserve">  In the initial phase of this </w:t>
      </w:r>
      <w:r w:rsidR="003B43EA">
        <w:t>ca</w:t>
      </w:r>
      <w:r w:rsidR="00954A0D">
        <w:t>se, the Commission held that</w:t>
      </w:r>
      <w:r w:rsidR="003B43EA">
        <w:t xml:space="preserve"> </w:t>
      </w:r>
      <w:r w:rsidR="00954A0D">
        <w:t xml:space="preserve">the </w:t>
      </w:r>
      <w:r w:rsidR="00E317AE">
        <w:t xml:space="preserve">decoupling impact is </w:t>
      </w:r>
      <w:r w:rsidR="00954A0D">
        <w:t>at issue</w:t>
      </w:r>
      <w:r w:rsidR="00E317AE">
        <w:t xml:space="preserve">, and expressly acknowledged </w:t>
      </w:r>
      <w:r w:rsidR="00BE466C">
        <w:t xml:space="preserve">a “shift of risk from PSE to its ratepayers that is </w:t>
      </w:r>
      <w:r w:rsidR="00E317AE">
        <w:t xml:space="preserve">unquestionably </w:t>
      </w:r>
      <w:r w:rsidR="00BE466C">
        <w:t>is a result of implementing decoupling.”</w:t>
      </w:r>
      <w:r w:rsidR="00E317AE">
        <w:rPr>
          <w:rStyle w:val="FootnoteReference"/>
        </w:rPr>
        <w:footnoteReference w:id="25"/>
      </w:r>
      <w:r w:rsidR="00954A0D">
        <w:t xml:space="preserve">  </w:t>
      </w:r>
      <w:r w:rsidR="00E317AE">
        <w:t xml:space="preserve">As </w:t>
      </w:r>
      <w:r w:rsidR="001C677D">
        <w:t xml:space="preserve">PSE witness, </w:t>
      </w:r>
      <w:r w:rsidR="00E317AE">
        <w:t xml:space="preserve">Dr. </w:t>
      </w:r>
      <w:r w:rsidR="001C677D">
        <w:t xml:space="preserve">Roger A. </w:t>
      </w:r>
      <w:r w:rsidR="00E317AE">
        <w:t xml:space="preserve">Morin </w:t>
      </w:r>
      <w:r w:rsidR="00101A3E">
        <w:t xml:space="preserve">correctly </w:t>
      </w:r>
      <w:r w:rsidR="00E317AE">
        <w:t>observed at the hearing</w:t>
      </w:r>
      <w:r w:rsidR="00D435A0">
        <w:t xml:space="preserve">, all </w:t>
      </w:r>
      <w:r w:rsidR="00101A3E">
        <w:t>the experts in this case</w:t>
      </w:r>
      <w:r w:rsidR="00D435A0">
        <w:t xml:space="preserve"> </w:t>
      </w:r>
      <w:r w:rsidR="00E317AE">
        <w:t xml:space="preserve">agree </w:t>
      </w:r>
      <w:r w:rsidR="00D435A0">
        <w:t xml:space="preserve">that </w:t>
      </w:r>
      <w:r w:rsidR="00D435A0">
        <w:lastRenderedPageBreak/>
        <w:t>“</w:t>
      </w:r>
      <w:r w:rsidR="00E317AE">
        <w:t xml:space="preserve">decoupling </w:t>
      </w:r>
      <w:r w:rsidR="00D435A0">
        <w:t>reduces</w:t>
      </w:r>
      <w:r w:rsidR="00E317AE">
        <w:t xml:space="preserve"> risk.”</w:t>
      </w:r>
      <w:r w:rsidR="00101A3E">
        <w:rPr>
          <w:rStyle w:val="FootnoteReference"/>
        </w:rPr>
        <w:footnoteReference w:id="26"/>
      </w:r>
      <w:r w:rsidR="00E317AE">
        <w:t xml:space="preserve">  </w:t>
      </w:r>
      <w:r w:rsidR="003B43EA">
        <w:t xml:space="preserve">The </w:t>
      </w:r>
      <w:r w:rsidR="00342768">
        <w:t xml:space="preserve">impact </w:t>
      </w:r>
      <w:r w:rsidR="003B43EA">
        <w:t xml:space="preserve">of decoupling is, therefore, </w:t>
      </w:r>
      <w:r w:rsidR="00101A3E">
        <w:t xml:space="preserve">a </w:t>
      </w:r>
      <w:r w:rsidR="003B43EA">
        <w:t>relevant</w:t>
      </w:r>
      <w:r w:rsidR="00101A3E">
        <w:t xml:space="preserve"> factor </w:t>
      </w:r>
      <w:r w:rsidR="003B43EA">
        <w:t>directl</w:t>
      </w:r>
      <w:r w:rsidR="00342768">
        <w:t>y related to PSE’s reasonable return on equity in this case</w:t>
      </w:r>
      <w:r w:rsidR="003B43EA">
        <w:t xml:space="preserve">.  </w:t>
      </w:r>
    </w:p>
    <w:p w:rsidR="00BE528C" w:rsidRDefault="00741FE7" w:rsidP="00EE19C1">
      <w:pPr>
        <w:pStyle w:val="Heading1"/>
        <w:spacing w:before="0"/>
      </w:pPr>
      <w:bookmarkStart w:id="13" w:name="_Toc413395564"/>
      <w:r>
        <w:t>market-based return on equity</w:t>
      </w:r>
      <w:bookmarkEnd w:id="13"/>
    </w:p>
    <w:p w:rsidR="00BE528C" w:rsidRDefault="00BE528C" w:rsidP="00BE528C">
      <w:pPr>
        <w:pStyle w:val="Heading2"/>
      </w:pPr>
      <w:bookmarkStart w:id="14" w:name="_Toc413395565"/>
      <w:r>
        <w:t>Overview</w:t>
      </w:r>
      <w:r w:rsidR="00447B62">
        <w:t>.</w:t>
      </w:r>
      <w:bookmarkEnd w:id="14"/>
      <w:r w:rsidR="00447B62">
        <w:t xml:space="preserve">  </w:t>
      </w:r>
    </w:p>
    <w:p w:rsidR="004F31AD" w:rsidRDefault="004F31AD" w:rsidP="004F31AD"/>
    <w:p w:rsidR="006C2B22" w:rsidRDefault="006C2B22" w:rsidP="005A77E9">
      <w:pPr>
        <w:pStyle w:val="ParNumber"/>
        <w:ind w:left="0" w:hanging="720"/>
      </w:pPr>
      <w:r>
        <w:tab/>
      </w:r>
      <w:r w:rsidR="004F31AD">
        <w:t>From the outset of this proceeding, Public Counsel has opposed the use of PSE’s 2011 GRC ROE</w:t>
      </w:r>
      <w:r w:rsidR="00973EB4">
        <w:t xml:space="preserve"> of 9.8</w:t>
      </w:r>
      <w:r w:rsidR="00A133C1">
        <w:t>%</w:t>
      </w:r>
      <w:r w:rsidR="00D5613F">
        <w:t xml:space="preserve"> as a basis for </w:t>
      </w:r>
      <w:r w:rsidR="00E54793">
        <w:t>setting rates, for two reasons</w:t>
      </w:r>
      <w:r w:rsidR="004F31AD">
        <w:t xml:space="preserve">: </w:t>
      </w:r>
      <w:r w:rsidR="00447B62">
        <w:t xml:space="preserve"> </w:t>
      </w:r>
      <w:r w:rsidR="004F31AD">
        <w:t xml:space="preserve">(1) </w:t>
      </w:r>
      <w:r w:rsidR="000F1AC7">
        <w:t xml:space="preserve">PSE’s </w:t>
      </w:r>
      <w:r w:rsidR="004F31AD">
        <w:t xml:space="preserve">ROE from the </w:t>
      </w:r>
      <w:r w:rsidR="00E54793">
        <w:t xml:space="preserve">2011 GRC </w:t>
      </w:r>
      <w:r w:rsidR="004F31AD">
        <w:t xml:space="preserve">did not reflect the </w:t>
      </w:r>
      <w:r w:rsidR="000F1AC7">
        <w:t xml:space="preserve">change in market conditions and the </w:t>
      </w:r>
      <w:r w:rsidR="004F31AD">
        <w:t xml:space="preserve">decline in cost of capital between the 2011 GRC and the start of </w:t>
      </w:r>
      <w:r w:rsidR="00447B62">
        <w:t xml:space="preserve">the Rate Plan in 2013; and (2) </w:t>
      </w:r>
      <w:r w:rsidR="004F31AD">
        <w:t>PSE’s</w:t>
      </w:r>
      <w:r w:rsidR="00447B62">
        <w:t xml:space="preserve"> earlier ROE pre</w:t>
      </w:r>
      <w:r w:rsidR="00447B62">
        <w:noBreakHyphen/>
      </w:r>
      <w:r w:rsidR="000F1AC7">
        <w:t>dated and therefore did not reflect the risk</w:t>
      </w:r>
      <w:r w:rsidR="00447B62">
        <w:t xml:space="preserve"> reduction due to decoupling.  </w:t>
      </w:r>
      <w:r w:rsidR="000F1AC7" w:rsidRPr="00447B62">
        <w:t xml:space="preserve">Consistent with the Superior Court’s Remand Order, the Commission is now conducting this proceeding to address both </w:t>
      </w:r>
      <w:r w:rsidR="001B1F2E">
        <w:t xml:space="preserve">of </w:t>
      </w:r>
      <w:r w:rsidR="000F1AC7" w:rsidRPr="00447B62">
        <w:t>these issues on a full record.</w:t>
      </w:r>
      <w:r w:rsidR="007D0DC6">
        <w:t xml:space="preserve">  This brief</w:t>
      </w:r>
      <w:r w:rsidR="00E54793">
        <w:t xml:space="preserve"> parallels the testimony of </w:t>
      </w:r>
      <w:r w:rsidR="000F1AC7">
        <w:t xml:space="preserve"> </w:t>
      </w:r>
      <w:r w:rsidR="00447B62">
        <w:t>Public Counsel witness</w:t>
      </w:r>
      <w:r w:rsidR="00E54793">
        <w:t xml:space="preserve"> </w:t>
      </w:r>
      <w:r w:rsidR="00447B62">
        <w:t xml:space="preserve">Stephen </w:t>
      </w:r>
      <w:r w:rsidR="000F1AC7">
        <w:t xml:space="preserve">Hill, </w:t>
      </w:r>
      <w:r w:rsidR="00E54793">
        <w:t xml:space="preserve">addressing </w:t>
      </w:r>
      <w:r w:rsidR="007D0DC6">
        <w:t xml:space="preserve">the decline in the market-based ROE </w:t>
      </w:r>
      <w:r w:rsidR="00447B62">
        <w:t xml:space="preserve">in this section, </w:t>
      </w:r>
      <w:r w:rsidR="000F1AC7">
        <w:t>and decoupling issues separately below.</w:t>
      </w:r>
    </w:p>
    <w:p w:rsidR="00A477A1" w:rsidRDefault="00A477A1" w:rsidP="00A477A1">
      <w:pPr>
        <w:pStyle w:val="ParNumber"/>
        <w:numPr>
          <w:ilvl w:val="0"/>
          <w:numId w:val="0"/>
        </w:numPr>
      </w:pPr>
    </w:p>
    <w:p w:rsidR="00A477A1" w:rsidRDefault="00A477A1" w:rsidP="00A477A1">
      <w:pPr>
        <w:pStyle w:val="ParNumber"/>
        <w:numPr>
          <w:ilvl w:val="0"/>
          <w:numId w:val="0"/>
        </w:numPr>
      </w:pPr>
    </w:p>
    <w:p w:rsidR="00970F3F" w:rsidRDefault="00970F3F" w:rsidP="00973EB4">
      <w:pPr>
        <w:pStyle w:val="Heading3"/>
        <w:spacing w:before="0"/>
      </w:pPr>
      <w:bookmarkStart w:id="15" w:name="_Toc413395566"/>
      <w:r>
        <w:t>Market-based Return on Equity declined between the PSE 2011 General Rate Case and the inception of the Rate Plan.</w:t>
      </w:r>
      <w:bookmarkEnd w:id="15"/>
    </w:p>
    <w:p w:rsidR="00973EB4" w:rsidRPr="00973EB4" w:rsidRDefault="00973EB4" w:rsidP="00973EB4"/>
    <w:p w:rsidR="000F1AC7" w:rsidRDefault="006C2B22" w:rsidP="005A77E9">
      <w:pPr>
        <w:pStyle w:val="ParNumber"/>
        <w:ind w:left="0" w:hanging="720"/>
      </w:pPr>
      <w:r>
        <w:tab/>
      </w:r>
      <w:r w:rsidR="000F1AC7">
        <w:t>The weight of the expert analys</w:t>
      </w:r>
      <w:r w:rsidR="00E54793">
        <w:t>e</w:t>
      </w:r>
      <w:r w:rsidR="000F1AC7">
        <w:t xml:space="preserve">s presented in </w:t>
      </w:r>
      <w:r w:rsidR="00447B62">
        <w:t xml:space="preserve">this </w:t>
      </w:r>
      <w:r w:rsidR="00E54793">
        <w:t>R</w:t>
      </w:r>
      <w:r w:rsidR="00447B62">
        <w:t>emand c</w:t>
      </w:r>
      <w:r w:rsidR="007D0DC6">
        <w:t xml:space="preserve">ase </w:t>
      </w:r>
      <w:r w:rsidR="000F1AC7">
        <w:t xml:space="preserve">strongly supports a finding that </w:t>
      </w:r>
      <w:r w:rsidR="007D0DC6">
        <w:t>the market-based cost of capital declined between the 2011 GRC and the early</w:t>
      </w:r>
      <w:r w:rsidR="00447B62">
        <w:t xml:space="preserve"> 2013 target period when the </w:t>
      </w:r>
      <w:r w:rsidR="001D3107">
        <w:t>R</w:t>
      </w:r>
      <w:r w:rsidR="00447B62">
        <w:t xml:space="preserve">ate </w:t>
      </w:r>
      <w:r w:rsidR="001D3107">
        <w:t>P</w:t>
      </w:r>
      <w:r w:rsidR="007D0DC6">
        <w:t>lan began</w:t>
      </w:r>
      <w:r w:rsidR="00447B62">
        <w:t xml:space="preserve">.  </w:t>
      </w:r>
      <w:r w:rsidR="007D0DC6">
        <w:t>The expert testimony contains the following recommendations</w:t>
      </w:r>
      <w:r w:rsidR="00E54793">
        <w:t xml:space="preserve"> for the target period</w:t>
      </w:r>
      <w:r w:rsidR="001B1F2E">
        <w:t>, based on market conditions</w:t>
      </w:r>
      <w:r w:rsidR="00C25FE6">
        <w:t>:</w:t>
      </w:r>
    </w:p>
    <w:p w:rsidR="007D0DC6" w:rsidRDefault="007D0DC6" w:rsidP="000F1AC7">
      <w:pPr>
        <w:spacing w:line="480" w:lineRule="auto"/>
        <w:ind w:firstLine="720"/>
      </w:pPr>
      <w:r>
        <w:lastRenderedPageBreak/>
        <w:t>Commis</w:t>
      </w:r>
      <w:r w:rsidR="007F6062">
        <w:t>sion Staff (David Parcell)</w:t>
      </w:r>
      <w:r w:rsidR="007F6062">
        <w:tab/>
      </w:r>
      <w:r w:rsidR="007F6062">
        <w:tab/>
        <w:t>9.5</w:t>
      </w:r>
      <w:r>
        <w:t>%</w:t>
      </w:r>
    </w:p>
    <w:p w:rsidR="007D0DC6" w:rsidRDefault="007D0DC6" w:rsidP="000F1AC7">
      <w:pPr>
        <w:spacing w:line="480" w:lineRule="auto"/>
        <w:ind w:firstLine="720"/>
      </w:pPr>
      <w:r>
        <w:t>ICNU (Michael Gorman)</w:t>
      </w:r>
      <w:r w:rsidR="007F6062">
        <w:tab/>
      </w:r>
      <w:r w:rsidR="007F6062">
        <w:tab/>
      </w:r>
      <w:r w:rsidR="007F6062">
        <w:tab/>
        <w:t>9.3</w:t>
      </w:r>
      <w:r w:rsidR="00015856">
        <w:t>%</w:t>
      </w:r>
    </w:p>
    <w:p w:rsidR="006C2B22" w:rsidRDefault="00015856" w:rsidP="006C2B22">
      <w:pPr>
        <w:spacing w:line="480" w:lineRule="auto"/>
        <w:ind w:firstLine="720"/>
      </w:pPr>
      <w:r>
        <w:t>Public Counsel (Stephen Hill)</w:t>
      </w:r>
      <w:r>
        <w:tab/>
      </w:r>
      <w:r>
        <w:tab/>
        <w:t>9.</w:t>
      </w:r>
      <w:r w:rsidR="007F6062">
        <w:t>0</w:t>
      </w:r>
      <w:r>
        <w:t>%</w:t>
      </w:r>
    </w:p>
    <w:p w:rsidR="00015856" w:rsidRDefault="006C2B22" w:rsidP="005A77E9">
      <w:pPr>
        <w:pStyle w:val="ParNumber"/>
        <w:ind w:left="0" w:hanging="720"/>
      </w:pPr>
      <w:r>
        <w:tab/>
      </w:r>
      <w:r w:rsidR="00C25FE6">
        <w:t>PSE witness</w:t>
      </w:r>
      <w:r w:rsidR="00447B62">
        <w:t>,</w:t>
      </w:r>
      <w:r w:rsidR="00C25FE6">
        <w:t xml:space="preserve"> Dr. Morin does not make a specific recommendation for ROE in this case, inste</w:t>
      </w:r>
      <w:r w:rsidR="00447B62">
        <w:t xml:space="preserve">ad presenting various ranges.  </w:t>
      </w:r>
      <w:r w:rsidR="00C25FE6">
        <w:t>However, the mid</w:t>
      </w:r>
      <w:r w:rsidR="00447B62">
        <w:t xml:space="preserve">-point of </w:t>
      </w:r>
      <w:r w:rsidR="005A70C6">
        <w:t xml:space="preserve">his </w:t>
      </w:r>
      <w:r w:rsidR="00447B62">
        <w:t>analytic model result</w:t>
      </w:r>
      <w:r w:rsidR="0016563B">
        <w:t xml:space="preserve"> for the first half of 2013</w:t>
      </w:r>
      <w:r w:rsidR="00214154">
        <w:t xml:space="preserve"> is 10.3</w:t>
      </w:r>
      <w:r w:rsidR="00A133C1">
        <w:t>%</w:t>
      </w:r>
      <w:r w:rsidR="00C25FE6">
        <w:t>, indicating his conclusion that cost of capital increased during the relevant period.</w:t>
      </w:r>
      <w:r w:rsidR="00E54793">
        <w:rPr>
          <w:rStyle w:val="FootnoteReference"/>
        </w:rPr>
        <w:footnoteReference w:id="27"/>
      </w:r>
      <w:r w:rsidR="00C25FE6">
        <w:t xml:space="preserve"> </w:t>
      </w:r>
    </w:p>
    <w:p w:rsidR="00C43A2B" w:rsidRDefault="00C43A2B" w:rsidP="00EE19C1">
      <w:pPr>
        <w:pStyle w:val="Heading3"/>
        <w:spacing w:before="0"/>
      </w:pPr>
      <w:bookmarkStart w:id="16" w:name="_Toc413395567"/>
      <w:r>
        <w:t xml:space="preserve">The analyses </w:t>
      </w:r>
      <w:r w:rsidR="0025529F">
        <w:t xml:space="preserve">for 2014 </w:t>
      </w:r>
      <w:r>
        <w:t>corrobora</w:t>
      </w:r>
      <w:r w:rsidR="0025529F">
        <w:t xml:space="preserve">te </w:t>
      </w:r>
      <w:r>
        <w:t>the target period recommendations.</w:t>
      </w:r>
      <w:bookmarkEnd w:id="16"/>
    </w:p>
    <w:p w:rsidR="006C2B22" w:rsidRPr="006C2B22" w:rsidRDefault="006C2B22" w:rsidP="006C2B22"/>
    <w:p w:rsidR="00A10504" w:rsidRDefault="006C2B22" w:rsidP="005A77E9">
      <w:pPr>
        <w:pStyle w:val="ParNumber"/>
        <w:ind w:left="0" w:hanging="720"/>
      </w:pPr>
      <w:r>
        <w:tab/>
      </w:r>
      <w:r w:rsidR="00C43A2B">
        <w:t xml:space="preserve">The </w:t>
      </w:r>
      <w:r w:rsidR="00A10504">
        <w:t xml:space="preserve">Commission directed parties “at a minimum” </w:t>
      </w:r>
      <w:r w:rsidR="00A37859">
        <w:t xml:space="preserve">to </w:t>
      </w:r>
      <w:r w:rsidR="00A10504">
        <w:t xml:space="preserve">present </w:t>
      </w:r>
      <w:r w:rsidR="000B0A7E">
        <w:t xml:space="preserve">a full </w:t>
      </w:r>
      <w:r w:rsidR="00A10504">
        <w:t xml:space="preserve">cost of capital analysis for the </w:t>
      </w:r>
      <w:r w:rsidR="00C43A2B">
        <w:t xml:space="preserve">early 2013 </w:t>
      </w:r>
      <w:r w:rsidR="00A10504">
        <w:t xml:space="preserve">time period </w:t>
      </w:r>
      <w:r w:rsidR="000B0A7E">
        <w:t>when the Rate Plan was being adopted</w:t>
      </w:r>
      <w:r w:rsidR="00A37859">
        <w:t>.</w:t>
      </w:r>
      <w:r w:rsidR="00A10504">
        <w:rPr>
          <w:rStyle w:val="FootnoteReference"/>
        </w:rPr>
        <w:footnoteReference w:id="28"/>
      </w:r>
      <w:r w:rsidR="000B0A7E">
        <w:t xml:space="preserve"> </w:t>
      </w:r>
      <w:r w:rsidR="001D3107">
        <w:t xml:space="preserve"> </w:t>
      </w:r>
      <w:r w:rsidR="00A37859">
        <w:t xml:space="preserve">The Commission </w:t>
      </w:r>
      <w:r w:rsidR="00F65E23">
        <w:t xml:space="preserve">also </w:t>
      </w:r>
      <w:r w:rsidR="000B0A7E">
        <w:t xml:space="preserve">allowed parties to address later periods if </w:t>
      </w:r>
      <w:r w:rsidR="00F65E23">
        <w:t xml:space="preserve">they </w:t>
      </w:r>
      <w:r w:rsidR="000B0A7E">
        <w:t>desired.</w:t>
      </w:r>
      <w:r w:rsidR="00F65E23">
        <w:rPr>
          <w:rStyle w:val="FootnoteReference"/>
        </w:rPr>
        <w:footnoteReference w:id="29"/>
      </w:r>
      <w:r w:rsidR="000B0A7E">
        <w:t xml:space="preserve">  </w:t>
      </w:r>
      <w:r w:rsidR="001E3FC8">
        <w:t xml:space="preserve">All parties’ experts addressed the target period.  </w:t>
      </w:r>
      <w:r w:rsidR="00623AAA">
        <w:t>ICNU witness</w:t>
      </w:r>
      <w:r w:rsidR="0025529F">
        <w:t xml:space="preserve"> </w:t>
      </w:r>
      <w:r w:rsidR="00623AAA">
        <w:t xml:space="preserve">Michael </w:t>
      </w:r>
      <w:r w:rsidR="0025529F">
        <w:t xml:space="preserve">Gorman and </w:t>
      </w:r>
      <w:r w:rsidR="001E3FC8">
        <w:t xml:space="preserve">PSE witness </w:t>
      </w:r>
      <w:r w:rsidR="0025529F">
        <w:t xml:space="preserve">Dr. Morin conducted full analyses for 2014, in addition to their early 2013 </w:t>
      </w:r>
      <w:r w:rsidR="001E3FC8">
        <w:t xml:space="preserve">target period </w:t>
      </w:r>
      <w:r w:rsidR="0025529F">
        <w:t xml:space="preserve">analyses. </w:t>
      </w:r>
      <w:r w:rsidR="00623AAA">
        <w:t xml:space="preserve"> </w:t>
      </w:r>
      <w:r w:rsidR="00B0277E">
        <w:t xml:space="preserve">Mr. Hill did not conduct a separate analysis for 2014 but addressed </w:t>
      </w:r>
      <w:r w:rsidR="00A37859">
        <w:t xml:space="preserve">the </w:t>
      </w:r>
      <w:r w:rsidR="00B0277E">
        <w:t>2014 market in his testimony.</w:t>
      </w:r>
      <w:r w:rsidR="00F65E23">
        <w:rPr>
          <w:rStyle w:val="FootnoteReference"/>
        </w:rPr>
        <w:footnoteReference w:id="30"/>
      </w:r>
      <w:r w:rsidR="00B0277E">
        <w:t xml:space="preserve">  </w:t>
      </w:r>
      <w:r w:rsidR="002530F3">
        <w:t xml:space="preserve">None of the </w:t>
      </w:r>
      <w:r w:rsidR="00A37859">
        <w:t xml:space="preserve">2014 analyses </w:t>
      </w:r>
      <w:r w:rsidR="002530F3">
        <w:t xml:space="preserve">caused the witnesses to </w:t>
      </w:r>
      <w:r w:rsidR="00D874BB">
        <w:t xml:space="preserve">conclude that cost of capital had </w:t>
      </w:r>
      <w:r w:rsidR="002530F3">
        <w:t>change</w:t>
      </w:r>
      <w:r w:rsidR="00D874BB">
        <w:t>d</w:t>
      </w:r>
      <w:r w:rsidR="002530F3">
        <w:t xml:space="preserve"> </w:t>
      </w:r>
      <w:r w:rsidR="00D874BB">
        <w:t xml:space="preserve">substantially </w:t>
      </w:r>
      <w:r w:rsidR="001E3FC8">
        <w:t xml:space="preserve">since 2013 </w:t>
      </w:r>
      <w:r w:rsidR="00D874BB">
        <w:t xml:space="preserve">or to change </w:t>
      </w:r>
      <w:r w:rsidR="002530F3">
        <w:t>their recommendations for the target period</w:t>
      </w:r>
      <w:r w:rsidR="001E3FC8">
        <w:t xml:space="preserve"> or the term of the rate plan</w:t>
      </w:r>
      <w:r w:rsidR="002530F3">
        <w:t>.</w:t>
      </w:r>
      <w:r w:rsidR="00D874BB">
        <w:rPr>
          <w:rStyle w:val="FootnoteReference"/>
        </w:rPr>
        <w:footnoteReference w:id="31"/>
      </w:r>
      <w:r w:rsidR="002530F3">
        <w:t xml:space="preserve">  </w:t>
      </w:r>
      <w:r w:rsidR="00237482">
        <w:t xml:space="preserve">There is no </w:t>
      </w:r>
      <w:r w:rsidR="00237482">
        <w:lastRenderedPageBreak/>
        <w:t>disagreement among the parties that the early 2013 target period is the appropriate time period upon which to focus for determining the fair return to be used in setting the Rate Plan rates.</w:t>
      </w:r>
    </w:p>
    <w:p w:rsidR="00BE528C" w:rsidRDefault="00747B0D" w:rsidP="00EE19C1">
      <w:pPr>
        <w:pStyle w:val="Heading2"/>
        <w:spacing w:before="0"/>
      </w:pPr>
      <w:bookmarkStart w:id="17" w:name="_Toc413395568"/>
      <w:r>
        <w:t xml:space="preserve">Public Counsel </w:t>
      </w:r>
      <w:r w:rsidR="00214154">
        <w:t>Expert Stephen Hill Recommends a Reduction i</w:t>
      </w:r>
      <w:r>
        <w:t>n PSE’s Return on Equity.</w:t>
      </w:r>
      <w:bookmarkEnd w:id="17"/>
    </w:p>
    <w:p w:rsidR="00747B0D" w:rsidRDefault="00747B0D" w:rsidP="00747B0D"/>
    <w:p w:rsidR="001E3FC8" w:rsidRDefault="00736494" w:rsidP="005A77E9">
      <w:pPr>
        <w:pStyle w:val="ParNumber"/>
        <w:ind w:left="0" w:hanging="720"/>
      </w:pPr>
      <w:r>
        <w:tab/>
      </w:r>
      <w:r w:rsidR="001E3FC8">
        <w:t xml:space="preserve">As just noted, </w:t>
      </w:r>
      <w:r>
        <w:t xml:space="preserve">Stephen </w:t>
      </w:r>
      <w:r w:rsidR="00747B0D" w:rsidRPr="00D0295A">
        <w:t>Hill</w:t>
      </w:r>
      <w:r w:rsidR="00747B0D">
        <w:t xml:space="preserve">’s </w:t>
      </w:r>
      <w:r w:rsidR="00747B0D" w:rsidRPr="00D0295A">
        <w:t xml:space="preserve">analysis determines that a reasonable ROE for </w:t>
      </w:r>
      <w:r w:rsidR="00E52E8A">
        <w:t xml:space="preserve">PSE for </w:t>
      </w:r>
      <w:r w:rsidR="00747B0D" w:rsidRPr="00D0295A">
        <w:t xml:space="preserve">purposes of </w:t>
      </w:r>
      <w:r>
        <w:t xml:space="preserve">the Rate Plan </w:t>
      </w:r>
      <w:r w:rsidR="00E52E8A">
        <w:t xml:space="preserve">at mid-year 2013 </w:t>
      </w:r>
      <w:r w:rsidR="00747B0D">
        <w:t xml:space="preserve">is </w:t>
      </w:r>
      <w:r w:rsidR="00214154">
        <w:t>9.0</w:t>
      </w:r>
      <w:r w:rsidR="00A133C1">
        <w:t>%</w:t>
      </w:r>
      <w:r>
        <w:t>, the mid-po</w:t>
      </w:r>
      <w:r w:rsidR="00214154">
        <w:t>int of his range of 8.5 to 9.5</w:t>
      </w:r>
      <w:r w:rsidR="00A133C1">
        <w:t>%</w:t>
      </w:r>
      <w:r w:rsidR="00E52E8A">
        <w:t xml:space="preserve">.  This does not include consideration of the impact </w:t>
      </w:r>
      <w:r>
        <w:t xml:space="preserve">of </w:t>
      </w:r>
      <w:r w:rsidR="00E52E8A">
        <w:t>decoupling, discussed separately</w:t>
      </w:r>
      <w:r>
        <w:t xml:space="preserve"> below</w:t>
      </w:r>
      <w:r w:rsidR="00E52E8A">
        <w:t xml:space="preserve">. </w:t>
      </w:r>
    </w:p>
    <w:p w:rsidR="002A7C42" w:rsidRDefault="00741FE7" w:rsidP="00214154">
      <w:pPr>
        <w:pStyle w:val="Heading3"/>
        <w:spacing w:before="0"/>
      </w:pPr>
      <w:bookmarkStart w:id="18" w:name="_Toc413395569"/>
      <w:r>
        <w:t>The e</w:t>
      </w:r>
      <w:r w:rsidR="001E3FC8">
        <w:t>conomic environment</w:t>
      </w:r>
      <w:r>
        <w:t xml:space="preserve"> reflects low inflation, moderate recovery and declining long-term interest rates</w:t>
      </w:r>
      <w:r w:rsidR="00214154">
        <w:t>.</w:t>
      </w:r>
      <w:bookmarkEnd w:id="18"/>
    </w:p>
    <w:p w:rsidR="00214154" w:rsidRPr="00214154" w:rsidRDefault="00214154" w:rsidP="00214154"/>
    <w:p w:rsidR="005A77E9" w:rsidRDefault="002A7C42" w:rsidP="005A77E9">
      <w:pPr>
        <w:pStyle w:val="ParNumber"/>
        <w:ind w:left="0" w:hanging="720"/>
      </w:pPr>
      <w:r>
        <w:tab/>
      </w:r>
      <w:r w:rsidR="00E52E8A">
        <w:t xml:space="preserve">Mr. Hill’s testimony </w:t>
      </w:r>
      <w:r w:rsidR="00736494">
        <w:t xml:space="preserve">begins with </w:t>
      </w:r>
      <w:r w:rsidR="00E52E8A">
        <w:t>a review of the economic environm</w:t>
      </w:r>
      <w:r w:rsidR="00BB3080">
        <w:t>ent</w:t>
      </w:r>
      <w:r w:rsidR="00736494">
        <w:t xml:space="preserve"> in early 2013</w:t>
      </w:r>
      <w:r w:rsidR="00BB3080">
        <w:t xml:space="preserve">.  This is important because the cost of capital is expectational or </w:t>
      </w:r>
      <w:r w:rsidR="00BB3080" w:rsidRPr="002A7C42">
        <w:rPr>
          <w:i/>
        </w:rPr>
        <w:t>ex ante</w:t>
      </w:r>
      <w:r w:rsidR="00BB3080">
        <w:t xml:space="preserve">, based on an estimate of investor expectations with regard to the relative risk and return of the utility, and for the particular risk-class of the investments that </w:t>
      </w:r>
      <w:r>
        <w:t xml:space="preserve">includes the subject utility.  </w:t>
      </w:r>
      <w:r w:rsidR="00BB3080">
        <w:t>Accordingly, the broader economic context, including such factors as the strength of the U.S. economy, the direction of interest rates</w:t>
      </w:r>
      <w:r>
        <w:t>,</w:t>
      </w:r>
      <w:r w:rsidR="00BB3080">
        <w:t xml:space="preserve"> and the </w:t>
      </w:r>
      <w:r w:rsidR="00857D69">
        <w:t>level of inflation</w:t>
      </w:r>
      <w:r w:rsidR="00BB3080">
        <w:t xml:space="preserve"> are </w:t>
      </w:r>
      <w:r w:rsidR="000B01F5">
        <w:t>relevant to investor expectations.</w:t>
      </w:r>
      <w:r w:rsidR="000B01F5">
        <w:rPr>
          <w:rStyle w:val="FootnoteReference"/>
        </w:rPr>
        <w:footnoteReference w:id="32"/>
      </w:r>
      <w:r w:rsidR="000B01F5">
        <w:t xml:space="preserve">  </w:t>
      </w:r>
    </w:p>
    <w:p w:rsidR="008972C5" w:rsidRDefault="005A77E9" w:rsidP="005A77E9">
      <w:pPr>
        <w:pStyle w:val="ParNumber"/>
        <w:ind w:left="0" w:hanging="720"/>
      </w:pPr>
      <w:r>
        <w:tab/>
      </w:r>
      <w:r w:rsidR="000B01F5">
        <w:t xml:space="preserve">With regard to </w:t>
      </w:r>
      <w:r w:rsidR="00650AC3">
        <w:t xml:space="preserve">the </w:t>
      </w:r>
      <w:r w:rsidR="000B01F5">
        <w:t>Fed</w:t>
      </w:r>
      <w:r w:rsidR="00650AC3">
        <w:t>eral Reserve (Fed)</w:t>
      </w:r>
      <w:r w:rsidR="000B01F5">
        <w:t xml:space="preserve"> policy, </w:t>
      </w:r>
      <w:r w:rsidR="009879AF">
        <w:t>l</w:t>
      </w:r>
      <w:r w:rsidR="000B01F5">
        <w:t>ong-term interest rates (20-year T</w:t>
      </w:r>
      <w:r w:rsidR="009879AF">
        <w:t>reasury</w:t>
      </w:r>
      <w:r w:rsidR="000B01F5">
        <w:t xml:space="preserve"> b</w:t>
      </w:r>
      <w:r w:rsidR="005703FC">
        <w:t>onds), ranging from 3.5 to 5.0</w:t>
      </w:r>
      <w:r w:rsidR="00A133C1">
        <w:t>%</w:t>
      </w:r>
      <w:r w:rsidR="009879AF">
        <w:t xml:space="preserve"> in the last decade, have shown </w:t>
      </w:r>
      <w:r w:rsidR="000B01F5">
        <w:t>a slow and relatively steady downward trend.</w:t>
      </w:r>
      <w:r w:rsidR="00A269C3">
        <w:rPr>
          <w:rStyle w:val="FootnoteReference"/>
        </w:rPr>
        <w:footnoteReference w:id="33"/>
      </w:r>
      <w:r w:rsidR="009879AF">
        <w:t xml:space="preserve"> </w:t>
      </w:r>
      <w:r w:rsidR="002E207C">
        <w:t xml:space="preserve"> </w:t>
      </w:r>
      <w:r w:rsidR="009879AF">
        <w:t>Because long-term Treasury bonds are a fundamental building block of capital costs, this provides an indication that capital costs were lower in 2013 than during the economic turmoil</w:t>
      </w:r>
      <w:r w:rsidR="008972C5">
        <w:t xml:space="preserve"> of late 2008 and early 2009, a</w:t>
      </w:r>
      <w:r w:rsidR="005275DB">
        <w:t>s shown in a chart in</w:t>
      </w:r>
      <w:r w:rsidR="008972C5">
        <w:t xml:space="preserve"> Mr. Hill’s testimony</w:t>
      </w:r>
      <w:r w:rsidR="001E3FC8">
        <w:t>, reproduced here</w:t>
      </w:r>
      <w:r w:rsidR="006271C9">
        <w:t>.</w:t>
      </w:r>
    </w:p>
    <w:p w:rsidR="008972C5" w:rsidRPr="00EE19C1" w:rsidRDefault="005275DB" w:rsidP="005A77E9">
      <w:pPr>
        <w:pStyle w:val="ParNumber"/>
        <w:numPr>
          <w:ilvl w:val="0"/>
          <w:numId w:val="0"/>
        </w:numPr>
        <w:ind w:left="360"/>
        <w:jc w:val="center"/>
        <w:rPr>
          <w:b/>
        </w:rPr>
      </w:pPr>
      <w:r>
        <w:rPr>
          <w:b/>
        </w:rPr>
        <w:lastRenderedPageBreak/>
        <w:t xml:space="preserve">Chart </w:t>
      </w:r>
      <w:r w:rsidR="008972C5" w:rsidRPr="00EE19C1">
        <w:rPr>
          <w:b/>
        </w:rPr>
        <w:t>I</w:t>
      </w:r>
      <w:r w:rsidR="00C72828" w:rsidRPr="00EE19C1">
        <w:rPr>
          <w:rStyle w:val="FootnoteReference"/>
          <w:b/>
        </w:rPr>
        <w:footnoteReference w:id="34"/>
      </w:r>
      <w:r>
        <w:rPr>
          <w:b/>
        </w:rPr>
        <w:fldChar w:fldCharType="begin"/>
      </w:r>
      <w:r>
        <w:instrText xml:space="preserve"> TA \l "</w:instrText>
      </w:r>
      <w:r w:rsidRPr="00331A0F">
        <w:rPr>
          <w:b/>
        </w:rPr>
        <w:instrText>Chart I:  BBB-Rated Corporate Bond Yields</w:instrText>
      </w:r>
      <w:r>
        <w:instrText xml:space="preserve">" \s "Chart I" \c 5 </w:instrText>
      </w:r>
      <w:r>
        <w:rPr>
          <w:b/>
        </w:rPr>
        <w:fldChar w:fldCharType="end"/>
      </w:r>
    </w:p>
    <w:p w:rsidR="008972C5" w:rsidRPr="00EE19C1" w:rsidRDefault="008972C5" w:rsidP="00EE19C1">
      <w:pPr>
        <w:pStyle w:val="ParNumber"/>
        <w:numPr>
          <w:ilvl w:val="0"/>
          <w:numId w:val="0"/>
        </w:numPr>
        <w:spacing w:line="240" w:lineRule="auto"/>
        <w:ind w:left="360"/>
        <w:jc w:val="center"/>
        <w:rPr>
          <w:b/>
        </w:rPr>
      </w:pPr>
      <w:r w:rsidRPr="00EE19C1">
        <w:rPr>
          <w:b/>
        </w:rPr>
        <w:t>BBB-Rated Corporate Bond Yields</w:t>
      </w:r>
    </w:p>
    <w:p w:rsidR="008972C5" w:rsidRDefault="008972C5" w:rsidP="00EE19C1">
      <w:pPr>
        <w:pStyle w:val="ParNumber"/>
        <w:numPr>
          <w:ilvl w:val="0"/>
          <w:numId w:val="0"/>
        </w:numPr>
        <w:jc w:val="center"/>
      </w:pPr>
      <w:r>
        <w:rPr>
          <w:noProof/>
        </w:rPr>
        <w:drawing>
          <wp:inline distT="0" distB="0" distL="0" distR="0" wp14:anchorId="3D83F159" wp14:editId="09CEB1DC">
            <wp:extent cx="4876678" cy="2927757"/>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9620" cy="2929523"/>
                    </a:xfrm>
                    <a:prstGeom prst="rect">
                      <a:avLst/>
                    </a:prstGeom>
                    <a:noFill/>
                  </pic:spPr>
                </pic:pic>
              </a:graphicData>
            </a:graphic>
          </wp:inline>
        </w:drawing>
      </w:r>
    </w:p>
    <w:p w:rsidR="008972C5" w:rsidRDefault="00321068" w:rsidP="000E6F08">
      <w:pPr>
        <w:pStyle w:val="ParNumber"/>
        <w:numPr>
          <w:ilvl w:val="0"/>
          <w:numId w:val="0"/>
        </w:numPr>
        <w:jc w:val="center"/>
      </w:pPr>
      <w:r w:rsidRPr="00321068">
        <w:rPr>
          <w:sz w:val="20"/>
          <w:szCs w:val="20"/>
        </w:rPr>
        <w:t xml:space="preserve">Source: </w:t>
      </w:r>
      <w:r w:rsidR="008972C5" w:rsidRPr="00321068">
        <w:rPr>
          <w:sz w:val="20"/>
          <w:szCs w:val="20"/>
        </w:rPr>
        <w:t>Data from the Federal Reserve Statistical Release H.15, Historical Data</w:t>
      </w:r>
      <w:r w:rsidR="008972C5">
        <w:t>.</w:t>
      </w:r>
    </w:p>
    <w:p w:rsidR="002E207C" w:rsidRDefault="006271C9" w:rsidP="004823CD">
      <w:pPr>
        <w:pStyle w:val="ParNumber"/>
        <w:numPr>
          <w:ilvl w:val="0"/>
          <w:numId w:val="0"/>
        </w:numPr>
      </w:pPr>
      <w:r>
        <w:t>BBB-rated corporate b</w:t>
      </w:r>
      <w:r w:rsidR="009879AF">
        <w:t xml:space="preserve">ond yields </w:t>
      </w:r>
      <w:r w:rsidR="00A269C3">
        <w:t xml:space="preserve">also declined between the time of PSE’s 2011 GRC and </w:t>
      </w:r>
      <w:r>
        <w:t>early 2013</w:t>
      </w:r>
      <w:r w:rsidR="0078324E">
        <w:t xml:space="preserve">. </w:t>
      </w:r>
      <w:r w:rsidR="008972C5">
        <w:t xml:space="preserve"> This market evidence is</w:t>
      </w:r>
      <w:r>
        <w:t xml:space="preserve"> a further indication that a lower cost of capital would be appropriate for the time rates were set in 2013.</w:t>
      </w:r>
      <w:r w:rsidR="001E3FC8">
        <w:rPr>
          <w:rStyle w:val="FootnoteReference"/>
        </w:rPr>
        <w:footnoteReference w:id="35"/>
      </w:r>
      <w:r>
        <w:t xml:space="preserve"> </w:t>
      </w:r>
    </w:p>
    <w:p w:rsidR="00121479" w:rsidRDefault="002E207C" w:rsidP="005A77E9">
      <w:pPr>
        <w:pStyle w:val="ParNumber"/>
        <w:ind w:left="0" w:hanging="720"/>
      </w:pPr>
      <w:r>
        <w:tab/>
      </w:r>
      <w:r w:rsidR="0078324E">
        <w:t xml:space="preserve">The expectation in early 2013 was that recovery from the economic recession would be likely to continue at a moderate pace, allowing core inflation to remain moderate. </w:t>
      </w:r>
      <w:r w:rsidR="00650AC3">
        <w:t xml:space="preserve"> </w:t>
      </w:r>
      <w:r w:rsidR="0078324E">
        <w:t>The Fed was expected to keep interest rates low for at least the next two years.</w:t>
      </w:r>
      <w:r w:rsidR="00736494">
        <w:rPr>
          <w:rStyle w:val="FootnoteReference"/>
        </w:rPr>
        <w:footnoteReference w:id="36"/>
      </w:r>
      <w:r w:rsidR="0078324E">
        <w:t xml:space="preserve"> </w:t>
      </w:r>
      <w:r w:rsidR="00736494">
        <w:t xml:space="preserve"> </w:t>
      </w:r>
      <w:r w:rsidR="0078324E">
        <w:t xml:space="preserve">In 2013, the indicated expectations from Value Line were that long-term interest rates would move somewhat higher in the future, assuming a continued moderate pace to the economic recovery.  </w:t>
      </w:r>
      <w:r w:rsidR="00E321A9">
        <w:t xml:space="preserve">With the moderate </w:t>
      </w:r>
      <w:r w:rsidR="00E321A9">
        <w:lastRenderedPageBreak/>
        <w:t>pace of the economy and relatively low core inflation, for the period in question, capital costs were low, and expected to remain low until there is more rapid economic growth, expected by Value Line to occur in the 2016-2018 period.</w:t>
      </w:r>
      <w:r w:rsidR="00736494">
        <w:rPr>
          <w:rStyle w:val="FootnoteReference"/>
        </w:rPr>
        <w:footnoteReference w:id="37"/>
      </w:r>
    </w:p>
    <w:p w:rsidR="008D6382" w:rsidRDefault="00903819" w:rsidP="000E6F08">
      <w:pPr>
        <w:pStyle w:val="Heading3"/>
        <w:spacing w:before="0"/>
      </w:pPr>
      <w:bookmarkStart w:id="19" w:name="_Toc413395570"/>
      <w:r>
        <w:t>Mr. Hill relied on five cost of capital methodologies to evaluate return on equity for PSE</w:t>
      </w:r>
      <w:r w:rsidR="005A77E9">
        <w:t>.</w:t>
      </w:r>
      <w:bookmarkEnd w:id="19"/>
    </w:p>
    <w:p w:rsidR="005A77E9" w:rsidRPr="005A77E9" w:rsidRDefault="005A77E9" w:rsidP="005A77E9"/>
    <w:p w:rsidR="005A77E9" w:rsidRDefault="00121479" w:rsidP="005A77E9">
      <w:pPr>
        <w:pStyle w:val="ParNumber"/>
        <w:ind w:left="0" w:hanging="720"/>
      </w:pPr>
      <w:r>
        <w:tab/>
      </w:r>
      <w:r w:rsidR="007D3942" w:rsidRPr="00D0295A">
        <w:t xml:space="preserve">Mr. Hill conducted his cost of equity analysis using </w:t>
      </w:r>
      <w:r w:rsidR="002470EF">
        <w:t xml:space="preserve">five </w:t>
      </w:r>
      <w:r w:rsidR="007D3942" w:rsidRPr="00D0295A">
        <w:t>methodologies</w:t>
      </w:r>
      <w:r w:rsidR="007D3942">
        <w:t xml:space="preserve">:  Discounted Cash Flow (DCF), </w:t>
      </w:r>
      <w:r w:rsidR="002470EF">
        <w:t xml:space="preserve">Mechanical DCF, </w:t>
      </w:r>
      <w:r w:rsidR="007D3942">
        <w:t xml:space="preserve">Capital Asset Pricing </w:t>
      </w:r>
      <w:r>
        <w:t>Model (CAPM), Modified Earnings</w:t>
      </w:r>
      <w:r>
        <w:noBreakHyphen/>
      </w:r>
      <w:r w:rsidR="007D3942">
        <w:t xml:space="preserve">Price Ratio (MEPR), and Market-to-Book Ratio (MTB).  They are briefly described </w:t>
      </w:r>
      <w:r w:rsidR="00736494">
        <w:t>here</w:t>
      </w:r>
      <w:r w:rsidR="007D3942">
        <w:t>.</w:t>
      </w:r>
      <w:r w:rsidR="007D3942" w:rsidRPr="00D0295A">
        <w:t xml:space="preserve">  The </w:t>
      </w:r>
      <w:r w:rsidR="002470EF">
        <w:t xml:space="preserve">traditional </w:t>
      </w:r>
      <w:r w:rsidR="007D3942" w:rsidRPr="00D0295A">
        <w:t xml:space="preserve">DCF model, which relies on the equivalence of the market price of the stock with the present value of the cash flows investors expect from the stock, assumes that the discount rate equals the cost of capital.  </w:t>
      </w:r>
      <w:r w:rsidR="007D3942">
        <w:t>Under the DCF, t</w:t>
      </w:r>
      <w:r w:rsidR="007D3942" w:rsidRPr="00D0295A">
        <w:t>he total investor return, which equals the required return or cost of equity, is the sum of the dividend yield and the expected growth rate in the dividend.</w:t>
      </w:r>
      <w:r w:rsidR="007D3942" w:rsidRPr="00D0295A">
        <w:rPr>
          <w:rStyle w:val="FootnoteReference"/>
        </w:rPr>
        <w:footnoteReference w:id="38"/>
      </w:r>
      <w:r w:rsidR="007D3942" w:rsidRPr="00D0295A">
        <w:t xml:space="preserve"> </w:t>
      </w:r>
      <w:r>
        <w:t xml:space="preserve"> </w:t>
      </w:r>
      <w:r w:rsidR="002470EF" w:rsidRPr="00121479">
        <w:t xml:space="preserve">Traditional DCF has historically been given substantial weight </w:t>
      </w:r>
      <w:r w:rsidR="00E500F4">
        <w:t xml:space="preserve">by </w:t>
      </w:r>
      <w:r w:rsidR="002470EF" w:rsidRPr="00121479">
        <w:t>the Commission.</w:t>
      </w:r>
      <w:r w:rsidR="00736494" w:rsidRPr="00121479">
        <w:rPr>
          <w:rStyle w:val="FootnoteReference"/>
        </w:rPr>
        <w:footnoteReference w:id="39"/>
      </w:r>
    </w:p>
    <w:p w:rsidR="005A77E9" w:rsidRDefault="005A77E9" w:rsidP="005A77E9">
      <w:pPr>
        <w:pStyle w:val="ParNumber"/>
        <w:ind w:left="0" w:hanging="720"/>
      </w:pPr>
      <w:r>
        <w:tab/>
      </w:r>
      <w:r w:rsidR="002470EF">
        <w:t>Mr. Hill also employed</w:t>
      </w:r>
      <w:r w:rsidR="00121479">
        <w:t xml:space="preserve"> a “mechanical” </w:t>
      </w:r>
      <w:r w:rsidR="002113C9">
        <w:t>DCF analysis,</w:t>
      </w:r>
      <w:r w:rsidR="002470EF">
        <w:t xml:space="preserve"> </w:t>
      </w:r>
      <w:r w:rsidR="00C16178">
        <w:t xml:space="preserve">an </w:t>
      </w:r>
      <w:r w:rsidR="00811E47">
        <w:t>additional corroborating analysis</w:t>
      </w:r>
      <w:r w:rsidR="002113C9">
        <w:t>,</w:t>
      </w:r>
      <w:r w:rsidR="00811E47">
        <w:t xml:space="preserve"> to compare to</w:t>
      </w:r>
      <w:r w:rsidR="002113C9">
        <w:t xml:space="preserve"> the traditional DCF results.  </w:t>
      </w:r>
      <w:r w:rsidR="00811E47">
        <w:t xml:space="preserve">This method responds to the concern of some analysts regarding the effect of analyst judgment on the outcome of the traditional DCF.  </w:t>
      </w:r>
      <w:r w:rsidR="002113C9">
        <w:t>In summary, the</w:t>
      </w:r>
      <w:r w:rsidR="001022C4">
        <w:t xml:space="preserve"> mechanical DCF uses dividend yield and projected growth rate data published in investor-service publications for all the sample group companies.</w:t>
      </w:r>
      <w:r w:rsidR="001022C4">
        <w:rPr>
          <w:rStyle w:val="FootnoteReference"/>
        </w:rPr>
        <w:footnoteReference w:id="40"/>
      </w:r>
      <w:r w:rsidR="002113C9">
        <w:t xml:space="preserve">  </w:t>
      </w:r>
      <w:r w:rsidR="001022C4">
        <w:t xml:space="preserve">As shown below, </w:t>
      </w:r>
      <w:r w:rsidR="001524A7">
        <w:t xml:space="preserve">in this case </w:t>
      </w:r>
      <w:r w:rsidR="001524A7">
        <w:lastRenderedPageBreak/>
        <w:t xml:space="preserve">the mechanical DCF </w:t>
      </w:r>
      <w:r w:rsidR="001022C4">
        <w:t>yields a</w:t>
      </w:r>
      <w:r w:rsidR="001524A7">
        <w:t xml:space="preserve">n </w:t>
      </w:r>
      <w:r w:rsidR="001022C4">
        <w:t>ROE result</w:t>
      </w:r>
      <w:r w:rsidR="006E159F">
        <w:t xml:space="preserve"> </w:t>
      </w:r>
      <w:r w:rsidR="001022C4">
        <w:t xml:space="preserve">30 basis points </w:t>
      </w:r>
      <w:r w:rsidR="001524A7">
        <w:t xml:space="preserve">lower than </w:t>
      </w:r>
      <w:r w:rsidR="001022C4">
        <w:t xml:space="preserve">that of </w:t>
      </w:r>
      <w:r w:rsidR="001524A7">
        <w:t xml:space="preserve">Mr. Hill’s </w:t>
      </w:r>
      <w:r w:rsidR="001022C4">
        <w:t>traditional DCF</w:t>
      </w:r>
      <w:r w:rsidR="001524A7">
        <w:t xml:space="preserve"> analysis</w:t>
      </w:r>
      <w:r w:rsidR="001022C4">
        <w:t xml:space="preserve">. </w:t>
      </w:r>
    </w:p>
    <w:p w:rsidR="005A77E9" w:rsidRDefault="005A77E9" w:rsidP="005A77E9">
      <w:pPr>
        <w:pStyle w:val="ParNumber"/>
        <w:ind w:left="0" w:hanging="720"/>
      </w:pPr>
      <w:r>
        <w:tab/>
      </w:r>
      <w:r w:rsidR="00E500F4">
        <w:t xml:space="preserve">Mr. Hill used other methodologies as a corroborative check on his traditional DCF results. </w:t>
      </w:r>
      <w:r w:rsidR="000250F9">
        <w:t xml:space="preserve"> </w:t>
      </w:r>
      <w:r w:rsidR="007D3942" w:rsidRPr="00D0295A">
        <w:t xml:space="preserve">The CAPM </w:t>
      </w:r>
      <w:r w:rsidR="00B4649F">
        <w:t xml:space="preserve">method </w:t>
      </w:r>
      <w:r w:rsidR="007D3942" w:rsidRPr="00D0295A">
        <w:t>states that the expected rate of return is determined by a risk-free rate of return plus a risk-adjusted market premium.</w:t>
      </w:r>
      <w:r w:rsidR="007D3942" w:rsidRPr="00D0295A">
        <w:rPr>
          <w:rStyle w:val="FootnoteReference"/>
        </w:rPr>
        <w:footnoteReference w:id="41"/>
      </w:r>
      <w:r w:rsidR="007D3942" w:rsidRPr="00D0295A">
        <w:t xml:space="preserve">  The Modified Earnings-Price Ratio (MEPR) </w:t>
      </w:r>
      <w:r w:rsidR="00B4649F">
        <w:t xml:space="preserve">analysis </w:t>
      </w:r>
      <w:r w:rsidR="007D3942" w:rsidRPr="00D0295A">
        <w:t>is the expected earnings per share divided by the current market price used in combination with the expected return on common equity</w:t>
      </w:r>
      <w:r w:rsidR="006E159F">
        <w:t xml:space="preserve"> (ROE)</w:t>
      </w:r>
      <w:r w:rsidR="007D3942" w:rsidRPr="00D0295A">
        <w:t>.</w:t>
      </w:r>
      <w:r w:rsidR="00E500F4">
        <w:rPr>
          <w:rStyle w:val="FootnoteReference"/>
        </w:rPr>
        <w:footnoteReference w:id="42"/>
      </w:r>
      <w:r w:rsidR="007D3942" w:rsidRPr="00D0295A">
        <w:t xml:space="preserve">  The </w:t>
      </w:r>
      <w:r w:rsidR="00B4649F">
        <w:t xml:space="preserve">final </w:t>
      </w:r>
      <w:r w:rsidR="000250F9">
        <w:t>methodology Mr. </w:t>
      </w:r>
      <w:r w:rsidR="007D3942" w:rsidRPr="00D0295A">
        <w:t xml:space="preserve">Hill employs is the Market-to-Book </w:t>
      </w:r>
      <w:r w:rsidR="000250F9">
        <w:t xml:space="preserve">Ratio </w:t>
      </w:r>
      <w:r w:rsidR="007D3942" w:rsidRPr="00D0295A">
        <w:t>(MTB) analys</w:t>
      </w:r>
      <w:r w:rsidR="007D3942">
        <w:t xml:space="preserve">is.  While based on DCF, which </w:t>
      </w:r>
      <w:r w:rsidR="007D3942" w:rsidRPr="00D0295A">
        <w:t>smooths da</w:t>
      </w:r>
      <w:r w:rsidR="007D3942">
        <w:t>ta to determine investors’ long-</w:t>
      </w:r>
      <w:r w:rsidR="007D3942" w:rsidRPr="00D0295A">
        <w:t xml:space="preserve">term sustainable expectations, Market-to-Book relies instead on point-in-time data projected one year and </w:t>
      </w:r>
      <w:r w:rsidR="007D3942">
        <w:t>three-to-</w:t>
      </w:r>
      <w:r w:rsidR="007D3942" w:rsidRPr="00D0295A">
        <w:t>five years into the future.</w:t>
      </w:r>
      <w:r w:rsidR="007D3942" w:rsidRPr="00D0295A">
        <w:rPr>
          <w:vertAlign w:val="superscript"/>
        </w:rPr>
        <w:footnoteReference w:id="43"/>
      </w:r>
      <w:r w:rsidR="007D3942" w:rsidRPr="00D0295A">
        <w:t xml:space="preserve">    </w:t>
      </w:r>
    </w:p>
    <w:p w:rsidR="007D3942" w:rsidRPr="00D0295A" w:rsidRDefault="005A77E9" w:rsidP="005A77E9">
      <w:pPr>
        <w:pStyle w:val="ParNumber"/>
        <w:ind w:left="0" w:hanging="720"/>
      </w:pPr>
      <w:r>
        <w:tab/>
      </w:r>
      <w:r w:rsidR="007D3942" w:rsidRPr="00D0295A">
        <w:t xml:space="preserve">Mr. Hill’s equity cost estimates using these </w:t>
      </w:r>
      <w:r w:rsidR="00194537">
        <w:t>five</w:t>
      </w:r>
      <w:r w:rsidR="007D3942" w:rsidRPr="00D0295A">
        <w:t xml:space="preserve"> methods are shown below:</w:t>
      </w:r>
    </w:p>
    <w:p w:rsidR="007D3942" w:rsidRPr="00D0295A" w:rsidRDefault="007D3942" w:rsidP="007D3942">
      <w:pPr>
        <w:jc w:val="center"/>
        <w:rPr>
          <w:b/>
        </w:rPr>
      </w:pPr>
      <w:r>
        <w:rPr>
          <w:b/>
        </w:rPr>
        <w:t xml:space="preserve">Table 1: </w:t>
      </w:r>
      <w:r w:rsidR="00321AA3">
        <w:rPr>
          <w:b/>
        </w:rPr>
        <w:t xml:space="preserve"> </w:t>
      </w:r>
      <w:r w:rsidRPr="00D0295A">
        <w:rPr>
          <w:b/>
        </w:rPr>
        <w:t>Public Counsel</w:t>
      </w:r>
      <w:r w:rsidR="007F288A">
        <w:rPr>
          <w:b/>
        </w:rPr>
        <w:fldChar w:fldCharType="begin"/>
      </w:r>
      <w:r w:rsidR="007F288A">
        <w:instrText xml:space="preserve"> TA \l "</w:instrText>
      </w:r>
      <w:r w:rsidR="007F288A" w:rsidRPr="008A3437">
        <w:rPr>
          <w:b/>
        </w:rPr>
        <w:instrText>Table 1:  Public Counsel Equity Cost Estimates</w:instrText>
      </w:r>
      <w:r w:rsidR="007F288A">
        <w:instrText xml:space="preserve">" \s "Table 1:  Public Counsel" \c 8 </w:instrText>
      </w:r>
      <w:r w:rsidR="007F288A">
        <w:rPr>
          <w:b/>
        </w:rPr>
        <w:fldChar w:fldCharType="end"/>
      </w:r>
      <w:r w:rsidRPr="00D0295A">
        <w:rPr>
          <w:b/>
        </w:rPr>
        <w:t xml:space="preserve"> </w:t>
      </w:r>
    </w:p>
    <w:p w:rsidR="007D3942" w:rsidRPr="00D0295A" w:rsidRDefault="007D3942" w:rsidP="007D3942">
      <w:pPr>
        <w:jc w:val="center"/>
        <w:rPr>
          <w:b/>
        </w:rPr>
      </w:pPr>
      <w:r w:rsidRPr="00D0295A">
        <w:rPr>
          <w:b/>
        </w:rPr>
        <w:t>Equity Cost Estimates</w:t>
      </w:r>
      <w:r w:rsidRPr="00D0295A">
        <w:rPr>
          <w:b/>
          <w:vertAlign w:val="superscript"/>
        </w:rPr>
        <w:footnoteReference w:id="44"/>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2520"/>
      </w:tblGrid>
      <w:tr w:rsidR="007D3942" w:rsidRPr="00D0295A">
        <w:tc>
          <w:tcPr>
            <w:tcW w:w="3330" w:type="dxa"/>
          </w:tcPr>
          <w:p w:rsidR="007D3942" w:rsidRPr="00D0295A" w:rsidRDefault="007D3942" w:rsidP="00E500F4">
            <w:pPr>
              <w:rPr>
                <w:b/>
              </w:rPr>
            </w:pPr>
            <w:r w:rsidRPr="00D0295A">
              <w:rPr>
                <w:b/>
              </w:rPr>
              <w:t>Method</w:t>
            </w:r>
          </w:p>
        </w:tc>
        <w:tc>
          <w:tcPr>
            <w:tcW w:w="2520" w:type="dxa"/>
          </w:tcPr>
          <w:p w:rsidR="007D3942" w:rsidRPr="00D0295A" w:rsidRDefault="007D3942" w:rsidP="00E500F4">
            <w:pPr>
              <w:rPr>
                <w:b/>
              </w:rPr>
            </w:pPr>
            <w:r w:rsidRPr="00D0295A">
              <w:rPr>
                <w:b/>
              </w:rPr>
              <w:t>ROE Results</w:t>
            </w:r>
          </w:p>
        </w:tc>
      </w:tr>
      <w:tr w:rsidR="007D3942" w:rsidRPr="00D0295A">
        <w:tc>
          <w:tcPr>
            <w:tcW w:w="3330" w:type="dxa"/>
          </w:tcPr>
          <w:p w:rsidR="007D3942" w:rsidRPr="00D0295A" w:rsidRDefault="007D3942" w:rsidP="00E500F4">
            <w:r w:rsidRPr="00D0295A">
              <w:t>Discounted Cash Flow</w:t>
            </w:r>
          </w:p>
        </w:tc>
        <w:tc>
          <w:tcPr>
            <w:tcW w:w="2520" w:type="dxa"/>
          </w:tcPr>
          <w:p w:rsidR="007D3942" w:rsidRPr="00D0295A" w:rsidRDefault="00C87F7A" w:rsidP="00E500F4">
            <w:r>
              <w:t>8.6</w:t>
            </w:r>
            <w:r w:rsidR="007D3942" w:rsidRPr="00D0295A">
              <w:t>9%</w:t>
            </w:r>
          </w:p>
        </w:tc>
      </w:tr>
      <w:tr w:rsidR="00C87F7A" w:rsidRPr="00D0295A">
        <w:tc>
          <w:tcPr>
            <w:tcW w:w="3330" w:type="dxa"/>
          </w:tcPr>
          <w:p w:rsidR="00C87F7A" w:rsidRPr="00D0295A" w:rsidRDefault="00C87F7A" w:rsidP="00E500F4">
            <w:r>
              <w:t>Mechanical DCF</w:t>
            </w:r>
          </w:p>
        </w:tc>
        <w:tc>
          <w:tcPr>
            <w:tcW w:w="2520" w:type="dxa"/>
          </w:tcPr>
          <w:p w:rsidR="00C87F7A" w:rsidRPr="00D0295A" w:rsidRDefault="000250F9" w:rsidP="00E500F4">
            <w:r>
              <w:t>8.33</w:t>
            </w:r>
            <w:r w:rsidR="00C87F7A">
              <w:t>%</w:t>
            </w:r>
          </w:p>
        </w:tc>
      </w:tr>
      <w:tr w:rsidR="007D3942" w:rsidRPr="00D0295A">
        <w:tc>
          <w:tcPr>
            <w:tcW w:w="3330" w:type="dxa"/>
          </w:tcPr>
          <w:p w:rsidR="007D3942" w:rsidRPr="00D0295A" w:rsidRDefault="007D3942" w:rsidP="00E500F4">
            <w:r w:rsidRPr="00D0295A">
              <w:t>Capital Asset Pricing Model</w:t>
            </w:r>
          </w:p>
        </w:tc>
        <w:tc>
          <w:tcPr>
            <w:tcW w:w="2520" w:type="dxa"/>
          </w:tcPr>
          <w:p w:rsidR="007D3942" w:rsidRPr="00D0295A" w:rsidRDefault="007D3942" w:rsidP="00E500F4">
            <w:r w:rsidRPr="00D0295A">
              <w:t>7.</w:t>
            </w:r>
            <w:r w:rsidR="000250F9">
              <w:t>42</w:t>
            </w:r>
            <w:r w:rsidRPr="00D0295A">
              <w:t>%</w:t>
            </w:r>
          </w:p>
        </w:tc>
      </w:tr>
      <w:tr w:rsidR="007D3942" w:rsidRPr="00D0295A">
        <w:tc>
          <w:tcPr>
            <w:tcW w:w="3330" w:type="dxa"/>
          </w:tcPr>
          <w:p w:rsidR="007D3942" w:rsidRPr="00D0295A" w:rsidRDefault="007D3942" w:rsidP="00E500F4">
            <w:r w:rsidRPr="00D0295A">
              <w:t>Modified Earnings Price Ratio</w:t>
            </w:r>
          </w:p>
        </w:tc>
        <w:tc>
          <w:tcPr>
            <w:tcW w:w="2520" w:type="dxa"/>
          </w:tcPr>
          <w:p w:rsidR="007D3942" w:rsidRPr="00D0295A" w:rsidRDefault="007D3942" w:rsidP="00E500F4">
            <w:r w:rsidRPr="00D0295A">
              <w:t>8.2</w:t>
            </w:r>
            <w:r w:rsidR="000250F9">
              <w:t>1</w:t>
            </w:r>
            <w:r w:rsidRPr="00D0295A">
              <w:t>% - 8.</w:t>
            </w:r>
            <w:r w:rsidR="00C87F7A">
              <w:t>45</w:t>
            </w:r>
            <w:r w:rsidRPr="00D0295A">
              <w:t>%</w:t>
            </w:r>
          </w:p>
        </w:tc>
      </w:tr>
      <w:tr w:rsidR="007D3942" w:rsidRPr="00D0295A">
        <w:tc>
          <w:tcPr>
            <w:tcW w:w="3330" w:type="dxa"/>
          </w:tcPr>
          <w:p w:rsidR="007D3942" w:rsidRPr="00D0295A" w:rsidRDefault="007D3942" w:rsidP="00E500F4">
            <w:r w:rsidRPr="00D0295A">
              <w:t>Market-to-Book Ratio</w:t>
            </w:r>
          </w:p>
        </w:tc>
        <w:tc>
          <w:tcPr>
            <w:tcW w:w="2520" w:type="dxa"/>
          </w:tcPr>
          <w:p w:rsidR="007D3942" w:rsidRPr="00D0295A" w:rsidRDefault="007D3942" w:rsidP="005A77E9">
            <w:pPr>
              <w:pStyle w:val="ListParagraph"/>
              <w:numPr>
                <w:ilvl w:val="1"/>
                <w:numId w:val="27"/>
              </w:numPr>
            </w:pPr>
            <w:r w:rsidRPr="00D0295A">
              <w:t>%</w:t>
            </w:r>
            <w:r w:rsidR="000250F9">
              <w:t xml:space="preserve"> </w:t>
            </w:r>
            <w:r w:rsidRPr="00D0295A">
              <w:t>- 8.</w:t>
            </w:r>
            <w:r w:rsidR="00C87F7A">
              <w:t>73</w:t>
            </w:r>
            <w:r w:rsidRPr="00D0295A">
              <w:t>%</w:t>
            </w:r>
          </w:p>
        </w:tc>
      </w:tr>
    </w:tbl>
    <w:p w:rsidR="007D3942" w:rsidRPr="00D0295A" w:rsidRDefault="007D3942" w:rsidP="007D3942">
      <w:pPr>
        <w:ind w:firstLine="720"/>
      </w:pPr>
    </w:p>
    <w:p w:rsidR="008D15F3" w:rsidRDefault="005A77E9" w:rsidP="005A77E9">
      <w:pPr>
        <w:pStyle w:val="ParNumber"/>
        <w:ind w:left="0" w:hanging="720"/>
      </w:pPr>
      <w:r>
        <w:tab/>
      </w:r>
      <w:r w:rsidR="00C87F7A">
        <w:t>The DCF</w:t>
      </w:r>
      <w:r w:rsidR="008D15F3">
        <w:t xml:space="preserve"> result</w:t>
      </w:r>
      <w:r w:rsidR="00E500F4">
        <w:t xml:space="preserve"> </w:t>
      </w:r>
      <w:r w:rsidR="000250F9">
        <w:t>indicates an ROE of 8.69</w:t>
      </w:r>
      <w:r w:rsidR="00A133C1">
        <w:t>%</w:t>
      </w:r>
      <w:r w:rsidR="00C87F7A">
        <w:t>.  The average of the corroborating analyses (Mechanical DCF, CAPM, MEPR and MTB) indicat</w:t>
      </w:r>
      <w:r w:rsidR="000250F9">
        <w:t>e an ROE range of 8.15 to 8.23</w:t>
      </w:r>
      <w:r w:rsidR="00A133C1">
        <w:t>%</w:t>
      </w:r>
      <w:r w:rsidR="00C87F7A">
        <w:t>.  This would indicate th</w:t>
      </w:r>
      <w:r w:rsidR="000250F9">
        <w:t>at the traditional DCF of 8.69</w:t>
      </w:r>
      <w:r w:rsidR="00A133C1">
        <w:t>%</w:t>
      </w:r>
      <w:r w:rsidR="00C87F7A">
        <w:t xml:space="preserve"> may somewhat overstate</w:t>
      </w:r>
      <w:r w:rsidR="00F87068">
        <w:t xml:space="preserve"> the 2013 cost of </w:t>
      </w:r>
      <w:r w:rsidR="00F87068">
        <w:lastRenderedPageBreak/>
        <w:t>capital.</w:t>
      </w:r>
      <w:r w:rsidR="00194537">
        <w:t xml:space="preserve">  Mr. Hill also took into account, however, the expectations in early 2013 that continued economic expansion would result in interest rate incr</w:t>
      </w:r>
      <w:r w:rsidR="00F87068">
        <w:t>eases in the 2013</w:t>
      </w:r>
      <w:r w:rsidR="00F87068">
        <w:noBreakHyphen/>
        <w:t>2015 period.</w:t>
      </w:r>
      <w:r w:rsidR="00194537">
        <w:t xml:space="preserve">  </w:t>
      </w:r>
      <w:r w:rsidR="007D3942" w:rsidRPr="00D0295A">
        <w:t xml:space="preserve">Based on </w:t>
      </w:r>
      <w:r w:rsidR="008D15F3">
        <w:t xml:space="preserve">this factor and his analytic </w:t>
      </w:r>
      <w:r w:rsidR="007D3942" w:rsidRPr="00D0295A">
        <w:t>results, Mr. Hill concludes that a reasonable range</w:t>
      </w:r>
      <w:r w:rsidR="007D3942">
        <w:t xml:space="preserve"> </w:t>
      </w:r>
      <w:r w:rsidR="008D15F3">
        <w:t xml:space="preserve">as of early 2013 </w:t>
      </w:r>
      <w:r w:rsidR="007D3942">
        <w:t xml:space="preserve">for </w:t>
      </w:r>
      <w:r w:rsidR="008D15F3">
        <w:t xml:space="preserve"> PSE’s </w:t>
      </w:r>
      <w:r w:rsidR="000250F9">
        <w:t>ROE is 8.5</w:t>
      </w:r>
      <w:r w:rsidR="00A133C1">
        <w:t>%</w:t>
      </w:r>
      <w:r w:rsidR="007D3942" w:rsidRPr="00D0295A">
        <w:t xml:space="preserve"> to 9</w:t>
      </w:r>
      <w:r w:rsidR="000250F9">
        <w:t>.5</w:t>
      </w:r>
      <w:r w:rsidR="00A133C1">
        <w:t>%</w:t>
      </w:r>
      <w:r w:rsidR="000250F9">
        <w:t>, with a mid-point of 9.0</w:t>
      </w:r>
      <w:r w:rsidR="00A133C1">
        <w:t>%</w:t>
      </w:r>
      <w:r w:rsidR="007D3942" w:rsidRPr="00D0295A">
        <w:t>.</w:t>
      </w:r>
      <w:r w:rsidR="007D3942" w:rsidRPr="00D0295A">
        <w:rPr>
          <w:rStyle w:val="FootnoteReference"/>
        </w:rPr>
        <w:footnoteReference w:id="45"/>
      </w:r>
      <w:r w:rsidR="007D3942" w:rsidRPr="00D0295A">
        <w:t xml:space="preserve"> </w:t>
      </w:r>
    </w:p>
    <w:p w:rsidR="00ED57E0" w:rsidRDefault="00ED57E0" w:rsidP="00E6789B">
      <w:pPr>
        <w:pStyle w:val="Heading2"/>
        <w:spacing w:before="0"/>
      </w:pPr>
      <w:bookmarkStart w:id="20" w:name="_Toc413395571"/>
      <w:r>
        <w:t>Dr. M</w:t>
      </w:r>
      <w:r w:rsidR="000250F9">
        <w:t>orin’s Cost of Equity Analysis i</w:t>
      </w:r>
      <w:r>
        <w:t>s Flawed</w:t>
      </w:r>
      <w:r w:rsidR="00F87068">
        <w:t>.</w:t>
      </w:r>
      <w:bookmarkEnd w:id="20"/>
      <w:r w:rsidR="00F87068">
        <w:t xml:space="preserve"> </w:t>
      </w:r>
    </w:p>
    <w:p w:rsidR="00ED57E0" w:rsidRDefault="00ED57E0" w:rsidP="00ED57E0">
      <w:pPr>
        <w:rPr>
          <w:i/>
        </w:rPr>
      </w:pPr>
    </w:p>
    <w:p w:rsidR="00ED57E0" w:rsidRDefault="005A70C6" w:rsidP="00E6789B">
      <w:pPr>
        <w:pStyle w:val="Heading3"/>
        <w:spacing w:before="0"/>
      </w:pPr>
      <w:bookmarkStart w:id="21" w:name="_Toc413395572"/>
      <w:r>
        <w:t xml:space="preserve">Dr. Morin’s </w:t>
      </w:r>
      <w:r w:rsidR="006D7811">
        <w:t xml:space="preserve">DCF overstates the cost of capital through exclusive reliance on analyst </w:t>
      </w:r>
      <w:r>
        <w:t xml:space="preserve">earnings </w:t>
      </w:r>
      <w:r w:rsidR="006D7811">
        <w:t>projections and other flaws.</w:t>
      </w:r>
      <w:bookmarkEnd w:id="21"/>
    </w:p>
    <w:p w:rsidR="006D7811" w:rsidRPr="006D7811" w:rsidRDefault="006D7811" w:rsidP="006D7811"/>
    <w:p w:rsidR="00F87068" w:rsidRDefault="00F87068" w:rsidP="006A4B61">
      <w:pPr>
        <w:pStyle w:val="ParNumber"/>
        <w:ind w:left="0" w:hanging="720"/>
        <w:rPr>
          <w:b/>
        </w:rPr>
      </w:pPr>
      <w:r>
        <w:tab/>
      </w:r>
      <w:r w:rsidR="00ED57E0">
        <w:t xml:space="preserve">A central problem with Dr. Morin’s DCF analysis is its exclusive reliance </w:t>
      </w:r>
      <w:r>
        <w:t>on projected earnings growth.</w:t>
      </w:r>
      <w:r w:rsidR="00ED57E0">
        <w:t xml:space="preserve">  The Commission has expressed disapproval of</w:t>
      </w:r>
      <w:r w:rsidR="006331DC">
        <w:t xml:space="preserve"> Dr. Morin’s DCF results “because they rely solely on analys</w:t>
      </w:r>
      <w:r w:rsidR="00393D21">
        <w:t>ts’ forecast of earnings growth</w:t>
      </w:r>
      <w:r w:rsidR="006331DC">
        <w:t>[.]”</w:t>
      </w:r>
      <w:r w:rsidR="006331DC">
        <w:rPr>
          <w:rStyle w:val="FootnoteReference"/>
        </w:rPr>
        <w:footnoteReference w:id="46"/>
      </w:r>
    </w:p>
    <w:p w:rsidR="00AF0AD9" w:rsidRPr="00AF0AD9" w:rsidRDefault="00F87068" w:rsidP="006A4B61">
      <w:pPr>
        <w:pStyle w:val="ParNumber"/>
        <w:tabs>
          <w:tab w:val="num" w:pos="0"/>
        </w:tabs>
        <w:ind w:left="0" w:hanging="720"/>
        <w:rPr>
          <w:b/>
        </w:rPr>
      </w:pPr>
      <w:r>
        <w:tab/>
      </w:r>
      <w:r w:rsidR="005A70C6">
        <w:t>A key problem with relying solely on analyst projections is that s</w:t>
      </w:r>
      <w:r w:rsidR="00511148">
        <w:t>ell-side analyst projected earning</w:t>
      </w:r>
      <w:r w:rsidR="00AF0AD9">
        <w:t xml:space="preserve">s growth overstates actual long-term growth.  </w:t>
      </w:r>
      <w:r w:rsidR="00511148">
        <w:t xml:space="preserve">This is illustrated by </w:t>
      </w:r>
      <w:r w:rsidR="001521B9">
        <w:t xml:space="preserve">a comparison with </w:t>
      </w:r>
      <w:r w:rsidR="00511148">
        <w:t>mechanical DCF results</w:t>
      </w:r>
      <w:r w:rsidR="001521B9">
        <w:t xml:space="preserve"> based on a broader array of data</w:t>
      </w:r>
      <w:r w:rsidR="00511148">
        <w:t>.  The mechanical DCF includes Value Line projected earnings, dividends and book value growth, along with sell-side earnings growth rates, all of which are publishe</w:t>
      </w:r>
      <w:r w:rsidR="00AF0AD9">
        <w:t xml:space="preserve">d and available to investors.  </w:t>
      </w:r>
      <w:r w:rsidR="00511148">
        <w:t>Mr. Hill’s mecha</w:t>
      </w:r>
      <w:r w:rsidR="000250F9">
        <w:t>nical DCF yields an ROE of 8.3</w:t>
      </w:r>
      <w:r w:rsidR="00A133C1">
        <w:t>%</w:t>
      </w:r>
      <w:r w:rsidR="00511148">
        <w:t xml:space="preserve">, substantially below Dr. Morin’s DCF estimate </w:t>
      </w:r>
      <w:r w:rsidR="005A70C6">
        <w:t xml:space="preserve">of </w:t>
      </w:r>
      <w:r w:rsidR="00F17138">
        <w:t xml:space="preserve">9.8%-10% </w:t>
      </w:r>
      <w:r w:rsidR="00511148">
        <w:t xml:space="preserve">based solely on </w:t>
      </w:r>
      <w:r w:rsidR="001521B9">
        <w:t>projected earnings growth.</w:t>
      </w:r>
      <w:r w:rsidR="001521B9">
        <w:rPr>
          <w:rStyle w:val="FootnoteReference"/>
        </w:rPr>
        <w:footnoteReference w:id="47"/>
      </w:r>
      <w:r w:rsidR="003D78D4">
        <w:t xml:space="preserve">  </w:t>
      </w:r>
      <w:r w:rsidR="005A70C6">
        <w:t>When asked in discovery whether he could cite any studies to show that analyst growth rates are the only growth rate on which investors rely, he responded he was unaware of any such study</w:t>
      </w:r>
      <w:r w:rsidR="003D78D4">
        <w:t>.</w:t>
      </w:r>
      <w:r w:rsidR="005A70C6">
        <w:rPr>
          <w:rStyle w:val="FootnoteReference"/>
        </w:rPr>
        <w:footnoteReference w:id="48"/>
      </w:r>
    </w:p>
    <w:p w:rsidR="00165C59" w:rsidRPr="00165C59" w:rsidRDefault="00AF0AD9" w:rsidP="006A4B61">
      <w:pPr>
        <w:pStyle w:val="ParNumber"/>
        <w:ind w:left="0" w:hanging="720"/>
        <w:rPr>
          <w:b/>
        </w:rPr>
      </w:pPr>
      <w:r>
        <w:lastRenderedPageBreak/>
        <w:tab/>
      </w:r>
      <w:r w:rsidR="001521B9">
        <w:t xml:space="preserve">An additional problem with Dr. Morin’s analysis is </w:t>
      </w:r>
      <w:r w:rsidR="003D78D4">
        <w:t xml:space="preserve">that he omits </w:t>
      </w:r>
      <w:r w:rsidR="001521B9">
        <w:t xml:space="preserve">negative earnings growth rate projections, </w:t>
      </w:r>
      <w:r w:rsidR="003D78D4">
        <w:t xml:space="preserve">but does not remove </w:t>
      </w:r>
      <w:r w:rsidR="001521B9">
        <w:t xml:space="preserve">projections </w:t>
      </w:r>
      <w:r w:rsidR="00857D69">
        <w:t xml:space="preserve">that </w:t>
      </w:r>
      <w:r w:rsidR="003D78D4">
        <w:t xml:space="preserve">are outliers </w:t>
      </w:r>
      <w:r w:rsidR="001521B9">
        <w:t>at the high end</w:t>
      </w:r>
      <w:r w:rsidR="003D78D4">
        <w:t xml:space="preserve">, skewing his DCF </w:t>
      </w:r>
      <w:r w:rsidR="001521B9">
        <w:t>results upward.</w:t>
      </w:r>
      <w:r w:rsidR="001521B9">
        <w:rPr>
          <w:rStyle w:val="FootnoteReference"/>
        </w:rPr>
        <w:footnoteReference w:id="49"/>
      </w:r>
      <w:r>
        <w:t xml:space="preserve">  </w:t>
      </w:r>
      <w:r w:rsidR="004840AC">
        <w:t xml:space="preserve">Although the </w:t>
      </w:r>
      <w:r w:rsidR="00943BAA" w:rsidRPr="00977C4B">
        <w:t xml:space="preserve">average </w:t>
      </w:r>
      <w:r w:rsidR="004840AC" w:rsidRPr="00977C4B">
        <w:t>projected growth rate for his sam</w:t>
      </w:r>
      <w:r w:rsidR="00F10A27" w:rsidRPr="00977C4B">
        <w:t>ple group is 4.73</w:t>
      </w:r>
      <w:r w:rsidR="00A133C1" w:rsidRPr="00977C4B">
        <w:t>%</w:t>
      </w:r>
      <w:r w:rsidR="004840AC" w:rsidRPr="00977C4B">
        <w:t xml:space="preserve">, he includes </w:t>
      </w:r>
      <w:r w:rsidR="007760E7" w:rsidRPr="00977C4B">
        <w:t>NV Energy</w:t>
      </w:r>
      <w:r w:rsidR="004840AC" w:rsidRPr="00977C4B">
        <w:t xml:space="preserve"> with a </w:t>
      </w:r>
      <w:r w:rsidR="00F10A27" w:rsidRPr="00977C4B">
        <w:t>growth rate of 11</w:t>
      </w:r>
      <w:r w:rsidR="00A133C1" w:rsidRPr="00977C4B">
        <w:t>%</w:t>
      </w:r>
      <w:r w:rsidR="004840AC" w:rsidRPr="00977C4B">
        <w:t xml:space="preserve">, even though </w:t>
      </w:r>
      <w:r w:rsidR="003F5641" w:rsidRPr="00977C4B">
        <w:t>that growth rate is beyond</w:t>
      </w:r>
      <w:r w:rsidR="004840AC" w:rsidRPr="00977C4B">
        <w:t xml:space="preserve"> </w:t>
      </w:r>
      <w:r w:rsidR="007760E7" w:rsidRPr="00977C4B">
        <w:t xml:space="preserve">two standard deviations </w:t>
      </w:r>
      <w:r w:rsidR="004840AC" w:rsidRPr="00977C4B">
        <w:t xml:space="preserve">from </w:t>
      </w:r>
      <w:r w:rsidR="007760E7" w:rsidRPr="00977C4B">
        <w:t>the sample group</w:t>
      </w:r>
      <w:r w:rsidR="004840AC" w:rsidRPr="00977C4B">
        <w:t xml:space="preserve"> average.  Removing this outlier would reduce the average growth</w:t>
      </w:r>
      <w:r w:rsidR="00943BAA">
        <w:t xml:space="preserve"> rate to 5.27, </w:t>
      </w:r>
      <w:r w:rsidR="00977C4B">
        <w:t xml:space="preserve">or </w:t>
      </w:r>
      <w:r w:rsidR="00943BAA">
        <w:t xml:space="preserve">23 basis points below the </w:t>
      </w:r>
      <w:r w:rsidR="00977C4B">
        <w:t xml:space="preserve">5.5 % </w:t>
      </w:r>
      <w:r w:rsidR="008F5922">
        <w:t xml:space="preserve">he used in his </w:t>
      </w:r>
      <w:r w:rsidR="00977C4B">
        <w:t xml:space="preserve">Value Line growth projection </w:t>
      </w:r>
      <w:r w:rsidR="008F5922">
        <w:t>analysis.</w:t>
      </w:r>
      <w:r w:rsidR="00977C4B">
        <w:rPr>
          <w:rStyle w:val="FootnoteReference"/>
        </w:rPr>
        <w:footnoteReference w:id="50"/>
      </w:r>
      <w:r w:rsidR="008F5922">
        <w:t xml:space="preserve">  Similarly, removal of NV </w:t>
      </w:r>
      <w:r w:rsidR="00943BAA">
        <w:t>Energy as a</w:t>
      </w:r>
      <w:r w:rsidR="003D78D4">
        <w:t>n</w:t>
      </w:r>
      <w:r w:rsidR="00F10A27">
        <w:t xml:space="preserve"> outlier (15.2</w:t>
      </w:r>
      <w:r w:rsidR="00A133C1">
        <w:t>%</w:t>
      </w:r>
      <w:r w:rsidR="00943BAA">
        <w:t xml:space="preserve"> growth) from Dr. Morin’s </w:t>
      </w:r>
      <w:r w:rsidR="00977C4B">
        <w:t xml:space="preserve">analyst growth consensus forecast </w:t>
      </w:r>
      <w:r w:rsidR="00943BAA">
        <w:t>analysis (</w:t>
      </w:r>
      <w:r w:rsidR="008C3E7E">
        <w:t>Exh.</w:t>
      </w:r>
      <w:r w:rsidR="008F5922">
        <w:t xml:space="preserve"> No.</w:t>
      </w:r>
      <w:r w:rsidR="00943BAA">
        <w:t xml:space="preserve"> RAM-5) lowers the growth rate by 49 basis points compared with the rate he used in his DCF.  </w:t>
      </w:r>
      <w:r w:rsidR="003F5641">
        <w:t>Those lower DCF growth rates transfer directly to lower cost of equity estimates.</w:t>
      </w:r>
      <w:r w:rsidR="00977C4B">
        <w:rPr>
          <w:rStyle w:val="FootnoteReference"/>
        </w:rPr>
        <w:footnoteReference w:id="51"/>
      </w:r>
    </w:p>
    <w:p w:rsidR="00F10A27" w:rsidRPr="00E86E82" w:rsidRDefault="00165C59" w:rsidP="00E86E82">
      <w:pPr>
        <w:pStyle w:val="ParNumber"/>
        <w:ind w:left="0" w:hanging="720"/>
        <w:rPr>
          <w:b/>
        </w:rPr>
      </w:pPr>
      <w:r>
        <w:tab/>
      </w:r>
      <w:r w:rsidR="00943BAA">
        <w:t>Dr. Morin also errs in his use of dividend yield data from Value Line.</w:t>
      </w:r>
      <w:r w:rsidR="00FB7C13">
        <w:t xml:space="preserve">  Value Line published dividend yield</w:t>
      </w:r>
      <w:r w:rsidR="00693D5A">
        <w:t>s</w:t>
      </w:r>
      <w:r w:rsidR="00FB7C13">
        <w:t xml:space="preserve"> include “cash dividends estimated to be declared in the next twelve months.”</w:t>
      </w:r>
      <w:r w:rsidR="00F10A27">
        <w:rPr>
          <w:rStyle w:val="FootnoteReference"/>
        </w:rPr>
        <w:footnoteReference w:id="52"/>
      </w:r>
      <w:r w:rsidR="00FB7C13">
        <w:t xml:space="preserve">  Dr. Morin uses this Value Line data, but then adds to that amount through his own calculation designed to estimate the dividends for the next year.  The result is that he double counts </w:t>
      </w:r>
      <w:r w:rsidR="009C7F51">
        <w:t>the growth in dividend yield</w:t>
      </w:r>
      <w:r w:rsidR="003A2416">
        <w:t>,</w:t>
      </w:r>
      <w:r w:rsidR="009C7F51">
        <w:rPr>
          <w:rStyle w:val="FootnoteReference"/>
        </w:rPr>
        <w:footnoteReference w:id="53"/>
      </w:r>
      <w:r w:rsidR="003A2416">
        <w:t xml:space="preserve"> increasing the DCF cost of equity </w:t>
      </w:r>
      <w:r w:rsidR="0056106F">
        <w:t xml:space="preserve">by </w:t>
      </w:r>
      <w:r w:rsidR="003A2416">
        <w:t>22 to 24 basis points.</w:t>
      </w:r>
      <w:r w:rsidR="0056106F">
        <w:t xml:space="preserve"> </w:t>
      </w:r>
      <w:r w:rsidR="00693D5A">
        <w:t xml:space="preserve"> </w:t>
      </w:r>
      <w:r w:rsidR="003A2416">
        <w:t xml:space="preserve">If </w:t>
      </w:r>
      <w:r w:rsidR="001C6AD9">
        <w:t xml:space="preserve">Dr. Morin’s DCF analyses are corrected to eliminate double counting of dividend yields, </w:t>
      </w:r>
      <w:r w:rsidR="0056106F">
        <w:t xml:space="preserve">and remove </w:t>
      </w:r>
      <w:r w:rsidR="00A85C2A">
        <w:t xml:space="preserve">the </w:t>
      </w:r>
      <w:r w:rsidR="0056106F">
        <w:t xml:space="preserve">high </w:t>
      </w:r>
      <w:r w:rsidR="00A85C2A">
        <w:t xml:space="preserve">outlier growth rates </w:t>
      </w:r>
      <w:r w:rsidR="004E1B28">
        <w:t>discussed above</w:t>
      </w:r>
      <w:r w:rsidR="0056106F">
        <w:t xml:space="preserve">, his </w:t>
      </w:r>
      <w:r w:rsidR="00C172FC">
        <w:t xml:space="preserve">DCF </w:t>
      </w:r>
      <w:r w:rsidR="001C6AD9">
        <w:t xml:space="preserve">results </w:t>
      </w:r>
      <w:r w:rsidR="00620FF7">
        <w:t>show markedly lower ROEs</w:t>
      </w:r>
      <w:r w:rsidR="00802D34">
        <w:t>.</w:t>
      </w:r>
      <w:r w:rsidR="001C6AD9">
        <w:rPr>
          <w:rStyle w:val="FootnoteReference"/>
        </w:rPr>
        <w:footnoteReference w:id="54"/>
      </w:r>
    </w:p>
    <w:p w:rsidR="00943BAA" w:rsidRPr="00C172FC" w:rsidRDefault="00557AC1" w:rsidP="00C172FC">
      <w:pPr>
        <w:spacing w:line="480" w:lineRule="auto"/>
        <w:jc w:val="center"/>
        <w:rPr>
          <w:b/>
        </w:rPr>
      </w:pPr>
      <w:r>
        <w:rPr>
          <w:b/>
        </w:rPr>
        <w:lastRenderedPageBreak/>
        <w:t>Table 2</w:t>
      </w:r>
      <w:r w:rsidR="00C172FC">
        <w:rPr>
          <w:b/>
        </w:rPr>
        <w:t>:  Morin DCF With Hill Adjustments</w:t>
      </w:r>
      <w:r w:rsidR="007F288A">
        <w:rPr>
          <w:b/>
        </w:rPr>
        <w:fldChar w:fldCharType="begin"/>
      </w:r>
      <w:r w:rsidR="007F288A">
        <w:instrText xml:space="preserve"> TA \l "</w:instrText>
      </w:r>
      <w:r w:rsidR="007F288A" w:rsidRPr="00243B2D">
        <w:rPr>
          <w:b/>
        </w:rPr>
        <w:instrText>Table 2:  Morin DCF With Hill Adjustments</w:instrText>
      </w:r>
      <w:r w:rsidR="007F288A">
        <w:instrText xml:space="preserve">" \s "Table 2:  Morin DCF With Hill Adjustments" \c 8 </w:instrText>
      </w:r>
      <w:r w:rsidR="007F288A">
        <w:rPr>
          <w:b/>
        </w:rPr>
        <w:fldChar w:fldCharType="end"/>
      </w:r>
    </w:p>
    <w:tbl>
      <w:tblPr>
        <w:tblStyle w:val="TableGrid"/>
        <w:tblW w:w="0" w:type="auto"/>
        <w:tblInd w:w="630" w:type="dxa"/>
        <w:tblLook w:val="04A0" w:firstRow="1" w:lastRow="0" w:firstColumn="1" w:lastColumn="0" w:noHBand="0" w:noVBand="1"/>
      </w:tblPr>
      <w:tblGrid>
        <w:gridCol w:w="3708"/>
        <w:gridCol w:w="4410"/>
      </w:tblGrid>
      <w:tr w:rsidR="00A72359" w:rsidTr="00F10A27">
        <w:tc>
          <w:tcPr>
            <w:tcW w:w="3708" w:type="dxa"/>
          </w:tcPr>
          <w:p w:rsidR="00A72359" w:rsidRPr="00C172FC" w:rsidRDefault="00A72359" w:rsidP="00802D34">
            <w:pPr>
              <w:rPr>
                <w:b/>
                <w:u w:val="single"/>
              </w:rPr>
            </w:pPr>
            <w:r w:rsidRPr="00C172FC">
              <w:rPr>
                <w:b/>
                <w:u w:val="single"/>
              </w:rPr>
              <w:t>Morin DCF ROE Result (2013)</w:t>
            </w:r>
          </w:p>
          <w:p w:rsidR="00A72359" w:rsidRPr="00C172FC" w:rsidRDefault="00A72359" w:rsidP="00802D34">
            <w:r w:rsidRPr="00C172FC">
              <w:t>As Filed</w:t>
            </w:r>
          </w:p>
        </w:tc>
        <w:tc>
          <w:tcPr>
            <w:tcW w:w="4410" w:type="dxa"/>
          </w:tcPr>
          <w:p w:rsidR="00A72359" w:rsidRPr="00C172FC" w:rsidRDefault="00A72359" w:rsidP="00802D34">
            <w:pPr>
              <w:rPr>
                <w:b/>
                <w:u w:val="single"/>
              </w:rPr>
            </w:pPr>
            <w:r w:rsidRPr="00C172FC">
              <w:rPr>
                <w:b/>
                <w:u w:val="single"/>
              </w:rPr>
              <w:t>Morin DCF ROE results (2013)</w:t>
            </w:r>
          </w:p>
          <w:p w:rsidR="00A72359" w:rsidRPr="00C172FC" w:rsidRDefault="00620FF7" w:rsidP="00620FF7">
            <w:r w:rsidRPr="00C172FC">
              <w:t xml:space="preserve">Hill adjustments, </w:t>
            </w:r>
            <w:r w:rsidR="00A72359" w:rsidRPr="00C172FC">
              <w:t xml:space="preserve">Exhibit </w:t>
            </w:r>
            <w:r w:rsidR="00F10A27">
              <w:t xml:space="preserve">No. </w:t>
            </w:r>
            <w:r w:rsidR="00A72359" w:rsidRPr="00C172FC">
              <w:t>SGH-15</w:t>
            </w:r>
          </w:p>
        </w:tc>
      </w:tr>
      <w:tr w:rsidR="00A72359" w:rsidTr="00F10A27">
        <w:tc>
          <w:tcPr>
            <w:tcW w:w="3708" w:type="dxa"/>
          </w:tcPr>
          <w:p w:rsidR="00A72359" w:rsidRPr="00C172FC" w:rsidRDefault="00F10A27" w:rsidP="00802D34">
            <w:r>
              <w:t>10.04</w:t>
            </w:r>
            <w:r w:rsidR="00A72359" w:rsidRPr="00C172FC">
              <w:t>% (Average)</w:t>
            </w:r>
          </w:p>
          <w:p w:rsidR="00802D34" w:rsidRPr="00C172FC" w:rsidRDefault="00802D34" w:rsidP="00802D34">
            <w:r w:rsidRPr="00C172FC">
              <w:t>Exh. No. RAM-4</w:t>
            </w:r>
          </w:p>
        </w:tc>
        <w:tc>
          <w:tcPr>
            <w:tcW w:w="4410" w:type="dxa"/>
          </w:tcPr>
          <w:p w:rsidR="00A72359" w:rsidRPr="00C172FC" w:rsidRDefault="00A72359" w:rsidP="00802D34">
            <w:r w:rsidRPr="00C172FC">
              <w:t>9.59 (Average)</w:t>
            </w:r>
          </w:p>
          <w:p w:rsidR="00A72359" w:rsidRPr="00C172FC" w:rsidRDefault="00A72359" w:rsidP="00802D34">
            <w:r w:rsidRPr="00C172FC">
              <w:t>9.44 (Median)</w:t>
            </w:r>
          </w:p>
        </w:tc>
      </w:tr>
      <w:tr w:rsidR="00A72359" w:rsidTr="00F10A27">
        <w:tc>
          <w:tcPr>
            <w:tcW w:w="3708" w:type="dxa"/>
          </w:tcPr>
          <w:p w:rsidR="00A72359" w:rsidRPr="00C172FC" w:rsidRDefault="00F10A27" w:rsidP="00802D34">
            <w:r>
              <w:t>9.83</w:t>
            </w:r>
            <w:r w:rsidR="00A72359" w:rsidRPr="00C172FC">
              <w:t>% (Average)</w:t>
            </w:r>
          </w:p>
          <w:p w:rsidR="00802D34" w:rsidRPr="00C172FC" w:rsidRDefault="00802D34" w:rsidP="00802D34">
            <w:r w:rsidRPr="00C172FC">
              <w:t>Exh. No. RAM-5</w:t>
            </w:r>
          </w:p>
        </w:tc>
        <w:tc>
          <w:tcPr>
            <w:tcW w:w="4410" w:type="dxa"/>
          </w:tcPr>
          <w:p w:rsidR="00A72359" w:rsidRPr="00C172FC" w:rsidRDefault="00A72359" w:rsidP="00802D34">
            <w:r w:rsidRPr="00C172FC">
              <w:t>9.22 (Average)</w:t>
            </w:r>
          </w:p>
          <w:p w:rsidR="00A72359" w:rsidRPr="00C172FC" w:rsidRDefault="00A72359" w:rsidP="00802D34">
            <w:r w:rsidRPr="00C172FC">
              <w:t>9.35 (Median)</w:t>
            </w:r>
          </w:p>
        </w:tc>
      </w:tr>
    </w:tbl>
    <w:p w:rsidR="006D7811" w:rsidRDefault="006D7811" w:rsidP="00693D5A"/>
    <w:p w:rsidR="003A2416" w:rsidRDefault="006D7811" w:rsidP="00693D5A">
      <w:pPr>
        <w:pStyle w:val="Heading3"/>
        <w:spacing w:before="0"/>
      </w:pPr>
      <w:bookmarkStart w:id="22" w:name="_Toc413395573"/>
      <w:r>
        <w:t xml:space="preserve">Dr. </w:t>
      </w:r>
      <w:r w:rsidR="008C3E7E">
        <w:t>Morin’s</w:t>
      </w:r>
      <w:r>
        <w:t>’ CAPM ROE estimate is overstated.</w:t>
      </w:r>
      <w:bookmarkEnd w:id="22"/>
    </w:p>
    <w:p w:rsidR="00203D09" w:rsidRDefault="00203D09" w:rsidP="00203D09"/>
    <w:p w:rsidR="00203D09" w:rsidRDefault="00E2299D" w:rsidP="006A4B61">
      <w:pPr>
        <w:pStyle w:val="ParNumber"/>
        <w:ind w:left="0" w:hanging="720"/>
      </w:pPr>
      <w:r>
        <w:tab/>
      </w:r>
      <w:r w:rsidR="00203D09">
        <w:t xml:space="preserve">Dr. Morin’s CAPM estimate of ROE is overstated for two reasons: </w:t>
      </w:r>
      <w:r w:rsidR="003320CF">
        <w:t xml:space="preserve"> </w:t>
      </w:r>
      <w:r w:rsidR="00203D09">
        <w:t>(1)</w:t>
      </w:r>
      <w:r w:rsidR="00F10A27">
        <w:t xml:space="preserve"> his market risk premium of 7.2</w:t>
      </w:r>
      <w:r w:rsidR="00A133C1">
        <w:t>%</w:t>
      </w:r>
      <w:r w:rsidR="00203D09">
        <w:t xml:space="preserve"> is overstated; and (2) he elects to use forward interest rate projections rather than current Treasury bond yields as the risk-free rate of return. </w:t>
      </w:r>
    </w:p>
    <w:p w:rsidR="00AB6B2A" w:rsidRPr="00393D21" w:rsidRDefault="00AA6059" w:rsidP="00693D5A">
      <w:pPr>
        <w:pStyle w:val="Heading4"/>
        <w:spacing w:before="0"/>
      </w:pPr>
      <w:bookmarkStart w:id="23" w:name="_Toc413395574"/>
      <w:r w:rsidRPr="00393D21">
        <w:t xml:space="preserve">The </w:t>
      </w:r>
      <w:r w:rsidR="00C172FC" w:rsidRPr="00393D21">
        <w:t xml:space="preserve">CAPM </w:t>
      </w:r>
      <w:r w:rsidR="00AB6B2A" w:rsidRPr="00393D21">
        <w:t>Market risk premium</w:t>
      </w:r>
      <w:r w:rsidRPr="00393D21">
        <w:t xml:space="preserve"> </w:t>
      </w:r>
      <w:r w:rsidR="00882D19">
        <w:t xml:space="preserve">is </w:t>
      </w:r>
      <w:r w:rsidRPr="00393D21">
        <w:t>not reasonable</w:t>
      </w:r>
      <w:r w:rsidR="00F10A27" w:rsidRPr="00393D21">
        <w:t>.</w:t>
      </w:r>
      <w:bookmarkEnd w:id="23"/>
      <w:r w:rsidR="00F10A27" w:rsidRPr="00393D21">
        <w:t xml:space="preserve"> </w:t>
      </w:r>
    </w:p>
    <w:p w:rsidR="00AB6B2A" w:rsidRPr="00393D21" w:rsidRDefault="00AB6B2A" w:rsidP="00AB6B2A"/>
    <w:p w:rsidR="00E2299D" w:rsidRPr="00B0775A" w:rsidRDefault="00393D21" w:rsidP="006A4B61">
      <w:pPr>
        <w:pStyle w:val="ParNumber"/>
        <w:ind w:left="0" w:hanging="720"/>
      </w:pPr>
      <w:r>
        <w:tab/>
      </w:r>
      <w:r w:rsidR="00C91782" w:rsidRPr="00B0775A">
        <w:t>Dr. Morin us</w:t>
      </w:r>
      <w:r w:rsidR="00F10A27" w:rsidRPr="00B0775A">
        <w:t>es a market risk premium of 7.2</w:t>
      </w:r>
      <w:r w:rsidR="00A133C1" w:rsidRPr="00B0775A">
        <w:t>%</w:t>
      </w:r>
      <w:r w:rsidR="00C91782" w:rsidRPr="00B0775A">
        <w:t xml:space="preserve"> in his CAPM analysis.  </w:t>
      </w:r>
      <w:r w:rsidR="00D467BF" w:rsidRPr="00B0775A">
        <w:t xml:space="preserve">Over the past 85 years, </w:t>
      </w:r>
      <w:r w:rsidR="00C91782" w:rsidRPr="00B0775A">
        <w:t xml:space="preserve">however, </w:t>
      </w:r>
      <w:r w:rsidR="00D467BF" w:rsidRPr="00B0775A">
        <w:t>the difference between the return on common stocks and the return on long-term Treasur</w:t>
      </w:r>
      <w:r w:rsidR="00F10A27" w:rsidRPr="00B0775A">
        <w:t>y bonds has ranged from 4 to 6</w:t>
      </w:r>
      <w:r w:rsidR="00A133C1" w:rsidRPr="00B0775A">
        <w:t>%</w:t>
      </w:r>
      <w:r w:rsidR="00D467BF" w:rsidRPr="00B0775A">
        <w:t>,</w:t>
      </w:r>
      <w:r w:rsidR="00D467BF" w:rsidRPr="00B0775A">
        <w:rPr>
          <w:rStyle w:val="FootnoteReference"/>
        </w:rPr>
        <w:footnoteReference w:id="55"/>
      </w:r>
      <w:r w:rsidR="00D467BF" w:rsidRPr="00B0775A">
        <w:t xml:space="preserve"> representing a long-term historical average risk premium</w:t>
      </w:r>
      <w:r w:rsidR="00C91782" w:rsidRPr="00B0775A">
        <w:t xml:space="preserve"> below Dr. Morin’s number</w:t>
      </w:r>
      <w:r w:rsidR="00D467BF" w:rsidRPr="00B0775A">
        <w:t>.</w:t>
      </w:r>
      <w:r w:rsidR="000E20CF" w:rsidRPr="00B0775A">
        <w:rPr>
          <w:rStyle w:val="FootnoteReference"/>
        </w:rPr>
        <w:footnoteReference w:id="56"/>
      </w:r>
      <w:r w:rsidR="003320CF" w:rsidRPr="00B0775A">
        <w:t xml:space="preserve">  </w:t>
      </w:r>
      <w:r w:rsidR="00D467BF" w:rsidRPr="00B0775A">
        <w:t>The Brealey and M</w:t>
      </w:r>
      <w:r w:rsidR="004F4509" w:rsidRPr="00B0775A">
        <w:t>e</w:t>
      </w:r>
      <w:r w:rsidR="00D467BF" w:rsidRPr="00B0775A">
        <w:t>yers text</w:t>
      </w:r>
      <w:r w:rsidR="00A85C2A" w:rsidRPr="00B0775A">
        <w:t>, as another reference,</w:t>
      </w:r>
      <w:r w:rsidR="00D467BF" w:rsidRPr="00B0775A">
        <w:t xml:space="preserve"> indicates a </w:t>
      </w:r>
      <w:r w:rsidR="00D467BF" w:rsidRPr="00B0775A">
        <w:rPr>
          <w:i/>
        </w:rPr>
        <w:t>long-term</w:t>
      </w:r>
      <w:r w:rsidR="00D467BF" w:rsidRPr="00B0775A">
        <w:t xml:space="preserve"> risk premium relative to Treasury bonds in a range from </w:t>
      </w:r>
      <w:r w:rsidR="00F10A27" w:rsidRPr="00B0775A">
        <w:t>3.5 to 6.5</w:t>
      </w:r>
      <w:r w:rsidR="00A133C1" w:rsidRPr="00B0775A">
        <w:t>%</w:t>
      </w:r>
      <w:r w:rsidR="000E20CF" w:rsidRPr="00B0775A">
        <w:t>.</w:t>
      </w:r>
      <w:r w:rsidR="000E20CF" w:rsidRPr="00B0775A">
        <w:rPr>
          <w:rStyle w:val="FootnoteReference"/>
        </w:rPr>
        <w:footnoteReference w:id="57"/>
      </w:r>
      <w:r w:rsidR="000E20CF" w:rsidRPr="00B0775A">
        <w:t xml:space="preserve">  Dr</w:t>
      </w:r>
      <w:r w:rsidR="003320CF" w:rsidRPr="00B0775A">
        <w:t>.</w:t>
      </w:r>
      <w:r w:rsidR="00F10A27" w:rsidRPr="00B0775A">
        <w:t> </w:t>
      </w:r>
      <w:r w:rsidR="004F4509" w:rsidRPr="00B0775A">
        <w:t>Morin</w:t>
      </w:r>
      <w:r w:rsidR="00A85C2A" w:rsidRPr="00B0775A">
        <w:t>’s initial testimony, however,</w:t>
      </w:r>
      <w:r w:rsidR="004F4509" w:rsidRPr="00B0775A">
        <w:t xml:space="preserve"> cites the Brealey and Meyers range for </w:t>
      </w:r>
      <w:r w:rsidR="003320CF" w:rsidRPr="00B0775A">
        <w:rPr>
          <w:i/>
        </w:rPr>
        <w:t>short-</w:t>
      </w:r>
      <w:r w:rsidR="004F4509" w:rsidRPr="00B0775A">
        <w:rPr>
          <w:i/>
        </w:rPr>
        <w:t>term</w:t>
      </w:r>
      <w:r w:rsidR="003320CF" w:rsidRPr="00B0775A">
        <w:t xml:space="preserve"> </w:t>
      </w:r>
      <w:r w:rsidR="00A85C2A" w:rsidRPr="00B0775A">
        <w:lastRenderedPageBreak/>
        <w:t xml:space="preserve">Treasury </w:t>
      </w:r>
      <w:r w:rsidR="00F10A27" w:rsidRPr="00B0775A">
        <w:t>bonds (5 to 8</w:t>
      </w:r>
      <w:r w:rsidR="00A133C1" w:rsidRPr="00B0775A">
        <w:t>%</w:t>
      </w:r>
      <w:r w:rsidR="004F4509" w:rsidRPr="00B0775A">
        <w:t>) in support of his 7.2</w:t>
      </w:r>
      <w:r w:rsidR="00A133C1" w:rsidRPr="00B0775A">
        <w:t>%</w:t>
      </w:r>
      <w:r w:rsidR="00C91782" w:rsidRPr="00B0775A">
        <w:t xml:space="preserve"> market risk premium</w:t>
      </w:r>
      <w:r w:rsidR="004F4509" w:rsidRPr="00B0775A">
        <w:t xml:space="preserve">, not pointing </w:t>
      </w:r>
      <w:r w:rsidR="00F10A27" w:rsidRPr="00B0775A">
        <w:t xml:space="preserve">out </w:t>
      </w:r>
      <w:r w:rsidR="00A85C2A" w:rsidRPr="00B0775A">
        <w:t xml:space="preserve">that </w:t>
      </w:r>
      <w:r w:rsidR="004F4509" w:rsidRPr="00B0775A">
        <w:t xml:space="preserve">range is </w:t>
      </w:r>
      <w:r w:rsidR="000D24AB" w:rsidRPr="00B0775A">
        <w:t xml:space="preserve">based on </w:t>
      </w:r>
      <w:r w:rsidR="003320CF" w:rsidRPr="00B0775A">
        <w:t>short-</w:t>
      </w:r>
      <w:r w:rsidR="004F4509" w:rsidRPr="00B0775A">
        <w:t>term bonds.</w:t>
      </w:r>
      <w:r w:rsidR="004F4509" w:rsidRPr="00B0775A">
        <w:rPr>
          <w:rStyle w:val="FootnoteReference"/>
        </w:rPr>
        <w:footnoteReference w:id="58"/>
      </w:r>
      <w:r w:rsidR="00F10A27" w:rsidRPr="00B0775A">
        <w:t xml:space="preserve">  </w:t>
      </w:r>
    </w:p>
    <w:p w:rsidR="00E2299D" w:rsidRDefault="00E2299D" w:rsidP="006A4B61">
      <w:pPr>
        <w:pStyle w:val="ParNumber"/>
        <w:ind w:left="0" w:hanging="720"/>
      </w:pPr>
      <w:r>
        <w:tab/>
      </w:r>
      <w:r w:rsidR="006A69A9">
        <w:t xml:space="preserve">In his rebuttal testimony, </w:t>
      </w:r>
      <w:r w:rsidR="00B85698">
        <w:t>Dr. Morin</w:t>
      </w:r>
      <w:r w:rsidR="006A69A9">
        <w:t xml:space="preserve"> also supports his CAPM marke</w:t>
      </w:r>
      <w:r w:rsidR="00245299">
        <w:t>t risk premium estimate of 7.2</w:t>
      </w:r>
      <w:r w:rsidR="00A133C1">
        <w:t>%</w:t>
      </w:r>
      <w:r w:rsidR="006A69A9">
        <w:t xml:space="preserve"> by </w:t>
      </w:r>
      <w:r w:rsidR="000645CE">
        <w:t xml:space="preserve">citing </w:t>
      </w:r>
      <w:r w:rsidR="00C172FC">
        <w:t>a Harris/</w:t>
      </w:r>
      <w:r w:rsidR="006A69A9">
        <w:t>Marston study</w:t>
      </w:r>
      <w:r w:rsidR="000645CE">
        <w:t xml:space="preserve"> of S&amp;P 500 companies for 1993 to 1998</w:t>
      </w:r>
      <w:r w:rsidR="00A06558">
        <w:t xml:space="preserve">.  He states: </w:t>
      </w:r>
      <w:r w:rsidR="003320CF">
        <w:t xml:space="preserve"> </w:t>
      </w:r>
      <w:r w:rsidR="000645CE">
        <w:t>“[f]rom that study, the average Market Risk Premium estimat</w:t>
      </w:r>
      <w:r w:rsidR="00245299">
        <w:t>e for the overall period is 7.2</w:t>
      </w:r>
      <w:r w:rsidR="000645CE">
        <w:t>%, the same as used in my CAPM analysis and higher than the Market Risk Premium reported by Morningstar.”</w:t>
      </w:r>
      <w:r w:rsidR="000645CE">
        <w:rPr>
          <w:rStyle w:val="FootnoteReference"/>
        </w:rPr>
        <w:footnoteReference w:id="59"/>
      </w:r>
      <w:r w:rsidR="00A06558">
        <w:t xml:space="preserve">  </w:t>
      </w:r>
      <w:r w:rsidR="00932560">
        <w:t xml:space="preserve">In discovery, Public Counsel asked </w:t>
      </w:r>
      <w:r w:rsidR="00A06558">
        <w:t xml:space="preserve">Dr. Morin </w:t>
      </w:r>
      <w:r w:rsidR="00932560">
        <w:t xml:space="preserve">for the risk premium for utilities in the </w:t>
      </w:r>
      <w:r w:rsidR="003320CF">
        <w:t>Harris/</w:t>
      </w:r>
      <w:r w:rsidR="00A06558">
        <w:t>Marston study</w:t>
      </w:r>
      <w:r w:rsidR="00932560">
        <w:t xml:space="preserve">.  In the response, </w:t>
      </w:r>
      <w:r w:rsidR="00C172FC">
        <w:t xml:space="preserve">he </w:t>
      </w:r>
      <w:r w:rsidR="00932560">
        <w:t xml:space="preserve">provided only an excerpt </w:t>
      </w:r>
      <w:r w:rsidR="00A06558">
        <w:t>w</w:t>
      </w:r>
      <w:r w:rsidR="003320CF">
        <w:t>ith a</w:t>
      </w:r>
      <w:r w:rsidR="00245299">
        <w:t xml:space="preserve"> table containing the 7.2</w:t>
      </w:r>
      <w:r w:rsidR="00A133C1">
        <w:t>%</w:t>
      </w:r>
      <w:r w:rsidR="00A06558">
        <w:t xml:space="preserve"> figure</w:t>
      </w:r>
      <w:r w:rsidR="00932560">
        <w:t xml:space="preserve">, but did not </w:t>
      </w:r>
      <w:r w:rsidR="00C172FC">
        <w:t>provide the utility risk premium</w:t>
      </w:r>
      <w:r w:rsidR="003320CF">
        <w:t xml:space="preserve">.  </w:t>
      </w:r>
      <w:r w:rsidR="00245299">
        <w:t>On cross</w:t>
      </w:r>
      <w:r w:rsidR="00245299">
        <w:noBreakHyphen/>
      </w:r>
      <w:r w:rsidR="00932560">
        <w:t xml:space="preserve">examination, Dr. Morin acknowledged that </w:t>
      </w:r>
      <w:r w:rsidR="00245299">
        <w:t>the 7.2</w:t>
      </w:r>
      <w:r w:rsidR="00A133C1">
        <w:t>%</w:t>
      </w:r>
      <w:r w:rsidR="00A0631E">
        <w:t xml:space="preserve"> figure is </w:t>
      </w:r>
      <w:r w:rsidR="00306662">
        <w:t xml:space="preserve">for the </w:t>
      </w:r>
      <w:r w:rsidR="00A0631E">
        <w:t xml:space="preserve">overall </w:t>
      </w:r>
      <w:r w:rsidR="00306662">
        <w:t xml:space="preserve">market, and that, </w:t>
      </w:r>
      <w:r w:rsidR="00932560">
        <w:t>in fact</w:t>
      </w:r>
      <w:r w:rsidR="00306662">
        <w:t>,</w:t>
      </w:r>
      <w:r w:rsidR="003320CF">
        <w:t xml:space="preserve"> the Harris/</w:t>
      </w:r>
      <w:r w:rsidR="00932560">
        <w:t>Marston study</w:t>
      </w:r>
      <w:r w:rsidR="00C91782">
        <w:t xml:space="preserve"> </w:t>
      </w:r>
      <w:r w:rsidR="00932560">
        <w:t xml:space="preserve">provides a </w:t>
      </w:r>
      <w:r w:rsidR="00306662">
        <w:t xml:space="preserve">much lower </w:t>
      </w:r>
      <w:r w:rsidR="00932560">
        <w:t xml:space="preserve">risk premium </w:t>
      </w:r>
      <w:r w:rsidR="00306662">
        <w:t xml:space="preserve">specifically </w:t>
      </w:r>
      <w:r w:rsidR="00932560">
        <w:t xml:space="preserve">for utilities of </w:t>
      </w:r>
      <w:r w:rsidR="00245299">
        <w:t>4.15</w:t>
      </w:r>
      <w:r w:rsidR="00A133C1">
        <w:t>%</w:t>
      </w:r>
      <w:r w:rsidR="00306662">
        <w:t xml:space="preserve">, </w:t>
      </w:r>
      <w:r w:rsidR="00C172FC">
        <w:t xml:space="preserve">a fact not included in his </w:t>
      </w:r>
      <w:r w:rsidR="00306662">
        <w:t>discovery response</w:t>
      </w:r>
      <w:r w:rsidR="00A06558">
        <w:t>.</w:t>
      </w:r>
      <w:r w:rsidR="00306662">
        <w:rPr>
          <w:rStyle w:val="FootnoteReference"/>
        </w:rPr>
        <w:footnoteReference w:id="60"/>
      </w:r>
      <w:r w:rsidR="00A06558">
        <w:t xml:space="preserve">  </w:t>
      </w:r>
    </w:p>
    <w:p w:rsidR="008D15F3" w:rsidRDefault="00E2299D" w:rsidP="006A4B61">
      <w:pPr>
        <w:pStyle w:val="ParNumber"/>
        <w:ind w:left="0" w:hanging="720"/>
      </w:pPr>
      <w:r>
        <w:tab/>
      </w:r>
      <w:r w:rsidR="00C172FC">
        <w:t>If the Harris/</w:t>
      </w:r>
      <w:r w:rsidR="00306662">
        <w:t xml:space="preserve">Marston </w:t>
      </w:r>
      <w:r w:rsidR="00652159" w:rsidRPr="00C91782">
        <w:rPr>
          <w:i/>
        </w:rPr>
        <w:t>utility</w:t>
      </w:r>
      <w:r w:rsidR="00652159">
        <w:t xml:space="preserve"> </w:t>
      </w:r>
      <w:r w:rsidR="00245299">
        <w:t>risk premium of 4.15</w:t>
      </w:r>
      <w:r w:rsidR="00A133C1">
        <w:t>%</w:t>
      </w:r>
      <w:r w:rsidR="00306662">
        <w:t xml:space="preserve"> </w:t>
      </w:r>
      <w:r w:rsidR="00C172FC">
        <w:t xml:space="preserve">is added </w:t>
      </w:r>
      <w:r w:rsidR="00306662">
        <w:t xml:space="preserve">to </w:t>
      </w:r>
      <w:r w:rsidR="00652159">
        <w:t xml:space="preserve">Dr. Morin’s projected risk free </w:t>
      </w:r>
      <w:r w:rsidR="00245299">
        <w:t>rate for Treasury bonds of 4.6</w:t>
      </w:r>
      <w:r w:rsidR="00A133C1">
        <w:t>%</w:t>
      </w:r>
      <w:r w:rsidR="003320CF">
        <w:t>,</w:t>
      </w:r>
      <w:r w:rsidR="00652159">
        <w:t xml:space="preserve"> t</w:t>
      </w:r>
      <w:r w:rsidR="003320CF">
        <w:t>he in</w:t>
      </w:r>
      <w:r w:rsidR="00245299">
        <w:t>dicated ROE would by 8.75</w:t>
      </w:r>
      <w:r w:rsidR="00A133C1">
        <w:t>%</w:t>
      </w:r>
      <w:r w:rsidR="00652159">
        <w:t>, as Dr. Morin admitted at the hearing.</w:t>
      </w:r>
      <w:r w:rsidR="00642944">
        <w:rPr>
          <w:rStyle w:val="FootnoteReference"/>
        </w:rPr>
        <w:footnoteReference w:id="61"/>
      </w:r>
      <w:r w:rsidR="00652159">
        <w:t xml:space="preserve">  Dr. Morin also acknowledged that </w:t>
      </w:r>
      <w:r w:rsidR="00642944">
        <w:t xml:space="preserve">the </w:t>
      </w:r>
      <w:r w:rsidR="00652159">
        <w:t xml:space="preserve">long-term Treasury bond yields have declined since he prepared </w:t>
      </w:r>
      <w:r w:rsidR="00245299">
        <w:t>his direct testimony, from 4.6</w:t>
      </w:r>
      <w:r w:rsidR="00A133C1">
        <w:t>%</w:t>
      </w:r>
      <w:r w:rsidR="00652159">
        <w:t xml:space="preserve"> (his risk-f</w:t>
      </w:r>
      <w:r w:rsidR="00245299">
        <w:t>ree rate) to approximately 2.5</w:t>
      </w:r>
      <w:r w:rsidR="00A133C1">
        <w:t>%</w:t>
      </w:r>
      <w:r w:rsidR="00652159">
        <w:t xml:space="preserve">, which would indicate an </w:t>
      </w:r>
      <w:r w:rsidR="00C91782">
        <w:t xml:space="preserve">ROE </w:t>
      </w:r>
      <w:r w:rsidR="00652159">
        <w:t xml:space="preserve">even lower </w:t>
      </w:r>
      <w:r w:rsidR="00245299">
        <w:t>than 8.75</w:t>
      </w:r>
      <w:r w:rsidR="00C91782">
        <w:t xml:space="preserve">% </w:t>
      </w:r>
      <w:r w:rsidR="00652159">
        <w:t>prospectively.</w:t>
      </w:r>
      <w:r w:rsidR="00AB6B2A">
        <w:rPr>
          <w:rStyle w:val="FootnoteReference"/>
        </w:rPr>
        <w:footnoteReference w:id="62"/>
      </w:r>
    </w:p>
    <w:p w:rsidR="00AB6B2A" w:rsidRDefault="00AA6059" w:rsidP="003320CF">
      <w:pPr>
        <w:pStyle w:val="Heading4"/>
        <w:spacing w:before="0"/>
      </w:pPr>
      <w:bookmarkStart w:id="24" w:name="_Toc413395575"/>
      <w:r>
        <w:lastRenderedPageBreak/>
        <w:t>Dr. Morin’s selected r</w:t>
      </w:r>
      <w:r w:rsidR="00AB6B2A">
        <w:t>isk free rate</w:t>
      </w:r>
      <w:r>
        <w:t xml:space="preserve"> skews his </w:t>
      </w:r>
      <w:r w:rsidR="008E2D98">
        <w:t xml:space="preserve">CAPM </w:t>
      </w:r>
      <w:r>
        <w:t>results upward</w:t>
      </w:r>
      <w:r w:rsidR="003320CF">
        <w:t>.</w:t>
      </w:r>
      <w:bookmarkEnd w:id="24"/>
    </w:p>
    <w:p w:rsidR="003320CF" w:rsidRPr="003320CF" w:rsidRDefault="003320CF" w:rsidP="003320CF"/>
    <w:p w:rsidR="003320CF" w:rsidRDefault="003320CF" w:rsidP="006A4B61">
      <w:pPr>
        <w:pStyle w:val="ParNumber"/>
        <w:ind w:left="0" w:hanging="720"/>
      </w:pPr>
      <w:r>
        <w:tab/>
      </w:r>
      <w:r w:rsidR="00F503D3">
        <w:t>Dr. Morin uses a risk-free rate for long</w:t>
      </w:r>
      <w:r w:rsidR="00245299">
        <w:t>-term Treasury bonds of 4.6</w:t>
      </w:r>
      <w:r w:rsidR="00A133C1">
        <w:t>%</w:t>
      </w:r>
      <w:r>
        <w:t>, as just noted.</w:t>
      </w:r>
      <w:r w:rsidR="00F503D3">
        <w:t xml:space="preserve">  This is 140 basis points higher than the actual </w:t>
      </w:r>
      <w:r w:rsidR="00245299">
        <w:t>3.19</w:t>
      </w:r>
      <w:r w:rsidR="00A133C1">
        <w:t>%</w:t>
      </w:r>
      <w:r w:rsidR="00642944">
        <w:t xml:space="preserve"> </w:t>
      </w:r>
      <w:r w:rsidR="00F503D3">
        <w:t>bond yield in the market during May and June 2013</w:t>
      </w:r>
      <w:r w:rsidR="00BD35E3">
        <w:t xml:space="preserve"> during the target period</w:t>
      </w:r>
      <w:r w:rsidR="00F503D3">
        <w:t>.</w:t>
      </w:r>
      <w:r w:rsidR="00BD35E3">
        <w:rPr>
          <w:rStyle w:val="FootnoteReference"/>
        </w:rPr>
        <w:footnoteReference w:id="63"/>
      </w:r>
      <w:r w:rsidR="00F503D3">
        <w:t xml:space="preserve">  </w:t>
      </w:r>
      <w:r w:rsidR="009962CC">
        <w:t>Dr. Morin’s rate is based on bond yield projections</w:t>
      </w:r>
      <w:r w:rsidR="002E00FE">
        <w:t>,</w:t>
      </w:r>
      <w:r w:rsidR="00BD35E3">
        <w:t xml:space="preserve"> representing a </w:t>
      </w:r>
      <w:r w:rsidR="002E00FE">
        <w:t xml:space="preserve">change </w:t>
      </w:r>
      <w:r w:rsidR="00BD35E3">
        <w:t xml:space="preserve">from </w:t>
      </w:r>
      <w:r w:rsidR="002E00FE">
        <w:t xml:space="preserve">his former CAPM methodology </w:t>
      </w:r>
      <w:r w:rsidR="00BD35E3">
        <w:t xml:space="preserve">in </w:t>
      </w:r>
      <w:r w:rsidR="002E00FE">
        <w:t>which used current Treasury bond yields</w:t>
      </w:r>
      <w:r w:rsidR="009962CC">
        <w:t>.</w:t>
      </w:r>
      <w:r w:rsidR="002E00FE">
        <w:rPr>
          <w:rStyle w:val="FootnoteReference"/>
        </w:rPr>
        <w:footnoteReference w:id="64"/>
      </w:r>
      <w:r>
        <w:t xml:space="preserve">  As Mr. </w:t>
      </w:r>
      <w:r w:rsidR="009962CC">
        <w:t xml:space="preserve">Hill explains in his testimony, interest rate forecasts are not a very accurate indicator of the </w:t>
      </w:r>
      <w:r w:rsidR="006C2483">
        <w:t xml:space="preserve">current cost of capital.  </w:t>
      </w:r>
      <w:r w:rsidR="00642944">
        <w:t>Indeed, Dr. Morin himself acknowledged at the hearing</w:t>
      </w:r>
      <w:r w:rsidR="008E2D98">
        <w:t>:</w:t>
      </w:r>
      <w:r w:rsidR="00642944">
        <w:t xml:space="preserve"> </w:t>
      </w:r>
      <w:r w:rsidR="008E2D98">
        <w:t xml:space="preserve"> </w:t>
      </w:r>
      <w:r w:rsidR="009B0F76">
        <w:t>“One thing that has always bothered me in the last couple of years is that I’ve been forecasting higher yields for several years now and they haven’t materialized yet</w:t>
      </w:r>
      <w:r w:rsidR="00642944">
        <w:t>.</w:t>
      </w:r>
      <w:r w:rsidR="009B0F76">
        <w:t>”</w:t>
      </w:r>
      <w:r w:rsidR="00642944">
        <w:rPr>
          <w:rStyle w:val="FootnoteReference"/>
        </w:rPr>
        <w:footnoteReference w:id="65"/>
      </w:r>
      <w:r w:rsidR="00642944">
        <w:t xml:space="preserve">   </w:t>
      </w:r>
    </w:p>
    <w:p w:rsidR="00EA3B61" w:rsidRDefault="003320CF" w:rsidP="006A4B61">
      <w:pPr>
        <w:pStyle w:val="ParNumber"/>
        <w:ind w:left="0" w:hanging="720"/>
      </w:pPr>
      <w:r>
        <w:tab/>
      </w:r>
      <w:r w:rsidR="00642944">
        <w:t xml:space="preserve">Mr. Hill’s </w:t>
      </w:r>
      <w:r w:rsidR="007C5ADA">
        <w:t>testimony provides data regarding consistent overestimates of bond yields by Value Line in the last five years.</w:t>
      </w:r>
      <w:r w:rsidR="007C5ADA">
        <w:rPr>
          <w:rStyle w:val="FootnoteReference"/>
        </w:rPr>
        <w:footnoteReference w:id="66"/>
      </w:r>
      <w:r w:rsidR="007C5ADA">
        <w:t xml:space="preserve">  </w:t>
      </w:r>
      <w:r w:rsidR="00BD35E3">
        <w:t xml:space="preserve">Current bond yields provide a </w:t>
      </w:r>
      <w:r w:rsidR="007C5ADA">
        <w:t xml:space="preserve">more reliable risk-free rate of return for use in CAPM analysis </w:t>
      </w:r>
      <w:r w:rsidR="00BD35E3">
        <w:t xml:space="preserve">than </w:t>
      </w:r>
      <w:r w:rsidR="007C5ADA">
        <w:t>the estimates of what yields might be in two years, as relied on by Dr. Morin.</w:t>
      </w:r>
      <w:r w:rsidR="00A62563">
        <w:t xml:space="preserve">  </w:t>
      </w:r>
      <w:r w:rsidR="00886ECF">
        <w:t xml:space="preserve">Using a more reliable risk-free rate </w:t>
      </w:r>
      <w:r w:rsidR="00045ACB">
        <w:t xml:space="preserve">for the 2013 target period </w:t>
      </w:r>
      <w:r w:rsidR="00245299">
        <w:t>of 3.4</w:t>
      </w:r>
      <w:r w:rsidR="00A133C1">
        <w:t>%</w:t>
      </w:r>
      <w:r w:rsidR="00886ECF">
        <w:rPr>
          <w:rStyle w:val="FootnoteReference"/>
        </w:rPr>
        <w:footnoteReference w:id="67"/>
      </w:r>
      <w:r w:rsidR="00A16EDA">
        <w:t xml:space="preserve"> in Dr. Morin’s CAPM </w:t>
      </w:r>
      <w:r w:rsidR="00045ACB">
        <w:t>formul</w:t>
      </w:r>
      <w:r w:rsidR="00245299">
        <w:t>a, even with his very high 7.2</w:t>
      </w:r>
      <w:r w:rsidR="00A133C1">
        <w:t>%</w:t>
      </w:r>
      <w:r w:rsidR="00045ACB">
        <w:t xml:space="preserve"> market risk premium, </w:t>
      </w:r>
      <w:r w:rsidR="00245299">
        <w:t>provides an ROE result of 8.58</w:t>
      </w:r>
      <w:r w:rsidR="00A133C1">
        <w:t>%</w:t>
      </w:r>
      <w:r w:rsidR="00045ACB">
        <w:t xml:space="preserve">.  This clearly demonstrates how Dr. Morin’s use of projected interest rates skews his results upward.  Use of current “target period” 2013 bond yields </w:t>
      </w:r>
      <w:r w:rsidR="00642944">
        <w:t xml:space="preserve">would bring his </w:t>
      </w:r>
      <w:r w:rsidR="007916F5">
        <w:t>indicated ROE below 9.0</w:t>
      </w:r>
      <w:r w:rsidR="00A133C1">
        <w:t>%</w:t>
      </w:r>
      <w:r w:rsidR="00045ACB">
        <w:t xml:space="preserve">. </w:t>
      </w:r>
    </w:p>
    <w:p w:rsidR="00EA3B61" w:rsidRDefault="001F2463" w:rsidP="00E6789B">
      <w:pPr>
        <w:pStyle w:val="Heading3"/>
        <w:spacing w:before="0"/>
      </w:pPr>
      <w:bookmarkStart w:id="25" w:name="_Toc413395576"/>
      <w:r>
        <w:lastRenderedPageBreak/>
        <w:t>Dr. Morin’s risk premium analysis is flawed</w:t>
      </w:r>
      <w:r w:rsidR="00EA3B61">
        <w:t>.</w:t>
      </w:r>
      <w:bookmarkEnd w:id="25"/>
    </w:p>
    <w:p w:rsidR="00EA3B61" w:rsidRDefault="00EA3B61" w:rsidP="00EA3B61">
      <w:pPr>
        <w:ind w:left="720"/>
      </w:pPr>
    </w:p>
    <w:p w:rsidR="00C23360" w:rsidRDefault="00C23360" w:rsidP="006A4B61">
      <w:pPr>
        <w:pStyle w:val="ParNumber"/>
        <w:ind w:left="0" w:hanging="720"/>
      </w:pPr>
      <w:r>
        <w:tab/>
      </w:r>
      <w:r w:rsidR="00EA3B61">
        <w:t>Mr. Hill discusses the problems with Dr. Morin’s risk premium analysis in detail, identifyi</w:t>
      </w:r>
      <w:r w:rsidR="00E64E55">
        <w:t xml:space="preserve">ng at least two major issues.  </w:t>
      </w:r>
      <w:r w:rsidR="00EA3B61">
        <w:t>First, as just descri</w:t>
      </w:r>
      <w:r w:rsidR="00E64E55">
        <w:t>bed in the CAPM section above, Dr. </w:t>
      </w:r>
      <w:r w:rsidR="00EA3B61">
        <w:t>Morin’s use of</w:t>
      </w:r>
      <w:r w:rsidR="00FC0B73">
        <w:t xml:space="preserve"> a projected bond yield of 4.6</w:t>
      </w:r>
      <w:r w:rsidR="00A133C1">
        <w:t>%</w:t>
      </w:r>
      <w:r w:rsidR="00EA3B61">
        <w:t>, rather than a normalized current bond yield of</w:t>
      </w:r>
      <w:r w:rsidR="00E64E55">
        <w:t xml:space="preserve"> </w:t>
      </w:r>
      <w:r w:rsidR="00FC0B73">
        <w:t>3.4</w:t>
      </w:r>
      <w:r w:rsidR="00A133C1">
        <w:t>%</w:t>
      </w:r>
      <w:r w:rsidR="00EA3B61">
        <w:t xml:space="preserve"> for the 2013 target period, overstates the risk-f</w:t>
      </w:r>
      <w:r w:rsidR="00E64E55">
        <w:t xml:space="preserve">ree rate by 120 basis points.  </w:t>
      </w:r>
      <w:r w:rsidR="00492CFD">
        <w:t>Even if Dr.</w:t>
      </w:r>
      <w:r w:rsidR="00FC0B73">
        <w:t> </w:t>
      </w:r>
      <w:r w:rsidR="00492CFD">
        <w:t>Morin’s risk prem</w:t>
      </w:r>
      <w:r w:rsidR="00FC0B73">
        <w:t>ium calculations are used (5.2</w:t>
      </w:r>
      <w:r w:rsidR="00A133C1">
        <w:t>%</w:t>
      </w:r>
      <w:r w:rsidR="00FC0B73">
        <w:t xml:space="preserve"> long-term historical, 5.4</w:t>
      </w:r>
      <w:r w:rsidR="00A133C1">
        <w:t>%</w:t>
      </w:r>
      <w:r w:rsidR="00E64E55">
        <w:t xml:space="preserve"> historical allowed returns),</w:t>
      </w:r>
      <w:r w:rsidR="00492CFD">
        <w:t xml:space="preserve"> use of the more reliable normalized current bond yield i</w:t>
      </w:r>
      <w:r w:rsidR="00FC0B73">
        <w:t>ndicates an ROE of 8.6 or 8.8</w:t>
      </w:r>
      <w:r w:rsidR="00A133C1">
        <w:t>%</w:t>
      </w:r>
      <w:r w:rsidR="00492CFD">
        <w:t xml:space="preserve">, very similar to Mr. Hill’s recommendation. </w:t>
      </w:r>
      <w:r w:rsidR="00C96168">
        <w:rPr>
          <w:rStyle w:val="FootnoteReference"/>
        </w:rPr>
        <w:footnoteReference w:id="68"/>
      </w:r>
      <w:r w:rsidR="00492CFD">
        <w:t xml:space="preserve"> </w:t>
      </w:r>
    </w:p>
    <w:p w:rsidR="005A5C48" w:rsidRDefault="00C23360" w:rsidP="00B962B5">
      <w:pPr>
        <w:pStyle w:val="ParNumber"/>
        <w:ind w:left="0" w:hanging="720"/>
      </w:pPr>
      <w:r>
        <w:tab/>
      </w:r>
      <w:r w:rsidR="006954AF">
        <w:t>The second weakness in Dr. Morin’s analysis is his premise that there is a negative correlation between</w:t>
      </w:r>
      <w:r w:rsidR="00E64E55">
        <w:t xml:space="preserve"> bond yields and risk premiums.</w:t>
      </w:r>
      <w:r w:rsidR="003B742D">
        <w:t xml:space="preserve">  There are several concerns with this view.  His regression analysis appears to more likely capture regulatory caution in following market trends than any fundamental </w:t>
      </w:r>
      <w:r w:rsidR="004531CF">
        <w:t>relationship between bond yields and equity cost rates</w:t>
      </w:r>
      <w:r w:rsidR="003B742D">
        <w:t>.</w:t>
      </w:r>
      <w:r w:rsidR="003B742D">
        <w:rPr>
          <w:rStyle w:val="FootnoteReference"/>
        </w:rPr>
        <w:footnoteReference w:id="69"/>
      </w:r>
      <w:r w:rsidR="003B742D">
        <w:t xml:space="preserve"> </w:t>
      </w:r>
      <w:r w:rsidR="00E64E55">
        <w:t xml:space="preserve"> </w:t>
      </w:r>
      <w:r w:rsidR="00BD35E3">
        <w:t>C</w:t>
      </w:r>
      <w:r w:rsidR="00550C64">
        <w:t xml:space="preserve">ontrary to </w:t>
      </w:r>
      <w:r w:rsidR="008C3E7E">
        <w:t>Dr.</w:t>
      </w:r>
      <w:r w:rsidR="00550C64">
        <w:t xml:space="preserve"> Morin’s theory</w:t>
      </w:r>
      <w:r w:rsidR="00BD35E3">
        <w:t xml:space="preserve">, an ongoing Duke University study </w:t>
      </w:r>
      <w:r w:rsidR="003B742D">
        <w:t>finds a positive correlation in which as</w:t>
      </w:r>
      <w:r w:rsidR="00FC0B73">
        <w:t xml:space="preserve"> interest rates decline</w:t>
      </w:r>
      <w:r w:rsidR="003B742D">
        <w:t xml:space="preserve"> so do risk premiums.</w:t>
      </w:r>
      <w:r w:rsidR="00550C64">
        <w:t xml:space="preserve"> </w:t>
      </w:r>
      <w:r w:rsidR="00E64E55">
        <w:t xml:space="preserve"> </w:t>
      </w:r>
      <w:r w:rsidR="00BD35E3">
        <w:t xml:space="preserve">Dr. Morin’s </w:t>
      </w:r>
      <w:r w:rsidR="00550C64">
        <w:t xml:space="preserve">theory is counter-intuitive.  In a period of market uncertainty, instability, and increasing interest rates for bonds, logic would </w:t>
      </w:r>
      <w:r w:rsidR="00237CC7">
        <w:t>dictate that investors would require higher, not lower risk premiums.  This is consistent with the results of the Duke study.</w:t>
      </w:r>
      <w:r w:rsidR="00237CC7" w:rsidRPr="00237CC7">
        <w:rPr>
          <w:rStyle w:val="FootnoteReference"/>
        </w:rPr>
        <w:t xml:space="preserve"> </w:t>
      </w:r>
      <w:r w:rsidR="00237CC7">
        <w:rPr>
          <w:rStyle w:val="FootnoteReference"/>
        </w:rPr>
        <w:footnoteReference w:id="70"/>
      </w:r>
    </w:p>
    <w:p w:rsidR="00A477A1" w:rsidRDefault="00A477A1" w:rsidP="00A477A1">
      <w:pPr>
        <w:pStyle w:val="ParNumber"/>
        <w:numPr>
          <w:ilvl w:val="0"/>
          <w:numId w:val="0"/>
        </w:numPr>
      </w:pPr>
    </w:p>
    <w:p w:rsidR="00237CC7" w:rsidRDefault="00237CC7" w:rsidP="00237CC7">
      <w:pPr>
        <w:pStyle w:val="Heading3"/>
        <w:spacing w:before="0"/>
      </w:pPr>
      <w:bookmarkStart w:id="26" w:name="_Toc413395577"/>
      <w:r>
        <w:lastRenderedPageBreak/>
        <w:t>Modifying Dr. Morin</w:t>
      </w:r>
      <w:r w:rsidR="00AA6059">
        <w:t>’s analysis to remove flaws significantly reduces his ROE results.</w:t>
      </w:r>
      <w:bookmarkEnd w:id="26"/>
    </w:p>
    <w:p w:rsidR="00675F5A" w:rsidRPr="00675F5A" w:rsidRDefault="00675F5A" w:rsidP="00675F5A"/>
    <w:p w:rsidR="00237CC7" w:rsidRDefault="004823CD" w:rsidP="006A4B61">
      <w:pPr>
        <w:pStyle w:val="ParNumber"/>
        <w:ind w:left="0" w:hanging="720"/>
      </w:pPr>
      <w:r>
        <w:tab/>
      </w:r>
      <w:r w:rsidR="007C7EF5">
        <w:t xml:space="preserve">If Dr. Morin’s model results </w:t>
      </w:r>
      <w:r w:rsidR="00042101">
        <w:t xml:space="preserve">for the target period </w:t>
      </w:r>
      <w:r w:rsidR="00237CC7">
        <w:t>are modified to address the issue</w:t>
      </w:r>
      <w:r w:rsidR="00042101">
        <w:t>s</w:t>
      </w:r>
      <w:r w:rsidR="00237CC7">
        <w:t xml:space="preserve"> raised above, the results are as shown in the following table</w:t>
      </w:r>
      <w:r w:rsidR="007C7EF5">
        <w:t>:</w:t>
      </w:r>
    </w:p>
    <w:p w:rsidR="00EA5C88" w:rsidRPr="00EA5C88" w:rsidRDefault="007F288A" w:rsidP="001F2463">
      <w:pPr>
        <w:spacing w:line="480" w:lineRule="auto"/>
        <w:ind w:firstLine="720"/>
        <w:jc w:val="center"/>
        <w:rPr>
          <w:b/>
        </w:rPr>
      </w:pPr>
      <w:r>
        <w:rPr>
          <w:b/>
        </w:rPr>
        <w:t>Table 3</w:t>
      </w:r>
      <w:r w:rsidR="001F2463">
        <w:rPr>
          <w:b/>
        </w:rPr>
        <w:t>:  Hill Modifications To Dr. Morin’s Model Results</w:t>
      </w:r>
      <w:r>
        <w:rPr>
          <w:b/>
        </w:rPr>
        <w:fldChar w:fldCharType="begin"/>
      </w:r>
      <w:r>
        <w:instrText xml:space="preserve"> TA \l "</w:instrText>
      </w:r>
      <w:r w:rsidRPr="00180371">
        <w:rPr>
          <w:b/>
        </w:rPr>
        <w:instrText>Table 3:  Hill Modifications To Dr. Morin’s Model Results</w:instrText>
      </w:r>
      <w:r>
        <w:instrText xml:space="preserve">" \s "Table 3:  Hill Modifications To Dr. Morin’s Model Results" \c 8 </w:instrText>
      </w:r>
      <w:r>
        <w:rPr>
          <w:b/>
        </w:rPr>
        <w:fldChar w:fldCharType="end"/>
      </w:r>
    </w:p>
    <w:tbl>
      <w:tblPr>
        <w:tblStyle w:val="TableGrid"/>
        <w:tblW w:w="0" w:type="auto"/>
        <w:tblLook w:val="04A0" w:firstRow="1" w:lastRow="0" w:firstColumn="1" w:lastColumn="0" w:noHBand="0" w:noVBand="1"/>
      </w:tblPr>
      <w:tblGrid>
        <w:gridCol w:w="2394"/>
        <w:gridCol w:w="2394"/>
        <w:gridCol w:w="2394"/>
        <w:gridCol w:w="2394"/>
      </w:tblGrid>
      <w:tr w:rsidR="00EA5C88" w:rsidRPr="00EA5C88">
        <w:tc>
          <w:tcPr>
            <w:tcW w:w="2394" w:type="dxa"/>
          </w:tcPr>
          <w:p w:rsidR="00EA5C88" w:rsidRPr="00EA5C88" w:rsidRDefault="00EA5C88" w:rsidP="00EA5C88">
            <w:pPr>
              <w:rPr>
                <w:b/>
                <w:sz w:val="20"/>
                <w:szCs w:val="20"/>
              </w:rPr>
            </w:pPr>
            <w:r w:rsidRPr="00EA5C88">
              <w:rPr>
                <w:b/>
                <w:sz w:val="20"/>
                <w:szCs w:val="20"/>
              </w:rPr>
              <w:t>Method</w:t>
            </w:r>
          </w:p>
        </w:tc>
        <w:tc>
          <w:tcPr>
            <w:tcW w:w="2394" w:type="dxa"/>
          </w:tcPr>
          <w:p w:rsidR="00EA5C88" w:rsidRPr="00EA5C88" w:rsidRDefault="00EA5C88" w:rsidP="00EA5C88">
            <w:pPr>
              <w:rPr>
                <w:b/>
                <w:sz w:val="20"/>
                <w:szCs w:val="20"/>
              </w:rPr>
            </w:pPr>
            <w:r w:rsidRPr="00EA5C88">
              <w:rPr>
                <w:b/>
                <w:sz w:val="20"/>
                <w:szCs w:val="20"/>
              </w:rPr>
              <w:t xml:space="preserve">Original Morin ROE </w:t>
            </w:r>
          </w:p>
        </w:tc>
        <w:tc>
          <w:tcPr>
            <w:tcW w:w="2394" w:type="dxa"/>
          </w:tcPr>
          <w:p w:rsidR="00EA5C88" w:rsidRPr="00EA5C88" w:rsidRDefault="00EA5C88" w:rsidP="00EA5C88">
            <w:pPr>
              <w:rPr>
                <w:b/>
                <w:sz w:val="20"/>
                <w:szCs w:val="20"/>
              </w:rPr>
            </w:pPr>
            <w:r w:rsidRPr="00EA5C88">
              <w:rPr>
                <w:b/>
                <w:sz w:val="20"/>
                <w:szCs w:val="20"/>
              </w:rPr>
              <w:t>Modified Morin per Hill recommendations</w:t>
            </w:r>
          </w:p>
        </w:tc>
        <w:tc>
          <w:tcPr>
            <w:tcW w:w="2394" w:type="dxa"/>
          </w:tcPr>
          <w:p w:rsidR="00EA5C88" w:rsidRPr="00EA5C88" w:rsidRDefault="00EA5C88" w:rsidP="00EA5C88">
            <w:pPr>
              <w:rPr>
                <w:b/>
                <w:sz w:val="20"/>
                <w:szCs w:val="20"/>
              </w:rPr>
            </w:pPr>
            <w:r w:rsidRPr="00EA5C88">
              <w:rPr>
                <w:b/>
                <w:sz w:val="20"/>
                <w:szCs w:val="20"/>
              </w:rPr>
              <w:t>Issues addressed</w:t>
            </w:r>
          </w:p>
        </w:tc>
      </w:tr>
      <w:tr w:rsidR="00EA5C88">
        <w:tc>
          <w:tcPr>
            <w:tcW w:w="2394" w:type="dxa"/>
          </w:tcPr>
          <w:p w:rsidR="00EA5C88" w:rsidRPr="00EA5C88" w:rsidRDefault="00EA5C88" w:rsidP="00EA5C88">
            <w:pPr>
              <w:rPr>
                <w:sz w:val="20"/>
                <w:szCs w:val="20"/>
              </w:rPr>
            </w:pPr>
            <w:r w:rsidRPr="00EA5C88">
              <w:rPr>
                <w:sz w:val="20"/>
                <w:szCs w:val="20"/>
              </w:rPr>
              <w:t>Discounted Cash Flow</w:t>
            </w:r>
          </w:p>
        </w:tc>
        <w:tc>
          <w:tcPr>
            <w:tcW w:w="2394" w:type="dxa"/>
          </w:tcPr>
          <w:p w:rsidR="00EA5C88" w:rsidRPr="00EA5C88" w:rsidRDefault="004C2BE1" w:rsidP="00EA5C88">
            <w:pPr>
              <w:rPr>
                <w:sz w:val="20"/>
                <w:szCs w:val="20"/>
              </w:rPr>
            </w:pPr>
            <w:r>
              <w:rPr>
                <w:sz w:val="20"/>
                <w:szCs w:val="20"/>
              </w:rPr>
              <w:t>9.8%</w:t>
            </w:r>
            <w:r w:rsidR="00FC0B73">
              <w:rPr>
                <w:sz w:val="20"/>
                <w:szCs w:val="20"/>
              </w:rPr>
              <w:t xml:space="preserve"> </w:t>
            </w:r>
            <w:r>
              <w:rPr>
                <w:sz w:val="20"/>
                <w:szCs w:val="20"/>
              </w:rPr>
              <w:t>-</w:t>
            </w:r>
            <w:r w:rsidR="00FC0B73">
              <w:rPr>
                <w:sz w:val="20"/>
                <w:szCs w:val="20"/>
              </w:rPr>
              <w:t xml:space="preserve"> </w:t>
            </w:r>
            <w:r>
              <w:rPr>
                <w:sz w:val="20"/>
                <w:szCs w:val="20"/>
              </w:rPr>
              <w:t>10%</w:t>
            </w:r>
            <w:r>
              <w:rPr>
                <w:rStyle w:val="FootnoteReference"/>
                <w:sz w:val="20"/>
                <w:szCs w:val="20"/>
              </w:rPr>
              <w:footnoteReference w:id="71"/>
            </w:r>
          </w:p>
        </w:tc>
        <w:tc>
          <w:tcPr>
            <w:tcW w:w="2394" w:type="dxa"/>
          </w:tcPr>
          <w:p w:rsidR="00EA5C88" w:rsidRPr="00EA5C88" w:rsidRDefault="00FC0B73" w:rsidP="00EA5C88">
            <w:pPr>
              <w:rPr>
                <w:sz w:val="20"/>
                <w:szCs w:val="20"/>
              </w:rPr>
            </w:pPr>
            <w:r>
              <w:rPr>
                <w:sz w:val="20"/>
                <w:szCs w:val="20"/>
              </w:rPr>
              <w:t>9.22% - 9.59</w:t>
            </w:r>
            <w:r w:rsidR="00EA5C88">
              <w:rPr>
                <w:sz w:val="20"/>
                <w:szCs w:val="20"/>
              </w:rPr>
              <w:t>%</w:t>
            </w:r>
          </w:p>
        </w:tc>
        <w:tc>
          <w:tcPr>
            <w:tcW w:w="2394" w:type="dxa"/>
          </w:tcPr>
          <w:p w:rsidR="00EA5C88" w:rsidRPr="00EA5C88" w:rsidRDefault="00042101" w:rsidP="00EA5C88">
            <w:pPr>
              <w:rPr>
                <w:sz w:val="20"/>
                <w:szCs w:val="20"/>
              </w:rPr>
            </w:pPr>
            <w:r>
              <w:rPr>
                <w:sz w:val="20"/>
                <w:szCs w:val="20"/>
              </w:rPr>
              <w:t>Use of analyst growth rate projections/ double counting of dividend yields</w:t>
            </w:r>
          </w:p>
        </w:tc>
      </w:tr>
      <w:tr w:rsidR="00EA5C88">
        <w:tc>
          <w:tcPr>
            <w:tcW w:w="2394" w:type="dxa"/>
          </w:tcPr>
          <w:p w:rsidR="00EA5C88" w:rsidRPr="00EA5C88" w:rsidRDefault="00EA5C88" w:rsidP="00EA5C88">
            <w:pPr>
              <w:rPr>
                <w:sz w:val="20"/>
                <w:szCs w:val="20"/>
              </w:rPr>
            </w:pPr>
            <w:r>
              <w:rPr>
                <w:sz w:val="20"/>
                <w:szCs w:val="20"/>
              </w:rPr>
              <w:t>CAPM</w:t>
            </w:r>
          </w:p>
        </w:tc>
        <w:tc>
          <w:tcPr>
            <w:tcW w:w="2394" w:type="dxa"/>
          </w:tcPr>
          <w:p w:rsidR="00EA5C88" w:rsidRPr="00EA5C88" w:rsidRDefault="004C2BE1" w:rsidP="00EA5C88">
            <w:pPr>
              <w:rPr>
                <w:sz w:val="20"/>
                <w:szCs w:val="20"/>
              </w:rPr>
            </w:pPr>
            <w:r>
              <w:rPr>
                <w:sz w:val="20"/>
                <w:szCs w:val="20"/>
              </w:rPr>
              <w:t>9.8</w:t>
            </w:r>
            <w:r w:rsidR="00FC0B73">
              <w:rPr>
                <w:sz w:val="20"/>
                <w:szCs w:val="20"/>
              </w:rPr>
              <w:t xml:space="preserve">% </w:t>
            </w:r>
            <w:r>
              <w:rPr>
                <w:sz w:val="20"/>
                <w:szCs w:val="20"/>
              </w:rPr>
              <w:t>-</w:t>
            </w:r>
            <w:r w:rsidR="00FC0B73">
              <w:rPr>
                <w:sz w:val="20"/>
                <w:szCs w:val="20"/>
              </w:rPr>
              <w:t xml:space="preserve"> </w:t>
            </w:r>
            <w:r>
              <w:rPr>
                <w:sz w:val="20"/>
                <w:szCs w:val="20"/>
              </w:rPr>
              <w:t>10.3%</w:t>
            </w:r>
            <w:r>
              <w:rPr>
                <w:rStyle w:val="FootnoteReference"/>
                <w:sz w:val="20"/>
                <w:szCs w:val="20"/>
              </w:rPr>
              <w:footnoteReference w:id="72"/>
            </w:r>
          </w:p>
        </w:tc>
        <w:tc>
          <w:tcPr>
            <w:tcW w:w="2394" w:type="dxa"/>
          </w:tcPr>
          <w:p w:rsidR="00EA5C88" w:rsidRPr="00EA5C88" w:rsidRDefault="00FC0B73" w:rsidP="00EA5C88">
            <w:pPr>
              <w:rPr>
                <w:sz w:val="20"/>
                <w:szCs w:val="20"/>
              </w:rPr>
            </w:pPr>
            <w:r>
              <w:rPr>
                <w:sz w:val="20"/>
                <w:szCs w:val="20"/>
              </w:rPr>
              <w:t>8.15% - 8.58</w:t>
            </w:r>
            <w:r w:rsidR="00EA5C88">
              <w:rPr>
                <w:sz w:val="20"/>
                <w:szCs w:val="20"/>
              </w:rPr>
              <w:t>%</w:t>
            </w:r>
          </w:p>
        </w:tc>
        <w:tc>
          <w:tcPr>
            <w:tcW w:w="2394" w:type="dxa"/>
          </w:tcPr>
          <w:p w:rsidR="00EA5C88" w:rsidRPr="00EA5C88" w:rsidRDefault="00042101" w:rsidP="00042101">
            <w:pPr>
              <w:rPr>
                <w:sz w:val="20"/>
                <w:szCs w:val="20"/>
              </w:rPr>
            </w:pPr>
            <w:r>
              <w:rPr>
                <w:sz w:val="20"/>
                <w:szCs w:val="20"/>
              </w:rPr>
              <w:t>Risk premium above long term bonds;  risk free rate</w:t>
            </w:r>
            <w:r w:rsidR="002A7308">
              <w:rPr>
                <w:sz w:val="20"/>
                <w:szCs w:val="20"/>
              </w:rPr>
              <w:t xml:space="preserve"> based on interest rate projections</w:t>
            </w:r>
          </w:p>
        </w:tc>
      </w:tr>
      <w:tr w:rsidR="00EA5C88">
        <w:tc>
          <w:tcPr>
            <w:tcW w:w="2394" w:type="dxa"/>
          </w:tcPr>
          <w:p w:rsidR="00EA5C88" w:rsidRPr="00EA5C88" w:rsidRDefault="00EA5C88" w:rsidP="00EA5C88">
            <w:pPr>
              <w:rPr>
                <w:sz w:val="20"/>
                <w:szCs w:val="20"/>
              </w:rPr>
            </w:pPr>
            <w:r>
              <w:rPr>
                <w:sz w:val="20"/>
                <w:szCs w:val="20"/>
              </w:rPr>
              <w:t>Risk Premium</w:t>
            </w:r>
          </w:p>
        </w:tc>
        <w:tc>
          <w:tcPr>
            <w:tcW w:w="2394" w:type="dxa"/>
          </w:tcPr>
          <w:p w:rsidR="00EA5C88" w:rsidRPr="00EA5C88" w:rsidRDefault="0021340D" w:rsidP="00EA5C88">
            <w:pPr>
              <w:rPr>
                <w:sz w:val="20"/>
                <w:szCs w:val="20"/>
              </w:rPr>
            </w:pPr>
            <w:r>
              <w:rPr>
                <w:sz w:val="20"/>
                <w:szCs w:val="20"/>
              </w:rPr>
              <w:t>9.8</w:t>
            </w:r>
            <w:r w:rsidR="00FC0B73">
              <w:rPr>
                <w:sz w:val="20"/>
                <w:szCs w:val="20"/>
              </w:rPr>
              <w:t xml:space="preserve">% </w:t>
            </w:r>
            <w:r>
              <w:rPr>
                <w:sz w:val="20"/>
                <w:szCs w:val="20"/>
              </w:rPr>
              <w:t>-</w:t>
            </w:r>
            <w:r w:rsidR="00FC0B73">
              <w:rPr>
                <w:sz w:val="20"/>
                <w:szCs w:val="20"/>
              </w:rPr>
              <w:t xml:space="preserve"> </w:t>
            </w:r>
            <w:r>
              <w:rPr>
                <w:sz w:val="20"/>
                <w:szCs w:val="20"/>
              </w:rPr>
              <w:t>10.7%</w:t>
            </w:r>
            <w:r>
              <w:rPr>
                <w:rStyle w:val="FootnoteReference"/>
                <w:sz w:val="20"/>
                <w:szCs w:val="20"/>
              </w:rPr>
              <w:footnoteReference w:id="73"/>
            </w:r>
          </w:p>
        </w:tc>
        <w:tc>
          <w:tcPr>
            <w:tcW w:w="2394" w:type="dxa"/>
          </w:tcPr>
          <w:p w:rsidR="00EA5C88" w:rsidRPr="00EA5C88" w:rsidRDefault="00FC0B73" w:rsidP="00EA5C88">
            <w:pPr>
              <w:rPr>
                <w:sz w:val="20"/>
                <w:szCs w:val="20"/>
              </w:rPr>
            </w:pPr>
            <w:r>
              <w:rPr>
                <w:sz w:val="20"/>
                <w:szCs w:val="20"/>
              </w:rPr>
              <w:t>8.6% - 8.88</w:t>
            </w:r>
            <w:r w:rsidR="00EA5C88">
              <w:rPr>
                <w:sz w:val="20"/>
                <w:szCs w:val="20"/>
              </w:rPr>
              <w:t>%</w:t>
            </w:r>
          </w:p>
        </w:tc>
        <w:tc>
          <w:tcPr>
            <w:tcW w:w="2394" w:type="dxa"/>
          </w:tcPr>
          <w:p w:rsidR="00EA5C88" w:rsidRPr="00EA5C88" w:rsidRDefault="002A7308" w:rsidP="00EA5C88">
            <w:pPr>
              <w:rPr>
                <w:sz w:val="20"/>
                <w:szCs w:val="20"/>
              </w:rPr>
            </w:pPr>
            <w:r>
              <w:rPr>
                <w:sz w:val="20"/>
                <w:szCs w:val="20"/>
              </w:rPr>
              <w:t>Use of interest rate projections; false “negative correlation” between yield/returns.</w:t>
            </w:r>
          </w:p>
        </w:tc>
      </w:tr>
    </w:tbl>
    <w:p w:rsidR="00EA5C88" w:rsidRDefault="00EA5C88" w:rsidP="004823CD"/>
    <w:p w:rsidR="004823CD" w:rsidRDefault="00446311" w:rsidP="00104B3F">
      <w:pPr>
        <w:spacing w:line="480" w:lineRule="auto"/>
      </w:pPr>
      <w:r>
        <w:t>The averages of the low and high end of these estimates c</w:t>
      </w:r>
      <w:r w:rsidR="00120C3F">
        <w:t>reates a range of 8.66 to 8.99</w:t>
      </w:r>
      <w:r w:rsidR="00A133C1">
        <w:t>%</w:t>
      </w:r>
      <w:r w:rsidR="005E4D6B">
        <w:t xml:space="preserve"> for the 2013 target period.  </w:t>
      </w:r>
      <w:r w:rsidR="0021340D">
        <w:t>Dr. Morin’s range of 9.8% to 10.7%</w:t>
      </w:r>
      <w:r w:rsidR="00104B3F">
        <w:t xml:space="preserve"> do</w:t>
      </w:r>
      <w:r w:rsidR="00970F3F">
        <w:t>es</w:t>
      </w:r>
      <w:r w:rsidR="00104B3F">
        <w:t xml:space="preserve"> not represent </w:t>
      </w:r>
      <w:r w:rsidR="00970F3F">
        <w:t xml:space="preserve">a </w:t>
      </w:r>
      <w:r w:rsidR="00104B3F">
        <w:t>reasonable estimate of the cost of equity.</w:t>
      </w:r>
      <w:r w:rsidR="00104B3F">
        <w:rPr>
          <w:rStyle w:val="FootnoteReference"/>
        </w:rPr>
        <w:footnoteReference w:id="74"/>
      </w:r>
      <w:r w:rsidR="00104B3F">
        <w:t xml:space="preserve"> </w:t>
      </w:r>
    </w:p>
    <w:p w:rsidR="00A477A1" w:rsidRDefault="004823CD" w:rsidP="006A4B61">
      <w:pPr>
        <w:pStyle w:val="ParNumber"/>
        <w:ind w:left="0" w:hanging="720"/>
      </w:pPr>
      <w:r>
        <w:tab/>
      </w:r>
      <w:r w:rsidR="001F2463">
        <w:t xml:space="preserve">A further defect in </w:t>
      </w:r>
      <w:r w:rsidR="00B55D1F">
        <w:t xml:space="preserve">Dr. Morin’s analysis </w:t>
      </w:r>
      <w:r w:rsidR="001F2463">
        <w:t xml:space="preserve">is that </w:t>
      </w:r>
      <w:r w:rsidR="0082537C">
        <w:t xml:space="preserve">it </w:t>
      </w:r>
      <w:r w:rsidR="005E4D6B">
        <w:t xml:space="preserve">fails to take into account </w:t>
      </w:r>
      <w:r w:rsidR="00B55D1F">
        <w:t xml:space="preserve">the </w:t>
      </w:r>
      <w:r w:rsidR="009D1664">
        <w:t xml:space="preserve">risk reduction </w:t>
      </w:r>
      <w:r w:rsidR="00B55D1F">
        <w:t xml:space="preserve">impact of the 2013 approval of </w:t>
      </w:r>
      <w:r w:rsidR="009D1664">
        <w:t xml:space="preserve">PSE’s </w:t>
      </w:r>
      <w:r w:rsidR="00B55D1F">
        <w:t>multi</w:t>
      </w:r>
      <w:r w:rsidR="005E4D6B">
        <w:t>-</w:t>
      </w:r>
      <w:r w:rsidR="00B55D1F">
        <w:t xml:space="preserve">year </w:t>
      </w:r>
      <w:r w:rsidR="00D5613F">
        <w:t>Rate Plan</w:t>
      </w:r>
      <w:r w:rsidR="00B55D1F">
        <w:t xml:space="preserve">, including decoupling, as </w:t>
      </w:r>
      <w:r w:rsidR="00B55D1F">
        <w:lastRenderedPageBreak/>
        <w:t xml:space="preserve">addressed further below.  As a result, Dr. Morin’s analysis is incomplete </w:t>
      </w:r>
      <w:r w:rsidR="001F2463">
        <w:t xml:space="preserve">and overstated.  His </w:t>
      </w:r>
      <w:r w:rsidR="009D1664">
        <w:t xml:space="preserve">ROE recommendation </w:t>
      </w:r>
      <w:r w:rsidR="001F2463">
        <w:t>does not provide a reasonable basis for setting rates for the Rate Plan.</w:t>
      </w:r>
    </w:p>
    <w:p w:rsidR="00B55D1F" w:rsidRPr="00237CC7" w:rsidRDefault="001F2463" w:rsidP="00A477A1">
      <w:pPr>
        <w:pStyle w:val="ParNumber"/>
        <w:numPr>
          <w:ilvl w:val="0"/>
          <w:numId w:val="0"/>
        </w:numPr>
      </w:pPr>
      <w:r>
        <w:t xml:space="preserve"> </w:t>
      </w:r>
    </w:p>
    <w:p w:rsidR="00237CC7" w:rsidRDefault="006008B5" w:rsidP="00E6789B">
      <w:pPr>
        <w:pStyle w:val="Heading2"/>
        <w:spacing w:before="0"/>
      </w:pPr>
      <w:bookmarkStart w:id="27" w:name="_Toc413395578"/>
      <w:r>
        <w:t xml:space="preserve">Staff Witness David </w:t>
      </w:r>
      <w:r w:rsidR="00C011F3">
        <w:t>Parcell</w:t>
      </w:r>
      <w:r>
        <w:t>’s ROE Recommendation Is Not Reliable.</w:t>
      </w:r>
      <w:bookmarkEnd w:id="27"/>
      <w:r>
        <w:t xml:space="preserve"> </w:t>
      </w:r>
    </w:p>
    <w:p w:rsidR="00C011F3" w:rsidRDefault="00C011F3" w:rsidP="00C011F3"/>
    <w:p w:rsidR="005E4D6B" w:rsidRDefault="005E4D6B" w:rsidP="006A4B61">
      <w:pPr>
        <w:pStyle w:val="ParNumber"/>
        <w:ind w:left="0" w:hanging="720"/>
      </w:pPr>
      <w:r>
        <w:tab/>
      </w:r>
      <w:r w:rsidR="00C011F3">
        <w:t xml:space="preserve">Staff presented its cost of capital analysis and </w:t>
      </w:r>
      <w:r w:rsidR="00B55D1F">
        <w:t xml:space="preserve">ROE recommendation </w:t>
      </w:r>
      <w:r w:rsidR="00C011F3">
        <w:t xml:space="preserve">through David </w:t>
      </w:r>
      <w:r w:rsidR="00251749">
        <w:t xml:space="preserve">C. </w:t>
      </w:r>
      <w:r w:rsidR="00C011F3">
        <w:t>Parcell.</w:t>
      </w:r>
      <w:r w:rsidR="00B55D1F">
        <w:t xml:space="preserve">  As a general matter, </w:t>
      </w:r>
      <w:r w:rsidR="00C27BAA">
        <w:t xml:space="preserve">for purposes of his market-based </w:t>
      </w:r>
      <w:r w:rsidR="00882681">
        <w:t xml:space="preserve">cost of capital determination, </w:t>
      </w:r>
      <w:r w:rsidR="00B55D1F">
        <w:t>Public Counsel does not take issue with the accuracy of Mr. Parcell’s calculated results in</w:t>
      </w:r>
      <w:r w:rsidR="00251749">
        <w:t xml:space="preserve"> the operation of the models.  </w:t>
      </w:r>
      <w:r w:rsidR="00B55D1F">
        <w:t xml:space="preserve">Based on these results, </w:t>
      </w:r>
      <w:r w:rsidR="009D1664">
        <w:t>Mr. Parcell recommends that the Commission approve a</w:t>
      </w:r>
      <w:r w:rsidR="00251749">
        <w:t xml:space="preserve">n ROE for PSE of </w:t>
      </w:r>
      <w:r w:rsidR="00970357">
        <w:t>9.5</w:t>
      </w:r>
      <w:r w:rsidR="00A133C1">
        <w:t>%</w:t>
      </w:r>
      <w:r w:rsidR="009D1664">
        <w:t>.  This represents the mid-point of his range of 9.0 to 10.0</w:t>
      </w:r>
      <w:r w:rsidR="00A133C1">
        <w:t>%</w:t>
      </w:r>
      <w:r>
        <w:t>.</w:t>
      </w:r>
    </w:p>
    <w:p w:rsidR="00B50E5F" w:rsidRDefault="005E4D6B" w:rsidP="006A4B61">
      <w:pPr>
        <w:pStyle w:val="ParNumber"/>
        <w:ind w:left="0" w:hanging="720"/>
      </w:pPr>
      <w:r>
        <w:tab/>
      </w:r>
      <w:r w:rsidR="009D1664">
        <w:t xml:space="preserve">Public Counsel does have a </w:t>
      </w:r>
      <w:r w:rsidR="00C27BAA">
        <w:t xml:space="preserve">major </w:t>
      </w:r>
      <w:r w:rsidR="009D1664">
        <w:t xml:space="preserve">concern, however, with Mr. Parcell’s exercise of </w:t>
      </w:r>
      <w:r w:rsidR="006F593D">
        <w:t xml:space="preserve">judgment </w:t>
      </w:r>
      <w:r w:rsidR="009D1664">
        <w:t xml:space="preserve">to focus on the highest results of his analysis to </w:t>
      </w:r>
      <w:r w:rsidR="00192BF0">
        <w:t xml:space="preserve">arrive at </w:t>
      </w:r>
      <w:r w:rsidR="00C27BAA">
        <w:t>his recommendation</w:t>
      </w:r>
      <w:r w:rsidR="00192BF0">
        <w:t>.  Throughout his analysis, Mr. Parcell consistently make</w:t>
      </w:r>
      <w:r w:rsidR="00B50E5F">
        <w:t>s</w:t>
      </w:r>
      <w:r w:rsidR="00192BF0">
        <w:t xml:space="preserve"> choices </w:t>
      </w:r>
      <w:r w:rsidR="00B84DDC">
        <w:t>that</w:t>
      </w:r>
      <w:r w:rsidR="00192BF0">
        <w:t xml:space="preserve"> </w:t>
      </w:r>
      <w:r w:rsidR="00690B88">
        <w:t xml:space="preserve">have </w:t>
      </w:r>
      <w:r w:rsidR="00192BF0">
        <w:t xml:space="preserve">the effect of increasing both his recommended range and his final point </w:t>
      </w:r>
      <w:r w:rsidR="00304C3E">
        <w:t xml:space="preserve">recommendation with little </w:t>
      </w:r>
      <w:r w:rsidR="0051634C">
        <w:t>or n</w:t>
      </w:r>
      <w:r w:rsidR="00530EAE">
        <w:t>o rationale for these choices.  The net result is that</w:t>
      </w:r>
      <w:r w:rsidR="00C27BAA">
        <w:t xml:space="preserve"> </w:t>
      </w:r>
      <w:r w:rsidR="00530EAE">
        <w:t>his recommendations</w:t>
      </w:r>
      <w:r w:rsidR="00B50E5F">
        <w:t xml:space="preserve">, </w:t>
      </w:r>
      <w:r w:rsidR="00C27BAA">
        <w:t xml:space="preserve">based </w:t>
      </w:r>
      <w:r w:rsidR="008C3E7E">
        <w:t>heavily</w:t>
      </w:r>
      <w:r w:rsidR="00E82E62">
        <w:t xml:space="preserve"> on his </w:t>
      </w:r>
      <w:r w:rsidR="00E82E62" w:rsidRPr="005E4D6B">
        <w:rPr>
          <w:i/>
        </w:rPr>
        <w:t>highest</w:t>
      </w:r>
      <w:r w:rsidR="00E82E62">
        <w:t xml:space="preserve"> results,</w:t>
      </w:r>
      <w:r w:rsidR="00530EAE">
        <w:t xml:space="preserve"> </w:t>
      </w:r>
      <w:r w:rsidR="00C27BAA">
        <w:t xml:space="preserve">without a reliable rationale based on sound economic principles, </w:t>
      </w:r>
      <w:r w:rsidR="00530EAE">
        <w:t xml:space="preserve">deserve </w:t>
      </w:r>
      <w:r w:rsidR="00B456C2">
        <w:t xml:space="preserve">less </w:t>
      </w:r>
      <w:r w:rsidR="00530EAE">
        <w:t>weight</w:t>
      </w:r>
      <w:r w:rsidR="00B50E5F">
        <w:t>.</w:t>
      </w:r>
      <w:r w:rsidR="00C27BAA">
        <w:t xml:space="preserve"> </w:t>
      </w:r>
    </w:p>
    <w:p w:rsidR="00B50E5F" w:rsidRDefault="00B50E5F" w:rsidP="006A4B61">
      <w:pPr>
        <w:pStyle w:val="ParNumber"/>
        <w:ind w:left="0" w:hanging="720"/>
      </w:pPr>
      <w:r>
        <w:tab/>
      </w:r>
      <w:r w:rsidR="00806E3E">
        <w:t>Another</w:t>
      </w:r>
      <w:r w:rsidR="00437D12">
        <w:t xml:space="preserve"> unusual aspect of Mr. Parcell’s testimony is that he fails to address </w:t>
      </w:r>
      <w:r w:rsidR="003C575D">
        <w:t>the analysis and recommendations of Dr. M</w:t>
      </w:r>
      <w:r>
        <w:t xml:space="preserve">orin in any manner.  </w:t>
      </w:r>
      <w:r w:rsidR="003C575D">
        <w:t>As Mr. P</w:t>
      </w:r>
      <w:r>
        <w:t>arcell conceded at the hearing,</w:t>
      </w:r>
      <w:r w:rsidR="003C575D">
        <w:t xml:space="preserve"> </w:t>
      </w:r>
      <w:r w:rsidR="00304C3E">
        <w:t xml:space="preserve">ordinarily, when he testifies in a case </w:t>
      </w:r>
      <w:r w:rsidR="003C575D">
        <w:t>with Dr. Morin</w:t>
      </w:r>
      <w:r>
        <w:t>,</w:t>
      </w:r>
      <w:r w:rsidR="003C575D">
        <w:t xml:space="preserve"> he has prese</w:t>
      </w:r>
      <w:r w:rsidR="009056B4">
        <w:t>nted detailed criticisms of Dr. </w:t>
      </w:r>
      <w:r w:rsidR="003C575D">
        <w:t>Morin’s results.</w:t>
      </w:r>
      <w:r w:rsidR="006E11D1">
        <w:rPr>
          <w:rStyle w:val="FootnoteReference"/>
        </w:rPr>
        <w:footnoteReference w:id="75"/>
      </w:r>
      <w:r>
        <w:t xml:space="preserve">  </w:t>
      </w:r>
      <w:r w:rsidR="000E2A95">
        <w:t>In the 2006 Cascade G</w:t>
      </w:r>
      <w:r>
        <w:t xml:space="preserve">RC in Washington, for example, </w:t>
      </w:r>
      <w:r w:rsidR="000E2A95">
        <w:t xml:space="preserve">Mr. Parcell </w:t>
      </w:r>
      <w:r w:rsidR="00FF5FA9">
        <w:t xml:space="preserve">provided detailed criticism of each of Dr. Morin’s methodologies (CAPM, Risk Premium, DCF), </w:t>
      </w:r>
      <w:r w:rsidR="00FF5FA9">
        <w:lastRenderedPageBreak/>
        <w:t xml:space="preserve">concluding they each overstated the company’s cost of capital.  For example, </w:t>
      </w:r>
      <w:r w:rsidR="00806E3E">
        <w:t xml:space="preserve">Mr. Parcell </w:t>
      </w:r>
      <w:r w:rsidR="000E2A95">
        <w:t xml:space="preserve">strongly criticized Dr. Morin’s </w:t>
      </w:r>
      <w:r w:rsidR="00FF5FA9">
        <w:t xml:space="preserve">sole </w:t>
      </w:r>
      <w:r w:rsidR="000E2A95">
        <w:t xml:space="preserve">reliance </w:t>
      </w:r>
      <w:r w:rsidR="006E11D1">
        <w:t xml:space="preserve">on </w:t>
      </w:r>
      <w:r w:rsidR="000E2A95">
        <w:t xml:space="preserve">earning projections for his DCF growth parameters, a method </w:t>
      </w:r>
      <w:r w:rsidR="00FF5FA9">
        <w:t xml:space="preserve">Dr. Morin </w:t>
      </w:r>
      <w:r w:rsidR="000E2A95">
        <w:t>uses again in this case.</w:t>
      </w:r>
      <w:r w:rsidR="00FF5FA9">
        <w:rPr>
          <w:rStyle w:val="FootnoteReference"/>
        </w:rPr>
        <w:footnoteReference w:id="76"/>
      </w:r>
      <w:r w:rsidR="000E2A95">
        <w:t xml:space="preserve">  </w:t>
      </w:r>
    </w:p>
    <w:p w:rsidR="007C7EF5" w:rsidRDefault="008E2D98" w:rsidP="009056B4">
      <w:pPr>
        <w:pStyle w:val="Heading3"/>
        <w:spacing w:before="0"/>
      </w:pPr>
      <w:bookmarkStart w:id="28" w:name="_Toc413395579"/>
      <w:r>
        <w:t>Mr. Parcell’s DCF recommendation is poorly supported</w:t>
      </w:r>
      <w:r w:rsidR="009056B4">
        <w:t>.</w:t>
      </w:r>
      <w:bookmarkEnd w:id="28"/>
      <w:r w:rsidR="009056B4">
        <w:t xml:space="preserve"> </w:t>
      </w:r>
    </w:p>
    <w:p w:rsidR="007C7EF5" w:rsidRPr="007C7EF5" w:rsidRDefault="007C7EF5" w:rsidP="007C7EF5"/>
    <w:p w:rsidR="00B82E69" w:rsidRDefault="00B50E5F" w:rsidP="006A4B61">
      <w:pPr>
        <w:pStyle w:val="ParNumber"/>
        <w:ind w:left="0" w:hanging="720"/>
      </w:pPr>
      <w:r>
        <w:tab/>
      </w:r>
      <w:r w:rsidR="00675ACD">
        <w:t xml:space="preserve">Mr. Parcell </w:t>
      </w:r>
      <w:r w:rsidR="00882681">
        <w:t>states that his DCF recommendations</w:t>
      </w:r>
      <w:r w:rsidR="00806E3E">
        <w:t xml:space="preserve"> in this case</w:t>
      </w:r>
      <w:r w:rsidR="00882681">
        <w:t xml:space="preserve"> are conservative, that is, higher than they would have been had he emp</w:t>
      </w:r>
      <w:r w:rsidR="00F63ADD">
        <w:t>hasized mean or median values.</w:t>
      </w:r>
      <w:r w:rsidR="00882681">
        <w:t xml:space="preserve"> </w:t>
      </w:r>
      <w:r w:rsidR="00734E8D">
        <w:t xml:space="preserve"> </w:t>
      </w:r>
      <w:r w:rsidR="004878BD">
        <w:t>A review of his DCF results and recommendation</w:t>
      </w:r>
      <w:r w:rsidR="00F63ADD">
        <w:t xml:space="preserve">s reveals just how conservative he chose to be.  </w:t>
      </w:r>
      <w:r w:rsidR="00EB3C65">
        <w:t>Mr. Parcell estimated the DCF cost of equity of 36 different companies</w:t>
      </w:r>
      <w:r w:rsidR="00BA3146">
        <w:t xml:space="preserve">.  His </w:t>
      </w:r>
      <w:r w:rsidR="00EB3C65">
        <w:t xml:space="preserve">results </w:t>
      </w:r>
      <w:r w:rsidR="00BA3146">
        <w:t xml:space="preserve">show </w:t>
      </w:r>
      <w:r w:rsidR="00EB3C65">
        <w:t xml:space="preserve">an average </w:t>
      </w:r>
      <w:r w:rsidR="00F63ADD">
        <w:t xml:space="preserve">(mean) </w:t>
      </w:r>
      <w:r w:rsidR="005A279B">
        <w:t>DCF-based ROE indication of 8.5</w:t>
      </w:r>
      <w:r w:rsidR="00A133C1">
        <w:t>%</w:t>
      </w:r>
      <w:r w:rsidR="00EB3C65">
        <w:t>.</w:t>
      </w:r>
      <w:r w:rsidR="00EB3C65">
        <w:rPr>
          <w:rStyle w:val="FootnoteReference"/>
        </w:rPr>
        <w:footnoteReference w:id="77"/>
      </w:r>
      <w:r w:rsidR="00136C52">
        <w:t xml:space="preserve">  Notwithstanding these results, Mr. Parcell sel</w:t>
      </w:r>
      <w:r w:rsidR="00B82E69">
        <w:t xml:space="preserve">ects a DCF </w:t>
      </w:r>
      <w:r w:rsidR="005A279B">
        <w:t>range of 9.1 to 9.7</w:t>
      </w:r>
      <w:r w:rsidR="00A133C1">
        <w:t>%</w:t>
      </w:r>
      <w:r w:rsidR="00136C52">
        <w:t xml:space="preserve">, based on his highest estimates.  The </w:t>
      </w:r>
      <w:r w:rsidR="00AA39D2">
        <w:t xml:space="preserve">low end of </w:t>
      </w:r>
      <w:r w:rsidR="006E11D1">
        <w:t xml:space="preserve">his </w:t>
      </w:r>
      <w:r w:rsidR="00CB61F7">
        <w:t xml:space="preserve">selected </w:t>
      </w:r>
      <w:r w:rsidR="006E11D1">
        <w:t xml:space="preserve">range is therefore </w:t>
      </w:r>
      <w:r w:rsidR="00AA39D2">
        <w:t>60 basis points above the actual average of the sample companies</w:t>
      </w:r>
      <w:r w:rsidR="00B82E69">
        <w:t>’</w:t>
      </w:r>
      <w:r w:rsidR="00CB61F7">
        <w:t xml:space="preserve"> DCF</w:t>
      </w:r>
      <w:r w:rsidR="00AA39D2">
        <w:t xml:space="preserve">, and the </w:t>
      </w:r>
      <w:r w:rsidR="005A279B">
        <w:t>mid</w:t>
      </w:r>
      <w:r w:rsidR="005A279B">
        <w:noBreakHyphen/>
      </w:r>
      <w:r w:rsidR="00136C52">
        <w:t>point</w:t>
      </w:r>
      <w:r w:rsidR="00CB61F7">
        <w:t xml:space="preserve"> </w:t>
      </w:r>
      <w:r w:rsidR="005A279B">
        <w:t>(9.4</w:t>
      </w:r>
      <w:r w:rsidR="00A133C1">
        <w:t>%</w:t>
      </w:r>
      <w:r w:rsidR="00136C52">
        <w:t xml:space="preserve">) is </w:t>
      </w:r>
      <w:r w:rsidR="00AA39D2">
        <w:t xml:space="preserve">a full </w:t>
      </w:r>
      <w:r w:rsidR="00136C52">
        <w:t>90 basis points above the average</w:t>
      </w:r>
      <w:r w:rsidR="001612A1">
        <w:t xml:space="preserve"> results</w:t>
      </w:r>
      <w:r w:rsidR="00136C52">
        <w:t xml:space="preserve"> of </w:t>
      </w:r>
      <w:r w:rsidR="001612A1">
        <w:t xml:space="preserve">his DCF </w:t>
      </w:r>
      <w:r w:rsidR="00B82E69">
        <w:t xml:space="preserve">data.  </w:t>
      </w:r>
      <w:r w:rsidR="00136C52">
        <w:t xml:space="preserve">The dramatic difference </w:t>
      </w:r>
      <w:r w:rsidR="00136C52" w:rsidRPr="0020247D">
        <w:t xml:space="preserve">between the </w:t>
      </w:r>
      <w:r w:rsidR="00AA39D2" w:rsidRPr="0020247D">
        <w:t xml:space="preserve">actual </w:t>
      </w:r>
      <w:r w:rsidR="00136C52" w:rsidRPr="0020247D">
        <w:t>data results and Mr. Parcell’s selected range is illustrated in the chart attached in Appendix A (Exhibit No. SGH-22).</w:t>
      </w:r>
      <w:r w:rsidR="00136C52">
        <w:t xml:space="preserve">  </w:t>
      </w:r>
    </w:p>
    <w:p w:rsidR="00B82E69" w:rsidRDefault="00B82E69" w:rsidP="006A4B61">
      <w:pPr>
        <w:pStyle w:val="ParNumber"/>
        <w:ind w:left="0" w:hanging="720"/>
      </w:pPr>
      <w:r>
        <w:tab/>
      </w:r>
      <w:r w:rsidR="00D56735">
        <w:t>These are not merely Public Counsel characterizations</w:t>
      </w:r>
      <w:r w:rsidR="00BA3146">
        <w:t xml:space="preserve"> of Mr. Parcell’s testimony.  They </w:t>
      </w:r>
      <w:r w:rsidR="006E11D1">
        <w:t>are transparently presented in</w:t>
      </w:r>
      <w:r w:rsidR="00BA3146">
        <w:t xml:space="preserve"> his testimony</w:t>
      </w:r>
      <w:r w:rsidR="004878BD">
        <w:t xml:space="preserve">.  </w:t>
      </w:r>
      <w:r w:rsidR="00AC1D42">
        <w:t>A</w:t>
      </w:r>
      <w:r w:rsidR="004878BD">
        <w:t>ll the results described above, with the high and low ranges</w:t>
      </w:r>
      <w:r w:rsidR="00AC1D42">
        <w:t>, are presented in table form</w:t>
      </w:r>
      <w:r>
        <w:t xml:space="preserve">.  </w:t>
      </w:r>
      <w:r w:rsidR="004878BD">
        <w:t xml:space="preserve">As he </w:t>
      </w:r>
      <w:r w:rsidR="003753D6">
        <w:t>points out</w:t>
      </w:r>
      <w:r w:rsidR="004878BD">
        <w:t>, “the results</w:t>
      </w:r>
      <w:r>
        <w:t xml:space="preserve"> </w:t>
      </w:r>
      <w:r w:rsidR="004878BD">
        <w:t>…</w:t>
      </w:r>
      <w:r>
        <w:t xml:space="preserve"> </w:t>
      </w:r>
      <w:r w:rsidR="004878BD">
        <w:t xml:space="preserve">indicate average (mean </w:t>
      </w:r>
      <w:r w:rsidR="004878BD">
        <w:lastRenderedPageBreak/>
        <w:t xml:space="preserve">and median) </w:t>
      </w:r>
      <w:r w:rsidR="005A279B">
        <w:t>DCF cost rate of 8.1 percent to 8.6 percent</w:t>
      </w:r>
      <w:r w:rsidR="004878BD">
        <w:t xml:space="preserve">.  The ‘high’ DCF rates </w:t>
      </w:r>
      <w:r w:rsidR="00D56735">
        <w:t>(i.e.</w:t>
      </w:r>
      <w:r w:rsidR="005A279B">
        <w:t>,</w:t>
      </w:r>
      <w:r w:rsidR="00D56735">
        <w:t xml:space="preserve"> </w:t>
      </w:r>
      <w:r w:rsidR="00D56735" w:rsidRPr="00B82E69">
        <w:rPr>
          <w:i/>
        </w:rPr>
        <w:t>using the highest growth rates only</w:t>
      </w:r>
      <w:r w:rsidR="00D56735">
        <w:t xml:space="preserve">) are 9.1 </w:t>
      </w:r>
      <w:r w:rsidR="005A279B">
        <w:t xml:space="preserve">percent </w:t>
      </w:r>
      <w:r w:rsidR="00D56735">
        <w:t xml:space="preserve">to 9.7 </w:t>
      </w:r>
      <w:r w:rsidR="005A279B">
        <w:t>percent</w:t>
      </w:r>
      <w:r w:rsidR="00D56735">
        <w:t xml:space="preserve"> on an average basis and median basis.”</w:t>
      </w:r>
      <w:r w:rsidR="00D56735">
        <w:rPr>
          <w:rStyle w:val="FootnoteReference"/>
        </w:rPr>
        <w:footnoteReference w:id="78"/>
      </w:r>
    </w:p>
    <w:p w:rsidR="00AC1D42" w:rsidRDefault="00B82E69" w:rsidP="006A4B61">
      <w:pPr>
        <w:pStyle w:val="ParNumber"/>
        <w:ind w:left="0" w:hanging="720"/>
      </w:pPr>
      <w:r>
        <w:tab/>
      </w:r>
      <w:r w:rsidR="00AC1D42">
        <w:t>He states the following conclusions:</w:t>
      </w:r>
    </w:p>
    <w:p w:rsidR="00AC1D42" w:rsidRPr="00A33998" w:rsidRDefault="00AC1D42" w:rsidP="00B82E69">
      <w:pPr>
        <w:ind w:left="720" w:right="720"/>
        <w:jc w:val="both"/>
      </w:pPr>
      <w:r>
        <w:t xml:space="preserve">This analysis reflects a broad DCF range of 8.1 percent to 9.7 percent for the </w:t>
      </w:r>
      <w:r w:rsidR="00A33998">
        <w:t>proxy groups.</w:t>
      </w:r>
      <w:r w:rsidR="005A279B">
        <w:t xml:space="preserve"> </w:t>
      </w:r>
      <w:r w:rsidR="00A33998">
        <w:t xml:space="preserve">... </w:t>
      </w:r>
      <w:r w:rsidR="00A33998" w:rsidRPr="00A33998">
        <w:t>I give less weight to the low values</w:t>
      </w:r>
      <w:r w:rsidR="00AC1AAD">
        <w:rPr>
          <w:i/>
        </w:rPr>
        <w:t xml:space="preserve"> and</w:t>
      </w:r>
      <w:r w:rsidR="00A33998">
        <w:rPr>
          <w:i/>
        </w:rPr>
        <w:t xml:space="preserve"> average values of the groups</w:t>
      </w:r>
      <w:r w:rsidR="00A33998">
        <w:t xml:space="preserve">.  </w:t>
      </w:r>
      <w:r w:rsidR="00A33998" w:rsidRPr="00A33998">
        <w:t xml:space="preserve">I believe that the 9.1 percent to 9.7 percent (9.4 percent mid-point) reflects the proper DCF cost for PSE.  </w:t>
      </w:r>
      <w:r w:rsidR="00A33998">
        <w:rPr>
          <w:i/>
        </w:rPr>
        <w:t>This reflects the highest DCF results.</w:t>
      </w:r>
      <w:r w:rsidR="00A33998">
        <w:rPr>
          <w:rStyle w:val="FootnoteReference"/>
          <w:i/>
        </w:rPr>
        <w:footnoteReference w:id="79"/>
      </w:r>
    </w:p>
    <w:p w:rsidR="00AC1D42" w:rsidRDefault="00AC1D42" w:rsidP="00AC1D42">
      <w:pPr>
        <w:ind w:left="720" w:right="720" w:firstLine="720"/>
      </w:pPr>
    </w:p>
    <w:p w:rsidR="00436C9A" w:rsidRDefault="00B82E69" w:rsidP="006A4B61">
      <w:pPr>
        <w:pStyle w:val="ParNumber"/>
        <w:ind w:left="0" w:hanging="720"/>
      </w:pPr>
      <w:r>
        <w:tab/>
        <w:t>When asked, “W</w:t>
      </w:r>
      <w:r w:rsidR="00436C9A">
        <w:t>hy do you f</w:t>
      </w:r>
      <w:r>
        <w:t xml:space="preserve">ocus on the highest DCF rates?” </w:t>
      </w:r>
      <w:r w:rsidR="00436C9A">
        <w:t xml:space="preserve">he </w:t>
      </w:r>
      <w:r w:rsidR="00B14293">
        <w:t>provides only the following explanation</w:t>
      </w:r>
      <w:r w:rsidR="00436C9A">
        <w:t>:</w:t>
      </w:r>
    </w:p>
    <w:p w:rsidR="00436C9A" w:rsidRPr="00B14293" w:rsidRDefault="00436C9A" w:rsidP="00B82E69">
      <w:pPr>
        <w:ind w:left="720" w:right="720"/>
        <w:jc w:val="both"/>
      </w:pPr>
      <w:r>
        <w:t>I focus on the highest DCF rates, as well as the highest CE rates later in my testimony</w:t>
      </w:r>
      <w:r w:rsidR="00B14293">
        <w:t xml:space="preserve">, in order to be conservative.  Had I emphasized mean/median values, </w:t>
      </w:r>
      <w:r w:rsidR="00B14293">
        <w:rPr>
          <w:i/>
        </w:rPr>
        <w:t>as other analysts might reasonably have done</w:t>
      </w:r>
      <w:r w:rsidR="00B14293">
        <w:t>, my recommended cost of equity would have been lower.</w:t>
      </w:r>
      <w:r w:rsidR="00B14293">
        <w:rPr>
          <w:rStyle w:val="FootnoteReference"/>
        </w:rPr>
        <w:footnoteReference w:id="80"/>
      </w:r>
      <w:r w:rsidR="00B14293">
        <w:t xml:space="preserve"> </w:t>
      </w:r>
    </w:p>
    <w:p w:rsidR="00436C9A" w:rsidRDefault="00436C9A" w:rsidP="00436C9A">
      <w:pPr>
        <w:ind w:right="720"/>
      </w:pPr>
    </w:p>
    <w:p w:rsidR="00134A10" w:rsidRDefault="00B14293" w:rsidP="00134A10">
      <w:pPr>
        <w:spacing w:line="480" w:lineRule="auto"/>
        <w:ind w:right="720"/>
      </w:pPr>
      <w:r>
        <w:t xml:space="preserve">It is worth simply </w:t>
      </w:r>
      <w:r w:rsidR="00BA3146">
        <w:t>re-</w:t>
      </w:r>
      <w:r>
        <w:t>reading this short section of Mr. Parcell’s testimony</w:t>
      </w:r>
      <w:r w:rsidR="00357599">
        <w:t xml:space="preserve"> to get a clear sense of the </w:t>
      </w:r>
      <w:r w:rsidR="00856628">
        <w:t xml:space="preserve">extremely </w:t>
      </w:r>
      <w:r w:rsidR="00357599">
        <w:t xml:space="preserve">conclusory nature of his </w:t>
      </w:r>
      <w:r w:rsidR="008C3E7E">
        <w:t>analysis</w:t>
      </w:r>
      <w:r>
        <w:t>.  As these excerpts show, he provides no explanation whatever for choosing “the highest DCF results”</w:t>
      </w:r>
      <w:r w:rsidR="007F1D74">
        <w:t xml:space="preserve"> which use “the highest growth rates only</w:t>
      </w:r>
      <w:r w:rsidR="00BA3146">
        <w:t>,</w:t>
      </w:r>
      <w:r w:rsidR="007F1D74">
        <w:t>”</w:t>
      </w:r>
      <w:r w:rsidR="00102EFD">
        <w:rPr>
          <w:rStyle w:val="FootnoteReference"/>
        </w:rPr>
        <w:footnoteReference w:id="81"/>
      </w:r>
      <w:r w:rsidR="00D807CD">
        <w:t xml:space="preserve"> </w:t>
      </w:r>
      <w:r w:rsidR="00BA3146">
        <w:t>beyond the wish to be conservative.</w:t>
      </w:r>
    </w:p>
    <w:p w:rsidR="006A4B61" w:rsidRDefault="00134A10" w:rsidP="006A4B61">
      <w:pPr>
        <w:pStyle w:val="ParNumber"/>
        <w:ind w:left="0" w:hanging="720"/>
      </w:pPr>
      <w:r>
        <w:tab/>
      </w:r>
      <w:r w:rsidR="00D60C6A">
        <w:t>Mr. Parcell’s</w:t>
      </w:r>
      <w:r w:rsidR="00357599">
        <w:t xml:space="preserve"> decision to use only the highest growth rates stands in stark contrast to his description two pages </w:t>
      </w:r>
      <w:r w:rsidR="007F1D74">
        <w:t xml:space="preserve">earlier </w:t>
      </w:r>
      <w:r w:rsidR="00357599">
        <w:t xml:space="preserve">of the </w:t>
      </w:r>
      <w:r w:rsidR="007F1D74">
        <w:t xml:space="preserve">five growth rate indicators </w:t>
      </w:r>
      <w:r w:rsidR="00357599">
        <w:t xml:space="preserve">he uses, </w:t>
      </w:r>
      <w:r w:rsidR="00BA3146">
        <w:t>where he states</w:t>
      </w:r>
      <w:r w:rsidR="007F1D74">
        <w:t xml:space="preserve">: </w:t>
      </w:r>
      <w:r w:rsidR="00D60C6A">
        <w:t xml:space="preserve"> </w:t>
      </w:r>
      <w:r w:rsidR="007F1D74">
        <w:t xml:space="preserve">“I believe this diverse combination of growth indicators is a representative and appropriate set with </w:t>
      </w:r>
      <w:r w:rsidR="007F1D74">
        <w:lastRenderedPageBreak/>
        <w:t>which to begin the process of estimating investor expectations[.]”</w:t>
      </w:r>
      <w:r w:rsidR="00D60C6A">
        <w:rPr>
          <w:rStyle w:val="FootnoteReference"/>
        </w:rPr>
        <w:footnoteReference w:id="82"/>
      </w:r>
      <w:r w:rsidR="007F1D74">
        <w:t xml:space="preserve">  </w:t>
      </w:r>
      <w:r w:rsidR="00BA3146">
        <w:t xml:space="preserve">Again, </w:t>
      </w:r>
      <w:r w:rsidR="008E2D98">
        <w:t>he provides no</w:t>
      </w:r>
      <w:r w:rsidR="00B3473E">
        <w:t xml:space="preserve"> reasoned explanation for </w:t>
      </w:r>
      <w:r w:rsidR="00BA3146">
        <w:t xml:space="preserve">disregarding his own “appropriate” set of indicators and instead </w:t>
      </w:r>
      <w:r w:rsidR="00D072CA">
        <w:t>relying on</w:t>
      </w:r>
      <w:r w:rsidR="00B3473E">
        <w:t>ly on</w:t>
      </w:r>
      <w:r w:rsidR="003E44B0">
        <w:t xml:space="preserve"> high-end results</w:t>
      </w:r>
      <w:r w:rsidR="007F1D74">
        <w:t xml:space="preserve">.  </w:t>
      </w:r>
    </w:p>
    <w:p w:rsidR="006A4B61" w:rsidRDefault="006A4B61" w:rsidP="006A4B61">
      <w:pPr>
        <w:pStyle w:val="ParNumber"/>
        <w:ind w:left="0" w:hanging="720"/>
      </w:pPr>
      <w:r>
        <w:tab/>
      </w:r>
      <w:r w:rsidR="006F593D">
        <w:t>W</w:t>
      </w:r>
      <w:r w:rsidR="00900AB8">
        <w:t>hile c</w:t>
      </w:r>
      <w:r w:rsidR="00136C52">
        <w:t xml:space="preserve">ost of capital analysis </w:t>
      </w:r>
      <w:r w:rsidR="006229DD">
        <w:t xml:space="preserve">certainly </w:t>
      </w:r>
      <w:r w:rsidR="00136C52">
        <w:t>include</w:t>
      </w:r>
      <w:r w:rsidR="006229DD">
        <w:t>s</w:t>
      </w:r>
      <w:r w:rsidR="00136C52">
        <w:t xml:space="preserve"> some exercise of judgment </w:t>
      </w:r>
      <w:r w:rsidR="00900AB8">
        <w:t>on the part of the expert, experts ordinarily provide a methodological</w:t>
      </w:r>
      <w:r w:rsidR="006229DD">
        <w:t xml:space="preserve"> or theoretical</w:t>
      </w:r>
      <w:r w:rsidR="00900AB8">
        <w:t xml:space="preserve"> rationale for moving away from the central results of their data.  Mr. Parcell </w:t>
      </w:r>
      <w:r w:rsidR="00357599">
        <w:t xml:space="preserve">makes no effort to </w:t>
      </w:r>
      <w:r w:rsidR="00900AB8">
        <w:t>do so</w:t>
      </w:r>
      <w:r w:rsidR="00AA39D2">
        <w:t xml:space="preserve"> in this case</w:t>
      </w:r>
      <w:r w:rsidR="00D60C6A">
        <w:t xml:space="preserve">.  </w:t>
      </w:r>
      <w:r w:rsidR="00900AB8">
        <w:t>His decision to move significantly toward the upper</w:t>
      </w:r>
      <w:r w:rsidR="00740585">
        <w:t>most</w:t>
      </w:r>
      <w:r w:rsidR="00900AB8">
        <w:t xml:space="preserve"> end of the </w:t>
      </w:r>
      <w:r w:rsidR="00357599">
        <w:t xml:space="preserve">DCF results </w:t>
      </w:r>
      <w:r w:rsidR="00900AB8">
        <w:t>range means</w:t>
      </w:r>
      <w:r w:rsidR="00740585">
        <w:t>, ultimately,</w:t>
      </w:r>
      <w:r w:rsidR="00900AB8">
        <w:t xml:space="preserve"> that he is relying on less reliable results, based on fewer company data points than at the mid-range of the results. </w:t>
      </w:r>
    </w:p>
    <w:p w:rsidR="00192BF0" w:rsidRPr="00102EFD" w:rsidRDefault="006A4B61" w:rsidP="006A4B61">
      <w:pPr>
        <w:pStyle w:val="ParNumber"/>
        <w:ind w:left="0" w:hanging="720"/>
      </w:pPr>
      <w:r>
        <w:tab/>
      </w:r>
      <w:r w:rsidR="006F593D">
        <w:t>Mr. Hill points out that, even if one wishes to use a conservative approach</w:t>
      </w:r>
      <w:r w:rsidR="00AA39D2">
        <w:t xml:space="preserve"> in this case</w:t>
      </w:r>
      <w:r w:rsidR="00D60C6A">
        <w:t>,</w:t>
      </w:r>
      <w:r w:rsidR="006F593D">
        <w:t xml:space="preserve"> a more reasonable alternative</w:t>
      </w:r>
      <w:r w:rsidR="001A5274">
        <w:t xml:space="preserve"> </w:t>
      </w:r>
      <w:r w:rsidR="006F593D">
        <w:t xml:space="preserve">would be to </w:t>
      </w:r>
      <w:r w:rsidR="001A5274">
        <w:t>use a range using</w:t>
      </w:r>
      <w:r w:rsidR="00D60C6A">
        <w:t xml:space="preserve"> the a</w:t>
      </w:r>
      <w:r w:rsidR="00A133C1">
        <w:t>verage DCF result of 8.5%</w:t>
      </w:r>
      <w:r w:rsidR="001A5274">
        <w:t xml:space="preserve"> as the low end and </w:t>
      </w:r>
      <w:r w:rsidR="00AA39D2">
        <w:t xml:space="preserve">the </w:t>
      </w:r>
      <w:r w:rsidR="001A5274">
        <w:t>mid-point of his highest DCF results</w:t>
      </w:r>
      <w:r w:rsidR="00516C05">
        <w:t>, 9.4</w:t>
      </w:r>
      <w:r w:rsidR="00A133C1">
        <w:t>%</w:t>
      </w:r>
      <w:r w:rsidR="00AA39D2">
        <w:t xml:space="preserve">, as </w:t>
      </w:r>
      <w:r w:rsidR="001A5274">
        <w:t>the top end</w:t>
      </w:r>
      <w:r w:rsidR="00AA39D2">
        <w:t>.  This retains a link to and is more strongly</w:t>
      </w:r>
      <w:r w:rsidR="00D807CD">
        <w:t xml:space="preserve"> grounded in the actual data.  </w:t>
      </w:r>
      <w:r w:rsidR="00AA39D2">
        <w:t>Mr. Parcell</w:t>
      </w:r>
      <w:r w:rsidR="00BB56A1">
        <w:t>’s high end range, by contrast,</w:t>
      </w:r>
      <w:r w:rsidR="00AA39D2">
        <w:t xml:space="preserve"> </w:t>
      </w:r>
      <w:r w:rsidR="00AA39D2" w:rsidRPr="00102EFD">
        <w:t xml:space="preserve">is </w:t>
      </w:r>
      <w:r w:rsidR="00357599" w:rsidRPr="00102EFD">
        <w:t xml:space="preserve">far removed </w:t>
      </w:r>
      <w:r w:rsidR="00AA39D2" w:rsidRPr="00102EFD">
        <w:t xml:space="preserve">from the central </w:t>
      </w:r>
      <w:r w:rsidR="00740585" w:rsidRPr="00102EFD">
        <w:t xml:space="preserve">nature </w:t>
      </w:r>
      <w:r w:rsidR="00AA39D2" w:rsidRPr="00102EFD">
        <w:t xml:space="preserve">of the </w:t>
      </w:r>
      <w:r w:rsidR="00D54E96" w:rsidRPr="00102EFD">
        <w:t xml:space="preserve">DCF </w:t>
      </w:r>
      <w:r w:rsidR="00AA39D2" w:rsidRPr="00102EFD">
        <w:t>data sets</w:t>
      </w:r>
      <w:r w:rsidR="00D54E96" w:rsidRPr="00102EFD">
        <w:t xml:space="preserve"> he produces</w:t>
      </w:r>
      <w:r w:rsidR="00AA39D2" w:rsidRPr="00102EFD">
        <w:t>.</w:t>
      </w:r>
      <w:r w:rsidR="00102EFD" w:rsidRPr="00102EFD">
        <w:t xml:space="preserve">  </w:t>
      </w:r>
    </w:p>
    <w:p w:rsidR="00AA39D2" w:rsidRDefault="006008B5" w:rsidP="00516C05">
      <w:pPr>
        <w:pStyle w:val="Heading3"/>
        <w:spacing w:before="0"/>
      </w:pPr>
      <w:bookmarkStart w:id="29" w:name="_Toc413395580"/>
      <w:r>
        <w:t xml:space="preserve">Mr. </w:t>
      </w:r>
      <w:r w:rsidR="007C7EF5">
        <w:t xml:space="preserve">Parcell’s </w:t>
      </w:r>
      <w:r w:rsidR="00BB56A1">
        <w:t>Comparable Earnings (CE)</w:t>
      </w:r>
      <w:r w:rsidR="007C7EF5">
        <w:t xml:space="preserve"> </w:t>
      </w:r>
      <w:r>
        <w:t>results are not adequately explained</w:t>
      </w:r>
      <w:r w:rsidR="00BB56A1">
        <w:t>.</w:t>
      </w:r>
      <w:bookmarkEnd w:id="29"/>
      <w:r w:rsidR="00BB56A1">
        <w:t xml:space="preserve"> </w:t>
      </w:r>
    </w:p>
    <w:p w:rsidR="00BC6155" w:rsidRDefault="00BC6155" w:rsidP="00BC6155"/>
    <w:p w:rsidR="006A4B61" w:rsidRDefault="00BB56A1" w:rsidP="006A4B61">
      <w:pPr>
        <w:pStyle w:val="ParNumber"/>
        <w:ind w:left="0" w:hanging="720"/>
      </w:pPr>
      <w:r>
        <w:tab/>
      </w:r>
      <w:r w:rsidR="00102EFD">
        <w:t xml:space="preserve">Mr. Parcell is the only analyst to use a Comparable Earnings methodology in this case.  </w:t>
      </w:r>
      <w:r w:rsidR="00BC6155">
        <w:t xml:space="preserve">Mr. Parcell’s CE analysis raises similar concerns to his DCF analysis in that the ROE range he selects is higher than his CE data indicates.  </w:t>
      </w:r>
      <w:r w:rsidR="008C3E7E">
        <w:t xml:space="preserve">The CE results for his sample proxy group of companies show that the average </w:t>
      </w:r>
      <w:r w:rsidR="001B7BB3">
        <w:t xml:space="preserve">historic </w:t>
      </w:r>
      <w:r w:rsidR="008C3E7E">
        <w:t xml:space="preserve">ROE earned over the last </w:t>
      </w:r>
      <w:r w:rsidR="00516C05">
        <w:t>10 years ranged from 8.3 to 9.1</w:t>
      </w:r>
      <w:r w:rsidR="00A133C1">
        <w:t>%</w:t>
      </w:r>
      <w:r w:rsidR="008C3E7E">
        <w:t xml:space="preserve">.  </w:t>
      </w:r>
      <w:r w:rsidR="00516C05">
        <w:t>In addition, the Market-to-B</w:t>
      </w:r>
      <w:r w:rsidR="00BC6155">
        <w:t xml:space="preserve">ook ratio resulting </w:t>
      </w:r>
      <w:r w:rsidR="00516C05">
        <w:t>from these ROEs ranged from 124</w:t>
      </w:r>
      <w:r w:rsidR="00A133C1">
        <w:t>%</w:t>
      </w:r>
      <w:r w:rsidR="00516C05">
        <w:t xml:space="preserve"> to </w:t>
      </w:r>
      <w:r w:rsidR="00516C05">
        <w:lastRenderedPageBreak/>
        <w:t>152</w:t>
      </w:r>
      <w:r w:rsidR="00A133C1">
        <w:t>%</w:t>
      </w:r>
      <w:r w:rsidR="00BC6155">
        <w:t>.  As Mr. Parcell himself</w:t>
      </w:r>
      <w:r w:rsidR="00CD5A4C">
        <w:t xml:space="preserve"> agrees, this is an indicator that the expected cost of equity was below </w:t>
      </w:r>
      <w:r w:rsidR="001B7BB3">
        <w:t xml:space="preserve">the </w:t>
      </w:r>
      <w:r w:rsidR="00DF11D7">
        <w:t xml:space="preserve">CE-based </w:t>
      </w:r>
      <w:r w:rsidR="001B7BB3">
        <w:t xml:space="preserve">historic </w:t>
      </w:r>
      <w:r w:rsidR="00CD5A4C">
        <w:t>ROE range</w:t>
      </w:r>
      <w:r w:rsidR="0035134D">
        <w:t xml:space="preserve"> </w:t>
      </w:r>
      <w:r w:rsidR="00516C05">
        <w:t>of 8.3</w:t>
      </w:r>
      <w:r w:rsidR="00A133C1">
        <w:t>%</w:t>
      </w:r>
      <w:r w:rsidR="00516C05">
        <w:t xml:space="preserve"> to 9.1</w:t>
      </w:r>
      <w:r w:rsidR="00A133C1">
        <w:t>%</w:t>
      </w:r>
      <w:r w:rsidR="00CD5A4C">
        <w:t>.</w:t>
      </w:r>
      <w:r w:rsidR="00CD5A4C">
        <w:rPr>
          <w:rStyle w:val="FootnoteReference"/>
        </w:rPr>
        <w:footnoteReference w:id="83"/>
      </w:r>
      <w:r w:rsidR="00CD5A4C">
        <w:t xml:space="preserve">  </w:t>
      </w:r>
      <w:r w:rsidR="00225696">
        <w:t xml:space="preserve">Mr. Parcell’s </w:t>
      </w:r>
      <w:r w:rsidR="00A85C2A">
        <w:t xml:space="preserve">prospective </w:t>
      </w:r>
      <w:r w:rsidR="00225696">
        <w:t xml:space="preserve">CE analysis produces similar results, with his </w:t>
      </w:r>
      <w:r w:rsidR="001B7BB3">
        <w:t xml:space="preserve">projected </w:t>
      </w:r>
      <w:r w:rsidR="00225696">
        <w:t>sample</w:t>
      </w:r>
      <w:r w:rsidR="00355C71">
        <w:t xml:space="preserve"> group </w:t>
      </w:r>
      <w:r w:rsidR="00A85C2A">
        <w:t xml:space="preserve">ROE in a range </w:t>
      </w:r>
      <w:r w:rsidR="00516C05">
        <w:t>from 8.7 to 9.6</w:t>
      </w:r>
      <w:r w:rsidR="00A133C1">
        <w:t>%</w:t>
      </w:r>
      <w:r w:rsidR="00355C71">
        <w:t>.</w:t>
      </w:r>
      <w:r w:rsidR="00355C71">
        <w:rPr>
          <w:rStyle w:val="FootnoteReference"/>
        </w:rPr>
        <w:footnoteReference w:id="84"/>
      </w:r>
      <w:r w:rsidR="00355C71">
        <w:t xml:space="preserve">  Because the sample group has</w:t>
      </w:r>
      <w:r w:rsidR="00516C05">
        <w:t xml:space="preserve"> a Market-to-Book ratio of 139</w:t>
      </w:r>
      <w:r w:rsidR="00A133C1">
        <w:t>%</w:t>
      </w:r>
      <w:r w:rsidR="00355C71">
        <w:t xml:space="preserve">, the investor’s required return </w:t>
      </w:r>
      <w:r w:rsidR="00B82BAF">
        <w:t xml:space="preserve">range </w:t>
      </w:r>
      <w:r w:rsidR="00355C71">
        <w:t>is</w:t>
      </w:r>
      <w:r w:rsidR="00516C05">
        <w:t>,</w:t>
      </w:r>
      <w:r w:rsidR="00355C71">
        <w:t xml:space="preserve"> by</w:t>
      </w:r>
      <w:r w:rsidR="0035134D">
        <w:t xml:space="preserve"> Mr. Parcell’s own</w:t>
      </w:r>
      <w:r w:rsidR="00355C71">
        <w:t xml:space="preserve"> de</w:t>
      </w:r>
      <w:r>
        <w:t>finition</w:t>
      </w:r>
      <w:r w:rsidR="00516C05">
        <w:t>, lower than 8.7 to 9.6</w:t>
      </w:r>
      <w:r w:rsidR="00A133C1">
        <w:t>%</w:t>
      </w:r>
      <w:r w:rsidR="00355C71">
        <w:t>.</w:t>
      </w:r>
      <w:r w:rsidR="00355C71">
        <w:rPr>
          <w:rStyle w:val="FootnoteReference"/>
        </w:rPr>
        <w:footnoteReference w:id="85"/>
      </w:r>
    </w:p>
    <w:p w:rsidR="00847360" w:rsidRDefault="006A4B61" w:rsidP="006A4B61">
      <w:pPr>
        <w:pStyle w:val="ParNumber"/>
        <w:ind w:left="0" w:hanging="720"/>
      </w:pPr>
      <w:r>
        <w:tab/>
      </w:r>
      <w:r w:rsidR="00847360">
        <w:t>As the data demonstrate, Mr. Parcell’s decision</w:t>
      </w:r>
      <w:r w:rsidR="00516C05">
        <w:t xml:space="preserve"> to use a range of 9.0 to 10.0</w:t>
      </w:r>
      <w:r w:rsidR="00A133C1">
        <w:t>%</w:t>
      </w:r>
      <w:r w:rsidR="00847360">
        <w:t xml:space="preserve"> for his CE ROE is unreasonable, as it is above the range of expected returns for his sample group. </w:t>
      </w:r>
      <w:r w:rsidR="00516C05">
        <w:t xml:space="preserve"> </w:t>
      </w:r>
      <w:r w:rsidR="00847360">
        <w:t xml:space="preserve">As with DCF, he uses the highest results in his data set to create this range, based on an unexplained desire to be conservative.  This approach </w:t>
      </w:r>
      <w:r w:rsidR="00B82BAF">
        <w:t xml:space="preserve">again </w:t>
      </w:r>
      <w:r w:rsidR="00847360">
        <w:t>overstates PSE’s cost of equity.  Even</w:t>
      </w:r>
      <w:r w:rsidR="00516C05">
        <w:t xml:space="preserve"> though Mr. </w:t>
      </w:r>
      <w:r w:rsidR="00FF7E28">
        <w:t>Parcell has not provided one,</w:t>
      </w:r>
      <w:r w:rsidR="00847360">
        <w:t xml:space="preserve"> if there is a justification to take a conservative approa</w:t>
      </w:r>
      <w:r w:rsidR="00BB56A1">
        <w:t xml:space="preserve">ch, </w:t>
      </w:r>
      <w:r w:rsidR="00847360">
        <w:t xml:space="preserve">a more sound alternative would be to use the range resulting from Mr. Parcell’s sample group of </w:t>
      </w:r>
      <w:r w:rsidR="00516C05">
        <w:t>8.7 to 9.6</w:t>
      </w:r>
      <w:r w:rsidR="00A133C1">
        <w:t>%</w:t>
      </w:r>
      <w:r w:rsidR="008A2D30">
        <w:t>, without any downward adjustmen</w:t>
      </w:r>
      <w:r w:rsidR="00516C05">
        <w:t>t to recognize that their M</w:t>
      </w:r>
      <w:r w:rsidR="008A2D30">
        <w:t>a</w:t>
      </w:r>
      <w:r w:rsidR="00516C05">
        <w:t>rket-to-Book ratios exceed 100</w:t>
      </w:r>
      <w:r w:rsidR="00A133C1">
        <w:t>%</w:t>
      </w:r>
      <w:r w:rsidR="008A2D30">
        <w:t xml:space="preserve">.  </w:t>
      </w:r>
    </w:p>
    <w:p w:rsidR="00355C71" w:rsidRDefault="006008B5" w:rsidP="00516C05">
      <w:pPr>
        <w:pStyle w:val="Heading3"/>
        <w:spacing w:before="0"/>
      </w:pPr>
      <w:bookmarkStart w:id="30" w:name="_Toc413395581"/>
      <w:r>
        <w:t xml:space="preserve">Mr. </w:t>
      </w:r>
      <w:r w:rsidR="007C7EF5">
        <w:t>Parcell</w:t>
      </w:r>
      <w:r w:rsidR="00E36BFF">
        <w:t>’s</w:t>
      </w:r>
      <w:r>
        <w:t xml:space="preserve"> ROE recommendation fails to consider his </w:t>
      </w:r>
      <w:r w:rsidR="00355C71">
        <w:t>CAPM</w:t>
      </w:r>
      <w:r>
        <w:t xml:space="preserve"> analysis</w:t>
      </w:r>
      <w:r w:rsidR="00516C05">
        <w:t>.</w:t>
      </w:r>
      <w:bookmarkEnd w:id="30"/>
      <w:r w:rsidR="00B456C2">
        <w:t xml:space="preserve"> </w:t>
      </w:r>
    </w:p>
    <w:p w:rsidR="00BC6155" w:rsidRDefault="00BC6155" w:rsidP="00BC6155"/>
    <w:p w:rsidR="006A4B61" w:rsidRDefault="00BB56A1" w:rsidP="006A4B61">
      <w:pPr>
        <w:pStyle w:val="ParNumber"/>
        <w:ind w:left="0" w:hanging="720"/>
      </w:pPr>
      <w:r>
        <w:tab/>
      </w:r>
      <w:r w:rsidR="00B456C2">
        <w:t>The range of results for Mr. Parcell</w:t>
      </w:r>
      <w:r w:rsidR="00516C05">
        <w:t>’s CAPM analysis is 6.5 to 6.8</w:t>
      </w:r>
      <w:r w:rsidR="00A133C1">
        <w:t>%</w:t>
      </w:r>
      <w:r>
        <w:t xml:space="preserve">.  </w:t>
      </w:r>
      <w:r w:rsidR="00B456C2">
        <w:t>Mr. Parcell opts not to use these results in establishing his range</w:t>
      </w:r>
      <w:r w:rsidR="00D75110">
        <w:t>, however</w:t>
      </w:r>
      <w:r w:rsidR="00B456C2">
        <w:t xml:space="preserve">.  As he states in testimony: </w:t>
      </w:r>
      <w:r w:rsidR="00516C05">
        <w:t xml:space="preserve"> </w:t>
      </w:r>
      <w:r w:rsidR="00B456C2">
        <w:t>“Focusing on the respective mid-points [of DCF, C</w:t>
      </w:r>
      <w:r w:rsidR="00516C05">
        <w:t>APM, and CE], the range is 6.7 percent to 9.5 percent</w:t>
      </w:r>
      <w:r w:rsidR="00EC2A8C">
        <w:t xml:space="preserve">.  </w:t>
      </w:r>
      <w:r w:rsidR="00B456C2">
        <w:t>I recommend a return on equi</w:t>
      </w:r>
      <w:r w:rsidR="00516C05">
        <w:t xml:space="preserve">ty range of 9.0 percent to 10.0 percent </w:t>
      </w:r>
      <w:r w:rsidR="00B456C2">
        <w:t>for PSE as of the early</w:t>
      </w:r>
      <w:r w:rsidR="00516C05">
        <w:t xml:space="preserve"> 2013</w:t>
      </w:r>
      <w:r w:rsidR="00B456C2">
        <w:t xml:space="preserve"> time frame.”</w:t>
      </w:r>
      <w:r w:rsidR="00EC2A8C">
        <w:rPr>
          <w:rStyle w:val="FootnoteReference"/>
        </w:rPr>
        <w:footnoteReference w:id="86"/>
      </w:r>
      <w:r w:rsidR="00D75110">
        <w:t xml:space="preserve">  The juxtaposition of </w:t>
      </w:r>
      <w:r w:rsidR="00B84DDC">
        <w:t>these two sentences illustrates</w:t>
      </w:r>
      <w:r w:rsidR="00D75110">
        <w:t xml:space="preserve"> the conclusory and </w:t>
      </w:r>
      <w:r w:rsidR="00D75110">
        <w:lastRenderedPageBreak/>
        <w:t xml:space="preserve">unexplained nature of Mr. Parcell’s approach.  </w:t>
      </w:r>
      <w:r w:rsidR="008F1F43">
        <w:t xml:space="preserve">He gives no explanation </w:t>
      </w:r>
      <w:r w:rsidR="004107E0">
        <w:t xml:space="preserve">in his testimony </w:t>
      </w:r>
      <w:r w:rsidR="007346D6">
        <w:t xml:space="preserve">in this case </w:t>
      </w:r>
      <w:r w:rsidR="008F1F43">
        <w:t xml:space="preserve">for not using the mid-points of his three methodologies </w:t>
      </w:r>
      <w:r w:rsidR="0031463B">
        <w:t>(6.7 - 9.5</w:t>
      </w:r>
      <w:r w:rsidR="00B3473E">
        <w:t xml:space="preserve">%) </w:t>
      </w:r>
      <w:r w:rsidR="008F1F43">
        <w:t xml:space="preserve">as a basis for </w:t>
      </w:r>
      <w:r w:rsidR="00B3473E">
        <w:t xml:space="preserve">his </w:t>
      </w:r>
      <w:r w:rsidR="008F1F43">
        <w:t xml:space="preserve">range.  </w:t>
      </w:r>
      <w:r w:rsidR="007346D6">
        <w:t>Again, he simply opts, without a rationale, for an approach which will yield a higher range.</w:t>
      </w:r>
    </w:p>
    <w:p w:rsidR="008A2D30" w:rsidRDefault="006A4B61" w:rsidP="006A4B61">
      <w:pPr>
        <w:pStyle w:val="ParNumber"/>
        <w:ind w:left="0" w:hanging="720"/>
      </w:pPr>
      <w:r>
        <w:tab/>
      </w:r>
      <w:r w:rsidR="00EC2A8C">
        <w:t xml:space="preserve">At the hearing, </w:t>
      </w:r>
      <w:r w:rsidR="00222F2D">
        <w:t xml:space="preserve">all the </w:t>
      </w:r>
      <w:r w:rsidR="004107E0">
        <w:t>cost of capital witnesses</w:t>
      </w:r>
      <w:r w:rsidR="00222F2D">
        <w:t>, including Mr. Parcell</w:t>
      </w:r>
      <w:r w:rsidR="004107E0">
        <w:t xml:space="preserve"> agreed that all of the </w:t>
      </w:r>
      <w:r w:rsidR="008C3E7E">
        <w:t>methodologies</w:t>
      </w:r>
      <w:r w:rsidR="004107E0">
        <w:t xml:space="preserve"> should be used in the process of developing a cost of cap</w:t>
      </w:r>
      <w:r w:rsidR="002273A4">
        <w:t>ital</w:t>
      </w:r>
      <w:r w:rsidR="004107E0">
        <w:t xml:space="preserve"> recommendation, although some expressed preferences for certain models.</w:t>
      </w:r>
      <w:r w:rsidR="007346D6">
        <w:rPr>
          <w:rStyle w:val="FootnoteReference"/>
        </w:rPr>
        <w:footnoteReference w:id="87"/>
      </w:r>
      <w:r w:rsidR="00EC2A8C">
        <w:t xml:space="preserve">  Consistent with that approach,</w:t>
      </w:r>
      <w:r w:rsidR="007346D6">
        <w:t xml:space="preserve"> </w:t>
      </w:r>
      <w:r w:rsidR="00222F2D">
        <w:t xml:space="preserve">in </w:t>
      </w:r>
      <w:r w:rsidR="007346D6">
        <w:t xml:space="preserve">the PacifiCorp 2014 General Rate Case, Mr. Parcell did incorporate the CAPM results </w:t>
      </w:r>
      <w:r w:rsidR="00767807">
        <w:t xml:space="preserve">in </w:t>
      </w:r>
      <w:r w:rsidR="007346D6">
        <w:t>develop</w:t>
      </w:r>
      <w:r w:rsidR="00767807">
        <w:t>ing</w:t>
      </w:r>
      <w:r w:rsidR="007346D6">
        <w:t xml:space="preserve"> his final recommendation.</w:t>
      </w:r>
      <w:r w:rsidR="007D0277">
        <w:rPr>
          <w:rStyle w:val="FootnoteReference"/>
        </w:rPr>
        <w:footnoteReference w:id="88"/>
      </w:r>
      <w:r w:rsidR="007346D6">
        <w:t xml:space="preserve">  </w:t>
      </w:r>
      <w:r w:rsidR="00EB54C6">
        <w:t xml:space="preserve">At the hearing in that case, </w:t>
      </w:r>
      <w:r w:rsidR="007346D6">
        <w:t xml:space="preserve">Mr. Parcell was asked to explain </w:t>
      </w:r>
      <w:r w:rsidR="00767807">
        <w:t xml:space="preserve">his </w:t>
      </w:r>
      <w:r w:rsidR="007346D6">
        <w:t xml:space="preserve">inconsistent approach to CAPM in the two cases: </w:t>
      </w:r>
    </w:p>
    <w:p w:rsidR="00EB54C6" w:rsidRDefault="00EB54C6" w:rsidP="00EC2A8C">
      <w:pPr>
        <w:ind w:left="720" w:right="720"/>
        <w:jc w:val="both"/>
      </w:pPr>
      <w:r>
        <w:t>Q:  [Pacific Power counsel] So even though PSE’s CAPM results are lower [than those</w:t>
      </w:r>
      <w:r w:rsidR="00EC2A8C">
        <w:t xml:space="preserve"> in Pacific Power</w:t>
      </w:r>
      <w:r>
        <w:t>] you don’t advocate for the Commission to consider those, correct?</w:t>
      </w:r>
    </w:p>
    <w:p w:rsidR="00EB54C6" w:rsidRDefault="00EB54C6" w:rsidP="00EC2A8C">
      <w:pPr>
        <w:ind w:left="720" w:right="720" w:firstLine="720"/>
        <w:jc w:val="both"/>
      </w:pPr>
    </w:p>
    <w:p w:rsidR="00EB54C6" w:rsidRDefault="00EB54C6" w:rsidP="00EC2A8C">
      <w:pPr>
        <w:ind w:left="720" w:right="720"/>
        <w:jc w:val="both"/>
      </w:pPr>
      <w:r>
        <w:t xml:space="preserve">A: </w:t>
      </w:r>
      <w:r w:rsidR="000736B0">
        <w:t xml:space="preserve">[Mr. Parcell] </w:t>
      </w:r>
      <w:r>
        <w:t>Right, because I’m talking about two years ago in PSE.  And when I came across that question and answer, I determined that it would be more confusing in</w:t>
      </w:r>
      <w:r w:rsidR="00EC2A8C">
        <w:t xml:space="preserve"> a historic sense </w:t>
      </w:r>
      <w:r w:rsidR="00EC2A8C" w:rsidRPr="0031463B">
        <w:t>that</w:t>
      </w:r>
      <w:r w:rsidRPr="0031463B">
        <w:t xml:space="preserve"> it would be</w:t>
      </w:r>
      <w:r>
        <w:t xml:space="preserve"> as opposed to be</w:t>
      </w:r>
      <w:r w:rsidR="00EC2A8C">
        <w:t xml:space="preserve">ing clear in a present sense.  </w:t>
      </w:r>
      <w:r>
        <w:t>Therefore, I made the executive decision to take that out of that PSE case because it was two years ago.</w:t>
      </w:r>
      <w:r w:rsidR="00A02B47" w:rsidRPr="00207056">
        <w:rPr>
          <w:rStyle w:val="FootnoteReference"/>
        </w:rPr>
        <w:footnoteReference w:id="89"/>
      </w:r>
    </w:p>
    <w:p w:rsidR="00EB54C6" w:rsidRDefault="00EB54C6" w:rsidP="00EB54C6">
      <w:pPr>
        <w:ind w:firstLine="720"/>
      </w:pPr>
    </w:p>
    <w:p w:rsidR="00EB54C6" w:rsidRDefault="00E726D2" w:rsidP="00E726D2">
      <w:pPr>
        <w:spacing w:line="480" w:lineRule="auto"/>
      </w:pPr>
      <w:r>
        <w:t xml:space="preserve">This comment in the Pacific Power docket is difficult to decipher. </w:t>
      </w:r>
      <w:r w:rsidR="00EC2A8C">
        <w:t xml:space="preserve"> </w:t>
      </w:r>
      <w:r w:rsidR="000736B0">
        <w:t>Mr. Parcell’s filed CAPM testimony in this docket</w:t>
      </w:r>
      <w:r>
        <w:t xml:space="preserve"> makes no mention of this historic confusion issue, or of any other problem with performing the </w:t>
      </w:r>
      <w:r w:rsidR="00767807">
        <w:t xml:space="preserve">CAPM </w:t>
      </w:r>
      <w:r>
        <w:t>analysis as of 2013</w:t>
      </w:r>
      <w:r w:rsidR="00A02B47">
        <w:t xml:space="preserve">.  </w:t>
      </w:r>
      <w:r>
        <w:t xml:space="preserve">He performs </w:t>
      </w:r>
      <w:r w:rsidR="00564F5A">
        <w:t>his CAPM analysis in a standard manner</w:t>
      </w:r>
      <w:r>
        <w:t xml:space="preserve">, in the same fashion as he did during the Pacific Power 2014 GRC.  </w:t>
      </w:r>
      <w:r w:rsidR="00564F5A">
        <w:t xml:space="preserve">At no point in the testimony </w:t>
      </w:r>
      <w:r w:rsidR="00767807">
        <w:t xml:space="preserve">in this Remand case </w:t>
      </w:r>
      <w:r w:rsidR="00564F5A">
        <w:t xml:space="preserve">does he mention his “executive decision” to “take … out” </w:t>
      </w:r>
      <w:r w:rsidR="00564F5A">
        <w:lastRenderedPageBreak/>
        <w:t>the CAPM analysis for any reason</w:t>
      </w:r>
      <w:r w:rsidR="00207056">
        <w:t>.  He</w:t>
      </w:r>
      <w:r w:rsidR="00767807">
        <w:t xml:space="preserve"> simply discards the results when setting the range, without any stated rationale</w:t>
      </w:r>
      <w:r w:rsidR="00564F5A">
        <w:t xml:space="preserve">.  </w:t>
      </w:r>
      <w:r w:rsidR="00223BF9">
        <w:t xml:space="preserve">Disregarding </w:t>
      </w:r>
      <w:r w:rsidR="00767807">
        <w:t xml:space="preserve">his </w:t>
      </w:r>
      <w:r w:rsidR="00564F5A">
        <w:t xml:space="preserve">CAPM </w:t>
      </w:r>
      <w:r w:rsidR="00223BF9">
        <w:t>equity cost estimates in this proceeding work</w:t>
      </w:r>
      <w:r w:rsidR="00564F5A">
        <w:t>s</w:t>
      </w:r>
      <w:r w:rsidR="00223BF9">
        <w:t xml:space="preserve"> to </w:t>
      </w:r>
      <w:r w:rsidR="00564F5A">
        <w:t xml:space="preserve">increase </w:t>
      </w:r>
      <w:r w:rsidR="00223BF9">
        <w:t>his ultimate ROE recommendation</w:t>
      </w:r>
      <w:r w:rsidR="00ED5813">
        <w:t>.</w:t>
      </w:r>
    </w:p>
    <w:p w:rsidR="006F593D" w:rsidRDefault="004F7360" w:rsidP="00EC2A8C">
      <w:pPr>
        <w:pStyle w:val="Heading4"/>
        <w:spacing w:before="0"/>
      </w:pPr>
      <w:bookmarkStart w:id="31" w:name="_Toc413395582"/>
      <w:r>
        <w:t>Mr. Parcell</w:t>
      </w:r>
      <w:r w:rsidR="000B5255">
        <w:t xml:space="preserve"> used a</w:t>
      </w:r>
      <w:r w:rsidR="008E2D98">
        <w:t xml:space="preserve"> different analytic approach</w:t>
      </w:r>
      <w:r>
        <w:t xml:space="preserve"> </w:t>
      </w:r>
      <w:r w:rsidR="0033193E">
        <w:t>based on a misunderstanding of the nature of the case</w:t>
      </w:r>
      <w:r>
        <w:t>.</w:t>
      </w:r>
      <w:bookmarkEnd w:id="31"/>
      <w:r>
        <w:t xml:space="preserve"> </w:t>
      </w:r>
    </w:p>
    <w:p w:rsidR="00EC2A8C" w:rsidRPr="00EC2A8C" w:rsidRDefault="00EC2A8C" w:rsidP="00EC2A8C"/>
    <w:p w:rsidR="007F288A" w:rsidRDefault="00A02B47" w:rsidP="007F288A">
      <w:pPr>
        <w:pStyle w:val="ParNumber"/>
        <w:ind w:left="0" w:hanging="720"/>
      </w:pPr>
      <w:r>
        <w:tab/>
      </w:r>
      <w:r w:rsidR="00521C78">
        <w:t>Mr. Par</w:t>
      </w:r>
      <w:r w:rsidR="00F307FA">
        <w:t>cell has prepared and presented</w:t>
      </w:r>
      <w:r w:rsidR="00521C78">
        <w:t xml:space="preserve"> two cost of capital analyses to the Commission seven weeks a</w:t>
      </w:r>
      <w:r w:rsidR="00F307FA">
        <w:t xml:space="preserve">part that are not consistent.  </w:t>
      </w:r>
      <w:r w:rsidR="008E2D98">
        <w:t xml:space="preserve">Here, </w:t>
      </w:r>
      <w:r w:rsidR="00564F5A">
        <w:t>Mr. Parcell uses the highest results of his DCF analysis based on the highest growth rates, uses very high CE results well above the actual averages, and disregards CAPM results</w:t>
      </w:r>
      <w:r w:rsidR="007D0277">
        <w:t>, results</w:t>
      </w:r>
      <w:r w:rsidR="00564F5A">
        <w:t xml:space="preserve"> he normally considers</w:t>
      </w:r>
      <w:r w:rsidR="007D0277">
        <w:t xml:space="preserve">, </w:t>
      </w:r>
      <w:r w:rsidR="003C049F">
        <w:t xml:space="preserve">all </w:t>
      </w:r>
      <w:r w:rsidR="00F307FA">
        <w:t>which directly increases</w:t>
      </w:r>
      <w:r w:rsidR="003C049F">
        <w:t xml:space="preserve"> </w:t>
      </w:r>
      <w:r w:rsidR="00811B35">
        <w:t>the overall ROE ranges</w:t>
      </w:r>
      <w:r w:rsidR="003C049F">
        <w:t xml:space="preserve"> and recommendation</w:t>
      </w:r>
      <w:r w:rsidR="00811B35">
        <w:t xml:space="preserve">. </w:t>
      </w:r>
      <w:r>
        <w:t xml:space="preserve"> </w:t>
      </w:r>
      <w:r w:rsidR="00D807CD">
        <w:t xml:space="preserve">The </w:t>
      </w:r>
      <w:r w:rsidR="008F1F43">
        <w:t xml:space="preserve">ultimate result of </w:t>
      </w:r>
      <w:r w:rsidR="00CC22BB">
        <w:t xml:space="preserve">this </w:t>
      </w:r>
      <w:r w:rsidR="00960858">
        <w:t xml:space="preserve">series of decisions </w:t>
      </w:r>
      <w:r w:rsidR="008F1F43">
        <w:t xml:space="preserve">by Mr. Parcell is his recommended </w:t>
      </w:r>
      <w:r w:rsidR="00F307FA">
        <w:t>range of 9.0 to 10.0</w:t>
      </w:r>
      <w:r w:rsidR="00A133C1">
        <w:t>%</w:t>
      </w:r>
      <w:r>
        <w:t xml:space="preserve">.  </w:t>
      </w:r>
      <w:r w:rsidR="008F1F43">
        <w:t xml:space="preserve">As he </w:t>
      </w:r>
      <w:r w:rsidR="00192BF0">
        <w:t xml:space="preserve">acknowledged at the </w:t>
      </w:r>
      <w:r w:rsidR="00D75110">
        <w:t xml:space="preserve">PacifiCorp </w:t>
      </w:r>
      <w:r w:rsidR="00192BF0">
        <w:t xml:space="preserve">hearing, </w:t>
      </w:r>
      <w:r w:rsidR="00D33A7F">
        <w:t>this approach and his reliance on the high end CE results was “how he [got] to 9.5 and to justify a 9.8 as part of a reasonable range.”</w:t>
      </w:r>
      <w:r w:rsidR="00D33A7F">
        <w:rPr>
          <w:rStyle w:val="FootnoteReference"/>
        </w:rPr>
        <w:footnoteReference w:id="90"/>
      </w:r>
      <w:r>
        <w:t xml:space="preserve">  </w:t>
      </w:r>
      <w:r w:rsidR="008E2D98">
        <w:t>In the remand case, h</w:t>
      </w:r>
      <w:r w:rsidR="00960858">
        <w:t xml:space="preserve">e volunteered that had he relied on his DCF and CAPM analyses, his </w:t>
      </w:r>
      <w:r w:rsidR="00F307FA">
        <w:t>results would have been below 9</w:t>
      </w:r>
      <w:r w:rsidR="00A133C1">
        <w:t>%</w:t>
      </w:r>
      <w:r w:rsidR="00960858">
        <w:t>.</w:t>
      </w:r>
      <w:r w:rsidR="00960858">
        <w:rPr>
          <w:rStyle w:val="FootnoteReference"/>
        </w:rPr>
        <w:footnoteReference w:id="91"/>
      </w:r>
      <w:r w:rsidR="00960858">
        <w:t xml:space="preserve"> </w:t>
      </w:r>
    </w:p>
    <w:p w:rsidR="00A02B47" w:rsidRPr="007F288A" w:rsidRDefault="00A02B47" w:rsidP="007F288A">
      <w:pPr>
        <w:pStyle w:val="ParNumber"/>
        <w:ind w:left="0" w:hanging="720"/>
      </w:pPr>
      <w:r>
        <w:tab/>
      </w:r>
      <w:r w:rsidR="00960858">
        <w:t>In the Pacific Power case, he arrived at a range</w:t>
      </w:r>
      <w:r w:rsidR="00A642F1">
        <w:t xml:space="preserve"> </w:t>
      </w:r>
      <w:r w:rsidR="00C130CC">
        <w:t xml:space="preserve">of </w:t>
      </w:r>
      <w:r w:rsidR="00F23498">
        <w:t>9.0 to 9.5</w:t>
      </w:r>
      <w:r w:rsidR="00A133C1">
        <w:t>%</w:t>
      </w:r>
      <w:r w:rsidR="00D26E0B">
        <w:t xml:space="preserve"> (</w:t>
      </w:r>
      <w:r w:rsidR="00A642F1">
        <w:t>50 basis points</w:t>
      </w:r>
      <w:r w:rsidR="00D26E0B">
        <w:t>)</w:t>
      </w:r>
      <w:r w:rsidR="00A642F1">
        <w:t xml:space="preserve"> </w:t>
      </w:r>
      <w:r w:rsidR="00CC22BB">
        <w:t>for ROE</w:t>
      </w:r>
      <w:r w:rsidR="00A642F1">
        <w:t xml:space="preserve">, while in this case he recommended a range </w:t>
      </w:r>
      <w:r w:rsidR="00D26E0B">
        <w:t>double t</w:t>
      </w:r>
      <w:r w:rsidR="00C130CC">
        <w:t xml:space="preserve">hat, from </w:t>
      </w:r>
      <w:r w:rsidR="00F23498">
        <w:t>9.0 to 10.0</w:t>
      </w:r>
      <w:r w:rsidR="00A133C1">
        <w:t>%</w:t>
      </w:r>
      <w:r w:rsidR="009504BE">
        <w:t xml:space="preserve">.  </w:t>
      </w:r>
      <w:r w:rsidR="00D26E0B">
        <w:t>When asked to explain the difference</w:t>
      </w:r>
      <w:r w:rsidR="00675663">
        <w:t xml:space="preserve"> during the Pacific Power hearing</w:t>
      </w:r>
      <w:r w:rsidR="00D26E0B">
        <w:t>, h</w:t>
      </w:r>
      <w:r w:rsidR="00A642F1">
        <w:t xml:space="preserve">is </w:t>
      </w:r>
      <w:r w:rsidR="00C130CC">
        <w:t>rationale</w:t>
      </w:r>
      <w:r w:rsidR="00D26E0B">
        <w:t xml:space="preserve"> </w:t>
      </w:r>
      <w:r w:rsidR="00A642F1">
        <w:t xml:space="preserve">was not </w:t>
      </w:r>
      <w:r w:rsidR="00C130CC">
        <w:t xml:space="preserve">based on any </w:t>
      </w:r>
      <w:r w:rsidR="00A642F1">
        <w:t xml:space="preserve">cost of capital </w:t>
      </w:r>
      <w:r w:rsidR="00C130CC">
        <w:t xml:space="preserve">analysis or </w:t>
      </w:r>
      <w:r w:rsidR="00A642F1">
        <w:t xml:space="preserve">methodology.  Instead, he </w:t>
      </w:r>
      <w:r w:rsidR="00D26E0B">
        <w:t xml:space="preserve">stated </w:t>
      </w:r>
      <w:r w:rsidR="00A642F1">
        <w:t xml:space="preserve">it was based on his understanding of the </w:t>
      </w:r>
      <w:r w:rsidR="00A642F1">
        <w:lastRenderedPageBreak/>
        <w:t xml:space="preserve">“directives” </w:t>
      </w:r>
      <w:r w:rsidR="00F646B6">
        <w:t xml:space="preserve">related to </w:t>
      </w:r>
      <w:r w:rsidR="00A642F1">
        <w:t>th</w:t>
      </w:r>
      <w:r w:rsidR="00F646B6">
        <w:t>is</w:t>
      </w:r>
      <w:r w:rsidR="00A642F1">
        <w:t xml:space="preserve"> case and of what was “desired.”</w:t>
      </w:r>
      <w:r w:rsidR="00A642F1">
        <w:rPr>
          <w:rStyle w:val="FootnoteReference"/>
        </w:rPr>
        <w:footnoteReference w:id="92"/>
      </w:r>
      <w:r w:rsidR="00C46B60">
        <w:t xml:space="preserve">  He was asked further about this at the </w:t>
      </w:r>
      <w:r w:rsidR="00675663">
        <w:t xml:space="preserve">Remand </w:t>
      </w:r>
      <w:r w:rsidR="00C46B60">
        <w:t xml:space="preserve">hearing </w:t>
      </w:r>
      <w:r w:rsidR="00CC22BB">
        <w:t xml:space="preserve">and provided a </w:t>
      </w:r>
      <w:r w:rsidR="00C46B60">
        <w:t>similar</w:t>
      </w:r>
      <w:r w:rsidR="00CC22BB">
        <w:t xml:space="preserve"> explanation</w:t>
      </w:r>
      <w:r w:rsidR="00531504">
        <w:t>.</w:t>
      </w:r>
      <w:r w:rsidR="00531504">
        <w:rPr>
          <w:rStyle w:val="FootnoteReference"/>
        </w:rPr>
        <w:footnoteReference w:id="93"/>
      </w:r>
      <w:r w:rsidR="00CC22BB">
        <w:t xml:space="preserve"> </w:t>
      </w:r>
    </w:p>
    <w:p w:rsidR="00D33A7F" w:rsidRDefault="00A02B47" w:rsidP="00E72940">
      <w:pPr>
        <w:pStyle w:val="ParNumber"/>
        <w:ind w:left="0" w:hanging="720"/>
      </w:pPr>
      <w:r>
        <w:rPr>
          <w:i/>
        </w:rPr>
        <w:tab/>
      </w:r>
      <w:r w:rsidR="00C46B60">
        <w:t xml:space="preserve">Mr. Parcell’s </w:t>
      </w:r>
      <w:r w:rsidR="00D26E0B">
        <w:t xml:space="preserve">perceptions about the nature of the case are not accurate. </w:t>
      </w:r>
      <w:r w:rsidR="009504BE">
        <w:t xml:space="preserve"> </w:t>
      </w:r>
      <w:r w:rsidR="007724A8">
        <w:t>N</w:t>
      </w:r>
      <w:r w:rsidR="00C46B60">
        <w:t>either the Commission</w:t>
      </w:r>
      <w:r w:rsidR="007724A8">
        <w:t xml:space="preserve"> nor the Superior C</w:t>
      </w:r>
      <w:r w:rsidR="00C46B60">
        <w:t xml:space="preserve">ourt directed or requested the parties to take a particular </w:t>
      </w:r>
      <w:r w:rsidR="007724A8">
        <w:t xml:space="preserve">or unusual </w:t>
      </w:r>
      <w:r w:rsidR="00C46B60">
        <w:t xml:space="preserve">approach in their cost of capital analysis with respect to </w:t>
      </w:r>
      <w:r w:rsidR="007724A8">
        <w:t xml:space="preserve">methodology, to </w:t>
      </w:r>
      <w:r w:rsidR="008F59DD">
        <w:t xml:space="preserve">the breadth of their range, or any other </w:t>
      </w:r>
      <w:r w:rsidR="007724A8">
        <w:t>analytic requirements</w:t>
      </w:r>
      <w:r w:rsidR="009504BE">
        <w:t xml:space="preserve">.  </w:t>
      </w:r>
      <w:r w:rsidR="008F59DD">
        <w:t>On the contrary, parties were directed to conduct an analysis in the same fashion as they would in a general rate case.</w:t>
      </w:r>
      <w:r w:rsidR="000008AE">
        <w:rPr>
          <w:rStyle w:val="FootnoteReference"/>
        </w:rPr>
        <w:footnoteReference w:id="94"/>
      </w:r>
      <w:r w:rsidR="008F59DD">
        <w:t xml:space="preserve">  Mr. Parcell’s apparent belief that he was required to use a broader range than he otherwise would have introduces an improper distortion into his analysis which has nothin</w:t>
      </w:r>
      <w:r w:rsidR="009504BE">
        <w:t>g to do with cost of capital</w:t>
      </w:r>
      <w:r w:rsidR="00127BF6">
        <w:t xml:space="preserve"> and </w:t>
      </w:r>
      <w:r w:rsidR="007924DB">
        <w:t xml:space="preserve">undermines </w:t>
      </w:r>
      <w:r w:rsidR="00BD1F97">
        <w:t>th</w:t>
      </w:r>
      <w:r w:rsidR="009504BE">
        <w:t>e credibility of his testimony.</w:t>
      </w:r>
      <w:r w:rsidR="00BD1F97">
        <w:t xml:space="preserve">  </w:t>
      </w:r>
      <w:r w:rsidR="00F24EC3">
        <w:t>Mr. Parcell acknowledges taking a different approach in the instant case than he would otherwise have taken to standard cost of capital analysis for purposes of rate setting.</w:t>
      </w:r>
      <w:r w:rsidR="00BA2CEB">
        <w:rPr>
          <w:rStyle w:val="FootnoteReference"/>
        </w:rPr>
        <w:footnoteReference w:id="95"/>
      </w:r>
      <w:r w:rsidR="00F24EC3">
        <w:t xml:space="preserve">  It appears from </w:t>
      </w:r>
      <w:r w:rsidR="00BD1F97">
        <w:t xml:space="preserve">Mr. Parcell’s </w:t>
      </w:r>
      <w:r w:rsidR="00127BF6">
        <w:t xml:space="preserve">statements at the </w:t>
      </w:r>
      <w:r w:rsidR="00F24EC3">
        <w:t xml:space="preserve">PSE </w:t>
      </w:r>
      <w:r w:rsidR="00B84DDC">
        <w:t xml:space="preserve">Remand </w:t>
      </w:r>
      <w:r w:rsidR="00F24EC3">
        <w:t xml:space="preserve">and Pacific Power </w:t>
      </w:r>
      <w:r w:rsidR="00127BF6">
        <w:t xml:space="preserve">hearings that his </w:t>
      </w:r>
      <w:r w:rsidR="00F24EC3">
        <w:t xml:space="preserve">ROE </w:t>
      </w:r>
      <w:r w:rsidR="00127BF6">
        <w:t xml:space="preserve">recommendations </w:t>
      </w:r>
      <w:r w:rsidR="00F24EC3">
        <w:t xml:space="preserve">in this case </w:t>
      </w:r>
      <w:r w:rsidR="00127BF6">
        <w:t xml:space="preserve">were </w:t>
      </w:r>
      <w:r w:rsidR="00881923">
        <w:t xml:space="preserve">influenced by </w:t>
      </w:r>
      <w:r w:rsidR="00BD1F97">
        <w:t xml:space="preserve">his </w:t>
      </w:r>
      <w:r w:rsidR="00881923">
        <w:t xml:space="preserve">perceptions </w:t>
      </w:r>
      <w:r w:rsidR="00BD1F97">
        <w:t xml:space="preserve">about “directives” </w:t>
      </w:r>
      <w:r w:rsidR="007924DB">
        <w:t xml:space="preserve">and </w:t>
      </w:r>
      <w:r w:rsidR="00F24EC3">
        <w:t xml:space="preserve">were </w:t>
      </w:r>
      <w:r w:rsidR="006E0F3D">
        <w:t xml:space="preserve">tailored to what he understood to be </w:t>
      </w:r>
      <w:r w:rsidR="00F24EC3">
        <w:t xml:space="preserve">a special approach expected in the </w:t>
      </w:r>
      <w:r w:rsidR="00F23498">
        <w:t xml:space="preserve">case.  </w:t>
      </w:r>
      <w:r w:rsidR="002131A8">
        <w:t xml:space="preserve">This detracts from the weight and credibility of his analysis. </w:t>
      </w:r>
    </w:p>
    <w:p w:rsidR="00650412" w:rsidRDefault="00A30A76" w:rsidP="00F23498">
      <w:pPr>
        <w:pStyle w:val="Heading1"/>
        <w:spacing w:before="0"/>
      </w:pPr>
      <w:bookmarkStart w:id="32" w:name="_Toc413395583"/>
      <w:r>
        <w:t>IMPACT OF DECOUPLING ON COST OF CAPITAL</w:t>
      </w:r>
      <w:bookmarkEnd w:id="32"/>
    </w:p>
    <w:p w:rsidR="00F23498" w:rsidRPr="00F23498" w:rsidRDefault="00F23498" w:rsidP="00F23498"/>
    <w:p w:rsidR="0067121A" w:rsidRDefault="00B115DF" w:rsidP="00DA610D">
      <w:pPr>
        <w:pStyle w:val="Heading2"/>
        <w:spacing w:before="0"/>
      </w:pPr>
      <w:bookmarkStart w:id="33" w:name="_Toc413395584"/>
      <w:r>
        <w:lastRenderedPageBreak/>
        <w:t>The Brattle Studies Submitted by PSE i</w:t>
      </w:r>
      <w:r w:rsidR="0067121A">
        <w:t xml:space="preserve">n This Case Provide Reliable </w:t>
      </w:r>
      <w:r w:rsidR="00650412">
        <w:t xml:space="preserve">Market-Based </w:t>
      </w:r>
      <w:r w:rsidR="0067121A">
        <w:t>Evidence That Decoupling Reduces the Cost of Capital</w:t>
      </w:r>
      <w:r w:rsidR="00DA610D">
        <w:t>.</w:t>
      </w:r>
      <w:bookmarkEnd w:id="33"/>
    </w:p>
    <w:p w:rsidR="0067121A" w:rsidRDefault="0033193E" w:rsidP="0067121A">
      <w:pPr>
        <w:pStyle w:val="Heading3"/>
      </w:pPr>
      <w:bookmarkStart w:id="34" w:name="_Toc413395585"/>
      <w:r>
        <w:t xml:space="preserve">The </w:t>
      </w:r>
      <w:r w:rsidR="0060640E">
        <w:t>Brattle Report</w:t>
      </w:r>
      <w:r w:rsidR="0067121A">
        <w:t xml:space="preserve"> results.</w:t>
      </w:r>
      <w:bookmarkEnd w:id="34"/>
    </w:p>
    <w:p w:rsidR="00836E11" w:rsidRDefault="00836E11" w:rsidP="0067121A"/>
    <w:p w:rsidR="00A30A76" w:rsidRDefault="00DA610D" w:rsidP="002D467E">
      <w:pPr>
        <w:pStyle w:val="ParNumber"/>
        <w:ind w:left="0" w:hanging="720"/>
      </w:pPr>
      <w:r>
        <w:tab/>
      </w:r>
      <w:r w:rsidR="0067121A">
        <w:t>The record in this case contains extensive evidence regarding the impact of decoupling on cost of capital, contained in studies performed by the Brattle Group</w:t>
      </w:r>
      <w:r w:rsidR="0060640E">
        <w:t>.</w:t>
      </w:r>
      <w:r w:rsidR="008D7772">
        <w:rPr>
          <w:rStyle w:val="FootnoteReference"/>
        </w:rPr>
        <w:footnoteReference w:id="96"/>
      </w:r>
      <w:r w:rsidR="0060640E">
        <w:t xml:space="preserve">  </w:t>
      </w:r>
      <w:r w:rsidR="00184FB3">
        <w:t>Public Counsel walked through the studies and their results with</w:t>
      </w:r>
      <w:r w:rsidR="00FD52F1">
        <w:t xml:space="preserve"> PSE witness,</w:t>
      </w:r>
      <w:r w:rsidR="00184FB3">
        <w:t xml:space="preserve"> Dr. </w:t>
      </w:r>
      <w:r w:rsidR="00FD52F1">
        <w:t xml:space="preserve">Michael J. </w:t>
      </w:r>
      <w:r w:rsidR="00184FB3">
        <w:t>Vilbert at the hearing</w:t>
      </w:r>
      <w:r w:rsidR="00F50B2D">
        <w:t>, using Exhibit No. MJV-39CX as a road map</w:t>
      </w:r>
      <w:r w:rsidR="00184FB3">
        <w:t>.</w:t>
      </w:r>
      <w:r w:rsidR="00FB297F" w:rsidRPr="00FB297F">
        <w:rPr>
          <w:rStyle w:val="FootnoteReference"/>
        </w:rPr>
        <w:t xml:space="preserve"> </w:t>
      </w:r>
      <w:r w:rsidR="00FB297F">
        <w:rPr>
          <w:rStyle w:val="FootnoteReference"/>
        </w:rPr>
        <w:footnoteReference w:id="97"/>
      </w:r>
      <w:r w:rsidR="00F50B2D">
        <w:t xml:space="preserve">  A copy of the </w:t>
      </w:r>
      <w:r w:rsidR="00F23498">
        <w:t>exhibit i</w:t>
      </w:r>
      <w:r w:rsidR="000E11C1">
        <w:t xml:space="preserve">s attached as </w:t>
      </w:r>
      <w:r w:rsidR="000E11C1" w:rsidRPr="00F23498">
        <w:t>Appendix B</w:t>
      </w:r>
      <w:r w:rsidR="00F50B2D">
        <w:t>.  For the electric industry</w:t>
      </w:r>
      <w:r w:rsidR="008B6A50">
        <w:t xml:space="preserve">, the primary study is </w:t>
      </w:r>
      <w:r w:rsidR="00F50B2D" w:rsidRPr="008B6A50">
        <w:rPr>
          <w:i/>
        </w:rPr>
        <w:t xml:space="preserve">The Impact of Revenue Decoupling on </w:t>
      </w:r>
      <w:r w:rsidR="008B6A50" w:rsidRPr="008B6A50">
        <w:rPr>
          <w:i/>
        </w:rPr>
        <w:t xml:space="preserve">The </w:t>
      </w:r>
      <w:r w:rsidR="00F50B2D" w:rsidRPr="008B6A50">
        <w:rPr>
          <w:i/>
        </w:rPr>
        <w:t xml:space="preserve">Cost of Capital </w:t>
      </w:r>
      <w:r w:rsidR="008B6A50" w:rsidRPr="008B6A50">
        <w:rPr>
          <w:i/>
        </w:rPr>
        <w:t>For Electric Utilities</w:t>
      </w:r>
      <w:r w:rsidR="008B6A50">
        <w:rPr>
          <w:i/>
        </w:rPr>
        <w:t>: An Empirical Investigation</w:t>
      </w:r>
      <w:r w:rsidR="008B6A50">
        <w:t>, dated March 20, 2014 (March 2014 Brattle Report).</w:t>
      </w:r>
      <w:r w:rsidR="008B6A50">
        <w:rPr>
          <w:rStyle w:val="FootnoteReference"/>
        </w:rPr>
        <w:footnoteReference w:id="98"/>
      </w:r>
      <w:r w:rsidR="008B6A50">
        <w:t xml:space="preserve">  In addition, Dr. Vilbert </w:t>
      </w:r>
      <w:r w:rsidR="00E60D21">
        <w:t xml:space="preserve">provided </w:t>
      </w:r>
      <w:r w:rsidR="008B6A50">
        <w:t>two “updates” to the primary study</w:t>
      </w:r>
      <w:r w:rsidR="00E60D21">
        <w:t xml:space="preserve"> in his testimony</w:t>
      </w:r>
      <w:r w:rsidR="008B6A50">
        <w:t>, referred to as Electric Study I and Electric Study II, which changed certain parameters</w:t>
      </w:r>
      <w:r w:rsidR="00E60D21">
        <w:t xml:space="preserve"> of the March 2014 Brattle Report</w:t>
      </w:r>
      <w:r w:rsidR="008B6A50">
        <w:t xml:space="preserve">.  For the gas industry, the </w:t>
      </w:r>
      <w:r w:rsidR="00E60D21">
        <w:t>record consists of the primary study, Dr. Vilbert’s gas holding company decoupli</w:t>
      </w:r>
      <w:r w:rsidR="00F23498">
        <w:t>ng study in his Exhibit No. MJV</w:t>
      </w:r>
      <w:r w:rsidR="00F23498">
        <w:noBreakHyphen/>
      </w:r>
      <w:r w:rsidR="00E60D21">
        <w:t xml:space="preserve">10, and </w:t>
      </w:r>
      <w:r w:rsidR="00B51275">
        <w:t xml:space="preserve">a </w:t>
      </w:r>
      <w:r w:rsidR="00E60D21">
        <w:t xml:space="preserve">recalculation of the primary </w:t>
      </w:r>
      <w:r w:rsidR="00B51275">
        <w:t xml:space="preserve">gas </w:t>
      </w:r>
      <w:r w:rsidR="00E60D21">
        <w:t xml:space="preserve">study </w:t>
      </w:r>
      <w:r w:rsidR="00554EC9">
        <w:t xml:space="preserve">in response to </w:t>
      </w:r>
      <w:r w:rsidR="00E60D21">
        <w:t>Public Counsel</w:t>
      </w:r>
      <w:r w:rsidR="00554EC9">
        <w:t xml:space="preserve"> discovery</w:t>
      </w:r>
      <w:r w:rsidR="00E60D21">
        <w:t>.</w:t>
      </w:r>
      <w:r w:rsidR="002131A8">
        <w:rPr>
          <w:rStyle w:val="FootnoteReference"/>
        </w:rPr>
        <w:footnoteReference w:id="99"/>
      </w:r>
      <w:r w:rsidR="00E60D21">
        <w:t xml:space="preserve">  </w:t>
      </w:r>
    </w:p>
    <w:p w:rsidR="0086236F" w:rsidRPr="0086236F" w:rsidRDefault="008B6A50" w:rsidP="00DA610D">
      <w:pPr>
        <w:pStyle w:val="Heading4"/>
        <w:spacing w:before="0"/>
      </w:pPr>
      <w:bookmarkStart w:id="35" w:name="_Toc413395586"/>
      <w:r>
        <w:t xml:space="preserve">The </w:t>
      </w:r>
      <w:r w:rsidR="0086236F">
        <w:t xml:space="preserve">March 2014 Brattle </w:t>
      </w:r>
      <w:r w:rsidR="00650412">
        <w:t>Report</w:t>
      </w:r>
      <w:r w:rsidR="00FD52F1">
        <w:t>.</w:t>
      </w:r>
      <w:bookmarkEnd w:id="35"/>
    </w:p>
    <w:p w:rsidR="00A30A76" w:rsidRDefault="00A30A76" w:rsidP="00A30A76">
      <w:pPr>
        <w:ind w:left="720"/>
      </w:pPr>
    </w:p>
    <w:p w:rsidR="00DA610D" w:rsidRDefault="00650412" w:rsidP="00E72940">
      <w:pPr>
        <w:pStyle w:val="ParNumber"/>
        <w:ind w:left="0" w:hanging="720"/>
      </w:pPr>
      <w:r>
        <w:tab/>
        <w:t xml:space="preserve">The </w:t>
      </w:r>
      <w:r w:rsidR="003449EE">
        <w:t xml:space="preserve">March </w:t>
      </w:r>
      <w:r>
        <w:t>2014 Brattle Report</w:t>
      </w:r>
      <w:r w:rsidR="003449EE">
        <w:t xml:space="preserve">, </w:t>
      </w:r>
      <w:r w:rsidR="00C64FD8">
        <w:t>for which Dr. </w:t>
      </w:r>
      <w:r w:rsidR="006A6B03">
        <w:t>Vilbert was the lead author,</w:t>
      </w:r>
      <w:r>
        <w:t xml:space="preserve"> examined </w:t>
      </w:r>
      <w:r w:rsidR="00E95719">
        <w:t xml:space="preserve">the change in the overall cost of capital for </w:t>
      </w:r>
      <w:r w:rsidR="002131A8" w:rsidRPr="00D4418F">
        <w:t>12</w:t>
      </w:r>
      <w:r w:rsidR="002131A8" w:rsidRPr="00D4418F">
        <w:rPr>
          <w:b/>
        </w:rPr>
        <w:t xml:space="preserve"> </w:t>
      </w:r>
      <w:r w:rsidR="00E95719">
        <w:t xml:space="preserve">electric utility holding companies for the period 2005 to 2012.  The type of decoupling studied was similar to that approved for PSE, that is, full </w:t>
      </w:r>
      <w:r w:rsidR="00E95719">
        <w:lastRenderedPageBreak/>
        <w:t xml:space="preserve">revenue decoupling with a true-up mechanism.  The report specifically excluded “straight fixed variable” </w:t>
      </w:r>
      <w:r w:rsidR="00F337FF">
        <w:t xml:space="preserve">(SFV) </w:t>
      </w:r>
      <w:r w:rsidR="00E95719">
        <w:t>rate design, and lost revenue adjustment mechanisms.</w:t>
      </w:r>
      <w:r w:rsidR="00E95719">
        <w:rPr>
          <w:rStyle w:val="FootnoteReference"/>
        </w:rPr>
        <w:footnoteReference w:id="100"/>
      </w:r>
    </w:p>
    <w:p w:rsidR="00DA610D" w:rsidRDefault="00DA610D" w:rsidP="00E72940">
      <w:pPr>
        <w:pStyle w:val="ParNumber"/>
        <w:ind w:left="0" w:hanging="720"/>
      </w:pPr>
      <w:r>
        <w:tab/>
      </w:r>
      <w:r w:rsidR="00E95719">
        <w:t xml:space="preserve">The </w:t>
      </w:r>
      <w:r w:rsidR="003449EE">
        <w:t xml:space="preserve">March 2014 Brattle Report </w:t>
      </w:r>
      <w:r w:rsidR="00E95719">
        <w:t>looked only at companies that did not have decoupling at the outset of the study period</w:t>
      </w:r>
      <w:r w:rsidR="0060640E">
        <w:t>, but had adopted some decoupling by the end.</w:t>
      </w:r>
      <w:r w:rsidR="00E95719">
        <w:t xml:space="preserve">  </w:t>
      </w:r>
      <w:r w:rsidR="0060640E">
        <w:t xml:space="preserve">The </w:t>
      </w:r>
      <w:r w:rsidR="003449EE">
        <w:t xml:space="preserve">report </w:t>
      </w:r>
      <w:r w:rsidR="0060640E">
        <w:t xml:space="preserve">examined cost of capital impact at four points in time:  the time of the regulatory order, as well as </w:t>
      </w:r>
      <w:r w:rsidR="00D1501B">
        <w:t xml:space="preserve">each of </w:t>
      </w:r>
      <w:r w:rsidR="0060640E">
        <w:t>the three preceding quarters.</w:t>
      </w:r>
      <w:r w:rsidR="00BB6D65">
        <w:t xml:space="preserve">  Preceding quarters were studied to measure the impact of market knowledge of the pending adoption of decoupling.</w:t>
      </w:r>
      <w:r w:rsidR="0060640E">
        <w:rPr>
          <w:rStyle w:val="FootnoteReference"/>
        </w:rPr>
        <w:footnoteReference w:id="101"/>
      </w:r>
      <w:r w:rsidR="0060640E">
        <w:t xml:space="preserve">  </w:t>
      </w:r>
      <w:r w:rsidR="003F08F5">
        <w:t xml:space="preserve">The March 2014 Brattle Report </w:t>
      </w:r>
      <w:r w:rsidR="00BB6D65">
        <w:t xml:space="preserve">is </w:t>
      </w:r>
      <w:r w:rsidR="003F08F5">
        <w:t xml:space="preserve">the most detailed and </w:t>
      </w:r>
      <w:r w:rsidR="00BB6D65">
        <w:t xml:space="preserve">robust of the studies </w:t>
      </w:r>
      <w:r w:rsidR="003F08F5">
        <w:t>in the record</w:t>
      </w:r>
      <w:r w:rsidR="00BB6D65">
        <w:t>, and therefore the most reliable</w:t>
      </w:r>
      <w:r w:rsidR="003F08F5">
        <w:t xml:space="preserve">.  It </w:t>
      </w:r>
      <w:r w:rsidR="0060640E">
        <w:t xml:space="preserve">remains the only study </w:t>
      </w:r>
      <w:r w:rsidR="003F08F5">
        <w:t xml:space="preserve">published and </w:t>
      </w:r>
      <w:r w:rsidR="0060640E">
        <w:t>maintaine</w:t>
      </w:r>
      <w:r w:rsidR="00BC08AA">
        <w:t xml:space="preserve">d by </w:t>
      </w:r>
      <w:r w:rsidR="00BB6D65">
        <w:t xml:space="preserve">the </w:t>
      </w:r>
      <w:r w:rsidR="00BC08AA">
        <w:t xml:space="preserve">Brattle </w:t>
      </w:r>
      <w:r w:rsidR="00BB6D65">
        <w:t xml:space="preserve">Group </w:t>
      </w:r>
      <w:r w:rsidR="00BC08AA">
        <w:t>on its website.</w:t>
      </w:r>
      <w:r w:rsidR="00BB6D65">
        <w:rPr>
          <w:rStyle w:val="FootnoteReference"/>
        </w:rPr>
        <w:footnoteReference w:id="102"/>
      </w:r>
      <w:r w:rsidR="003F08F5">
        <w:t xml:space="preserve">    </w:t>
      </w:r>
    </w:p>
    <w:p w:rsidR="00836E11" w:rsidRDefault="00DA610D" w:rsidP="00E72940">
      <w:pPr>
        <w:pStyle w:val="ParNumber"/>
        <w:ind w:left="0" w:hanging="720"/>
      </w:pPr>
      <w:r>
        <w:tab/>
      </w:r>
      <w:r w:rsidR="00BC08AA">
        <w:t xml:space="preserve">The results of the </w:t>
      </w:r>
      <w:r w:rsidR="00BB6D65">
        <w:t xml:space="preserve">March 2014 </w:t>
      </w:r>
      <w:r w:rsidR="00BC08AA">
        <w:t xml:space="preserve">Brattle Report study indicate that decoupling lowers utilities’ overall cost of capital by between 41 and 49 basis points, which translates to a reduction </w:t>
      </w:r>
      <w:r w:rsidR="00A06E77">
        <w:t xml:space="preserve">in </w:t>
      </w:r>
      <w:r w:rsidR="00BC08AA">
        <w:t>ROE of 68 to 82 basis points.</w:t>
      </w:r>
      <w:r w:rsidR="00A06E77">
        <w:rPr>
          <w:rStyle w:val="FootnoteReference"/>
        </w:rPr>
        <w:footnoteReference w:id="103"/>
      </w:r>
      <w:r w:rsidR="00BC08AA">
        <w:t xml:space="preserve">  </w:t>
      </w:r>
      <w:r w:rsidR="00A06E77">
        <w:t xml:space="preserve">The range is derived from the four different measurement points just mentioned, with the highest impact </w:t>
      </w:r>
      <w:r w:rsidR="00AF65FD">
        <w:t xml:space="preserve">of 49 (48.7) basis points </w:t>
      </w:r>
      <w:r w:rsidR="00A06E77">
        <w:t xml:space="preserve">reported two </w:t>
      </w:r>
      <w:r w:rsidR="001E3987">
        <w:t>quarters prior to the order</w:t>
      </w:r>
      <w:r w:rsidR="00AF65FD">
        <w:t xml:space="preserve">, at </w:t>
      </w:r>
      <w:r w:rsidR="00D1382A">
        <w:t xml:space="preserve">a </w:t>
      </w:r>
      <w:r w:rsidR="00EB0561">
        <w:t>confidence level of 92</w:t>
      </w:r>
      <w:r w:rsidR="00A133C1">
        <w:t>%</w:t>
      </w:r>
      <w:r w:rsidR="001E3987">
        <w:t xml:space="preserve">.  </w:t>
      </w:r>
      <w:r w:rsidR="00AF65FD">
        <w:t>T</w:t>
      </w:r>
      <w:r w:rsidR="00A06E77">
        <w:t>he confidence level for the reduction</w:t>
      </w:r>
      <w:r w:rsidR="00AF65FD">
        <w:t>s</w:t>
      </w:r>
      <w:r w:rsidR="00A06E77">
        <w:t xml:space="preserve"> </w:t>
      </w:r>
      <w:r w:rsidR="00AF65FD">
        <w:t xml:space="preserve">in overall cost of capital </w:t>
      </w:r>
      <w:r w:rsidR="00AD113C">
        <w:t xml:space="preserve">shown by the study </w:t>
      </w:r>
      <w:r w:rsidR="00A06E77">
        <w:t xml:space="preserve">ranges from </w:t>
      </w:r>
      <w:r w:rsidR="00EB0561">
        <w:t>86</w:t>
      </w:r>
      <w:r w:rsidR="00A133C1">
        <w:t>%</w:t>
      </w:r>
      <w:r w:rsidR="00836E11">
        <w:t xml:space="preserve"> </w:t>
      </w:r>
      <w:r w:rsidR="00EB0561">
        <w:t>to 92</w:t>
      </w:r>
      <w:r w:rsidR="00A133C1">
        <w:t>%</w:t>
      </w:r>
      <w:r w:rsidR="00836E11">
        <w:t>.</w:t>
      </w:r>
      <w:r w:rsidR="00521BBF">
        <w:rPr>
          <w:rStyle w:val="FootnoteReference"/>
        </w:rPr>
        <w:footnoteReference w:id="104"/>
      </w:r>
      <w:r w:rsidR="00836E11">
        <w:t xml:space="preserve"> </w:t>
      </w:r>
    </w:p>
    <w:p w:rsidR="00836E11" w:rsidRDefault="00B53DA5" w:rsidP="00DA610D">
      <w:pPr>
        <w:pStyle w:val="Heading4"/>
        <w:spacing w:before="0"/>
      </w:pPr>
      <w:bookmarkStart w:id="36" w:name="_Toc413395587"/>
      <w:r>
        <w:t xml:space="preserve">Dr. Vilbert’s </w:t>
      </w:r>
      <w:r w:rsidR="00A63549">
        <w:t xml:space="preserve">Updated </w:t>
      </w:r>
      <w:r w:rsidR="00836E11">
        <w:t>Electric Studies</w:t>
      </w:r>
      <w:r>
        <w:t xml:space="preserve"> I and II</w:t>
      </w:r>
      <w:r w:rsidR="00DA610D">
        <w:t>.</w:t>
      </w:r>
      <w:bookmarkEnd w:id="36"/>
      <w:r w:rsidR="003D4F8F">
        <w:t xml:space="preserve"> </w:t>
      </w:r>
    </w:p>
    <w:p w:rsidR="003D4F8F" w:rsidRPr="003D4F8F" w:rsidRDefault="003D4F8F" w:rsidP="003D4F8F"/>
    <w:p w:rsidR="00E72940" w:rsidRDefault="00DA610D" w:rsidP="00E72940">
      <w:pPr>
        <w:pStyle w:val="ParNumber"/>
        <w:ind w:left="0" w:hanging="720"/>
      </w:pPr>
      <w:r>
        <w:tab/>
      </w:r>
      <w:r w:rsidR="00A63549">
        <w:t xml:space="preserve">Dr. Vilbert offered two additional studies </w:t>
      </w:r>
      <w:r w:rsidR="003D2B35">
        <w:t>in testimony</w:t>
      </w:r>
      <w:r w:rsidR="00A63549">
        <w:t>, described as updates to the original</w:t>
      </w:r>
      <w:r w:rsidR="00CC548E">
        <w:t xml:space="preserve"> March 2014 Brattle Report.  </w:t>
      </w:r>
      <w:r w:rsidR="00A63549">
        <w:t xml:space="preserve">In the first update, </w:t>
      </w:r>
      <w:r w:rsidR="00CC548E">
        <w:t>“Electric Study I</w:t>
      </w:r>
      <w:r w:rsidR="003D2B35">
        <w:t>,</w:t>
      </w:r>
      <w:r w:rsidR="00CC548E">
        <w:t>”</w:t>
      </w:r>
      <w:r w:rsidR="00A63549">
        <w:t xml:space="preserve"> the same time period was </w:t>
      </w:r>
      <w:r w:rsidR="00A63549">
        <w:lastRenderedPageBreak/>
        <w:t>studied, but</w:t>
      </w:r>
      <w:r w:rsidR="0081511B">
        <w:t xml:space="preserve"> Dr. Vilbert made two changes in the analysis:</w:t>
      </w:r>
      <w:r w:rsidR="00A63549">
        <w:t xml:space="preserve"> </w:t>
      </w:r>
      <w:r w:rsidR="00CC548E">
        <w:t xml:space="preserve"> </w:t>
      </w:r>
      <w:r w:rsidR="00416F5E">
        <w:t xml:space="preserve">he </w:t>
      </w:r>
      <w:r w:rsidR="00A63549">
        <w:t xml:space="preserve">added companies with straight fixed variable </w:t>
      </w:r>
      <w:r w:rsidR="00416F5E">
        <w:t xml:space="preserve">(SFV) </w:t>
      </w:r>
      <w:r w:rsidR="00A63549">
        <w:t xml:space="preserve">rate design, and </w:t>
      </w:r>
      <w:r w:rsidR="00416F5E">
        <w:t xml:space="preserve">he </w:t>
      </w:r>
      <w:r w:rsidR="00A63549">
        <w:t>used a multi</w:t>
      </w:r>
      <w:r w:rsidR="00CC548E">
        <w:t>-</w:t>
      </w:r>
      <w:r w:rsidR="00A63549">
        <w:t>stage DCF analysis.  In the second update</w:t>
      </w:r>
      <w:r w:rsidR="00416F5E">
        <w:t xml:space="preserve">, </w:t>
      </w:r>
      <w:r w:rsidR="00A63549">
        <w:t xml:space="preserve"> “Electric Study II</w:t>
      </w:r>
      <w:r w:rsidR="00B84DDC">
        <w:t>,”</w:t>
      </w:r>
      <w:r w:rsidR="00A63549">
        <w:t xml:space="preserve"> </w:t>
      </w:r>
      <w:r w:rsidR="00416F5E">
        <w:t xml:space="preserve">he </w:t>
      </w:r>
      <w:r w:rsidR="00A63549">
        <w:t xml:space="preserve">extended </w:t>
      </w:r>
      <w:r w:rsidR="00416F5E">
        <w:t xml:space="preserve">the study from 2012 to </w:t>
      </w:r>
      <w:r w:rsidR="00A63549">
        <w:t>2014, and again included SFV companies and employed multi</w:t>
      </w:r>
      <w:r w:rsidR="00CC548E">
        <w:t>-</w:t>
      </w:r>
      <w:r w:rsidR="00A63549">
        <w:t>stage DCF.</w:t>
      </w:r>
      <w:r w:rsidR="00B6675D">
        <w:rPr>
          <w:rStyle w:val="FootnoteReference"/>
        </w:rPr>
        <w:footnoteReference w:id="105"/>
      </w:r>
      <w:r w:rsidR="00A63549">
        <w:t xml:space="preserve">  </w:t>
      </w:r>
    </w:p>
    <w:p w:rsidR="00E72940" w:rsidRDefault="00E72940" w:rsidP="00E72940">
      <w:pPr>
        <w:pStyle w:val="ParNumber"/>
        <w:ind w:left="0" w:hanging="720"/>
      </w:pPr>
      <w:r>
        <w:tab/>
      </w:r>
      <w:r w:rsidR="00F24A0D">
        <w:t xml:space="preserve">These updates </w:t>
      </w:r>
      <w:r w:rsidR="00416F5E">
        <w:t xml:space="preserve">add elements that weaken their reliability.  Companies with </w:t>
      </w:r>
      <w:r w:rsidR="00F24A0D">
        <w:t xml:space="preserve">SFV </w:t>
      </w:r>
      <w:r w:rsidR="00416F5E">
        <w:t xml:space="preserve">were </w:t>
      </w:r>
      <w:r w:rsidR="00F24A0D">
        <w:t xml:space="preserve">previously excluded </w:t>
      </w:r>
      <w:r w:rsidR="00416F5E">
        <w:t xml:space="preserve">because SFV is </w:t>
      </w:r>
      <w:r w:rsidR="00F24A0D">
        <w:t>not sufficiently similar to PSE’s full decoupling</w:t>
      </w:r>
      <w:r w:rsidR="00416F5E">
        <w:t xml:space="preserve"> mechanism</w:t>
      </w:r>
      <w:r w:rsidR="00F24A0D">
        <w:t>.  Multi</w:t>
      </w:r>
      <w:r w:rsidR="00416F5E">
        <w:t>-</w:t>
      </w:r>
      <w:r w:rsidR="00F24A0D">
        <w:t xml:space="preserve">stage DCF relies on long-term GDP growth projections which dampen quarter to quarter fluctuations. </w:t>
      </w:r>
      <w:r w:rsidR="00CC548E">
        <w:t xml:space="preserve"> </w:t>
      </w:r>
      <w:r w:rsidR="00752E02">
        <w:t xml:space="preserve">As Mr. Hill </w:t>
      </w:r>
      <w:r w:rsidR="00416F5E">
        <w:t xml:space="preserve">points out </w:t>
      </w:r>
      <w:r w:rsidR="00752E02">
        <w:t>in his testimony</w:t>
      </w:r>
      <w:r w:rsidR="00416F5E">
        <w:t>,</w:t>
      </w:r>
      <w:r w:rsidR="00752E02">
        <w:t xml:space="preserve"> if the point of the study is to determine the rate of change in the cost of capital, using a multi-stage DCF with a GDP growth rate will dampen the changes in the DCF results, making the </w:t>
      </w:r>
      <w:r w:rsidR="0073113F">
        <w:t>mod</w:t>
      </w:r>
      <w:r w:rsidR="00CC548E">
        <w:t>el results less responsive to</w:t>
      </w:r>
      <w:r w:rsidR="0073113F">
        <w:t xml:space="preserve"> introduction of decoupling.</w:t>
      </w:r>
      <w:r w:rsidR="00F24A0D">
        <w:t xml:space="preserve"> </w:t>
      </w:r>
      <w:r w:rsidR="00CC548E">
        <w:t xml:space="preserve"> </w:t>
      </w:r>
      <w:r w:rsidR="00416F5E">
        <w:t xml:space="preserve">The multi-stage DCF </w:t>
      </w:r>
      <w:r w:rsidR="00F24A0D">
        <w:t>is therefore not a good tool for a study attempting to identify those variations.</w:t>
      </w:r>
      <w:r w:rsidR="00F24A0D">
        <w:rPr>
          <w:rStyle w:val="FootnoteReference"/>
        </w:rPr>
        <w:footnoteReference w:id="106"/>
      </w:r>
      <w:r w:rsidR="00243658">
        <w:t xml:space="preserve"> </w:t>
      </w:r>
      <w:r w:rsidR="00D807CD">
        <w:t xml:space="preserve"> </w:t>
      </w:r>
      <w:r w:rsidR="00243658">
        <w:t>The results are interesting</w:t>
      </w:r>
      <w:r w:rsidR="00E72525">
        <w:t xml:space="preserve"> in another respect, </w:t>
      </w:r>
      <w:r w:rsidR="00243658">
        <w:t xml:space="preserve"> in </w:t>
      </w:r>
      <w:r w:rsidR="00E72525">
        <w:t xml:space="preserve">view </w:t>
      </w:r>
      <w:r w:rsidR="00243658">
        <w:t xml:space="preserve">of PSE’s overall position </w:t>
      </w:r>
      <w:r w:rsidR="00C075B0">
        <w:t xml:space="preserve">in this case </w:t>
      </w:r>
      <w:r w:rsidR="00D807CD">
        <w:t>regarding equity costs.</w:t>
      </w:r>
      <w:r w:rsidR="00243658">
        <w:t xml:space="preserve"> </w:t>
      </w:r>
      <w:r w:rsidR="00E72525">
        <w:t xml:space="preserve"> </w:t>
      </w:r>
      <w:r w:rsidR="00C075B0">
        <w:t>For Electric Study II, t</w:t>
      </w:r>
      <w:r w:rsidR="00243658">
        <w:t>he average ROE results were 8.99 % and 9.19 %</w:t>
      </w:r>
      <w:r w:rsidR="00C075B0">
        <w:t>, for the time perio</w:t>
      </w:r>
      <w:r w:rsidR="00D807CD">
        <w:t xml:space="preserve">d that is the target period in </w:t>
      </w:r>
      <w:r w:rsidR="00C075B0">
        <w:t>this case</w:t>
      </w:r>
      <w:r w:rsidR="00243658">
        <w:t>.</w:t>
      </w:r>
      <w:r w:rsidR="00243658">
        <w:rPr>
          <w:rStyle w:val="FootnoteReference"/>
        </w:rPr>
        <w:footnoteReference w:id="107"/>
      </w:r>
    </w:p>
    <w:p w:rsidR="00E72940" w:rsidRDefault="00E72940" w:rsidP="007F3D41">
      <w:pPr>
        <w:pStyle w:val="ParNumber"/>
        <w:tabs>
          <w:tab w:val="clear" w:pos="630"/>
        </w:tabs>
        <w:ind w:left="0" w:hanging="720"/>
      </w:pPr>
      <w:r>
        <w:tab/>
      </w:r>
      <w:r w:rsidR="00AD113C">
        <w:t xml:space="preserve">Also, it is important to note </w:t>
      </w:r>
      <w:r w:rsidR="00C91A55">
        <w:t>that in the Electric Studies I and II updates, Dr. Vilbert elected to analyze the cost of capital impact only</w:t>
      </w:r>
      <w:r w:rsidR="00EB0561">
        <w:t xml:space="preserve"> on the decoupling order date, </w:t>
      </w:r>
      <w:r w:rsidR="00C91A55">
        <w:t xml:space="preserve">not using prior quarter data as was done in the March 2014 Brattle Report.  The </w:t>
      </w:r>
      <w:r w:rsidR="00AD113C">
        <w:t xml:space="preserve">March 2014 </w:t>
      </w:r>
      <w:r w:rsidR="00C91A55">
        <w:t xml:space="preserve">Brattle Report showed </w:t>
      </w:r>
      <w:r w:rsidR="00AD113C">
        <w:t xml:space="preserve">that the maximum impact on cost of capital occurred two quarters prior to the </w:t>
      </w:r>
      <w:r w:rsidR="00C91A55">
        <w:t xml:space="preserve">regulator’s </w:t>
      </w:r>
      <w:r w:rsidR="00AD113C">
        <w:lastRenderedPageBreak/>
        <w:t xml:space="preserve">decoupling order, and the </w:t>
      </w:r>
      <w:r w:rsidR="00C91A55">
        <w:t xml:space="preserve">lowest </w:t>
      </w:r>
      <w:r w:rsidR="00AD113C">
        <w:t xml:space="preserve">result was obtained on the </w:t>
      </w:r>
      <w:r w:rsidR="00AD113C" w:rsidRPr="00B84DDC">
        <w:t>date</w:t>
      </w:r>
      <w:r w:rsidR="00C91A55" w:rsidRPr="00B84DDC">
        <w:t xml:space="preserve"> </w:t>
      </w:r>
      <w:r w:rsidR="00EB0561" w:rsidRPr="00B84DDC">
        <w:t>of the regulator</w:t>
      </w:r>
      <w:r w:rsidR="00D4418F" w:rsidRPr="00B84DDC">
        <w:t>y order</w:t>
      </w:r>
      <w:r w:rsidR="00C31FAC" w:rsidRPr="00B84DDC">
        <w:t xml:space="preserve"> </w:t>
      </w:r>
      <w:r w:rsidR="00C91A55" w:rsidRPr="00B84DDC">
        <w:t>itself</w:t>
      </w:r>
      <w:r w:rsidR="00933DCB">
        <w:t>.  Dr. </w:t>
      </w:r>
      <w:r w:rsidR="00C31FAC">
        <w:t>Vilbert’s update</w:t>
      </w:r>
      <w:r w:rsidR="00D4418F">
        <w:t xml:space="preserve"> </w:t>
      </w:r>
      <w:r w:rsidR="00C31FAC">
        <w:t>studies only examined the latter date</w:t>
      </w:r>
      <w:r w:rsidR="00C91A55">
        <w:t>.</w:t>
      </w:r>
      <w:r w:rsidR="00D67BB1">
        <w:rPr>
          <w:rStyle w:val="FootnoteReference"/>
        </w:rPr>
        <w:footnoteReference w:id="108"/>
      </w:r>
    </w:p>
    <w:p w:rsidR="00F24A0D" w:rsidRDefault="00E72940" w:rsidP="00E72940">
      <w:pPr>
        <w:pStyle w:val="ParNumber"/>
        <w:ind w:left="0" w:hanging="720"/>
      </w:pPr>
      <w:r>
        <w:tab/>
      </w:r>
      <w:r w:rsidR="00F24A0D">
        <w:t>Dr. Vilbert’s updates</w:t>
      </w:r>
      <w:r w:rsidR="0073113F">
        <w:t xml:space="preserve"> </w:t>
      </w:r>
      <w:r w:rsidR="00AD113C">
        <w:t xml:space="preserve">and model parameter changes </w:t>
      </w:r>
      <w:r w:rsidR="00F24A0D">
        <w:t>have</w:t>
      </w:r>
      <w:r w:rsidR="00AD113C">
        <w:t xml:space="preserve"> </w:t>
      </w:r>
      <w:r w:rsidR="00F24A0D">
        <w:t>the effect of reducing the cost of capital impact results of decoupling</w:t>
      </w:r>
      <w:r w:rsidR="00D67BB1">
        <w:t xml:space="preserve">, and of reducing the </w:t>
      </w:r>
      <w:r w:rsidR="00D67BB1" w:rsidRPr="00E72940">
        <w:rPr>
          <w:i/>
        </w:rPr>
        <w:t>p</w:t>
      </w:r>
      <w:r w:rsidR="00BD41DF">
        <w:t>-values,</w:t>
      </w:r>
      <w:r w:rsidR="00D67BB1">
        <w:t xml:space="preserve"> </w:t>
      </w:r>
      <w:r w:rsidR="00AE6B7C" w:rsidRPr="00D67BB1">
        <w:t>making</w:t>
      </w:r>
      <w:r w:rsidR="00AE6B7C">
        <w:t xml:space="preserve"> the results </w:t>
      </w:r>
      <w:r w:rsidR="00D67BB1">
        <w:t xml:space="preserve">appear </w:t>
      </w:r>
      <w:r w:rsidR="00AE6B7C">
        <w:t>somewhat less statistically reliable</w:t>
      </w:r>
      <w:r w:rsidR="00F24A0D">
        <w:t xml:space="preserve">.  </w:t>
      </w:r>
      <w:r w:rsidR="00CC548E">
        <w:t>The results of both of Dr. </w:t>
      </w:r>
      <w:r w:rsidR="00CB4834">
        <w:t xml:space="preserve">Vilbert’s new electric studies are </w:t>
      </w:r>
      <w:r w:rsidR="00AD113C">
        <w:t xml:space="preserve">almost </w:t>
      </w:r>
      <w:r w:rsidR="0044540A">
        <w:t>identical</w:t>
      </w:r>
      <w:r w:rsidR="00CB4834">
        <w:t>, indicating the impact on the results caused by the introduction of a multi-stage DCF model in the analysis</w:t>
      </w:r>
      <w:r w:rsidR="006635E4">
        <w:t xml:space="preserve"> was similar</w:t>
      </w:r>
      <w:r w:rsidR="00CB4834">
        <w:t xml:space="preserve">. </w:t>
      </w:r>
      <w:r w:rsidR="00BD41DF">
        <w:t xml:space="preserve"> </w:t>
      </w:r>
      <w:r w:rsidR="00F24A0D">
        <w:t xml:space="preserve">However, even with </w:t>
      </w:r>
      <w:r w:rsidR="00847793">
        <w:t>Dr. Vilbert</w:t>
      </w:r>
      <w:r w:rsidR="00BD41DF">
        <w:t>’s changes</w:t>
      </w:r>
      <w:r w:rsidR="00F24A0D">
        <w:t>, the results show</w:t>
      </w:r>
      <w:r w:rsidR="00184FB3">
        <w:t xml:space="preserve"> </w:t>
      </w:r>
      <w:r w:rsidR="00F24A0D">
        <w:t xml:space="preserve">that </w:t>
      </w:r>
      <w:r w:rsidR="00184FB3">
        <w:t xml:space="preserve">the overall cost of capital is reduced by approximately 25 basis points </w:t>
      </w:r>
      <w:r w:rsidR="00BD41DF">
        <w:t>at an 83</w:t>
      </w:r>
      <w:r w:rsidR="00A133C1">
        <w:t>%</w:t>
      </w:r>
      <w:r w:rsidR="00BD41DF">
        <w:t xml:space="preserve"> confidence level.  </w:t>
      </w:r>
      <w:r w:rsidR="00184FB3">
        <w:t>This represents a</w:t>
      </w:r>
      <w:r w:rsidR="00847793">
        <w:t>pproximately a</w:t>
      </w:r>
      <w:r w:rsidR="00184FB3">
        <w:t xml:space="preserve"> 42 basis point reduction in </w:t>
      </w:r>
      <w:r w:rsidR="00DC04C8">
        <w:t>the cost of equity capital due to decoupling</w:t>
      </w:r>
      <w:r w:rsidR="00184FB3">
        <w:t>.</w:t>
      </w:r>
      <w:r w:rsidR="00184FB3">
        <w:rPr>
          <w:rStyle w:val="FootnoteReference"/>
        </w:rPr>
        <w:footnoteReference w:id="109"/>
      </w:r>
    </w:p>
    <w:p w:rsidR="00F24A0D" w:rsidRDefault="008E2D98" w:rsidP="00CC548E">
      <w:pPr>
        <w:pStyle w:val="Heading4"/>
        <w:spacing w:before="0"/>
      </w:pPr>
      <w:bookmarkStart w:id="37" w:name="_Toc413395588"/>
      <w:r>
        <w:t>Dr. Vilbert’s</w:t>
      </w:r>
      <w:r w:rsidR="00B53DA5">
        <w:t xml:space="preserve"> natural g</w:t>
      </w:r>
      <w:r w:rsidR="00E32F95">
        <w:t>as studies</w:t>
      </w:r>
      <w:r w:rsidR="002A4ECB">
        <w:t xml:space="preserve"> also show a reduction in cost of cap</w:t>
      </w:r>
      <w:r w:rsidR="00B84DDC">
        <w:t>ital, although at a lower level</w:t>
      </w:r>
      <w:r w:rsidR="00DA610D">
        <w:t>.</w:t>
      </w:r>
      <w:bookmarkEnd w:id="37"/>
    </w:p>
    <w:p w:rsidR="003D4F8F" w:rsidRPr="003D4F8F" w:rsidRDefault="003D4F8F" w:rsidP="003D4F8F"/>
    <w:p w:rsidR="00E72940" w:rsidRDefault="00DA610D" w:rsidP="00E72940">
      <w:pPr>
        <w:pStyle w:val="ParNumber"/>
        <w:ind w:left="0" w:hanging="720"/>
      </w:pPr>
      <w:r>
        <w:tab/>
      </w:r>
      <w:r w:rsidR="00E32F95">
        <w:t>The results of Dr. Vilbert’s gas study, developed for purposes of this case, showed an overall cost of</w:t>
      </w:r>
      <w:r w:rsidR="00BD41DF">
        <w:t xml:space="preserve"> capital impact of just under 9</w:t>
      </w:r>
      <w:r w:rsidR="00A133C1">
        <w:t>%</w:t>
      </w:r>
      <w:r w:rsidR="00BD41DF">
        <w:t>, with a 63</w:t>
      </w:r>
      <w:r w:rsidR="00A133C1">
        <w:t>%</w:t>
      </w:r>
      <w:r w:rsidR="00E32F95">
        <w:t xml:space="preserve"> confidence level.</w:t>
      </w:r>
      <w:r w:rsidR="00A011DE">
        <w:rPr>
          <w:rStyle w:val="FootnoteReference"/>
        </w:rPr>
        <w:footnoteReference w:id="110"/>
      </w:r>
      <w:r w:rsidR="00E32F95">
        <w:t xml:space="preserve">  This study, however, had several elements of concern.  As with the electric updates, it included companies </w:t>
      </w:r>
      <w:r w:rsidR="00D1382A">
        <w:t xml:space="preserve">with SFV </w:t>
      </w:r>
      <w:r w:rsidR="00E32F95">
        <w:t>and employed the multi</w:t>
      </w:r>
      <w:r w:rsidR="00036842">
        <w:t xml:space="preserve">-stage DCF.  </w:t>
      </w:r>
      <w:r w:rsidR="00326A3E">
        <w:t xml:space="preserve">In addition, </w:t>
      </w:r>
      <w:r w:rsidR="00142729">
        <w:t xml:space="preserve">because </w:t>
      </w:r>
      <w:r w:rsidR="00326A3E">
        <w:t xml:space="preserve">the study did not use a “before and after” requirement, </w:t>
      </w:r>
      <w:r w:rsidR="00142729">
        <w:t xml:space="preserve">it included </w:t>
      </w:r>
      <w:r w:rsidR="00326A3E">
        <w:t>some companies that already had decoupling at the outset</w:t>
      </w:r>
      <w:r w:rsidR="00DC04C8">
        <w:t xml:space="preserve"> of the study</w:t>
      </w:r>
      <w:r w:rsidR="00326A3E">
        <w:t xml:space="preserve"> </w:t>
      </w:r>
      <w:r w:rsidR="00E37ED2">
        <w:t xml:space="preserve">and </w:t>
      </w:r>
      <w:r w:rsidR="00326A3E">
        <w:t xml:space="preserve">therefore had no </w:t>
      </w:r>
      <w:r w:rsidR="00DC04C8">
        <w:t xml:space="preserve">measurable </w:t>
      </w:r>
      <w:r w:rsidR="00326A3E">
        <w:t>change</w:t>
      </w:r>
      <w:r w:rsidR="00DC04C8">
        <w:t xml:space="preserve"> in decoupling</w:t>
      </w:r>
      <w:r w:rsidR="00036842">
        <w:t xml:space="preserve">.  </w:t>
      </w:r>
      <w:r w:rsidR="00326A3E">
        <w:t xml:space="preserve">The sample group </w:t>
      </w:r>
      <w:r w:rsidR="00142729">
        <w:t xml:space="preserve">also </w:t>
      </w:r>
      <w:r w:rsidR="00326A3E">
        <w:t xml:space="preserve">included several gas holding companies with low percentages of regulated operations.  </w:t>
      </w:r>
      <w:r w:rsidR="00326A3E">
        <w:lastRenderedPageBreak/>
        <w:t xml:space="preserve">Finally, the cost of capital estimates used were estimates presented by Brattle Group experts on behalf of the utilities, rather than </w:t>
      </w:r>
      <w:r w:rsidR="00036842">
        <w:t>in</w:t>
      </w:r>
      <w:r w:rsidR="00E37ED2">
        <w:t xml:space="preserve">dependent </w:t>
      </w:r>
      <w:r w:rsidR="00326A3E">
        <w:t>information.</w:t>
      </w:r>
      <w:r w:rsidR="00E37ED2">
        <w:rPr>
          <w:rStyle w:val="FootnoteReference"/>
        </w:rPr>
        <w:footnoteReference w:id="111"/>
      </w:r>
      <w:r w:rsidR="001510EB">
        <w:t xml:space="preserve">  </w:t>
      </w:r>
    </w:p>
    <w:p w:rsidR="00E37ED2" w:rsidRPr="00E72940" w:rsidRDefault="00E72940" w:rsidP="00E72940">
      <w:pPr>
        <w:pStyle w:val="ParNumber"/>
        <w:ind w:left="0" w:hanging="720"/>
      </w:pPr>
      <w:r>
        <w:tab/>
      </w:r>
      <w:r w:rsidR="00CC3F07">
        <w:t xml:space="preserve">In response to </w:t>
      </w:r>
      <w:r w:rsidR="00A011DE">
        <w:t xml:space="preserve">a </w:t>
      </w:r>
      <w:r w:rsidR="00CC3F07">
        <w:t xml:space="preserve">Public Counsel </w:t>
      </w:r>
      <w:r w:rsidR="00A011DE">
        <w:t xml:space="preserve">discovery request, </w:t>
      </w:r>
      <w:r w:rsidR="002D6571">
        <w:t xml:space="preserve">Dr. Vilbert re-ran his gas utility study to account for the fact that two of the companies did not change their decoupling policy during the study period. </w:t>
      </w:r>
      <w:r w:rsidR="00CC3F07">
        <w:t xml:space="preserve"> </w:t>
      </w:r>
      <w:r w:rsidR="002D6571">
        <w:t xml:space="preserve">Removing those two companies caused the overall cost of capital impact to </w:t>
      </w:r>
      <w:r w:rsidR="00352DA2">
        <w:t xml:space="preserve">substantially increase to </w:t>
      </w:r>
      <w:r w:rsidR="00D87B94">
        <w:t>approximately 14 basis points</w:t>
      </w:r>
      <w:r w:rsidR="002D6571">
        <w:t>.</w:t>
      </w:r>
      <w:r w:rsidR="0057536A">
        <w:rPr>
          <w:rStyle w:val="FootnoteReference"/>
        </w:rPr>
        <w:footnoteReference w:id="112"/>
      </w:r>
      <w:r w:rsidR="00CC3F07">
        <w:t xml:space="preserve"> </w:t>
      </w:r>
    </w:p>
    <w:p w:rsidR="00650412" w:rsidRDefault="00E37ED2" w:rsidP="00DA610D">
      <w:pPr>
        <w:pStyle w:val="Heading3"/>
        <w:spacing w:before="0"/>
      </w:pPr>
      <w:bookmarkStart w:id="38" w:name="_Toc413395589"/>
      <w:r>
        <w:t xml:space="preserve">The Brattle Study results provide reliable evidence </w:t>
      </w:r>
      <w:r w:rsidR="00B53DA5">
        <w:t>that decoupling reduces cost of capital.</w:t>
      </w:r>
      <w:bookmarkEnd w:id="38"/>
    </w:p>
    <w:p w:rsidR="001510EB" w:rsidRDefault="001510EB" w:rsidP="00A30A76">
      <w:pPr>
        <w:ind w:left="720"/>
      </w:pPr>
    </w:p>
    <w:p w:rsidR="00E72940" w:rsidRDefault="00DA610D" w:rsidP="00E72940">
      <w:pPr>
        <w:pStyle w:val="ParNumber"/>
        <w:ind w:left="0" w:hanging="720"/>
      </w:pPr>
      <w:r>
        <w:tab/>
      </w:r>
      <w:r w:rsidR="00DF650A">
        <w:t>PSE and Dr. Vilbert have provided detailed empirical evidence to the Commission of cost of capital reductions cau</w:t>
      </w:r>
      <w:r w:rsidR="0042549C">
        <w:t xml:space="preserve">sed by decoupling.  </w:t>
      </w:r>
      <w:r w:rsidR="001510EB">
        <w:t xml:space="preserve">As Dr. Vilbert’s cross-examination at hearing established, none of the study results </w:t>
      </w:r>
      <w:r w:rsidR="00D66F2E">
        <w:t>or p</w:t>
      </w:r>
      <w:r w:rsidR="001039EA">
        <w:t xml:space="preserve">arameters are </w:t>
      </w:r>
      <w:r w:rsidR="00D66F2E">
        <w:t>in dispute.</w:t>
      </w:r>
      <w:r w:rsidR="00DF650A">
        <w:rPr>
          <w:rStyle w:val="FootnoteReference"/>
        </w:rPr>
        <w:footnoteReference w:id="113"/>
      </w:r>
      <w:r w:rsidR="00D66F2E">
        <w:t xml:space="preserve">  </w:t>
      </w:r>
      <w:r w:rsidR="001510EB">
        <w:t xml:space="preserve">It is only the </w:t>
      </w:r>
      <w:r w:rsidR="00DF650A">
        <w:t xml:space="preserve">significance </w:t>
      </w:r>
      <w:r w:rsidR="001510EB">
        <w:t xml:space="preserve">of the results which is at issue.  </w:t>
      </w:r>
      <w:r w:rsidR="001039EA">
        <w:t xml:space="preserve">PSE’s case </w:t>
      </w:r>
      <w:r w:rsidR="003F08F5">
        <w:t xml:space="preserve">hangs entirely upon </w:t>
      </w:r>
      <w:r w:rsidR="001510EB">
        <w:t>on acceptance of the proposition that</w:t>
      </w:r>
      <w:r w:rsidR="001039EA">
        <w:t>,</w:t>
      </w:r>
      <w:r w:rsidR="001510EB">
        <w:t xml:space="preserve"> </w:t>
      </w:r>
      <w:r w:rsidR="003F5253">
        <w:t xml:space="preserve">although the results show </w:t>
      </w:r>
      <w:r w:rsidR="007467F4">
        <w:t xml:space="preserve">substantial </w:t>
      </w:r>
      <w:r w:rsidR="003F5253">
        <w:t>reductions</w:t>
      </w:r>
      <w:r w:rsidR="007467F4">
        <w:t xml:space="preserve"> in the cost of equity</w:t>
      </w:r>
      <w:r w:rsidR="003F5253">
        <w:t xml:space="preserve"> across the board, they are </w:t>
      </w:r>
      <w:r w:rsidR="001510EB">
        <w:t xml:space="preserve">entirely without </w:t>
      </w:r>
      <w:r w:rsidR="001039EA">
        <w:t xml:space="preserve">meaning </w:t>
      </w:r>
      <w:r w:rsidR="0042549C">
        <w:t>because they do not reach a 95</w:t>
      </w:r>
      <w:r w:rsidR="00A133C1">
        <w:t>%</w:t>
      </w:r>
      <w:r w:rsidR="001510EB">
        <w:t xml:space="preserve"> level of confidence.</w:t>
      </w:r>
      <w:r w:rsidR="00D66F2E">
        <w:t xml:space="preserve">  </w:t>
      </w:r>
      <w:r w:rsidR="003F5253">
        <w:t>A</w:t>
      </w:r>
      <w:r w:rsidR="007826F4">
        <w:t xml:space="preserve">s </w:t>
      </w:r>
      <w:r w:rsidR="0034475E">
        <w:t xml:space="preserve">statistical </w:t>
      </w:r>
      <w:r w:rsidR="00FD3068">
        <w:t>expert</w:t>
      </w:r>
      <w:r w:rsidR="002F07E8">
        <w:t xml:space="preserve"> </w:t>
      </w:r>
      <w:r w:rsidR="0034475E">
        <w:t>Professor Christopher Adolph</w:t>
      </w:r>
      <w:r w:rsidR="007826F4">
        <w:t xml:space="preserve"> explains in his testimony for Public Counsel and ICNU</w:t>
      </w:r>
      <w:r w:rsidR="00232236">
        <w:t>, t</w:t>
      </w:r>
      <w:r w:rsidR="003F5253">
        <w:t xml:space="preserve">he Commission </w:t>
      </w:r>
      <w:r w:rsidR="00FD3068">
        <w:t>should</w:t>
      </w:r>
      <w:r w:rsidR="003F5253" w:rsidRPr="003F5253">
        <w:t xml:space="preserve"> </w:t>
      </w:r>
      <w:r w:rsidR="003F5253">
        <w:t>not accept this argument</w:t>
      </w:r>
      <w:r w:rsidR="00D04A9F">
        <w:t xml:space="preserve">.  The Commission </w:t>
      </w:r>
      <w:r w:rsidR="00DF650A">
        <w:t xml:space="preserve">can reasonably conclude in this case that under a preponderance of evidence standard, the study results show </w:t>
      </w:r>
      <w:r w:rsidR="00D04A9F">
        <w:t xml:space="preserve">empirical evidence of </w:t>
      </w:r>
      <w:r w:rsidR="00DF650A">
        <w:t xml:space="preserve">a </w:t>
      </w:r>
      <w:r w:rsidR="00D04A9F">
        <w:t>reductive impact of decoupling on cost of capital</w:t>
      </w:r>
      <w:r w:rsidR="003F5253">
        <w:t>.</w:t>
      </w:r>
      <w:r w:rsidR="00D04A9F">
        <w:rPr>
          <w:rStyle w:val="FootnoteReference"/>
        </w:rPr>
        <w:footnoteReference w:id="114"/>
      </w:r>
    </w:p>
    <w:p w:rsidR="00E05C90" w:rsidRDefault="00E72940" w:rsidP="00E72940">
      <w:pPr>
        <w:pStyle w:val="ParNumber"/>
        <w:ind w:left="0" w:hanging="720"/>
      </w:pPr>
      <w:r>
        <w:tab/>
      </w:r>
      <w:r w:rsidR="00D04A9F">
        <w:t>I</w:t>
      </w:r>
      <w:r w:rsidR="00E05C90">
        <w:t>n summarizing his findings regarding Dr.</w:t>
      </w:r>
      <w:r w:rsidR="00D66F2E">
        <w:t xml:space="preserve"> Vilbert’s statistical claims, </w:t>
      </w:r>
      <w:r w:rsidR="00E05C90">
        <w:t xml:space="preserve">Dr. Adolph states: </w:t>
      </w:r>
    </w:p>
    <w:p w:rsidR="00E05C90" w:rsidRDefault="00E05C90" w:rsidP="00D66F2E">
      <w:pPr>
        <w:ind w:left="720" w:right="720" w:firstLine="720"/>
        <w:jc w:val="both"/>
      </w:pPr>
      <w:r>
        <w:lastRenderedPageBreak/>
        <w:t>[T]he key findings in</w:t>
      </w:r>
      <w:r w:rsidR="00D42FF2">
        <w:t xml:space="preserve"> the Brattle Group’s research --</w:t>
      </w:r>
      <w:r>
        <w:t xml:space="preserve"> the statistical evidence at the h</w:t>
      </w:r>
      <w:r w:rsidR="00D42FF2">
        <w:t xml:space="preserve">eart of Dr. Vilbert’s testimony -- </w:t>
      </w:r>
      <w:r>
        <w:rPr>
          <w:i/>
        </w:rPr>
        <w:t>support</w:t>
      </w:r>
      <w:r>
        <w:t xml:space="preserve"> the contention that decoupling is associated with lower cost of capital in the electric and gas </w:t>
      </w:r>
      <w:r w:rsidR="008C3E7E">
        <w:t>utilities</w:t>
      </w:r>
      <w:r>
        <w:t xml:space="preserve">, with stronger and more consistent evidence regarding the electric utilities.  Most importantly, across every model considered, the most likely effect of decoupling on the cost of capital in the electric industry is a substantial reduction </w:t>
      </w:r>
      <w:r w:rsidR="0073598B">
        <w:t xml:space="preserve">[in the overall cost of capital] </w:t>
      </w:r>
      <w:r>
        <w:t>of between 25 and 49 basis points.</w:t>
      </w:r>
      <w:r>
        <w:rPr>
          <w:rStyle w:val="FootnoteReference"/>
        </w:rPr>
        <w:footnoteReference w:id="115"/>
      </w:r>
    </w:p>
    <w:p w:rsidR="00D66F2E" w:rsidRDefault="00D66F2E" w:rsidP="00D66F2E">
      <w:pPr>
        <w:ind w:left="720" w:right="720" w:firstLine="720"/>
        <w:jc w:val="both"/>
      </w:pPr>
    </w:p>
    <w:p w:rsidR="00725D1C" w:rsidRDefault="00672BA9" w:rsidP="00E72940">
      <w:pPr>
        <w:pStyle w:val="ParNumber"/>
        <w:ind w:left="0" w:hanging="720"/>
      </w:pPr>
      <w:r>
        <w:tab/>
      </w:r>
      <w:r w:rsidR="007826F4">
        <w:t xml:space="preserve">The statistical results </w:t>
      </w:r>
      <w:r w:rsidR="00D04A9F">
        <w:t xml:space="preserve">for </w:t>
      </w:r>
      <w:r w:rsidR="0082537C">
        <w:t>the electric</w:t>
      </w:r>
      <w:r w:rsidR="007826F4">
        <w:t xml:space="preserve"> </w:t>
      </w:r>
      <w:r w:rsidR="005A3E44">
        <w:t>industry can be divided into two groups</w:t>
      </w:r>
      <w:r w:rsidR="00D04A9F">
        <w:t xml:space="preserve">, those from the original published study, and those from Dr. Vilbert’s updates. </w:t>
      </w:r>
    </w:p>
    <w:p w:rsidR="005A3E44" w:rsidRPr="00D04A9F" w:rsidRDefault="00E36BFF" w:rsidP="00674EAB">
      <w:pPr>
        <w:spacing w:line="480" w:lineRule="auto"/>
        <w:jc w:val="center"/>
        <w:rPr>
          <w:b/>
        </w:rPr>
      </w:pPr>
      <w:r>
        <w:rPr>
          <w:b/>
        </w:rPr>
        <w:t>Table 4</w:t>
      </w:r>
      <w:r w:rsidR="00D04A9F">
        <w:rPr>
          <w:b/>
        </w:rPr>
        <w:t xml:space="preserve">: </w:t>
      </w:r>
      <w:r w:rsidR="00FC3770">
        <w:rPr>
          <w:b/>
        </w:rPr>
        <w:t xml:space="preserve"> </w:t>
      </w:r>
      <w:r w:rsidR="005A3E44" w:rsidRPr="00D04A9F">
        <w:rPr>
          <w:b/>
        </w:rPr>
        <w:t>March 2014 Brattle Report</w:t>
      </w:r>
      <w:r w:rsidR="00D04A9F">
        <w:rPr>
          <w:b/>
        </w:rPr>
        <w:t xml:space="preserve"> Results and Confidence Bounds</w:t>
      </w:r>
      <w:r>
        <w:rPr>
          <w:b/>
        </w:rPr>
        <w:fldChar w:fldCharType="begin"/>
      </w:r>
      <w:r>
        <w:instrText xml:space="preserve"> TA \l "</w:instrText>
      </w:r>
      <w:r w:rsidRPr="00AB3414">
        <w:rPr>
          <w:b/>
        </w:rPr>
        <w:instrText>Table 4:  March 2014 Brattle Report Results and Confidence Bounds</w:instrText>
      </w:r>
      <w:r>
        <w:instrText xml:space="preserve">" \s "Table 4:  March 2014 Brattle Report Results and Confidence Bounds" \c 8 </w:instrText>
      </w:r>
      <w:r>
        <w:rPr>
          <w:b/>
        </w:rPr>
        <w:fldChar w:fldCharType="end"/>
      </w:r>
      <w:r w:rsidR="00CA720F">
        <w:rPr>
          <w:rStyle w:val="FootnoteReference"/>
          <w:b/>
        </w:rPr>
        <w:footnoteReference w:id="116"/>
      </w:r>
    </w:p>
    <w:tbl>
      <w:tblPr>
        <w:tblStyle w:val="TableGrid"/>
        <w:tblW w:w="0" w:type="auto"/>
        <w:tblLook w:val="04A0" w:firstRow="1" w:lastRow="0" w:firstColumn="1" w:lastColumn="0" w:noHBand="0" w:noVBand="1"/>
      </w:tblPr>
      <w:tblGrid>
        <w:gridCol w:w="2912"/>
        <w:gridCol w:w="3414"/>
        <w:gridCol w:w="1262"/>
        <w:gridCol w:w="1988"/>
      </w:tblGrid>
      <w:tr w:rsidR="00405DB7" w:rsidTr="00405DB7">
        <w:tc>
          <w:tcPr>
            <w:tcW w:w="2912" w:type="dxa"/>
          </w:tcPr>
          <w:p w:rsidR="00405DB7" w:rsidRDefault="00405DB7" w:rsidP="00CA720F">
            <w:pPr>
              <w:rPr>
                <w:b/>
              </w:rPr>
            </w:pPr>
            <w:r>
              <w:rPr>
                <w:b/>
              </w:rPr>
              <w:t>Measure Date</w:t>
            </w:r>
          </w:p>
        </w:tc>
        <w:tc>
          <w:tcPr>
            <w:tcW w:w="3414" w:type="dxa"/>
          </w:tcPr>
          <w:p w:rsidR="00405DB7" w:rsidRPr="00354AFB" w:rsidRDefault="00405DB7" w:rsidP="00CA720F">
            <w:pPr>
              <w:rPr>
                <w:b/>
              </w:rPr>
            </w:pPr>
            <w:r>
              <w:rPr>
                <w:b/>
              </w:rPr>
              <w:t xml:space="preserve">Overall Cost of Capital </w:t>
            </w:r>
            <w:r w:rsidR="00CA720F">
              <w:rPr>
                <w:b/>
              </w:rPr>
              <w:t>R</w:t>
            </w:r>
            <w:r>
              <w:rPr>
                <w:b/>
              </w:rPr>
              <w:t>eduction – Study Data</w:t>
            </w:r>
          </w:p>
        </w:tc>
        <w:tc>
          <w:tcPr>
            <w:tcW w:w="1262" w:type="dxa"/>
          </w:tcPr>
          <w:p w:rsidR="00405DB7" w:rsidRPr="00354AFB" w:rsidRDefault="00405DB7" w:rsidP="00CA720F">
            <w:pPr>
              <w:rPr>
                <w:b/>
              </w:rPr>
            </w:pPr>
            <w:r>
              <w:rPr>
                <w:b/>
                <w:i/>
              </w:rPr>
              <w:t>p-</w:t>
            </w:r>
            <w:r w:rsidRPr="00354AFB">
              <w:rPr>
                <w:b/>
              </w:rPr>
              <w:t>value</w:t>
            </w:r>
          </w:p>
        </w:tc>
        <w:tc>
          <w:tcPr>
            <w:tcW w:w="1988" w:type="dxa"/>
          </w:tcPr>
          <w:p w:rsidR="00405DB7" w:rsidRPr="00354AFB" w:rsidRDefault="00405DB7" w:rsidP="00CA720F">
            <w:pPr>
              <w:rPr>
                <w:b/>
              </w:rPr>
            </w:pPr>
            <w:r w:rsidRPr="00354AFB">
              <w:rPr>
                <w:b/>
              </w:rPr>
              <w:t>Confidence Bound</w:t>
            </w:r>
          </w:p>
        </w:tc>
      </w:tr>
      <w:tr w:rsidR="00405DB7" w:rsidTr="00405DB7">
        <w:tc>
          <w:tcPr>
            <w:tcW w:w="2912" w:type="dxa"/>
          </w:tcPr>
          <w:p w:rsidR="00405DB7" w:rsidRDefault="00CA720F" w:rsidP="00CA720F">
            <w:r>
              <w:t>Regulatory Order d</w:t>
            </w:r>
            <w:r w:rsidR="00405DB7">
              <w:t>ate</w:t>
            </w:r>
          </w:p>
        </w:tc>
        <w:tc>
          <w:tcPr>
            <w:tcW w:w="3414" w:type="dxa"/>
          </w:tcPr>
          <w:p w:rsidR="00405DB7" w:rsidRDefault="00405DB7" w:rsidP="00CA720F">
            <w:r>
              <w:t>40.9 basis points</w:t>
            </w:r>
          </w:p>
        </w:tc>
        <w:tc>
          <w:tcPr>
            <w:tcW w:w="1262" w:type="dxa"/>
          </w:tcPr>
          <w:p w:rsidR="00405DB7" w:rsidRDefault="00405DB7" w:rsidP="00CA720F">
            <w:r>
              <w:t>0.14</w:t>
            </w:r>
          </w:p>
        </w:tc>
        <w:tc>
          <w:tcPr>
            <w:tcW w:w="1988" w:type="dxa"/>
          </w:tcPr>
          <w:p w:rsidR="00405DB7" w:rsidRDefault="00FC3770" w:rsidP="00CA720F">
            <w:r>
              <w:t>86</w:t>
            </w:r>
            <w:r w:rsidR="00A133C1">
              <w:t>%</w:t>
            </w:r>
          </w:p>
        </w:tc>
      </w:tr>
      <w:tr w:rsidR="00405DB7" w:rsidTr="00405DB7">
        <w:tc>
          <w:tcPr>
            <w:tcW w:w="2912" w:type="dxa"/>
          </w:tcPr>
          <w:p w:rsidR="00405DB7" w:rsidRDefault="00405DB7" w:rsidP="00CA720F">
            <w:r>
              <w:t>1 Quarter prior</w:t>
            </w:r>
          </w:p>
        </w:tc>
        <w:tc>
          <w:tcPr>
            <w:tcW w:w="3414" w:type="dxa"/>
          </w:tcPr>
          <w:p w:rsidR="00405DB7" w:rsidRDefault="00405DB7" w:rsidP="00CA720F">
            <w:r>
              <w:t>46.6 basis points</w:t>
            </w:r>
          </w:p>
        </w:tc>
        <w:tc>
          <w:tcPr>
            <w:tcW w:w="1262" w:type="dxa"/>
          </w:tcPr>
          <w:p w:rsidR="00405DB7" w:rsidRDefault="00405DB7" w:rsidP="00CA720F">
            <w:r>
              <w:t>0.12</w:t>
            </w:r>
          </w:p>
        </w:tc>
        <w:tc>
          <w:tcPr>
            <w:tcW w:w="1988" w:type="dxa"/>
          </w:tcPr>
          <w:p w:rsidR="00405DB7" w:rsidRDefault="00FC3770" w:rsidP="00CA720F">
            <w:r>
              <w:t>88</w:t>
            </w:r>
            <w:r w:rsidR="00A133C1">
              <w:t>%</w:t>
            </w:r>
          </w:p>
        </w:tc>
      </w:tr>
      <w:tr w:rsidR="00405DB7" w:rsidTr="00405DB7">
        <w:tc>
          <w:tcPr>
            <w:tcW w:w="2912" w:type="dxa"/>
          </w:tcPr>
          <w:p w:rsidR="00405DB7" w:rsidRDefault="00CA720F" w:rsidP="00CA720F">
            <w:r>
              <w:t>2 Quarters prior</w:t>
            </w:r>
          </w:p>
        </w:tc>
        <w:tc>
          <w:tcPr>
            <w:tcW w:w="3414" w:type="dxa"/>
          </w:tcPr>
          <w:p w:rsidR="00405DB7" w:rsidRDefault="00405DB7" w:rsidP="00CA720F">
            <w:r>
              <w:t>48.6 basis points</w:t>
            </w:r>
          </w:p>
        </w:tc>
        <w:tc>
          <w:tcPr>
            <w:tcW w:w="1262" w:type="dxa"/>
          </w:tcPr>
          <w:p w:rsidR="00405DB7" w:rsidRDefault="00405DB7" w:rsidP="00CA720F">
            <w:r>
              <w:t>0.08</w:t>
            </w:r>
          </w:p>
        </w:tc>
        <w:tc>
          <w:tcPr>
            <w:tcW w:w="1988" w:type="dxa"/>
          </w:tcPr>
          <w:p w:rsidR="00405DB7" w:rsidRDefault="00FC3770" w:rsidP="00CA720F">
            <w:r>
              <w:t>92</w:t>
            </w:r>
            <w:r w:rsidR="00A133C1">
              <w:t>%</w:t>
            </w:r>
          </w:p>
        </w:tc>
      </w:tr>
      <w:tr w:rsidR="00405DB7" w:rsidTr="00405DB7">
        <w:tc>
          <w:tcPr>
            <w:tcW w:w="2912" w:type="dxa"/>
          </w:tcPr>
          <w:p w:rsidR="00405DB7" w:rsidRDefault="00CA720F" w:rsidP="00CA720F">
            <w:r>
              <w:t>3 Quarters prior</w:t>
            </w:r>
          </w:p>
        </w:tc>
        <w:tc>
          <w:tcPr>
            <w:tcW w:w="3414" w:type="dxa"/>
          </w:tcPr>
          <w:p w:rsidR="00405DB7" w:rsidRDefault="00405DB7" w:rsidP="00CA720F">
            <w:r>
              <w:t>45.9 basis points</w:t>
            </w:r>
          </w:p>
        </w:tc>
        <w:tc>
          <w:tcPr>
            <w:tcW w:w="1262" w:type="dxa"/>
          </w:tcPr>
          <w:p w:rsidR="00405DB7" w:rsidRDefault="00CA720F" w:rsidP="00CA720F">
            <w:r>
              <w:t>0.11</w:t>
            </w:r>
          </w:p>
        </w:tc>
        <w:tc>
          <w:tcPr>
            <w:tcW w:w="1988" w:type="dxa"/>
          </w:tcPr>
          <w:p w:rsidR="00405DB7" w:rsidRDefault="00A133C1" w:rsidP="00106826">
            <w:pPr>
              <w:pStyle w:val="ListParagraph"/>
              <w:numPr>
                <w:ilvl w:val="0"/>
                <w:numId w:val="28"/>
              </w:numPr>
              <w:ind w:left="242" w:hanging="242"/>
            </w:pPr>
            <w:r>
              <w:t>%</w:t>
            </w:r>
            <w:r w:rsidR="00CA720F">
              <w:t xml:space="preserve"> </w:t>
            </w:r>
          </w:p>
        </w:tc>
      </w:tr>
    </w:tbl>
    <w:p w:rsidR="00E72940" w:rsidRDefault="00E72940" w:rsidP="008A1F30">
      <w:pPr>
        <w:pStyle w:val="ParNumber"/>
        <w:numPr>
          <w:ilvl w:val="0"/>
          <w:numId w:val="0"/>
        </w:numPr>
        <w:spacing w:line="240" w:lineRule="auto"/>
        <w:rPr>
          <w:b/>
        </w:rPr>
      </w:pPr>
    </w:p>
    <w:p w:rsidR="005A3E44" w:rsidRDefault="00E36BFF" w:rsidP="00E72940">
      <w:pPr>
        <w:pStyle w:val="ParNumber"/>
        <w:numPr>
          <w:ilvl w:val="0"/>
          <w:numId w:val="0"/>
        </w:numPr>
        <w:jc w:val="center"/>
      </w:pPr>
      <w:r>
        <w:rPr>
          <w:b/>
        </w:rPr>
        <w:t>Table 5</w:t>
      </w:r>
      <w:r w:rsidR="005A3E44" w:rsidRPr="00D04A9F">
        <w:rPr>
          <w:b/>
        </w:rPr>
        <w:t>:</w:t>
      </w:r>
      <w:r w:rsidR="00D04A9F" w:rsidRPr="00D04A9F">
        <w:rPr>
          <w:b/>
        </w:rPr>
        <w:t xml:space="preserve">  Electric Studies I and II Results and Confidence Bounds</w:t>
      </w:r>
      <w:r>
        <w:rPr>
          <w:b/>
        </w:rPr>
        <w:fldChar w:fldCharType="begin"/>
      </w:r>
      <w:r>
        <w:instrText xml:space="preserve"> TA \l "</w:instrText>
      </w:r>
      <w:r w:rsidRPr="00287A48">
        <w:rPr>
          <w:b/>
        </w:rPr>
        <w:instrText>Table 5:  Electric Studies I and II Results and Confidence Bounds</w:instrText>
      </w:r>
      <w:r>
        <w:instrText xml:space="preserve">" \s "Table 5:  Electric Studies I and II Results and Confidence Bounds" \c 8 </w:instrText>
      </w:r>
      <w:r>
        <w:rPr>
          <w:b/>
        </w:rPr>
        <w:fldChar w:fldCharType="end"/>
      </w:r>
      <w:r w:rsidR="00CA720F">
        <w:rPr>
          <w:rStyle w:val="FootnoteReference"/>
          <w:b/>
        </w:rPr>
        <w:footnoteReference w:id="117"/>
      </w:r>
    </w:p>
    <w:tbl>
      <w:tblPr>
        <w:tblStyle w:val="TableGrid"/>
        <w:tblW w:w="0" w:type="auto"/>
        <w:tblLook w:val="04A0" w:firstRow="1" w:lastRow="0" w:firstColumn="1" w:lastColumn="0" w:noHBand="0" w:noVBand="1"/>
      </w:tblPr>
      <w:tblGrid>
        <w:gridCol w:w="2898"/>
        <w:gridCol w:w="3420"/>
        <w:gridCol w:w="1260"/>
        <w:gridCol w:w="1998"/>
      </w:tblGrid>
      <w:tr w:rsidR="00CA720F" w:rsidTr="00CA720F">
        <w:tc>
          <w:tcPr>
            <w:tcW w:w="2898" w:type="dxa"/>
          </w:tcPr>
          <w:p w:rsidR="00CA720F" w:rsidRDefault="00CA720F" w:rsidP="00036072">
            <w:pPr>
              <w:rPr>
                <w:b/>
              </w:rPr>
            </w:pPr>
            <w:r>
              <w:rPr>
                <w:b/>
              </w:rPr>
              <w:t>Measure Date</w:t>
            </w:r>
          </w:p>
        </w:tc>
        <w:tc>
          <w:tcPr>
            <w:tcW w:w="3420" w:type="dxa"/>
          </w:tcPr>
          <w:p w:rsidR="00CA720F" w:rsidRPr="00354AFB" w:rsidRDefault="00CA720F" w:rsidP="00036072">
            <w:pPr>
              <w:rPr>
                <w:b/>
              </w:rPr>
            </w:pPr>
            <w:r>
              <w:rPr>
                <w:b/>
              </w:rPr>
              <w:t>Overall Cost of Capital Reduction – Study Data</w:t>
            </w:r>
          </w:p>
        </w:tc>
        <w:tc>
          <w:tcPr>
            <w:tcW w:w="1260" w:type="dxa"/>
          </w:tcPr>
          <w:p w:rsidR="00CA720F" w:rsidRPr="00354AFB" w:rsidRDefault="00CA720F" w:rsidP="00036072">
            <w:pPr>
              <w:rPr>
                <w:b/>
              </w:rPr>
            </w:pPr>
            <w:r>
              <w:rPr>
                <w:b/>
                <w:i/>
              </w:rPr>
              <w:t>p-</w:t>
            </w:r>
            <w:r w:rsidRPr="00354AFB">
              <w:rPr>
                <w:b/>
              </w:rPr>
              <w:t xml:space="preserve"> value</w:t>
            </w:r>
          </w:p>
        </w:tc>
        <w:tc>
          <w:tcPr>
            <w:tcW w:w="1998" w:type="dxa"/>
          </w:tcPr>
          <w:p w:rsidR="00CA720F" w:rsidRPr="00354AFB" w:rsidRDefault="00CA720F" w:rsidP="00036072">
            <w:pPr>
              <w:rPr>
                <w:b/>
              </w:rPr>
            </w:pPr>
            <w:r w:rsidRPr="00354AFB">
              <w:rPr>
                <w:b/>
              </w:rPr>
              <w:t>Confidence Bound</w:t>
            </w:r>
          </w:p>
        </w:tc>
      </w:tr>
      <w:tr w:rsidR="00CA720F" w:rsidTr="00CA720F">
        <w:tc>
          <w:tcPr>
            <w:tcW w:w="2898" w:type="dxa"/>
          </w:tcPr>
          <w:p w:rsidR="00CA720F" w:rsidRDefault="00CA720F" w:rsidP="00CA720F">
            <w:r>
              <w:t>Elec. Study I</w:t>
            </w:r>
          </w:p>
          <w:p w:rsidR="00CA720F" w:rsidRDefault="00CA720F" w:rsidP="00CA720F">
            <w:r>
              <w:t>Regulatory Order date</w:t>
            </w:r>
          </w:p>
        </w:tc>
        <w:tc>
          <w:tcPr>
            <w:tcW w:w="3420" w:type="dxa"/>
          </w:tcPr>
          <w:p w:rsidR="00CA720F" w:rsidRDefault="00CA720F" w:rsidP="00CA720F">
            <w:r>
              <w:t>25 basis points</w:t>
            </w:r>
          </w:p>
        </w:tc>
        <w:tc>
          <w:tcPr>
            <w:tcW w:w="1260" w:type="dxa"/>
          </w:tcPr>
          <w:p w:rsidR="00CA720F" w:rsidRDefault="00CA720F" w:rsidP="00CA720F">
            <w:r>
              <w:t>0.17</w:t>
            </w:r>
          </w:p>
        </w:tc>
        <w:tc>
          <w:tcPr>
            <w:tcW w:w="1998" w:type="dxa"/>
          </w:tcPr>
          <w:p w:rsidR="00CA720F" w:rsidRDefault="00FC3770" w:rsidP="00CA720F">
            <w:r>
              <w:t>83</w:t>
            </w:r>
            <w:r w:rsidR="00A133C1">
              <w:t>%</w:t>
            </w:r>
          </w:p>
        </w:tc>
      </w:tr>
      <w:tr w:rsidR="00CA720F" w:rsidTr="00CA720F">
        <w:tc>
          <w:tcPr>
            <w:tcW w:w="2898" w:type="dxa"/>
          </w:tcPr>
          <w:p w:rsidR="00CA720F" w:rsidRDefault="00CA720F" w:rsidP="00CA720F">
            <w:r>
              <w:t>Elec</w:t>
            </w:r>
            <w:r w:rsidR="00C60389">
              <w:t>.</w:t>
            </w:r>
            <w:r>
              <w:t xml:space="preserve"> Study II</w:t>
            </w:r>
          </w:p>
          <w:p w:rsidR="00CA720F" w:rsidRDefault="00CA720F" w:rsidP="00CA720F">
            <w:r>
              <w:t>Regulatory Order date</w:t>
            </w:r>
          </w:p>
        </w:tc>
        <w:tc>
          <w:tcPr>
            <w:tcW w:w="3420" w:type="dxa"/>
          </w:tcPr>
          <w:p w:rsidR="00CA720F" w:rsidRDefault="00CA720F" w:rsidP="00CA720F">
            <w:r>
              <w:t>26 basis points</w:t>
            </w:r>
          </w:p>
        </w:tc>
        <w:tc>
          <w:tcPr>
            <w:tcW w:w="1260" w:type="dxa"/>
          </w:tcPr>
          <w:p w:rsidR="00CA720F" w:rsidRDefault="00CA720F" w:rsidP="00CA720F">
            <w:r>
              <w:t>0.17</w:t>
            </w:r>
          </w:p>
        </w:tc>
        <w:tc>
          <w:tcPr>
            <w:tcW w:w="1998" w:type="dxa"/>
          </w:tcPr>
          <w:p w:rsidR="00CA720F" w:rsidRDefault="00FC3770" w:rsidP="00CA720F">
            <w:r>
              <w:t>83</w:t>
            </w:r>
            <w:r w:rsidR="00A133C1">
              <w:t>%</w:t>
            </w:r>
          </w:p>
        </w:tc>
      </w:tr>
    </w:tbl>
    <w:p w:rsidR="005A3E44" w:rsidRDefault="005A3E44" w:rsidP="00672BA9"/>
    <w:p w:rsidR="00A44016" w:rsidRDefault="00A44016" w:rsidP="00672BA9">
      <w:pPr>
        <w:pStyle w:val="ParNumber"/>
        <w:ind w:left="0" w:hanging="720"/>
      </w:pPr>
      <w:r>
        <w:lastRenderedPageBreak/>
        <w:tab/>
        <w:t>The specific value for the cost of capital reduction shown above is the “point estimate,”  the most likely estimate of the effect of decoupling on cost of capital.</w:t>
      </w:r>
      <w:r>
        <w:rPr>
          <w:rStyle w:val="FootnoteReference"/>
        </w:rPr>
        <w:footnoteReference w:id="118"/>
      </w:r>
    </w:p>
    <w:p w:rsidR="00EF2A95" w:rsidRDefault="00354AFB" w:rsidP="00672BA9">
      <w:pPr>
        <w:pStyle w:val="Heading4"/>
        <w:spacing w:before="0"/>
      </w:pPr>
      <w:bookmarkStart w:id="39" w:name="_Toc413395590"/>
      <w:r>
        <w:t>Confidence bounds</w:t>
      </w:r>
      <w:r w:rsidR="00A44016">
        <w:t xml:space="preserve"> and </w:t>
      </w:r>
      <w:r w:rsidR="00A44016">
        <w:rPr>
          <w:i/>
        </w:rPr>
        <w:t>p</w:t>
      </w:r>
      <w:r w:rsidR="00A44016" w:rsidRPr="00A44016">
        <w:t>-values</w:t>
      </w:r>
      <w:r>
        <w:t>.</w:t>
      </w:r>
      <w:bookmarkEnd w:id="39"/>
      <w:r>
        <w:t xml:space="preserve">  </w:t>
      </w:r>
    </w:p>
    <w:p w:rsidR="00672BA9" w:rsidRPr="00672BA9" w:rsidRDefault="00672BA9" w:rsidP="00672BA9"/>
    <w:p w:rsidR="00E72940" w:rsidRDefault="00AE2505" w:rsidP="00E72940">
      <w:pPr>
        <w:pStyle w:val="ParNumber"/>
        <w:ind w:left="0" w:hanging="720"/>
      </w:pPr>
      <w:r>
        <w:tab/>
      </w:r>
      <w:r w:rsidR="00354AFB">
        <w:t xml:space="preserve">As Dr. Adolph explains, the “confidence bound” </w:t>
      </w:r>
      <w:r w:rsidR="003A554C">
        <w:t xml:space="preserve">shown on the above table </w:t>
      </w:r>
      <w:r w:rsidR="000A4A16">
        <w:t>is</w:t>
      </w:r>
      <w:r w:rsidR="00354AFB">
        <w:t xml:space="preserve"> another way to represent the “</w:t>
      </w:r>
      <w:r w:rsidR="00354AFB" w:rsidRPr="00A44016">
        <w:rPr>
          <w:i/>
        </w:rPr>
        <w:t>p</w:t>
      </w:r>
      <w:r w:rsidR="00354AFB">
        <w:t>-value” produced by the studies.</w:t>
      </w:r>
      <w:r w:rsidR="003A554C">
        <w:rPr>
          <w:rStyle w:val="FootnoteReference"/>
        </w:rPr>
        <w:footnoteReference w:id="119"/>
      </w:r>
      <w:r>
        <w:t xml:space="preserve">  </w:t>
      </w:r>
      <w:r w:rsidR="00354AFB">
        <w:t>Because the study looks at a relatively limited sample of companies and time periods, there is a source of doubt</w:t>
      </w:r>
      <w:r w:rsidR="00A44016">
        <w:t xml:space="preserve"> as to the point estimate</w:t>
      </w:r>
      <w:r w:rsidR="00354AFB">
        <w:t xml:space="preserve">:  </w:t>
      </w:r>
      <w:r w:rsidR="00A44016">
        <w:t xml:space="preserve">is </w:t>
      </w:r>
      <w:r w:rsidR="00354AFB">
        <w:t>the limited sample representative of the general population of compa</w:t>
      </w:r>
      <w:r>
        <w:t>nies</w:t>
      </w:r>
      <w:r w:rsidR="00A44016">
        <w:t>?</w:t>
      </w:r>
      <w:r>
        <w:t xml:space="preserve">  </w:t>
      </w:r>
      <w:r w:rsidR="00354AFB">
        <w:t xml:space="preserve">The confidence bound is a tool of statistical inference that </w:t>
      </w:r>
      <w:r w:rsidR="009F042F">
        <w:t xml:space="preserve">allows quantification of this doubt and </w:t>
      </w:r>
      <w:r w:rsidR="00354AFB">
        <w:t xml:space="preserve">can be used to avoid drawing </w:t>
      </w:r>
      <w:r w:rsidR="001039EA">
        <w:t>misleading</w:t>
      </w:r>
      <w:r w:rsidR="00354AFB">
        <w:t xml:space="preserve"> conclusions </w:t>
      </w:r>
      <w:r w:rsidR="009F042F">
        <w:t>from limited samples.</w:t>
      </w:r>
      <w:r w:rsidR="009F042F">
        <w:rPr>
          <w:rStyle w:val="FootnoteReference"/>
        </w:rPr>
        <w:footnoteReference w:id="120"/>
      </w:r>
    </w:p>
    <w:p w:rsidR="00E72940" w:rsidRDefault="00E72940" w:rsidP="00E72940">
      <w:pPr>
        <w:pStyle w:val="ParNumber"/>
        <w:ind w:left="0" w:hanging="720"/>
      </w:pPr>
      <w:r>
        <w:tab/>
      </w:r>
      <w:r w:rsidR="00A44016">
        <w:t>For example, a</w:t>
      </w:r>
      <w:r w:rsidR="007C4D68">
        <w:t xml:space="preserve"> confidence bound of </w:t>
      </w:r>
      <w:r w:rsidR="00050992">
        <w:t>83</w:t>
      </w:r>
      <w:r w:rsidR="00A133C1">
        <w:t>%</w:t>
      </w:r>
      <w:r w:rsidR="00A44016">
        <w:t xml:space="preserve"> (corresponding to a </w:t>
      </w:r>
      <w:r w:rsidR="00A44016" w:rsidRPr="00E72940">
        <w:rPr>
          <w:i/>
        </w:rPr>
        <w:t>p</w:t>
      </w:r>
      <w:r w:rsidR="007C4D68">
        <w:t>-value of 0.</w:t>
      </w:r>
      <w:r w:rsidR="00F96EC5">
        <w:t>17</w:t>
      </w:r>
      <w:r w:rsidR="00A44016">
        <w:t>)</w:t>
      </w:r>
      <w:r w:rsidR="007C4D68">
        <w:t xml:space="preserve"> means that in </w:t>
      </w:r>
      <w:r w:rsidR="003F5253">
        <w:t xml:space="preserve">100 </w:t>
      </w:r>
      <w:r w:rsidR="001039EA">
        <w:t xml:space="preserve">different </w:t>
      </w:r>
      <w:r w:rsidR="003F5253">
        <w:t xml:space="preserve">cases over time, if the Commission decides that the data </w:t>
      </w:r>
      <w:r w:rsidR="001039EA">
        <w:t xml:space="preserve">supported by </w:t>
      </w:r>
      <w:r w:rsidR="00AD79E1">
        <w:t>a</w:t>
      </w:r>
      <w:r w:rsidR="00F96EC5">
        <w:t>n</w:t>
      </w:r>
      <w:r w:rsidR="00AD79E1">
        <w:t xml:space="preserve"> </w:t>
      </w:r>
      <w:r w:rsidR="00050992">
        <w:t>83</w:t>
      </w:r>
      <w:r w:rsidR="00A133C1">
        <w:t>%</w:t>
      </w:r>
      <w:r w:rsidR="00AD79E1">
        <w:t xml:space="preserve"> confidence bound can be used to confirm that there is </w:t>
      </w:r>
      <w:r w:rsidR="003F5253">
        <w:t xml:space="preserve">a cost of capital reduction, it will be correct </w:t>
      </w:r>
      <w:r w:rsidR="00AD79E1">
        <w:t xml:space="preserve">in </w:t>
      </w:r>
      <w:r w:rsidR="00050992">
        <w:t>83</w:t>
      </w:r>
      <w:r w:rsidR="00A133C1">
        <w:t>%</w:t>
      </w:r>
      <w:r w:rsidR="009A3139">
        <w:t xml:space="preserve"> of </w:t>
      </w:r>
      <w:r w:rsidR="008867F6">
        <w:t>those</w:t>
      </w:r>
      <w:r w:rsidR="009A3139">
        <w:t xml:space="preserve"> </w:t>
      </w:r>
      <w:r w:rsidR="00AD79E1">
        <w:t>cases</w:t>
      </w:r>
      <w:r w:rsidR="009A3139">
        <w:t>, and in</w:t>
      </w:r>
      <w:r w:rsidR="003F5253">
        <w:t xml:space="preserve">correct </w:t>
      </w:r>
      <w:r w:rsidR="00050992">
        <w:t>17</w:t>
      </w:r>
      <w:r w:rsidR="00A133C1">
        <w:t>%</w:t>
      </w:r>
      <w:r w:rsidR="003F5253">
        <w:t xml:space="preserve"> of the time.</w:t>
      </w:r>
      <w:r w:rsidR="003A554C">
        <w:rPr>
          <w:rStyle w:val="FootnoteReference"/>
        </w:rPr>
        <w:footnoteReference w:id="121"/>
      </w:r>
    </w:p>
    <w:p w:rsidR="003F5253" w:rsidRDefault="00E72940" w:rsidP="00E72940">
      <w:pPr>
        <w:pStyle w:val="ParNumber"/>
        <w:ind w:left="0" w:hanging="720"/>
      </w:pPr>
      <w:r>
        <w:tab/>
      </w:r>
      <w:r w:rsidR="009F042F">
        <w:t xml:space="preserve">In the context of this case, the confidence bounds applicable to the study results can be stated in the following way.  </w:t>
      </w:r>
    </w:p>
    <w:p w:rsidR="00354AFB" w:rsidRDefault="009A3139" w:rsidP="003F5253">
      <w:pPr>
        <w:pStyle w:val="ListParagraph"/>
        <w:numPr>
          <w:ilvl w:val="0"/>
          <w:numId w:val="25"/>
        </w:numPr>
        <w:spacing w:line="480" w:lineRule="auto"/>
      </w:pPr>
      <w:r>
        <w:rPr>
          <w:u w:val="single"/>
        </w:rPr>
        <w:t xml:space="preserve">Highest </w:t>
      </w:r>
      <w:r w:rsidRPr="009A3139">
        <w:rPr>
          <w:u w:val="single"/>
        </w:rPr>
        <w:t>Impact</w:t>
      </w:r>
      <w:r>
        <w:t xml:space="preserve"> - </w:t>
      </w:r>
      <w:r w:rsidR="009F042F" w:rsidRPr="009A3139">
        <w:t>For</w:t>
      </w:r>
      <w:r w:rsidR="009F042F">
        <w:t xml:space="preserve"> the original March 2014 </w:t>
      </w:r>
      <w:r>
        <w:t xml:space="preserve">Brattle Group study, for the data </w:t>
      </w:r>
      <w:r w:rsidR="00410B7B">
        <w:t>two</w:t>
      </w:r>
      <w:r w:rsidR="007C4D68">
        <w:t xml:space="preserve"> quarters prior to </w:t>
      </w:r>
      <w:r>
        <w:t>the regulatory order</w:t>
      </w:r>
      <w:r w:rsidR="007C4D68">
        <w:t xml:space="preserve">, if the Commission saw a series of 100 cases over time, and determined that </w:t>
      </w:r>
      <w:r w:rsidR="00F96EC5">
        <w:t xml:space="preserve">overall </w:t>
      </w:r>
      <w:r w:rsidR="007C4D68">
        <w:t xml:space="preserve">cost of capital was reduced by 49 basis points, it would be </w:t>
      </w:r>
      <w:r w:rsidR="003F5253">
        <w:t xml:space="preserve">correct </w:t>
      </w:r>
      <w:r w:rsidR="008408FE">
        <w:t xml:space="preserve">that cost of capital was reduced </w:t>
      </w:r>
      <w:r w:rsidR="00410B7B">
        <w:t>92</w:t>
      </w:r>
      <w:r w:rsidR="00A133C1">
        <w:t>%</w:t>
      </w:r>
      <w:r w:rsidR="00410B7B">
        <w:t xml:space="preserve"> of the time, and incorrect 8</w:t>
      </w:r>
      <w:r w:rsidR="00A133C1">
        <w:t>%</w:t>
      </w:r>
      <w:r w:rsidR="003F5253">
        <w:t xml:space="preserve"> of the time </w:t>
      </w:r>
    </w:p>
    <w:p w:rsidR="009A3139" w:rsidRPr="009A3139" w:rsidRDefault="009A3139" w:rsidP="003F5253">
      <w:pPr>
        <w:pStyle w:val="ListParagraph"/>
        <w:numPr>
          <w:ilvl w:val="0"/>
          <w:numId w:val="25"/>
        </w:numPr>
        <w:spacing w:line="480" w:lineRule="auto"/>
      </w:pPr>
      <w:r>
        <w:rPr>
          <w:u w:val="single"/>
        </w:rPr>
        <w:lastRenderedPageBreak/>
        <w:t>Intermediate Impact</w:t>
      </w:r>
      <w:r>
        <w:t xml:space="preserve"> – For the remaining March 2014 Brattle Group study results, if the Commission saw a series of 100 cases, and determined that cost of capital was reduced 41 to 47 basis points, it would be correct </w:t>
      </w:r>
      <w:r w:rsidR="008408FE">
        <w:t xml:space="preserve">that cost of capital was reduced </w:t>
      </w:r>
      <w:r w:rsidR="00410B7B">
        <w:t>86 to 89</w:t>
      </w:r>
      <w:r>
        <w:t xml:space="preserve">% of the time. </w:t>
      </w:r>
    </w:p>
    <w:p w:rsidR="003F5253" w:rsidRDefault="009A3139" w:rsidP="003F5253">
      <w:pPr>
        <w:pStyle w:val="ListParagraph"/>
        <w:numPr>
          <w:ilvl w:val="0"/>
          <w:numId w:val="25"/>
        </w:numPr>
        <w:spacing w:line="480" w:lineRule="auto"/>
      </w:pPr>
      <w:r>
        <w:rPr>
          <w:u w:val="single"/>
        </w:rPr>
        <w:t xml:space="preserve">Lowest </w:t>
      </w:r>
      <w:r w:rsidRPr="009A3139">
        <w:rPr>
          <w:u w:val="single"/>
        </w:rPr>
        <w:t>Impact</w:t>
      </w:r>
      <w:r>
        <w:t xml:space="preserve"> - </w:t>
      </w:r>
      <w:r w:rsidR="003F5253" w:rsidRPr="009A3139">
        <w:t>For</w:t>
      </w:r>
      <w:r w:rsidR="003F5253">
        <w:t xml:space="preserve"> the update</w:t>
      </w:r>
      <w:r w:rsidR="00432F57">
        <w:t>d</w:t>
      </w:r>
      <w:r w:rsidR="003F5253">
        <w:t xml:space="preserve"> results preferred by Dr. Vilber</w:t>
      </w:r>
      <w:r w:rsidR="00432F57">
        <w:t xml:space="preserve">t (Electric Studies I and II), </w:t>
      </w:r>
      <w:r w:rsidR="003F5253">
        <w:t>if the Commission saw a series of 100 cases over time, and determined that the cost of capital was reduced by 25 basis points, the</w:t>
      </w:r>
      <w:r w:rsidR="00410B7B">
        <w:t xml:space="preserve"> Commission would be correct 83</w:t>
      </w:r>
      <w:r w:rsidR="00A133C1">
        <w:t>%</w:t>
      </w:r>
      <w:r w:rsidR="00410B7B">
        <w:t xml:space="preserve"> of the time, and incorrect 17</w:t>
      </w:r>
      <w:r w:rsidR="00A133C1">
        <w:t>%</w:t>
      </w:r>
      <w:r w:rsidR="003F5253">
        <w:t xml:space="preserve"> of the time.</w:t>
      </w:r>
      <w:r w:rsidR="003A554C">
        <w:rPr>
          <w:rStyle w:val="FootnoteReference"/>
        </w:rPr>
        <w:footnoteReference w:id="122"/>
      </w:r>
      <w:r w:rsidR="00432F57">
        <w:t xml:space="preserve"> </w:t>
      </w:r>
    </w:p>
    <w:p w:rsidR="00EF2A95" w:rsidRDefault="00145BC4" w:rsidP="00672BA9">
      <w:pPr>
        <w:pStyle w:val="Heading4"/>
        <w:spacing w:before="0"/>
      </w:pPr>
      <w:bookmarkStart w:id="40" w:name="_Toc413395591"/>
      <w:r>
        <w:t>The n</w:t>
      </w:r>
      <w:r w:rsidR="009D09A5" w:rsidRPr="009D09A5">
        <w:t>ull hypothesis and the one-tailed test</w:t>
      </w:r>
      <w:r w:rsidR="009D09A5">
        <w:t>.</w:t>
      </w:r>
      <w:bookmarkEnd w:id="40"/>
      <w:r w:rsidR="009D09A5">
        <w:t xml:space="preserve">   </w:t>
      </w:r>
    </w:p>
    <w:p w:rsidR="00672BA9" w:rsidRPr="00672BA9" w:rsidRDefault="00672BA9" w:rsidP="00672BA9"/>
    <w:p w:rsidR="00E72940" w:rsidRDefault="00672BA9" w:rsidP="00E72940">
      <w:pPr>
        <w:pStyle w:val="ParNumber"/>
        <w:ind w:left="0" w:hanging="720"/>
      </w:pPr>
      <w:r>
        <w:tab/>
      </w:r>
      <w:r w:rsidR="009B010F">
        <w:t>The question in the case is directional – we want to know if the effect</w:t>
      </w:r>
      <w:r w:rsidR="0043075F">
        <w:t xml:space="preserve"> </w:t>
      </w:r>
      <w:r w:rsidR="009B010F">
        <w:t>of decoupling is negative</w:t>
      </w:r>
      <w:r w:rsidR="0043075F">
        <w:t>, i</w:t>
      </w:r>
      <w:r w:rsidR="002D3DB2">
        <w:t>.e., if decoupling reduces the cost of equity capital</w:t>
      </w:r>
      <w:r w:rsidR="008A1EF4">
        <w:t xml:space="preserve">.  </w:t>
      </w:r>
      <w:r w:rsidR="009B010F">
        <w:t>This calls for the use of a “one</w:t>
      </w:r>
      <w:r w:rsidR="008A1EF4">
        <w:noBreakHyphen/>
      </w:r>
      <w:r w:rsidR="009B010F">
        <w:t xml:space="preserve">tailed” statistical analysis, for purpose of </w:t>
      </w:r>
      <w:r w:rsidR="009D09A5">
        <w:t xml:space="preserve">computing the </w:t>
      </w:r>
      <w:r w:rsidR="009D09A5">
        <w:rPr>
          <w:i/>
        </w:rPr>
        <w:t>p</w:t>
      </w:r>
      <w:r w:rsidR="009D09A5">
        <w:t>-value</w:t>
      </w:r>
      <w:r w:rsidR="009B010F">
        <w:t xml:space="preserve">.  </w:t>
      </w:r>
      <w:r w:rsidR="007F78E2">
        <w:t>Dr. Vilbert and Dr. </w:t>
      </w:r>
      <w:r w:rsidR="009D09A5">
        <w:t xml:space="preserve">Adolph </w:t>
      </w:r>
      <w:r w:rsidR="009B010F">
        <w:t xml:space="preserve">both </w:t>
      </w:r>
      <w:r w:rsidR="009D09A5">
        <w:t>agree that a “one-tailed” test is most a</w:t>
      </w:r>
      <w:r w:rsidR="009B010F">
        <w:t xml:space="preserve">ppropriate in </w:t>
      </w:r>
      <w:r w:rsidR="00D46492">
        <w:t xml:space="preserve">this </w:t>
      </w:r>
      <w:r w:rsidR="009B010F">
        <w:t>case</w:t>
      </w:r>
      <w:r w:rsidR="00781AFF">
        <w:t>, although as noted below, it must be understood that this creates an asymmetric burden of proof</w:t>
      </w:r>
      <w:r w:rsidR="009D09A5">
        <w:t>.</w:t>
      </w:r>
      <w:r w:rsidR="009B010F">
        <w:rPr>
          <w:rStyle w:val="FootnoteReference"/>
        </w:rPr>
        <w:footnoteReference w:id="123"/>
      </w:r>
      <w:r w:rsidR="009B010F">
        <w:t xml:space="preserve">    </w:t>
      </w:r>
    </w:p>
    <w:p w:rsidR="00E72940" w:rsidRDefault="00E72940" w:rsidP="00E72940">
      <w:pPr>
        <w:pStyle w:val="ParNumber"/>
        <w:ind w:left="0" w:hanging="720"/>
      </w:pPr>
      <w:r>
        <w:tab/>
      </w:r>
      <w:r w:rsidR="008408FE">
        <w:t xml:space="preserve">To compute a </w:t>
      </w:r>
      <w:r w:rsidR="00D2575C" w:rsidRPr="00E72940">
        <w:rPr>
          <w:i/>
        </w:rPr>
        <w:t>p</w:t>
      </w:r>
      <w:r w:rsidR="00D2575C">
        <w:t>-value, a</w:t>
      </w:r>
      <w:r w:rsidR="008A1522">
        <w:t xml:space="preserve"> statistical </w:t>
      </w:r>
      <w:r w:rsidR="009B010F">
        <w:t xml:space="preserve">study must also select a “null hypothesis.”  </w:t>
      </w:r>
      <w:r w:rsidR="00D46492">
        <w:t xml:space="preserve">The Brattle Group selected as the null hypothesis </w:t>
      </w:r>
      <w:r w:rsidR="008A1522">
        <w:t xml:space="preserve">the proposition </w:t>
      </w:r>
      <w:r w:rsidR="00D46492">
        <w:t xml:space="preserve">that decoupling </w:t>
      </w:r>
      <w:r w:rsidR="00D46492" w:rsidRPr="00E72940">
        <w:rPr>
          <w:i/>
        </w:rPr>
        <w:t>does not</w:t>
      </w:r>
      <w:r w:rsidR="00D46492">
        <w:t xml:space="preserve"> lower the cost of capit</w:t>
      </w:r>
      <w:r w:rsidR="008A1522">
        <w:t xml:space="preserve">al, which they attempt to reject in favor of the alternative hypothesis that decoupling </w:t>
      </w:r>
      <w:r w:rsidR="008A1522" w:rsidRPr="00E72940">
        <w:rPr>
          <w:i/>
        </w:rPr>
        <w:t xml:space="preserve">does </w:t>
      </w:r>
      <w:r w:rsidR="00952F19">
        <w:t xml:space="preserve">lower the cost of capital.  </w:t>
      </w:r>
      <w:r w:rsidR="008A1522">
        <w:t>With this null hy</w:t>
      </w:r>
      <w:r w:rsidR="00D2575C">
        <w:t xml:space="preserve">pothesis, the one-tailed </w:t>
      </w:r>
      <w:r w:rsidR="00D2575C" w:rsidRPr="00E72940">
        <w:rPr>
          <w:i/>
        </w:rPr>
        <w:t>p</w:t>
      </w:r>
      <w:r w:rsidR="00D2575C">
        <w:t xml:space="preserve">-value assesses how likely a sample is to produce a spurious finding that decoupling lowers the cost of capital when it </w:t>
      </w:r>
      <w:r w:rsidR="00D2575C">
        <w:lastRenderedPageBreak/>
        <w:t xml:space="preserve">actually has no effect or raises the cost of capital in the general population of utility firms.  The smaller the </w:t>
      </w:r>
      <w:r w:rsidR="00D2575C" w:rsidRPr="00E72940">
        <w:rPr>
          <w:i/>
        </w:rPr>
        <w:t>p</w:t>
      </w:r>
      <w:r w:rsidR="00D2575C">
        <w:t>-value, the more confident one can be that the estimate of a downward impact on the cost of capital in the sample data is evidence of a downward impact in the population</w:t>
      </w:r>
      <w:r w:rsidR="000A1BE1">
        <w:t>.</w:t>
      </w:r>
      <w:r w:rsidR="000A1BE1">
        <w:rPr>
          <w:rStyle w:val="FootnoteReference"/>
        </w:rPr>
        <w:footnoteReference w:id="124"/>
      </w:r>
    </w:p>
    <w:p w:rsidR="000A1BE1" w:rsidRPr="00154EB2" w:rsidRDefault="00E72940" w:rsidP="00E72940">
      <w:pPr>
        <w:pStyle w:val="ParNumber"/>
        <w:ind w:left="0" w:hanging="720"/>
      </w:pPr>
      <w:r>
        <w:tab/>
      </w:r>
      <w:r w:rsidR="00781AFF">
        <w:t>I</w:t>
      </w:r>
      <w:r w:rsidR="000A1BE1">
        <w:t>t is important to note that the choice of the null hypothe</w:t>
      </w:r>
      <w:r w:rsidR="00281D0B">
        <w:t>sis is not “neutral” when a one</w:t>
      </w:r>
      <w:r w:rsidR="00281D0B">
        <w:noBreakHyphen/>
      </w:r>
      <w:r w:rsidR="000A1BE1">
        <w:t xml:space="preserve">tailed test is used. </w:t>
      </w:r>
      <w:r w:rsidR="007F78E2">
        <w:t xml:space="preserve"> </w:t>
      </w:r>
      <w:r w:rsidR="00D90515">
        <w:t xml:space="preserve">The significance of the choice is illustrated if the mirror image null hypothesis </w:t>
      </w:r>
      <w:r w:rsidR="00154EB2">
        <w:t xml:space="preserve">is used, i.e., </w:t>
      </w:r>
      <w:r w:rsidR="00D90515" w:rsidRPr="00675F5A">
        <w:t xml:space="preserve">“decoupling </w:t>
      </w:r>
      <w:r w:rsidR="00D90515" w:rsidRPr="00675F5A">
        <w:rPr>
          <w:i/>
        </w:rPr>
        <w:t>does</w:t>
      </w:r>
      <w:r w:rsidR="00D90515" w:rsidRPr="00675F5A">
        <w:t xml:space="preserve"> reduce the cost of capital</w:t>
      </w:r>
      <w:r w:rsidR="00154EB2" w:rsidRPr="00675F5A">
        <w:t>.”</w:t>
      </w:r>
      <w:r w:rsidR="00154EB2">
        <w:t xml:space="preserve">  </w:t>
      </w:r>
      <w:r w:rsidR="00047B23">
        <w:t>Using the same Brattle Group data, t</w:t>
      </w:r>
      <w:r w:rsidR="00154EB2">
        <w:t>he study would then attempt to rej</w:t>
      </w:r>
      <w:r w:rsidR="008936F8">
        <w:t>e</w:t>
      </w:r>
      <w:r w:rsidR="00154EB2">
        <w:t>ct</w:t>
      </w:r>
      <w:r w:rsidR="00CD1F63">
        <w:t xml:space="preserve"> the null</w:t>
      </w:r>
      <w:r w:rsidR="00154EB2">
        <w:t xml:space="preserve"> </w:t>
      </w:r>
      <w:r w:rsidR="00047B23">
        <w:t xml:space="preserve">in favor of </w:t>
      </w:r>
      <w:r w:rsidR="00154EB2">
        <w:t xml:space="preserve">the alternative hypothesis that decoupling </w:t>
      </w:r>
      <w:r w:rsidR="00154EB2" w:rsidRPr="00E72940">
        <w:rPr>
          <w:i/>
        </w:rPr>
        <w:t>does not</w:t>
      </w:r>
      <w:r w:rsidR="00154EB2">
        <w:t xml:space="preserve"> reduce the cost of capital</w:t>
      </w:r>
      <w:r w:rsidR="007F78E2" w:rsidRPr="00281D0B">
        <w:t>.</w:t>
      </w:r>
      <w:r w:rsidR="007F78E2">
        <w:t xml:space="preserve">  </w:t>
      </w:r>
      <w:r w:rsidR="00154EB2">
        <w:t xml:space="preserve">In this mirror image </w:t>
      </w:r>
      <w:r w:rsidR="00CD1F63">
        <w:t xml:space="preserve">of the </w:t>
      </w:r>
      <w:r w:rsidR="00281D0B">
        <w:t>test, using Dr. </w:t>
      </w:r>
      <w:r w:rsidR="00154EB2">
        <w:t>Vilbert’s significance test</w:t>
      </w:r>
      <w:r w:rsidR="00281D0B">
        <w:t xml:space="preserve"> of 95</w:t>
      </w:r>
      <w:r w:rsidR="00A133C1">
        <w:t>%</w:t>
      </w:r>
      <w:r w:rsidR="00CD1F63">
        <w:t xml:space="preserve"> and the same data</w:t>
      </w:r>
      <w:r w:rsidR="00154EB2">
        <w:t xml:space="preserve">, the hypothesis </w:t>
      </w:r>
      <w:r w:rsidR="00047B23">
        <w:t xml:space="preserve">of a downward ROE impact </w:t>
      </w:r>
      <w:r w:rsidR="00154EB2" w:rsidRPr="00E72940">
        <w:rPr>
          <w:i/>
        </w:rPr>
        <w:t>cannot</w:t>
      </w:r>
      <w:r w:rsidR="00154EB2">
        <w:t xml:space="preserve"> be rejected.  The confidence levels to reject the </w:t>
      </w:r>
      <w:r w:rsidR="00047B23">
        <w:t xml:space="preserve">alternative </w:t>
      </w:r>
      <w:r w:rsidR="00154EB2">
        <w:t xml:space="preserve">hypothesis </w:t>
      </w:r>
      <w:r w:rsidR="00671029">
        <w:t xml:space="preserve">(no downward impact) </w:t>
      </w:r>
      <w:r w:rsidR="00281D0B">
        <w:t>range from a high of 17</w:t>
      </w:r>
      <w:r w:rsidR="00A133C1">
        <w:t>%</w:t>
      </w:r>
      <w:r w:rsidR="00281D0B">
        <w:t xml:space="preserve"> to a low of 8</w:t>
      </w:r>
      <w:r w:rsidR="00A133C1">
        <w:t>%</w:t>
      </w:r>
      <w:r w:rsidR="00671029">
        <w:t>, fa</w:t>
      </w:r>
      <w:r w:rsidR="00281D0B">
        <w:t>r below the 95</w:t>
      </w:r>
      <w:r w:rsidR="00A133C1">
        <w:t>%</w:t>
      </w:r>
      <w:r w:rsidR="007F78E2">
        <w:t xml:space="preserve"> level.  </w:t>
      </w:r>
      <w:r w:rsidR="00671029">
        <w:t xml:space="preserve">This illustrates that selection of the null hypothesis </w:t>
      </w:r>
      <w:r w:rsidR="00BE463E">
        <w:t xml:space="preserve">can shift the conclusion in favor of one’s preferred conclusion and create a more difficult and asymmetrical </w:t>
      </w:r>
      <w:r w:rsidR="00671029">
        <w:t xml:space="preserve">burden on </w:t>
      </w:r>
      <w:r w:rsidR="000B1C29">
        <w:t>proponents of the alternative hypothesis.</w:t>
      </w:r>
      <w:r w:rsidR="000B1C29">
        <w:rPr>
          <w:rStyle w:val="FootnoteReference"/>
        </w:rPr>
        <w:footnoteReference w:id="125"/>
      </w:r>
      <w:r w:rsidR="000B1C29">
        <w:t xml:space="preserve">  </w:t>
      </w:r>
    </w:p>
    <w:p w:rsidR="00EF2A95" w:rsidRDefault="00B53DA5" w:rsidP="00672BA9">
      <w:pPr>
        <w:pStyle w:val="Heading4"/>
        <w:spacing w:before="0"/>
      </w:pPr>
      <w:bookmarkStart w:id="41" w:name="_Toc413395592"/>
      <w:r>
        <w:t xml:space="preserve">The </w:t>
      </w:r>
      <w:r w:rsidR="00577341">
        <w:t xml:space="preserve">study results are </w:t>
      </w:r>
      <w:r>
        <w:t xml:space="preserve">sufficient to meet the preponderance </w:t>
      </w:r>
      <w:r w:rsidR="00577341">
        <w:t>of the evidence standard</w:t>
      </w:r>
      <w:r w:rsidR="00D92DF5">
        <w:t>.</w:t>
      </w:r>
      <w:bookmarkEnd w:id="41"/>
      <w:r w:rsidR="00D92DF5">
        <w:t xml:space="preserve">  </w:t>
      </w:r>
    </w:p>
    <w:p w:rsidR="00672BA9" w:rsidRPr="00672BA9" w:rsidRDefault="00672BA9" w:rsidP="00672BA9"/>
    <w:p w:rsidR="00E72940" w:rsidRDefault="00672BA9" w:rsidP="00E72940">
      <w:pPr>
        <w:pStyle w:val="ParNumber"/>
        <w:ind w:left="0" w:hanging="720"/>
      </w:pPr>
      <w:r>
        <w:tab/>
      </w:r>
      <w:r w:rsidR="003A554C" w:rsidRPr="00D92DF5">
        <w:t>Again</w:t>
      </w:r>
      <w:r w:rsidR="003A554C">
        <w:t xml:space="preserve">, the dispute between the parties does not focus on the above results or statistical principles. </w:t>
      </w:r>
      <w:r w:rsidR="00CB64FE">
        <w:t xml:space="preserve"> </w:t>
      </w:r>
      <w:r w:rsidR="003A554C">
        <w:t xml:space="preserve">The issue is what </w:t>
      </w:r>
      <w:r w:rsidR="00BE463E">
        <w:t xml:space="preserve">legal impact </w:t>
      </w:r>
      <w:r w:rsidR="003A554C">
        <w:t>is appropriately attributed to the results.</w:t>
      </w:r>
      <w:r w:rsidR="004B6254">
        <w:t xml:space="preserve">  Decision mak</w:t>
      </w:r>
      <w:r w:rsidR="00BE463E">
        <w:t>ers are free to determine how much statistical confidence they require to make a decision, accepting the amount of risk</w:t>
      </w:r>
      <w:r w:rsidR="002E3A0B">
        <w:t xml:space="preserve"> that confidence level implies,</w:t>
      </w:r>
      <w:r w:rsidR="00BE463E">
        <w:t xml:space="preserve"> </w:t>
      </w:r>
      <w:r w:rsidR="004B6254">
        <w:t>to apply to the “confidence level</w:t>
      </w:r>
      <w:r>
        <w:t xml:space="preserve">” </w:t>
      </w:r>
      <w:r>
        <w:lastRenderedPageBreak/>
        <w:t>generated by the study data.</w:t>
      </w:r>
      <w:r w:rsidR="004B6254">
        <w:t xml:space="preserve"> </w:t>
      </w:r>
      <w:r w:rsidR="00385997">
        <w:t xml:space="preserve"> </w:t>
      </w:r>
      <w:r w:rsidR="004B6254">
        <w:t xml:space="preserve">The decision maker can decide </w:t>
      </w:r>
      <w:r w:rsidR="00B0575C">
        <w:t>what level of significance it will use as a “cut off” for consideration of evidence, whet</w:t>
      </w:r>
      <w:r w:rsidR="002E3A0B">
        <w:t>her that be 51</w:t>
      </w:r>
      <w:r w:rsidR="00155D44">
        <w:t xml:space="preserve">% </w:t>
      </w:r>
      <w:r w:rsidR="002E3A0B">
        <w:t>or 95%, or something in</w:t>
      </w:r>
      <w:r w:rsidR="002E3A0B">
        <w:noBreakHyphen/>
      </w:r>
      <w:r w:rsidR="00155D44">
        <w:t>between</w:t>
      </w:r>
      <w:r w:rsidR="00B0575C">
        <w:t>.</w:t>
      </w:r>
      <w:r w:rsidR="00385997">
        <w:rPr>
          <w:rStyle w:val="FootnoteReference"/>
        </w:rPr>
        <w:footnoteReference w:id="126"/>
      </w:r>
      <w:r w:rsidR="00B0575C">
        <w:t xml:space="preserve">  </w:t>
      </w:r>
    </w:p>
    <w:p w:rsidR="00E72940" w:rsidRDefault="00E72940" w:rsidP="00E72940">
      <w:pPr>
        <w:pStyle w:val="ParNumber"/>
        <w:ind w:left="0" w:hanging="720"/>
      </w:pPr>
      <w:r>
        <w:tab/>
      </w:r>
      <w:r w:rsidR="002E3A0B">
        <w:t>Dr. Vilbert argues that 95</w:t>
      </w:r>
      <w:r w:rsidR="00A133C1">
        <w:t>%</w:t>
      </w:r>
      <w:r w:rsidR="00CB64FE">
        <w:t xml:space="preserve"> is an absolute cut-off,</w:t>
      </w:r>
      <w:r w:rsidR="00657503">
        <w:t xml:space="preserve"> but cites no binding </w:t>
      </w:r>
      <w:r w:rsidR="00155D44">
        <w:t xml:space="preserve">precedent </w:t>
      </w:r>
      <w:r w:rsidR="00657503">
        <w:t>that imposes that standard</w:t>
      </w:r>
      <w:r w:rsidR="00CB64FE">
        <w:t xml:space="preserve"> on the Commission</w:t>
      </w:r>
      <w:r w:rsidR="002E3A0B">
        <w:t xml:space="preserve">.  </w:t>
      </w:r>
      <w:r w:rsidR="00D92DF5">
        <w:t>The fact that many academic journals use the standard is not determinative in a civil legal proceeding.  Even if the academic standard is applied, some acad</w:t>
      </w:r>
      <w:r w:rsidR="002E3A0B">
        <w:t>emic journal standards use a 90</w:t>
      </w:r>
      <w:r w:rsidR="00A133C1">
        <w:t>%</w:t>
      </w:r>
      <w:r w:rsidR="00D92DF5">
        <w:t xml:space="preserve"> significance level, a standard met by </w:t>
      </w:r>
      <w:r w:rsidR="00860EA5">
        <w:t>some of the evidence in the case.</w:t>
      </w:r>
      <w:r w:rsidR="00860EA5">
        <w:rPr>
          <w:rStyle w:val="FootnoteReference"/>
        </w:rPr>
        <w:footnoteReference w:id="127"/>
      </w:r>
      <w:r w:rsidR="00860EA5">
        <w:t xml:space="preserve">  </w:t>
      </w:r>
      <w:r w:rsidR="002E3A0B">
        <w:t>The 95</w:t>
      </w:r>
      <w:r w:rsidR="00A133C1">
        <w:t>%</w:t>
      </w:r>
      <w:r w:rsidR="00657503">
        <w:t xml:space="preserve"> level is akin to requiring proof beyond a reasonable doubt</w:t>
      </w:r>
      <w:r w:rsidR="00D20620">
        <w:t>, a standard not applicable in civil cases</w:t>
      </w:r>
      <w:r w:rsidR="00657503">
        <w:t>.</w:t>
      </w:r>
      <w:r w:rsidR="00D20620">
        <w:rPr>
          <w:rStyle w:val="FootnoteReference"/>
        </w:rPr>
        <w:footnoteReference w:id="128"/>
      </w:r>
      <w:r w:rsidR="00657503">
        <w:t xml:space="preserve">  The evidentiary standard for Commission proceedings</w:t>
      </w:r>
      <w:r w:rsidR="00D20620">
        <w:t xml:space="preserve"> </w:t>
      </w:r>
      <w:r w:rsidR="00657503">
        <w:t xml:space="preserve">is </w:t>
      </w:r>
      <w:r w:rsidR="00155D44">
        <w:t xml:space="preserve">a </w:t>
      </w:r>
      <w:r w:rsidR="00675F5A">
        <w:t>“</w:t>
      </w:r>
      <w:r w:rsidR="00657503">
        <w:t>pr</w:t>
      </w:r>
      <w:r w:rsidR="002E3A0B">
        <w:t>eponderance of the evidence”</w:t>
      </w:r>
      <w:r w:rsidR="00F339DC">
        <w:t xml:space="preserve"> standard, which requires that “the evidence establish the proposition at issue is more probably true than not true.”</w:t>
      </w:r>
      <w:r w:rsidR="00753584">
        <w:rPr>
          <w:rStyle w:val="FootnoteReference"/>
        </w:rPr>
        <w:footnoteReference w:id="129"/>
      </w:r>
      <w:r w:rsidR="004F0903">
        <w:t xml:space="preserve">  </w:t>
      </w:r>
    </w:p>
    <w:p w:rsidR="00B0575C" w:rsidRDefault="00E72940" w:rsidP="00E72940">
      <w:pPr>
        <w:pStyle w:val="ParNumber"/>
        <w:ind w:left="0" w:hanging="720"/>
      </w:pPr>
      <w:r>
        <w:tab/>
      </w:r>
      <w:r w:rsidR="0015254F">
        <w:t xml:space="preserve">Requiring </w:t>
      </w:r>
      <w:r w:rsidR="00155D44">
        <w:t xml:space="preserve">that </w:t>
      </w:r>
      <w:r w:rsidR="0015254F">
        <w:t xml:space="preserve">evidence </w:t>
      </w:r>
      <w:r w:rsidR="00155D44">
        <w:t xml:space="preserve">must </w:t>
      </w:r>
      <w:r w:rsidR="002E3A0B">
        <w:t>meet the 95</w:t>
      </w:r>
      <w:r w:rsidR="00A133C1">
        <w:t>%</w:t>
      </w:r>
      <w:r w:rsidR="0015254F">
        <w:t xml:space="preserve"> standard or be afforded no weight at all is incompatible with the preponderance of the evidence standard. </w:t>
      </w:r>
      <w:r w:rsidR="00471D2A">
        <w:t xml:space="preserve"> Dr. Vilbert is asking the Commission to reject </w:t>
      </w:r>
      <w:r w:rsidR="000325F2">
        <w:t xml:space="preserve">undisputed </w:t>
      </w:r>
      <w:r w:rsidR="00471D2A">
        <w:t xml:space="preserve">evidence showing that in 83 </w:t>
      </w:r>
      <w:r w:rsidR="000325F2">
        <w:t xml:space="preserve">to </w:t>
      </w:r>
      <w:r w:rsidR="00471D2A">
        <w:t>92 cases out of 100, it would be correct if it decided that the cost of equity capital would be reduced</w:t>
      </w:r>
      <w:r w:rsidR="000325F2">
        <w:t xml:space="preserve"> by decoupling, on the sole basis that the </w:t>
      </w:r>
      <w:r w:rsidR="00471D2A">
        <w:t>evidence does not show the Commission would be correct in 95 cases out of 100.</w:t>
      </w:r>
      <w:r w:rsidR="000325F2">
        <w:t xml:space="preserve">  This i</w:t>
      </w:r>
      <w:r w:rsidR="002E3A0B">
        <w:t xml:space="preserve">s an arbitrary dividing line.  </w:t>
      </w:r>
      <w:r w:rsidR="003177C3">
        <w:t>A</w:t>
      </w:r>
      <w:r w:rsidR="00606D69">
        <w:t xml:space="preserve"> better </w:t>
      </w:r>
      <w:r w:rsidR="00B0575C">
        <w:t xml:space="preserve">approach is for the </w:t>
      </w:r>
      <w:r w:rsidR="000325F2">
        <w:t xml:space="preserve">Commission </w:t>
      </w:r>
      <w:r w:rsidR="00B0575C">
        <w:t xml:space="preserve">to simply look at the </w:t>
      </w:r>
      <w:r w:rsidR="00B0575C">
        <w:lastRenderedPageBreak/>
        <w:t>confidence bounds (</w:t>
      </w:r>
      <w:r w:rsidR="00B0575C" w:rsidRPr="00E72940">
        <w:rPr>
          <w:i/>
        </w:rPr>
        <w:t>p</w:t>
      </w:r>
      <w:r w:rsidR="007F4BF7">
        <w:noBreakHyphen/>
      </w:r>
      <w:r w:rsidR="00B0575C">
        <w:t xml:space="preserve">values) of the data and to decide what weight </w:t>
      </w:r>
      <w:r w:rsidR="000325F2">
        <w:t xml:space="preserve">it wishes to afford </w:t>
      </w:r>
      <w:r w:rsidR="00B0575C">
        <w:t>the evidence.</w:t>
      </w:r>
      <w:r w:rsidR="0015254F" w:rsidRPr="0015254F">
        <w:t xml:space="preserve"> </w:t>
      </w:r>
      <w:r w:rsidR="00606D69">
        <w:t xml:space="preserve"> </w:t>
      </w:r>
      <w:r w:rsidR="000325F2">
        <w:t xml:space="preserve">Dr. Adolph discusses how this is an approach </w:t>
      </w:r>
      <w:r w:rsidR="002E3A0B">
        <w:t>which has support in the academ</w:t>
      </w:r>
      <w:r w:rsidR="000325F2">
        <w:t xml:space="preserve">ic sphere, as an alternative to </w:t>
      </w:r>
      <w:r w:rsidR="002E3A0B">
        <w:t xml:space="preserve">an arbitrary cut-off.  </w:t>
      </w:r>
      <w:r w:rsidR="00DB0268">
        <w:t>T</w:t>
      </w:r>
      <w:r w:rsidR="0015254F">
        <w:t xml:space="preserve">he Commission has the discretion to make its own determination about what confidence level it requires </w:t>
      </w:r>
      <w:r w:rsidR="00DB0268">
        <w:t xml:space="preserve">in the evidence presented </w:t>
      </w:r>
      <w:r w:rsidR="0015254F">
        <w:t>to meet the prepon</w:t>
      </w:r>
      <w:r w:rsidR="00843033">
        <w:t>derance of the evidence test.</w:t>
      </w:r>
    </w:p>
    <w:p w:rsidR="005060A8" w:rsidRDefault="00577341" w:rsidP="007F4BF7">
      <w:pPr>
        <w:pStyle w:val="Heading4"/>
        <w:spacing w:before="0"/>
      </w:pPr>
      <w:bookmarkStart w:id="42" w:name="_Toc413395593"/>
      <w:r>
        <w:t xml:space="preserve">The </w:t>
      </w:r>
      <w:r w:rsidR="00EF2A95">
        <w:t>statistical analysis</w:t>
      </w:r>
      <w:r>
        <w:t xml:space="preserve"> provides a basis for the Commission to reasonably conclude with a strong degree of confidence that decoupling reduces PSE’s cost of capital.</w:t>
      </w:r>
      <w:bookmarkEnd w:id="42"/>
    </w:p>
    <w:p w:rsidR="007F4BF7" w:rsidRPr="007F4BF7" w:rsidRDefault="007F4BF7" w:rsidP="007F4BF7"/>
    <w:p w:rsidR="00E72940" w:rsidRDefault="007F4BF7" w:rsidP="00E72940">
      <w:pPr>
        <w:pStyle w:val="ParNumber"/>
        <w:ind w:left="0" w:hanging="720"/>
      </w:pPr>
      <w:r>
        <w:tab/>
      </w:r>
      <w:r w:rsidR="00753584">
        <w:t xml:space="preserve">In summary, the original published March 2014 Brattle Report, the most reliable </w:t>
      </w:r>
      <w:r w:rsidR="0043666B">
        <w:t xml:space="preserve">Brattle </w:t>
      </w:r>
      <w:r w:rsidR="00753584">
        <w:t xml:space="preserve">data in the record, </w:t>
      </w:r>
      <w:r w:rsidR="0043666B">
        <w:t xml:space="preserve">shows that there is a </w:t>
      </w:r>
      <w:r w:rsidR="00753584">
        <w:t>reduction of between 40 and 49 basis points in cost of capital</w:t>
      </w:r>
      <w:r w:rsidR="00DB0268">
        <w:rPr>
          <w:rStyle w:val="FootnoteReference"/>
        </w:rPr>
        <w:footnoteReference w:id="130"/>
      </w:r>
      <w:r w:rsidR="00DB0268">
        <w:t xml:space="preserve"> </w:t>
      </w:r>
      <w:r w:rsidR="00753584">
        <w:t>resulting from decoupling</w:t>
      </w:r>
      <w:r w:rsidR="00C1657E">
        <w:t xml:space="preserve">, with a confidence level of 86 to </w:t>
      </w:r>
      <w:r w:rsidR="00C7761C">
        <w:t>92</w:t>
      </w:r>
      <w:r w:rsidR="00A133C1">
        <w:t>%</w:t>
      </w:r>
      <w:r>
        <w:t xml:space="preserve">.  </w:t>
      </w:r>
      <w:r w:rsidR="00C1657E">
        <w:t xml:space="preserve">Based on these results, the Commission can reasonably conclude that a preponderance of the statistical evidence in the record establishes that a </w:t>
      </w:r>
      <w:r w:rsidR="0043666B">
        <w:t xml:space="preserve">significant </w:t>
      </w:r>
      <w:r w:rsidR="00C1657E">
        <w:t xml:space="preserve">cost of capital reduction </w:t>
      </w:r>
      <w:r w:rsidR="0043666B">
        <w:t xml:space="preserve">for PSE </w:t>
      </w:r>
      <w:r w:rsidR="00C1657E">
        <w:t>is appropriate due to decoupling.</w:t>
      </w:r>
      <w:r w:rsidR="006F7FB1">
        <w:rPr>
          <w:rStyle w:val="FootnoteReference"/>
        </w:rPr>
        <w:footnoteReference w:id="131"/>
      </w:r>
    </w:p>
    <w:p w:rsidR="00E72940" w:rsidRDefault="00E72940" w:rsidP="00E72940">
      <w:pPr>
        <w:pStyle w:val="ParNumber"/>
        <w:ind w:left="0" w:hanging="720"/>
      </w:pPr>
      <w:r>
        <w:tab/>
      </w:r>
      <w:r w:rsidR="00C1657E">
        <w:t>If the Commission alternatively accepts Dr. Vilbert’s preferred updated studies (Electric Study I and II), these data es</w:t>
      </w:r>
      <w:r w:rsidR="0043666B">
        <w:t xml:space="preserve">tablish that there is a reduction of 25 basis points in the </w:t>
      </w:r>
      <w:r w:rsidR="00B26348">
        <w:t xml:space="preserve">overall </w:t>
      </w:r>
      <w:r w:rsidR="0043666B">
        <w:t>cost of capital</w:t>
      </w:r>
      <w:r w:rsidR="006F7FB1">
        <w:t xml:space="preserve">, due to decoupling, translating to </w:t>
      </w:r>
      <w:r w:rsidR="00F74969">
        <w:t>42 basis</w:t>
      </w:r>
      <w:r w:rsidR="00B26348">
        <w:t xml:space="preserve"> point reduction in the cost of equity capital</w:t>
      </w:r>
      <w:r w:rsidR="00C7761C">
        <w:t>, with a confidence level of 83</w:t>
      </w:r>
      <w:r w:rsidR="00A133C1">
        <w:t>%</w:t>
      </w:r>
      <w:r w:rsidR="0043666B">
        <w:t>.</w:t>
      </w:r>
      <w:r w:rsidR="00F74969">
        <w:rPr>
          <w:rStyle w:val="FootnoteReference"/>
        </w:rPr>
        <w:footnoteReference w:id="132"/>
      </w:r>
    </w:p>
    <w:p w:rsidR="00E72940" w:rsidRDefault="00E72940" w:rsidP="00E72940">
      <w:pPr>
        <w:pStyle w:val="ParNumber"/>
        <w:ind w:left="0" w:hanging="720"/>
      </w:pPr>
      <w:r>
        <w:tab/>
      </w:r>
      <w:r w:rsidR="003660C6">
        <w:t>PSE has not made a persuasive showing that the Commission is r</w:t>
      </w:r>
      <w:r w:rsidR="00C7761C">
        <w:t>equired to use an inflexible 95</w:t>
      </w:r>
      <w:r w:rsidR="00A133C1">
        <w:t>%</w:t>
      </w:r>
      <w:r w:rsidR="003660C6">
        <w:t xml:space="preserve"> level for the significance of the Brattle study results.  The Commission is free to </w:t>
      </w:r>
      <w:r w:rsidR="003660C6">
        <w:lastRenderedPageBreak/>
        <w:t xml:space="preserve">weigh the evidence without </w:t>
      </w:r>
      <w:r w:rsidR="00654B04">
        <w:t xml:space="preserve">Dr. Vilbert’s preferred </w:t>
      </w:r>
      <w:r w:rsidR="003660C6">
        <w:t xml:space="preserve">filter, and determine its appropriate weight.  The Brattle </w:t>
      </w:r>
      <w:r w:rsidR="00707EAF">
        <w:t xml:space="preserve">results </w:t>
      </w:r>
      <w:r w:rsidR="006F7FB1">
        <w:t xml:space="preserve">are sufficient to </w:t>
      </w:r>
      <w:r w:rsidR="00707EAF">
        <w:t>provide a basis for the Commission to conclude that a preponderance of the statistical evidence establishes that a significant cost of capital reduction for PSE is</w:t>
      </w:r>
      <w:r w:rsidR="007F4BF7">
        <w:t xml:space="preserve"> appropriate due to decoupling.</w:t>
      </w:r>
      <w:r w:rsidR="006F7FB1">
        <w:rPr>
          <w:rStyle w:val="FootnoteReference"/>
        </w:rPr>
        <w:footnoteReference w:id="133"/>
      </w:r>
      <w:r w:rsidR="001152C7">
        <w:t xml:space="preserve">  </w:t>
      </w:r>
    </w:p>
    <w:p w:rsidR="0061287F" w:rsidRDefault="00E72940" w:rsidP="00E72940">
      <w:pPr>
        <w:pStyle w:val="ParNumber"/>
        <w:ind w:left="0" w:hanging="720"/>
      </w:pPr>
      <w:r>
        <w:tab/>
      </w:r>
      <w:r w:rsidR="001152C7">
        <w:t xml:space="preserve">As a final point, it is important to </w:t>
      </w:r>
      <w:r w:rsidR="0061287F">
        <w:t xml:space="preserve">recall </w:t>
      </w:r>
      <w:r w:rsidR="001152C7">
        <w:t xml:space="preserve">that </w:t>
      </w:r>
      <w:r w:rsidR="0061287F">
        <w:t xml:space="preserve">the Brattle </w:t>
      </w:r>
      <w:r w:rsidR="00C0219B">
        <w:t xml:space="preserve">Group </w:t>
      </w:r>
      <w:r w:rsidR="0061287F">
        <w:t xml:space="preserve">studies </w:t>
      </w:r>
      <w:r w:rsidR="00C0219B">
        <w:t xml:space="preserve">do not provide </w:t>
      </w:r>
      <w:r w:rsidR="0061287F">
        <w:t xml:space="preserve">evidence </w:t>
      </w:r>
      <w:r w:rsidR="0061287F" w:rsidRPr="00E72940">
        <w:rPr>
          <w:i/>
        </w:rPr>
        <w:t>against</w:t>
      </w:r>
      <w:r w:rsidR="0061287F">
        <w:t xml:space="preserve"> the conclusion </w:t>
      </w:r>
      <w:r w:rsidR="00C0219B">
        <w:t xml:space="preserve">that </w:t>
      </w:r>
      <w:r w:rsidR="0061287F">
        <w:t>decoupling reduces c</w:t>
      </w:r>
      <w:r w:rsidR="005B1559">
        <w:t xml:space="preserve">ost of capital for utilities.  </w:t>
      </w:r>
      <w:r w:rsidR="0061287F">
        <w:t>“In statistical inference, the absence of evidence is not the same as evidence of absence[.]”</w:t>
      </w:r>
      <w:r w:rsidR="0061287F">
        <w:rPr>
          <w:rStyle w:val="FootnoteReference"/>
        </w:rPr>
        <w:footnoteReference w:id="134"/>
      </w:r>
      <w:r w:rsidR="007F4BF7">
        <w:t xml:space="preserve">  </w:t>
      </w:r>
      <w:r w:rsidR="0061287F">
        <w:t>If the Commi</w:t>
      </w:r>
      <w:r w:rsidR="007F4BF7">
        <w:t xml:space="preserve">ssion decides that the Brattle </w:t>
      </w:r>
      <w:r w:rsidR="00D04C24">
        <w:t xml:space="preserve">Group </w:t>
      </w:r>
      <w:r w:rsidR="007F4BF7">
        <w:t>r</w:t>
      </w:r>
      <w:r w:rsidR="0061287F">
        <w:t>esults must meet Dr. V</w:t>
      </w:r>
      <w:r w:rsidR="005B1559">
        <w:t>ilbert’s preferred level of 95</w:t>
      </w:r>
      <w:r w:rsidR="00A133C1">
        <w:t>%</w:t>
      </w:r>
      <w:r w:rsidR="0061287F">
        <w:t xml:space="preserve"> statistical significance, </w:t>
      </w:r>
      <w:r w:rsidR="00C0219B">
        <w:t xml:space="preserve">the Commission cannot draw any conclusions one way or the other from the Brattle Group studies.  It can still, however, look to other evidence in the record on the issue of decoupling impact, </w:t>
      </w:r>
      <w:r w:rsidR="00D04C24">
        <w:t>such as</w:t>
      </w:r>
      <w:r w:rsidR="00C0219B">
        <w:t xml:space="preserve"> Mr. Hill’s revenue volatility analysis, discussed in the next section. </w:t>
      </w:r>
    </w:p>
    <w:p w:rsidR="00725D1C" w:rsidRDefault="00782A94" w:rsidP="00D04C24">
      <w:pPr>
        <w:pStyle w:val="Heading2"/>
        <w:spacing w:before="0"/>
      </w:pPr>
      <w:bookmarkStart w:id="43" w:name="_Toc413395594"/>
      <w:r>
        <w:t xml:space="preserve">Mr. Hill’s </w:t>
      </w:r>
      <w:r w:rsidR="00692297">
        <w:t xml:space="preserve">Net </w:t>
      </w:r>
      <w:r w:rsidR="00725D1C">
        <w:t xml:space="preserve">Revenue Volatility </w:t>
      </w:r>
      <w:r w:rsidR="008C3E7E">
        <w:t>Analysis</w:t>
      </w:r>
      <w:r w:rsidR="00725D1C">
        <w:t xml:space="preserve"> Demonstrates The Im</w:t>
      </w:r>
      <w:r w:rsidR="00145BC4">
        <w:t>pact of Decoupling O</w:t>
      </w:r>
      <w:r w:rsidR="0061079D">
        <w:t>n The Cost o</w:t>
      </w:r>
      <w:r w:rsidR="00725D1C">
        <w:t>f Capital</w:t>
      </w:r>
      <w:r w:rsidR="0061079D">
        <w:t>.</w:t>
      </w:r>
      <w:bookmarkEnd w:id="43"/>
      <w:r w:rsidR="0061079D">
        <w:t xml:space="preserve"> </w:t>
      </w:r>
    </w:p>
    <w:p w:rsidR="00725D1C" w:rsidRDefault="00725D1C" w:rsidP="00725D1C"/>
    <w:p w:rsidR="00725D1C" w:rsidRDefault="00D04C24" w:rsidP="00E72940">
      <w:pPr>
        <w:pStyle w:val="ParNumber"/>
        <w:ind w:left="0" w:hanging="720"/>
      </w:pPr>
      <w:r>
        <w:tab/>
      </w:r>
      <w:r w:rsidR="00725D1C">
        <w:t xml:space="preserve">In addition to the cost of capital impact evident from the Brattle Report, the impact of decoupling on cost of capital can also be determined by an analysis of </w:t>
      </w:r>
      <w:r w:rsidR="005B6DAC">
        <w:t xml:space="preserve">revenue volatility.  </w:t>
      </w:r>
      <w:r w:rsidR="00DC62C0">
        <w:t>Commission Staff identified this as measure of impact in the earlier phase of the case in their pre-filed testimony:</w:t>
      </w:r>
    </w:p>
    <w:p w:rsidR="00A12E04" w:rsidRDefault="00A12E04" w:rsidP="004D010C">
      <w:pPr>
        <w:ind w:left="720" w:right="720"/>
        <w:jc w:val="both"/>
      </w:pPr>
      <w:r>
        <w:t>Full decoupling should reduce substantially the utility’s revenue risk by guaranteeing a specific</w:t>
      </w:r>
      <w:r w:rsidR="0061079D">
        <w:t xml:space="preserve"> amount of revenue per customer. ..</w:t>
      </w:r>
      <w:r>
        <w:t>.</w:t>
      </w:r>
      <w:r w:rsidR="0061079D">
        <w:t xml:space="preserve"> </w:t>
      </w:r>
      <w:r>
        <w:t xml:space="preserve">Reduced revenue volatility reduces risk which should translate into lower capital costs, either as a </w:t>
      </w:r>
      <w:r>
        <w:lastRenderedPageBreak/>
        <w:t>lower required return on equity or the need for less equity in the utility’s capital structure.</w:t>
      </w:r>
      <w:r w:rsidR="004D010C">
        <w:rPr>
          <w:rStyle w:val="FootnoteReference"/>
        </w:rPr>
        <w:footnoteReference w:id="135"/>
      </w:r>
    </w:p>
    <w:p w:rsidR="00513586" w:rsidRDefault="00513586" w:rsidP="004D010C">
      <w:pPr>
        <w:ind w:left="720" w:right="720"/>
        <w:jc w:val="both"/>
      </w:pPr>
    </w:p>
    <w:p w:rsidR="00E72940" w:rsidRDefault="00725D1C" w:rsidP="00E72940">
      <w:pPr>
        <w:pStyle w:val="ParNumber"/>
        <w:ind w:left="0" w:hanging="720"/>
      </w:pPr>
      <w:r>
        <w:tab/>
      </w:r>
      <w:r w:rsidR="00A12E04">
        <w:t xml:space="preserve">On behalf of </w:t>
      </w:r>
      <w:r>
        <w:t>Public Counsel</w:t>
      </w:r>
      <w:r w:rsidR="00A12E04">
        <w:t>,</w:t>
      </w:r>
      <w:r>
        <w:t xml:space="preserve"> Mr. Hill performed a revenue volatility analysis for the remand phase of the case</w:t>
      </w:r>
      <w:r w:rsidR="00DC62C0">
        <w:t xml:space="preserve"> and presented the results in his pre-filed direct testimony.</w:t>
      </w:r>
      <w:r w:rsidR="00DC62C0">
        <w:rPr>
          <w:rStyle w:val="FootnoteReference"/>
        </w:rPr>
        <w:footnoteReference w:id="136"/>
      </w:r>
      <w:r w:rsidR="005B0E24">
        <w:t xml:space="preserve">  The basic premise of this analysis is that an investor </w:t>
      </w:r>
      <w:r w:rsidR="008C3E7E">
        <w:t>purchases</w:t>
      </w:r>
      <w:r w:rsidR="005B0E24">
        <w:t xml:space="preserve"> a financial asset with the expectation the asset will produce a future s</w:t>
      </w:r>
      <w:r w:rsidR="004E3BE0">
        <w:t>tream of income to the investor, generating an expected rate of return.  The risk of investing in the asset is directly related to the possibility that actual, realized returns will d</w:t>
      </w:r>
      <w:r w:rsidR="00F53242">
        <w:t xml:space="preserve">eviate from expected returns.  </w:t>
      </w:r>
      <w:r w:rsidR="004E3BE0">
        <w:t xml:space="preserve">A measure of </w:t>
      </w:r>
      <w:r w:rsidR="005A6882">
        <w:t xml:space="preserve">investment </w:t>
      </w:r>
      <w:r w:rsidR="004E3BE0">
        <w:t xml:space="preserve">risk, therefore, is the volatility or variability of the income stream it generates. </w:t>
      </w:r>
      <w:r w:rsidR="00562FC1">
        <w:t xml:space="preserve"> The fundamental concept is that the volatility of the financial asset is directly related to its investment risk.</w:t>
      </w:r>
    </w:p>
    <w:p w:rsidR="00E72940" w:rsidRDefault="00E72940" w:rsidP="00E72940">
      <w:pPr>
        <w:pStyle w:val="ParNumber"/>
        <w:ind w:left="0" w:hanging="720"/>
      </w:pPr>
      <w:r>
        <w:tab/>
      </w:r>
      <w:r w:rsidR="00016BCE">
        <w:t xml:space="preserve">Decoupling acts like a revenue pass-through rate adjustment for factors that cause revenue volatility, including </w:t>
      </w:r>
      <w:r w:rsidR="008057D8">
        <w:t xml:space="preserve">weather, </w:t>
      </w:r>
      <w:r w:rsidR="00016BCE">
        <w:t xml:space="preserve">conservation, economic downturns, price elasticity, changes in customer </w:t>
      </w:r>
      <w:r w:rsidR="00F53242">
        <w:t xml:space="preserve">mix, or technological change.  </w:t>
      </w:r>
      <w:r w:rsidR="00016BCE">
        <w:t>It operates as a buffer, sheltering the shareholders from fluctuations in revenue and moderating swings in operating earnings and dividends that might otherwise result from these factors.  The allowed rate of return for a utility w</w:t>
      </w:r>
      <w:r w:rsidR="00CA0655">
        <w:t xml:space="preserve">ith revenues decoupled from volumetric sales must be lower than that for the same utility under traditional regulation.  </w:t>
      </w:r>
    </w:p>
    <w:p w:rsidR="00E72940" w:rsidRDefault="00E72940" w:rsidP="00E72940">
      <w:pPr>
        <w:pStyle w:val="ParNumber"/>
        <w:ind w:left="0" w:hanging="720"/>
      </w:pPr>
      <w:r>
        <w:tab/>
      </w:r>
      <w:r w:rsidR="00CA0655">
        <w:t xml:space="preserve">The revenue volatility analysis is a method to quantify that impact.  As Mr. Hill observes, this is </w:t>
      </w:r>
      <w:r w:rsidR="00491A29">
        <w:t>i</w:t>
      </w:r>
      <w:r w:rsidR="00F53242">
        <w:t xml:space="preserve">ntuitively obvious.  </w:t>
      </w:r>
      <w:r w:rsidR="00CA0655">
        <w:t xml:space="preserve">If, for example, operating costs were </w:t>
      </w:r>
      <w:r w:rsidR="00747C99">
        <w:t>constant, and 100</w:t>
      </w:r>
      <w:r w:rsidR="00A133C1">
        <w:t>%</w:t>
      </w:r>
      <w:r w:rsidR="006C0EAB">
        <w:t xml:space="preserve"> of the utility’s revenue variance were eliminated by decoupling, a utility equity investment would </w:t>
      </w:r>
      <w:r w:rsidR="006C0EAB">
        <w:lastRenderedPageBreak/>
        <w:t>become</w:t>
      </w:r>
      <w:r w:rsidR="000053DD">
        <w:t>,</w:t>
      </w:r>
      <w:r w:rsidR="006C0EAB">
        <w:t xml:space="preserve"> in effect</w:t>
      </w:r>
      <w:r w:rsidR="000053DD">
        <w:t>,</w:t>
      </w:r>
      <w:r w:rsidR="006C0EAB">
        <w:t xml:space="preserve"> a bond-like investment.  The level of uncertainty would be either eliminated or substantially reduced and the risk-adjusted equity return would move to a level comparable to debt capital.</w:t>
      </w:r>
      <w:r w:rsidR="00562FC1">
        <w:rPr>
          <w:rStyle w:val="FootnoteReference"/>
        </w:rPr>
        <w:footnoteReference w:id="137"/>
      </w:r>
      <w:r w:rsidR="006C0EAB">
        <w:t xml:space="preserve"> </w:t>
      </w:r>
    </w:p>
    <w:p w:rsidR="00E72940" w:rsidRDefault="00E72940" w:rsidP="00E72940">
      <w:pPr>
        <w:pStyle w:val="ParNumber"/>
        <w:ind w:left="0" w:hanging="720"/>
      </w:pPr>
      <w:r>
        <w:tab/>
      </w:r>
      <w:r w:rsidR="006C0EAB">
        <w:t>Mr. Hill used a two-step methodology</w:t>
      </w:r>
      <w:r w:rsidR="000053DD">
        <w:t xml:space="preserve"> to analyze the cost of equity impact of a reduction in revenue volatility</w:t>
      </w:r>
      <w:r w:rsidR="006C0EAB">
        <w:t xml:space="preserve">.  First, he measured the degree to which utility revenues were dependent on factors such as economic growth and weather.  Second, he quantified the net revenue volatility that normally exists for </w:t>
      </w:r>
      <w:r w:rsidR="000053DD">
        <w:t xml:space="preserve">PSE’s </w:t>
      </w:r>
      <w:r w:rsidR="006C0EAB">
        <w:t xml:space="preserve">utility operations. </w:t>
      </w:r>
      <w:r w:rsidR="00BE4C27">
        <w:t xml:space="preserve"> </w:t>
      </w:r>
      <w:r w:rsidR="00AD2A15">
        <w:t xml:space="preserve">Mr. Hill obtained </w:t>
      </w:r>
      <w:r w:rsidR="00562FC1">
        <w:t xml:space="preserve">Washington State economic data from the Bureau of Labor Statistics as well as </w:t>
      </w:r>
      <w:r w:rsidR="00AD2A15">
        <w:t>data in discovery from PSE for the period 1999-2013 for revenues and heating degree days</w:t>
      </w:r>
      <w:r w:rsidR="00562FC1">
        <w:t xml:space="preserve">.  </w:t>
      </w:r>
      <w:r w:rsidR="00AD2A15">
        <w:t xml:space="preserve">He </w:t>
      </w:r>
      <w:r w:rsidR="008C3E7E">
        <w:t>performed</w:t>
      </w:r>
      <w:r w:rsidR="00AD2A15">
        <w:t xml:space="preserve"> a multiple regression analysis of the historical net revenues, established PSE’s net revenue trend for the period, and performed a combined utility operations variance analysis</w:t>
      </w:r>
      <w:r w:rsidR="00D263A4">
        <w:t>, assuming that decoupling, ultimately, would reduce the variance in PSE’s net revenues by</w:t>
      </w:r>
      <w:r w:rsidR="00611AE1">
        <w:t xml:space="preserve"> approximately 35</w:t>
      </w:r>
      <w:r w:rsidR="00A133C1">
        <w:t>%</w:t>
      </w:r>
      <w:r w:rsidR="00AD2A15">
        <w:t>.</w:t>
      </w:r>
      <w:r w:rsidR="00AD2A15">
        <w:rPr>
          <w:rStyle w:val="FootnoteReference"/>
        </w:rPr>
        <w:footnoteReference w:id="138"/>
      </w:r>
      <w:r w:rsidR="00BE4C27">
        <w:t xml:space="preserve">  </w:t>
      </w:r>
    </w:p>
    <w:p w:rsidR="00CA0655" w:rsidRPr="00DC011B" w:rsidRDefault="00E72940" w:rsidP="00E72940">
      <w:pPr>
        <w:pStyle w:val="ParNumber"/>
        <w:ind w:left="0" w:hanging="720"/>
      </w:pPr>
      <w:r>
        <w:tab/>
      </w:r>
      <w:r w:rsidR="003D1ADB">
        <w:t>Based on this analysis, Mr. Hill calculated that an equity return reduction of 33.5 basis points would be appropriate for PSE under its new decoupling mechanism.</w:t>
      </w:r>
      <w:r w:rsidR="00C6783E">
        <w:t xml:space="preserve">  This is consistent with the market-based data analysis provided in the Brattle Group</w:t>
      </w:r>
      <w:r w:rsidR="004C366E">
        <w:t xml:space="preserve"> </w:t>
      </w:r>
      <w:r w:rsidR="00C6783E">
        <w:t xml:space="preserve">study, which indicated that </w:t>
      </w:r>
      <w:r w:rsidR="00562FC1">
        <w:t xml:space="preserve">a </w:t>
      </w:r>
      <w:r w:rsidR="00C6783E">
        <w:t xml:space="preserve">decoupling based adjustment to equity return in the range of 25 to </w:t>
      </w:r>
      <w:r w:rsidR="00A96D8D">
        <w:t>75</w:t>
      </w:r>
      <w:r w:rsidR="00C6783E">
        <w:t xml:space="preserve"> basis points is reasonable.</w:t>
      </w:r>
      <w:r w:rsidR="003D1ADB">
        <w:rPr>
          <w:rStyle w:val="FootnoteReference"/>
        </w:rPr>
        <w:footnoteReference w:id="139"/>
      </w:r>
      <w:r w:rsidR="00145BC4">
        <w:t xml:space="preserve">  Taking into account both analyses, Mr. Hill recommends a decoupling adjustment to market-based ROE of 35 basis points.  </w:t>
      </w:r>
    </w:p>
    <w:p w:rsidR="00710700" w:rsidRDefault="00FD7FAC" w:rsidP="00674EAB">
      <w:pPr>
        <w:pStyle w:val="Heading2"/>
        <w:spacing w:before="0"/>
      </w:pPr>
      <w:bookmarkStart w:id="44" w:name="_Toc413395595"/>
      <w:r>
        <w:lastRenderedPageBreak/>
        <w:t xml:space="preserve">Neither </w:t>
      </w:r>
      <w:r w:rsidR="001D1534">
        <w:t>Staff</w:t>
      </w:r>
      <w:r>
        <w:t xml:space="preserve"> Nor PSE Present A </w:t>
      </w:r>
      <w:r w:rsidR="001D1534">
        <w:t>Decoupling</w:t>
      </w:r>
      <w:r>
        <w:t xml:space="preserve"> Impact Analysis</w:t>
      </w:r>
      <w:r w:rsidR="00DA07BE">
        <w:t>.</w:t>
      </w:r>
      <w:bookmarkEnd w:id="44"/>
    </w:p>
    <w:p w:rsidR="00710700" w:rsidRDefault="00710700" w:rsidP="00710700">
      <w:pPr>
        <w:pStyle w:val="Heading3"/>
      </w:pPr>
      <w:bookmarkStart w:id="45" w:name="_Toc413395596"/>
      <w:r>
        <w:t>Staff</w:t>
      </w:r>
      <w:r w:rsidR="00036072">
        <w:t>’s position in the case is problematic</w:t>
      </w:r>
      <w:r w:rsidR="00DA07BE">
        <w:t>.</w:t>
      </w:r>
      <w:bookmarkEnd w:id="45"/>
    </w:p>
    <w:p w:rsidR="00710700" w:rsidRPr="00710700" w:rsidRDefault="00577341" w:rsidP="00710700">
      <w:pPr>
        <w:pStyle w:val="Heading4"/>
      </w:pPr>
      <w:bookmarkStart w:id="46" w:name="_Toc413395597"/>
      <w:r>
        <w:t>Staff</w:t>
      </w:r>
      <w:r w:rsidR="00036072">
        <w:t xml:space="preserve"> agrees that decoupling should be reflected in lower capital costs.</w:t>
      </w:r>
      <w:bookmarkEnd w:id="46"/>
    </w:p>
    <w:p w:rsidR="001D1534" w:rsidRDefault="001D1534" w:rsidP="001D1534"/>
    <w:p w:rsidR="009332B3" w:rsidRDefault="00DA07BE" w:rsidP="00FD493A">
      <w:pPr>
        <w:pStyle w:val="ParNumber"/>
        <w:ind w:left="0" w:hanging="720"/>
      </w:pPr>
      <w:r>
        <w:tab/>
      </w:r>
      <w:r w:rsidR="00D1473A">
        <w:t xml:space="preserve">Staff’s position on the decoupling impact issue is problematic.  Staff </w:t>
      </w:r>
      <w:r w:rsidR="009F0162">
        <w:t xml:space="preserve">agrees </w:t>
      </w:r>
      <w:r w:rsidR="00D1473A">
        <w:t xml:space="preserve">that </w:t>
      </w:r>
      <w:r w:rsidR="00AC2B42">
        <w:t>“[r]educed reve</w:t>
      </w:r>
      <w:r w:rsidR="008D7B9B">
        <w:t xml:space="preserve">nue volatility reduces risk, which </w:t>
      </w:r>
      <w:r w:rsidR="00AC2B42">
        <w:t>should transla</w:t>
      </w:r>
      <w:r w:rsidR="008D7B9B">
        <w:t>te into lower capital costs</w:t>
      </w:r>
      <w:r w:rsidR="00AC2B42" w:rsidRPr="00AC2B42">
        <w:t>[</w:t>
      </w:r>
      <w:r w:rsidR="00D1473A" w:rsidRPr="00AC2B42">
        <w:t>.</w:t>
      </w:r>
      <w:r w:rsidR="00AC2B42" w:rsidRPr="00AC2B42">
        <w:t>]”</w:t>
      </w:r>
      <w:r w:rsidR="00AC2B42">
        <w:rPr>
          <w:rStyle w:val="FootnoteReference"/>
        </w:rPr>
        <w:footnoteReference w:id="140"/>
      </w:r>
      <w:r w:rsidR="00D1473A">
        <w:t xml:space="preserve">  </w:t>
      </w:r>
      <w:r w:rsidR="00332ED8">
        <w:t>A</w:t>
      </w:r>
      <w:r w:rsidR="008D7B9B">
        <w:t>t the Remand hearing,</w:t>
      </w:r>
      <w:r w:rsidR="00332ED8">
        <w:t xml:space="preserve"> </w:t>
      </w:r>
      <w:r w:rsidR="00845DDE">
        <w:t>Staff expressly disclaimed that it would “never reduce return on equity due to the effects of decoupling” and agreed that “it needs to be looked at.”</w:t>
      </w:r>
      <w:r w:rsidR="00845DDE">
        <w:rPr>
          <w:rStyle w:val="FootnoteReference"/>
        </w:rPr>
        <w:footnoteReference w:id="141"/>
      </w:r>
      <w:r w:rsidR="00845DDE">
        <w:t xml:space="preserve">  </w:t>
      </w:r>
      <w:r w:rsidR="00332ED8">
        <w:t xml:space="preserve">Staff continues </w:t>
      </w:r>
      <w:r w:rsidR="00845DDE">
        <w:t xml:space="preserve">to maintain, however, that </w:t>
      </w:r>
      <w:r w:rsidR="00332ED8">
        <w:t xml:space="preserve">capital costs should not be reduced </w:t>
      </w:r>
      <w:r w:rsidR="00845DDE">
        <w:t>at the time rate plan rates are set, but at some later date.</w:t>
      </w:r>
      <w:r w:rsidR="00332ED8">
        <w:rPr>
          <w:rStyle w:val="FootnoteReference"/>
        </w:rPr>
        <w:footnoteReference w:id="142"/>
      </w:r>
      <w:r w:rsidR="00065D74">
        <w:t xml:space="preserve">  At the same time, Staff is taking the legal pos</w:t>
      </w:r>
      <w:r w:rsidR="00926998">
        <w:t>ition in the Remand proceeding,</w:t>
      </w:r>
      <w:r w:rsidR="00065D74">
        <w:t xml:space="preserve"> that decoupling impact is not before the Commission at all, due to </w:t>
      </w:r>
      <w:r w:rsidR="00332ED8">
        <w:t xml:space="preserve">Staff’s </w:t>
      </w:r>
      <w:r w:rsidR="00065D74">
        <w:t xml:space="preserve"> interpretation of the R</w:t>
      </w:r>
      <w:r w:rsidR="00926998">
        <w:t xml:space="preserve">emand order.  </w:t>
      </w:r>
      <w:r w:rsidR="00065D74">
        <w:t xml:space="preserve">It appears to be Staff’s position that, even if the Commission wished to </w:t>
      </w:r>
      <w:r w:rsidR="00332ED8">
        <w:t xml:space="preserve">recognize reduced capital costs </w:t>
      </w:r>
      <w:r w:rsidR="009F0162">
        <w:t xml:space="preserve">from decoupling </w:t>
      </w:r>
      <w:r w:rsidR="00332ED8">
        <w:t xml:space="preserve">in Rate Plan rates, </w:t>
      </w:r>
      <w:r w:rsidR="00065D74">
        <w:t xml:space="preserve">it </w:t>
      </w:r>
      <w:r w:rsidR="00332ED8">
        <w:t xml:space="preserve">is barred from doing so by </w:t>
      </w:r>
      <w:r w:rsidR="00FD7FAC">
        <w:t>the Remand order.</w:t>
      </w:r>
    </w:p>
    <w:p w:rsidR="00DC044E" w:rsidRDefault="00DC044E" w:rsidP="00FB5620">
      <w:pPr>
        <w:pStyle w:val="Heading4"/>
        <w:spacing w:before="0"/>
      </w:pPr>
      <w:bookmarkStart w:id="47" w:name="_Toc413395598"/>
      <w:r>
        <w:t>Staff positions on this issue</w:t>
      </w:r>
      <w:r w:rsidR="00A836DB">
        <w:t xml:space="preserve"> are inconsistent</w:t>
      </w:r>
      <w:r>
        <w:t>.</w:t>
      </w:r>
      <w:bookmarkEnd w:id="47"/>
    </w:p>
    <w:p w:rsidR="00DC044E" w:rsidRPr="00DC044E" w:rsidRDefault="00DC044E" w:rsidP="00DC044E"/>
    <w:p w:rsidR="002C2EE3" w:rsidRDefault="00FB5620" w:rsidP="002C2EE3">
      <w:pPr>
        <w:pStyle w:val="ParNumber"/>
        <w:ind w:left="0" w:hanging="720"/>
      </w:pPr>
      <w:r>
        <w:tab/>
      </w:r>
      <w:r w:rsidR="00A836DB">
        <w:t>Staff has recently made recommendations to</w:t>
      </w:r>
      <w:r w:rsidR="008057D8">
        <w:t xml:space="preserve"> the </w:t>
      </w:r>
      <w:r w:rsidR="00A836DB">
        <w:t xml:space="preserve">Commission regarding </w:t>
      </w:r>
      <w:r w:rsidR="00DA62C0">
        <w:t xml:space="preserve">the impact of decoupling </w:t>
      </w:r>
      <w:r w:rsidR="00A836DB">
        <w:t xml:space="preserve">that are </w:t>
      </w:r>
      <w:r w:rsidR="00DA62C0">
        <w:t xml:space="preserve">diametrically opposed to its </w:t>
      </w:r>
      <w:r w:rsidR="00A836DB">
        <w:t xml:space="preserve">recommendations </w:t>
      </w:r>
      <w:r w:rsidR="00DA62C0">
        <w:t>here</w:t>
      </w:r>
      <w:r w:rsidR="0046383C">
        <w:t xml:space="preserve">.  </w:t>
      </w:r>
      <w:r w:rsidR="008C7BB1">
        <w:t xml:space="preserve">In the </w:t>
      </w:r>
      <w:r w:rsidR="00A836DB">
        <w:t xml:space="preserve">recent </w:t>
      </w:r>
      <w:r w:rsidR="008C7BB1">
        <w:t xml:space="preserve">Avista </w:t>
      </w:r>
      <w:r w:rsidR="00A836DB">
        <w:t>2014 GRC</w:t>
      </w:r>
      <w:r w:rsidR="008C7BB1">
        <w:t xml:space="preserve">, Mr. Schooley proposed adoption of a full decoupling mechanism </w:t>
      </w:r>
      <w:r w:rsidR="001247A2">
        <w:t xml:space="preserve">“similar in </w:t>
      </w:r>
      <w:r w:rsidR="008C7BB1">
        <w:t>all substantial respects</w:t>
      </w:r>
      <w:r w:rsidR="00BE5480">
        <w:t xml:space="preserve"> to PSE’s full decoupling mechanisms</w:t>
      </w:r>
      <w:r w:rsidR="001247A2">
        <w:t>.”</w:t>
      </w:r>
      <w:r w:rsidR="00882725">
        <w:rPr>
          <w:rStyle w:val="FootnoteReference"/>
        </w:rPr>
        <w:footnoteReference w:id="143"/>
      </w:r>
      <w:r w:rsidR="0046383C">
        <w:t xml:space="preserve">  </w:t>
      </w:r>
      <w:r w:rsidR="001247A2">
        <w:t xml:space="preserve">In the Avista case, </w:t>
      </w:r>
      <w:r w:rsidR="00A836DB">
        <w:t xml:space="preserve">Mr. Schooley </w:t>
      </w:r>
      <w:r w:rsidR="001247A2">
        <w:t xml:space="preserve">reviewed how each element of the proposal met the Commission’s Decoupling Policy Statement, </w:t>
      </w:r>
      <w:r w:rsidR="001247A2">
        <w:lastRenderedPageBreak/>
        <w:t xml:space="preserve">including the second element </w:t>
      </w:r>
      <w:r w:rsidR="00A836DB">
        <w:t xml:space="preserve">addressing </w:t>
      </w:r>
      <w:r w:rsidR="001247A2">
        <w:t>“Impact on Rate of Return.”</w:t>
      </w:r>
      <w:r w:rsidR="00882725">
        <w:rPr>
          <w:rStyle w:val="FootnoteReference"/>
        </w:rPr>
        <w:footnoteReference w:id="144"/>
      </w:r>
      <w:r w:rsidR="001247A2">
        <w:t xml:space="preserve">  Staff met that element by sponsoring cost of capital testimony</w:t>
      </w:r>
      <w:r w:rsidR="004C4941">
        <w:t xml:space="preserve"> by Staff witness Kenneth Elgin</w:t>
      </w:r>
      <w:r w:rsidR="001247A2">
        <w:t xml:space="preserve"> </w:t>
      </w:r>
      <w:r w:rsidR="004C4941">
        <w:t>recommending a spe</w:t>
      </w:r>
      <w:r w:rsidR="00882725">
        <w:t xml:space="preserve">cific adjustment reducing </w:t>
      </w:r>
      <w:r w:rsidR="00C41272">
        <w:t xml:space="preserve">the overall </w:t>
      </w:r>
      <w:r w:rsidR="00882725">
        <w:t>cost of capital by 13 basis points.</w:t>
      </w:r>
      <w:r w:rsidR="00110341">
        <w:rPr>
          <w:rStyle w:val="FootnoteReference"/>
        </w:rPr>
        <w:footnoteReference w:id="145"/>
      </w:r>
      <w:r w:rsidR="00882725">
        <w:t xml:space="preserve"> </w:t>
      </w:r>
      <w:r w:rsidR="004C4941">
        <w:t xml:space="preserve"> </w:t>
      </w:r>
    </w:p>
    <w:p w:rsidR="00D1473A" w:rsidRDefault="002C2EE3" w:rsidP="008D7B9B">
      <w:pPr>
        <w:pStyle w:val="ParNumber"/>
        <w:ind w:left="0" w:hanging="720"/>
      </w:pPr>
      <w:r>
        <w:tab/>
      </w:r>
      <w:r w:rsidR="00884631">
        <w:t xml:space="preserve">Staff’s recommendation was that the 13 basis point reduction in overall return be incorporated immediately in Arista’s new rates.  </w:t>
      </w:r>
      <w:r w:rsidR="004917B1">
        <w:t xml:space="preserve">Neither Mr. Schooley </w:t>
      </w:r>
      <w:r w:rsidR="000F2964">
        <w:t>n</w:t>
      </w:r>
      <w:r w:rsidR="004917B1">
        <w:t>or Mr. Elgin on behalf of Staff recommended that the Commission wait and study the impact of decoupling for Avista for several years</w:t>
      </w:r>
      <w:r w:rsidR="00A836DB">
        <w:t xml:space="preserve"> before making an adjustment</w:t>
      </w:r>
      <w:r w:rsidR="004917B1">
        <w:t>.</w:t>
      </w:r>
      <w:r w:rsidR="004917B1">
        <w:rPr>
          <w:rStyle w:val="FootnoteReference"/>
        </w:rPr>
        <w:footnoteReference w:id="146"/>
      </w:r>
      <w:r w:rsidR="00290055">
        <w:t xml:space="preserve">  Neither testified that the impact of decoupling </w:t>
      </w:r>
      <w:r w:rsidR="00A836DB">
        <w:t xml:space="preserve">on Avista’s cost of capital </w:t>
      </w:r>
      <w:r w:rsidR="00290055">
        <w:t>was “hypothetical.”</w:t>
      </w:r>
      <w:r w:rsidR="00290055">
        <w:rPr>
          <w:rStyle w:val="FootnoteReference"/>
        </w:rPr>
        <w:footnoteReference w:id="147"/>
      </w:r>
      <w:r w:rsidR="00C962B7">
        <w:t xml:space="preserve">  The final result of the Avista rate proceeding was</w:t>
      </w:r>
      <w:r w:rsidR="004C4941">
        <w:t xml:space="preserve"> a settlement</w:t>
      </w:r>
      <w:r w:rsidR="00C962B7">
        <w:t xml:space="preserve"> which inc</w:t>
      </w:r>
      <w:r w:rsidR="004C4941">
        <w:t>luded an agreement of Staff with</w:t>
      </w:r>
      <w:r w:rsidR="00C962B7">
        <w:t xml:space="preserve"> all other parties that the revenue requirement in the case included a reduction to reflect the adoption of decoupling.  The settlement was approved and adopted by the Commission.</w:t>
      </w:r>
      <w:r w:rsidR="00C962B7">
        <w:rPr>
          <w:rStyle w:val="FootnoteReference"/>
        </w:rPr>
        <w:footnoteReference w:id="148"/>
      </w:r>
      <w:r w:rsidR="00A23072">
        <w:t xml:space="preserve">  Nevertheless,</w:t>
      </w:r>
      <w:r w:rsidR="00BB11E8">
        <w:t xml:space="preserve"> in testimony filed less than six months later, Staff’s testimony is that the impact of decoupling is “at best hypothetical and unsupported by empirical evidence.”</w:t>
      </w:r>
      <w:r w:rsidR="00A23072">
        <w:rPr>
          <w:rStyle w:val="FootnoteReference"/>
        </w:rPr>
        <w:footnoteReference w:id="149"/>
      </w:r>
      <w:r w:rsidR="00BB11E8">
        <w:t xml:space="preserve">  </w:t>
      </w:r>
      <w:r w:rsidR="009F0162">
        <w:t>This is d</w:t>
      </w:r>
      <w:r w:rsidR="00BB11E8">
        <w:t xml:space="preserve">irectly contrary to </w:t>
      </w:r>
      <w:r w:rsidR="009F0162">
        <w:t xml:space="preserve">the Staff </w:t>
      </w:r>
      <w:r w:rsidR="00BB11E8">
        <w:t>recommendation in Avista</w:t>
      </w:r>
      <w:r w:rsidR="009F0162">
        <w:t>.</w:t>
      </w:r>
      <w:r w:rsidR="00110341">
        <w:t xml:space="preserve">   </w:t>
      </w:r>
    </w:p>
    <w:p w:rsidR="00DA62C0" w:rsidRDefault="009324A1" w:rsidP="008D7B9B">
      <w:pPr>
        <w:pStyle w:val="Heading4"/>
        <w:spacing w:before="0"/>
      </w:pPr>
      <w:bookmarkStart w:id="48" w:name="_Toc413395599"/>
      <w:r>
        <w:t>Staff’s “w</w:t>
      </w:r>
      <w:r w:rsidR="00F17AE3">
        <w:t xml:space="preserve">ait and </w:t>
      </w:r>
      <w:r>
        <w:t>s</w:t>
      </w:r>
      <w:r w:rsidR="00F17AE3">
        <w:t>ee</w:t>
      </w:r>
      <w:r>
        <w:t xml:space="preserve">” approach is </w:t>
      </w:r>
      <w:r w:rsidR="00577341">
        <w:t>unlawful</w:t>
      </w:r>
      <w:r w:rsidR="005F51B6">
        <w:t xml:space="preserve"> and unfair to customers</w:t>
      </w:r>
      <w:r>
        <w:t>.</w:t>
      </w:r>
      <w:bookmarkEnd w:id="48"/>
      <w:r w:rsidR="000F2964">
        <w:t xml:space="preserve">  </w:t>
      </w:r>
    </w:p>
    <w:p w:rsidR="00F17AE3" w:rsidRDefault="00F17AE3" w:rsidP="001D1534"/>
    <w:p w:rsidR="002C2EE3" w:rsidRDefault="00F17AE3" w:rsidP="002C2EE3">
      <w:pPr>
        <w:pStyle w:val="ParNumber"/>
        <w:ind w:left="0" w:hanging="720"/>
      </w:pPr>
      <w:r>
        <w:tab/>
        <w:t>The “wait and see” approach which Staff continues to advocate to assess decoupling impact</w:t>
      </w:r>
      <w:r w:rsidR="00A23072">
        <w:t>, at least for PSE,</w:t>
      </w:r>
      <w:r>
        <w:t xml:space="preserve"> shoul</w:t>
      </w:r>
      <w:r w:rsidR="0061280F">
        <w:t>d be rejected.</w:t>
      </w:r>
      <w:r>
        <w:t xml:space="preserve">  First and foremo</w:t>
      </w:r>
      <w:r w:rsidR="0061280F">
        <w:t>st, it violates the fundamental</w:t>
      </w:r>
      <w:r>
        <w:t xml:space="preserve"> legal </w:t>
      </w:r>
      <w:r>
        <w:lastRenderedPageBreak/>
        <w:t>and economic principles of ratemaking and cost of capital determ</w:t>
      </w:r>
      <w:r w:rsidR="0061280F">
        <w:t>ination.</w:t>
      </w:r>
      <w:r w:rsidR="00A23072">
        <w:t xml:space="preserve">  </w:t>
      </w:r>
      <w:r w:rsidR="00D048DA">
        <w:t xml:space="preserve">There is no dispute </w:t>
      </w:r>
      <w:r>
        <w:t>that decoupling reduc</w:t>
      </w:r>
      <w:r w:rsidR="0061280F">
        <w:t>es a utility company’s risk.</w:t>
      </w:r>
      <w:r w:rsidR="00B93E55">
        <w:rPr>
          <w:rStyle w:val="FootnoteReference"/>
        </w:rPr>
        <w:footnoteReference w:id="150"/>
      </w:r>
      <w:r w:rsidR="0061280F">
        <w:t xml:space="preserve">  </w:t>
      </w:r>
      <w:r w:rsidR="00D048DA">
        <w:t xml:space="preserve">Every party to the case takes that position, as has the Commission.  </w:t>
      </w:r>
      <w:r>
        <w:t>A utility company’s cost of capital is directly related to the comp</w:t>
      </w:r>
      <w:r w:rsidR="00A23072">
        <w:t>any’s risk, as the U.S.</w:t>
      </w:r>
      <w:r>
        <w:t xml:space="preserve"> Supreme Court and the Washington Supreme Court have recognized.</w:t>
      </w:r>
      <w:r w:rsidR="0007631A">
        <w:t xml:space="preserve">  </w:t>
      </w:r>
      <w:r w:rsidR="00D048DA">
        <w:t xml:space="preserve">Determining a utility’s cost of capital </w:t>
      </w:r>
      <w:r w:rsidR="00884631">
        <w:t xml:space="preserve">as part of rate setting </w:t>
      </w:r>
      <w:r w:rsidR="00D048DA">
        <w:t xml:space="preserve">without consideration of a major change in its risk profile is a violation of these fundamental legal and economic principles. </w:t>
      </w:r>
    </w:p>
    <w:p w:rsidR="00C441AF" w:rsidRDefault="002C2EE3" w:rsidP="002C2EE3">
      <w:pPr>
        <w:pStyle w:val="ParNumber"/>
        <w:ind w:left="0" w:hanging="720"/>
      </w:pPr>
      <w:r>
        <w:tab/>
      </w:r>
      <w:r w:rsidR="00D048DA">
        <w:t xml:space="preserve">The </w:t>
      </w:r>
      <w:r w:rsidR="0007631A">
        <w:t xml:space="preserve">Commission’s </w:t>
      </w:r>
      <w:r w:rsidR="00D048DA">
        <w:t xml:space="preserve">decoupling </w:t>
      </w:r>
      <w:r w:rsidR="0007631A">
        <w:t xml:space="preserve">policy statement on decoupling does not adopt a </w:t>
      </w:r>
      <w:r w:rsidR="00466C08">
        <w:t>“</w:t>
      </w:r>
      <w:r w:rsidR="0007631A">
        <w:t>wait and see</w:t>
      </w:r>
      <w:r w:rsidR="00466C08">
        <w:t>”</w:t>
      </w:r>
      <w:r w:rsidR="0007631A">
        <w:t xml:space="preserve"> approach.  The Staff has cited no Commission precedent for delayed recognition.  The precedent instead supports immediate recognition, as reflected in </w:t>
      </w:r>
      <w:r w:rsidR="00A23072">
        <w:t>the recent Avista rate decision.</w:t>
      </w:r>
      <w:r w:rsidR="0007631A">
        <w:t xml:space="preserve">  </w:t>
      </w:r>
      <w:r w:rsidR="005862AD">
        <w:t xml:space="preserve">The March 2014 Brattle Report assesses the cost of capital impact at the time of the regulatory order </w:t>
      </w:r>
      <w:r w:rsidR="00C441AF">
        <w:t xml:space="preserve">approving decoupling </w:t>
      </w:r>
      <w:r w:rsidR="005862AD">
        <w:t>and shortly before, not mo</w:t>
      </w:r>
      <w:r w:rsidR="00A23072">
        <w:t xml:space="preserve">nths or years after the fact.  </w:t>
      </w:r>
      <w:r w:rsidR="00413B04">
        <w:t xml:space="preserve">Cost of capital is an </w:t>
      </w:r>
      <w:r w:rsidR="00413B04" w:rsidRPr="002C2EE3">
        <w:rPr>
          <w:i/>
        </w:rPr>
        <w:t>ex ante</w:t>
      </w:r>
      <w:r w:rsidR="00A23072">
        <w:t xml:space="preserve"> expectational analysis.</w:t>
      </w:r>
      <w:r w:rsidR="00675F5A">
        <w:rPr>
          <w:rStyle w:val="FootnoteReference"/>
        </w:rPr>
        <w:footnoteReference w:id="151"/>
      </w:r>
      <w:r w:rsidR="00A23072">
        <w:t xml:space="preserve">  </w:t>
      </w:r>
      <w:r w:rsidR="00413B04">
        <w:t xml:space="preserve">It is a current cost that must be incorporated in rate setting at the outset.  </w:t>
      </w:r>
    </w:p>
    <w:p w:rsidR="00712432" w:rsidRDefault="002C2EE3" w:rsidP="002C2EE3">
      <w:pPr>
        <w:pStyle w:val="ParNumber"/>
        <w:ind w:left="0" w:hanging="720"/>
      </w:pPr>
      <w:r>
        <w:tab/>
      </w:r>
      <w:r w:rsidR="00413B04">
        <w:t xml:space="preserve">Assessing the impact of decoupling is no more hypothetical than any other aspect of the cost of capital determination in a general rate case.  </w:t>
      </w:r>
      <w:r w:rsidR="0007631A" w:rsidRPr="00413B04">
        <w:t>The</w:t>
      </w:r>
      <w:r w:rsidR="0007631A">
        <w:t xml:space="preserve"> </w:t>
      </w:r>
      <w:r w:rsidR="00F3609B">
        <w:t xml:space="preserve">Staff’s </w:t>
      </w:r>
      <w:r w:rsidR="00D048DA">
        <w:t xml:space="preserve">“wait and see” </w:t>
      </w:r>
      <w:r w:rsidR="00884631">
        <w:t>approach</w:t>
      </w:r>
      <w:r w:rsidR="00413B04">
        <w:t xml:space="preserve"> fails to balance the interests of shareholders and ratepayers by exposing </w:t>
      </w:r>
      <w:r w:rsidR="0007631A">
        <w:t xml:space="preserve">customers to payment of excessive returns during the life of the </w:t>
      </w:r>
      <w:r w:rsidR="00D5613F">
        <w:t>Rate Plan</w:t>
      </w:r>
      <w:r w:rsidR="0007631A">
        <w:t xml:space="preserve">, with no avenue for relief.  </w:t>
      </w:r>
      <w:r w:rsidR="00413B04">
        <w:t>Meanwhile, because revenue is stabilized and risk is shifted to customers at the outset of the plan</w:t>
      </w:r>
      <w:r w:rsidR="00B3171E">
        <w:t>, PSE and its investors immediately benefit.  A</w:t>
      </w:r>
      <w:r w:rsidR="002314AC">
        <w:t xml:space="preserve">bsent a reduced cost of capital, </w:t>
      </w:r>
      <w:r w:rsidR="00413B04">
        <w:t xml:space="preserve">investors receive years of </w:t>
      </w:r>
      <w:r w:rsidR="002314AC">
        <w:lastRenderedPageBreak/>
        <w:t xml:space="preserve">unfairly </w:t>
      </w:r>
      <w:r w:rsidR="00A23072">
        <w:t xml:space="preserve">elevated returns.  </w:t>
      </w:r>
      <w:r w:rsidR="0007631A">
        <w:t xml:space="preserve">Even if the Commission </w:t>
      </w:r>
      <w:r w:rsidR="00B3171E">
        <w:t xml:space="preserve">were to make </w:t>
      </w:r>
      <w:r w:rsidR="0007631A">
        <w:t xml:space="preserve">a finding </w:t>
      </w:r>
      <w:r w:rsidR="00F3609B">
        <w:t xml:space="preserve">in PSE’s next GRC </w:t>
      </w:r>
      <w:r w:rsidR="0007631A">
        <w:t xml:space="preserve">that decoupling </w:t>
      </w:r>
      <w:r w:rsidR="00F3609B">
        <w:t xml:space="preserve">reduced </w:t>
      </w:r>
      <w:r w:rsidR="002C4705">
        <w:t>PSE’s cost o</w:t>
      </w:r>
      <w:r w:rsidR="0061280F">
        <w:t xml:space="preserve">f capital during the </w:t>
      </w:r>
      <w:r w:rsidR="00D5613F">
        <w:t>Rate Plan</w:t>
      </w:r>
      <w:r w:rsidR="0061280F">
        <w:t>,</w:t>
      </w:r>
      <w:r w:rsidR="002C4705">
        <w:t xml:space="preserve"> the Commission is barred by the doctrine against retroactive ratemaking from refunding customers for excessive rates during the plan.</w:t>
      </w:r>
      <w:r w:rsidR="002C4705">
        <w:rPr>
          <w:rStyle w:val="FootnoteReference"/>
        </w:rPr>
        <w:footnoteReference w:id="152"/>
      </w:r>
      <w:r w:rsidR="002C4705">
        <w:t xml:space="preserve">  </w:t>
      </w:r>
      <w:r w:rsidR="00854A93">
        <w:t xml:space="preserve">Any relief for customers from excessive returns </w:t>
      </w:r>
      <w:r w:rsidR="002C4705">
        <w:t>would be prospective only.</w:t>
      </w:r>
      <w:r w:rsidR="00F3609B">
        <w:rPr>
          <w:rStyle w:val="FootnoteReference"/>
        </w:rPr>
        <w:footnoteReference w:id="153"/>
      </w:r>
      <w:r w:rsidR="002C4705">
        <w:t xml:space="preserve">   </w:t>
      </w:r>
    </w:p>
    <w:p w:rsidR="0067263B" w:rsidRDefault="0067263B" w:rsidP="00B8390C">
      <w:pPr>
        <w:pStyle w:val="Heading4"/>
        <w:spacing w:before="0"/>
      </w:pPr>
      <w:bookmarkStart w:id="49" w:name="_Toc413395600"/>
      <w:r>
        <w:t>Staff has no</w:t>
      </w:r>
      <w:r w:rsidR="00466C08">
        <w:t xml:space="preserve"> clear</w:t>
      </w:r>
      <w:r>
        <w:t xml:space="preserve"> plan to analyze decoupling impact</w:t>
      </w:r>
      <w:r w:rsidR="0061280F">
        <w:t>.</w:t>
      </w:r>
      <w:bookmarkEnd w:id="49"/>
      <w:r w:rsidR="0061280F">
        <w:t xml:space="preserve"> </w:t>
      </w:r>
    </w:p>
    <w:p w:rsidR="0067263B" w:rsidRPr="0067263B" w:rsidRDefault="0067263B" w:rsidP="0067263B"/>
    <w:p w:rsidR="002C2EE3" w:rsidRDefault="002C2EE3" w:rsidP="002C2EE3">
      <w:pPr>
        <w:pStyle w:val="ParNumber"/>
        <w:ind w:left="0" w:hanging="720"/>
      </w:pPr>
      <w:r>
        <w:tab/>
      </w:r>
      <w:r w:rsidR="0061280F">
        <w:t>Staff</w:t>
      </w:r>
      <w:r w:rsidR="002E78DF">
        <w:t xml:space="preserve"> does not app</w:t>
      </w:r>
      <w:r w:rsidR="0061280F">
        <w:t>ear to currently have any clear</w:t>
      </w:r>
      <w:r w:rsidR="002C4705">
        <w:t xml:space="preserve"> plan for evaluating </w:t>
      </w:r>
      <w:r w:rsidR="002E78DF">
        <w:t xml:space="preserve">decoupling </w:t>
      </w:r>
      <w:r w:rsidR="002C4705">
        <w:t>impact</w:t>
      </w:r>
      <w:r w:rsidR="0061280F">
        <w:t xml:space="preserve">.  </w:t>
      </w:r>
      <w:r w:rsidR="002E78DF">
        <w:t xml:space="preserve">In discovery, Staff was asked to “describe in as much detail as possible the manner in which Staff expects to be able to assess the risk reduction impact </w:t>
      </w:r>
      <w:r w:rsidR="003F12EB">
        <w:t xml:space="preserve">on Puget at the conclusion of the current rate plan.”  Staff </w:t>
      </w:r>
      <w:r w:rsidR="00726F26">
        <w:t xml:space="preserve">responded only </w:t>
      </w:r>
      <w:r w:rsidR="003F12EB">
        <w:t>that it was reviewing the most recent PSE Commission Basis Repor</w:t>
      </w:r>
      <w:r w:rsidR="00726F26">
        <w:t xml:space="preserve">t, and planned </w:t>
      </w:r>
      <w:r w:rsidR="003F12EB">
        <w:t>to review the impact of decoup</w:t>
      </w:r>
      <w:r w:rsidR="0061280F">
        <w:t>ling and other mechanisms using “careful</w:t>
      </w:r>
      <w:r w:rsidR="003F12EB">
        <w:t xml:space="preserve"> thought.”</w:t>
      </w:r>
      <w:r w:rsidR="003F12EB">
        <w:rPr>
          <w:rStyle w:val="FootnoteReference"/>
        </w:rPr>
        <w:footnoteReference w:id="154"/>
      </w:r>
      <w:r w:rsidR="003F12EB">
        <w:t xml:space="preserve">  </w:t>
      </w:r>
      <w:r w:rsidR="00726F26">
        <w:t xml:space="preserve">No further detail was provided.  </w:t>
      </w:r>
      <w:r w:rsidR="00314934">
        <w:t xml:space="preserve">Staff’s </w:t>
      </w:r>
      <w:r w:rsidR="00726F26">
        <w:t xml:space="preserve">argues that the Commission must </w:t>
      </w:r>
      <w:r w:rsidR="00314934">
        <w:t>wait to allow time</w:t>
      </w:r>
      <w:r w:rsidR="00761EEC">
        <w:t xml:space="preserve"> </w:t>
      </w:r>
      <w:r w:rsidR="00726F26">
        <w:t xml:space="preserve">for </w:t>
      </w:r>
      <w:r w:rsidR="00761EEC">
        <w:t>evidence and data</w:t>
      </w:r>
      <w:r w:rsidR="00726F26">
        <w:t xml:space="preserve"> to be gathered</w:t>
      </w:r>
      <w:r w:rsidR="00761EEC">
        <w:t xml:space="preserve">.  </w:t>
      </w:r>
      <w:r w:rsidR="00726F26">
        <w:t xml:space="preserve">Even assuming this search for “empirical data” makes sense, which Public Counsel disputes, </w:t>
      </w:r>
      <w:r w:rsidR="00D100AF">
        <w:t>PSE’s decoupling mechanism has been in place for 18 months</w:t>
      </w:r>
      <w:r w:rsidR="00726F26">
        <w:t xml:space="preserve"> and data has been available to Staff</w:t>
      </w:r>
      <w:r w:rsidR="00D100AF">
        <w:t xml:space="preserve">.  </w:t>
      </w:r>
      <w:r w:rsidR="00342E7D">
        <w:t xml:space="preserve">In response to </w:t>
      </w:r>
      <w:r w:rsidR="00726F26">
        <w:t xml:space="preserve">Public Counsel </w:t>
      </w:r>
      <w:r w:rsidR="00342E7D">
        <w:t xml:space="preserve">discovery, </w:t>
      </w:r>
      <w:r w:rsidR="00726F26">
        <w:t xml:space="preserve">however, </w:t>
      </w:r>
      <w:r w:rsidR="00342E7D">
        <w:t>Staff indicated it h</w:t>
      </w:r>
      <w:r w:rsidR="00726F26">
        <w:t xml:space="preserve">ad not produced or reviewed any </w:t>
      </w:r>
      <w:r w:rsidR="0055618B">
        <w:t xml:space="preserve">studies, memoranda, or reports </w:t>
      </w:r>
      <w:r w:rsidR="00342E7D">
        <w:t xml:space="preserve">on decoupling impact </w:t>
      </w:r>
      <w:r w:rsidR="0055618B">
        <w:t xml:space="preserve">except for Dr. </w:t>
      </w:r>
      <w:r w:rsidR="00761EEC">
        <w:t>Vilbert’s study in this case.</w:t>
      </w:r>
      <w:r w:rsidR="00E2513B">
        <w:rPr>
          <w:rStyle w:val="FootnoteReference"/>
        </w:rPr>
        <w:footnoteReference w:id="155"/>
      </w:r>
      <w:r w:rsidR="00761EEC">
        <w:t xml:space="preserve"> </w:t>
      </w:r>
      <w:r w:rsidR="00B8390C">
        <w:t xml:space="preserve"> </w:t>
      </w:r>
      <w:r w:rsidR="0055618B">
        <w:t xml:space="preserve">Staff conducted no </w:t>
      </w:r>
      <w:r w:rsidR="0055618B">
        <w:lastRenderedPageBreak/>
        <w:t>discovery in this proceeding regarding decoupling impact</w:t>
      </w:r>
      <w:r w:rsidR="00726F26">
        <w:t xml:space="preserve">, apparently </w:t>
      </w:r>
      <w:r w:rsidR="0055618B">
        <w:t>because of its litigation position.</w:t>
      </w:r>
      <w:r w:rsidR="0055618B">
        <w:rPr>
          <w:rStyle w:val="FootnoteReference"/>
        </w:rPr>
        <w:footnoteReference w:id="156"/>
      </w:r>
      <w:r w:rsidR="0055618B">
        <w:t xml:space="preserve">    </w:t>
      </w:r>
    </w:p>
    <w:p w:rsidR="002C2EE3" w:rsidRDefault="002C2EE3" w:rsidP="002C2EE3">
      <w:pPr>
        <w:pStyle w:val="ParNumber"/>
        <w:ind w:left="0" w:hanging="720"/>
      </w:pPr>
      <w:r>
        <w:tab/>
      </w:r>
      <w:r w:rsidR="0055618B">
        <w:t xml:space="preserve">The data already available shows that </w:t>
      </w:r>
      <w:r w:rsidR="00466C08">
        <w:t xml:space="preserve">potential </w:t>
      </w:r>
      <w:r w:rsidR="0055618B">
        <w:t>refunds for electric customers in 2013 w</w:t>
      </w:r>
      <w:r w:rsidR="00761EEC">
        <w:t>ere $16 million, while potentia</w:t>
      </w:r>
      <w:r w:rsidR="0055618B">
        <w:t>l s</w:t>
      </w:r>
      <w:r w:rsidR="00D100AF">
        <w:t xml:space="preserve">urcharges for electric customers for </w:t>
      </w:r>
      <w:r w:rsidR="005F2DA6">
        <w:t xml:space="preserve">the first half of </w:t>
      </w:r>
      <w:r w:rsidR="0055618B">
        <w:t xml:space="preserve">2014 </w:t>
      </w:r>
      <w:r w:rsidR="00D100AF">
        <w:t xml:space="preserve">were </w:t>
      </w:r>
      <w:r w:rsidR="00314934">
        <w:t xml:space="preserve">over </w:t>
      </w:r>
      <w:r w:rsidR="00D100AF">
        <w:t>$</w:t>
      </w:r>
      <w:r w:rsidR="00314934">
        <w:t xml:space="preserve">25 </w:t>
      </w:r>
      <w:r w:rsidR="00D100AF">
        <w:t>million</w:t>
      </w:r>
      <w:r w:rsidR="00314934">
        <w:t xml:space="preserve">. </w:t>
      </w:r>
      <w:r w:rsidR="00D100AF">
        <w:t xml:space="preserve"> </w:t>
      </w:r>
      <w:r w:rsidR="0057536A">
        <w:t xml:space="preserve">Mr. Schooley has testified earlier in this case </w:t>
      </w:r>
      <w:r w:rsidR="0055618B">
        <w:t>that the magnitude of the refunds and surcharges under decoupling would be “direct evidence” of the revenue volatility dampened by decoupling and confirmed that again in discovery.</w:t>
      </w:r>
      <w:r w:rsidR="0055618B">
        <w:rPr>
          <w:rStyle w:val="FootnoteReference"/>
        </w:rPr>
        <w:footnoteReference w:id="157"/>
      </w:r>
      <w:r w:rsidR="0058786D">
        <w:t xml:space="preserve">  </w:t>
      </w:r>
      <w:r w:rsidR="0055618B">
        <w:t>In response to P</w:t>
      </w:r>
      <w:r w:rsidR="00C14289">
        <w:t>ublic Counsel discovery</w:t>
      </w:r>
      <w:r w:rsidR="0055618B">
        <w:t>, he confirmed this would be “one type of evidence”</w:t>
      </w:r>
      <w:r w:rsidR="0023436C">
        <w:t xml:space="preserve"> to be used, and also agreed that these refunds and surcharges experienced in 2013 and 2014 “demonstrate that revenue volatility has been reduced or dampened,” although arguing it is a minor factor.</w:t>
      </w:r>
      <w:r w:rsidR="0023436C">
        <w:rPr>
          <w:rStyle w:val="FootnoteReference"/>
        </w:rPr>
        <w:footnoteReference w:id="158"/>
      </w:r>
      <w:r w:rsidR="00674113">
        <w:t xml:space="preserve"> </w:t>
      </w:r>
      <w:r w:rsidR="00DC2B8B">
        <w:t xml:space="preserve"> </w:t>
      </w:r>
      <w:r w:rsidR="00674113">
        <w:t>The $25 million for the firs</w:t>
      </w:r>
      <w:r w:rsidR="00B8390C">
        <w:t>t half of 2014, however, is 2.4</w:t>
      </w:r>
      <w:r w:rsidR="00A133C1">
        <w:t>%</w:t>
      </w:r>
      <w:r w:rsidR="00674113">
        <w:t xml:space="preserve"> of PSE’</w:t>
      </w:r>
      <w:r w:rsidR="00B8390C">
        <w:t>s total revenue, close to the 3</w:t>
      </w:r>
      <w:r w:rsidR="00A133C1">
        <w:t>%</w:t>
      </w:r>
      <w:r w:rsidR="00674113">
        <w:t xml:space="preserve"> level that is considered significant enough to require a general rate case.  If the full year figures follow the trend, the surcharge co</w:t>
      </w:r>
      <w:r w:rsidR="00DC2B8B">
        <w:t xml:space="preserve">uld be nearly $50 million, </w:t>
      </w:r>
      <w:r w:rsidR="00C543C9">
        <w:t>nearly 5</w:t>
      </w:r>
      <w:r w:rsidR="004717C9">
        <w:t>% of revenues</w:t>
      </w:r>
      <w:r w:rsidR="00DC2B8B">
        <w:t xml:space="preserve">.  </w:t>
      </w:r>
    </w:p>
    <w:p w:rsidR="003F12EB" w:rsidRDefault="002C2EE3" w:rsidP="002C2EE3">
      <w:pPr>
        <w:pStyle w:val="ParNumber"/>
        <w:ind w:left="0" w:hanging="720"/>
      </w:pPr>
      <w:r>
        <w:tab/>
      </w:r>
      <w:r w:rsidR="00BD01BA">
        <w:t>I</w:t>
      </w:r>
      <w:r w:rsidR="00472206">
        <w:t xml:space="preserve">n examination by Commissioner Jones at the hearing, </w:t>
      </w:r>
      <w:r w:rsidR="00E2513B">
        <w:t xml:space="preserve">moreover, </w:t>
      </w:r>
      <w:r w:rsidR="00BD01BA">
        <w:t xml:space="preserve">Mr. Schooley was no longer describing the impact </w:t>
      </w:r>
      <w:r w:rsidR="00E2513B">
        <w:t xml:space="preserve">of decoupling </w:t>
      </w:r>
      <w:r w:rsidR="00BD01BA">
        <w:t xml:space="preserve">as a minor factor.  While he did not have the full year figures for 2014, he expressed serious concern that </w:t>
      </w:r>
      <w:r w:rsidR="00EA2299">
        <w:t>customers will see a “double whammy” when the under</w:t>
      </w:r>
      <w:r w:rsidR="00DC2B8B">
        <w:noBreakHyphen/>
      </w:r>
      <w:r w:rsidR="00EA2299">
        <w:t>collections for 2</w:t>
      </w:r>
      <w:r w:rsidR="00DC2B8B">
        <w:t>014 flow through the mechanism,</w:t>
      </w:r>
      <w:r w:rsidR="00EA2299">
        <w:t xml:space="preserve"> predicting “significant fluctuations” and customer confusion.</w:t>
      </w:r>
      <w:r w:rsidR="00EA2299">
        <w:rPr>
          <w:rStyle w:val="FootnoteReference"/>
        </w:rPr>
        <w:footnoteReference w:id="159"/>
      </w:r>
      <w:r w:rsidR="00EA2299">
        <w:t xml:space="preserve">  He also agreed that the mechanism “evens out the fluctuations of </w:t>
      </w:r>
      <w:r w:rsidR="00EA2299">
        <w:lastRenderedPageBreak/>
        <w:t>revenue to the company.”</w:t>
      </w:r>
      <w:r w:rsidR="00EA2299">
        <w:rPr>
          <w:rStyle w:val="FootnoteReference"/>
        </w:rPr>
        <w:footnoteReference w:id="160"/>
      </w:r>
      <w:r w:rsidR="00E2513B">
        <w:t xml:space="preserve">  This</w:t>
      </w:r>
      <w:r w:rsidR="00C14289">
        <w:t xml:space="preserve"> is</w:t>
      </w:r>
      <w:r w:rsidR="00E2513B">
        <w:t xml:space="preserve"> further evidence that decoupling has a major impact, shifting PSE’s revenue volatility to its customers.  </w:t>
      </w:r>
    </w:p>
    <w:p w:rsidR="009332B3" w:rsidRDefault="009332B3" w:rsidP="00843033">
      <w:pPr>
        <w:pStyle w:val="Heading4"/>
        <w:spacing w:before="0"/>
      </w:pPr>
      <w:bookmarkStart w:id="50" w:name="_Toc413395601"/>
      <w:r>
        <w:t>Staff witness Parcell has historically supported the Public Counsel position on decoupling impact.</w:t>
      </w:r>
      <w:bookmarkEnd w:id="50"/>
    </w:p>
    <w:p w:rsidR="009332B3" w:rsidRPr="009332B3" w:rsidRDefault="009332B3" w:rsidP="009332B3"/>
    <w:p w:rsidR="009332B3" w:rsidRPr="00926998" w:rsidRDefault="002C2EE3" w:rsidP="002C2EE3">
      <w:pPr>
        <w:pStyle w:val="ParNumber"/>
        <w:ind w:left="0" w:hanging="720"/>
      </w:pPr>
      <w:r>
        <w:tab/>
      </w:r>
      <w:r w:rsidR="009332B3">
        <w:t>Staff’s own expert witness David Parcell provides little support for Staff’s position</w:t>
      </w:r>
      <w:r w:rsidR="00F3609B">
        <w:t xml:space="preserve"> on decoupling</w:t>
      </w:r>
      <w:r w:rsidR="009332B3">
        <w:t>.  On the contrary, he is on record in multiple jurisdictions as supporting the same positions advocated by Public Counsel and ICNU in this case.  He has frequently testified  in support of the proposition that decoupling reduces a utility’s risk and therefore its cost of capital.  He has testified to this effect in Arizona, Maryland, Hawaii, Delaware, and in Washington State, recommending either specific basis point reductions or movement downward in his range.</w:t>
      </w:r>
      <w:r w:rsidR="009332B3">
        <w:rPr>
          <w:rStyle w:val="FootnoteReference"/>
        </w:rPr>
        <w:footnoteReference w:id="161"/>
      </w:r>
      <w:r w:rsidR="009332B3">
        <w:t xml:space="preserve">  In </w:t>
      </w:r>
      <w:r w:rsidR="00AC6DE2">
        <w:t xml:space="preserve">a 2006 Cascade Natural Gas case in </w:t>
      </w:r>
      <w:r w:rsidR="009332B3">
        <w:t>Washington, Mr. Parcell testified for Commission Staff  that</w:t>
      </w:r>
      <w:r w:rsidR="00AC6DE2">
        <w:t xml:space="preserve"> Cascade’s cost of equity should be reduced by 25 basis points if the decoupling mechanism proposed in that case was adopted.</w:t>
      </w:r>
      <w:r w:rsidR="009332B3" w:rsidRPr="004331E3">
        <w:rPr>
          <w:rStyle w:val="FootnoteReference"/>
        </w:rPr>
        <w:footnoteReference w:id="162"/>
      </w:r>
      <w:r w:rsidR="009332B3" w:rsidRPr="004331E3">
        <w:t xml:space="preserve"> </w:t>
      </w:r>
      <w:r w:rsidR="009332B3" w:rsidRPr="00926998">
        <w:rPr>
          <w:i/>
        </w:rPr>
        <w:t xml:space="preserve"> </w:t>
      </w:r>
    </w:p>
    <w:p w:rsidR="002C2EE3" w:rsidRDefault="009332B3" w:rsidP="002C2EE3">
      <w:pPr>
        <w:pStyle w:val="ParNumber"/>
        <w:ind w:left="0" w:hanging="720"/>
      </w:pPr>
      <w:r>
        <w:rPr>
          <w:i/>
        </w:rPr>
        <w:tab/>
      </w:r>
      <w:r>
        <w:t>Nor has Mr. Parcell advocated for Staff’s “wait and see” approach.  He has not recommended, as his own expert opinion, that a regulatory Commission delay recognition of the effect until some future time.</w:t>
      </w:r>
      <w:r>
        <w:rPr>
          <w:rStyle w:val="FootnoteReference"/>
        </w:rPr>
        <w:footnoteReference w:id="163"/>
      </w:r>
      <w:r>
        <w:t xml:space="preserve">  His testimony in Washington, as well as other jurisdictions has supported immediate recognition of the decoupling i</w:t>
      </w:r>
      <w:r w:rsidR="00C14289">
        <w:t>mpact in</w:t>
      </w:r>
      <w:r>
        <w:t xml:space="preserve"> rates.   </w:t>
      </w:r>
    </w:p>
    <w:p w:rsidR="002C2EE3" w:rsidRDefault="002C2EE3" w:rsidP="002C2EE3">
      <w:pPr>
        <w:pStyle w:val="ParNumber"/>
        <w:ind w:left="0" w:hanging="720"/>
      </w:pPr>
      <w:r>
        <w:tab/>
      </w:r>
      <w:r w:rsidR="00C14289">
        <w:t>It is</w:t>
      </w:r>
      <w:r w:rsidR="009332B3">
        <w:t xml:space="preserve"> reasonable to assume that if Mr. Parcell h</w:t>
      </w:r>
      <w:r w:rsidR="00C14289">
        <w:t>ad filed testimony in this case</w:t>
      </w:r>
      <w:r w:rsidR="009332B3">
        <w:t xml:space="preserve"> consistent wi</w:t>
      </w:r>
      <w:r w:rsidR="00535FC8">
        <w:t>th his past positions, he would</w:t>
      </w:r>
      <w:r w:rsidR="00C14289">
        <w:t xml:space="preserve"> </w:t>
      </w:r>
      <w:r w:rsidR="009332B3">
        <w:t xml:space="preserve">have addressed the impact of decoupling as part of the cost of capital analysis, and would </w:t>
      </w:r>
      <w:r w:rsidR="00535FC8">
        <w:t xml:space="preserve">likely </w:t>
      </w:r>
      <w:r w:rsidR="009332B3">
        <w:t xml:space="preserve">have recommended a downward adjustment.  His testimony in </w:t>
      </w:r>
      <w:r w:rsidR="009332B3">
        <w:lastRenderedPageBreak/>
        <w:t>the PacifiCorp 2014 General Rate Case, filed only a few months after his Remand testimony</w:t>
      </w:r>
      <w:r w:rsidR="00E65382">
        <w:t>,</w:t>
      </w:r>
      <w:r w:rsidR="009332B3">
        <w:t xml:space="preserve"> supports this conclusion.</w:t>
      </w:r>
      <w:r w:rsidR="00782126">
        <w:rPr>
          <w:rStyle w:val="FootnoteReference"/>
        </w:rPr>
        <w:footnoteReference w:id="164"/>
      </w:r>
      <w:r w:rsidR="009332B3">
        <w:t xml:space="preserve">  In PacifiCorp he has specifically recommended that </w:t>
      </w:r>
      <w:r w:rsidR="00C14289">
        <w:t xml:space="preserve">if a Power Cost Adjustment is </w:t>
      </w:r>
      <w:r w:rsidR="009332B3">
        <w:t>adopted for PacifiCorp, it should be reflected in a lower cost of capital at the time</w:t>
      </w:r>
      <w:r w:rsidR="00C14289">
        <w:t xml:space="preserve"> of rate setting, because it is</w:t>
      </w:r>
      <w:r w:rsidR="009332B3">
        <w:t xml:space="preserve"> a “new mechanism” for the Company.  He concedes that PSE’s decoupling mechanism and K-factor rate plan are also “new mechanisms” for PSE.</w:t>
      </w:r>
      <w:r w:rsidR="00782126">
        <w:rPr>
          <w:rStyle w:val="FootnoteReference"/>
        </w:rPr>
        <w:footnoteReference w:id="165"/>
      </w:r>
    </w:p>
    <w:p w:rsidR="009332B3" w:rsidRDefault="002C2EE3" w:rsidP="00E65382">
      <w:pPr>
        <w:pStyle w:val="ParNumber"/>
        <w:ind w:left="0" w:hanging="720"/>
      </w:pPr>
      <w:r>
        <w:tab/>
      </w:r>
      <w:r w:rsidR="009332B3">
        <w:t>When questioned about his failure to address decoupling</w:t>
      </w:r>
      <w:r w:rsidR="00761F04">
        <w:t xml:space="preserve"> in this case</w:t>
      </w:r>
      <w:r w:rsidR="00C14289">
        <w:t>, his explanation was</w:t>
      </w:r>
      <w:r w:rsidR="00E449BD">
        <w:t xml:space="preserve"> </w:t>
      </w:r>
      <w:r w:rsidR="009332B3">
        <w:t>that this is not a general rate case.</w:t>
      </w:r>
      <w:r w:rsidR="00EA6C8C">
        <w:rPr>
          <w:rStyle w:val="FootnoteReference"/>
        </w:rPr>
        <w:footnoteReference w:id="166"/>
      </w:r>
      <w:r w:rsidR="009332B3">
        <w:t xml:space="preserve">  This </w:t>
      </w:r>
      <w:r w:rsidR="00761F04">
        <w:t>makes little sense</w:t>
      </w:r>
      <w:r w:rsidR="00782126">
        <w:t>.  First</w:t>
      </w:r>
      <w:r w:rsidR="009332B3">
        <w:t>, the point, if valid, would apply equally to the process of setting a market-bas</w:t>
      </w:r>
      <w:r w:rsidR="00782126">
        <w:t>ed cost of capital, on which h</w:t>
      </w:r>
      <w:r w:rsidR="00E65382">
        <w:t>e, and all the other witnesses,</w:t>
      </w:r>
      <w:r w:rsidR="00782126">
        <w:t xml:space="preserve"> have </w:t>
      </w:r>
      <w:r w:rsidR="009332B3">
        <w:t xml:space="preserve">testified with no such objection.  Secondly, the argument mistakes the entire </w:t>
      </w:r>
      <w:r w:rsidR="00761F04">
        <w:t xml:space="preserve">import </w:t>
      </w:r>
      <w:r w:rsidR="009332B3">
        <w:t xml:space="preserve">of the Remand.  In the initial phase of the case, PSE and Staff </w:t>
      </w:r>
      <w:r w:rsidR="00761F04">
        <w:t xml:space="preserve">argued that </w:t>
      </w:r>
      <w:r w:rsidR="009332B3">
        <w:t>cost of capital ne</w:t>
      </w:r>
      <w:r w:rsidR="00E65382">
        <w:t>ed not be addressed and the 9.8</w:t>
      </w:r>
      <w:r w:rsidR="00A133C1">
        <w:t>%</w:t>
      </w:r>
      <w:r w:rsidR="009332B3">
        <w:t xml:space="preserve"> could simply remain in effect</w:t>
      </w:r>
      <w:r w:rsidR="00761F04">
        <w:t xml:space="preserve"> because the Commission was not conducting a general rate case</w:t>
      </w:r>
      <w:r w:rsidR="009332B3">
        <w:t xml:space="preserve">.  </w:t>
      </w:r>
      <w:r w:rsidR="00E449BD">
        <w:t>T</w:t>
      </w:r>
      <w:r w:rsidR="009332B3">
        <w:t xml:space="preserve">he </w:t>
      </w:r>
      <w:r w:rsidR="00E449BD">
        <w:t>Superior C</w:t>
      </w:r>
      <w:r w:rsidR="009332B3">
        <w:t xml:space="preserve">ourt ultimately rejected this view, </w:t>
      </w:r>
      <w:r w:rsidR="00E449BD">
        <w:t xml:space="preserve">requiring </w:t>
      </w:r>
      <w:r w:rsidR="009332B3">
        <w:t>the Commission to address cost of capital on remand</w:t>
      </w:r>
      <w:r w:rsidR="00E449BD">
        <w:t xml:space="preserve"> and </w:t>
      </w:r>
      <w:r w:rsidR="009332B3">
        <w:t xml:space="preserve">the Commission directed the parties to present cost of capital in the same manner as in a general rate case.  </w:t>
      </w:r>
      <w:r w:rsidR="00FE7AC1">
        <w:t>Mr. Parcell has routinely addressed decoupling as part of his cost of capital analysis</w:t>
      </w:r>
      <w:r w:rsidR="00E449BD">
        <w:t xml:space="preserve"> in general rate cases</w:t>
      </w:r>
      <w:r w:rsidR="00FE7AC1">
        <w:t>.</w:t>
      </w:r>
      <w:r w:rsidR="00661D5B">
        <w:t xml:space="preserve">  In this case, it appears that it was simply Staff’s decision that he not address decoupling, because of their litigation position “that the issue of the effect of decoupling on ROE is not included in the </w:t>
      </w:r>
      <w:r w:rsidR="007330C0">
        <w:t>remand</w:t>
      </w:r>
      <w:r w:rsidR="00E449BD">
        <w:t>.</w:t>
      </w:r>
      <w:r w:rsidR="007330C0">
        <w:t>”</w:t>
      </w:r>
      <w:r w:rsidR="007330C0">
        <w:rPr>
          <w:rStyle w:val="FootnoteReference"/>
        </w:rPr>
        <w:footnoteReference w:id="167"/>
      </w:r>
    </w:p>
    <w:p w:rsidR="00DC044E" w:rsidRDefault="00DC044E" w:rsidP="00761EEC">
      <w:pPr>
        <w:pStyle w:val="Heading3"/>
        <w:spacing w:before="0"/>
      </w:pPr>
      <w:bookmarkStart w:id="51" w:name="_Toc413395602"/>
      <w:r>
        <w:t>Dr. Morin</w:t>
      </w:r>
      <w:r w:rsidR="001C6377">
        <w:t xml:space="preserve"> has previously supported adjusting ROE to reflect decoupling.</w:t>
      </w:r>
      <w:bookmarkEnd w:id="51"/>
      <w:r w:rsidR="001C6377">
        <w:t xml:space="preserve"> </w:t>
      </w:r>
    </w:p>
    <w:p w:rsidR="00DC044E" w:rsidRDefault="00DC044E" w:rsidP="00DC044E"/>
    <w:p w:rsidR="00BB0A23" w:rsidRDefault="00DC2B8B" w:rsidP="002C2EE3">
      <w:pPr>
        <w:pStyle w:val="ParNumber"/>
        <w:ind w:left="0" w:hanging="720"/>
      </w:pPr>
      <w:r>
        <w:lastRenderedPageBreak/>
        <w:tab/>
      </w:r>
      <w:r w:rsidR="001C6377">
        <w:t xml:space="preserve">Dr. Morin has previously testified in Hawaii, </w:t>
      </w:r>
      <w:r w:rsidR="004803D1">
        <w:t>Washington D.C.</w:t>
      </w:r>
      <w:r w:rsidR="00E65382">
        <w:t>,</w:t>
      </w:r>
      <w:r w:rsidR="001C6377">
        <w:t xml:space="preserve"> and Washington </w:t>
      </w:r>
      <w:r w:rsidR="00C14289">
        <w:t xml:space="preserve">state </w:t>
      </w:r>
      <w:r w:rsidR="001C6377">
        <w:t>that the adoption of decoupling should be reflected in a specific downward adjustment to cost of capital.</w:t>
      </w:r>
      <w:r w:rsidR="00BF18DE">
        <w:rPr>
          <w:rStyle w:val="FootnoteReference"/>
        </w:rPr>
        <w:footnoteReference w:id="168"/>
      </w:r>
      <w:r w:rsidR="001C6377">
        <w:t xml:space="preserve"> </w:t>
      </w:r>
      <w:r w:rsidR="00E65382">
        <w:t xml:space="preserve"> </w:t>
      </w:r>
      <w:r w:rsidR="001C6377">
        <w:t>In Hawaii, he testified that “if the RDM[revenue decoupling mechanism]/Rider mechanisms are approved by the Commission, the Company’s risk is reduced, and the cost of common equity declines by some 25 basis points.”</w:t>
      </w:r>
      <w:r w:rsidR="001C6377">
        <w:rPr>
          <w:rStyle w:val="FootnoteReference"/>
        </w:rPr>
        <w:footnoteReference w:id="169"/>
      </w:r>
      <w:r w:rsidR="001C6377">
        <w:t xml:space="preserve">  In the 2006 Cascade General Rate Case in Washington, Dr. Morin testified that his ROE recommendation was “based upon anticipated adoption of the decoupling me</w:t>
      </w:r>
      <w:r w:rsidR="00217466">
        <w:t>chanism proposed by the Company</w:t>
      </w:r>
      <w:r w:rsidR="001C6377">
        <w:t>[.]  Rejection of this proposed mechanism would increase Cascade’s risk profile and would therefore require an upward adjustment to this ROE recommendation.”</w:t>
      </w:r>
      <w:r w:rsidR="001C6377">
        <w:rPr>
          <w:rStyle w:val="FootnoteReference"/>
        </w:rPr>
        <w:footnoteReference w:id="170"/>
      </w:r>
      <w:r w:rsidR="001C6377">
        <w:t xml:space="preserve"> </w:t>
      </w:r>
      <w:r w:rsidR="007B3E47">
        <w:t xml:space="preserve"> </w:t>
      </w:r>
      <w:r w:rsidR="001C6377">
        <w:t>In none of these cases did Dr. Morin recommend that the regulatory Commission postpone recognition of the cost of capital impact for a</w:t>
      </w:r>
      <w:r w:rsidR="00BF18DE">
        <w:t>ny period</w:t>
      </w:r>
      <w:r w:rsidR="00F37276">
        <w:t xml:space="preserve"> of time</w:t>
      </w:r>
      <w:r w:rsidR="001C6377">
        <w:t xml:space="preserve">.  The recommendation was to be </w:t>
      </w:r>
      <w:r w:rsidR="00F37276">
        <w:t xml:space="preserve">incorporated in the calculation of the </w:t>
      </w:r>
      <w:r w:rsidR="001C6377">
        <w:t>rates being set in the case.</w:t>
      </w:r>
      <w:r w:rsidR="00BB0A23">
        <w:t xml:space="preserve">  </w:t>
      </w:r>
    </w:p>
    <w:p w:rsidR="002C2EE3" w:rsidRDefault="00BB0A23" w:rsidP="002C2EE3">
      <w:pPr>
        <w:pStyle w:val="ParNumber"/>
        <w:ind w:left="0" w:hanging="720"/>
      </w:pPr>
      <w:r>
        <w:tab/>
      </w:r>
      <w:r w:rsidR="00404E1D">
        <w:t xml:space="preserve">Based on his </w:t>
      </w:r>
      <w:r w:rsidR="00BF18DE">
        <w:t xml:space="preserve">testimony and his </w:t>
      </w:r>
      <w:r w:rsidR="00404E1D">
        <w:t xml:space="preserve">responses to cross-examination at the hearing, it appears Dr. Morin now </w:t>
      </w:r>
      <w:r w:rsidR="00BF18DE">
        <w:t xml:space="preserve">believes </w:t>
      </w:r>
      <w:r w:rsidR="00404E1D">
        <w:t>that no adjustment is appropriate for PSE because decoupling is so ubiquitous that it is already incorporated in market expectations</w:t>
      </w:r>
      <w:r>
        <w:t xml:space="preserve">.  </w:t>
      </w:r>
      <w:r w:rsidR="00BF18DE">
        <w:t>The record does not support his new position</w:t>
      </w:r>
      <w:r w:rsidR="00404E1D">
        <w:t xml:space="preserve">.  </w:t>
      </w:r>
      <w:r w:rsidR="00BF18DE">
        <w:t>His own</w:t>
      </w:r>
      <w:r w:rsidR="000340D3">
        <w:t xml:space="preserve"> direct</w:t>
      </w:r>
      <w:r w:rsidR="00BF18DE">
        <w:t xml:space="preserve"> testimony in the case is a conclusory one paragraph st</w:t>
      </w:r>
      <w:r w:rsidR="000340D3">
        <w:t xml:space="preserve">atement without any analysis.  </w:t>
      </w:r>
      <w:r w:rsidR="00BF18DE">
        <w:t xml:space="preserve">He testified </w:t>
      </w:r>
      <w:r w:rsidR="00F8055C">
        <w:t>only that</w:t>
      </w:r>
      <w:r w:rsidR="000A047A">
        <w:t>,</w:t>
      </w:r>
      <w:r w:rsidR="00F8055C">
        <w:t xml:space="preserve"> “</w:t>
      </w:r>
      <w:r w:rsidR="000A047A">
        <w:rPr>
          <w:i/>
        </w:rPr>
        <w:t>T</w:t>
      </w:r>
      <w:r w:rsidR="00F8055C" w:rsidRPr="00CC0B6A">
        <w:rPr>
          <w:i/>
        </w:rPr>
        <w:t>o the extent</w:t>
      </w:r>
      <w:r w:rsidR="00F8055C">
        <w:t xml:space="preserve"> that the market-derived cost of common equity for other utility companies already incorporates the impacts of these or similar mechanisms, no </w:t>
      </w:r>
      <w:r w:rsidR="000340D3">
        <w:t xml:space="preserve">further adjustment is </w:t>
      </w:r>
      <w:r w:rsidR="000A047A">
        <w:t>appropriate or reasonable</w:t>
      </w:r>
      <w:r w:rsidR="00F8055C">
        <w:t>[.]”</w:t>
      </w:r>
      <w:r w:rsidR="00F8055C">
        <w:rPr>
          <w:rStyle w:val="FootnoteReference"/>
        </w:rPr>
        <w:footnoteReference w:id="171"/>
      </w:r>
      <w:r w:rsidR="00F8055C">
        <w:t xml:space="preserve">  Dr. Morin made no </w:t>
      </w:r>
      <w:r w:rsidR="00F8055C">
        <w:lastRenderedPageBreak/>
        <w:t>attempt to ascertain the “extent” to which his assumption was true</w:t>
      </w:r>
      <w:r w:rsidR="00726BD0">
        <w:t xml:space="preserve"> through any analysis in testimony whatever</w:t>
      </w:r>
      <w:r w:rsidR="00F8055C">
        <w:t>.  At hearing, h</w:t>
      </w:r>
      <w:r w:rsidR="00404E1D">
        <w:t>e was unable to state how many companies in his sample group have decoupling comparable to PSE’s mechanism</w:t>
      </w:r>
      <w:r w:rsidR="00404E1D">
        <w:rPr>
          <w:rStyle w:val="FootnoteReference"/>
        </w:rPr>
        <w:footnoteReference w:id="172"/>
      </w:r>
      <w:r w:rsidR="00404E1D">
        <w:t xml:space="preserve"> </w:t>
      </w:r>
      <w:r w:rsidR="00F8055C">
        <w:t xml:space="preserve">and </w:t>
      </w:r>
      <w:r w:rsidR="00404E1D">
        <w:t xml:space="preserve">was unable to </w:t>
      </w:r>
      <w:r w:rsidR="00404E1D" w:rsidRPr="00BE2B3E">
        <w:t>name or describe any of PSE’s other regulatory mechanisms</w:t>
      </w:r>
      <w:r w:rsidR="00FC7E31" w:rsidRPr="00BE2B3E">
        <w:t xml:space="preserve"> for comparison purposes</w:t>
      </w:r>
      <w:r w:rsidR="00404E1D" w:rsidRPr="00BE2B3E">
        <w:t>.</w:t>
      </w:r>
      <w:r w:rsidR="00404E1D" w:rsidRPr="00BE2B3E">
        <w:rPr>
          <w:rStyle w:val="FootnoteReference"/>
        </w:rPr>
        <w:footnoteReference w:id="173"/>
      </w:r>
      <w:r w:rsidR="00404E1D">
        <w:t xml:space="preserve"> </w:t>
      </w:r>
      <w:r w:rsidR="006431C2">
        <w:t xml:space="preserve"> He referenced Dr. </w:t>
      </w:r>
      <w:r w:rsidR="001A3AE7">
        <w:t xml:space="preserve">Vilbert’s testimony in this case in his testimony, </w:t>
      </w:r>
      <w:r w:rsidR="00CC0B6A">
        <w:t xml:space="preserve">although Dr. Vilbert’s evidence actually shows across-the-board impacts on cost of capital, not that the impact is “baked in.”  Dr. Morin also </w:t>
      </w:r>
      <w:r w:rsidR="00404E1D" w:rsidRPr="00C14289">
        <w:t xml:space="preserve">acknowledged </w:t>
      </w:r>
      <w:r w:rsidR="001A3AE7" w:rsidRPr="00C14289">
        <w:t xml:space="preserve">at the hearing </w:t>
      </w:r>
      <w:r w:rsidR="00404E1D" w:rsidRPr="00C14289">
        <w:t xml:space="preserve">that </w:t>
      </w:r>
      <w:r w:rsidR="001173A2" w:rsidRPr="00C14289">
        <w:t xml:space="preserve">the Brattle Report only includes </w:t>
      </w:r>
      <w:r w:rsidR="00B50785" w:rsidRPr="00C14289">
        <w:t>12</w:t>
      </w:r>
      <w:r w:rsidR="00B50785" w:rsidRPr="00C14289">
        <w:rPr>
          <w:b/>
        </w:rPr>
        <w:t xml:space="preserve"> </w:t>
      </w:r>
      <w:r w:rsidR="007F110F" w:rsidRPr="00C14289">
        <w:t xml:space="preserve">companies with full true-up decoupling </w:t>
      </w:r>
      <w:r w:rsidR="001173A2" w:rsidRPr="00C14289">
        <w:t>and that the majority of companies in the United States do not have decoupling mechanisms.</w:t>
      </w:r>
      <w:r w:rsidR="007F110F" w:rsidRPr="00C14289">
        <w:rPr>
          <w:rStyle w:val="FootnoteReference"/>
        </w:rPr>
        <w:footnoteReference w:id="174"/>
      </w:r>
      <w:r w:rsidR="001173A2">
        <w:t xml:space="preserve">  </w:t>
      </w:r>
    </w:p>
    <w:p w:rsidR="00F7107C" w:rsidRDefault="002C2EE3" w:rsidP="002C2EE3">
      <w:pPr>
        <w:pStyle w:val="ParNumber"/>
        <w:ind w:left="0" w:hanging="720"/>
      </w:pPr>
      <w:r>
        <w:tab/>
      </w:r>
      <w:r w:rsidR="00746DA5">
        <w:t>Mr. Hill addresses this general contention (the “baked in” contention) in some detail in his testimony</w:t>
      </w:r>
      <w:r w:rsidR="003E52B9">
        <w:t>, including an analysis of Dr. Morin’s sample group</w:t>
      </w:r>
      <w:r w:rsidR="00746DA5">
        <w:t>.</w:t>
      </w:r>
      <w:r w:rsidR="00B92F2A">
        <w:rPr>
          <w:rStyle w:val="FootnoteReference"/>
        </w:rPr>
        <w:footnoteReference w:id="175"/>
      </w:r>
      <w:r w:rsidR="00BB0A23">
        <w:t xml:space="preserve">  </w:t>
      </w:r>
      <w:r w:rsidR="00A7335D">
        <w:t>More than half of the utilities in Dr. Morin’s sam</w:t>
      </w:r>
      <w:r w:rsidR="00BB0A23">
        <w:t>ple group have zero decoupling.</w:t>
      </w:r>
      <w:r w:rsidR="00A7335D">
        <w:t xml:space="preserve">  </w:t>
      </w:r>
      <w:r w:rsidR="00746DA5">
        <w:t xml:space="preserve">He </w:t>
      </w:r>
      <w:r w:rsidR="00A7335D">
        <w:t>point</w:t>
      </w:r>
      <w:r w:rsidR="00746DA5">
        <w:t xml:space="preserve">s out that the Brattle Group’s </w:t>
      </w:r>
      <w:r w:rsidR="000E11C1" w:rsidRPr="006431C2">
        <w:t>own decoupling map, attached as Appendix C</w:t>
      </w:r>
      <w:r w:rsidR="00BB0A23" w:rsidRPr="006431C2">
        <w:t>,</w:t>
      </w:r>
      <w:r w:rsidR="00746DA5" w:rsidRPr="006431C2">
        <w:t xml:space="preserve"> shows </w:t>
      </w:r>
      <w:r w:rsidR="00C14289">
        <w:t xml:space="preserve">that at the time of the study </w:t>
      </w:r>
      <w:r w:rsidR="00746DA5" w:rsidRPr="006431C2">
        <w:t xml:space="preserve">only twelve states </w:t>
      </w:r>
      <w:r w:rsidR="00C14289">
        <w:t>had</w:t>
      </w:r>
      <w:r w:rsidR="003E52B9" w:rsidRPr="006431C2">
        <w:t xml:space="preserve"> </w:t>
      </w:r>
      <w:r w:rsidR="00746DA5" w:rsidRPr="006431C2">
        <w:t>full “true-up” decoupling of the type awarded to PSE.</w:t>
      </w:r>
      <w:r w:rsidR="006431C2">
        <w:rPr>
          <w:rStyle w:val="FootnoteReference"/>
        </w:rPr>
        <w:footnoteReference w:id="176"/>
      </w:r>
      <w:r w:rsidR="00746DA5">
        <w:t xml:space="preserve">  </w:t>
      </w:r>
      <w:r w:rsidR="00003400">
        <w:t xml:space="preserve">Dr. Morin does not respond to these specific points in his rebuttal testimony.  </w:t>
      </w:r>
      <w:r w:rsidR="00B92F2A">
        <w:t xml:space="preserve">While Dr. Morin </w:t>
      </w:r>
      <w:r w:rsidR="000F13FF">
        <w:t>points to the existence of many types of risk-</w:t>
      </w:r>
      <w:r w:rsidR="00B92F2A">
        <w:t>adjustment mechanisms</w:t>
      </w:r>
      <w:r w:rsidR="000F13FF">
        <w:t xml:space="preserve"> for utilities</w:t>
      </w:r>
      <w:r w:rsidR="00B92F2A">
        <w:t xml:space="preserve">, he has provided no evidence that the variety of different mechanisms are comparable to PSE’s full decoupling mechanism, or </w:t>
      </w:r>
      <w:r w:rsidR="00C14289">
        <w:t xml:space="preserve">that they </w:t>
      </w:r>
      <w:r w:rsidR="00B92F2A">
        <w:t xml:space="preserve">lower </w:t>
      </w:r>
      <w:r w:rsidR="00B92F2A">
        <w:lastRenderedPageBreak/>
        <w:t xml:space="preserve">operating risk to the same degree.  </w:t>
      </w:r>
      <w:r w:rsidR="00B50785">
        <w:t>As a result, PSE has failed to carry its burden of proof on the issue of decoupling impact.</w:t>
      </w:r>
      <w:r w:rsidR="00B50785">
        <w:rPr>
          <w:rStyle w:val="FootnoteReference"/>
        </w:rPr>
        <w:footnoteReference w:id="177"/>
      </w:r>
    </w:p>
    <w:p w:rsidR="00474669" w:rsidRDefault="00474669" w:rsidP="00474669">
      <w:pPr>
        <w:pStyle w:val="ParNumber"/>
        <w:numPr>
          <w:ilvl w:val="0"/>
          <w:numId w:val="0"/>
        </w:numPr>
      </w:pPr>
      <w:r>
        <w:t>/ /</w:t>
      </w:r>
    </w:p>
    <w:p w:rsidR="00474669" w:rsidRDefault="00474669" w:rsidP="00474669">
      <w:pPr>
        <w:pStyle w:val="ParNumber"/>
        <w:numPr>
          <w:ilvl w:val="0"/>
          <w:numId w:val="0"/>
        </w:numPr>
      </w:pPr>
      <w:r>
        <w:t>/ / /</w:t>
      </w:r>
    </w:p>
    <w:p w:rsidR="00474669" w:rsidRDefault="00474669" w:rsidP="00474669">
      <w:pPr>
        <w:pStyle w:val="ParNumber"/>
        <w:numPr>
          <w:ilvl w:val="0"/>
          <w:numId w:val="0"/>
        </w:numPr>
      </w:pPr>
      <w:r>
        <w:t>/ / / /</w:t>
      </w:r>
    </w:p>
    <w:p w:rsidR="00474669" w:rsidRDefault="00474669" w:rsidP="00474669">
      <w:pPr>
        <w:pStyle w:val="ParNumber"/>
        <w:numPr>
          <w:ilvl w:val="0"/>
          <w:numId w:val="0"/>
        </w:numPr>
      </w:pPr>
      <w:r>
        <w:t>/ / / / /</w:t>
      </w:r>
    </w:p>
    <w:p w:rsidR="00474669" w:rsidRDefault="00474669" w:rsidP="00474669">
      <w:pPr>
        <w:pStyle w:val="ParNumber"/>
        <w:numPr>
          <w:ilvl w:val="0"/>
          <w:numId w:val="0"/>
        </w:numPr>
      </w:pPr>
      <w:r>
        <w:t>/ / / / / /</w:t>
      </w:r>
    </w:p>
    <w:p w:rsidR="00474669" w:rsidRDefault="00474669" w:rsidP="00474669">
      <w:pPr>
        <w:pStyle w:val="ParNumber"/>
        <w:numPr>
          <w:ilvl w:val="0"/>
          <w:numId w:val="0"/>
        </w:numPr>
      </w:pPr>
      <w:r>
        <w:t>/ / / / / / /</w:t>
      </w:r>
    </w:p>
    <w:p w:rsidR="00474669" w:rsidRDefault="00474669" w:rsidP="00474669">
      <w:pPr>
        <w:pStyle w:val="ParNumber"/>
        <w:numPr>
          <w:ilvl w:val="0"/>
          <w:numId w:val="0"/>
        </w:numPr>
      </w:pPr>
      <w:r>
        <w:t>/ / / / / / / /</w:t>
      </w:r>
    </w:p>
    <w:p w:rsidR="00474669" w:rsidRDefault="00474669" w:rsidP="00474669">
      <w:pPr>
        <w:pStyle w:val="ParNumber"/>
        <w:numPr>
          <w:ilvl w:val="0"/>
          <w:numId w:val="0"/>
        </w:numPr>
      </w:pPr>
      <w:r>
        <w:t>/ / / / / / / / /</w:t>
      </w:r>
    </w:p>
    <w:p w:rsidR="00474669" w:rsidRDefault="00474669" w:rsidP="00474669">
      <w:pPr>
        <w:pStyle w:val="ParNumber"/>
        <w:numPr>
          <w:ilvl w:val="0"/>
          <w:numId w:val="0"/>
        </w:numPr>
      </w:pPr>
      <w:r>
        <w:t>/ / / / / / / / / /</w:t>
      </w:r>
    </w:p>
    <w:p w:rsidR="00404E1D" w:rsidRDefault="0011659F" w:rsidP="00674EAB">
      <w:pPr>
        <w:pStyle w:val="Heading1"/>
        <w:spacing w:before="0"/>
      </w:pPr>
      <w:bookmarkStart w:id="52" w:name="_Toc413395603"/>
      <w:r>
        <w:t>conclusion</w:t>
      </w:r>
      <w:bookmarkEnd w:id="52"/>
    </w:p>
    <w:p w:rsidR="000F13FF" w:rsidRDefault="000F13FF" w:rsidP="000F13FF"/>
    <w:p w:rsidR="0097522F" w:rsidRPr="0097522F" w:rsidRDefault="002C2EE3" w:rsidP="0097522F">
      <w:pPr>
        <w:pStyle w:val="ParNumber"/>
        <w:ind w:left="0" w:hanging="720"/>
      </w:pPr>
      <w:r>
        <w:tab/>
      </w:r>
      <w:r w:rsidR="000F13FF">
        <w:t xml:space="preserve">For the foregoing reasons, Public Counsel respectfully requests that the Commission adopt a new lower ROE for PSE that reflects the declining cost of capital and the </w:t>
      </w:r>
      <w:r w:rsidR="004A016C">
        <w:t>adoption of decoupling at the initiation of the Rate Plan in early 2013.  Mr</w:t>
      </w:r>
      <w:r w:rsidR="001F4EBD">
        <w:t>. Hill’s recommendation of 8.65</w:t>
      </w:r>
      <w:r w:rsidR="004A016C">
        <w:t xml:space="preserve">% is a reasonable ROE based on the evidence.  The need for a reduction in ROE is further </w:t>
      </w:r>
      <w:r w:rsidR="00610448">
        <w:t>supported by the analyses</w:t>
      </w:r>
      <w:r w:rsidR="000E11C1">
        <w:t xml:space="preserve"> of Mr. Gorman and Mr. Parcell.</w:t>
      </w:r>
      <w:r w:rsidR="00610448">
        <w:t xml:space="preserve">  Public Counsel also</w:t>
      </w:r>
      <w:r w:rsidR="004A016C">
        <w:t xml:space="preserve"> requests that the Commission </w:t>
      </w:r>
      <w:r w:rsidR="00E07CE7">
        <w:t xml:space="preserve">order further proceedings to </w:t>
      </w:r>
      <w:r w:rsidR="004A016C">
        <w:t>establish fair, just, reasonable, and sufficient rates to be charged under the Rate Plan</w:t>
      </w:r>
      <w:r w:rsidR="00E07CE7">
        <w:t xml:space="preserve">, pursuant to the </w:t>
      </w:r>
      <w:r w:rsidR="00610448">
        <w:t xml:space="preserve">Superior </w:t>
      </w:r>
      <w:r w:rsidR="00E07CE7">
        <w:t>Court’s order</w:t>
      </w:r>
      <w:r w:rsidR="004A016C">
        <w:t xml:space="preserve">, and </w:t>
      </w:r>
      <w:r w:rsidR="00E07CE7">
        <w:t xml:space="preserve">to establish </w:t>
      </w:r>
      <w:r w:rsidR="004A016C">
        <w:t>refunds for excess rates paid by customers since the effective date of the Rate Plan.</w:t>
      </w:r>
    </w:p>
    <w:p w:rsidR="00C1073A" w:rsidRDefault="00C1073A" w:rsidP="008D15F3">
      <w:pPr>
        <w:pStyle w:val="CourtName"/>
        <w:spacing w:line="480" w:lineRule="exact"/>
        <w:ind w:firstLine="720"/>
        <w:jc w:val="left"/>
      </w:pPr>
      <w:r>
        <w:t>DATED</w:t>
      </w:r>
      <w:r w:rsidR="00125CC0">
        <w:t xml:space="preserve"> this </w:t>
      </w:r>
      <w:r w:rsidR="00BF066D">
        <w:t>6</w:t>
      </w:r>
      <w:r w:rsidR="00BF066D" w:rsidRPr="00BF066D">
        <w:rPr>
          <w:vertAlign w:val="superscript"/>
        </w:rPr>
        <w:t>th</w:t>
      </w:r>
      <w:r w:rsidR="00BF066D">
        <w:t xml:space="preserve"> day of March</w:t>
      </w:r>
      <w:r w:rsidR="006C1845">
        <w:t>, 2015</w:t>
      </w:r>
      <w:r>
        <w:t>.</w:t>
      </w:r>
    </w:p>
    <w:p w:rsidR="00C1073A" w:rsidRDefault="00C1073A" w:rsidP="00C1073A">
      <w:pPr>
        <w:pStyle w:val="CourtName"/>
        <w:spacing w:line="480" w:lineRule="exact"/>
        <w:ind w:firstLine="720"/>
        <w:jc w:val="left"/>
      </w:pPr>
    </w:p>
    <w:p w:rsidR="00C1073A" w:rsidRDefault="00C1073A" w:rsidP="00C1073A">
      <w:pPr>
        <w:ind w:left="2160"/>
      </w:pPr>
      <w:r>
        <w:tab/>
      </w:r>
      <w:r>
        <w:tab/>
      </w:r>
      <w:r>
        <w:tab/>
      </w:r>
      <w:r>
        <w:tab/>
      </w:r>
      <w:r w:rsidR="005277C9">
        <w:t>ROBERT FERGUSON</w:t>
      </w:r>
    </w:p>
    <w:p w:rsidR="00C1073A" w:rsidRDefault="00C1073A" w:rsidP="00C1073A">
      <w:pPr>
        <w:ind w:left="2160"/>
      </w:pPr>
      <w:r>
        <w:tab/>
      </w:r>
      <w:r>
        <w:tab/>
      </w:r>
      <w:r>
        <w:tab/>
      </w:r>
      <w:r>
        <w:tab/>
        <w:t>Attorney General</w:t>
      </w:r>
    </w:p>
    <w:p w:rsidR="00C1073A" w:rsidRDefault="00C1073A" w:rsidP="00C1073A">
      <w:pPr>
        <w:ind w:left="2160"/>
      </w:pPr>
    </w:p>
    <w:p w:rsidR="00C1073A" w:rsidRDefault="00C1073A" w:rsidP="00C1073A">
      <w:pPr>
        <w:ind w:left="2160"/>
      </w:pPr>
    </w:p>
    <w:p w:rsidR="00C1073A" w:rsidRDefault="00C1073A" w:rsidP="00C1073A">
      <w:pPr>
        <w:ind w:left="2160"/>
      </w:pPr>
    </w:p>
    <w:p w:rsidR="00C1073A" w:rsidRPr="0062170E" w:rsidRDefault="0062170E" w:rsidP="00C1073A">
      <w:pPr>
        <w:ind w:left="2160"/>
        <w:rPr>
          <w:u w:val="single"/>
        </w:rPr>
      </w:pPr>
      <w:r>
        <w:tab/>
      </w:r>
      <w:r>
        <w:tab/>
      </w:r>
      <w:r>
        <w:tab/>
      </w:r>
      <w:r>
        <w:tab/>
      </w:r>
      <w:r w:rsidRPr="0062170E">
        <w:rPr>
          <w:u w:val="single"/>
        </w:rPr>
        <w:tab/>
      </w:r>
      <w:r w:rsidRPr="0062170E">
        <w:rPr>
          <w:u w:val="single"/>
        </w:rPr>
        <w:tab/>
      </w:r>
      <w:r w:rsidRPr="0062170E">
        <w:rPr>
          <w:u w:val="single"/>
        </w:rPr>
        <w:tab/>
      </w:r>
      <w:r w:rsidRPr="0062170E">
        <w:rPr>
          <w:u w:val="single"/>
        </w:rPr>
        <w:tab/>
      </w:r>
      <w:r w:rsidRPr="0062170E">
        <w:rPr>
          <w:u w:val="single"/>
        </w:rPr>
        <w:tab/>
      </w:r>
    </w:p>
    <w:p w:rsidR="00C1073A" w:rsidRDefault="00C1073A" w:rsidP="00C1073A">
      <w:pPr>
        <w:ind w:left="2160"/>
      </w:pPr>
      <w:r>
        <w:tab/>
      </w:r>
      <w:r>
        <w:tab/>
      </w:r>
      <w:r>
        <w:tab/>
      </w:r>
      <w:r>
        <w:tab/>
        <w:t>Simon J. ffitch</w:t>
      </w:r>
    </w:p>
    <w:p w:rsidR="00C1073A" w:rsidRDefault="00C1073A" w:rsidP="00C1073A">
      <w:pPr>
        <w:ind w:left="2160"/>
      </w:pPr>
      <w:r>
        <w:tab/>
      </w:r>
      <w:r>
        <w:tab/>
      </w:r>
      <w:r>
        <w:tab/>
      </w:r>
      <w:r>
        <w:tab/>
      </w:r>
      <w:r w:rsidR="005277C9">
        <w:t xml:space="preserve">Senior </w:t>
      </w:r>
      <w:r>
        <w:t>Assistant Attorney General</w:t>
      </w:r>
    </w:p>
    <w:p w:rsidR="00D60973" w:rsidRDefault="00C1073A" w:rsidP="00C1073A">
      <w:pPr>
        <w:ind w:left="2160"/>
        <w:sectPr w:rsidR="00D60973" w:rsidSect="00920838">
          <w:headerReference w:type="default" r:id="rId12"/>
          <w:pgSz w:w="12240" w:h="15840" w:code="1"/>
          <w:pgMar w:top="1440" w:right="1440" w:bottom="1440" w:left="1440" w:header="720" w:footer="720" w:gutter="0"/>
          <w:pgNumType w:start="1"/>
          <w:cols w:space="720"/>
          <w:docGrid w:linePitch="360"/>
        </w:sectPr>
      </w:pPr>
      <w:r>
        <w:tab/>
      </w:r>
      <w:r>
        <w:tab/>
      </w:r>
      <w:r>
        <w:tab/>
      </w:r>
      <w:r>
        <w:tab/>
        <w:t>Public Counsel</w:t>
      </w:r>
      <w:r w:rsidR="006C1845">
        <w:t xml:space="preserve"> </w:t>
      </w:r>
    </w:p>
    <w:p w:rsidR="00C1073A" w:rsidRDefault="00D60973" w:rsidP="00D60973">
      <w:pPr>
        <w:jc w:val="center"/>
      </w:pPr>
      <w:r>
        <w:rPr>
          <w:b/>
        </w:rPr>
        <w:lastRenderedPageBreak/>
        <w:t>TABLE OF CONTENTS</w:t>
      </w:r>
    </w:p>
    <w:p w:rsidR="00D60973" w:rsidRDefault="00D60973" w:rsidP="00D60973">
      <w:pPr>
        <w:ind w:left="2160"/>
        <w:jc w:val="center"/>
      </w:pPr>
    </w:p>
    <w:p w:rsidR="00A84449" w:rsidRDefault="00D60973">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rsidR="00A84449">
        <w:t>I.</w:t>
      </w:r>
      <w:r w:rsidR="00A84449">
        <w:rPr>
          <w:rFonts w:asciiTheme="minorHAnsi" w:eastAsiaTheme="minorEastAsia" w:hAnsiTheme="minorHAnsi" w:cstheme="minorBidi"/>
          <w:caps w:val="0"/>
          <w:sz w:val="22"/>
          <w:szCs w:val="22"/>
        </w:rPr>
        <w:tab/>
      </w:r>
      <w:r w:rsidR="00A84449">
        <w:t>introduction</w:t>
      </w:r>
      <w:r w:rsidR="00A84449">
        <w:tab/>
      </w:r>
      <w:r w:rsidR="00A84449">
        <w:fldChar w:fldCharType="begin"/>
      </w:r>
      <w:r w:rsidR="00A84449">
        <w:instrText xml:space="preserve"> PAGEREF _Toc413395558 \h </w:instrText>
      </w:r>
      <w:r w:rsidR="00A84449">
        <w:fldChar w:fldCharType="separate"/>
      </w:r>
      <w:r w:rsidR="00A84449">
        <w:t>1</w:t>
      </w:r>
      <w:r w:rsidR="00A84449">
        <w:fldChar w:fldCharType="end"/>
      </w:r>
    </w:p>
    <w:p w:rsidR="00A84449" w:rsidRDefault="00A84449">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Applicable law and nature of the case</w:t>
      </w:r>
      <w:r>
        <w:tab/>
      </w:r>
      <w:r>
        <w:fldChar w:fldCharType="begin"/>
      </w:r>
      <w:r>
        <w:instrText xml:space="preserve"> PAGEREF _Toc413395559 \h </w:instrText>
      </w:r>
      <w:r>
        <w:fldChar w:fldCharType="separate"/>
      </w:r>
      <w:r>
        <w:t>3</w:t>
      </w:r>
      <w:r>
        <w:fldChar w:fldCharType="end"/>
      </w:r>
    </w:p>
    <w:p w:rsidR="00A84449" w:rsidRDefault="00A84449">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Superior Court Order.</w:t>
      </w:r>
      <w:r>
        <w:tab/>
      </w:r>
      <w:r>
        <w:fldChar w:fldCharType="begin"/>
      </w:r>
      <w:r>
        <w:instrText xml:space="preserve"> PAGEREF _Toc413395560 \h </w:instrText>
      </w:r>
      <w:r>
        <w:fldChar w:fldCharType="separate"/>
      </w:r>
      <w:r>
        <w:t>3</w:t>
      </w:r>
      <w:r>
        <w:fldChar w:fldCharType="end"/>
      </w:r>
    </w:p>
    <w:p w:rsidR="00A84449" w:rsidRDefault="00A84449">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Commission’s Orders on Remand.</w:t>
      </w:r>
      <w:r>
        <w:tab/>
      </w:r>
      <w:r>
        <w:fldChar w:fldCharType="begin"/>
      </w:r>
      <w:r>
        <w:instrText xml:space="preserve"> PAGEREF _Toc413395561 \h </w:instrText>
      </w:r>
      <w:r>
        <w:fldChar w:fldCharType="separate"/>
      </w:r>
      <w:r>
        <w:t>4</w:t>
      </w:r>
      <w:r>
        <w:fldChar w:fldCharType="end"/>
      </w:r>
    </w:p>
    <w:p w:rsidR="00A84449" w:rsidRDefault="00A84449">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Fundamental Legal Principles for Establishing a Fair Rate of Return.</w:t>
      </w:r>
      <w:r>
        <w:tab/>
      </w:r>
      <w:r>
        <w:fldChar w:fldCharType="begin"/>
      </w:r>
      <w:r>
        <w:instrText xml:space="preserve"> PAGEREF _Toc413395562 \h </w:instrText>
      </w:r>
      <w:r>
        <w:fldChar w:fldCharType="separate"/>
      </w:r>
      <w:r>
        <w:t>6</w:t>
      </w:r>
      <w:r>
        <w:fldChar w:fldCharType="end"/>
      </w:r>
    </w:p>
    <w:p w:rsidR="00A84449" w:rsidRDefault="00A84449">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The Impact of PSE’s Decoupling Mechanism Must be Taken Into Account in Setting Return on Equity For Rate Plan Rates.</w:t>
      </w:r>
      <w:r>
        <w:tab/>
      </w:r>
      <w:r>
        <w:fldChar w:fldCharType="begin"/>
      </w:r>
      <w:r>
        <w:instrText xml:space="preserve"> PAGEREF _Toc413395563 \h </w:instrText>
      </w:r>
      <w:r>
        <w:fldChar w:fldCharType="separate"/>
      </w:r>
      <w:r>
        <w:t>7</w:t>
      </w:r>
      <w:r>
        <w:fldChar w:fldCharType="end"/>
      </w:r>
    </w:p>
    <w:p w:rsidR="00A84449" w:rsidRDefault="00A84449">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market-based return on equity</w:t>
      </w:r>
      <w:r>
        <w:tab/>
      </w:r>
      <w:r>
        <w:fldChar w:fldCharType="begin"/>
      </w:r>
      <w:r>
        <w:instrText xml:space="preserve"> PAGEREF _Toc413395564 \h </w:instrText>
      </w:r>
      <w:r>
        <w:fldChar w:fldCharType="separate"/>
      </w:r>
      <w:r>
        <w:t>8</w:t>
      </w:r>
      <w:r>
        <w:fldChar w:fldCharType="end"/>
      </w:r>
    </w:p>
    <w:p w:rsidR="00A84449" w:rsidRDefault="00A84449">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Overview.</w:t>
      </w:r>
      <w:r>
        <w:tab/>
      </w:r>
      <w:r>
        <w:fldChar w:fldCharType="begin"/>
      </w:r>
      <w:r>
        <w:instrText xml:space="preserve"> PAGEREF _Toc413395565 \h </w:instrText>
      </w:r>
      <w:r>
        <w:fldChar w:fldCharType="separate"/>
      </w:r>
      <w:r>
        <w:t>8</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Market-based Return on Equity declined between the PSE 2011 General Rate Case and the inception of the Rate Plan.</w:t>
      </w:r>
      <w:r>
        <w:tab/>
      </w:r>
      <w:r>
        <w:fldChar w:fldCharType="begin"/>
      </w:r>
      <w:r>
        <w:instrText xml:space="preserve"> PAGEREF _Toc413395566 \h </w:instrText>
      </w:r>
      <w:r>
        <w:fldChar w:fldCharType="separate"/>
      </w:r>
      <w:r>
        <w:t>9</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The analyses for 2014 corroborate the target period recommendations.</w:t>
      </w:r>
      <w:r>
        <w:tab/>
      </w:r>
      <w:r>
        <w:fldChar w:fldCharType="begin"/>
      </w:r>
      <w:r>
        <w:instrText xml:space="preserve"> PAGEREF _Toc413395567 \h </w:instrText>
      </w:r>
      <w:r>
        <w:fldChar w:fldCharType="separate"/>
      </w:r>
      <w:r>
        <w:t>9</w:t>
      </w:r>
      <w:r>
        <w:fldChar w:fldCharType="end"/>
      </w:r>
    </w:p>
    <w:p w:rsidR="00A84449" w:rsidRDefault="00A84449">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Public Counsel Expert Stephen Hill Recommends a Reduction in PSE’s Return on Equity.</w:t>
      </w:r>
      <w:r>
        <w:tab/>
      </w:r>
      <w:r>
        <w:fldChar w:fldCharType="begin"/>
      </w:r>
      <w:r>
        <w:instrText xml:space="preserve"> PAGEREF _Toc413395568 \h </w:instrText>
      </w:r>
      <w:r>
        <w:fldChar w:fldCharType="separate"/>
      </w:r>
      <w:r>
        <w:t>10</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economic environment reflects low inflation, moderate recovery and declining long-term interest rates.</w:t>
      </w:r>
      <w:r>
        <w:tab/>
      </w:r>
      <w:r>
        <w:fldChar w:fldCharType="begin"/>
      </w:r>
      <w:r>
        <w:instrText xml:space="preserve"> PAGEREF _Toc413395569 \h </w:instrText>
      </w:r>
      <w:r>
        <w:fldChar w:fldCharType="separate"/>
      </w:r>
      <w:r>
        <w:t>10</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Mr. Hill relied on five cost of capital methodologies to evaluate return on equity for PSE.</w:t>
      </w:r>
      <w:r>
        <w:tab/>
      </w:r>
      <w:r>
        <w:fldChar w:fldCharType="begin"/>
      </w:r>
      <w:r>
        <w:instrText xml:space="preserve"> PAGEREF _Toc413395570 \h </w:instrText>
      </w:r>
      <w:r>
        <w:fldChar w:fldCharType="separate"/>
      </w:r>
      <w:r>
        <w:t>12</w:t>
      </w:r>
      <w:r>
        <w:fldChar w:fldCharType="end"/>
      </w:r>
    </w:p>
    <w:p w:rsidR="00A84449" w:rsidRDefault="00A84449">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Dr. Morin’s Cost of Equity Analysis is Flawed.</w:t>
      </w:r>
      <w:r>
        <w:tab/>
      </w:r>
      <w:r>
        <w:fldChar w:fldCharType="begin"/>
      </w:r>
      <w:r>
        <w:instrText xml:space="preserve"> PAGEREF _Toc413395571 \h </w:instrText>
      </w:r>
      <w:r>
        <w:fldChar w:fldCharType="separate"/>
      </w:r>
      <w:r>
        <w:t>14</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Dr. Morin’s DCF overstates the cost of capital through exclusive reliance on analyst earnings projections and other flaws.</w:t>
      </w:r>
      <w:r>
        <w:tab/>
      </w:r>
      <w:r>
        <w:fldChar w:fldCharType="begin"/>
      </w:r>
      <w:r>
        <w:instrText xml:space="preserve"> PAGEREF _Toc413395572 \h </w:instrText>
      </w:r>
      <w:r>
        <w:fldChar w:fldCharType="separate"/>
      </w:r>
      <w:r>
        <w:t>14</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Dr. Morin’s’ CAPM ROE estimate is overstated.</w:t>
      </w:r>
      <w:r>
        <w:tab/>
      </w:r>
      <w:r>
        <w:fldChar w:fldCharType="begin"/>
      </w:r>
      <w:r>
        <w:instrText xml:space="preserve"> PAGEREF _Toc413395573 \h </w:instrText>
      </w:r>
      <w:r>
        <w:fldChar w:fldCharType="separate"/>
      </w:r>
      <w:r>
        <w:t>16</w:t>
      </w:r>
      <w:r>
        <w:fldChar w:fldCharType="end"/>
      </w:r>
    </w:p>
    <w:p w:rsidR="00A84449" w:rsidRDefault="00A84449">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CAPM Market risk premium is not reasonable.</w:t>
      </w:r>
      <w:r>
        <w:tab/>
      </w:r>
      <w:r>
        <w:fldChar w:fldCharType="begin"/>
      </w:r>
      <w:r>
        <w:instrText xml:space="preserve"> PAGEREF _Toc413395574 \h </w:instrText>
      </w:r>
      <w:r>
        <w:fldChar w:fldCharType="separate"/>
      </w:r>
      <w:r>
        <w:t>16</w:t>
      </w:r>
      <w:r>
        <w:fldChar w:fldCharType="end"/>
      </w:r>
    </w:p>
    <w:p w:rsidR="00A84449" w:rsidRDefault="00A84449">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Dr. Morin’s selected risk free rate skews his CAPM results upward.</w:t>
      </w:r>
      <w:r>
        <w:tab/>
      </w:r>
      <w:r>
        <w:fldChar w:fldCharType="begin"/>
      </w:r>
      <w:r>
        <w:instrText xml:space="preserve"> PAGEREF _Toc413395575 \h </w:instrText>
      </w:r>
      <w:r>
        <w:fldChar w:fldCharType="separate"/>
      </w:r>
      <w:r>
        <w:t>18</w:t>
      </w:r>
      <w:r>
        <w:fldChar w:fldCharType="end"/>
      </w:r>
    </w:p>
    <w:p w:rsidR="00A84449" w:rsidRDefault="00A84449">
      <w:pPr>
        <w:pStyle w:val="TOC3"/>
        <w:tabs>
          <w:tab w:val="left" w:pos="153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Dr. Morin’s risk premium analysis is flawed.</w:t>
      </w:r>
      <w:r>
        <w:tab/>
      </w:r>
      <w:r>
        <w:fldChar w:fldCharType="begin"/>
      </w:r>
      <w:r>
        <w:instrText xml:space="preserve"> PAGEREF _Toc413395576 \h </w:instrText>
      </w:r>
      <w:r>
        <w:fldChar w:fldCharType="separate"/>
      </w:r>
      <w:r>
        <w:t>19</w:t>
      </w:r>
      <w:r>
        <w:fldChar w:fldCharType="end"/>
      </w:r>
    </w:p>
    <w:p w:rsidR="00A84449" w:rsidRDefault="00A84449">
      <w:pPr>
        <w:pStyle w:val="TOC3"/>
        <w:tabs>
          <w:tab w:val="left" w:pos="1530"/>
        </w:tabs>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Modifying Dr. Morin’s analysis to remove flaws significantly reduces his ROE results.</w:t>
      </w:r>
      <w:r>
        <w:tab/>
      </w:r>
      <w:r>
        <w:fldChar w:fldCharType="begin"/>
      </w:r>
      <w:r>
        <w:instrText xml:space="preserve"> PAGEREF _Toc413395577 \h </w:instrText>
      </w:r>
      <w:r>
        <w:fldChar w:fldCharType="separate"/>
      </w:r>
      <w:r>
        <w:t>20</w:t>
      </w:r>
      <w:r>
        <w:fldChar w:fldCharType="end"/>
      </w:r>
    </w:p>
    <w:p w:rsidR="00A84449" w:rsidRDefault="00A84449">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Staff Witness David Parcell’s ROE Recommendation Is Not Reliable.</w:t>
      </w:r>
      <w:r>
        <w:tab/>
      </w:r>
      <w:r>
        <w:fldChar w:fldCharType="begin"/>
      </w:r>
      <w:r>
        <w:instrText xml:space="preserve"> PAGEREF _Toc413395578 \h </w:instrText>
      </w:r>
      <w:r>
        <w:fldChar w:fldCharType="separate"/>
      </w:r>
      <w:r>
        <w:t>21</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Mr. Parcell’s DCF recommendation is poorly supported.</w:t>
      </w:r>
      <w:r>
        <w:tab/>
      </w:r>
      <w:r>
        <w:fldChar w:fldCharType="begin"/>
      </w:r>
      <w:r>
        <w:instrText xml:space="preserve"> PAGEREF _Toc413395579 \h </w:instrText>
      </w:r>
      <w:r>
        <w:fldChar w:fldCharType="separate"/>
      </w:r>
      <w:r>
        <w:t>22</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Mr. Parcell’s Comparable Earnings (CE) results are not adequately explained.</w:t>
      </w:r>
      <w:r>
        <w:tab/>
      </w:r>
      <w:r>
        <w:fldChar w:fldCharType="begin"/>
      </w:r>
      <w:r>
        <w:instrText xml:space="preserve"> PAGEREF _Toc413395580 \h </w:instrText>
      </w:r>
      <w:r>
        <w:fldChar w:fldCharType="separate"/>
      </w:r>
      <w:r>
        <w:t>24</w:t>
      </w:r>
      <w:r>
        <w:fldChar w:fldCharType="end"/>
      </w:r>
    </w:p>
    <w:p w:rsidR="00A84449" w:rsidRDefault="00A84449">
      <w:pPr>
        <w:pStyle w:val="TOC3"/>
        <w:tabs>
          <w:tab w:val="left" w:pos="153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Mr. Parcell’s ROE recommendation fails to consider his CAPM analysis.</w:t>
      </w:r>
      <w:r>
        <w:tab/>
      </w:r>
      <w:r>
        <w:fldChar w:fldCharType="begin"/>
      </w:r>
      <w:r>
        <w:instrText xml:space="preserve"> PAGEREF _Toc413395581 \h </w:instrText>
      </w:r>
      <w:r>
        <w:fldChar w:fldCharType="separate"/>
      </w:r>
      <w:r>
        <w:t>25</w:t>
      </w:r>
      <w:r>
        <w:fldChar w:fldCharType="end"/>
      </w:r>
    </w:p>
    <w:p w:rsidR="00A84449" w:rsidRDefault="00A84449">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Mr. Parcell used a different analytic approach based on a misunderstanding of the nature of the case.</w:t>
      </w:r>
      <w:r>
        <w:tab/>
      </w:r>
      <w:r>
        <w:fldChar w:fldCharType="begin"/>
      </w:r>
      <w:r>
        <w:instrText xml:space="preserve"> PAGEREF _Toc413395582 \h </w:instrText>
      </w:r>
      <w:r>
        <w:fldChar w:fldCharType="separate"/>
      </w:r>
      <w:r>
        <w:t>27</w:t>
      </w:r>
      <w:r>
        <w:fldChar w:fldCharType="end"/>
      </w:r>
    </w:p>
    <w:p w:rsidR="00A84449" w:rsidRDefault="00A84449">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IMPACT OF DECOUPLING ON COST OF CAPITAL</w:t>
      </w:r>
      <w:r>
        <w:tab/>
      </w:r>
      <w:r>
        <w:fldChar w:fldCharType="begin"/>
      </w:r>
      <w:r>
        <w:instrText xml:space="preserve"> PAGEREF _Toc413395583 \h </w:instrText>
      </w:r>
      <w:r>
        <w:fldChar w:fldCharType="separate"/>
      </w:r>
      <w:r>
        <w:t>28</w:t>
      </w:r>
      <w:r>
        <w:fldChar w:fldCharType="end"/>
      </w:r>
    </w:p>
    <w:p w:rsidR="00A84449" w:rsidRDefault="00A84449">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Brattle Studies Submitted by PSE in This Case Provide Reliable Market-Based Evidence That Decoupling Reduces the Cost of Capital.</w:t>
      </w:r>
      <w:r>
        <w:tab/>
      </w:r>
      <w:r>
        <w:fldChar w:fldCharType="begin"/>
      </w:r>
      <w:r>
        <w:instrText xml:space="preserve"> PAGEREF _Toc413395584 \h </w:instrText>
      </w:r>
      <w:r>
        <w:fldChar w:fldCharType="separate"/>
      </w:r>
      <w:r>
        <w:t>28</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Brattle Report results.</w:t>
      </w:r>
      <w:r>
        <w:tab/>
      </w:r>
      <w:r>
        <w:fldChar w:fldCharType="begin"/>
      </w:r>
      <w:r>
        <w:instrText xml:space="preserve"> PAGEREF _Toc413395585 \h </w:instrText>
      </w:r>
      <w:r>
        <w:fldChar w:fldCharType="separate"/>
      </w:r>
      <w:r>
        <w:t>28</w:t>
      </w:r>
      <w:r>
        <w:fldChar w:fldCharType="end"/>
      </w:r>
    </w:p>
    <w:p w:rsidR="00A84449" w:rsidRDefault="00A84449">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March 2014 Brattle Report.</w:t>
      </w:r>
      <w:r>
        <w:tab/>
      </w:r>
      <w:r>
        <w:fldChar w:fldCharType="begin"/>
      </w:r>
      <w:r>
        <w:instrText xml:space="preserve"> PAGEREF _Toc413395586 \h </w:instrText>
      </w:r>
      <w:r>
        <w:fldChar w:fldCharType="separate"/>
      </w:r>
      <w:r>
        <w:t>29</w:t>
      </w:r>
      <w:r>
        <w:fldChar w:fldCharType="end"/>
      </w:r>
    </w:p>
    <w:p w:rsidR="00A84449" w:rsidRDefault="00A84449">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Dr. Vilbert’s Updated Electric Studies I and II.</w:t>
      </w:r>
      <w:r>
        <w:tab/>
      </w:r>
      <w:r>
        <w:fldChar w:fldCharType="begin"/>
      </w:r>
      <w:r>
        <w:instrText xml:space="preserve"> PAGEREF _Toc413395587 \h </w:instrText>
      </w:r>
      <w:r>
        <w:fldChar w:fldCharType="separate"/>
      </w:r>
      <w:r>
        <w:t>30</w:t>
      </w:r>
      <w:r>
        <w:fldChar w:fldCharType="end"/>
      </w:r>
    </w:p>
    <w:p w:rsidR="00A84449" w:rsidRDefault="00A84449">
      <w:pPr>
        <w:pStyle w:val="TOC4"/>
        <w:tabs>
          <w:tab w:val="left" w:pos="19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Dr. Vilbert’s natural gas studies also show a reduction in cost of capital, although at a lower level.</w:t>
      </w:r>
      <w:r>
        <w:tab/>
      </w:r>
      <w:r>
        <w:fldChar w:fldCharType="begin"/>
      </w:r>
      <w:r>
        <w:instrText xml:space="preserve"> PAGEREF _Toc413395588 \h </w:instrText>
      </w:r>
      <w:r>
        <w:fldChar w:fldCharType="separate"/>
      </w:r>
      <w:r>
        <w:t>32</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The Brattle Study results provide reliable evidence that decoupling reduces cost of capital.</w:t>
      </w:r>
      <w:r>
        <w:tab/>
      </w:r>
      <w:r>
        <w:fldChar w:fldCharType="begin"/>
      </w:r>
      <w:r>
        <w:instrText xml:space="preserve"> PAGEREF _Toc413395589 \h </w:instrText>
      </w:r>
      <w:r>
        <w:fldChar w:fldCharType="separate"/>
      </w:r>
      <w:r>
        <w:t>33</w:t>
      </w:r>
      <w:r>
        <w:fldChar w:fldCharType="end"/>
      </w:r>
    </w:p>
    <w:p w:rsidR="00A84449" w:rsidRDefault="00A84449">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 xml:space="preserve">Confidence bounds and </w:t>
      </w:r>
      <w:r w:rsidRPr="00250FE8">
        <w:rPr>
          <w:i/>
        </w:rPr>
        <w:t>p</w:t>
      </w:r>
      <w:r>
        <w:t>-values.</w:t>
      </w:r>
      <w:r>
        <w:tab/>
      </w:r>
      <w:r>
        <w:fldChar w:fldCharType="begin"/>
      </w:r>
      <w:r>
        <w:instrText xml:space="preserve"> PAGEREF _Toc413395590 \h </w:instrText>
      </w:r>
      <w:r>
        <w:fldChar w:fldCharType="separate"/>
      </w:r>
      <w:r>
        <w:t>34</w:t>
      </w:r>
      <w:r>
        <w:fldChar w:fldCharType="end"/>
      </w:r>
    </w:p>
    <w:p w:rsidR="00A84449" w:rsidRDefault="00A84449">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null hypothesis and the one-tailed test.</w:t>
      </w:r>
      <w:r>
        <w:tab/>
      </w:r>
      <w:r>
        <w:fldChar w:fldCharType="begin"/>
      </w:r>
      <w:r>
        <w:instrText xml:space="preserve"> PAGEREF _Toc413395591 \h </w:instrText>
      </w:r>
      <w:r>
        <w:fldChar w:fldCharType="separate"/>
      </w:r>
      <w:r>
        <w:t>36</w:t>
      </w:r>
      <w:r>
        <w:fldChar w:fldCharType="end"/>
      </w:r>
    </w:p>
    <w:p w:rsidR="00A84449" w:rsidRDefault="00A84449">
      <w:pPr>
        <w:pStyle w:val="TOC4"/>
        <w:tabs>
          <w:tab w:val="left" w:pos="19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The study results are sufficient to meet the preponderance of the evidence standard.</w:t>
      </w:r>
      <w:r>
        <w:tab/>
      </w:r>
      <w:r>
        <w:fldChar w:fldCharType="begin"/>
      </w:r>
      <w:r>
        <w:instrText xml:space="preserve"> PAGEREF _Toc413395592 \h </w:instrText>
      </w:r>
      <w:r>
        <w:fldChar w:fldCharType="separate"/>
      </w:r>
      <w:r>
        <w:t>37</w:t>
      </w:r>
      <w:r>
        <w:fldChar w:fldCharType="end"/>
      </w:r>
    </w:p>
    <w:p w:rsidR="00A84449" w:rsidRDefault="00A84449">
      <w:pPr>
        <w:pStyle w:val="TOC4"/>
        <w:tabs>
          <w:tab w:val="left" w:pos="198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The statistical analysis provides a basis for the Commission to reasonably conclude with a strong degree of confidence that decoupling reduces PSE’s cost of capital.</w:t>
      </w:r>
      <w:r>
        <w:tab/>
      </w:r>
      <w:r>
        <w:fldChar w:fldCharType="begin"/>
      </w:r>
      <w:r>
        <w:instrText xml:space="preserve"> PAGEREF _Toc413395593 \h </w:instrText>
      </w:r>
      <w:r>
        <w:fldChar w:fldCharType="separate"/>
      </w:r>
      <w:r>
        <w:t>38</w:t>
      </w:r>
      <w:r>
        <w:fldChar w:fldCharType="end"/>
      </w:r>
    </w:p>
    <w:p w:rsidR="00A84449" w:rsidRDefault="00A84449">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Mr. Hill’s Net Revenue Volatility Analysis Demonstrates The Impact of Decoupling On The Cost of Capital.</w:t>
      </w:r>
      <w:r>
        <w:tab/>
      </w:r>
      <w:r>
        <w:fldChar w:fldCharType="begin"/>
      </w:r>
      <w:r>
        <w:instrText xml:space="preserve"> PAGEREF _Toc413395594 \h </w:instrText>
      </w:r>
      <w:r>
        <w:fldChar w:fldCharType="separate"/>
      </w:r>
      <w:r>
        <w:t>40</w:t>
      </w:r>
      <w:r>
        <w:fldChar w:fldCharType="end"/>
      </w:r>
    </w:p>
    <w:p w:rsidR="00A84449" w:rsidRDefault="00A84449">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Neither Staff Nor PSE Present A Decoupling Impact Analysis.</w:t>
      </w:r>
      <w:r>
        <w:tab/>
      </w:r>
      <w:r>
        <w:fldChar w:fldCharType="begin"/>
      </w:r>
      <w:r>
        <w:instrText xml:space="preserve"> PAGEREF _Toc413395595 \h </w:instrText>
      </w:r>
      <w:r>
        <w:fldChar w:fldCharType="separate"/>
      </w:r>
      <w:r>
        <w:t>42</w:t>
      </w:r>
      <w:r>
        <w:fldChar w:fldCharType="end"/>
      </w:r>
    </w:p>
    <w:p w:rsidR="00A84449" w:rsidRDefault="00A84449">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Staff’s position in the case is problematic.</w:t>
      </w:r>
      <w:r>
        <w:tab/>
      </w:r>
      <w:r>
        <w:fldChar w:fldCharType="begin"/>
      </w:r>
      <w:r>
        <w:instrText xml:space="preserve"> PAGEREF _Toc413395596 \h </w:instrText>
      </w:r>
      <w:r>
        <w:fldChar w:fldCharType="separate"/>
      </w:r>
      <w:r>
        <w:t>42</w:t>
      </w:r>
      <w:r>
        <w:fldChar w:fldCharType="end"/>
      </w:r>
    </w:p>
    <w:p w:rsidR="00A84449" w:rsidRDefault="00A84449">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Staff agrees that decoupling should be reflected in lower capital costs.</w:t>
      </w:r>
      <w:r>
        <w:tab/>
      </w:r>
      <w:r>
        <w:fldChar w:fldCharType="begin"/>
      </w:r>
      <w:r>
        <w:instrText xml:space="preserve"> PAGEREF _Toc413395597 \h </w:instrText>
      </w:r>
      <w:r>
        <w:fldChar w:fldCharType="separate"/>
      </w:r>
      <w:r>
        <w:t>42</w:t>
      </w:r>
      <w:r>
        <w:fldChar w:fldCharType="end"/>
      </w:r>
    </w:p>
    <w:p w:rsidR="00A84449" w:rsidRDefault="00A84449">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Staff positions on this issue are inconsistent.</w:t>
      </w:r>
      <w:r>
        <w:tab/>
      </w:r>
      <w:r>
        <w:fldChar w:fldCharType="begin"/>
      </w:r>
      <w:r>
        <w:instrText xml:space="preserve"> PAGEREF _Toc413395598 \h </w:instrText>
      </w:r>
      <w:r>
        <w:fldChar w:fldCharType="separate"/>
      </w:r>
      <w:r>
        <w:t>43</w:t>
      </w:r>
      <w:r>
        <w:fldChar w:fldCharType="end"/>
      </w:r>
    </w:p>
    <w:p w:rsidR="00A84449" w:rsidRDefault="00A84449">
      <w:pPr>
        <w:pStyle w:val="TOC4"/>
        <w:tabs>
          <w:tab w:val="left" w:pos="19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Staff’s “wait and see” approach is unlawful and unfair to customers.</w:t>
      </w:r>
      <w:r>
        <w:tab/>
      </w:r>
      <w:r>
        <w:fldChar w:fldCharType="begin"/>
      </w:r>
      <w:r>
        <w:instrText xml:space="preserve"> PAGEREF _Toc413395599 \h </w:instrText>
      </w:r>
      <w:r>
        <w:fldChar w:fldCharType="separate"/>
      </w:r>
      <w:r>
        <w:t>44</w:t>
      </w:r>
      <w:r>
        <w:fldChar w:fldCharType="end"/>
      </w:r>
    </w:p>
    <w:p w:rsidR="00A84449" w:rsidRDefault="00A84449">
      <w:pPr>
        <w:pStyle w:val="TOC4"/>
        <w:tabs>
          <w:tab w:val="left" w:pos="198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Staff has no clear plan to analyze decoupling impact.</w:t>
      </w:r>
      <w:r>
        <w:tab/>
      </w:r>
      <w:r>
        <w:fldChar w:fldCharType="begin"/>
      </w:r>
      <w:r>
        <w:instrText xml:space="preserve"> PAGEREF _Toc413395600 \h </w:instrText>
      </w:r>
      <w:r>
        <w:fldChar w:fldCharType="separate"/>
      </w:r>
      <w:r>
        <w:t>45</w:t>
      </w:r>
      <w:r>
        <w:fldChar w:fldCharType="end"/>
      </w:r>
    </w:p>
    <w:p w:rsidR="00A84449" w:rsidRDefault="00A84449">
      <w:pPr>
        <w:pStyle w:val="TOC4"/>
        <w:tabs>
          <w:tab w:val="left" w:pos="1980"/>
        </w:tabs>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Staff witness Parcell has historically supported the Public Counsel position on decoupling impact.</w:t>
      </w:r>
      <w:r>
        <w:tab/>
      </w:r>
      <w:r>
        <w:fldChar w:fldCharType="begin"/>
      </w:r>
      <w:r>
        <w:instrText xml:space="preserve"> PAGEREF _Toc413395601 \h </w:instrText>
      </w:r>
      <w:r>
        <w:fldChar w:fldCharType="separate"/>
      </w:r>
      <w:r>
        <w:t>47</w:t>
      </w:r>
      <w:r>
        <w:fldChar w:fldCharType="end"/>
      </w:r>
    </w:p>
    <w:p w:rsidR="00A84449" w:rsidRDefault="00A84449">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Dr. Morin has previously supported adjusting ROE to reflect decoupling.</w:t>
      </w:r>
      <w:r>
        <w:tab/>
      </w:r>
      <w:r>
        <w:fldChar w:fldCharType="begin"/>
      </w:r>
      <w:r>
        <w:instrText xml:space="preserve"> PAGEREF _Toc413395602 \h </w:instrText>
      </w:r>
      <w:r>
        <w:fldChar w:fldCharType="separate"/>
      </w:r>
      <w:r>
        <w:t>49</w:t>
      </w:r>
      <w:r>
        <w:fldChar w:fldCharType="end"/>
      </w:r>
    </w:p>
    <w:p w:rsidR="00A84449" w:rsidRDefault="00A84449">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conclusion</w:t>
      </w:r>
      <w:r>
        <w:tab/>
      </w:r>
      <w:r>
        <w:fldChar w:fldCharType="begin"/>
      </w:r>
      <w:r>
        <w:instrText xml:space="preserve"> PAGEREF _Toc413395603 \h </w:instrText>
      </w:r>
      <w:r>
        <w:fldChar w:fldCharType="separate"/>
      </w:r>
      <w:r>
        <w:t>52</w:t>
      </w:r>
      <w:r>
        <w:fldChar w:fldCharType="end"/>
      </w:r>
    </w:p>
    <w:p w:rsidR="00ED47C3" w:rsidRDefault="00D60973" w:rsidP="00ED47C3">
      <w:pPr>
        <w:pStyle w:val="TOAHeading"/>
        <w:tabs>
          <w:tab w:val="right" w:leader="dot" w:pos="9350"/>
        </w:tabs>
        <w:rPr>
          <w:rFonts w:asciiTheme="minorHAnsi" w:eastAsiaTheme="minorEastAsia" w:hAnsiTheme="minorHAnsi" w:cstheme="minorBidi"/>
          <w:b w:val="0"/>
          <w:bCs/>
          <w:noProof/>
          <w:sz w:val="22"/>
          <w:szCs w:val="22"/>
        </w:rPr>
      </w:pPr>
      <w:r>
        <w:fldChar w:fldCharType="end"/>
      </w:r>
      <w:r w:rsidR="00ED47C3" w:rsidRPr="00ED47C3">
        <w:rPr>
          <w:noProof/>
        </w:rPr>
        <w:t xml:space="preserve"> </w:t>
      </w:r>
      <w:r w:rsidR="00ED47C3">
        <w:rPr>
          <w:noProof/>
        </w:rPr>
        <w:t>Charts</w:t>
      </w:r>
    </w:p>
    <w:p w:rsidR="00ED47C3" w:rsidRDefault="00ED47C3" w:rsidP="00ED47C3">
      <w:pPr>
        <w:pStyle w:val="TableofAuthorities"/>
        <w:tabs>
          <w:tab w:val="clear" w:pos="9360"/>
          <w:tab w:val="right" w:leader="dot" w:pos="9350"/>
        </w:tabs>
        <w:rPr>
          <w:noProof/>
        </w:rPr>
      </w:pPr>
      <w:r w:rsidRPr="002E53F8">
        <w:rPr>
          <w:noProof/>
        </w:rPr>
        <w:t>Chart I:  BBB-Rated Corporate Bond Yields</w:t>
      </w:r>
      <w:r>
        <w:rPr>
          <w:noProof/>
        </w:rPr>
        <w:tab/>
        <w:t>11</w:t>
      </w:r>
    </w:p>
    <w:p w:rsidR="00ED47C3" w:rsidRDefault="00ED47C3" w:rsidP="00ED47C3">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"8" \p </w:instrText>
      </w:r>
      <w:r>
        <w:fldChar w:fldCharType="separate"/>
      </w:r>
      <w:r>
        <w:rPr>
          <w:noProof/>
        </w:rPr>
        <w:t>Tables</w:t>
      </w:r>
    </w:p>
    <w:p w:rsidR="00ED47C3" w:rsidRPr="002E53F8" w:rsidRDefault="00ED47C3" w:rsidP="00ED47C3">
      <w:pPr>
        <w:pStyle w:val="TableofAuthorities"/>
        <w:tabs>
          <w:tab w:val="clear" w:pos="9360"/>
          <w:tab w:val="right" w:leader="dot" w:pos="9350"/>
        </w:tabs>
        <w:rPr>
          <w:noProof/>
        </w:rPr>
      </w:pPr>
      <w:r w:rsidRPr="002E53F8">
        <w:rPr>
          <w:noProof/>
        </w:rPr>
        <w:t>Table 1:  Public Counsel Equity Cost Estimates</w:t>
      </w:r>
      <w:r w:rsidRPr="002E53F8">
        <w:rPr>
          <w:noProof/>
        </w:rPr>
        <w:tab/>
        <w:t>13</w:t>
      </w:r>
    </w:p>
    <w:p w:rsidR="00ED47C3" w:rsidRPr="002E53F8" w:rsidRDefault="00ED47C3" w:rsidP="00ED47C3">
      <w:pPr>
        <w:pStyle w:val="TableofAuthorities"/>
        <w:tabs>
          <w:tab w:val="clear" w:pos="9360"/>
          <w:tab w:val="right" w:leader="dot" w:pos="9350"/>
        </w:tabs>
        <w:rPr>
          <w:noProof/>
        </w:rPr>
      </w:pPr>
      <w:r w:rsidRPr="002E53F8">
        <w:rPr>
          <w:noProof/>
        </w:rPr>
        <w:t>Table 2:  Morin DCF With Hill Adjustments</w:t>
      </w:r>
      <w:r w:rsidRPr="002E53F8">
        <w:rPr>
          <w:noProof/>
        </w:rPr>
        <w:tab/>
        <w:t>16</w:t>
      </w:r>
    </w:p>
    <w:p w:rsidR="00ED47C3" w:rsidRPr="002E53F8" w:rsidRDefault="00ED47C3" w:rsidP="00ED47C3">
      <w:pPr>
        <w:pStyle w:val="TableofAuthorities"/>
        <w:tabs>
          <w:tab w:val="clear" w:pos="9360"/>
          <w:tab w:val="right" w:leader="dot" w:pos="9350"/>
        </w:tabs>
        <w:rPr>
          <w:noProof/>
        </w:rPr>
      </w:pPr>
      <w:r w:rsidRPr="002E53F8">
        <w:rPr>
          <w:noProof/>
        </w:rPr>
        <w:t>Table 3:  Hill Modifications To Dr. Morin’s Model Results</w:t>
      </w:r>
      <w:r w:rsidRPr="002E53F8">
        <w:rPr>
          <w:noProof/>
        </w:rPr>
        <w:tab/>
        <w:t>20</w:t>
      </w:r>
    </w:p>
    <w:p w:rsidR="00ED47C3" w:rsidRPr="002E53F8" w:rsidRDefault="00ED47C3" w:rsidP="00ED47C3">
      <w:pPr>
        <w:pStyle w:val="TableofAuthorities"/>
        <w:tabs>
          <w:tab w:val="clear" w:pos="9360"/>
          <w:tab w:val="right" w:leader="dot" w:pos="9350"/>
        </w:tabs>
        <w:rPr>
          <w:noProof/>
        </w:rPr>
      </w:pPr>
      <w:r w:rsidRPr="002E53F8">
        <w:rPr>
          <w:noProof/>
        </w:rPr>
        <w:t>Table 4:  March 2014 Brattle Report Results and Confidence Bounds</w:t>
      </w:r>
      <w:r w:rsidRPr="002E53F8">
        <w:rPr>
          <w:noProof/>
        </w:rPr>
        <w:tab/>
        <w:t>34</w:t>
      </w:r>
    </w:p>
    <w:p w:rsidR="00ED47C3" w:rsidRDefault="00ED47C3" w:rsidP="00ED47C3">
      <w:pPr>
        <w:pStyle w:val="TableofAuthorities"/>
        <w:tabs>
          <w:tab w:val="clear" w:pos="9360"/>
          <w:tab w:val="right" w:leader="dot" w:pos="9350"/>
        </w:tabs>
        <w:rPr>
          <w:noProof/>
        </w:rPr>
      </w:pPr>
      <w:r w:rsidRPr="002E53F8">
        <w:rPr>
          <w:noProof/>
        </w:rPr>
        <w:t>Table 5:  Electric Studies I and II Results and Confidence Bounds</w:t>
      </w:r>
      <w:r>
        <w:rPr>
          <w:noProof/>
        </w:rPr>
        <w:tab/>
        <w:t>34</w:t>
      </w:r>
    </w:p>
    <w:p w:rsidR="00ED47C3" w:rsidRDefault="00ED47C3" w:rsidP="00ED47C3">
      <w:pPr>
        <w:jc w:val="center"/>
        <w:rPr>
          <w:b/>
          <w:u w:val="single"/>
        </w:rPr>
      </w:pPr>
      <w:r>
        <w:fldChar w:fldCharType="end"/>
      </w:r>
      <w:r w:rsidRPr="002E53F8">
        <w:rPr>
          <w:b/>
          <w:u w:val="single"/>
        </w:rPr>
        <w:t>Appendi</w:t>
      </w:r>
      <w:r>
        <w:rPr>
          <w:b/>
          <w:u w:val="single"/>
        </w:rPr>
        <w:t>ces</w:t>
      </w:r>
    </w:p>
    <w:p w:rsidR="0044540A" w:rsidRDefault="0044540A" w:rsidP="00ED47C3">
      <w:pPr>
        <w:jc w:val="center"/>
        <w:rPr>
          <w:b/>
          <w:u w:val="single"/>
        </w:rPr>
      </w:pPr>
    </w:p>
    <w:p w:rsidR="00ED47C3" w:rsidRDefault="00ED47C3" w:rsidP="00ED47C3">
      <w:r>
        <w:t xml:space="preserve">Appendix A:  Exhibit No. SGH-22 – Parcell Selected DCF Range   </w:t>
      </w:r>
    </w:p>
    <w:p w:rsidR="0044540A" w:rsidRDefault="0044540A" w:rsidP="00ED47C3"/>
    <w:p w:rsidR="00ED47C3" w:rsidRDefault="00ED47C3" w:rsidP="00ED47C3">
      <w:r>
        <w:t xml:space="preserve">Appendix B:  Exhibit No. MJV-39CX – Brattle Group/Vilbert Decoupling Studies </w:t>
      </w:r>
    </w:p>
    <w:p w:rsidR="0044540A" w:rsidRDefault="0044540A" w:rsidP="00ED47C3"/>
    <w:p w:rsidR="00ED47C3" w:rsidRPr="002E53F8" w:rsidRDefault="00ED47C3" w:rsidP="00ED47C3">
      <w:r>
        <w:t>Appendix C:  Exhibit No. SGH-2T – Brattle Group Decoupling Map</w:t>
      </w:r>
    </w:p>
    <w:p w:rsidR="00D60973" w:rsidRDefault="00D60973">
      <w:r>
        <w:br w:type="page"/>
      </w:r>
    </w:p>
    <w:p w:rsidR="00D60973" w:rsidRDefault="00D60973" w:rsidP="00C26B4F">
      <w:pPr>
        <w:jc w:val="center"/>
      </w:pPr>
      <w:r>
        <w:rPr>
          <w:b/>
        </w:rPr>
        <w:lastRenderedPageBreak/>
        <w:t>TABLE OF AUTHORITIES</w:t>
      </w:r>
    </w:p>
    <w:p w:rsidR="00A84449" w:rsidRDefault="00D60973">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"1" \p </w:instrText>
      </w:r>
      <w:r>
        <w:fldChar w:fldCharType="separate"/>
      </w:r>
      <w:bookmarkStart w:id="53" w:name="_GoBack"/>
      <w:bookmarkEnd w:id="53"/>
      <w:r w:rsidR="00A84449">
        <w:rPr>
          <w:noProof/>
        </w:rPr>
        <w:t>Cases</w:t>
      </w:r>
    </w:p>
    <w:p w:rsidR="00A84449" w:rsidRDefault="00A84449">
      <w:pPr>
        <w:pStyle w:val="TableofAuthorities"/>
        <w:tabs>
          <w:tab w:val="clear" w:pos="9360"/>
          <w:tab w:val="right" w:leader="dot" w:pos="9350"/>
        </w:tabs>
        <w:rPr>
          <w:noProof/>
        </w:rPr>
      </w:pPr>
      <w:r w:rsidRPr="0052456C">
        <w:rPr>
          <w:i/>
          <w:noProof/>
        </w:rPr>
        <w:t>Bluefield Water Works &amp; Improvement Co. v. Public Service Comm’n</w:t>
      </w:r>
      <w:r>
        <w:rPr>
          <w:noProof/>
        </w:rPr>
        <w:t xml:space="preserve">, </w:t>
      </w:r>
      <w:r>
        <w:rPr>
          <w:noProof/>
        </w:rPr>
        <w:br/>
        <w:t>262 U.S. 679, 692 (1923)</w:t>
      </w:r>
      <w:r>
        <w:rPr>
          <w:noProof/>
        </w:rPr>
        <w:tab/>
        <w:t>6</w:t>
      </w:r>
    </w:p>
    <w:p w:rsidR="00A84449" w:rsidRDefault="00A84449">
      <w:pPr>
        <w:pStyle w:val="TableofAuthorities"/>
        <w:tabs>
          <w:tab w:val="clear" w:pos="9360"/>
          <w:tab w:val="right" w:leader="dot" w:pos="9350"/>
        </w:tabs>
        <w:rPr>
          <w:noProof/>
        </w:rPr>
      </w:pPr>
      <w:r w:rsidRPr="0052456C">
        <w:rPr>
          <w:i/>
          <w:noProof/>
        </w:rPr>
        <w:t>Federal Power Comm’n v. Hope Natural Gas Co.</w:t>
      </w:r>
      <w:r>
        <w:rPr>
          <w:noProof/>
        </w:rPr>
        <w:t xml:space="preserve">,  </w:t>
      </w:r>
      <w:r>
        <w:rPr>
          <w:noProof/>
        </w:rPr>
        <w:br/>
        <w:t>320 U.S. 591 (1944)</w:t>
      </w:r>
      <w:r>
        <w:rPr>
          <w:noProof/>
        </w:rPr>
        <w:tab/>
        <w:t>6</w:t>
      </w:r>
    </w:p>
    <w:p w:rsidR="00A84449" w:rsidRDefault="00A84449">
      <w:pPr>
        <w:pStyle w:val="TableofAuthorities"/>
        <w:tabs>
          <w:tab w:val="clear" w:pos="9360"/>
          <w:tab w:val="right" w:leader="dot" w:pos="9350"/>
        </w:tabs>
        <w:rPr>
          <w:noProof/>
        </w:rPr>
      </w:pPr>
      <w:r w:rsidRPr="0052456C">
        <w:rPr>
          <w:i/>
          <w:noProof/>
        </w:rPr>
        <w:t>ICNU v. WUTC, Public Counsel v. WUTC,</w:t>
      </w:r>
      <w:r w:rsidRPr="0052456C">
        <w:rPr>
          <w:i/>
          <w:noProof/>
        </w:rPr>
        <w:br/>
        <w:t xml:space="preserve"> </w:t>
      </w:r>
      <w:r>
        <w:rPr>
          <w:noProof/>
        </w:rPr>
        <w:t>Thurston Cty. Sup. Ct. Cause Nos. 13-2-01576-2, 13</w:t>
      </w:r>
      <w:r>
        <w:rPr>
          <w:noProof/>
        </w:rPr>
        <w:noBreakHyphen/>
        <w:t>2</w:t>
      </w:r>
      <w:r>
        <w:rPr>
          <w:noProof/>
        </w:rPr>
        <w:noBreakHyphen/>
        <w:t>01582</w:t>
      </w:r>
      <w:r>
        <w:rPr>
          <w:noProof/>
        </w:rPr>
        <w:noBreakHyphen/>
        <w:t>7 (</w:t>
      </w:r>
      <w:r w:rsidRPr="0052456C">
        <w:rPr>
          <w:i/>
          <w:noProof/>
        </w:rPr>
        <w:t>Consolidated</w:t>
      </w:r>
      <w:r>
        <w:rPr>
          <w:noProof/>
        </w:rPr>
        <w:t>), Order Granting in Part and Denying In Part Petitions for Judicial Review (July 25, 2014)</w:t>
      </w:r>
      <w:r>
        <w:rPr>
          <w:noProof/>
        </w:rPr>
        <w:tab/>
        <w:t>4</w:t>
      </w:r>
    </w:p>
    <w:p w:rsidR="00A84449" w:rsidRDefault="00A84449">
      <w:pPr>
        <w:pStyle w:val="TableofAuthorities"/>
        <w:tabs>
          <w:tab w:val="clear" w:pos="9360"/>
          <w:tab w:val="right" w:leader="dot" w:pos="9350"/>
        </w:tabs>
        <w:rPr>
          <w:noProof/>
        </w:rPr>
      </w:pPr>
      <w:r w:rsidRPr="0052456C">
        <w:rPr>
          <w:i/>
          <w:noProof/>
        </w:rPr>
        <w:t>Mohr v. Grant</w:t>
      </w:r>
      <w:r>
        <w:rPr>
          <w:noProof/>
        </w:rPr>
        <w:t xml:space="preserve">, </w:t>
      </w:r>
      <w:r>
        <w:rPr>
          <w:noProof/>
        </w:rPr>
        <w:br/>
        <w:t>153 Wn. 2d 812, 822, 108 P.3d 768 (2005)</w:t>
      </w:r>
      <w:r>
        <w:rPr>
          <w:noProof/>
        </w:rPr>
        <w:tab/>
        <w:t>38</w:t>
      </w:r>
    </w:p>
    <w:p w:rsidR="00A84449" w:rsidRDefault="00A84449">
      <w:pPr>
        <w:pStyle w:val="TableofAuthorities"/>
        <w:tabs>
          <w:tab w:val="clear" w:pos="9360"/>
          <w:tab w:val="right" w:leader="dot" w:pos="9350"/>
        </w:tabs>
        <w:rPr>
          <w:noProof/>
        </w:rPr>
      </w:pPr>
      <w:r w:rsidRPr="0052456C">
        <w:rPr>
          <w:i/>
          <w:noProof/>
        </w:rPr>
        <w:t>Palmer v. Huston</w:t>
      </w:r>
      <w:r>
        <w:rPr>
          <w:noProof/>
        </w:rPr>
        <w:t xml:space="preserve">, </w:t>
      </w:r>
      <w:r>
        <w:rPr>
          <w:noProof/>
        </w:rPr>
        <w:br/>
        <w:t>67 Wn. 210, 211, 121</w:t>
      </w:r>
      <w:r>
        <w:rPr>
          <w:noProof/>
        </w:rPr>
        <w:tab/>
        <w:t>38</w:t>
      </w:r>
    </w:p>
    <w:p w:rsidR="00A84449" w:rsidRDefault="00A84449">
      <w:pPr>
        <w:pStyle w:val="TableofAuthorities"/>
        <w:tabs>
          <w:tab w:val="clear" w:pos="9360"/>
          <w:tab w:val="right" w:leader="dot" w:pos="9350"/>
        </w:tabs>
        <w:rPr>
          <w:noProof/>
        </w:rPr>
      </w:pPr>
      <w:r w:rsidRPr="0052456C">
        <w:rPr>
          <w:i/>
          <w:noProof/>
        </w:rPr>
        <w:t>Permian Basin Area Rate Case</w:t>
      </w:r>
      <w:r>
        <w:rPr>
          <w:noProof/>
        </w:rPr>
        <w:t xml:space="preserve">, </w:t>
      </w:r>
      <w:r>
        <w:rPr>
          <w:noProof/>
        </w:rPr>
        <w:br/>
        <w:t>390 U.S. 747 (1968)</w:t>
      </w:r>
      <w:r>
        <w:rPr>
          <w:noProof/>
        </w:rPr>
        <w:tab/>
        <w:t>6</w:t>
      </w:r>
    </w:p>
    <w:p w:rsidR="00A84449" w:rsidRDefault="00A84449">
      <w:pPr>
        <w:pStyle w:val="TableofAuthorities"/>
        <w:tabs>
          <w:tab w:val="clear" w:pos="9360"/>
          <w:tab w:val="right" w:leader="dot" w:pos="9350"/>
        </w:tabs>
        <w:rPr>
          <w:noProof/>
        </w:rPr>
      </w:pPr>
      <w:r w:rsidRPr="0052456C">
        <w:rPr>
          <w:i/>
          <w:noProof/>
        </w:rPr>
        <w:t>POWER v. Util. &amp; Transp. Comm’n</w:t>
      </w:r>
      <w:r>
        <w:rPr>
          <w:noProof/>
        </w:rPr>
        <w:t xml:space="preserve">, </w:t>
      </w:r>
      <w:r>
        <w:rPr>
          <w:noProof/>
        </w:rPr>
        <w:br/>
        <w:t>104 Wn.2d 798, 811 (1985)</w:t>
      </w:r>
      <w:r>
        <w:rPr>
          <w:noProof/>
        </w:rPr>
        <w:tab/>
        <w:t>7</w:t>
      </w:r>
    </w:p>
    <w:p w:rsidR="00D60973" w:rsidRDefault="00D60973">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"3" \p </w:instrText>
      </w:r>
      <w:r>
        <w:fldChar w:fldCharType="separate"/>
      </w:r>
      <w:r>
        <w:rPr>
          <w:noProof/>
        </w:rPr>
        <w:t>Other Authorities</w:t>
      </w:r>
    </w:p>
    <w:p w:rsidR="00D60973" w:rsidRDefault="00D60973">
      <w:pPr>
        <w:pStyle w:val="TableofAuthorities"/>
        <w:tabs>
          <w:tab w:val="clear" w:pos="9360"/>
          <w:tab w:val="right" w:leader="dot" w:pos="9350"/>
        </w:tabs>
        <w:rPr>
          <w:noProof/>
        </w:rPr>
      </w:pPr>
      <w:r>
        <w:rPr>
          <w:noProof/>
        </w:rPr>
        <w:t xml:space="preserve">Goodman, </w:t>
      </w:r>
      <w:r w:rsidRPr="00361191">
        <w:rPr>
          <w:i/>
          <w:noProof/>
        </w:rPr>
        <w:t>The Process of Ratemaking</w:t>
      </w:r>
      <w:r>
        <w:rPr>
          <w:noProof/>
        </w:rPr>
        <w:t>, Public Utility Reports (1998)</w:t>
      </w:r>
      <w:r>
        <w:rPr>
          <w:noProof/>
        </w:rPr>
        <w:tab/>
        <w:t>45</w:t>
      </w:r>
    </w:p>
    <w:p w:rsidR="00D60973" w:rsidRDefault="00D60973" w:rsidP="002574CA">
      <w:pPr>
        <w:pStyle w:val="TableofAuthorities"/>
        <w:tabs>
          <w:tab w:val="clear" w:pos="9360"/>
          <w:tab w:val="right" w:leader="dot" w:pos="9350"/>
        </w:tabs>
        <w:spacing w:after="0"/>
        <w:rPr>
          <w:noProof/>
        </w:rPr>
      </w:pPr>
      <w:r>
        <w:rPr>
          <w:noProof/>
        </w:rPr>
        <w:t xml:space="preserve">Tegland, </w:t>
      </w:r>
      <w:r w:rsidRPr="00361191">
        <w:rPr>
          <w:i/>
          <w:noProof/>
        </w:rPr>
        <w:t>Washington Practice, Evidence</w:t>
      </w:r>
      <w:r>
        <w:rPr>
          <w:noProof/>
        </w:rPr>
        <w:t xml:space="preserve"> (2007)</w:t>
      </w:r>
      <w:r>
        <w:rPr>
          <w:noProof/>
        </w:rPr>
        <w:tab/>
        <w:t>38</w:t>
      </w:r>
    </w:p>
    <w:p w:rsidR="00D60973" w:rsidRDefault="00D60973" w:rsidP="00F43F50">
      <w:pPr>
        <w:pStyle w:val="TOAHeading"/>
        <w:tabs>
          <w:tab w:val="right" w:leader="dot" w:pos="9350"/>
        </w:tabs>
        <w:spacing w:before="0" w:after="0"/>
        <w:jc w:val="left"/>
        <w:rPr>
          <w:noProof/>
        </w:rPr>
      </w:pPr>
      <w:r>
        <w:fldChar w:fldCharType="end"/>
      </w:r>
      <w:r>
        <w:fldChar w:fldCharType="begin"/>
      </w:r>
      <w:r>
        <w:instrText xml:space="preserve"> TOA \h \c "5" \p </w:instrText>
      </w:r>
      <w:r>
        <w:fldChar w:fldCharType="separate"/>
      </w:r>
    </w:p>
    <w:p w:rsidR="00A84449" w:rsidRDefault="00D60973">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"6" \p </w:instrText>
      </w:r>
      <w:r>
        <w:fldChar w:fldCharType="separate"/>
      </w:r>
      <w:r w:rsidR="00A84449">
        <w:rPr>
          <w:noProof/>
        </w:rPr>
        <w:t>Regulations</w:t>
      </w:r>
    </w:p>
    <w:p w:rsidR="00A84449" w:rsidRDefault="00A84449">
      <w:pPr>
        <w:pStyle w:val="TableofAuthorities"/>
        <w:tabs>
          <w:tab w:val="clear" w:pos="9360"/>
          <w:tab w:val="right" w:leader="dot" w:pos="9350"/>
        </w:tabs>
        <w:rPr>
          <w:noProof/>
        </w:rPr>
      </w:pPr>
      <w:r w:rsidRPr="001E3E98">
        <w:rPr>
          <w:i/>
          <w:noProof/>
        </w:rPr>
        <w:t xml:space="preserve">In the Matter of the Wash. Util. &amp; Trans. Comm’n Investigation Into Energy Conservation Incentives, </w:t>
      </w:r>
      <w:r w:rsidRPr="001E3E98">
        <w:rPr>
          <w:i/>
          <w:noProof/>
        </w:rPr>
        <w:br/>
      </w:r>
      <w:r>
        <w:rPr>
          <w:noProof/>
        </w:rPr>
        <w:t>Docket U-100522 (Decoupling Policy Statement).</w:t>
      </w:r>
      <w:r>
        <w:rPr>
          <w:noProof/>
        </w:rPr>
        <w:tab/>
        <w:t>8</w:t>
      </w:r>
    </w:p>
    <w:p w:rsidR="00A84449" w:rsidRDefault="00A84449">
      <w:pPr>
        <w:pStyle w:val="TableofAuthorities"/>
        <w:tabs>
          <w:tab w:val="clear" w:pos="9360"/>
          <w:tab w:val="right" w:leader="dot" w:pos="9350"/>
        </w:tabs>
        <w:rPr>
          <w:noProof/>
        </w:rPr>
      </w:pPr>
      <w:r w:rsidRPr="001E3E98">
        <w:rPr>
          <w:i/>
          <w:noProof/>
        </w:rPr>
        <w:t>Wash. Util. &amp; Transp. Comm’n v. Avista Corp</w:t>
      </w:r>
      <w:r>
        <w:rPr>
          <w:noProof/>
        </w:rPr>
        <w:t xml:space="preserve">, </w:t>
      </w:r>
      <w:r>
        <w:rPr>
          <w:noProof/>
        </w:rPr>
        <w:br/>
        <w:t>Dockets UE-140188/UG-140189, Order 05, Settlement Stipulation (November 25, 2014)</w:t>
      </w:r>
      <w:r>
        <w:rPr>
          <w:noProof/>
        </w:rPr>
        <w:tab/>
        <w:t>44</w:t>
      </w:r>
    </w:p>
    <w:p w:rsidR="00A84449" w:rsidRDefault="00A84449">
      <w:pPr>
        <w:pStyle w:val="TableofAuthorities"/>
        <w:tabs>
          <w:tab w:val="clear" w:pos="9360"/>
          <w:tab w:val="right" w:leader="dot" w:pos="9350"/>
        </w:tabs>
        <w:rPr>
          <w:noProof/>
        </w:rPr>
      </w:pPr>
      <w:r w:rsidRPr="001E3E98">
        <w:rPr>
          <w:i/>
          <w:noProof/>
        </w:rPr>
        <w:t>Wash. Util. &amp; Transp. Comm’n v. Avista Util.</w:t>
      </w:r>
      <w:r>
        <w:rPr>
          <w:noProof/>
        </w:rPr>
        <w:t>,</w:t>
      </w:r>
      <w:r>
        <w:rPr>
          <w:noProof/>
        </w:rPr>
        <w:br/>
        <w:t>Dockets UE-090134/UG-090135, Order 10 (December 22, 2009)</w:t>
      </w:r>
      <w:r>
        <w:rPr>
          <w:noProof/>
        </w:rPr>
        <w:tab/>
        <w:t>7</w:t>
      </w:r>
    </w:p>
    <w:p w:rsidR="00A84449" w:rsidRDefault="00A84449">
      <w:pPr>
        <w:pStyle w:val="TableofAuthorities"/>
        <w:tabs>
          <w:tab w:val="clear" w:pos="9360"/>
          <w:tab w:val="right" w:leader="dot" w:pos="9350"/>
        </w:tabs>
        <w:rPr>
          <w:noProof/>
        </w:rPr>
      </w:pPr>
      <w:r w:rsidRPr="001E3E98">
        <w:rPr>
          <w:i/>
          <w:noProof/>
        </w:rPr>
        <w:t>Wash. Util. &amp; Transp. Comm’n v. PacifiCorp d/b/a Pacific Power</w:t>
      </w:r>
      <w:r>
        <w:rPr>
          <w:noProof/>
        </w:rPr>
        <w:t xml:space="preserve">, </w:t>
      </w:r>
      <w:r>
        <w:rPr>
          <w:noProof/>
        </w:rPr>
        <w:br/>
        <w:t>Docket UE-130043 (Pacific Power 2013 GRC), Order 05, (December 4, 2013)</w:t>
      </w:r>
      <w:r>
        <w:rPr>
          <w:noProof/>
        </w:rPr>
        <w:tab/>
        <w:t>7</w:t>
      </w:r>
    </w:p>
    <w:p w:rsidR="00A84449" w:rsidRDefault="00A84449">
      <w:pPr>
        <w:pStyle w:val="TableofAuthorities"/>
        <w:tabs>
          <w:tab w:val="clear" w:pos="9360"/>
          <w:tab w:val="right" w:leader="dot" w:pos="9350"/>
        </w:tabs>
        <w:rPr>
          <w:noProof/>
        </w:rPr>
      </w:pPr>
      <w:r w:rsidRPr="001E3E98">
        <w:rPr>
          <w:i/>
          <w:noProof/>
        </w:rPr>
        <w:t>Wash. Util. &amp; Transp. Comm’n v. Puget Sound Energy</w:t>
      </w:r>
      <w:r>
        <w:rPr>
          <w:noProof/>
        </w:rPr>
        <w:t xml:space="preserve">,  </w:t>
      </w:r>
      <w:r>
        <w:rPr>
          <w:noProof/>
        </w:rPr>
        <w:br/>
        <w:t>Dockets UE</w:t>
      </w:r>
      <w:r>
        <w:rPr>
          <w:noProof/>
        </w:rPr>
        <w:noBreakHyphen/>
        <w:t>090704/UG</w:t>
      </w:r>
      <w:r>
        <w:rPr>
          <w:noProof/>
        </w:rPr>
        <w:noBreakHyphen/>
        <w:t>090705, Order 11, (April 2, 2010)</w:t>
      </w:r>
      <w:r>
        <w:rPr>
          <w:noProof/>
        </w:rPr>
        <w:tab/>
        <w:t>7, 14</w:t>
      </w:r>
    </w:p>
    <w:p w:rsidR="00A84449" w:rsidRDefault="00A84449">
      <w:pPr>
        <w:pStyle w:val="TableofAuthorities"/>
        <w:tabs>
          <w:tab w:val="clear" w:pos="9360"/>
          <w:tab w:val="right" w:leader="dot" w:pos="9350"/>
        </w:tabs>
        <w:rPr>
          <w:noProof/>
        </w:rPr>
      </w:pPr>
      <w:r w:rsidRPr="001E3E98">
        <w:rPr>
          <w:i/>
          <w:noProof/>
        </w:rPr>
        <w:t xml:space="preserve">Wash. Util. &amp; Transp. Comm’n v. Puget Sound Energy, </w:t>
      </w:r>
      <w:r w:rsidRPr="001E3E98">
        <w:rPr>
          <w:i/>
          <w:noProof/>
        </w:rPr>
        <w:br/>
      </w:r>
      <w:r>
        <w:rPr>
          <w:noProof/>
        </w:rPr>
        <w:t>Dockets UE-111048/UG-111049, Order 08 (May 7, 2012)</w:t>
      </w:r>
      <w:r>
        <w:rPr>
          <w:noProof/>
        </w:rPr>
        <w:tab/>
        <w:t>7, 12</w:t>
      </w:r>
    </w:p>
    <w:p w:rsidR="002E53F8" w:rsidRPr="002E53F8" w:rsidRDefault="00D60973" w:rsidP="00ED47C3">
      <w:pPr>
        <w:pStyle w:val="TOAHeading"/>
        <w:tabs>
          <w:tab w:val="right" w:leader="dot" w:pos="9350"/>
        </w:tabs>
      </w:pPr>
      <w:r>
        <w:fldChar w:fldCharType="end"/>
      </w:r>
      <w:r w:rsidR="00F43F50" w:rsidRPr="00F43F50">
        <w:rPr>
          <w:noProof/>
        </w:rPr>
        <w:t xml:space="preserve"> </w:t>
      </w:r>
    </w:p>
    <w:sectPr w:rsidR="002E53F8" w:rsidRPr="002E53F8" w:rsidSect="00D60973">
      <w:footerReference w:type="default" r:id="rId13"/>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98" w:rsidRDefault="008E2D98">
      <w:r>
        <w:separator/>
      </w:r>
    </w:p>
  </w:endnote>
  <w:endnote w:type="continuationSeparator" w:id="0">
    <w:p w:rsidR="008E2D98" w:rsidRDefault="008E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98" w:rsidRDefault="008E2D98"/>
  <w:tbl>
    <w:tblPr>
      <w:tblW w:w="0" w:type="auto"/>
      <w:tblInd w:w="108" w:type="dxa"/>
      <w:tblLayout w:type="fixed"/>
      <w:tblLook w:val="0000" w:firstRow="0" w:lastRow="0" w:firstColumn="0" w:lastColumn="0" w:noHBand="0" w:noVBand="0"/>
    </w:tblPr>
    <w:tblGrid>
      <w:gridCol w:w="3780"/>
      <w:gridCol w:w="1260"/>
      <w:gridCol w:w="4140"/>
    </w:tblGrid>
    <w:tr w:rsidR="008E2D98">
      <w:trPr>
        <w:trHeight w:val="1250"/>
      </w:trPr>
      <w:tc>
        <w:tcPr>
          <w:tcW w:w="3780" w:type="dxa"/>
        </w:tcPr>
        <w:p w:rsidR="008E2D98" w:rsidRPr="009D02F9" w:rsidRDefault="008E2D98">
          <w:pPr>
            <w:pStyle w:val="Footer"/>
            <w:rPr>
              <w:caps/>
              <w:szCs w:val="20"/>
            </w:rPr>
          </w:pPr>
          <w:r>
            <w:rPr>
              <w:caps/>
              <w:szCs w:val="20"/>
            </w:rPr>
            <w:t xml:space="preserve">initial </w:t>
          </w:r>
          <w:r w:rsidRPr="009D02F9">
            <w:rPr>
              <w:caps/>
              <w:szCs w:val="20"/>
            </w:rPr>
            <w:t>BRIEF OF PUBLIC COUNSEL</w:t>
          </w:r>
        </w:p>
        <w:p w:rsidR="008E2D98" w:rsidRDefault="008E2D98">
          <w:pPr>
            <w:pStyle w:val="Footer"/>
            <w:rPr>
              <w:szCs w:val="20"/>
            </w:rPr>
          </w:pPr>
          <w:r w:rsidRPr="009D02F9">
            <w:rPr>
              <w:caps/>
              <w:szCs w:val="20"/>
            </w:rPr>
            <w:t xml:space="preserve">DOCKETS ue-121697 </w:t>
          </w:r>
          <w:r w:rsidRPr="009D02F9">
            <w:rPr>
              <w:szCs w:val="20"/>
            </w:rPr>
            <w:t xml:space="preserve">and </w:t>
          </w:r>
        </w:p>
        <w:p w:rsidR="008E2D98" w:rsidRDefault="008E2D98">
          <w:pPr>
            <w:pStyle w:val="Footer"/>
            <w:rPr>
              <w:szCs w:val="20"/>
            </w:rPr>
          </w:pPr>
          <w:r w:rsidRPr="009D02F9">
            <w:rPr>
              <w:szCs w:val="20"/>
            </w:rPr>
            <w:t>UG-121705 (</w:t>
          </w:r>
          <w:r w:rsidRPr="009D02F9">
            <w:rPr>
              <w:i/>
              <w:szCs w:val="20"/>
            </w:rPr>
            <w:t>consolidated</w:t>
          </w:r>
          <w:r w:rsidRPr="009D02F9">
            <w:rPr>
              <w:szCs w:val="20"/>
            </w:rPr>
            <w:t xml:space="preserve">); </w:t>
          </w:r>
        </w:p>
        <w:p w:rsidR="008E2D98" w:rsidRDefault="008E2D98">
          <w:pPr>
            <w:pStyle w:val="Footer"/>
            <w:rPr>
              <w:szCs w:val="20"/>
            </w:rPr>
          </w:pPr>
          <w:r w:rsidRPr="009D02F9">
            <w:rPr>
              <w:szCs w:val="20"/>
            </w:rPr>
            <w:t>DOCKETS</w:t>
          </w:r>
          <w:r>
            <w:rPr>
              <w:szCs w:val="20"/>
            </w:rPr>
            <w:t xml:space="preserve"> UE-130137 and </w:t>
          </w:r>
        </w:p>
        <w:p w:rsidR="008E2D98" w:rsidRPr="00630CF8" w:rsidRDefault="008E2D98">
          <w:pPr>
            <w:pStyle w:val="Footer"/>
            <w:rPr>
              <w:szCs w:val="20"/>
            </w:rPr>
          </w:pPr>
          <w:r>
            <w:rPr>
              <w:szCs w:val="20"/>
            </w:rPr>
            <w:t>UG</w:t>
          </w:r>
          <w:r>
            <w:rPr>
              <w:szCs w:val="20"/>
            </w:rPr>
            <w:noBreakHyphen/>
          </w:r>
          <w:r w:rsidRPr="009D02F9">
            <w:rPr>
              <w:szCs w:val="20"/>
            </w:rPr>
            <w:t>130138 (</w:t>
          </w:r>
          <w:r w:rsidRPr="009D02F9">
            <w:rPr>
              <w:i/>
              <w:szCs w:val="20"/>
            </w:rPr>
            <w:t>consolidated</w:t>
          </w:r>
          <w:r w:rsidRPr="009D02F9">
            <w:rPr>
              <w:szCs w:val="20"/>
            </w:rPr>
            <w:t>)</w:t>
          </w:r>
        </w:p>
      </w:tc>
      <w:tc>
        <w:tcPr>
          <w:tcW w:w="1260" w:type="dxa"/>
        </w:tcPr>
        <w:p w:rsidR="008E2D98" w:rsidRPr="009D02F9" w:rsidRDefault="008E2D98" w:rsidP="009D02F9">
          <w:pPr>
            <w:pStyle w:val="Footer"/>
            <w:ind w:left="72" w:right="72"/>
            <w:jc w:val="center"/>
            <w:rPr>
              <w:szCs w:val="20"/>
            </w:rPr>
          </w:pPr>
          <w:r>
            <w:fldChar w:fldCharType="begin"/>
          </w:r>
          <w:r>
            <w:instrText xml:space="preserve"> PAGE  \* MERGEFORMAT </w:instrText>
          </w:r>
          <w:r>
            <w:fldChar w:fldCharType="separate"/>
          </w:r>
          <w:r w:rsidR="00A84449" w:rsidRPr="00A84449">
            <w:rPr>
              <w:noProof/>
              <w:szCs w:val="20"/>
            </w:rPr>
            <w:t>52</w:t>
          </w:r>
          <w:r>
            <w:rPr>
              <w:noProof/>
              <w:szCs w:val="20"/>
            </w:rPr>
            <w:fldChar w:fldCharType="end"/>
          </w:r>
        </w:p>
      </w:tc>
      <w:tc>
        <w:tcPr>
          <w:tcW w:w="4140" w:type="dxa"/>
        </w:tcPr>
        <w:p w:rsidR="008E2D98" w:rsidRPr="009D02F9" w:rsidRDefault="008E2D98">
          <w:pPr>
            <w:pStyle w:val="Footer"/>
            <w:jc w:val="center"/>
            <w:rPr>
              <w:szCs w:val="20"/>
            </w:rPr>
          </w:pPr>
          <w:r w:rsidRPr="009D02F9">
            <w:rPr>
              <w:szCs w:val="20"/>
            </w:rPr>
            <w:t>ATTORNEY GENERAL OF WASHINGTON</w:t>
          </w:r>
        </w:p>
        <w:p w:rsidR="008E2D98" w:rsidRPr="009D02F9" w:rsidRDefault="008E2D98">
          <w:pPr>
            <w:pStyle w:val="Footer"/>
            <w:jc w:val="center"/>
            <w:rPr>
              <w:szCs w:val="20"/>
            </w:rPr>
          </w:pPr>
          <w:r w:rsidRPr="009D02F9">
            <w:rPr>
              <w:szCs w:val="20"/>
            </w:rPr>
            <w:t>Public Counsel</w:t>
          </w:r>
        </w:p>
        <w:p w:rsidR="008E2D98" w:rsidRPr="009D02F9" w:rsidRDefault="008E2D98">
          <w:pPr>
            <w:pStyle w:val="Footer"/>
            <w:jc w:val="center"/>
            <w:rPr>
              <w:szCs w:val="20"/>
            </w:rPr>
          </w:pPr>
          <w:r w:rsidRPr="009D02F9">
            <w:rPr>
              <w:szCs w:val="20"/>
            </w:rPr>
            <w:t>800 5th Ave., Suite 2000</w:t>
          </w:r>
        </w:p>
        <w:p w:rsidR="008E2D98" w:rsidRDefault="008E2D98">
          <w:pPr>
            <w:pStyle w:val="Footer"/>
            <w:jc w:val="center"/>
            <w:rPr>
              <w:szCs w:val="20"/>
            </w:rPr>
          </w:pPr>
          <w:r w:rsidRPr="009D02F9">
            <w:rPr>
              <w:szCs w:val="20"/>
            </w:rPr>
            <w:t>Seattle, WA 98104-3188</w:t>
          </w:r>
        </w:p>
        <w:p w:rsidR="008E2D98" w:rsidRPr="009D02F9" w:rsidRDefault="008E2D98">
          <w:pPr>
            <w:pStyle w:val="Footer"/>
            <w:jc w:val="center"/>
            <w:rPr>
              <w:szCs w:val="20"/>
            </w:rPr>
          </w:pPr>
          <w:r>
            <w:rPr>
              <w:szCs w:val="20"/>
            </w:rPr>
            <w:t>(206) 464-7744</w:t>
          </w:r>
        </w:p>
      </w:tc>
    </w:tr>
  </w:tbl>
  <w:p w:rsidR="008E2D98" w:rsidRDefault="008E2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98" w:rsidRDefault="008E2D98"/>
  <w:tbl>
    <w:tblPr>
      <w:tblW w:w="0" w:type="auto"/>
      <w:tblInd w:w="108" w:type="dxa"/>
      <w:tblLayout w:type="fixed"/>
      <w:tblLook w:val="0000" w:firstRow="0" w:lastRow="0" w:firstColumn="0" w:lastColumn="0" w:noHBand="0" w:noVBand="0"/>
    </w:tblPr>
    <w:tblGrid>
      <w:gridCol w:w="3780"/>
      <w:gridCol w:w="1260"/>
      <w:gridCol w:w="4140"/>
    </w:tblGrid>
    <w:tr w:rsidR="008E2D98">
      <w:trPr>
        <w:trHeight w:val="1250"/>
      </w:trPr>
      <w:tc>
        <w:tcPr>
          <w:tcW w:w="3780" w:type="dxa"/>
        </w:tcPr>
        <w:p w:rsidR="008E2D98" w:rsidRPr="009D02F9" w:rsidRDefault="008E2D98">
          <w:pPr>
            <w:pStyle w:val="Footer"/>
            <w:rPr>
              <w:caps/>
              <w:szCs w:val="20"/>
            </w:rPr>
          </w:pPr>
          <w:r>
            <w:rPr>
              <w:caps/>
              <w:szCs w:val="20"/>
            </w:rPr>
            <w:t xml:space="preserve">initial </w:t>
          </w:r>
          <w:r w:rsidRPr="009D02F9">
            <w:rPr>
              <w:caps/>
              <w:szCs w:val="20"/>
            </w:rPr>
            <w:t>BRIEF OF PUBLIC COUNSEL</w:t>
          </w:r>
        </w:p>
        <w:p w:rsidR="008E2D98" w:rsidRDefault="008E2D98">
          <w:pPr>
            <w:pStyle w:val="Footer"/>
            <w:rPr>
              <w:szCs w:val="20"/>
            </w:rPr>
          </w:pPr>
          <w:r w:rsidRPr="009D02F9">
            <w:rPr>
              <w:caps/>
              <w:szCs w:val="20"/>
            </w:rPr>
            <w:t xml:space="preserve">DOCKETS ue-121697 </w:t>
          </w:r>
          <w:r w:rsidRPr="009D02F9">
            <w:rPr>
              <w:szCs w:val="20"/>
            </w:rPr>
            <w:t xml:space="preserve">and </w:t>
          </w:r>
        </w:p>
        <w:p w:rsidR="008E2D98" w:rsidRDefault="008E2D98">
          <w:pPr>
            <w:pStyle w:val="Footer"/>
            <w:rPr>
              <w:szCs w:val="20"/>
            </w:rPr>
          </w:pPr>
          <w:r w:rsidRPr="009D02F9">
            <w:rPr>
              <w:szCs w:val="20"/>
            </w:rPr>
            <w:t>UG-121705 (</w:t>
          </w:r>
          <w:r w:rsidRPr="009D02F9">
            <w:rPr>
              <w:i/>
              <w:szCs w:val="20"/>
            </w:rPr>
            <w:t>consolidated</w:t>
          </w:r>
          <w:r w:rsidRPr="009D02F9">
            <w:rPr>
              <w:szCs w:val="20"/>
            </w:rPr>
            <w:t xml:space="preserve">); </w:t>
          </w:r>
        </w:p>
        <w:p w:rsidR="008E2D98" w:rsidRDefault="008E2D98">
          <w:pPr>
            <w:pStyle w:val="Footer"/>
            <w:rPr>
              <w:szCs w:val="20"/>
            </w:rPr>
          </w:pPr>
          <w:r w:rsidRPr="009D02F9">
            <w:rPr>
              <w:szCs w:val="20"/>
            </w:rPr>
            <w:t>DOCKETS</w:t>
          </w:r>
          <w:r>
            <w:rPr>
              <w:szCs w:val="20"/>
            </w:rPr>
            <w:t xml:space="preserve"> UE-130137 and </w:t>
          </w:r>
        </w:p>
        <w:p w:rsidR="008E2D98" w:rsidRPr="00630CF8" w:rsidRDefault="008E2D98">
          <w:pPr>
            <w:pStyle w:val="Footer"/>
            <w:rPr>
              <w:szCs w:val="20"/>
            </w:rPr>
          </w:pPr>
          <w:r>
            <w:rPr>
              <w:szCs w:val="20"/>
            </w:rPr>
            <w:t>UG</w:t>
          </w:r>
          <w:r>
            <w:rPr>
              <w:szCs w:val="20"/>
            </w:rPr>
            <w:noBreakHyphen/>
          </w:r>
          <w:r w:rsidRPr="009D02F9">
            <w:rPr>
              <w:szCs w:val="20"/>
            </w:rPr>
            <w:t>130138 (</w:t>
          </w:r>
          <w:r w:rsidRPr="009D02F9">
            <w:rPr>
              <w:i/>
              <w:szCs w:val="20"/>
            </w:rPr>
            <w:t>consolidated</w:t>
          </w:r>
          <w:r w:rsidRPr="009D02F9">
            <w:rPr>
              <w:szCs w:val="20"/>
            </w:rPr>
            <w:t>)</w:t>
          </w:r>
        </w:p>
      </w:tc>
      <w:tc>
        <w:tcPr>
          <w:tcW w:w="1260" w:type="dxa"/>
        </w:tcPr>
        <w:p w:rsidR="008E2D98" w:rsidRPr="009D02F9" w:rsidRDefault="008E2D98" w:rsidP="009D02F9">
          <w:pPr>
            <w:pStyle w:val="Footer"/>
            <w:ind w:left="72" w:right="72"/>
            <w:jc w:val="center"/>
            <w:rPr>
              <w:szCs w:val="20"/>
            </w:rPr>
          </w:pPr>
          <w:r>
            <w:fldChar w:fldCharType="begin"/>
          </w:r>
          <w:r>
            <w:instrText xml:space="preserve"> PAGE  \* MERGEFORMAT </w:instrText>
          </w:r>
          <w:r>
            <w:fldChar w:fldCharType="separate"/>
          </w:r>
          <w:r w:rsidR="00A84449" w:rsidRPr="00A84449">
            <w:rPr>
              <w:noProof/>
              <w:szCs w:val="20"/>
            </w:rPr>
            <w:t>iv</w:t>
          </w:r>
          <w:r>
            <w:rPr>
              <w:noProof/>
              <w:szCs w:val="20"/>
            </w:rPr>
            <w:fldChar w:fldCharType="end"/>
          </w:r>
        </w:p>
      </w:tc>
      <w:tc>
        <w:tcPr>
          <w:tcW w:w="4140" w:type="dxa"/>
        </w:tcPr>
        <w:p w:rsidR="008E2D98" w:rsidRPr="009D02F9" w:rsidRDefault="008E2D98">
          <w:pPr>
            <w:pStyle w:val="Footer"/>
            <w:jc w:val="center"/>
            <w:rPr>
              <w:szCs w:val="20"/>
            </w:rPr>
          </w:pPr>
          <w:r w:rsidRPr="009D02F9">
            <w:rPr>
              <w:szCs w:val="20"/>
            </w:rPr>
            <w:t>ATTORNEY GENERAL OF WASHINGTON</w:t>
          </w:r>
        </w:p>
        <w:p w:rsidR="008E2D98" w:rsidRPr="009D02F9" w:rsidRDefault="008E2D98">
          <w:pPr>
            <w:pStyle w:val="Footer"/>
            <w:jc w:val="center"/>
            <w:rPr>
              <w:szCs w:val="20"/>
            </w:rPr>
          </w:pPr>
          <w:r w:rsidRPr="009D02F9">
            <w:rPr>
              <w:szCs w:val="20"/>
            </w:rPr>
            <w:t>Public Counsel</w:t>
          </w:r>
        </w:p>
        <w:p w:rsidR="008E2D98" w:rsidRPr="009D02F9" w:rsidRDefault="008E2D98">
          <w:pPr>
            <w:pStyle w:val="Footer"/>
            <w:jc w:val="center"/>
            <w:rPr>
              <w:szCs w:val="20"/>
            </w:rPr>
          </w:pPr>
          <w:r w:rsidRPr="009D02F9">
            <w:rPr>
              <w:szCs w:val="20"/>
            </w:rPr>
            <w:t>800 5th Ave., Suite 2000</w:t>
          </w:r>
        </w:p>
        <w:p w:rsidR="008E2D98" w:rsidRDefault="008E2D98">
          <w:pPr>
            <w:pStyle w:val="Footer"/>
            <w:jc w:val="center"/>
            <w:rPr>
              <w:szCs w:val="20"/>
            </w:rPr>
          </w:pPr>
          <w:r w:rsidRPr="009D02F9">
            <w:rPr>
              <w:szCs w:val="20"/>
            </w:rPr>
            <w:t>Seattle, WA 98104-3188</w:t>
          </w:r>
        </w:p>
        <w:p w:rsidR="008E2D98" w:rsidRPr="009D02F9" w:rsidRDefault="008E2D98">
          <w:pPr>
            <w:pStyle w:val="Footer"/>
            <w:jc w:val="center"/>
            <w:rPr>
              <w:szCs w:val="20"/>
            </w:rPr>
          </w:pPr>
          <w:r>
            <w:rPr>
              <w:szCs w:val="20"/>
            </w:rPr>
            <w:t>(206) 464-7744</w:t>
          </w:r>
        </w:p>
      </w:tc>
    </w:tr>
  </w:tbl>
  <w:p w:rsidR="008E2D98" w:rsidRDefault="008E2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98" w:rsidRDefault="008E2D98">
      <w:r>
        <w:separator/>
      </w:r>
    </w:p>
  </w:footnote>
  <w:footnote w:type="continuationSeparator" w:id="0">
    <w:p w:rsidR="008E2D98" w:rsidRDefault="008E2D98">
      <w:pPr>
        <w:ind w:right="5760"/>
      </w:pPr>
      <w:r>
        <w:continuationSeparator/>
      </w:r>
    </w:p>
  </w:footnote>
  <w:footnote w:id="1">
    <w:p w:rsidR="008E2D98" w:rsidRPr="00374D95" w:rsidRDefault="008E2D98" w:rsidP="006A1A7D">
      <w:pPr>
        <w:pStyle w:val="FootnoteText"/>
      </w:pPr>
      <w:r>
        <w:rPr>
          <w:rStyle w:val="FootnoteReference"/>
        </w:rPr>
        <w:footnoteRef/>
      </w:r>
      <w:r>
        <w:t xml:space="preserve"> The Rate Plan included the adoption of full “true-up” decoupling for PSE.  The multi-year Rate Plan was implemented in conjunction with the decoupling mechanism, through automatic annual increases to the approved revenue per customers, based on the “K-factor” escalation formula.  </w:t>
      </w:r>
      <w:r w:rsidRPr="00374D95">
        <w:t>Order 07, ¶¶ 7-9</w:t>
      </w:r>
      <w:r>
        <w:t xml:space="preserve"> (Orders in this Rate Plan docket are referred to in the brief without additional docket title citation).  </w:t>
      </w:r>
    </w:p>
  </w:footnote>
  <w:footnote w:id="2">
    <w:p w:rsidR="008E2D98" w:rsidRPr="00F82162" w:rsidRDefault="008E2D98">
      <w:pPr>
        <w:pStyle w:val="FootnoteText"/>
        <w:rPr>
          <w:b/>
        </w:rPr>
      </w:pPr>
      <w:r w:rsidRPr="00997384">
        <w:rPr>
          <w:rStyle w:val="FootnoteReference"/>
        </w:rPr>
        <w:footnoteRef/>
      </w:r>
      <w:r>
        <w:t xml:space="preserve"> Order 10, ¶ 25</w:t>
      </w:r>
      <w:r w:rsidRPr="00997384">
        <w:t>; Order 11, ¶ 14.</w:t>
      </w:r>
    </w:p>
  </w:footnote>
  <w:footnote w:id="3">
    <w:p w:rsidR="008E2D98" w:rsidRDefault="008E2D98">
      <w:pPr>
        <w:pStyle w:val="FootnoteText"/>
      </w:pPr>
      <w:r>
        <w:rPr>
          <w:rStyle w:val="FootnoteReference"/>
        </w:rPr>
        <w:footnoteRef/>
      </w:r>
      <w:r>
        <w:t xml:space="preserve"> Prefiled Rebuttal Testimony of Dr. Roger A. Morin, Exhibit No. RAM-16T at 2:9-13. </w:t>
      </w:r>
    </w:p>
  </w:footnote>
  <w:footnote w:id="4">
    <w:p w:rsidR="008E2D98" w:rsidRPr="00374D95" w:rsidRDefault="008E2D98">
      <w:pPr>
        <w:pStyle w:val="FootnoteText"/>
        <w:rPr>
          <w:b/>
          <w:i/>
        </w:rPr>
      </w:pPr>
      <w:r>
        <w:rPr>
          <w:rStyle w:val="FootnoteReference"/>
        </w:rPr>
        <w:footnoteRef/>
      </w:r>
      <w:r>
        <w:t xml:space="preserve"> </w:t>
      </w:r>
      <w:r w:rsidRPr="0045703C">
        <w:t>Order 07</w:t>
      </w:r>
      <w:r>
        <w:t>, ¶¶ 3, 58</w:t>
      </w:r>
      <w:r>
        <w:rPr>
          <w:b/>
          <w:i/>
        </w:rPr>
        <w:t xml:space="preserve">.  </w:t>
      </w:r>
      <w:r>
        <w:t xml:space="preserve">The recommendation to use the 9.8 ROE was presented to the Commission for approval as part of a “Multiparty Settlement Agreement” between PSE, Commission Staff, and NW Energy Coalition. Order 07, ¶¶ 16-17.   </w:t>
      </w:r>
    </w:p>
  </w:footnote>
  <w:footnote w:id="5">
    <w:p w:rsidR="008E2D98" w:rsidRDefault="008E2D98">
      <w:pPr>
        <w:pStyle w:val="FootnoteText"/>
      </w:pPr>
      <w:r>
        <w:rPr>
          <w:rStyle w:val="FootnoteReference"/>
        </w:rPr>
        <w:footnoteRef/>
      </w:r>
      <w:r>
        <w:t xml:space="preserve"> </w:t>
      </w:r>
      <w:r>
        <w:rPr>
          <w:i/>
        </w:rPr>
        <w:t xml:space="preserve">ICNU v. WUTC, Public Counsel v. WUTC, </w:t>
      </w:r>
      <w:r>
        <w:t>Thurston Cty. Sup. Ct. Cause Nos. 13-2-01576-2, 13</w:t>
      </w:r>
      <w:r>
        <w:noBreakHyphen/>
        <w:t>2</w:t>
      </w:r>
      <w:r>
        <w:noBreakHyphen/>
        <w:t>01582</w:t>
      </w:r>
      <w:r>
        <w:noBreakHyphen/>
        <w:t>7 (</w:t>
      </w:r>
      <w:r w:rsidRPr="004F4984">
        <w:rPr>
          <w:i/>
        </w:rPr>
        <w:t>Consolidated</w:t>
      </w:r>
      <w:r>
        <w:t>), Order Granting in Part and Denying In Part Petitions for Judicial Review, at 2 (July 25, 2014) (hereafter “Court Order” or “Remand Order”)</w:t>
      </w:r>
      <w:r>
        <w:fldChar w:fldCharType="begin"/>
      </w:r>
      <w:r>
        <w:instrText xml:space="preserve"> TA \l "</w:instrText>
      </w:r>
      <w:r w:rsidRPr="0078245F">
        <w:rPr>
          <w:i/>
        </w:rPr>
        <w:instrText>ICNU v. WUTC, Public Counsel v. WUTC,</w:instrText>
      </w:r>
      <w:r w:rsidRPr="0078245F">
        <w:rPr>
          <w:i/>
        </w:rPr>
        <w:br/>
        <w:instrText xml:space="preserve"> </w:instrText>
      </w:r>
      <w:r w:rsidRPr="0078245F">
        <w:instrText>Thurston Cty. Sup. Ct. Cause Nos. 13-2-01576-2, 13</w:instrText>
      </w:r>
      <w:r w:rsidRPr="0078245F">
        <w:noBreakHyphen/>
        <w:instrText>2</w:instrText>
      </w:r>
      <w:r w:rsidRPr="0078245F">
        <w:noBreakHyphen/>
        <w:instrText>01582</w:instrText>
      </w:r>
      <w:r w:rsidRPr="0078245F">
        <w:noBreakHyphen/>
        <w:instrText>7 (</w:instrText>
      </w:r>
      <w:r w:rsidRPr="0078245F">
        <w:rPr>
          <w:i/>
        </w:rPr>
        <w:instrText>Consolidated</w:instrText>
      </w:r>
      <w:r w:rsidRPr="0078245F">
        <w:instrText>), Order Granting in Part and Denying In Part Petitions for Judicial Review (July 25, 2014)</w:instrText>
      </w:r>
      <w:r>
        <w:instrText xml:space="preserve">" \s "ICNU v. WUTC, Public Counsel v. WUTC, Thurston Cty. Sup. Ct. Cause Nos. 13-2-01576-2, 13-2-01582-7 (Consolidated), Order Granting in Part and Denying In Part Petitions for Judicial Review, at 2 (July 25, 2014) (hereafter \"Court Order\" or \"Remand Order\"" \c 1 </w:instrText>
      </w:r>
      <w:r>
        <w:fldChar w:fldCharType="end"/>
      </w:r>
      <w:r>
        <w:t xml:space="preserve">.  </w:t>
      </w:r>
    </w:p>
  </w:footnote>
  <w:footnote w:id="6">
    <w:p w:rsidR="008E2D98" w:rsidRPr="006D393B" w:rsidRDefault="008E2D98">
      <w:pPr>
        <w:pStyle w:val="FootnoteText"/>
      </w:pPr>
      <w:r>
        <w:rPr>
          <w:rStyle w:val="FootnoteReference"/>
        </w:rPr>
        <w:footnoteRef/>
      </w:r>
      <w:r>
        <w:t xml:space="preserve"> </w:t>
      </w:r>
      <w:r>
        <w:rPr>
          <w:i/>
        </w:rPr>
        <w:t>Id.</w:t>
      </w:r>
      <w:r>
        <w:t xml:space="preserve"> at 3. </w:t>
      </w:r>
    </w:p>
  </w:footnote>
  <w:footnote w:id="7">
    <w:p w:rsidR="008E2D98" w:rsidRDefault="008E2D98">
      <w:pPr>
        <w:pStyle w:val="FootnoteText"/>
      </w:pPr>
      <w:r>
        <w:rPr>
          <w:rStyle w:val="FootnoteReference"/>
        </w:rPr>
        <w:footnoteRef/>
      </w:r>
      <w:r>
        <w:t xml:space="preserve"> Order 10, ¶ 3</w:t>
      </w:r>
      <w:r w:rsidRPr="0045703C">
        <w:t>.</w:t>
      </w:r>
    </w:p>
  </w:footnote>
  <w:footnote w:id="8">
    <w:p w:rsidR="008E2D98" w:rsidRDefault="008E2D98">
      <w:pPr>
        <w:pStyle w:val="FootnoteText"/>
      </w:pPr>
      <w:r>
        <w:rPr>
          <w:rStyle w:val="FootnoteReference"/>
        </w:rPr>
        <w:footnoteRef/>
      </w:r>
      <w:r>
        <w:t xml:space="preserve"> </w:t>
      </w:r>
      <w:r>
        <w:rPr>
          <w:i/>
        </w:rPr>
        <w:t>Id.</w:t>
      </w:r>
      <w:r>
        <w:t xml:space="preserve">, ¶ 4.  </w:t>
      </w:r>
    </w:p>
  </w:footnote>
  <w:footnote w:id="9">
    <w:p w:rsidR="008E2D98" w:rsidRDefault="008E2D98">
      <w:pPr>
        <w:pStyle w:val="FootnoteText"/>
      </w:pPr>
      <w:r>
        <w:rPr>
          <w:rStyle w:val="FootnoteReference"/>
        </w:rPr>
        <w:footnoteRef/>
      </w:r>
      <w:r>
        <w:t xml:space="preserve"> </w:t>
      </w:r>
      <w:r>
        <w:rPr>
          <w:i/>
        </w:rPr>
        <w:t xml:space="preserve">Id., </w:t>
      </w:r>
      <w:r>
        <w:t xml:space="preserve">¶ 4.  </w:t>
      </w:r>
    </w:p>
  </w:footnote>
  <w:footnote w:id="10">
    <w:p w:rsidR="008E2D98" w:rsidRPr="000A5E38" w:rsidRDefault="008E2D98">
      <w:pPr>
        <w:pStyle w:val="FootnoteText"/>
      </w:pPr>
      <w:r w:rsidRPr="000A5E38">
        <w:rPr>
          <w:rStyle w:val="FootnoteReference"/>
        </w:rPr>
        <w:footnoteRef/>
      </w:r>
      <w:r>
        <w:t xml:space="preserve"> </w:t>
      </w:r>
      <w:r>
        <w:rPr>
          <w:i/>
        </w:rPr>
        <w:t xml:space="preserve">Id., </w:t>
      </w:r>
      <w:r>
        <w:t xml:space="preserve">¶ 24.  The early 2013 period is referred to in the brief as the “target period.”  The Commission also described the period as </w:t>
      </w:r>
      <w:r w:rsidRPr="006E1FCB">
        <w:t>“prior to June 25, 2013</w:t>
      </w:r>
      <w:r>
        <w:t>.</w:t>
      </w:r>
      <w:r w:rsidRPr="006E1FCB">
        <w:t>”  Order 11</w:t>
      </w:r>
      <w:r>
        <w:t xml:space="preserve">, </w:t>
      </w:r>
      <w:r w:rsidRPr="006E1FCB">
        <w:t>¶</w:t>
      </w:r>
      <w:r>
        <w:t xml:space="preserve"> </w:t>
      </w:r>
      <w:r w:rsidRPr="006E1FCB">
        <w:t xml:space="preserve">14. </w:t>
      </w:r>
    </w:p>
  </w:footnote>
  <w:footnote w:id="11">
    <w:p w:rsidR="008E2D98" w:rsidRDefault="008E2D98">
      <w:pPr>
        <w:pStyle w:val="FootnoteText"/>
      </w:pPr>
      <w:r>
        <w:rPr>
          <w:rStyle w:val="FootnoteReference"/>
        </w:rPr>
        <w:footnoteRef/>
      </w:r>
      <w:r>
        <w:t xml:space="preserve"> </w:t>
      </w:r>
      <w:r>
        <w:rPr>
          <w:i/>
        </w:rPr>
        <w:t>Id.</w:t>
      </w:r>
      <w:r>
        <w:t xml:space="preserve">, ¶¶ 22-23.  </w:t>
      </w:r>
    </w:p>
  </w:footnote>
  <w:footnote w:id="12">
    <w:p w:rsidR="008E2D98" w:rsidRDefault="008E2D98">
      <w:pPr>
        <w:pStyle w:val="FootnoteText"/>
      </w:pPr>
      <w:r>
        <w:rPr>
          <w:rStyle w:val="FootnoteReference"/>
        </w:rPr>
        <w:footnoteRef/>
      </w:r>
      <w:r>
        <w:t xml:space="preserve"> Order 11, ¶ 4</w:t>
      </w:r>
      <w:r w:rsidRPr="0045703C">
        <w:t>.</w:t>
      </w:r>
    </w:p>
  </w:footnote>
  <w:footnote w:id="13">
    <w:p w:rsidR="008E2D98" w:rsidRDefault="008E2D98">
      <w:pPr>
        <w:pStyle w:val="FootnoteText"/>
      </w:pPr>
      <w:r>
        <w:rPr>
          <w:rStyle w:val="FootnoteReference"/>
        </w:rPr>
        <w:footnoteRef/>
      </w:r>
      <w:r>
        <w:t xml:space="preserve"> </w:t>
      </w:r>
      <w:r>
        <w:rPr>
          <w:i/>
        </w:rPr>
        <w:t>Id.</w:t>
      </w:r>
      <w:r>
        <w:t>, ¶ 5</w:t>
      </w:r>
      <w:r w:rsidRPr="0045703C">
        <w:t>.</w:t>
      </w:r>
    </w:p>
  </w:footnote>
  <w:footnote w:id="14">
    <w:p w:rsidR="008E2D98" w:rsidRDefault="008E2D98">
      <w:pPr>
        <w:pStyle w:val="FootnoteText"/>
      </w:pPr>
      <w:r>
        <w:rPr>
          <w:rStyle w:val="FootnoteReference"/>
        </w:rPr>
        <w:footnoteRef/>
      </w:r>
      <w:r>
        <w:t xml:space="preserve"> </w:t>
      </w:r>
      <w:r>
        <w:rPr>
          <w:i/>
        </w:rPr>
        <w:t>Id.</w:t>
      </w:r>
      <w:r>
        <w:t xml:space="preserve">, ¶ 8, </w:t>
      </w:r>
      <w:r w:rsidRPr="00B14997">
        <w:t>quoting</w:t>
      </w:r>
      <w:r>
        <w:t xml:space="preserve"> Order 10, ¶ 25.</w:t>
      </w:r>
    </w:p>
  </w:footnote>
  <w:footnote w:id="15">
    <w:p w:rsidR="008E2D98" w:rsidRDefault="008E2D98">
      <w:pPr>
        <w:pStyle w:val="FootnoteText"/>
      </w:pPr>
      <w:r>
        <w:rPr>
          <w:rStyle w:val="FootnoteReference"/>
        </w:rPr>
        <w:footnoteRef/>
      </w:r>
      <w:r>
        <w:t xml:space="preserve"> </w:t>
      </w:r>
      <w:r w:rsidRPr="006A7232">
        <w:rPr>
          <w:i/>
        </w:rPr>
        <w:t>Id.</w:t>
      </w:r>
      <w:r>
        <w:t>, ¶ 14.</w:t>
      </w:r>
    </w:p>
  </w:footnote>
  <w:footnote w:id="16">
    <w:p w:rsidR="008E2D98" w:rsidRPr="006A1886" w:rsidRDefault="008E2D98">
      <w:pPr>
        <w:pStyle w:val="FootnoteText"/>
      </w:pPr>
      <w:r>
        <w:rPr>
          <w:rStyle w:val="FootnoteReference"/>
        </w:rPr>
        <w:footnoteRef/>
      </w:r>
      <w:r>
        <w:t xml:space="preserve"> </w:t>
      </w:r>
      <w:r>
        <w:rPr>
          <w:i/>
        </w:rPr>
        <w:t>Bluefield Water Works &amp; Improvement Co. v. Public Service Comm’n</w:t>
      </w:r>
      <w:r>
        <w:t>, 262 U.S. 679, 692 (1923) (emphasis added) (</w:t>
      </w:r>
      <w:r w:rsidRPr="001C677D">
        <w:rPr>
          <w:i/>
        </w:rPr>
        <w:t>Bluefield</w:t>
      </w:r>
      <w:r>
        <w:t>).</w:t>
      </w:r>
      <w:r>
        <w:fldChar w:fldCharType="begin"/>
      </w:r>
      <w:r>
        <w:instrText xml:space="preserve"> TA \l "</w:instrText>
      </w:r>
      <w:r w:rsidRPr="00AF438D">
        <w:rPr>
          <w:i/>
        </w:rPr>
        <w:instrText>Bluefield Water Works &amp; Improvement Co. v. Public Service Comm’n</w:instrText>
      </w:r>
      <w:r w:rsidRPr="00AF438D">
        <w:instrText xml:space="preserve">, </w:instrText>
      </w:r>
      <w:r w:rsidRPr="00AF438D">
        <w:br/>
        <w:instrText>262 U.S. 679, 692 (1923)</w:instrText>
      </w:r>
      <w:r>
        <w:instrText xml:space="preserve">" \s "Bluefield Water Works &amp; Improvement Co. v. Public Service Comm’n, 262 U.S. 679, 692 (1923) (emphasis added) (Bluefield)." \c 1 </w:instrText>
      </w:r>
      <w:r>
        <w:fldChar w:fldCharType="end"/>
      </w:r>
    </w:p>
  </w:footnote>
  <w:footnote w:id="17">
    <w:p w:rsidR="008E2D98" w:rsidRPr="001C677D" w:rsidRDefault="008E2D98" w:rsidP="001C677D">
      <w:pPr>
        <w:pStyle w:val="FootnoteText"/>
        <w:rPr>
          <w:i/>
        </w:rPr>
      </w:pPr>
      <w:r>
        <w:rPr>
          <w:rStyle w:val="FootnoteReference"/>
        </w:rPr>
        <w:footnoteRef/>
      </w:r>
      <w:r>
        <w:t xml:space="preserve"> </w:t>
      </w:r>
      <w:r>
        <w:rPr>
          <w:i/>
        </w:rPr>
        <w:t>Federal Power Comm’n v. Hope Natural Gas Co.</w:t>
      </w:r>
      <w:r>
        <w:t>,  320 U.S. 591, 603 (1944) (</w:t>
      </w:r>
      <w:r w:rsidRPr="009A1545">
        <w:rPr>
          <w:i/>
        </w:rPr>
        <w:t>Hope</w:t>
      </w:r>
      <w:r>
        <w:t>).</w:t>
      </w:r>
      <w:r>
        <w:fldChar w:fldCharType="begin"/>
      </w:r>
      <w:r>
        <w:instrText xml:space="preserve"> TA \l "</w:instrText>
      </w:r>
      <w:r w:rsidRPr="00014036">
        <w:rPr>
          <w:i/>
        </w:rPr>
        <w:instrText>Federal Power Comm’n v. Hope Natural Gas Co.</w:instrText>
      </w:r>
      <w:r w:rsidRPr="00014036">
        <w:instrText xml:space="preserve">,  </w:instrText>
      </w:r>
      <w:r w:rsidRPr="00014036">
        <w:br/>
        <w:instrText>320 U.S. 591 (1944)</w:instrText>
      </w:r>
      <w:r>
        <w:instrText xml:space="preserve">" \s "Federal Power Comm’n v. Hope Natural Gas Co.,  320 U.S. 591, 603 (1944) (Hope)." \c 1 </w:instrText>
      </w:r>
      <w:r>
        <w:fldChar w:fldCharType="end"/>
      </w:r>
      <w:r>
        <w:t xml:space="preserve">  </w:t>
      </w:r>
    </w:p>
  </w:footnote>
  <w:footnote w:id="18">
    <w:p w:rsidR="008E2D98" w:rsidRPr="006A1886" w:rsidRDefault="008E2D98" w:rsidP="00297636">
      <w:pPr>
        <w:pStyle w:val="FootnoteText"/>
      </w:pPr>
      <w:r>
        <w:rPr>
          <w:rStyle w:val="FootnoteReference"/>
        </w:rPr>
        <w:footnoteRef/>
      </w:r>
      <w:r>
        <w:t xml:space="preserve"> </w:t>
      </w:r>
      <w:r>
        <w:rPr>
          <w:i/>
        </w:rPr>
        <w:t>Permian Basin Area Rate Case</w:t>
      </w:r>
      <w:r>
        <w:t>, 390 U.S. 747,  769 (1968) (</w:t>
      </w:r>
      <w:r w:rsidRPr="009A1545">
        <w:rPr>
          <w:i/>
        </w:rPr>
        <w:t>Permian Basin</w:t>
      </w:r>
      <w:r>
        <w:t>)</w:t>
      </w:r>
      <w:r>
        <w:fldChar w:fldCharType="begin"/>
      </w:r>
      <w:r>
        <w:instrText xml:space="preserve"> TA \l "</w:instrText>
      </w:r>
      <w:r w:rsidRPr="00C3715C">
        <w:rPr>
          <w:i/>
        </w:rPr>
        <w:instrText>Permian Basin Area Rate Case</w:instrText>
      </w:r>
      <w:r w:rsidRPr="00C3715C">
        <w:instrText xml:space="preserve">, </w:instrText>
      </w:r>
      <w:r w:rsidRPr="00C3715C">
        <w:br/>
        <w:instrText>390 U.S. 747 (1968)</w:instrText>
      </w:r>
      <w:r>
        <w:instrText xml:space="preserve">" \s "Permian Basin Area Rate Case, 390 U.S. 747,  769 (1968) (Permian Basin)" \c 1 </w:instrText>
      </w:r>
      <w:r>
        <w:fldChar w:fldCharType="end"/>
      </w:r>
      <w:r>
        <w:t xml:space="preserve">.  </w:t>
      </w:r>
    </w:p>
  </w:footnote>
  <w:footnote w:id="19">
    <w:p w:rsidR="008E2D98" w:rsidRPr="00BD2FB4" w:rsidRDefault="008E2D98" w:rsidP="00DE6E5C">
      <w:pPr>
        <w:pStyle w:val="FootnoteText"/>
        <w:rPr>
          <w:i/>
        </w:rPr>
      </w:pPr>
      <w:r>
        <w:rPr>
          <w:rStyle w:val="FootnoteReference"/>
        </w:rPr>
        <w:footnoteRef/>
      </w:r>
      <w:r>
        <w:t xml:space="preserve"> </w:t>
      </w:r>
      <w:r>
        <w:rPr>
          <w:i/>
        </w:rPr>
        <w:t xml:space="preserve">Bluefield, </w:t>
      </w:r>
      <w:r w:rsidRPr="00DA7CBD">
        <w:t>262 U.S. at 692</w:t>
      </w:r>
      <w:r>
        <w:fldChar w:fldCharType="begin"/>
      </w:r>
      <w:r>
        <w:instrText xml:space="preserve"> TA \s "Bluefield Water Works &amp; Improvement Co. v. Public Service Comm’n, 262 U.S. 679, 692 (1923) (emphasis added) (Bluefield)." </w:instrText>
      </w:r>
      <w:r>
        <w:fldChar w:fldCharType="end"/>
      </w:r>
      <w:r>
        <w:rPr>
          <w:i/>
        </w:rPr>
        <w:t xml:space="preserve">.  </w:t>
      </w:r>
    </w:p>
  </w:footnote>
  <w:footnote w:id="20">
    <w:p w:rsidR="008E2D98" w:rsidRPr="00335F9B" w:rsidRDefault="008E2D98" w:rsidP="00DE6E5C">
      <w:pPr>
        <w:pStyle w:val="FootnoteText"/>
        <w:rPr>
          <w:i/>
        </w:rPr>
      </w:pPr>
      <w:r>
        <w:rPr>
          <w:rStyle w:val="FootnoteReference"/>
        </w:rPr>
        <w:footnoteRef/>
      </w:r>
      <w:r>
        <w:t xml:space="preserve"> </w:t>
      </w:r>
      <w:r>
        <w:rPr>
          <w:i/>
        </w:rPr>
        <w:t xml:space="preserve">Id.; Hope, </w:t>
      </w:r>
      <w:r>
        <w:t>320 U.S. at 603</w:t>
      </w:r>
      <w:r>
        <w:rPr>
          <w:i/>
        </w:rPr>
        <w:t xml:space="preserve">. </w:t>
      </w:r>
    </w:p>
  </w:footnote>
  <w:footnote w:id="21">
    <w:p w:rsidR="008E2D98" w:rsidRPr="002F05A7" w:rsidRDefault="008E2D98" w:rsidP="00297636">
      <w:pPr>
        <w:pStyle w:val="FootnoteText"/>
      </w:pPr>
      <w:r>
        <w:rPr>
          <w:rStyle w:val="FootnoteReference"/>
        </w:rPr>
        <w:footnoteRef/>
      </w:r>
      <w:r>
        <w:t xml:space="preserve"> </w:t>
      </w:r>
      <w:r>
        <w:rPr>
          <w:i/>
        </w:rPr>
        <w:t>POWER v. Util. &amp; Transp. Comm’n</w:t>
      </w:r>
      <w:r>
        <w:t>, 104 Wn.2d 798, 811 (1985)</w:t>
      </w:r>
      <w:r w:rsidR="00474669">
        <w:fldChar w:fldCharType="begin"/>
      </w:r>
      <w:r w:rsidR="00474669">
        <w:instrText xml:space="preserve"> TA \l "</w:instrText>
      </w:r>
      <w:r w:rsidR="00474669" w:rsidRPr="00B66072">
        <w:rPr>
          <w:i/>
        </w:rPr>
        <w:instrText xml:space="preserve">POWER v. Util. &amp; Transp. </w:instrText>
      </w:r>
      <w:proofErr w:type="spellStart"/>
      <w:r w:rsidR="00474669" w:rsidRPr="00B66072">
        <w:rPr>
          <w:i/>
        </w:rPr>
        <w:instrText>Comm’n</w:instrText>
      </w:r>
      <w:proofErr w:type="spellEnd"/>
      <w:r w:rsidR="00474669" w:rsidRPr="00B66072">
        <w:instrText xml:space="preserve">, </w:instrText>
      </w:r>
      <w:r w:rsidR="00474669" w:rsidRPr="00B66072">
        <w:br/>
        <w:instrText>104 Wn.2d 798, 811 (1985)</w:instrText>
      </w:r>
      <w:r w:rsidR="00474669">
        <w:instrText xml:space="preserve">" \s "POWER v. Util. &amp; Transp. </w:instrText>
      </w:r>
      <w:proofErr w:type="spellStart"/>
      <w:r w:rsidR="00474669">
        <w:instrText>Comm’n</w:instrText>
      </w:r>
      <w:proofErr w:type="spellEnd"/>
      <w:r w:rsidR="00474669">
        <w:instrText xml:space="preserve">, 104 Wn.2d 798, 811 (1985)" \c </w:instrText>
      </w:r>
      <w:proofErr w:type="gramStart"/>
      <w:r w:rsidR="00474669">
        <w:instrText xml:space="preserve">1 </w:instrText>
      </w:r>
      <w:proofErr w:type="gramEnd"/>
      <w:r w:rsidR="00474669">
        <w:fldChar w:fldCharType="end"/>
      </w:r>
      <w:r>
        <w:t xml:space="preserve">. </w:t>
      </w:r>
    </w:p>
  </w:footnote>
  <w:footnote w:id="22">
    <w:p w:rsidR="008E2D98" w:rsidRDefault="008E2D98" w:rsidP="00297636">
      <w:pPr>
        <w:pStyle w:val="FootnoteText"/>
      </w:pPr>
      <w:r>
        <w:rPr>
          <w:rStyle w:val="FootnoteReference"/>
        </w:rPr>
        <w:footnoteRef/>
      </w:r>
      <w:r>
        <w:t xml:space="preserve"> </w:t>
      </w:r>
      <w:r>
        <w:rPr>
          <w:i/>
        </w:rPr>
        <w:t xml:space="preserve">See, e.g., Wash. Util. &amp; Transp. Comm’n v. Puget Sound Energy, </w:t>
      </w:r>
      <w:r>
        <w:t>Dockets UE-111048/UG-111049 (PSE 2011 GRC), Order 08, ¶ 21 (May 7, 2012)</w:t>
      </w:r>
      <w:r>
        <w:fldChar w:fldCharType="begin"/>
      </w:r>
      <w:r>
        <w:instrText xml:space="preserve"> TA \l "</w:instrText>
      </w:r>
      <w:r w:rsidRPr="00EB4B42">
        <w:rPr>
          <w:i/>
        </w:rPr>
        <w:instrText xml:space="preserve">Wash. Util. &amp; Transp. Comm’n v. Puget Sound Energy, </w:instrText>
      </w:r>
      <w:r w:rsidRPr="00EB4B42">
        <w:rPr>
          <w:i/>
        </w:rPr>
        <w:br/>
      </w:r>
      <w:r w:rsidRPr="00EB4B42">
        <w:instrText>Dockets UE-111048/UG-111049, Order 08 (May 7, 2012)</w:instrText>
      </w:r>
      <w:r>
        <w:instrText xml:space="preserve">" \s "Wash. Util. &amp; Transp. Comm’n v. Puget Sound Energy, Dockets UE-111048/UG-111049 (PSE 2011 GRC), Order 08,  21 (May 7, 2012)" \c 6 </w:instrText>
      </w:r>
      <w:r>
        <w:fldChar w:fldCharType="end"/>
      </w:r>
      <w:r>
        <w:t xml:space="preserve">; </w:t>
      </w:r>
      <w:r>
        <w:rPr>
          <w:i/>
        </w:rPr>
        <w:t>Wash. Util. &amp; Transp. Comm’n v. Puget Sound Energy</w:t>
      </w:r>
      <w:r>
        <w:t>,  Dockets UE</w:t>
      </w:r>
      <w:r>
        <w:noBreakHyphen/>
        <w:t>090704/UG</w:t>
      </w:r>
      <w:r>
        <w:noBreakHyphen/>
        <w:t>090705 (PSE 2009 GRC), Order 11, ¶¶ 18-19 (April 2, 2010)</w:t>
      </w:r>
      <w:r>
        <w:fldChar w:fldCharType="begin"/>
      </w:r>
      <w:r>
        <w:instrText xml:space="preserve"> TA \l "</w:instrText>
      </w:r>
      <w:r w:rsidRPr="00F47ACF">
        <w:rPr>
          <w:i/>
        </w:rPr>
        <w:instrText>Wash. Util. &amp; Transp. Comm’n v. Puget Sound Energy</w:instrText>
      </w:r>
      <w:r w:rsidRPr="00F47ACF">
        <w:instrText xml:space="preserve">,  </w:instrText>
      </w:r>
      <w:r w:rsidRPr="00F47ACF">
        <w:br/>
        <w:instrText>Dockets UE</w:instrText>
      </w:r>
      <w:r w:rsidRPr="00F47ACF">
        <w:noBreakHyphen/>
        <w:instrText>090704/UG</w:instrText>
      </w:r>
      <w:r w:rsidRPr="00F47ACF">
        <w:noBreakHyphen/>
        <w:instrText>090705, Order 11, (April 2, 2010)</w:instrText>
      </w:r>
      <w:r>
        <w:instrText xml:space="preserve">" \s "Wash. Util. &amp; Transp. Comm’n v. Puget Sound Energy,  Dockets UE-090704/UG-090705 (PSE 2009 GRC), Order 11,  18-19 (April 2, 2010)" \c 6 </w:instrText>
      </w:r>
      <w:r>
        <w:fldChar w:fldCharType="end"/>
      </w:r>
      <w:r>
        <w:t xml:space="preserve">; </w:t>
      </w:r>
      <w:r>
        <w:rPr>
          <w:i/>
        </w:rPr>
        <w:t>Wash. Util. &amp; Transp. Comm’n v. Avista Util.</w:t>
      </w:r>
      <w:r>
        <w:t>, Dockets UE-090134/UG-090135 (Avista 2009 GRC), Order 10, ¶¶ 17-18 (December 22, 2009)</w:t>
      </w:r>
      <w:r>
        <w:fldChar w:fldCharType="begin"/>
      </w:r>
      <w:r>
        <w:instrText xml:space="preserve"> TA \l "</w:instrText>
      </w:r>
      <w:r w:rsidRPr="001A1220">
        <w:rPr>
          <w:i/>
        </w:rPr>
        <w:instrText>Wash. Util. &amp; Transp. Comm’n v. Avista Util.</w:instrText>
      </w:r>
      <w:r w:rsidRPr="001A1220">
        <w:instrText>,</w:instrText>
      </w:r>
      <w:r w:rsidRPr="001A1220">
        <w:br/>
        <w:instrText>Dockets UE-090134/UG-090135, Order 10 (December 22, 2009)</w:instrText>
      </w:r>
      <w:r>
        <w:instrText xml:space="preserve">" \s "Wash. Util. &amp; Transp. Comm’n v. Avista Util., Dockets UE-090134/UG-090135 (Avista 2009 GRC), Order 10,  17-18 (December 22, 2009)" \c 6 </w:instrText>
      </w:r>
      <w:r>
        <w:fldChar w:fldCharType="end"/>
      </w:r>
      <w:r>
        <w:t xml:space="preserve">; </w:t>
      </w:r>
      <w:r>
        <w:rPr>
          <w:i/>
        </w:rPr>
        <w:t>Wash. Util. &amp; Transp. Comm’n v. PacifiCorp d/b/a Pacific Power</w:t>
      </w:r>
      <w:r>
        <w:t>, Docket UE-130043 (Pacific Power 2013 GRC), Order 05, ¶ 15 (December 4, 2013)</w:t>
      </w:r>
      <w:r>
        <w:fldChar w:fldCharType="begin"/>
      </w:r>
      <w:r>
        <w:instrText xml:space="preserve"> TA \l "</w:instrText>
      </w:r>
      <w:r w:rsidRPr="00BE5DAC">
        <w:rPr>
          <w:i/>
        </w:rPr>
        <w:instrText>Wash. Util. &amp; Transp. Comm’n v. PacifiCorp d/b/a Pacific Power</w:instrText>
      </w:r>
      <w:r w:rsidRPr="00BE5DAC">
        <w:instrText xml:space="preserve">, </w:instrText>
      </w:r>
      <w:r w:rsidRPr="00BE5DAC">
        <w:br/>
        <w:instrText>Docket UE-130043 (Pacific Power 2013 GRC), Order 05, (December 4, 2013)</w:instrText>
      </w:r>
      <w:r>
        <w:instrText xml:space="preserve">" \s "Wash. Util. &amp; Transp. Comm’n v. PacifiCorp d/b/a Pacific Power, Docket UE-130043 (Pacific Power 2013 GRC), Order 05,  15 (December 4, 2013)" \c 6 </w:instrText>
      </w:r>
      <w:r>
        <w:fldChar w:fldCharType="end"/>
      </w:r>
      <w:r>
        <w:t xml:space="preserve">. </w:t>
      </w:r>
    </w:p>
  </w:footnote>
  <w:footnote w:id="23">
    <w:p w:rsidR="008E2D98" w:rsidRDefault="008E2D98" w:rsidP="00297636">
      <w:pPr>
        <w:pStyle w:val="FootnoteText"/>
      </w:pPr>
      <w:r>
        <w:rPr>
          <w:rStyle w:val="FootnoteReference"/>
        </w:rPr>
        <w:footnoteRef/>
      </w:r>
      <w:r>
        <w:t xml:space="preserve"> Testimony of David C. Parcell, Exh. No. DCP-1T at 5:15-7:5; Direct Testimony of Stephen G. Hill, Exh. No. SGH-2T at 8:5-16; Direct Testimony of Michael P. Gorman, Exhibit No. MPG-23T at 10:19-11:2; Morin, Exh. No. RAM-1T at 4:9-6:6 (“The heart of utility regulation is the setting of just and reasonable rates by way of a fair rate of return.”  </w:t>
      </w:r>
      <w:r>
        <w:rPr>
          <w:i/>
        </w:rPr>
        <w:t xml:space="preserve">Id. </w:t>
      </w:r>
      <w:r>
        <w:t>at 4:9-10).</w:t>
      </w:r>
    </w:p>
  </w:footnote>
  <w:footnote w:id="24">
    <w:p w:rsidR="008E2D98" w:rsidRDefault="008E2D98">
      <w:pPr>
        <w:pStyle w:val="FootnoteText"/>
      </w:pPr>
      <w:r>
        <w:rPr>
          <w:rStyle w:val="FootnoteReference"/>
        </w:rPr>
        <w:footnoteRef/>
      </w:r>
      <w:r>
        <w:t xml:space="preserve"> </w:t>
      </w:r>
      <w:r>
        <w:rPr>
          <w:i/>
        </w:rPr>
        <w:t xml:space="preserve">In the Matter of the Wash. Util. &amp; Trans. Comm’n Investigation Into Energy Conservation Incentives, </w:t>
      </w:r>
      <w:r>
        <w:t>Docket U-100522 (Decoupling Policy Statement), ¶ 27.</w:t>
      </w:r>
      <w:r>
        <w:fldChar w:fldCharType="begin"/>
      </w:r>
      <w:r>
        <w:instrText xml:space="preserve"> TA \l "</w:instrText>
      </w:r>
      <w:r w:rsidRPr="00FF1098">
        <w:rPr>
          <w:i/>
        </w:rPr>
        <w:instrText xml:space="preserve">In the Matter of the Wash. Util. &amp; Trans. Comm’n Investigation Into Energy Conservation Incentives, </w:instrText>
      </w:r>
      <w:r w:rsidRPr="00FF1098">
        <w:rPr>
          <w:i/>
        </w:rPr>
        <w:br/>
      </w:r>
      <w:r w:rsidRPr="00FF1098">
        <w:instrText>Docket U-100522 (Decoupling Policy Statement).</w:instrText>
      </w:r>
      <w:r>
        <w:instrText xml:space="preserve">" \s "In the Matter of the Wash. Util. &amp; Trans. Comm’n Investigation Into Energy Conservation Incentives, Docket U-100522 (Decoupling Policy Statement),  27." \c 6 </w:instrText>
      </w:r>
      <w:r>
        <w:fldChar w:fldCharType="end"/>
      </w:r>
    </w:p>
  </w:footnote>
  <w:footnote w:id="25">
    <w:p w:rsidR="008E2D98" w:rsidRDefault="008E2D98">
      <w:pPr>
        <w:pStyle w:val="FootnoteText"/>
      </w:pPr>
      <w:r>
        <w:rPr>
          <w:rStyle w:val="FootnoteReference"/>
        </w:rPr>
        <w:footnoteRef/>
      </w:r>
      <w:r>
        <w:t xml:space="preserve"> </w:t>
      </w:r>
      <w:r w:rsidRPr="00BE466C">
        <w:t>Order 07, ¶ 107.</w:t>
      </w:r>
      <w:r>
        <w:t xml:space="preserve">  </w:t>
      </w:r>
    </w:p>
  </w:footnote>
  <w:footnote w:id="26">
    <w:p w:rsidR="008E2D98" w:rsidRDefault="008E2D98">
      <w:pPr>
        <w:pStyle w:val="FootnoteText"/>
      </w:pPr>
      <w:r>
        <w:rPr>
          <w:rStyle w:val="FootnoteReference"/>
        </w:rPr>
        <w:footnoteRef/>
      </w:r>
      <w:r>
        <w:t xml:space="preserve"> Morin, </w:t>
      </w:r>
      <w:r w:rsidRPr="00944785">
        <w:t>TR</w:t>
      </w:r>
      <w:r>
        <w:t>.</w:t>
      </w:r>
      <w:r w:rsidRPr="00944785">
        <w:t xml:space="preserve"> 686:8-11</w:t>
      </w:r>
      <w:r>
        <w:t>.</w:t>
      </w:r>
    </w:p>
  </w:footnote>
  <w:footnote w:id="27">
    <w:p w:rsidR="008E2D98" w:rsidRDefault="008E2D98">
      <w:pPr>
        <w:pStyle w:val="FootnoteText"/>
      </w:pPr>
      <w:r>
        <w:rPr>
          <w:rStyle w:val="FootnoteReference"/>
        </w:rPr>
        <w:footnoteRef/>
      </w:r>
      <w:r>
        <w:t>Morin, Exh. No. RAM-1T at 2:9-12.</w:t>
      </w:r>
    </w:p>
  </w:footnote>
  <w:footnote w:id="28">
    <w:p w:rsidR="008E2D98" w:rsidRPr="000B0A7E" w:rsidRDefault="008E2D98">
      <w:pPr>
        <w:pStyle w:val="FootnoteText"/>
      </w:pPr>
      <w:r>
        <w:rPr>
          <w:rStyle w:val="FootnoteReference"/>
        </w:rPr>
        <w:footnoteRef/>
      </w:r>
      <w:r>
        <w:t xml:space="preserve"> </w:t>
      </w:r>
      <w:r w:rsidRPr="00114467">
        <w:t>Order 10, ¶ 24 (target period).</w:t>
      </w:r>
      <w:r>
        <w:t xml:space="preserve">  Despite some initial concerns expressed at the start of the case, </w:t>
      </w:r>
      <w:r>
        <w:rPr>
          <w:b/>
          <w:i/>
        </w:rPr>
        <w:t xml:space="preserve"> </w:t>
      </w:r>
      <w:r>
        <w:t xml:space="preserve">the expert witnesses did not report difficulties with “back-casting.”  TR. 649:19-652:13.  Likewise, all parties ultimately focused on ROE, rather than addressing other aspects of cost of capital such as capital structure or cost of debt.    </w:t>
      </w:r>
    </w:p>
  </w:footnote>
  <w:footnote w:id="29">
    <w:p w:rsidR="008E2D98" w:rsidRDefault="008E2D98">
      <w:pPr>
        <w:pStyle w:val="FootnoteText"/>
      </w:pPr>
      <w:r>
        <w:rPr>
          <w:rStyle w:val="FootnoteReference"/>
        </w:rPr>
        <w:footnoteRef/>
      </w:r>
      <w:r>
        <w:t xml:space="preserve"> </w:t>
      </w:r>
      <w:r w:rsidRPr="00CE199B">
        <w:t xml:space="preserve">Order 10, ¶ </w:t>
      </w:r>
      <w:r>
        <w:t xml:space="preserve">24. </w:t>
      </w:r>
    </w:p>
  </w:footnote>
  <w:footnote w:id="30">
    <w:p w:rsidR="008E2D98" w:rsidRDefault="008E2D98">
      <w:pPr>
        <w:pStyle w:val="FootnoteText"/>
      </w:pPr>
      <w:r>
        <w:rPr>
          <w:rStyle w:val="FootnoteReference"/>
        </w:rPr>
        <w:footnoteRef/>
      </w:r>
      <w:r>
        <w:t xml:space="preserve"> Mr. Hill relied, generally on other recent cost of capital studies undertaken for electric utilities of generally similar risk.  Those studies show that capital costs have not risen dramatically and, in fact, have moderated to some degree, compared to Mr. Hill’s “early 2013” equity cost analysis.  Hill, Exh. No. SGH-2T at 51:3-52:18.</w:t>
      </w:r>
    </w:p>
  </w:footnote>
  <w:footnote w:id="31">
    <w:p w:rsidR="008E2D98" w:rsidRDefault="008E2D98">
      <w:pPr>
        <w:pStyle w:val="FootnoteText"/>
      </w:pPr>
      <w:r>
        <w:rPr>
          <w:rStyle w:val="FootnoteReference"/>
        </w:rPr>
        <w:footnoteRef/>
      </w:r>
      <w:r>
        <w:t xml:space="preserve"> Gorman, Exhibit No. MPG-23T at 2:12-3:7. Morin, Exhibit RAM-1T at 2:8-20.</w:t>
      </w:r>
    </w:p>
  </w:footnote>
  <w:footnote w:id="32">
    <w:p w:rsidR="008E2D98" w:rsidRPr="00611435" w:rsidRDefault="008E2D98">
      <w:pPr>
        <w:pStyle w:val="FootnoteText"/>
        <w:rPr>
          <w:b/>
        </w:rPr>
      </w:pPr>
      <w:r>
        <w:rPr>
          <w:rStyle w:val="FootnoteReference"/>
        </w:rPr>
        <w:footnoteRef/>
      </w:r>
      <w:r>
        <w:t xml:space="preserve"> Hill, Exh. No. SGH-2T at 10:2-15.  </w:t>
      </w:r>
      <w:r>
        <w:rPr>
          <w:b/>
        </w:rPr>
        <w:t xml:space="preserve"> </w:t>
      </w:r>
    </w:p>
  </w:footnote>
  <w:footnote w:id="33">
    <w:p w:rsidR="008E2D98" w:rsidRDefault="008E2D98">
      <w:pPr>
        <w:pStyle w:val="FootnoteText"/>
      </w:pPr>
      <w:r>
        <w:rPr>
          <w:rStyle w:val="FootnoteReference"/>
        </w:rPr>
        <w:footnoteRef/>
      </w:r>
      <w:r>
        <w:t xml:space="preserve"> Hill, Exh. No. SGH-2T at 12:1-14 (Chart I).  </w:t>
      </w:r>
    </w:p>
  </w:footnote>
  <w:footnote w:id="34">
    <w:p w:rsidR="008E2D98" w:rsidRDefault="008E2D98">
      <w:pPr>
        <w:pStyle w:val="FootnoteText"/>
      </w:pPr>
      <w:r>
        <w:rPr>
          <w:rStyle w:val="FootnoteReference"/>
        </w:rPr>
        <w:footnoteRef/>
      </w:r>
      <w:r>
        <w:t xml:space="preserve"> </w:t>
      </w:r>
      <w:r>
        <w:rPr>
          <w:i/>
        </w:rPr>
        <w:t>Id.</w:t>
      </w:r>
      <w:r>
        <w:t xml:space="preserve"> at 14:1-4 (Designated as Chart II in Mr. Hill’s testimony).  </w:t>
      </w:r>
    </w:p>
  </w:footnote>
  <w:footnote w:id="35">
    <w:p w:rsidR="008E2D98" w:rsidRPr="00A7391C" w:rsidRDefault="008E2D98">
      <w:pPr>
        <w:pStyle w:val="FootnoteText"/>
      </w:pPr>
      <w:r>
        <w:rPr>
          <w:rStyle w:val="FootnoteReference"/>
        </w:rPr>
        <w:footnoteRef/>
      </w:r>
      <w:r>
        <w:t xml:space="preserve"> </w:t>
      </w:r>
      <w:r>
        <w:rPr>
          <w:i/>
        </w:rPr>
        <w:t xml:space="preserve">Id. </w:t>
      </w:r>
      <w:r>
        <w:t>at 14:5-13.</w:t>
      </w:r>
    </w:p>
  </w:footnote>
  <w:footnote w:id="36">
    <w:p w:rsidR="008E2D98" w:rsidRDefault="008E2D98">
      <w:pPr>
        <w:pStyle w:val="FootnoteText"/>
      </w:pPr>
      <w:r>
        <w:rPr>
          <w:rStyle w:val="FootnoteReference"/>
        </w:rPr>
        <w:footnoteRef/>
      </w:r>
      <w:r>
        <w:t xml:space="preserve"> </w:t>
      </w:r>
      <w:r>
        <w:rPr>
          <w:i/>
        </w:rPr>
        <w:t xml:space="preserve">Id. </w:t>
      </w:r>
      <w:r>
        <w:t xml:space="preserve">at 15:1-16:7.  </w:t>
      </w:r>
    </w:p>
  </w:footnote>
  <w:footnote w:id="37">
    <w:p w:rsidR="008E2D98" w:rsidRDefault="008E2D98">
      <w:pPr>
        <w:pStyle w:val="FootnoteText"/>
      </w:pPr>
      <w:r>
        <w:rPr>
          <w:rStyle w:val="FootnoteReference"/>
        </w:rPr>
        <w:footnoteRef/>
      </w:r>
      <w:r>
        <w:t xml:space="preserve"> Hill, Exh. No. SGH-2T at 16:12-17.</w:t>
      </w:r>
    </w:p>
  </w:footnote>
  <w:footnote w:id="38">
    <w:p w:rsidR="008E2D98" w:rsidRPr="00D0295A" w:rsidRDefault="008E2D98" w:rsidP="007D3942">
      <w:pPr>
        <w:pStyle w:val="FootnoteText"/>
      </w:pPr>
      <w:r w:rsidRPr="00D0295A">
        <w:rPr>
          <w:rStyle w:val="FootnoteReference"/>
        </w:rPr>
        <w:footnoteRef/>
      </w:r>
      <w:r w:rsidRPr="00D0295A">
        <w:t xml:space="preserve"> </w:t>
      </w:r>
      <w:r>
        <w:rPr>
          <w:i/>
        </w:rPr>
        <w:t>Id.</w:t>
      </w:r>
      <w:r>
        <w:t xml:space="preserve"> at 16:18-17-11.</w:t>
      </w:r>
    </w:p>
  </w:footnote>
  <w:footnote w:id="39">
    <w:p w:rsidR="008E2D98" w:rsidRDefault="008E2D98">
      <w:pPr>
        <w:pStyle w:val="FootnoteText"/>
      </w:pPr>
      <w:r>
        <w:rPr>
          <w:rStyle w:val="FootnoteReference"/>
        </w:rPr>
        <w:footnoteRef/>
      </w:r>
      <w:r>
        <w:t xml:space="preserve"> PSE</w:t>
      </w:r>
      <w:r w:rsidRPr="00DA6486">
        <w:t xml:space="preserve"> 2011 GRC</w:t>
      </w:r>
      <w:r>
        <w:t xml:space="preserve">, </w:t>
      </w:r>
      <w:r w:rsidRPr="00DA6486">
        <w:t>Order 08, ¶ 89</w:t>
      </w:r>
      <w:r>
        <w:fldChar w:fldCharType="begin"/>
      </w:r>
      <w:r>
        <w:instrText xml:space="preserve"> TA \s "Wash. Util. &amp; Transp. Comm’n v. Puget Sound Energy, Dockets UE-111048/UG-111049 (PSE 2011 GRC), Order 08,  21 (May 7, 2012)" </w:instrText>
      </w:r>
      <w:r>
        <w:fldChar w:fldCharType="end"/>
      </w:r>
      <w:r>
        <w:t xml:space="preserve">; </w:t>
      </w:r>
      <w:r w:rsidRPr="00E02DC4">
        <w:t>Jones, TR. 653:20-654:19.</w:t>
      </w:r>
    </w:p>
  </w:footnote>
  <w:footnote w:id="40">
    <w:p w:rsidR="008E2D98" w:rsidRDefault="008E2D98">
      <w:pPr>
        <w:pStyle w:val="FootnoteText"/>
      </w:pPr>
      <w:r>
        <w:rPr>
          <w:rStyle w:val="FootnoteReference"/>
        </w:rPr>
        <w:footnoteRef/>
      </w:r>
      <w:r>
        <w:t xml:space="preserve"> Hill, Exh. No. SGH-2T at 30:16-32:4 (explaining the “mechanical” DCF methodology); Hill, Exh. No. SGH</w:t>
      </w:r>
      <w:r>
        <w:noBreakHyphen/>
        <w:t>10 shows the results of the analysis.</w:t>
      </w:r>
    </w:p>
  </w:footnote>
  <w:footnote w:id="41">
    <w:p w:rsidR="008E2D98" w:rsidRPr="00523A55" w:rsidRDefault="008E2D98" w:rsidP="007D3942">
      <w:pPr>
        <w:pStyle w:val="FootnoteText"/>
      </w:pPr>
      <w:r w:rsidRPr="00D0295A">
        <w:rPr>
          <w:rStyle w:val="FootnoteReference"/>
        </w:rPr>
        <w:footnoteRef/>
      </w:r>
      <w:r w:rsidRPr="00D0295A">
        <w:t xml:space="preserve"> </w:t>
      </w:r>
      <w:r w:rsidRPr="00D0295A">
        <w:rPr>
          <w:i/>
        </w:rPr>
        <w:t>Id.</w:t>
      </w:r>
      <w:r>
        <w:t xml:space="preserve"> at 32.</w:t>
      </w:r>
    </w:p>
  </w:footnote>
  <w:footnote w:id="42">
    <w:p w:rsidR="008E2D98" w:rsidRPr="000250F9" w:rsidRDefault="008E2D98">
      <w:pPr>
        <w:pStyle w:val="FootnoteText"/>
        <w:rPr>
          <w:i/>
          <w:highlight w:val="yellow"/>
        </w:rPr>
      </w:pPr>
      <w:r w:rsidRPr="00523A55">
        <w:rPr>
          <w:rStyle w:val="FootnoteReference"/>
        </w:rPr>
        <w:footnoteRef/>
      </w:r>
      <w:r w:rsidRPr="00523A55">
        <w:t xml:space="preserve"> </w:t>
      </w:r>
      <w:r w:rsidRPr="00523A55">
        <w:rPr>
          <w:i/>
        </w:rPr>
        <w:t xml:space="preserve">Id. </w:t>
      </w:r>
      <w:r w:rsidRPr="00523A55">
        <w:t>at 35</w:t>
      </w:r>
      <w:r>
        <w:t>.</w:t>
      </w:r>
    </w:p>
  </w:footnote>
  <w:footnote w:id="43">
    <w:p w:rsidR="008E2D98" w:rsidRDefault="008E2D98" w:rsidP="007D3942">
      <w:pPr>
        <w:pStyle w:val="FootnoteText"/>
      </w:pPr>
      <w:r w:rsidRPr="00523A55">
        <w:rPr>
          <w:rStyle w:val="FootnoteReference"/>
        </w:rPr>
        <w:footnoteRef/>
      </w:r>
      <w:r w:rsidRPr="00523A55">
        <w:t xml:space="preserve"> </w:t>
      </w:r>
      <w:r w:rsidRPr="00523A55">
        <w:rPr>
          <w:i/>
        </w:rPr>
        <w:t>Id.</w:t>
      </w:r>
      <w:r w:rsidRPr="00523A55">
        <w:t xml:space="preserve"> at </w:t>
      </w:r>
      <w:r>
        <w:t>39.</w:t>
      </w:r>
    </w:p>
  </w:footnote>
  <w:footnote w:id="44">
    <w:p w:rsidR="008E2D98" w:rsidRDefault="008E2D98" w:rsidP="007D3942">
      <w:pPr>
        <w:pStyle w:val="FootnoteText"/>
      </w:pPr>
      <w:r>
        <w:rPr>
          <w:rStyle w:val="FootnoteReference"/>
        </w:rPr>
        <w:footnoteRef/>
      </w:r>
      <w:r>
        <w:t xml:space="preserve"> </w:t>
      </w:r>
      <w:r w:rsidRPr="00ED4451">
        <w:rPr>
          <w:i/>
        </w:rPr>
        <w:t>Id.</w:t>
      </w:r>
      <w:r>
        <w:t xml:space="preserve"> at 42, Table II.   </w:t>
      </w:r>
    </w:p>
  </w:footnote>
  <w:footnote w:id="45">
    <w:p w:rsidR="008E2D98" w:rsidRDefault="008E2D98" w:rsidP="007D3942">
      <w:pPr>
        <w:pStyle w:val="FootnoteText"/>
      </w:pPr>
      <w:r>
        <w:rPr>
          <w:rStyle w:val="FootnoteReference"/>
        </w:rPr>
        <w:footnoteRef/>
      </w:r>
      <w:r>
        <w:t xml:space="preserve"> </w:t>
      </w:r>
      <w:r w:rsidRPr="00ED4451">
        <w:rPr>
          <w:i/>
        </w:rPr>
        <w:t>Id.</w:t>
      </w:r>
      <w:r>
        <w:t xml:space="preserve"> at 43:1-10.</w:t>
      </w:r>
    </w:p>
  </w:footnote>
  <w:footnote w:id="46">
    <w:p w:rsidR="008E2D98" w:rsidRDefault="008E2D98">
      <w:pPr>
        <w:pStyle w:val="FootnoteText"/>
      </w:pPr>
      <w:r>
        <w:rPr>
          <w:rStyle w:val="FootnoteReference"/>
        </w:rPr>
        <w:footnoteRef/>
      </w:r>
      <w:r>
        <w:t xml:space="preserve"> PSE 2009 GRC, Order 11, ¶ 299</w:t>
      </w:r>
      <w:r>
        <w:fldChar w:fldCharType="begin"/>
      </w:r>
      <w:r>
        <w:instrText xml:space="preserve"> TA \s "Wash. Util. &amp; Transp. Comm’n v. Puget Sound Energy,  Dockets UE-090704/UG-090705 (PSE 2009 GRC), Order 11,  18-19 (April 2, 2010)" </w:instrText>
      </w:r>
      <w:r>
        <w:fldChar w:fldCharType="end"/>
      </w:r>
      <w:r>
        <w:t xml:space="preserve">.  </w:t>
      </w:r>
    </w:p>
  </w:footnote>
  <w:footnote w:id="47">
    <w:p w:rsidR="008E2D98" w:rsidRDefault="008E2D98">
      <w:pPr>
        <w:pStyle w:val="FootnoteText"/>
      </w:pPr>
      <w:r>
        <w:rPr>
          <w:rStyle w:val="FootnoteReference"/>
        </w:rPr>
        <w:footnoteRef/>
      </w:r>
      <w:r>
        <w:t xml:space="preserve"> Hill, Exh. No. SGH-2T at 53:22-54:9, Morin, RAM-1T at 27:1-6.</w:t>
      </w:r>
    </w:p>
  </w:footnote>
  <w:footnote w:id="48">
    <w:p w:rsidR="008E2D98" w:rsidRDefault="008E2D98" w:rsidP="005A70C6">
      <w:pPr>
        <w:pStyle w:val="FootnoteText"/>
      </w:pPr>
      <w:r>
        <w:rPr>
          <w:rStyle w:val="FootnoteReference"/>
        </w:rPr>
        <w:footnoteRef/>
      </w:r>
      <w:r>
        <w:t xml:space="preserve"> Morin, Exh. No. RAM 2-CX; Morin, TR. 564:10-16 (confirming on cross-examination).</w:t>
      </w:r>
    </w:p>
  </w:footnote>
  <w:footnote w:id="49">
    <w:p w:rsidR="008E2D98" w:rsidRDefault="008E2D98">
      <w:pPr>
        <w:pStyle w:val="FootnoteText"/>
      </w:pPr>
      <w:r>
        <w:rPr>
          <w:rStyle w:val="FootnoteReference"/>
        </w:rPr>
        <w:footnoteRef/>
      </w:r>
      <w:r>
        <w:t xml:space="preserve"> </w:t>
      </w:r>
      <w:r>
        <w:rPr>
          <w:i/>
        </w:rPr>
        <w:t>Id.</w:t>
      </w:r>
      <w:r>
        <w:t xml:space="preserve"> at 54:10-557. </w:t>
      </w:r>
    </w:p>
  </w:footnote>
  <w:footnote w:id="50">
    <w:p w:rsidR="008E2D98" w:rsidRPr="00857D69" w:rsidRDefault="008E2D98">
      <w:pPr>
        <w:pStyle w:val="FootnoteText"/>
      </w:pPr>
      <w:r>
        <w:rPr>
          <w:rStyle w:val="FootnoteReference"/>
        </w:rPr>
        <w:footnoteRef/>
      </w:r>
      <w:r>
        <w:t xml:space="preserve"> Hill, Exh. No. SGH-2T at 55:8-21.  </w:t>
      </w:r>
      <w:r>
        <w:rPr>
          <w:i/>
        </w:rPr>
        <w:t xml:space="preserve">See </w:t>
      </w:r>
      <w:r>
        <w:t>Exh. No. RAM-4.</w:t>
      </w:r>
    </w:p>
  </w:footnote>
  <w:footnote w:id="51">
    <w:p w:rsidR="008E2D98" w:rsidRPr="00977C4B" w:rsidRDefault="008E2D98">
      <w:pPr>
        <w:pStyle w:val="FootnoteText"/>
      </w:pPr>
      <w:r>
        <w:rPr>
          <w:rStyle w:val="FootnoteReference"/>
        </w:rPr>
        <w:footnoteRef/>
      </w:r>
      <w:r>
        <w:t xml:space="preserve"> </w:t>
      </w:r>
      <w:r>
        <w:rPr>
          <w:i/>
        </w:rPr>
        <w:t>Id.</w:t>
      </w:r>
      <w:r>
        <w:t xml:space="preserve"> at 56:1-6.</w:t>
      </w:r>
    </w:p>
  </w:footnote>
  <w:footnote w:id="52">
    <w:p w:rsidR="008E2D98" w:rsidRPr="000A3842" w:rsidRDefault="008E2D98">
      <w:pPr>
        <w:pStyle w:val="FootnoteText"/>
      </w:pPr>
      <w:r>
        <w:rPr>
          <w:rStyle w:val="FootnoteReference"/>
        </w:rPr>
        <w:footnoteRef/>
      </w:r>
      <w:r>
        <w:t xml:space="preserve"> </w:t>
      </w:r>
      <w:r>
        <w:rPr>
          <w:i/>
        </w:rPr>
        <w:t xml:space="preserve">Id. </w:t>
      </w:r>
      <w:r>
        <w:t>at 56:14-17.</w:t>
      </w:r>
    </w:p>
  </w:footnote>
  <w:footnote w:id="53">
    <w:p w:rsidR="008E2D98" w:rsidRDefault="008E2D98">
      <w:pPr>
        <w:pStyle w:val="FootnoteText"/>
      </w:pPr>
      <w:r>
        <w:rPr>
          <w:rStyle w:val="FootnoteReference"/>
        </w:rPr>
        <w:footnoteRef/>
      </w:r>
      <w:r>
        <w:t xml:space="preserve"> </w:t>
      </w:r>
      <w:r>
        <w:rPr>
          <w:i/>
        </w:rPr>
        <w:t>Id.</w:t>
      </w:r>
      <w:r>
        <w:t xml:space="preserve"> at 56:9-20.</w:t>
      </w:r>
    </w:p>
  </w:footnote>
  <w:footnote w:id="54">
    <w:p w:rsidR="008E2D98" w:rsidRDefault="008E2D98">
      <w:pPr>
        <w:pStyle w:val="FootnoteText"/>
      </w:pPr>
      <w:r>
        <w:rPr>
          <w:rStyle w:val="FootnoteReference"/>
        </w:rPr>
        <w:footnoteRef/>
      </w:r>
      <w:r>
        <w:t xml:space="preserve"> Hill, Exh. No. SGH-2T at 57:1-15; Hill, Exh. No. SGH-15.</w:t>
      </w:r>
    </w:p>
  </w:footnote>
  <w:footnote w:id="55">
    <w:p w:rsidR="008E2D98" w:rsidRDefault="008E2D98">
      <w:pPr>
        <w:pStyle w:val="FootnoteText"/>
      </w:pPr>
      <w:r>
        <w:rPr>
          <w:rStyle w:val="FootnoteReference"/>
        </w:rPr>
        <w:footnoteRef/>
      </w:r>
      <w:r>
        <w:t xml:space="preserve"> This data is published by Morningstar (formerly Ibbotson Associates). Hill, Exh. No. SGH-2T at 66:17-67:6.</w:t>
      </w:r>
    </w:p>
  </w:footnote>
  <w:footnote w:id="56">
    <w:p w:rsidR="008E2D98" w:rsidRDefault="008E2D98">
      <w:pPr>
        <w:pStyle w:val="FootnoteText"/>
      </w:pPr>
      <w:r>
        <w:rPr>
          <w:rStyle w:val="FootnoteReference"/>
        </w:rPr>
        <w:footnoteRef/>
      </w:r>
      <w:r>
        <w:t xml:space="preserve"> Recent academic analysis has suggested that investors’ expected risk premiums may actually be below this historical average.  Hill, Exh. No. SGH-2T at 66:2-16.</w:t>
      </w:r>
    </w:p>
  </w:footnote>
  <w:footnote w:id="57">
    <w:p w:rsidR="008E2D98" w:rsidRDefault="008E2D98">
      <w:pPr>
        <w:pStyle w:val="FootnoteText"/>
      </w:pPr>
      <w:r>
        <w:rPr>
          <w:rStyle w:val="FootnoteReference"/>
        </w:rPr>
        <w:footnoteRef/>
      </w:r>
      <w:r>
        <w:t xml:space="preserve"> Hill, Exh. No. SGH-2T at 67:1-6.  Mr. Hill uses a 6% risk-free rate, near the top of the Brealey Meyers range, and at the top of the Morningstar 85 year historical ranges.  Hill, Exh. No. SGH-2T at 66:2-17. </w:t>
      </w:r>
    </w:p>
  </w:footnote>
  <w:footnote w:id="58">
    <w:p w:rsidR="008E2D98" w:rsidRDefault="008E2D98">
      <w:pPr>
        <w:pStyle w:val="FootnoteText"/>
      </w:pPr>
      <w:r>
        <w:rPr>
          <w:rStyle w:val="FootnoteReference"/>
        </w:rPr>
        <w:footnoteRef/>
      </w:r>
      <w:r>
        <w:t xml:space="preserve"> Morin, Exh. No. RAM-1T at 47:11-18.  Even if the 5 to 8% range for short term bonds were used, T-bill yields in May and June of 2013 (in the target period) averaged 0.4%.  This would generate CAPM results for ROE of 5.04 to 8.04%. </w:t>
      </w:r>
    </w:p>
  </w:footnote>
  <w:footnote w:id="59">
    <w:p w:rsidR="008E2D98" w:rsidRDefault="008E2D98">
      <w:pPr>
        <w:pStyle w:val="FootnoteText"/>
      </w:pPr>
      <w:r>
        <w:rPr>
          <w:rStyle w:val="FootnoteReference"/>
        </w:rPr>
        <w:footnoteRef/>
      </w:r>
      <w:r>
        <w:t xml:space="preserve"> Morin, Exh. No. RAM-16T at 42:3-6.</w:t>
      </w:r>
    </w:p>
  </w:footnote>
  <w:footnote w:id="60">
    <w:p w:rsidR="008E2D98" w:rsidRDefault="008E2D98">
      <w:pPr>
        <w:pStyle w:val="FootnoteText"/>
      </w:pPr>
      <w:r>
        <w:rPr>
          <w:rStyle w:val="FootnoteReference"/>
        </w:rPr>
        <w:footnoteRef/>
      </w:r>
      <w:r>
        <w:t xml:space="preserve"> Morin, Exh. No. RAM-22CX.  </w:t>
      </w:r>
      <w:r w:rsidRPr="004616D8">
        <w:t>Morin, TR</w:t>
      </w:r>
      <w:r>
        <w:t>. at 566:19-567:24.</w:t>
      </w:r>
    </w:p>
  </w:footnote>
  <w:footnote w:id="61">
    <w:p w:rsidR="008E2D98" w:rsidRDefault="008E2D98">
      <w:pPr>
        <w:pStyle w:val="FootnoteText"/>
      </w:pPr>
      <w:r>
        <w:rPr>
          <w:rStyle w:val="FootnoteReference"/>
        </w:rPr>
        <w:footnoteRef/>
      </w:r>
      <w:r>
        <w:t xml:space="preserve"> </w:t>
      </w:r>
      <w:r w:rsidRPr="004616D8">
        <w:t>Morin, TR</w:t>
      </w:r>
      <w:r>
        <w:t>.</w:t>
      </w:r>
      <w:r w:rsidRPr="004616D8">
        <w:t xml:space="preserve"> at 568:7-18.</w:t>
      </w:r>
    </w:p>
  </w:footnote>
  <w:footnote w:id="62">
    <w:p w:rsidR="008E2D98" w:rsidRDefault="008E2D98">
      <w:pPr>
        <w:pStyle w:val="FootnoteText"/>
      </w:pPr>
      <w:r>
        <w:rPr>
          <w:rStyle w:val="FootnoteReference"/>
        </w:rPr>
        <w:footnoteRef/>
      </w:r>
      <w:r>
        <w:t xml:space="preserve"> Dr. Morin’s CAPM is also overstated as a result of his reliance on sell-side analyst projected earnings growth for the S&amp;P 500.  The problems with this approach are discussed above.  Mr. Hill’s testimony also addresses why these analyst projections improperly skew the CAPM forward-looking market risk premium.  Hill, Exh. No. SGH-2T at 69:12-70:5.</w:t>
      </w:r>
    </w:p>
  </w:footnote>
  <w:footnote w:id="63">
    <w:p w:rsidR="008E2D98" w:rsidRDefault="008E2D98">
      <w:pPr>
        <w:pStyle w:val="FootnoteText"/>
      </w:pPr>
      <w:r>
        <w:rPr>
          <w:rStyle w:val="FootnoteReference"/>
        </w:rPr>
        <w:footnoteRef/>
      </w:r>
      <w:r>
        <w:t xml:space="preserve"> Hill, Exh. No. SGH-2T at 70:11.</w:t>
      </w:r>
    </w:p>
  </w:footnote>
  <w:footnote w:id="64">
    <w:p w:rsidR="008E2D98" w:rsidRDefault="008E2D98">
      <w:pPr>
        <w:pStyle w:val="FootnoteText"/>
      </w:pPr>
      <w:r>
        <w:rPr>
          <w:rStyle w:val="FootnoteReference"/>
        </w:rPr>
        <w:footnoteRef/>
      </w:r>
      <w:r>
        <w:t xml:space="preserve"> Hill, Exh. No. SGH-2T at 70:13-16 (Morin acknowledged change in response to discovery).</w:t>
      </w:r>
    </w:p>
  </w:footnote>
  <w:footnote w:id="65">
    <w:p w:rsidR="008E2D98" w:rsidRPr="009B0F76" w:rsidRDefault="008E2D98">
      <w:pPr>
        <w:pStyle w:val="FootnoteText"/>
      </w:pPr>
      <w:r>
        <w:rPr>
          <w:rStyle w:val="FootnoteReference"/>
        </w:rPr>
        <w:footnoteRef/>
      </w:r>
      <w:r>
        <w:t xml:space="preserve"> Morin, TR. 673:10-12.  </w:t>
      </w:r>
    </w:p>
  </w:footnote>
  <w:footnote w:id="66">
    <w:p w:rsidR="008E2D98" w:rsidRDefault="008E2D98">
      <w:pPr>
        <w:pStyle w:val="FootnoteText"/>
      </w:pPr>
      <w:r>
        <w:rPr>
          <w:rStyle w:val="FootnoteReference"/>
        </w:rPr>
        <w:footnoteRef/>
      </w:r>
      <w:r>
        <w:t xml:space="preserve"> Hill, Exh. No. SGH-2T at 71:7-20.</w:t>
      </w:r>
    </w:p>
  </w:footnote>
  <w:footnote w:id="67">
    <w:p w:rsidR="008E2D98" w:rsidRDefault="008E2D98">
      <w:pPr>
        <w:pStyle w:val="FootnoteText"/>
      </w:pPr>
      <w:r>
        <w:rPr>
          <w:rStyle w:val="FootnoteReference"/>
        </w:rPr>
        <w:footnoteRef/>
      </w:r>
      <w:r>
        <w:t xml:space="preserve"> Mr. Hill’s 3.4% risk-free rate starts with the actual bond yields of 3.19% in the “target period” and also looks at long-term trends in T-bond yields to normalize short term fluctuations.  Hill, Exh. No. SGH-2T at 70:17-21. </w:t>
      </w:r>
    </w:p>
  </w:footnote>
  <w:footnote w:id="68">
    <w:p w:rsidR="008E2D98" w:rsidRDefault="008E2D98">
      <w:pPr>
        <w:pStyle w:val="FootnoteText"/>
      </w:pPr>
      <w:r>
        <w:rPr>
          <w:rStyle w:val="FootnoteReference"/>
        </w:rPr>
        <w:footnoteRef/>
      </w:r>
      <w:r>
        <w:t xml:space="preserve"> Hill, Exh. No. SGH-2T at 75:1-16.  In his Cross-Answering Testimony, Mr. Hill also suggests a modest adjustment to Mr. Gorman’s ROE results to the extent Mr. Gorman relies on projected interest rates in his CAPM and risk premium analysis.  Hill, Exh. No. SGH-21T at 13:4-15:15.</w:t>
      </w:r>
    </w:p>
  </w:footnote>
  <w:footnote w:id="69">
    <w:p w:rsidR="008E2D98" w:rsidRDefault="008E2D98">
      <w:pPr>
        <w:pStyle w:val="FootnoteText"/>
      </w:pPr>
      <w:r>
        <w:rPr>
          <w:rStyle w:val="FootnoteReference"/>
        </w:rPr>
        <w:footnoteRef/>
      </w:r>
      <w:r>
        <w:t xml:space="preserve"> </w:t>
      </w:r>
      <w:r>
        <w:rPr>
          <w:i/>
        </w:rPr>
        <w:t>Id.</w:t>
      </w:r>
      <w:r>
        <w:t xml:space="preserve"> at 76:13-19.  </w:t>
      </w:r>
    </w:p>
  </w:footnote>
  <w:footnote w:id="70">
    <w:p w:rsidR="008E2D98" w:rsidRDefault="008E2D98" w:rsidP="00237CC7">
      <w:pPr>
        <w:pStyle w:val="FootnoteText"/>
      </w:pPr>
      <w:r>
        <w:rPr>
          <w:rStyle w:val="FootnoteReference"/>
        </w:rPr>
        <w:footnoteRef/>
      </w:r>
      <w:r>
        <w:t xml:space="preserve"> </w:t>
      </w:r>
      <w:r>
        <w:rPr>
          <w:i/>
        </w:rPr>
        <w:t>Id.</w:t>
      </w:r>
      <w:r>
        <w:t xml:space="preserve"> at 77: 6-78:5.</w:t>
      </w:r>
    </w:p>
  </w:footnote>
  <w:footnote w:id="71">
    <w:p w:rsidR="008E2D98" w:rsidRDefault="008E2D98">
      <w:pPr>
        <w:pStyle w:val="FootnoteText"/>
      </w:pPr>
      <w:r>
        <w:rPr>
          <w:rStyle w:val="FootnoteReference"/>
        </w:rPr>
        <w:footnoteRef/>
      </w:r>
      <w:r>
        <w:t xml:space="preserve"> Morin, Exh. No. RAM-1T at 27.</w:t>
      </w:r>
    </w:p>
  </w:footnote>
  <w:footnote w:id="72">
    <w:p w:rsidR="008E2D98" w:rsidRDefault="008E2D98">
      <w:pPr>
        <w:pStyle w:val="FootnoteText"/>
      </w:pPr>
      <w:r>
        <w:rPr>
          <w:rStyle w:val="FootnoteReference"/>
        </w:rPr>
        <w:footnoteRef/>
      </w:r>
      <w:r>
        <w:t xml:space="preserve"> Morin, Exh. No. RAM-1T at 49.</w:t>
      </w:r>
    </w:p>
  </w:footnote>
  <w:footnote w:id="73">
    <w:p w:rsidR="008E2D98" w:rsidRDefault="008E2D98">
      <w:pPr>
        <w:pStyle w:val="FootnoteText"/>
      </w:pPr>
      <w:r>
        <w:rPr>
          <w:rStyle w:val="FootnoteReference"/>
        </w:rPr>
        <w:footnoteRef/>
      </w:r>
      <w:r>
        <w:t xml:space="preserve"> Morin, Exh. No. RAM-1T at 63.</w:t>
      </w:r>
    </w:p>
  </w:footnote>
  <w:footnote w:id="74">
    <w:p w:rsidR="008E2D98" w:rsidRDefault="008E2D98">
      <w:pPr>
        <w:pStyle w:val="FootnoteText"/>
      </w:pPr>
      <w:r>
        <w:rPr>
          <w:rStyle w:val="FootnoteReference"/>
        </w:rPr>
        <w:footnoteRef/>
      </w:r>
      <w:r>
        <w:t xml:space="preserve"> </w:t>
      </w:r>
      <w:r w:rsidRPr="007A4A1F">
        <w:t>Hill</w:t>
      </w:r>
      <w:r>
        <w:t xml:space="preserve">, Exh. No. SGH-2T at 78:6-18 (including Table IV).  Additional information is added to the table in the brief. </w:t>
      </w:r>
    </w:p>
  </w:footnote>
  <w:footnote w:id="75">
    <w:p w:rsidR="008E2D98" w:rsidRDefault="008E2D98">
      <w:pPr>
        <w:pStyle w:val="FootnoteText"/>
      </w:pPr>
      <w:r>
        <w:rPr>
          <w:rStyle w:val="FootnoteReference"/>
        </w:rPr>
        <w:footnoteRef/>
      </w:r>
      <w:r>
        <w:t xml:space="preserve"> Parcell, TR. at 604:8-605-3.</w:t>
      </w:r>
    </w:p>
  </w:footnote>
  <w:footnote w:id="76">
    <w:p w:rsidR="008E2D98" w:rsidRDefault="008E2D98" w:rsidP="009056B4">
      <w:pPr>
        <w:pStyle w:val="FootnoteText"/>
      </w:pPr>
      <w:r>
        <w:rPr>
          <w:rStyle w:val="FootnoteReference"/>
        </w:rPr>
        <w:footnoteRef/>
      </w:r>
      <w:r>
        <w:t xml:space="preserve"> Parcell, Exh. No. DCP-16CX at 40:20-21, and at 45:21-22.</w:t>
      </w:r>
    </w:p>
  </w:footnote>
  <w:footnote w:id="77">
    <w:p w:rsidR="008E2D98" w:rsidRPr="007C7EF5" w:rsidRDefault="008E2D98" w:rsidP="009056B4">
      <w:pPr>
        <w:pStyle w:val="FootnoteText"/>
        <w:rPr>
          <w:b/>
          <w:i/>
        </w:rPr>
      </w:pPr>
      <w:r>
        <w:rPr>
          <w:rStyle w:val="FootnoteReference"/>
        </w:rPr>
        <w:footnoteRef/>
      </w:r>
      <w:r>
        <w:t xml:space="preserve"> Parcell, Exh. No. DCP-1T at 17:7-18:15.  The 36 companies broke down as follows:  Mr. Parcell’s sample proxy group (8.3%), Mr. Gorman’s proxy group (8.5%), and Dr. Morin’s proxy group (8.6%).  </w:t>
      </w:r>
      <w:r>
        <w:rPr>
          <w:i/>
        </w:rPr>
        <w:t xml:space="preserve">Id.  </w:t>
      </w:r>
      <w:r>
        <w:t xml:space="preserve">Mr. Hill discusses the results at Exh. No. SGH-21T at 5:9-14; Hill, Exh. No. SGH-22 (attached as Appendix A).  </w:t>
      </w:r>
      <w:r w:rsidRPr="006008B5">
        <w:t xml:space="preserve">The 36 companies broke down as follows:  Mr. Parcell’s sample proxy group (8.3%), Mr. Gorman’s proxy group (8.5%), and Dr. Morin’s proxy group (8.6%).  </w:t>
      </w:r>
      <w:r w:rsidRPr="006008B5">
        <w:rPr>
          <w:i/>
        </w:rPr>
        <w:t>Id.</w:t>
      </w:r>
      <w:r>
        <w:rPr>
          <w:i/>
        </w:rPr>
        <w:t xml:space="preserve"> </w:t>
      </w:r>
    </w:p>
  </w:footnote>
  <w:footnote w:id="78">
    <w:p w:rsidR="008E2D98" w:rsidRPr="00D56735" w:rsidRDefault="008E2D98">
      <w:pPr>
        <w:pStyle w:val="FootnoteText"/>
      </w:pPr>
      <w:r>
        <w:rPr>
          <w:rStyle w:val="FootnoteReference"/>
        </w:rPr>
        <w:footnoteRef/>
      </w:r>
      <w:r>
        <w:t xml:space="preserve"> Parcell, </w:t>
      </w:r>
      <w:r w:rsidRPr="00AC1D42">
        <w:t>Exh. No DCP-1T at 18:1-3</w:t>
      </w:r>
      <w:r>
        <w:t xml:space="preserve"> (emphasis added). </w:t>
      </w:r>
    </w:p>
  </w:footnote>
  <w:footnote w:id="79">
    <w:p w:rsidR="008E2D98" w:rsidRPr="00A33998" w:rsidRDefault="008E2D98">
      <w:pPr>
        <w:pStyle w:val="FootnoteText"/>
      </w:pPr>
      <w:r>
        <w:rPr>
          <w:rStyle w:val="FootnoteReference"/>
        </w:rPr>
        <w:footnoteRef/>
      </w:r>
      <w:r>
        <w:t xml:space="preserve"> </w:t>
      </w:r>
      <w:r>
        <w:rPr>
          <w:i/>
        </w:rPr>
        <w:t xml:space="preserve">Id. </w:t>
      </w:r>
      <w:r>
        <w:t>at 18:5-10 (emphasis added).</w:t>
      </w:r>
    </w:p>
  </w:footnote>
  <w:footnote w:id="80">
    <w:p w:rsidR="008E2D98" w:rsidRPr="00B14293" w:rsidRDefault="008E2D98">
      <w:pPr>
        <w:pStyle w:val="FootnoteText"/>
      </w:pPr>
      <w:r>
        <w:rPr>
          <w:rStyle w:val="FootnoteReference"/>
        </w:rPr>
        <w:footnoteRef/>
      </w:r>
      <w:r>
        <w:t xml:space="preserve"> </w:t>
      </w:r>
      <w:r>
        <w:rPr>
          <w:i/>
        </w:rPr>
        <w:t xml:space="preserve">Id. </w:t>
      </w:r>
      <w:r>
        <w:t xml:space="preserve">at 18:12-15 (emphasis added).  Mr. Hill emphasized the mean and median values in their DCF analysis.  Mr. Parcell is agreeing this is reasonable. </w:t>
      </w:r>
    </w:p>
  </w:footnote>
  <w:footnote w:id="81">
    <w:p w:rsidR="008E2D98" w:rsidRDefault="008E2D98">
      <w:pPr>
        <w:pStyle w:val="FootnoteText"/>
      </w:pPr>
      <w:r>
        <w:rPr>
          <w:rStyle w:val="FootnoteReference"/>
        </w:rPr>
        <w:footnoteRef/>
      </w:r>
      <w:r>
        <w:t xml:space="preserve"> </w:t>
      </w:r>
      <w:r w:rsidRPr="00102EFD">
        <w:t xml:space="preserve">An emphasis on the mean or median values in the DCF calculation is especially appropriate method because Mr. Parcell uses a large set of sample companies, including his own, Mr. Gorman’s </w:t>
      </w:r>
      <w:r>
        <w:t>and Dr. Morin’s sample groups.</w:t>
      </w:r>
      <w:r w:rsidRPr="00102EFD">
        <w:t xml:space="preserve">  A major characteristic and benefit of larger sample groups is that results will tend to be arrayed around the mean or average.  The essential meaning of the data is found at the mean or median, not in the outliers.</w:t>
      </w:r>
    </w:p>
  </w:footnote>
  <w:footnote w:id="82">
    <w:p w:rsidR="008E2D98" w:rsidRDefault="008E2D98">
      <w:pPr>
        <w:pStyle w:val="FootnoteText"/>
      </w:pPr>
      <w:r>
        <w:rPr>
          <w:rStyle w:val="FootnoteReference"/>
        </w:rPr>
        <w:footnoteRef/>
      </w:r>
      <w:r>
        <w:t xml:space="preserve"> Parcell, </w:t>
      </w:r>
      <w:r w:rsidRPr="00AC1D42">
        <w:t>Exh. No</w:t>
      </w:r>
      <w:r>
        <w:t>.</w:t>
      </w:r>
      <w:r w:rsidRPr="00AC1D42">
        <w:t xml:space="preserve"> DCP-1T</w:t>
      </w:r>
      <w:r>
        <w:t xml:space="preserve"> at 16:21-22.  </w:t>
      </w:r>
    </w:p>
  </w:footnote>
  <w:footnote w:id="83">
    <w:p w:rsidR="008E2D98" w:rsidRDefault="008E2D98">
      <w:pPr>
        <w:pStyle w:val="FootnoteText"/>
      </w:pPr>
      <w:r>
        <w:rPr>
          <w:rStyle w:val="FootnoteReference"/>
        </w:rPr>
        <w:footnoteRef/>
      </w:r>
      <w:r>
        <w:t xml:space="preserve"> Parcell, Exh. No. DCP-1T at 23:19- 24:2 (“There is no regulatory obligation to set rates designed to maintain a market-to-book ratio significantly above one.”); </w:t>
      </w:r>
      <w:r>
        <w:rPr>
          <w:i/>
        </w:rPr>
        <w:t xml:space="preserve">Id. </w:t>
      </w:r>
      <w:r>
        <w:t>at 27:1-9.</w:t>
      </w:r>
    </w:p>
  </w:footnote>
  <w:footnote w:id="84">
    <w:p w:rsidR="008E2D98" w:rsidRPr="00355C71" w:rsidRDefault="008E2D98">
      <w:pPr>
        <w:pStyle w:val="FootnoteText"/>
      </w:pPr>
      <w:r>
        <w:rPr>
          <w:rStyle w:val="FootnoteReference"/>
        </w:rPr>
        <w:footnoteRef/>
      </w:r>
      <w:r>
        <w:t xml:space="preserve"> </w:t>
      </w:r>
      <w:r>
        <w:rPr>
          <w:i/>
        </w:rPr>
        <w:t>Id.</w:t>
      </w:r>
      <w:r>
        <w:t xml:space="preserve"> at 25:12-13 (Table, Prospective ROE).  </w:t>
      </w:r>
    </w:p>
  </w:footnote>
  <w:footnote w:id="85">
    <w:p w:rsidR="008E2D98" w:rsidRDefault="008E2D98">
      <w:pPr>
        <w:pStyle w:val="FootnoteText"/>
      </w:pPr>
      <w:r>
        <w:rPr>
          <w:rStyle w:val="FootnoteReference"/>
        </w:rPr>
        <w:footnoteRef/>
      </w:r>
      <w:r>
        <w:t xml:space="preserve"> Hill, Exh. No. SGH-21T at 5:6-15. </w:t>
      </w:r>
    </w:p>
  </w:footnote>
  <w:footnote w:id="86">
    <w:p w:rsidR="008E2D98" w:rsidRDefault="008E2D98">
      <w:pPr>
        <w:pStyle w:val="FootnoteText"/>
      </w:pPr>
      <w:r>
        <w:rPr>
          <w:rStyle w:val="FootnoteReference"/>
        </w:rPr>
        <w:footnoteRef/>
      </w:r>
      <w:r>
        <w:t xml:space="preserve"> Parcell, Exh. No. DCP-1T at 27:20-22.  </w:t>
      </w:r>
    </w:p>
  </w:footnote>
  <w:footnote w:id="87">
    <w:p w:rsidR="008E2D98" w:rsidRPr="007346D6" w:rsidRDefault="008E2D98">
      <w:pPr>
        <w:pStyle w:val="FootnoteText"/>
        <w:rPr>
          <w:b/>
        </w:rPr>
      </w:pPr>
      <w:r>
        <w:rPr>
          <w:rStyle w:val="FootnoteReference"/>
        </w:rPr>
        <w:footnoteRef/>
      </w:r>
      <w:r>
        <w:t xml:space="preserve"> </w:t>
      </w:r>
      <w:r w:rsidRPr="00D22EE1">
        <w:t xml:space="preserve">TR. 655:18-659:12. </w:t>
      </w:r>
    </w:p>
  </w:footnote>
  <w:footnote w:id="88">
    <w:p w:rsidR="008E2D98" w:rsidRDefault="008E2D98">
      <w:pPr>
        <w:pStyle w:val="FootnoteText"/>
      </w:pPr>
      <w:r>
        <w:rPr>
          <w:rStyle w:val="FootnoteReference"/>
        </w:rPr>
        <w:footnoteRef/>
      </w:r>
      <w:r>
        <w:t xml:space="preserve"> </w:t>
      </w:r>
      <w:r w:rsidRPr="006008B5">
        <w:t>In his testimony in the 2006 Cascade rate case, Mr. Parcell incorporated his CAPM results in calculating his ROE range and recommendation.  Exh. No. DCP-16CX at 37:18-38:4.</w:t>
      </w:r>
    </w:p>
  </w:footnote>
  <w:footnote w:id="89">
    <w:p w:rsidR="008E2D98" w:rsidRDefault="008E2D98">
      <w:pPr>
        <w:pStyle w:val="FootnoteText"/>
      </w:pPr>
      <w:r>
        <w:rPr>
          <w:rStyle w:val="FootnoteReference"/>
        </w:rPr>
        <w:footnoteRef/>
      </w:r>
      <w:r>
        <w:t xml:space="preserve"> </w:t>
      </w:r>
      <w:r w:rsidRPr="00207056">
        <w:t>Parcell, Exhibit No. DCP-19CX at 16:12-24.</w:t>
      </w:r>
    </w:p>
  </w:footnote>
  <w:footnote w:id="90">
    <w:p w:rsidR="008E2D98" w:rsidRDefault="008E2D98">
      <w:pPr>
        <w:pStyle w:val="FootnoteText"/>
      </w:pPr>
      <w:r>
        <w:rPr>
          <w:rStyle w:val="FootnoteReference"/>
        </w:rPr>
        <w:footnoteRef/>
      </w:r>
      <w:r>
        <w:t xml:space="preserve"> Parcell, Exhibit No. DCP-19CX; Parcell, TR. 286:10-16.</w:t>
      </w:r>
    </w:p>
  </w:footnote>
  <w:footnote w:id="91">
    <w:p w:rsidR="008E2D98" w:rsidRPr="00960858" w:rsidRDefault="008E2D98">
      <w:pPr>
        <w:pStyle w:val="FootnoteText"/>
      </w:pPr>
      <w:r>
        <w:rPr>
          <w:rStyle w:val="FootnoteReference"/>
        </w:rPr>
        <w:footnoteRef/>
      </w:r>
      <w:r>
        <w:t xml:space="preserve"> </w:t>
      </w:r>
      <w:r>
        <w:rPr>
          <w:i/>
        </w:rPr>
        <w:t>Id.</w:t>
      </w:r>
    </w:p>
  </w:footnote>
  <w:footnote w:id="92">
    <w:p w:rsidR="008E2D98" w:rsidRDefault="008E2D98">
      <w:pPr>
        <w:pStyle w:val="FootnoteText"/>
      </w:pPr>
      <w:r>
        <w:rPr>
          <w:rStyle w:val="FootnoteReference"/>
        </w:rPr>
        <w:footnoteRef/>
      </w:r>
      <w:r>
        <w:t xml:space="preserve"> </w:t>
      </w:r>
      <w:r w:rsidRPr="001B052B">
        <w:t>Parcell, Exhibit No. DCP-19CX at 13:10-18.</w:t>
      </w:r>
    </w:p>
  </w:footnote>
  <w:footnote w:id="93">
    <w:p w:rsidR="008E2D98" w:rsidRDefault="008E2D98">
      <w:pPr>
        <w:pStyle w:val="FootnoteText"/>
      </w:pPr>
      <w:r>
        <w:rPr>
          <w:rStyle w:val="FootnoteReference"/>
        </w:rPr>
        <w:footnoteRef/>
      </w:r>
      <w:r>
        <w:t xml:space="preserve"> Parcell, TR. 602:6 – 603:20.</w:t>
      </w:r>
    </w:p>
  </w:footnote>
  <w:footnote w:id="94">
    <w:p w:rsidR="008E2D98" w:rsidRDefault="008E2D98">
      <w:pPr>
        <w:pStyle w:val="FootnoteText"/>
      </w:pPr>
      <w:r>
        <w:rPr>
          <w:rStyle w:val="FootnoteReference"/>
        </w:rPr>
        <w:footnoteRef/>
      </w:r>
      <w:r>
        <w:t xml:space="preserve"> Notably, in his pre-filed testimony, Mr. Parcell acknowledges the clear direction from the Commission to provide the type of analysis that would have informed cost of capital testimony in 2013.  Parcell, Exh. No. DCP</w:t>
      </w:r>
      <w:r>
        <w:noBreakHyphen/>
        <w:t xml:space="preserve">1T at 2:14-21.  The special considerations he mentions in his oral testimony are nowhere mentioned, and did not come to light until the hearings.  </w:t>
      </w:r>
    </w:p>
  </w:footnote>
  <w:footnote w:id="95">
    <w:p w:rsidR="008E2D98" w:rsidRPr="00127BF6" w:rsidRDefault="008E2D98" w:rsidP="00BA2CEB">
      <w:pPr>
        <w:pStyle w:val="FootnoteText"/>
        <w:rPr>
          <w:b/>
        </w:rPr>
      </w:pPr>
      <w:r>
        <w:rPr>
          <w:rStyle w:val="FootnoteReference"/>
        </w:rPr>
        <w:footnoteRef/>
      </w:r>
      <w:r>
        <w:t xml:space="preserve"> For example, Mr. Parcell makes a point in his testimony of stating that 9.8 is within his range.  Parcell, Exh. No. DCP-1T at 4:3-6.  This seems to mirror the burden-shifting “rebuttable presumption” approach reflected in Dr. Morin’s testimony. </w:t>
      </w:r>
    </w:p>
  </w:footnote>
  <w:footnote w:id="96">
    <w:p w:rsidR="008E2D98" w:rsidRDefault="008E2D98">
      <w:pPr>
        <w:pStyle w:val="FootnoteText"/>
      </w:pPr>
      <w:r>
        <w:rPr>
          <w:rStyle w:val="FootnoteReference"/>
        </w:rPr>
        <w:footnoteRef/>
      </w:r>
      <w:r>
        <w:t xml:space="preserve"> Public Counsel does not accept the premise that the Commission must be presented with empirical evidence (which has not been defined) in order to take into account the risk-shifting effect of decoupling on cost of capital.  Nor is Public Counsel without concerns as to the objectivity and reliability of the Brattle data, as discussed in the brief.  However, even taking these concerns into account, Public Counsel believes that the evidence presented by Dr. Vilbert provides ample proof that decoupling has a demonstrable impact on cost of capital, as supported by the testimony of Mr. Hill and Dr. Adolph. </w:t>
      </w:r>
    </w:p>
  </w:footnote>
  <w:footnote w:id="97">
    <w:p w:rsidR="008E2D98" w:rsidRDefault="008E2D98" w:rsidP="00FB297F">
      <w:pPr>
        <w:pStyle w:val="FootnoteText"/>
      </w:pPr>
      <w:r>
        <w:rPr>
          <w:rStyle w:val="FootnoteReference"/>
        </w:rPr>
        <w:footnoteRef/>
      </w:r>
      <w:r>
        <w:t xml:space="preserve"> Dr. Michael J. Vilbert, </w:t>
      </w:r>
      <w:r w:rsidRPr="00FB297F">
        <w:t>TR. 705:8-706:17.</w:t>
      </w:r>
      <w:r>
        <w:t xml:space="preserve">  </w:t>
      </w:r>
    </w:p>
  </w:footnote>
  <w:footnote w:id="98">
    <w:p w:rsidR="008E2D98" w:rsidRPr="008B6A50" w:rsidRDefault="008E2D98">
      <w:pPr>
        <w:pStyle w:val="FootnoteText"/>
        <w:rPr>
          <w:b/>
        </w:rPr>
      </w:pPr>
      <w:r>
        <w:rPr>
          <w:rStyle w:val="FootnoteReference"/>
        </w:rPr>
        <w:footnoteRef/>
      </w:r>
      <w:r>
        <w:t xml:space="preserve"> Hill, Exh. No. SGH-16.  </w:t>
      </w:r>
    </w:p>
  </w:footnote>
  <w:footnote w:id="99">
    <w:p w:rsidR="008E2D98" w:rsidRDefault="008E2D98">
      <w:pPr>
        <w:pStyle w:val="FootnoteText"/>
      </w:pPr>
      <w:r>
        <w:rPr>
          <w:rStyle w:val="FootnoteReference"/>
        </w:rPr>
        <w:footnoteRef/>
      </w:r>
      <w:r>
        <w:t xml:space="preserve"> Vilbert, Exh. No. MJV-35CX (part d).</w:t>
      </w:r>
    </w:p>
  </w:footnote>
  <w:footnote w:id="100">
    <w:p w:rsidR="008E2D98" w:rsidRDefault="008E2D98">
      <w:pPr>
        <w:pStyle w:val="FootnoteText"/>
      </w:pPr>
      <w:r>
        <w:rPr>
          <w:rStyle w:val="FootnoteReference"/>
        </w:rPr>
        <w:footnoteRef/>
      </w:r>
      <w:r>
        <w:t xml:space="preserve"> Hill, Exh. No. SGH-2T at 92:3-12.</w:t>
      </w:r>
    </w:p>
  </w:footnote>
  <w:footnote w:id="101">
    <w:p w:rsidR="008E2D98" w:rsidRDefault="008E2D98">
      <w:pPr>
        <w:pStyle w:val="FootnoteText"/>
      </w:pPr>
      <w:r w:rsidRPr="00130687">
        <w:rPr>
          <w:rStyle w:val="FootnoteReference"/>
        </w:rPr>
        <w:footnoteRef/>
      </w:r>
      <w:r w:rsidRPr="00130687">
        <w:t xml:space="preserve"> </w:t>
      </w:r>
      <w:r>
        <w:t xml:space="preserve">Hill, Exh. No. </w:t>
      </w:r>
      <w:r w:rsidRPr="00130687">
        <w:t>SGH-2T, at 72</w:t>
      </w:r>
      <w:r>
        <w:t xml:space="preserve"> and n.</w:t>
      </w:r>
      <w:r w:rsidRPr="00130687">
        <w:t>70.</w:t>
      </w:r>
      <w:r>
        <w:t xml:space="preserve"> </w:t>
      </w:r>
    </w:p>
  </w:footnote>
  <w:footnote w:id="102">
    <w:p w:rsidR="008E2D98" w:rsidRDefault="008E2D98">
      <w:pPr>
        <w:pStyle w:val="FootnoteText"/>
      </w:pPr>
      <w:r w:rsidRPr="0061311B">
        <w:rPr>
          <w:rStyle w:val="FootnoteReference"/>
        </w:rPr>
        <w:footnoteRef/>
      </w:r>
      <w:r w:rsidRPr="0061311B">
        <w:t xml:space="preserve"> Vilbert, TR. 708:21-709:11.</w:t>
      </w:r>
    </w:p>
  </w:footnote>
  <w:footnote w:id="103">
    <w:p w:rsidR="008E2D98" w:rsidRDefault="008E2D98">
      <w:pPr>
        <w:pStyle w:val="FootnoteText"/>
      </w:pPr>
      <w:r>
        <w:rPr>
          <w:rStyle w:val="FootnoteReference"/>
        </w:rPr>
        <w:footnoteRef/>
      </w:r>
      <w:r>
        <w:t xml:space="preserve"> Hill, Exh. No. SGH-2T at 93:13-18; </w:t>
      </w:r>
      <w:r>
        <w:rPr>
          <w:i/>
        </w:rPr>
        <w:t xml:space="preserve">See </w:t>
      </w:r>
      <w:r w:rsidRPr="00D4418F">
        <w:t>March 2014 Brattle Report</w:t>
      </w:r>
      <w:r>
        <w:rPr>
          <w:i/>
        </w:rPr>
        <w:t xml:space="preserve">, </w:t>
      </w:r>
      <w:r>
        <w:t>Hill, Exh. No. SGH-16 at 18.  Mr. Hill’s conversion of the Brattle overall rate of return reductions to reductions in the cost of equity capital was unrebutted by any party in the proceeding.</w:t>
      </w:r>
    </w:p>
  </w:footnote>
  <w:footnote w:id="104">
    <w:p w:rsidR="008E2D98" w:rsidRDefault="008E2D98">
      <w:pPr>
        <w:pStyle w:val="FootnoteText"/>
      </w:pPr>
      <w:r>
        <w:rPr>
          <w:rStyle w:val="FootnoteReference"/>
        </w:rPr>
        <w:footnoteRef/>
      </w:r>
      <w:r>
        <w:t xml:space="preserve"> A 92% confidence interval is only 3% lower than the 95% threshold Dr. Vilbert elected to use as a significance test for whether or not decoupling impacted the cost of capital.</w:t>
      </w:r>
    </w:p>
  </w:footnote>
  <w:footnote w:id="105">
    <w:p w:rsidR="008E2D98" w:rsidRDefault="008E2D98">
      <w:pPr>
        <w:pStyle w:val="FootnoteText"/>
      </w:pPr>
      <w:r>
        <w:rPr>
          <w:rStyle w:val="FootnoteReference"/>
        </w:rPr>
        <w:footnoteRef/>
      </w:r>
      <w:r>
        <w:t xml:space="preserve"> Vilbert, Exh. No. MJV-23CX.</w:t>
      </w:r>
    </w:p>
  </w:footnote>
  <w:footnote w:id="106">
    <w:p w:rsidR="008E2D98" w:rsidRPr="00F24A0D" w:rsidRDefault="008E2D98">
      <w:pPr>
        <w:pStyle w:val="FootnoteText"/>
        <w:rPr>
          <w:i/>
        </w:rPr>
      </w:pPr>
      <w:r>
        <w:rPr>
          <w:rStyle w:val="FootnoteReference"/>
        </w:rPr>
        <w:footnoteRef/>
      </w:r>
      <w:r>
        <w:t xml:space="preserve"> Hill, Exh. No. SGH-2T </w:t>
      </w:r>
      <w:r w:rsidRPr="00F24A0D">
        <w:t>at 98:5-23.</w:t>
      </w:r>
    </w:p>
  </w:footnote>
  <w:footnote w:id="107">
    <w:p w:rsidR="008E2D98" w:rsidRDefault="008E2D98" w:rsidP="00243658">
      <w:pPr>
        <w:pStyle w:val="FootnoteText"/>
      </w:pPr>
      <w:r>
        <w:rPr>
          <w:rStyle w:val="FootnoteReference"/>
        </w:rPr>
        <w:footnoteRef/>
      </w:r>
      <w:r>
        <w:t xml:space="preserve"> Vilbert, Exh. No. MJV-33CX; Vilbert, TR. 716:1-718:25.  As a contrast, Dr. Vilbert admitted that in July 2013, shortly after the time period of these multi-stage DCF results, that he had provided his expert opinion that a 13 to 14.5% return on equity was “fair and reasonable” for an A-rated electric utility.  Vilbert, Exh. No. MJV</w:t>
      </w:r>
      <w:r>
        <w:noBreakHyphen/>
        <w:t>22CX; Vilbert, TR. 723:13-19.</w:t>
      </w:r>
    </w:p>
  </w:footnote>
  <w:footnote w:id="108">
    <w:p w:rsidR="008E2D98" w:rsidRDefault="008E2D98">
      <w:pPr>
        <w:pStyle w:val="FootnoteText"/>
      </w:pPr>
      <w:r>
        <w:rPr>
          <w:rStyle w:val="FootnoteReference"/>
        </w:rPr>
        <w:footnoteRef/>
      </w:r>
      <w:r>
        <w:t xml:space="preserve"> Vilbert, </w:t>
      </w:r>
      <w:r w:rsidRPr="00D4418F">
        <w:t>Exh. No. MJV-39CX.</w:t>
      </w:r>
      <w:r>
        <w:t xml:space="preserve">  </w:t>
      </w:r>
    </w:p>
  </w:footnote>
  <w:footnote w:id="109">
    <w:p w:rsidR="008E2D98" w:rsidRPr="00184FB3" w:rsidRDefault="008E2D98">
      <w:pPr>
        <w:pStyle w:val="FootnoteText"/>
        <w:rPr>
          <w:i/>
        </w:rPr>
      </w:pPr>
      <w:r>
        <w:rPr>
          <w:rStyle w:val="FootnoteReference"/>
        </w:rPr>
        <w:footnoteRef/>
      </w:r>
      <w:r>
        <w:t xml:space="preserve"> </w:t>
      </w:r>
      <w:r>
        <w:rPr>
          <w:i/>
        </w:rPr>
        <w:t>Id.</w:t>
      </w:r>
    </w:p>
  </w:footnote>
  <w:footnote w:id="110">
    <w:p w:rsidR="008E2D98" w:rsidRDefault="008E2D98">
      <w:pPr>
        <w:pStyle w:val="FootnoteText"/>
      </w:pPr>
      <w:r>
        <w:rPr>
          <w:rStyle w:val="FootnoteReference"/>
        </w:rPr>
        <w:footnoteRef/>
      </w:r>
      <w:r>
        <w:t xml:space="preserve"> Hill, Exh. No. SGH-2T at 103:4-6.</w:t>
      </w:r>
    </w:p>
  </w:footnote>
  <w:footnote w:id="111">
    <w:p w:rsidR="008E2D98" w:rsidRPr="00E37ED2" w:rsidRDefault="008E2D98" w:rsidP="00B6675D">
      <w:pPr>
        <w:pStyle w:val="FootnoteText"/>
      </w:pPr>
      <w:r>
        <w:rPr>
          <w:rStyle w:val="FootnoteReference"/>
        </w:rPr>
        <w:footnoteRef/>
      </w:r>
      <w:r>
        <w:t xml:space="preserve"> Hill. Exh. No. SGH-2T</w:t>
      </w:r>
      <w:r>
        <w:rPr>
          <w:i/>
        </w:rPr>
        <w:t xml:space="preserve"> </w:t>
      </w:r>
      <w:r>
        <w:t>at 100:1-102:2.</w:t>
      </w:r>
      <w:r w:rsidRPr="00142729">
        <w:t xml:space="preserve"> </w:t>
      </w:r>
      <w:r>
        <w:t xml:space="preserve"> Brattle Group experts were used due to resource constraints.  Vilbert, Exh. No. MJV-28CX (part e).  Dr. Vilbert took issue with Mr. Hill’s concern that the gas study could be inaccurate because the Brattle</w:t>
      </w:r>
      <w:r>
        <w:noBreakHyphen/>
        <w:t xml:space="preserve">sponsored equity cost estimates were not unbiased.  Vilbert Rebuttal Testimony, Exh. No. MJV-18T at 21:5-22-2.  </w:t>
      </w:r>
    </w:p>
  </w:footnote>
  <w:footnote w:id="112">
    <w:p w:rsidR="008E2D98" w:rsidRDefault="008E2D98">
      <w:pPr>
        <w:pStyle w:val="FootnoteText"/>
      </w:pPr>
      <w:r>
        <w:rPr>
          <w:rStyle w:val="FootnoteReference"/>
        </w:rPr>
        <w:footnoteRef/>
      </w:r>
      <w:r>
        <w:t xml:space="preserve"> Vilbert, Exh. No. MJV-35CX at 3.</w:t>
      </w:r>
    </w:p>
  </w:footnote>
  <w:footnote w:id="113">
    <w:p w:rsidR="008E2D98" w:rsidRDefault="008E2D98">
      <w:pPr>
        <w:pStyle w:val="FootnoteText"/>
      </w:pPr>
      <w:r>
        <w:rPr>
          <w:rStyle w:val="FootnoteReference"/>
        </w:rPr>
        <w:footnoteRef/>
      </w:r>
      <w:r>
        <w:t xml:space="preserve"> Vilbert, TR. 707:18-708-12.</w:t>
      </w:r>
    </w:p>
  </w:footnote>
  <w:footnote w:id="114">
    <w:p w:rsidR="008E2D98" w:rsidRDefault="008E2D98">
      <w:pPr>
        <w:pStyle w:val="FootnoteText"/>
      </w:pPr>
      <w:r>
        <w:rPr>
          <w:rStyle w:val="FootnoteReference"/>
        </w:rPr>
        <w:footnoteRef/>
      </w:r>
      <w:r>
        <w:t xml:space="preserve"> Direct Testimony of Dr. Christopher A. Adolph, Exh. No. CAA-1T at 6:8-7:14 and at 30:20-31-7.</w:t>
      </w:r>
    </w:p>
  </w:footnote>
  <w:footnote w:id="115">
    <w:p w:rsidR="008E2D98" w:rsidRDefault="008E2D98" w:rsidP="00E05C90">
      <w:pPr>
        <w:pStyle w:val="FootnoteText"/>
      </w:pPr>
      <w:r>
        <w:rPr>
          <w:rStyle w:val="FootnoteReference"/>
        </w:rPr>
        <w:footnoteRef/>
      </w:r>
      <w:r>
        <w:t xml:space="preserve"> Adolph, Exh. No. CAA-1T at 6:17-23 (emphasis in original).</w:t>
      </w:r>
    </w:p>
  </w:footnote>
  <w:footnote w:id="116">
    <w:p w:rsidR="008E2D98" w:rsidRDefault="008E2D98">
      <w:pPr>
        <w:pStyle w:val="FootnoteText"/>
      </w:pPr>
      <w:r>
        <w:rPr>
          <w:rStyle w:val="FootnoteReference"/>
        </w:rPr>
        <w:footnoteRef/>
      </w:r>
      <w:r>
        <w:t xml:space="preserve"> Vilbert, Exh. No. MJV-39CX.  </w:t>
      </w:r>
    </w:p>
  </w:footnote>
  <w:footnote w:id="117">
    <w:p w:rsidR="008E2D98" w:rsidRPr="00CA720F" w:rsidRDefault="008E2D98">
      <w:pPr>
        <w:pStyle w:val="FootnoteText"/>
        <w:rPr>
          <w:i/>
        </w:rPr>
      </w:pPr>
      <w:r>
        <w:rPr>
          <w:rStyle w:val="FootnoteReference"/>
        </w:rPr>
        <w:footnoteRef/>
      </w:r>
      <w:r>
        <w:t xml:space="preserve"> </w:t>
      </w:r>
      <w:r>
        <w:rPr>
          <w:i/>
        </w:rPr>
        <w:t>Id.</w:t>
      </w:r>
    </w:p>
  </w:footnote>
  <w:footnote w:id="118">
    <w:p w:rsidR="008E2D98" w:rsidRDefault="008E2D98">
      <w:pPr>
        <w:pStyle w:val="FootnoteText"/>
      </w:pPr>
      <w:r>
        <w:rPr>
          <w:rStyle w:val="FootnoteReference"/>
        </w:rPr>
        <w:footnoteRef/>
      </w:r>
      <w:r>
        <w:t xml:space="preserve"> Adolph, Exh. No. CAA-1T at 9:19-24.</w:t>
      </w:r>
    </w:p>
  </w:footnote>
  <w:footnote w:id="119">
    <w:p w:rsidR="008E2D98" w:rsidRDefault="008E2D98">
      <w:pPr>
        <w:pStyle w:val="FootnoteText"/>
      </w:pPr>
      <w:r>
        <w:rPr>
          <w:rStyle w:val="FootnoteReference"/>
        </w:rPr>
        <w:footnoteRef/>
      </w:r>
      <w:r>
        <w:t xml:space="preserve"> </w:t>
      </w:r>
      <w:r>
        <w:rPr>
          <w:i/>
        </w:rPr>
        <w:t>Id.</w:t>
      </w:r>
      <w:r>
        <w:t xml:space="preserve"> at 14:2-5. </w:t>
      </w:r>
    </w:p>
  </w:footnote>
  <w:footnote w:id="120">
    <w:p w:rsidR="008E2D98" w:rsidRDefault="008E2D98">
      <w:pPr>
        <w:pStyle w:val="FootnoteText"/>
      </w:pPr>
      <w:r>
        <w:rPr>
          <w:rStyle w:val="FootnoteReference"/>
        </w:rPr>
        <w:footnoteRef/>
      </w:r>
      <w:r>
        <w:t xml:space="preserve"> </w:t>
      </w:r>
      <w:r>
        <w:rPr>
          <w:i/>
        </w:rPr>
        <w:t>Id.</w:t>
      </w:r>
      <w:r>
        <w:t xml:space="preserve"> at 17:3-21 (Providing a “plainer language” explanation of confidence bounds).</w:t>
      </w:r>
    </w:p>
  </w:footnote>
  <w:footnote w:id="121">
    <w:p w:rsidR="008E2D98" w:rsidRPr="00DA5B0A" w:rsidRDefault="008E2D98">
      <w:pPr>
        <w:pStyle w:val="FootnoteText"/>
      </w:pPr>
      <w:r>
        <w:rPr>
          <w:rStyle w:val="FootnoteReference"/>
        </w:rPr>
        <w:footnoteRef/>
      </w:r>
      <w:r>
        <w:t xml:space="preserve"> </w:t>
      </w:r>
      <w:r>
        <w:rPr>
          <w:i/>
        </w:rPr>
        <w:t>Id.</w:t>
      </w:r>
      <w:r>
        <w:t xml:space="preserve"> at 31:9-20.</w:t>
      </w:r>
    </w:p>
  </w:footnote>
  <w:footnote w:id="122">
    <w:p w:rsidR="008E2D98" w:rsidRPr="00354846" w:rsidRDefault="008E2D98">
      <w:pPr>
        <w:pStyle w:val="FootnoteText"/>
        <w:rPr>
          <w:i/>
        </w:rPr>
      </w:pPr>
      <w:r>
        <w:rPr>
          <w:rStyle w:val="FootnoteReference"/>
        </w:rPr>
        <w:footnoteRef/>
      </w:r>
      <w:r>
        <w:rPr>
          <w:i/>
        </w:rPr>
        <w:t xml:space="preserve"> Id.</w:t>
      </w:r>
      <w:r w:rsidRPr="006774A7">
        <w:t xml:space="preserve"> </w:t>
      </w:r>
      <w:r>
        <w:t>It is important to note that the basis point reductions reported in the Brattle studies and cited by Professor Adolph are reductions in the overall cost of capital.  The cost of equity reductions—the focus of the analysis in this proceeding—are nearly twice as high.  Ranging, across all the studies, from approximately 25 basis points to 75 basis points.  Hill, Exh. No. SGH-2T at 93:11-18.</w:t>
      </w:r>
    </w:p>
  </w:footnote>
  <w:footnote w:id="123">
    <w:p w:rsidR="008E2D98" w:rsidRDefault="008E2D98">
      <w:pPr>
        <w:pStyle w:val="FootnoteText"/>
      </w:pPr>
      <w:r>
        <w:rPr>
          <w:rStyle w:val="FootnoteReference"/>
        </w:rPr>
        <w:footnoteRef/>
      </w:r>
      <w:r>
        <w:t xml:space="preserve"> </w:t>
      </w:r>
      <w:r>
        <w:rPr>
          <w:i/>
        </w:rPr>
        <w:t>Id.</w:t>
      </w:r>
      <w:r>
        <w:t xml:space="preserve"> at 10:21-11:6.  A “two-tailed” test would ask whether the true effect of decoupling is either far above or far below a specific value without specifying a direction.</w:t>
      </w:r>
    </w:p>
  </w:footnote>
  <w:footnote w:id="124">
    <w:p w:rsidR="008E2D98" w:rsidRDefault="008E2D98">
      <w:pPr>
        <w:pStyle w:val="FootnoteText"/>
      </w:pPr>
      <w:r>
        <w:rPr>
          <w:rStyle w:val="FootnoteReference"/>
        </w:rPr>
        <w:footnoteRef/>
      </w:r>
      <w:r>
        <w:t xml:space="preserve"> </w:t>
      </w:r>
      <w:r>
        <w:rPr>
          <w:i/>
        </w:rPr>
        <w:t xml:space="preserve">Id. </w:t>
      </w:r>
      <w:r>
        <w:t>at 11:18-12:6.</w:t>
      </w:r>
    </w:p>
  </w:footnote>
  <w:footnote w:id="125">
    <w:p w:rsidR="008E2D98" w:rsidRDefault="008E2D98">
      <w:pPr>
        <w:pStyle w:val="FootnoteText"/>
      </w:pPr>
      <w:r>
        <w:rPr>
          <w:rStyle w:val="FootnoteReference"/>
        </w:rPr>
        <w:footnoteRef/>
      </w:r>
      <w:r>
        <w:t xml:space="preserve"> Adolph, Exh. No. CAA-1T at 22:13-23:18.  Adolph points out that for this reason, scientific papers are not allowed to impose the claim that is being considered as the null hypothesis. </w:t>
      </w:r>
    </w:p>
  </w:footnote>
  <w:footnote w:id="126">
    <w:p w:rsidR="008E2D98" w:rsidRPr="002E3A0B" w:rsidRDefault="008E2D98">
      <w:pPr>
        <w:pStyle w:val="FootnoteText"/>
        <w:rPr>
          <w:highlight w:val="yellow"/>
        </w:rPr>
      </w:pPr>
      <w:r w:rsidRPr="00513586">
        <w:rPr>
          <w:rStyle w:val="FootnoteReference"/>
        </w:rPr>
        <w:footnoteRef/>
      </w:r>
      <w:r w:rsidRPr="00513586">
        <w:t xml:space="preserve"> </w:t>
      </w:r>
      <w:r w:rsidRPr="00513586">
        <w:rPr>
          <w:i/>
        </w:rPr>
        <w:t xml:space="preserve">Id. </w:t>
      </w:r>
      <w:r w:rsidRPr="00513586">
        <w:t>at 21:7-22:12</w:t>
      </w:r>
      <w:r>
        <w:t>.</w:t>
      </w:r>
    </w:p>
  </w:footnote>
  <w:footnote w:id="127">
    <w:p w:rsidR="008E2D98" w:rsidRPr="002E3A0B" w:rsidRDefault="008E2D98" w:rsidP="004F0903">
      <w:pPr>
        <w:pStyle w:val="FootnoteText"/>
        <w:rPr>
          <w:highlight w:val="yellow"/>
        </w:rPr>
      </w:pPr>
      <w:r w:rsidRPr="00513586">
        <w:rPr>
          <w:rStyle w:val="FootnoteReference"/>
        </w:rPr>
        <w:footnoteRef/>
      </w:r>
      <w:r w:rsidRPr="00513586">
        <w:t xml:space="preserve"> </w:t>
      </w:r>
      <w:r w:rsidRPr="00513586">
        <w:rPr>
          <w:i/>
        </w:rPr>
        <w:t>Id.</w:t>
      </w:r>
      <w:r w:rsidRPr="00513586">
        <w:t xml:space="preserve"> at 30:13-15</w:t>
      </w:r>
      <w:r>
        <w:t>.</w:t>
      </w:r>
    </w:p>
  </w:footnote>
  <w:footnote w:id="128">
    <w:p w:rsidR="008E2D98" w:rsidRDefault="008E2D98">
      <w:pPr>
        <w:pStyle w:val="FootnoteText"/>
      </w:pPr>
      <w:r w:rsidRPr="00513586">
        <w:rPr>
          <w:rStyle w:val="FootnoteReference"/>
        </w:rPr>
        <w:footnoteRef/>
      </w:r>
      <w:r w:rsidRPr="00513586">
        <w:t xml:space="preserve"> </w:t>
      </w:r>
      <w:r w:rsidRPr="00513586">
        <w:rPr>
          <w:i/>
        </w:rPr>
        <w:t>Id.</w:t>
      </w:r>
      <w:r w:rsidRPr="00513586">
        <w:t xml:space="preserve"> at</w:t>
      </w:r>
      <w:r>
        <w:t xml:space="preserve"> 24:14-18.</w:t>
      </w:r>
    </w:p>
  </w:footnote>
  <w:footnote w:id="129">
    <w:p w:rsidR="008E2D98" w:rsidRPr="00F339DC" w:rsidRDefault="008E2D98">
      <w:pPr>
        <w:pStyle w:val="FootnoteText"/>
      </w:pPr>
      <w:r>
        <w:rPr>
          <w:rStyle w:val="FootnoteReference"/>
        </w:rPr>
        <w:footnoteRef/>
      </w:r>
      <w:r>
        <w:t xml:space="preserve"> </w:t>
      </w:r>
      <w:r>
        <w:rPr>
          <w:i/>
        </w:rPr>
        <w:t>Mohr v. Grant</w:t>
      </w:r>
      <w:r>
        <w:t>, 153 Wn. 2d 812, 822, 108 P.3d 768 (2005)</w:t>
      </w:r>
      <w:r>
        <w:fldChar w:fldCharType="begin"/>
      </w:r>
      <w:r>
        <w:instrText xml:space="preserve"> TA \l "</w:instrText>
      </w:r>
      <w:r w:rsidRPr="000D51E3">
        <w:rPr>
          <w:i/>
        </w:rPr>
        <w:instrText>Mohr v. Grant</w:instrText>
      </w:r>
      <w:r w:rsidRPr="000D51E3">
        <w:instrText xml:space="preserve">, </w:instrText>
      </w:r>
      <w:r w:rsidRPr="000D51E3">
        <w:br/>
        <w:instrText>153 Wn. 2d 812, 822, 108 P.3d 768 (2005)</w:instrText>
      </w:r>
      <w:r>
        <w:instrText xml:space="preserve">" \s "Mohr v. Grant, 153 Wn. 2d 812, 822, 108 P.3d 768 (2005)" \c 1 </w:instrText>
      </w:r>
      <w:r>
        <w:fldChar w:fldCharType="end"/>
      </w:r>
      <w:r>
        <w:t xml:space="preserve">; </w:t>
      </w:r>
      <w:r>
        <w:rPr>
          <w:i/>
        </w:rPr>
        <w:t>Palmer v. Huston</w:t>
      </w:r>
      <w:r>
        <w:t>, 67 Wn. 210, 211, 121 at 452</w:t>
      </w:r>
      <w:r>
        <w:fldChar w:fldCharType="begin"/>
      </w:r>
      <w:r>
        <w:instrText xml:space="preserve"> TA \l "</w:instrText>
      </w:r>
      <w:r w:rsidRPr="007E2A5E">
        <w:rPr>
          <w:i/>
        </w:rPr>
        <w:instrText>Palmer v. Huston</w:instrText>
      </w:r>
      <w:r w:rsidRPr="007E2A5E">
        <w:instrText xml:space="preserve">, </w:instrText>
      </w:r>
      <w:r w:rsidRPr="007E2A5E">
        <w:br/>
        <w:instrText>67 Wn. 210, 211, 121</w:instrText>
      </w:r>
      <w:r>
        <w:instrText xml:space="preserve">" \s "Palmer v. Huston, 67 Wn. 210, 211, 121 at 452" \c 1 </w:instrText>
      </w:r>
      <w:r>
        <w:fldChar w:fldCharType="end"/>
      </w:r>
      <w:r>
        <w:t xml:space="preserve"> (“It is the excess over the amount of testimony necessary to balance the scales [.]”)  This can be compared with the “clear, cogent, and convincing” standard, which is more than a preponderance, but less than beyond a reasonable doubt.  Tegland, </w:t>
      </w:r>
      <w:r>
        <w:rPr>
          <w:i/>
        </w:rPr>
        <w:t>Washington Practice, Evidence</w:t>
      </w:r>
      <w:r>
        <w:t xml:space="preserve"> (2007) § 301.3</w:t>
      </w:r>
      <w:r>
        <w:fldChar w:fldCharType="begin"/>
      </w:r>
      <w:r>
        <w:instrText xml:space="preserve"> TA \l "</w:instrText>
      </w:r>
      <w:r w:rsidRPr="008A39D3">
        <w:instrText xml:space="preserve">Tegland, </w:instrText>
      </w:r>
      <w:r w:rsidRPr="008A39D3">
        <w:rPr>
          <w:i/>
        </w:rPr>
        <w:instrText>Washington Practice, Evidence</w:instrText>
      </w:r>
      <w:r w:rsidRPr="008A39D3">
        <w:instrText xml:space="preserve"> (2007)</w:instrText>
      </w:r>
      <w:r>
        <w:instrText xml:space="preserve">" \s "Tegland, Washington Practice, Evidence (2007) §301.3" \c 3 </w:instrText>
      </w:r>
      <w:r>
        <w:fldChar w:fldCharType="end"/>
      </w:r>
      <w:r>
        <w:t xml:space="preserve"> (applied to such issues as fraud, invalidity of a will).</w:t>
      </w:r>
    </w:p>
  </w:footnote>
  <w:footnote w:id="130">
    <w:p w:rsidR="008E2D98" w:rsidRDefault="008E2D98">
      <w:pPr>
        <w:pStyle w:val="FootnoteText"/>
      </w:pPr>
      <w:r>
        <w:rPr>
          <w:rStyle w:val="FootnoteReference"/>
        </w:rPr>
        <w:footnoteRef/>
      </w:r>
      <w:r>
        <w:t xml:space="preserve"> The 40 to 49 basis point reduction in overall cost of capital translates to a 68 to 82 basis point reduction in return on equity.  Hill, SGH-2T at 93:15-18 and Exh. No. SHG-17. </w:t>
      </w:r>
    </w:p>
  </w:footnote>
  <w:footnote w:id="131">
    <w:p w:rsidR="008E2D98" w:rsidRDefault="008E2D98">
      <w:pPr>
        <w:pStyle w:val="FootnoteText"/>
      </w:pPr>
      <w:r>
        <w:rPr>
          <w:rStyle w:val="FootnoteReference"/>
        </w:rPr>
        <w:footnoteRef/>
      </w:r>
      <w:r>
        <w:t xml:space="preserve"> Adolph, Exh. No. </w:t>
      </w:r>
      <w:r w:rsidRPr="005B1559">
        <w:t>CAA-1T at</w:t>
      </w:r>
      <w:r>
        <w:t xml:space="preserve"> 30:20-31:8.</w:t>
      </w:r>
    </w:p>
  </w:footnote>
  <w:footnote w:id="132">
    <w:p w:rsidR="008E2D98" w:rsidRDefault="008E2D98">
      <w:pPr>
        <w:pStyle w:val="FootnoteText"/>
      </w:pPr>
      <w:r>
        <w:rPr>
          <w:rStyle w:val="FootnoteReference"/>
        </w:rPr>
        <w:footnoteRef/>
      </w:r>
      <w:r>
        <w:t xml:space="preserve"> Hill, Exh. No. SGH-2T at 99:13-17 and Exh. No. SGH-17.</w:t>
      </w:r>
    </w:p>
  </w:footnote>
  <w:footnote w:id="133">
    <w:p w:rsidR="008E2D98" w:rsidRDefault="008E2D98">
      <w:pPr>
        <w:pStyle w:val="FootnoteText"/>
      </w:pPr>
      <w:r>
        <w:rPr>
          <w:rStyle w:val="FootnoteReference"/>
        </w:rPr>
        <w:footnoteRef/>
      </w:r>
      <w:r>
        <w:t xml:space="preserve"> </w:t>
      </w:r>
      <w:r w:rsidRPr="008E3E7D">
        <w:rPr>
          <w:i/>
        </w:rPr>
        <w:t>Id.</w:t>
      </w:r>
    </w:p>
  </w:footnote>
  <w:footnote w:id="134">
    <w:p w:rsidR="008E2D98" w:rsidRPr="009F0162" w:rsidRDefault="008E2D98">
      <w:pPr>
        <w:pStyle w:val="FootnoteText"/>
        <w:rPr>
          <w:b/>
        </w:rPr>
      </w:pPr>
      <w:r>
        <w:rPr>
          <w:rStyle w:val="FootnoteReference"/>
        </w:rPr>
        <w:footnoteRef/>
      </w:r>
      <w:r>
        <w:t xml:space="preserve"> Adolph, Exh. No. CAA-1T at 8:9-15.</w:t>
      </w:r>
    </w:p>
  </w:footnote>
  <w:footnote w:id="135">
    <w:p w:rsidR="008E2D98" w:rsidRDefault="008E2D98">
      <w:pPr>
        <w:pStyle w:val="FootnoteText"/>
      </w:pPr>
      <w:r>
        <w:rPr>
          <w:rStyle w:val="FootnoteReference"/>
        </w:rPr>
        <w:footnoteRef/>
      </w:r>
      <w:r>
        <w:t xml:space="preserve"> Direct Testimony of Deborah J. Reynolds, Exh. No. DJR-1T at 8:23-9:2; </w:t>
      </w:r>
      <w:r>
        <w:rPr>
          <w:i/>
        </w:rPr>
        <w:t xml:space="preserve">See </w:t>
      </w:r>
      <w:r w:rsidRPr="00A20330">
        <w:t>also</w:t>
      </w:r>
      <w:r>
        <w:t>, PSE 2011 GRC, Order 08, ¶ 446 (addressing reduced revenue volatility).</w:t>
      </w:r>
      <w:r>
        <w:fldChar w:fldCharType="begin"/>
      </w:r>
      <w:r>
        <w:instrText xml:space="preserve"> TA \s "Wash. Util. &amp; Transp. Comm’n v. Puget Sound Energy (PSE 2011 GRC), Dockets UE-111048/UG-111049 (Consolidated), Order 08,  89" </w:instrText>
      </w:r>
      <w:r>
        <w:fldChar w:fldCharType="end"/>
      </w:r>
      <w:r>
        <w:t xml:space="preserve"> </w:t>
      </w:r>
    </w:p>
  </w:footnote>
  <w:footnote w:id="136">
    <w:p w:rsidR="008E2D98" w:rsidRDefault="008E2D98">
      <w:pPr>
        <w:pStyle w:val="FootnoteText"/>
      </w:pPr>
      <w:r>
        <w:rPr>
          <w:rStyle w:val="FootnoteReference"/>
        </w:rPr>
        <w:footnoteRef/>
      </w:r>
      <w:r>
        <w:t xml:space="preserve"> Hill, Exh. No. SGH-2T at 106-122.</w:t>
      </w:r>
    </w:p>
  </w:footnote>
  <w:footnote w:id="137">
    <w:p w:rsidR="008E2D98" w:rsidRDefault="008E2D98">
      <w:pPr>
        <w:pStyle w:val="FootnoteText"/>
      </w:pPr>
      <w:r>
        <w:rPr>
          <w:rStyle w:val="FootnoteReference"/>
        </w:rPr>
        <w:footnoteRef/>
      </w:r>
      <w:r>
        <w:t xml:space="preserve"> Hill, Exh. No. </w:t>
      </w:r>
      <w:r w:rsidRPr="00D473D0">
        <w:t xml:space="preserve">SGH-2T </w:t>
      </w:r>
      <w:r>
        <w:t xml:space="preserve">at </w:t>
      </w:r>
      <w:r w:rsidRPr="00D473D0">
        <w:t>111:8-14.</w:t>
      </w:r>
    </w:p>
  </w:footnote>
  <w:footnote w:id="138">
    <w:p w:rsidR="008E2D98" w:rsidRPr="00AD2A15" w:rsidRDefault="008E2D98">
      <w:pPr>
        <w:pStyle w:val="FootnoteText"/>
      </w:pPr>
      <w:r>
        <w:rPr>
          <w:rStyle w:val="FootnoteReference"/>
        </w:rPr>
        <w:footnoteRef/>
      </w:r>
      <w:r>
        <w:t xml:space="preserve"> </w:t>
      </w:r>
      <w:r>
        <w:rPr>
          <w:i/>
        </w:rPr>
        <w:t xml:space="preserve">Id. </w:t>
      </w:r>
      <w:r>
        <w:t>at 110:15- 122:7 (describing analytic methodology in detail)</w:t>
      </w:r>
      <w:r>
        <w:rPr>
          <w:i/>
        </w:rPr>
        <w:t xml:space="preserve">; See </w:t>
      </w:r>
      <w:r>
        <w:t>Hill, Exh. No. SGH-19 (containing analysis and results).</w:t>
      </w:r>
    </w:p>
  </w:footnote>
  <w:footnote w:id="139">
    <w:p w:rsidR="008E2D98" w:rsidRPr="003D1ADB" w:rsidRDefault="008E2D98">
      <w:pPr>
        <w:pStyle w:val="FootnoteText"/>
      </w:pPr>
      <w:r>
        <w:rPr>
          <w:rStyle w:val="FootnoteReference"/>
        </w:rPr>
        <w:footnoteRef/>
      </w:r>
      <w:r>
        <w:t xml:space="preserve"> </w:t>
      </w:r>
      <w:r>
        <w:rPr>
          <w:i/>
        </w:rPr>
        <w:t>Id.</w:t>
      </w:r>
      <w:r>
        <w:t xml:space="preserve"> at 121:1-122:7.</w:t>
      </w:r>
    </w:p>
  </w:footnote>
  <w:footnote w:id="140">
    <w:p w:rsidR="008E2D98" w:rsidRDefault="008E2D98">
      <w:pPr>
        <w:pStyle w:val="FootnoteText"/>
      </w:pPr>
      <w:r>
        <w:rPr>
          <w:rStyle w:val="FootnoteReference"/>
        </w:rPr>
        <w:footnoteRef/>
      </w:r>
      <w:r>
        <w:t xml:space="preserve"> Reynolds, Exh. No. DJR-1T at 8:23 - 9:2.</w:t>
      </w:r>
    </w:p>
  </w:footnote>
  <w:footnote w:id="141">
    <w:p w:rsidR="008E2D98" w:rsidRDefault="008E2D98">
      <w:pPr>
        <w:pStyle w:val="FootnoteText"/>
      </w:pPr>
      <w:r>
        <w:rPr>
          <w:rStyle w:val="FootnoteReference"/>
        </w:rPr>
        <w:footnoteRef/>
      </w:r>
      <w:r>
        <w:t xml:space="preserve"> Schooley, TR. 763:19-24.</w:t>
      </w:r>
    </w:p>
  </w:footnote>
  <w:footnote w:id="142">
    <w:p w:rsidR="008E2D98" w:rsidRDefault="008E2D98">
      <w:pPr>
        <w:pStyle w:val="FootnoteText"/>
      </w:pPr>
      <w:r>
        <w:rPr>
          <w:rStyle w:val="FootnoteReference"/>
        </w:rPr>
        <w:footnoteRef/>
      </w:r>
      <w:r>
        <w:t xml:space="preserve"> Schooley, Exh. No. TES-6T at 5:7-22.</w:t>
      </w:r>
    </w:p>
  </w:footnote>
  <w:footnote w:id="143">
    <w:p w:rsidR="008E2D98" w:rsidRDefault="008E2D98">
      <w:pPr>
        <w:pStyle w:val="FootnoteText"/>
      </w:pPr>
      <w:r>
        <w:rPr>
          <w:rStyle w:val="FootnoteReference"/>
        </w:rPr>
        <w:footnoteRef/>
      </w:r>
      <w:r>
        <w:t xml:space="preserve"> </w:t>
      </w:r>
      <w:r>
        <w:rPr>
          <w:i/>
        </w:rPr>
        <w:t xml:space="preserve">Wash. Util. &amp; Transp. Comm’n </w:t>
      </w:r>
      <w:r w:rsidRPr="00BE5480">
        <w:rPr>
          <w:i/>
        </w:rPr>
        <w:t>v. Avista Corp</w:t>
      </w:r>
      <w:r>
        <w:t xml:space="preserve">. Dockets UE-140188/UG-140189 (Avista 2014 GRC), Testimony of Thomas E. Schooley, Exh. No. TES-1T at 19:20-21.  </w:t>
      </w:r>
    </w:p>
  </w:footnote>
  <w:footnote w:id="144">
    <w:p w:rsidR="008E2D98" w:rsidRPr="00882725" w:rsidRDefault="008E2D98">
      <w:pPr>
        <w:pStyle w:val="FootnoteText"/>
      </w:pPr>
      <w:r>
        <w:rPr>
          <w:rStyle w:val="FootnoteReference"/>
        </w:rPr>
        <w:footnoteRef/>
      </w:r>
      <w:r>
        <w:t xml:space="preserve"> Schooley, TR. 746:3-18.  </w:t>
      </w:r>
    </w:p>
  </w:footnote>
  <w:footnote w:id="145">
    <w:p w:rsidR="008E2D98" w:rsidRDefault="008E2D98">
      <w:pPr>
        <w:pStyle w:val="FootnoteText"/>
      </w:pPr>
      <w:r>
        <w:rPr>
          <w:rStyle w:val="FootnoteReference"/>
        </w:rPr>
        <w:footnoteRef/>
      </w:r>
      <w:r>
        <w:t xml:space="preserve"> </w:t>
      </w:r>
      <w:r w:rsidRPr="0073268F">
        <w:t>Schooley, TR. 746:3-18.  Mr. Elgin</w:t>
      </w:r>
      <w:r>
        <w:t xml:space="preserve"> used a </w:t>
      </w:r>
      <w:r w:rsidRPr="00110341">
        <w:t>substantial reduction in the ratemaking common equity ratio</w:t>
      </w:r>
      <w:r>
        <w:t xml:space="preserve"> as a basis to reduce Avista’s cost of capital.</w:t>
      </w:r>
    </w:p>
  </w:footnote>
  <w:footnote w:id="146">
    <w:p w:rsidR="008E2D98" w:rsidRDefault="008E2D98">
      <w:pPr>
        <w:pStyle w:val="FootnoteText"/>
      </w:pPr>
      <w:r>
        <w:rPr>
          <w:rStyle w:val="FootnoteReference"/>
        </w:rPr>
        <w:footnoteRef/>
      </w:r>
      <w:r>
        <w:t xml:space="preserve"> Schooley, TR. 747:1-7, 749:4-750:1. </w:t>
      </w:r>
    </w:p>
  </w:footnote>
  <w:footnote w:id="147">
    <w:p w:rsidR="008E2D98" w:rsidRDefault="008E2D98">
      <w:pPr>
        <w:pStyle w:val="FootnoteText"/>
      </w:pPr>
      <w:r>
        <w:rPr>
          <w:rStyle w:val="FootnoteReference"/>
        </w:rPr>
        <w:footnoteRef/>
      </w:r>
      <w:r>
        <w:t xml:space="preserve"> Schooley, TR. 750:2-8.</w:t>
      </w:r>
    </w:p>
  </w:footnote>
  <w:footnote w:id="148">
    <w:p w:rsidR="008E2D98" w:rsidRDefault="008E2D98">
      <w:pPr>
        <w:pStyle w:val="FootnoteText"/>
      </w:pPr>
      <w:r>
        <w:rPr>
          <w:rStyle w:val="FootnoteReference"/>
        </w:rPr>
        <w:footnoteRef/>
      </w:r>
      <w:r>
        <w:t xml:space="preserve"> </w:t>
      </w:r>
      <w:r>
        <w:rPr>
          <w:i/>
        </w:rPr>
        <w:t xml:space="preserve">Wash. Util. &amp; Transp. Comm’n </w:t>
      </w:r>
      <w:r w:rsidRPr="00BE5480">
        <w:rPr>
          <w:i/>
        </w:rPr>
        <w:t>v. Avista Corp</w:t>
      </w:r>
      <w:r>
        <w:t>, Dockets UE-140188/UG-140189 (Avista 2014 GRC), Order 05, Settlement Stipulation at 5 (November 25, 2014)</w:t>
      </w:r>
      <w:r>
        <w:fldChar w:fldCharType="begin"/>
      </w:r>
      <w:r>
        <w:instrText xml:space="preserve"> TA \l "</w:instrText>
      </w:r>
      <w:r w:rsidRPr="00C267CE">
        <w:rPr>
          <w:i/>
        </w:rPr>
        <w:instrText>Wash. Util. &amp; Transp. Comm’n v. Avista Corp</w:instrText>
      </w:r>
      <w:r w:rsidRPr="00C267CE">
        <w:instrText xml:space="preserve">, </w:instrText>
      </w:r>
      <w:r w:rsidRPr="00C267CE">
        <w:br/>
        <w:instrText>Dockets UE-140188/UG-140189, Order 05, Settlement Stipulation (November 25, 2014)</w:instrText>
      </w:r>
      <w:r>
        <w:instrText xml:space="preserve">" \s "Wash. Util. &amp; Transp. Comm’n v. Avista Corp, Dockets UE-140188/UG-140189 (Avista 2014 GRC), Order 05, Settlement Stipulation at 5 (November 25, 2014)" \c 6 </w:instrText>
      </w:r>
      <w:r>
        <w:fldChar w:fldCharType="end"/>
      </w:r>
      <w:r>
        <w:t xml:space="preserve">.  </w:t>
      </w:r>
    </w:p>
  </w:footnote>
  <w:footnote w:id="149">
    <w:p w:rsidR="008E2D98" w:rsidRDefault="008E2D98">
      <w:pPr>
        <w:pStyle w:val="FootnoteText"/>
      </w:pPr>
      <w:r>
        <w:rPr>
          <w:rStyle w:val="FootnoteReference"/>
        </w:rPr>
        <w:footnoteRef/>
      </w:r>
      <w:r>
        <w:t xml:space="preserve"> Schooley, TES-6T at 5:15-16.</w:t>
      </w:r>
    </w:p>
  </w:footnote>
  <w:footnote w:id="150">
    <w:p w:rsidR="008E2D98" w:rsidRPr="00B93E55" w:rsidRDefault="008E2D98">
      <w:pPr>
        <w:pStyle w:val="FootnoteText"/>
        <w:rPr>
          <w:b/>
        </w:rPr>
      </w:pPr>
      <w:r>
        <w:rPr>
          <w:rStyle w:val="FootnoteReference"/>
        </w:rPr>
        <w:footnoteRef/>
      </w:r>
      <w:r>
        <w:t xml:space="preserve"> D</w:t>
      </w:r>
      <w:r w:rsidRPr="00B93E55">
        <w:t xml:space="preserve">uring the hearing panel, </w:t>
      </w:r>
      <w:r>
        <w:t xml:space="preserve">for example, </w:t>
      </w:r>
      <w:r w:rsidRPr="00B93E55">
        <w:t>Dr. Morin observed that “</w:t>
      </w:r>
      <w:r>
        <w:t>I don’t think there’s any question that decoupling reduces risk in an absolute fashion.  There’s no question about that.  I think we all agree on that. But does it really reduce risk on the relative basis, relative to the peer group</w:t>
      </w:r>
      <w:r w:rsidRPr="00B93E55">
        <w:t>”</w:t>
      </w:r>
      <w:r>
        <w:t xml:space="preserve">  Morin, TR.  686:8-12.</w:t>
      </w:r>
    </w:p>
  </w:footnote>
  <w:footnote w:id="151">
    <w:p w:rsidR="008E2D98" w:rsidRDefault="008E2D98">
      <w:pPr>
        <w:pStyle w:val="FootnoteText"/>
      </w:pPr>
      <w:r>
        <w:rPr>
          <w:rStyle w:val="FootnoteReference"/>
        </w:rPr>
        <w:footnoteRef/>
      </w:r>
      <w:r>
        <w:t xml:space="preserve"> Morin, TR. at 568:1-6. (“the whole discipline of finance is forward looking, and investors make decisions today on the basis of what they expect to happen.  So it behooves us to try to be as </w:t>
      </w:r>
      <w:r w:rsidRPr="009B0F76">
        <w:rPr>
          <w:i/>
        </w:rPr>
        <w:t>ex ante</w:t>
      </w:r>
      <w:r>
        <w:t>, as prospective as possible.”)</w:t>
      </w:r>
    </w:p>
  </w:footnote>
  <w:footnote w:id="152">
    <w:p w:rsidR="008E2D98" w:rsidRPr="00D07952" w:rsidRDefault="008E2D98">
      <w:pPr>
        <w:pStyle w:val="FootnoteText"/>
      </w:pPr>
      <w:r>
        <w:rPr>
          <w:rStyle w:val="FootnoteReference"/>
        </w:rPr>
        <w:footnoteRef/>
      </w:r>
      <w:r>
        <w:t xml:space="preserve"> Goodman, </w:t>
      </w:r>
      <w:r>
        <w:rPr>
          <w:i/>
        </w:rPr>
        <w:t>The Process of Ratemaking</w:t>
      </w:r>
      <w:r>
        <w:t>, Public Utility Reports (1998), at 165-169</w:t>
      </w:r>
      <w:r>
        <w:fldChar w:fldCharType="begin"/>
      </w:r>
      <w:r>
        <w:instrText xml:space="preserve"> TA \l "</w:instrText>
      </w:r>
      <w:r w:rsidRPr="001B6E03">
        <w:instrText xml:space="preserve">Goodman, </w:instrText>
      </w:r>
      <w:r w:rsidRPr="001B6E03">
        <w:rPr>
          <w:i/>
        </w:rPr>
        <w:instrText>The Process of Ratemaking</w:instrText>
      </w:r>
      <w:r w:rsidRPr="001B6E03">
        <w:instrText>, Public Utility Reports (1998)</w:instrText>
      </w:r>
      <w:r>
        <w:instrText xml:space="preserve">" \s "Goodman, The Process of Ratemaking, Public Utility Reports (1998), at 165-169" \c 3 </w:instrText>
      </w:r>
      <w:r>
        <w:fldChar w:fldCharType="end"/>
      </w:r>
      <w:r>
        <w:t>.</w:t>
      </w:r>
    </w:p>
  </w:footnote>
  <w:footnote w:id="153">
    <w:p w:rsidR="008E2D98" w:rsidRDefault="008E2D98">
      <w:pPr>
        <w:pStyle w:val="FootnoteText"/>
      </w:pPr>
      <w:r>
        <w:rPr>
          <w:rStyle w:val="FootnoteReference"/>
        </w:rPr>
        <w:footnoteRef/>
      </w:r>
      <w:r>
        <w:t xml:space="preserve"> If the Rate Plan is in place for a full four years, this means that PSE customers will have been paying a locked in 9.8% ROE, based on 2011 data for approximately six years, during a period when the evidence shows cost of capital has been declining.  </w:t>
      </w:r>
    </w:p>
  </w:footnote>
  <w:footnote w:id="154">
    <w:p w:rsidR="008E2D98" w:rsidRDefault="008E2D98">
      <w:pPr>
        <w:pStyle w:val="FootnoteText"/>
      </w:pPr>
      <w:r>
        <w:rPr>
          <w:rStyle w:val="FootnoteReference"/>
        </w:rPr>
        <w:footnoteRef/>
      </w:r>
      <w:r>
        <w:t xml:space="preserve"> Schooley, Exh. No. TES-9CX.</w:t>
      </w:r>
    </w:p>
  </w:footnote>
  <w:footnote w:id="155">
    <w:p w:rsidR="008E2D98" w:rsidRDefault="008E2D98">
      <w:pPr>
        <w:pStyle w:val="FootnoteText"/>
      </w:pPr>
      <w:r>
        <w:rPr>
          <w:rStyle w:val="FootnoteReference"/>
        </w:rPr>
        <w:footnoteRef/>
      </w:r>
      <w:r>
        <w:t xml:space="preserve"> </w:t>
      </w:r>
      <w:r>
        <w:rPr>
          <w:i/>
        </w:rPr>
        <w:t xml:space="preserve">Id. </w:t>
      </w:r>
    </w:p>
  </w:footnote>
  <w:footnote w:id="156">
    <w:p w:rsidR="008E2D98" w:rsidRDefault="008E2D98" w:rsidP="0055618B">
      <w:pPr>
        <w:pStyle w:val="FootnoteText"/>
      </w:pPr>
      <w:r>
        <w:rPr>
          <w:rStyle w:val="FootnoteReference"/>
        </w:rPr>
        <w:footnoteRef/>
      </w:r>
      <w:r>
        <w:t xml:space="preserve"> Schooley, TR.</w:t>
      </w:r>
      <w:r w:rsidRPr="0038525A">
        <w:t>750:14-19.</w:t>
      </w:r>
    </w:p>
  </w:footnote>
  <w:footnote w:id="157">
    <w:p w:rsidR="008E2D98" w:rsidRPr="00726F26" w:rsidRDefault="008E2D98" w:rsidP="0055618B">
      <w:pPr>
        <w:pStyle w:val="FootnoteText"/>
        <w:rPr>
          <w:b/>
        </w:rPr>
      </w:pPr>
      <w:r>
        <w:rPr>
          <w:rStyle w:val="FootnoteReference"/>
        </w:rPr>
        <w:footnoteRef/>
      </w:r>
      <w:r>
        <w:t xml:space="preserve"> Schooley, Exh. No. TES-10CX (part a).  Commission Staff retained Stephen Hill to provide cost of capital testimony in the PSE 2006 GRC.  In that case, based on a revenue volatility analysis he recommended a 50 basis point reduction in ROE due to decoupling.  Hill, Exh. No. SGH-1T at 11:12-18.</w:t>
      </w:r>
    </w:p>
  </w:footnote>
  <w:footnote w:id="158">
    <w:p w:rsidR="008E2D98" w:rsidRDefault="008E2D98" w:rsidP="0023436C">
      <w:pPr>
        <w:pStyle w:val="FootnoteText"/>
      </w:pPr>
      <w:r>
        <w:rPr>
          <w:rStyle w:val="FootnoteReference"/>
        </w:rPr>
        <w:footnoteRef/>
      </w:r>
      <w:r>
        <w:t xml:space="preserve"> Schooley, Exh. No. TEX-10CX (part b).  </w:t>
      </w:r>
    </w:p>
  </w:footnote>
  <w:footnote w:id="159">
    <w:p w:rsidR="008E2D98" w:rsidRDefault="008E2D98">
      <w:pPr>
        <w:pStyle w:val="FootnoteText"/>
      </w:pPr>
      <w:r>
        <w:rPr>
          <w:rStyle w:val="FootnoteReference"/>
        </w:rPr>
        <w:footnoteRef/>
      </w:r>
      <w:r>
        <w:t xml:space="preserve"> Schooley, TR. 758:4-759:12.</w:t>
      </w:r>
    </w:p>
  </w:footnote>
  <w:footnote w:id="160">
    <w:p w:rsidR="008E2D98" w:rsidRDefault="008E2D98">
      <w:pPr>
        <w:pStyle w:val="FootnoteText"/>
      </w:pPr>
      <w:r>
        <w:rPr>
          <w:rStyle w:val="FootnoteReference"/>
        </w:rPr>
        <w:footnoteRef/>
      </w:r>
      <w:r>
        <w:t xml:space="preserve"> Schooley, TR. 759:1-2.</w:t>
      </w:r>
    </w:p>
  </w:footnote>
  <w:footnote w:id="161">
    <w:p w:rsidR="008E2D98" w:rsidRDefault="008E2D98" w:rsidP="009332B3">
      <w:pPr>
        <w:pStyle w:val="FootnoteText"/>
      </w:pPr>
      <w:r>
        <w:rPr>
          <w:rStyle w:val="FootnoteReference"/>
        </w:rPr>
        <w:footnoteRef/>
      </w:r>
      <w:r>
        <w:t xml:space="preserve"> Hill, Exh. No. SGH-23CX; Parcell, Exh. Nos. DCP-15CX and DCP-16CX.  </w:t>
      </w:r>
    </w:p>
  </w:footnote>
  <w:footnote w:id="162">
    <w:p w:rsidR="008E2D98" w:rsidRDefault="008E2D98" w:rsidP="009332B3">
      <w:pPr>
        <w:pStyle w:val="FootnoteText"/>
      </w:pPr>
      <w:r>
        <w:rPr>
          <w:rStyle w:val="FootnoteReference"/>
        </w:rPr>
        <w:footnoteRef/>
      </w:r>
      <w:r>
        <w:t xml:space="preserve"> </w:t>
      </w:r>
      <w:r w:rsidRPr="00AC6DE2">
        <w:t>Parcell, TR. 609:13-23.</w:t>
      </w:r>
    </w:p>
  </w:footnote>
  <w:footnote w:id="163">
    <w:p w:rsidR="008E2D98" w:rsidRPr="00633486" w:rsidRDefault="008E2D98" w:rsidP="009332B3">
      <w:pPr>
        <w:pStyle w:val="FootnoteText"/>
        <w:rPr>
          <w:b/>
        </w:rPr>
      </w:pPr>
      <w:r>
        <w:rPr>
          <w:rStyle w:val="FootnoteReference"/>
        </w:rPr>
        <w:footnoteRef/>
      </w:r>
      <w:r>
        <w:t xml:space="preserve"> In Arizona, he made no specific recommendation because the Commission had issued a policy statement indicating it would require a three-year delay on the issue.  Hill, Exh. No. SGH-23CX at 7.</w:t>
      </w:r>
    </w:p>
  </w:footnote>
  <w:footnote w:id="164">
    <w:p w:rsidR="008E2D98" w:rsidRDefault="008E2D98">
      <w:pPr>
        <w:pStyle w:val="FootnoteText"/>
      </w:pPr>
      <w:r>
        <w:rPr>
          <w:rStyle w:val="FootnoteReference"/>
        </w:rPr>
        <w:footnoteRef/>
      </w:r>
      <w:r>
        <w:t xml:space="preserve"> Parcell, Exh. No. DCP-17CX at 41-42.</w:t>
      </w:r>
    </w:p>
  </w:footnote>
  <w:footnote w:id="165">
    <w:p w:rsidR="008E2D98" w:rsidRDefault="008E2D98">
      <w:pPr>
        <w:pStyle w:val="FootnoteText"/>
      </w:pPr>
      <w:r w:rsidRPr="00687584">
        <w:rPr>
          <w:rStyle w:val="FootnoteReference"/>
        </w:rPr>
        <w:footnoteRef/>
      </w:r>
      <w:r w:rsidRPr="00687584">
        <w:t xml:space="preserve"> Parcell, TR. 697:7-23.</w:t>
      </w:r>
    </w:p>
  </w:footnote>
  <w:footnote w:id="166">
    <w:p w:rsidR="008E2D98" w:rsidRDefault="008E2D98">
      <w:pPr>
        <w:pStyle w:val="FootnoteText"/>
      </w:pPr>
      <w:r>
        <w:rPr>
          <w:rStyle w:val="FootnoteReference"/>
        </w:rPr>
        <w:footnoteRef/>
      </w:r>
      <w:r>
        <w:t xml:space="preserve"> Parcell, TR. 615:14-616:10. </w:t>
      </w:r>
    </w:p>
  </w:footnote>
  <w:footnote w:id="167">
    <w:p w:rsidR="008E2D98" w:rsidRDefault="008E2D98">
      <w:pPr>
        <w:pStyle w:val="FootnoteText"/>
      </w:pPr>
      <w:r>
        <w:rPr>
          <w:rStyle w:val="FootnoteReference"/>
        </w:rPr>
        <w:footnoteRef/>
      </w:r>
      <w:r>
        <w:t xml:space="preserve"> Staff Response to Public Counsel Data Request No. 4, Exh. No. SGH-24CX (asking “why there is no mention of decoupling in Mr. Parcell’s testimony).</w:t>
      </w:r>
    </w:p>
  </w:footnote>
  <w:footnote w:id="168">
    <w:p w:rsidR="008E2D98" w:rsidRDefault="008E2D98">
      <w:pPr>
        <w:pStyle w:val="FootnoteText"/>
      </w:pPr>
      <w:r>
        <w:rPr>
          <w:rStyle w:val="FootnoteReference"/>
        </w:rPr>
        <w:footnoteRef/>
      </w:r>
      <w:r>
        <w:t xml:space="preserve"> Morin, Exh. Nos. RAM-19CX at 2, RAM-</w:t>
      </w:r>
      <w:r w:rsidRPr="0091706E">
        <w:t>23CX at 5-6, RAM-25CX at 3</w:t>
      </w:r>
      <w:r>
        <w:t>,</w:t>
      </w:r>
      <w:r w:rsidRPr="0091706E">
        <w:t xml:space="preserve"> and RAM-26CX at 7.</w:t>
      </w:r>
    </w:p>
  </w:footnote>
  <w:footnote w:id="169">
    <w:p w:rsidR="008E2D98" w:rsidRDefault="008E2D98" w:rsidP="001C6377">
      <w:pPr>
        <w:pStyle w:val="FootnoteText"/>
      </w:pPr>
      <w:r>
        <w:rPr>
          <w:rStyle w:val="FootnoteReference"/>
        </w:rPr>
        <w:footnoteRef/>
      </w:r>
      <w:r>
        <w:t xml:space="preserve"> Morin, Exh. No. RAM-19CX at 2.</w:t>
      </w:r>
    </w:p>
  </w:footnote>
  <w:footnote w:id="170">
    <w:p w:rsidR="008E2D98" w:rsidRDefault="008E2D98" w:rsidP="001C6377">
      <w:pPr>
        <w:pStyle w:val="FootnoteText"/>
      </w:pPr>
      <w:r>
        <w:rPr>
          <w:rStyle w:val="FootnoteReference"/>
        </w:rPr>
        <w:footnoteRef/>
      </w:r>
      <w:r>
        <w:t xml:space="preserve"> </w:t>
      </w:r>
      <w:r w:rsidRPr="007330C0">
        <w:t>Morin, Exh. No. RAM-23CX at 54:13-17.</w:t>
      </w:r>
      <w:r>
        <w:t xml:space="preserve">  At the hearing Dr. Morin recalled that the adjustment was 25 basis points.  TR. 573:18-22.</w:t>
      </w:r>
    </w:p>
  </w:footnote>
  <w:footnote w:id="171">
    <w:p w:rsidR="008E2D98" w:rsidRDefault="008E2D98">
      <w:pPr>
        <w:pStyle w:val="FootnoteText"/>
      </w:pPr>
      <w:r>
        <w:rPr>
          <w:rStyle w:val="FootnoteReference"/>
        </w:rPr>
        <w:footnoteRef/>
      </w:r>
      <w:r>
        <w:t xml:space="preserve"> Morin, Exh. No. RAM-1T at 68:6-10 (emphasis added).</w:t>
      </w:r>
    </w:p>
  </w:footnote>
  <w:footnote w:id="172">
    <w:p w:rsidR="008E2D98" w:rsidRDefault="008E2D98">
      <w:pPr>
        <w:pStyle w:val="FootnoteText"/>
      </w:pPr>
      <w:r>
        <w:rPr>
          <w:rStyle w:val="FootnoteReference"/>
        </w:rPr>
        <w:footnoteRef/>
      </w:r>
      <w:r>
        <w:t xml:space="preserve"> </w:t>
      </w:r>
      <w:r w:rsidRPr="00625C7D">
        <w:t xml:space="preserve">Morin, TR. </w:t>
      </w:r>
      <w:r>
        <w:t>574:1-4, TR.</w:t>
      </w:r>
      <w:r w:rsidRPr="00625C7D">
        <w:t xml:space="preserve"> 663:17-22.</w:t>
      </w:r>
    </w:p>
  </w:footnote>
  <w:footnote w:id="173">
    <w:p w:rsidR="008E2D98" w:rsidRDefault="008E2D98">
      <w:pPr>
        <w:pStyle w:val="FootnoteText"/>
      </w:pPr>
      <w:r w:rsidRPr="002D462F">
        <w:rPr>
          <w:rStyle w:val="FootnoteReference"/>
        </w:rPr>
        <w:footnoteRef/>
      </w:r>
      <w:r w:rsidRPr="002D462F">
        <w:t xml:space="preserve"> Morin, TR.</w:t>
      </w:r>
      <w:r>
        <w:t xml:space="preserve"> </w:t>
      </w:r>
      <w:r w:rsidRPr="002D462F">
        <w:t>575:1-22.</w:t>
      </w:r>
    </w:p>
  </w:footnote>
  <w:footnote w:id="174">
    <w:p w:rsidR="008E2D98" w:rsidRDefault="008E2D98">
      <w:pPr>
        <w:pStyle w:val="FootnoteText"/>
      </w:pPr>
      <w:r>
        <w:rPr>
          <w:rStyle w:val="FootnoteReference"/>
        </w:rPr>
        <w:footnoteRef/>
      </w:r>
      <w:r>
        <w:t xml:space="preserve"> Morin, TR. 574:12-14; TR. 663:23-24  (“If I had done that [only used companies that had full decoupling], I would have ended up with a very, very small portfolio of a handful of companies.” )</w:t>
      </w:r>
    </w:p>
  </w:footnote>
  <w:footnote w:id="175">
    <w:p w:rsidR="008E2D98" w:rsidRDefault="008E2D98">
      <w:pPr>
        <w:pStyle w:val="FootnoteText"/>
      </w:pPr>
      <w:r>
        <w:rPr>
          <w:rStyle w:val="FootnoteReference"/>
        </w:rPr>
        <w:footnoteRef/>
      </w:r>
      <w:r>
        <w:t xml:space="preserve"> Hill, Exh. No. SGH-2T at 78:18-83:16. </w:t>
      </w:r>
    </w:p>
  </w:footnote>
  <w:footnote w:id="176">
    <w:p w:rsidR="008E2D98" w:rsidRDefault="008E2D98">
      <w:pPr>
        <w:pStyle w:val="FootnoteText"/>
      </w:pPr>
      <w:r>
        <w:rPr>
          <w:rStyle w:val="FootnoteReference"/>
        </w:rPr>
        <w:footnoteRef/>
      </w:r>
      <w:r>
        <w:t xml:space="preserve"> Hill, Exh. No. SGH-2T at 80:1-11 and nn.50-51 (</w:t>
      </w:r>
      <w:r w:rsidRPr="006431C2">
        <w:rPr>
          <w:i/>
        </w:rPr>
        <w:t>See</w:t>
      </w:r>
      <w:r>
        <w:t xml:space="preserve"> Appendix C).  </w:t>
      </w:r>
    </w:p>
  </w:footnote>
  <w:footnote w:id="177">
    <w:p w:rsidR="008E2D98" w:rsidRPr="00EE19BC" w:rsidRDefault="008E2D98">
      <w:pPr>
        <w:pStyle w:val="FootnoteText"/>
      </w:pPr>
      <w:r>
        <w:rPr>
          <w:rStyle w:val="FootnoteReference"/>
        </w:rPr>
        <w:footnoteRef/>
      </w:r>
      <w:r>
        <w:t xml:space="preserve"> As noted above, the statistical analysis presented by Dr. Vilbert does not prove that decoupling has </w:t>
      </w:r>
      <w:r>
        <w:rPr>
          <w:i/>
        </w:rPr>
        <w:t>no</w:t>
      </w:r>
      <w:r>
        <w:t xml:space="preserve"> effect on cost of capital.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98" w:rsidRDefault="008E2D98">
    <w:r>
      <w:rPr>
        <w:noProof/>
      </w:rPr>
      <mc:AlternateContent>
        <mc:Choice Requires="wps">
          <w:drawing>
            <wp:anchor distT="0" distB="0" distL="114300" distR="114300" simplePos="0" relativeHeight="251660288" behindDoc="0" locked="0" layoutInCell="0" allowOverlap="1" wp14:anchorId="5B11D08D" wp14:editId="557A8EE2">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98" w:rsidRDefault="008E2D98">
    <w:r>
      <w:rPr>
        <w:noProof/>
      </w:rPr>
      <mc:AlternateContent>
        <mc:Choice Requires="wps">
          <w:drawing>
            <wp:anchor distT="0" distB="0" distL="114300" distR="114300" simplePos="0" relativeHeight="251657728" behindDoc="0" locked="0" layoutInCell="0" allowOverlap="1" wp14:anchorId="02971BC3" wp14:editId="7A10B41F">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5962DDA"/>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rPr>
        <w:b/>
      </w:r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1AF72C93"/>
    <w:multiLevelType w:val="hybridMultilevel"/>
    <w:tmpl w:val="CF28ECA6"/>
    <w:lvl w:ilvl="0" w:tplc="4EAED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B659DA"/>
    <w:multiLevelType w:val="hybridMultilevel"/>
    <w:tmpl w:val="0F42C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56263"/>
    <w:multiLevelType w:val="multilevel"/>
    <w:tmpl w:val="7F264316"/>
    <w:lvl w:ilvl="0">
      <w:start w:val="8"/>
      <w:numFmt w:val="decimal"/>
      <w:lvlText w:val="%1"/>
      <w:lvlJc w:val="left"/>
      <w:pPr>
        <w:ind w:left="420" w:hanging="420"/>
      </w:pPr>
      <w:rPr>
        <w:rFonts w:hint="default"/>
      </w:rPr>
    </w:lvl>
    <w:lvl w:ilvl="1">
      <w:start w:val="6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DD2EED"/>
    <w:multiLevelType w:val="hybridMultilevel"/>
    <w:tmpl w:val="E1B6A488"/>
    <w:lvl w:ilvl="0" w:tplc="C3588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A6E2C"/>
    <w:multiLevelType w:val="hybridMultilevel"/>
    <w:tmpl w:val="D56C44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26546C"/>
    <w:multiLevelType w:val="hybridMultilevel"/>
    <w:tmpl w:val="BE74FD1E"/>
    <w:lvl w:ilvl="0" w:tplc="F9C0C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8233C1"/>
    <w:multiLevelType w:val="hybridMultilevel"/>
    <w:tmpl w:val="183AB8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2F50C3"/>
    <w:multiLevelType w:val="hybridMultilevel"/>
    <w:tmpl w:val="E82C6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656AFA"/>
    <w:multiLevelType w:val="hybridMultilevel"/>
    <w:tmpl w:val="9CC6E3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C4506C"/>
    <w:multiLevelType w:val="hybridMultilevel"/>
    <w:tmpl w:val="4F640C0E"/>
    <w:lvl w:ilvl="0" w:tplc="D8DCF8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01064D6"/>
    <w:multiLevelType w:val="hybridMultilevel"/>
    <w:tmpl w:val="4E4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CD7A34"/>
    <w:multiLevelType w:val="hybridMultilevel"/>
    <w:tmpl w:val="508460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C7405"/>
    <w:multiLevelType w:val="hybridMultilevel"/>
    <w:tmpl w:val="55E2561C"/>
    <w:lvl w:ilvl="0" w:tplc="204EB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910AE"/>
    <w:multiLevelType w:val="hybridMultilevel"/>
    <w:tmpl w:val="457AEE3A"/>
    <w:lvl w:ilvl="0" w:tplc="8A508658">
      <w:start w:val="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9044B3"/>
    <w:multiLevelType w:val="hybridMultilevel"/>
    <w:tmpl w:val="12F8226C"/>
    <w:lvl w:ilvl="0" w:tplc="F452A4F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001003"/>
    <w:multiLevelType w:val="singleLevel"/>
    <w:tmpl w:val="32AC73FC"/>
    <w:lvl w:ilvl="0">
      <w:start w:val="1"/>
      <w:numFmt w:val="decimal"/>
      <w:pStyle w:val="ParNumber"/>
      <w:lvlText w:val="%1."/>
      <w:lvlJc w:val="left"/>
      <w:pPr>
        <w:tabs>
          <w:tab w:val="num" w:pos="630"/>
        </w:tabs>
        <w:ind w:left="630" w:hanging="360"/>
      </w:pPr>
      <w:rPr>
        <w:b w:val="0"/>
        <w:i/>
      </w:rPr>
    </w:lvl>
  </w:abstractNum>
  <w:abstractNum w:abstractNumId="17">
    <w:nsid w:val="7E0676F9"/>
    <w:multiLevelType w:val="hybridMultilevel"/>
    <w:tmpl w:val="F75408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6"/>
  </w:num>
  <w:num w:numId="13">
    <w:abstractNumId w:val="13"/>
  </w:num>
  <w:num w:numId="14">
    <w:abstractNumId w:val="12"/>
  </w:num>
  <w:num w:numId="15">
    <w:abstractNumId w:val="2"/>
  </w:num>
  <w:num w:numId="16">
    <w:abstractNumId w:val="17"/>
  </w:num>
  <w:num w:numId="17">
    <w:abstractNumId w:val="4"/>
  </w:num>
  <w:num w:numId="18">
    <w:abstractNumId w:val="9"/>
  </w:num>
  <w:num w:numId="19">
    <w:abstractNumId w:val="10"/>
  </w:num>
  <w:num w:numId="20">
    <w:abstractNumId w:val="8"/>
  </w:num>
  <w:num w:numId="21">
    <w:abstractNumId w:val="7"/>
  </w:num>
  <w:num w:numId="22">
    <w:abstractNumId w:val="15"/>
  </w:num>
  <w:num w:numId="23">
    <w:abstractNumId w:val="6"/>
  </w:num>
  <w:num w:numId="24">
    <w:abstractNumId w:val="1"/>
  </w:num>
  <w:num w:numId="25">
    <w:abstractNumId w:val="11"/>
  </w:num>
  <w:num w:numId="26">
    <w:abstractNumId w:val="5"/>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008AE"/>
    <w:rsid w:val="000029D7"/>
    <w:rsid w:val="00003400"/>
    <w:rsid w:val="000053DD"/>
    <w:rsid w:val="00005A8C"/>
    <w:rsid w:val="00011EE7"/>
    <w:rsid w:val="00013778"/>
    <w:rsid w:val="000139EA"/>
    <w:rsid w:val="00013B29"/>
    <w:rsid w:val="00015856"/>
    <w:rsid w:val="00016BCE"/>
    <w:rsid w:val="00016EFE"/>
    <w:rsid w:val="000170E4"/>
    <w:rsid w:val="00017FE0"/>
    <w:rsid w:val="000250F9"/>
    <w:rsid w:val="00025713"/>
    <w:rsid w:val="000325F2"/>
    <w:rsid w:val="000340D3"/>
    <w:rsid w:val="0003522E"/>
    <w:rsid w:val="0003575D"/>
    <w:rsid w:val="00036072"/>
    <w:rsid w:val="0003674B"/>
    <w:rsid w:val="00036842"/>
    <w:rsid w:val="00042101"/>
    <w:rsid w:val="000429B7"/>
    <w:rsid w:val="00045ACB"/>
    <w:rsid w:val="00047593"/>
    <w:rsid w:val="00047B23"/>
    <w:rsid w:val="00050992"/>
    <w:rsid w:val="00055FD7"/>
    <w:rsid w:val="000622B3"/>
    <w:rsid w:val="00063AE5"/>
    <w:rsid w:val="00064537"/>
    <w:rsid w:val="000645CE"/>
    <w:rsid w:val="00065D74"/>
    <w:rsid w:val="00072067"/>
    <w:rsid w:val="000736B0"/>
    <w:rsid w:val="0007631A"/>
    <w:rsid w:val="000775CE"/>
    <w:rsid w:val="000A047A"/>
    <w:rsid w:val="000A1BE1"/>
    <w:rsid w:val="000A3842"/>
    <w:rsid w:val="000A4A16"/>
    <w:rsid w:val="000A5E38"/>
    <w:rsid w:val="000B01F5"/>
    <w:rsid w:val="000B0A7E"/>
    <w:rsid w:val="000B1C29"/>
    <w:rsid w:val="000B4730"/>
    <w:rsid w:val="000B5255"/>
    <w:rsid w:val="000B718D"/>
    <w:rsid w:val="000B7752"/>
    <w:rsid w:val="000B7C7C"/>
    <w:rsid w:val="000D24AB"/>
    <w:rsid w:val="000D3E36"/>
    <w:rsid w:val="000D5CB4"/>
    <w:rsid w:val="000D72E1"/>
    <w:rsid w:val="000E11C1"/>
    <w:rsid w:val="000E20CF"/>
    <w:rsid w:val="000E2A95"/>
    <w:rsid w:val="000E323D"/>
    <w:rsid w:val="000E6F08"/>
    <w:rsid w:val="000E7D81"/>
    <w:rsid w:val="000F0012"/>
    <w:rsid w:val="000F13FF"/>
    <w:rsid w:val="000F1AC7"/>
    <w:rsid w:val="000F2964"/>
    <w:rsid w:val="00101A3E"/>
    <w:rsid w:val="001022C4"/>
    <w:rsid w:val="00102EFD"/>
    <w:rsid w:val="0010332E"/>
    <w:rsid w:val="001039EA"/>
    <w:rsid w:val="00104B3F"/>
    <w:rsid w:val="00106826"/>
    <w:rsid w:val="00110341"/>
    <w:rsid w:val="00114467"/>
    <w:rsid w:val="001152C7"/>
    <w:rsid w:val="0011659F"/>
    <w:rsid w:val="001173A2"/>
    <w:rsid w:val="00120C3F"/>
    <w:rsid w:val="00120D99"/>
    <w:rsid w:val="00121479"/>
    <w:rsid w:val="001214BB"/>
    <w:rsid w:val="0012463A"/>
    <w:rsid w:val="001247A2"/>
    <w:rsid w:val="00125CC0"/>
    <w:rsid w:val="00127775"/>
    <w:rsid w:val="00127BF6"/>
    <w:rsid w:val="00130687"/>
    <w:rsid w:val="00130A40"/>
    <w:rsid w:val="00133E72"/>
    <w:rsid w:val="00134A10"/>
    <w:rsid w:val="001359F8"/>
    <w:rsid w:val="00136C52"/>
    <w:rsid w:val="00141F44"/>
    <w:rsid w:val="00142729"/>
    <w:rsid w:val="00143705"/>
    <w:rsid w:val="00145BC4"/>
    <w:rsid w:val="00145EF4"/>
    <w:rsid w:val="0015086A"/>
    <w:rsid w:val="001510EB"/>
    <w:rsid w:val="00151D57"/>
    <w:rsid w:val="001521B9"/>
    <w:rsid w:val="001524A7"/>
    <w:rsid w:val="0015254F"/>
    <w:rsid w:val="0015411F"/>
    <w:rsid w:val="00154EB2"/>
    <w:rsid w:val="00155D44"/>
    <w:rsid w:val="001612A1"/>
    <w:rsid w:val="00163BEA"/>
    <w:rsid w:val="0016563B"/>
    <w:rsid w:val="00165C59"/>
    <w:rsid w:val="00181E40"/>
    <w:rsid w:val="00184DB8"/>
    <w:rsid w:val="00184FB3"/>
    <w:rsid w:val="0018754F"/>
    <w:rsid w:val="001917B4"/>
    <w:rsid w:val="001924FF"/>
    <w:rsid w:val="00192BF0"/>
    <w:rsid w:val="00193B0C"/>
    <w:rsid w:val="00194537"/>
    <w:rsid w:val="001A3A35"/>
    <w:rsid w:val="001A3AE7"/>
    <w:rsid w:val="001A5274"/>
    <w:rsid w:val="001B052B"/>
    <w:rsid w:val="001B0705"/>
    <w:rsid w:val="001B1F2E"/>
    <w:rsid w:val="001B7BB3"/>
    <w:rsid w:val="001C2AF7"/>
    <w:rsid w:val="001C422D"/>
    <w:rsid w:val="001C58A7"/>
    <w:rsid w:val="001C6377"/>
    <w:rsid w:val="001C6741"/>
    <w:rsid w:val="001C677D"/>
    <w:rsid w:val="001C6AD9"/>
    <w:rsid w:val="001D1534"/>
    <w:rsid w:val="001D3107"/>
    <w:rsid w:val="001D5038"/>
    <w:rsid w:val="001E3987"/>
    <w:rsid w:val="001E3FC8"/>
    <w:rsid w:val="001E4943"/>
    <w:rsid w:val="001E4F77"/>
    <w:rsid w:val="001E6B9F"/>
    <w:rsid w:val="001F2463"/>
    <w:rsid w:val="001F4EBD"/>
    <w:rsid w:val="001F4FD3"/>
    <w:rsid w:val="001F6B5C"/>
    <w:rsid w:val="0020247D"/>
    <w:rsid w:val="00203D09"/>
    <w:rsid w:val="002047DD"/>
    <w:rsid w:val="00207056"/>
    <w:rsid w:val="00211214"/>
    <w:rsid w:val="002113C9"/>
    <w:rsid w:val="002131A8"/>
    <w:rsid w:val="0021340D"/>
    <w:rsid w:val="00214154"/>
    <w:rsid w:val="00217466"/>
    <w:rsid w:val="00222F2D"/>
    <w:rsid w:val="0022322B"/>
    <w:rsid w:val="00223BF9"/>
    <w:rsid w:val="00224A52"/>
    <w:rsid w:val="00224A88"/>
    <w:rsid w:val="00225696"/>
    <w:rsid w:val="002273A4"/>
    <w:rsid w:val="00227912"/>
    <w:rsid w:val="00230280"/>
    <w:rsid w:val="002314AC"/>
    <w:rsid w:val="00231F7B"/>
    <w:rsid w:val="00232236"/>
    <w:rsid w:val="0023436C"/>
    <w:rsid w:val="002356B9"/>
    <w:rsid w:val="00237482"/>
    <w:rsid w:val="00237CC7"/>
    <w:rsid w:val="00243658"/>
    <w:rsid w:val="00245299"/>
    <w:rsid w:val="00245C27"/>
    <w:rsid w:val="002470EF"/>
    <w:rsid w:val="00251749"/>
    <w:rsid w:val="00251D58"/>
    <w:rsid w:val="0025238E"/>
    <w:rsid w:val="0025272A"/>
    <w:rsid w:val="002530F3"/>
    <w:rsid w:val="0025529F"/>
    <w:rsid w:val="00255DDB"/>
    <w:rsid w:val="002574CA"/>
    <w:rsid w:val="00260723"/>
    <w:rsid w:val="00260EE9"/>
    <w:rsid w:val="00262E86"/>
    <w:rsid w:val="002800CD"/>
    <w:rsid w:val="00281D0B"/>
    <w:rsid w:val="00290055"/>
    <w:rsid w:val="002902C7"/>
    <w:rsid w:val="002908CA"/>
    <w:rsid w:val="0029422B"/>
    <w:rsid w:val="0029502E"/>
    <w:rsid w:val="00297636"/>
    <w:rsid w:val="002A4ECB"/>
    <w:rsid w:val="002A5D7F"/>
    <w:rsid w:val="002A7308"/>
    <w:rsid w:val="002A7C42"/>
    <w:rsid w:val="002B3F6D"/>
    <w:rsid w:val="002B5A7E"/>
    <w:rsid w:val="002C2EE3"/>
    <w:rsid w:val="002C4705"/>
    <w:rsid w:val="002C6557"/>
    <w:rsid w:val="002C7B25"/>
    <w:rsid w:val="002D1E28"/>
    <w:rsid w:val="002D3DB2"/>
    <w:rsid w:val="002D462F"/>
    <w:rsid w:val="002D467E"/>
    <w:rsid w:val="002D4BAC"/>
    <w:rsid w:val="002D6571"/>
    <w:rsid w:val="002E00FE"/>
    <w:rsid w:val="002E207C"/>
    <w:rsid w:val="002E3A0B"/>
    <w:rsid w:val="002E53F8"/>
    <w:rsid w:val="002E78DF"/>
    <w:rsid w:val="002F05A7"/>
    <w:rsid w:val="002F07E8"/>
    <w:rsid w:val="00304494"/>
    <w:rsid w:val="00304C3E"/>
    <w:rsid w:val="00305512"/>
    <w:rsid w:val="003063A4"/>
    <w:rsid w:val="00306662"/>
    <w:rsid w:val="0031463B"/>
    <w:rsid w:val="00314934"/>
    <w:rsid w:val="00314FA7"/>
    <w:rsid w:val="003177C3"/>
    <w:rsid w:val="00321068"/>
    <w:rsid w:val="00321AA3"/>
    <w:rsid w:val="00326A3E"/>
    <w:rsid w:val="0033193E"/>
    <w:rsid w:val="003320CF"/>
    <w:rsid w:val="0033220D"/>
    <w:rsid w:val="0033253E"/>
    <w:rsid w:val="00332ED8"/>
    <w:rsid w:val="00335F9B"/>
    <w:rsid w:val="00342768"/>
    <w:rsid w:val="00342E7D"/>
    <w:rsid w:val="0034475E"/>
    <w:rsid w:val="003449EE"/>
    <w:rsid w:val="0034686E"/>
    <w:rsid w:val="0035134D"/>
    <w:rsid w:val="00352DA2"/>
    <w:rsid w:val="00354846"/>
    <w:rsid w:val="00354AFB"/>
    <w:rsid w:val="00355C71"/>
    <w:rsid w:val="00356540"/>
    <w:rsid w:val="00357599"/>
    <w:rsid w:val="0036065D"/>
    <w:rsid w:val="00360861"/>
    <w:rsid w:val="00364517"/>
    <w:rsid w:val="0036496B"/>
    <w:rsid w:val="003660C6"/>
    <w:rsid w:val="0037099F"/>
    <w:rsid w:val="00374D95"/>
    <w:rsid w:val="003751B7"/>
    <w:rsid w:val="003752C4"/>
    <w:rsid w:val="003753D6"/>
    <w:rsid w:val="00382C43"/>
    <w:rsid w:val="00382EC8"/>
    <w:rsid w:val="0038525A"/>
    <w:rsid w:val="00385997"/>
    <w:rsid w:val="003904BF"/>
    <w:rsid w:val="00393D21"/>
    <w:rsid w:val="00396F7C"/>
    <w:rsid w:val="003A2416"/>
    <w:rsid w:val="003A4B13"/>
    <w:rsid w:val="003A554C"/>
    <w:rsid w:val="003A599A"/>
    <w:rsid w:val="003A5DA8"/>
    <w:rsid w:val="003B43EA"/>
    <w:rsid w:val="003B742D"/>
    <w:rsid w:val="003C049F"/>
    <w:rsid w:val="003C575D"/>
    <w:rsid w:val="003C7E9D"/>
    <w:rsid w:val="003D1ADB"/>
    <w:rsid w:val="003D218E"/>
    <w:rsid w:val="003D2B35"/>
    <w:rsid w:val="003D4F8F"/>
    <w:rsid w:val="003D5383"/>
    <w:rsid w:val="003D69CA"/>
    <w:rsid w:val="003D78D4"/>
    <w:rsid w:val="003E2F7D"/>
    <w:rsid w:val="003E44B0"/>
    <w:rsid w:val="003E52B9"/>
    <w:rsid w:val="003E7879"/>
    <w:rsid w:val="003F08F5"/>
    <w:rsid w:val="003F12EB"/>
    <w:rsid w:val="003F1DB6"/>
    <w:rsid w:val="003F5253"/>
    <w:rsid w:val="003F5641"/>
    <w:rsid w:val="00404E1D"/>
    <w:rsid w:val="00405DB7"/>
    <w:rsid w:val="004107E0"/>
    <w:rsid w:val="00410B7B"/>
    <w:rsid w:val="00413B04"/>
    <w:rsid w:val="00415D61"/>
    <w:rsid w:val="00416F5E"/>
    <w:rsid w:val="00420754"/>
    <w:rsid w:val="00421A36"/>
    <w:rsid w:val="0042549C"/>
    <w:rsid w:val="00426998"/>
    <w:rsid w:val="00427D66"/>
    <w:rsid w:val="0043075F"/>
    <w:rsid w:val="00432857"/>
    <w:rsid w:val="00432F57"/>
    <w:rsid w:val="004331E3"/>
    <w:rsid w:val="004343FE"/>
    <w:rsid w:val="0043666B"/>
    <w:rsid w:val="00436C9A"/>
    <w:rsid w:val="00437D12"/>
    <w:rsid w:val="00443802"/>
    <w:rsid w:val="0044540A"/>
    <w:rsid w:val="00446311"/>
    <w:rsid w:val="00447B62"/>
    <w:rsid w:val="004500E2"/>
    <w:rsid w:val="004531CF"/>
    <w:rsid w:val="0045703C"/>
    <w:rsid w:val="004616D8"/>
    <w:rsid w:val="004631E1"/>
    <w:rsid w:val="0046383C"/>
    <w:rsid w:val="00464ED2"/>
    <w:rsid w:val="00466C08"/>
    <w:rsid w:val="004717C9"/>
    <w:rsid w:val="00471B15"/>
    <w:rsid w:val="00471D2A"/>
    <w:rsid w:val="00472206"/>
    <w:rsid w:val="0047385F"/>
    <w:rsid w:val="00474669"/>
    <w:rsid w:val="0047709B"/>
    <w:rsid w:val="004803D1"/>
    <w:rsid w:val="0048166D"/>
    <w:rsid w:val="00481C1D"/>
    <w:rsid w:val="004823CD"/>
    <w:rsid w:val="004840AC"/>
    <w:rsid w:val="004878BD"/>
    <w:rsid w:val="004917B1"/>
    <w:rsid w:val="00491A29"/>
    <w:rsid w:val="00492CFD"/>
    <w:rsid w:val="004A016C"/>
    <w:rsid w:val="004B5536"/>
    <w:rsid w:val="004B606A"/>
    <w:rsid w:val="004B6254"/>
    <w:rsid w:val="004C2BE1"/>
    <w:rsid w:val="004C366E"/>
    <w:rsid w:val="004C3AAF"/>
    <w:rsid w:val="004C4941"/>
    <w:rsid w:val="004C6AB6"/>
    <w:rsid w:val="004D010C"/>
    <w:rsid w:val="004D3F2B"/>
    <w:rsid w:val="004D6F2C"/>
    <w:rsid w:val="004E0500"/>
    <w:rsid w:val="004E1B28"/>
    <w:rsid w:val="004E1EB3"/>
    <w:rsid w:val="004E3BE0"/>
    <w:rsid w:val="004E48D0"/>
    <w:rsid w:val="004F0903"/>
    <w:rsid w:val="004F31AD"/>
    <w:rsid w:val="004F4509"/>
    <w:rsid w:val="004F4984"/>
    <w:rsid w:val="004F7360"/>
    <w:rsid w:val="005049B0"/>
    <w:rsid w:val="005060A8"/>
    <w:rsid w:val="00511148"/>
    <w:rsid w:val="00512325"/>
    <w:rsid w:val="0051308D"/>
    <w:rsid w:val="00513586"/>
    <w:rsid w:val="00515AAE"/>
    <w:rsid w:val="0051634C"/>
    <w:rsid w:val="00516C05"/>
    <w:rsid w:val="00521BBF"/>
    <w:rsid w:val="00521C78"/>
    <w:rsid w:val="005225B7"/>
    <w:rsid w:val="00523A55"/>
    <w:rsid w:val="005275DB"/>
    <w:rsid w:val="005277C9"/>
    <w:rsid w:val="00530EAE"/>
    <w:rsid w:val="00531504"/>
    <w:rsid w:val="00531F5D"/>
    <w:rsid w:val="00535FC8"/>
    <w:rsid w:val="005424E9"/>
    <w:rsid w:val="00550C64"/>
    <w:rsid w:val="00553C92"/>
    <w:rsid w:val="00554EC9"/>
    <w:rsid w:val="0055618B"/>
    <w:rsid w:val="00557AC1"/>
    <w:rsid w:val="0056106F"/>
    <w:rsid w:val="00561F18"/>
    <w:rsid w:val="00562FC1"/>
    <w:rsid w:val="00564F5A"/>
    <w:rsid w:val="005703FC"/>
    <w:rsid w:val="0057536A"/>
    <w:rsid w:val="00577341"/>
    <w:rsid w:val="005862AD"/>
    <w:rsid w:val="0058786D"/>
    <w:rsid w:val="00592BCB"/>
    <w:rsid w:val="005A0F90"/>
    <w:rsid w:val="005A279B"/>
    <w:rsid w:val="005A3E44"/>
    <w:rsid w:val="005A5C48"/>
    <w:rsid w:val="005A6882"/>
    <w:rsid w:val="005A70C6"/>
    <w:rsid w:val="005A77E9"/>
    <w:rsid w:val="005B0E24"/>
    <w:rsid w:val="005B1559"/>
    <w:rsid w:val="005B29A9"/>
    <w:rsid w:val="005B6DAC"/>
    <w:rsid w:val="005B7404"/>
    <w:rsid w:val="005D1EB5"/>
    <w:rsid w:val="005E4D6B"/>
    <w:rsid w:val="005E72AB"/>
    <w:rsid w:val="005F2DA6"/>
    <w:rsid w:val="005F4872"/>
    <w:rsid w:val="005F51B6"/>
    <w:rsid w:val="006008B5"/>
    <w:rsid w:val="00601475"/>
    <w:rsid w:val="0060640E"/>
    <w:rsid w:val="00606D69"/>
    <w:rsid w:val="00610448"/>
    <w:rsid w:val="0061079D"/>
    <w:rsid w:val="00611435"/>
    <w:rsid w:val="00611AE1"/>
    <w:rsid w:val="0061280F"/>
    <w:rsid w:val="0061287F"/>
    <w:rsid w:val="0061311B"/>
    <w:rsid w:val="00614E1F"/>
    <w:rsid w:val="0061661B"/>
    <w:rsid w:val="00620FF7"/>
    <w:rsid w:val="0062170E"/>
    <w:rsid w:val="006229DD"/>
    <w:rsid w:val="00623AAA"/>
    <w:rsid w:val="00625C7D"/>
    <w:rsid w:val="006271C9"/>
    <w:rsid w:val="00630CF8"/>
    <w:rsid w:val="006331DC"/>
    <w:rsid w:val="00633486"/>
    <w:rsid w:val="00637F32"/>
    <w:rsid w:val="00637F5F"/>
    <w:rsid w:val="00642944"/>
    <w:rsid w:val="006431C2"/>
    <w:rsid w:val="00650412"/>
    <w:rsid w:val="00650AC3"/>
    <w:rsid w:val="00652159"/>
    <w:rsid w:val="00654B04"/>
    <w:rsid w:val="00655C39"/>
    <w:rsid w:val="00657503"/>
    <w:rsid w:val="006613D3"/>
    <w:rsid w:val="00661D5B"/>
    <w:rsid w:val="006635E4"/>
    <w:rsid w:val="00663966"/>
    <w:rsid w:val="00671029"/>
    <w:rsid w:val="0067121A"/>
    <w:rsid w:val="0067157B"/>
    <w:rsid w:val="0067263B"/>
    <w:rsid w:val="00672BA9"/>
    <w:rsid w:val="00674113"/>
    <w:rsid w:val="00674EAB"/>
    <w:rsid w:val="00675663"/>
    <w:rsid w:val="00675ACD"/>
    <w:rsid w:val="00675F5A"/>
    <w:rsid w:val="006774A7"/>
    <w:rsid w:val="00680581"/>
    <w:rsid w:val="00681221"/>
    <w:rsid w:val="006817B6"/>
    <w:rsid w:val="00686B19"/>
    <w:rsid w:val="00687584"/>
    <w:rsid w:val="00690B88"/>
    <w:rsid w:val="00692297"/>
    <w:rsid w:val="00693D5A"/>
    <w:rsid w:val="0069438C"/>
    <w:rsid w:val="006954AF"/>
    <w:rsid w:val="006A1886"/>
    <w:rsid w:val="006A1A7D"/>
    <w:rsid w:val="006A4B61"/>
    <w:rsid w:val="006A4D89"/>
    <w:rsid w:val="006A69A9"/>
    <w:rsid w:val="006A6B03"/>
    <w:rsid w:val="006A7232"/>
    <w:rsid w:val="006C0EAB"/>
    <w:rsid w:val="006C1845"/>
    <w:rsid w:val="006C2064"/>
    <w:rsid w:val="006C2483"/>
    <w:rsid w:val="006C270B"/>
    <w:rsid w:val="006C2B22"/>
    <w:rsid w:val="006C3418"/>
    <w:rsid w:val="006C75CF"/>
    <w:rsid w:val="006C7B54"/>
    <w:rsid w:val="006D393B"/>
    <w:rsid w:val="006D7811"/>
    <w:rsid w:val="006E074C"/>
    <w:rsid w:val="006E0F3D"/>
    <w:rsid w:val="006E11D1"/>
    <w:rsid w:val="006E159F"/>
    <w:rsid w:val="006E1FCB"/>
    <w:rsid w:val="006E2810"/>
    <w:rsid w:val="006E3B21"/>
    <w:rsid w:val="006F1026"/>
    <w:rsid w:val="006F39D1"/>
    <w:rsid w:val="006F593D"/>
    <w:rsid w:val="006F6456"/>
    <w:rsid w:val="006F7319"/>
    <w:rsid w:val="006F7FB1"/>
    <w:rsid w:val="0070435F"/>
    <w:rsid w:val="0070663A"/>
    <w:rsid w:val="00707EAF"/>
    <w:rsid w:val="00710700"/>
    <w:rsid w:val="00712432"/>
    <w:rsid w:val="00712C31"/>
    <w:rsid w:val="00717408"/>
    <w:rsid w:val="00721F77"/>
    <w:rsid w:val="007248FC"/>
    <w:rsid w:val="007250C8"/>
    <w:rsid w:val="00725D1C"/>
    <w:rsid w:val="00726BD0"/>
    <w:rsid w:val="00726F26"/>
    <w:rsid w:val="0073113F"/>
    <w:rsid w:val="0073268F"/>
    <w:rsid w:val="007330C0"/>
    <w:rsid w:val="007346D6"/>
    <w:rsid w:val="00734E8D"/>
    <w:rsid w:val="0073598B"/>
    <w:rsid w:val="00736494"/>
    <w:rsid w:val="00740585"/>
    <w:rsid w:val="00741FE7"/>
    <w:rsid w:val="007467F4"/>
    <w:rsid w:val="00746DA5"/>
    <w:rsid w:val="00747B0D"/>
    <w:rsid w:val="00747C99"/>
    <w:rsid w:val="00750246"/>
    <w:rsid w:val="00752E02"/>
    <w:rsid w:val="00753584"/>
    <w:rsid w:val="00761EEC"/>
    <w:rsid w:val="00761F04"/>
    <w:rsid w:val="00767807"/>
    <w:rsid w:val="007724A8"/>
    <w:rsid w:val="0077341E"/>
    <w:rsid w:val="007760E7"/>
    <w:rsid w:val="00781AFF"/>
    <w:rsid w:val="00782126"/>
    <w:rsid w:val="007826F4"/>
    <w:rsid w:val="00782A94"/>
    <w:rsid w:val="0078324E"/>
    <w:rsid w:val="00786310"/>
    <w:rsid w:val="0078753A"/>
    <w:rsid w:val="007916F5"/>
    <w:rsid w:val="007923CB"/>
    <w:rsid w:val="007924DB"/>
    <w:rsid w:val="007A4A1F"/>
    <w:rsid w:val="007B2F9C"/>
    <w:rsid w:val="007B3E47"/>
    <w:rsid w:val="007B4BC3"/>
    <w:rsid w:val="007C178E"/>
    <w:rsid w:val="007C3049"/>
    <w:rsid w:val="007C4D68"/>
    <w:rsid w:val="007C5ADA"/>
    <w:rsid w:val="007C7EF5"/>
    <w:rsid w:val="007D0277"/>
    <w:rsid w:val="007D0DC6"/>
    <w:rsid w:val="007D3942"/>
    <w:rsid w:val="007D75FF"/>
    <w:rsid w:val="007E7F4D"/>
    <w:rsid w:val="007F110F"/>
    <w:rsid w:val="007F1D74"/>
    <w:rsid w:val="007F288A"/>
    <w:rsid w:val="007F3D41"/>
    <w:rsid w:val="007F448A"/>
    <w:rsid w:val="007F4BF7"/>
    <w:rsid w:val="007F6062"/>
    <w:rsid w:val="007F78E2"/>
    <w:rsid w:val="00802D34"/>
    <w:rsid w:val="008057D8"/>
    <w:rsid w:val="00806E3E"/>
    <w:rsid w:val="00811B35"/>
    <w:rsid w:val="00811E47"/>
    <w:rsid w:val="0081511B"/>
    <w:rsid w:val="008233A8"/>
    <w:rsid w:val="0082537C"/>
    <w:rsid w:val="008366F0"/>
    <w:rsid w:val="00836E11"/>
    <w:rsid w:val="008408FE"/>
    <w:rsid w:val="00843033"/>
    <w:rsid w:val="00845DDE"/>
    <w:rsid w:val="00847360"/>
    <w:rsid w:val="00847793"/>
    <w:rsid w:val="00853C13"/>
    <w:rsid w:val="00854A93"/>
    <w:rsid w:val="00856628"/>
    <w:rsid w:val="00857D69"/>
    <w:rsid w:val="00860EA5"/>
    <w:rsid w:val="0086236F"/>
    <w:rsid w:val="0087293F"/>
    <w:rsid w:val="00876DE7"/>
    <w:rsid w:val="0088101E"/>
    <w:rsid w:val="00881923"/>
    <w:rsid w:val="00882681"/>
    <w:rsid w:val="00882725"/>
    <w:rsid w:val="00882D19"/>
    <w:rsid w:val="00884631"/>
    <w:rsid w:val="00884BCA"/>
    <w:rsid w:val="00885A6A"/>
    <w:rsid w:val="008867F6"/>
    <w:rsid w:val="00886ECF"/>
    <w:rsid w:val="008935E8"/>
    <w:rsid w:val="008936F8"/>
    <w:rsid w:val="008972C5"/>
    <w:rsid w:val="008A1522"/>
    <w:rsid w:val="008A1916"/>
    <w:rsid w:val="008A1EF4"/>
    <w:rsid w:val="008A1F30"/>
    <w:rsid w:val="008A2D30"/>
    <w:rsid w:val="008A3370"/>
    <w:rsid w:val="008A37DA"/>
    <w:rsid w:val="008A5892"/>
    <w:rsid w:val="008B6778"/>
    <w:rsid w:val="008B6A50"/>
    <w:rsid w:val="008C3448"/>
    <w:rsid w:val="008C3E7E"/>
    <w:rsid w:val="008C4386"/>
    <w:rsid w:val="008C76E0"/>
    <w:rsid w:val="008C7B43"/>
    <w:rsid w:val="008C7BB1"/>
    <w:rsid w:val="008D15F3"/>
    <w:rsid w:val="008D6382"/>
    <w:rsid w:val="008D7772"/>
    <w:rsid w:val="008D7B9B"/>
    <w:rsid w:val="008E2D98"/>
    <w:rsid w:val="008E3E7D"/>
    <w:rsid w:val="008E5277"/>
    <w:rsid w:val="008F1A54"/>
    <w:rsid w:val="008F1F43"/>
    <w:rsid w:val="008F25B5"/>
    <w:rsid w:val="008F5922"/>
    <w:rsid w:val="008F59DD"/>
    <w:rsid w:val="00900AB8"/>
    <w:rsid w:val="0090313C"/>
    <w:rsid w:val="00903819"/>
    <w:rsid w:val="009056B4"/>
    <w:rsid w:val="00912647"/>
    <w:rsid w:val="0091706E"/>
    <w:rsid w:val="00920838"/>
    <w:rsid w:val="00922232"/>
    <w:rsid w:val="00926998"/>
    <w:rsid w:val="00927682"/>
    <w:rsid w:val="00927C8D"/>
    <w:rsid w:val="009311D7"/>
    <w:rsid w:val="009324A1"/>
    <w:rsid w:val="00932560"/>
    <w:rsid w:val="009332B3"/>
    <w:rsid w:val="00933DCB"/>
    <w:rsid w:val="009410FE"/>
    <w:rsid w:val="0094293C"/>
    <w:rsid w:val="00943BAA"/>
    <w:rsid w:val="00944785"/>
    <w:rsid w:val="009504BE"/>
    <w:rsid w:val="00952F19"/>
    <w:rsid w:val="00954A0D"/>
    <w:rsid w:val="00954A47"/>
    <w:rsid w:val="00960858"/>
    <w:rsid w:val="00970357"/>
    <w:rsid w:val="0097071D"/>
    <w:rsid w:val="00970F3F"/>
    <w:rsid w:val="00973EB4"/>
    <w:rsid w:val="0097522F"/>
    <w:rsid w:val="00977C4B"/>
    <w:rsid w:val="00984F6C"/>
    <w:rsid w:val="0098651A"/>
    <w:rsid w:val="009879AF"/>
    <w:rsid w:val="009902AF"/>
    <w:rsid w:val="00991BEC"/>
    <w:rsid w:val="009962CC"/>
    <w:rsid w:val="00997384"/>
    <w:rsid w:val="009A1545"/>
    <w:rsid w:val="009A1B9B"/>
    <w:rsid w:val="009A3139"/>
    <w:rsid w:val="009B010F"/>
    <w:rsid w:val="009B0F76"/>
    <w:rsid w:val="009B2347"/>
    <w:rsid w:val="009C7F51"/>
    <w:rsid w:val="009D02F9"/>
    <w:rsid w:val="009D09A5"/>
    <w:rsid w:val="009D1664"/>
    <w:rsid w:val="009E62C5"/>
    <w:rsid w:val="009F0162"/>
    <w:rsid w:val="009F042F"/>
    <w:rsid w:val="009F7C6D"/>
    <w:rsid w:val="00A011DE"/>
    <w:rsid w:val="00A01C86"/>
    <w:rsid w:val="00A0245A"/>
    <w:rsid w:val="00A02B47"/>
    <w:rsid w:val="00A05EB4"/>
    <w:rsid w:val="00A0631E"/>
    <w:rsid w:val="00A06558"/>
    <w:rsid w:val="00A06E77"/>
    <w:rsid w:val="00A10504"/>
    <w:rsid w:val="00A12E04"/>
    <w:rsid w:val="00A133C1"/>
    <w:rsid w:val="00A16EDA"/>
    <w:rsid w:val="00A17B8D"/>
    <w:rsid w:val="00A20330"/>
    <w:rsid w:val="00A20851"/>
    <w:rsid w:val="00A23072"/>
    <w:rsid w:val="00A269C3"/>
    <w:rsid w:val="00A279E6"/>
    <w:rsid w:val="00A27ED0"/>
    <w:rsid w:val="00A30A76"/>
    <w:rsid w:val="00A33998"/>
    <w:rsid w:val="00A3578D"/>
    <w:rsid w:val="00A35D84"/>
    <w:rsid w:val="00A369D1"/>
    <w:rsid w:val="00A37859"/>
    <w:rsid w:val="00A4024B"/>
    <w:rsid w:val="00A44016"/>
    <w:rsid w:val="00A46136"/>
    <w:rsid w:val="00A477A1"/>
    <w:rsid w:val="00A55070"/>
    <w:rsid w:val="00A5798A"/>
    <w:rsid w:val="00A61FC2"/>
    <w:rsid w:val="00A62563"/>
    <w:rsid w:val="00A62692"/>
    <w:rsid w:val="00A62A7F"/>
    <w:rsid w:val="00A63549"/>
    <w:rsid w:val="00A642F1"/>
    <w:rsid w:val="00A72234"/>
    <w:rsid w:val="00A72359"/>
    <w:rsid w:val="00A7335D"/>
    <w:rsid w:val="00A7391C"/>
    <w:rsid w:val="00A755ED"/>
    <w:rsid w:val="00A82003"/>
    <w:rsid w:val="00A836DB"/>
    <w:rsid w:val="00A84449"/>
    <w:rsid w:val="00A85C2A"/>
    <w:rsid w:val="00A909A0"/>
    <w:rsid w:val="00A96D8D"/>
    <w:rsid w:val="00AA294E"/>
    <w:rsid w:val="00AA39D2"/>
    <w:rsid w:val="00AA6059"/>
    <w:rsid w:val="00AB1D1A"/>
    <w:rsid w:val="00AB3831"/>
    <w:rsid w:val="00AB4628"/>
    <w:rsid w:val="00AB68E6"/>
    <w:rsid w:val="00AB6B2A"/>
    <w:rsid w:val="00AC1AAD"/>
    <w:rsid w:val="00AC1D42"/>
    <w:rsid w:val="00AC2B42"/>
    <w:rsid w:val="00AC6173"/>
    <w:rsid w:val="00AC6DE2"/>
    <w:rsid w:val="00AD113C"/>
    <w:rsid w:val="00AD1CA9"/>
    <w:rsid w:val="00AD2A15"/>
    <w:rsid w:val="00AD79E1"/>
    <w:rsid w:val="00AE2505"/>
    <w:rsid w:val="00AE6B7C"/>
    <w:rsid w:val="00AF0AD9"/>
    <w:rsid w:val="00AF2439"/>
    <w:rsid w:val="00AF32CC"/>
    <w:rsid w:val="00AF65FD"/>
    <w:rsid w:val="00AF69E0"/>
    <w:rsid w:val="00B0277E"/>
    <w:rsid w:val="00B0575C"/>
    <w:rsid w:val="00B0775A"/>
    <w:rsid w:val="00B115DF"/>
    <w:rsid w:val="00B14293"/>
    <w:rsid w:val="00B14997"/>
    <w:rsid w:val="00B17094"/>
    <w:rsid w:val="00B26348"/>
    <w:rsid w:val="00B30D36"/>
    <w:rsid w:val="00B3171E"/>
    <w:rsid w:val="00B3473E"/>
    <w:rsid w:val="00B422D0"/>
    <w:rsid w:val="00B456C2"/>
    <w:rsid w:val="00B46087"/>
    <w:rsid w:val="00B4649F"/>
    <w:rsid w:val="00B50785"/>
    <w:rsid w:val="00B50E5F"/>
    <w:rsid w:val="00B51275"/>
    <w:rsid w:val="00B52C59"/>
    <w:rsid w:val="00B52D16"/>
    <w:rsid w:val="00B5343F"/>
    <w:rsid w:val="00B53DA5"/>
    <w:rsid w:val="00B55D1F"/>
    <w:rsid w:val="00B56600"/>
    <w:rsid w:val="00B632D9"/>
    <w:rsid w:val="00B6675D"/>
    <w:rsid w:val="00B66B36"/>
    <w:rsid w:val="00B67592"/>
    <w:rsid w:val="00B67703"/>
    <w:rsid w:val="00B7072E"/>
    <w:rsid w:val="00B77989"/>
    <w:rsid w:val="00B80E6C"/>
    <w:rsid w:val="00B81EA5"/>
    <w:rsid w:val="00B82BAF"/>
    <w:rsid w:val="00B82E69"/>
    <w:rsid w:val="00B8390C"/>
    <w:rsid w:val="00B84DDC"/>
    <w:rsid w:val="00B85698"/>
    <w:rsid w:val="00B901E3"/>
    <w:rsid w:val="00B92F2A"/>
    <w:rsid w:val="00B9392F"/>
    <w:rsid w:val="00B93E55"/>
    <w:rsid w:val="00B962B5"/>
    <w:rsid w:val="00BA2CEB"/>
    <w:rsid w:val="00BA3146"/>
    <w:rsid w:val="00BB0A23"/>
    <w:rsid w:val="00BB11E8"/>
    <w:rsid w:val="00BB2713"/>
    <w:rsid w:val="00BB28BC"/>
    <w:rsid w:val="00BB3080"/>
    <w:rsid w:val="00BB543B"/>
    <w:rsid w:val="00BB56A1"/>
    <w:rsid w:val="00BB6D65"/>
    <w:rsid w:val="00BC08AA"/>
    <w:rsid w:val="00BC2EDB"/>
    <w:rsid w:val="00BC6155"/>
    <w:rsid w:val="00BD01BA"/>
    <w:rsid w:val="00BD1F97"/>
    <w:rsid w:val="00BD2FB4"/>
    <w:rsid w:val="00BD35E3"/>
    <w:rsid w:val="00BD41DF"/>
    <w:rsid w:val="00BE01BC"/>
    <w:rsid w:val="00BE2B3E"/>
    <w:rsid w:val="00BE38FE"/>
    <w:rsid w:val="00BE451C"/>
    <w:rsid w:val="00BE463E"/>
    <w:rsid w:val="00BE466C"/>
    <w:rsid w:val="00BE4937"/>
    <w:rsid w:val="00BE4C27"/>
    <w:rsid w:val="00BE528C"/>
    <w:rsid w:val="00BE5480"/>
    <w:rsid w:val="00BF066D"/>
    <w:rsid w:val="00BF18DE"/>
    <w:rsid w:val="00BF64F1"/>
    <w:rsid w:val="00C011F3"/>
    <w:rsid w:val="00C0219B"/>
    <w:rsid w:val="00C03C5B"/>
    <w:rsid w:val="00C03E96"/>
    <w:rsid w:val="00C075B0"/>
    <w:rsid w:val="00C1073A"/>
    <w:rsid w:val="00C130CC"/>
    <w:rsid w:val="00C13AAF"/>
    <w:rsid w:val="00C14289"/>
    <w:rsid w:val="00C16178"/>
    <w:rsid w:val="00C1657E"/>
    <w:rsid w:val="00C16C41"/>
    <w:rsid w:val="00C172FC"/>
    <w:rsid w:val="00C2278C"/>
    <w:rsid w:val="00C23360"/>
    <w:rsid w:val="00C25FE6"/>
    <w:rsid w:val="00C26B4F"/>
    <w:rsid w:val="00C27BAA"/>
    <w:rsid w:val="00C31FAC"/>
    <w:rsid w:val="00C40224"/>
    <w:rsid w:val="00C41272"/>
    <w:rsid w:val="00C41C20"/>
    <w:rsid w:val="00C42EDB"/>
    <w:rsid w:val="00C43A2B"/>
    <w:rsid w:val="00C441AF"/>
    <w:rsid w:val="00C44802"/>
    <w:rsid w:val="00C46B60"/>
    <w:rsid w:val="00C51F13"/>
    <w:rsid w:val="00C543C9"/>
    <w:rsid w:val="00C60389"/>
    <w:rsid w:val="00C63353"/>
    <w:rsid w:val="00C64FD8"/>
    <w:rsid w:val="00C6592D"/>
    <w:rsid w:val="00C6783E"/>
    <w:rsid w:val="00C72828"/>
    <w:rsid w:val="00C735FF"/>
    <w:rsid w:val="00C740C0"/>
    <w:rsid w:val="00C76D6D"/>
    <w:rsid w:val="00C77447"/>
    <w:rsid w:val="00C7761C"/>
    <w:rsid w:val="00C77A06"/>
    <w:rsid w:val="00C87681"/>
    <w:rsid w:val="00C87F7A"/>
    <w:rsid w:val="00C909F5"/>
    <w:rsid w:val="00C91782"/>
    <w:rsid w:val="00C91A55"/>
    <w:rsid w:val="00C93359"/>
    <w:rsid w:val="00C9482A"/>
    <w:rsid w:val="00C96168"/>
    <w:rsid w:val="00C962B7"/>
    <w:rsid w:val="00C97CC1"/>
    <w:rsid w:val="00CA0655"/>
    <w:rsid w:val="00CA46F0"/>
    <w:rsid w:val="00CA6187"/>
    <w:rsid w:val="00CA6394"/>
    <w:rsid w:val="00CA720F"/>
    <w:rsid w:val="00CB0EDC"/>
    <w:rsid w:val="00CB2E24"/>
    <w:rsid w:val="00CB4834"/>
    <w:rsid w:val="00CB61F7"/>
    <w:rsid w:val="00CB64FE"/>
    <w:rsid w:val="00CB7BF5"/>
    <w:rsid w:val="00CC0B6A"/>
    <w:rsid w:val="00CC22BB"/>
    <w:rsid w:val="00CC2A19"/>
    <w:rsid w:val="00CC3F07"/>
    <w:rsid w:val="00CC548E"/>
    <w:rsid w:val="00CD1F63"/>
    <w:rsid w:val="00CD2BCC"/>
    <w:rsid w:val="00CD4608"/>
    <w:rsid w:val="00CD5A4C"/>
    <w:rsid w:val="00CE199B"/>
    <w:rsid w:val="00CE6118"/>
    <w:rsid w:val="00CF6BC3"/>
    <w:rsid w:val="00D0156F"/>
    <w:rsid w:val="00D048DA"/>
    <w:rsid w:val="00D04A9F"/>
    <w:rsid w:val="00D04C24"/>
    <w:rsid w:val="00D072CA"/>
    <w:rsid w:val="00D07952"/>
    <w:rsid w:val="00D100AF"/>
    <w:rsid w:val="00D1382A"/>
    <w:rsid w:val="00D1473A"/>
    <w:rsid w:val="00D1501B"/>
    <w:rsid w:val="00D1723C"/>
    <w:rsid w:val="00D20620"/>
    <w:rsid w:val="00D22EE1"/>
    <w:rsid w:val="00D2575C"/>
    <w:rsid w:val="00D263A4"/>
    <w:rsid w:val="00D26E0B"/>
    <w:rsid w:val="00D33A7F"/>
    <w:rsid w:val="00D40C9C"/>
    <w:rsid w:val="00D42FF2"/>
    <w:rsid w:val="00D435A0"/>
    <w:rsid w:val="00D43ED7"/>
    <w:rsid w:val="00D4418F"/>
    <w:rsid w:val="00D46492"/>
    <w:rsid w:val="00D467BF"/>
    <w:rsid w:val="00D473D0"/>
    <w:rsid w:val="00D50798"/>
    <w:rsid w:val="00D54E96"/>
    <w:rsid w:val="00D5613F"/>
    <w:rsid w:val="00D56735"/>
    <w:rsid w:val="00D603F6"/>
    <w:rsid w:val="00D60973"/>
    <w:rsid w:val="00D60C6A"/>
    <w:rsid w:val="00D65F69"/>
    <w:rsid w:val="00D66B0F"/>
    <w:rsid w:val="00D66F2E"/>
    <w:rsid w:val="00D67BB1"/>
    <w:rsid w:val="00D71D56"/>
    <w:rsid w:val="00D74BC7"/>
    <w:rsid w:val="00D75110"/>
    <w:rsid w:val="00D807CD"/>
    <w:rsid w:val="00D84281"/>
    <w:rsid w:val="00D874BB"/>
    <w:rsid w:val="00D87B94"/>
    <w:rsid w:val="00D90515"/>
    <w:rsid w:val="00D92DF5"/>
    <w:rsid w:val="00D9594B"/>
    <w:rsid w:val="00D96080"/>
    <w:rsid w:val="00DA07BE"/>
    <w:rsid w:val="00DA0DD7"/>
    <w:rsid w:val="00DA226C"/>
    <w:rsid w:val="00DA5B0A"/>
    <w:rsid w:val="00DA610D"/>
    <w:rsid w:val="00DA62C0"/>
    <w:rsid w:val="00DA6486"/>
    <w:rsid w:val="00DA7CBD"/>
    <w:rsid w:val="00DB0268"/>
    <w:rsid w:val="00DB0A21"/>
    <w:rsid w:val="00DB33EC"/>
    <w:rsid w:val="00DB3C96"/>
    <w:rsid w:val="00DB6775"/>
    <w:rsid w:val="00DC011B"/>
    <w:rsid w:val="00DC044E"/>
    <w:rsid w:val="00DC04C8"/>
    <w:rsid w:val="00DC2B8B"/>
    <w:rsid w:val="00DC41A6"/>
    <w:rsid w:val="00DC62C0"/>
    <w:rsid w:val="00DC6F4F"/>
    <w:rsid w:val="00DD5DF2"/>
    <w:rsid w:val="00DD6771"/>
    <w:rsid w:val="00DE36FF"/>
    <w:rsid w:val="00DE6E5C"/>
    <w:rsid w:val="00DF11D7"/>
    <w:rsid w:val="00DF1FE5"/>
    <w:rsid w:val="00DF3067"/>
    <w:rsid w:val="00DF378C"/>
    <w:rsid w:val="00DF650A"/>
    <w:rsid w:val="00E02DC4"/>
    <w:rsid w:val="00E05C90"/>
    <w:rsid w:val="00E07CE7"/>
    <w:rsid w:val="00E226F4"/>
    <w:rsid w:val="00E2299D"/>
    <w:rsid w:val="00E2513B"/>
    <w:rsid w:val="00E317AE"/>
    <w:rsid w:val="00E321A9"/>
    <w:rsid w:val="00E32F95"/>
    <w:rsid w:val="00E34782"/>
    <w:rsid w:val="00E36BFF"/>
    <w:rsid w:val="00E37A16"/>
    <w:rsid w:val="00E37ED2"/>
    <w:rsid w:val="00E42459"/>
    <w:rsid w:val="00E449BD"/>
    <w:rsid w:val="00E50020"/>
    <w:rsid w:val="00E500F4"/>
    <w:rsid w:val="00E52E8A"/>
    <w:rsid w:val="00E53418"/>
    <w:rsid w:val="00E53A7E"/>
    <w:rsid w:val="00E54793"/>
    <w:rsid w:val="00E573B2"/>
    <w:rsid w:val="00E60D21"/>
    <w:rsid w:val="00E6242D"/>
    <w:rsid w:val="00E64E55"/>
    <w:rsid w:val="00E65382"/>
    <w:rsid w:val="00E6789B"/>
    <w:rsid w:val="00E72525"/>
    <w:rsid w:val="00E726D2"/>
    <w:rsid w:val="00E72940"/>
    <w:rsid w:val="00E74722"/>
    <w:rsid w:val="00E82E62"/>
    <w:rsid w:val="00E84DD5"/>
    <w:rsid w:val="00E85670"/>
    <w:rsid w:val="00E86E82"/>
    <w:rsid w:val="00E95719"/>
    <w:rsid w:val="00EA02F8"/>
    <w:rsid w:val="00EA0752"/>
    <w:rsid w:val="00EA2299"/>
    <w:rsid w:val="00EA3B61"/>
    <w:rsid w:val="00EA5C88"/>
    <w:rsid w:val="00EA6C8C"/>
    <w:rsid w:val="00EB0561"/>
    <w:rsid w:val="00EB0F9C"/>
    <w:rsid w:val="00EB3C65"/>
    <w:rsid w:val="00EB54C6"/>
    <w:rsid w:val="00EC00BA"/>
    <w:rsid w:val="00EC2A8C"/>
    <w:rsid w:val="00EC2D3D"/>
    <w:rsid w:val="00ED103B"/>
    <w:rsid w:val="00ED47C3"/>
    <w:rsid w:val="00ED57E0"/>
    <w:rsid w:val="00ED5813"/>
    <w:rsid w:val="00ED58A2"/>
    <w:rsid w:val="00ED702C"/>
    <w:rsid w:val="00EE19BC"/>
    <w:rsid w:val="00EE19C1"/>
    <w:rsid w:val="00EE1F7E"/>
    <w:rsid w:val="00EE54B6"/>
    <w:rsid w:val="00EF2A95"/>
    <w:rsid w:val="00EF7544"/>
    <w:rsid w:val="00EF7946"/>
    <w:rsid w:val="00F07740"/>
    <w:rsid w:val="00F10A27"/>
    <w:rsid w:val="00F13426"/>
    <w:rsid w:val="00F17138"/>
    <w:rsid w:val="00F17AE3"/>
    <w:rsid w:val="00F23498"/>
    <w:rsid w:val="00F244A9"/>
    <w:rsid w:val="00F24A0D"/>
    <w:rsid w:val="00F24EC3"/>
    <w:rsid w:val="00F26E19"/>
    <w:rsid w:val="00F307FA"/>
    <w:rsid w:val="00F3372C"/>
    <w:rsid w:val="00F337FF"/>
    <w:rsid w:val="00F339DC"/>
    <w:rsid w:val="00F3609B"/>
    <w:rsid w:val="00F37276"/>
    <w:rsid w:val="00F43F50"/>
    <w:rsid w:val="00F46A0B"/>
    <w:rsid w:val="00F503D3"/>
    <w:rsid w:val="00F50B2D"/>
    <w:rsid w:val="00F53242"/>
    <w:rsid w:val="00F636CE"/>
    <w:rsid w:val="00F63ADD"/>
    <w:rsid w:val="00F646B6"/>
    <w:rsid w:val="00F65E23"/>
    <w:rsid w:val="00F70EF2"/>
    <w:rsid w:val="00F7107C"/>
    <w:rsid w:val="00F74969"/>
    <w:rsid w:val="00F75A71"/>
    <w:rsid w:val="00F8055C"/>
    <w:rsid w:val="00F82162"/>
    <w:rsid w:val="00F85D19"/>
    <w:rsid w:val="00F86E43"/>
    <w:rsid w:val="00F87068"/>
    <w:rsid w:val="00F908E6"/>
    <w:rsid w:val="00F921E2"/>
    <w:rsid w:val="00F96EC5"/>
    <w:rsid w:val="00FB297F"/>
    <w:rsid w:val="00FB5620"/>
    <w:rsid w:val="00FB7C13"/>
    <w:rsid w:val="00FB7C45"/>
    <w:rsid w:val="00FC0B73"/>
    <w:rsid w:val="00FC3770"/>
    <w:rsid w:val="00FC782C"/>
    <w:rsid w:val="00FC7AF7"/>
    <w:rsid w:val="00FC7E31"/>
    <w:rsid w:val="00FD3068"/>
    <w:rsid w:val="00FD493A"/>
    <w:rsid w:val="00FD52F1"/>
    <w:rsid w:val="00FD5A3E"/>
    <w:rsid w:val="00FD7FAC"/>
    <w:rsid w:val="00FE5347"/>
    <w:rsid w:val="00FE7AC1"/>
    <w:rsid w:val="00FF1EB1"/>
    <w:rsid w:val="00FF5FA9"/>
    <w:rsid w:val="00FF7E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D76"/>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76"/>
    <w:rPr>
      <w:rFonts w:ascii="Lucida Grande" w:hAnsi="Lucida Grande"/>
      <w:sz w:val="18"/>
      <w:szCs w:val="18"/>
    </w:rPr>
  </w:style>
  <w:style w:type="paragraph" w:styleId="Header">
    <w:name w:val="header"/>
    <w:basedOn w:val="Normal"/>
    <w:link w:val="HeaderChar"/>
    <w:uiPriority w:val="99"/>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semiHidden/>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uiPriority w:val="39"/>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4823CD"/>
    <w:pPr>
      <w:numPr>
        <w:numId w:val="12"/>
      </w:numPr>
      <w:tabs>
        <w:tab w:val="left" w:pos="720"/>
      </w:tabs>
      <w:spacing w:line="480" w:lineRule="auto"/>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HeaderChar">
    <w:name w:val="Header Char"/>
    <w:link w:val="Header"/>
    <w:uiPriority w:val="99"/>
    <w:rsid w:val="006C1845"/>
    <w:rPr>
      <w:sz w:val="24"/>
      <w:szCs w:val="24"/>
    </w:rPr>
  </w:style>
  <w:style w:type="paragraph" w:styleId="ListParagraph">
    <w:name w:val="List Paragraph"/>
    <w:basedOn w:val="Normal"/>
    <w:uiPriority w:val="34"/>
    <w:qFormat/>
    <w:rsid w:val="00DF378C"/>
    <w:pPr>
      <w:ind w:left="720"/>
      <w:contextualSpacing/>
    </w:pPr>
  </w:style>
  <w:style w:type="character" w:customStyle="1" w:styleId="FootnoteTextChar">
    <w:name w:val="Footnote Text Char"/>
    <w:link w:val="FootnoteText"/>
    <w:uiPriority w:val="99"/>
    <w:semiHidden/>
    <w:rsid w:val="007D3942"/>
    <w:rPr>
      <w:szCs w:val="24"/>
    </w:rPr>
  </w:style>
  <w:style w:type="table" w:styleId="TableGrid">
    <w:name w:val="Table Grid"/>
    <w:basedOn w:val="TableNormal"/>
    <w:uiPriority w:val="59"/>
    <w:rsid w:val="009A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D76"/>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76"/>
    <w:rPr>
      <w:rFonts w:ascii="Lucida Grande" w:hAnsi="Lucida Grande"/>
      <w:sz w:val="18"/>
      <w:szCs w:val="18"/>
    </w:rPr>
  </w:style>
  <w:style w:type="paragraph" w:styleId="Header">
    <w:name w:val="header"/>
    <w:basedOn w:val="Normal"/>
    <w:link w:val="HeaderChar"/>
    <w:uiPriority w:val="99"/>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semiHidden/>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uiPriority w:val="39"/>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4823CD"/>
    <w:pPr>
      <w:numPr>
        <w:numId w:val="12"/>
      </w:numPr>
      <w:tabs>
        <w:tab w:val="left" w:pos="720"/>
      </w:tabs>
      <w:spacing w:line="480" w:lineRule="auto"/>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HeaderChar">
    <w:name w:val="Header Char"/>
    <w:link w:val="Header"/>
    <w:uiPriority w:val="99"/>
    <w:rsid w:val="006C1845"/>
    <w:rPr>
      <w:sz w:val="24"/>
      <w:szCs w:val="24"/>
    </w:rPr>
  </w:style>
  <w:style w:type="paragraph" w:styleId="ListParagraph">
    <w:name w:val="List Paragraph"/>
    <w:basedOn w:val="Normal"/>
    <w:uiPriority w:val="34"/>
    <w:qFormat/>
    <w:rsid w:val="00DF378C"/>
    <w:pPr>
      <w:ind w:left="720"/>
      <w:contextualSpacing/>
    </w:pPr>
  </w:style>
  <w:style w:type="character" w:customStyle="1" w:styleId="FootnoteTextChar">
    <w:name w:val="Footnote Text Char"/>
    <w:link w:val="FootnoteText"/>
    <w:uiPriority w:val="99"/>
    <w:semiHidden/>
    <w:rsid w:val="007D3942"/>
    <w:rPr>
      <w:szCs w:val="24"/>
    </w:rPr>
  </w:style>
  <w:style w:type="table" w:styleId="TableGrid">
    <w:name w:val="Table Grid"/>
    <w:basedOn w:val="TableNormal"/>
    <w:uiPriority w:val="59"/>
    <w:rsid w:val="009A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E0D7972-BE7E-49FC-8955-E7C5DD6F4F1E}"/>
</file>

<file path=customXml/itemProps2.xml><?xml version="1.0" encoding="utf-8"?>
<ds:datastoreItem xmlns:ds="http://schemas.openxmlformats.org/officeDocument/2006/customXml" ds:itemID="{1BC6A550-7159-49F7-AA71-3609C07D8BCA}"/>
</file>

<file path=customXml/itemProps3.xml><?xml version="1.0" encoding="utf-8"?>
<ds:datastoreItem xmlns:ds="http://schemas.openxmlformats.org/officeDocument/2006/customXml" ds:itemID="{BEA3D042-96A6-4F46-81EB-40639F7C6AE6}"/>
</file>

<file path=customXml/itemProps4.xml><?xml version="1.0" encoding="utf-8"?>
<ds:datastoreItem xmlns:ds="http://schemas.openxmlformats.org/officeDocument/2006/customXml" ds:itemID="{2D3E4C03-800F-4D2F-9DC2-FE60943F6F40}"/>
</file>

<file path=customXml/itemProps5.xml><?xml version="1.0" encoding="utf-8"?>
<ds:datastoreItem xmlns:ds="http://schemas.openxmlformats.org/officeDocument/2006/customXml" ds:itemID="{B1931BAB-7818-4E53-A9CB-A087CBE13A2D}"/>
</file>

<file path=docProps/app.xml><?xml version="1.0" encoding="utf-8"?>
<Properties xmlns="http://schemas.openxmlformats.org/officeDocument/2006/extended-properties" xmlns:vt="http://schemas.openxmlformats.org/officeDocument/2006/docPropsVTypes">
  <Template>Normal.dotm</Template>
  <TotalTime>1296</TotalTime>
  <Pages>58</Pages>
  <Words>13156</Words>
  <Characters>74993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87974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Mak, Chanda (ATG)</cp:lastModifiedBy>
  <cp:revision>180</cp:revision>
  <cp:lastPrinted>2015-03-05T16:40:00Z</cp:lastPrinted>
  <dcterms:created xsi:type="dcterms:W3CDTF">2015-03-03T18:40:00Z</dcterms:created>
  <dcterms:modified xsi:type="dcterms:W3CDTF">2015-03-06T16:57:00Z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