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F5B" w14:textId="77777777" w:rsidR="00D57785" w:rsidRDefault="00D57785">
      <w:pPr>
        <w:pStyle w:val="Title"/>
      </w:pPr>
    </w:p>
    <w:p w14:paraId="4279ED45" w14:textId="77777777" w:rsidR="00AF1736" w:rsidRDefault="00AF1736">
      <w:pPr>
        <w:jc w:val="center"/>
        <w:rPr>
          <w:b/>
          <w:bCs/>
        </w:rPr>
      </w:pPr>
      <w:r>
        <w:rPr>
          <w:b/>
          <w:bCs/>
        </w:rPr>
        <w:t xml:space="preserve">BEFORE THE WASHINGTON </w:t>
      </w:r>
    </w:p>
    <w:p w14:paraId="448194F3" w14:textId="77777777" w:rsidR="00170D8F" w:rsidRDefault="00AF1736">
      <w:pPr>
        <w:jc w:val="center"/>
        <w:rPr>
          <w:b/>
          <w:bCs/>
        </w:rPr>
      </w:pPr>
      <w:r>
        <w:rPr>
          <w:b/>
          <w:bCs/>
        </w:rPr>
        <w:t>UTILITIES AND TRANSPORTATION COMMISSION</w:t>
      </w:r>
    </w:p>
    <w:p w14:paraId="5A90499B" w14:textId="3A3C11A2" w:rsidR="00B43A04" w:rsidRDefault="00AF1736">
      <w:pPr>
        <w:jc w:val="center"/>
        <w:rPr>
          <w:b/>
          <w:bCs/>
        </w:rPr>
      </w:pPr>
      <w:r>
        <w:rPr>
          <w:b/>
          <w:bCs/>
        </w:rPr>
        <w:t xml:space="preserve"> </w:t>
      </w:r>
    </w:p>
    <w:p w14:paraId="6C649B78" w14:textId="77777777" w:rsidR="00B43A04" w:rsidRDefault="00B43A04">
      <w:pPr>
        <w:jc w:val="center"/>
      </w:pP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B43A04" w14:paraId="1E00A790" w14:textId="77777777" w:rsidTr="00CA1E04">
        <w:trPr>
          <w:trHeight w:val="1593"/>
        </w:trPr>
        <w:tc>
          <w:tcPr>
            <w:tcW w:w="4508" w:type="dxa"/>
            <w:tcBorders>
              <w:bottom w:val="single" w:sz="4" w:space="0" w:color="auto"/>
            </w:tcBorders>
          </w:tcPr>
          <w:p w14:paraId="6AAD3477" w14:textId="77777777" w:rsidR="00AF1736" w:rsidRDefault="00AF1736" w:rsidP="00AF1736">
            <w:pPr>
              <w:tabs>
                <w:tab w:val="left" w:pos="2160"/>
              </w:tabs>
              <w:rPr>
                <w:bCs/>
              </w:rPr>
            </w:pPr>
            <w:r>
              <w:rPr>
                <w:bCs/>
              </w:rPr>
              <w:t>WASHINGTON UTILITIES AND TRANSPORTATION COMMISSION,</w:t>
            </w:r>
          </w:p>
          <w:p w14:paraId="11C2AC66" w14:textId="77777777" w:rsidR="00AF1736" w:rsidRDefault="00AF1736" w:rsidP="00AF1736">
            <w:pPr>
              <w:tabs>
                <w:tab w:val="left" w:pos="2160"/>
              </w:tabs>
              <w:rPr>
                <w:bCs/>
              </w:rPr>
            </w:pPr>
          </w:p>
          <w:p w14:paraId="745C7F7F" w14:textId="77777777" w:rsidR="00AF1736" w:rsidRDefault="00AF1736" w:rsidP="00AF1736">
            <w:pPr>
              <w:tabs>
                <w:tab w:val="left" w:pos="2160"/>
              </w:tabs>
              <w:rPr>
                <w:bCs/>
              </w:rPr>
            </w:pPr>
            <w:r>
              <w:rPr>
                <w:bCs/>
              </w:rPr>
              <w:tab/>
              <w:t>Complainant,</w:t>
            </w:r>
          </w:p>
          <w:p w14:paraId="1B941F0E" w14:textId="77777777" w:rsidR="00AF1736" w:rsidRDefault="00AF1736" w:rsidP="00AF1736">
            <w:pPr>
              <w:tabs>
                <w:tab w:val="left" w:pos="2160"/>
              </w:tabs>
              <w:rPr>
                <w:bCs/>
              </w:rPr>
            </w:pPr>
          </w:p>
          <w:p w14:paraId="1C780F90" w14:textId="77777777" w:rsidR="00AF1736" w:rsidRDefault="00AF1736" w:rsidP="00AF1736">
            <w:pPr>
              <w:rPr>
                <w:bCs/>
              </w:rPr>
            </w:pPr>
            <w:r>
              <w:rPr>
                <w:bCs/>
              </w:rPr>
              <w:t>v.</w:t>
            </w:r>
          </w:p>
          <w:p w14:paraId="44F9D8FC" w14:textId="77777777" w:rsidR="00AF1736" w:rsidRDefault="00AF1736" w:rsidP="00AF1736">
            <w:pPr>
              <w:tabs>
                <w:tab w:val="left" w:pos="2160"/>
              </w:tabs>
              <w:rPr>
                <w:bCs/>
              </w:rPr>
            </w:pPr>
          </w:p>
          <w:p w14:paraId="400614F0" w14:textId="77777777" w:rsidR="00AF1736" w:rsidRDefault="00AF1736" w:rsidP="00AF1736">
            <w:pPr>
              <w:tabs>
                <w:tab w:val="left" w:pos="2160"/>
              </w:tabs>
              <w:rPr>
                <w:bCs/>
              </w:rPr>
            </w:pPr>
            <w:r w:rsidRPr="001A5EFC">
              <w:rPr>
                <w:bCs/>
              </w:rPr>
              <w:t xml:space="preserve">PACIFICORP D/B/A PACIFIC POWER &amp; LIGHT COMPANY, </w:t>
            </w:r>
          </w:p>
          <w:p w14:paraId="445E096A" w14:textId="77777777" w:rsidR="00AF1736" w:rsidRDefault="00AF1736" w:rsidP="00AF1736">
            <w:pPr>
              <w:tabs>
                <w:tab w:val="left" w:pos="2160"/>
              </w:tabs>
              <w:rPr>
                <w:bCs/>
              </w:rPr>
            </w:pPr>
          </w:p>
          <w:p w14:paraId="669BF342" w14:textId="5CBCAF9B" w:rsidR="00454391" w:rsidRPr="00625777" w:rsidRDefault="00AF1736" w:rsidP="00910CAC">
            <w:pPr>
              <w:tabs>
                <w:tab w:val="left" w:pos="2160"/>
              </w:tabs>
              <w:autoSpaceDE w:val="0"/>
              <w:autoSpaceDN w:val="0"/>
              <w:adjustRightInd w:val="0"/>
              <w:rPr>
                <w:color w:val="000000"/>
              </w:rPr>
            </w:pPr>
            <w:r>
              <w:rPr>
                <w:bCs/>
              </w:rPr>
              <w:tab/>
            </w:r>
            <w:r w:rsidR="00910CAC">
              <w:rPr>
                <w:bCs/>
              </w:rPr>
              <w:t xml:space="preserve">  </w:t>
            </w:r>
            <w:r>
              <w:rPr>
                <w:bCs/>
              </w:rPr>
              <w:t>Respondent.</w:t>
            </w:r>
          </w:p>
        </w:tc>
        <w:tc>
          <w:tcPr>
            <w:tcW w:w="310" w:type="dxa"/>
          </w:tcPr>
          <w:p w14:paraId="07D01D52" w14:textId="77777777" w:rsidR="00B43A04" w:rsidRDefault="00B43A04">
            <w:pPr>
              <w:pStyle w:val="SingleSpacing"/>
              <w:spacing w:line="240" w:lineRule="auto"/>
            </w:pPr>
            <w:r>
              <w:t>)</w:t>
            </w:r>
          </w:p>
          <w:p w14:paraId="56018D4F" w14:textId="77777777" w:rsidR="00B43A04" w:rsidRDefault="00B43A04">
            <w:pPr>
              <w:pStyle w:val="SingleSpacing"/>
              <w:spacing w:line="240" w:lineRule="auto"/>
            </w:pPr>
            <w:r>
              <w:t>)</w:t>
            </w:r>
          </w:p>
          <w:p w14:paraId="1496E439" w14:textId="77777777" w:rsidR="00B43A04" w:rsidRDefault="00B43A04">
            <w:pPr>
              <w:pStyle w:val="SingleSpacing"/>
              <w:spacing w:line="240" w:lineRule="auto"/>
            </w:pPr>
            <w:r>
              <w:t>)</w:t>
            </w:r>
          </w:p>
          <w:p w14:paraId="7BBE0DFC" w14:textId="77777777" w:rsidR="00B43A04" w:rsidRDefault="00B43A04">
            <w:pPr>
              <w:pStyle w:val="SingleSpacing"/>
              <w:spacing w:line="240" w:lineRule="auto"/>
            </w:pPr>
            <w:r>
              <w:t>)</w:t>
            </w:r>
          </w:p>
          <w:p w14:paraId="452B6DFD" w14:textId="77777777" w:rsidR="00625777" w:rsidRDefault="00B43A04">
            <w:pPr>
              <w:pStyle w:val="SingleSpacing"/>
              <w:spacing w:line="240" w:lineRule="auto"/>
            </w:pPr>
            <w:r>
              <w:t>)</w:t>
            </w:r>
          </w:p>
          <w:p w14:paraId="2E275D0D" w14:textId="77777777" w:rsidR="00E34B0B" w:rsidRDefault="00E34B0B">
            <w:pPr>
              <w:pStyle w:val="SingleSpacing"/>
              <w:spacing w:line="240" w:lineRule="auto"/>
            </w:pPr>
            <w:r>
              <w:t>)</w:t>
            </w:r>
          </w:p>
          <w:p w14:paraId="372982E8" w14:textId="77777777" w:rsidR="00AF1736" w:rsidRDefault="00AF1736">
            <w:pPr>
              <w:pStyle w:val="SingleSpacing"/>
              <w:spacing w:line="240" w:lineRule="auto"/>
            </w:pPr>
            <w:r>
              <w:t>)</w:t>
            </w:r>
          </w:p>
          <w:p w14:paraId="4E8FC730" w14:textId="77777777" w:rsidR="00AF1736" w:rsidRDefault="00AF1736">
            <w:pPr>
              <w:pStyle w:val="SingleSpacing"/>
              <w:spacing w:line="240" w:lineRule="auto"/>
            </w:pPr>
            <w:r>
              <w:t>)</w:t>
            </w:r>
          </w:p>
          <w:p w14:paraId="7CD94C28" w14:textId="77777777" w:rsidR="00AF1736" w:rsidRDefault="00AF1736">
            <w:pPr>
              <w:pStyle w:val="SingleSpacing"/>
              <w:spacing w:line="240" w:lineRule="auto"/>
            </w:pPr>
            <w:r>
              <w:t>)</w:t>
            </w:r>
          </w:p>
          <w:p w14:paraId="374BA4ED" w14:textId="77777777" w:rsidR="00AF1736" w:rsidRDefault="00AF1736">
            <w:pPr>
              <w:pStyle w:val="SingleSpacing"/>
              <w:spacing w:line="240" w:lineRule="auto"/>
            </w:pPr>
            <w:r>
              <w:t>)</w:t>
            </w:r>
          </w:p>
          <w:p w14:paraId="6C02DE74" w14:textId="77777777" w:rsidR="00AF1736" w:rsidRDefault="00AF1736">
            <w:pPr>
              <w:pStyle w:val="SingleSpacing"/>
              <w:spacing w:line="240" w:lineRule="auto"/>
            </w:pPr>
            <w:r>
              <w:t>)</w:t>
            </w:r>
          </w:p>
        </w:tc>
        <w:tc>
          <w:tcPr>
            <w:tcW w:w="4542" w:type="dxa"/>
          </w:tcPr>
          <w:p w14:paraId="7E971CAD" w14:textId="77777777" w:rsidR="00582133" w:rsidRDefault="00582133" w:rsidP="00EA17EA">
            <w:pPr>
              <w:pStyle w:val="SingleSpacing"/>
              <w:spacing w:line="240" w:lineRule="auto"/>
              <w:ind w:left="492" w:hanging="90"/>
              <w:rPr>
                <w:b/>
              </w:rPr>
            </w:pPr>
            <w:bookmarkStart w:id="0" w:name="CaseNumber"/>
            <w:bookmarkEnd w:id="0"/>
          </w:p>
          <w:p w14:paraId="0634233E" w14:textId="77777777" w:rsidR="00582133" w:rsidRDefault="00582133" w:rsidP="00EA17EA">
            <w:pPr>
              <w:pStyle w:val="SingleSpacing"/>
              <w:spacing w:line="240" w:lineRule="auto"/>
              <w:ind w:left="492" w:hanging="90"/>
              <w:rPr>
                <w:b/>
              </w:rPr>
            </w:pPr>
          </w:p>
          <w:p w14:paraId="451CF77C" w14:textId="77777777" w:rsidR="00B43A04" w:rsidRPr="00EE5D09" w:rsidRDefault="00AF1736" w:rsidP="00EA17EA">
            <w:pPr>
              <w:pStyle w:val="SingleSpacing"/>
              <w:spacing w:line="240" w:lineRule="auto"/>
              <w:ind w:left="492" w:hanging="90"/>
              <w:rPr>
                <w:b/>
              </w:rPr>
            </w:pPr>
            <w:r>
              <w:rPr>
                <w:b/>
              </w:rPr>
              <w:t>DOCKET NO. UE-144160</w:t>
            </w:r>
          </w:p>
          <w:p w14:paraId="034F26E5" w14:textId="77777777" w:rsidR="00B43A04" w:rsidRDefault="00B43A04">
            <w:pPr>
              <w:pStyle w:val="SingleSpacing"/>
              <w:spacing w:line="240" w:lineRule="auto"/>
            </w:pPr>
          </w:p>
          <w:p w14:paraId="0E93C050" w14:textId="77777777" w:rsidR="00AF1736" w:rsidRDefault="00AF1736" w:rsidP="00AF1736">
            <w:pPr>
              <w:pStyle w:val="BodyText2"/>
              <w:ind w:left="410"/>
              <w:rPr>
                <w:bCs w:val="0"/>
              </w:rPr>
            </w:pPr>
          </w:p>
          <w:p w14:paraId="55457B7B" w14:textId="77777777" w:rsidR="00AF1736" w:rsidRDefault="00AF1736" w:rsidP="00AF1736">
            <w:pPr>
              <w:pStyle w:val="BodyText2"/>
              <w:ind w:left="410"/>
              <w:rPr>
                <w:bCs w:val="0"/>
              </w:rPr>
            </w:pPr>
          </w:p>
          <w:p w14:paraId="659EF3ED" w14:textId="65D692D8" w:rsidR="00B43A04" w:rsidRPr="008249F9" w:rsidRDefault="00B43A04" w:rsidP="00AF1736">
            <w:pPr>
              <w:pStyle w:val="BodyText2"/>
              <w:ind w:left="410"/>
              <w:rPr>
                <w:bCs w:val="0"/>
              </w:rPr>
            </w:pPr>
          </w:p>
        </w:tc>
      </w:tr>
    </w:tbl>
    <w:p w14:paraId="1A28F856" w14:textId="77777777" w:rsidR="00B43A04" w:rsidRPr="006A3AAB" w:rsidRDefault="00B43A04" w:rsidP="00656B7E">
      <w:pPr>
        <w:ind w:hanging="540"/>
      </w:pPr>
    </w:p>
    <w:p w14:paraId="7F15E43C" w14:textId="77777777" w:rsidR="00582133" w:rsidRDefault="00582133" w:rsidP="00582133">
      <w:pPr>
        <w:spacing w:line="480" w:lineRule="auto"/>
      </w:pPr>
    </w:p>
    <w:p w14:paraId="05E1BBE6" w14:textId="4C242660" w:rsidR="00582133" w:rsidRDefault="007459D9" w:rsidP="00582133">
      <w:pPr>
        <w:spacing w:line="480" w:lineRule="auto"/>
        <w:jc w:val="center"/>
        <w:rPr>
          <w:b/>
          <w:bCs/>
        </w:rPr>
      </w:pPr>
      <w:r>
        <w:rPr>
          <w:b/>
          <w:bCs/>
        </w:rPr>
        <w:t>REPLY</w:t>
      </w:r>
      <w:r w:rsidR="00582133" w:rsidRPr="00582133">
        <w:rPr>
          <w:b/>
          <w:bCs/>
        </w:rPr>
        <w:t xml:space="preserve"> BRIEF OF THE RENEWABLE ENERGY COALITION</w:t>
      </w:r>
    </w:p>
    <w:p w14:paraId="1938C7E2" w14:textId="77777777" w:rsidR="00582133" w:rsidRDefault="00582133" w:rsidP="00582133">
      <w:pPr>
        <w:spacing w:line="480" w:lineRule="auto"/>
        <w:jc w:val="center"/>
        <w:rPr>
          <w:b/>
          <w:bCs/>
        </w:rPr>
      </w:pPr>
    </w:p>
    <w:p w14:paraId="7340B2E9" w14:textId="54695A9D" w:rsidR="00B02EDA" w:rsidRDefault="007459D9" w:rsidP="00582133">
      <w:pPr>
        <w:spacing w:line="480" w:lineRule="auto"/>
        <w:jc w:val="center"/>
        <w:rPr>
          <w:b/>
          <w:bCs/>
        </w:rPr>
      </w:pPr>
      <w:r>
        <w:rPr>
          <w:b/>
          <w:bCs/>
        </w:rPr>
        <w:t>October 7</w:t>
      </w:r>
      <w:r w:rsidR="00582133">
        <w:rPr>
          <w:b/>
          <w:bCs/>
        </w:rPr>
        <w:t>, 2015</w:t>
      </w:r>
    </w:p>
    <w:p w14:paraId="65F37534" w14:textId="77777777" w:rsidR="00B02EDA" w:rsidRDefault="00B02EDA" w:rsidP="00582133">
      <w:pPr>
        <w:spacing w:line="480" w:lineRule="auto"/>
        <w:jc w:val="center"/>
        <w:rPr>
          <w:b/>
          <w:bCs/>
        </w:rPr>
      </w:pPr>
    </w:p>
    <w:p w14:paraId="72C2D9D6" w14:textId="77777777" w:rsidR="00B02EDA" w:rsidRDefault="00B02EDA" w:rsidP="00582133">
      <w:pPr>
        <w:spacing w:line="480" w:lineRule="auto"/>
        <w:jc w:val="center"/>
        <w:rPr>
          <w:b/>
          <w:bCs/>
        </w:rPr>
        <w:sectPr w:rsidR="00B02EDA">
          <w:pgSz w:w="12240" w:h="15840"/>
          <w:pgMar w:top="1440" w:right="1800" w:bottom="1440" w:left="1800" w:header="720" w:footer="720" w:gutter="0"/>
          <w:cols w:space="720"/>
          <w:docGrid w:linePitch="360"/>
        </w:sectPr>
      </w:pPr>
    </w:p>
    <w:p w14:paraId="5775CDE1" w14:textId="2EC714B0" w:rsidR="00582133" w:rsidRPr="00582133" w:rsidRDefault="00582133" w:rsidP="00582133">
      <w:pPr>
        <w:spacing w:line="480" w:lineRule="auto"/>
        <w:jc w:val="center"/>
        <w:rPr>
          <w:b/>
        </w:rPr>
      </w:pPr>
      <w:r>
        <w:rPr>
          <w:b/>
        </w:rPr>
        <w:lastRenderedPageBreak/>
        <w:t>I.</w:t>
      </w:r>
      <w:r>
        <w:rPr>
          <w:b/>
        </w:rPr>
        <w:tab/>
        <w:t>INTRODUCTION</w:t>
      </w:r>
    </w:p>
    <w:p w14:paraId="61312695" w14:textId="5B90434F" w:rsidR="0045204C" w:rsidRDefault="00AE5BF8" w:rsidP="00656B7E">
      <w:pPr>
        <w:pStyle w:val="ListParagraph"/>
        <w:numPr>
          <w:ilvl w:val="0"/>
          <w:numId w:val="27"/>
        </w:numPr>
        <w:spacing w:line="480" w:lineRule="auto"/>
        <w:ind w:hanging="540"/>
      </w:pPr>
      <w:r>
        <w:tab/>
        <w:t>The Renewable Energy Coalit</w:t>
      </w:r>
      <w:r w:rsidR="007459D9">
        <w:t>ion (“REC”) submits this reply</w:t>
      </w:r>
      <w:r>
        <w:t xml:space="preserve"> brief </w:t>
      </w:r>
      <w:r w:rsidR="007459D9">
        <w:t xml:space="preserve">responding to the initial briefs of </w:t>
      </w:r>
      <w:r>
        <w:t>the Washington Utilities and Transportation Commis</w:t>
      </w:r>
      <w:r w:rsidR="0002149C">
        <w:t xml:space="preserve">sion (the “Commission”) </w:t>
      </w:r>
      <w:r w:rsidR="007459D9">
        <w:t xml:space="preserve">Staff, </w:t>
      </w:r>
      <w:r w:rsidR="009616D9">
        <w:t xml:space="preserve">and </w:t>
      </w:r>
      <w:r>
        <w:t>PacifiCorp, d/b/a Pacific Power (“PacifiCorp”)</w:t>
      </w:r>
      <w:r w:rsidR="006C7ABD">
        <w:t xml:space="preserve">. </w:t>
      </w:r>
      <w:r w:rsidR="009616D9">
        <w:t xml:space="preserve"> </w:t>
      </w:r>
      <w:r w:rsidR="007459D9">
        <w:t>REC</w:t>
      </w:r>
      <w:r w:rsidR="006C5BB2">
        <w:t xml:space="preserve"> is only filing a limited </w:t>
      </w:r>
      <w:r w:rsidR="007459D9">
        <w:t>reply brief because few new issues or arguments were raised in the parties</w:t>
      </w:r>
      <w:r w:rsidR="006C5BB2">
        <w:t>’</w:t>
      </w:r>
      <w:r w:rsidR="007459D9">
        <w:t xml:space="preserve"> initial briefs</w:t>
      </w:r>
      <w:r w:rsidR="009616D9">
        <w:t xml:space="preserve"> and REC expects Commission Staff to address the specific challenges to its proposal</w:t>
      </w:r>
      <w:r w:rsidR="007459D9">
        <w:t xml:space="preserve">.  </w:t>
      </w:r>
    </w:p>
    <w:p w14:paraId="7B2EFD7E" w14:textId="2C551B7C" w:rsidR="00BE3B17" w:rsidRDefault="0045204C" w:rsidP="002F2E07">
      <w:pPr>
        <w:pStyle w:val="ListParagraph"/>
        <w:numPr>
          <w:ilvl w:val="0"/>
          <w:numId w:val="27"/>
        </w:numPr>
        <w:spacing w:line="480" w:lineRule="auto"/>
        <w:ind w:hanging="540"/>
      </w:pPr>
      <w:r>
        <w:tab/>
      </w:r>
      <w:r w:rsidR="004251AF">
        <w:t xml:space="preserve">REC continues to recommend that the Commission </w:t>
      </w:r>
      <w:r w:rsidR="00CD7123">
        <w:t>retain a separate kilowatt month capacity payment</w:t>
      </w:r>
      <w:r w:rsidR="006C7ABD">
        <w:t xml:space="preserve"> in Schedule 37</w:t>
      </w:r>
      <w:r w:rsidR="00CD7123">
        <w:t xml:space="preserve"> because </w:t>
      </w:r>
      <w:r w:rsidR="00376E34">
        <w:t xml:space="preserve">failing to pay qualifying facilities (“QF”) for the capacity they provide </w:t>
      </w:r>
      <w:r w:rsidR="006C7ABD">
        <w:t xml:space="preserve">to a utility </w:t>
      </w:r>
      <w:r w:rsidR="001071EB">
        <w:t>violate</w:t>
      </w:r>
      <w:r w:rsidR="004251AF">
        <w:t>s</w:t>
      </w:r>
      <w:r w:rsidR="001071EB">
        <w:t xml:space="preserve"> the Public Utility Regulatory Policies</w:t>
      </w:r>
      <w:r w:rsidR="00B02EDA">
        <w:t xml:space="preserve"> Act</w:t>
      </w:r>
      <w:r w:rsidR="001071EB">
        <w:t xml:space="preserve"> (“PURPA”).  </w:t>
      </w:r>
      <w:r>
        <w:t>While REC does not agree with Staff that short five-year contract terms benefit QFs, REC supports Staff’s proposed approach to valuing capacity payments</w:t>
      </w:r>
      <w:r w:rsidR="00910CAC">
        <w:t xml:space="preserve"> for both new and existing QFs</w:t>
      </w:r>
      <w:r>
        <w:t xml:space="preserve">. </w:t>
      </w:r>
      <w:r w:rsidR="00203128">
        <w:t xml:space="preserve"> </w:t>
      </w:r>
      <w:r w:rsidR="00255CCD">
        <w:t xml:space="preserve">If the Commission does not adopt Staff’s </w:t>
      </w:r>
      <w:r w:rsidR="00910CAC">
        <w:t xml:space="preserve">substantive </w:t>
      </w:r>
      <w:r w:rsidR="00255CCD">
        <w:t xml:space="preserve">recommendation, then it should adopt </w:t>
      </w:r>
      <w:r w:rsidR="00910CAC">
        <w:t>REC’s alternative proposal</w:t>
      </w:r>
      <w:r w:rsidR="00255CCD">
        <w:t xml:space="preserve"> to value capacity based on </w:t>
      </w:r>
      <w:r w:rsidR="00910CAC">
        <w:t>the annual cos</w:t>
      </w:r>
      <w:r w:rsidR="006C7ABD">
        <w:t xml:space="preserve">ts of a peaking resource or </w:t>
      </w:r>
      <w:r w:rsidR="00203128">
        <w:t xml:space="preserve">the company’s </w:t>
      </w:r>
      <w:r w:rsidR="00255CCD">
        <w:t>actual coal plant investments</w:t>
      </w:r>
      <w:r w:rsidR="00910CAC">
        <w:t>.  Ultimately, the Commission should</w:t>
      </w:r>
      <w:r w:rsidR="00255CCD">
        <w:t xml:space="preserve"> ensure that at least existing QFs </w:t>
      </w:r>
      <w:r w:rsidR="00203128">
        <w:t xml:space="preserve">currently operating in Washington </w:t>
      </w:r>
      <w:r w:rsidR="00255CCD">
        <w:t>are paid a full capacity payment.</w:t>
      </w:r>
    </w:p>
    <w:p w14:paraId="020B4199" w14:textId="161EAA89" w:rsidR="00E471C7" w:rsidRDefault="00BE3B17" w:rsidP="002F2E07">
      <w:pPr>
        <w:pStyle w:val="ListParagraph"/>
        <w:numPr>
          <w:ilvl w:val="0"/>
          <w:numId w:val="27"/>
        </w:numPr>
        <w:spacing w:line="480" w:lineRule="auto"/>
        <w:ind w:hanging="540"/>
      </w:pPr>
      <w:r>
        <w:tab/>
      </w:r>
      <w:r w:rsidR="004678D5">
        <w:t>In contrast, PacifiCorp</w:t>
      </w:r>
      <w:r w:rsidR="00ED3574">
        <w:t xml:space="preserve"> fails to demonstrate that </w:t>
      </w:r>
      <w:r w:rsidR="00E471C7">
        <w:t>its approach is</w:t>
      </w:r>
      <w:r w:rsidR="00ED3574">
        <w:t xml:space="preserve"> consistent with how it will acquire </w:t>
      </w:r>
      <w:r w:rsidR="0051075F">
        <w:t xml:space="preserve">and retain </w:t>
      </w:r>
      <w:r w:rsidR="00ED3574">
        <w:t>capacity re</w:t>
      </w:r>
      <w:r w:rsidR="0051075F">
        <w:t>sources to serve customers</w:t>
      </w:r>
      <w:r w:rsidR="00ED3574">
        <w:t>, PURPA</w:t>
      </w:r>
      <w:r w:rsidR="004251AF">
        <w:t>,</w:t>
      </w:r>
      <w:r w:rsidR="00ED3574">
        <w:t xml:space="preserve"> or the Federal Energy Regulatory Commission’s</w:t>
      </w:r>
      <w:r w:rsidR="00255CCD">
        <w:t xml:space="preserve"> (“FERC”)</w:t>
      </w:r>
      <w:r w:rsidR="00ED3574">
        <w:t xml:space="preserve"> regulations and policies. </w:t>
      </w:r>
      <w:r w:rsidR="0045204C">
        <w:t xml:space="preserve"> </w:t>
      </w:r>
      <w:r w:rsidR="00E471C7">
        <w:t>PacifiCorp is simply attempting</w:t>
      </w:r>
      <w:r w:rsidR="00C87E24">
        <w:t xml:space="preserve"> effo</w:t>
      </w:r>
      <w:r w:rsidR="009D656C">
        <w:t>rt to destroy</w:t>
      </w:r>
      <w:r w:rsidR="00C87E24">
        <w:t xml:space="preserve"> </w:t>
      </w:r>
      <w:r w:rsidR="00E471C7">
        <w:t xml:space="preserve">what is </w:t>
      </w:r>
      <w:r w:rsidR="00C87E24">
        <w:t xml:space="preserve">an already moribund non-utility </w:t>
      </w:r>
      <w:r w:rsidR="00654AAD">
        <w:t xml:space="preserve">owned </w:t>
      </w:r>
      <w:r w:rsidR="00C87E24">
        <w:t>renewable energy market in the company’s Washington service territory.</w:t>
      </w:r>
      <w:r w:rsidR="001071EB">
        <w:t xml:space="preserve"> </w:t>
      </w:r>
    </w:p>
    <w:p w14:paraId="2C0DD907" w14:textId="5ACDAD51" w:rsidR="002F2E07" w:rsidRDefault="00E471C7" w:rsidP="00E471C7">
      <w:r>
        <w:br w:type="page"/>
      </w:r>
    </w:p>
    <w:p w14:paraId="17EEE739" w14:textId="1DB57F19" w:rsidR="00267570" w:rsidRPr="00267570" w:rsidRDefault="00876A2E" w:rsidP="00376E34">
      <w:pPr>
        <w:spacing w:line="480" w:lineRule="auto"/>
        <w:jc w:val="center"/>
        <w:rPr>
          <w:b/>
        </w:rPr>
      </w:pPr>
      <w:r>
        <w:rPr>
          <w:b/>
        </w:rPr>
        <w:lastRenderedPageBreak/>
        <w:t>II.</w:t>
      </w:r>
      <w:r>
        <w:rPr>
          <w:b/>
        </w:rPr>
        <w:tab/>
      </w:r>
      <w:r w:rsidR="00376E34">
        <w:rPr>
          <w:b/>
        </w:rPr>
        <w:t>ARGUMENT</w:t>
      </w:r>
    </w:p>
    <w:p w14:paraId="70BBB598" w14:textId="0467A37F" w:rsidR="00267570" w:rsidRDefault="00267570" w:rsidP="00267570">
      <w:pPr>
        <w:ind w:left="720" w:hanging="720"/>
        <w:rPr>
          <w:b/>
        </w:rPr>
      </w:pPr>
      <w:r w:rsidRPr="00267570">
        <w:rPr>
          <w:b/>
        </w:rPr>
        <w:t>1.</w:t>
      </w:r>
      <w:r w:rsidRPr="00267570">
        <w:rPr>
          <w:b/>
        </w:rPr>
        <w:tab/>
      </w:r>
      <w:r w:rsidR="00255CCD">
        <w:rPr>
          <w:b/>
        </w:rPr>
        <w:t xml:space="preserve">The Commission Should Not Allow PacifiCorp to Administratively Gut PURPA </w:t>
      </w:r>
    </w:p>
    <w:p w14:paraId="02B84EB5" w14:textId="77777777" w:rsidR="00267570" w:rsidRPr="00267570" w:rsidRDefault="00267570" w:rsidP="00267570">
      <w:pPr>
        <w:ind w:left="720" w:hanging="720"/>
        <w:rPr>
          <w:b/>
        </w:rPr>
      </w:pPr>
    </w:p>
    <w:p w14:paraId="384475A2" w14:textId="488E0B26" w:rsidR="00473FB4" w:rsidRDefault="00267570" w:rsidP="00376E34">
      <w:pPr>
        <w:pStyle w:val="ListParagraph"/>
        <w:numPr>
          <w:ilvl w:val="0"/>
          <w:numId w:val="27"/>
        </w:numPr>
        <w:spacing w:line="480" w:lineRule="auto"/>
        <w:ind w:hanging="547"/>
      </w:pPr>
      <w:r w:rsidRPr="00267570">
        <w:tab/>
      </w:r>
      <w:r w:rsidR="00473FB4">
        <w:t xml:space="preserve"> </w:t>
      </w:r>
      <w:r w:rsidR="00121725">
        <w:t>The Commission should consider t</w:t>
      </w:r>
      <w:r w:rsidR="00654AAD">
        <w:t>he overall context and</w:t>
      </w:r>
      <w:r w:rsidR="00121725">
        <w:t xml:space="preserve"> impact of PacifiCorp’s proposal </w:t>
      </w:r>
      <w:r w:rsidR="00E471C7">
        <w:t xml:space="preserve">to eliminate capacity payments </w:t>
      </w:r>
      <w:r w:rsidR="00121725">
        <w:t xml:space="preserve">in this case, which is part of a company wide effort to dismantle PURPA.  </w:t>
      </w:r>
      <w:r w:rsidR="0013263E">
        <w:t>PacifiCorp’s Washington service territory PURPA implementation is the worst in the region, and the company’s apparent goal is to ensure that it purchase</w:t>
      </w:r>
      <w:r w:rsidR="00DF1C50">
        <w:t>s as little as possible</w:t>
      </w:r>
      <w:r w:rsidR="0013263E">
        <w:t xml:space="preserve"> cost effective non-utility owned renewable power. </w:t>
      </w:r>
      <w:r w:rsidR="00376EC5">
        <w:t xml:space="preserve"> </w:t>
      </w:r>
      <w:r w:rsidR="00376EC5" w:rsidRPr="00376EC5">
        <w:t>PacifiCorp is attempting to narrowly define the issues in this case to the question of what resources it will acquire during the next five years to distract the Commission from the actual r</w:t>
      </w:r>
      <w:r w:rsidR="0091735F">
        <w:t>eal world impact of its proposal</w:t>
      </w:r>
      <w:r w:rsidR="00376EC5" w:rsidRPr="00376EC5">
        <w:t xml:space="preserve">.  The </w:t>
      </w:r>
      <w:r w:rsidR="00376EC5">
        <w:t>Commission needs t</w:t>
      </w:r>
      <w:r w:rsidR="0091735F">
        <w:t xml:space="preserve">o consider the practical end result, which would be that </w:t>
      </w:r>
      <w:r w:rsidR="00376EC5" w:rsidRPr="00376EC5">
        <w:t xml:space="preserve">QFs are </w:t>
      </w:r>
      <w:r w:rsidR="00376EC5" w:rsidRPr="00376EC5">
        <w:rPr>
          <w:u w:val="single"/>
        </w:rPr>
        <w:t>never</w:t>
      </w:r>
      <w:r w:rsidR="00376EC5" w:rsidRPr="00376EC5">
        <w:t xml:space="preserve"> paid for the capacity v</w:t>
      </w:r>
      <w:r w:rsidR="00DE29A2">
        <w:t>alue they provide to PacifiCorp</w:t>
      </w:r>
      <w:r w:rsidR="00654AAD">
        <w:t xml:space="preserve"> regardless of the resources the company will actually acquire</w:t>
      </w:r>
      <w:r w:rsidR="00376EC5" w:rsidRPr="00376EC5">
        <w:t xml:space="preserve">. </w:t>
      </w:r>
    </w:p>
    <w:p w14:paraId="18C78BCD" w14:textId="33A3CD32" w:rsidR="007C0FF0" w:rsidRDefault="00C94903" w:rsidP="00376E34">
      <w:pPr>
        <w:pStyle w:val="ListParagraph"/>
        <w:numPr>
          <w:ilvl w:val="0"/>
          <w:numId w:val="27"/>
        </w:numPr>
        <w:spacing w:line="480" w:lineRule="auto"/>
        <w:ind w:hanging="547"/>
      </w:pPr>
      <w:r>
        <w:tab/>
        <w:t>PacifiCorp asserts that it would be improper and violate PURPA for the Com</w:t>
      </w:r>
      <w:r w:rsidR="00DE29A2">
        <w:t>mission to consider that it</w:t>
      </w:r>
      <w:r>
        <w:t>s Washington avoid</w:t>
      </w:r>
      <w:r w:rsidR="00493833">
        <w:t>ed cost rates and contract terms are worse than all</w:t>
      </w:r>
      <w:r>
        <w:t xml:space="preserve"> other </w:t>
      </w:r>
      <w:r w:rsidR="00493833">
        <w:t xml:space="preserve">regional </w:t>
      </w:r>
      <w:r>
        <w:t xml:space="preserve">investor owned utilities, </w:t>
      </w:r>
      <w:r w:rsidR="00493833">
        <w:t>and the company’s other</w:t>
      </w:r>
      <w:r>
        <w:t xml:space="preserve"> service territories.</w:t>
      </w:r>
      <w:r>
        <w:rPr>
          <w:rStyle w:val="FootnoteReference"/>
        </w:rPr>
        <w:footnoteReference w:id="1"/>
      </w:r>
      <w:r>
        <w:t xml:space="preserve"> </w:t>
      </w:r>
      <w:r w:rsidR="003E5914">
        <w:t xml:space="preserve"> </w:t>
      </w:r>
      <w:r w:rsidR="00700AEC">
        <w:t xml:space="preserve">REC agrees that </w:t>
      </w:r>
      <w:r w:rsidR="009B5FB7">
        <w:t xml:space="preserve">PacifiCorp’s avoided cost rates </w:t>
      </w:r>
      <w:r w:rsidR="003E5914">
        <w:t>cannot simply be increase</w:t>
      </w:r>
      <w:r w:rsidR="00700AEC">
        <w:t>d</w:t>
      </w:r>
      <w:r w:rsidR="003E5914">
        <w:t xml:space="preserve"> or decreased </w:t>
      </w:r>
      <w:r w:rsidR="009B5FB7">
        <w:t>based on the rates and contract terms</w:t>
      </w:r>
      <w:r w:rsidR="00700AEC">
        <w:t xml:space="preserve"> for other utilities and states.  Despite this,</w:t>
      </w:r>
      <w:r w:rsidR="009B5FB7">
        <w:t xml:space="preserve"> </w:t>
      </w:r>
      <w:r w:rsidR="003E5914">
        <w:t>the Commission should que</w:t>
      </w:r>
      <w:r w:rsidR="00344CBF">
        <w:t xml:space="preserve">stion whether it makes sense to adopt PacifiCorp’s recommendation when </w:t>
      </w:r>
      <w:r w:rsidR="00493833">
        <w:t>t</w:t>
      </w:r>
      <w:r w:rsidR="00344CBF">
        <w:t xml:space="preserve">he company’s </w:t>
      </w:r>
      <w:r w:rsidR="003E5914">
        <w:t>Washington avoided cost rates</w:t>
      </w:r>
      <w:r w:rsidR="00426A38">
        <w:t xml:space="preserve"> and</w:t>
      </w:r>
      <w:r w:rsidR="00344CBF">
        <w:t xml:space="preserve">/or terms and </w:t>
      </w:r>
      <w:r w:rsidR="00344CBF">
        <w:lastRenderedPageBreak/>
        <w:t>conditions are</w:t>
      </w:r>
      <w:r w:rsidR="003E5914">
        <w:t xml:space="preserve"> </w:t>
      </w:r>
      <w:r w:rsidR="00344CBF" w:rsidRPr="00B55297">
        <w:rPr>
          <w:u w:val="single"/>
        </w:rPr>
        <w:t>already</w:t>
      </w:r>
      <w:r w:rsidR="003E5914">
        <w:t xml:space="preserve"> worse than </w:t>
      </w:r>
      <w:r w:rsidR="00B55297" w:rsidRPr="00B55297">
        <w:t>every other investor owned utility in the Rocky Mountain and Pacific Northwest areas</w:t>
      </w:r>
      <w:r w:rsidR="00567B39">
        <w:t>.</w:t>
      </w:r>
      <w:r w:rsidR="00567B39">
        <w:rPr>
          <w:rStyle w:val="FootnoteReference"/>
        </w:rPr>
        <w:footnoteReference w:id="2"/>
      </w:r>
      <w:r w:rsidR="00B55297">
        <w:t xml:space="preserve"> </w:t>
      </w:r>
      <w:r w:rsidR="00C778B4" w:rsidRPr="00C778B4">
        <w:t xml:space="preserve"> </w:t>
      </w:r>
    </w:p>
    <w:p w14:paraId="44A29EB2" w14:textId="0B7758AC" w:rsidR="00D37E2F" w:rsidRDefault="00BC4B6E" w:rsidP="00D37E2F">
      <w:pPr>
        <w:pStyle w:val="ListParagraph"/>
        <w:numPr>
          <w:ilvl w:val="0"/>
          <w:numId w:val="27"/>
        </w:numPr>
        <w:spacing w:line="480" w:lineRule="auto"/>
        <w:ind w:hanging="547"/>
      </w:pPr>
      <w:r>
        <w:tab/>
        <w:t xml:space="preserve">PacifiCorp is not seeking to protect its ratepayers, but </w:t>
      </w:r>
      <w:r w:rsidR="00FB684B">
        <w:t xml:space="preserve">is </w:t>
      </w:r>
      <w:r w:rsidR="008B78C8">
        <w:t>executing Berkshire Hathaway’s</w:t>
      </w:r>
      <w:r>
        <w:t xml:space="preserve"> </w:t>
      </w:r>
      <w:r w:rsidR="008A7818">
        <w:t>plan</w:t>
      </w:r>
      <w:r w:rsidR="008502F8">
        <w:t xml:space="preserve"> to</w:t>
      </w:r>
      <w:r>
        <w:t xml:space="preserve"> administratively</w:t>
      </w:r>
      <w:r w:rsidR="00D37E2F">
        <w:t xml:space="preserve"> destroy PURPA in order to earn a return on </w:t>
      </w:r>
      <w:r w:rsidR="008B78C8">
        <w:t xml:space="preserve">the </w:t>
      </w:r>
      <w:r w:rsidR="00D37E2F">
        <w:t>company</w:t>
      </w:r>
      <w:r w:rsidR="008B78C8">
        <w:t>’s</w:t>
      </w:r>
      <w:r w:rsidR="00FB684B">
        <w:t xml:space="preserve"> own</w:t>
      </w:r>
      <w:r w:rsidR="00D37E2F">
        <w:t xml:space="preserve"> generation</w:t>
      </w:r>
      <w:r w:rsidR="008B78C8">
        <w:t xml:space="preserve"> resources</w:t>
      </w:r>
      <w:r w:rsidR="00D37E2F">
        <w:t>.  When Berkshire Hathaway proposed a bill to eliminate PURPA, Washington Senator Maria Cantwell asked PacifiCorp’s owner:  “</w:t>
      </w:r>
      <w:r w:rsidR="00D37E2F" w:rsidRPr="00D37E2F">
        <w:t>Is</w:t>
      </w:r>
      <w:r w:rsidR="00D37E2F">
        <w:t>n’</w:t>
      </w:r>
      <w:r w:rsidR="00D37E2F" w:rsidRPr="00D37E2F">
        <w:t>t it the case that obv</w:t>
      </w:r>
      <w:r w:rsidR="00D37E2F">
        <w:t>iously getting rid of this PURP</w:t>
      </w:r>
      <w:r w:rsidR="00D37E2F" w:rsidRPr="00D37E2F">
        <w:t>A requirement would just greatly benefit the company financially on your profit margin by reducing competition</w:t>
      </w:r>
      <w:r w:rsidR="00D37E2F">
        <w:t xml:space="preserve"> for central station generation</w:t>
      </w:r>
      <w:r w:rsidR="00D37E2F" w:rsidRPr="00D37E2F">
        <w:t>?</w:t>
      </w:r>
      <w:r w:rsidR="00D37E2F">
        <w:t>”</w:t>
      </w:r>
      <w:r w:rsidR="008B78C8">
        <w:rPr>
          <w:rStyle w:val="FootnoteReference"/>
        </w:rPr>
        <w:footnoteReference w:id="3"/>
      </w:r>
      <w:r w:rsidR="00D37E2F" w:rsidRPr="00D37E2F">
        <w:t xml:space="preserve"> </w:t>
      </w:r>
      <w:r w:rsidR="00D37E2F">
        <w:t xml:space="preserve"> Senator Cantwell identified the heart of the matter when she stated that: “</w:t>
      </w:r>
      <w:r w:rsidR="00D37E2F" w:rsidRPr="00D37E2F">
        <w:t xml:space="preserve">I just see you making money </w:t>
      </w:r>
      <w:r w:rsidR="00D37E2F">
        <w:t>comi</w:t>
      </w:r>
      <w:r w:rsidR="00D37E2F" w:rsidRPr="00D37E2F">
        <w:t>ng and going on the repeal of the PURPA language.</w:t>
      </w:r>
      <w:r w:rsidR="00D37E2F">
        <w:t>”</w:t>
      </w:r>
      <w:r w:rsidR="008B78C8">
        <w:rPr>
          <w:rStyle w:val="FootnoteReference"/>
        </w:rPr>
        <w:footnoteReference w:id="4"/>
      </w:r>
      <w:r w:rsidR="00D37E2F" w:rsidRPr="00D37E2F">
        <w:t xml:space="preserve"> </w:t>
      </w:r>
      <w:r w:rsidR="00C778B4">
        <w:t xml:space="preserve"> The Commission </w:t>
      </w:r>
      <w:r w:rsidR="00D82DB2">
        <w:t>should not let Berkshire Hathaway accomplish its goals in Washington state that it was unable to obtain in Washington, DC.</w:t>
      </w:r>
    </w:p>
    <w:p w14:paraId="4113C2C6" w14:textId="0942F7FB" w:rsidR="005110FE" w:rsidRPr="005110FE" w:rsidRDefault="005110FE" w:rsidP="005110FE">
      <w:pPr>
        <w:spacing w:line="480" w:lineRule="auto"/>
        <w:rPr>
          <w:b/>
        </w:rPr>
      </w:pPr>
      <w:r>
        <w:rPr>
          <w:b/>
        </w:rPr>
        <w:t>2.</w:t>
      </w:r>
      <w:r>
        <w:rPr>
          <w:b/>
        </w:rPr>
        <w:tab/>
      </w:r>
      <w:r w:rsidR="00803FF0">
        <w:rPr>
          <w:b/>
        </w:rPr>
        <w:t>Avoided Cost Rates Cannot Be Based on</w:t>
      </w:r>
      <w:r>
        <w:rPr>
          <w:b/>
        </w:rPr>
        <w:t xml:space="preserve"> Only </w:t>
      </w:r>
      <w:r w:rsidR="00803FF0">
        <w:rPr>
          <w:b/>
        </w:rPr>
        <w:t>Market Forecasts</w:t>
      </w:r>
    </w:p>
    <w:p w14:paraId="67B9C36B" w14:textId="09739ED2" w:rsidR="005110FE" w:rsidRDefault="005110FE" w:rsidP="00D37E2F">
      <w:pPr>
        <w:pStyle w:val="ListParagraph"/>
        <w:numPr>
          <w:ilvl w:val="0"/>
          <w:numId w:val="27"/>
        </w:numPr>
        <w:spacing w:line="480" w:lineRule="auto"/>
        <w:ind w:hanging="547"/>
      </w:pPr>
      <w:r>
        <w:tab/>
        <w:t>PacifiCorp asserts that FERC precedent allow</w:t>
      </w:r>
      <w:r w:rsidR="00803FF0">
        <w:t>s</w:t>
      </w:r>
      <w:r>
        <w:t xml:space="preserve"> the company to pay QFs based on </w:t>
      </w:r>
      <w:r w:rsidR="00803FF0">
        <w:t xml:space="preserve">only forecasts of its </w:t>
      </w:r>
      <w:r>
        <w:t>firm market purchases.</w:t>
      </w:r>
      <w:r>
        <w:rPr>
          <w:rStyle w:val="FootnoteReference"/>
        </w:rPr>
        <w:footnoteReference w:id="5"/>
      </w:r>
      <w:r w:rsidR="009B6BF5">
        <w:t xml:space="preserve">  PacifiCorp misreads and ignores FERC’s rules an</w:t>
      </w:r>
      <w:r w:rsidR="00803FF0">
        <w:t>d orders</w:t>
      </w:r>
      <w:r w:rsidR="00FB684B">
        <w:t>, which have concluded</w:t>
      </w:r>
      <w:r w:rsidR="009B6BF5">
        <w:t xml:space="preserve"> that it </w:t>
      </w:r>
      <w:r w:rsidR="000D3488">
        <w:t>is</w:t>
      </w:r>
      <w:r w:rsidRPr="005110FE">
        <w:t xml:space="preserve"> illegal </w:t>
      </w:r>
      <w:r w:rsidR="009B6BF5">
        <w:t>to effectively prevent</w:t>
      </w:r>
      <w:r w:rsidRPr="005110FE">
        <w:t xml:space="preserve"> QFs from being compensated for the capacity va</w:t>
      </w:r>
      <w:r w:rsidR="009B6BF5">
        <w:t>lue they provide to the utility.</w:t>
      </w:r>
    </w:p>
    <w:p w14:paraId="658536C9" w14:textId="0420DFBA" w:rsidR="009B6BF5" w:rsidRPr="00D37E2F" w:rsidRDefault="009B6BF5" w:rsidP="00D37E2F">
      <w:pPr>
        <w:pStyle w:val="ListParagraph"/>
        <w:numPr>
          <w:ilvl w:val="0"/>
          <w:numId w:val="27"/>
        </w:numPr>
        <w:spacing w:line="480" w:lineRule="auto"/>
        <w:ind w:hanging="547"/>
      </w:pPr>
      <w:r>
        <w:lastRenderedPageBreak/>
        <w:t xml:space="preserve"> </w:t>
      </w:r>
      <w:r>
        <w:tab/>
        <w:t xml:space="preserve">FERC requires that a QF be paid for both the energy and capacity that they provide </w:t>
      </w:r>
      <w:r w:rsidR="00FB684B">
        <w:t xml:space="preserve">to </w:t>
      </w:r>
      <w:r>
        <w:t>the utility.</w:t>
      </w:r>
      <w:r>
        <w:rPr>
          <w:rStyle w:val="FootnoteReference"/>
        </w:rPr>
        <w:footnoteReference w:id="6"/>
      </w:r>
      <w:r>
        <w:t xml:space="preserve"> </w:t>
      </w:r>
      <w:r w:rsidR="00AA41FA">
        <w:t xml:space="preserve"> PacifiCorp selectively cites </w:t>
      </w:r>
      <w:r w:rsidR="000D3488">
        <w:t>FERC</w:t>
      </w:r>
      <w:r w:rsidR="002A431B">
        <w:t xml:space="preserve"> precedent </w:t>
      </w:r>
      <w:r w:rsidR="00AA41FA">
        <w:t>for the proposition that avoided cost rates can solely be based on market purchases.</w:t>
      </w:r>
      <w:r w:rsidR="00AA41FA">
        <w:rPr>
          <w:rStyle w:val="FootnoteReference"/>
        </w:rPr>
        <w:footnoteReference w:id="7"/>
      </w:r>
      <w:r w:rsidR="00AA41FA">
        <w:t xml:space="preserve"> </w:t>
      </w:r>
      <w:r w:rsidR="00353177">
        <w:t xml:space="preserve"> </w:t>
      </w:r>
      <w:r w:rsidR="002A431B">
        <w:t xml:space="preserve">The decision PacifiCorp cites allows </w:t>
      </w:r>
      <w:r w:rsidR="00AA41FA">
        <w:t xml:space="preserve">avoided cost rates </w:t>
      </w:r>
      <w:r w:rsidR="002A431B">
        <w:t xml:space="preserve">to be based </w:t>
      </w:r>
      <w:r w:rsidR="00AA41FA">
        <w:t>on market purchase</w:t>
      </w:r>
      <w:r w:rsidR="002A431B">
        <w:t>s</w:t>
      </w:r>
      <w:r w:rsidR="00AA41FA">
        <w:t xml:space="preserve"> </w:t>
      </w:r>
      <w:r w:rsidR="002A431B">
        <w:t xml:space="preserve">when there are </w:t>
      </w:r>
      <w:r w:rsidR="00AA41FA">
        <w:t>“bona fide offers from another utility.”</w:t>
      </w:r>
      <w:r w:rsidR="00AA41FA">
        <w:rPr>
          <w:rStyle w:val="FootnoteReference"/>
        </w:rPr>
        <w:footnoteReference w:id="8"/>
      </w:r>
      <w:r w:rsidR="00AA41FA">
        <w:t xml:space="preserve">  </w:t>
      </w:r>
      <w:r w:rsidR="002A431B">
        <w:t>Pacif</w:t>
      </w:r>
      <w:r w:rsidR="00845CE8">
        <w:t>iCorp</w:t>
      </w:r>
      <w:r w:rsidR="008A7818">
        <w:t xml:space="preserve"> instead wants to</w:t>
      </w:r>
      <w:r w:rsidR="002A431B">
        <w:t xml:space="preserve"> base avoided cost rates </w:t>
      </w:r>
      <w:r w:rsidR="008A7818">
        <w:t xml:space="preserve">entirely </w:t>
      </w:r>
      <w:r w:rsidR="002A431B">
        <w:t xml:space="preserve">on forward market price estimates.  </w:t>
      </w:r>
      <w:r w:rsidR="00A077F5">
        <w:t xml:space="preserve">PacifiCorp also ignores the recent FERC precedent reaffirming that </w:t>
      </w:r>
      <w:r w:rsidR="00A077F5" w:rsidRPr="00A077F5">
        <w:t>the avo</w:t>
      </w:r>
      <w:r w:rsidR="00845CE8">
        <w:t>ided cost rates must include</w:t>
      </w:r>
      <w:r w:rsidR="00A077F5" w:rsidRPr="00A077F5">
        <w:t xml:space="preserve"> capacity costs</w:t>
      </w:r>
      <w:r w:rsidR="00A077F5">
        <w:t xml:space="preserve"> when the </w:t>
      </w:r>
      <w:r w:rsidR="00A077F5" w:rsidRPr="00A077F5">
        <w:t>utility</w:t>
      </w:r>
      <w:r w:rsidR="00A077F5">
        <w:t xml:space="preserve"> has a demand for capacity</w:t>
      </w:r>
      <w:r w:rsidR="00A077F5" w:rsidRPr="00A077F5">
        <w:t>.</w:t>
      </w:r>
      <w:r w:rsidR="00A077F5" w:rsidRPr="00A077F5">
        <w:rPr>
          <w:vertAlign w:val="superscript"/>
        </w:rPr>
        <w:footnoteReference w:id="9"/>
      </w:r>
      <w:r w:rsidR="00A077F5" w:rsidRPr="00A077F5">
        <w:t xml:space="preserve">  </w:t>
      </w:r>
      <w:r w:rsidR="00511461">
        <w:t>The Commission should not base a</w:t>
      </w:r>
      <w:r w:rsidR="00845CE8">
        <w:t>ny order in this proceeding on PacifiCorp’s proposed</w:t>
      </w:r>
      <w:r w:rsidR="00511461">
        <w:t xml:space="preserve"> legal standard t</w:t>
      </w:r>
      <w:r w:rsidR="002A431B">
        <w:t>hat directly contradicts thirty-</w:t>
      </w:r>
      <w:r w:rsidR="00511461">
        <w:t xml:space="preserve">five years of consistent FERC policy.  </w:t>
      </w:r>
    </w:p>
    <w:p w14:paraId="08CAEBD0" w14:textId="286D029F" w:rsidR="00D37E2F" w:rsidRPr="00D53A88" w:rsidRDefault="00525907" w:rsidP="00D53A88">
      <w:pPr>
        <w:spacing w:line="480" w:lineRule="auto"/>
        <w:rPr>
          <w:b/>
        </w:rPr>
      </w:pPr>
      <w:r>
        <w:rPr>
          <w:b/>
        </w:rPr>
        <w:t>3</w:t>
      </w:r>
      <w:r w:rsidR="00D53A88">
        <w:rPr>
          <w:b/>
        </w:rPr>
        <w:t>.</w:t>
      </w:r>
      <w:r>
        <w:rPr>
          <w:b/>
        </w:rPr>
        <w:tab/>
      </w:r>
      <w:r w:rsidR="001024C4">
        <w:rPr>
          <w:b/>
        </w:rPr>
        <w:t xml:space="preserve">Washington QFs Will Avoid More than </w:t>
      </w:r>
      <w:r w:rsidR="00FA2D90">
        <w:rPr>
          <w:b/>
        </w:rPr>
        <w:t>Just</w:t>
      </w:r>
      <w:r w:rsidR="00511461">
        <w:rPr>
          <w:b/>
        </w:rPr>
        <w:t xml:space="preserve"> Market Purchases</w:t>
      </w:r>
      <w:r>
        <w:rPr>
          <w:b/>
        </w:rPr>
        <w:t xml:space="preserve"> </w:t>
      </w:r>
      <w:r w:rsidR="00D53A88">
        <w:rPr>
          <w:b/>
        </w:rPr>
        <w:tab/>
      </w:r>
    </w:p>
    <w:p w14:paraId="4157ADAF" w14:textId="02F48361" w:rsidR="001024C4" w:rsidRDefault="00D53A88" w:rsidP="00D37E2F">
      <w:pPr>
        <w:pStyle w:val="ListParagraph"/>
        <w:numPr>
          <w:ilvl w:val="0"/>
          <w:numId w:val="27"/>
        </w:numPr>
        <w:spacing w:line="480" w:lineRule="auto"/>
        <w:ind w:hanging="547"/>
      </w:pPr>
      <w:r>
        <w:tab/>
      </w:r>
      <w:r w:rsidR="00511461">
        <w:t>The facts do not support PacifiCorp’s</w:t>
      </w:r>
      <w:r>
        <w:t xml:space="preserve"> claims that new and existing QFs will only cause the company to avoid market purchases.</w:t>
      </w:r>
      <w:r>
        <w:rPr>
          <w:rStyle w:val="FootnoteReference"/>
        </w:rPr>
        <w:footnoteReference w:id="10"/>
      </w:r>
      <w:r w:rsidR="001024C4">
        <w:t xml:space="preserve">  The evidence demonstrates that QFs will cause PacifiCorp to avoid expensive capacity resources over </w:t>
      </w:r>
      <w:r w:rsidR="0008118B">
        <w:t xml:space="preserve">both </w:t>
      </w:r>
      <w:r w:rsidR="001024C4">
        <w:t>the short and long term.</w:t>
      </w:r>
      <w:r w:rsidR="00250FDA">
        <w:t xml:space="preserve">  The avoided cost rates paid to QFs must include this capacity because PacifiCorp has a demand that is in excess of what</w:t>
      </w:r>
      <w:r w:rsidR="00011C68">
        <w:t>ever small amount capacity</w:t>
      </w:r>
      <w:r w:rsidR="00250FDA">
        <w:t xml:space="preserve"> that may be embedded in the company’s estimates of firm market purchases.  </w:t>
      </w:r>
    </w:p>
    <w:p w14:paraId="5C488933" w14:textId="258CDB5C" w:rsidR="00D37E2F" w:rsidRPr="00D37E2F" w:rsidRDefault="00F328AB" w:rsidP="001024C4">
      <w:pPr>
        <w:pStyle w:val="ListParagraph"/>
        <w:numPr>
          <w:ilvl w:val="0"/>
          <w:numId w:val="27"/>
        </w:numPr>
        <w:spacing w:line="480" w:lineRule="auto"/>
        <w:ind w:hanging="547"/>
      </w:pPr>
      <w:r>
        <w:lastRenderedPageBreak/>
        <w:tab/>
        <w:t>In the long term, Pa</w:t>
      </w:r>
      <w:r w:rsidR="00E07255">
        <w:t>cifiCorp’s integrated resource planning horizon includes expensive capacity resources, including coal plant conversions</w:t>
      </w:r>
      <w:r w:rsidR="00E07255" w:rsidRPr="00E07255">
        <w:t>,</w:t>
      </w:r>
      <w:r w:rsidR="00E07255">
        <w:t xml:space="preserve"> </w:t>
      </w:r>
      <w:r w:rsidR="00E07255" w:rsidRPr="00E07255">
        <w:t>investments in its existing coal fleet to retain these resources, and almost 3,000 MWs of new natural gas facilities.</w:t>
      </w:r>
      <w:r w:rsidR="00E07255" w:rsidRPr="00E07255">
        <w:rPr>
          <w:vertAlign w:val="superscript"/>
        </w:rPr>
        <w:footnoteReference w:id="11"/>
      </w:r>
      <w:r w:rsidR="00832207">
        <w:t xml:space="preserve">  </w:t>
      </w:r>
      <w:r w:rsidR="00511461">
        <w:t>Washington QFs must be paid for causing PacifiCorp to avoid these capacity resources because the company p</w:t>
      </w:r>
      <w:r w:rsidR="00011C68">
        <w:t>lans on</w:t>
      </w:r>
      <w:r w:rsidR="005802C5">
        <w:t xml:space="preserve"> QFs</w:t>
      </w:r>
      <w:r w:rsidR="00947745">
        <w:t xml:space="preserve"> selling pow</w:t>
      </w:r>
      <w:r w:rsidR="000D3488">
        <w:t>er during the time in which</w:t>
      </w:r>
      <w:r w:rsidR="005802C5">
        <w:t xml:space="preserve"> </w:t>
      </w:r>
      <w:r w:rsidR="00947745">
        <w:t>these investments</w:t>
      </w:r>
      <w:r w:rsidR="005802C5">
        <w:t xml:space="preserve"> will be made</w:t>
      </w:r>
      <w:r w:rsidR="00947745">
        <w:t xml:space="preserve">.  </w:t>
      </w:r>
      <w:r w:rsidR="001024C4">
        <w:t>PacifiCorp assumes that all small QFs renew their contracts, including the Washington</w:t>
      </w:r>
      <w:r w:rsidR="001024C4" w:rsidRPr="001024C4">
        <w:t xml:space="preserve"> QFs </w:t>
      </w:r>
      <w:r w:rsidR="001024C4">
        <w:t>(</w:t>
      </w:r>
      <w:r w:rsidR="001024C4" w:rsidRPr="001024C4">
        <w:t>Yakima Tieton’s Orchard and Cowiche two hydro projects, and Deruyter Dairy’s 1.2 MW methane facility)</w:t>
      </w:r>
      <w:r w:rsidR="00832207">
        <w:t>.</w:t>
      </w:r>
      <w:r w:rsidR="00832207" w:rsidRPr="00832207">
        <w:rPr>
          <w:vertAlign w:val="superscript"/>
        </w:rPr>
        <w:footnoteReference w:id="12"/>
      </w:r>
      <w:r w:rsidR="00320A97">
        <w:t xml:space="preserve">  The fact that these projects </w:t>
      </w:r>
      <w:r w:rsidR="005C2D89">
        <w:t xml:space="preserve">are assumed to renew their contracts and </w:t>
      </w:r>
      <w:r w:rsidR="00320A97">
        <w:t xml:space="preserve">will operate for the long-term means that they </w:t>
      </w:r>
      <w:r w:rsidR="00A97AC8">
        <w:t>should not</w:t>
      </w:r>
      <w:r w:rsidR="000D3488">
        <w:t xml:space="preserve"> be considered surplus power, but</w:t>
      </w:r>
      <w:r w:rsidR="00A97AC8">
        <w:t xml:space="preserve"> </w:t>
      </w:r>
      <w:r w:rsidR="00320A97">
        <w:t xml:space="preserve">will </w:t>
      </w:r>
      <w:r w:rsidR="000D3488">
        <w:t xml:space="preserve">instead </w:t>
      </w:r>
      <w:r w:rsidR="00320A97">
        <w:t xml:space="preserve">reduce PacifiCorp’s resource </w:t>
      </w:r>
      <w:r w:rsidR="005C2D89">
        <w:t xml:space="preserve">needs </w:t>
      </w:r>
      <w:r w:rsidR="00947745">
        <w:t>for the</w:t>
      </w:r>
      <w:r w:rsidR="00A97AC8">
        <w:t xml:space="preserve"> long-term</w:t>
      </w:r>
      <w:r w:rsidR="00320A97">
        <w:t>.</w:t>
      </w:r>
      <w:r w:rsidR="00320A97" w:rsidRPr="00320A97">
        <w:rPr>
          <w:vertAlign w:val="superscript"/>
        </w:rPr>
        <w:footnoteReference w:id="13"/>
      </w:r>
      <w:r w:rsidR="00320A97" w:rsidRPr="00320A97">
        <w:t xml:space="preserve"> </w:t>
      </w:r>
      <w:r w:rsidR="00320A97">
        <w:t xml:space="preserve"> </w:t>
      </w:r>
      <w:r w:rsidR="001024C4">
        <w:t xml:space="preserve"> </w:t>
      </w:r>
      <w:r w:rsidR="007739A1">
        <w:t xml:space="preserve">In other words, PacifiCorp assumes </w:t>
      </w:r>
      <w:r w:rsidR="00011C68">
        <w:t xml:space="preserve">all existing </w:t>
      </w:r>
      <w:r w:rsidR="007739A1">
        <w:t>Washington’s QFs will operate, sell power to the company, and defer capacity resources that it will acquire over the next two decades.</w:t>
      </w:r>
    </w:p>
    <w:p w14:paraId="47B9A1BB" w14:textId="4C675196" w:rsidR="00162893" w:rsidRDefault="005C2D89" w:rsidP="00376E34">
      <w:pPr>
        <w:pStyle w:val="ListParagraph"/>
        <w:numPr>
          <w:ilvl w:val="0"/>
          <w:numId w:val="27"/>
        </w:numPr>
        <w:spacing w:line="480" w:lineRule="auto"/>
        <w:ind w:hanging="547"/>
      </w:pPr>
      <w:r>
        <w:tab/>
        <w:t xml:space="preserve">QFs will also avoid more than just market purchases in the short-term. </w:t>
      </w:r>
      <w:r w:rsidR="006B7ACB">
        <w:t xml:space="preserve"> PacifiCorp focuses on its GRID model estimates,</w:t>
      </w:r>
      <w:r w:rsidR="006B7ACB">
        <w:rPr>
          <w:rStyle w:val="FootnoteReference"/>
        </w:rPr>
        <w:footnoteReference w:id="14"/>
      </w:r>
      <w:r w:rsidR="006B7ACB">
        <w:t xml:space="preserve"> which ignore the huge investments to retain its existing capacity resources.</w:t>
      </w:r>
      <w:r w:rsidR="0041453E" w:rsidRPr="0041453E">
        <w:rPr>
          <w:vertAlign w:val="superscript"/>
        </w:rPr>
        <w:footnoteReference w:id="15"/>
      </w:r>
      <w:r w:rsidR="0041453E">
        <w:t xml:space="preserve"> </w:t>
      </w:r>
      <w:r w:rsidR="006B7ACB">
        <w:t xml:space="preserve"> </w:t>
      </w:r>
      <w:r w:rsidR="00947745">
        <w:t xml:space="preserve">The Commission should reject </w:t>
      </w:r>
      <w:r w:rsidR="007B1263">
        <w:t>PacifiCorp</w:t>
      </w:r>
      <w:r w:rsidR="00947745">
        <w:t>’s assertions</w:t>
      </w:r>
      <w:r w:rsidR="007B1263">
        <w:t xml:space="preserve"> that these </w:t>
      </w:r>
      <w:r w:rsidR="00947745">
        <w:t xml:space="preserve">capacity retaining </w:t>
      </w:r>
      <w:r w:rsidR="007B1263">
        <w:t xml:space="preserve">investments cannot be avoided because Washington QFs are too </w:t>
      </w:r>
      <w:r w:rsidR="007B1263">
        <w:lastRenderedPageBreak/>
        <w:t>small, some of the upgra</w:t>
      </w:r>
      <w:r w:rsidR="000D3488">
        <w:t>des are no longer required, or</w:t>
      </w:r>
      <w:r w:rsidR="007B1263">
        <w:t xml:space="preserve"> there is no accounting for the benefits of these existing coal resources.</w:t>
      </w:r>
      <w:r w:rsidR="007B1263">
        <w:rPr>
          <w:rStyle w:val="FootnoteReference"/>
        </w:rPr>
        <w:footnoteReference w:id="16"/>
      </w:r>
    </w:p>
    <w:p w14:paraId="192DB568" w14:textId="0317F2A6" w:rsidR="00832207" w:rsidRDefault="00162893" w:rsidP="00376E34">
      <w:pPr>
        <w:pStyle w:val="ListParagraph"/>
        <w:numPr>
          <w:ilvl w:val="0"/>
          <w:numId w:val="27"/>
        </w:numPr>
        <w:spacing w:line="480" w:lineRule="auto"/>
        <w:ind w:hanging="547"/>
      </w:pPr>
      <w:r>
        <w:tab/>
      </w:r>
      <w:r w:rsidR="0010544D">
        <w:t>REC’s initial brief fully addressed PacifiCorp’s first t</w:t>
      </w:r>
      <w:r w:rsidR="00756A2C">
        <w:t xml:space="preserve">wo arguments.  </w:t>
      </w:r>
      <w:r w:rsidR="00AF0DE5">
        <w:t>As explained in the initial brief, u</w:t>
      </w:r>
      <w:r w:rsidR="00A97AC8">
        <w:t xml:space="preserve">nder FERC policy, QFs have the </w:t>
      </w:r>
      <w:r w:rsidR="0010544D">
        <w:t xml:space="preserve">right to be paid rates based on </w:t>
      </w:r>
      <w:r w:rsidR="00A97AC8">
        <w:t xml:space="preserve">actual </w:t>
      </w:r>
      <w:r w:rsidR="0010544D">
        <w:t>avoided capacity resources</w:t>
      </w:r>
      <w:r w:rsidR="00D74F6F">
        <w:t>,</w:t>
      </w:r>
      <w:r w:rsidR="00A97AC8">
        <w:t xml:space="preserve"> regardless of their size</w:t>
      </w:r>
      <w:r>
        <w:t>.</w:t>
      </w:r>
      <w:r w:rsidR="00394A12">
        <w:rPr>
          <w:rStyle w:val="FootnoteReference"/>
        </w:rPr>
        <w:footnoteReference w:id="17"/>
      </w:r>
      <w:r>
        <w:t xml:space="preserve">  </w:t>
      </w:r>
      <w:r w:rsidR="00A97AC8">
        <w:t xml:space="preserve">If QF resource size determined eligibility for capacity payments, then no small QF would ever be paid for capacity because no single QF can ever displace a huge gas or coal plant.  </w:t>
      </w:r>
      <w:r w:rsidR="00947745">
        <w:t>In addition, t</w:t>
      </w:r>
      <w:r w:rsidR="00A97AC8">
        <w:t>he</w:t>
      </w:r>
      <w:r w:rsidR="00756A2C">
        <w:t xml:space="preserve"> company’s proposal to eliminate capacity payments relies entirely upon </w:t>
      </w:r>
      <w:r w:rsidR="00D74F6F">
        <w:t>the fact that it</w:t>
      </w:r>
      <w:r w:rsidR="00947745">
        <w:t xml:space="preserve"> estimates </w:t>
      </w:r>
      <w:r w:rsidR="00D74F6F">
        <w:t xml:space="preserve">in its </w:t>
      </w:r>
      <w:r w:rsidR="00440AC8">
        <w:t>integrated resource plan (“</w:t>
      </w:r>
      <w:r w:rsidR="00D74F6F">
        <w:t>IRP</w:t>
      </w:r>
      <w:r w:rsidR="00440AC8">
        <w:t>”)</w:t>
      </w:r>
      <w:r w:rsidR="00D74F6F">
        <w:t xml:space="preserve"> that </w:t>
      </w:r>
      <w:r w:rsidR="00947745">
        <w:t>it will enter into</w:t>
      </w:r>
      <w:r w:rsidR="009A35DF">
        <w:t xml:space="preserve"> front office transactio</w:t>
      </w:r>
      <w:r w:rsidR="00947745">
        <w:t>ns for more than a decade</w:t>
      </w:r>
      <w:r w:rsidR="00A97AC8">
        <w:t>.  It is ironic</w:t>
      </w:r>
      <w:r w:rsidR="00B1683A">
        <w:t xml:space="preserve"> that the company believes the</w:t>
      </w:r>
      <w:r w:rsidR="00632EA4">
        <w:t xml:space="preserve"> IRP</w:t>
      </w:r>
      <w:r w:rsidR="00A97AC8">
        <w:t xml:space="preserve"> estimates </w:t>
      </w:r>
      <w:r w:rsidR="00B1683A">
        <w:t xml:space="preserve">over ten years out </w:t>
      </w:r>
      <w:r w:rsidR="00A97AC8">
        <w:t xml:space="preserve">warrant eliminating capacity payments, but that </w:t>
      </w:r>
      <w:r w:rsidR="00756A2C">
        <w:t xml:space="preserve">same plan cannot be relied upon </w:t>
      </w:r>
      <w:r w:rsidR="009A35DF">
        <w:t>to accurately estimate coal plant upgrades that will occur in the next few years.</w:t>
      </w:r>
      <w:r w:rsidR="009A35DF">
        <w:rPr>
          <w:rStyle w:val="FootnoteReference"/>
        </w:rPr>
        <w:footnoteReference w:id="18"/>
      </w:r>
      <w:r w:rsidR="009A35DF">
        <w:t xml:space="preserve">  Regardless, even if some of the investments in retaining </w:t>
      </w:r>
      <w:r w:rsidR="00A97AC8">
        <w:t xml:space="preserve">its coal </w:t>
      </w:r>
      <w:r w:rsidR="009A35DF">
        <w:t xml:space="preserve">capacity are not made, PacifiCorp does not claim that none of these investments will </w:t>
      </w:r>
      <w:r w:rsidR="00224F0C">
        <w:t xml:space="preserve">be </w:t>
      </w:r>
      <w:r w:rsidR="009A35DF">
        <w:t>made</w:t>
      </w:r>
      <w:r w:rsidR="00224F0C">
        <w:t>.</w:t>
      </w:r>
      <w:r w:rsidR="009A35DF">
        <w:t xml:space="preserve"> </w:t>
      </w:r>
    </w:p>
    <w:p w14:paraId="6799B182" w14:textId="09FFF00E" w:rsidR="00BA5474" w:rsidRDefault="00B30B2B" w:rsidP="00376E34">
      <w:pPr>
        <w:pStyle w:val="ListParagraph"/>
        <w:numPr>
          <w:ilvl w:val="0"/>
          <w:numId w:val="27"/>
        </w:numPr>
        <w:spacing w:line="480" w:lineRule="auto"/>
        <w:ind w:hanging="547"/>
      </w:pPr>
      <w:r>
        <w:tab/>
      </w:r>
      <w:r w:rsidR="00224F0C">
        <w:t xml:space="preserve">PacifiCorp </w:t>
      </w:r>
      <w:r w:rsidR="00A20041">
        <w:t>also asserts that compensating QFs based on</w:t>
      </w:r>
      <w:r w:rsidR="00224F0C">
        <w:t xml:space="preserve"> the company</w:t>
      </w:r>
      <w:r w:rsidR="00A20041">
        <w:t>’s actual investments in retained</w:t>
      </w:r>
      <w:r w:rsidR="00BA5474">
        <w:t xml:space="preserve"> capacity ignores</w:t>
      </w:r>
      <w:r w:rsidR="00224F0C">
        <w:t xml:space="preserve"> the benefits its existing coal fleet provides.</w:t>
      </w:r>
      <w:r w:rsidR="00224F0C">
        <w:rPr>
          <w:rStyle w:val="FootnoteReference"/>
        </w:rPr>
        <w:footnoteReference w:id="19"/>
      </w:r>
      <w:r w:rsidR="0010544D">
        <w:t xml:space="preserve"> </w:t>
      </w:r>
      <w:r w:rsidR="00224F0C">
        <w:t xml:space="preserve"> </w:t>
      </w:r>
      <w:r w:rsidR="00B419EB">
        <w:t>This argument applies equally to s</w:t>
      </w:r>
      <w:r w:rsidR="00947745">
        <w:t>etting avoided cost rates on</w:t>
      </w:r>
      <w:r w:rsidR="00BA5474">
        <w:t xml:space="preserve"> </w:t>
      </w:r>
      <w:r w:rsidR="00440AC8">
        <w:t>any resource</w:t>
      </w:r>
      <w:r w:rsidR="00B419EB">
        <w:t xml:space="preserve">. </w:t>
      </w:r>
      <w:r w:rsidR="00E036F2">
        <w:t xml:space="preserve"> </w:t>
      </w:r>
      <w:r w:rsidR="00BA5474">
        <w:t xml:space="preserve">Whether they are firm market purchases, gas plants, or </w:t>
      </w:r>
      <w:r w:rsidR="00947745">
        <w:t xml:space="preserve">coal </w:t>
      </w:r>
      <w:r w:rsidR="00BA5474">
        <w:t xml:space="preserve">plants, all non-QF resources have different operational profiles, </w:t>
      </w:r>
      <w:r w:rsidR="00B419EB">
        <w:t xml:space="preserve">costs, and benefits.  </w:t>
      </w:r>
      <w:r w:rsidR="00E036F2">
        <w:t>Regardless</w:t>
      </w:r>
      <w:r w:rsidR="00760CE7">
        <w:t xml:space="preserve">, PURPA mandates that the </w:t>
      </w:r>
      <w:r w:rsidR="00BA5474">
        <w:t>generation that the company would acquire but for the purchase of QF energy</w:t>
      </w:r>
      <w:r w:rsidR="00011C68">
        <w:t xml:space="preserve"> and </w:t>
      </w:r>
      <w:r w:rsidR="00011C68">
        <w:lastRenderedPageBreak/>
        <w:t>capacity</w:t>
      </w:r>
      <w:r w:rsidR="00E036F2">
        <w:t xml:space="preserve"> must be the basis for setting avoided cost rates</w:t>
      </w:r>
      <w:r w:rsidR="00BA5474">
        <w:t xml:space="preserve">.  The logical end result of PacifiCorp’s argument </w:t>
      </w:r>
      <w:r w:rsidR="00947745">
        <w:t>is</w:t>
      </w:r>
      <w:r w:rsidR="00E036F2">
        <w:t xml:space="preserve"> that no</w:t>
      </w:r>
      <w:r w:rsidR="00BA5474">
        <w:t xml:space="preserve"> resource should ever be used to set avoided cost rates for QFs</w:t>
      </w:r>
      <w:r w:rsidR="00947745">
        <w:t xml:space="preserve"> because they </w:t>
      </w:r>
      <w:r w:rsidR="00E036F2">
        <w:t xml:space="preserve">all </w:t>
      </w:r>
      <w:r w:rsidR="00947745">
        <w:t>have other operational benefits</w:t>
      </w:r>
      <w:r w:rsidR="00BA5474">
        <w:t>.</w:t>
      </w:r>
    </w:p>
    <w:p w14:paraId="5B65F26C" w14:textId="4DA1B4AF" w:rsidR="0010544D" w:rsidRDefault="00BA5474" w:rsidP="00376E34">
      <w:pPr>
        <w:pStyle w:val="ListParagraph"/>
        <w:numPr>
          <w:ilvl w:val="0"/>
          <w:numId w:val="27"/>
        </w:numPr>
        <w:spacing w:line="480" w:lineRule="auto"/>
        <w:ind w:hanging="547"/>
      </w:pPr>
      <w:r>
        <w:tab/>
      </w:r>
      <w:r w:rsidR="00760CE7">
        <w:t>Despite any</w:t>
      </w:r>
      <w:r w:rsidR="002810E9">
        <w:t xml:space="preserve"> potential benefits </w:t>
      </w:r>
      <w:r>
        <w:t xml:space="preserve">of </w:t>
      </w:r>
      <w:r w:rsidR="00760CE7">
        <w:t xml:space="preserve">coal, REC has not proposed that all the costs of </w:t>
      </w:r>
      <w:r w:rsidR="002810E9">
        <w:t>f</w:t>
      </w:r>
      <w:r w:rsidR="002810E9" w:rsidRPr="002810E9">
        <w:t xml:space="preserve">uture </w:t>
      </w:r>
      <w:r w:rsidR="002810E9">
        <w:t xml:space="preserve">coal </w:t>
      </w:r>
      <w:r w:rsidR="002810E9" w:rsidRPr="002810E9">
        <w:t xml:space="preserve">regulations </w:t>
      </w:r>
      <w:r w:rsidR="002810E9">
        <w:t xml:space="preserve">be accounted for.  While REC’s proposal is supported by the risk of future environmental requirements, </w:t>
      </w:r>
      <w:r w:rsidR="00D74F6F">
        <w:t xml:space="preserve">REC proposes that </w:t>
      </w:r>
      <w:r w:rsidR="002810E9">
        <w:t>QFs</w:t>
      </w:r>
      <w:r w:rsidR="00D74F6F">
        <w:t xml:space="preserve"> only be paid</w:t>
      </w:r>
      <w:r w:rsidR="002810E9">
        <w:t xml:space="preserve"> for the actual planned investments</w:t>
      </w:r>
      <w:r w:rsidR="00947745">
        <w:t xml:space="preserve"> to comply with current regulations</w:t>
      </w:r>
      <w:r w:rsidR="002810E9">
        <w:t>.  Given the proposed Environmental Protection Agency rules, it is far more lik</w:t>
      </w:r>
      <w:r w:rsidR="0011491E">
        <w:t>ely that there will be higher</w:t>
      </w:r>
      <w:r w:rsidR="002810E9">
        <w:t xml:space="preserve"> </w:t>
      </w:r>
      <w:r w:rsidR="0011491E">
        <w:t xml:space="preserve">rather lower </w:t>
      </w:r>
      <w:r w:rsidR="002810E9">
        <w:t>costs associated with the company’s coal fleet.</w:t>
      </w:r>
      <w:r w:rsidR="002810E9" w:rsidRPr="002810E9">
        <w:t xml:space="preserve">  </w:t>
      </w:r>
    </w:p>
    <w:p w14:paraId="2155DE0D" w14:textId="3294B6C1" w:rsidR="00EA4C02" w:rsidRDefault="0010544D" w:rsidP="00EA4C02">
      <w:pPr>
        <w:pStyle w:val="ListParagraph"/>
        <w:numPr>
          <w:ilvl w:val="0"/>
          <w:numId w:val="27"/>
        </w:numPr>
        <w:spacing w:line="480" w:lineRule="auto"/>
        <w:ind w:hanging="547"/>
      </w:pPr>
      <w:r>
        <w:tab/>
      </w:r>
      <w:r w:rsidRPr="0010544D">
        <w:t xml:space="preserve">PacifiCorp </w:t>
      </w:r>
      <w:r>
        <w:t xml:space="preserve">also </w:t>
      </w:r>
      <w:r w:rsidRPr="0010544D">
        <w:t>accuses REC of “procedural sloppiness” in attaching and referring to REC testimony submitted in an Oregon case.</w:t>
      </w:r>
      <w:r w:rsidRPr="0010544D">
        <w:rPr>
          <w:vertAlign w:val="superscript"/>
        </w:rPr>
        <w:footnoteReference w:id="20"/>
      </w:r>
      <w:r>
        <w:t xml:space="preserve">  </w:t>
      </w:r>
      <w:r w:rsidRPr="0010544D">
        <w:t xml:space="preserve">Mr. Lowe’s declaration fully supports REC’s </w:t>
      </w:r>
      <w:r w:rsidR="00947745">
        <w:t xml:space="preserve">alternative </w:t>
      </w:r>
      <w:r w:rsidRPr="0010544D">
        <w:t>recommendations in this proceeding</w:t>
      </w:r>
      <w:r w:rsidR="00947745">
        <w:t>,</w:t>
      </w:r>
      <w:r w:rsidR="003B0CAD">
        <w:t xml:space="preserve"> and identifies all the retained capacity in</w:t>
      </w:r>
      <w:r w:rsidR="00947745">
        <w:t>vestments that the company planned</w:t>
      </w:r>
      <w:r w:rsidR="003B0CAD">
        <w:t xml:space="preserve"> to make</w:t>
      </w:r>
      <w:r w:rsidR="00947745">
        <w:t xml:space="preserve"> at the time the declaration was filed</w:t>
      </w:r>
      <w:r w:rsidR="003B0CAD">
        <w:t>.</w:t>
      </w:r>
      <w:r w:rsidR="003B0CAD">
        <w:rPr>
          <w:rStyle w:val="FootnoteReference"/>
        </w:rPr>
        <w:footnoteReference w:id="21"/>
      </w:r>
      <w:r w:rsidR="003B0CAD">
        <w:t xml:space="preserve">  T</w:t>
      </w:r>
      <w:r w:rsidRPr="0010544D">
        <w:t xml:space="preserve">he attached testimony </w:t>
      </w:r>
      <w:r w:rsidR="003B0CAD">
        <w:t xml:space="preserve">from Kevin Higgins </w:t>
      </w:r>
      <w:r w:rsidRPr="0010544D">
        <w:t xml:space="preserve">simply provides additional details and background.  PacifiCorp </w:t>
      </w:r>
      <w:r w:rsidR="00C26196">
        <w:t xml:space="preserve">responded to all of REC’s arguments in its rebuttal declaration, and </w:t>
      </w:r>
      <w:r w:rsidRPr="0010544D">
        <w:t>had ample opportunity to address any alleged procedural deficiencies throug</w:t>
      </w:r>
      <w:r w:rsidR="00C26196">
        <w:t>h a motion or cross examination.</w:t>
      </w:r>
    </w:p>
    <w:p w14:paraId="6F6C9341" w14:textId="247D1AB7" w:rsidR="00E37E1C" w:rsidRPr="00E37E1C" w:rsidRDefault="00D416C4" w:rsidP="00E37E1C">
      <w:pPr>
        <w:ind w:left="720" w:hanging="720"/>
        <w:rPr>
          <w:rFonts w:eastAsia="Cambria"/>
        </w:rPr>
      </w:pPr>
      <w:r>
        <w:rPr>
          <w:rFonts w:eastAsia="Cambria"/>
          <w:b/>
        </w:rPr>
        <w:t>4</w:t>
      </w:r>
      <w:r w:rsidR="00A00BEC" w:rsidRPr="00E37E1C">
        <w:rPr>
          <w:rFonts w:eastAsia="Cambria"/>
          <w:b/>
        </w:rPr>
        <w:t>.</w:t>
      </w:r>
      <w:r w:rsidR="00A00BEC" w:rsidRPr="00E37E1C">
        <w:rPr>
          <w:rFonts w:eastAsia="Cambria"/>
          <w:b/>
        </w:rPr>
        <w:tab/>
      </w:r>
      <w:r w:rsidR="00250FDA">
        <w:rPr>
          <w:rFonts w:eastAsia="Cambria"/>
          <w:b/>
        </w:rPr>
        <w:t>Staff’s and REC’s Recommendations Will Not Fix Avoided Cost Rates Forever</w:t>
      </w:r>
    </w:p>
    <w:p w14:paraId="5BEF637C" w14:textId="77777777" w:rsidR="00346C1C" w:rsidRPr="00A00BEC" w:rsidRDefault="00346C1C" w:rsidP="00346C1C">
      <w:pPr>
        <w:ind w:left="720" w:hanging="720"/>
        <w:rPr>
          <w:rFonts w:eastAsia="Cambria"/>
          <w:b/>
        </w:rPr>
      </w:pPr>
    </w:p>
    <w:p w14:paraId="6670F308" w14:textId="738D3DC0" w:rsidR="00C5313F" w:rsidRDefault="00267570" w:rsidP="00D5685E">
      <w:pPr>
        <w:pStyle w:val="ListParagraph"/>
        <w:numPr>
          <w:ilvl w:val="0"/>
          <w:numId w:val="27"/>
        </w:numPr>
        <w:spacing w:line="480" w:lineRule="auto"/>
        <w:ind w:hanging="540"/>
        <w:rPr>
          <w:rFonts w:eastAsia="Cambria"/>
        </w:rPr>
      </w:pPr>
      <w:r>
        <w:t xml:space="preserve"> </w:t>
      </w:r>
      <w:r w:rsidR="00D5685E">
        <w:tab/>
        <w:t>PacifiCorp argues that REC’s position that existing QFs should continue to be paid a capacity payment is simply “a</w:t>
      </w:r>
      <w:r w:rsidR="00D5685E">
        <w:rPr>
          <w:rFonts w:eastAsia="Cambria"/>
        </w:rPr>
        <w:t xml:space="preserve"> </w:t>
      </w:r>
      <w:r w:rsidR="00D5685E" w:rsidRPr="00D5685E">
        <w:rPr>
          <w:rFonts w:eastAsia="Cambria"/>
        </w:rPr>
        <w:t>thinly veiled attempt at lengthening the availability of</w:t>
      </w:r>
      <w:r w:rsidR="00D5685E">
        <w:rPr>
          <w:rFonts w:eastAsia="Cambria"/>
        </w:rPr>
        <w:t xml:space="preserve"> </w:t>
      </w:r>
      <w:r w:rsidR="00D5685E" w:rsidRPr="00D5685E">
        <w:rPr>
          <w:rFonts w:eastAsia="Cambria"/>
        </w:rPr>
        <w:t>fixed avoided cost prices beyond the five years allowed by the Company’s Washington</w:t>
      </w:r>
      <w:r w:rsidR="00D5685E">
        <w:rPr>
          <w:rFonts w:eastAsia="Cambria"/>
        </w:rPr>
        <w:t xml:space="preserve"> </w:t>
      </w:r>
      <w:r w:rsidR="00D5685E" w:rsidRPr="00D5685E">
        <w:rPr>
          <w:rFonts w:eastAsia="Cambria"/>
        </w:rPr>
        <w:lastRenderedPageBreak/>
        <w:t>tariff</w:t>
      </w:r>
      <w:r w:rsidR="00D5685E">
        <w:rPr>
          <w:rFonts w:eastAsia="Cambria"/>
        </w:rPr>
        <w:t>.”</w:t>
      </w:r>
      <w:r w:rsidR="00D5685E">
        <w:rPr>
          <w:rStyle w:val="FootnoteReference"/>
          <w:rFonts w:eastAsia="Cambria"/>
        </w:rPr>
        <w:footnoteReference w:id="22"/>
      </w:r>
      <w:r w:rsidR="00D5685E">
        <w:rPr>
          <w:rFonts w:eastAsia="Cambria"/>
        </w:rPr>
        <w:t xml:space="preserve">  PacifiCorp mischaracterizes REC’s recommendation in this proceeding, which is that there be </w:t>
      </w:r>
      <w:r w:rsidR="00D5685E" w:rsidRPr="00D5685E">
        <w:rPr>
          <w:rFonts w:eastAsia="Cambria"/>
          <w:u w:val="single"/>
        </w:rPr>
        <w:t>no</w:t>
      </w:r>
      <w:r w:rsidR="00D5685E">
        <w:rPr>
          <w:rFonts w:eastAsia="Cambria"/>
        </w:rPr>
        <w:t xml:space="preserve"> change in the o</w:t>
      </w:r>
      <w:r w:rsidR="00D416C4">
        <w:rPr>
          <w:rFonts w:eastAsia="Cambria"/>
        </w:rPr>
        <w:t xml:space="preserve">verall manner of paying all QFs.  </w:t>
      </w:r>
      <w:r w:rsidR="00C25DC1">
        <w:rPr>
          <w:rFonts w:eastAsia="Cambria"/>
        </w:rPr>
        <w:t xml:space="preserve">At this time, </w:t>
      </w:r>
      <w:r w:rsidR="00D416C4">
        <w:rPr>
          <w:rFonts w:eastAsia="Cambria"/>
        </w:rPr>
        <w:t xml:space="preserve">REC is </w:t>
      </w:r>
      <w:r w:rsidR="00D5685E">
        <w:rPr>
          <w:rFonts w:eastAsia="Cambria"/>
        </w:rPr>
        <w:t xml:space="preserve">only </w:t>
      </w:r>
      <w:r w:rsidR="00D416C4">
        <w:rPr>
          <w:rFonts w:eastAsia="Cambria"/>
        </w:rPr>
        <w:t xml:space="preserve">recommending </w:t>
      </w:r>
      <w:r w:rsidR="00D5685E">
        <w:rPr>
          <w:rFonts w:eastAsia="Cambria"/>
        </w:rPr>
        <w:t xml:space="preserve">that the </w:t>
      </w:r>
      <w:r w:rsidR="00D416C4">
        <w:rPr>
          <w:rFonts w:eastAsia="Cambria"/>
        </w:rPr>
        <w:t xml:space="preserve">existing </w:t>
      </w:r>
      <w:r w:rsidR="00D5685E">
        <w:rPr>
          <w:rFonts w:eastAsia="Cambria"/>
        </w:rPr>
        <w:t>capacity payment be increased to more accurately reflect</w:t>
      </w:r>
      <w:r w:rsidR="00D416C4">
        <w:rPr>
          <w:rFonts w:eastAsia="Cambria"/>
        </w:rPr>
        <w:t xml:space="preserve"> PacifiCorp’s avoided costs</w:t>
      </w:r>
      <w:r w:rsidR="00D5685E">
        <w:rPr>
          <w:rFonts w:eastAsia="Cambria"/>
        </w:rPr>
        <w:t>.</w:t>
      </w:r>
    </w:p>
    <w:p w14:paraId="325CD68B" w14:textId="6B12BCB6" w:rsidR="00D5685E" w:rsidRDefault="00D5685E" w:rsidP="00D5685E">
      <w:pPr>
        <w:pStyle w:val="ListParagraph"/>
        <w:numPr>
          <w:ilvl w:val="0"/>
          <w:numId w:val="27"/>
        </w:numPr>
        <w:spacing w:line="480" w:lineRule="auto"/>
        <w:ind w:hanging="540"/>
        <w:rPr>
          <w:rFonts w:eastAsia="Cambria"/>
        </w:rPr>
      </w:pPr>
      <w:r>
        <w:rPr>
          <w:rFonts w:eastAsia="Cambria"/>
        </w:rPr>
        <w:t xml:space="preserve"> </w:t>
      </w:r>
      <w:r>
        <w:rPr>
          <w:rFonts w:eastAsia="Cambria"/>
        </w:rPr>
        <w:tab/>
      </w:r>
      <w:r w:rsidR="00503F7E">
        <w:rPr>
          <w:rFonts w:eastAsia="Cambria"/>
        </w:rPr>
        <w:t>First, REC’s primary recommendation is that there not be any different treatment for new and exi</w:t>
      </w:r>
      <w:r w:rsidR="000315C2">
        <w:rPr>
          <w:rFonts w:eastAsia="Cambria"/>
        </w:rPr>
        <w:t xml:space="preserve">sting QFs.  </w:t>
      </w:r>
      <w:r w:rsidR="0058201C" w:rsidRPr="0058201C">
        <w:rPr>
          <w:rFonts w:eastAsia="Cambria"/>
        </w:rPr>
        <w:t>The fact that existing QFs provide PacifiCorp with additional unique benefits justifies retaining capacity payments</w:t>
      </w:r>
      <w:r w:rsidR="0058201C">
        <w:rPr>
          <w:rFonts w:eastAsia="Cambria"/>
        </w:rPr>
        <w:t xml:space="preserve"> for all QFs</w:t>
      </w:r>
      <w:r w:rsidR="0058201C" w:rsidRPr="0058201C">
        <w:rPr>
          <w:rFonts w:eastAsia="Cambria"/>
        </w:rPr>
        <w:t xml:space="preserve">. </w:t>
      </w:r>
      <w:r w:rsidR="005D5F09">
        <w:rPr>
          <w:rFonts w:eastAsia="Cambria"/>
        </w:rPr>
        <w:t xml:space="preserve"> </w:t>
      </w:r>
      <w:r w:rsidR="000315C2">
        <w:rPr>
          <w:rFonts w:eastAsia="Cambria"/>
        </w:rPr>
        <w:t>Focusing on the impact on existing QFs is important because, f</w:t>
      </w:r>
      <w:r w:rsidR="00503F7E">
        <w:rPr>
          <w:rFonts w:eastAsia="Cambria"/>
        </w:rPr>
        <w:t>rom</w:t>
      </w:r>
      <w:r w:rsidR="008A7818">
        <w:rPr>
          <w:rFonts w:eastAsia="Cambria"/>
        </w:rPr>
        <w:t xml:space="preserve"> a</w:t>
      </w:r>
      <w:r w:rsidR="00503F7E">
        <w:rPr>
          <w:rFonts w:eastAsia="Cambria"/>
        </w:rPr>
        <w:t xml:space="preserve"> practical perspective, </w:t>
      </w:r>
      <w:r w:rsidR="00D416C4">
        <w:rPr>
          <w:rFonts w:eastAsia="Cambria"/>
        </w:rPr>
        <w:t xml:space="preserve">there is unlikely to </w:t>
      </w:r>
      <w:r w:rsidR="008A7818">
        <w:rPr>
          <w:rFonts w:eastAsia="Cambria"/>
        </w:rPr>
        <w:t xml:space="preserve">be </w:t>
      </w:r>
      <w:r w:rsidR="00D416C4">
        <w:rPr>
          <w:rFonts w:eastAsia="Cambria"/>
        </w:rPr>
        <w:t xml:space="preserve">significant amounts of new Washington </w:t>
      </w:r>
      <w:r w:rsidR="00503F7E">
        <w:rPr>
          <w:rFonts w:eastAsia="Cambria"/>
        </w:rPr>
        <w:t>QFs given other aspects of Washington’s PURPA</w:t>
      </w:r>
      <w:r w:rsidR="00D416C4">
        <w:rPr>
          <w:rFonts w:eastAsia="Cambria"/>
        </w:rPr>
        <w:t xml:space="preserve"> implementation</w:t>
      </w:r>
      <w:r w:rsidR="00937F3B">
        <w:rPr>
          <w:rFonts w:eastAsia="Cambria"/>
        </w:rPr>
        <w:t xml:space="preserve">.  For example, </w:t>
      </w:r>
      <w:r w:rsidR="005D5F09">
        <w:rPr>
          <w:rFonts w:eastAsia="Cambria"/>
        </w:rPr>
        <w:t>five-</w:t>
      </w:r>
      <w:r w:rsidR="00937F3B">
        <w:rPr>
          <w:rFonts w:eastAsia="Cambria"/>
        </w:rPr>
        <w:t xml:space="preserve">year contract terms </w:t>
      </w:r>
      <w:r w:rsidR="00503F7E">
        <w:rPr>
          <w:rFonts w:eastAsia="Cambria"/>
        </w:rPr>
        <w:t>make finan</w:t>
      </w:r>
      <w:r w:rsidR="00937F3B">
        <w:rPr>
          <w:rFonts w:eastAsia="Cambria"/>
        </w:rPr>
        <w:t xml:space="preserve">cing extremely difficult and there are </w:t>
      </w:r>
      <w:r w:rsidR="00503F7E">
        <w:rPr>
          <w:rFonts w:eastAsia="Cambria"/>
        </w:rPr>
        <w:t xml:space="preserve">no </w:t>
      </w:r>
      <w:r w:rsidR="00655EE7">
        <w:rPr>
          <w:rFonts w:eastAsia="Cambria"/>
        </w:rPr>
        <w:t>Wash</w:t>
      </w:r>
      <w:r w:rsidR="00F37C45">
        <w:rPr>
          <w:rFonts w:eastAsia="Cambria"/>
        </w:rPr>
        <w:t>i</w:t>
      </w:r>
      <w:r w:rsidR="00655EE7">
        <w:rPr>
          <w:rFonts w:eastAsia="Cambria"/>
        </w:rPr>
        <w:t xml:space="preserve">ngton </w:t>
      </w:r>
      <w:r w:rsidR="00503F7E">
        <w:rPr>
          <w:rFonts w:eastAsia="Cambria"/>
        </w:rPr>
        <w:t xml:space="preserve">standard contracts to limit utility abuse in the negotiation </w:t>
      </w:r>
      <w:r w:rsidR="00937F3B">
        <w:rPr>
          <w:rFonts w:eastAsia="Cambria"/>
        </w:rPr>
        <w:t>process</w:t>
      </w:r>
      <w:r w:rsidR="00503F7E">
        <w:rPr>
          <w:rFonts w:eastAsia="Cambria"/>
        </w:rPr>
        <w:t>.</w:t>
      </w:r>
      <w:r w:rsidR="000315C2">
        <w:rPr>
          <w:rFonts w:eastAsia="Cambria"/>
        </w:rPr>
        <w:t xml:space="preserve"> </w:t>
      </w:r>
    </w:p>
    <w:p w14:paraId="4B0186C7" w14:textId="1CD77E2C" w:rsidR="00D5685E" w:rsidRDefault="00D5685E" w:rsidP="00D5685E">
      <w:pPr>
        <w:pStyle w:val="ListParagraph"/>
        <w:numPr>
          <w:ilvl w:val="0"/>
          <w:numId w:val="27"/>
        </w:numPr>
        <w:spacing w:line="480" w:lineRule="auto"/>
        <w:ind w:hanging="540"/>
        <w:rPr>
          <w:rFonts w:eastAsia="Cambria"/>
        </w:rPr>
      </w:pPr>
      <w:r>
        <w:rPr>
          <w:rFonts w:eastAsia="Cambria"/>
        </w:rPr>
        <w:t xml:space="preserve"> </w:t>
      </w:r>
      <w:r w:rsidR="00503F7E">
        <w:rPr>
          <w:rFonts w:eastAsia="Cambria"/>
        </w:rPr>
        <w:tab/>
        <w:t xml:space="preserve">Second, </w:t>
      </w:r>
      <w:r w:rsidR="001A458D">
        <w:rPr>
          <w:rFonts w:eastAsia="Cambria"/>
        </w:rPr>
        <w:t xml:space="preserve">the parties have not challenged the </w:t>
      </w:r>
      <w:r w:rsidR="00503F7E">
        <w:rPr>
          <w:rFonts w:eastAsia="Cambria"/>
        </w:rPr>
        <w:t>reasonableness or legality of five-year contract terms</w:t>
      </w:r>
      <w:r w:rsidR="00E54682">
        <w:rPr>
          <w:rFonts w:eastAsia="Cambria"/>
        </w:rPr>
        <w:t xml:space="preserve"> in this case</w:t>
      </w:r>
      <w:r w:rsidR="00503F7E">
        <w:rPr>
          <w:rFonts w:eastAsia="Cambria"/>
        </w:rPr>
        <w:t>.</w:t>
      </w:r>
      <w:r w:rsidR="001A458D">
        <w:rPr>
          <w:rStyle w:val="FootnoteReference"/>
          <w:rFonts w:eastAsia="Cambria"/>
        </w:rPr>
        <w:footnoteReference w:id="23"/>
      </w:r>
      <w:r w:rsidR="00503F7E">
        <w:rPr>
          <w:rFonts w:eastAsia="Cambria"/>
        </w:rPr>
        <w:t xml:space="preserve"> </w:t>
      </w:r>
      <w:r w:rsidR="001A458D">
        <w:rPr>
          <w:rFonts w:eastAsia="Cambria"/>
        </w:rPr>
        <w:t xml:space="preserve"> Under REC’s and Staff’s recommendations, QFs will have the guarantee that they will be paid something for energy and capacity, but QFs can only lock in and obtain fixed prices for a maximum of five years.  In other words,</w:t>
      </w:r>
      <w:r w:rsidR="001A458D" w:rsidRPr="001A458D">
        <w:rPr>
          <w:rFonts w:eastAsia="Cambria"/>
        </w:rPr>
        <w:t xml:space="preserve"> </w:t>
      </w:r>
      <w:r w:rsidR="00655EE7">
        <w:rPr>
          <w:rFonts w:eastAsia="Cambria"/>
        </w:rPr>
        <w:t xml:space="preserve">a </w:t>
      </w:r>
      <w:r w:rsidR="00082DB6">
        <w:rPr>
          <w:rFonts w:eastAsia="Cambria"/>
        </w:rPr>
        <w:t>Q</w:t>
      </w:r>
      <w:r w:rsidR="001A458D" w:rsidRPr="001A458D">
        <w:rPr>
          <w:rFonts w:eastAsia="Cambria"/>
        </w:rPr>
        <w:t>F’s avoide</w:t>
      </w:r>
      <w:r w:rsidR="001A458D">
        <w:rPr>
          <w:rFonts w:eastAsia="Cambria"/>
        </w:rPr>
        <w:t xml:space="preserve">d cost rates will still </w:t>
      </w:r>
      <w:r w:rsidR="001A458D" w:rsidRPr="001A458D">
        <w:rPr>
          <w:rFonts w:eastAsia="Cambria"/>
        </w:rPr>
        <w:t>be updated at least every five years, which means that</w:t>
      </w:r>
      <w:r w:rsidR="001A458D">
        <w:rPr>
          <w:rFonts w:eastAsia="Cambria"/>
        </w:rPr>
        <w:t xml:space="preserve"> the actual</w:t>
      </w:r>
      <w:r w:rsidR="001A458D" w:rsidRPr="001A458D">
        <w:rPr>
          <w:rFonts w:eastAsia="Cambria"/>
        </w:rPr>
        <w:t xml:space="preserve"> rates can only be fixed for up to a five-year term</w:t>
      </w:r>
      <w:r w:rsidR="00655EE7">
        <w:rPr>
          <w:rFonts w:eastAsia="Cambria"/>
        </w:rPr>
        <w:t xml:space="preserve">. </w:t>
      </w:r>
      <w:r w:rsidR="00082DB6">
        <w:rPr>
          <w:rFonts w:eastAsia="Cambria"/>
        </w:rPr>
        <w:t xml:space="preserve"> For baseload hydro and biomass QFs, t</w:t>
      </w:r>
      <w:r w:rsidR="00655EE7">
        <w:rPr>
          <w:rFonts w:eastAsia="Cambria"/>
        </w:rPr>
        <w:t>his is shorter than any other</w:t>
      </w:r>
      <w:r w:rsidR="00082DB6">
        <w:rPr>
          <w:rFonts w:eastAsia="Cambria"/>
        </w:rPr>
        <w:t xml:space="preserve"> state</w:t>
      </w:r>
      <w:r w:rsidR="00655EE7">
        <w:rPr>
          <w:rFonts w:eastAsia="Cambria"/>
        </w:rPr>
        <w:t>.</w:t>
      </w:r>
      <w:r w:rsidR="00655EE7">
        <w:rPr>
          <w:rStyle w:val="FootnoteReference"/>
          <w:rFonts w:eastAsia="Cambria"/>
        </w:rPr>
        <w:footnoteReference w:id="24"/>
      </w:r>
      <w:r w:rsidR="001A458D" w:rsidRPr="001A458D">
        <w:rPr>
          <w:rFonts w:eastAsia="Cambria"/>
        </w:rPr>
        <w:t xml:space="preserve"> </w:t>
      </w:r>
    </w:p>
    <w:p w14:paraId="5415F4B6" w14:textId="285F5A6F" w:rsidR="005947A9" w:rsidRDefault="005947A9" w:rsidP="005947A9">
      <w:pPr>
        <w:ind w:left="720" w:hanging="720"/>
        <w:rPr>
          <w:rFonts w:eastAsia="Cambria"/>
          <w:b/>
        </w:rPr>
      </w:pPr>
      <w:r>
        <w:rPr>
          <w:rFonts w:eastAsia="Cambria"/>
          <w:b/>
        </w:rPr>
        <w:lastRenderedPageBreak/>
        <w:t>5.</w:t>
      </w:r>
      <w:r>
        <w:rPr>
          <w:rFonts w:eastAsia="Cambria"/>
          <w:b/>
        </w:rPr>
        <w:tab/>
        <w:t>PacifiCorp Does Not Conduct Its Own Analysis of Market Liquidity and Depth</w:t>
      </w:r>
    </w:p>
    <w:p w14:paraId="7C5E96E1" w14:textId="77777777" w:rsidR="005947A9" w:rsidRPr="005947A9" w:rsidRDefault="005947A9" w:rsidP="005947A9">
      <w:pPr>
        <w:ind w:left="720" w:hanging="720"/>
        <w:rPr>
          <w:rFonts w:eastAsia="Cambria"/>
          <w:b/>
        </w:rPr>
      </w:pPr>
    </w:p>
    <w:p w14:paraId="22F11E05" w14:textId="5DE583CD" w:rsidR="00023707" w:rsidRPr="009616D9" w:rsidRDefault="005947A9" w:rsidP="00BF1A51">
      <w:pPr>
        <w:pStyle w:val="ListParagraph"/>
        <w:numPr>
          <w:ilvl w:val="0"/>
          <w:numId w:val="27"/>
        </w:numPr>
        <w:spacing w:line="480" w:lineRule="auto"/>
        <w:ind w:hanging="540"/>
        <w:rPr>
          <w:rFonts w:eastAsia="Cambria"/>
        </w:rPr>
      </w:pPr>
      <w:r>
        <w:rPr>
          <w:rFonts w:eastAsia="Cambria"/>
        </w:rPr>
        <w:tab/>
        <w:t>PacifiCorp disputes REC’s assertion that the company does not adequately analyze market liquidity and depth.</w:t>
      </w:r>
      <w:r>
        <w:rPr>
          <w:rStyle w:val="FootnoteReference"/>
          <w:rFonts w:eastAsia="Cambria"/>
        </w:rPr>
        <w:footnoteReference w:id="25"/>
      </w:r>
      <w:r>
        <w:rPr>
          <w:rFonts w:eastAsia="Cambria"/>
        </w:rPr>
        <w:t xml:space="preserve">  REC agrees that </w:t>
      </w:r>
      <w:r w:rsidR="00FA2211">
        <w:rPr>
          <w:rFonts w:eastAsia="Cambria"/>
        </w:rPr>
        <w:t xml:space="preserve">PacifiCorp’s IRP includes a cursory comparison of its planning margins and the resource adequacy assessments of the Western Electricity Coordinating Council and the </w:t>
      </w:r>
      <w:r w:rsidR="00FA2211" w:rsidRPr="00FA2211">
        <w:rPr>
          <w:rFonts w:eastAsia="Cambria"/>
        </w:rPr>
        <w:t>Pacific Northwest Resource Adequacy Forum</w:t>
      </w:r>
      <w:r w:rsidR="00FA2211">
        <w:rPr>
          <w:rFonts w:eastAsia="Cambria"/>
        </w:rPr>
        <w:t>.</w:t>
      </w:r>
      <w:r w:rsidR="00FA2211">
        <w:rPr>
          <w:rStyle w:val="FootnoteReference"/>
          <w:rFonts w:eastAsia="Cambria"/>
        </w:rPr>
        <w:footnoteReference w:id="26"/>
      </w:r>
      <w:r w:rsidR="00FA2211" w:rsidRPr="00FA2211">
        <w:rPr>
          <w:rFonts w:eastAsia="Cambria"/>
        </w:rPr>
        <w:t xml:space="preserve"> </w:t>
      </w:r>
      <w:r w:rsidR="00085FBA">
        <w:rPr>
          <w:rFonts w:eastAsia="Cambria"/>
        </w:rPr>
        <w:t xml:space="preserve"> This analysis is inadequate.</w:t>
      </w:r>
      <w:r w:rsidR="005E3DDF">
        <w:rPr>
          <w:rFonts w:eastAsia="Cambria"/>
        </w:rPr>
        <w:t xml:space="preserve"> </w:t>
      </w:r>
      <w:r w:rsidR="00085FBA">
        <w:rPr>
          <w:rFonts w:eastAsia="Cambria"/>
        </w:rPr>
        <w:t xml:space="preserve"> </w:t>
      </w:r>
      <w:r w:rsidR="005E3DDF">
        <w:rPr>
          <w:rFonts w:eastAsia="Cambria"/>
        </w:rPr>
        <w:t>REC does not believe that it is appropriate to only compare the company’s reserve margins with reserve margins of other organizations (which may or may not use consistent methodologies).   For example, PSE is conducting its own resource adequacy studies, with different sensitivity cases based on different assumptions regarding the operation of new and existing thermal generation, and California imports.</w:t>
      </w:r>
      <w:r w:rsidR="00E40244">
        <w:rPr>
          <w:rStyle w:val="FootnoteReference"/>
          <w:rFonts w:eastAsia="Cambria"/>
        </w:rPr>
        <w:footnoteReference w:id="27"/>
      </w:r>
      <w:r w:rsidR="005E3DDF">
        <w:rPr>
          <w:rFonts w:eastAsia="Cambria"/>
        </w:rPr>
        <w:t xml:space="preserve">  PacifiCorp should be required to perform a more robust analysis of market availability. </w:t>
      </w:r>
    </w:p>
    <w:p w14:paraId="338A5EF9" w14:textId="6273E5E7" w:rsidR="00B9633F" w:rsidRPr="00FA10F1" w:rsidRDefault="00376E34" w:rsidP="00FA10F1">
      <w:pPr>
        <w:spacing w:line="480" w:lineRule="auto"/>
        <w:jc w:val="center"/>
        <w:rPr>
          <w:rFonts w:eastAsia="Cambria"/>
          <w:b/>
        </w:rPr>
      </w:pPr>
      <w:r>
        <w:rPr>
          <w:rFonts w:eastAsia="Cambria"/>
          <w:b/>
        </w:rPr>
        <w:t>III</w:t>
      </w:r>
      <w:r w:rsidR="00FA10F1">
        <w:rPr>
          <w:rFonts w:eastAsia="Cambria"/>
          <w:b/>
        </w:rPr>
        <w:t>.</w:t>
      </w:r>
      <w:r w:rsidR="00FA10F1">
        <w:rPr>
          <w:rFonts w:eastAsia="Cambria"/>
          <w:b/>
        </w:rPr>
        <w:tab/>
        <w:t>CONCLUSION</w:t>
      </w:r>
    </w:p>
    <w:p w14:paraId="02504E2B" w14:textId="497B2DB0" w:rsidR="004309A3" w:rsidRPr="004309A3" w:rsidRDefault="00316DC1" w:rsidP="00656B7E">
      <w:pPr>
        <w:pStyle w:val="ListParagraph"/>
        <w:numPr>
          <w:ilvl w:val="0"/>
          <w:numId w:val="27"/>
        </w:numPr>
        <w:spacing w:line="480" w:lineRule="auto"/>
        <w:ind w:hanging="540"/>
        <w:rPr>
          <w:rFonts w:eastAsia="Cambria"/>
        </w:rPr>
      </w:pPr>
      <w:r>
        <w:t xml:space="preserve">  </w:t>
      </w:r>
      <w:r w:rsidR="00466237">
        <w:tab/>
      </w:r>
      <w:r w:rsidR="00473FB4">
        <w:t xml:space="preserve"> </w:t>
      </w:r>
      <w:r w:rsidR="004309A3">
        <w:t xml:space="preserve">  </w:t>
      </w:r>
      <w:r w:rsidR="004309A3" w:rsidRPr="004309A3">
        <w:t xml:space="preserve">The Commission should </w:t>
      </w:r>
      <w:r w:rsidR="004309A3">
        <w:t>reject PacifiCorp’s</w:t>
      </w:r>
      <w:r w:rsidR="00655EE7">
        <w:t xml:space="preserve"> efforts to administratively dismantle</w:t>
      </w:r>
      <w:r w:rsidR="004309A3">
        <w:t xml:space="preserve"> PURPA, and </w:t>
      </w:r>
      <w:r w:rsidR="004309A3" w:rsidRPr="004309A3">
        <w:t xml:space="preserve">continue </w:t>
      </w:r>
      <w:r w:rsidR="004309A3">
        <w:t>to pay both new and existing</w:t>
      </w:r>
      <w:r w:rsidR="004309A3" w:rsidRPr="004309A3">
        <w:t xml:space="preserve"> QFs a monthly capacity payment and an hourly energy payment.  </w:t>
      </w:r>
      <w:r w:rsidR="00B4500E">
        <w:t>Specifically, the Commission should adopt Staff’s recommendation to increase t</w:t>
      </w:r>
      <w:r w:rsidR="004309A3" w:rsidRPr="004309A3">
        <w:t xml:space="preserve">he current capacity payment </w:t>
      </w:r>
      <w:r w:rsidR="007E318B">
        <w:t>using the same</w:t>
      </w:r>
      <w:r w:rsidR="00B4500E">
        <w:t xml:space="preserve"> methodology used for renewable portfolio standard compliance</w:t>
      </w:r>
      <w:r w:rsidR="004309A3" w:rsidRPr="004309A3">
        <w:t>.</w:t>
      </w:r>
      <w:r w:rsidR="00B4500E">
        <w:t xml:space="preserve">  In the alternative, the Commission should adopt REC’s recommendations regarding capacity payments using planned investments in retained capacity, or the full costs of a peaking resource.  Finally, </w:t>
      </w:r>
      <w:r w:rsidR="00B4500E">
        <w:lastRenderedPageBreak/>
        <w:t>under no circumstances should capacity payments be eliminated for existing QFs that the company relies upon to continue to sell power in its IRP.</w:t>
      </w:r>
    </w:p>
    <w:p w14:paraId="2ECBF078" w14:textId="73045665" w:rsidR="00B43A04" w:rsidRDefault="00B43A04" w:rsidP="00D301DA">
      <w:pPr>
        <w:keepNext/>
        <w:spacing w:line="480" w:lineRule="auto"/>
        <w:ind w:left="1980"/>
      </w:pPr>
      <w:r>
        <w:t xml:space="preserve">Dated this </w:t>
      </w:r>
      <w:r w:rsidR="00473FB4">
        <w:t>7</w:t>
      </w:r>
      <w:r w:rsidR="000457F0">
        <w:t>th</w:t>
      </w:r>
      <w:r>
        <w:t xml:space="preserve"> day of </w:t>
      </w:r>
      <w:r w:rsidR="00473FB4">
        <w:t>October</w:t>
      </w:r>
      <w:r w:rsidR="00454391">
        <w:t>, 2015</w:t>
      </w:r>
      <w:r w:rsidR="00833F04">
        <w:t>.</w:t>
      </w:r>
    </w:p>
    <w:p w14:paraId="666F4E4E" w14:textId="076C17F7" w:rsidR="0000482B" w:rsidRDefault="00B43A04" w:rsidP="00B17330">
      <w:pPr>
        <w:keepNext/>
        <w:spacing w:line="480" w:lineRule="auto"/>
        <w:ind w:left="2880" w:firstLine="720"/>
      </w:pPr>
      <w:r>
        <w:t>Respectfully submitted,</w:t>
      </w:r>
    </w:p>
    <w:p w14:paraId="1025EC20" w14:textId="77777777" w:rsidR="00CD1028" w:rsidRDefault="00CD1028" w:rsidP="00B17330">
      <w:pPr>
        <w:keepNext/>
        <w:ind w:left="2880" w:firstLine="720"/>
      </w:pPr>
    </w:p>
    <w:p w14:paraId="11FF32AD" w14:textId="5811C658" w:rsidR="00CD1028" w:rsidRDefault="00CD1028" w:rsidP="00B17330">
      <w:pPr>
        <w:keepNext/>
        <w:ind w:left="2880" w:firstLine="720"/>
      </w:pPr>
    </w:p>
    <w:p w14:paraId="0647C9A7" w14:textId="6C6726A0" w:rsidR="00CD1028" w:rsidRPr="000C342C" w:rsidRDefault="00453208" w:rsidP="00B17330">
      <w:pPr>
        <w:keepNext/>
        <w:ind w:left="2880" w:firstLine="720"/>
      </w:pPr>
      <w:r w:rsidRPr="000C342C">
        <w:rPr>
          <w:i/>
          <w:noProof/>
        </w:rPr>
        <w:t>_________</w:t>
      </w:r>
      <w:r w:rsidR="00B17330" w:rsidRPr="000C342C">
        <w:rPr>
          <w:noProof/>
        </w:rPr>
        <w:t>______</w:t>
      </w:r>
    </w:p>
    <w:p w14:paraId="65E2F554" w14:textId="27182D40" w:rsidR="00CD1028" w:rsidRDefault="00CD1028" w:rsidP="00B17330">
      <w:pPr>
        <w:keepNext/>
        <w:ind w:left="2880" w:firstLine="720"/>
      </w:pPr>
      <w:r>
        <w:t>Irion A. Sanger</w:t>
      </w:r>
    </w:p>
    <w:p w14:paraId="414F9D0B" w14:textId="77777777" w:rsidR="00CD1028" w:rsidRDefault="00CD1028" w:rsidP="00B17330">
      <w:pPr>
        <w:keepNext/>
        <w:ind w:left="2880" w:firstLine="720"/>
      </w:pPr>
      <w:r>
        <w:t>Sanger La</w:t>
      </w:r>
      <w:bookmarkStart w:id="1" w:name="_GoBack"/>
      <w:bookmarkEnd w:id="1"/>
      <w:r>
        <w:t>w, PC</w:t>
      </w:r>
    </w:p>
    <w:p w14:paraId="0A825A5D" w14:textId="77777777" w:rsidR="00CD1028" w:rsidRDefault="00CD1028" w:rsidP="00B17330">
      <w:pPr>
        <w:keepNext/>
        <w:ind w:left="2880" w:firstLine="720"/>
      </w:pPr>
      <w:r w:rsidRPr="00CD1028">
        <w:t>1117 SE 53rd Avenue</w:t>
      </w:r>
    </w:p>
    <w:p w14:paraId="135945C7" w14:textId="77777777" w:rsidR="00CD1028" w:rsidRDefault="00CD1028" w:rsidP="00B17330">
      <w:pPr>
        <w:keepNext/>
        <w:ind w:left="2880" w:firstLine="720"/>
      </w:pPr>
      <w:r w:rsidRPr="00CD1028">
        <w:t>Portland, OR 97215</w:t>
      </w:r>
    </w:p>
    <w:p w14:paraId="40EB9AFF" w14:textId="77777777" w:rsidR="00CD1028" w:rsidRDefault="00CD1028" w:rsidP="00B17330">
      <w:pPr>
        <w:keepNext/>
        <w:ind w:left="2880" w:firstLine="720"/>
      </w:pPr>
      <w:r w:rsidRPr="00CD1028">
        <w:t>Telephone: 503-756-7533</w:t>
      </w:r>
    </w:p>
    <w:p w14:paraId="00FF8F31" w14:textId="77777777" w:rsidR="00CD1028" w:rsidRDefault="00CD1028" w:rsidP="00B17330">
      <w:pPr>
        <w:keepNext/>
        <w:ind w:left="2880" w:firstLine="720"/>
      </w:pPr>
      <w:r w:rsidRPr="00CD1028">
        <w:t>Fax: 503-334-2235</w:t>
      </w:r>
    </w:p>
    <w:p w14:paraId="373CA299" w14:textId="6725035F" w:rsidR="00CD1028" w:rsidRDefault="00CD1028" w:rsidP="00B17330">
      <w:pPr>
        <w:keepNext/>
        <w:ind w:left="2880" w:firstLine="720"/>
      </w:pPr>
      <w:r w:rsidRPr="00CD1028">
        <w:t>irion@sanger-law.com</w:t>
      </w:r>
    </w:p>
    <w:p w14:paraId="69DD4815" w14:textId="77777777" w:rsidR="00B17330" w:rsidRDefault="00B17330" w:rsidP="00B17330">
      <w:pPr>
        <w:keepNext/>
        <w:ind w:left="2880" w:firstLine="720"/>
      </w:pPr>
    </w:p>
    <w:p w14:paraId="571BFBE6" w14:textId="7D7C07F6" w:rsidR="0000482B" w:rsidRDefault="00F81F53" w:rsidP="000457F0">
      <w:pPr>
        <w:keepNext/>
        <w:ind w:left="2880" w:firstLine="720"/>
      </w:pPr>
      <w:r>
        <w:t>Of A</w:t>
      </w:r>
      <w:r w:rsidR="00B17330">
        <w:t>ttorneys fo</w:t>
      </w:r>
      <w:r>
        <w:t>r the Renewable Energy Coalition</w:t>
      </w:r>
    </w:p>
    <w:sectPr w:rsidR="0000482B" w:rsidSect="003C73F2">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42401" w14:textId="77777777" w:rsidR="005802C5" w:rsidRDefault="005802C5">
      <w:r>
        <w:separator/>
      </w:r>
    </w:p>
  </w:endnote>
  <w:endnote w:type="continuationSeparator" w:id="0">
    <w:p w14:paraId="759589BA" w14:textId="77777777" w:rsidR="005802C5" w:rsidRDefault="0058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AE3A" w14:textId="63935A2A" w:rsidR="005802C5" w:rsidRPr="00D04330" w:rsidRDefault="005802C5" w:rsidP="008A1C1A">
    <w:pPr>
      <w:pStyle w:val="Footer"/>
      <w:tabs>
        <w:tab w:val="left" w:pos="8640"/>
      </w:tabs>
      <w:rPr>
        <w:szCs w:val="24"/>
      </w:rPr>
    </w:pPr>
    <w:r w:rsidRPr="00D04330">
      <w:rPr>
        <w:szCs w:val="24"/>
      </w:rPr>
      <w:t xml:space="preserve">REC </w:t>
    </w:r>
    <w:r>
      <w:rPr>
        <w:szCs w:val="24"/>
      </w:rPr>
      <w:t xml:space="preserve">REPLY BRIEF </w:t>
    </w:r>
    <w:r>
      <w:rPr>
        <w:szCs w:val="24"/>
      </w:rPr>
      <w:tab/>
      <w:t xml:space="preserve">                                                                                              </w:t>
    </w:r>
    <w:r w:rsidRPr="008A1C1A">
      <w:rPr>
        <w:szCs w:val="24"/>
      </w:rPr>
      <w:t xml:space="preserve">Page </w:t>
    </w:r>
    <w:r w:rsidRPr="008A1C1A">
      <w:rPr>
        <w:szCs w:val="24"/>
      </w:rPr>
      <w:fldChar w:fldCharType="begin"/>
    </w:r>
    <w:r w:rsidRPr="008A1C1A">
      <w:rPr>
        <w:szCs w:val="24"/>
      </w:rPr>
      <w:instrText xml:space="preserve"> PAGE </w:instrText>
    </w:r>
    <w:r w:rsidRPr="008A1C1A">
      <w:rPr>
        <w:szCs w:val="24"/>
      </w:rPr>
      <w:fldChar w:fldCharType="separate"/>
    </w:r>
    <w:r w:rsidR="000C342C">
      <w:rPr>
        <w:noProof/>
        <w:szCs w:val="24"/>
      </w:rPr>
      <w:t>10</w:t>
    </w:r>
    <w:r w:rsidRPr="008A1C1A">
      <w:rPr>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3663C" w14:textId="77777777" w:rsidR="005802C5" w:rsidRDefault="005802C5">
      <w:r>
        <w:separator/>
      </w:r>
    </w:p>
  </w:footnote>
  <w:footnote w:type="continuationSeparator" w:id="0">
    <w:p w14:paraId="03CDA19C" w14:textId="77777777" w:rsidR="005802C5" w:rsidRDefault="005802C5">
      <w:r>
        <w:continuationSeparator/>
      </w:r>
    </w:p>
  </w:footnote>
  <w:footnote w:id="1">
    <w:p w14:paraId="1B55ECAE" w14:textId="0F27F890" w:rsidR="005802C5" w:rsidRPr="000E1549" w:rsidRDefault="005802C5">
      <w:pPr>
        <w:pStyle w:val="FootnoteText"/>
      </w:pPr>
      <w:r w:rsidRPr="000E1549">
        <w:rPr>
          <w:rStyle w:val="FootnoteReference"/>
        </w:rPr>
        <w:footnoteRef/>
      </w:r>
      <w:r w:rsidRPr="000E1549">
        <w:t xml:space="preserve"> </w:t>
      </w:r>
      <w:r w:rsidRPr="000E1549">
        <w:tab/>
      </w:r>
      <w:r w:rsidRPr="00CE1B7C">
        <w:rPr>
          <w:u w:val="single"/>
        </w:rPr>
        <w:t>See</w:t>
      </w:r>
      <w:r>
        <w:t xml:space="preserve"> </w:t>
      </w:r>
      <w:r w:rsidRPr="000E1549">
        <w:t>PacifiCorp Initial Brief ¶¶ 20-21.</w:t>
      </w:r>
    </w:p>
  </w:footnote>
  <w:footnote w:id="2">
    <w:p w14:paraId="4D5817FA" w14:textId="72F05EAE" w:rsidR="005802C5" w:rsidRPr="000E1549" w:rsidRDefault="005802C5" w:rsidP="00B446E0">
      <w:pPr>
        <w:pStyle w:val="FootnoteText"/>
        <w:ind w:left="720" w:hanging="720"/>
      </w:pPr>
      <w:r w:rsidRPr="000E1549">
        <w:rPr>
          <w:rStyle w:val="FootnoteReference"/>
        </w:rPr>
        <w:footnoteRef/>
      </w:r>
      <w:r w:rsidRPr="000E1549">
        <w:t xml:space="preserve"> </w:t>
      </w:r>
      <w:r w:rsidRPr="000E1549">
        <w:tab/>
        <w:t>This includes Avista, Puget Sound Energy, Idaho Power, Portland General Electric Company, and PacifiCorp’s operations in Oregon, California, Wyoming, Idaho and Utah.</w:t>
      </w:r>
    </w:p>
  </w:footnote>
  <w:footnote w:id="3">
    <w:p w14:paraId="693A2082" w14:textId="66B2ED64" w:rsidR="005802C5" w:rsidRPr="000E1549" w:rsidRDefault="005802C5">
      <w:pPr>
        <w:pStyle w:val="FootnoteText"/>
      </w:pPr>
      <w:r w:rsidRPr="000E1549">
        <w:rPr>
          <w:rStyle w:val="FootnoteReference"/>
        </w:rPr>
        <w:footnoteRef/>
      </w:r>
      <w:r w:rsidRPr="000E1549">
        <w:t xml:space="preserve"> </w:t>
      </w:r>
      <w:r w:rsidRPr="000E1549">
        <w:tab/>
        <w:t>As reported at: http://www.eenews.net/stories/1060019382</w:t>
      </w:r>
    </w:p>
  </w:footnote>
  <w:footnote w:id="4">
    <w:p w14:paraId="15E3EB02" w14:textId="63BB61BF" w:rsidR="005802C5" w:rsidRPr="000E1549" w:rsidRDefault="005802C5" w:rsidP="008502F8">
      <w:pPr>
        <w:pStyle w:val="FootnoteText"/>
        <w:ind w:left="720" w:hanging="720"/>
      </w:pPr>
      <w:r w:rsidRPr="000E1549">
        <w:rPr>
          <w:rStyle w:val="FootnoteReference"/>
        </w:rPr>
        <w:footnoteRef/>
      </w:r>
      <w:r w:rsidRPr="000E1549">
        <w:t xml:space="preserve"> </w:t>
      </w:r>
      <w:r w:rsidRPr="000E1549">
        <w:tab/>
        <w:t>As reported at: http://www.utilitydive.com/news/after-senate-showdown-buffetts-berkshire-pushes-purpa-reform-in-house/400081/</w:t>
      </w:r>
    </w:p>
  </w:footnote>
  <w:footnote w:id="5">
    <w:p w14:paraId="26C68C26" w14:textId="06D111DB" w:rsidR="005802C5" w:rsidRPr="000E1549" w:rsidRDefault="005802C5">
      <w:pPr>
        <w:pStyle w:val="FootnoteText"/>
      </w:pPr>
      <w:r w:rsidRPr="000E1549">
        <w:rPr>
          <w:rStyle w:val="FootnoteReference"/>
        </w:rPr>
        <w:footnoteRef/>
      </w:r>
      <w:r w:rsidRPr="000E1549">
        <w:t xml:space="preserve"> </w:t>
      </w:r>
      <w:r w:rsidRPr="000E1549">
        <w:tab/>
        <w:t xml:space="preserve">PacifiCorp Initial Brief at </w:t>
      </w:r>
      <w:r w:rsidRPr="00A0774E">
        <w:t>¶</w:t>
      </w:r>
      <w:r w:rsidRPr="000E1549">
        <w:t>¶ 12-13.</w:t>
      </w:r>
    </w:p>
  </w:footnote>
  <w:footnote w:id="6">
    <w:p w14:paraId="69C0F990" w14:textId="598614F8" w:rsidR="005802C5" w:rsidRPr="000E1549" w:rsidRDefault="005802C5" w:rsidP="005D76F0">
      <w:pPr>
        <w:pStyle w:val="FootnoteText"/>
        <w:ind w:left="720" w:hanging="720"/>
      </w:pPr>
      <w:r w:rsidRPr="000E1549">
        <w:rPr>
          <w:rStyle w:val="FootnoteReference"/>
        </w:rPr>
        <w:footnoteRef/>
      </w:r>
      <w:r w:rsidRPr="000E1549">
        <w:t xml:space="preserve"> </w:t>
      </w:r>
      <w:r w:rsidRPr="000E1549">
        <w:tab/>
        <w:t xml:space="preserve">REC Initial Brief at ¶¶ 12-13; </w:t>
      </w:r>
      <w:r w:rsidRPr="000E1549">
        <w:rPr>
          <w:u w:val="single"/>
        </w:rPr>
        <w:t>see</w:t>
      </w:r>
      <w:r w:rsidRPr="000E1549">
        <w:t xml:space="preserve"> </w:t>
      </w:r>
      <w:r w:rsidRPr="000E1549">
        <w:rPr>
          <w:u w:val="single"/>
        </w:rPr>
        <w:t>also</w:t>
      </w:r>
      <w:r w:rsidRPr="000E1549">
        <w:t xml:space="preserve"> </w:t>
      </w:r>
      <w:r w:rsidRPr="000E1549">
        <w:rPr>
          <w:iCs/>
          <w:u w:val="single"/>
        </w:rPr>
        <w:t>Small Power Prod. and Cogeneration Facilities; Regulations Implementing Sec. 210 of the Pub. Util. Reg. Pol. Act of 1978</w:t>
      </w:r>
      <w:r w:rsidRPr="000E1549">
        <w:t>, Order No. 69, 45 Fed. Reg. 12,214, 12,224 (Feb. 25, 1980) (a QF has the right to “a fixed price contract for its energy and capacity at the outset of it obligation”.)(“Order No. 69”).</w:t>
      </w:r>
    </w:p>
  </w:footnote>
  <w:footnote w:id="7">
    <w:p w14:paraId="28CACC34" w14:textId="57B1A5EC" w:rsidR="005802C5" w:rsidRPr="000E1549" w:rsidRDefault="005802C5">
      <w:pPr>
        <w:pStyle w:val="FootnoteText"/>
      </w:pPr>
      <w:r w:rsidRPr="000E1549">
        <w:rPr>
          <w:rStyle w:val="FootnoteReference"/>
        </w:rPr>
        <w:footnoteRef/>
      </w:r>
      <w:r w:rsidRPr="000E1549">
        <w:t xml:space="preserve"> </w:t>
      </w:r>
      <w:r w:rsidRPr="000E1549">
        <w:tab/>
        <w:t xml:space="preserve">PacifiCorp Initial Brief at ¶ 13 </w:t>
      </w:r>
      <w:r w:rsidRPr="005802C5">
        <w:rPr>
          <w:u w:val="single"/>
        </w:rPr>
        <w:t>citing</w:t>
      </w:r>
      <w:r w:rsidRPr="000E1549">
        <w:t xml:space="preserve"> Order No. 69.</w:t>
      </w:r>
    </w:p>
  </w:footnote>
  <w:footnote w:id="8">
    <w:p w14:paraId="51C7A39B" w14:textId="37CAAD9D" w:rsidR="005802C5" w:rsidRPr="000E1549" w:rsidRDefault="005802C5">
      <w:pPr>
        <w:pStyle w:val="FootnoteText"/>
      </w:pPr>
      <w:r w:rsidRPr="000E1549">
        <w:rPr>
          <w:rStyle w:val="FootnoteReference"/>
        </w:rPr>
        <w:footnoteRef/>
      </w:r>
      <w:r w:rsidRPr="000E1549">
        <w:t xml:space="preserve"> </w:t>
      </w:r>
      <w:r w:rsidRPr="000E1549">
        <w:tab/>
        <w:t>Order No. 69 at 12,226.</w:t>
      </w:r>
    </w:p>
  </w:footnote>
  <w:footnote w:id="9">
    <w:p w14:paraId="21D8DA97" w14:textId="77777777" w:rsidR="005802C5" w:rsidRPr="000E1549" w:rsidRDefault="005802C5" w:rsidP="00A077F5">
      <w:pPr>
        <w:pStyle w:val="FootnoteText"/>
      </w:pPr>
      <w:r w:rsidRPr="000E1549">
        <w:rPr>
          <w:rStyle w:val="FootnoteReference"/>
        </w:rPr>
        <w:footnoteRef/>
      </w:r>
      <w:r w:rsidRPr="000E1549">
        <w:t xml:space="preserve"> </w:t>
      </w:r>
      <w:r w:rsidRPr="000E1549">
        <w:tab/>
      </w:r>
      <w:r w:rsidRPr="000E1549">
        <w:rPr>
          <w:u w:val="single"/>
        </w:rPr>
        <w:t>Hydrodynamics Inc.</w:t>
      </w:r>
      <w:r w:rsidRPr="000E1549">
        <w:t xml:space="preserve">, 146 FERC ¶ 61,193 at P. 35 (March 20, 2014).   </w:t>
      </w:r>
    </w:p>
  </w:footnote>
  <w:footnote w:id="10">
    <w:p w14:paraId="6306CC59" w14:textId="07DF4AAB" w:rsidR="005802C5" w:rsidRPr="000E1549" w:rsidRDefault="005802C5">
      <w:pPr>
        <w:pStyle w:val="FootnoteText"/>
      </w:pPr>
      <w:r w:rsidRPr="000E1549">
        <w:rPr>
          <w:rStyle w:val="FootnoteReference"/>
        </w:rPr>
        <w:footnoteRef/>
      </w:r>
      <w:r w:rsidRPr="000E1549">
        <w:t xml:space="preserve"> </w:t>
      </w:r>
      <w:r w:rsidRPr="000E1549">
        <w:tab/>
        <w:t>REC Initial Brief at ¶¶ 25-38.</w:t>
      </w:r>
    </w:p>
  </w:footnote>
  <w:footnote w:id="11">
    <w:p w14:paraId="582FF37E" w14:textId="77777777" w:rsidR="005802C5" w:rsidRPr="000E1549" w:rsidRDefault="005802C5" w:rsidP="00E07255">
      <w:pPr>
        <w:pStyle w:val="FootnoteText"/>
      </w:pPr>
      <w:r w:rsidRPr="000E1549">
        <w:rPr>
          <w:rStyle w:val="FootnoteReference"/>
        </w:rPr>
        <w:footnoteRef/>
      </w:r>
      <w:r w:rsidRPr="000E1549">
        <w:t xml:space="preserve"> </w:t>
      </w:r>
      <w:r w:rsidRPr="000E1549">
        <w:tab/>
        <w:t xml:space="preserve">Lowe Declaration at ¶ 21.  </w:t>
      </w:r>
    </w:p>
  </w:footnote>
  <w:footnote w:id="12">
    <w:p w14:paraId="6F009D46" w14:textId="41B35E19" w:rsidR="005802C5" w:rsidRPr="000E1549" w:rsidRDefault="005802C5" w:rsidP="00832207">
      <w:pPr>
        <w:pStyle w:val="FootnoteText"/>
        <w:ind w:left="720" w:hanging="720"/>
      </w:pPr>
      <w:r w:rsidRPr="000E1549">
        <w:rPr>
          <w:rStyle w:val="FootnoteReference"/>
        </w:rPr>
        <w:footnoteRef/>
      </w:r>
      <w:r w:rsidRPr="000E1549">
        <w:t xml:space="preserve"> </w:t>
      </w:r>
      <w:r w:rsidRPr="000E1549">
        <w:tab/>
      </w:r>
      <w:r w:rsidRPr="000E1549">
        <w:rPr>
          <w:u w:val="single"/>
        </w:rPr>
        <w:t>See</w:t>
      </w:r>
      <w:r w:rsidRPr="000E1549">
        <w:t xml:space="preserve"> Dickman Rebuttal Declaration at ¶ 10 (citing to PacifiCorp 2015 IRP, Volume 1 at 75).</w:t>
      </w:r>
    </w:p>
  </w:footnote>
  <w:footnote w:id="13">
    <w:p w14:paraId="1AEBED5B" w14:textId="2431F19C" w:rsidR="005802C5" w:rsidRPr="000E1549" w:rsidRDefault="005802C5" w:rsidP="00320A97">
      <w:pPr>
        <w:pStyle w:val="FootnoteText"/>
        <w:ind w:left="720" w:hanging="720"/>
      </w:pPr>
      <w:r w:rsidRPr="000E1549">
        <w:rPr>
          <w:rStyle w:val="FootnoteReference"/>
        </w:rPr>
        <w:footnoteRef/>
      </w:r>
      <w:r w:rsidRPr="000E1549">
        <w:t xml:space="preserve"> </w:t>
      </w:r>
      <w:r w:rsidRPr="000E1549">
        <w:tab/>
      </w:r>
      <w:r w:rsidRPr="000E1549">
        <w:rPr>
          <w:u w:val="single"/>
        </w:rPr>
        <w:t>See</w:t>
      </w:r>
      <w:r w:rsidRPr="000E1549">
        <w:t xml:space="preserve"> </w:t>
      </w:r>
      <w:r w:rsidRPr="000E1549">
        <w:rPr>
          <w:u w:val="single"/>
        </w:rPr>
        <w:t>Re the Commission’s Review of PURPA QF Contract Provisions</w:t>
      </w:r>
      <w:r w:rsidRPr="000E1549">
        <w:t xml:space="preserve">, IPUC Case No. GNR-E-11-03, Order No. 32697 at 21-22 (Dec. 18, 2012) </w:t>
      </w:r>
      <w:r w:rsidRPr="000E1549">
        <w:rPr>
          <w:u w:val="single"/>
        </w:rPr>
        <w:t>clarified</w:t>
      </w:r>
      <w:r w:rsidRPr="000E1549">
        <w:t xml:space="preserve"> in Order No. 32871 (Aug. 9, 2013); </w:t>
      </w:r>
      <w:r w:rsidRPr="000E1549">
        <w:rPr>
          <w:u w:val="single"/>
        </w:rPr>
        <w:t>see</w:t>
      </w:r>
      <w:r w:rsidRPr="000E1549">
        <w:t xml:space="preserve"> </w:t>
      </w:r>
      <w:r w:rsidRPr="000E1549">
        <w:rPr>
          <w:u w:val="single"/>
        </w:rPr>
        <w:t>also</w:t>
      </w:r>
      <w:r w:rsidRPr="000E1549">
        <w:t xml:space="preserve"> </w:t>
      </w:r>
      <w:r w:rsidRPr="000E1549">
        <w:rPr>
          <w:u w:val="single"/>
        </w:rPr>
        <w:t>Re Idaho Power Company’s Petition to Modify Terms and Conditions of PURPA Purchase Agreements</w:t>
      </w:r>
      <w:r w:rsidRPr="000E1549">
        <w:t xml:space="preserve">, IPUC Case Nos. IPC-E-15-01, AVU-E-15-01, PAC-E-15-03, Order No. 33357 at 25-26 (Aug. 20, 2015). </w:t>
      </w:r>
    </w:p>
  </w:footnote>
  <w:footnote w:id="14">
    <w:p w14:paraId="67C79CB1" w14:textId="5EFBD602" w:rsidR="005802C5" w:rsidRPr="000E1549" w:rsidRDefault="005802C5">
      <w:pPr>
        <w:pStyle w:val="FootnoteText"/>
      </w:pPr>
      <w:r w:rsidRPr="000E1549">
        <w:rPr>
          <w:rStyle w:val="FootnoteReference"/>
        </w:rPr>
        <w:footnoteRef/>
      </w:r>
      <w:r w:rsidRPr="000E1549">
        <w:t xml:space="preserve"> </w:t>
      </w:r>
      <w:r w:rsidRPr="000E1549">
        <w:tab/>
        <w:t xml:space="preserve">PacifiCorp Initial Brief at ¶¶ 9-10, 14.  </w:t>
      </w:r>
    </w:p>
  </w:footnote>
  <w:footnote w:id="15">
    <w:p w14:paraId="2DFFB3AB" w14:textId="77777777" w:rsidR="005802C5" w:rsidRPr="000E1549" w:rsidRDefault="005802C5" w:rsidP="0041453E">
      <w:pPr>
        <w:pStyle w:val="FootnoteText"/>
      </w:pPr>
      <w:r w:rsidRPr="000E1549">
        <w:rPr>
          <w:rStyle w:val="FootnoteReference"/>
        </w:rPr>
        <w:footnoteRef/>
      </w:r>
      <w:r w:rsidRPr="000E1549">
        <w:t xml:space="preserve"> </w:t>
      </w:r>
      <w:r w:rsidRPr="000E1549">
        <w:tab/>
        <w:t xml:space="preserve">Lowe Declaration at ¶¶ 21, 31.  </w:t>
      </w:r>
    </w:p>
  </w:footnote>
  <w:footnote w:id="16">
    <w:p w14:paraId="18DEA4A9" w14:textId="1F5A138C" w:rsidR="005802C5" w:rsidRPr="000E1549" w:rsidRDefault="005802C5">
      <w:pPr>
        <w:pStyle w:val="FootnoteText"/>
      </w:pPr>
      <w:r w:rsidRPr="000E1549">
        <w:rPr>
          <w:rStyle w:val="FootnoteReference"/>
        </w:rPr>
        <w:footnoteRef/>
      </w:r>
      <w:r w:rsidRPr="000E1549">
        <w:t xml:space="preserve"> </w:t>
      </w:r>
      <w:r w:rsidRPr="000E1549">
        <w:tab/>
      </w:r>
      <w:r w:rsidRPr="000E1549">
        <w:rPr>
          <w:u w:val="single"/>
        </w:rPr>
        <w:t>See</w:t>
      </w:r>
      <w:r w:rsidRPr="000E1549">
        <w:t xml:space="preserve"> PacifiCorp Initial Brief at ¶¶ 47-51 (PacifiCorp’s arguments).</w:t>
      </w:r>
    </w:p>
  </w:footnote>
  <w:footnote w:id="17">
    <w:p w14:paraId="4B5B923A" w14:textId="336D1E4E" w:rsidR="005802C5" w:rsidRPr="000E1549" w:rsidRDefault="005802C5">
      <w:pPr>
        <w:pStyle w:val="FootnoteText"/>
      </w:pPr>
      <w:r w:rsidRPr="000E1549">
        <w:rPr>
          <w:rStyle w:val="FootnoteReference"/>
        </w:rPr>
        <w:footnoteRef/>
      </w:r>
      <w:r w:rsidRPr="000E1549">
        <w:t xml:space="preserve"> </w:t>
      </w:r>
      <w:r w:rsidRPr="000E1549">
        <w:tab/>
        <w:t>REC Initial Brief at ¶ 33.</w:t>
      </w:r>
    </w:p>
  </w:footnote>
  <w:footnote w:id="18">
    <w:p w14:paraId="7A0352DA" w14:textId="7707515B" w:rsidR="005802C5" w:rsidRPr="000E1549" w:rsidRDefault="005802C5">
      <w:pPr>
        <w:pStyle w:val="FootnoteText"/>
      </w:pPr>
      <w:r w:rsidRPr="000E1549">
        <w:rPr>
          <w:rStyle w:val="FootnoteReference"/>
        </w:rPr>
        <w:footnoteRef/>
      </w:r>
      <w:r w:rsidRPr="000E1549">
        <w:t xml:space="preserve"> </w:t>
      </w:r>
      <w:r w:rsidRPr="000E1549">
        <w:tab/>
        <w:t>REC Initial Brief at ¶¶ 31-32.</w:t>
      </w:r>
    </w:p>
  </w:footnote>
  <w:footnote w:id="19">
    <w:p w14:paraId="790B291F" w14:textId="0D08DD1A" w:rsidR="005802C5" w:rsidRPr="000E1549" w:rsidRDefault="005802C5">
      <w:pPr>
        <w:pStyle w:val="FootnoteText"/>
      </w:pPr>
      <w:r w:rsidRPr="000E1549">
        <w:rPr>
          <w:rStyle w:val="FootnoteReference"/>
        </w:rPr>
        <w:footnoteRef/>
      </w:r>
      <w:r w:rsidRPr="000E1549">
        <w:t xml:space="preserve"> </w:t>
      </w:r>
      <w:r w:rsidRPr="000E1549">
        <w:tab/>
        <w:t>PacifiCorp Initial Brief at ¶ 50.</w:t>
      </w:r>
    </w:p>
  </w:footnote>
  <w:footnote w:id="20">
    <w:p w14:paraId="26CFB6FE" w14:textId="71D56756" w:rsidR="005802C5" w:rsidRPr="000E1549" w:rsidRDefault="005802C5" w:rsidP="0010544D">
      <w:pPr>
        <w:pStyle w:val="FootnoteText"/>
        <w:ind w:left="720" w:hanging="720"/>
      </w:pPr>
      <w:r w:rsidRPr="000E1549">
        <w:rPr>
          <w:rStyle w:val="FootnoteReference"/>
        </w:rPr>
        <w:footnoteRef/>
      </w:r>
      <w:r w:rsidRPr="000E1549">
        <w:t xml:space="preserve"> </w:t>
      </w:r>
      <w:r w:rsidRPr="000E1549">
        <w:tab/>
        <w:t xml:space="preserve">PacifiCorp Initial Brief at ¶ 47.  </w:t>
      </w:r>
    </w:p>
  </w:footnote>
  <w:footnote w:id="21">
    <w:p w14:paraId="0B7D00B0" w14:textId="42BB648C" w:rsidR="005802C5" w:rsidRPr="000E1549" w:rsidRDefault="005802C5">
      <w:pPr>
        <w:pStyle w:val="FootnoteText"/>
      </w:pPr>
      <w:r w:rsidRPr="000E1549">
        <w:rPr>
          <w:rStyle w:val="FootnoteReference"/>
        </w:rPr>
        <w:footnoteRef/>
      </w:r>
      <w:r w:rsidRPr="000E1549">
        <w:t xml:space="preserve"> </w:t>
      </w:r>
      <w:r w:rsidRPr="000E1549">
        <w:tab/>
        <w:t>Lowe Declaration at ¶¶ 31-32.</w:t>
      </w:r>
    </w:p>
  </w:footnote>
  <w:footnote w:id="22">
    <w:p w14:paraId="68BB98D7" w14:textId="7A693D2D" w:rsidR="005802C5" w:rsidRPr="000E1549" w:rsidRDefault="005802C5">
      <w:pPr>
        <w:pStyle w:val="FootnoteText"/>
      </w:pPr>
      <w:r w:rsidRPr="000E1549">
        <w:rPr>
          <w:rStyle w:val="FootnoteReference"/>
        </w:rPr>
        <w:footnoteRef/>
      </w:r>
      <w:r w:rsidRPr="000E1549">
        <w:t xml:space="preserve"> </w:t>
      </w:r>
      <w:r w:rsidRPr="000E1549">
        <w:tab/>
        <w:t>PacifiCorp Initial Brief at ¶ 42.</w:t>
      </w:r>
    </w:p>
  </w:footnote>
  <w:footnote w:id="23">
    <w:p w14:paraId="31919BDF" w14:textId="59A96D66" w:rsidR="005802C5" w:rsidRPr="000E1549" w:rsidRDefault="005802C5" w:rsidP="005947A9">
      <w:pPr>
        <w:pStyle w:val="FootnoteText"/>
        <w:tabs>
          <w:tab w:val="left" w:pos="0"/>
        </w:tabs>
        <w:ind w:left="720" w:hanging="720"/>
      </w:pPr>
      <w:r w:rsidRPr="000E1549">
        <w:rPr>
          <w:rStyle w:val="FootnoteReference"/>
        </w:rPr>
        <w:footnoteRef/>
      </w:r>
      <w:r w:rsidRPr="000E1549">
        <w:t xml:space="preserve"> </w:t>
      </w:r>
      <w:r w:rsidRPr="000E1549">
        <w:tab/>
        <w:t>REC has concerns regarding the legality and appropriateness of five-year PURPA contract terms, but is not raising those arguments in this proceeding.  REC reserves the right to raise those arguments in a future proceeding.</w:t>
      </w:r>
    </w:p>
  </w:footnote>
  <w:footnote w:id="24">
    <w:p w14:paraId="2826A836" w14:textId="7E1C46EF" w:rsidR="005802C5" w:rsidRPr="000E1549" w:rsidRDefault="005802C5" w:rsidP="00655EE7">
      <w:pPr>
        <w:pStyle w:val="FootnoteText"/>
        <w:ind w:left="720" w:hanging="720"/>
      </w:pPr>
      <w:r w:rsidRPr="000E1549">
        <w:rPr>
          <w:rStyle w:val="FootnoteReference"/>
        </w:rPr>
        <w:footnoteRef/>
      </w:r>
      <w:r w:rsidRPr="000E1549">
        <w:t xml:space="preserve"> </w:t>
      </w:r>
      <w:r w:rsidRPr="000E1549">
        <w:tab/>
        <w:t xml:space="preserve">The Idaho Public Utilities Commission just lowered the contract term for </w:t>
      </w:r>
      <w:r w:rsidR="00082DB6">
        <w:t xml:space="preserve">only </w:t>
      </w:r>
      <w:r w:rsidRPr="000E1549">
        <w:t xml:space="preserve">wind and solar QFs to two years, but there are currently long term contracts for all </w:t>
      </w:r>
      <w:r w:rsidR="00440AC8">
        <w:t xml:space="preserve">other </w:t>
      </w:r>
      <w:r w:rsidRPr="000E1549">
        <w:t xml:space="preserve">QFs in </w:t>
      </w:r>
      <w:r w:rsidR="00440AC8">
        <w:t xml:space="preserve">Idaho, </w:t>
      </w:r>
      <w:r w:rsidRPr="000E1549">
        <w:t>Oregon, California, Wyoming and Utah.</w:t>
      </w:r>
    </w:p>
  </w:footnote>
  <w:footnote w:id="25">
    <w:p w14:paraId="7DCD1E24" w14:textId="5A4CB764" w:rsidR="005802C5" w:rsidRPr="000E1549" w:rsidRDefault="005802C5">
      <w:pPr>
        <w:pStyle w:val="FootnoteText"/>
      </w:pPr>
      <w:r w:rsidRPr="000E1549">
        <w:rPr>
          <w:rStyle w:val="FootnoteReference"/>
        </w:rPr>
        <w:footnoteRef/>
      </w:r>
      <w:r w:rsidRPr="000E1549">
        <w:t xml:space="preserve"> </w:t>
      </w:r>
      <w:r w:rsidRPr="000E1549">
        <w:tab/>
        <w:t>PacifiCorp Initi</w:t>
      </w:r>
      <w:r>
        <w:t>al Brief at ¶ 4</w:t>
      </w:r>
      <w:r w:rsidRPr="000E1549">
        <w:t>0.</w:t>
      </w:r>
    </w:p>
  </w:footnote>
  <w:footnote w:id="26">
    <w:p w14:paraId="132E19E6" w14:textId="0FECF970" w:rsidR="005802C5" w:rsidRPr="000E1549" w:rsidRDefault="005802C5" w:rsidP="00FA2211">
      <w:pPr>
        <w:pStyle w:val="FootnoteText"/>
      </w:pPr>
      <w:r w:rsidRPr="000E1549">
        <w:rPr>
          <w:rStyle w:val="FootnoteReference"/>
        </w:rPr>
        <w:footnoteRef/>
      </w:r>
      <w:r w:rsidRPr="000E1549">
        <w:t xml:space="preserve"> </w:t>
      </w:r>
      <w:r w:rsidRPr="000E1549">
        <w:tab/>
        <w:t>PacifiCorp 2015 IRP, Volume 1 at 129 and Appendix J.</w:t>
      </w:r>
    </w:p>
  </w:footnote>
  <w:footnote w:id="27">
    <w:p w14:paraId="5B8A7BFF" w14:textId="0516B77E" w:rsidR="005802C5" w:rsidRDefault="005802C5" w:rsidP="00E40244">
      <w:pPr>
        <w:pStyle w:val="FootnoteText"/>
        <w:ind w:left="720" w:hanging="720"/>
      </w:pPr>
      <w:r w:rsidRPr="000E1549">
        <w:rPr>
          <w:rStyle w:val="FootnoteReference"/>
        </w:rPr>
        <w:footnoteRef/>
      </w:r>
      <w:r w:rsidRPr="000E1549">
        <w:t xml:space="preserve"> </w:t>
      </w:r>
      <w:r w:rsidRPr="000E1549">
        <w:tab/>
        <w:t xml:space="preserve">PSE 2015 Draft IRP, </w:t>
      </w:r>
      <w:r w:rsidR="009C5FFA">
        <w:t xml:space="preserve">including </w:t>
      </w:r>
      <w:r w:rsidRPr="000E1549">
        <w:t>Appendix F</w:t>
      </w:r>
      <w:r>
        <w:t xml:space="preserve"> and G</w:t>
      </w:r>
      <w:r w:rsidRPr="000E1549">
        <w:t xml:space="preserve">.  Available at: </w:t>
      </w:r>
      <w:r w:rsidR="009C5FFA" w:rsidRPr="009C5FFA">
        <w:t>https://pse.com/aboutpse/EnergySupply/Pages/Resource-Planning.aspx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24D"/>
    <w:multiLevelType w:val="hybridMultilevel"/>
    <w:tmpl w:val="3DB48B48"/>
    <w:lvl w:ilvl="0" w:tplc="2DDC9F0E">
      <w:start w:val="1"/>
      <w:numFmt w:val="decimal"/>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C07FF6"/>
    <w:multiLevelType w:val="hybridMultilevel"/>
    <w:tmpl w:val="012C2C4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30E1"/>
    <w:multiLevelType w:val="multilevel"/>
    <w:tmpl w:val="66DA40B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5D4999"/>
    <w:multiLevelType w:val="hybridMultilevel"/>
    <w:tmpl w:val="B36E1A76"/>
    <w:lvl w:ilvl="0" w:tplc="6C600760">
      <w:start w:val="1"/>
      <w:numFmt w:val="decimal"/>
      <w:lvlText w:val="%1."/>
      <w:lvlJc w:val="left"/>
      <w:pPr>
        <w:ind w:left="0" w:hanging="360"/>
      </w:pPr>
      <w:rPr>
        <w:rFonts w:hint="default"/>
      </w:rPr>
    </w:lvl>
    <w:lvl w:ilvl="1" w:tplc="6C6007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E3AE8"/>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6673C"/>
    <w:multiLevelType w:val="hybridMultilevel"/>
    <w:tmpl w:val="849A9B6C"/>
    <w:lvl w:ilvl="0" w:tplc="00528236">
      <w:start w:val="1"/>
      <w:numFmt w:val="decimal"/>
      <w:lvlText w:val="%1."/>
      <w:lvlJc w:val="left"/>
      <w:pPr>
        <w:ind w:left="1440" w:hanging="18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AE42DB"/>
    <w:multiLevelType w:val="multilevel"/>
    <w:tmpl w:val="EB768D30"/>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9A5C57"/>
    <w:multiLevelType w:val="hybridMultilevel"/>
    <w:tmpl w:val="66DA40B2"/>
    <w:lvl w:ilvl="0" w:tplc="D74AED86">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53170"/>
    <w:multiLevelType w:val="hybridMultilevel"/>
    <w:tmpl w:val="A1E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E7A10"/>
    <w:multiLevelType w:val="hybridMultilevel"/>
    <w:tmpl w:val="2F183434"/>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32019"/>
    <w:multiLevelType w:val="hybridMultilevel"/>
    <w:tmpl w:val="4FB8982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34F013C2"/>
    <w:multiLevelType w:val="multilevel"/>
    <w:tmpl w:val="849A9B6C"/>
    <w:lvl w:ilvl="0">
      <w:start w:val="1"/>
      <w:numFmt w:val="decimal"/>
      <w:lvlText w:val="%1."/>
      <w:lvlJc w:val="left"/>
      <w:pPr>
        <w:ind w:left="1440" w:hanging="180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51F167A"/>
    <w:multiLevelType w:val="multilevel"/>
    <w:tmpl w:val="0186CD60"/>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FA108E"/>
    <w:multiLevelType w:val="hybridMultilevel"/>
    <w:tmpl w:val="97368E60"/>
    <w:lvl w:ilvl="0" w:tplc="6C600760">
      <w:start w:val="1"/>
      <w:numFmt w:val="decimal"/>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3F2A6B"/>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F30150"/>
    <w:multiLevelType w:val="hybridMultilevel"/>
    <w:tmpl w:val="0186CD60"/>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116DD"/>
    <w:multiLevelType w:val="hybridMultilevel"/>
    <w:tmpl w:val="ADC637F2"/>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D3624"/>
    <w:multiLevelType w:val="multilevel"/>
    <w:tmpl w:val="3DB48B48"/>
    <w:lvl w:ilvl="0">
      <w:start w:val="1"/>
      <w:numFmt w:val="decimal"/>
      <w:lvlText w:val="%1."/>
      <w:lvlJc w:val="right"/>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F6A57F2"/>
    <w:multiLevelType w:val="hybridMultilevel"/>
    <w:tmpl w:val="3D6A5E4C"/>
    <w:lvl w:ilvl="0" w:tplc="565EB126">
      <w:start w:val="1"/>
      <w:numFmt w:val="decimal"/>
      <w:lvlText w:val="%1."/>
      <w:lvlJc w:val="right"/>
      <w:pPr>
        <w:ind w:left="1440" w:hanging="144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B767B2"/>
    <w:multiLevelType w:val="hybridMultilevel"/>
    <w:tmpl w:val="D920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D0845"/>
    <w:multiLevelType w:val="hybridMultilevel"/>
    <w:tmpl w:val="EB768D3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14193"/>
    <w:multiLevelType w:val="multilevel"/>
    <w:tmpl w:val="3D6A5E4C"/>
    <w:lvl w:ilvl="0">
      <w:start w:val="1"/>
      <w:numFmt w:val="decimal"/>
      <w:lvlText w:val="%1."/>
      <w:lvlJc w:val="right"/>
      <w:pPr>
        <w:ind w:left="1440" w:hanging="144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8240538"/>
    <w:multiLevelType w:val="hybridMultilevel"/>
    <w:tmpl w:val="ED1CC8A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10EFE"/>
    <w:multiLevelType w:val="hybridMultilevel"/>
    <w:tmpl w:val="0A2224B8"/>
    <w:lvl w:ilvl="0" w:tplc="A3AEDB7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707FB4"/>
    <w:multiLevelType w:val="hybridMultilevel"/>
    <w:tmpl w:val="E3CE190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71166"/>
    <w:multiLevelType w:val="multilevel"/>
    <w:tmpl w:val="D92057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F1A4D82"/>
    <w:multiLevelType w:val="multilevel"/>
    <w:tmpl w:val="97368E60"/>
    <w:lvl w:ilvl="0">
      <w:start w:val="1"/>
      <w:numFmt w:val="decimal"/>
      <w:lvlText w:val="%1."/>
      <w:lvlJc w:val="left"/>
      <w:pPr>
        <w:ind w:left="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3"/>
  </w:num>
  <w:num w:numId="2">
    <w:abstractNumId w:val="19"/>
  </w:num>
  <w:num w:numId="3">
    <w:abstractNumId w:val="26"/>
  </w:num>
  <w:num w:numId="4">
    <w:abstractNumId w:val="5"/>
  </w:num>
  <w:num w:numId="5">
    <w:abstractNumId w:val="11"/>
  </w:num>
  <w:num w:numId="6">
    <w:abstractNumId w:val="13"/>
  </w:num>
  <w:num w:numId="7">
    <w:abstractNumId w:val="27"/>
  </w:num>
  <w:num w:numId="8">
    <w:abstractNumId w:val="1"/>
  </w:num>
  <w:num w:numId="9">
    <w:abstractNumId w:val="4"/>
  </w:num>
  <w:num w:numId="10">
    <w:abstractNumId w:val="14"/>
  </w:num>
  <w:num w:numId="11">
    <w:abstractNumId w:val="3"/>
  </w:num>
  <w:num w:numId="12">
    <w:abstractNumId w:val="9"/>
  </w:num>
  <w:num w:numId="13">
    <w:abstractNumId w:val="16"/>
  </w:num>
  <w:num w:numId="14">
    <w:abstractNumId w:val="15"/>
  </w:num>
  <w:num w:numId="15">
    <w:abstractNumId w:val="12"/>
  </w:num>
  <w:num w:numId="16">
    <w:abstractNumId w:val="25"/>
  </w:num>
  <w:num w:numId="17">
    <w:abstractNumId w:val="8"/>
  </w:num>
  <w:num w:numId="18">
    <w:abstractNumId w:val="22"/>
  </w:num>
  <w:num w:numId="19">
    <w:abstractNumId w:val="7"/>
  </w:num>
  <w:num w:numId="20">
    <w:abstractNumId w:val="2"/>
  </w:num>
  <w:num w:numId="21">
    <w:abstractNumId w:val="20"/>
  </w:num>
  <w:num w:numId="22">
    <w:abstractNumId w:val="6"/>
  </w:num>
  <w:num w:numId="23">
    <w:abstractNumId w:val="0"/>
  </w:num>
  <w:num w:numId="24">
    <w:abstractNumId w:val="17"/>
  </w:num>
  <w:num w:numId="25">
    <w:abstractNumId w:val="18"/>
  </w:num>
  <w:num w:numId="26">
    <w:abstractNumId w:val="21"/>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2"/>
    <w:rsid w:val="00000D31"/>
    <w:rsid w:val="0000482B"/>
    <w:rsid w:val="000049BB"/>
    <w:rsid w:val="00004D89"/>
    <w:rsid w:val="00011931"/>
    <w:rsid w:val="00011C68"/>
    <w:rsid w:val="00015D4F"/>
    <w:rsid w:val="0002149C"/>
    <w:rsid w:val="00023324"/>
    <w:rsid w:val="0002356E"/>
    <w:rsid w:val="00023707"/>
    <w:rsid w:val="000315C2"/>
    <w:rsid w:val="00031D0A"/>
    <w:rsid w:val="00034BCA"/>
    <w:rsid w:val="00041A39"/>
    <w:rsid w:val="000457F0"/>
    <w:rsid w:val="00047F73"/>
    <w:rsid w:val="00050975"/>
    <w:rsid w:val="00052728"/>
    <w:rsid w:val="000678A4"/>
    <w:rsid w:val="00070BAE"/>
    <w:rsid w:val="0008118B"/>
    <w:rsid w:val="00082DB6"/>
    <w:rsid w:val="0008340C"/>
    <w:rsid w:val="00084AFC"/>
    <w:rsid w:val="00085FBA"/>
    <w:rsid w:val="000909C6"/>
    <w:rsid w:val="000A0770"/>
    <w:rsid w:val="000A119D"/>
    <w:rsid w:val="000A4543"/>
    <w:rsid w:val="000A4BD2"/>
    <w:rsid w:val="000C0C2C"/>
    <w:rsid w:val="000C342C"/>
    <w:rsid w:val="000C3C3C"/>
    <w:rsid w:val="000D3488"/>
    <w:rsid w:val="000D5B75"/>
    <w:rsid w:val="000E1549"/>
    <w:rsid w:val="000F3D40"/>
    <w:rsid w:val="000F5659"/>
    <w:rsid w:val="001019B7"/>
    <w:rsid w:val="001024C4"/>
    <w:rsid w:val="0010544D"/>
    <w:rsid w:val="001071EB"/>
    <w:rsid w:val="00113E92"/>
    <w:rsid w:val="0011491E"/>
    <w:rsid w:val="0011594F"/>
    <w:rsid w:val="00115D9E"/>
    <w:rsid w:val="00116CBA"/>
    <w:rsid w:val="0011797D"/>
    <w:rsid w:val="00117E20"/>
    <w:rsid w:val="00121725"/>
    <w:rsid w:val="00121783"/>
    <w:rsid w:val="00126B73"/>
    <w:rsid w:val="0013263E"/>
    <w:rsid w:val="00137A6E"/>
    <w:rsid w:val="0014076F"/>
    <w:rsid w:val="00141E33"/>
    <w:rsid w:val="001528F8"/>
    <w:rsid w:val="0015325D"/>
    <w:rsid w:val="00162893"/>
    <w:rsid w:val="00166943"/>
    <w:rsid w:val="00170D8F"/>
    <w:rsid w:val="00172064"/>
    <w:rsid w:val="0017504F"/>
    <w:rsid w:val="00183882"/>
    <w:rsid w:val="0019573A"/>
    <w:rsid w:val="001A03E0"/>
    <w:rsid w:val="001A458D"/>
    <w:rsid w:val="001A5B9E"/>
    <w:rsid w:val="001B59EB"/>
    <w:rsid w:val="001D0186"/>
    <w:rsid w:val="001D0AB3"/>
    <w:rsid w:val="001D0FAE"/>
    <w:rsid w:val="001D13A1"/>
    <w:rsid w:val="001D15AF"/>
    <w:rsid w:val="001D437F"/>
    <w:rsid w:val="001D7110"/>
    <w:rsid w:val="001D763B"/>
    <w:rsid w:val="001E0DFA"/>
    <w:rsid w:val="001E0F19"/>
    <w:rsid w:val="001E1346"/>
    <w:rsid w:val="001E2B75"/>
    <w:rsid w:val="001E45A5"/>
    <w:rsid w:val="001F253A"/>
    <w:rsid w:val="001F2850"/>
    <w:rsid w:val="00203128"/>
    <w:rsid w:val="0020686C"/>
    <w:rsid w:val="00207AB6"/>
    <w:rsid w:val="00224F0C"/>
    <w:rsid w:val="002308AC"/>
    <w:rsid w:val="002376E0"/>
    <w:rsid w:val="00245175"/>
    <w:rsid w:val="00250FDA"/>
    <w:rsid w:val="00255CCD"/>
    <w:rsid w:val="0026581A"/>
    <w:rsid w:val="00265EEB"/>
    <w:rsid w:val="0026668B"/>
    <w:rsid w:val="00267570"/>
    <w:rsid w:val="00267A25"/>
    <w:rsid w:val="00274FF3"/>
    <w:rsid w:val="002810E9"/>
    <w:rsid w:val="00283EF2"/>
    <w:rsid w:val="002847F4"/>
    <w:rsid w:val="00290525"/>
    <w:rsid w:val="002A431B"/>
    <w:rsid w:val="002B0A57"/>
    <w:rsid w:val="002B1EAF"/>
    <w:rsid w:val="002D2EF6"/>
    <w:rsid w:val="002D3711"/>
    <w:rsid w:val="002D6780"/>
    <w:rsid w:val="002E6011"/>
    <w:rsid w:val="002F0B88"/>
    <w:rsid w:val="002F2C15"/>
    <w:rsid w:val="002F2E07"/>
    <w:rsid w:val="00301C91"/>
    <w:rsid w:val="003139F2"/>
    <w:rsid w:val="0031421B"/>
    <w:rsid w:val="00314ECE"/>
    <w:rsid w:val="00316C68"/>
    <w:rsid w:val="00316DC1"/>
    <w:rsid w:val="00320A97"/>
    <w:rsid w:val="0032110B"/>
    <w:rsid w:val="00333713"/>
    <w:rsid w:val="00344CBF"/>
    <w:rsid w:val="00344F0E"/>
    <w:rsid w:val="00346C1C"/>
    <w:rsid w:val="00351A9F"/>
    <w:rsid w:val="00353177"/>
    <w:rsid w:val="00353A21"/>
    <w:rsid w:val="00356B53"/>
    <w:rsid w:val="003624D1"/>
    <w:rsid w:val="00365BDE"/>
    <w:rsid w:val="00366EE6"/>
    <w:rsid w:val="00370C9F"/>
    <w:rsid w:val="00371117"/>
    <w:rsid w:val="0037612A"/>
    <w:rsid w:val="00376E34"/>
    <w:rsid w:val="00376EC5"/>
    <w:rsid w:val="00390822"/>
    <w:rsid w:val="00394A12"/>
    <w:rsid w:val="00397AEF"/>
    <w:rsid w:val="003A1CA5"/>
    <w:rsid w:val="003A6285"/>
    <w:rsid w:val="003A68D1"/>
    <w:rsid w:val="003B09C5"/>
    <w:rsid w:val="003B0CAD"/>
    <w:rsid w:val="003B40EF"/>
    <w:rsid w:val="003C735F"/>
    <w:rsid w:val="003C73F2"/>
    <w:rsid w:val="003C7C8A"/>
    <w:rsid w:val="003D7329"/>
    <w:rsid w:val="003E25D2"/>
    <w:rsid w:val="003E5914"/>
    <w:rsid w:val="003E76C0"/>
    <w:rsid w:val="0040182F"/>
    <w:rsid w:val="00410474"/>
    <w:rsid w:val="00412BCB"/>
    <w:rsid w:val="0041453E"/>
    <w:rsid w:val="004151FF"/>
    <w:rsid w:val="004169C9"/>
    <w:rsid w:val="00422DBE"/>
    <w:rsid w:val="0042486E"/>
    <w:rsid w:val="004251AF"/>
    <w:rsid w:val="00426A38"/>
    <w:rsid w:val="004309A3"/>
    <w:rsid w:val="00431EF8"/>
    <w:rsid w:val="004347D3"/>
    <w:rsid w:val="00437886"/>
    <w:rsid w:val="00440AC8"/>
    <w:rsid w:val="00442290"/>
    <w:rsid w:val="00443EC1"/>
    <w:rsid w:val="004453A7"/>
    <w:rsid w:val="004458B7"/>
    <w:rsid w:val="0045204C"/>
    <w:rsid w:val="00453208"/>
    <w:rsid w:val="00454391"/>
    <w:rsid w:val="004563C8"/>
    <w:rsid w:val="00464E44"/>
    <w:rsid w:val="004658B0"/>
    <w:rsid w:val="00466237"/>
    <w:rsid w:val="004678D5"/>
    <w:rsid w:val="00472CBD"/>
    <w:rsid w:val="00473FB4"/>
    <w:rsid w:val="0048270B"/>
    <w:rsid w:val="004836C5"/>
    <w:rsid w:val="00487B21"/>
    <w:rsid w:val="004919CC"/>
    <w:rsid w:val="00493833"/>
    <w:rsid w:val="00496613"/>
    <w:rsid w:val="004C0276"/>
    <w:rsid w:val="004C14B7"/>
    <w:rsid w:val="004C7953"/>
    <w:rsid w:val="004D2C84"/>
    <w:rsid w:val="004D7E04"/>
    <w:rsid w:val="004E427D"/>
    <w:rsid w:val="004E5F56"/>
    <w:rsid w:val="004E6470"/>
    <w:rsid w:val="004E791C"/>
    <w:rsid w:val="004F7C25"/>
    <w:rsid w:val="0050087A"/>
    <w:rsid w:val="00503F7E"/>
    <w:rsid w:val="00505C91"/>
    <w:rsid w:val="0051075F"/>
    <w:rsid w:val="005110FE"/>
    <w:rsid w:val="00511461"/>
    <w:rsid w:val="00513D11"/>
    <w:rsid w:val="0051556C"/>
    <w:rsid w:val="005231BD"/>
    <w:rsid w:val="00523F20"/>
    <w:rsid w:val="00525829"/>
    <w:rsid w:val="00525907"/>
    <w:rsid w:val="00525CE3"/>
    <w:rsid w:val="00526D00"/>
    <w:rsid w:val="00531335"/>
    <w:rsid w:val="00542ECD"/>
    <w:rsid w:val="0054485C"/>
    <w:rsid w:val="00555F7A"/>
    <w:rsid w:val="00556736"/>
    <w:rsid w:val="005608BE"/>
    <w:rsid w:val="00560FF2"/>
    <w:rsid w:val="00567B39"/>
    <w:rsid w:val="0057129F"/>
    <w:rsid w:val="00571FC8"/>
    <w:rsid w:val="00572033"/>
    <w:rsid w:val="005802C5"/>
    <w:rsid w:val="0058139B"/>
    <w:rsid w:val="00581F59"/>
    <w:rsid w:val="0058201C"/>
    <w:rsid w:val="00582133"/>
    <w:rsid w:val="00583375"/>
    <w:rsid w:val="00591D7C"/>
    <w:rsid w:val="005947A9"/>
    <w:rsid w:val="0059713B"/>
    <w:rsid w:val="00597E43"/>
    <w:rsid w:val="005A36AA"/>
    <w:rsid w:val="005A779D"/>
    <w:rsid w:val="005B0B7B"/>
    <w:rsid w:val="005B13E7"/>
    <w:rsid w:val="005C0C18"/>
    <w:rsid w:val="005C2D89"/>
    <w:rsid w:val="005C3C17"/>
    <w:rsid w:val="005C5C1F"/>
    <w:rsid w:val="005C61B2"/>
    <w:rsid w:val="005C69DD"/>
    <w:rsid w:val="005D17AB"/>
    <w:rsid w:val="005D1E67"/>
    <w:rsid w:val="005D5F09"/>
    <w:rsid w:val="005D76F0"/>
    <w:rsid w:val="005D77D3"/>
    <w:rsid w:val="005D7B7A"/>
    <w:rsid w:val="005E3DDF"/>
    <w:rsid w:val="005E4457"/>
    <w:rsid w:val="005F22BE"/>
    <w:rsid w:val="005F2644"/>
    <w:rsid w:val="005F33E9"/>
    <w:rsid w:val="006019CF"/>
    <w:rsid w:val="00605D23"/>
    <w:rsid w:val="00625777"/>
    <w:rsid w:val="00626D4C"/>
    <w:rsid w:val="00627689"/>
    <w:rsid w:val="00632EA4"/>
    <w:rsid w:val="006336EC"/>
    <w:rsid w:val="00643948"/>
    <w:rsid w:val="00645887"/>
    <w:rsid w:val="0065279F"/>
    <w:rsid w:val="00654AAD"/>
    <w:rsid w:val="00655EE7"/>
    <w:rsid w:val="00656B7E"/>
    <w:rsid w:val="00662BF3"/>
    <w:rsid w:val="0066536E"/>
    <w:rsid w:val="006806B6"/>
    <w:rsid w:val="00682C44"/>
    <w:rsid w:val="006866C4"/>
    <w:rsid w:val="0068767D"/>
    <w:rsid w:val="006933DF"/>
    <w:rsid w:val="00695D84"/>
    <w:rsid w:val="006A0E97"/>
    <w:rsid w:val="006A3AAB"/>
    <w:rsid w:val="006A76C8"/>
    <w:rsid w:val="006B19A1"/>
    <w:rsid w:val="006B1BF1"/>
    <w:rsid w:val="006B5345"/>
    <w:rsid w:val="006B59A5"/>
    <w:rsid w:val="006B6BA3"/>
    <w:rsid w:val="006B7ACB"/>
    <w:rsid w:val="006C3849"/>
    <w:rsid w:val="006C5BB2"/>
    <w:rsid w:val="006C5D37"/>
    <w:rsid w:val="006C5FAF"/>
    <w:rsid w:val="006C7ABD"/>
    <w:rsid w:val="006E08FC"/>
    <w:rsid w:val="006F3ED2"/>
    <w:rsid w:val="00700AEC"/>
    <w:rsid w:val="00704E85"/>
    <w:rsid w:val="0071301A"/>
    <w:rsid w:val="0072035D"/>
    <w:rsid w:val="0072300E"/>
    <w:rsid w:val="007258F0"/>
    <w:rsid w:val="00725F0D"/>
    <w:rsid w:val="007261D1"/>
    <w:rsid w:val="00734BED"/>
    <w:rsid w:val="0073552A"/>
    <w:rsid w:val="00735FFB"/>
    <w:rsid w:val="007459D9"/>
    <w:rsid w:val="007560BE"/>
    <w:rsid w:val="00756A2C"/>
    <w:rsid w:val="00757733"/>
    <w:rsid w:val="00760CE7"/>
    <w:rsid w:val="00763CF7"/>
    <w:rsid w:val="00764725"/>
    <w:rsid w:val="007739A1"/>
    <w:rsid w:val="00777567"/>
    <w:rsid w:val="007807E4"/>
    <w:rsid w:val="00782955"/>
    <w:rsid w:val="00790546"/>
    <w:rsid w:val="007916CF"/>
    <w:rsid w:val="00792C00"/>
    <w:rsid w:val="007932B6"/>
    <w:rsid w:val="007B1263"/>
    <w:rsid w:val="007C0FF0"/>
    <w:rsid w:val="007D4A0A"/>
    <w:rsid w:val="007E0DC5"/>
    <w:rsid w:val="007E318B"/>
    <w:rsid w:val="007F58E9"/>
    <w:rsid w:val="007F6068"/>
    <w:rsid w:val="00803FF0"/>
    <w:rsid w:val="00806854"/>
    <w:rsid w:val="00814998"/>
    <w:rsid w:val="00816825"/>
    <w:rsid w:val="00820243"/>
    <w:rsid w:val="008249F9"/>
    <w:rsid w:val="00832207"/>
    <w:rsid w:val="008323AE"/>
    <w:rsid w:val="00832C4B"/>
    <w:rsid w:val="00833F04"/>
    <w:rsid w:val="00845CE8"/>
    <w:rsid w:val="0084654D"/>
    <w:rsid w:val="008502F8"/>
    <w:rsid w:val="00850E72"/>
    <w:rsid w:val="00855ACA"/>
    <w:rsid w:val="00866F16"/>
    <w:rsid w:val="00870DEC"/>
    <w:rsid w:val="008726E2"/>
    <w:rsid w:val="008732C9"/>
    <w:rsid w:val="00873B2F"/>
    <w:rsid w:val="008744AD"/>
    <w:rsid w:val="00874A25"/>
    <w:rsid w:val="00876A2E"/>
    <w:rsid w:val="00880E34"/>
    <w:rsid w:val="00895612"/>
    <w:rsid w:val="008969D3"/>
    <w:rsid w:val="008A0870"/>
    <w:rsid w:val="008A1C1A"/>
    <w:rsid w:val="008A37B5"/>
    <w:rsid w:val="008A7818"/>
    <w:rsid w:val="008B134B"/>
    <w:rsid w:val="008B4113"/>
    <w:rsid w:val="008B5B83"/>
    <w:rsid w:val="008B78C8"/>
    <w:rsid w:val="008C1180"/>
    <w:rsid w:val="008E1823"/>
    <w:rsid w:val="008E54F1"/>
    <w:rsid w:val="008E6677"/>
    <w:rsid w:val="008F3E33"/>
    <w:rsid w:val="00910CAC"/>
    <w:rsid w:val="00910FCF"/>
    <w:rsid w:val="00913202"/>
    <w:rsid w:val="00914806"/>
    <w:rsid w:val="0091735F"/>
    <w:rsid w:val="00924035"/>
    <w:rsid w:val="00934279"/>
    <w:rsid w:val="00937F3B"/>
    <w:rsid w:val="009453BD"/>
    <w:rsid w:val="00947745"/>
    <w:rsid w:val="00954ABA"/>
    <w:rsid w:val="0095713B"/>
    <w:rsid w:val="009603C2"/>
    <w:rsid w:val="009616D9"/>
    <w:rsid w:val="0096593A"/>
    <w:rsid w:val="0097098F"/>
    <w:rsid w:val="009774E7"/>
    <w:rsid w:val="00980144"/>
    <w:rsid w:val="009848F1"/>
    <w:rsid w:val="00985FC7"/>
    <w:rsid w:val="009911D0"/>
    <w:rsid w:val="00993545"/>
    <w:rsid w:val="009937A5"/>
    <w:rsid w:val="009A35DF"/>
    <w:rsid w:val="009B3C2B"/>
    <w:rsid w:val="009B5FB7"/>
    <w:rsid w:val="009B6BF5"/>
    <w:rsid w:val="009C4B37"/>
    <w:rsid w:val="009C58A8"/>
    <w:rsid w:val="009C5FFA"/>
    <w:rsid w:val="009D656C"/>
    <w:rsid w:val="009D74B0"/>
    <w:rsid w:val="009D7D37"/>
    <w:rsid w:val="009E483A"/>
    <w:rsid w:val="009E7B11"/>
    <w:rsid w:val="009F4E6C"/>
    <w:rsid w:val="009F63BF"/>
    <w:rsid w:val="00A00BEC"/>
    <w:rsid w:val="00A04659"/>
    <w:rsid w:val="00A0774E"/>
    <w:rsid w:val="00A077F5"/>
    <w:rsid w:val="00A15373"/>
    <w:rsid w:val="00A20041"/>
    <w:rsid w:val="00A3427B"/>
    <w:rsid w:val="00A34A88"/>
    <w:rsid w:val="00A40AD0"/>
    <w:rsid w:val="00A46C0D"/>
    <w:rsid w:val="00A649DC"/>
    <w:rsid w:val="00A652C0"/>
    <w:rsid w:val="00A815B2"/>
    <w:rsid w:val="00A90D7D"/>
    <w:rsid w:val="00A91456"/>
    <w:rsid w:val="00A956DF"/>
    <w:rsid w:val="00A966FB"/>
    <w:rsid w:val="00A97AC8"/>
    <w:rsid w:val="00AA1688"/>
    <w:rsid w:val="00AA41FA"/>
    <w:rsid w:val="00AA5646"/>
    <w:rsid w:val="00AB0BD3"/>
    <w:rsid w:val="00AB0FBC"/>
    <w:rsid w:val="00AC4A45"/>
    <w:rsid w:val="00AD2538"/>
    <w:rsid w:val="00AE4529"/>
    <w:rsid w:val="00AE52C6"/>
    <w:rsid w:val="00AE55C3"/>
    <w:rsid w:val="00AE5BF8"/>
    <w:rsid w:val="00AF0DE5"/>
    <w:rsid w:val="00AF1736"/>
    <w:rsid w:val="00B0147F"/>
    <w:rsid w:val="00B02C09"/>
    <w:rsid w:val="00B02EDA"/>
    <w:rsid w:val="00B02F07"/>
    <w:rsid w:val="00B11CD9"/>
    <w:rsid w:val="00B12E8B"/>
    <w:rsid w:val="00B149EA"/>
    <w:rsid w:val="00B1683A"/>
    <w:rsid w:val="00B17330"/>
    <w:rsid w:val="00B25BCC"/>
    <w:rsid w:val="00B30B2B"/>
    <w:rsid w:val="00B3334F"/>
    <w:rsid w:val="00B419EB"/>
    <w:rsid w:val="00B43A04"/>
    <w:rsid w:val="00B446E0"/>
    <w:rsid w:val="00B4500E"/>
    <w:rsid w:val="00B45B13"/>
    <w:rsid w:val="00B4647B"/>
    <w:rsid w:val="00B51F1B"/>
    <w:rsid w:val="00B55297"/>
    <w:rsid w:val="00B60B8A"/>
    <w:rsid w:val="00B73EF3"/>
    <w:rsid w:val="00B74095"/>
    <w:rsid w:val="00B83EE2"/>
    <w:rsid w:val="00B9633F"/>
    <w:rsid w:val="00BA15CA"/>
    <w:rsid w:val="00BA2185"/>
    <w:rsid w:val="00BA3067"/>
    <w:rsid w:val="00BA5474"/>
    <w:rsid w:val="00BA5853"/>
    <w:rsid w:val="00BA6872"/>
    <w:rsid w:val="00BB0699"/>
    <w:rsid w:val="00BB37E9"/>
    <w:rsid w:val="00BB586B"/>
    <w:rsid w:val="00BB5B1B"/>
    <w:rsid w:val="00BC165C"/>
    <w:rsid w:val="00BC240D"/>
    <w:rsid w:val="00BC349D"/>
    <w:rsid w:val="00BC4B6E"/>
    <w:rsid w:val="00BC764F"/>
    <w:rsid w:val="00BD0DAF"/>
    <w:rsid w:val="00BE2B01"/>
    <w:rsid w:val="00BE3B17"/>
    <w:rsid w:val="00BE74D9"/>
    <w:rsid w:val="00BF1A51"/>
    <w:rsid w:val="00C02820"/>
    <w:rsid w:val="00C06496"/>
    <w:rsid w:val="00C1078A"/>
    <w:rsid w:val="00C13AE6"/>
    <w:rsid w:val="00C17CFB"/>
    <w:rsid w:val="00C25DC1"/>
    <w:rsid w:val="00C26196"/>
    <w:rsid w:val="00C30E31"/>
    <w:rsid w:val="00C37979"/>
    <w:rsid w:val="00C50E19"/>
    <w:rsid w:val="00C5313F"/>
    <w:rsid w:val="00C57A3C"/>
    <w:rsid w:val="00C717BF"/>
    <w:rsid w:val="00C778B4"/>
    <w:rsid w:val="00C80DBE"/>
    <w:rsid w:val="00C87E24"/>
    <w:rsid w:val="00C942B8"/>
    <w:rsid w:val="00C94903"/>
    <w:rsid w:val="00C9535E"/>
    <w:rsid w:val="00C97A72"/>
    <w:rsid w:val="00CA1D92"/>
    <w:rsid w:val="00CA1E04"/>
    <w:rsid w:val="00CA4266"/>
    <w:rsid w:val="00CA4454"/>
    <w:rsid w:val="00CA5158"/>
    <w:rsid w:val="00CB0E57"/>
    <w:rsid w:val="00CB360D"/>
    <w:rsid w:val="00CB78B2"/>
    <w:rsid w:val="00CC1B4B"/>
    <w:rsid w:val="00CC2460"/>
    <w:rsid w:val="00CD1028"/>
    <w:rsid w:val="00CD6F7B"/>
    <w:rsid w:val="00CD7123"/>
    <w:rsid w:val="00CE1B7C"/>
    <w:rsid w:val="00CE218C"/>
    <w:rsid w:val="00CE702F"/>
    <w:rsid w:val="00D04098"/>
    <w:rsid w:val="00D04330"/>
    <w:rsid w:val="00D11198"/>
    <w:rsid w:val="00D111DB"/>
    <w:rsid w:val="00D14795"/>
    <w:rsid w:val="00D1552B"/>
    <w:rsid w:val="00D16639"/>
    <w:rsid w:val="00D20786"/>
    <w:rsid w:val="00D20984"/>
    <w:rsid w:val="00D251B7"/>
    <w:rsid w:val="00D301DA"/>
    <w:rsid w:val="00D3078D"/>
    <w:rsid w:val="00D31194"/>
    <w:rsid w:val="00D37E2F"/>
    <w:rsid w:val="00D416C4"/>
    <w:rsid w:val="00D4192F"/>
    <w:rsid w:val="00D41FC5"/>
    <w:rsid w:val="00D50E34"/>
    <w:rsid w:val="00D53A88"/>
    <w:rsid w:val="00D55115"/>
    <w:rsid w:val="00D5685E"/>
    <w:rsid w:val="00D57785"/>
    <w:rsid w:val="00D66A67"/>
    <w:rsid w:val="00D72A90"/>
    <w:rsid w:val="00D74F6F"/>
    <w:rsid w:val="00D766BC"/>
    <w:rsid w:val="00D8118C"/>
    <w:rsid w:val="00D82DB2"/>
    <w:rsid w:val="00D91491"/>
    <w:rsid w:val="00D96E52"/>
    <w:rsid w:val="00DA46A2"/>
    <w:rsid w:val="00DB086B"/>
    <w:rsid w:val="00DC41D6"/>
    <w:rsid w:val="00DD1860"/>
    <w:rsid w:val="00DD51C2"/>
    <w:rsid w:val="00DE29A2"/>
    <w:rsid w:val="00DF064E"/>
    <w:rsid w:val="00DF1C50"/>
    <w:rsid w:val="00DF6593"/>
    <w:rsid w:val="00E036F2"/>
    <w:rsid w:val="00E04FC6"/>
    <w:rsid w:val="00E07255"/>
    <w:rsid w:val="00E104B6"/>
    <w:rsid w:val="00E14336"/>
    <w:rsid w:val="00E16C75"/>
    <w:rsid w:val="00E242C6"/>
    <w:rsid w:val="00E32D46"/>
    <w:rsid w:val="00E34B0B"/>
    <w:rsid w:val="00E34C41"/>
    <w:rsid w:val="00E37E1C"/>
    <w:rsid w:val="00E40244"/>
    <w:rsid w:val="00E41D01"/>
    <w:rsid w:val="00E46961"/>
    <w:rsid w:val="00E471C7"/>
    <w:rsid w:val="00E54682"/>
    <w:rsid w:val="00E73F6C"/>
    <w:rsid w:val="00E744EF"/>
    <w:rsid w:val="00E80D40"/>
    <w:rsid w:val="00E87868"/>
    <w:rsid w:val="00E91245"/>
    <w:rsid w:val="00E96D5A"/>
    <w:rsid w:val="00EA17EA"/>
    <w:rsid w:val="00EA47A3"/>
    <w:rsid w:val="00EA4C02"/>
    <w:rsid w:val="00ED153A"/>
    <w:rsid w:val="00ED3574"/>
    <w:rsid w:val="00EE3435"/>
    <w:rsid w:val="00EE455B"/>
    <w:rsid w:val="00EE5D09"/>
    <w:rsid w:val="00EE67BC"/>
    <w:rsid w:val="00EE6905"/>
    <w:rsid w:val="00EF419B"/>
    <w:rsid w:val="00F04F2C"/>
    <w:rsid w:val="00F103D8"/>
    <w:rsid w:val="00F1348F"/>
    <w:rsid w:val="00F13C02"/>
    <w:rsid w:val="00F25312"/>
    <w:rsid w:val="00F25326"/>
    <w:rsid w:val="00F27E03"/>
    <w:rsid w:val="00F314AC"/>
    <w:rsid w:val="00F31EA6"/>
    <w:rsid w:val="00F328AB"/>
    <w:rsid w:val="00F342B9"/>
    <w:rsid w:val="00F36092"/>
    <w:rsid w:val="00F37C45"/>
    <w:rsid w:val="00F55892"/>
    <w:rsid w:val="00F64121"/>
    <w:rsid w:val="00F64AE3"/>
    <w:rsid w:val="00F7263A"/>
    <w:rsid w:val="00F77050"/>
    <w:rsid w:val="00F81F53"/>
    <w:rsid w:val="00FA01B5"/>
    <w:rsid w:val="00FA10F1"/>
    <w:rsid w:val="00FA2211"/>
    <w:rsid w:val="00FA2D90"/>
    <w:rsid w:val="00FB4C09"/>
    <w:rsid w:val="00FB684B"/>
    <w:rsid w:val="00FC7685"/>
    <w:rsid w:val="00FD1793"/>
    <w:rsid w:val="00FD3638"/>
    <w:rsid w:val="00FD4977"/>
    <w:rsid w:val="00FD6D31"/>
    <w:rsid w:val="00FD73C7"/>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6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paragraph" w:styleId="FootnoteText">
    <w:name w:val="footnote text"/>
    <w:basedOn w:val="Normal"/>
    <w:link w:val="FootnoteTextChar"/>
    <w:uiPriority w:val="99"/>
    <w:unhideWhenUsed/>
    <w:rsid w:val="00AE5BF8"/>
    <w:rPr>
      <w:rFonts w:eastAsiaTheme="minorEastAsia" w:cstheme="minorBidi"/>
      <w:szCs w:val="24"/>
      <w:lang w:eastAsia="ja-JP"/>
    </w:rPr>
  </w:style>
  <w:style w:type="character" w:customStyle="1" w:styleId="FootnoteTextChar">
    <w:name w:val="Footnote Text Char"/>
    <w:basedOn w:val="DefaultParagraphFont"/>
    <w:link w:val="FootnoteText"/>
    <w:uiPriority w:val="99"/>
    <w:rsid w:val="00AE5BF8"/>
    <w:rPr>
      <w:rFonts w:eastAsiaTheme="minorEastAsia" w:cstheme="minorBidi"/>
      <w:sz w:val="24"/>
      <w:szCs w:val="24"/>
      <w:lang w:eastAsia="ja-JP"/>
    </w:rPr>
  </w:style>
  <w:style w:type="character" w:styleId="FootnoteReference">
    <w:name w:val="footnote reference"/>
    <w:basedOn w:val="DefaultParagraphFont"/>
    <w:unhideWhenUsed/>
    <w:rsid w:val="00AE5BF8"/>
    <w:rPr>
      <w:vertAlign w:val="superscript"/>
    </w:rPr>
  </w:style>
  <w:style w:type="character" w:customStyle="1" w:styleId="HeaderChar">
    <w:name w:val="Header Char"/>
    <w:basedOn w:val="DefaultParagraphFont"/>
    <w:link w:val="Header"/>
    <w:uiPriority w:val="99"/>
    <w:rsid w:val="00E80D40"/>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paragraph" w:styleId="FootnoteText">
    <w:name w:val="footnote text"/>
    <w:basedOn w:val="Normal"/>
    <w:link w:val="FootnoteTextChar"/>
    <w:uiPriority w:val="99"/>
    <w:unhideWhenUsed/>
    <w:rsid w:val="00AE5BF8"/>
    <w:rPr>
      <w:rFonts w:eastAsiaTheme="minorEastAsia" w:cstheme="minorBidi"/>
      <w:szCs w:val="24"/>
      <w:lang w:eastAsia="ja-JP"/>
    </w:rPr>
  </w:style>
  <w:style w:type="character" w:customStyle="1" w:styleId="FootnoteTextChar">
    <w:name w:val="Footnote Text Char"/>
    <w:basedOn w:val="DefaultParagraphFont"/>
    <w:link w:val="FootnoteText"/>
    <w:uiPriority w:val="99"/>
    <w:rsid w:val="00AE5BF8"/>
    <w:rPr>
      <w:rFonts w:eastAsiaTheme="minorEastAsia" w:cstheme="minorBidi"/>
      <w:sz w:val="24"/>
      <w:szCs w:val="24"/>
      <w:lang w:eastAsia="ja-JP"/>
    </w:rPr>
  </w:style>
  <w:style w:type="character" w:styleId="FootnoteReference">
    <w:name w:val="footnote reference"/>
    <w:basedOn w:val="DefaultParagraphFont"/>
    <w:unhideWhenUsed/>
    <w:rsid w:val="00AE5BF8"/>
    <w:rPr>
      <w:vertAlign w:val="superscript"/>
    </w:rPr>
  </w:style>
  <w:style w:type="character" w:customStyle="1" w:styleId="HeaderChar">
    <w:name w:val="Header Char"/>
    <w:basedOn w:val="DefaultParagraphFont"/>
    <w:link w:val="Header"/>
    <w:uiPriority w:val="99"/>
    <w:rsid w:val="00E80D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6547">
      <w:bodyDiv w:val="1"/>
      <w:marLeft w:val="0"/>
      <w:marRight w:val="0"/>
      <w:marTop w:val="0"/>
      <w:marBottom w:val="0"/>
      <w:divBdr>
        <w:top w:val="none" w:sz="0" w:space="0" w:color="auto"/>
        <w:left w:val="none" w:sz="0" w:space="0" w:color="auto"/>
        <w:bottom w:val="none" w:sz="0" w:space="0" w:color="auto"/>
        <w:right w:val="none" w:sz="0" w:space="0" w:color="auto"/>
      </w:divBdr>
      <w:divsChild>
        <w:div w:id="767845313">
          <w:marLeft w:val="0"/>
          <w:marRight w:val="0"/>
          <w:marTop w:val="0"/>
          <w:marBottom w:val="0"/>
          <w:divBdr>
            <w:top w:val="none" w:sz="0" w:space="0" w:color="auto"/>
            <w:left w:val="none" w:sz="0" w:space="0" w:color="auto"/>
            <w:bottom w:val="none" w:sz="0" w:space="0" w:color="auto"/>
            <w:right w:val="none" w:sz="0" w:space="0" w:color="auto"/>
          </w:divBdr>
          <w:divsChild>
            <w:div w:id="55589726">
              <w:marLeft w:val="0"/>
              <w:marRight w:val="0"/>
              <w:marTop w:val="0"/>
              <w:marBottom w:val="0"/>
              <w:divBdr>
                <w:top w:val="none" w:sz="0" w:space="0" w:color="auto"/>
                <w:left w:val="none" w:sz="0" w:space="0" w:color="auto"/>
                <w:bottom w:val="none" w:sz="0" w:space="0" w:color="auto"/>
                <w:right w:val="none" w:sz="0" w:space="0" w:color="auto"/>
              </w:divBdr>
              <w:divsChild>
                <w:div w:id="4235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143">
      <w:bodyDiv w:val="1"/>
      <w:marLeft w:val="0"/>
      <w:marRight w:val="0"/>
      <w:marTop w:val="0"/>
      <w:marBottom w:val="0"/>
      <w:divBdr>
        <w:top w:val="none" w:sz="0" w:space="0" w:color="auto"/>
        <w:left w:val="none" w:sz="0" w:space="0" w:color="auto"/>
        <w:bottom w:val="none" w:sz="0" w:space="0" w:color="auto"/>
        <w:right w:val="none" w:sz="0" w:space="0" w:color="auto"/>
      </w:divBdr>
      <w:divsChild>
        <w:div w:id="1092316943">
          <w:marLeft w:val="0"/>
          <w:marRight w:val="0"/>
          <w:marTop w:val="0"/>
          <w:marBottom w:val="0"/>
          <w:divBdr>
            <w:top w:val="none" w:sz="0" w:space="0" w:color="auto"/>
            <w:left w:val="none" w:sz="0" w:space="0" w:color="auto"/>
            <w:bottom w:val="none" w:sz="0" w:space="0" w:color="auto"/>
            <w:right w:val="none" w:sz="0" w:space="0" w:color="auto"/>
          </w:divBdr>
          <w:divsChild>
            <w:div w:id="1196581920">
              <w:marLeft w:val="0"/>
              <w:marRight w:val="0"/>
              <w:marTop w:val="0"/>
              <w:marBottom w:val="0"/>
              <w:divBdr>
                <w:top w:val="none" w:sz="0" w:space="0" w:color="auto"/>
                <w:left w:val="none" w:sz="0" w:space="0" w:color="auto"/>
                <w:bottom w:val="none" w:sz="0" w:space="0" w:color="auto"/>
                <w:right w:val="none" w:sz="0" w:space="0" w:color="auto"/>
              </w:divBdr>
              <w:divsChild>
                <w:div w:id="16798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7532">
      <w:bodyDiv w:val="1"/>
      <w:marLeft w:val="0"/>
      <w:marRight w:val="0"/>
      <w:marTop w:val="0"/>
      <w:marBottom w:val="0"/>
      <w:divBdr>
        <w:top w:val="none" w:sz="0" w:space="0" w:color="auto"/>
        <w:left w:val="none" w:sz="0" w:space="0" w:color="auto"/>
        <w:bottom w:val="none" w:sz="0" w:space="0" w:color="auto"/>
        <w:right w:val="none" w:sz="0" w:space="0" w:color="auto"/>
      </w:divBdr>
      <w:divsChild>
        <w:div w:id="1465656455">
          <w:marLeft w:val="0"/>
          <w:marRight w:val="0"/>
          <w:marTop w:val="0"/>
          <w:marBottom w:val="0"/>
          <w:divBdr>
            <w:top w:val="none" w:sz="0" w:space="0" w:color="auto"/>
            <w:left w:val="none" w:sz="0" w:space="0" w:color="auto"/>
            <w:bottom w:val="none" w:sz="0" w:space="0" w:color="auto"/>
            <w:right w:val="none" w:sz="0" w:space="0" w:color="auto"/>
          </w:divBdr>
          <w:divsChild>
            <w:div w:id="272172191">
              <w:marLeft w:val="0"/>
              <w:marRight w:val="0"/>
              <w:marTop w:val="0"/>
              <w:marBottom w:val="0"/>
              <w:divBdr>
                <w:top w:val="none" w:sz="0" w:space="0" w:color="auto"/>
                <w:left w:val="none" w:sz="0" w:space="0" w:color="auto"/>
                <w:bottom w:val="none" w:sz="0" w:space="0" w:color="auto"/>
                <w:right w:val="none" w:sz="0" w:space="0" w:color="auto"/>
              </w:divBdr>
              <w:divsChild>
                <w:div w:id="1062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6342">
      <w:bodyDiv w:val="1"/>
      <w:marLeft w:val="0"/>
      <w:marRight w:val="0"/>
      <w:marTop w:val="0"/>
      <w:marBottom w:val="0"/>
      <w:divBdr>
        <w:top w:val="none" w:sz="0" w:space="0" w:color="auto"/>
        <w:left w:val="none" w:sz="0" w:space="0" w:color="auto"/>
        <w:bottom w:val="none" w:sz="0" w:space="0" w:color="auto"/>
        <w:right w:val="none" w:sz="0" w:space="0" w:color="auto"/>
      </w:divBdr>
      <w:divsChild>
        <w:div w:id="1867868940">
          <w:marLeft w:val="0"/>
          <w:marRight w:val="0"/>
          <w:marTop w:val="0"/>
          <w:marBottom w:val="0"/>
          <w:divBdr>
            <w:top w:val="none" w:sz="0" w:space="0" w:color="auto"/>
            <w:left w:val="none" w:sz="0" w:space="0" w:color="auto"/>
            <w:bottom w:val="none" w:sz="0" w:space="0" w:color="auto"/>
            <w:right w:val="none" w:sz="0" w:space="0" w:color="auto"/>
          </w:divBdr>
          <w:divsChild>
            <w:div w:id="831599823">
              <w:marLeft w:val="0"/>
              <w:marRight w:val="0"/>
              <w:marTop w:val="0"/>
              <w:marBottom w:val="0"/>
              <w:divBdr>
                <w:top w:val="none" w:sz="0" w:space="0" w:color="auto"/>
                <w:left w:val="none" w:sz="0" w:space="0" w:color="auto"/>
                <w:bottom w:val="none" w:sz="0" w:space="0" w:color="auto"/>
                <w:right w:val="none" w:sz="0" w:space="0" w:color="auto"/>
              </w:divBdr>
              <w:divsChild>
                <w:div w:id="8010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5875">
      <w:bodyDiv w:val="1"/>
      <w:marLeft w:val="0"/>
      <w:marRight w:val="0"/>
      <w:marTop w:val="0"/>
      <w:marBottom w:val="0"/>
      <w:divBdr>
        <w:top w:val="none" w:sz="0" w:space="0" w:color="auto"/>
        <w:left w:val="none" w:sz="0" w:space="0" w:color="auto"/>
        <w:bottom w:val="none" w:sz="0" w:space="0" w:color="auto"/>
        <w:right w:val="none" w:sz="0" w:space="0" w:color="auto"/>
      </w:divBdr>
    </w:div>
    <w:div w:id="1916627030">
      <w:bodyDiv w:val="1"/>
      <w:marLeft w:val="0"/>
      <w:marRight w:val="0"/>
      <w:marTop w:val="0"/>
      <w:marBottom w:val="0"/>
      <w:divBdr>
        <w:top w:val="none" w:sz="0" w:space="0" w:color="auto"/>
        <w:left w:val="none" w:sz="0" w:space="0" w:color="auto"/>
        <w:bottom w:val="none" w:sz="0" w:space="0" w:color="auto"/>
        <w:right w:val="none" w:sz="0" w:space="0" w:color="auto"/>
      </w:divBdr>
      <w:divsChild>
        <w:div w:id="1996764383">
          <w:marLeft w:val="0"/>
          <w:marRight w:val="0"/>
          <w:marTop w:val="0"/>
          <w:marBottom w:val="0"/>
          <w:divBdr>
            <w:top w:val="none" w:sz="0" w:space="0" w:color="auto"/>
            <w:left w:val="none" w:sz="0" w:space="0" w:color="auto"/>
            <w:bottom w:val="none" w:sz="0" w:space="0" w:color="auto"/>
            <w:right w:val="none" w:sz="0" w:space="0" w:color="auto"/>
          </w:divBdr>
          <w:divsChild>
            <w:div w:id="1875774238">
              <w:marLeft w:val="0"/>
              <w:marRight w:val="0"/>
              <w:marTop w:val="0"/>
              <w:marBottom w:val="0"/>
              <w:divBdr>
                <w:top w:val="none" w:sz="0" w:space="0" w:color="auto"/>
                <w:left w:val="none" w:sz="0" w:space="0" w:color="auto"/>
                <w:bottom w:val="none" w:sz="0" w:space="0" w:color="auto"/>
                <w:right w:val="none" w:sz="0" w:space="0" w:color="auto"/>
              </w:divBdr>
              <w:divsChild>
                <w:div w:id="13686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2015-10-07T07:00:00+00:00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00D14-30B5-4217-ACD6-1273F2FD556F}"/>
</file>

<file path=customXml/itemProps2.xml><?xml version="1.0" encoding="utf-8"?>
<ds:datastoreItem xmlns:ds="http://schemas.openxmlformats.org/officeDocument/2006/customXml" ds:itemID="{F627C6DC-94DC-47FD-9FB7-BD80F0B84B80}"/>
</file>

<file path=customXml/itemProps3.xml><?xml version="1.0" encoding="utf-8"?>
<ds:datastoreItem xmlns:ds="http://schemas.openxmlformats.org/officeDocument/2006/customXml" ds:itemID="{3E672222-AA13-7D4A-B2D7-9130854E3DB7}"/>
</file>

<file path=customXml/itemProps4.xml><?xml version="1.0" encoding="utf-8"?>
<ds:datastoreItem xmlns:ds="http://schemas.openxmlformats.org/officeDocument/2006/customXml" ds:itemID="{0B65BB6A-F8DF-4D77-9D72-18A81C6EEA01}"/>
</file>

<file path=customXml/itemProps5.xml><?xml version="1.0" encoding="utf-8"?>
<ds:datastoreItem xmlns:ds="http://schemas.openxmlformats.org/officeDocument/2006/customXml" ds:itemID="{C2109C19-1EAF-4F4D-A225-32BF54F51B05}"/>
</file>

<file path=docProps/app.xml><?xml version="1.0" encoding="utf-8"?>
<Properties xmlns="http://schemas.openxmlformats.org/officeDocument/2006/extended-properties" xmlns:vt="http://schemas.openxmlformats.org/officeDocument/2006/docPropsVTypes">
  <Template>Normal.dotm</Template>
  <TotalTime>350</TotalTime>
  <Pages>11</Pages>
  <Words>2159</Words>
  <Characters>12310</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BEFORE THE PUBLIC UTILITY COMMISSION</vt:lpstr>
    </vt:vector>
  </TitlesOfParts>
  <Company>Davison Van Cleve</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dc:title>
  <dc:creator>Linda Vitale</dc:creator>
  <cp:lastModifiedBy>Irion Sanger</cp:lastModifiedBy>
  <cp:revision>126</cp:revision>
  <cp:lastPrinted>2015-10-06T02:54:00Z</cp:lastPrinted>
  <dcterms:created xsi:type="dcterms:W3CDTF">2015-09-22T20:00:00Z</dcterms:created>
  <dcterms:modified xsi:type="dcterms:W3CDTF">2015-10-06T03:01:00Z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