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87" w:rsidRPr="0064749C" w:rsidRDefault="00F31287">
      <w:pPr>
        <w:pStyle w:val="Heading3"/>
        <w:rPr>
          <w:b w:val="0"/>
        </w:rPr>
      </w:pPr>
      <w:r>
        <w:t>WN U-2</w:t>
      </w:r>
    </w:p>
    <w:p w:rsidR="00F31287" w:rsidRDefault="00F31287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F31287" w:rsidRDefault="00F31287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F31287" w:rsidRDefault="00F31287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  <w:r>
        <w:rPr>
          <w:rFonts w:ascii="Arial" w:hAnsi="Arial"/>
        </w:rPr>
        <w:t>Original Sheet No. 1139-B</w:t>
      </w:r>
    </w:p>
    <w:p w:rsidR="00F31287" w:rsidRDefault="00F3128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3888"/>
        <w:rPr>
          <w:rFonts w:ascii="Arial" w:hAnsi="Arial"/>
        </w:rPr>
      </w:pPr>
    </w:p>
    <w:p w:rsidR="00F31287" w:rsidRDefault="00FA394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</w:pPr>
      <w:r w:rsidRPr="00FA3944">
        <w:rPr>
          <w:noProof/>
        </w:rPr>
        <w:pict>
          <v:rect id="_x0000_s1026" style="position:absolute;margin-left:1in;margin-top:0;width:7in;height:.95pt;z-index:-251658240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F31287" w:rsidRDefault="00F3128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  <w:sectPr w:rsidR="00F31287">
          <w:endnotePr>
            <w:numFmt w:val="decimal"/>
          </w:endnotePr>
          <w:pgSz w:w="12240" w:h="15840"/>
          <w:pgMar w:top="1080" w:right="720" w:bottom="720" w:left="1440" w:header="1080" w:footer="720" w:gutter="0"/>
          <w:cols w:space="720"/>
          <w:noEndnote/>
        </w:sectPr>
      </w:pPr>
    </w:p>
    <w:p w:rsidR="00F31287" w:rsidRPr="007D3E3E" w:rsidRDefault="00F31287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before="120"/>
        <w:jc w:val="both"/>
        <w:rPr>
          <w:rFonts w:ascii="Arial" w:hAnsi="Arial" w:cs="Arial"/>
        </w:rPr>
      </w:pPr>
      <w:r w:rsidRPr="007D3E3E">
        <w:rPr>
          <w:rFonts w:ascii="Arial" w:hAnsi="Arial" w:cs="Arial"/>
          <w:b/>
        </w:rPr>
        <w:lastRenderedPageBreak/>
        <w:tab/>
      </w:r>
      <w:r w:rsidRPr="007D3E3E">
        <w:rPr>
          <w:rFonts w:ascii="Arial" w:hAnsi="Arial" w:cs="Arial"/>
        </w:rPr>
        <w:t>PUGET SOUND ENERGY</w:t>
      </w:r>
      <w:r>
        <w:rPr>
          <w:rFonts w:ascii="Arial" w:hAnsi="Arial" w:cs="Arial"/>
        </w:rPr>
        <w:t>, INC.</w:t>
      </w:r>
    </w:p>
    <w:p w:rsidR="00F31287" w:rsidRPr="007D3E3E" w:rsidRDefault="00F3128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proofErr w:type="gramStart"/>
      <w:r w:rsidRPr="007D3E3E">
        <w:rPr>
          <w:rFonts w:ascii="Arial" w:hAnsi="Arial" w:cs="Arial"/>
        </w:rPr>
        <w:t xml:space="preserve">NATURAL GAS </w:t>
      </w:r>
      <w:r>
        <w:rPr>
          <w:rFonts w:ascii="Arial" w:hAnsi="Arial" w:cs="Arial"/>
        </w:rPr>
        <w:t xml:space="preserve">SUPPLEMENTAL </w:t>
      </w:r>
      <w:r w:rsidRPr="007D3E3E">
        <w:rPr>
          <w:rFonts w:ascii="Arial" w:hAnsi="Arial" w:cs="Arial"/>
        </w:rPr>
        <w:t>SCHEDULE NO.</w:t>
      </w:r>
      <w:proofErr w:type="gramEnd"/>
      <w:r w:rsidRPr="007D3E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7D3E3E">
        <w:rPr>
          <w:rFonts w:ascii="Arial" w:hAnsi="Arial" w:cs="Arial"/>
        </w:rPr>
        <w:t>3</w:t>
      </w:r>
      <w:r>
        <w:rPr>
          <w:rFonts w:ascii="Arial" w:hAnsi="Arial" w:cs="Arial"/>
        </w:rPr>
        <w:t>9</w:t>
      </w:r>
    </w:p>
    <w:p w:rsidR="00F31287" w:rsidRDefault="00F31287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  <w:r>
        <w:rPr>
          <w:rFonts w:ascii="Arial" w:hAnsi="Arial" w:cs="Arial"/>
        </w:rPr>
        <w:t>Revenue Decoupling Adjustment Mechanism</w:t>
      </w:r>
    </w:p>
    <w:p w:rsidR="00F31287" w:rsidRPr="007D3E3E" w:rsidRDefault="00F31287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(Continued)</w:t>
      </w:r>
    </w:p>
    <w:p w:rsidR="00F31287" w:rsidRPr="007D3E3E" w:rsidRDefault="00F3128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F31287" w:rsidRDefault="00F31287" w:rsidP="00526C74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</w:r>
    </w:p>
    <w:p w:rsidR="007A4C10" w:rsidRDefault="007A4C10" w:rsidP="007A4C10">
      <w:pPr>
        <w:pStyle w:val="ListParagraph"/>
        <w:tabs>
          <w:tab w:val="left" w:pos="108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  <w:r>
        <w:rPr>
          <w:rFonts w:ascii="Arial" w:hAnsi="Arial" w:cs="Arial"/>
          <w:sz w:val="20"/>
          <w:szCs w:val="20"/>
        </w:rPr>
        <w:tab/>
        <w:t>Monthly Allowed Delivery Revenue Per Customer (Continued)</w:t>
      </w:r>
      <w:r w:rsidR="00E347D5">
        <w:rPr>
          <w:rFonts w:ascii="Arial" w:hAnsi="Arial" w:cs="Arial"/>
          <w:sz w:val="20"/>
          <w:szCs w:val="20"/>
        </w:rPr>
        <w:t>:</w:t>
      </w:r>
    </w:p>
    <w:p w:rsidR="007A4C10" w:rsidRDefault="007A4C10" w:rsidP="007A4C10">
      <w:pPr>
        <w:pStyle w:val="ListParagraph"/>
        <w:tabs>
          <w:tab w:val="left" w:pos="108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7A4C10" w:rsidRPr="00370096" w:rsidRDefault="007A4C10" w:rsidP="007A4C10">
      <w:pPr>
        <w:pStyle w:val="ListParagraph"/>
        <w:tabs>
          <w:tab w:val="left" w:pos="1080"/>
        </w:tabs>
        <w:spacing w:before="120" w:after="0" w:line="286" w:lineRule="exact"/>
        <w:ind w:left="108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Non-</w:t>
      </w:r>
      <w:r w:rsidRPr="00370096">
        <w:rPr>
          <w:rFonts w:ascii="Arial" w:hAnsi="Arial" w:cs="Arial"/>
          <w:b/>
          <w:sz w:val="20"/>
          <w:szCs w:val="20"/>
        </w:rPr>
        <w:t>Residential Customers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1"/>
        <w:gridCol w:w="1278"/>
        <w:gridCol w:w="1278"/>
        <w:gridCol w:w="1278"/>
        <w:gridCol w:w="1278"/>
        <w:gridCol w:w="1278"/>
      </w:tblGrid>
      <w:tr w:rsidR="007A4C10" w:rsidTr="007A4C10">
        <w:trPr>
          <w:trHeight w:val="291"/>
        </w:trPr>
        <w:tc>
          <w:tcPr>
            <w:tcW w:w="1301" w:type="dxa"/>
          </w:tcPr>
          <w:p w:rsidR="007A4C10" w:rsidRPr="00370096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1278" w:type="dxa"/>
          </w:tcPr>
          <w:p w:rsidR="007A4C10" w:rsidRPr="00370096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78" w:type="dxa"/>
          </w:tcPr>
          <w:p w:rsidR="007A4C10" w:rsidRPr="00370096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78" w:type="dxa"/>
          </w:tcPr>
          <w:p w:rsidR="007A4C10" w:rsidRPr="00370096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78" w:type="dxa"/>
          </w:tcPr>
          <w:p w:rsidR="007A4C10" w:rsidRPr="00370096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78" w:type="dxa"/>
          </w:tcPr>
          <w:p w:rsidR="007A4C10" w:rsidRPr="00370096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1278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194.12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199.8</w:t>
            </w:r>
            <w:r w:rsidR="00C533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205.62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2</w:t>
            </w:r>
            <w:r w:rsidR="00DB51ED">
              <w:rPr>
                <w:rFonts w:ascii="Arial" w:hAnsi="Arial" w:cs="Arial"/>
                <w:sz w:val="20"/>
                <w:szCs w:val="20"/>
              </w:rPr>
              <w:t>11.56</w:t>
            </w: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278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182.30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187.64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193.10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198.68</w:t>
            </w: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278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175.33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180.46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185.71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191.08</w:t>
            </w: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1278" w:type="dxa"/>
          </w:tcPr>
          <w:p w:rsidR="007A4C10" w:rsidRPr="005676C4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44.53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48.77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153.09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117.35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20.81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24.35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127.97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276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95.15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97.96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00.83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03.76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88.26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90.87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93.53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96.25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89.83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92.48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95.19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97.96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94.56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97.35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100.20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03.11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127.14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130.89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34.72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1</w:t>
            </w:r>
            <w:r w:rsidR="00DB51ED">
              <w:rPr>
                <w:rFonts w:ascii="Arial" w:hAnsi="Arial" w:cs="Arial"/>
                <w:sz w:val="20"/>
                <w:szCs w:val="20"/>
              </w:rPr>
              <w:t>38.64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291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161.40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166.16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171.03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176.00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C10" w:rsidTr="007A4C10">
        <w:trPr>
          <w:trHeight w:val="307"/>
        </w:trPr>
        <w:tc>
          <w:tcPr>
            <w:tcW w:w="1301" w:type="dxa"/>
          </w:tcPr>
          <w:p w:rsidR="007A4C10" w:rsidRPr="005676C4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188.72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194.28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DB51ED">
              <w:rPr>
                <w:rFonts w:ascii="Arial" w:hAnsi="Arial" w:cs="Arial"/>
                <w:sz w:val="20"/>
                <w:szCs w:val="20"/>
              </w:rPr>
              <w:t>199.98</w:t>
            </w:r>
          </w:p>
        </w:tc>
        <w:tc>
          <w:tcPr>
            <w:tcW w:w="1278" w:type="dxa"/>
          </w:tcPr>
          <w:p w:rsidR="007A4C10" w:rsidRPr="007A4C10" w:rsidRDefault="007A4C10" w:rsidP="00DB51ED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7D62A7">
              <w:rPr>
                <w:rFonts w:ascii="Arial" w:hAnsi="Arial" w:cs="Arial"/>
                <w:sz w:val="20"/>
                <w:szCs w:val="20"/>
              </w:rPr>
              <w:t>2</w:t>
            </w:r>
            <w:r w:rsidR="00DB51ED">
              <w:rPr>
                <w:rFonts w:ascii="Arial" w:hAnsi="Arial" w:cs="Arial"/>
                <w:sz w:val="20"/>
                <w:szCs w:val="20"/>
              </w:rPr>
              <w:t>05.79</w:t>
            </w:r>
          </w:p>
        </w:tc>
        <w:tc>
          <w:tcPr>
            <w:tcW w:w="1278" w:type="dxa"/>
          </w:tcPr>
          <w:p w:rsidR="007A4C10" w:rsidRPr="007A4C10" w:rsidRDefault="007A4C10" w:rsidP="007A4C10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4C10" w:rsidRDefault="007A4C10" w:rsidP="00526C74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F31287" w:rsidRDefault="00FD16BD" w:rsidP="00526C74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F31287" w:rsidRPr="00A34D84">
        <w:rPr>
          <w:rFonts w:ascii="Arial" w:hAnsi="Arial" w:cs="Arial"/>
          <w:sz w:val="20"/>
          <w:szCs w:val="20"/>
        </w:rPr>
        <w:t>.</w:t>
      </w:r>
      <w:r w:rsidR="00F31287">
        <w:rPr>
          <w:rFonts w:ascii="Arial" w:hAnsi="Arial" w:cs="Arial"/>
          <w:sz w:val="20"/>
          <w:szCs w:val="20"/>
        </w:rPr>
        <w:tab/>
        <w:t>Process:</w:t>
      </w:r>
    </w:p>
    <w:p w:rsidR="00F31287" w:rsidRDefault="00F31287" w:rsidP="00526C74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F31287" w:rsidRDefault="00F31287" w:rsidP="00526C74">
      <w:pPr>
        <w:pStyle w:val="ListParagraph"/>
        <w:numPr>
          <w:ilvl w:val="0"/>
          <w:numId w:val="5"/>
        </w:numPr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amounts accrued in the RDA Balancing Account, including interest, for </w:t>
      </w:r>
      <w:r w:rsidR="00AC2FC1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 xml:space="preserve">Residential Customers and </w:t>
      </w:r>
      <w:r w:rsidR="00AC2FC1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 xml:space="preserve">Non-Residential Customers through the end of the calendar year will be </w:t>
      </w:r>
      <w:r w:rsidR="007A4C10">
        <w:rPr>
          <w:rFonts w:ascii="Arial" w:hAnsi="Arial" w:cs="Arial"/>
          <w:sz w:val="20"/>
          <w:szCs w:val="20"/>
        </w:rPr>
        <w:t xml:space="preserve">surcharged </w:t>
      </w:r>
      <w:r>
        <w:rPr>
          <w:rFonts w:ascii="Arial" w:hAnsi="Arial" w:cs="Arial"/>
          <w:sz w:val="20"/>
          <w:szCs w:val="20"/>
        </w:rPr>
        <w:t>or refunded to the same group of Customers (</w:t>
      </w:r>
      <w:r w:rsidR="00AC2FC1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 xml:space="preserve">Residential Customers and </w:t>
      </w:r>
      <w:r w:rsidR="00AC2FC1">
        <w:rPr>
          <w:rFonts w:ascii="Arial" w:hAnsi="Arial" w:cs="Arial"/>
          <w:sz w:val="20"/>
          <w:szCs w:val="20"/>
        </w:rPr>
        <w:t xml:space="preserve">Decoupled </w:t>
      </w:r>
      <w:r>
        <w:rPr>
          <w:rFonts w:ascii="Arial" w:hAnsi="Arial" w:cs="Arial"/>
          <w:sz w:val="20"/>
          <w:szCs w:val="20"/>
        </w:rPr>
        <w:t xml:space="preserve">Non-Residential Customers) during the subsequent May 1 through April 30 rate year.  </w:t>
      </w:r>
    </w:p>
    <w:p w:rsidR="00F31287" w:rsidRDefault="00F31287" w:rsidP="00526C74">
      <w:pPr>
        <w:pStyle w:val="ListParagraph"/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F31287" w:rsidRDefault="00F31287" w:rsidP="00526C74">
      <w:pPr>
        <w:pStyle w:val="ListParagraph"/>
        <w:tabs>
          <w:tab w:val="left" w:pos="108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ab/>
        <w:t xml:space="preserve">No later than April 1 of each year </w:t>
      </w:r>
      <w:r w:rsidR="00DB51ED">
        <w:rPr>
          <w:rFonts w:ascii="Arial" w:hAnsi="Arial" w:cs="Arial"/>
          <w:sz w:val="20"/>
          <w:szCs w:val="20"/>
        </w:rPr>
        <w:t xml:space="preserve">following the initial effective date of this schedule, </w:t>
      </w:r>
      <w:r>
        <w:rPr>
          <w:rFonts w:ascii="Arial" w:hAnsi="Arial" w:cs="Arial"/>
          <w:sz w:val="20"/>
          <w:szCs w:val="20"/>
        </w:rPr>
        <w:t xml:space="preserve">the Company will make a filing to set </w:t>
      </w:r>
      <w:r w:rsidR="00E347D5">
        <w:rPr>
          <w:rFonts w:ascii="Arial" w:hAnsi="Arial" w:cs="Arial"/>
          <w:sz w:val="20"/>
          <w:szCs w:val="20"/>
        </w:rPr>
        <w:t xml:space="preserve">new decoupling </w:t>
      </w:r>
      <w:r>
        <w:rPr>
          <w:rFonts w:ascii="Arial" w:hAnsi="Arial" w:cs="Arial"/>
          <w:sz w:val="20"/>
          <w:szCs w:val="20"/>
        </w:rPr>
        <w:t>rates under this Schedule 139 to be effective May 1 of the same year.</w:t>
      </w:r>
    </w:p>
    <w:p w:rsidR="00F31287" w:rsidRDefault="00F31287" w:rsidP="00526C74">
      <w:pPr>
        <w:pStyle w:val="ListParagraph"/>
        <w:tabs>
          <w:tab w:val="left" w:pos="1080"/>
          <w:tab w:val="left" w:pos="1440"/>
          <w:tab w:val="left" w:pos="9360"/>
          <w:tab w:val="left" w:pos="9450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</w:p>
    <w:p w:rsidR="00F31287" w:rsidRDefault="00F31287" w:rsidP="00526C74">
      <w:pPr>
        <w:widowControl w:val="0"/>
        <w:tabs>
          <w:tab w:val="left" w:pos="0"/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left="90"/>
        <w:jc w:val="both"/>
        <w:rPr>
          <w:rFonts w:ascii="Arial" w:hAnsi="Arial" w:cs="Arial"/>
        </w:rPr>
      </w:pPr>
    </w:p>
    <w:p w:rsidR="00F31287" w:rsidRPr="009B15EB" w:rsidRDefault="00F31287" w:rsidP="008F27EF">
      <w:pPr>
        <w:widowControl w:val="0"/>
        <w:tabs>
          <w:tab w:val="right" w:pos="89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right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ab/>
      </w:r>
    </w:p>
    <w:p w:rsidR="00F31287" w:rsidRPr="007D3E3E" w:rsidRDefault="00F31287">
      <w:pPr>
        <w:widowControl w:val="0"/>
        <w:tabs>
          <w:tab w:val="center" w:pos="4233"/>
          <w:tab w:val="left" w:pos="4435"/>
          <w:tab w:val="left" w:pos="4752"/>
          <w:tab w:val="left" w:pos="5241"/>
          <w:tab w:val="left" w:pos="5616"/>
          <w:tab w:val="right" w:pos="5940"/>
          <w:tab w:val="left" w:pos="6048"/>
          <w:tab w:val="left" w:pos="6300"/>
          <w:tab w:val="left" w:pos="6480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  <w:b/>
        </w:rPr>
      </w:pPr>
    </w:p>
    <w:p w:rsidR="00F31287" w:rsidRDefault="00C53322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(Continued on Sheet 1139-C)</w:t>
      </w:r>
      <w:r w:rsidR="00F31287" w:rsidRPr="007D3E3E">
        <w:rPr>
          <w:rFonts w:ascii="Arial" w:hAnsi="Arial" w:cs="Arial"/>
        </w:rPr>
        <w:br w:type="column"/>
      </w:r>
    </w:p>
    <w:p w:rsidR="00F31287" w:rsidRPr="007D3E3E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  <w:vanish/>
        </w:rPr>
      </w:pP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F31287" w:rsidRDefault="00F31287" w:rsidP="00A340B1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F31287" w:rsidRPr="00AA7F6D" w:rsidRDefault="00F31287" w:rsidP="00D151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F31287" w:rsidRDefault="00F31287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F31287" w:rsidRPr="007D3E3E" w:rsidRDefault="00F3128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F31287" w:rsidRPr="007D3E3E" w:rsidRDefault="00F3128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both"/>
        <w:rPr>
          <w:rFonts w:ascii="Arial" w:hAnsi="Arial" w:cs="Arial"/>
        </w:rPr>
        <w:sectPr w:rsidR="00F31287" w:rsidRPr="007D3E3E">
          <w:endnotePr>
            <w:numFmt w:val="decimal"/>
          </w:endnotePr>
          <w:type w:val="continuous"/>
          <w:pgSz w:w="12240" w:h="15840" w:code="1"/>
          <w:pgMar w:top="1080" w:right="720" w:bottom="720" w:left="1440" w:header="432" w:footer="720" w:gutter="0"/>
          <w:cols w:num="2" w:space="720" w:equalWidth="0">
            <w:col w:w="8467" w:space="720"/>
            <w:col w:w="892"/>
          </w:cols>
          <w:noEndnote/>
        </w:sectPr>
      </w:pPr>
    </w:p>
    <w:p w:rsidR="00F31287" w:rsidRPr="007D3E3E" w:rsidRDefault="00FA394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line="19" w:lineRule="exact"/>
        <w:rPr>
          <w:rFonts w:ascii="Arial" w:hAnsi="Arial" w:cs="Arial"/>
        </w:rPr>
      </w:pPr>
      <w:r w:rsidRPr="00FA3944">
        <w:rPr>
          <w:noProof/>
        </w:rPr>
        <w:lastRenderedPageBreak/>
        <w:pict>
          <v:rect id="_x0000_s1027" style="position:absolute;margin-left:1in;margin-top:0;width:7in;height:.95pt;z-index:-251657216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7A4C10" w:rsidRDefault="007A4C10" w:rsidP="007A4C1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  <w:b/>
        </w:rPr>
      </w:pPr>
      <w:r w:rsidRPr="007A2526">
        <w:rPr>
          <w:rFonts w:ascii="Arial" w:hAnsi="Arial"/>
          <w:b/>
        </w:rPr>
        <w:t>Issued</w:t>
      </w:r>
      <w:r>
        <w:rPr>
          <w:rFonts w:ascii="Arial" w:hAnsi="Arial"/>
        </w:rPr>
        <w:t>:  Month XX</w:t>
      </w:r>
      <w:r w:rsidRPr="007A2526">
        <w:rPr>
          <w:rFonts w:ascii="Arial" w:hAnsi="Arial"/>
        </w:rPr>
        <w:t>, 20</w:t>
      </w:r>
      <w:r>
        <w:rPr>
          <w:rFonts w:ascii="Arial" w:hAnsi="Arial"/>
        </w:rPr>
        <w:t>13</w:t>
      </w:r>
      <w:r w:rsidRPr="007A2526">
        <w:rPr>
          <w:rFonts w:ascii="Arial" w:hAnsi="Arial"/>
        </w:rPr>
        <w:tab/>
      </w:r>
      <w:r w:rsidRPr="007A2526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A2526">
        <w:rPr>
          <w:rFonts w:ascii="Arial" w:hAnsi="Arial"/>
          <w:b/>
        </w:rPr>
        <w:t>Effective</w:t>
      </w:r>
      <w:r w:rsidRPr="007A2526">
        <w:rPr>
          <w:rFonts w:ascii="Arial" w:hAnsi="Arial"/>
        </w:rPr>
        <w:t xml:space="preserve">:   </w:t>
      </w:r>
      <w:r w:rsidR="00AC2FC1">
        <w:rPr>
          <w:rFonts w:ascii="Arial" w:hAnsi="Arial"/>
        </w:rPr>
        <w:t>May</w:t>
      </w:r>
      <w:r w:rsidR="007D62A7">
        <w:rPr>
          <w:rFonts w:ascii="Arial" w:hAnsi="Arial"/>
        </w:rPr>
        <w:t xml:space="preserve"> 1</w:t>
      </w:r>
      <w:r>
        <w:rPr>
          <w:rFonts w:ascii="Arial" w:hAnsi="Arial"/>
        </w:rPr>
        <w:t xml:space="preserve">, </w:t>
      </w:r>
      <w:r w:rsidRPr="007A2526">
        <w:rPr>
          <w:rFonts w:ascii="Arial" w:hAnsi="Arial"/>
        </w:rPr>
        <w:t>20</w:t>
      </w:r>
      <w:r>
        <w:rPr>
          <w:rFonts w:ascii="Arial" w:hAnsi="Arial"/>
        </w:rPr>
        <w:t>13</w:t>
      </w:r>
    </w:p>
    <w:p w:rsidR="007A4C10" w:rsidRDefault="007A4C10" w:rsidP="007A4C10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</w:rPr>
      </w:pPr>
      <w:r>
        <w:rPr>
          <w:rFonts w:ascii="Arial" w:hAnsi="Arial"/>
          <w:b/>
        </w:rPr>
        <w:t>Docket No</w:t>
      </w:r>
      <w:r>
        <w:rPr>
          <w:rFonts w:ascii="Arial" w:hAnsi="Arial"/>
        </w:rPr>
        <w:t>.:   UG-121705</w:t>
      </w:r>
    </w:p>
    <w:p w:rsidR="007A4C10" w:rsidRPr="00E36E9D" w:rsidRDefault="007A4C10" w:rsidP="007A4C1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  <w:b/>
        </w:rPr>
      </w:pPr>
      <w:proofErr w:type="gramStart"/>
      <w:r w:rsidRPr="00E36E9D">
        <w:rPr>
          <w:rFonts w:ascii="Arial" w:hAnsi="Arial" w:cs="Arial"/>
          <w:b/>
        </w:rPr>
        <w:t>Issued By Puget Sound Energy</w:t>
      </w:r>
      <w:r>
        <w:rPr>
          <w:rFonts w:ascii="Arial" w:hAnsi="Arial" w:cs="Arial"/>
          <w:b/>
        </w:rPr>
        <w:t>, Inc.</w:t>
      </w:r>
      <w:proofErr w:type="gramEnd"/>
    </w:p>
    <w:tbl>
      <w:tblPr>
        <w:tblW w:w="0" w:type="auto"/>
        <w:tblLayout w:type="fixed"/>
        <w:tblLook w:val="0000"/>
      </w:tblPr>
      <w:tblGrid>
        <w:gridCol w:w="828"/>
        <w:gridCol w:w="2610"/>
        <w:gridCol w:w="6858"/>
      </w:tblGrid>
      <w:tr w:rsidR="007A4C10" w:rsidRPr="00E36E9D" w:rsidTr="007A4C10">
        <w:trPr>
          <w:trHeight w:val="612"/>
        </w:trPr>
        <w:tc>
          <w:tcPr>
            <w:tcW w:w="828" w:type="dxa"/>
          </w:tcPr>
          <w:p w:rsidR="007A4C10" w:rsidRPr="00E36E9D" w:rsidRDefault="00FA3944" w:rsidP="007A4C1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030" style="position:absolute;left:0;text-align:left;z-index:251661312" from="38pt,22.4pt" to="164.3pt,22.4pt" o:allowincell="f"/>
              </w:pict>
            </w:r>
          </w:p>
          <w:p w:rsidR="007A4C10" w:rsidRPr="00E36E9D" w:rsidRDefault="007A4C10" w:rsidP="007A4C1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 w:rsidRPr="00E36E9D">
              <w:rPr>
                <w:rFonts w:ascii="Arial" w:hAnsi="Arial" w:cs="Arial"/>
              </w:rPr>
              <w:t>By:</w:t>
            </w:r>
            <w:r w:rsidRPr="00E36E9D">
              <w:rPr>
                <w:rFonts w:ascii="Arial" w:hAnsi="Arial" w:cs="Arial"/>
              </w:rPr>
              <w:tab/>
            </w:r>
          </w:p>
        </w:tc>
        <w:tc>
          <w:tcPr>
            <w:tcW w:w="2610" w:type="dxa"/>
          </w:tcPr>
          <w:p w:rsidR="007A4C10" w:rsidRPr="00E36E9D" w:rsidRDefault="007A4C10" w:rsidP="007A4C1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7A4C10" w:rsidRPr="00E36E9D" w:rsidRDefault="007A4C10" w:rsidP="007A4C1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  <w:p w:rsidR="007A4C10" w:rsidRPr="00E36E9D" w:rsidRDefault="007A4C10" w:rsidP="007A4C10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Johnson</w:t>
            </w:r>
            <w:r w:rsidRPr="00E36E9D">
              <w:rPr>
                <w:rFonts w:ascii="Arial" w:hAnsi="Arial" w:cs="Arial"/>
              </w:rPr>
              <w:t xml:space="preserve">                </w:t>
            </w:r>
            <w:r w:rsidRPr="00E36E9D">
              <w:rPr>
                <w:rFonts w:ascii="Arial" w:hAnsi="Arial" w:cs="Arial"/>
                <w:b/>
              </w:rPr>
              <w:t>Title</w:t>
            </w:r>
            <w:r w:rsidRPr="00E36E9D">
              <w:rPr>
                <w:rFonts w:ascii="Arial" w:hAnsi="Arial" w:cs="Arial"/>
              </w:rPr>
              <w:t xml:space="preserve">:  Director, </w:t>
            </w:r>
            <w:r>
              <w:rPr>
                <w:rFonts w:ascii="Arial" w:hAnsi="Arial" w:cs="Arial"/>
              </w:rPr>
              <w:t xml:space="preserve">State Regulatory </w:t>
            </w:r>
            <w:r w:rsidRPr="00E36E9D">
              <w:rPr>
                <w:rFonts w:ascii="Arial" w:hAnsi="Arial" w:cs="Arial"/>
              </w:rPr>
              <w:t>Affairs</w:t>
            </w:r>
          </w:p>
        </w:tc>
      </w:tr>
    </w:tbl>
    <w:p w:rsidR="00F31287" w:rsidRPr="007A4C10" w:rsidRDefault="00F31287" w:rsidP="00DF2DB5">
      <w:pPr>
        <w:pStyle w:val="Heading2"/>
        <w:tabs>
          <w:tab w:val="right" w:pos="-270"/>
          <w:tab w:val="left" w:pos="1260"/>
          <w:tab w:val="left" w:pos="6300"/>
        </w:tabs>
        <w:jc w:val="right"/>
        <w:rPr>
          <w:b/>
          <w:u w:val="none"/>
        </w:rPr>
      </w:pPr>
    </w:p>
    <w:sectPr w:rsidR="00F31287" w:rsidRPr="007A4C10" w:rsidSect="00356FCB">
      <w:endnotePr>
        <w:numFmt w:val="decimal"/>
      </w:endnotePr>
      <w:type w:val="continuous"/>
      <w:pgSz w:w="12240" w:h="15840"/>
      <w:pgMar w:top="1080" w:right="720" w:bottom="720" w:left="1440" w:header="10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C10" w:rsidRDefault="007A4C10">
      <w:r>
        <w:separator/>
      </w:r>
    </w:p>
  </w:endnote>
  <w:endnote w:type="continuationSeparator" w:id="0">
    <w:p w:rsidR="007A4C10" w:rsidRDefault="007A4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C10" w:rsidRDefault="007A4C10">
      <w:r>
        <w:separator/>
      </w:r>
    </w:p>
  </w:footnote>
  <w:footnote w:type="continuationSeparator" w:id="0">
    <w:p w:rsidR="007A4C10" w:rsidRDefault="007A4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A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41B21155"/>
    <w:multiLevelType w:val="multilevel"/>
    <w:tmpl w:val="91502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4AA73A75"/>
    <w:multiLevelType w:val="hybridMultilevel"/>
    <w:tmpl w:val="E5DCDF84"/>
    <w:lvl w:ilvl="0" w:tplc="48066E9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333F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E3E060B"/>
    <w:multiLevelType w:val="hybridMultilevel"/>
    <w:tmpl w:val="84F42024"/>
    <w:lvl w:ilvl="0" w:tplc="82CC37AE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459B3"/>
    <w:rsid w:val="000126DD"/>
    <w:rsid w:val="000412B7"/>
    <w:rsid w:val="00042B2C"/>
    <w:rsid w:val="00043D5C"/>
    <w:rsid w:val="00055B03"/>
    <w:rsid w:val="00063877"/>
    <w:rsid w:val="00070CD7"/>
    <w:rsid w:val="0007756F"/>
    <w:rsid w:val="00086D1D"/>
    <w:rsid w:val="00092301"/>
    <w:rsid w:val="00097DF1"/>
    <w:rsid w:val="000B0A4E"/>
    <w:rsid w:val="000B4056"/>
    <w:rsid w:val="00106563"/>
    <w:rsid w:val="00106AE2"/>
    <w:rsid w:val="00122EAE"/>
    <w:rsid w:val="0012490E"/>
    <w:rsid w:val="00173E07"/>
    <w:rsid w:val="0018097C"/>
    <w:rsid w:val="00180CB4"/>
    <w:rsid w:val="00183C9E"/>
    <w:rsid w:val="0019294F"/>
    <w:rsid w:val="00194251"/>
    <w:rsid w:val="00194937"/>
    <w:rsid w:val="001978CF"/>
    <w:rsid w:val="001A0380"/>
    <w:rsid w:val="00222C4F"/>
    <w:rsid w:val="00225818"/>
    <w:rsid w:val="00231A26"/>
    <w:rsid w:val="0023379F"/>
    <w:rsid w:val="002422D5"/>
    <w:rsid w:val="002459B3"/>
    <w:rsid w:val="00280B9B"/>
    <w:rsid w:val="00283CBB"/>
    <w:rsid w:val="002B06AB"/>
    <w:rsid w:val="002B60AC"/>
    <w:rsid w:val="002C373C"/>
    <w:rsid w:val="002E7260"/>
    <w:rsid w:val="002F076B"/>
    <w:rsid w:val="00332215"/>
    <w:rsid w:val="00336F46"/>
    <w:rsid w:val="00356FC3"/>
    <w:rsid w:val="00356FCB"/>
    <w:rsid w:val="00362FC5"/>
    <w:rsid w:val="003808B6"/>
    <w:rsid w:val="003907FA"/>
    <w:rsid w:val="00392D44"/>
    <w:rsid w:val="003A255E"/>
    <w:rsid w:val="003A3349"/>
    <w:rsid w:val="003B20EC"/>
    <w:rsid w:val="003B4AE1"/>
    <w:rsid w:val="003B6DD4"/>
    <w:rsid w:val="003C644F"/>
    <w:rsid w:val="003D02DD"/>
    <w:rsid w:val="003E09A3"/>
    <w:rsid w:val="003E76E8"/>
    <w:rsid w:val="0041417C"/>
    <w:rsid w:val="004156E6"/>
    <w:rsid w:val="00421955"/>
    <w:rsid w:val="004343E1"/>
    <w:rsid w:val="00446154"/>
    <w:rsid w:val="00451F43"/>
    <w:rsid w:val="00467AF4"/>
    <w:rsid w:val="00476884"/>
    <w:rsid w:val="0049006E"/>
    <w:rsid w:val="004C095B"/>
    <w:rsid w:val="004E4095"/>
    <w:rsid w:val="004E7BAD"/>
    <w:rsid w:val="00500E2E"/>
    <w:rsid w:val="00501D56"/>
    <w:rsid w:val="0050757C"/>
    <w:rsid w:val="00526C74"/>
    <w:rsid w:val="005334DC"/>
    <w:rsid w:val="0054011A"/>
    <w:rsid w:val="00552BD2"/>
    <w:rsid w:val="00596296"/>
    <w:rsid w:val="005B2D7A"/>
    <w:rsid w:val="005F3CAA"/>
    <w:rsid w:val="006201BC"/>
    <w:rsid w:val="00621811"/>
    <w:rsid w:val="00622BA2"/>
    <w:rsid w:val="00637E48"/>
    <w:rsid w:val="006462CD"/>
    <w:rsid w:val="0064749C"/>
    <w:rsid w:val="006474DB"/>
    <w:rsid w:val="006778E0"/>
    <w:rsid w:val="006803FD"/>
    <w:rsid w:val="006828E1"/>
    <w:rsid w:val="006838D8"/>
    <w:rsid w:val="00684F13"/>
    <w:rsid w:val="00691C66"/>
    <w:rsid w:val="006948B0"/>
    <w:rsid w:val="006B4D47"/>
    <w:rsid w:val="006C1DAD"/>
    <w:rsid w:val="006D6A24"/>
    <w:rsid w:val="006D726D"/>
    <w:rsid w:val="006D7BA1"/>
    <w:rsid w:val="006E33F3"/>
    <w:rsid w:val="007026D7"/>
    <w:rsid w:val="00702C3A"/>
    <w:rsid w:val="00706618"/>
    <w:rsid w:val="0071324D"/>
    <w:rsid w:val="007232FA"/>
    <w:rsid w:val="00727860"/>
    <w:rsid w:val="00744A20"/>
    <w:rsid w:val="007536E1"/>
    <w:rsid w:val="00756816"/>
    <w:rsid w:val="00770B89"/>
    <w:rsid w:val="0077149F"/>
    <w:rsid w:val="00796DA6"/>
    <w:rsid w:val="007A2526"/>
    <w:rsid w:val="007A4C10"/>
    <w:rsid w:val="007D3E3E"/>
    <w:rsid w:val="007D62A7"/>
    <w:rsid w:val="007E271A"/>
    <w:rsid w:val="007F35FA"/>
    <w:rsid w:val="00806776"/>
    <w:rsid w:val="00816156"/>
    <w:rsid w:val="0083095A"/>
    <w:rsid w:val="00843DB5"/>
    <w:rsid w:val="008723B7"/>
    <w:rsid w:val="008A3B30"/>
    <w:rsid w:val="008A5974"/>
    <w:rsid w:val="008A607E"/>
    <w:rsid w:val="008D4C40"/>
    <w:rsid w:val="008E6D08"/>
    <w:rsid w:val="008E6EA7"/>
    <w:rsid w:val="008F073A"/>
    <w:rsid w:val="008F27EF"/>
    <w:rsid w:val="0092788B"/>
    <w:rsid w:val="00951B40"/>
    <w:rsid w:val="00974F4F"/>
    <w:rsid w:val="0098544A"/>
    <w:rsid w:val="009912F8"/>
    <w:rsid w:val="00995171"/>
    <w:rsid w:val="009A2C35"/>
    <w:rsid w:val="009B15EB"/>
    <w:rsid w:val="009E0616"/>
    <w:rsid w:val="009E0C69"/>
    <w:rsid w:val="00A126CE"/>
    <w:rsid w:val="00A22F1C"/>
    <w:rsid w:val="00A23C6A"/>
    <w:rsid w:val="00A256FD"/>
    <w:rsid w:val="00A302A6"/>
    <w:rsid w:val="00A340B1"/>
    <w:rsid w:val="00A34D84"/>
    <w:rsid w:val="00A35964"/>
    <w:rsid w:val="00A41E46"/>
    <w:rsid w:val="00A420DA"/>
    <w:rsid w:val="00A612E7"/>
    <w:rsid w:val="00AA30E4"/>
    <w:rsid w:val="00AA7F6D"/>
    <w:rsid w:val="00AC2FC1"/>
    <w:rsid w:val="00AD1D3D"/>
    <w:rsid w:val="00AD5555"/>
    <w:rsid w:val="00AF3404"/>
    <w:rsid w:val="00AF4AA0"/>
    <w:rsid w:val="00B22D19"/>
    <w:rsid w:val="00B24546"/>
    <w:rsid w:val="00B252FA"/>
    <w:rsid w:val="00B27E1B"/>
    <w:rsid w:val="00B31B72"/>
    <w:rsid w:val="00B40D0C"/>
    <w:rsid w:val="00B513C0"/>
    <w:rsid w:val="00B56EB4"/>
    <w:rsid w:val="00B73527"/>
    <w:rsid w:val="00B76DB5"/>
    <w:rsid w:val="00B95E92"/>
    <w:rsid w:val="00B96495"/>
    <w:rsid w:val="00BA08F7"/>
    <w:rsid w:val="00BA0A54"/>
    <w:rsid w:val="00BA0F8D"/>
    <w:rsid w:val="00C037A5"/>
    <w:rsid w:val="00C20562"/>
    <w:rsid w:val="00C27ADC"/>
    <w:rsid w:val="00C422B5"/>
    <w:rsid w:val="00C4313C"/>
    <w:rsid w:val="00C51F6D"/>
    <w:rsid w:val="00C53322"/>
    <w:rsid w:val="00C537D6"/>
    <w:rsid w:val="00C54878"/>
    <w:rsid w:val="00C62627"/>
    <w:rsid w:val="00C803EC"/>
    <w:rsid w:val="00C8344C"/>
    <w:rsid w:val="00CC31A0"/>
    <w:rsid w:val="00CD43BF"/>
    <w:rsid w:val="00CE0A3A"/>
    <w:rsid w:val="00CE18DC"/>
    <w:rsid w:val="00CE24BA"/>
    <w:rsid w:val="00CF1513"/>
    <w:rsid w:val="00D15174"/>
    <w:rsid w:val="00D45500"/>
    <w:rsid w:val="00D51DED"/>
    <w:rsid w:val="00D60808"/>
    <w:rsid w:val="00D6784A"/>
    <w:rsid w:val="00D811D8"/>
    <w:rsid w:val="00D82AEF"/>
    <w:rsid w:val="00DA57CF"/>
    <w:rsid w:val="00DB51ED"/>
    <w:rsid w:val="00DB53D1"/>
    <w:rsid w:val="00DC29E8"/>
    <w:rsid w:val="00DD0527"/>
    <w:rsid w:val="00DE4708"/>
    <w:rsid w:val="00DF2DB5"/>
    <w:rsid w:val="00E0561F"/>
    <w:rsid w:val="00E22FEC"/>
    <w:rsid w:val="00E246B7"/>
    <w:rsid w:val="00E33923"/>
    <w:rsid w:val="00E347D5"/>
    <w:rsid w:val="00E36E9D"/>
    <w:rsid w:val="00E40B5A"/>
    <w:rsid w:val="00E410DE"/>
    <w:rsid w:val="00E4605E"/>
    <w:rsid w:val="00E91B60"/>
    <w:rsid w:val="00E95A52"/>
    <w:rsid w:val="00EA5E64"/>
    <w:rsid w:val="00EB2B57"/>
    <w:rsid w:val="00EF1B20"/>
    <w:rsid w:val="00EF5F9A"/>
    <w:rsid w:val="00F03D69"/>
    <w:rsid w:val="00F30D96"/>
    <w:rsid w:val="00F31287"/>
    <w:rsid w:val="00F461A9"/>
    <w:rsid w:val="00F50863"/>
    <w:rsid w:val="00F66844"/>
    <w:rsid w:val="00F72CB0"/>
    <w:rsid w:val="00F835C7"/>
    <w:rsid w:val="00F90C2A"/>
    <w:rsid w:val="00F9588F"/>
    <w:rsid w:val="00FA3944"/>
    <w:rsid w:val="00FD16BD"/>
    <w:rsid w:val="00FD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C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6FC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6FC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6FCB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6FCB"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8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8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8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81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356FC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56FCB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ind w:firstLine="43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1818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56FCB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1818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356F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81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356F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181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3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818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C205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05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818"/>
    <w:rPr>
      <w:sz w:val="20"/>
      <w:szCs w:val="20"/>
    </w:rPr>
  </w:style>
  <w:style w:type="character" w:customStyle="1" w:styleId="Custom2">
    <w:name w:val="Custom2"/>
    <w:basedOn w:val="DefaultParagraphFont"/>
    <w:uiPriority w:val="99"/>
    <w:rsid w:val="00526C74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526C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1E86F71-697B-4E31-8049-C3E604DF242D}"/>
</file>

<file path=customXml/itemProps2.xml><?xml version="1.0" encoding="utf-8"?>
<ds:datastoreItem xmlns:ds="http://schemas.openxmlformats.org/officeDocument/2006/customXml" ds:itemID="{700CF38B-3BDC-4CEC-869D-464E8EED47F3}"/>
</file>

<file path=customXml/itemProps3.xml><?xml version="1.0" encoding="utf-8"?>
<ds:datastoreItem xmlns:ds="http://schemas.openxmlformats.org/officeDocument/2006/customXml" ds:itemID="{A1AAEB7C-2BDA-41BD-AA91-00ADE4AFE90C}"/>
</file>

<file path=customXml/itemProps4.xml><?xml version="1.0" encoding="utf-8"?>
<ds:datastoreItem xmlns:ds="http://schemas.openxmlformats.org/officeDocument/2006/customXml" ds:itemID="{BD9446F2-7717-439C-B0A4-A86E255E2E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1810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Paul</dc:creator>
  <cp:lastModifiedBy>Jon Piliaris</cp:lastModifiedBy>
  <cp:revision>5</cp:revision>
  <cp:lastPrinted>2013-02-26T00:40:00Z</cp:lastPrinted>
  <dcterms:created xsi:type="dcterms:W3CDTF">2013-02-26T00:53:00Z</dcterms:created>
  <dcterms:modified xsi:type="dcterms:W3CDTF">2013-02-28T17:26:00Z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gFAAsdpvfP9KDXKgdrArZwuALImCw8VJqOZSXWIhK5JCVtehBs9YWoG49hEgWySGlZRZGnZmT22ZWg2mvJRkoIqGvOrnt/noNNZKConfPU8GR3fB7XSNg60KJHO5Q/iOy27Pr6qKFOwa5nUXrDgg8OAS/nyRo24nQjc9PHF21sSrXpPH4ITJticMMyoZpx+WIhEXqMsS/1ggNPoG0BFYEluHtCjrOV7P2ITORmgwH15CtUlrCVwAnUBVy</vt:lpwstr>
  </property>
  <property fmtid="{D5CDD505-2E9C-101B-9397-08002B2CF9AE}" pid="3" name="MAIL_MSG_ID2">
    <vt:lpwstr>xC3/e9IWWbZ36jby9cwrj09YeenvmAAnsQ76j/OrOWCEaUgzD0CkU0lk3jSAsCYDVAB7MmQQkgEKo7fgBcRbFn4MG8UssatcQ==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0x0101006E56B4D1795A2E4DB2F0B01679ED314A009E1959E9861BB94585639886A6437CE8</vt:lpwstr>
  </property>
  <property fmtid="{D5CDD505-2E9C-101B-9397-08002B2CF9AE}" pid="7" name="_docset_NoMedatataSyncRequired">
    <vt:lpwstr>False</vt:lpwstr>
  </property>
</Properties>
</file>