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horzAnchor="margin" w:tblpXSpec="center" w:tblpY="2881"/>
        <w:tblW w:w="4000" w:type="pct"/>
        <w:tblBorders>
          <w:left w:val="single" w:sz="18" w:space="0" w:color="4F81BD"/>
        </w:tblBorders>
        <w:tblLook w:val="00A0"/>
      </w:tblPr>
      <w:tblGrid>
        <w:gridCol w:w="7096"/>
      </w:tblGrid>
      <w:tr w:rsidR="008C6BDB" w:rsidRPr="00B34E9C">
        <w:tc>
          <w:tcPr>
            <w:tcW w:w="7672" w:type="dxa"/>
            <w:tcMar>
              <w:top w:w="216" w:type="dxa"/>
              <w:left w:w="115" w:type="dxa"/>
              <w:bottom w:w="216" w:type="dxa"/>
              <w:right w:w="115" w:type="dxa"/>
            </w:tcMar>
          </w:tcPr>
          <w:p w:rsidR="008C6BDB" w:rsidRPr="00B34E9C" w:rsidRDefault="008C6BDB" w:rsidP="00160CEE">
            <w:pPr>
              <w:pStyle w:val="NoSpacing"/>
              <w:rPr>
                <w:rFonts w:ascii="Times New Roman" w:hAnsi="Times New Roman" w:cs="Times New Roman"/>
                <w:sz w:val="40"/>
                <w:szCs w:val="40"/>
              </w:rPr>
            </w:pPr>
            <w:bookmarkStart w:id="0" w:name="_Toc234046346"/>
            <w:bookmarkStart w:id="1" w:name="_Toc165107947"/>
            <w:bookmarkStart w:id="2" w:name="_Ref165107126"/>
            <w:r w:rsidRPr="00B34E9C">
              <w:rPr>
                <w:rFonts w:ascii="Times New Roman" w:hAnsi="Times New Roman" w:cs="Times New Roman"/>
                <w:sz w:val="40"/>
                <w:szCs w:val="40"/>
                <w:lang w:eastAsia="ja-JP"/>
              </w:rPr>
              <w:t>Pacifi</w:t>
            </w:r>
            <w:r w:rsidR="00B15B2E">
              <w:rPr>
                <w:rFonts w:ascii="Times New Roman" w:hAnsi="Times New Roman" w:cs="Times New Roman"/>
                <w:sz w:val="40"/>
                <w:szCs w:val="40"/>
                <w:lang w:eastAsia="ja-JP"/>
              </w:rPr>
              <w:t xml:space="preserve">c </w:t>
            </w:r>
            <w:r w:rsidR="00B15B2E" w:rsidRPr="00304CFD">
              <w:rPr>
                <w:rFonts w:ascii="Times New Roman" w:hAnsi="Times New Roman" w:cs="Times New Roman"/>
                <w:sz w:val="40"/>
                <w:szCs w:val="40"/>
                <w:lang w:eastAsia="ja-JP"/>
              </w:rPr>
              <w:t>Power</w:t>
            </w:r>
          </w:p>
        </w:tc>
      </w:tr>
      <w:tr w:rsidR="008C6BDB" w:rsidRPr="00B34E9C" w:rsidTr="0081268D">
        <w:trPr>
          <w:trHeight w:val="4518"/>
        </w:trPr>
        <w:tc>
          <w:tcPr>
            <w:tcW w:w="7672" w:type="dxa"/>
          </w:tcPr>
          <w:p w:rsidR="008C6BDB" w:rsidRPr="00B34E9C" w:rsidRDefault="006B4284" w:rsidP="00AA1F0F">
            <w:pPr>
              <w:pStyle w:val="NoSpacing"/>
              <w:rPr>
                <w:rFonts w:ascii="Times New Roman" w:hAnsi="Times New Roman" w:cs="Times New Roman"/>
                <w:color w:val="4F81BD"/>
                <w:sz w:val="80"/>
                <w:szCs w:val="80"/>
              </w:rPr>
            </w:pPr>
            <w:r w:rsidRPr="00B34E9C">
              <w:rPr>
                <w:rFonts w:ascii="Times New Roman" w:hAnsi="Times New Roman" w:cs="Times New Roman"/>
                <w:color w:val="4F81BD"/>
                <w:sz w:val="80"/>
                <w:szCs w:val="80"/>
              </w:rPr>
              <w:t>20</w:t>
            </w:r>
            <w:r w:rsidR="00D506E0" w:rsidRPr="00B34E9C">
              <w:rPr>
                <w:rFonts w:ascii="Times New Roman" w:hAnsi="Times New Roman" w:cs="Times New Roman"/>
                <w:color w:val="4F81BD"/>
                <w:sz w:val="80"/>
                <w:szCs w:val="80"/>
              </w:rPr>
              <w:t>1</w:t>
            </w:r>
            <w:r w:rsidR="00AA1F0F">
              <w:rPr>
                <w:rFonts w:ascii="Times New Roman" w:hAnsi="Times New Roman" w:cs="Times New Roman"/>
                <w:color w:val="4F81BD"/>
                <w:sz w:val="80"/>
                <w:szCs w:val="80"/>
              </w:rPr>
              <w:t>1</w:t>
            </w:r>
            <w:r w:rsidRPr="00B34E9C">
              <w:rPr>
                <w:rFonts w:ascii="Times New Roman" w:hAnsi="Times New Roman" w:cs="Times New Roman"/>
                <w:color w:val="4F81BD"/>
                <w:sz w:val="80"/>
                <w:szCs w:val="80"/>
              </w:rPr>
              <w:t xml:space="preserve"> </w:t>
            </w:r>
            <w:r w:rsidR="008C6BDB" w:rsidRPr="00B34E9C">
              <w:rPr>
                <w:rFonts w:ascii="Times New Roman" w:hAnsi="Times New Roman" w:cs="Times New Roman"/>
                <w:color w:val="4F81BD"/>
                <w:sz w:val="80"/>
                <w:szCs w:val="80"/>
              </w:rPr>
              <w:t xml:space="preserve">Annual </w:t>
            </w:r>
            <w:r w:rsidR="00594CCE" w:rsidRPr="00B34E9C">
              <w:rPr>
                <w:rFonts w:ascii="Times New Roman" w:hAnsi="Times New Roman" w:cs="Times New Roman"/>
                <w:color w:val="4F81BD"/>
                <w:sz w:val="80"/>
                <w:szCs w:val="80"/>
              </w:rPr>
              <w:t>Report on Conservation Acquisition</w:t>
            </w:r>
            <w:r w:rsidR="008C6BDB" w:rsidRPr="00B34E9C">
              <w:rPr>
                <w:rFonts w:ascii="Times New Roman" w:hAnsi="Times New Roman" w:cs="Times New Roman"/>
                <w:color w:val="4F81BD"/>
                <w:sz w:val="80"/>
                <w:szCs w:val="80"/>
              </w:rPr>
              <w:t xml:space="preserve"> - Washington</w:t>
            </w:r>
          </w:p>
        </w:tc>
      </w:tr>
      <w:tr w:rsidR="008C6BDB" w:rsidRPr="00B34E9C">
        <w:tc>
          <w:tcPr>
            <w:tcW w:w="7672" w:type="dxa"/>
            <w:tcMar>
              <w:top w:w="216" w:type="dxa"/>
              <w:left w:w="115" w:type="dxa"/>
              <w:bottom w:w="216" w:type="dxa"/>
              <w:right w:w="115" w:type="dxa"/>
            </w:tcMar>
          </w:tcPr>
          <w:p w:rsidR="008C6BDB" w:rsidRPr="00B34E9C" w:rsidRDefault="008C6BDB" w:rsidP="004D6826">
            <w:pPr>
              <w:pStyle w:val="NoSpacing"/>
              <w:rPr>
                <w:rFonts w:ascii="Times New Roman" w:hAnsi="Times New Roman" w:cs="Times New Roman"/>
                <w:sz w:val="32"/>
                <w:szCs w:val="32"/>
              </w:rPr>
            </w:pPr>
            <w:r w:rsidRPr="00B34E9C">
              <w:rPr>
                <w:rFonts w:ascii="Times New Roman" w:hAnsi="Times New Roman" w:cs="Times New Roman"/>
                <w:sz w:val="32"/>
                <w:szCs w:val="32"/>
              </w:rPr>
              <w:t xml:space="preserve">     </w:t>
            </w:r>
          </w:p>
        </w:tc>
      </w:tr>
    </w:tbl>
    <w:p w:rsidR="008C6BDB" w:rsidRPr="00B34E9C" w:rsidRDefault="008C6BDB"/>
    <w:p w:rsidR="008C6BDB" w:rsidRPr="00B34E9C" w:rsidRDefault="008C6BDB"/>
    <w:tbl>
      <w:tblPr>
        <w:tblpPr w:leftFromText="187" w:rightFromText="187" w:horzAnchor="margin" w:tblpXSpec="center" w:tblpYSpec="bottom"/>
        <w:tblW w:w="4000" w:type="pct"/>
        <w:tblLook w:val="00A0"/>
      </w:tblPr>
      <w:tblGrid>
        <w:gridCol w:w="7096"/>
      </w:tblGrid>
      <w:tr w:rsidR="008C6BDB" w:rsidRPr="00B34E9C">
        <w:tc>
          <w:tcPr>
            <w:tcW w:w="7672" w:type="dxa"/>
            <w:tcMar>
              <w:top w:w="216" w:type="dxa"/>
              <w:left w:w="115" w:type="dxa"/>
              <w:bottom w:w="216" w:type="dxa"/>
              <w:right w:w="115" w:type="dxa"/>
            </w:tcMar>
          </w:tcPr>
          <w:p w:rsidR="008C6BDB" w:rsidRPr="00B34E9C" w:rsidRDefault="005D7594">
            <w:pPr>
              <w:pStyle w:val="NoSpacing"/>
              <w:rPr>
                <w:rFonts w:ascii="Times New Roman" w:hAnsi="Times New Roman" w:cs="Times New Roman"/>
                <w:color w:val="4F81BD"/>
              </w:rPr>
            </w:pPr>
            <w:r w:rsidRPr="001F2AA3">
              <w:rPr>
                <w:rFonts w:ascii="Times New Roman" w:hAnsi="Times New Roman" w:cs="Times New Roman"/>
                <w:color w:val="4F81BD"/>
              </w:rPr>
              <w:t>3/30/2012</w:t>
            </w:r>
          </w:p>
          <w:p w:rsidR="008C6BDB" w:rsidRPr="00B34E9C" w:rsidRDefault="008C6BDB">
            <w:pPr>
              <w:pStyle w:val="NoSpacing"/>
              <w:rPr>
                <w:rFonts w:ascii="Times New Roman" w:hAnsi="Times New Roman" w:cs="Times New Roman"/>
                <w:color w:val="4F81BD"/>
              </w:rPr>
            </w:pPr>
          </w:p>
        </w:tc>
      </w:tr>
    </w:tbl>
    <w:p w:rsidR="008C6BDB" w:rsidRPr="00B34E9C" w:rsidRDefault="008C6BDB"/>
    <w:p w:rsidR="008C6BDB" w:rsidRPr="00B34E9C" w:rsidRDefault="008C6BDB">
      <w:pPr>
        <w:spacing w:after="200" w:line="276" w:lineRule="auto"/>
        <w:rPr>
          <w:b/>
          <w:bCs/>
          <w:kern w:val="32"/>
          <w:sz w:val="32"/>
          <w:szCs w:val="32"/>
        </w:rPr>
      </w:pPr>
      <w:r w:rsidRPr="00B34E9C">
        <w:br w:type="page"/>
      </w:r>
    </w:p>
    <w:sdt>
      <w:sdtPr>
        <w:rPr>
          <w:rFonts w:ascii="Times New Roman" w:eastAsia="MS Mincho" w:hAnsi="Times New Roman" w:cs="Times New Roman"/>
          <w:b w:val="0"/>
          <w:bCs w:val="0"/>
          <w:color w:val="auto"/>
          <w:sz w:val="24"/>
          <w:szCs w:val="24"/>
          <w:lang w:eastAsia="ja-JP"/>
        </w:rPr>
        <w:id w:val="74496571"/>
        <w:docPartObj>
          <w:docPartGallery w:val="Table of Contents"/>
          <w:docPartUnique/>
        </w:docPartObj>
      </w:sdtPr>
      <w:sdtContent>
        <w:p w:rsidR="00A32AFB" w:rsidRDefault="00A32AFB">
          <w:pPr>
            <w:pStyle w:val="TOCHeading"/>
          </w:pPr>
          <w:r>
            <w:t>Table of Contents</w:t>
          </w:r>
        </w:p>
        <w:p w:rsidR="00F74639" w:rsidRDefault="005A47AE">
          <w:pPr>
            <w:pStyle w:val="TOC1"/>
            <w:tabs>
              <w:tab w:val="right" w:leader="dot" w:pos="8630"/>
            </w:tabs>
            <w:rPr>
              <w:rFonts w:asciiTheme="minorHAnsi" w:eastAsiaTheme="minorEastAsia" w:hAnsiTheme="minorHAnsi" w:cstheme="minorBidi"/>
              <w:noProof/>
              <w:sz w:val="22"/>
              <w:szCs w:val="22"/>
              <w:lang w:eastAsia="en-US"/>
            </w:rPr>
          </w:pPr>
          <w:r>
            <w:fldChar w:fldCharType="begin"/>
          </w:r>
          <w:r w:rsidR="00A32AFB">
            <w:instrText xml:space="preserve"> TOC \o "1-3" \h \z \u </w:instrText>
          </w:r>
          <w:r>
            <w:fldChar w:fldCharType="separate"/>
          </w:r>
          <w:hyperlink w:anchor="_Toc320526593" w:history="1">
            <w:r w:rsidR="00F74639" w:rsidRPr="005E1FD7">
              <w:rPr>
                <w:rStyle w:val="Hyperlink"/>
                <w:noProof/>
              </w:rPr>
              <w:t>Introduction</w:t>
            </w:r>
            <w:r w:rsidR="00F74639">
              <w:rPr>
                <w:noProof/>
                <w:webHidden/>
              </w:rPr>
              <w:tab/>
            </w:r>
            <w:r>
              <w:rPr>
                <w:noProof/>
                <w:webHidden/>
              </w:rPr>
              <w:fldChar w:fldCharType="begin"/>
            </w:r>
            <w:r w:rsidR="00F74639">
              <w:rPr>
                <w:noProof/>
                <w:webHidden/>
              </w:rPr>
              <w:instrText xml:space="preserve"> PAGEREF _Toc320526593 \h </w:instrText>
            </w:r>
            <w:r>
              <w:rPr>
                <w:noProof/>
                <w:webHidden/>
              </w:rPr>
            </w:r>
            <w:r>
              <w:rPr>
                <w:noProof/>
                <w:webHidden/>
              </w:rPr>
              <w:fldChar w:fldCharType="separate"/>
            </w:r>
            <w:r w:rsidR="00CE280F">
              <w:rPr>
                <w:noProof/>
                <w:webHidden/>
              </w:rPr>
              <w:t>4</w:t>
            </w:r>
            <w:r>
              <w:rPr>
                <w:noProof/>
                <w:webHidden/>
              </w:rPr>
              <w:fldChar w:fldCharType="end"/>
            </w:r>
          </w:hyperlink>
        </w:p>
        <w:p w:rsidR="00F74639" w:rsidRDefault="005A47AE">
          <w:pPr>
            <w:pStyle w:val="TOC1"/>
            <w:tabs>
              <w:tab w:val="right" w:leader="dot" w:pos="8630"/>
            </w:tabs>
            <w:rPr>
              <w:rFonts w:asciiTheme="minorHAnsi" w:eastAsiaTheme="minorEastAsia" w:hAnsiTheme="minorHAnsi" w:cstheme="minorBidi"/>
              <w:noProof/>
              <w:sz w:val="22"/>
              <w:szCs w:val="22"/>
              <w:lang w:eastAsia="en-US"/>
            </w:rPr>
          </w:pPr>
          <w:hyperlink w:anchor="_Toc320526594" w:history="1">
            <w:r w:rsidR="00F74639" w:rsidRPr="005E1FD7">
              <w:rPr>
                <w:rStyle w:val="Hyperlink"/>
                <w:noProof/>
              </w:rPr>
              <w:t>Advisory Group Meetings and Communications</w:t>
            </w:r>
            <w:r w:rsidR="00F74639">
              <w:rPr>
                <w:noProof/>
                <w:webHidden/>
              </w:rPr>
              <w:tab/>
            </w:r>
            <w:r>
              <w:rPr>
                <w:noProof/>
                <w:webHidden/>
              </w:rPr>
              <w:fldChar w:fldCharType="begin"/>
            </w:r>
            <w:r w:rsidR="00F74639">
              <w:rPr>
                <w:noProof/>
                <w:webHidden/>
              </w:rPr>
              <w:instrText xml:space="preserve"> PAGEREF _Toc320526594 \h </w:instrText>
            </w:r>
            <w:r>
              <w:rPr>
                <w:noProof/>
                <w:webHidden/>
              </w:rPr>
            </w:r>
            <w:r>
              <w:rPr>
                <w:noProof/>
                <w:webHidden/>
              </w:rPr>
              <w:fldChar w:fldCharType="separate"/>
            </w:r>
            <w:r w:rsidR="00CE280F">
              <w:rPr>
                <w:noProof/>
                <w:webHidden/>
              </w:rPr>
              <w:t>5</w:t>
            </w:r>
            <w:r>
              <w:rPr>
                <w:noProof/>
                <w:webHidden/>
              </w:rPr>
              <w:fldChar w:fldCharType="end"/>
            </w:r>
          </w:hyperlink>
        </w:p>
        <w:p w:rsidR="00F74639" w:rsidRDefault="005A47AE">
          <w:pPr>
            <w:pStyle w:val="TOC1"/>
            <w:tabs>
              <w:tab w:val="right" w:leader="dot" w:pos="8630"/>
            </w:tabs>
            <w:rPr>
              <w:rFonts w:asciiTheme="minorHAnsi" w:eastAsiaTheme="minorEastAsia" w:hAnsiTheme="minorHAnsi" w:cstheme="minorBidi"/>
              <w:noProof/>
              <w:sz w:val="22"/>
              <w:szCs w:val="22"/>
              <w:lang w:eastAsia="en-US"/>
            </w:rPr>
          </w:pPr>
          <w:hyperlink w:anchor="_Toc320526595" w:history="1">
            <w:r w:rsidR="00F74639" w:rsidRPr="005E1FD7">
              <w:rPr>
                <w:rStyle w:val="Hyperlink"/>
                <w:noProof/>
              </w:rPr>
              <w:t>Demand-side Management Filings</w:t>
            </w:r>
            <w:r w:rsidR="00F74639">
              <w:rPr>
                <w:noProof/>
                <w:webHidden/>
              </w:rPr>
              <w:tab/>
            </w:r>
            <w:r>
              <w:rPr>
                <w:noProof/>
                <w:webHidden/>
              </w:rPr>
              <w:fldChar w:fldCharType="begin"/>
            </w:r>
            <w:r w:rsidR="00F74639">
              <w:rPr>
                <w:noProof/>
                <w:webHidden/>
              </w:rPr>
              <w:instrText xml:space="preserve"> PAGEREF _Toc320526595 \h </w:instrText>
            </w:r>
            <w:r>
              <w:rPr>
                <w:noProof/>
                <w:webHidden/>
              </w:rPr>
            </w:r>
            <w:r>
              <w:rPr>
                <w:noProof/>
                <w:webHidden/>
              </w:rPr>
              <w:fldChar w:fldCharType="separate"/>
            </w:r>
            <w:r w:rsidR="00CE280F">
              <w:rPr>
                <w:noProof/>
                <w:webHidden/>
              </w:rPr>
              <w:t>8</w:t>
            </w:r>
            <w:r>
              <w:rPr>
                <w:noProof/>
                <w:webHidden/>
              </w:rPr>
              <w:fldChar w:fldCharType="end"/>
            </w:r>
          </w:hyperlink>
        </w:p>
        <w:p w:rsidR="00F74639" w:rsidRDefault="005A47AE">
          <w:pPr>
            <w:pStyle w:val="TOC1"/>
            <w:tabs>
              <w:tab w:val="right" w:leader="dot" w:pos="8630"/>
            </w:tabs>
            <w:rPr>
              <w:rFonts w:asciiTheme="minorHAnsi" w:eastAsiaTheme="minorEastAsia" w:hAnsiTheme="minorHAnsi" w:cstheme="minorBidi"/>
              <w:noProof/>
              <w:sz w:val="22"/>
              <w:szCs w:val="22"/>
              <w:lang w:eastAsia="en-US"/>
            </w:rPr>
          </w:pPr>
          <w:hyperlink w:anchor="_Toc320526596" w:history="1">
            <w:r w:rsidR="00F74639" w:rsidRPr="005E1FD7">
              <w:rPr>
                <w:rStyle w:val="Hyperlink"/>
                <w:noProof/>
              </w:rPr>
              <w:t>2011 Performance and Activity</w:t>
            </w:r>
            <w:r w:rsidR="00F74639">
              <w:rPr>
                <w:noProof/>
                <w:webHidden/>
              </w:rPr>
              <w:tab/>
            </w:r>
            <w:r>
              <w:rPr>
                <w:noProof/>
                <w:webHidden/>
              </w:rPr>
              <w:fldChar w:fldCharType="begin"/>
            </w:r>
            <w:r w:rsidR="00F74639">
              <w:rPr>
                <w:noProof/>
                <w:webHidden/>
              </w:rPr>
              <w:instrText xml:space="preserve"> PAGEREF _Toc320526596 \h </w:instrText>
            </w:r>
            <w:r>
              <w:rPr>
                <w:noProof/>
                <w:webHidden/>
              </w:rPr>
            </w:r>
            <w:r>
              <w:rPr>
                <w:noProof/>
                <w:webHidden/>
              </w:rPr>
              <w:fldChar w:fldCharType="separate"/>
            </w:r>
            <w:r w:rsidR="00CE280F">
              <w:rPr>
                <w:noProof/>
                <w:webHidden/>
              </w:rPr>
              <w:t>9</w:t>
            </w:r>
            <w:r>
              <w:rPr>
                <w:noProof/>
                <w:webHidden/>
              </w:rPr>
              <w:fldChar w:fldCharType="end"/>
            </w:r>
          </w:hyperlink>
        </w:p>
        <w:p w:rsidR="00F74639" w:rsidRDefault="005A47AE">
          <w:pPr>
            <w:pStyle w:val="TOC1"/>
            <w:tabs>
              <w:tab w:val="right" w:leader="dot" w:pos="8630"/>
            </w:tabs>
            <w:rPr>
              <w:rFonts w:asciiTheme="minorHAnsi" w:eastAsiaTheme="minorEastAsia" w:hAnsiTheme="minorHAnsi" w:cstheme="minorBidi"/>
              <w:noProof/>
              <w:sz w:val="22"/>
              <w:szCs w:val="22"/>
              <w:lang w:eastAsia="en-US"/>
            </w:rPr>
          </w:pPr>
          <w:hyperlink w:anchor="_Toc320526597" w:history="1">
            <w:r w:rsidR="00F74639" w:rsidRPr="005E1FD7">
              <w:rPr>
                <w:rStyle w:val="Hyperlink"/>
                <w:noProof/>
              </w:rPr>
              <w:t>2011 Business Plan Budget Compared to Actual</w:t>
            </w:r>
            <w:r w:rsidR="00F74639">
              <w:rPr>
                <w:noProof/>
                <w:webHidden/>
              </w:rPr>
              <w:tab/>
            </w:r>
            <w:r>
              <w:rPr>
                <w:noProof/>
                <w:webHidden/>
              </w:rPr>
              <w:fldChar w:fldCharType="begin"/>
            </w:r>
            <w:r w:rsidR="00F74639">
              <w:rPr>
                <w:noProof/>
                <w:webHidden/>
              </w:rPr>
              <w:instrText xml:space="preserve"> PAGEREF _Toc320526597 \h </w:instrText>
            </w:r>
            <w:r>
              <w:rPr>
                <w:noProof/>
                <w:webHidden/>
              </w:rPr>
            </w:r>
            <w:r>
              <w:rPr>
                <w:noProof/>
                <w:webHidden/>
              </w:rPr>
              <w:fldChar w:fldCharType="separate"/>
            </w:r>
            <w:r w:rsidR="00CE280F">
              <w:rPr>
                <w:noProof/>
                <w:webHidden/>
              </w:rPr>
              <w:t>11</w:t>
            </w:r>
            <w:r>
              <w:rPr>
                <w:noProof/>
                <w:webHidden/>
              </w:rPr>
              <w:fldChar w:fldCharType="end"/>
            </w:r>
          </w:hyperlink>
        </w:p>
        <w:p w:rsidR="00F74639" w:rsidRDefault="005A47AE">
          <w:pPr>
            <w:pStyle w:val="TOC1"/>
            <w:tabs>
              <w:tab w:val="right" w:leader="dot" w:pos="8630"/>
            </w:tabs>
            <w:rPr>
              <w:rFonts w:asciiTheme="minorHAnsi" w:eastAsiaTheme="minorEastAsia" w:hAnsiTheme="minorHAnsi" w:cstheme="minorBidi"/>
              <w:noProof/>
              <w:sz w:val="22"/>
              <w:szCs w:val="22"/>
              <w:lang w:eastAsia="en-US"/>
            </w:rPr>
          </w:pPr>
          <w:hyperlink w:anchor="_Toc320526598" w:history="1">
            <w:r w:rsidR="00F74639" w:rsidRPr="005E1FD7">
              <w:rPr>
                <w:rStyle w:val="Hyperlink"/>
                <w:noProof/>
              </w:rPr>
              <w:t>Residential Energy Efficiency Programs and Activity</w:t>
            </w:r>
            <w:r w:rsidR="00F74639">
              <w:rPr>
                <w:noProof/>
                <w:webHidden/>
              </w:rPr>
              <w:tab/>
            </w:r>
            <w:r>
              <w:rPr>
                <w:noProof/>
                <w:webHidden/>
              </w:rPr>
              <w:fldChar w:fldCharType="begin"/>
            </w:r>
            <w:r w:rsidR="00F74639">
              <w:rPr>
                <w:noProof/>
                <w:webHidden/>
              </w:rPr>
              <w:instrText xml:space="preserve"> PAGEREF _Toc320526598 \h </w:instrText>
            </w:r>
            <w:r>
              <w:rPr>
                <w:noProof/>
                <w:webHidden/>
              </w:rPr>
            </w:r>
            <w:r>
              <w:rPr>
                <w:noProof/>
                <w:webHidden/>
              </w:rPr>
              <w:fldChar w:fldCharType="separate"/>
            </w:r>
            <w:r w:rsidR="00CE280F">
              <w:rPr>
                <w:noProof/>
                <w:webHidden/>
              </w:rPr>
              <w:t>12</w:t>
            </w:r>
            <w:r>
              <w:rPr>
                <w:noProof/>
                <w:webHidden/>
              </w:rPr>
              <w:fldChar w:fldCharType="end"/>
            </w:r>
          </w:hyperlink>
        </w:p>
        <w:p w:rsidR="00F74639" w:rsidRDefault="005A47AE">
          <w:pPr>
            <w:pStyle w:val="TOC1"/>
            <w:tabs>
              <w:tab w:val="right" w:leader="dot" w:pos="8630"/>
            </w:tabs>
            <w:rPr>
              <w:rFonts w:asciiTheme="minorHAnsi" w:eastAsiaTheme="minorEastAsia" w:hAnsiTheme="minorHAnsi" w:cstheme="minorBidi"/>
              <w:noProof/>
              <w:sz w:val="22"/>
              <w:szCs w:val="22"/>
              <w:lang w:eastAsia="en-US"/>
            </w:rPr>
          </w:pPr>
          <w:hyperlink w:anchor="_Toc320526599" w:history="1">
            <w:r w:rsidR="00F74639" w:rsidRPr="005E1FD7">
              <w:rPr>
                <w:rStyle w:val="Hyperlink"/>
                <w:noProof/>
              </w:rPr>
              <w:t>Non-Residential Energy Efficiency Programs and Activity</w:t>
            </w:r>
            <w:r w:rsidR="00F74639">
              <w:rPr>
                <w:noProof/>
                <w:webHidden/>
              </w:rPr>
              <w:tab/>
            </w:r>
            <w:r>
              <w:rPr>
                <w:noProof/>
                <w:webHidden/>
              </w:rPr>
              <w:fldChar w:fldCharType="begin"/>
            </w:r>
            <w:r w:rsidR="00F74639">
              <w:rPr>
                <w:noProof/>
                <w:webHidden/>
              </w:rPr>
              <w:instrText xml:space="preserve"> PAGEREF _Toc320526599 \h </w:instrText>
            </w:r>
            <w:r>
              <w:rPr>
                <w:noProof/>
                <w:webHidden/>
              </w:rPr>
            </w:r>
            <w:r>
              <w:rPr>
                <w:noProof/>
                <w:webHidden/>
              </w:rPr>
              <w:fldChar w:fldCharType="separate"/>
            </w:r>
            <w:r w:rsidR="00CE280F">
              <w:rPr>
                <w:noProof/>
                <w:webHidden/>
              </w:rPr>
              <w:t>20</w:t>
            </w:r>
            <w:r>
              <w:rPr>
                <w:noProof/>
                <w:webHidden/>
              </w:rPr>
              <w:fldChar w:fldCharType="end"/>
            </w:r>
          </w:hyperlink>
        </w:p>
        <w:p w:rsidR="00F74639" w:rsidRDefault="005A47AE">
          <w:pPr>
            <w:pStyle w:val="TOC1"/>
            <w:tabs>
              <w:tab w:val="right" w:leader="dot" w:pos="8630"/>
            </w:tabs>
            <w:rPr>
              <w:rFonts w:asciiTheme="minorHAnsi" w:eastAsiaTheme="minorEastAsia" w:hAnsiTheme="minorHAnsi" w:cstheme="minorBidi"/>
              <w:noProof/>
              <w:sz w:val="22"/>
              <w:szCs w:val="22"/>
              <w:lang w:eastAsia="en-US"/>
            </w:rPr>
          </w:pPr>
          <w:hyperlink w:anchor="_Toc320526600" w:history="1">
            <w:r w:rsidR="00F74639" w:rsidRPr="005E1FD7">
              <w:rPr>
                <w:rStyle w:val="Hyperlink"/>
                <w:noProof/>
              </w:rPr>
              <w:t>Overall Portfolio Expenditures and Results</w:t>
            </w:r>
            <w:r w:rsidR="00F74639">
              <w:rPr>
                <w:noProof/>
                <w:webHidden/>
              </w:rPr>
              <w:tab/>
            </w:r>
            <w:r>
              <w:rPr>
                <w:noProof/>
                <w:webHidden/>
              </w:rPr>
              <w:fldChar w:fldCharType="begin"/>
            </w:r>
            <w:r w:rsidR="00F74639">
              <w:rPr>
                <w:noProof/>
                <w:webHidden/>
              </w:rPr>
              <w:instrText xml:space="preserve"> PAGEREF _Toc320526600 \h </w:instrText>
            </w:r>
            <w:r>
              <w:rPr>
                <w:noProof/>
                <w:webHidden/>
              </w:rPr>
            </w:r>
            <w:r>
              <w:rPr>
                <w:noProof/>
                <w:webHidden/>
              </w:rPr>
              <w:fldChar w:fldCharType="separate"/>
            </w:r>
            <w:r w:rsidR="00CE280F">
              <w:rPr>
                <w:noProof/>
                <w:webHidden/>
              </w:rPr>
              <w:t>25</w:t>
            </w:r>
            <w:r>
              <w:rPr>
                <w:noProof/>
                <w:webHidden/>
              </w:rPr>
              <w:fldChar w:fldCharType="end"/>
            </w:r>
          </w:hyperlink>
        </w:p>
        <w:p w:rsidR="00F74639" w:rsidRDefault="005A47AE">
          <w:pPr>
            <w:pStyle w:val="TOC1"/>
            <w:tabs>
              <w:tab w:val="right" w:leader="dot" w:pos="8630"/>
            </w:tabs>
            <w:rPr>
              <w:rFonts w:asciiTheme="minorHAnsi" w:eastAsiaTheme="minorEastAsia" w:hAnsiTheme="minorHAnsi" w:cstheme="minorBidi"/>
              <w:noProof/>
              <w:sz w:val="22"/>
              <w:szCs w:val="22"/>
              <w:lang w:eastAsia="en-US"/>
            </w:rPr>
          </w:pPr>
          <w:hyperlink w:anchor="_Toc320526601" w:history="1">
            <w:r w:rsidR="00F74639" w:rsidRPr="005E1FD7">
              <w:rPr>
                <w:rStyle w:val="Hyperlink"/>
                <w:noProof/>
              </w:rPr>
              <w:t>System Benefits Charge Balancing Account Summary</w:t>
            </w:r>
            <w:r w:rsidR="00F74639">
              <w:rPr>
                <w:noProof/>
                <w:webHidden/>
              </w:rPr>
              <w:tab/>
            </w:r>
            <w:r>
              <w:rPr>
                <w:noProof/>
                <w:webHidden/>
              </w:rPr>
              <w:fldChar w:fldCharType="begin"/>
            </w:r>
            <w:r w:rsidR="00F74639">
              <w:rPr>
                <w:noProof/>
                <w:webHidden/>
              </w:rPr>
              <w:instrText xml:space="preserve"> PAGEREF _Toc320526601 \h </w:instrText>
            </w:r>
            <w:r>
              <w:rPr>
                <w:noProof/>
                <w:webHidden/>
              </w:rPr>
            </w:r>
            <w:r>
              <w:rPr>
                <w:noProof/>
                <w:webHidden/>
              </w:rPr>
              <w:fldChar w:fldCharType="separate"/>
            </w:r>
            <w:r w:rsidR="00CE280F">
              <w:rPr>
                <w:noProof/>
                <w:webHidden/>
              </w:rPr>
              <w:t>26</w:t>
            </w:r>
            <w:r>
              <w:rPr>
                <w:noProof/>
                <w:webHidden/>
              </w:rPr>
              <w:fldChar w:fldCharType="end"/>
            </w:r>
          </w:hyperlink>
        </w:p>
        <w:p w:rsidR="00F74639" w:rsidRDefault="005A47AE">
          <w:pPr>
            <w:pStyle w:val="TOC1"/>
            <w:tabs>
              <w:tab w:val="right" w:leader="dot" w:pos="8630"/>
            </w:tabs>
            <w:rPr>
              <w:rFonts w:asciiTheme="minorHAnsi" w:eastAsiaTheme="minorEastAsia" w:hAnsiTheme="minorHAnsi" w:cstheme="minorBidi"/>
              <w:noProof/>
              <w:sz w:val="22"/>
              <w:szCs w:val="22"/>
              <w:lang w:eastAsia="en-US"/>
            </w:rPr>
          </w:pPr>
          <w:hyperlink w:anchor="_Toc320526602" w:history="1">
            <w:r w:rsidR="00F74639" w:rsidRPr="005E1FD7">
              <w:rPr>
                <w:rStyle w:val="Hyperlink"/>
                <w:noProof/>
              </w:rPr>
              <w:t>Cost Effectiveness</w:t>
            </w:r>
            <w:r w:rsidR="00F74639">
              <w:rPr>
                <w:noProof/>
                <w:webHidden/>
              </w:rPr>
              <w:tab/>
            </w:r>
            <w:r>
              <w:rPr>
                <w:noProof/>
                <w:webHidden/>
              </w:rPr>
              <w:fldChar w:fldCharType="begin"/>
            </w:r>
            <w:r w:rsidR="00F74639">
              <w:rPr>
                <w:noProof/>
                <w:webHidden/>
              </w:rPr>
              <w:instrText xml:space="preserve"> PAGEREF _Toc320526602 \h </w:instrText>
            </w:r>
            <w:r>
              <w:rPr>
                <w:noProof/>
                <w:webHidden/>
              </w:rPr>
            </w:r>
            <w:r>
              <w:rPr>
                <w:noProof/>
                <w:webHidden/>
              </w:rPr>
              <w:fldChar w:fldCharType="separate"/>
            </w:r>
            <w:r w:rsidR="00CE280F">
              <w:rPr>
                <w:noProof/>
                <w:webHidden/>
              </w:rPr>
              <w:t>28</w:t>
            </w:r>
            <w:r>
              <w:rPr>
                <w:noProof/>
                <w:webHidden/>
              </w:rPr>
              <w:fldChar w:fldCharType="end"/>
            </w:r>
          </w:hyperlink>
        </w:p>
        <w:p w:rsidR="00F74639" w:rsidRDefault="005A47AE">
          <w:pPr>
            <w:pStyle w:val="TOC1"/>
            <w:tabs>
              <w:tab w:val="right" w:leader="dot" w:pos="8630"/>
            </w:tabs>
            <w:rPr>
              <w:rFonts w:asciiTheme="minorHAnsi" w:eastAsiaTheme="minorEastAsia" w:hAnsiTheme="minorHAnsi" w:cstheme="minorBidi"/>
              <w:noProof/>
              <w:sz w:val="22"/>
              <w:szCs w:val="22"/>
              <w:lang w:eastAsia="en-US"/>
            </w:rPr>
          </w:pPr>
          <w:hyperlink w:anchor="_Toc320526603" w:history="1">
            <w:r w:rsidR="00F74639" w:rsidRPr="005E1FD7">
              <w:rPr>
                <w:rStyle w:val="Hyperlink"/>
                <w:noProof/>
              </w:rPr>
              <w:t>Appendices</w:t>
            </w:r>
            <w:r w:rsidR="00F74639">
              <w:rPr>
                <w:noProof/>
                <w:webHidden/>
              </w:rPr>
              <w:tab/>
            </w:r>
            <w:r>
              <w:rPr>
                <w:noProof/>
                <w:webHidden/>
              </w:rPr>
              <w:fldChar w:fldCharType="begin"/>
            </w:r>
            <w:r w:rsidR="00F74639">
              <w:rPr>
                <w:noProof/>
                <w:webHidden/>
              </w:rPr>
              <w:instrText xml:space="preserve"> PAGEREF _Toc320526603 \h </w:instrText>
            </w:r>
            <w:r>
              <w:rPr>
                <w:noProof/>
                <w:webHidden/>
              </w:rPr>
            </w:r>
            <w:r>
              <w:rPr>
                <w:noProof/>
                <w:webHidden/>
              </w:rPr>
              <w:fldChar w:fldCharType="separate"/>
            </w:r>
            <w:r w:rsidR="00CE280F">
              <w:rPr>
                <w:noProof/>
                <w:webHidden/>
              </w:rPr>
              <w:t>30</w:t>
            </w:r>
            <w:r>
              <w:rPr>
                <w:noProof/>
                <w:webHidden/>
              </w:rPr>
              <w:fldChar w:fldCharType="end"/>
            </w:r>
          </w:hyperlink>
        </w:p>
        <w:p w:rsidR="00A32AFB" w:rsidRDefault="005A47AE">
          <w:r>
            <w:fldChar w:fldCharType="end"/>
          </w:r>
        </w:p>
      </w:sdtContent>
    </w:sdt>
    <w:p w:rsidR="008C6BDB" w:rsidRPr="00B34E9C" w:rsidRDefault="008C6BDB">
      <w:pPr>
        <w:pStyle w:val="TOCHeading"/>
        <w:rPr>
          <w:rFonts w:ascii="Times New Roman" w:eastAsia="MS Mincho" w:hAnsi="Times New Roman" w:cs="Times New Roman"/>
          <w:b w:val="0"/>
          <w:bCs w:val="0"/>
          <w:color w:val="auto"/>
          <w:sz w:val="24"/>
          <w:szCs w:val="24"/>
          <w:lang w:eastAsia="ja-JP"/>
        </w:rPr>
      </w:pPr>
    </w:p>
    <w:p w:rsidR="007765CC" w:rsidRPr="00B34E9C" w:rsidRDefault="007765CC" w:rsidP="007765CC">
      <w:pPr>
        <w:rPr>
          <w:sz w:val="28"/>
          <w:szCs w:val="28"/>
        </w:rPr>
      </w:pPr>
    </w:p>
    <w:p w:rsidR="007765CC" w:rsidRPr="00B34E9C" w:rsidRDefault="007765CC" w:rsidP="007765CC">
      <w:pPr>
        <w:rPr>
          <w:sz w:val="28"/>
          <w:szCs w:val="28"/>
        </w:rPr>
      </w:pPr>
    </w:p>
    <w:p w:rsidR="007765CC" w:rsidRPr="00B34E9C" w:rsidRDefault="007765CC" w:rsidP="007765CC">
      <w:pPr>
        <w:rPr>
          <w:sz w:val="28"/>
          <w:szCs w:val="28"/>
        </w:rPr>
      </w:pPr>
    </w:p>
    <w:p w:rsidR="007765CC" w:rsidRPr="00B34E9C" w:rsidRDefault="007765CC" w:rsidP="007765CC">
      <w:pPr>
        <w:rPr>
          <w:sz w:val="28"/>
          <w:szCs w:val="28"/>
        </w:rPr>
      </w:pPr>
    </w:p>
    <w:p w:rsidR="007765CC" w:rsidRPr="00B34E9C" w:rsidRDefault="007765CC" w:rsidP="007765CC">
      <w:pPr>
        <w:rPr>
          <w:sz w:val="28"/>
          <w:szCs w:val="28"/>
        </w:rPr>
      </w:pPr>
    </w:p>
    <w:p w:rsidR="007765CC" w:rsidRPr="00B34E9C" w:rsidRDefault="007765CC" w:rsidP="007765CC">
      <w:pPr>
        <w:rPr>
          <w:sz w:val="28"/>
          <w:szCs w:val="28"/>
        </w:rPr>
      </w:pPr>
    </w:p>
    <w:p w:rsidR="007765CC" w:rsidRPr="00B34E9C" w:rsidRDefault="007765CC" w:rsidP="007765CC">
      <w:pPr>
        <w:rPr>
          <w:sz w:val="28"/>
          <w:szCs w:val="28"/>
        </w:rPr>
      </w:pPr>
    </w:p>
    <w:p w:rsidR="007765CC" w:rsidRPr="00B34E9C" w:rsidRDefault="007765CC" w:rsidP="007765CC">
      <w:pPr>
        <w:rPr>
          <w:sz w:val="28"/>
          <w:szCs w:val="28"/>
        </w:rPr>
      </w:pPr>
    </w:p>
    <w:p w:rsidR="007765CC" w:rsidRPr="00B34E9C" w:rsidRDefault="007765CC" w:rsidP="007765CC">
      <w:pPr>
        <w:rPr>
          <w:sz w:val="28"/>
          <w:szCs w:val="28"/>
        </w:rPr>
      </w:pPr>
    </w:p>
    <w:p w:rsidR="007765CC" w:rsidRPr="00B34E9C" w:rsidRDefault="007765CC" w:rsidP="007765CC">
      <w:pPr>
        <w:rPr>
          <w:sz w:val="28"/>
          <w:szCs w:val="28"/>
        </w:rPr>
      </w:pPr>
    </w:p>
    <w:p w:rsidR="007765CC" w:rsidRPr="00B34E9C" w:rsidRDefault="007765CC" w:rsidP="007765CC">
      <w:pPr>
        <w:rPr>
          <w:sz w:val="28"/>
          <w:szCs w:val="28"/>
        </w:rPr>
      </w:pPr>
    </w:p>
    <w:p w:rsidR="007765CC" w:rsidRPr="00B34E9C" w:rsidRDefault="007765CC" w:rsidP="007765CC">
      <w:pPr>
        <w:rPr>
          <w:sz w:val="28"/>
          <w:szCs w:val="28"/>
        </w:rPr>
      </w:pPr>
    </w:p>
    <w:p w:rsidR="007765CC" w:rsidRPr="00B34E9C" w:rsidRDefault="007765CC" w:rsidP="007765CC">
      <w:pPr>
        <w:rPr>
          <w:sz w:val="28"/>
          <w:szCs w:val="28"/>
        </w:rPr>
      </w:pPr>
    </w:p>
    <w:p w:rsidR="007765CC" w:rsidRPr="00B34E9C" w:rsidRDefault="007765CC" w:rsidP="007765CC">
      <w:pPr>
        <w:rPr>
          <w:sz w:val="28"/>
          <w:szCs w:val="28"/>
        </w:rPr>
      </w:pPr>
    </w:p>
    <w:p w:rsidR="007765CC" w:rsidRPr="00B34E9C" w:rsidRDefault="007765CC" w:rsidP="007765CC">
      <w:pPr>
        <w:rPr>
          <w:sz w:val="28"/>
          <w:szCs w:val="28"/>
        </w:rPr>
      </w:pPr>
    </w:p>
    <w:p w:rsidR="007765CC" w:rsidRPr="00B34E9C" w:rsidRDefault="007765CC" w:rsidP="007765CC">
      <w:pPr>
        <w:rPr>
          <w:sz w:val="28"/>
          <w:szCs w:val="28"/>
        </w:rPr>
      </w:pPr>
    </w:p>
    <w:p w:rsidR="007765CC" w:rsidRPr="00B34E9C" w:rsidRDefault="007765CC" w:rsidP="007765CC">
      <w:pPr>
        <w:rPr>
          <w:sz w:val="28"/>
          <w:szCs w:val="28"/>
        </w:rPr>
      </w:pPr>
    </w:p>
    <w:p w:rsidR="007765CC" w:rsidRPr="00B34E9C" w:rsidRDefault="007765CC" w:rsidP="007765CC">
      <w:pPr>
        <w:rPr>
          <w:sz w:val="28"/>
          <w:szCs w:val="28"/>
        </w:rPr>
      </w:pPr>
    </w:p>
    <w:p w:rsidR="007765CC" w:rsidRPr="00B34E9C" w:rsidRDefault="007765CC" w:rsidP="007765CC">
      <w:pPr>
        <w:rPr>
          <w:sz w:val="28"/>
          <w:szCs w:val="28"/>
        </w:rPr>
      </w:pPr>
    </w:p>
    <w:p w:rsidR="00E24391" w:rsidRPr="00B34E9C" w:rsidRDefault="00E24391" w:rsidP="007765CC">
      <w:pPr>
        <w:rPr>
          <w:b/>
          <w:sz w:val="36"/>
          <w:szCs w:val="36"/>
        </w:rPr>
      </w:pPr>
    </w:p>
    <w:p w:rsidR="002D4FB2" w:rsidRDefault="002D4FB2" w:rsidP="00594CCE">
      <w:pPr>
        <w:rPr>
          <w:b/>
          <w:sz w:val="32"/>
          <w:szCs w:val="32"/>
        </w:rPr>
      </w:pPr>
    </w:p>
    <w:p w:rsidR="002D4FB2" w:rsidRDefault="002D4FB2" w:rsidP="00594CCE">
      <w:pPr>
        <w:rPr>
          <w:b/>
          <w:sz w:val="32"/>
          <w:szCs w:val="32"/>
        </w:rPr>
      </w:pPr>
    </w:p>
    <w:p w:rsidR="00C43C88" w:rsidRPr="005F6583" w:rsidRDefault="00C43C88" w:rsidP="00160CEE">
      <w:pPr>
        <w:pStyle w:val="TableofFigures"/>
        <w:tabs>
          <w:tab w:val="right" w:leader="dot" w:pos="8630"/>
        </w:tabs>
        <w:spacing w:line="480" w:lineRule="auto"/>
        <w:rPr>
          <w:b/>
          <w:sz w:val="28"/>
          <w:szCs w:val="28"/>
        </w:rPr>
      </w:pPr>
      <w:r w:rsidRPr="005F6583">
        <w:rPr>
          <w:b/>
          <w:sz w:val="28"/>
          <w:szCs w:val="28"/>
        </w:rPr>
        <w:lastRenderedPageBreak/>
        <w:t>Table of Tables</w:t>
      </w:r>
    </w:p>
    <w:p w:rsidR="004015D6" w:rsidRDefault="005A47AE" w:rsidP="00160CEE">
      <w:pPr>
        <w:pStyle w:val="TableofFigures"/>
        <w:tabs>
          <w:tab w:val="right" w:leader="dot" w:pos="8630"/>
        </w:tabs>
        <w:spacing w:line="360" w:lineRule="auto"/>
        <w:rPr>
          <w:rFonts w:asciiTheme="minorHAnsi" w:eastAsiaTheme="minorEastAsia" w:hAnsiTheme="minorHAnsi" w:cstheme="minorBidi"/>
          <w:noProof/>
          <w:sz w:val="22"/>
          <w:szCs w:val="22"/>
          <w:lang w:eastAsia="en-US"/>
        </w:rPr>
      </w:pPr>
      <w:r>
        <w:fldChar w:fldCharType="begin"/>
      </w:r>
      <w:r w:rsidR="00A32AFB">
        <w:instrText xml:space="preserve"> TOC \h \z \c "Table" </w:instrText>
      </w:r>
      <w:r>
        <w:fldChar w:fldCharType="separate"/>
      </w:r>
      <w:hyperlink w:anchor="_Toc320624116" w:history="1">
        <w:r w:rsidR="004015D6" w:rsidRPr="005348F9">
          <w:rPr>
            <w:rStyle w:val="Hyperlink"/>
            <w:noProof/>
          </w:rPr>
          <w:t>Table 1:  2011 Total Portfolio Performance</w:t>
        </w:r>
        <w:r w:rsidR="004015D6">
          <w:rPr>
            <w:noProof/>
            <w:webHidden/>
          </w:rPr>
          <w:tab/>
        </w:r>
        <w:r>
          <w:rPr>
            <w:noProof/>
            <w:webHidden/>
          </w:rPr>
          <w:fldChar w:fldCharType="begin"/>
        </w:r>
        <w:r w:rsidR="004015D6">
          <w:rPr>
            <w:noProof/>
            <w:webHidden/>
          </w:rPr>
          <w:instrText xml:space="preserve"> PAGEREF _Toc320624116 \h </w:instrText>
        </w:r>
        <w:r>
          <w:rPr>
            <w:noProof/>
            <w:webHidden/>
          </w:rPr>
        </w:r>
        <w:r>
          <w:rPr>
            <w:noProof/>
            <w:webHidden/>
          </w:rPr>
          <w:fldChar w:fldCharType="separate"/>
        </w:r>
        <w:r w:rsidR="00CE280F">
          <w:rPr>
            <w:noProof/>
            <w:webHidden/>
          </w:rPr>
          <w:t>4</w:t>
        </w:r>
        <w:r>
          <w:rPr>
            <w:noProof/>
            <w:webHidden/>
          </w:rPr>
          <w:fldChar w:fldCharType="end"/>
        </w:r>
      </w:hyperlink>
    </w:p>
    <w:p w:rsidR="004015D6" w:rsidRDefault="005A47AE" w:rsidP="00160CEE">
      <w:pPr>
        <w:pStyle w:val="TableofFigures"/>
        <w:tabs>
          <w:tab w:val="right" w:leader="dot" w:pos="8630"/>
        </w:tabs>
        <w:spacing w:line="360" w:lineRule="auto"/>
        <w:rPr>
          <w:rFonts w:asciiTheme="minorHAnsi" w:eastAsiaTheme="minorEastAsia" w:hAnsiTheme="minorHAnsi" w:cstheme="minorBidi"/>
          <w:noProof/>
          <w:sz w:val="22"/>
          <w:szCs w:val="22"/>
          <w:lang w:eastAsia="en-US"/>
        </w:rPr>
      </w:pPr>
      <w:hyperlink w:anchor="_Toc320624117" w:history="1">
        <w:r w:rsidR="004015D6" w:rsidRPr="005348F9">
          <w:rPr>
            <w:rStyle w:val="Hyperlink"/>
            <w:noProof/>
          </w:rPr>
          <w:t>Table 2:  2011 Performance and Activity</w:t>
        </w:r>
        <w:r w:rsidR="004015D6">
          <w:rPr>
            <w:noProof/>
            <w:webHidden/>
          </w:rPr>
          <w:tab/>
        </w:r>
        <w:r>
          <w:rPr>
            <w:noProof/>
            <w:webHidden/>
          </w:rPr>
          <w:fldChar w:fldCharType="begin"/>
        </w:r>
        <w:r w:rsidR="004015D6">
          <w:rPr>
            <w:noProof/>
            <w:webHidden/>
          </w:rPr>
          <w:instrText xml:space="preserve"> PAGEREF _Toc320624117 \h </w:instrText>
        </w:r>
        <w:r>
          <w:rPr>
            <w:noProof/>
            <w:webHidden/>
          </w:rPr>
        </w:r>
        <w:r>
          <w:rPr>
            <w:noProof/>
            <w:webHidden/>
          </w:rPr>
          <w:fldChar w:fldCharType="separate"/>
        </w:r>
        <w:r w:rsidR="00CE280F">
          <w:rPr>
            <w:noProof/>
            <w:webHidden/>
          </w:rPr>
          <w:t>9</w:t>
        </w:r>
        <w:r>
          <w:rPr>
            <w:noProof/>
            <w:webHidden/>
          </w:rPr>
          <w:fldChar w:fldCharType="end"/>
        </w:r>
      </w:hyperlink>
    </w:p>
    <w:p w:rsidR="004015D6" w:rsidRDefault="005A47AE" w:rsidP="00160CEE">
      <w:pPr>
        <w:pStyle w:val="TableofFigures"/>
        <w:tabs>
          <w:tab w:val="right" w:leader="dot" w:pos="8630"/>
        </w:tabs>
        <w:spacing w:line="360" w:lineRule="auto"/>
        <w:rPr>
          <w:rFonts w:asciiTheme="minorHAnsi" w:eastAsiaTheme="minorEastAsia" w:hAnsiTheme="minorHAnsi" w:cstheme="minorBidi"/>
          <w:noProof/>
          <w:sz w:val="22"/>
          <w:szCs w:val="22"/>
          <w:lang w:eastAsia="en-US"/>
        </w:rPr>
      </w:pPr>
      <w:hyperlink w:anchor="_Toc320624118" w:history="1">
        <w:r w:rsidR="004015D6" w:rsidRPr="005348F9">
          <w:rPr>
            <w:rStyle w:val="Hyperlink"/>
            <w:noProof/>
          </w:rPr>
          <w:t>Table 3:  Washington Business Plan Budget compared to Actual</w:t>
        </w:r>
        <w:r w:rsidR="004015D6">
          <w:rPr>
            <w:noProof/>
            <w:webHidden/>
          </w:rPr>
          <w:tab/>
        </w:r>
        <w:r>
          <w:rPr>
            <w:noProof/>
            <w:webHidden/>
          </w:rPr>
          <w:fldChar w:fldCharType="begin"/>
        </w:r>
        <w:r w:rsidR="004015D6">
          <w:rPr>
            <w:noProof/>
            <w:webHidden/>
          </w:rPr>
          <w:instrText xml:space="preserve"> PAGEREF _Toc320624118 \h </w:instrText>
        </w:r>
        <w:r>
          <w:rPr>
            <w:noProof/>
            <w:webHidden/>
          </w:rPr>
        </w:r>
        <w:r>
          <w:rPr>
            <w:noProof/>
            <w:webHidden/>
          </w:rPr>
          <w:fldChar w:fldCharType="separate"/>
        </w:r>
        <w:r w:rsidR="00CE280F">
          <w:rPr>
            <w:noProof/>
            <w:webHidden/>
          </w:rPr>
          <w:t>11</w:t>
        </w:r>
        <w:r>
          <w:rPr>
            <w:noProof/>
            <w:webHidden/>
          </w:rPr>
          <w:fldChar w:fldCharType="end"/>
        </w:r>
      </w:hyperlink>
    </w:p>
    <w:p w:rsidR="004015D6" w:rsidRDefault="005A47AE" w:rsidP="00160CEE">
      <w:pPr>
        <w:pStyle w:val="TableofFigures"/>
        <w:tabs>
          <w:tab w:val="right" w:leader="dot" w:pos="8630"/>
        </w:tabs>
        <w:spacing w:line="360" w:lineRule="auto"/>
        <w:rPr>
          <w:rFonts w:asciiTheme="minorHAnsi" w:eastAsiaTheme="minorEastAsia" w:hAnsiTheme="minorHAnsi" w:cstheme="minorBidi"/>
          <w:noProof/>
          <w:sz w:val="22"/>
          <w:szCs w:val="22"/>
          <w:lang w:eastAsia="en-US"/>
        </w:rPr>
      </w:pPr>
      <w:hyperlink w:anchor="_Toc320624119" w:history="1">
        <w:r w:rsidR="004015D6" w:rsidRPr="005348F9">
          <w:rPr>
            <w:rStyle w:val="Hyperlink"/>
            <w:noProof/>
          </w:rPr>
          <w:t>Table 4:  2011 Home Energy Savings Program Performance</w:t>
        </w:r>
        <w:r w:rsidR="004015D6">
          <w:rPr>
            <w:noProof/>
            <w:webHidden/>
          </w:rPr>
          <w:tab/>
        </w:r>
        <w:r>
          <w:rPr>
            <w:noProof/>
            <w:webHidden/>
          </w:rPr>
          <w:fldChar w:fldCharType="begin"/>
        </w:r>
        <w:r w:rsidR="004015D6">
          <w:rPr>
            <w:noProof/>
            <w:webHidden/>
          </w:rPr>
          <w:instrText xml:space="preserve"> PAGEREF _Toc320624119 \h </w:instrText>
        </w:r>
        <w:r>
          <w:rPr>
            <w:noProof/>
            <w:webHidden/>
          </w:rPr>
        </w:r>
        <w:r>
          <w:rPr>
            <w:noProof/>
            <w:webHidden/>
          </w:rPr>
          <w:fldChar w:fldCharType="separate"/>
        </w:r>
        <w:r w:rsidR="00CE280F">
          <w:rPr>
            <w:noProof/>
            <w:webHidden/>
          </w:rPr>
          <w:t>12</w:t>
        </w:r>
        <w:r>
          <w:rPr>
            <w:noProof/>
            <w:webHidden/>
          </w:rPr>
          <w:fldChar w:fldCharType="end"/>
        </w:r>
      </w:hyperlink>
    </w:p>
    <w:p w:rsidR="004015D6" w:rsidRDefault="005A47AE" w:rsidP="00160CEE">
      <w:pPr>
        <w:pStyle w:val="TableofFigures"/>
        <w:tabs>
          <w:tab w:val="right" w:leader="dot" w:pos="8630"/>
        </w:tabs>
        <w:spacing w:line="360" w:lineRule="auto"/>
        <w:rPr>
          <w:rFonts w:asciiTheme="minorHAnsi" w:eastAsiaTheme="minorEastAsia" w:hAnsiTheme="minorHAnsi" w:cstheme="minorBidi"/>
          <w:noProof/>
          <w:sz w:val="22"/>
          <w:szCs w:val="22"/>
          <w:lang w:eastAsia="en-US"/>
        </w:rPr>
      </w:pPr>
      <w:hyperlink w:anchor="_Toc320624120" w:history="1">
        <w:r w:rsidR="004015D6" w:rsidRPr="005348F9">
          <w:rPr>
            <w:rStyle w:val="Hyperlink"/>
            <w:noProof/>
          </w:rPr>
          <w:t>Table 5:  2011 Home Energy Savings Measure Performance</w:t>
        </w:r>
        <w:r w:rsidR="004015D6">
          <w:rPr>
            <w:noProof/>
            <w:webHidden/>
          </w:rPr>
          <w:tab/>
        </w:r>
        <w:r>
          <w:rPr>
            <w:noProof/>
            <w:webHidden/>
          </w:rPr>
          <w:fldChar w:fldCharType="begin"/>
        </w:r>
        <w:r w:rsidR="004015D6">
          <w:rPr>
            <w:noProof/>
            <w:webHidden/>
          </w:rPr>
          <w:instrText xml:space="preserve"> PAGEREF _Toc320624120 \h </w:instrText>
        </w:r>
        <w:r>
          <w:rPr>
            <w:noProof/>
            <w:webHidden/>
          </w:rPr>
        </w:r>
        <w:r>
          <w:rPr>
            <w:noProof/>
            <w:webHidden/>
          </w:rPr>
          <w:fldChar w:fldCharType="separate"/>
        </w:r>
        <w:r w:rsidR="00CE280F">
          <w:rPr>
            <w:noProof/>
            <w:webHidden/>
          </w:rPr>
          <w:t>13</w:t>
        </w:r>
        <w:r>
          <w:rPr>
            <w:noProof/>
            <w:webHidden/>
          </w:rPr>
          <w:fldChar w:fldCharType="end"/>
        </w:r>
      </w:hyperlink>
    </w:p>
    <w:p w:rsidR="004015D6" w:rsidRDefault="005A47AE" w:rsidP="00160CEE">
      <w:pPr>
        <w:pStyle w:val="TableofFigures"/>
        <w:tabs>
          <w:tab w:val="right" w:leader="dot" w:pos="8630"/>
        </w:tabs>
        <w:spacing w:line="360" w:lineRule="auto"/>
        <w:rPr>
          <w:rFonts w:asciiTheme="minorHAnsi" w:eastAsiaTheme="minorEastAsia" w:hAnsiTheme="minorHAnsi" w:cstheme="minorBidi"/>
          <w:noProof/>
          <w:sz w:val="22"/>
          <w:szCs w:val="22"/>
          <w:lang w:eastAsia="en-US"/>
        </w:rPr>
      </w:pPr>
      <w:hyperlink w:anchor="_Toc320624121" w:history="1">
        <w:r w:rsidR="004015D6" w:rsidRPr="005348F9">
          <w:rPr>
            <w:rStyle w:val="Hyperlink"/>
            <w:noProof/>
          </w:rPr>
          <w:t>Table 6:  See ya later, refrigerator® 2011 Program Performance</w:t>
        </w:r>
        <w:r w:rsidR="004015D6">
          <w:rPr>
            <w:noProof/>
            <w:webHidden/>
          </w:rPr>
          <w:tab/>
        </w:r>
        <w:r>
          <w:rPr>
            <w:noProof/>
            <w:webHidden/>
          </w:rPr>
          <w:fldChar w:fldCharType="begin"/>
        </w:r>
        <w:r w:rsidR="004015D6">
          <w:rPr>
            <w:noProof/>
            <w:webHidden/>
          </w:rPr>
          <w:instrText xml:space="preserve"> PAGEREF _Toc320624121 \h </w:instrText>
        </w:r>
        <w:r>
          <w:rPr>
            <w:noProof/>
            <w:webHidden/>
          </w:rPr>
        </w:r>
        <w:r>
          <w:rPr>
            <w:noProof/>
            <w:webHidden/>
          </w:rPr>
          <w:fldChar w:fldCharType="separate"/>
        </w:r>
        <w:r w:rsidR="00CE280F">
          <w:rPr>
            <w:noProof/>
            <w:webHidden/>
          </w:rPr>
          <w:t>15</w:t>
        </w:r>
        <w:r>
          <w:rPr>
            <w:noProof/>
            <w:webHidden/>
          </w:rPr>
          <w:fldChar w:fldCharType="end"/>
        </w:r>
      </w:hyperlink>
    </w:p>
    <w:p w:rsidR="004015D6" w:rsidRDefault="005A47AE" w:rsidP="00160CEE">
      <w:pPr>
        <w:pStyle w:val="TableofFigures"/>
        <w:tabs>
          <w:tab w:val="right" w:leader="dot" w:pos="8630"/>
        </w:tabs>
        <w:spacing w:line="360" w:lineRule="auto"/>
        <w:rPr>
          <w:rFonts w:asciiTheme="minorHAnsi" w:eastAsiaTheme="minorEastAsia" w:hAnsiTheme="minorHAnsi" w:cstheme="minorBidi"/>
          <w:noProof/>
          <w:sz w:val="22"/>
          <w:szCs w:val="22"/>
          <w:lang w:eastAsia="en-US"/>
        </w:rPr>
      </w:pPr>
      <w:hyperlink w:anchor="_Toc320624122" w:history="1">
        <w:r w:rsidR="004015D6" w:rsidRPr="005348F9">
          <w:rPr>
            <w:rStyle w:val="Hyperlink"/>
            <w:noProof/>
          </w:rPr>
          <w:t>Table 7:  See ya later, refrigerator® 2011 Results</w:t>
        </w:r>
        <w:r w:rsidR="004015D6">
          <w:rPr>
            <w:noProof/>
            <w:webHidden/>
          </w:rPr>
          <w:tab/>
        </w:r>
        <w:r>
          <w:rPr>
            <w:noProof/>
            <w:webHidden/>
          </w:rPr>
          <w:fldChar w:fldCharType="begin"/>
        </w:r>
        <w:r w:rsidR="004015D6">
          <w:rPr>
            <w:noProof/>
            <w:webHidden/>
          </w:rPr>
          <w:instrText xml:space="preserve"> PAGEREF _Toc320624122 \h </w:instrText>
        </w:r>
        <w:r>
          <w:rPr>
            <w:noProof/>
            <w:webHidden/>
          </w:rPr>
        </w:r>
        <w:r>
          <w:rPr>
            <w:noProof/>
            <w:webHidden/>
          </w:rPr>
          <w:fldChar w:fldCharType="separate"/>
        </w:r>
        <w:r w:rsidR="00CE280F">
          <w:rPr>
            <w:noProof/>
            <w:webHidden/>
          </w:rPr>
          <w:t>15</w:t>
        </w:r>
        <w:r>
          <w:rPr>
            <w:noProof/>
            <w:webHidden/>
          </w:rPr>
          <w:fldChar w:fldCharType="end"/>
        </w:r>
      </w:hyperlink>
    </w:p>
    <w:p w:rsidR="004015D6" w:rsidRDefault="005A47AE" w:rsidP="00160CEE">
      <w:pPr>
        <w:pStyle w:val="TableofFigures"/>
        <w:tabs>
          <w:tab w:val="right" w:leader="dot" w:pos="8630"/>
        </w:tabs>
        <w:spacing w:line="360" w:lineRule="auto"/>
        <w:rPr>
          <w:rFonts w:asciiTheme="minorHAnsi" w:eastAsiaTheme="minorEastAsia" w:hAnsiTheme="minorHAnsi" w:cstheme="minorBidi"/>
          <w:noProof/>
          <w:sz w:val="22"/>
          <w:szCs w:val="22"/>
          <w:lang w:eastAsia="en-US"/>
        </w:rPr>
      </w:pPr>
      <w:hyperlink w:anchor="_Toc320624123" w:history="1">
        <w:r w:rsidR="004015D6" w:rsidRPr="005348F9">
          <w:rPr>
            <w:rStyle w:val="Hyperlink"/>
            <w:noProof/>
          </w:rPr>
          <w:t>Table 8:  Low Income Weatherization Performance</w:t>
        </w:r>
        <w:r w:rsidR="004015D6">
          <w:rPr>
            <w:noProof/>
            <w:webHidden/>
          </w:rPr>
          <w:tab/>
        </w:r>
        <w:r>
          <w:rPr>
            <w:noProof/>
            <w:webHidden/>
          </w:rPr>
          <w:fldChar w:fldCharType="begin"/>
        </w:r>
        <w:r w:rsidR="004015D6">
          <w:rPr>
            <w:noProof/>
            <w:webHidden/>
          </w:rPr>
          <w:instrText xml:space="preserve"> PAGEREF _Toc320624123 \h </w:instrText>
        </w:r>
        <w:r>
          <w:rPr>
            <w:noProof/>
            <w:webHidden/>
          </w:rPr>
        </w:r>
        <w:r>
          <w:rPr>
            <w:noProof/>
            <w:webHidden/>
          </w:rPr>
          <w:fldChar w:fldCharType="separate"/>
        </w:r>
        <w:r w:rsidR="00CE280F">
          <w:rPr>
            <w:noProof/>
            <w:webHidden/>
          </w:rPr>
          <w:t>17</w:t>
        </w:r>
        <w:r>
          <w:rPr>
            <w:noProof/>
            <w:webHidden/>
          </w:rPr>
          <w:fldChar w:fldCharType="end"/>
        </w:r>
      </w:hyperlink>
    </w:p>
    <w:p w:rsidR="004015D6" w:rsidRDefault="005A47AE" w:rsidP="00160CEE">
      <w:pPr>
        <w:pStyle w:val="TableofFigures"/>
        <w:tabs>
          <w:tab w:val="right" w:leader="dot" w:pos="8630"/>
        </w:tabs>
        <w:spacing w:line="360" w:lineRule="auto"/>
        <w:rPr>
          <w:rFonts w:asciiTheme="minorHAnsi" w:eastAsiaTheme="minorEastAsia" w:hAnsiTheme="minorHAnsi" w:cstheme="minorBidi"/>
          <w:noProof/>
          <w:sz w:val="22"/>
          <w:szCs w:val="22"/>
          <w:lang w:eastAsia="en-US"/>
        </w:rPr>
      </w:pPr>
      <w:hyperlink w:anchor="_Toc320624124" w:history="1">
        <w:r w:rsidR="004015D6" w:rsidRPr="005348F9">
          <w:rPr>
            <w:rStyle w:val="Hyperlink"/>
            <w:noProof/>
          </w:rPr>
          <w:t>Table 9:  Energy Education Performance</w:t>
        </w:r>
        <w:r w:rsidR="004015D6">
          <w:rPr>
            <w:noProof/>
            <w:webHidden/>
          </w:rPr>
          <w:tab/>
        </w:r>
        <w:r>
          <w:rPr>
            <w:noProof/>
            <w:webHidden/>
          </w:rPr>
          <w:fldChar w:fldCharType="begin"/>
        </w:r>
        <w:r w:rsidR="004015D6">
          <w:rPr>
            <w:noProof/>
            <w:webHidden/>
          </w:rPr>
          <w:instrText xml:space="preserve"> PAGEREF _Toc320624124 \h </w:instrText>
        </w:r>
        <w:r>
          <w:rPr>
            <w:noProof/>
            <w:webHidden/>
          </w:rPr>
        </w:r>
        <w:r>
          <w:rPr>
            <w:noProof/>
            <w:webHidden/>
          </w:rPr>
          <w:fldChar w:fldCharType="separate"/>
        </w:r>
        <w:r w:rsidR="00CE280F">
          <w:rPr>
            <w:noProof/>
            <w:webHidden/>
          </w:rPr>
          <w:t>18</w:t>
        </w:r>
        <w:r>
          <w:rPr>
            <w:noProof/>
            <w:webHidden/>
          </w:rPr>
          <w:fldChar w:fldCharType="end"/>
        </w:r>
      </w:hyperlink>
    </w:p>
    <w:p w:rsidR="004015D6" w:rsidRDefault="005A47AE" w:rsidP="00160CEE">
      <w:pPr>
        <w:pStyle w:val="TableofFigures"/>
        <w:tabs>
          <w:tab w:val="right" w:leader="dot" w:pos="8630"/>
        </w:tabs>
        <w:spacing w:line="360" w:lineRule="auto"/>
        <w:rPr>
          <w:rFonts w:asciiTheme="minorHAnsi" w:eastAsiaTheme="minorEastAsia" w:hAnsiTheme="minorHAnsi" w:cstheme="minorBidi"/>
          <w:noProof/>
          <w:sz w:val="22"/>
          <w:szCs w:val="22"/>
          <w:lang w:eastAsia="en-US"/>
        </w:rPr>
      </w:pPr>
      <w:hyperlink w:anchor="_Toc320624125" w:history="1">
        <w:r w:rsidR="004015D6" w:rsidRPr="005348F9">
          <w:rPr>
            <w:rStyle w:val="Hyperlink"/>
            <w:noProof/>
          </w:rPr>
          <w:t>Table 10:  2011 FinAnswer Express Program Performance</w:t>
        </w:r>
        <w:r w:rsidR="004015D6">
          <w:rPr>
            <w:noProof/>
            <w:webHidden/>
          </w:rPr>
          <w:tab/>
        </w:r>
        <w:r>
          <w:rPr>
            <w:noProof/>
            <w:webHidden/>
          </w:rPr>
          <w:fldChar w:fldCharType="begin"/>
        </w:r>
        <w:r w:rsidR="004015D6">
          <w:rPr>
            <w:noProof/>
            <w:webHidden/>
          </w:rPr>
          <w:instrText xml:space="preserve"> PAGEREF _Toc320624125 \h </w:instrText>
        </w:r>
        <w:r>
          <w:rPr>
            <w:noProof/>
            <w:webHidden/>
          </w:rPr>
        </w:r>
        <w:r>
          <w:rPr>
            <w:noProof/>
            <w:webHidden/>
          </w:rPr>
          <w:fldChar w:fldCharType="separate"/>
        </w:r>
        <w:r w:rsidR="00CE280F">
          <w:rPr>
            <w:noProof/>
            <w:webHidden/>
          </w:rPr>
          <w:t>20</w:t>
        </w:r>
        <w:r>
          <w:rPr>
            <w:noProof/>
            <w:webHidden/>
          </w:rPr>
          <w:fldChar w:fldCharType="end"/>
        </w:r>
      </w:hyperlink>
    </w:p>
    <w:p w:rsidR="004015D6" w:rsidRDefault="005A47AE" w:rsidP="00160CEE">
      <w:pPr>
        <w:pStyle w:val="TableofFigures"/>
        <w:tabs>
          <w:tab w:val="right" w:leader="dot" w:pos="8630"/>
        </w:tabs>
        <w:spacing w:line="360" w:lineRule="auto"/>
        <w:rPr>
          <w:rFonts w:asciiTheme="minorHAnsi" w:eastAsiaTheme="minorEastAsia" w:hAnsiTheme="minorHAnsi" w:cstheme="minorBidi"/>
          <w:noProof/>
          <w:sz w:val="22"/>
          <w:szCs w:val="22"/>
          <w:lang w:eastAsia="en-US"/>
        </w:rPr>
      </w:pPr>
      <w:hyperlink w:anchor="_Toc320624126" w:history="1">
        <w:r w:rsidR="004015D6" w:rsidRPr="005348F9">
          <w:rPr>
            <w:rStyle w:val="Hyperlink"/>
            <w:noProof/>
          </w:rPr>
          <w:t>Table 11:  FinAnswer Express Savings by Measure Type</w:t>
        </w:r>
        <w:r w:rsidR="004015D6">
          <w:rPr>
            <w:noProof/>
            <w:webHidden/>
          </w:rPr>
          <w:tab/>
        </w:r>
        <w:r>
          <w:rPr>
            <w:noProof/>
            <w:webHidden/>
          </w:rPr>
          <w:fldChar w:fldCharType="begin"/>
        </w:r>
        <w:r w:rsidR="004015D6">
          <w:rPr>
            <w:noProof/>
            <w:webHidden/>
          </w:rPr>
          <w:instrText xml:space="preserve"> PAGEREF _Toc320624126 \h </w:instrText>
        </w:r>
        <w:r>
          <w:rPr>
            <w:noProof/>
            <w:webHidden/>
          </w:rPr>
        </w:r>
        <w:r>
          <w:rPr>
            <w:noProof/>
            <w:webHidden/>
          </w:rPr>
          <w:fldChar w:fldCharType="separate"/>
        </w:r>
        <w:r w:rsidR="00CE280F">
          <w:rPr>
            <w:noProof/>
            <w:webHidden/>
          </w:rPr>
          <w:t>21</w:t>
        </w:r>
        <w:r>
          <w:rPr>
            <w:noProof/>
            <w:webHidden/>
          </w:rPr>
          <w:fldChar w:fldCharType="end"/>
        </w:r>
      </w:hyperlink>
    </w:p>
    <w:p w:rsidR="004015D6" w:rsidRDefault="005A47AE" w:rsidP="00160CEE">
      <w:pPr>
        <w:pStyle w:val="TableofFigures"/>
        <w:tabs>
          <w:tab w:val="right" w:leader="dot" w:pos="8630"/>
        </w:tabs>
        <w:spacing w:line="360" w:lineRule="auto"/>
        <w:rPr>
          <w:rFonts w:asciiTheme="minorHAnsi" w:eastAsiaTheme="minorEastAsia" w:hAnsiTheme="minorHAnsi" w:cstheme="minorBidi"/>
          <w:noProof/>
          <w:sz w:val="22"/>
          <w:szCs w:val="22"/>
          <w:lang w:eastAsia="en-US"/>
        </w:rPr>
      </w:pPr>
      <w:hyperlink w:anchor="_Toc320624127" w:history="1">
        <w:r w:rsidR="004015D6" w:rsidRPr="005348F9">
          <w:rPr>
            <w:rStyle w:val="Hyperlink"/>
            <w:noProof/>
          </w:rPr>
          <w:t>Table 12:  Energy FinAnswer Program Performance</w:t>
        </w:r>
        <w:r w:rsidR="004015D6">
          <w:rPr>
            <w:noProof/>
            <w:webHidden/>
          </w:rPr>
          <w:tab/>
        </w:r>
        <w:r>
          <w:rPr>
            <w:noProof/>
            <w:webHidden/>
          </w:rPr>
          <w:fldChar w:fldCharType="begin"/>
        </w:r>
        <w:r w:rsidR="004015D6">
          <w:rPr>
            <w:noProof/>
            <w:webHidden/>
          </w:rPr>
          <w:instrText xml:space="preserve"> PAGEREF _Toc320624127 \h </w:instrText>
        </w:r>
        <w:r>
          <w:rPr>
            <w:noProof/>
            <w:webHidden/>
          </w:rPr>
        </w:r>
        <w:r>
          <w:rPr>
            <w:noProof/>
            <w:webHidden/>
          </w:rPr>
          <w:fldChar w:fldCharType="separate"/>
        </w:r>
        <w:r w:rsidR="00CE280F">
          <w:rPr>
            <w:noProof/>
            <w:webHidden/>
          </w:rPr>
          <w:t>23</w:t>
        </w:r>
        <w:r>
          <w:rPr>
            <w:noProof/>
            <w:webHidden/>
          </w:rPr>
          <w:fldChar w:fldCharType="end"/>
        </w:r>
      </w:hyperlink>
    </w:p>
    <w:p w:rsidR="004015D6" w:rsidRDefault="005A47AE" w:rsidP="00160CEE">
      <w:pPr>
        <w:pStyle w:val="TableofFigures"/>
        <w:tabs>
          <w:tab w:val="right" w:leader="dot" w:pos="8630"/>
        </w:tabs>
        <w:spacing w:line="360" w:lineRule="auto"/>
        <w:rPr>
          <w:rFonts w:asciiTheme="minorHAnsi" w:eastAsiaTheme="minorEastAsia" w:hAnsiTheme="minorHAnsi" w:cstheme="minorBidi"/>
          <w:noProof/>
          <w:sz w:val="22"/>
          <w:szCs w:val="22"/>
          <w:lang w:eastAsia="en-US"/>
        </w:rPr>
      </w:pPr>
      <w:hyperlink w:anchor="_Toc320624128" w:history="1">
        <w:r w:rsidR="004015D6" w:rsidRPr="005348F9">
          <w:rPr>
            <w:rStyle w:val="Hyperlink"/>
            <w:noProof/>
          </w:rPr>
          <w:t>Table 13:  Energy FinAnswer Savings by Measure Type</w:t>
        </w:r>
        <w:r w:rsidR="004015D6">
          <w:rPr>
            <w:noProof/>
            <w:webHidden/>
          </w:rPr>
          <w:tab/>
        </w:r>
        <w:r>
          <w:rPr>
            <w:noProof/>
            <w:webHidden/>
          </w:rPr>
          <w:fldChar w:fldCharType="begin"/>
        </w:r>
        <w:r w:rsidR="004015D6">
          <w:rPr>
            <w:noProof/>
            <w:webHidden/>
          </w:rPr>
          <w:instrText xml:space="preserve"> PAGEREF _Toc320624128 \h </w:instrText>
        </w:r>
        <w:r>
          <w:rPr>
            <w:noProof/>
            <w:webHidden/>
          </w:rPr>
        </w:r>
        <w:r>
          <w:rPr>
            <w:noProof/>
            <w:webHidden/>
          </w:rPr>
          <w:fldChar w:fldCharType="separate"/>
        </w:r>
        <w:r w:rsidR="00CE280F">
          <w:rPr>
            <w:noProof/>
            <w:webHidden/>
          </w:rPr>
          <w:t>23</w:t>
        </w:r>
        <w:r>
          <w:rPr>
            <w:noProof/>
            <w:webHidden/>
          </w:rPr>
          <w:fldChar w:fldCharType="end"/>
        </w:r>
      </w:hyperlink>
    </w:p>
    <w:p w:rsidR="004015D6" w:rsidRDefault="005A47AE" w:rsidP="00160CEE">
      <w:pPr>
        <w:pStyle w:val="TableofFigures"/>
        <w:tabs>
          <w:tab w:val="right" w:leader="dot" w:pos="8630"/>
        </w:tabs>
        <w:spacing w:line="360" w:lineRule="auto"/>
        <w:rPr>
          <w:rFonts w:asciiTheme="minorHAnsi" w:eastAsiaTheme="minorEastAsia" w:hAnsiTheme="minorHAnsi" w:cstheme="minorBidi"/>
          <w:noProof/>
          <w:sz w:val="22"/>
          <w:szCs w:val="22"/>
          <w:lang w:eastAsia="en-US"/>
        </w:rPr>
      </w:pPr>
      <w:hyperlink w:anchor="_Toc320624129" w:history="1">
        <w:r w:rsidR="004015D6" w:rsidRPr="005348F9">
          <w:rPr>
            <w:rStyle w:val="Hyperlink"/>
            <w:noProof/>
          </w:rPr>
          <w:t>Table 14:  System Benefit Charge Balancing Account Summary</w:t>
        </w:r>
        <w:r w:rsidR="004015D6">
          <w:rPr>
            <w:noProof/>
            <w:webHidden/>
          </w:rPr>
          <w:tab/>
        </w:r>
        <w:r>
          <w:rPr>
            <w:noProof/>
            <w:webHidden/>
          </w:rPr>
          <w:fldChar w:fldCharType="begin"/>
        </w:r>
        <w:r w:rsidR="004015D6">
          <w:rPr>
            <w:noProof/>
            <w:webHidden/>
          </w:rPr>
          <w:instrText xml:space="preserve"> PAGEREF _Toc320624129 \h </w:instrText>
        </w:r>
        <w:r>
          <w:rPr>
            <w:noProof/>
            <w:webHidden/>
          </w:rPr>
        </w:r>
        <w:r>
          <w:rPr>
            <w:noProof/>
            <w:webHidden/>
          </w:rPr>
          <w:fldChar w:fldCharType="separate"/>
        </w:r>
        <w:r w:rsidR="00CE280F">
          <w:rPr>
            <w:noProof/>
            <w:webHidden/>
          </w:rPr>
          <w:t>26</w:t>
        </w:r>
        <w:r>
          <w:rPr>
            <w:noProof/>
            <w:webHidden/>
          </w:rPr>
          <w:fldChar w:fldCharType="end"/>
        </w:r>
      </w:hyperlink>
    </w:p>
    <w:p w:rsidR="004015D6" w:rsidRDefault="005A47AE" w:rsidP="00160CEE">
      <w:pPr>
        <w:pStyle w:val="TableofFigures"/>
        <w:tabs>
          <w:tab w:val="right" w:leader="dot" w:pos="8630"/>
        </w:tabs>
        <w:spacing w:line="360" w:lineRule="auto"/>
        <w:rPr>
          <w:rFonts w:asciiTheme="minorHAnsi" w:eastAsiaTheme="minorEastAsia" w:hAnsiTheme="minorHAnsi" w:cstheme="minorBidi"/>
          <w:noProof/>
          <w:sz w:val="22"/>
          <w:szCs w:val="22"/>
          <w:lang w:eastAsia="en-US"/>
        </w:rPr>
      </w:pPr>
      <w:hyperlink w:anchor="_Toc320624130" w:history="1">
        <w:r w:rsidR="004015D6" w:rsidRPr="005348F9">
          <w:rPr>
            <w:rStyle w:val="Hyperlink"/>
            <w:noProof/>
          </w:rPr>
          <w:t>Table 15:  Portfolio and Sector Cost Effectiveness Summary</w:t>
        </w:r>
        <w:r w:rsidR="004015D6">
          <w:rPr>
            <w:noProof/>
            <w:webHidden/>
          </w:rPr>
          <w:tab/>
        </w:r>
        <w:r>
          <w:rPr>
            <w:noProof/>
            <w:webHidden/>
          </w:rPr>
          <w:fldChar w:fldCharType="begin"/>
        </w:r>
        <w:r w:rsidR="004015D6">
          <w:rPr>
            <w:noProof/>
            <w:webHidden/>
          </w:rPr>
          <w:instrText xml:space="preserve"> PAGEREF _Toc320624130 \h </w:instrText>
        </w:r>
        <w:r>
          <w:rPr>
            <w:noProof/>
            <w:webHidden/>
          </w:rPr>
        </w:r>
        <w:r>
          <w:rPr>
            <w:noProof/>
            <w:webHidden/>
          </w:rPr>
          <w:fldChar w:fldCharType="separate"/>
        </w:r>
        <w:r w:rsidR="00CE280F">
          <w:rPr>
            <w:noProof/>
            <w:webHidden/>
          </w:rPr>
          <w:t>29</w:t>
        </w:r>
        <w:r>
          <w:rPr>
            <w:noProof/>
            <w:webHidden/>
          </w:rPr>
          <w:fldChar w:fldCharType="end"/>
        </w:r>
      </w:hyperlink>
    </w:p>
    <w:p w:rsidR="007F26DB" w:rsidRPr="00B34E9C" w:rsidRDefault="005A47AE" w:rsidP="009B456B">
      <w:pPr>
        <w:pStyle w:val="TOC1"/>
        <w:tabs>
          <w:tab w:val="right" w:leader="dot" w:pos="8630"/>
        </w:tabs>
        <w:rPr>
          <w:rFonts w:eastAsiaTheme="minorEastAsia"/>
          <w:noProof/>
          <w:sz w:val="28"/>
          <w:szCs w:val="28"/>
          <w:lang w:eastAsia="en-US"/>
        </w:rPr>
      </w:pPr>
      <w:r>
        <w:fldChar w:fldCharType="end"/>
      </w:r>
      <w:hyperlink w:anchor="_Toc288484129" w:history="1"/>
    </w:p>
    <w:p w:rsidR="008C6BDB" w:rsidRPr="00B34E9C" w:rsidRDefault="008C6BDB">
      <w:pPr>
        <w:spacing w:after="200" w:line="276" w:lineRule="auto"/>
        <w:rPr>
          <w:b/>
          <w:bCs/>
          <w:kern w:val="32"/>
          <w:sz w:val="32"/>
          <w:szCs w:val="32"/>
        </w:rPr>
      </w:pPr>
      <w:r w:rsidRPr="00B34E9C">
        <w:br w:type="page"/>
      </w:r>
    </w:p>
    <w:p w:rsidR="008C6BDB" w:rsidRPr="005F6583" w:rsidRDefault="008C6BDB" w:rsidP="002D4FB2">
      <w:pPr>
        <w:pStyle w:val="Heading1"/>
        <w:rPr>
          <w:rFonts w:ascii="Times New Roman" w:hAnsi="Times New Roman" w:cs="Times New Roman"/>
        </w:rPr>
      </w:pPr>
      <w:bookmarkStart w:id="3" w:name="_Toc288484120"/>
      <w:bookmarkStart w:id="4" w:name="_Toc289064239"/>
      <w:bookmarkStart w:id="5" w:name="_Toc320526593"/>
      <w:bookmarkEnd w:id="0"/>
      <w:bookmarkEnd w:id="1"/>
      <w:bookmarkEnd w:id="2"/>
      <w:r w:rsidRPr="005F6583">
        <w:rPr>
          <w:rFonts w:ascii="Times New Roman" w:hAnsi="Times New Roman" w:cs="Times New Roman"/>
        </w:rPr>
        <w:t>Introduction</w:t>
      </w:r>
      <w:bookmarkEnd w:id="3"/>
      <w:bookmarkEnd w:id="4"/>
      <w:bookmarkEnd w:id="5"/>
    </w:p>
    <w:p w:rsidR="008C6BDB" w:rsidRPr="00B34E9C" w:rsidRDefault="008C6BDB" w:rsidP="002810D1">
      <w:pPr>
        <w:jc w:val="both"/>
      </w:pPr>
    </w:p>
    <w:p w:rsidR="008C6BDB" w:rsidRPr="00B34E9C" w:rsidRDefault="008C6BDB" w:rsidP="002810D1">
      <w:pPr>
        <w:jc w:val="both"/>
      </w:pPr>
      <w:r w:rsidRPr="00B34E9C">
        <w:t>Pacifi</w:t>
      </w:r>
      <w:r w:rsidR="0043243D">
        <w:t>c Power</w:t>
      </w:r>
      <w:r w:rsidR="00715914">
        <w:t xml:space="preserve"> </w:t>
      </w:r>
      <w:r w:rsidR="00715914" w:rsidRPr="00304CFD">
        <w:t>&amp; Light Company</w:t>
      </w:r>
      <w:r w:rsidRPr="00304CFD">
        <w:t xml:space="preserve"> </w:t>
      </w:r>
      <w:r w:rsidR="00E0147F" w:rsidRPr="00304CFD">
        <w:t>(</w:t>
      </w:r>
      <w:r w:rsidR="00715914" w:rsidRPr="00304CFD">
        <w:t>“Pacific Power</w:t>
      </w:r>
      <w:r w:rsidR="00715914">
        <w:t xml:space="preserve">” </w:t>
      </w:r>
      <w:r w:rsidR="00594CCE" w:rsidRPr="00B34E9C">
        <w:t xml:space="preserve">or </w:t>
      </w:r>
      <w:r w:rsidR="00E0147F" w:rsidRPr="00B34E9C">
        <w:t xml:space="preserve">the “Company”) </w:t>
      </w:r>
      <w:r w:rsidRPr="00B34E9C">
        <w:t>works with its customers to reduce the need for investment in supply side resources and infrastructure by reducing energy and peak consumption through cost-effective</w:t>
      </w:r>
      <w:r w:rsidR="005E4629">
        <w:t>,</w:t>
      </w:r>
      <w:r w:rsidRPr="00B34E9C">
        <w:t xml:space="preserve"> energy efficiency programs. </w:t>
      </w:r>
    </w:p>
    <w:p w:rsidR="008C6BDB" w:rsidRPr="00B34E9C" w:rsidRDefault="008C6BDB" w:rsidP="002810D1">
      <w:pPr>
        <w:jc w:val="both"/>
      </w:pPr>
    </w:p>
    <w:p w:rsidR="008C6BDB" w:rsidRPr="00B34E9C" w:rsidRDefault="00E0147F" w:rsidP="002810D1">
      <w:pPr>
        <w:jc w:val="both"/>
      </w:pPr>
      <w:r w:rsidRPr="00B34E9C">
        <w:t xml:space="preserve">The Company </w:t>
      </w:r>
      <w:r w:rsidR="008C6BDB" w:rsidRPr="00B34E9C">
        <w:t>currently offers six energy efficiency programs</w:t>
      </w:r>
      <w:r w:rsidR="00594CCE" w:rsidRPr="00B34E9C">
        <w:t xml:space="preserve"> in Washington</w:t>
      </w:r>
      <w:r w:rsidR="008C6BDB" w:rsidRPr="00B34E9C">
        <w:t xml:space="preserve"> approved by the Washington Utilities and Transportation Commission (“Commission”)</w:t>
      </w:r>
      <w:r w:rsidR="00594CCE" w:rsidRPr="00B34E9C">
        <w:t>,</w:t>
      </w:r>
      <w:r w:rsidR="0045100F" w:rsidRPr="00B34E9C">
        <w:t xml:space="preserve"> as well as receives energy savings and market transformation benefits through </w:t>
      </w:r>
      <w:r w:rsidR="0093517A">
        <w:t>its</w:t>
      </w:r>
      <w:r w:rsidR="0093517A" w:rsidRPr="00B34E9C">
        <w:t xml:space="preserve"> </w:t>
      </w:r>
      <w:r w:rsidR="0045100F" w:rsidRPr="00B34E9C">
        <w:t>affiliation with the Northwest Energy Efficiency Alliance (“NEEA”)</w:t>
      </w:r>
      <w:r w:rsidRPr="00B34E9C">
        <w:t xml:space="preserve">. The </w:t>
      </w:r>
      <w:r w:rsidR="008C6BDB" w:rsidRPr="00B34E9C">
        <w:t>expenditures associated with these programs</w:t>
      </w:r>
      <w:r w:rsidRPr="00B34E9C">
        <w:t xml:space="preserve"> are</w:t>
      </w:r>
      <w:r w:rsidR="008C6BDB" w:rsidRPr="00B34E9C">
        <w:t xml:space="preserve"> recovered through the System Benefits Charge, Schedule 191</w:t>
      </w:r>
      <w:r w:rsidR="00594CCE" w:rsidRPr="00B34E9C">
        <w:t xml:space="preserve"> (“Schedule 191”)</w:t>
      </w:r>
      <w:r w:rsidR="008C6BDB" w:rsidRPr="00B34E9C">
        <w:t>.</w:t>
      </w:r>
    </w:p>
    <w:p w:rsidR="008C6BDB" w:rsidRPr="00B34E9C" w:rsidRDefault="008C6BDB" w:rsidP="002810D1">
      <w:pPr>
        <w:jc w:val="both"/>
      </w:pPr>
    </w:p>
    <w:p w:rsidR="00E0147F" w:rsidRPr="00B34E9C" w:rsidRDefault="008C6BDB" w:rsidP="00E0147F">
      <w:pPr>
        <w:jc w:val="both"/>
      </w:pPr>
      <w:r w:rsidRPr="00B34E9C">
        <w:t xml:space="preserve">This report provides </w:t>
      </w:r>
      <w:r w:rsidRPr="00197E7A">
        <w:t>details on program results</w:t>
      </w:r>
      <w:r w:rsidR="00197E7A">
        <w:t xml:space="preserve">, expenditures and </w:t>
      </w:r>
      <w:r w:rsidRPr="00197E7A">
        <w:t xml:space="preserve">Schedule 191 revenue for the performance period </w:t>
      </w:r>
      <w:proofErr w:type="gramStart"/>
      <w:r w:rsidR="005E4629" w:rsidRPr="00197E7A">
        <w:t xml:space="preserve">between </w:t>
      </w:r>
      <w:r w:rsidRPr="00197E7A">
        <w:t>January</w:t>
      </w:r>
      <w:r w:rsidRPr="00B34E9C">
        <w:t xml:space="preserve"> 1, 20</w:t>
      </w:r>
      <w:r w:rsidR="00D506E0" w:rsidRPr="00B34E9C">
        <w:t>1</w:t>
      </w:r>
      <w:r w:rsidR="001F215E">
        <w:t>1</w:t>
      </w:r>
      <w:r w:rsidRPr="00B34E9C">
        <w:t xml:space="preserve"> through December 31, 20</w:t>
      </w:r>
      <w:r w:rsidR="00D506E0" w:rsidRPr="00B34E9C">
        <w:t>1</w:t>
      </w:r>
      <w:r w:rsidR="001F215E">
        <w:t>1</w:t>
      </w:r>
      <w:proofErr w:type="gramEnd"/>
      <w:r w:rsidRPr="00B34E9C">
        <w:t xml:space="preserve">. </w:t>
      </w:r>
      <w:r w:rsidR="00E0147F" w:rsidRPr="00B34E9C">
        <w:t>As shown in Table 1 below, in 201</w:t>
      </w:r>
      <w:r w:rsidR="001F215E">
        <w:t>1</w:t>
      </w:r>
      <w:r w:rsidR="00E0147F" w:rsidRPr="00B34E9C">
        <w:t xml:space="preserve"> the Company acquired </w:t>
      </w:r>
      <w:proofErr w:type="gramStart"/>
      <w:r w:rsidR="001A0D41" w:rsidRPr="00B34E9C">
        <w:t>4</w:t>
      </w:r>
      <w:r w:rsidR="001A0D41">
        <w:t>9</w:t>
      </w:r>
      <w:r w:rsidR="001A0D41" w:rsidRPr="00B34E9C">
        <w:t>,</w:t>
      </w:r>
      <w:r w:rsidR="001A0D41">
        <w:t>983</w:t>
      </w:r>
      <w:r w:rsidR="001A0D41" w:rsidRPr="00B34E9C">
        <w:t>,</w:t>
      </w:r>
      <w:r w:rsidR="001A0D41">
        <w:t>694</w:t>
      </w:r>
      <w:r w:rsidR="001A0D41" w:rsidRPr="00B34E9C">
        <w:rPr>
          <w:color w:val="000000"/>
        </w:rPr>
        <w:t xml:space="preserve"> </w:t>
      </w:r>
      <w:r w:rsidR="001A0D41" w:rsidRPr="00B34E9C">
        <w:t xml:space="preserve">kWh/year </w:t>
      </w:r>
      <w:r w:rsidR="001A0D41">
        <w:t xml:space="preserve">of </w:t>
      </w:r>
      <w:r w:rsidR="00E0147F" w:rsidRPr="00B34E9C">
        <w:t>resources through its energy efficiency program activity</w:t>
      </w:r>
      <w:proofErr w:type="gramEnd"/>
      <w:r w:rsidR="00E0147F" w:rsidRPr="00B34E9C">
        <w:t xml:space="preserve"> or </w:t>
      </w:r>
      <w:r w:rsidR="001A0D41">
        <w:t xml:space="preserve">a total of </w:t>
      </w:r>
      <w:r w:rsidR="009B138E">
        <w:t>5</w:t>
      </w:r>
      <w:r w:rsidR="00E0147F" w:rsidRPr="00B34E9C">
        <w:t>.</w:t>
      </w:r>
      <w:r w:rsidR="00976ECA" w:rsidRPr="00B34E9C">
        <w:t>7</w:t>
      </w:r>
      <w:r w:rsidR="009B138E">
        <w:t>1</w:t>
      </w:r>
      <w:r w:rsidR="00E0147F" w:rsidRPr="00B34E9C">
        <w:t xml:space="preserve"> aMW</w:t>
      </w:r>
      <w:r w:rsidR="00E0147F" w:rsidRPr="00B34E9C">
        <w:rPr>
          <w:b/>
          <w:bCs/>
        </w:rPr>
        <w:t xml:space="preserve"> </w:t>
      </w:r>
      <w:r w:rsidR="00E0147F" w:rsidRPr="00B34E9C">
        <w:t>in Washington (at generation)</w:t>
      </w:r>
      <w:r w:rsidR="00493079">
        <w:t>.</w:t>
      </w:r>
      <w:r w:rsidR="00C47E0D">
        <w:rPr>
          <w:rStyle w:val="FootnoteReference"/>
        </w:rPr>
        <w:footnoteReference w:id="1"/>
      </w:r>
      <w:r w:rsidR="00E0147F" w:rsidRPr="00B34E9C">
        <w:t xml:space="preserve">  </w:t>
      </w:r>
      <w:r w:rsidR="00E0147F" w:rsidRPr="00304CFD">
        <w:t>Overall</w:t>
      </w:r>
      <w:r w:rsidR="00B8407B" w:rsidRPr="00304CFD">
        <w:t>,</w:t>
      </w:r>
      <w:r w:rsidR="00E0147F" w:rsidRPr="00304CFD">
        <w:t xml:space="preserve"> the </w:t>
      </w:r>
      <w:r w:rsidR="00521757">
        <w:t xml:space="preserve">total portfolio performance was cost effective at a benefit to cost ratio of </w:t>
      </w:r>
      <w:r w:rsidR="00F6447B" w:rsidRPr="00304CFD">
        <w:t>2.74</w:t>
      </w:r>
      <w:r w:rsidR="00493079">
        <w:t>.</w:t>
      </w:r>
      <w:r w:rsidR="00715914" w:rsidRPr="00304CFD">
        <w:rPr>
          <w:rStyle w:val="FootnoteReference"/>
        </w:rPr>
        <w:footnoteReference w:id="2"/>
      </w:r>
      <w:r w:rsidR="00E0147F" w:rsidRPr="00B34E9C">
        <w:t xml:space="preserve"> </w:t>
      </w:r>
    </w:p>
    <w:p w:rsidR="008C6BDB" w:rsidRPr="00B34E9C" w:rsidRDefault="008C6BDB" w:rsidP="002810D1">
      <w:pPr>
        <w:jc w:val="both"/>
      </w:pPr>
    </w:p>
    <w:p w:rsidR="008C6BDB" w:rsidRPr="00B34E9C" w:rsidRDefault="008C6BDB" w:rsidP="002810D1">
      <w:pPr>
        <w:jc w:val="both"/>
      </w:pPr>
    </w:p>
    <w:p w:rsidR="008C6BDB" w:rsidRPr="00B34E9C" w:rsidRDefault="00A32AFB" w:rsidP="00A32AFB">
      <w:pPr>
        <w:pStyle w:val="Caption"/>
        <w:rPr>
          <w:b w:val="0"/>
          <w:bCs w:val="0"/>
        </w:rPr>
      </w:pPr>
      <w:bookmarkStart w:id="6" w:name="_Toc320624116"/>
      <w:r>
        <w:t xml:space="preserve">Table </w:t>
      </w:r>
      <w:fldSimple w:instr=" SEQ Table \* ARABIC ">
        <w:r w:rsidR="00CE280F">
          <w:rPr>
            <w:noProof/>
          </w:rPr>
          <w:t>1</w:t>
        </w:r>
      </w:fldSimple>
      <w:r>
        <w:t xml:space="preserve">:  2011 Total Portfolio </w:t>
      </w:r>
      <w:proofErr w:type="gramStart"/>
      <w:r>
        <w:t>Performance</w:t>
      </w:r>
      <w:bookmarkEnd w:id="6"/>
      <w:proofErr w:type="gramEnd"/>
    </w:p>
    <w:p w:rsidR="008C6BDB" w:rsidRPr="00B34E9C" w:rsidRDefault="00E40049" w:rsidP="0062137B">
      <w:pPr>
        <w:jc w:val="center"/>
      </w:pPr>
      <w:r>
        <w:object w:dxaOrig="9938" w:dyaOrig="29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6pt;height:146.7pt" o:ole="">
            <v:imagedata r:id="rId7" o:title=""/>
          </v:shape>
          <o:OLEObject Type="Embed" ProgID="Excel.Sheet.12" ShapeID="_x0000_i1025" DrawAspect="Content" ObjectID="_1394628385" r:id="rId8"/>
        </w:object>
      </w:r>
    </w:p>
    <w:p w:rsidR="008C6BDB" w:rsidRPr="00B34E9C" w:rsidRDefault="008C6BDB">
      <w:pPr>
        <w:jc w:val="both"/>
      </w:pPr>
    </w:p>
    <w:p w:rsidR="00DB597D" w:rsidRPr="00B34E9C" w:rsidRDefault="00DB597D">
      <w:pPr>
        <w:jc w:val="both"/>
      </w:pPr>
    </w:p>
    <w:p w:rsidR="000825A1" w:rsidRPr="00B34E9C" w:rsidRDefault="000825A1">
      <w:pPr>
        <w:jc w:val="both"/>
      </w:pPr>
    </w:p>
    <w:p w:rsidR="008C6BDB" w:rsidRPr="00B34E9C" w:rsidRDefault="008C6BDB">
      <w:pPr>
        <w:jc w:val="both"/>
      </w:pPr>
    </w:p>
    <w:p w:rsidR="008C6BDB" w:rsidRPr="00B34E9C" w:rsidRDefault="008C6BDB">
      <w:pPr>
        <w:spacing w:after="200" w:line="276" w:lineRule="auto"/>
        <w:jc w:val="both"/>
        <w:rPr>
          <w:b/>
          <w:bCs/>
          <w:u w:val="single"/>
        </w:rPr>
      </w:pPr>
      <w:r w:rsidRPr="00B34E9C">
        <w:rPr>
          <w:b/>
          <w:bCs/>
          <w:u w:val="single"/>
        </w:rPr>
        <w:br w:type="page"/>
      </w:r>
    </w:p>
    <w:p w:rsidR="001F215E" w:rsidRPr="0059332B" w:rsidRDefault="00FB587C" w:rsidP="002D4FB2">
      <w:pPr>
        <w:pStyle w:val="Heading1"/>
        <w:rPr>
          <w:rFonts w:ascii="Times New Roman" w:hAnsi="Times New Roman" w:cs="Times New Roman"/>
        </w:rPr>
      </w:pPr>
      <w:bookmarkStart w:id="7" w:name="_Toc288484121"/>
      <w:bookmarkStart w:id="8" w:name="_Toc289064240"/>
      <w:bookmarkStart w:id="9" w:name="_Toc320526594"/>
      <w:r w:rsidRPr="00FB587C">
        <w:rPr>
          <w:rFonts w:ascii="Times New Roman" w:hAnsi="Times New Roman" w:cs="Times New Roman"/>
        </w:rPr>
        <w:t>Advisory Group Meetings and Communications</w:t>
      </w:r>
      <w:bookmarkEnd w:id="7"/>
      <w:bookmarkEnd w:id="8"/>
      <w:bookmarkEnd w:id="9"/>
    </w:p>
    <w:p w:rsidR="001F215E" w:rsidRPr="00D8165F" w:rsidRDefault="001F215E" w:rsidP="001F215E">
      <w:pPr>
        <w:jc w:val="both"/>
      </w:pPr>
    </w:p>
    <w:p w:rsidR="001F215E" w:rsidRPr="00D8165F" w:rsidRDefault="008F302F" w:rsidP="001F215E">
      <w:pPr>
        <w:jc w:val="both"/>
      </w:pPr>
      <w:r>
        <w:t xml:space="preserve">Consistent with the conditions set </w:t>
      </w:r>
      <w:r w:rsidR="00715914">
        <w:t xml:space="preserve">forth </w:t>
      </w:r>
      <w:r>
        <w:t xml:space="preserve">in </w:t>
      </w:r>
      <w:r w:rsidR="00715914">
        <w:t>Docket UE-100170, Order</w:t>
      </w:r>
      <w:r w:rsidR="00C12DAB">
        <w:t xml:space="preserve"> 02</w:t>
      </w:r>
      <w:proofErr w:type="gramStart"/>
      <w:r w:rsidR="00C12DAB">
        <w:t>,</w:t>
      </w:r>
      <w:r>
        <w:t xml:space="preserve">  </w:t>
      </w:r>
      <w:r w:rsidR="001F215E" w:rsidRPr="00D8165F">
        <w:t>Pacifi</w:t>
      </w:r>
      <w:r w:rsidR="0043243D">
        <w:t>c</w:t>
      </w:r>
      <w:proofErr w:type="gramEnd"/>
      <w:r w:rsidR="0043243D">
        <w:t xml:space="preserve"> Power</w:t>
      </w:r>
      <w:r w:rsidR="001F215E" w:rsidRPr="00D8165F">
        <w:t xml:space="preserve"> </w:t>
      </w:r>
      <w:r>
        <w:t xml:space="preserve">seeks </w:t>
      </w:r>
      <w:r w:rsidR="00493079">
        <w:t xml:space="preserve">input </w:t>
      </w:r>
      <w:r>
        <w:t xml:space="preserve">regarding its </w:t>
      </w:r>
      <w:r w:rsidR="00715914">
        <w:t xml:space="preserve">energy efficiency </w:t>
      </w:r>
      <w:r>
        <w:t xml:space="preserve">programs from </w:t>
      </w:r>
      <w:r w:rsidR="001F215E" w:rsidRPr="00D8165F">
        <w:t>the Washington Demand-side Management Advisory Group (“DSM Advisory Group”)</w:t>
      </w:r>
      <w:r>
        <w:t>.</w:t>
      </w:r>
      <w:r w:rsidR="001F215E" w:rsidRPr="00D8165F">
        <w:t xml:space="preserve"> </w:t>
      </w:r>
      <w:r>
        <w:t>T</w:t>
      </w:r>
      <w:r w:rsidR="00111899">
        <w:t>h</w:t>
      </w:r>
      <w:r>
        <w:t xml:space="preserve">is group </w:t>
      </w:r>
      <w:r w:rsidR="001F215E" w:rsidRPr="00D8165F">
        <w:t>includes representatives from a variety of constituent organizations</w:t>
      </w:r>
      <w:r>
        <w:t>.</w:t>
      </w:r>
      <w:r w:rsidR="001F215E" w:rsidRPr="00D8165F">
        <w:t xml:space="preserve"> Pacifi</w:t>
      </w:r>
      <w:r w:rsidR="0043243D">
        <w:t>c Power</w:t>
      </w:r>
      <w:r w:rsidR="001F215E" w:rsidRPr="00D8165F">
        <w:t xml:space="preserve"> met and/or communicated with the DSM Advisory Group </w:t>
      </w:r>
      <w:r>
        <w:t xml:space="preserve">throughout </w:t>
      </w:r>
      <w:r w:rsidR="001F215E" w:rsidRPr="00D8165F">
        <w:t>2011</w:t>
      </w:r>
      <w:r w:rsidR="002F06E4">
        <w:t xml:space="preserve"> related to the following matters:</w:t>
      </w:r>
      <w:bookmarkStart w:id="10" w:name="_Toc288484122"/>
      <w:bookmarkStart w:id="11" w:name="_Toc289064241"/>
    </w:p>
    <w:p w:rsidR="001F215E" w:rsidRPr="00D8165F" w:rsidRDefault="001F215E" w:rsidP="001F215E">
      <w:pPr>
        <w:jc w:val="both"/>
      </w:pPr>
    </w:p>
    <w:p w:rsidR="001F215E" w:rsidRDefault="002F06E4" w:rsidP="001F215E">
      <w:pPr>
        <w:pStyle w:val="ListParagraph"/>
        <w:ind w:left="360"/>
        <w:rPr>
          <w:u w:val="single"/>
        </w:rPr>
      </w:pPr>
      <w:r>
        <w:rPr>
          <w:u w:val="single"/>
        </w:rPr>
        <w:t xml:space="preserve"> </w:t>
      </w:r>
      <w:r w:rsidR="00C12DAB">
        <w:rPr>
          <w:u w:val="single"/>
        </w:rPr>
        <w:t xml:space="preserve">On </w:t>
      </w:r>
      <w:r w:rsidR="001F215E">
        <w:rPr>
          <w:u w:val="single"/>
        </w:rPr>
        <w:t>March 18, 2011</w:t>
      </w:r>
      <w:r w:rsidR="00C32C33">
        <w:rPr>
          <w:u w:val="single"/>
        </w:rPr>
        <w:t>:</w:t>
      </w:r>
      <w:r w:rsidRPr="002F06E4">
        <w:t xml:space="preserve"> </w:t>
      </w:r>
    </w:p>
    <w:p w:rsidR="007C43B6" w:rsidRPr="00F36004" w:rsidRDefault="007C43B6" w:rsidP="007C43B6">
      <w:pPr>
        <w:pStyle w:val="ListParagraph"/>
        <w:numPr>
          <w:ilvl w:val="1"/>
          <w:numId w:val="31"/>
        </w:numPr>
        <w:ind w:left="720"/>
        <w:jc w:val="both"/>
      </w:pPr>
      <w:r>
        <w:t>The Company provided an overview of the performance of its energy efficiency programs in 2010</w:t>
      </w:r>
      <w:r w:rsidR="00C32C33">
        <w:t>;</w:t>
      </w:r>
    </w:p>
    <w:p w:rsidR="007C43B6" w:rsidRPr="00F36004" w:rsidRDefault="007C43B6" w:rsidP="007C43B6">
      <w:pPr>
        <w:pStyle w:val="ListParagraph"/>
        <w:numPr>
          <w:ilvl w:val="1"/>
          <w:numId w:val="31"/>
        </w:numPr>
        <w:ind w:left="720"/>
        <w:jc w:val="both"/>
      </w:pPr>
      <w:r>
        <w:t xml:space="preserve">An overview of how the </w:t>
      </w:r>
      <w:r w:rsidR="00DA6986">
        <w:t>C</w:t>
      </w:r>
      <w:r>
        <w:t xml:space="preserve">ompany </w:t>
      </w:r>
      <w:r w:rsidR="002F06E4" w:rsidRPr="00CF174D">
        <w:t>will</w:t>
      </w:r>
      <w:r>
        <w:t xml:space="preserve"> deliver on its energy efficiency goals in Washington</w:t>
      </w:r>
      <w:r w:rsidR="00CF174D">
        <w:t xml:space="preserve"> through a reorganization of </w:t>
      </w:r>
      <w:r w:rsidR="00493079">
        <w:t xml:space="preserve">the company’s </w:t>
      </w:r>
      <w:r w:rsidR="00CF174D">
        <w:t>Demand-side Management Group</w:t>
      </w:r>
      <w:r w:rsidR="00C32C33">
        <w:t>;</w:t>
      </w:r>
    </w:p>
    <w:p w:rsidR="007C43B6" w:rsidRPr="00F36004" w:rsidRDefault="007C43B6" w:rsidP="007C43B6">
      <w:pPr>
        <w:pStyle w:val="ListParagraph"/>
        <w:numPr>
          <w:ilvl w:val="1"/>
          <w:numId w:val="31"/>
        </w:numPr>
        <w:ind w:left="720"/>
        <w:jc w:val="both"/>
      </w:pPr>
      <w:r>
        <w:t xml:space="preserve">An introduction  </w:t>
      </w:r>
      <w:r w:rsidR="002F06E4">
        <w:t xml:space="preserve">to </w:t>
      </w:r>
      <w:r>
        <w:t xml:space="preserve">the </w:t>
      </w:r>
      <w:r w:rsidR="002F06E4" w:rsidRPr="00160CEE">
        <w:t>W</w:t>
      </w:r>
      <w:r w:rsidRPr="008B3498">
        <w:t>attsmart</w:t>
      </w:r>
      <w:r>
        <w:t xml:space="preserve"> energy efficiency communications campaign intended to increase awareness of</w:t>
      </w:r>
      <w:r w:rsidR="002F06E4">
        <w:t>,</w:t>
      </w:r>
      <w:r>
        <w:t xml:space="preserve"> and participation in</w:t>
      </w:r>
      <w:r w:rsidR="002F06E4">
        <w:t>,</w:t>
      </w:r>
      <w:r>
        <w:t xml:space="preserve"> the Company’s programs</w:t>
      </w:r>
      <w:r w:rsidR="00C32C33">
        <w:t>;</w:t>
      </w:r>
      <w:r w:rsidRPr="00F36004">
        <w:t xml:space="preserve"> </w:t>
      </w:r>
    </w:p>
    <w:p w:rsidR="007C43B6" w:rsidRDefault="007C43B6" w:rsidP="007C43B6">
      <w:pPr>
        <w:pStyle w:val="ListParagraph"/>
        <w:numPr>
          <w:ilvl w:val="1"/>
          <w:numId w:val="31"/>
        </w:numPr>
        <w:ind w:left="720"/>
        <w:jc w:val="both"/>
      </w:pPr>
      <w:r>
        <w:t>A discussion of upcoming work as required by Initiative 937 (</w:t>
      </w:r>
      <w:r w:rsidR="00C47E0D">
        <w:t>“</w:t>
      </w:r>
      <w:r>
        <w:t>I-937</w:t>
      </w:r>
      <w:r w:rsidR="00C47E0D">
        <w:t>”</w:t>
      </w:r>
      <w:r>
        <w:t>)</w:t>
      </w:r>
      <w:r w:rsidR="00C32C33">
        <w:t>;</w:t>
      </w:r>
    </w:p>
    <w:p w:rsidR="00A0422D" w:rsidRDefault="007C43B6">
      <w:pPr>
        <w:pStyle w:val="ListParagraph"/>
        <w:numPr>
          <w:ilvl w:val="1"/>
          <w:numId w:val="31"/>
        </w:numPr>
      </w:pPr>
      <w:r>
        <w:t xml:space="preserve">An update on the </w:t>
      </w:r>
      <w:r w:rsidR="00DA6986">
        <w:t>Distribution Efficiency Initiative (</w:t>
      </w:r>
      <w:r w:rsidR="00C47E0D">
        <w:t>“</w:t>
      </w:r>
      <w:r w:rsidRPr="00F36004">
        <w:t>DEI</w:t>
      </w:r>
      <w:r w:rsidR="00C47E0D">
        <w:t>”</w:t>
      </w:r>
      <w:r w:rsidR="00DA6986">
        <w:t>)</w:t>
      </w:r>
      <w:r w:rsidRPr="00F36004">
        <w:t xml:space="preserve"> </w:t>
      </w:r>
      <w:r>
        <w:t>s</w:t>
      </w:r>
      <w:r w:rsidRPr="00F36004">
        <w:t>tudy</w:t>
      </w:r>
      <w:r>
        <w:t xml:space="preserve"> being conducted by the </w:t>
      </w:r>
      <w:r w:rsidR="008B3498">
        <w:t>C</w:t>
      </w:r>
      <w:r>
        <w:t xml:space="preserve">ompany to assess DEI potential in its Washington service </w:t>
      </w:r>
      <w:r w:rsidR="00493079">
        <w:t>territory</w:t>
      </w:r>
      <w:r w:rsidR="00F427B5">
        <w:t>.</w:t>
      </w:r>
    </w:p>
    <w:p w:rsidR="007C43B6" w:rsidRDefault="007C43B6" w:rsidP="007C43B6">
      <w:pPr>
        <w:pStyle w:val="ListParagraph"/>
        <w:numPr>
          <w:ilvl w:val="1"/>
          <w:numId w:val="31"/>
        </w:numPr>
        <w:ind w:left="720"/>
        <w:jc w:val="both"/>
      </w:pPr>
      <w:r>
        <w:t xml:space="preserve">An update on </w:t>
      </w:r>
      <w:r w:rsidR="00C32C33">
        <w:t xml:space="preserve">the Company’s </w:t>
      </w:r>
      <w:r>
        <w:t xml:space="preserve">program evaluations </w:t>
      </w:r>
      <w:r w:rsidR="00C32C33">
        <w:t xml:space="preserve"> for</w:t>
      </w:r>
      <w:r>
        <w:t xml:space="preserve"> </w:t>
      </w:r>
      <w:r w:rsidRPr="00F36004">
        <w:t>2010</w:t>
      </w:r>
      <w:r w:rsidR="00C32C33">
        <w:t>;</w:t>
      </w:r>
    </w:p>
    <w:p w:rsidR="007C43B6" w:rsidRDefault="007C43B6" w:rsidP="007C43B6">
      <w:pPr>
        <w:pStyle w:val="ListParagraph"/>
        <w:numPr>
          <w:ilvl w:val="1"/>
          <w:numId w:val="31"/>
        </w:numPr>
        <w:ind w:left="720"/>
        <w:jc w:val="both"/>
      </w:pPr>
      <w:r>
        <w:t>A</w:t>
      </w:r>
      <w:r w:rsidR="00C32C33">
        <w:t>n</w:t>
      </w:r>
      <w:r w:rsidR="00DA6986">
        <w:t xml:space="preserve"> </w:t>
      </w:r>
      <w:r>
        <w:t xml:space="preserve">overview of the </w:t>
      </w:r>
      <w:r w:rsidR="00C47E0D">
        <w:t>Evaluation, Measurement and Verification (“</w:t>
      </w:r>
      <w:r w:rsidRPr="00F36004">
        <w:t>EM&amp;V</w:t>
      </w:r>
      <w:r w:rsidR="00C47E0D">
        <w:t>”)</w:t>
      </w:r>
      <w:r w:rsidRPr="00F36004">
        <w:t xml:space="preserve"> framework</w:t>
      </w:r>
      <w:r>
        <w:t xml:space="preserve"> the Company uses </w:t>
      </w:r>
      <w:r w:rsidR="002F06E4">
        <w:t xml:space="preserve">when </w:t>
      </w:r>
      <w:r>
        <w:t>evaluating its programs</w:t>
      </w:r>
      <w:r w:rsidR="00C32C33">
        <w:t xml:space="preserve">; </w:t>
      </w:r>
    </w:p>
    <w:p w:rsidR="007C43B6" w:rsidRPr="00F36004" w:rsidRDefault="007C43B6" w:rsidP="007C43B6">
      <w:pPr>
        <w:pStyle w:val="ListParagraph"/>
        <w:numPr>
          <w:ilvl w:val="1"/>
          <w:numId w:val="31"/>
        </w:numPr>
        <w:ind w:left="720"/>
        <w:jc w:val="both"/>
      </w:pPr>
      <w:r>
        <w:t xml:space="preserve">A discussion </w:t>
      </w:r>
      <w:r w:rsidR="00C32C33">
        <w:t xml:space="preserve">of </w:t>
      </w:r>
      <w:r>
        <w:t xml:space="preserve">changes being </w:t>
      </w:r>
      <w:r w:rsidRPr="00CF174D">
        <w:t xml:space="preserve">assessed </w:t>
      </w:r>
      <w:r>
        <w:t xml:space="preserve">for the </w:t>
      </w:r>
      <w:r w:rsidRPr="00F36004">
        <w:t>Home Energy Savings</w:t>
      </w:r>
      <w:r>
        <w:t xml:space="preserve"> program and the </w:t>
      </w:r>
      <w:r w:rsidRPr="00F36004">
        <w:t xml:space="preserve">Energy FinAnswer </w:t>
      </w:r>
      <w:r>
        <w:t>program</w:t>
      </w:r>
      <w:r w:rsidR="00C32C33">
        <w:t>; and</w:t>
      </w:r>
    </w:p>
    <w:p w:rsidR="007C43B6" w:rsidRPr="00F36004" w:rsidRDefault="007C43B6" w:rsidP="007C43B6">
      <w:pPr>
        <w:pStyle w:val="ListParagraph"/>
        <w:numPr>
          <w:ilvl w:val="1"/>
          <w:numId w:val="31"/>
        </w:numPr>
        <w:ind w:left="720"/>
        <w:jc w:val="both"/>
      </w:pPr>
      <w:r>
        <w:t xml:space="preserve">A discussion </w:t>
      </w:r>
      <w:r w:rsidR="00C32C33">
        <w:t xml:space="preserve">of </w:t>
      </w:r>
      <w:r>
        <w:t>n</w:t>
      </w:r>
      <w:r w:rsidRPr="00F36004">
        <w:t xml:space="preserve">ew </w:t>
      </w:r>
      <w:r w:rsidR="00C32C33">
        <w:t xml:space="preserve">energy efficiency </w:t>
      </w:r>
      <w:r>
        <w:t>p</w:t>
      </w:r>
      <w:r w:rsidRPr="00F36004">
        <w:t>rogram</w:t>
      </w:r>
      <w:r>
        <w:t>s being considered by the Company</w:t>
      </w:r>
      <w:r w:rsidR="00C32C33">
        <w:t>.</w:t>
      </w:r>
    </w:p>
    <w:p w:rsidR="001F215E" w:rsidRDefault="001F215E" w:rsidP="001F215E">
      <w:pPr>
        <w:pStyle w:val="ListParagraph"/>
        <w:ind w:left="360"/>
        <w:rPr>
          <w:u w:val="single"/>
        </w:rPr>
      </w:pPr>
    </w:p>
    <w:p w:rsidR="001F215E" w:rsidRPr="00D8165F" w:rsidRDefault="00C32C33" w:rsidP="001F215E">
      <w:pPr>
        <w:pStyle w:val="ListParagraph"/>
        <w:ind w:left="360"/>
        <w:rPr>
          <w:u w:val="single"/>
        </w:rPr>
      </w:pPr>
      <w:r>
        <w:rPr>
          <w:u w:val="single"/>
        </w:rPr>
        <w:t xml:space="preserve">On </w:t>
      </w:r>
      <w:r w:rsidR="001F215E" w:rsidRPr="00D8165F">
        <w:rPr>
          <w:u w:val="single"/>
        </w:rPr>
        <w:t>August 4, 2011</w:t>
      </w:r>
      <w:r>
        <w:rPr>
          <w:u w:val="single"/>
        </w:rPr>
        <w:t>:</w:t>
      </w:r>
      <w:r w:rsidR="001F215E" w:rsidRPr="00D8165F">
        <w:rPr>
          <w:u w:val="single"/>
        </w:rPr>
        <w:t xml:space="preserve"> </w:t>
      </w:r>
    </w:p>
    <w:p w:rsidR="001F215E" w:rsidRPr="00D8165F" w:rsidRDefault="001F215E" w:rsidP="001F215E">
      <w:pPr>
        <w:pStyle w:val="ListParagraph"/>
        <w:numPr>
          <w:ilvl w:val="1"/>
          <w:numId w:val="31"/>
        </w:numPr>
        <w:ind w:left="720"/>
        <w:jc w:val="both"/>
      </w:pPr>
      <w:r w:rsidRPr="00D8165F">
        <w:t xml:space="preserve">A discussion </w:t>
      </w:r>
      <w:r w:rsidR="00C32C33">
        <w:t>of</w:t>
      </w:r>
      <w:r w:rsidRPr="00D8165F">
        <w:t xml:space="preserve"> the Energy Education in Schools program, stakeholder concerns and possible options for 2012</w:t>
      </w:r>
      <w:r w:rsidR="007C43B6">
        <w:t xml:space="preserve"> </w:t>
      </w:r>
      <w:r w:rsidRPr="00D8165F">
        <w:t>-</w:t>
      </w:r>
      <w:r w:rsidR="007C43B6">
        <w:t xml:space="preserve"> </w:t>
      </w:r>
      <w:r w:rsidRPr="00D8165F">
        <w:t>2013</w:t>
      </w:r>
      <w:r w:rsidR="00C32C33">
        <w:t xml:space="preserve">; </w:t>
      </w:r>
    </w:p>
    <w:p w:rsidR="001F215E" w:rsidRPr="00D8165F" w:rsidRDefault="001F215E" w:rsidP="001F215E">
      <w:pPr>
        <w:pStyle w:val="ListParagraph"/>
        <w:numPr>
          <w:ilvl w:val="1"/>
          <w:numId w:val="31"/>
        </w:numPr>
        <w:ind w:left="720"/>
        <w:jc w:val="both"/>
      </w:pPr>
      <w:r w:rsidRPr="00D8165F">
        <w:t>An overview of proposed changes to the Home Energy Savings Program</w:t>
      </w:r>
      <w:r w:rsidR="00C32C33">
        <w:t>;</w:t>
      </w:r>
    </w:p>
    <w:p w:rsidR="001F215E" w:rsidRPr="00D8165F" w:rsidRDefault="00C32C33" w:rsidP="001F215E">
      <w:pPr>
        <w:pStyle w:val="ListParagraph"/>
        <w:numPr>
          <w:ilvl w:val="1"/>
          <w:numId w:val="31"/>
        </w:numPr>
        <w:ind w:left="720"/>
        <w:jc w:val="both"/>
      </w:pPr>
      <w:r>
        <w:t xml:space="preserve">A discussion of </w:t>
      </w:r>
      <w:r w:rsidR="001F215E" w:rsidRPr="00D8165F">
        <w:t>I</w:t>
      </w:r>
      <w:r w:rsidR="00C47E0D">
        <w:t>-</w:t>
      </w:r>
      <w:r w:rsidR="001F215E" w:rsidRPr="00D8165F">
        <w:t>937 milestones and work schedule</w:t>
      </w:r>
      <w:r w:rsidR="0086342D">
        <w:t>s;</w:t>
      </w:r>
    </w:p>
    <w:p w:rsidR="001F215E" w:rsidRPr="00D8165F" w:rsidRDefault="001F215E" w:rsidP="001F215E">
      <w:pPr>
        <w:pStyle w:val="ListParagraph"/>
        <w:numPr>
          <w:ilvl w:val="1"/>
          <w:numId w:val="31"/>
        </w:numPr>
        <w:ind w:left="720"/>
        <w:jc w:val="both"/>
      </w:pPr>
      <w:r w:rsidRPr="00D8165F">
        <w:t xml:space="preserve">An update on  the evaluation, measurement, and verification (EM&amp;V) framework outline describing how the Company intends to conduct </w:t>
      </w:r>
      <w:r w:rsidR="0086342D">
        <w:t xml:space="preserve">its </w:t>
      </w:r>
      <w:r w:rsidRPr="00D8165F">
        <w:t>EM&amp;V activities</w:t>
      </w:r>
      <w:r w:rsidR="0086342D">
        <w:t>; and</w:t>
      </w:r>
    </w:p>
    <w:p w:rsidR="001F215E" w:rsidRPr="00D8165F" w:rsidRDefault="0086342D" w:rsidP="001F215E">
      <w:pPr>
        <w:pStyle w:val="ListParagraph"/>
        <w:numPr>
          <w:ilvl w:val="1"/>
          <w:numId w:val="31"/>
        </w:numPr>
        <w:ind w:left="720"/>
        <w:jc w:val="both"/>
      </w:pPr>
      <w:r>
        <w:t>An o</w:t>
      </w:r>
      <w:r w:rsidR="001F215E" w:rsidRPr="00D8165F">
        <w:t xml:space="preserve">verview of the potential </w:t>
      </w:r>
      <w:r w:rsidR="001F215E" w:rsidRPr="00CF174D">
        <w:t>assessment</w:t>
      </w:r>
      <w:r w:rsidR="00CF174D">
        <w:t xml:space="preserve"> and</w:t>
      </w:r>
      <w:r w:rsidR="001F215E" w:rsidRPr="00CF174D">
        <w:t xml:space="preserve"> </w:t>
      </w:r>
      <w:r w:rsidR="008F302F" w:rsidRPr="00CF174D">
        <w:t>Integrated Resource Plan (</w:t>
      </w:r>
      <w:r w:rsidR="00C47E0D" w:rsidRPr="00CF174D">
        <w:t>“</w:t>
      </w:r>
      <w:r w:rsidR="001F215E" w:rsidRPr="00CF174D">
        <w:t>IRP</w:t>
      </w:r>
      <w:r w:rsidR="00C47E0D" w:rsidRPr="00CF174D">
        <w:t>”</w:t>
      </w:r>
      <w:r w:rsidR="008F302F" w:rsidRPr="00CF174D">
        <w:t>)</w:t>
      </w:r>
      <w:r w:rsidR="001F215E" w:rsidRPr="00CF174D">
        <w:t xml:space="preserve"> results</w:t>
      </w:r>
      <w:r w:rsidR="001D7359">
        <w:t>.</w:t>
      </w:r>
    </w:p>
    <w:p w:rsidR="001F215E" w:rsidRPr="00D8165F" w:rsidRDefault="001F215E" w:rsidP="001F215E">
      <w:pPr>
        <w:pStyle w:val="ListParagraph"/>
        <w:ind w:left="780"/>
      </w:pPr>
    </w:p>
    <w:p w:rsidR="001F215E" w:rsidRPr="00D8165F" w:rsidRDefault="0086342D" w:rsidP="001F215E">
      <w:pPr>
        <w:pStyle w:val="ListParagraph"/>
        <w:ind w:left="360"/>
        <w:rPr>
          <w:u w:val="single"/>
        </w:rPr>
      </w:pPr>
      <w:r>
        <w:rPr>
          <w:u w:val="single"/>
        </w:rPr>
        <w:t xml:space="preserve">On </w:t>
      </w:r>
      <w:r w:rsidR="001F215E" w:rsidRPr="00D8165F">
        <w:rPr>
          <w:u w:val="single"/>
        </w:rPr>
        <w:t>August 12, 2011</w:t>
      </w:r>
      <w:r>
        <w:rPr>
          <w:u w:val="single"/>
        </w:rPr>
        <w:t>:</w:t>
      </w:r>
    </w:p>
    <w:p w:rsidR="001F215E" w:rsidRPr="00D8165F" w:rsidRDefault="0086342D" w:rsidP="001F215E">
      <w:pPr>
        <w:pStyle w:val="ListParagraph"/>
        <w:numPr>
          <w:ilvl w:val="1"/>
          <w:numId w:val="31"/>
        </w:numPr>
        <w:ind w:left="720"/>
        <w:jc w:val="both"/>
      </w:pPr>
      <w:r>
        <w:t>A</w:t>
      </w:r>
      <w:r w:rsidRPr="00D8165F">
        <w:t xml:space="preserve"> </w:t>
      </w:r>
      <w:r w:rsidR="001F215E" w:rsidRPr="00D8165F">
        <w:t>review of the measures and savings assumptions used in the development of the Company’s potential assessment</w:t>
      </w:r>
      <w:r>
        <w:t xml:space="preserve"> continued from prior discussions;</w:t>
      </w:r>
    </w:p>
    <w:p w:rsidR="001F215E" w:rsidRPr="00D8165F" w:rsidRDefault="0086342D" w:rsidP="001F215E">
      <w:pPr>
        <w:pStyle w:val="ListParagraph"/>
        <w:numPr>
          <w:ilvl w:val="1"/>
          <w:numId w:val="31"/>
        </w:numPr>
        <w:ind w:left="720"/>
        <w:jc w:val="both"/>
      </w:pPr>
      <w:r>
        <w:t>A c</w:t>
      </w:r>
      <w:r w:rsidR="001F215E" w:rsidRPr="00D8165F">
        <w:t>omparison of potential assessment assumptions to regional assumptions</w:t>
      </w:r>
      <w:r>
        <w:t>;</w:t>
      </w:r>
    </w:p>
    <w:p w:rsidR="001F215E" w:rsidRPr="00D8165F" w:rsidRDefault="001F215E" w:rsidP="001F215E">
      <w:pPr>
        <w:pStyle w:val="ListParagraph"/>
        <w:numPr>
          <w:ilvl w:val="1"/>
          <w:numId w:val="31"/>
        </w:numPr>
        <w:ind w:left="720"/>
        <w:jc w:val="both"/>
      </w:pPr>
      <w:r w:rsidRPr="00D8165F">
        <w:t xml:space="preserve">Additional detail on proposed </w:t>
      </w:r>
      <w:r w:rsidRPr="00521757">
        <w:t>adjustments</w:t>
      </w:r>
      <w:r w:rsidR="0086342D" w:rsidRPr="00521757">
        <w:t xml:space="preserve"> related to the IRP</w:t>
      </w:r>
      <w:r w:rsidR="00F64A1F" w:rsidRPr="00521757">
        <w:t xml:space="preserve"> selections</w:t>
      </w:r>
      <w:r w:rsidR="00493079">
        <w:t xml:space="preserve"> and</w:t>
      </w:r>
      <w:r w:rsidRPr="00D8165F">
        <w:t xml:space="preserve"> the magnitude and direction</w:t>
      </w:r>
      <w:r w:rsidR="00493079">
        <w:t xml:space="preserve"> of each</w:t>
      </w:r>
      <w:r w:rsidR="0086342D">
        <w:t>;</w:t>
      </w:r>
    </w:p>
    <w:p w:rsidR="001F215E" w:rsidRPr="00D8165F" w:rsidRDefault="0086342D" w:rsidP="001F215E">
      <w:pPr>
        <w:pStyle w:val="ListParagraph"/>
        <w:numPr>
          <w:ilvl w:val="1"/>
          <w:numId w:val="31"/>
        </w:numPr>
        <w:ind w:left="720"/>
        <w:jc w:val="both"/>
      </w:pPr>
      <w:r>
        <w:t>A discussion</w:t>
      </w:r>
      <w:r w:rsidR="00FB026D">
        <w:t xml:space="preserve"> on</w:t>
      </w:r>
      <w:r>
        <w:t xml:space="preserve"> i</w:t>
      </w:r>
      <w:r w:rsidR="001F215E" w:rsidRPr="00D8165F">
        <w:t xml:space="preserve">dentification </w:t>
      </w:r>
      <w:r w:rsidR="00FB026D" w:rsidRPr="00D8165F">
        <w:t>of additional</w:t>
      </w:r>
      <w:r w:rsidR="001F215E" w:rsidRPr="00D8165F">
        <w:t xml:space="preserve"> </w:t>
      </w:r>
      <w:r w:rsidR="008B3498">
        <w:t xml:space="preserve">energy efficiency </w:t>
      </w:r>
      <w:r w:rsidR="001F215E" w:rsidRPr="00D8165F">
        <w:t>opportunities</w:t>
      </w:r>
      <w:r>
        <w:t>; and</w:t>
      </w:r>
    </w:p>
    <w:p w:rsidR="001F215E" w:rsidRPr="00D8165F" w:rsidRDefault="0086342D" w:rsidP="001F215E">
      <w:pPr>
        <w:pStyle w:val="ListParagraph"/>
        <w:numPr>
          <w:ilvl w:val="1"/>
          <w:numId w:val="31"/>
        </w:numPr>
        <w:ind w:left="720"/>
        <w:jc w:val="both"/>
      </w:pPr>
      <w:r>
        <w:t>An i</w:t>
      </w:r>
      <w:r w:rsidR="001F215E" w:rsidRPr="00D8165F">
        <w:t xml:space="preserve">nitial discussion on </w:t>
      </w:r>
      <w:r w:rsidR="00493079">
        <w:t>c</w:t>
      </w:r>
      <w:r w:rsidR="001F215E" w:rsidRPr="00D8165F">
        <w:t xml:space="preserve">onservation and </w:t>
      </w:r>
      <w:r w:rsidR="00493079">
        <w:t>b</w:t>
      </w:r>
      <w:r w:rsidR="001F215E" w:rsidRPr="00D8165F">
        <w:t xml:space="preserve">usiness </w:t>
      </w:r>
      <w:r w:rsidR="00493079">
        <w:t>p</w:t>
      </w:r>
      <w:r w:rsidR="001F215E" w:rsidRPr="00D8165F">
        <w:t>lan documents and requirements</w:t>
      </w:r>
      <w:r w:rsidR="001D7359">
        <w:t>.</w:t>
      </w:r>
    </w:p>
    <w:p w:rsidR="001F215E" w:rsidRPr="00D8165F" w:rsidRDefault="001F215E" w:rsidP="001F215E">
      <w:pPr>
        <w:pStyle w:val="ListParagraph"/>
        <w:ind w:left="1500"/>
      </w:pPr>
    </w:p>
    <w:p w:rsidR="001F215E" w:rsidRPr="00D8165F" w:rsidRDefault="0086342D" w:rsidP="001F215E">
      <w:pPr>
        <w:pStyle w:val="ListParagraph"/>
        <w:ind w:left="360"/>
        <w:rPr>
          <w:u w:val="single"/>
        </w:rPr>
      </w:pPr>
      <w:r>
        <w:rPr>
          <w:u w:val="single"/>
        </w:rPr>
        <w:t xml:space="preserve">On </w:t>
      </w:r>
      <w:r w:rsidR="001F215E" w:rsidRPr="00D8165F">
        <w:rPr>
          <w:u w:val="single"/>
        </w:rPr>
        <w:t>August 19, 2011</w:t>
      </w:r>
      <w:r>
        <w:rPr>
          <w:u w:val="single"/>
        </w:rPr>
        <w:t>:</w:t>
      </w:r>
    </w:p>
    <w:p w:rsidR="001F215E" w:rsidRPr="00D8165F" w:rsidRDefault="001F215E" w:rsidP="001F215E">
      <w:pPr>
        <w:pStyle w:val="ListParagraph"/>
        <w:numPr>
          <w:ilvl w:val="1"/>
          <w:numId w:val="31"/>
        </w:numPr>
        <w:ind w:left="720"/>
        <w:jc w:val="both"/>
      </w:pPr>
      <w:r w:rsidRPr="00D8165F">
        <w:t>Continued discussion</w:t>
      </w:r>
      <w:r w:rsidR="0086342D">
        <w:t>s</w:t>
      </w:r>
      <w:r w:rsidRPr="00D8165F">
        <w:t xml:space="preserve"> on possible solutions to the Energy Education in Schools program EM&amp;V concerns</w:t>
      </w:r>
      <w:r w:rsidR="0086342D">
        <w:t>;</w:t>
      </w:r>
    </w:p>
    <w:p w:rsidR="001F215E" w:rsidRPr="00D8165F" w:rsidRDefault="001F215E" w:rsidP="001F215E">
      <w:pPr>
        <w:pStyle w:val="ListParagraph"/>
        <w:numPr>
          <w:ilvl w:val="1"/>
          <w:numId w:val="31"/>
        </w:numPr>
        <w:ind w:left="720"/>
        <w:jc w:val="both"/>
      </w:pPr>
      <w:r w:rsidRPr="00D8165F">
        <w:t>Review of the draft EM&amp;V framework document</w:t>
      </w:r>
      <w:r w:rsidR="0086342D">
        <w:t>;</w:t>
      </w:r>
    </w:p>
    <w:p w:rsidR="001F215E" w:rsidRPr="00D8165F" w:rsidRDefault="001F215E" w:rsidP="00B35FD0">
      <w:pPr>
        <w:pStyle w:val="ListParagraph"/>
        <w:numPr>
          <w:ilvl w:val="1"/>
          <w:numId w:val="31"/>
        </w:numPr>
        <w:ind w:left="720"/>
        <w:jc w:val="both"/>
      </w:pPr>
      <w:r w:rsidRPr="00D8165F">
        <w:t xml:space="preserve">Initial </w:t>
      </w:r>
      <w:r w:rsidR="00493079">
        <w:t>review of</w:t>
      </w:r>
      <w:r w:rsidRPr="00D8165F">
        <w:t xml:space="preserve"> the 2011 IRP results and adjustments</w:t>
      </w:r>
      <w:r w:rsidR="0086342D">
        <w:t xml:space="preserve"> and the</w:t>
      </w:r>
      <w:r w:rsidRPr="00D8165F">
        <w:t xml:space="preserve"> basis of the </w:t>
      </w:r>
      <w:r w:rsidR="001D7359">
        <w:t xml:space="preserve">           </w:t>
      </w:r>
      <w:r w:rsidRPr="00D8165F">
        <w:t>2012</w:t>
      </w:r>
      <w:r w:rsidR="00B35FD0">
        <w:t xml:space="preserve"> – </w:t>
      </w:r>
      <w:r w:rsidRPr="00D8165F">
        <w:t>2021  conservation forecast and biennial target</w:t>
      </w:r>
      <w:r w:rsidR="0086342D">
        <w:t>;</w:t>
      </w:r>
    </w:p>
    <w:p w:rsidR="001F215E" w:rsidRPr="00D8165F" w:rsidRDefault="001F215E" w:rsidP="001F215E">
      <w:pPr>
        <w:pStyle w:val="ListParagraph"/>
        <w:numPr>
          <w:ilvl w:val="1"/>
          <w:numId w:val="31"/>
        </w:numPr>
        <w:ind w:left="720"/>
        <w:jc w:val="both"/>
      </w:pPr>
      <w:r w:rsidRPr="00D8165F">
        <w:t xml:space="preserve">A discussion </w:t>
      </w:r>
      <w:r w:rsidR="0086342D">
        <w:t>of</w:t>
      </w:r>
      <w:r w:rsidRPr="00D8165F">
        <w:t xml:space="preserve"> the Conservation Plan</w:t>
      </w:r>
      <w:r w:rsidR="0086342D">
        <w:t>;</w:t>
      </w:r>
    </w:p>
    <w:p w:rsidR="001F215E" w:rsidRPr="00D8165F" w:rsidRDefault="0086342D" w:rsidP="001F215E">
      <w:pPr>
        <w:pStyle w:val="ListParagraph"/>
        <w:numPr>
          <w:ilvl w:val="1"/>
          <w:numId w:val="31"/>
        </w:numPr>
        <w:ind w:left="720"/>
        <w:jc w:val="both"/>
      </w:pPr>
      <w:r>
        <w:t>An o</w:t>
      </w:r>
      <w:r w:rsidR="001F215E" w:rsidRPr="00D8165F">
        <w:t>verview of the Business Plan contents and programs</w:t>
      </w:r>
      <w:r>
        <w:t>;</w:t>
      </w:r>
      <w:r w:rsidR="001D7359">
        <w:t xml:space="preserve"> and</w:t>
      </w:r>
    </w:p>
    <w:p w:rsidR="001F215E" w:rsidRPr="00A434A2" w:rsidRDefault="001F215E" w:rsidP="001F215E">
      <w:pPr>
        <w:pStyle w:val="ListParagraph"/>
        <w:numPr>
          <w:ilvl w:val="1"/>
          <w:numId w:val="31"/>
        </w:numPr>
        <w:ind w:left="720"/>
        <w:jc w:val="both"/>
      </w:pPr>
      <w:r w:rsidRPr="00A434A2">
        <w:t>A discussion</w:t>
      </w:r>
      <w:r w:rsidR="0086342D">
        <w:t xml:space="preserve"> </w:t>
      </w:r>
      <w:r w:rsidR="0086342D" w:rsidRPr="00A434A2">
        <w:t>of the</w:t>
      </w:r>
      <w:r w:rsidRPr="00A434A2">
        <w:t xml:space="preserve"> </w:t>
      </w:r>
      <w:r w:rsidR="00A434A2" w:rsidRPr="00A434A2">
        <w:t>role</w:t>
      </w:r>
      <w:r w:rsidR="001D7359">
        <w:t xml:space="preserve"> </w:t>
      </w:r>
      <w:r w:rsidR="00111899" w:rsidRPr="00A434A2">
        <w:t xml:space="preserve">Northwest Energy Efficiency Alliance </w:t>
      </w:r>
      <w:r w:rsidR="00DA6986" w:rsidRPr="00A434A2">
        <w:t>(</w:t>
      </w:r>
      <w:r w:rsidR="001A62AA" w:rsidRPr="00A434A2">
        <w:t>“</w:t>
      </w:r>
      <w:r w:rsidRPr="00A434A2">
        <w:t>NEEA</w:t>
      </w:r>
      <w:r w:rsidR="001A62AA" w:rsidRPr="00A434A2">
        <w:t>”</w:t>
      </w:r>
      <w:r w:rsidR="00DA6986" w:rsidRPr="00A434A2">
        <w:t>)</w:t>
      </w:r>
      <w:r w:rsidRPr="00A434A2">
        <w:t xml:space="preserve"> </w:t>
      </w:r>
      <w:r w:rsidR="00A434A2" w:rsidRPr="00A434A2">
        <w:t xml:space="preserve">plays </w:t>
      </w:r>
      <w:r w:rsidRPr="00A434A2">
        <w:t xml:space="preserve">towards </w:t>
      </w:r>
      <w:r w:rsidR="00A434A2" w:rsidRPr="00A434A2">
        <w:t xml:space="preserve">the achievement of </w:t>
      </w:r>
      <w:r w:rsidRPr="00A434A2">
        <w:t>the biennial target</w:t>
      </w:r>
      <w:r w:rsidR="0043447D" w:rsidRPr="00A434A2">
        <w:t xml:space="preserve"> savings.</w:t>
      </w:r>
      <w:r w:rsidR="00F64A1F" w:rsidRPr="00A434A2">
        <w:t xml:space="preserve">  </w:t>
      </w:r>
    </w:p>
    <w:p w:rsidR="001F215E" w:rsidRPr="00D8165F" w:rsidRDefault="001F215E" w:rsidP="001F215E">
      <w:pPr>
        <w:ind w:left="1140"/>
      </w:pPr>
    </w:p>
    <w:p w:rsidR="001F215E" w:rsidRPr="00D8165F" w:rsidRDefault="0043447D" w:rsidP="001F215E">
      <w:pPr>
        <w:pStyle w:val="ListParagraph"/>
        <w:ind w:left="360"/>
        <w:rPr>
          <w:u w:val="single"/>
        </w:rPr>
      </w:pPr>
      <w:r>
        <w:rPr>
          <w:u w:val="single"/>
        </w:rPr>
        <w:t xml:space="preserve">On </w:t>
      </w:r>
      <w:r w:rsidR="001F215E" w:rsidRPr="00D8165F">
        <w:rPr>
          <w:u w:val="single"/>
        </w:rPr>
        <w:t>August 26, 2011</w:t>
      </w:r>
      <w:r>
        <w:rPr>
          <w:u w:val="single"/>
        </w:rPr>
        <w:t>:</w:t>
      </w:r>
    </w:p>
    <w:p w:rsidR="001F215E" w:rsidRPr="00D8165F" w:rsidRDefault="0043447D" w:rsidP="001F215E">
      <w:pPr>
        <w:pStyle w:val="ListParagraph"/>
        <w:numPr>
          <w:ilvl w:val="1"/>
          <w:numId w:val="31"/>
        </w:numPr>
        <w:ind w:left="720"/>
        <w:jc w:val="both"/>
      </w:pPr>
      <w:r w:rsidRPr="00433192">
        <w:t>A r</w:t>
      </w:r>
      <w:r w:rsidR="001F215E" w:rsidRPr="00433192">
        <w:t>eview</w:t>
      </w:r>
      <w:r w:rsidRPr="00433192">
        <w:t xml:space="preserve"> of</w:t>
      </w:r>
      <w:r w:rsidR="001F215E" w:rsidRPr="00433192">
        <w:t xml:space="preserve"> final </w:t>
      </w:r>
      <w:r w:rsidR="005D7594">
        <w:t>adjustments (including compact florescent lamp (“CFL”) adjustments) and the impact the adjustments have on the conservation forecast</w:t>
      </w:r>
      <w:r w:rsidR="001F215E" w:rsidRPr="00D8165F">
        <w:t xml:space="preserve"> and biennial target</w:t>
      </w:r>
      <w:r>
        <w:t>s</w:t>
      </w:r>
      <w:r w:rsidR="001F215E" w:rsidRPr="00D8165F">
        <w:t xml:space="preserve"> (less DEI and production efficiency)</w:t>
      </w:r>
      <w:r>
        <w:t>;</w:t>
      </w:r>
    </w:p>
    <w:p w:rsidR="001F215E" w:rsidRPr="00D8165F" w:rsidRDefault="0043447D" w:rsidP="001F215E">
      <w:pPr>
        <w:pStyle w:val="ListParagraph"/>
        <w:numPr>
          <w:ilvl w:val="1"/>
          <w:numId w:val="31"/>
        </w:numPr>
        <w:ind w:left="720"/>
        <w:jc w:val="both"/>
      </w:pPr>
      <w:r>
        <w:t>A s</w:t>
      </w:r>
      <w:r w:rsidR="001F215E" w:rsidRPr="00D8165F">
        <w:t>tatus update on the Company’s Conservation Plan filing</w:t>
      </w:r>
      <w:r>
        <w:t>;</w:t>
      </w:r>
    </w:p>
    <w:p w:rsidR="001F215E" w:rsidRPr="00D8165F" w:rsidRDefault="0043447D" w:rsidP="001F215E">
      <w:pPr>
        <w:pStyle w:val="ListParagraph"/>
        <w:numPr>
          <w:ilvl w:val="1"/>
          <w:numId w:val="31"/>
        </w:numPr>
        <w:ind w:left="720"/>
        <w:jc w:val="both"/>
      </w:pPr>
      <w:r>
        <w:t>A d</w:t>
      </w:r>
      <w:r w:rsidR="008B3498" w:rsidRPr="00D8165F">
        <w:t>iscuss</w:t>
      </w:r>
      <w:r w:rsidR="008B3498">
        <w:t xml:space="preserve">ion of the </w:t>
      </w:r>
      <w:r w:rsidR="001F215E" w:rsidRPr="00D8165F">
        <w:t>filing process</w:t>
      </w:r>
      <w:r w:rsidR="001F215E" w:rsidRPr="00A434A2">
        <w:t>, post September 15th amendments</w:t>
      </w:r>
      <w:r w:rsidR="001F215E" w:rsidRPr="00D8165F">
        <w:t>, and other procedural matters leading up to the revised forecast and Conservation Plan  filed by January 31, 2012</w:t>
      </w:r>
      <w:r>
        <w:t>;</w:t>
      </w:r>
    </w:p>
    <w:p w:rsidR="001F215E" w:rsidRPr="00D8165F" w:rsidRDefault="0043447D" w:rsidP="001F215E">
      <w:pPr>
        <w:pStyle w:val="ListParagraph"/>
        <w:numPr>
          <w:ilvl w:val="1"/>
          <w:numId w:val="31"/>
        </w:numPr>
        <w:ind w:left="720"/>
        <w:jc w:val="both"/>
      </w:pPr>
      <w:r>
        <w:t>A</w:t>
      </w:r>
      <w:r w:rsidR="001F215E" w:rsidRPr="00D8165F">
        <w:t xml:space="preserve"> review </w:t>
      </w:r>
      <w:r>
        <w:t>of</w:t>
      </w:r>
      <w:r w:rsidRPr="00D8165F">
        <w:t xml:space="preserve"> </w:t>
      </w:r>
      <w:r w:rsidR="001F215E" w:rsidRPr="00D8165F">
        <w:t>the Company’s EM&amp;V framework</w:t>
      </w:r>
      <w:r>
        <w:t>; and</w:t>
      </w:r>
      <w:r w:rsidR="001F215E" w:rsidRPr="00D8165F">
        <w:t xml:space="preserve"> </w:t>
      </w:r>
    </w:p>
    <w:p w:rsidR="001F215E" w:rsidRPr="00D8165F" w:rsidRDefault="0043447D" w:rsidP="001F215E">
      <w:pPr>
        <w:pStyle w:val="ListParagraph"/>
        <w:numPr>
          <w:ilvl w:val="1"/>
          <w:numId w:val="31"/>
        </w:numPr>
        <w:ind w:left="720"/>
        <w:jc w:val="both"/>
      </w:pPr>
      <w:r>
        <w:t>A d</w:t>
      </w:r>
      <w:r w:rsidR="001F215E" w:rsidRPr="00D8165F">
        <w:t>iscussion on the Energy Education in Schools program for the 2011</w:t>
      </w:r>
      <w:r w:rsidR="001D7359">
        <w:t xml:space="preserve"> </w:t>
      </w:r>
      <w:r w:rsidR="008B3498">
        <w:t>-</w:t>
      </w:r>
      <w:r w:rsidR="001D7359">
        <w:t xml:space="preserve"> </w:t>
      </w:r>
      <w:r w:rsidR="001F215E" w:rsidRPr="00D8165F">
        <w:t xml:space="preserve">2012 school </w:t>
      </w:r>
      <w:proofErr w:type="gramStart"/>
      <w:r w:rsidR="001F215E" w:rsidRPr="00D8165F">
        <w:t>year</w:t>
      </w:r>
      <w:proofErr w:type="gramEnd"/>
      <w:r>
        <w:t>.</w:t>
      </w:r>
    </w:p>
    <w:p w:rsidR="001F215E" w:rsidRPr="00D8165F" w:rsidRDefault="001F215E" w:rsidP="001F215E">
      <w:pPr>
        <w:pStyle w:val="ListParagraph"/>
        <w:ind w:left="1500"/>
      </w:pPr>
    </w:p>
    <w:p w:rsidR="001F215E" w:rsidRPr="00D8165F" w:rsidRDefault="0043447D" w:rsidP="001F215E">
      <w:pPr>
        <w:pStyle w:val="ListParagraph"/>
        <w:ind w:left="360"/>
        <w:rPr>
          <w:u w:val="single"/>
        </w:rPr>
      </w:pPr>
      <w:r>
        <w:rPr>
          <w:u w:val="single"/>
        </w:rPr>
        <w:t xml:space="preserve">On </w:t>
      </w:r>
      <w:r w:rsidR="001F215E" w:rsidRPr="00D8165F">
        <w:rPr>
          <w:u w:val="single"/>
        </w:rPr>
        <w:t>August 31, 2011</w:t>
      </w:r>
      <w:r>
        <w:rPr>
          <w:u w:val="single"/>
        </w:rPr>
        <w:t>:</w:t>
      </w:r>
    </w:p>
    <w:p w:rsidR="001F215E" w:rsidRPr="00D8165F" w:rsidRDefault="0043447D" w:rsidP="001F215E">
      <w:pPr>
        <w:pStyle w:val="ListParagraph"/>
        <w:numPr>
          <w:ilvl w:val="1"/>
          <w:numId w:val="31"/>
        </w:numPr>
        <w:ind w:left="720"/>
        <w:jc w:val="both"/>
      </w:pPr>
      <w:r>
        <w:t>A f</w:t>
      </w:r>
      <w:r w:rsidR="001F215E" w:rsidRPr="00D8165F">
        <w:t xml:space="preserve">inal </w:t>
      </w:r>
      <w:r>
        <w:t>discussion</w:t>
      </w:r>
      <w:r w:rsidR="001F215E" w:rsidRPr="00D8165F">
        <w:t xml:space="preserve"> of the EM&amp;V framework document</w:t>
      </w:r>
      <w:r w:rsidR="008B3498">
        <w:t xml:space="preserve"> </w:t>
      </w:r>
      <w:r w:rsidR="008B3498" w:rsidRPr="00A434A2">
        <w:t>prior to</w:t>
      </w:r>
      <w:r w:rsidR="00433192" w:rsidRPr="00A434A2">
        <w:t xml:space="preserve"> its inclusion in the Sept</w:t>
      </w:r>
      <w:r w:rsidR="00A434A2">
        <w:t>ember</w:t>
      </w:r>
      <w:r w:rsidR="00433192" w:rsidRPr="00A434A2">
        <w:t xml:space="preserve"> 15, 2011 preliminary biennium conservation plan </w:t>
      </w:r>
      <w:r w:rsidRPr="00A434A2">
        <w:t>;</w:t>
      </w:r>
    </w:p>
    <w:p w:rsidR="0043447D" w:rsidRDefault="0043447D" w:rsidP="001F215E">
      <w:pPr>
        <w:pStyle w:val="ListParagraph"/>
        <w:numPr>
          <w:ilvl w:val="1"/>
          <w:numId w:val="31"/>
        </w:numPr>
        <w:ind w:left="720"/>
        <w:jc w:val="both"/>
      </w:pPr>
      <w:r>
        <w:t xml:space="preserve">A discussion of the </w:t>
      </w:r>
      <w:r w:rsidR="001F215E" w:rsidRPr="00D8165F">
        <w:t>Company’s proposed plan for the Energy Education in School Programs for the 2011</w:t>
      </w:r>
      <w:r w:rsidR="00111899">
        <w:t xml:space="preserve"> </w:t>
      </w:r>
      <w:r w:rsidR="001F215E" w:rsidRPr="00D8165F">
        <w:t>-</w:t>
      </w:r>
      <w:r w:rsidR="00111899">
        <w:t xml:space="preserve"> </w:t>
      </w:r>
      <w:r w:rsidR="001F215E" w:rsidRPr="00D8165F">
        <w:t>2012 school year</w:t>
      </w:r>
      <w:r>
        <w:t>;</w:t>
      </w:r>
    </w:p>
    <w:p w:rsidR="001F215E" w:rsidRPr="00D8165F" w:rsidRDefault="0043447D" w:rsidP="001F215E">
      <w:pPr>
        <w:pStyle w:val="ListParagraph"/>
        <w:numPr>
          <w:ilvl w:val="1"/>
          <w:numId w:val="31"/>
        </w:numPr>
        <w:ind w:left="720"/>
        <w:jc w:val="both"/>
      </w:pPr>
      <w:r>
        <w:t>A discussion of</w:t>
      </w:r>
      <w:r w:rsidR="001F215E" w:rsidRPr="00D8165F">
        <w:t xml:space="preserve"> </w:t>
      </w:r>
      <w:r>
        <w:t>the</w:t>
      </w:r>
      <w:r w:rsidR="001F215E" w:rsidRPr="00D8165F">
        <w:t xml:space="preserve"> 2012</w:t>
      </w:r>
      <w:r w:rsidR="00111899">
        <w:t xml:space="preserve"> </w:t>
      </w:r>
      <w:r w:rsidR="001F215E" w:rsidRPr="00D8165F">
        <w:t>-</w:t>
      </w:r>
      <w:r w:rsidR="00111899">
        <w:t xml:space="preserve"> </w:t>
      </w:r>
      <w:r w:rsidR="001F215E" w:rsidRPr="00D8165F">
        <w:t>2013 Biennial Conservation Plan</w:t>
      </w:r>
      <w:r>
        <w:t>; and</w:t>
      </w:r>
    </w:p>
    <w:p w:rsidR="001F215E" w:rsidRPr="00D8165F" w:rsidRDefault="0043447D" w:rsidP="001F215E">
      <w:pPr>
        <w:pStyle w:val="ListParagraph"/>
        <w:numPr>
          <w:ilvl w:val="1"/>
          <w:numId w:val="31"/>
        </w:numPr>
        <w:ind w:left="720"/>
        <w:jc w:val="both"/>
      </w:pPr>
      <w:r>
        <w:t>A discussion of p</w:t>
      </w:r>
      <w:r w:rsidR="001F215E" w:rsidRPr="00D8165F">
        <w:t>roposed changes and savings assumptions to the Home Energy Savings program</w:t>
      </w:r>
      <w:r>
        <w:t>.</w:t>
      </w:r>
    </w:p>
    <w:p w:rsidR="001F215E" w:rsidRPr="00D8165F" w:rsidRDefault="001F215E" w:rsidP="001F215E">
      <w:pPr>
        <w:ind w:left="720"/>
      </w:pPr>
    </w:p>
    <w:p w:rsidR="001F215E" w:rsidRDefault="0043447D" w:rsidP="001F215E">
      <w:pPr>
        <w:ind w:left="360"/>
        <w:rPr>
          <w:u w:val="single"/>
        </w:rPr>
      </w:pPr>
      <w:r>
        <w:rPr>
          <w:u w:val="single"/>
        </w:rPr>
        <w:t xml:space="preserve">On </w:t>
      </w:r>
      <w:r w:rsidR="001F215E">
        <w:rPr>
          <w:u w:val="single"/>
        </w:rPr>
        <w:t>October 19, 2011</w:t>
      </w:r>
      <w:r>
        <w:rPr>
          <w:u w:val="single"/>
        </w:rPr>
        <w:t>:</w:t>
      </w:r>
    </w:p>
    <w:p w:rsidR="00111899" w:rsidRDefault="0043447D">
      <w:pPr>
        <w:pStyle w:val="ListParagraph"/>
        <w:numPr>
          <w:ilvl w:val="0"/>
          <w:numId w:val="36"/>
        </w:numPr>
        <w:ind w:left="720"/>
        <w:jc w:val="both"/>
      </w:pPr>
      <w:r>
        <w:t>A d</w:t>
      </w:r>
      <w:r w:rsidR="001F215E" w:rsidRPr="000126DA">
        <w:t>iscuss</w:t>
      </w:r>
      <w:r>
        <w:t>ion of</w:t>
      </w:r>
      <w:r w:rsidR="001F215E" w:rsidRPr="000126DA">
        <w:t xml:space="preserve"> planned modifications to the Home Energy Savings program</w:t>
      </w:r>
      <w:r>
        <w:t>.</w:t>
      </w:r>
    </w:p>
    <w:p w:rsidR="001F215E" w:rsidRDefault="001F215E" w:rsidP="001F215E">
      <w:pPr>
        <w:ind w:left="360"/>
        <w:rPr>
          <w:u w:val="single"/>
        </w:rPr>
      </w:pPr>
    </w:p>
    <w:p w:rsidR="001F215E" w:rsidRPr="00D8165F" w:rsidRDefault="0043447D" w:rsidP="001F215E">
      <w:pPr>
        <w:ind w:left="360"/>
        <w:rPr>
          <w:u w:val="single"/>
        </w:rPr>
      </w:pPr>
      <w:r>
        <w:rPr>
          <w:u w:val="single"/>
        </w:rPr>
        <w:t xml:space="preserve">On </w:t>
      </w:r>
      <w:r w:rsidR="001F215E" w:rsidRPr="00D8165F">
        <w:rPr>
          <w:u w:val="single"/>
        </w:rPr>
        <w:t>November 3, 2011</w:t>
      </w:r>
      <w:r>
        <w:rPr>
          <w:u w:val="single"/>
        </w:rPr>
        <w:t>:</w:t>
      </w:r>
    </w:p>
    <w:p w:rsidR="007C43B6" w:rsidRPr="00D8165F" w:rsidRDefault="007C43B6" w:rsidP="007C43B6">
      <w:pPr>
        <w:pStyle w:val="ListParagraph"/>
        <w:numPr>
          <w:ilvl w:val="0"/>
          <w:numId w:val="32"/>
        </w:numPr>
        <w:ind w:left="720"/>
        <w:jc w:val="both"/>
      </w:pPr>
      <w:r w:rsidRPr="007C43B6">
        <w:t xml:space="preserve"> </w:t>
      </w:r>
      <w:r w:rsidR="0043447D" w:rsidRPr="00433192">
        <w:t>A discussion of the</w:t>
      </w:r>
      <w:r>
        <w:t xml:space="preserve"> </w:t>
      </w:r>
      <w:r w:rsidRPr="00D8165F">
        <w:t>DEI</w:t>
      </w:r>
      <w:r w:rsidR="00230A66">
        <w:t xml:space="preserve"> </w:t>
      </w:r>
      <w:r w:rsidRPr="00D8165F">
        <w:t>conservation voltage regulation basics</w:t>
      </w:r>
      <w:r w:rsidR="0043447D">
        <w:t>;</w:t>
      </w:r>
    </w:p>
    <w:p w:rsidR="007C43B6" w:rsidRPr="00D8165F" w:rsidRDefault="0043447D" w:rsidP="007C43B6">
      <w:pPr>
        <w:pStyle w:val="ListParagraph"/>
        <w:numPr>
          <w:ilvl w:val="0"/>
          <w:numId w:val="32"/>
        </w:numPr>
        <w:ind w:left="720"/>
        <w:jc w:val="both"/>
      </w:pPr>
      <w:r>
        <w:t>A discussion to d</w:t>
      </w:r>
      <w:r w:rsidR="007C43B6">
        <w:t>escribe the m</w:t>
      </w:r>
      <w:r w:rsidR="007C43B6" w:rsidRPr="00D8165F">
        <w:t>ethod used to quantify DEI projects</w:t>
      </w:r>
      <w:r w:rsidR="007C43B6">
        <w:t xml:space="preserve"> as they relate to the Biennial Conservation Potential</w:t>
      </w:r>
      <w:r>
        <w:t>;</w:t>
      </w:r>
    </w:p>
    <w:p w:rsidR="007C43B6" w:rsidRPr="00D8165F" w:rsidRDefault="0043447D" w:rsidP="007C43B6">
      <w:pPr>
        <w:pStyle w:val="ListParagraph"/>
        <w:numPr>
          <w:ilvl w:val="0"/>
          <w:numId w:val="32"/>
        </w:numPr>
        <w:ind w:left="720"/>
        <w:jc w:val="both"/>
      </w:pPr>
      <w:r>
        <w:t>A d</w:t>
      </w:r>
      <w:r w:rsidR="007C43B6">
        <w:t>iscuss</w:t>
      </w:r>
      <w:r>
        <w:t>ion of</w:t>
      </w:r>
      <w:r w:rsidR="007C43B6">
        <w:t xml:space="preserve"> the challenges the Company will face in evaluating </w:t>
      </w:r>
      <w:r w:rsidR="007C43B6" w:rsidRPr="00D8165F">
        <w:t xml:space="preserve">DEI </w:t>
      </w:r>
      <w:r w:rsidR="007C43B6">
        <w:t>savings</w:t>
      </w:r>
      <w:r>
        <w:t>;</w:t>
      </w:r>
    </w:p>
    <w:p w:rsidR="007C43B6" w:rsidRPr="00D8165F" w:rsidRDefault="0043447D" w:rsidP="007C43B6">
      <w:pPr>
        <w:pStyle w:val="ListParagraph"/>
        <w:numPr>
          <w:ilvl w:val="0"/>
          <w:numId w:val="32"/>
        </w:numPr>
        <w:ind w:left="720"/>
        <w:jc w:val="both"/>
      </w:pPr>
      <w:r>
        <w:t xml:space="preserve">A </w:t>
      </w:r>
      <w:r w:rsidR="00C24C11">
        <w:t>presentation</w:t>
      </w:r>
      <w:r>
        <w:t xml:space="preserve"> of</w:t>
      </w:r>
      <w:r w:rsidR="007C43B6">
        <w:t xml:space="preserve"> the i</w:t>
      </w:r>
      <w:r w:rsidR="007C43B6" w:rsidRPr="00D8165F">
        <w:t xml:space="preserve">nitial DEI conservation forecast </w:t>
      </w:r>
      <w:r w:rsidR="008B3498">
        <w:t xml:space="preserve">for </w:t>
      </w:r>
      <w:r w:rsidR="007C43B6" w:rsidRPr="00D8165F">
        <w:t>2012</w:t>
      </w:r>
      <w:r w:rsidR="007C43B6">
        <w:t xml:space="preserve"> </w:t>
      </w:r>
      <w:r w:rsidR="007C43B6" w:rsidRPr="00D8165F">
        <w:t>-</w:t>
      </w:r>
      <w:r w:rsidR="007C43B6">
        <w:t xml:space="preserve"> </w:t>
      </w:r>
      <w:r w:rsidR="007C43B6" w:rsidRPr="00D8165F">
        <w:t>2013</w:t>
      </w:r>
      <w:r>
        <w:t>;</w:t>
      </w:r>
      <w:r w:rsidR="007E0C8A">
        <w:t xml:space="preserve"> and</w:t>
      </w:r>
    </w:p>
    <w:p w:rsidR="007C43B6" w:rsidRPr="00D8165F" w:rsidRDefault="007E0C8A" w:rsidP="007C43B6">
      <w:pPr>
        <w:pStyle w:val="ListParagraph"/>
        <w:numPr>
          <w:ilvl w:val="0"/>
          <w:numId w:val="32"/>
        </w:numPr>
        <w:ind w:left="720"/>
        <w:jc w:val="both"/>
      </w:pPr>
      <w:r>
        <w:t xml:space="preserve">A </w:t>
      </w:r>
      <w:r w:rsidR="00C24C11">
        <w:t>presentation</w:t>
      </w:r>
      <w:r>
        <w:t xml:space="preserve"> of</w:t>
      </w:r>
      <w:r w:rsidR="007C43B6">
        <w:t xml:space="preserve"> a d</w:t>
      </w:r>
      <w:r w:rsidR="007C43B6" w:rsidRPr="00D8165F">
        <w:t>raft DEI implementation timeline</w:t>
      </w:r>
      <w:r w:rsidR="007C43B6">
        <w:t xml:space="preserve"> for the </w:t>
      </w:r>
      <w:r w:rsidR="007C43B6" w:rsidRPr="00D8165F">
        <w:t>2012</w:t>
      </w:r>
      <w:r w:rsidR="007C43B6">
        <w:t xml:space="preserve"> </w:t>
      </w:r>
      <w:r w:rsidR="007C43B6" w:rsidRPr="00D8165F">
        <w:t>-</w:t>
      </w:r>
      <w:r w:rsidR="007C43B6">
        <w:t xml:space="preserve"> </w:t>
      </w:r>
      <w:r w:rsidR="007C43B6" w:rsidRPr="00D8165F">
        <w:t>2013 Biennial Conservation Plan</w:t>
      </w:r>
      <w:r>
        <w:t>.</w:t>
      </w:r>
    </w:p>
    <w:p w:rsidR="001F215E" w:rsidRDefault="001F215E" w:rsidP="001F215E">
      <w:pPr>
        <w:ind w:left="720"/>
        <w:rPr>
          <w:b/>
        </w:rPr>
      </w:pPr>
    </w:p>
    <w:p w:rsidR="001A62AA" w:rsidRPr="00D8165F" w:rsidRDefault="001A62AA" w:rsidP="001F215E">
      <w:pPr>
        <w:ind w:left="720"/>
        <w:rPr>
          <w:b/>
        </w:rPr>
      </w:pPr>
    </w:p>
    <w:p w:rsidR="001F215E" w:rsidRDefault="007E0C8A" w:rsidP="001F215E">
      <w:pPr>
        <w:ind w:left="360"/>
        <w:rPr>
          <w:u w:val="single"/>
        </w:rPr>
      </w:pPr>
      <w:r>
        <w:rPr>
          <w:u w:val="single"/>
        </w:rPr>
        <w:t xml:space="preserve">On </w:t>
      </w:r>
      <w:r w:rsidR="001F215E">
        <w:rPr>
          <w:u w:val="single"/>
        </w:rPr>
        <w:t>November 22, 2011</w:t>
      </w:r>
      <w:r>
        <w:rPr>
          <w:u w:val="single"/>
        </w:rPr>
        <w:t>:</w:t>
      </w:r>
    </w:p>
    <w:p w:rsidR="00111899" w:rsidRDefault="007E0C8A">
      <w:pPr>
        <w:pStyle w:val="ListParagraph"/>
        <w:numPr>
          <w:ilvl w:val="0"/>
          <w:numId w:val="37"/>
        </w:numPr>
        <w:ind w:left="720"/>
        <w:jc w:val="both"/>
      </w:pPr>
      <w:r>
        <w:t>A d</w:t>
      </w:r>
      <w:r w:rsidR="001F215E">
        <w:t>iscuss</w:t>
      </w:r>
      <w:r>
        <w:t>ion of the</w:t>
      </w:r>
      <w:r w:rsidR="001F215E">
        <w:t xml:space="preserve"> planned modifications to the FinAnswer Express program</w:t>
      </w:r>
      <w:r>
        <w:t>.</w:t>
      </w:r>
    </w:p>
    <w:p w:rsidR="001F215E" w:rsidRDefault="001F215E" w:rsidP="001F215E">
      <w:pPr>
        <w:ind w:left="360"/>
        <w:rPr>
          <w:u w:val="single"/>
        </w:rPr>
      </w:pPr>
    </w:p>
    <w:p w:rsidR="001F215E" w:rsidRPr="00D8165F" w:rsidRDefault="007E0C8A" w:rsidP="001F215E">
      <w:pPr>
        <w:ind w:left="360"/>
        <w:rPr>
          <w:u w:val="single"/>
        </w:rPr>
      </w:pPr>
      <w:r>
        <w:rPr>
          <w:u w:val="single"/>
        </w:rPr>
        <w:t xml:space="preserve">On </w:t>
      </w:r>
      <w:r w:rsidR="001F215E" w:rsidRPr="00D8165F">
        <w:rPr>
          <w:u w:val="single"/>
        </w:rPr>
        <w:t>December 8, 2011</w:t>
      </w:r>
      <w:r>
        <w:rPr>
          <w:u w:val="single"/>
        </w:rPr>
        <w:t>:</w:t>
      </w:r>
    </w:p>
    <w:p w:rsidR="001F215E" w:rsidRPr="00D8165F" w:rsidRDefault="007E0C8A" w:rsidP="001F215E">
      <w:pPr>
        <w:ind w:left="720" w:hanging="360"/>
      </w:pPr>
      <w:r>
        <w:t>An o</w:t>
      </w:r>
      <w:r w:rsidR="00BA35C8">
        <w:t xml:space="preserve">verview </w:t>
      </w:r>
      <w:r>
        <w:t xml:space="preserve">of </w:t>
      </w:r>
      <w:r w:rsidR="00E359A7">
        <w:t>DEI</w:t>
      </w:r>
      <w:r>
        <w:t xml:space="preserve"> as follows:</w:t>
      </w:r>
      <w:r w:rsidR="00BA35C8">
        <w:t xml:space="preserve"> </w:t>
      </w:r>
    </w:p>
    <w:p w:rsidR="001F215E" w:rsidRPr="00E359A7" w:rsidRDefault="00E359A7" w:rsidP="007E0C8A">
      <w:pPr>
        <w:pStyle w:val="ListParagraph"/>
        <w:numPr>
          <w:ilvl w:val="0"/>
          <w:numId w:val="34"/>
        </w:numPr>
        <w:ind w:left="1080"/>
        <w:jc w:val="both"/>
        <w:rPr>
          <w:b/>
        </w:rPr>
      </w:pPr>
      <w:r>
        <w:t>Updated</w:t>
      </w:r>
      <w:r w:rsidRPr="00E359A7">
        <w:t xml:space="preserve"> </w:t>
      </w:r>
      <w:r w:rsidR="001F215E" w:rsidRPr="00E359A7">
        <w:t>potential results</w:t>
      </w:r>
      <w:r w:rsidR="00153C08" w:rsidRPr="00E359A7">
        <w:t xml:space="preserve"> and</w:t>
      </w:r>
      <w:r w:rsidR="001F215E" w:rsidRPr="00E359A7">
        <w:t xml:space="preserve"> economic screening of projects</w:t>
      </w:r>
      <w:r w:rsidR="007E0C8A" w:rsidRPr="00E359A7">
        <w:t>;</w:t>
      </w:r>
    </w:p>
    <w:p w:rsidR="001D7359" w:rsidRDefault="007E0C8A">
      <w:pPr>
        <w:pStyle w:val="ListParagraph"/>
        <w:numPr>
          <w:ilvl w:val="0"/>
          <w:numId w:val="34"/>
        </w:numPr>
        <w:ind w:left="1080"/>
        <w:jc w:val="both"/>
        <w:rPr>
          <w:b/>
        </w:rPr>
      </w:pPr>
      <w:r>
        <w:t>I</w:t>
      </w:r>
      <w:r w:rsidR="001F215E" w:rsidRPr="00D8165F">
        <w:t>dentif</w:t>
      </w:r>
      <w:r>
        <w:t>ied</w:t>
      </w:r>
      <w:r w:rsidR="001F215E" w:rsidRPr="00D8165F">
        <w:t xml:space="preserve"> </w:t>
      </w:r>
      <w:r>
        <w:t>m</w:t>
      </w:r>
      <w:r w:rsidRPr="00D8165F">
        <w:t xml:space="preserve">ethodology used to </w:t>
      </w:r>
      <w:r>
        <w:t xml:space="preserve">study </w:t>
      </w:r>
      <w:r w:rsidR="001F215E" w:rsidRPr="00D8165F">
        <w:t>2012 circuits</w:t>
      </w:r>
      <w:r>
        <w:t>;</w:t>
      </w:r>
      <w:r w:rsidR="001F215E" w:rsidRPr="00D8165F">
        <w:t xml:space="preserve"> </w:t>
      </w:r>
      <w:r w:rsidR="00C24C11">
        <w:t xml:space="preserve"> </w:t>
      </w:r>
      <w:r w:rsidR="001F215E" w:rsidRPr="00D8165F">
        <w:t>Review</w:t>
      </w:r>
      <w:r>
        <w:t>ed</w:t>
      </w:r>
      <w:r w:rsidR="001F215E" w:rsidRPr="00D8165F">
        <w:t xml:space="preserve"> challenges in measurement and verification</w:t>
      </w:r>
      <w:r>
        <w:t>;</w:t>
      </w:r>
    </w:p>
    <w:p w:rsidR="001F215E" w:rsidRPr="00D8165F" w:rsidRDefault="001F215E" w:rsidP="007E0C8A">
      <w:pPr>
        <w:pStyle w:val="ListParagraph"/>
        <w:numPr>
          <w:ilvl w:val="0"/>
          <w:numId w:val="34"/>
        </w:numPr>
        <w:ind w:left="1080"/>
        <w:jc w:val="both"/>
        <w:rPr>
          <w:b/>
        </w:rPr>
      </w:pPr>
      <w:r w:rsidRPr="00D8165F">
        <w:t xml:space="preserve">Revised ten-year forecast and biennial target, range concept/pilot plan </w:t>
      </w:r>
      <w:r w:rsidR="00B563D2" w:rsidRPr="00C24C11">
        <w:t>d</w:t>
      </w:r>
      <w:r w:rsidRPr="00D8165F">
        <w:t>iscussed</w:t>
      </w:r>
      <w:r w:rsidR="007E0C8A">
        <w:t>; and</w:t>
      </w:r>
    </w:p>
    <w:p w:rsidR="001F215E" w:rsidRPr="00D8165F" w:rsidRDefault="001F215E" w:rsidP="007E0C8A">
      <w:pPr>
        <w:pStyle w:val="ListParagraph"/>
        <w:numPr>
          <w:ilvl w:val="0"/>
          <w:numId w:val="34"/>
        </w:numPr>
        <w:ind w:left="1080"/>
        <w:jc w:val="both"/>
        <w:rPr>
          <w:b/>
        </w:rPr>
      </w:pPr>
      <w:r w:rsidRPr="00D8165F">
        <w:t>Revised project implementation timeline</w:t>
      </w:r>
      <w:r w:rsidR="007E0C8A">
        <w:t>.</w:t>
      </w:r>
    </w:p>
    <w:p w:rsidR="001F215E" w:rsidRPr="00D8165F" w:rsidRDefault="001F215E" w:rsidP="001F215E">
      <w:pPr>
        <w:ind w:left="720" w:hanging="360"/>
        <w:rPr>
          <w:b/>
        </w:rPr>
      </w:pPr>
    </w:p>
    <w:p w:rsidR="001F215E" w:rsidRPr="00D8165F" w:rsidRDefault="007E0C8A" w:rsidP="001F215E">
      <w:pPr>
        <w:ind w:left="720" w:hanging="360"/>
      </w:pPr>
      <w:r>
        <w:t>An o</w:t>
      </w:r>
      <w:r w:rsidR="00BA35C8">
        <w:t xml:space="preserve">verview </w:t>
      </w:r>
      <w:r>
        <w:t xml:space="preserve">of </w:t>
      </w:r>
      <w:r w:rsidR="001F215E" w:rsidRPr="00D8165F">
        <w:t>Production Efficiency</w:t>
      </w:r>
      <w:r>
        <w:t xml:space="preserve"> as follows:</w:t>
      </w:r>
    </w:p>
    <w:p w:rsidR="001F215E" w:rsidRPr="00D8165F" w:rsidRDefault="001F215E" w:rsidP="007E0C8A">
      <w:pPr>
        <w:pStyle w:val="ListParagraph"/>
        <w:numPr>
          <w:ilvl w:val="0"/>
          <w:numId w:val="33"/>
        </w:numPr>
        <w:ind w:left="1080"/>
        <w:jc w:val="both"/>
      </w:pPr>
      <w:r w:rsidRPr="00D8165F">
        <w:t>Reviewed I-937 conservation definition in the context of production efficiency</w:t>
      </w:r>
      <w:r w:rsidR="007E0C8A">
        <w:t>;</w:t>
      </w:r>
      <w:r w:rsidRPr="00D8165F">
        <w:t xml:space="preserve"> </w:t>
      </w:r>
    </w:p>
    <w:p w:rsidR="001F215E" w:rsidRPr="00D8165F" w:rsidRDefault="001F215E" w:rsidP="007E0C8A">
      <w:pPr>
        <w:pStyle w:val="ListParagraph"/>
        <w:numPr>
          <w:ilvl w:val="0"/>
          <w:numId w:val="33"/>
        </w:numPr>
        <w:ind w:left="1080"/>
        <w:jc w:val="both"/>
      </w:pPr>
      <w:r w:rsidRPr="00D8165F">
        <w:t>Provided data on plants serving Company’s Washington customers</w:t>
      </w:r>
      <w:r w:rsidR="007E0C8A">
        <w:t>;</w:t>
      </w:r>
    </w:p>
    <w:p w:rsidR="001F215E" w:rsidRPr="00D8165F" w:rsidRDefault="001F215E" w:rsidP="007E0C8A">
      <w:pPr>
        <w:pStyle w:val="ListParagraph"/>
        <w:numPr>
          <w:ilvl w:val="0"/>
          <w:numId w:val="33"/>
        </w:numPr>
        <w:ind w:left="1080"/>
        <w:jc w:val="both"/>
      </w:pPr>
      <w:r w:rsidRPr="00D8165F">
        <w:t>Reviewed method used to identify cost-effective production efficiency projects</w:t>
      </w:r>
      <w:r w:rsidR="007E0C8A">
        <w:t>;</w:t>
      </w:r>
    </w:p>
    <w:p w:rsidR="001F215E" w:rsidRPr="00D8165F" w:rsidRDefault="001F215E" w:rsidP="007E0C8A">
      <w:pPr>
        <w:pStyle w:val="ListParagraph"/>
        <w:numPr>
          <w:ilvl w:val="0"/>
          <w:numId w:val="33"/>
        </w:numPr>
        <w:ind w:left="1080"/>
        <w:jc w:val="both"/>
      </w:pPr>
      <w:r w:rsidRPr="00D8165F">
        <w:t>Outline</w:t>
      </w:r>
      <w:r w:rsidR="007E0C8A">
        <w:t>d</w:t>
      </w:r>
      <w:r w:rsidRPr="00D8165F">
        <w:t xml:space="preserve"> typical plant efficiency conservation measures</w:t>
      </w:r>
      <w:r w:rsidR="007E0C8A">
        <w:t>;</w:t>
      </w:r>
    </w:p>
    <w:p w:rsidR="001F215E" w:rsidRPr="00D8165F" w:rsidRDefault="007E0C8A" w:rsidP="007E0C8A">
      <w:pPr>
        <w:pStyle w:val="ListParagraph"/>
        <w:numPr>
          <w:ilvl w:val="0"/>
          <w:numId w:val="33"/>
        </w:numPr>
        <w:ind w:left="1080"/>
        <w:jc w:val="both"/>
      </w:pPr>
      <w:r>
        <w:t>Discussed p</w:t>
      </w:r>
      <w:r w:rsidR="001F215E" w:rsidRPr="00D8165F">
        <w:t>lant by plant findings and potentials</w:t>
      </w:r>
      <w:r>
        <w:t>;</w:t>
      </w:r>
    </w:p>
    <w:p w:rsidR="001F215E" w:rsidRPr="00D8165F" w:rsidRDefault="007E0C8A" w:rsidP="007E0C8A">
      <w:pPr>
        <w:pStyle w:val="ListParagraph"/>
        <w:numPr>
          <w:ilvl w:val="0"/>
          <w:numId w:val="33"/>
        </w:numPr>
        <w:ind w:left="1080"/>
        <w:jc w:val="both"/>
      </w:pPr>
      <w:r>
        <w:t>Discussed c</w:t>
      </w:r>
      <w:r w:rsidR="001F215E" w:rsidRPr="00D8165F">
        <w:t xml:space="preserve">hallenges </w:t>
      </w:r>
      <w:r>
        <w:t>related to</w:t>
      </w:r>
      <w:r w:rsidRPr="00D8165F">
        <w:t xml:space="preserve"> </w:t>
      </w:r>
      <w:r w:rsidR="001F215E" w:rsidRPr="00D8165F">
        <w:t>joint ownership and multi-state cost-recovery</w:t>
      </w:r>
      <w:r>
        <w:t>; and</w:t>
      </w:r>
    </w:p>
    <w:p w:rsidR="001F215E" w:rsidRPr="00D8165F" w:rsidRDefault="007E0C8A" w:rsidP="007E0C8A">
      <w:pPr>
        <w:pStyle w:val="ListParagraph"/>
        <w:numPr>
          <w:ilvl w:val="0"/>
          <w:numId w:val="33"/>
        </w:numPr>
        <w:ind w:left="1080"/>
        <w:jc w:val="both"/>
      </w:pPr>
      <w:r>
        <w:t>Provided e</w:t>
      </w:r>
      <w:r w:rsidRPr="00D8165F">
        <w:t xml:space="preserve">stimate </w:t>
      </w:r>
      <w:r w:rsidR="001F215E" w:rsidRPr="00D8165F">
        <w:t>of production efficiency ten-year potential before adjustments</w:t>
      </w:r>
      <w:r>
        <w:t>.</w:t>
      </w:r>
    </w:p>
    <w:p w:rsidR="001F215E" w:rsidRPr="00D8165F" w:rsidRDefault="001F215E" w:rsidP="001F215E"/>
    <w:p w:rsidR="001F215E" w:rsidRPr="00D8165F" w:rsidRDefault="007E0C8A" w:rsidP="001F215E">
      <w:pPr>
        <w:ind w:firstLine="360"/>
        <w:rPr>
          <w:u w:val="single"/>
        </w:rPr>
      </w:pPr>
      <w:r>
        <w:rPr>
          <w:u w:val="single"/>
        </w:rPr>
        <w:t xml:space="preserve">On </w:t>
      </w:r>
      <w:r w:rsidR="001F215E" w:rsidRPr="00D8165F">
        <w:rPr>
          <w:u w:val="single"/>
        </w:rPr>
        <w:t>December 15, 2011</w:t>
      </w:r>
      <w:r>
        <w:rPr>
          <w:u w:val="single"/>
        </w:rPr>
        <w:t>:</w:t>
      </w:r>
    </w:p>
    <w:p w:rsidR="001F215E" w:rsidRPr="00D8165F" w:rsidRDefault="007E0C8A" w:rsidP="001F215E">
      <w:pPr>
        <w:pStyle w:val="ListParagraph"/>
        <w:numPr>
          <w:ilvl w:val="0"/>
          <w:numId w:val="35"/>
        </w:numPr>
        <w:ind w:left="720"/>
        <w:jc w:val="both"/>
      </w:pPr>
      <w:r>
        <w:t>Discussed the r</w:t>
      </w:r>
      <w:r w:rsidR="001F215E" w:rsidRPr="00D8165F">
        <w:t>efined ten-year conservation potential and 2012</w:t>
      </w:r>
      <w:r w:rsidR="007C43B6">
        <w:t xml:space="preserve"> </w:t>
      </w:r>
      <w:r w:rsidR="001F215E" w:rsidRPr="00D8165F">
        <w:t>-</w:t>
      </w:r>
      <w:r w:rsidR="007C43B6">
        <w:t xml:space="preserve"> </w:t>
      </w:r>
      <w:r w:rsidR="001F215E" w:rsidRPr="00D8165F">
        <w:t>2013 target for production efficiency to opportunities at plants wholly owned by Pacifi</w:t>
      </w:r>
      <w:r w:rsidR="0043243D">
        <w:t>c Power</w:t>
      </w:r>
      <w:r>
        <w:t>;</w:t>
      </w:r>
    </w:p>
    <w:p w:rsidR="001F215E" w:rsidRPr="00D8165F" w:rsidRDefault="001F215E" w:rsidP="001F215E">
      <w:pPr>
        <w:pStyle w:val="ListParagraph"/>
        <w:numPr>
          <w:ilvl w:val="0"/>
          <w:numId w:val="35"/>
        </w:numPr>
        <w:ind w:left="720"/>
        <w:jc w:val="both"/>
      </w:pPr>
      <w:r w:rsidRPr="00D8165F">
        <w:t>Provided revised conservation potential forecast for production efficiency</w:t>
      </w:r>
      <w:r w:rsidR="007E0C8A">
        <w:t>;</w:t>
      </w:r>
    </w:p>
    <w:p w:rsidR="001F215E" w:rsidRPr="00D8165F" w:rsidRDefault="003720D8" w:rsidP="001F215E">
      <w:pPr>
        <w:pStyle w:val="ListParagraph"/>
        <w:numPr>
          <w:ilvl w:val="0"/>
          <w:numId w:val="35"/>
        </w:numPr>
        <w:ind w:left="720"/>
        <w:jc w:val="both"/>
      </w:pPr>
      <w:r>
        <w:t>Discussed a p</w:t>
      </w:r>
      <w:r w:rsidR="001F215E" w:rsidRPr="00D8165F">
        <w:t>lan to address joint ownership/cost recovery challenges before next biennium</w:t>
      </w:r>
      <w:r>
        <w:t>; and</w:t>
      </w:r>
    </w:p>
    <w:p w:rsidR="001F215E" w:rsidRDefault="001F215E" w:rsidP="001F215E">
      <w:pPr>
        <w:pStyle w:val="ListParagraph"/>
        <w:numPr>
          <w:ilvl w:val="0"/>
          <w:numId w:val="35"/>
        </w:numPr>
        <w:ind w:left="720"/>
        <w:jc w:val="both"/>
      </w:pPr>
      <w:r w:rsidRPr="00D8165F">
        <w:t>Reviewed proposed cost-recovery mechanisms/considerations</w:t>
      </w:r>
      <w:r w:rsidR="003720D8">
        <w:t>.</w:t>
      </w:r>
    </w:p>
    <w:p w:rsidR="001F215E" w:rsidRDefault="001F215E" w:rsidP="001F215E">
      <w:pPr>
        <w:ind w:left="720"/>
      </w:pPr>
    </w:p>
    <w:p w:rsidR="001F215E" w:rsidRPr="00D8165F" w:rsidRDefault="001F215E" w:rsidP="001F215E">
      <w:pPr>
        <w:jc w:val="both"/>
      </w:pPr>
      <w:r>
        <w:t>The Company also participated in the Washington Conservation Working Group effort which occurred from February to June of 2011.</w:t>
      </w:r>
    </w:p>
    <w:p w:rsidR="00C43C88" w:rsidRDefault="00C43C88" w:rsidP="002D4FB2">
      <w:pPr>
        <w:pStyle w:val="Heading1"/>
      </w:pPr>
    </w:p>
    <w:p w:rsidR="00C43C88" w:rsidRPr="00C43C88" w:rsidRDefault="00C43C88" w:rsidP="00C43C88"/>
    <w:p w:rsidR="00C43C88" w:rsidRDefault="00C43C88" w:rsidP="00C43C88"/>
    <w:p w:rsidR="00C43C88" w:rsidRPr="00C43C88" w:rsidRDefault="00C43C88" w:rsidP="00C43C88"/>
    <w:p w:rsidR="001F215E" w:rsidRPr="0059332B" w:rsidRDefault="00FB587C" w:rsidP="002D4FB2">
      <w:pPr>
        <w:pStyle w:val="Heading1"/>
        <w:rPr>
          <w:rFonts w:ascii="Times New Roman" w:hAnsi="Times New Roman" w:cs="Times New Roman"/>
        </w:rPr>
      </w:pPr>
      <w:bookmarkStart w:id="12" w:name="_Toc320526595"/>
      <w:r w:rsidRPr="00FB587C">
        <w:rPr>
          <w:rFonts w:ascii="Times New Roman" w:hAnsi="Times New Roman" w:cs="Times New Roman"/>
        </w:rPr>
        <w:t>Demand-side Management Filings</w:t>
      </w:r>
      <w:bookmarkEnd w:id="10"/>
      <w:bookmarkEnd w:id="11"/>
      <w:bookmarkEnd w:id="12"/>
    </w:p>
    <w:p w:rsidR="001F215E" w:rsidRPr="00D8165F" w:rsidRDefault="001F215E" w:rsidP="001F215E">
      <w:pPr>
        <w:jc w:val="both"/>
      </w:pPr>
    </w:p>
    <w:p w:rsidR="001F215E" w:rsidRPr="00D8165F" w:rsidRDefault="003720D8" w:rsidP="001F215E">
      <w:pPr>
        <w:jc w:val="both"/>
      </w:pPr>
      <w:r>
        <w:t xml:space="preserve">Following are </w:t>
      </w:r>
      <w:r w:rsidR="001F215E" w:rsidRPr="00D8165F">
        <w:t>dates</w:t>
      </w:r>
      <w:r>
        <w:t xml:space="preserve"> and descriptions</w:t>
      </w:r>
      <w:r w:rsidR="001F215E" w:rsidRPr="00D8165F">
        <w:t xml:space="preserve"> of </w:t>
      </w:r>
      <w:r>
        <w:t>DSM</w:t>
      </w:r>
      <w:r w:rsidR="001F215E" w:rsidRPr="00D8165F">
        <w:t xml:space="preserve"> filings </w:t>
      </w:r>
      <w:r>
        <w:t>made by Pacific Power in the calendar year 2011:</w:t>
      </w:r>
    </w:p>
    <w:p w:rsidR="001F215E" w:rsidRPr="00D8165F" w:rsidRDefault="001F215E" w:rsidP="001F215E">
      <w:pPr>
        <w:jc w:val="both"/>
      </w:pPr>
    </w:p>
    <w:tbl>
      <w:tblPr>
        <w:tblStyle w:val="TableGrid"/>
        <w:tblW w:w="0" w:type="auto"/>
        <w:tblLook w:val="04A0"/>
      </w:tblPr>
      <w:tblGrid>
        <w:gridCol w:w="2564"/>
        <w:gridCol w:w="6292"/>
      </w:tblGrid>
      <w:tr w:rsidR="001F215E" w:rsidRPr="00D8165F" w:rsidTr="001F215E">
        <w:tc>
          <w:tcPr>
            <w:tcW w:w="2718" w:type="dxa"/>
          </w:tcPr>
          <w:p w:rsidR="001F215E" w:rsidRPr="00D8165F" w:rsidRDefault="001F215E" w:rsidP="001F215E">
            <w:pPr>
              <w:jc w:val="center"/>
              <w:rPr>
                <w:b/>
              </w:rPr>
            </w:pPr>
            <w:r w:rsidRPr="00D8165F">
              <w:rPr>
                <w:b/>
              </w:rPr>
              <w:t>Date</w:t>
            </w:r>
          </w:p>
        </w:tc>
        <w:tc>
          <w:tcPr>
            <w:tcW w:w="6750" w:type="dxa"/>
          </w:tcPr>
          <w:p w:rsidR="001F215E" w:rsidRPr="00D8165F" w:rsidRDefault="001F215E" w:rsidP="001F215E">
            <w:pPr>
              <w:jc w:val="center"/>
              <w:rPr>
                <w:b/>
              </w:rPr>
            </w:pPr>
            <w:r w:rsidRPr="00D8165F">
              <w:rPr>
                <w:b/>
              </w:rPr>
              <w:t>Filing Information/Request</w:t>
            </w:r>
          </w:p>
        </w:tc>
      </w:tr>
      <w:tr w:rsidR="001F215E" w:rsidRPr="00D8165F" w:rsidTr="001F215E">
        <w:tc>
          <w:tcPr>
            <w:tcW w:w="2718" w:type="dxa"/>
          </w:tcPr>
          <w:p w:rsidR="001F215E" w:rsidRPr="00D8165F" w:rsidRDefault="001F215E" w:rsidP="001F215E">
            <w:pPr>
              <w:jc w:val="both"/>
            </w:pPr>
            <w:r w:rsidRPr="00D8165F">
              <w:t>March 31</w:t>
            </w:r>
            <w:r w:rsidR="003720D8">
              <w:t>, 2011</w:t>
            </w:r>
          </w:p>
        </w:tc>
        <w:tc>
          <w:tcPr>
            <w:tcW w:w="6750" w:type="dxa"/>
          </w:tcPr>
          <w:p w:rsidR="001F215E" w:rsidRPr="00D8165F" w:rsidRDefault="001F215E" w:rsidP="001F215E">
            <w:pPr>
              <w:jc w:val="both"/>
              <w:rPr>
                <w:b/>
              </w:rPr>
            </w:pPr>
            <w:r w:rsidRPr="00D8165F">
              <w:t>2010 Annual Report on Conservation Acquisition</w:t>
            </w:r>
          </w:p>
        </w:tc>
      </w:tr>
      <w:tr w:rsidR="001F215E" w:rsidRPr="00D8165F" w:rsidTr="003720D8">
        <w:tc>
          <w:tcPr>
            <w:tcW w:w="2718" w:type="dxa"/>
            <w:vAlign w:val="center"/>
          </w:tcPr>
          <w:p w:rsidR="001D7359" w:rsidRDefault="001F215E">
            <w:pPr>
              <w:rPr>
                <w:sz w:val="22"/>
                <w:szCs w:val="22"/>
              </w:rPr>
            </w:pPr>
            <w:r w:rsidRPr="00247B48">
              <w:t>April 29</w:t>
            </w:r>
            <w:r w:rsidR="003720D8">
              <w:t>, 2011</w:t>
            </w:r>
          </w:p>
        </w:tc>
        <w:tc>
          <w:tcPr>
            <w:tcW w:w="6750" w:type="dxa"/>
          </w:tcPr>
          <w:p w:rsidR="001F215E" w:rsidRPr="00247B48" w:rsidRDefault="001F215E" w:rsidP="001A62AA">
            <w:pPr>
              <w:jc w:val="both"/>
            </w:pPr>
            <w:r w:rsidRPr="00247B48">
              <w:t>Schedule 191 System Benefits Charge Adjustment</w:t>
            </w:r>
            <w:r>
              <w:t>. Pacifi</w:t>
            </w:r>
            <w:r w:rsidR="0043243D">
              <w:t>c Power</w:t>
            </w:r>
            <w:r>
              <w:t xml:space="preserve"> did not propose an adjustment to the SBC in this filing</w:t>
            </w:r>
            <w:r w:rsidR="00B35FD0">
              <w:t xml:space="preserve"> </w:t>
            </w:r>
          </w:p>
        </w:tc>
      </w:tr>
      <w:tr w:rsidR="001F215E" w:rsidRPr="00D8165F" w:rsidTr="003720D8">
        <w:tc>
          <w:tcPr>
            <w:tcW w:w="2718" w:type="dxa"/>
            <w:vAlign w:val="center"/>
          </w:tcPr>
          <w:p w:rsidR="001D7359" w:rsidRDefault="001F215E">
            <w:r w:rsidRPr="00D8165F">
              <w:t>August 12</w:t>
            </w:r>
            <w:r w:rsidR="003720D8">
              <w:t>, 2011</w:t>
            </w:r>
          </w:p>
        </w:tc>
        <w:tc>
          <w:tcPr>
            <w:tcW w:w="6750" w:type="dxa"/>
          </w:tcPr>
          <w:p w:rsidR="001F215E" w:rsidRPr="00D8165F" w:rsidRDefault="001F215E" w:rsidP="001F215E">
            <w:pPr>
              <w:jc w:val="both"/>
              <w:rPr>
                <w:b/>
              </w:rPr>
            </w:pPr>
            <w:r w:rsidRPr="00D8165F">
              <w:t>Semi-annual report containing DSM expenditures and SBC collections from Jan</w:t>
            </w:r>
            <w:r w:rsidR="0059332B">
              <w:t>uary</w:t>
            </w:r>
            <w:r w:rsidRPr="00D8165F">
              <w:t xml:space="preserve"> 2011 to June 2011</w:t>
            </w:r>
          </w:p>
        </w:tc>
      </w:tr>
      <w:tr w:rsidR="001F215E" w:rsidRPr="00D8165F" w:rsidTr="003720D8">
        <w:tc>
          <w:tcPr>
            <w:tcW w:w="2718" w:type="dxa"/>
            <w:vAlign w:val="center"/>
          </w:tcPr>
          <w:p w:rsidR="001D7359" w:rsidRDefault="001F215E">
            <w:pPr>
              <w:rPr>
                <w:sz w:val="22"/>
                <w:szCs w:val="22"/>
              </w:rPr>
            </w:pPr>
            <w:r w:rsidRPr="00D8165F">
              <w:t>September 1</w:t>
            </w:r>
            <w:r w:rsidR="003720D8">
              <w:t>, 2011</w:t>
            </w:r>
          </w:p>
        </w:tc>
        <w:tc>
          <w:tcPr>
            <w:tcW w:w="6750" w:type="dxa"/>
          </w:tcPr>
          <w:p w:rsidR="001F215E" w:rsidRPr="00D8165F" w:rsidRDefault="001F215E" w:rsidP="00552DE2">
            <w:pPr>
              <w:jc w:val="both"/>
              <w:rPr>
                <w:b/>
              </w:rPr>
            </w:pPr>
            <w:r w:rsidRPr="00D8165F">
              <w:t>Projected cumulative ten-year conservation potential, excluding information related to DEI and production efficiency potential in non-hydro generation facilities, for the period of 2012 through 2021</w:t>
            </w:r>
          </w:p>
        </w:tc>
      </w:tr>
      <w:tr w:rsidR="001F215E" w:rsidRPr="00D8165F" w:rsidTr="003720D8">
        <w:tc>
          <w:tcPr>
            <w:tcW w:w="2718" w:type="dxa"/>
            <w:vAlign w:val="center"/>
          </w:tcPr>
          <w:p w:rsidR="001D7359" w:rsidRDefault="001F215E">
            <w:r w:rsidRPr="00D8165F">
              <w:t>September 15</w:t>
            </w:r>
            <w:r w:rsidR="003720D8">
              <w:t>, 2011</w:t>
            </w:r>
          </w:p>
        </w:tc>
        <w:tc>
          <w:tcPr>
            <w:tcW w:w="6750" w:type="dxa"/>
          </w:tcPr>
          <w:p w:rsidR="001F215E" w:rsidRPr="00D8165F" w:rsidRDefault="001F215E" w:rsidP="001A62AA">
            <w:pPr>
              <w:jc w:val="both"/>
            </w:pPr>
            <w:r w:rsidRPr="00D8165F">
              <w:t>Report on its Ten-year Achievable Conservation Potential and Biennial Conservation Target for 2012 and 2013</w:t>
            </w:r>
          </w:p>
        </w:tc>
      </w:tr>
      <w:tr w:rsidR="001F215E" w:rsidRPr="00D8165F" w:rsidTr="003720D8">
        <w:tc>
          <w:tcPr>
            <w:tcW w:w="2718" w:type="dxa"/>
            <w:vAlign w:val="center"/>
          </w:tcPr>
          <w:p w:rsidR="001D7359" w:rsidRDefault="001F215E">
            <w:r w:rsidRPr="00D8165F">
              <w:t>December 29</w:t>
            </w:r>
            <w:r w:rsidR="003720D8">
              <w:t>, 2011</w:t>
            </w:r>
          </w:p>
        </w:tc>
        <w:tc>
          <w:tcPr>
            <w:tcW w:w="6750" w:type="dxa"/>
          </w:tcPr>
          <w:p w:rsidR="001F215E" w:rsidRPr="00D8165F" w:rsidRDefault="001F215E" w:rsidP="001A62AA">
            <w:pPr>
              <w:jc w:val="both"/>
              <w:rPr>
                <w:b/>
              </w:rPr>
            </w:pPr>
            <w:r w:rsidRPr="00D8165F">
              <w:t>Projected cumulative ten-year conservation potential, for the period of 2012 through 2021</w:t>
            </w:r>
          </w:p>
        </w:tc>
      </w:tr>
    </w:tbl>
    <w:p w:rsidR="001F215E" w:rsidRPr="00D8165F" w:rsidRDefault="001F215E" w:rsidP="001F215E">
      <w:pPr>
        <w:jc w:val="both"/>
      </w:pPr>
    </w:p>
    <w:p w:rsidR="001F215E" w:rsidRDefault="001F215E" w:rsidP="001F215E">
      <w:pPr>
        <w:rPr>
          <w:b/>
        </w:rPr>
      </w:pPr>
    </w:p>
    <w:p w:rsidR="001F215E" w:rsidRDefault="001F215E" w:rsidP="001F215E">
      <w:pPr>
        <w:rPr>
          <w:b/>
        </w:rPr>
      </w:pPr>
    </w:p>
    <w:p w:rsidR="00E40049" w:rsidRDefault="00E40049" w:rsidP="001F215E">
      <w:pPr>
        <w:rPr>
          <w:b/>
        </w:rPr>
      </w:pPr>
    </w:p>
    <w:p w:rsidR="001F215E" w:rsidRPr="001F215E" w:rsidRDefault="001F215E" w:rsidP="001F215E">
      <w:pPr>
        <w:rPr>
          <w:b/>
          <w:sz w:val="28"/>
          <w:szCs w:val="28"/>
        </w:rPr>
      </w:pPr>
      <w:r w:rsidRPr="001F215E">
        <w:rPr>
          <w:b/>
          <w:sz w:val="28"/>
          <w:szCs w:val="28"/>
        </w:rPr>
        <w:t>Tariff modification</w:t>
      </w:r>
      <w:r w:rsidR="003720D8">
        <w:rPr>
          <w:b/>
          <w:sz w:val="28"/>
          <w:szCs w:val="28"/>
        </w:rPr>
        <w:t>s</w:t>
      </w:r>
      <w:r w:rsidRPr="001F215E">
        <w:rPr>
          <w:b/>
          <w:sz w:val="28"/>
          <w:szCs w:val="28"/>
        </w:rPr>
        <w:t xml:space="preserve"> </w:t>
      </w:r>
    </w:p>
    <w:p w:rsidR="001F215E" w:rsidRPr="00D8165F" w:rsidRDefault="001F215E" w:rsidP="001F215E"/>
    <w:p w:rsidR="00552DE2" w:rsidRDefault="00552DE2" w:rsidP="00552DE2">
      <w:pPr>
        <w:jc w:val="both"/>
      </w:pPr>
      <w:r w:rsidRPr="00B34E9C">
        <w:t xml:space="preserve">No </w:t>
      </w:r>
      <w:r>
        <w:t>tariff</w:t>
      </w:r>
      <w:r w:rsidRPr="00B34E9C">
        <w:t xml:space="preserve"> </w:t>
      </w:r>
      <w:r>
        <w:t>modification</w:t>
      </w:r>
      <w:r w:rsidRPr="00B34E9C">
        <w:t xml:space="preserve">s </w:t>
      </w:r>
      <w:r>
        <w:t xml:space="preserve">occurred </w:t>
      </w:r>
      <w:r w:rsidR="003720D8">
        <w:t xml:space="preserve">in calendar year </w:t>
      </w:r>
      <w:r>
        <w:t>20</w:t>
      </w:r>
      <w:r w:rsidRPr="00B34E9C">
        <w:t>1</w:t>
      </w:r>
      <w:r>
        <w:t>1</w:t>
      </w:r>
      <w:r w:rsidRPr="00B34E9C">
        <w:t xml:space="preserve">. </w:t>
      </w:r>
    </w:p>
    <w:p w:rsidR="00163050" w:rsidRDefault="00163050" w:rsidP="002D4FB2">
      <w:pPr>
        <w:pStyle w:val="Heading1"/>
        <w:rPr>
          <w:rFonts w:ascii="Times New Roman" w:hAnsi="Times New Roman" w:cs="Times New Roman"/>
        </w:rPr>
      </w:pPr>
      <w:bookmarkStart w:id="13" w:name="_Toc234046347"/>
      <w:bookmarkStart w:id="14" w:name="_Toc288484123"/>
      <w:bookmarkStart w:id="15" w:name="_Toc289064242"/>
      <w:bookmarkStart w:id="16" w:name="_Toc320526596"/>
    </w:p>
    <w:p w:rsidR="00163050" w:rsidRDefault="00163050" w:rsidP="002D4FB2">
      <w:pPr>
        <w:pStyle w:val="Heading1"/>
        <w:rPr>
          <w:rFonts w:ascii="Times New Roman" w:hAnsi="Times New Roman" w:cs="Times New Roman"/>
        </w:rPr>
      </w:pPr>
    </w:p>
    <w:p w:rsidR="00163050" w:rsidRDefault="00163050" w:rsidP="002D4FB2">
      <w:pPr>
        <w:pStyle w:val="Heading1"/>
        <w:rPr>
          <w:rFonts w:ascii="Times New Roman" w:hAnsi="Times New Roman" w:cs="Times New Roman"/>
        </w:rPr>
      </w:pPr>
    </w:p>
    <w:p w:rsidR="00163050" w:rsidRDefault="00163050" w:rsidP="002D4FB2">
      <w:pPr>
        <w:pStyle w:val="Heading1"/>
        <w:rPr>
          <w:rFonts w:ascii="Times New Roman" w:hAnsi="Times New Roman" w:cs="Times New Roman"/>
        </w:rPr>
      </w:pPr>
    </w:p>
    <w:p w:rsidR="00163050" w:rsidRDefault="00163050" w:rsidP="002D4FB2">
      <w:pPr>
        <w:pStyle w:val="Heading1"/>
        <w:rPr>
          <w:rFonts w:ascii="Times New Roman" w:hAnsi="Times New Roman" w:cs="Times New Roman"/>
        </w:rPr>
      </w:pPr>
    </w:p>
    <w:p w:rsidR="00163050" w:rsidRDefault="00163050" w:rsidP="002D4FB2">
      <w:pPr>
        <w:pStyle w:val="Heading1"/>
        <w:rPr>
          <w:rFonts w:ascii="Times New Roman" w:hAnsi="Times New Roman" w:cs="Times New Roman"/>
        </w:rPr>
      </w:pPr>
    </w:p>
    <w:p w:rsidR="00163050" w:rsidRDefault="00163050" w:rsidP="002D4FB2">
      <w:pPr>
        <w:pStyle w:val="Heading1"/>
        <w:rPr>
          <w:rFonts w:ascii="Times New Roman" w:hAnsi="Times New Roman" w:cs="Times New Roman"/>
        </w:rPr>
      </w:pPr>
    </w:p>
    <w:p w:rsidR="00163050" w:rsidRDefault="00163050" w:rsidP="00163050"/>
    <w:p w:rsidR="00163050" w:rsidRPr="00163050" w:rsidRDefault="00163050" w:rsidP="00163050"/>
    <w:p w:rsidR="00C27914" w:rsidRPr="0059332B" w:rsidRDefault="00FB587C" w:rsidP="002D4FB2">
      <w:pPr>
        <w:pStyle w:val="Heading1"/>
        <w:rPr>
          <w:rFonts w:ascii="Times New Roman" w:hAnsi="Times New Roman" w:cs="Times New Roman"/>
        </w:rPr>
      </w:pPr>
      <w:r w:rsidRPr="00FB587C">
        <w:rPr>
          <w:rFonts w:ascii="Times New Roman" w:hAnsi="Times New Roman" w:cs="Times New Roman"/>
        </w:rPr>
        <w:t xml:space="preserve">2011 Performance </w:t>
      </w:r>
      <w:bookmarkEnd w:id="13"/>
      <w:r w:rsidRPr="00FB587C">
        <w:rPr>
          <w:rFonts w:ascii="Times New Roman" w:hAnsi="Times New Roman" w:cs="Times New Roman"/>
        </w:rPr>
        <w:t>and Activity</w:t>
      </w:r>
      <w:bookmarkEnd w:id="14"/>
      <w:bookmarkEnd w:id="15"/>
      <w:bookmarkEnd w:id="16"/>
    </w:p>
    <w:p w:rsidR="008C6BDB" w:rsidRPr="00B34E9C" w:rsidRDefault="008C6BDB" w:rsidP="002810D1">
      <w:pPr>
        <w:jc w:val="both"/>
      </w:pPr>
    </w:p>
    <w:p w:rsidR="008C6BDB" w:rsidRPr="00B34E9C" w:rsidRDefault="008C6BDB" w:rsidP="002810D1">
      <w:pPr>
        <w:jc w:val="both"/>
      </w:pPr>
      <w:r w:rsidRPr="00B34E9C">
        <w:t>In 20</w:t>
      </w:r>
      <w:r w:rsidR="009B6E2F" w:rsidRPr="00B34E9C">
        <w:t>1</w:t>
      </w:r>
      <w:r w:rsidR="001368CB">
        <w:t>1</w:t>
      </w:r>
      <w:r w:rsidRPr="00B34E9C">
        <w:t>, Pacifi</w:t>
      </w:r>
      <w:r w:rsidR="0043243D">
        <w:t>c Power</w:t>
      </w:r>
      <w:r w:rsidRPr="00B34E9C">
        <w:t xml:space="preserve"> achieved total savings of</w:t>
      </w:r>
      <w:r w:rsidRPr="00B34E9C">
        <w:rPr>
          <w:b/>
          <w:bCs/>
        </w:rPr>
        <w:t xml:space="preserve"> </w:t>
      </w:r>
      <w:proofErr w:type="gramStart"/>
      <w:r w:rsidR="00BE3047" w:rsidRPr="00BE3047">
        <w:rPr>
          <w:bCs/>
        </w:rPr>
        <w:t>49,983,694 kWh/year,</w:t>
      </w:r>
      <w:proofErr w:type="gramEnd"/>
      <w:r w:rsidR="00BE3047" w:rsidRPr="00BE3047">
        <w:rPr>
          <w:bCs/>
        </w:rPr>
        <w:t xml:space="preserve"> or 5.71 aMW</w:t>
      </w:r>
      <w:r w:rsidRPr="00B34E9C">
        <w:rPr>
          <w:b/>
          <w:bCs/>
        </w:rPr>
        <w:t xml:space="preserve"> </w:t>
      </w:r>
      <w:r w:rsidRPr="00B34E9C">
        <w:t>in the State of Washington (at generation)</w:t>
      </w:r>
      <w:r w:rsidR="00493079">
        <w:t>.</w:t>
      </w:r>
      <w:r w:rsidR="001A62AA">
        <w:rPr>
          <w:rStyle w:val="FootnoteReference"/>
        </w:rPr>
        <w:footnoteReference w:id="3"/>
      </w:r>
      <w:r w:rsidRPr="00B34E9C">
        <w:t xml:space="preserve">  Table </w:t>
      </w:r>
      <w:r w:rsidR="000F50EE" w:rsidRPr="00B34E9C">
        <w:t>2</w:t>
      </w:r>
      <w:r w:rsidRPr="00B34E9C">
        <w:t xml:space="preserve"> below shows savings by program and by sector</w:t>
      </w:r>
      <w:r w:rsidR="00493079">
        <w:t>.</w:t>
      </w:r>
      <w:r w:rsidRPr="00B34E9C">
        <w:rPr>
          <w:rStyle w:val="FootnoteReference"/>
        </w:rPr>
        <w:footnoteReference w:id="4"/>
      </w:r>
    </w:p>
    <w:p w:rsidR="008C6BDB" w:rsidRPr="00B34E9C" w:rsidRDefault="00A32AFB" w:rsidP="00A32AFB">
      <w:pPr>
        <w:pStyle w:val="Caption"/>
      </w:pPr>
      <w:bookmarkStart w:id="17" w:name="_Toc233606217"/>
      <w:bookmarkStart w:id="18" w:name="_Toc288483637"/>
      <w:bookmarkStart w:id="19" w:name="_Toc320624117"/>
      <w:r>
        <w:t xml:space="preserve">Table </w:t>
      </w:r>
      <w:fldSimple w:instr=" SEQ Table \* ARABIC ">
        <w:r w:rsidR="00CE280F">
          <w:rPr>
            <w:noProof/>
          </w:rPr>
          <w:t>2</w:t>
        </w:r>
      </w:fldSimple>
      <w:bookmarkEnd w:id="17"/>
      <w:r>
        <w:t>:  2011 Performance and Activity</w:t>
      </w:r>
      <w:r w:rsidR="008C6BDB" w:rsidRPr="00B34E9C">
        <w:rPr>
          <w:rStyle w:val="FootnoteReference"/>
        </w:rPr>
        <w:footnoteReference w:id="5"/>
      </w:r>
      <w:bookmarkEnd w:id="18"/>
      <w:bookmarkEnd w:id="19"/>
    </w:p>
    <w:p w:rsidR="000825A1" w:rsidRPr="00FB68FC" w:rsidRDefault="00163050" w:rsidP="000825A1">
      <w:pPr>
        <w:rPr>
          <w:rFonts w:ascii="Arial" w:hAnsi="Arial" w:cs="Arial"/>
          <w:bCs/>
          <w:sz w:val="18"/>
          <w:szCs w:val="18"/>
        </w:rPr>
      </w:pPr>
      <w:r w:rsidRPr="003253C4">
        <w:rPr>
          <w:b/>
          <w:bCs/>
          <w:u w:val="single"/>
        </w:rPr>
        <w:object w:dxaOrig="9664" w:dyaOrig="7714">
          <v:shape id="_x0000_i1026" type="#_x0000_t75" style="width:436.1pt;height:362.7pt" o:ole="">
            <v:imagedata r:id="rId9" o:title=""/>
          </v:shape>
          <o:OLEObject Type="Embed" ProgID="Excel.Sheet.12" ShapeID="_x0000_i1026" DrawAspect="Content" ObjectID="_1394628386" r:id="rId10"/>
        </w:object>
      </w:r>
      <w:r w:rsidR="00FB68FC" w:rsidRPr="00FB68FC">
        <w:rPr>
          <w:bCs/>
          <w:sz w:val="18"/>
          <w:szCs w:val="18"/>
        </w:rPr>
        <w:t xml:space="preserve">* </w:t>
      </w:r>
      <w:r w:rsidR="00FB68FC" w:rsidRPr="00FB68FC">
        <w:rPr>
          <w:rFonts w:ascii="Arial" w:hAnsi="Arial" w:cs="Arial"/>
          <w:bCs/>
          <w:sz w:val="18"/>
          <w:szCs w:val="18"/>
        </w:rPr>
        <w:t xml:space="preserve">Northwest Energy Efficiency Alliance number is considered </w:t>
      </w:r>
      <w:r w:rsidR="00FB68FC">
        <w:rPr>
          <w:rFonts w:ascii="Arial" w:hAnsi="Arial" w:cs="Arial"/>
          <w:bCs/>
          <w:sz w:val="18"/>
          <w:szCs w:val="18"/>
        </w:rPr>
        <w:t>“</w:t>
      </w:r>
      <w:r w:rsidR="00FB68FC" w:rsidRPr="00FB68FC">
        <w:rPr>
          <w:rFonts w:ascii="Arial" w:hAnsi="Arial" w:cs="Arial"/>
          <w:bCs/>
          <w:sz w:val="18"/>
          <w:szCs w:val="18"/>
        </w:rPr>
        <w:t>preliminary</w:t>
      </w:r>
      <w:r w:rsidR="00FB68FC">
        <w:rPr>
          <w:rFonts w:ascii="Arial" w:hAnsi="Arial" w:cs="Arial"/>
          <w:bCs/>
          <w:sz w:val="18"/>
          <w:szCs w:val="18"/>
        </w:rPr>
        <w:t>”</w:t>
      </w:r>
      <w:r w:rsidR="001A62AA">
        <w:rPr>
          <w:rFonts w:ascii="Arial" w:hAnsi="Arial" w:cs="Arial"/>
          <w:bCs/>
          <w:sz w:val="18"/>
          <w:szCs w:val="18"/>
        </w:rPr>
        <w:t>.</w:t>
      </w:r>
    </w:p>
    <w:p w:rsidR="008C6BDB" w:rsidRPr="00B34E9C" w:rsidRDefault="00864DCF" w:rsidP="000825A1">
      <w:pPr>
        <w:rPr>
          <w:b/>
          <w:bCs/>
        </w:rPr>
      </w:pPr>
      <w:r w:rsidRPr="0043243D">
        <w:rPr>
          <w:b/>
          <w:bCs/>
        </w:rPr>
        <w:t>Major Trends and Activities</w:t>
      </w:r>
    </w:p>
    <w:p w:rsidR="00354B2F" w:rsidRPr="0024323A" w:rsidRDefault="00354B2F" w:rsidP="00354B2F">
      <w:pPr>
        <w:jc w:val="both"/>
      </w:pPr>
      <w:r w:rsidRPr="00B34E9C">
        <w:t>In 201</w:t>
      </w:r>
      <w:r w:rsidR="00986C19">
        <w:t>1</w:t>
      </w:r>
      <w:r w:rsidRPr="00B34E9C">
        <w:t>, the Company realized a</w:t>
      </w:r>
      <w:r w:rsidR="001F054D">
        <w:t>n in</w:t>
      </w:r>
      <w:r w:rsidRPr="00B34E9C">
        <w:t xml:space="preserve">crease in overall energy efficiency savings of </w:t>
      </w:r>
      <w:r w:rsidR="001F054D">
        <w:t>20</w:t>
      </w:r>
      <w:r w:rsidRPr="00B34E9C">
        <w:t xml:space="preserve"> percent compared to 20</w:t>
      </w:r>
      <w:r w:rsidR="001F054D">
        <w:t>1</w:t>
      </w:r>
      <w:r w:rsidRPr="00B34E9C">
        <w:t>0. At a sector leve</w:t>
      </w:r>
      <w:r w:rsidR="00782745" w:rsidRPr="00B34E9C">
        <w:t>l</w:t>
      </w:r>
      <w:r w:rsidRPr="00B34E9C">
        <w:t xml:space="preserve">, the residential sector savings </w:t>
      </w:r>
      <w:r w:rsidR="001F054D">
        <w:t>in</w:t>
      </w:r>
      <w:r w:rsidRPr="00B34E9C">
        <w:t xml:space="preserve">creased </w:t>
      </w:r>
      <w:r w:rsidR="001F054D">
        <w:t>42</w:t>
      </w:r>
      <w:r w:rsidRPr="00B34E9C">
        <w:t xml:space="preserve"> percent on a kWh/year basis compared to 20</w:t>
      </w:r>
      <w:r w:rsidR="001F054D">
        <w:t>10</w:t>
      </w:r>
      <w:r w:rsidRPr="00B34E9C">
        <w:t xml:space="preserve">. The commercial sector </w:t>
      </w:r>
      <w:r w:rsidR="001F054D">
        <w:t xml:space="preserve">savings </w:t>
      </w:r>
      <w:r w:rsidRPr="00B34E9C">
        <w:t xml:space="preserve">delivered approximately </w:t>
      </w:r>
      <w:r w:rsidR="001F054D">
        <w:t>29</w:t>
      </w:r>
      <w:r w:rsidRPr="00B34E9C">
        <w:t xml:space="preserve"> percent </w:t>
      </w:r>
      <w:r w:rsidR="001F054D">
        <w:t>less</w:t>
      </w:r>
      <w:r w:rsidRPr="00B34E9C">
        <w:t xml:space="preserve"> kWh/year savings than in 20</w:t>
      </w:r>
      <w:r w:rsidR="001F054D">
        <w:t>10</w:t>
      </w:r>
      <w:r w:rsidRPr="00B34E9C">
        <w:t xml:space="preserve">. </w:t>
      </w:r>
      <w:r w:rsidR="0024323A" w:rsidRPr="0024323A">
        <w:t xml:space="preserve">The industrial savings </w:t>
      </w:r>
      <w:r w:rsidR="001F054D">
        <w:t>in</w:t>
      </w:r>
      <w:r w:rsidR="0024323A" w:rsidRPr="0024323A">
        <w:t xml:space="preserve">creased </w:t>
      </w:r>
      <w:r w:rsidR="001F054D">
        <w:t>2</w:t>
      </w:r>
      <w:r w:rsidR="0024323A" w:rsidRPr="0024323A">
        <w:t>4 percent in 201</w:t>
      </w:r>
      <w:r w:rsidR="001F054D">
        <w:t>1</w:t>
      </w:r>
      <w:r w:rsidR="0024323A" w:rsidRPr="0024323A">
        <w:t xml:space="preserve"> compared to 20</w:t>
      </w:r>
      <w:r w:rsidR="001F054D">
        <w:t>10.</w:t>
      </w:r>
    </w:p>
    <w:p w:rsidR="00354B2F" w:rsidRPr="00B34E9C" w:rsidRDefault="00354B2F" w:rsidP="00354B2F">
      <w:pPr>
        <w:jc w:val="both"/>
      </w:pPr>
    </w:p>
    <w:p w:rsidR="009A18D4" w:rsidRDefault="00354B2F" w:rsidP="00354B2F">
      <w:pPr>
        <w:jc w:val="both"/>
      </w:pPr>
      <w:r w:rsidRPr="00B34E9C">
        <w:t xml:space="preserve">Expenditures related to program delivery </w:t>
      </w:r>
      <w:r w:rsidR="00E87BD1" w:rsidRPr="00B34E9C">
        <w:t>increased</w:t>
      </w:r>
      <w:r w:rsidRPr="00B34E9C">
        <w:t xml:space="preserve"> in 201</w:t>
      </w:r>
      <w:r w:rsidR="001F054D">
        <w:t>1</w:t>
      </w:r>
      <w:r w:rsidRPr="00B34E9C">
        <w:t xml:space="preserve"> as compared to 20</w:t>
      </w:r>
      <w:r w:rsidR="001F054D">
        <w:t>10</w:t>
      </w:r>
      <w:r w:rsidRPr="00B34E9C">
        <w:t xml:space="preserve">. Overall portfolio expenditures </w:t>
      </w:r>
      <w:r w:rsidR="00623BA0" w:rsidRPr="00B34E9C">
        <w:t>in</w:t>
      </w:r>
      <w:r w:rsidRPr="00B34E9C">
        <w:t>creased by 1</w:t>
      </w:r>
      <w:r w:rsidR="001F054D">
        <w:t>8</w:t>
      </w:r>
      <w:r w:rsidRPr="00B34E9C">
        <w:t xml:space="preserve"> percent compared to 20</w:t>
      </w:r>
      <w:r w:rsidR="001F054D">
        <w:t>10</w:t>
      </w:r>
      <w:r w:rsidRPr="00B34E9C">
        <w:t xml:space="preserve">, energy efficiency programs </w:t>
      </w:r>
      <w:r w:rsidR="00623BA0" w:rsidRPr="00B34E9C">
        <w:t>in</w:t>
      </w:r>
      <w:r w:rsidRPr="00B34E9C">
        <w:t xml:space="preserve">creased </w:t>
      </w:r>
      <w:r w:rsidR="001F054D">
        <w:t>2</w:t>
      </w:r>
      <w:r w:rsidRPr="00B34E9C">
        <w:t xml:space="preserve"> percent and </w:t>
      </w:r>
      <w:r w:rsidR="00623BA0" w:rsidRPr="00B34E9C">
        <w:t xml:space="preserve">NEEA expenditures increased </w:t>
      </w:r>
      <w:r w:rsidR="001F054D">
        <w:t>5</w:t>
      </w:r>
      <w:r w:rsidR="00623BA0" w:rsidRPr="00B34E9C">
        <w:t xml:space="preserve"> percent in 201</w:t>
      </w:r>
      <w:r w:rsidR="001F054D">
        <w:t>1</w:t>
      </w:r>
      <w:r w:rsidR="00623BA0" w:rsidRPr="00B34E9C">
        <w:t xml:space="preserve"> compared to 20</w:t>
      </w:r>
      <w:r w:rsidR="001F054D">
        <w:t>10</w:t>
      </w:r>
      <w:r w:rsidR="00623BA0" w:rsidRPr="00B34E9C">
        <w:t xml:space="preserve">. </w:t>
      </w:r>
      <w:r w:rsidRPr="00B34E9C">
        <w:t xml:space="preserve"> At a sector level, residential energy efficiency expenditures </w:t>
      </w:r>
      <w:r w:rsidR="00D26BC7">
        <w:t>in</w:t>
      </w:r>
      <w:r w:rsidRPr="00B34E9C">
        <w:t xml:space="preserve">creased by </w:t>
      </w:r>
      <w:r w:rsidR="001F054D">
        <w:t>2</w:t>
      </w:r>
      <w:r w:rsidRPr="00B34E9C">
        <w:t xml:space="preserve"> percent while expenditures for commercial </w:t>
      </w:r>
      <w:r w:rsidR="00D26BC7">
        <w:t>de</w:t>
      </w:r>
      <w:r w:rsidRPr="00B34E9C">
        <w:t xml:space="preserve">creased by </w:t>
      </w:r>
      <w:r w:rsidR="00D26BC7">
        <w:t>less than 1</w:t>
      </w:r>
      <w:r w:rsidRPr="00B34E9C">
        <w:t xml:space="preserve"> percent and industrial </w:t>
      </w:r>
      <w:r w:rsidR="00D26BC7">
        <w:t>in</w:t>
      </w:r>
      <w:r w:rsidRPr="00B34E9C">
        <w:t xml:space="preserve">creased by </w:t>
      </w:r>
      <w:r w:rsidR="00D26BC7">
        <w:t>4</w:t>
      </w:r>
      <w:r w:rsidRPr="00B34E9C">
        <w:t xml:space="preserve"> percent.</w:t>
      </w:r>
      <w:r w:rsidR="00930C5A">
        <w:t xml:space="preserve"> Other factors that impact</w:t>
      </w:r>
      <w:r w:rsidR="00FD121C">
        <w:t>ed</w:t>
      </w:r>
      <w:r w:rsidR="00930C5A">
        <w:t xml:space="preserve"> the overall increase from 2010 to 2011 is the cost associated with the Company Initiatives and Outreach </w:t>
      </w:r>
      <w:proofErr w:type="gramStart"/>
      <w:r w:rsidR="00FA0CF0">
        <w:t xml:space="preserve">and </w:t>
      </w:r>
      <w:r w:rsidR="00930C5A">
        <w:t xml:space="preserve"> Communication</w:t>
      </w:r>
      <w:proofErr w:type="gramEnd"/>
      <w:r w:rsidR="00930C5A">
        <w:t xml:space="preserve">.  </w:t>
      </w:r>
    </w:p>
    <w:p w:rsidR="0024323A" w:rsidRDefault="0024323A" w:rsidP="00354B2F">
      <w:pPr>
        <w:jc w:val="both"/>
      </w:pPr>
    </w:p>
    <w:p w:rsidR="00023F63" w:rsidRDefault="0024323A" w:rsidP="00354B2F">
      <w:pPr>
        <w:jc w:val="both"/>
      </w:pPr>
      <w:r w:rsidRPr="0024323A">
        <w:t xml:space="preserve">The increase in </w:t>
      </w:r>
      <w:r w:rsidR="00D26BC7">
        <w:t xml:space="preserve">residential </w:t>
      </w:r>
      <w:r w:rsidRPr="0024323A">
        <w:t xml:space="preserve">savings was primarily driven from </w:t>
      </w:r>
      <w:r w:rsidR="00023F63">
        <w:t xml:space="preserve">preliminary </w:t>
      </w:r>
      <w:r w:rsidR="00D26BC7">
        <w:t>NEEA</w:t>
      </w:r>
      <w:r w:rsidR="00023F63">
        <w:t xml:space="preserve"> results</w:t>
      </w:r>
      <w:r w:rsidR="00043A16">
        <w:t>.</w:t>
      </w:r>
      <w:r w:rsidR="00A0422D">
        <w:rPr>
          <w:rStyle w:val="FootnoteReference"/>
        </w:rPr>
        <w:footnoteReference w:id="6"/>
      </w:r>
      <w:r w:rsidR="00043A16">
        <w:t xml:space="preserve">  </w:t>
      </w:r>
    </w:p>
    <w:p w:rsidR="008C6BDB" w:rsidRPr="00B34E9C" w:rsidRDefault="008C6BDB" w:rsidP="00952A6B">
      <w:pPr>
        <w:jc w:val="both"/>
      </w:pPr>
    </w:p>
    <w:p w:rsidR="008C6BDB" w:rsidRPr="00B34E9C" w:rsidRDefault="008C6BDB">
      <w:pPr>
        <w:jc w:val="both"/>
        <w:rPr>
          <w:b/>
        </w:rPr>
      </w:pPr>
      <w:r w:rsidRPr="00B34E9C">
        <w:rPr>
          <w:b/>
        </w:rPr>
        <w:t>Program Evaluations</w:t>
      </w:r>
    </w:p>
    <w:p w:rsidR="00B15B2E" w:rsidRDefault="008C6BDB">
      <w:pPr>
        <w:jc w:val="both"/>
      </w:pPr>
      <w:r w:rsidRPr="00B34E9C">
        <w:t xml:space="preserve">In </w:t>
      </w:r>
      <w:r w:rsidR="00FD3AC1" w:rsidRPr="00B34E9C">
        <w:t>201</w:t>
      </w:r>
      <w:r w:rsidR="00726DFB">
        <w:t>1</w:t>
      </w:r>
      <w:r w:rsidR="00E611B4">
        <w:t xml:space="preserve">, the Company hired </w:t>
      </w:r>
      <w:r w:rsidR="00DA168A">
        <w:t xml:space="preserve">an </w:t>
      </w:r>
      <w:r w:rsidR="00E611B4">
        <w:t xml:space="preserve">external evaluator to </w:t>
      </w:r>
      <w:r w:rsidR="00FD3AC1" w:rsidRPr="00B34E9C">
        <w:t>complete</w:t>
      </w:r>
      <w:r w:rsidRPr="00B34E9C">
        <w:t xml:space="preserve"> process and impact evaluations</w:t>
      </w:r>
      <w:r w:rsidR="001A7ABE">
        <w:t xml:space="preserve">. </w:t>
      </w:r>
      <w:r w:rsidR="00E07D79" w:rsidRPr="00B34E9C">
        <w:t xml:space="preserve"> </w:t>
      </w:r>
      <w:r w:rsidR="00276AA7">
        <w:t xml:space="preserve">The evaluation for the </w:t>
      </w:r>
      <w:r w:rsidR="00E359A7">
        <w:t xml:space="preserve">three </w:t>
      </w:r>
      <w:r w:rsidR="00E611B4">
        <w:t xml:space="preserve">residential </w:t>
      </w:r>
      <w:r w:rsidR="006A6C39">
        <w:t>programs</w:t>
      </w:r>
      <w:r w:rsidR="00E611B4">
        <w:t>;</w:t>
      </w:r>
      <w:r w:rsidR="006A6C39">
        <w:t xml:space="preserve"> </w:t>
      </w:r>
      <w:r w:rsidRPr="00B34E9C">
        <w:t>Home Energy Savings</w:t>
      </w:r>
      <w:proofErr w:type="gramStart"/>
      <w:r w:rsidR="00E359A7">
        <w:t xml:space="preserve">, </w:t>
      </w:r>
      <w:r w:rsidR="00E825B7">
        <w:t xml:space="preserve"> </w:t>
      </w:r>
      <w:r w:rsidRPr="00B34E9C">
        <w:t>See</w:t>
      </w:r>
      <w:proofErr w:type="gramEnd"/>
      <w:r w:rsidRPr="00B34E9C">
        <w:t xml:space="preserve"> </w:t>
      </w:r>
      <w:r w:rsidR="00A559BF" w:rsidRPr="00B34E9C">
        <w:t>y</w:t>
      </w:r>
      <w:r w:rsidRPr="00B34E9C">
        <w:t xml:space="preserve">a </w:t>
      </w:r>
      <w:r w:rsidR="00A559BF" w:rsidRPr="00B34E9C">
        <w:t>l</w:t>
      </w:r>
      <w:r w:rsidRPr="00B34E9C">
        <w:t>ater</w:t>
      </w:r>
      <w:r w:rsidR="00A559BF" w:rsidRPr="00B34E9C">
        <w:t>,</w:t>
      </w:r>
      <w:r w:rsidRPr="00B34E9C">
        <w:t xml:space="preserve"> </w:t>
      </w:r>
      <w:r w:rsidR="00A559BF" w:rsidRPr="00B34E9C">
        <w:t>r</w:t>
      </w:r>
      <w:r w:rsidRPr="00B34E9C">
        <w:t>efrigerator</w:t>
      </w:r>
      <w:r w:rsidR="00AF4536" w:rsidRPr="00B34E9C">
        <w:rPr>
          <w:b/>
          <w:bCs/>
          <w:color w:val="333333"/>
          <w:sz w:val="18"/>
          <w:szCs w:val="18"/>
        </w:rPr>
        <w:t>®</w:t>
      </w:r>
      <w:r w:rsidR="00E359A7">
        <w:rPr>
          <w:b/>
          <w:bCs/>
          <w:color w:val="333333"/>
          <w:sz w:val="18"/>
          <w:szCs w:val="18"/>
        </w:rPr>
        <w:t xml:space="preserve"> </w:t>
      </w:r>
      <w:r w:rsidR="001A7ABE">
        <w:t xml:space="preserve"> </w:t>
      </w:r>
      <w:r w:rsidR="00E359A7">
        <w:t xml:space="preserve">and Energy Education in Schools </w:t>
      </w:r>
      <w:r w:rsidR="001A7ABE">
        <w:t>were</w:t>
      </w:r>
      <w:r w:rsidRPr="00B34E9C">
        <w:t xml:space="preserve"> </w:t>
      </w:r>
      <w:r w:rsidR="00276AA7">
        <w:t>still being reviewed at the end of the year</w:t>
      </w:r>
      <w:r w:rsidR="001A7ABE">
        <w:t>.</w:t>
      </w:r>
      <w:r w:rsidRPr="00B34E9C">
        <w:t xml:space="preserve"> </w:t>
      </w:r>
    </w:p>
    <w:p w:rsidR="004C3518" w:rsidRDefault="004C3518">
      <w:pPr>
        <w:jc w:val="both"/>
        <w:outlineLvl w:val="0"/>
      </w:pPr>
    </w:p>
    <w:p w:rsidR="00A0422D" w:rsidRDefault="00A92942">
      <w:pPr>
        <w:jc w:val="both"/>
        <w:outlineLvl w:val="0"/>
        <w:rPr>
          <w:b/>
          <w:sz w:val="28"/>
          <w:szCs w:val="28"/>
        </w:rPr>
      </w:pPr>
      <w:r>
        <w:t>T</w:t>
      </w:r>
      <w:r w:rsidR="00B15B2E">
        <w:t xml:space="preserve">he Company </w:t>
      </w:r>
      <w:r w:rsidR="007E170E">
        <w:t>spent $</w:t>
      </w:r>
      <w:r w:rsidR="00726DFB">
        <w:t>315,73</w:t>
      </w:r>
      <w:r w:rsidR="001C1FFD">
        <w:t>3</w:t>
      </w:r>
      <w:r w:rsidR="00B15B2E">
        <w:t xml:space="preserve"> on </w:t>
      </w:r>
      <w:r w:rsidR="007E170E">
        <w:t>third-party program impact and process evaluations</w:t>
      </w:r>
      <w:r w:rsidR="0081268D">
        <w:t xml:space="preserve"> which </w:t>
      </w:r>
      <w:r w:rsidR="007E170E">
        <w:t xml:space="preserve">represented </w:t>
      </w:r>
      <w:r w:rsidR="00726DFB">
        <w:t>3.5</w:t>
      </w:r>
      <w:r w:rsidR="007E170E">
        <w:t xml:space="preserve"> percent of the 201</w:t>
      </w:r>
      <w:r w:rsidR="00726DFB">
        <w:t>1</w:t>
      </w:r>
      <w:r w:rsidR="006A6C39">
        <w:t xml:space="preserve"> annual program expenditures.  In Docket UE-100170, Order 02, spending requirements were set for EM&amp;V activities to ensure adequate attention and resources are expended to verify conservation program results. Consistent with the requirements of Order 02, </w:t>
      </w:r>
      <w:r w:rsidR="0043243D">
        <w:t>Pacific Power</w:t>
      </w:r>
      <w:r w:rsidR="006A6C39">
        <w:t xml:space="preserve"> </w:t>
      </w:r>
      <w:r w:rsidR="00930C5A">
        <w:t xml:space="preserve">was </w:t>
      </w:r>
      <w:r w:rsidR="006A6C39">
        <w:t>expect</w:t>
      </w:r>
      <w:r w:rsidR="00930C5A">
        <w:t>ed</w:t>
      </w:r>
      <w:r w:rsidR="006A6C39">
        <w:t xml:space="preserve"> to spend between four </w:t>
      </w:r>
      <w:r w:rsidR="006A6C39" w:rsidRPr="002C4D2C">
        <w:t>(4) and six (6)</w:t>
      </w:r>
      <w:r w:rsidR="006A6C39">
        <w:t xml:space="preserve"> percent of its conservation budget on these activities</w:t>
      </w:r>
      <w:r w:rsidR="00E359A7">
        <w:t xml:space="preserve"> over the biennium</w:t>
      </w:r>
      <w:r w:rsidR="006A6C39">
        <w:t xml:space="preserve">. </w:t>
      </w:r>
      <w:r w:rsidR="001C1FFD">
        <w:t>Consistent with the Company’s EM&amp;V framework developed in 2011</w:t>
      </w:r>
      <w:r w:rsidR="00E359A7">
        <w:t>,</w:t>
      </w:r>
      <w:r w:rsidR="001C1FFD">
        <w:t xml:space="preserve"> </w:t>
      </w:r>
      <w:r w:rsidR="00145A9F">
        <w:t xml:space="preserve">that was developed </w:t>
      </w:r>
      <w:r w:rsidR="001C1FFD">
        <w:t xml:space="preserve">in conjunction with the DSM Advisory Group, program evaluation </w:t>
      </w:r>
      <w:r w:rsidR="006A6C39" w:rsidRPr="002F5696">
        <w:t xml:space="preserve">costs will be treated as portfolio </w:t>
      </w:r>
      <w:r w:rsidR="001C1FFD">
        <w:t xml:space="preserve">level </w:t>
      </w:r>
      <w:r w:rsidR="006A6C39" w:rsidRPr="002F5696">
        <w:t>costs</w:t>
      </w:r>
      <w:r w:rsidR="00145A9F">
        <w:t xml:space="preserve"> in 2011 </w:t>
      </w:r>
      <w:r w:rsidR="006A6C39" w:rsidRPr="002F5696">
        <w:t>and will not be assigned to programs for purpose of determining the cost effectiveness.</w:t>
      </w:r>
    </w:p>
    <w:p w:rsidR="006A6C39" w:rsidRDefault="006A6C39" w:rsidP="006A6C39">
      <w:pPr>
        <w:jc w:val="both"/>
      </w:pPr>
    </w:p>
    <w:p w:rsidR="006A6C39" w:rsidRDefault="008148B1" w:rsidP="006A6C39">
      <w:pPr>
        <w:jc w:val="both"/>
      </w:pPr>
      <w:r>
        <w:t xml:space="preserve">In compliance with Docket UE-100170, Order 02, </w:t>
      </w:r>
      <w:r w:rsidR="006A6C39">
        <w:t xml:space="preserve">Pacific Power will perform EM&amp;V activities on a rotation schedule of selected programs such that all programs are evaluated on a timely and relevant basis. Evaluations are scheduled to be performed every two years; there may be deviations from this schedule as a result of new or changing programs or external influence. </w:t>
      </w:r>
    </w:p>
    <w:p w:rsidR="0081268D" w:rsidRPr="00B34E9C" w:rsidRDefault="0081268D">
      <w:pPr>
        <w:jc w:val="both"/>
        <w:sectPr w:rsidR="0081268D" w:rsidRPr="00B34E9C" w:rsidSect="000F136B">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pPr>
    </w:p>
    <w:p w:rsidR="00163304" w:rsidRPr="00C246A9" w:rsidRDefault="00FB587C" w:rsidP="002D4FB2">
      <w:pPr>
        <w:pStyle w:val="Heading1"/>
        <w:rPr>
          <w:rFonts w:ascii="Times New Roman" w:hAnsi="Times New Roman" w:cs="Times New Roman"/>
        </w:rPr>
      </w:pPr>
      <w:bookmarkStart w:id="20" w:name="_Toc288484124"/>
      <w:bookmarkStart w:id="21" w:name="_Toc289064243"/>
      <w:bookmarkStart w:id="22" w:name="_Toc320526597"/>
      <w:r w:rsidRPr="00FB587C">
        <w:rPr>
          <w:rFonts w:ascii="Times New Roman" w:hAnsi="Times New Roman" w:cs="Times New Roman"/>
        </w:rPr>
        <w:t xml:space="preserve">2011 Business Plan Budget </w:t>
      </w:r>
      <w:r w:rsidR="00C246A9">
        <w:rPr>
          <w:rFonts w:ascii="Times New Roman" w:hAnsi="Times New Roman" w:cs="Times New Roman"/>
        </w:rPr>
        <w:t>C</w:t>
      </w:r>
      <w:r w:rsidRPr="00FB587C">
        <w:rPr>
          <w:rFonts w:ascii="Times New Roman" w:hAnsi="Times New Roman" w:cs="Times New Roman"/>
        </w:rPr>
        <w:t xml:space="preserve">ompared to </w:t>
      </w:r>
      <w:bookmarkEnd w:id="20"/>
      <w:r w:rsidRPr="00FB587C">
        <w:rPr>
          <w:rFonts w:ascii="Times New Roman" w:hAnsi="Times New Roman" w:cs="Times New Roman"/>
        </w:rPr>
        <w:t>Actual</w:t>
      </w:r>
      <w:bookmarkEnd w:id="21"/>
      <w:bookmarkEnd w:id="22"/>
      <w:r w:rsidRPr="00FB587C">
        <w:rPr>
          <w:rFonts w:ascii="Times New Roman" w:hAnsi="Times New Roman" w:cs="Times New Roman"/>
        </w:rPr>
        <w:t xml:space="preserve"> </w:t>
      </w:r>
    </w:p>
    <w:p w:rsidR="00C246A9" w:rsidRDefault="00C246A9" w:rsidP="00163304"/>
    <w:p w:rsidR="00163304" w:rsidRPr="00B34E9C" w:rsidRDefault="00163304" w:rsidP="00163304">
      <w:r w:rsidRPr="00B34E9C">
        <w:t>The Company</w:t>
      </w:r>
      <w:r w:rsidR="00655D1A" w:rsidRPr="00B34E9C">
        <w:t>,</w:t>
      </w:r>
      <w:r w:rsidRPr="00B34E9C">
        <w:t xml:space="preserve"> </w:t>
      </w:r>
      <w:r w:rsidR="00C516E9" w:rsidRPr="00B34E9C">
        <w:t>consistent</w:t>
      </w:r>
      <w:r w:rsidRPr="00B34E9C">
        <w:t xml:space="preserve"> with requirements under Docket UE-100170, Order 02, </w:t>
      </w:r>
      <w:r w:rsidR="007707C4" w:rsidRPr="00B34E9C">
        <w:t>Ordering Paragraph</w:t>
      </w:r>
      <w:r w:rsidRPr="00B34E9C">
        <w:t xml:space="preserve"> (8)(c)</w:t>
      </w:r>
      <w:r w:rsidR="00655D1A" w:rsidRPr="00B34E9C">
        <w:t>,</w:t>
      </w:r>
      <w:r w:rsidR="007707C4" w:rsidRPr="00B34E9C">
        <w:t xml:space="preserve"> </w:t>
      </w:r>
      <w:r w:rsidRPr="00B34E9C">
        <w:t>provide</w:t>
      </w:r>
      <w:r w:rsidR="007707C4" w:rsidRPr="00B34E9C">
        <w:t>s</w:t>
      </w:r>
      <w:r w:rsidRPr="00B34E9C">
        <w:t xml:space="preserve"> Table </w:t>
      </w:r>
      <w:r w:rsidR="000F50EE" w:rsidRPr="00B34E9C">
        <w:t>3</w:t>
      </w:r>
      <w:r w:rsidRPr="00B34E9C">
        <w:t xml:space="preserve"> </w:t>
      </w:r>
      <w:r w:rsidR="00882294" w:rsidRPr="00B34E9C">
        <w:t xml:space="preserve">which </w:t>
      </w:r>
      <w:r w:rsidRPr="00B34E9C">
        <w:t>compar</w:t>
      </w:r>
      <w:r w:rsidR="00882294" w:rsidRPr="00B34E9C">
        <w:t>es</w:t>
      </w:r>
      <w:r w:rsidRPr="00B34E9C">
        <w:t xml:space="preserve"> </w:t>
      </w:r>
      <w:r w:rsidR="00882294" w:rsidRPr="00B34E9C">
        <w:t xml:space="preserve">the Company’s </w:t>
      </w:r>
      <w:r w:rsidRPr="00B34E9C">
        <w:t>201</w:t>
      </w:r>
      <w:r w:rsidR="009A125E">
        <w:t>1</w:t>
      </w:r>
      <w:r w:rsidRPr="00B34E9C">
        <w:t xml:space="preserve"> </w:t>
      </w:r>
      <w:r w:rsidR="000E5172" w:rsidRPr="00B34E9C">
        <w:t xml:space="preserve">business plan </w:t>
      </w:r>
      <w:r w:rsidRPr="00B34E9C">
        <w:t>budget to actual</w:t>
      </w:r>
      <w:r w:rsidR="00882294" w:rsidRPr="00B34E9C">
        <w:t xml:space="preserve"> 201</w:t>
      </w:r>
      <w:r w:rsidR="00F1423E">
        <w:t>1</w:t>
      </w:r>
      <w:r w:rsidR="00882294" w:rsidRPr="00B34E9C">
        <w:t xml:space="preserve"> program performance</w:t>
      </w:r>
      <w:r w:rsidRPr="00B34E9C">
        <w:t>.</w:t>
      </w:r>
    </w:p>
    <w:p w:rsidR="00163304" w:rsidRPr="00B34E9C" w:rsidRDefault="00163304" w:rsidP="00163304">
      <w:pPr>
        <w:jc w:val="both"/>
      </w:pPr>
    </w:p>
    <w:p w:rsidR="006775A9" w:rsidRDefault="00163304" w:rsidP="00163304">
      <w:pPr>
        <w:jc w:val="both"/>
      </w:pPr>
      <w:r w:rsidRPr="00B34E9C">
        <w:t>In 201</w:t>
      </w:r>
      <w:r w:rsidR="009A125E">
        <w:t>1</w:t>
      </w:r>
      <w:r w:rsidRPr="00B34E9C">
        <w:t xml:space="preserve">, the Company delivered </w:t>
      </w:r>
      <w:r w:rsidR="008148B1">
        <w:t xml:space="preserve">preliminary results of </w:t>
      </w:r>
      <w:r w:rsidR="009A125E">
        <w:t xml:space="preserve">49,983,694 </w:t>
      </w:r>
      <w:r w:rsidR="00882294" w:rsidRPr="00B34E9C">
        <w:t>kWh</w:t>
      </w:r>
      <w:r w:rsidR="006775A9" w:rsidRPr="00B34E9C">
        <w:t xml:space="preserve"> in first year energy savings against the 201</w:t>
      </w:r>
      <w:r w:rsidR="009A125E">
        <w:t>1</w:t>
      </w:r>
      <w:r w:rsidR="006775A9" w:rsidRPr="00B34E9C">
        <w:t xml:space="preserve"> business plan forecast savings of 3</w:t>
      </w:r>
      <w:r w:rsidR="00F1423E">
        <w:t>6</w:t>
      </w:r>
      <w:r w:rsidR="006775A9" w:rsidRPr="00B34E9C">
        <w:t>,</w:t>
      </w:r>
      <w:r w:rsidR="00F1423E">
        <w:t>183</w:t>
      </w:r>
      <w:r w:rsidR="006775A9" w:rsidRPr="00B34E9C">
        <w:t>,</w:t>
      </w:r>
      <w:r w:rsidR="00C246A9">
        <w:t>565</w:t>
      </w:r>
      <w:r w:rsidR="00C246A9" w:rsidRPr="00B34E9C">
        <w:t xml:space="preserve"> </w:t>
      </w:r>
      <w:r w:rsidR="006775A9" w:rsidRPr="00B34E9C">
        <w:t xml:space="preserve">kWh, a positive variance of approximately </w:t>
      </w:r>
      <w:r w:rsidR="00653A8A">
        <w:t>38</w:t>
      </w:r>
      <w:r w:rsidR="006775A9" w:rsidRPr="00B34E9C">
        <w:t xml:space="preserve"> percent.  </w:t>
      </w:r>
    </w:p>
    <w:p w:rsidR="000F0807" w:rsidRPr="00B34E9C" w:rsidRDefault="00A32AFB" w:rsidP="00A32AFB">
      <w:pPr>
        <w:pStyle w:val="Caption"/>
        <w:rPr>
          <w:b w:val="0"/>
          <w:sz w:val="28"/>
          <w:szCs w:val="28"/>
        </w:rPr>
      </w:pPr>
      <w:bookmarkStart w:id="23" w:name="_Toc320624118"/>
      <w:r>
        <w:t xml:space="preserve">Table </w:t>
      </w:r>
      <w:fldSimple w:instr=" SEQ Table \* ARABIC ">
        <w:r w:rsidR="00CE280F">
          <w:rPr>
            <w:noProof/>
          </w:rPr>
          <w:t>3</w:t>
        </w:r>
      </w:fldSimple>
      <w:r>
        <w:t>:  Washington Business Plan Budget compared to Actual</w:t>
      </w:r>
      <w:bookmarkEnd w:id="23"/>
    </w:p>
    <w:p w:rsidR="000B4E14" w:rsidRPr="00B34E9C" w:rsidRDefault="00E40049">
      <w:pPr>
        <w:jc w:val="both"/>
        <w:sectPr w:rsidR="000B4E14" w:rsidRPr="00B34E9C" w:rsidSect="00163304">
          <w:pgSz w:w="15840" w:h="12240" w:orient="landscape"/>
          <w:pgMar w:top="720" w:right="720" w:bottom="720" w:left="720" w:header="720" w:footer="720" w:gutter="0"/>
          <w:cols w:space="720"/>
          <w:docGrid w:linePitch="360"/>
        </w:sectPr>
      </w:pPr>
      <w:r>
        <w:object w:dxaOrig="14277" w:dyaOrig="10201">
          <v:shape id="_x0000_i1027" type="#_x0000_t75" style="width:660.9pt;height:368.85pt" o:ole="">
            <v:imagedata r:id="rId17" o:title=""/>
          </v:shape>
          <o:OLEObject Type="Embed" ProgID="Excel.Sheet.12" ShapeID="_x0000_i1027" DrawAspect="Content" ObjectID="_1394628387" r:id="rId18"/>
        </w:object>
      </w:r>
    </w:p>
    <w:p w:rsidR="002D4FB2" w:rsidRPr="00C246A9" w:rsidRDefault="00FB587C" w:rsidP="002D4FB2">
      <w:pPr>
        <w:pStyle w:val="Heading1"/>
        <w:rPr>
          <w:rFonts w:ascii="Times New Roman" w:hAnsi="Times New Roman" w:cs="Times New Roman"/>
        </w:rPr>
      </w:pPr>
      <w:bookmarkStart w:id="24" w:name="_Toc320526598"/>
      <w:r w:rsidRPr="00FB587C">
        <w:rPr>
          <w:rFonts w:ascii="Times New Roman" w:hAnsi="Times New Roman" w:cs="Times New Roman"/>
        </w:rPr>
        <w:t>Residential Energy Efficiency Programs and Activity</w:t>
      </w:r>
      <w:bookmarkEnd w:id="24"/>
    </w:p>
    <w:p w:rsidR="002D4FB2" w:rsidRDefault="002D4FB2" w:rsidP="007E604E">
      <w:pPr>
        <w:jc w:val="both"/>
        <w:rPr>
          <w:b/>
          <w:bCs/>
        </w:rPr>
      </w:pPr>
    </w:p>
    <w:p w:rsidR="007E604E" w:rsidRPr="00E40049" w:rsidRDefault="007E604E" w:rsidP="007E604E">
      <w:pPr>
        <w:jc w:val="both"/>
        <w:rPr>
          <w:b/>
          <w:bCs/>
          <w:sz w:val="28"/>
          <w:szCs w:val="28"/>
        </w:rPr>
      </w:pPr>
      <w:r w:rsidRPr="00E40049">
        <w:rPr>
          <w:b/>
          <w:bCs/>
          <w:sz w:val="28"/>
          <w:szCs w:val="28"/>
        </w:rPr>
        <w:t>Home Energy Savings Incentive Program (Schedule 118)</w:t>
      </w:r>
    </w:p>
    <w:p w:rsidR="007E604E" w:rsidRPr="00B34E9C" w:rsidRDefault="007E604E" w:rsidP="007E604E">
      <w:pPr>
        <w:tabs>
          <w:tab w:val="left" w:pos="-1080"/>
        </w:tabs>
        <w:jc w:val="both"/>
      </w:pPr>
    </w:p>
    <w:p w:rsidR="007E604E" w:rsidRPr="00B34E9C" w:rsidRDefault="007E604E" w:rsidP="007E604E">
      <w:pPr>
        <w:tabs>
          <w:tab w:val="left" w:pos="-1080"/>
        </w:tabs>
        <w:jc w:val="both"/>
      </w:pPr>
      <w:r w:rsidRPr="00B34E9C">
        <w:t xml:space="preserve">The Home Energy Savings program, Schedule 118 (“Schedule 118”) was first approved in 2006 and provides a broad framework to deliver incentives for more efficient products and services for Washington residential customers with a new or existing home, multi-family unit or manufactured home. The Company uses a third party to administer this program. Schedule 118 and the program web site at </w:t>
      </w:r>
      <w:hyperlink r:id="rId19" w:history="1">
        <w:r w:rsidRPr="00B34E9C">
          <w:rPr>
            <w:rStyle w:val="Hyperlink"/>
          </w:rPr>
          <w:t>www.homeenergysavings.net</w:t>
        </w:r>
      </w:hyperlink>
      <w:r w:rsidRPr="00B34E9C">
        <w:t xml:space="preserve"> operate in tandem to inform customers and contractors of the offerings and qualifications for incentives. </w:t>
      </w:r>
    </w:p>
    <w:p w:rsidR="007E604E" w:rsidRPr="00B34E9C" w:rsidRDefault="007E604E" w:rsidP="007E604E">
      <w:pPr>
        <w:tabs>
          <w:tab w:val="left" w:pos="-1080"/>
        </w:tabs>
        <w:jc w:val="both"/>
      </w:pPr>
      <w:r w:rsidRPr="00B34E9C">
        <w:t xml:space="preserve"> </w:t>
      </w:r>
    </w:p>
    <w:p w:rsidR="007E604E" w:rsidRPr="00B34E9C" w:rsidRDefault="007E604E" w:rsidP="007E604E">
      <w:pPr>
        <w:tabs>
          <w:tab w:val="left" w:pos="-1080"/>
        </w:tabs>
        <w:jc w:val="both"/>
      </w:pPr>
      <w:r w:rsidRPr="00B34E9C">
        <w:t xml:space="preserve">Measures eligible for incentives include clothes washers, clothes washer recycling, refrigerators, water heaters, dishwashers, lighting (both CFLs and fixtures), heating and cooling equipment and services, insulation, windows and miscellaneous equipment such as ceiling fans. In addition, the program includes a Builder Option Package as well as stand-alone measures for new homes.  </w:t>
      </w:r>
    </w:p>
    <w:p w:rsidR="007E604E" w:rsidRPr="00B34E9C" w:rsidRDefault="007E604E" w:rsidP="007E604E">
      <w:pPr>
        <w:tabs>
          <w:tab w:val="left" w:pos="-1080"/>
        </w:tabs>
        <w:jc w:val="both"/>
      </w:pPr>
    </w:p>
    <w:p w:rsidR="007E604E" w:rsidRPr="00B34E9C" w:rsidRDefault="007E604E" w:rsidP="007E604E">
      <w:pPr>
        <w:tabs>
          <w:tab w:val="left" w:pos="-1080"/>
        </w:tabs>
        <w:jc w:val="both"/>
      </w:pPr>
      <w:r w:rsidRPr="00B34E9C">
        <w:t xml:space="preserve">Incentives are provided in </w:t>
      </w:r>
      <w:r>
        <w:t>three</w:t>
      </w:r>
      <w:r w:rsidRPr="00B34E9C">
        <w:t xml:space="preserve"> ways: post-purchase delivery to the customer for the majority of measures</w:t>
      </w:r>
      <w:r>
        <w:t>, post-purchase mid-market delivery to contractors after measure installation</w:t>
      </w:r>
      <w:r w:rsidRPr="00B34E9C">
        <w:t xml:space="preserve"> and through a manufacturer buy-down for CFLs. Buy-downs result in lower retail prices for customers at the point of purchase as opposed to post-purchase incentives that customers must submit an application to receive.</w:t>
      </w:r>
    </w:p>
    <w:p w:rsidR="007E604E" w:rsidRPr="00B34E9C" w:rsidRDefault="007E604E" w:rsidP="007E604E">
      <w:pPr>
        <w:tabs>
          <w:tab w:val="left" w:pos="-1080"/>
        </w:tabs>
        <w:jc w:val="both"/>
      </w:pPr>
    </w:p>
    <w:p w:rsidR="007E604E" w:rsidRPr="00B34E9C" w:rsidRDefault="007E604E" w:rsidP="007E604E">
      <w:pPr>
        <w:tabs>
          <w:tab w:val="left" w:pos="-1080"/>
        </w:tabs>
        <w:jc w:val="both"/>
      </w:pPr>
      <w:r w:rsidRPr="00B34E9C">
        <w:t>Program results for 201</w:t>
      </w:r>
      <w:r>
        <w:t xml:space="preserve">1 </w:t>
      </w:r>
      <w:r w:rsidRPr="00B34E9C">
        <w:t xml:space="preserve">are provided in Table 4 below.    </w:t>
      </w:r>
    </w:p>
    <w:p w:rsidR="007E604E" w:rsidRPr="00B34E9C" w:rsidRDefault="007E604E" w:rsidP="007E604E"/>
    <w:p w:rsidR="007E604E" w:rsidRPr="00B34E9C" w:rsidRDefault="00A32AFB" w:rsidP="00A32AFB">
      <w:pPr>
        <w:pStyle w:val="Caption"/>
        <w:rPr>
          <w:b w:val="0"/>
          <w:bCs w:val="0"/>
        </w:rPr>
      </w:pPr>
      <w:bookmarkStart w:id="25" w:name="_Toc320624119"/>
      <w:r>
        <w:t xml:space="preserve">Table </w:t>
      </w:r>
      <w:fldSimple w:instr=" SEQ Table \* ARABIC ">
        <w:r w:rsidR="00CE280F">
          <w:rPr>
            <w:noProof/>
          </w:rPr>
          <w:t>4</w:t>
        </w:r>
      </w:fldSimple>
      <w:r>
        <w:t>:  2011 Home Energy Savings Program Performance</w:t>
      </w:r>
      <w:bookmarkEnd w:id="25"/>
    </w:p>
    <w:p w:rsidR="007E604E" w:rsidRPr="00B34E9C" w:rsidRDefault="00E40049" w:rsidP="007E604E">
      <w:pPr>
        <w:jc w:val="center"/>
      </w:pPr>
      <w:r>
        <w:object w:dxaOrig="10180" w:dyaOrig="3229">
          <v:shape id="_x0000_i1028" type="#_x0000_t75" style="width:427.9pt;height:161pt" o:ole="">
            <v:imagedata r:id="rId20" o:title=""/>
          </v:shape>
          <o:OLEObject Type="Embed" ProgID="Excel.Sheet.12" ShapeID="_x0000_i1028" DrawAspect="Content" ObjectID="_1394628388" r:id="rId21"/>
        </w:object>
      </w:r>
    </w:p>
    <w:p w:rsidR="007E604E" w:rsidRPr="00B34E9C" w:rsidRDefault="007E604E" w:rsidP="007E604E"/>
    <w:p w:rsidR="007E604E" w:rsidRPr="00B34E9C" w:rsidRDefault="007E604E" w:rsidP="007E604E">
      <w:pPr>
        <w:jc w:val="both"/>
      </w:pPr>
    </w:p>
    <w:p w:rsidR="002D4FB2" w:rsidRDefault="002D4FB2" w:rsidP="007E604E">
      <w:pPr>
        <w:jc w:val="both"/>
        <w:rPr>
          <w:b/>
        </w:rPr>
      </w:pPr>
    </w:p>
    <w:p w:rsidR="002D4FB2" w:rsidRDefault="002D4FB2" w:rsidP="007E604E">
      <w:pPr>
        <w:jc w:val="both"/>
        <w:rPr>
          <w:b/>
        </w:rPr>
      </w:pPr>
    </w:p>
    <w:p w:rsidR="00A07A1B" w:rsidRDefault="00A07A1B" w:rsidP="007E604E">
      <w:pPr>
        <w:jc w:val="both"/>
        <w:rPr>
          <w:b/>
        </w:rPr>
      </w:pPr>
    </w:p>
    <w:p w:rsidR="007E604E" w:rsidRPr="00B34E9C" w:rsidRDefault="007E604E" w:rsidP="007E604E">
      <w:pPr>
        <w:jc w:val="both"/>
        <w:rPr>
          <w:b/>
        </w:rPr>
      </w:pPr>
      <w:r w:rsidRPr="00B34E9C">
        <w:rPr>
          <w:b/>
        </w:rPr>
        <w:t>201</w:t>
      </w:r>
      <w:r>
        <w:rPr>
          <w:b/>
        </w:rPr>
        <w:t>1</w:t>
      </w:r>
      <w:r w:rsidRPr="00B34E9C">
        <w:rPr>
          <w:b/>
        </w:rPr>
        <w:t xml:space="preserve"> Program Performance</w:t>
      </w:r>
    </w:p>
    <w:p w:rsidR="007E604E" w:rsidRPr="00B34E9C" w:rsidRDefault="008A03EF" w:rsidP="007E604E">
      <w:pPr>
        <w:spacing w:after="200" w:line="276" w:lineRule="auto"/>
      </w:pPr>
      <w:r>
        <w:t>Measure level details and participation are included in the below table:</w:t>
      </w:r>
    </w:p>
    <w:p w:rsidR="007E604E" w:rsidRPr="00B34E9C" w:rsidRDefault="00A32AFB" w:rsidP="00A32AFB">
      <w:pPr>
        <w:pStyle w:val="Caption"/>
        <w:rPr>
          <w:b w:val="0"/>
          <w:bCs w:val="0"/>
        </w:rPr>
      </w:pPr>
      <w:bookmarkStart w:id="26" w:name="_Toc320624120"/>
      <w:r>
        <w:t xml:space="preserve">Table </w:t>
      </w:r>
      <w:fldSimple w:instr=" SEQ Table \* ARABIC ">
        <w:r w:rsidR="00CE280F">
          <w:rPr>
            <w:noProof/>
          </w:rPr>
          <w:t>5</w:t>
        </w:r>
      </w:fldSimple>
      <w:r>
        <w:t>:  2011 Home Energy Savings Measure Performance</w:t>
      </w:r>
      <w:bookmarkEnd w:id="26"/>
    </w:p>
    <w:p w:rsidR="007E604E" w:rsidRPr="00B34E9C" w:rsidRDefault="001D78A2" w:rsidP="007E604E">
      <w:r>
        <w:object w:dxaOrig="9227" w:dyaOrig="12683">
          <v:shape id="_x0000_i1029" type="#_x0000_t75" style="width:434.05pt;height:559pt" o:ole="">
            <v:imagedata r:id="rId22" o:title=""/>
          </v:shape>
          <o:OLEObject Type="Embed" ProgID="Excel.Sheet.12" ShapeID="_x0000_i1029" DrawAspect="Content" ObjectID="_1394628389" r:id="rId23"/>
        </w:object>
      </w:r>
    </w:p>
    <w:p w:rsidR="007E604E" w:rsidRPr="00B34E9C" w:rsidRDefault="007E604E" w:rsidP="007E604E">
      <w:pPr>
        <w:jc w:val="both"/>
      </w:pPr>
      <w:r w:rsidRPr="00B34E9C">
        <w:rPr>
          <w:highlight w:val="yellow"/>
        </w:rPr>
        <w:br w:type="page"/>
      </w:r>
      <w:r w:rsidRPr="00B34E9C">
        <w:rPr>
          <w:b/>
        </w:rPr>
        <w:t>Program Changes</w:t>
      </w:r>
    </w:p>
    <w:p w:rsidR="001356E3" w:rsidRDefault="001356E3" w:rsidP="001356E3">
      <w:pPr>
        <w:spacing w:after="200" w:line="276" w:lineRule="auto"/>
        <w:jc w:val="both"/>
      </w:pPr>
      <w:bookmarkStart w:id="27" w:name="_GoBack"/>
      <w:bookmarkEnd w:id="27"/>
      <w:r>
        <w:t xml:space="preserve">There were no Home Energy Savings program changes in 2011.  Modifications to the Home Energy Savings program </w:t>
      </w:r>
      <w:r w:rsidRPr="00D8165F">
        <w:t xml:space="preserve">were discussed with the DSM Advisory Group on </w:t>
      </w:r>
      <w:r>
        <w:t xml:space="preserve">numerous occasions throughout the year with the final discussion on October 19, 2011. The modifications will become effective April 16, 2012. </w:t>
      </w:r>
      <w:r w:rsidRPr="00D8165F">
        <w:t xml:space="preserve"> </w:t>
      </w:r>
    </w:p>
    <w:p w:rsidR="007E604E" w:rsidRPr="00B34E9C" w:rsidRDefault="007E604E" w:rsidP="007E604E">
      <w:pPr>
        <w:jc w:val="both"/>
      </w:pPr>
      <w:r w:rsidRPr="00B34E9C">
        <w:rPr>
          <w:b/>
        </w:rPr>
        <w:t>Program Evaluations</w:t>
      </w:r>
    </w:p>
    <w:p w:rsidR="007E604E" w:rsidRPr="00B34E9C" w:rsidRDefault="00E825B7" w:rsidP="007E604E">
      <w:r>
        <w:t>A p</w:t>
      </w:r>
      <w:r w:rsidR="007E604E" w:rsidRPr="00B34E9C">
        <w:t>rocess and impact evaluation w</w:t>
      </w:r>
      <w:r>
        <w:t xml:space="preserve">as </w:t>
      </w:r>
      <w:r w:rsidR="007E604E" w:rsidRPr="00B34E9C">
        <w:t>completed in 201</w:t>
      </w:r>
      <w:r>
        <w:t>1</w:t>
      </w:r>
      <w:r w:rsidR="007E604E" w:rsidRPr="00B34E9C">
        <w:t xml:space="preserve"> for the Home Energy Savings program for </w:t>
      </w:r>
      <w:r w:rsidR="00B9578B">
        <w:t xml:space="preserve">program </w:t>
      </w:r>
      <w:r w:rsidR="007E604E" w:rsidRPr="00B34E9C">
        <w:t>years 200</w:t>
      </w:r>
      <w:r>
        <w:t>9</w:t>
      </w:r>
      <w:r w:rsidR="00C92F44">
        <w:t xml:space="preserve"> </w:t>
      </w:r>
      <w:r w:rsidR="007E604E" w:rsidRPr="00B34E9C">
        <w:t>-</w:t>
      </w:r>
      <w:r w:rsidR="00C92F44">
        <w:t xml:space="preserve"> </w:t>
      </w:r>
      <w:r w:rsidR="007E604E" w:rsidRPr="00B34E9C">
        <w:t>20</w:t>
      </w:r>
      <w:r>
        <w:t>10</w:t>
      </w:r>
      <w:r w:rsidR="007E604E" w:rsidRPr="00B34E9C">
        <w:t>. The results of th</w:t>
      </w:r>
      <w:r>
        <w:t xml:space="preserve">is </w:t>
      </w:r>
      <w:r w:rsidR="007E604E" w:rsidRPr="00B34E9C">
        <w:t xml:space="preserve">evaluation are available on </w:t>
      </w:r>
      <w:r w:rsidR="0043243D">
        <w:t>Pacific Power</w:t>
      </w:r>
      <w:r w:rsidR="007E604E" w:rsidRPr="00B34E9C">
        <w:t>’s website at:</w:t>
      </w:r>
      <w:r w:rsidR="00CD3103">
        <w:t xml:space="preserve"> </w:t>
      </w:r>
      <w:r w:rsidR="007E604E" w:rsidRPr="00B34E9C">
        <w:t xml:space="preserve"> </w:t>
      </w:r>
      <w:hyperlink r:id="rId24" w:history="1">
        <w:r w:rsidR="007E604E" w:rsidRPr="00B34E9C">
          <w:rPr>
            <w:rStyle w:val="Hyperlink"/>
          </w:rPr>
          <w:t>http://www.pacificorp.com/es/dsm/washington.html</w:t>
        </w:r>
      </w:hyperlink>
    </w:p>
    <w:p w:rsidR="00011AFB" w:rsidRPr="00B34E9C" w:rsidRDefault="00011AFB" w:rsidP="002810D1">
      <w:pPr>
        <w:jc w:val="both"/>
      </w:pPr>
    </w:p>
    <w:p w:rsidR="00011AFB" w:rsidRPr="00B34E9C" w:rsidRDefault="00011AFB" w:rsidP="002810D1">
      <w:pPr>
        <w:jc w:val="both"/>
      </w:pPr>
    </w:p>
    <w:p w:rsidR="00011AFB" w:rsidRPr="00B34E9C" w:rsidRDefault="00011AFB" w:rsidP="002810D1">
      <w:pPr>
        <w:jc w:val="both"/>
      </w:pPr>
    </w:p>
    <w:p w:rsidR="00011AFB" w:rsidRPr="00B34E9C" w:rsidRDefault="00011AFB" w:rsidP="002810D1">
      <w:pPr>
        <w:jc w:val="both"/>
      </w:pPr>
    </w:p>
    <w:p w:rsidR="00011AFB" w:rsidRPr="00B34E9C" w:rsidRDefault="00011AFB" w:rsidP="002810D1">
      <w:pPr>
        <w:jc w:val="both"/>
      </w:pPr>
    </w:p>
    <w:p w:rsidR="00011AFB" w:rsidRPr="00B34E9C" w:rsidRDefault="00011AFB" w:rsidP="002810D1">
      <w:pPr>
        <w:jc w:val="both"/>
      </w:pPr>
    </w:p>
    <w:p w:rsidR="00011AFB" w:rsidRPr="00B34E9C" w:rsidRDefault="00011AFB" w:rsidP="002810D1">
      <w:pPr>
        <w:jc w:val="both"/>
      </w:pPr>
    </w:p>
    <w:p w:rsidR="00011AFB" w:rsidRPr="00B34E9C" w:rsidRDefault="00011AFB" w:rsidP="002810D1">
      <w:pPr>
        <w:jc w:val="both"/>
      </w:pPr>
    </w:p>
    <w:p w:rsidR="00011AFB" w:rsidRPr="00B34E9C" w:rsidRDefault="00011AFB" w:rsidP="002810D1">
      <w:pPr>
        <w:jc w:val="both"/>
      </w:pPr>
    </w:p>
    <w:p w:rsidR="00011AFB" w:rsidRPr="00B34E9C" w:rsidRDefault="00011AFB" w:rsidP="002810D1">
      <w:pPr>
        <w:jc w:val="both"/>
      </w:pPr>
    </w:p>
    <w:p w:rsidR="00011AFB" w:rsidRPr="00B34E9C" w:rsidRDefault="00011AFB" w:rsidP="002810D1">
      <w:pPr>
        <w:spacing w:after="200" w:line="276" w:lineRule="auto"/>
        <w:jc w:val="both"/>
      </w:pPr>
    </w:p>
    <w:p w:rsidR="00011AFB" w:rsidRPr="00B34E9C" w:rsidRDefault="00011AFB" w:rsidP="002810D1">
      <w:pPr>
        <w:spacing w:after="200" w:line="276" w:lineRule="auto"/>
        <w:jc w:val="both"/>
      </w:pPr>
    </w:p>
    <w:p w:rsidR="00011AFB" w:rsidRPr="00B34E9C" w:rsidRDefault="00011AFB" w:rsidP="002810D1">
      <w:pPr>
        <w:spacing w:after="200" w:line="276" w:lineRule="auto"/>
        <w:jc w:val="both"/>
      </w:pPr>
    </w:p>
    <w:p w:rsidR="008C6BDB" w:rsidRPr="00B34E9C" w:rsidRDefault="008C6BDB" w:rsidP="002810D1">
      <w:pPr>
        <w:spacing w:after="200" w:line="276" w:lineRule="auto"/>
        <w:jc w:val="both"/>
      </w:pPr>
      <w:r w:rsidRPr="00B34E9C">
        <w:br w:type="page"/>
      </w:r>
    </w:p>
    <w:p w:rsidR="00E825B7" w:rsidRPr="00D0508C" w:rsidRDefault="00E825B7" w:rsidP="00E825B7">
      <w:pPr>
        <w:rPr>
          <w:b/>
          <w:bCs/>
          <w:sz w:val="28"/>
          <w:szCs w:val="28"/>
        </w:rPr>
      </w:pPr>
      <w:r w:rsidRPr="00D0508C">
        <w:rPr>
          <w:b/>
          <w:bCs/>
          <w:sz w:val="28"/>
          <w:szCs w:val="28"/>
        </w:rPr>
        <w:t>Refrigerator Recycling (Schedule 107)</w:t>
      </w:r>
    </w:p>
    <w:p w:rsidR="00D07D2B" w:rsidRDefault="00D07D2B" w:rsidP="00E825B7">
      <w:pPr>
        <w:jc w:val="both"/>
      </w:pPr>
    </w:p>
    <w:p w:rsidR="00E825B7" w:rsidRPr="00B34E9C" w:rsidRDefault="00E825B7" w:rsidP="00E825B7">
      <w:pPr>
        <w:jc w:val="both"/>
      </w:pPr>
      <w:r w:rsidRPr="00B34E9C">
        <w:t xml:space="preserve">The </w:t>
      </w:r>
      <w:r>
        <w:t>r</w:t>
      </w:r>
      <w:r w:rsidRPr="00B34E9C">
        <w:t xml:space="preserve">efrigerator </w:t>
      </w:r>
      <w:r>
        <w:t>r</w:t>
      </w:r>
      <w:r w:rsidRPr="00B34E9C">
        <w:t>ecycling program, operat</w:t>
      </w:r>
      <w:r>
        <w:t>ing</w:t>
      </w:r>
      <w:r w:rsidRPr="00B34E9C">
        <w:t xml:space="preserve"> as the See ya later, refrigerator® program, was first approved effective April 1, 2005. This program aims to decrease residential refrigeration loads by reducing the number of inefficient secondary and primary refrigerator and freezer models in operation. With this program, the Company offers all residential customers in Washington the opportunity to receive a </w:t>
      </w:r>
      <w:r w:rsidRPr="00B9578B">
        <w:rPr>
          <w:rStyle w:val="Strong"/>
          <w:b w:val="0"/>
        </w:rPr>
        <w:t>$30</w:t>
      </w:r>
      <w:r w:rsidRPr="00B34E9C">
        <w:t xml:space="preserve"> incentive in exchange for turning in their old but working refrigerators and/or freezers for recycling. Each customer can recycle up to two units, refrigerators and/or freezers, per household. In addition, a kit with instant energy saving measures </w:t>
      </w:r>
      <w:r w:rsidR="00CD3103">
        <w:t xml:space="preserve">from CFLs </w:t>
      </w:r>
      <w:r w:rsidRPr="00B34E9C">
        <w:t>is provided to each participating customer.</w:t>
      </w:r>
      <w:r w:rsidR="00CD3103">
        <w:t xml:space="preserve"> This kit includes two 13-watt CFLs, a refrigerator thermometer card, energy savings educational materials and information on other Pacific Power efficiency programs relevant to residential customers.</w:t>
      </w:r>
      <w:r w:rsidRPr="00B34E9C">
        <w:t xml:space="preserve">  </w:t>
      </w:r>
    </w:p>
    <w:p w:rsidR="00E825B7" w:rsidRPr="00B34E9C" w:rsidRDefault="00E825B7" w:rsidP="00E825B7">
      <w:pPr>
        <w:jc w:val="both"/>
      </w:pPr>
    </w:p>
    <w:p w:rsidR="00E825B7" w:rsidRPr="00B34E9C" w:rsidRDefault="00E825B7" w:rsidP="00E825B7">
      <w:pPr>
        <w:jc w:val="both"/>
      </w:pPr>
      <w:r w:rsidRPr="00B34E9C">
        <w:t>Program results for 201</w:t>
      </w:r>
      <w:r>
        <w:t>1</w:t>
      </w:r>
      <w:r w:rsidRPr="00B34E9C">
        <w:t xml:space="preserve"> are provided in Table 6 below.</w:t>
      </w:r>
    </w:p>
    <w:p w:rsidR="00E825B7" w:rsidRPr="00B34E9C" w:rsidRDefault="00E825B7" w:rsidP="00E825B7">
      <w:pPr>
        <w:rPr>
          <w:sz w:val="16"/>
          <w:szCs w:val="16"/>
        </w:rPr>
      </w:pPr>
    </w:p>
    <w:p w:rsidR="00E825B7" w:rsidRPr="00B34E9C" w:rsidRDefault="00A32AFB" w:rsidP="00A32AFB">
      <w:pPr>
        <w:pStyle w:val="Caption"/>
        <w:rPr>
          <w:b w:val="0"/>
          <w:bCs w:val="0"/>
        </w:rPr>
      </w:pPr>
      <w:bookmarkStart w:id="28" w:name="_Toc320624121"/>
      <w:r>
        <w:t xml:space="preserve">Table </w:t>
      </w:r>
      <w:fldSimple w:instr=" SEQ Table \* ARABIC ">
        <w:r w:rsidR="00CE280F">
          <w:rPr>
            <w:noProof/>
          </w:rPr>
          <w:t>6</w:t>
        </w:r>
      </w:fldSimple>
      <w:r>
        <w:t xml:space="preserve">:  See ya later, </w:t>
      </w:r>
      <w:r w:rsidRPr="00A32AFB">
        <w:t>refrigerator®</w:t>
      </w:r>
      <w:r>
        <w:t xml:space="preserve"> 2011 Program Performance</w:t>
      </w:r>
      <w:bookmarkEnd w:id="28"/>
    </w:p>
    <w:p w:rsidR="00E825B7" w:rsidRPr="00B34E9C" w:rsidRDefault="00E40049" w:rsidP="00E825B7">
      <w:pPr>
        <w:jc w:val="center"/>
      </w:pPr>
      <w:r>
        <w:object w:dxaOrig="10094" w:dyaOrig="3229">
          <v:shape id="_x0000_i1030" type="#_x0000_t75" style="width:6in;height:161pt" o:ole="">
            <v:imagedata r:id="rId25" o:title=""/>
          </v:shape>
          <o:OLEObject Type="Embed" ProgID="Excel.Sheet.12" ShapeID="_x0000_i1030" DrawAspect="Content" ObjectID="_1394628390" r:id="rId26"/>
        </w:object>
      </w:r>
    </w:p>
    <w:p w:rsidR="00E825B7" w:rsidRPr="00B34E9C" w:rsidRDefault="00E825B7" w:rsidP="00E825B7"/>
    <w:p w:rsidR="00E825B7" w:rsidRPr="00B34E9C" w:rsidRDefault="00E825B7" w:rsidP="00E825B7">
      <w:r w:rsidRPr="00B34E9C">
        <w:t xml:space="preserve">Details on participation and savings are provided in the table below. </w:t>
      </w:r>
    </w:p>
    <w:p w:rsidR="00E825B7" w:rsidRPr="00B34E9C" w:rsidRDefault="00E825B7" w:rsidP="00E825B7">
      <w:pPr>
        <w:rPr>
          <w:sz w:val="18"/>
          <w:szCs w:val="18"/>
        </w:rPr>
      </w:pPr>
    </w:p>
    <w:p w:rsidR="00E825B7" w:rsidRPr="00B34E9C" w:rsidRDefault="00A32AFB" w:rsidP="00A32AFB">
      <w:pPr>
        <w:pStyle w:val="Caption"/>
        <w:rPr>
          <w:b w:val="0"/>
          <w:bCs w:val="0"/>
        </w:rPr>
      </w:pPr>
      <w:bookmarkStart w:id="29" w:name="_Toc320624122"/>
      <w:r>
        <w:t xml:space="preserve">Table </w:t>
      </w:r>
      <w:fldSimple w:instr=" SEQ Table \* ARABIC ">
        <w:r w:rsidR="00CE280F">
          <w:rPr>
            <w:noProof/>
          </w:rPr>
          <w:t>7</w:t>
        </w:r>
      </w:fldSimple>
      <w:r>
        <w:t xml:space="preserve">:  See ya later, </w:t>
      </w:r>
      <w:r w:rsidRPr="00A32AFB">
        <w:t>refrigerator®</w:t>
      </w:r>
      <w:r>
        <w:t xml:space="preserve"> 2011 Results</w:t>
      </w:r>
      <w:bookmarkEnd w:id="29"/>
    </w:p>
    <w:p w:rsidR="00E825B7" w:rsidRPr="00B34E9C" w:rsidRDefault="00E40049" w:rsidP="00E825B7">
      <w:pPr>
        <w:jc w:val="center"/>
        <w:rPr>
          <w:b/>
          <w:bCs/>
        </w:rPr>
      </w:pPr>
      <w:r w:rsidRPr="001113C8">
        <w:rPr>
          <w:b/>
          <w:bCs/>
        </w:rPr>
        <w:object w:dxaOrig="8098" w:dyaOrig="2807">
          <v:shape id="_x0000_i1031" type="#_x0000_t75" style="width:404.85pt;height:141.3pt" o:ole="">
            <v:imagedata r:id="rId27" o:title=""/>
          </v:shape>
          <o:OLEObject Type="Embed" ProgID="Excel.Sheet.12" ShapeID="_x0000_i1031" DrawAspect="Content" ObjectID="_1394628391" r:id="rId28"/>
        </w:object>
      </w:r>
    </w:p>
    <w:p w:rsidR="00E825B7" w:rsidRPr="00B34E9C" w:rsidRDefault="00E825B7" w:rsidP="00E825B7">
      <w:pPr>
        <w:jc w:val="center"/>
        <w:rPr>
          <w:b/>
          <w:bCs/>
        </w:rPr>
      </w:pPr>
    </w:p>
    <w:p w:rsidR="00653A8A" w:rsidRDefault="00653A8A" w:rsidP="00367ECF">
      <w:pPr>
        <w:spacing w:before="100" w:beforeAutospacing="1" w:after="100" w:afterAutospacing="1"/>
        <w:jc w:val="both"/>
        <w:rPr>
          <w:color w:val="000000"/>
        </w:rPr>
      </w:pPr>
      <w:r w:rsidRPr="00653A8A">
        <w:rPr>
          <w:color w:val="000000"/>
        </w:rPr>
        <w:t xml:space="preserve">In 2011, </w:t>
      </w:r>
      <w:r w:rsidR="00924003">
        <w:rPr>
          <w:color w:val="000000"/>
        </w:rPr>
        <w:t xml:space="preserve">the program recycled </w:t>
      </w:r>
      <w:r w:rsidRPr="00653A8A">
        <w:rPr>
          <w:color w:val="000000"/>
        </w:rPr>
        <w:t xml:space="preserve">2,016 units (81 percent refrigerators and 19 percent freezers) by 1,873 households. According to the program delivery vendor, the program recycled more than 126 tons (252,000 lbs) of steel, 4 tons (8,064 lbs)  tons of aluminum and copper, 20 tons (40,320 lbs) of plastics and prevented landfill deposits that would cover an entire football field more than </w:t>
      </w:r>
      <w:r>
        <w:rPr>
          <w:color w:val="000000"/>
        </w:rPr>
        <w:t xml:space="preserve">two and a half feet deep. </w:t>
      </w:r>
      <w:r w:rsidRPr="00653A8A">
        <w:rPr>
          <w:color w:val="000000"/>
        </w:rPr>
        <w:t xml:space="preserve"> In addition, the </w:t>
      </w:r>
      <w:r w:rsidR="00AA7192" w:rsidRPr="00AA7192">
        <w:rPr>
          <w:rStyle w:val="st1"/>
          <w:color w:val="222222"/>
        </w:rPr>
        <w:t xml:space="preserve">Chlorofluorocarbons </w:t>
      </w:r>
      <w:r w:rsidR="00863E03">
        <w:rPr>
          <w:rStyle w:val="st1"/>
          <w:rFonts w:ascii="Arial" w:hAnsi="Arial" w:cs="Arial"/>
          <w:color w:val="222222"/>
        </w:rPr>
        <w:t>(</w:t>
      </w:r>
      <w:r w:rsidRPr="00653A8A">
        <w:rPr>
          <w:color w:val="000000"/>
        </w:rPr>
        <w:t>greenhouse gases</w:t>
      </w:r>
      <w:r w:rsidR="00863E03">
        <w:rPr>
          <w:color w:val="000000"/>
        </w:rPr>
        <w:t>)</w:t>
      </w:r>
      <w:r w:rsidR="00E359A7">
        <w:rPr>
          <w:color w:val="000000"/>
        </w:rPr>
        <w:t xml:space="preserve"> </w:t>
      </w:r>
      <w:r w:rsidRPr="00653A8A">
        <w:rPr>
          <w:color w:val="000000"/>
        </w:rPr>
        <w:t xml:space="preserve">collected and destroyed during recycling equates to approximately 5 tons of </w:t>
      </w:r>
      <w:r w:rsidR="00AA7192" w:rsidRPr="00AA7192">
        <w:t>carbon dioxide equivalent</w:t>
      </w:r>
      <w:r w:rsidR="00863E03">
        <w:t xml:space="preserve">s </w:t>
      </w:r>
      <w:r w:rsidRPr="00653A8A">
        <w:rPr>
          <w:color w:val="000000"/>
        </w:rPr>
        <w:t>per unit, equivalent to the annual </w:t>
      </w:r>
      <w:r w:rsidR="00FE46B6" w:rsidRPr="00653A8A">
        <w:rPr>
          <w:color w:val="000000"/>
        </w:rPr>
        <w:t>emissions</w:t>
      </w:r>
      <w:r w:rsidRPr="00653A8A">
        <w:rPr>
          <w:color w:val="000000"/>
        </w:rPr>
        <w:t xml:space="preserve"> of the average car in the US. The average age of the units recycled was 29 years with electricity consumption approximately </w:t>
      </w:r>
      <w:r>
        <w:rPr>
          <w:color w:val="000000"/>
        </w:rPr>
        <w:t xml:space="preserve">3-4 times greater </w:t>
      </w:r>
      <w:r w:rsidRPr="00653A8A">
        <w:rPr>
          <w:color w:val="000000"/>
        </w:rPr>
        <w:t>than new units purchased today.</w:t>
      </w:r>
    </w:p>
    <w:p w:rsidR="00E825B7" w:rsidRPr="00B34E9C" w:rsidRDefault="00E825B7" w:rsidP="00E825B7">
      <w:pPr>
        <w:jc w:val="both"/>
        <w:rPr>
          <w:b/>
        </w:rPr>
      </w:pPr>
      <w:r w:rsidRPr="00B34E9C">
        <w:rPr>
          <w:b/>
        </w:rPr>
        <w:t>Program Evaluations</w:t>
      </w:r>
    </w:p>
    <w:p w:rsidR="0050223F" w:rsidRDefault="00DE1B81" w:rsidP="00DE1B81">
      <w:pPr>
        <w:jc w:val="both"/>
      </w:pPr>
      <w:r>
        <w:t>A p</w:t>
      </w:r>
      <w:r w:rsidR="00E825B7" w:rsidRPr="00B34E9C">
        <w:t>rocess and impact evaluation w</w:t>
      </w:r>
      <w:r>
        <w:t>as</w:t>
      </w:r>
      <w:r w:rsidR="00E825B7" w:rsidRPr="00B34E9C">
        <w:t xml:space="preserve"> completed in 201</w:t>
      </w:r>
      <w:r>
        <w:t>1</w:t>
      </w:r>
      <w:r w:rsidR="00E825B7" w:rsidRPr="00B34E9C">
        <w:t xml:space="preserve"> for the See ya later, refrigerator® </w:t>
      </w:r>
      <w:r w:rsidR="00E825B7">
        <w:t>p</w:t>
      </w:r>
      <w:r w:rsidR="00E825B7" w:rsidRPr="00B34E9C">
        <w:t>rogram for program years 200</w:t>
      </w:r>
      <w:r>
        <w:t>9</w:t>
      </w:r>
      <w:r w:rsidR="00E825B7" w:rsidRPr="00B34E9C">
        <w:t xml:space="preserve"> – 20</w:t>
      </w:r>
      <w:r>
        <w:t>10</w:t>
      </w:r>
      <w:r w:rsidR="00E825B7" w:rsidRPr="00B34E9C">
        <w:t>.  The results of th</w:t>
      </w:r>
      <w:r>
        <w:t>is</w:t>
      </w:r>
      <w:r w:rsidR="00E825B7" w:rsidRPr="00B34E9C">
        <w:t xml:space="preserve"> evaluation are available on </w:t>
      </w:r>
      <w:r w:rsidR="0043243D">
        <w:t>Pacific Power</w:t>
      </w:r>
      <w:r w:rsidR="00E825B7" w:rsidRPr="00B34E9C">
        <w:t>’s website at:</w:t>
      </w:r>
    </w:p>
    <w:p w:rsidR="00E825B7" w:rsidRPr="0050223F" w:rsidRDefault="005A47AE" w:rsidP="00DE1B81">
      <w:pPr>
        <w:jc w:val="both"/>
      </w:pPr>
      <w:hyperlink r:id="rId29" w:history="1">
        <w:r w:rsidR="00E825B7" w:rsidRPr="00B34E9C">
          <w:rPr>
            <w:rStyle w:val="Hyperlink"/>
          </w:rPr>
          <w:t>http://www.pacificorp.com/es/dsm/washington.html</w:t>
        </w:r>
      </w:hyperlink>
    </w:p>
    <w:p w:rsidR="00E825B7" w:rsidRDefault="00E825B7" w:rsidP="00E825B7"/>
    <w:p w:rsidR="00E825B7" w:rsidRDefault="00E825B7" w:rsidP="00C81A94">
      <w:pPr>
        <w:rPr>
          <w:b/>
          <w:bCs/>
          <w:sz w:val="28"/>
          <w:szCs w:val="28"/>
        </w:rPr>
      </w:pPr>
    </w:p>
    <w:p w:rsidR="00E825B7" w:rsidRDefault="00E825B7" w:rsidP="00C81A94">
      <w:pPr>
        <w:rPr>
          <w:b/>
          <w:bCs/>
          <w:sz w:val="28"/>
          <w:szCs w:val="28"/>
        </w:rPr>
      </w:pPr>
    </w:p>
    <w:p w:rsidR="00E825B7" w:rsidRDefault="00E825B7" w:rsidP="00C81A94">
      <w:pPr>
        <w:rPr>
          <w:b/>
          <w:bCs/>
          <w:sz w:val="28"/>
          <w:szCs w:val="28"/>
        </w:rPr>
      </w:pPr>
    </w:p>
    <w:p w:rsidR="00E825B7" w:rsidRDefault="00E825B7" w:rsidP="00C81A94">
      <w:pPr>
        <w:rPr>
          <w:b/>
          <w:bCs/>
          <w:sz w:val="28"/>
          <w:szCs w:val="28"/>
        </w:rPr>
      </w:pPr>
    </w:p>
    <w:p w:rsidR="00E825B7" w:rsidRDefault="00E825B7" w:rsidP="00C81A94">
      <w:pPr>
        <w:rPr>
          <w:b/>
          <w:bCs/>
          <w:sz w:val="28"/>
          <w:szCs w:val="28"/>
        </w:rPr>
      </w:pPr>
    </w:p>
    <w:p w:rsidR="00E825B7" w:rsidRDefault="00E825B7" w:rsidP="00C81A94">
      <w:pPr>
        <w:rPr>
          <w:b/>
          <w:bCs/>
          <w:sz w:val="28"/>
          <w:szCs w:val="28"/>
        </w:rPr>
      </w:pPr>
    </w:p>
    <w:p w:rsidR="00E825B7" w:rsidRDefault="00E825B7" w:rsidP="00C81A94">
      <w:pPr>
        <w:rPr>
          <w:b/>
          <w:bCs/>
          <w:sz w:val="28"/>
          <w:szCs w:val="28"/>
        </w:rPr>
      </w:pPr>
    </w:p>
    <w:p w:rsidR="00E825B7" w:rsidRDefault="00E825B7" w:rsidP="00C81A94">
      <w:pPr>
        <w:rPr>
          <w:b/>
          <w:bCs/>
          <w:sz w:val="28"/>
          <w:szCs w:val="28"/>
        </w:rPr>
      </w:pPr>
    </w:p>
    <w:p w:rsidR="00E825B7" w:rsidRDefault="00E825B7" w:rsidP="00C81A94">
      <w:pPr>
        <w:rPr>
          <w:b/>
          <w:bCs/>
          <w:sz w:val="28"/>
          <w:szCs w:val="28"/>
        </w:rPr>
      </w:pPr>
    </w:p>
    <w:p w:rsidR="00E825B7" w:rsidRDefault="00E825B7" w:rsidP="00C81A94">
      <w:pPr>
        <w:rPr>
          <w:b/>
          <w:bCs/>
          <w:sz w:val="28"/>
          <w:szCs w:val="28"/>
        </w:rPr>
      </w:pPr>
    </w:p>
    <w:p w:rsidR="00E825B7" w:rsidRDefault="00E825B7" w:rsidP="00C81A94">
      <w:pPr>
        <w:rPr>
          <w:b/>
          <w:bCs/>
          <w:sz w:val="28"/>
          <w:szCs w:val="28"/>
        </w:rPr>
      </w:pPr>
    </w:p>
    <w:p w:rsidR="00E825B7" w:rsidRDefault="00E825B7" w:rsidP="00C81A94">
      <w:pPr>
        <w:rPr>
          <w:b/>
          <w:bCs/>
          <w:sz w:val="28"/>
          <w:szCs w:val="28"/>
        </w:rPr>
      </w:pPr>
    </w:p>
    <w:p w:rsidR="00E825B7" w:rsidRDefault="00E825B7" w:rsidP="00C81A94">
      <w:pPr>
        <w:rPr>
          <w:b/>
          <w:bCs/>
          <w:sz w:val="28"/>
          <w:szCs w:val="28"/>
        </w:rPr>
      </w:pPr>
    </w:p>
    <w:p w:rsidR="00E825B7" w:rsidRDefault="00E825B7" w:rsidP="00C81A94">
      <w:pPr>
        <w:rPr>
          <w:b/>
          <w:bCs/>
          <w:sz w:val="28"/>
          <w:szCs w:val="28"/>
        </w:rPr>
      </w:pPr>
    </w:p>
    <w:p w:rsidR="00E825B7" w:rsidRDefault="00E825B7" w:rsidP="00C81A94">
      <w:pPr>
        <w:rPr>
          <w:b/>
          <w:bCs/>
          <w:sz w:val="28"/>
          <w:szCs w:val="28"/>
        </w:rPr>
      </w:pPr>
    </w:p>
    <w:p w:rsidR="00E825B7" w:rsidRDefault="00E825B7" w:rsidP="00C81A94">
      <w:pPr>
        <w:rPr>
          <w:b/>
          <w:bCs/>
          <w:sz w:val="28"/>
          <w:szCs w:val="28"/>
        </w:rPr>
      </w:pPr>
    </w:p>
    <w:p w:rsidR="00E825B7" w:rsidRDefault="00E825B7" w:rsidP="00C81A94">
      <w:pPr>
        <w:rPr>
          <w:b/>
          <w:bCs/>
          <w:sz w:val="28"/>
          <w:szCs w:val="28"/>
        </w:rPr>
      </w:pPr>
    </w:p>
    <w:p w:rsidR="00E825B7" w:rsidRDefault="00E825B7" w:rsidP="00C81A94">
      <w:pPr>
        <w:rPr>
          <w:b/>
          <w:bCs/>
          <w:sz w:val="28"/>
          <w:szCs w:val="28"/>
        </w:rPr>
      </w:pPr>
    </w:p>
    <w:p w:rsidR="00E825B7" w:rsidRDefault="00E825B7" w:rsidP="00C81A94">
      <w:pPr>
        <w:rPr>
          <w:b/>
          <w:bCs/>
          <w:sz w:val="28"/>
          <w:szCs w:val="28"/>
        </w:rPr>
      </w:pPr>
    </w:p>
    <w:p w:rsidR="00E825B7" w:rsidRDefault="00E825B7" w:rsidP="00C81A94">
      <w:pPr>
        <w:rPr>
          <w:b/>
          <w:bCs/>
          <w:sz w:val="28"/>
          <w:szCs w:val="28"/>
        </w:rPr>
      </w:pPr>
    </w:p>
    <w:p w:rsidR="00E825B7" w:rsidRDefault="00E825B7" w:rsidP="00C81A94">
      <w:pPr>
        <w:rPr>
          <w:b/>
          <w:bCs/>
          <w:sz w:val="28"/>
          <w:szCs w:val="28"/>
        </w:rPr>
      </w:pPr>
    </w:p>
    <w:p w:rsidR="00E825B7" w:rsidRDefault="00E825B7" w:rsidP="00C81A94">
      <w:pPr>
        <w:rPr>
          <w:b/>
          <w:bCs/>
          <w:sz w:val="28"/>
          <w:szCs w:val="28"/>
        </w:rPr>
      </w:pPr>
    </w:p>
    <w:p w:rsidR="00E825B7" w:rsidRDefault="00E825B7" w:rsidP="00C81A94">
      <w:pPr>
        <w:rPr>
          <w:b/>
          <w:bCs/>
          <w:sz w:val="28"/>
          <w:szCs w:val="28"/>
        </w:rPr>
      </w:pPr>
    </w:p>
    <w:p w:rsidR="00A07A1B" w:rsidRDefault="00A07A1B" w:rsidP="00AB5965">
      <w:pPr>
        <w:rPr>
          <w:b/>
          <w:bCs/>
          <w:sz w:val="28"/>
          <w:szCs w:val="28"/>
        </w:rPr>
      </w:pPr>
      <w:bookmarkStart w:id="30" w:name="_Toc288484126"/>
      <w:bookmarkStart w:id="31" w:name="_Toc289064245"/>
    </w:p>
    <w:p w:rsidR="00A07A1B" w:rsidRDefault="00A07A1B" w:rsidP="00AB5965">
      <w:pPr>
        <w:rPr>
          <w:b/>
          <w:bCs/>
          <w:sz w:val="28"/>
          <w:szCs w:val="28"/>
        </w:rPr>
      </w:pPr>
    </w:p>
    <w:p w:rsidR="00AB5965" w:rsidRPr="00D0508C" w:rsidRDefault="00AB5965" w:rsidP="00AB5965">
      <w:pPr>
        <w:rPr>
          <w:b/>
          <w:bCs/>
          <w:sz w:val="28"/>
          <w:szCs w:val="28"/>
        </w:rPr>
      </w:pPr>
      <w:r w:rsidRPr="00D0508C">
        <w:rPr>
          <w:b/>
          <w:bCs/>
          <w:sz w:val="28"/>
          <w:szCs w:val="28"/>
        </w:rPr>
        <w:t>Low Income Weatherization (Schedule 114)</w:t>
      </w:r>
    </w:p>
    <w:p w:rsidR="00AB5965" w:rsidRDefault="00AB5965" w:rsidP="00AB5965">
      <w:pPr>
        <w:jc w:val="both"/>
      </w:pPr>
    </w:p>
    <w:p w:rsidR="00AB5965" w:rsidRPr="00B34E9C" w:rsidRDefault="0043243D" w:rsidP="00AB5965">
      <w:pPr>
        <w:jc w:val="both"/>
      </w:pPr>
      <w:r>
        <w:t>Pacific Power</w:t>
      </w:r>
      <w:r w:rsidR="00AB5965" w:rsidRPr="00B34E9C">
        <w:t xml:space="preserve"> partners with three local non-profit agencies, Blue Mountain Action Council in Walla Walla, Northwest Community Action Center in Toppenish and Opportunities Industrialization Center of Washington in Yakima to provide weatherization services to income-qualifying households throughout its Washington service </w:t>
      </w:r>
      <w:r w:rsidR="0050223F">
        <w:t>ter</w:t>
      </w:r>
      <w:r w:rsidR="00FA0CF0">
        <w:t>r</w:t>
      </w:r>
      <w:r w:rsidR="0050223F">
        <w:t>itory</w:t>
      </w:r>
      <w:r w:rsidR="00AB5965" w:rsidRPr="00B34E9C">
        <w:t xml:space="preserve">. The leveraging of </w:t>
      </w:r>
      <w:r>
        <w:t>Pacific Power</w:t>
      </w:r>
      <w:r w:rsidR="00AB5965" w:rsidRPr="00B34E9C">
        <w:t xml:space="preserve"> funding along with Washington MatchMaker Program funds allows the agencies to provide these energy efficiency services to more households at no cost to participating customers. The Company provides rebates to partnering agencies for 50 percent of the cost of services while MatchMaker funds are available, and covers 100 percent of costs when these state funds are depleted. </w:t>
      </w:r>
      <w:r w:rsidR="00AB5965">
        <w:t>All homes were funded at the 50</w:t>
      </w:r>
      <w:r w:rsidR="00863E03">
        <w:t xml:space="preserve"> percent</w:t>
      </w:r>
      <w:r w:rsidR="00AB5965">
        <w:t xml:space="preserve"> level in 2011. </w:t>
      </w:r>
      <w:r w:rsidR="00AB5965" w:rsidRPr="00B34E9C">
        <w:t xml:space="preserve">Participants qualify if they are homeowners or renters residing in single-family homes, manufactured homes or apartments. </w:t>
      </w:r>
      <w:r w:rsidR="0050223F">
        <w:t>Approximately</w:t>
      </w:r>
      <w:r w:rsidR="0050223F" w:rsidRPr="00B34E9C">
        <w:t xml:space="preserve"> </w:t>
      </w:r>
      <w:r w:rsidR="00AB5965" w:rsidRPr="00B34E9C">
        <w:t>6,</w:t>
      </w:r>
      <w:r w:rsidR="00AB5965">
        <w:t>9</w:t>
      </w:r>
      <w:r w:rsidR="00AB5965" w:rsidRPr="00B34E9C">
        <w:t xml:space="preserve">00 homes have been completed since the program began in the mid-1980s.   </w:t>
      </w:r>
    </w:p>
    <w:p w:rsidR="00AB5965" w:rsidRPr="00B34E9C" w:rsidRDefault="00AB5965" w:rsidP="00AB5965">
      <w:pPr>
        <w:jc w:val="both"/>
      </w:pPr>
    </w:p>
    <w:p w:rsidR="00AB5965" w:rsidRPr="00B34E9C" w:rsidRDefault="00AB5965" w:rsidP="00AB5965">
      <w:pPr>
        <w:jc w:val="both"/>
      </w:pPr>
      <w:r w:rsidRPr="00B34E9C">
        <w:t>Program results for 201</w:t>
      </w:r>
      <w:r>
        <w:t>1</w:t>
      </w:r>
      <w:r w:rsidRPr="00B34E9C">
        <w:t xml:space="preserve"> are provided in Table 8 below.</w:t>
      </w:r>
    </w:p>
    <w:p w:rsidR="00AB5965" w:rsidRPr="00B34E9C" w:rsidRDefault="00C43C88" w:rsidP="00C43C88">
      <w:pPr>
        <w:pStyle w:val="Caption"/>
        <w:rPr>
          <w:b w:val="0"/>
          <w:bCs w:val="0"/>
        </w:rPr>
      </w:pPr>
      <w:bookmarkStart w:id="32" w:name="_Toc320624123"/>
      <w:r>
        <w:t xml:space="preserve">Table </w:t>
      </w:r>
      <w:fldSimple w:instr=" SEQ Table \* ARABIC ">
        <w:r w:rsidR="00CE280F">
          <w:rPr>
            <w:noProof/>
          </w:rPr>
          <w:t>8</w:t>
        </w:r>
      </w:fldSimple>
      <w:r>
        <w:t>:  Low Income Weatherization Performance</w:t>
      </w:r>
      <w:bookmarkEnd w:id="32"/>
    </w:p>
    <w:p w:rsidR="00AB5965" w:rsidRPr="00B34E9C" w:rsidRDefault="004C018C" w:rsidP="00AB5965">
      <w:pPr>
        <w:jc w:val="center"/>
      </w:pPr>
      <w:r>
        <w:object w:dxaOrig="10612" w:dyaOrig="8935">
          <v:shape id="_x0000_i1032" type="#_x0000_t75" style="width:407.55pt;height:368.85pt" o:ole="">
            <v:imagedata r:id="rId30" o:title=""/>
          </v:shape>
          <o:OLEObject Type="Embed" ProgID="Excel.Sheet.12" ShapeID="_x0000_i1032" DrawAspect="Content" ObjectID="_1394628392" r:id="rId31"/>
        </w:object>
      </w:r>
    </w:p>
    <w:p w:rsidR="004C018C" w:rsidRDefault="004C018C" w:rsidP="00AB5965">
      <w:pPr>
        <w:jc w:val="both"/>
        <w:rPr>
          <w:b/>
          <w:bCs/>
          <w:sz w:val="28"/>
          <w:szCs w:val="28"/>
        </w:rPr>
      </w:pPr>
    </w:p>
    <w:p w:rsidR="00AB5965" w:rsidRPr="00D0508C" w:rsidRDefault="00AB5965" w:rsidP="00AB5965">
      <w:pPr>
        <w:jc w:val="both"/>
        <w:rPr>
          <w:b/>
          <w:bCs/>
          <w:sz w:val="28"/>
          <w:szCs w:val="28"/>
        </w:rPr>
      </w:pPr>
      <w:r w:rsidRPr="00D0508C">
        <w:rPr>
          <w:b/>
          <w:bCs/>
          <w:sz w:val="28"/>
          <w:szCs w:val="28"/>
        </w:rPr>
        <w:t>Energy Education in Schools (Schedule 113)</w:t>
      </w:r>
    </w:p>
    <w:p w:rsidR="00AB5965" w:rsidRDefault="00AB5965" w:rsidP="00AB5965">
      <w:pPr>
        <w:jc w:val="both"/>
      </w:pPr>
    </w:p>
    <w:p w:rsidR="0022553A" w:rsidRDefault="00AB5965" w:rsidP="00AB5965">
      <w:pPr>
        <w:jc w:val="both"/>
      </w:pPr>
      <w:r w:rsidRPr="00B34E9C">
        <w:t xml:space="preserve">The energy education curriculum was developed for sixth grade classrooms by three partnering agencies (Blue Mountain Action Council in Walla Walla, Northwest Community Action Center in Toppenish and Opportunities Industrialization Center of Washington in Yakima). The agencies employ certified teachers to work with school administrators, teachers and students. They provide a minimum of </w:t>
      </w:r>
      <w:r w:rsidR="003F2D35">
        <w:t>three</w:t>
      </w:r>
      <w:r w:rsidRPr="00B34E9C">
        <w:t xml:space="preserve"> one-hour energy education sessions on topics such as electricity generation, conservation and efficiency tips. Students receive a kit of measures including a CFL, a refrigerator/freezer temperature card, an electroluminescent nightlight, a shower timer, a hot water temperature card, a kitchen faucet aerator and a wall plate thermometer. A low flow showerhead is provided to those students where a water flow test indicates this need. </w:t>
      </w:r>
    </w:p>
    <w:p w:rsidR="0022553A" w:rsidRDefault="0022553A" w:rsidP="00AB5965">
      <w:pPr>
        <w:jc w:val="both"/>
      </w:pPr>
    </w:p>
    <w:p w:rsidR="00AB5965" w:rsidRPr="00B34E9C" w:rsidRDefault="0022553A" w:rsidP="00AB5965">
      <w:pPr>
        <w:jc w:val="both"/>
      </w:pPr>
      <w:r>
        <w:t xml:space="preserve">During </w:t>
      </w:r>
      <w:r w:rsidR="00AB5965" w:rsidRPr="00B34E9C">
        <w:t>the 20</w:t>
      </w:r>
      <w:r w:rsidR="00AB5965">
        <w:t>10</w:t>
      </w:r>
      <w:r>
        <w:t xml:space="preserve"> </w:t>
      </w:r>
      <w:r w:rsidR="00AB5965" w:rsidRPr="00B34E9C">
        <w:t>-</w:t>
      </w:r>
      <w:r>
        <w:t xml:space="preserve"> </w:t>
      </w:r>
      <w:r w:rsidR="00AB5965" w:rsidRPr="00B34E9C">
        <w:t>201</w:t>
      </w:r>
      <w:r w:rsidR="00AB5965">
        <w:t>1</w:t>
      </w:r>
      <w:r w:rsidR="00AB5965" w:rsidRPr="00B34E9C">
        <w:t xml:space="preserve"> school </w:t>
      </w:r>
      <w:proofErr w:type="gramStart"/>
      <w:r w:rsidR="00AB5965" w:rsidRPr="00B34E9C">
        <w:t>year</w:t>
      </w:r>
      <w:proofErr w:type="gramEnd"/>
      <w:r>
        <w:t>,</w:t>
      </w:r>
      <w:r w:rsidR="00AB5965" w:rsidRPr="00B34E9C">
        <w:t xml:space="preserve"> 4,</w:t>
      </w:r>
      <w:r w:rsidR="00AB5965">
        <w:t>067</w:t>
      </w:r>
      <w:r w:rsidR="00AB5965" w:rsidRPr="00B34E9C">
        <w:t xml:space="preserve"> students completed the course</w:t>
      </w:r>
      <w:r w:rsidR="002B77B9">
        <w:t xml:space="preserve"> of which 3,488 listed Pacific Power as their electric service provider.</w:t>
      </w:r>
      <w:r>
        <w:t xml:space="preserve"> </w:t>
      </w:r>
      <w:r w:rsidR="002B77B9">
        <w:t>The</w:t>
      </w:r>
      <w:r w:rsidR="00AB5965" w:rsidRPr="00B34E9C">
        <w:t xml:space="preserve"> estimated annual savings for measure installation of </w:t>
      </w:r>
      <w:r w:rsidR="002B77B9">
        <w:t xml:space="preserve">644 </w:t>
      </w:r>
      <w:r w:rsidR="00AB5965">
        <w:t>at site</w:t>
      </w:r>
      <w:r w:rsidR="00AB5965" w:rsidRPr="00B34E9C">
        <w:t xml:space="preserve"> kWh per </w:t>
      </w:r>
      <w:r w:rsidR="00990D6C">
        <w:t>household</w:t>
      </w:r>
      <w:r w:rsidR="00AB5965" w:rsidRPr="00B34E9C">
        <w:t>. The Company believes the educational aspect of the program result</w:t>
      </w:r>
      <w:r w:rsidR="00AB5965">
        <w:t>ed</w:t>
      </w:r>
      <w:r w:rsidR="00AB5965" w:rsidRPr="00B34E9C">
        <w:t xml:space="preserve"> in additional savings of approximately </w:t>
      </w:r>
      <w:r w:rsidR="002B77B9">
        <w:t xml:space="preserve">437 </w:t>
      </w:r>
      <w:r w:rsidR="00AB5965">
        <w:t>at site</w:t>
      </w:r>
      <w:r w:rsidR="00AB5965" w:rsidRPr="00B34E9C">
        <w:t xml:space="preserve"> </w:t>
      </w:r>
      <w:proofErr w:type="gramStart"/>
      <w:r w:rsidR="00AB5965" w:rsidRPr="00B34E9C">
        <w:t>kWh  per</w:t>
      </w:r>
      <w:proofErr w:type="gramEnd"/>
      <w:r w:rsidR="00AB5965" w:rsidRPr="00B34E9C">
        <w:t xml:space="preserve"> participating household as a result of behavioral changes in energy use. However, due to difficulty verifying the</w:t>
      </w:r>
      <w:r w:rsidR="00990D6C">
        <w:t xml:space="preserve"> behavior</w:t>
      </w:r>
      <w:r w:rsidR="00AB5965" w:rsidRPr="00B34E9C">
        <w:t xml:space="preserve"> savings, they have not been included in the results in Table 9 and are not being reported for the purpose of either the achievement of the Company’s 201</w:t>
      </w:r>
      <w:r w:rsidR="00AB5965">
        <w:t>1</w:t>
      </w:r>
      <w:r w:rsidR="00AB5965" w:rsidRPr="00B34E9C">
        <w:t xml:space="preserve"> energy savings or towards the cost-effectiveness analysis of the program.  </w:t>
      </w:r>
    </w:p>
    <w:p w:rsidR="00AB5965" w:rsidRPr="00B34E9C" w:rsidRDefault="00AB5965" w:rsidP="00AB5965">
      <w:pPr>
        <w:jc w:val="both"/>
      </w:pPr>
    </w:p>
    <w:p w:rsidR="00AB5965" w:rsidRDefault="00AB5965" w:rsidP="00AB5965">
      <w:pPr>
        <w:jc w:val="both"/>
      </w:pPr>
      <w:r w:rsidRPr="00B34E9C">
        <w:t xml:space="preserve">Table 9 includes savings from measure installations.  </w:t>
      </w:r>
    </w:p>
    <w:p w:rsidR="00AB5965" w:rsidRPr="00B34E9C" w:rsidRDefault="00AB5965" w:rsidP="00AB5965"/>
    <w:p w:rsidR="00AB5965" w:rsidRPr="00B34E9C" w:rsidRDefault="00C43C88" w:rsidP="00C43C88">
      <w:pPr>
        <w:pStyle w:val="Caption"/>
        <w:rPr>
          <w:b w:val="0"/>
          <w:bCs w:val="0"/>
        </w:rPr>
      </w:pPr>
      <w:bookmarkStart w:id="33" w:name="_Toc320624124"/>
      <w:r>
        <w:t xml:space="preserve">Table </w:t>
      </w:r>
      <w:fldSimple w:instr=" SEQ Table \* ARABIC ">
        <w:r w:rsidR="00CE280F">
          <w:rPr>
            <w:noProof/>
          </w:rPr>
          <w:t>9</w:t>
        </w:r>
      </w:fldSimple>
      <w:r>
        <w:t>:  Energy Education Performance</w:t>
      </w:r>
      <w:r w:rsidR="00AB5965">
        <w:rPr>
          <w:rStyle w:val="FootnoteReference"/>
          <w:b w:val="0"/>
          <w:bCs w:val="0"/>
        </w:rPr>
        <w:footnoteReference w:id="7"/>
      </w:r>
      <w:bookmarkEnd w:id="33"/>
    </w:p>
    <w:p w:rsidR="00AB5965" w:rsidRPr="00B34E9C" w:rsidRDefault="004C018C" w:rsidP="00AB5965">
      <w:pPr>
        <w:jc w:val="center"/>
      </w:pPr>
      <w:r>
        <w:object w:dxaOrig="9887" w:dyaOrig="3520">
          <v:shape id="_x0000_i1033" type="#_x0000_t75" style="width:427.9pt;height:175.25pt" o:ole="">
            <v:imagedata r:id="rId32" o:title=""/>
          </v:shape>
          <o:OLEObject Type="Embed" ProgID="Excel.Sheet.12" ShapeID="_x0000_i1033" DrawAspect="Content" ObjectID="_1394628393" r:id="rId33"/>
        </w:object>
      </w:r>
    </w:p>
    <w:p w:rsidR="00242158" w:rsidRDefault="00242158">
      <w:r>
        <w:br w:type="page"/>
      </w:r>
    </w:p>
    <w:p w:rsidR="00AB5965" w:rsidRPr="00B34E9C" w:rsidRDefault="00AB5965" w:rsidP="00AB5965">
      <w:pPr>
        <w:jc w:val="both"/>
      </w:pPr>
      <w:r w:rsidRPr="00B34E9C">
        <w:t>Installed measure savings and the calculation of program cost-effectiveness in Table 9 above for the program include additional CFLs purchased by participating households. However, there is a high probability that these additional CFLs were purchased at retailers selling CFLs that were discounted as a result of the Home Energy Savings Incentive Program. To avoid double counting of these savings towards the Company’s 201</w:t>
      </w:r>
      <w:r>
        <w:t>1</w:t>
      </w:r>
      <w:r w:rsidRPr="00B34E9C">
        <w:t xml:space="preserve"> program performance, the savings associated with the additional CFL purchases were removed from the </w:t>
      </w:r>
      <w:r w:rsidR="00242158">
        <w:t>r</w:t>
      </w:r>
      <w:r w:rsidRPr="00B34E9C">
        <w:t>esidential portfolio results and related cost-effectiveness calculations. The savings associated with these additional CFL installations were identified in the Washington Energy Education program assessment</w:t>
      </w:r>
      <w:r w:rsidRPr="00B34E9C">
        <w:rPr>
          <w:rStyle w:val="FootnoteReference"/>
        </w:rPr>
        <w:footnoteReference w:id="8"/>
      </w:r>
      <w:r w:rsidRPr="00B34E9C">
        <w:t xml:space="preserve"> to be approximately </w:t>
      </w:r>
      <w:r>
        <w:t xml:space="preserve">594,829 at site </w:t>
      </w:r>
      <w:r w:rsidRPr="00B34E9C">
        <w:t>kWh for the 20</w:t>
      </w:r>
      <w:r>
        <w:t>10</w:t>
      </w:r>
      <w:r w:rsidR="00304CFD">
        <w:t xml:space="preserve"> - 20</w:t>
      </w:r>
      <w:r w:rsidRPr="00B34E9C">
        <w:t>1</w:t>
      </w:r>
      <w:r>
        <w:t>1</w:t>
      </w:r>
      <w:r w:rsidRPr="00B34E9C">
        <w:t xml:space="preserve"> school year.  </w:t>
      </w:r>
    </w:p>
    <w:p w:rsidR="00AB5965" w:rsidRDefault="00AB5965" w:rsidP="00AB5965"/>
    <w:p w:rsidR="00AB5965" w:rsidRDefault="00AB5965" w:rsidP="00734E52">
      <w:pPr>
        <w:pStyle w:val="Heading1"/>
        <w:rPr>
          <w:rFonts w:ascii="Times New Roman" w:hAnsi="Times New Roman" w:cs="Times New Roman"/>
        </w:rPr>
      </w:pPr>
    </w:p>
    <w:p w:rsidR="00AB5965" w:rsidRDefault="00AB5965" w:rsidP="00734E52">
      <w:pPr>
        <w:pStyle w:val="Heading1"/>
        <w:rPr>
          <w:rFonts w:ascii="Times New Roman" w:hAnsi="Times New Roman" w:cs="Times New Roman"/>
        </w:rPr>
      </w:pPr>
    </w:p>
    <w:p w:rsidR="00AB5965" w:rsidRDefault="00AB5965" w:rsidP="00734E52">
      <w:pPr>
        <w:pStyle w:val="Heading1"/>
        <w:rPr>
          <w:rFonts w:ascii="Times New Roman" w:hAnsi="Times New Roman" w:cs="Times New Roman"/>
        </w:rPr>
      </w:pPr>
    </w:p>
    <w:p w:rsidR="00AB5965" w:rsidRDefault="00AB5965" w:rsidP="00734E52">
      <w:pPr>
        <w:pStyle w:val="Heading1"/>
        <w:rPr>
          <w:rFonts w:ascii="Times New Roman" w:hAnsi="Times New Roman" w:cs="Times New Roman"/>
        </w:rPr>
      </w:pPr>
    </w:p>
    <w:p w:rsidR="00AB5965" w:rsidRDefault="00AB5965" w:rsidP="00734E52">
      <w:pPr>
        <w:pStyle w:val="Heading1"/>
        <w:rPr>
          <w:rFonts w:ascii="Times New Roman" w:hAnsi="Times New Roman" w:cs="Times New Roman"/>
        </w:rPr>
      </w:pPr>
    </w:p>
    <w:p w:rsidR="00AB5965" w:rsidRDefault="00AB5965" w:rsidP="00734E52">
      <w:pPr>
        <w:pStyle w:val="Heading1"/>
        <w:rPr>
          <w:rFonts w:ascii="Times New Roman" w:hAnsi="Times New Roman" w:cs="Times New Roman"/>
        </w:rPr>
      </w:pPr>
    </w:p>
    <w:p w:rsidR="00AB5965" w:rsidRDefault="00AB5965" w:rsidP="00734E52">
      <w:pPr>
        <w:pStyle w:val="Heading1"/>
        <w:rPr>
          <w:rFonts w:ascii="Times New Roman" w:hAnsi="Times New Roman" w:cs="Times New Roman"/>
        </w:rPr>
      </w:pPr>
    </w:p>
    <w:p w:rsidR="00AB5965" w:rsidRDefault="00AB5965" w:rsidP="00734E52">
      <w:pPr>
        <w:pStyle w:val="Heading1"/>
        <w:rPr>
          <w:rFonts w:ascii="Times New Roman" w:hAnsi="Times New Roman" w:cs="Times New Roman"/>
        </w:rPr>
      </w:pPr>
    </w:p>
    <w:p w:rsidR="00AB5965" w:rsidRDefault="00AB5965" w:rsidP="00734E52">
      <w:pPr>
        <w:pStyle w:val="Heading1"/>
        <w:rPr>
          <w:rFonts w:ascii="Times New Roman" w:hAnsi="Times New Roman" w:cs="Times New Roman"/>
        </w:rPr>
      </w:pPr>
    </w:p>
    <w:p w:rsidR="00AB5965" w:rsidRDefault="00AB5965" w:rsidP="00734E52">
      <w:pPr>
        <w:pStyle w:val="Heading1"/>
        <w:rPr>
          <w:rFonts w:ascii="Times New Roman" w:hAnsi="Times New Roman" w:cs="Times New Roman"/>
        </w:rPr>
      </w:pPr>
    </w:p>
    <w:p w:rsidR="00AB5965" w:rsidRDefault="00AB5965" w:rsidP="00734E52">
      <w:pPr>
        <w:pStyle w:val="Heading1"/>
        <w:rPr>
          <w:rFonts w:ascii="Times New Roman" w:hAnsi="Times New Roman" w:cs="Times New Roman"/>
        </w:rPr>
      </w:pPr>
    </w:p>
    <w:p w:rsidR="00AB5965" w:rsidRDefault="00AB5965" w:rsidP="00734E52">
      <w:pPr>
        <w:pStyle w:val="Heading1"/>
        <w:rPr>
          <w:rFonts w:ascii="Times New Roman" w:hAnsi="Times New Roman" w:cs="Times New Roman"/>
        </w:rPr>
      </w:pPr>
    </w:p>
    <w:p w:rsidR="00AB5965" w:rsidRDefault="00AB5965" w:rsidP="00734E52">
      <w:pPr>
        <w:pStyle w:val="Heading1"/>
        <w:rPr>
          <w:rFonts w:ascii="Times New Roman" w:hAnsi="Times New Roman" w:cs="Times New Roman"/>
        </w:rPr>
      </w:pPr>
    </w:p>
    <w:p w:rsidR="00AB5965" w:rsidRDefault="00AB5965" w:rsidP="00AB5965"/>
    <w:p w:rsidR="00AB5965" w:rsidRDefault="00AB5965" w:rsidP="00AB5965"/>
    <w:p w:rsidR="00AB5965" w:rsidRDefault="00AB5965" w:rsidP="00AB5965"/>
    <w:p w:rsidR="008C6BDB" w:rsidRPr="00E40049" w:rsidRDefault="00FB587C" w:rsidP="002D4FB2">
      <w:pPr>
        <w:pStyle w:val="Heading1"/>
        <w:rPr>
          <w:rFonts w:ascii="Times New Roman" w:hAnsi="Times New Roman" w:cs="Times New Roman"/>
        </w:rPr>
      </w:pPr>
      <w:bookmarkStart w:id="34" w:name="_Toc320526599"/>
      <w:r w:rsidRPr="00E40049">
        <w:rPr>
          <w:rFonts w:ascii="Times New Roman" w:hAnsi="Times New Roman" w:cs="Times New Roman"/>
        </w:rPr>
        <w:t>Non-Residential Energy Efficiency Programs and Activity</w:t>
      </w:r>
      <w:bookmarkEnd w:id="30"/>
      <w:bookmarkEnd w:id="31"/>
      <w:bookmarkEnd w:id="34"/>
    </w:p>
    <w:p w:rsidR="008C6BDB" w:rsidRPr="00B34E9C" w:rsidRDefault="008C6BDB" w:rsidP="00734E52"/>
    <w:p w:rsidR="0023306D" w:rsidRPr="00E40049" w:rsidRDefault="0023306D" w:rsidP="0023306D">
      <w:pPr>
        <w:rPr>
          <w:b/>
          <w:bCs/>
          <w:sz w:val="28"/>
          <w:szCs w:val="28"/>
        </w:rPr>
      </w:pPr>
      <w:r w:rsidRPr="00E40049">
        <w:rPr>
          <w:b/>
          <w:bCs/>
          <w:sz w:val="28"/>
          <w:szCs w:val="28"/>
        </w:rPr>
        <w:t>FinAnswer Express (Schedule 115)</w:t>
      </w:r>
    </w:p>
    <w:p w:rsidR="0023306D" w:rsidRDefault="0023306D" w:rsidP="0023306D">
      <w:pPr>
        <w:jc w:val="both"/>
      </w:pPr>
    </w:p>
    <w:p w:rsidR="0023306D" w:rsidRPr="00B34E9C" w:rsidRDefault="0023306D" w:rsidP="0023306D">
      <w:pPr>
        <w:jc w:val="both"/>
      </w:pPr>
      <w:r w:rsidRPr="00B34E9C">
        <w:t xml:space="preserve">The FinAnswer Express program is available to commercial, industrial, and agricultural customers in </w:t>
      </w:r>
      <w:r w:rsidR="0043243D">
        <w:t>Pacific Power</w:t>
      </w:r>
      <w:r w:rsidRPr="00B34E9C">
        <w:t xml:space="preserve">’s Washington service territory. The program includes an expedited energy analysis and offers incentives for qualifying high-efficiency measures based on the equipment installed and listed in the program incentive tables ($/fixture, $/motor, $/ton of cooling, etc.). The program also includes custom incentives and technical analysis services for measures not listed in the program incentive tables that improve electric energy efficiency. The current program offers incentives for lighting, motors, heating ventilation and air conditioning (“HVAC”), building envelope, food service equipment, appliances, irrigation, dairy/farm equipment, small compressed air, and other measures. Incentives are available for both retrofit projects and new construction/major renovation projects. The program is marketed primarily via trade allies, </w:t>
      </w:r>
      <w:r w:rsidR="0043243D">
        <w:t>Pacific Power</w:t>
      </w:r>
      <w:r w:rsidRPr="00B34E9C">
        <w:t xml:space="preserve"> staff, and a combination of other Company outreach efforts including print and radio advertising. This program began as Small Retrofit Incentive and Retrofit Incentive (Schedules 115 and 116) in November 2000 and was improved and renamed FinAnswer Express (Schedule 115) in May 2004. It was last modified November 20, 2010.</w:t>
      </w:r>
      <w:r>
        <w:t xml:space="preserve"> </w:t>
      </w:r>
      <w:r w:rsidRPr="002D5A33">
        <w:rPr>
          <w:i/>
        </w:rPr>
        <w:t xml:space="preserve">Note: February </w:t>
      </w:r>
      <w:r>
        <w:rPr>
          <w:i/>
        </w:rPr>
        <w:t xml:space="preserve">24, </w:t>
      </w:r>
      <w:r w:rsidRPr="002D5A33">
        <w:rPr>
          <w:i/>
        </w:rPr>
        <w:t>2012 is the next planned update.</w:t>
      </w:r>
    </w:p>
    <w:p w:rsidR="0023306D" w:rsidRPr="00B34E9C" w:rsidRDefault="0023306D" w:rsidP="0023306D">
      <w:pPr>
        <w:jc w:val="both"/>
      </w:pPr>
    </w:p>
    <w:p w:rsidR="0023306D" w:rsidRPr="00B34E9C" w:rsidRDefault="0023306D" w:rsidP="0023306D">
      <w:pPr>
        <w:jc w:val="both"/>
      </w:pPr>
      <w:r w:rsidRPr="00B34E9C">
        <w:t>Program expenditures, kWh savings and incentives paid are outlined in the table below:</w:t>
      </w:r>
    </w:p>
    <w:p w:rsidR="0023306D" w:rsidRPr="00B34E9C" w:rsidRDefault="0023306D" w:rsidP="0023306D">
      <w:pPr>
        <w:jc w:val="center"/>
        <w:rPr>
          <w:b/>
          <w:bCs/>
        </w:rPr>
      </w:pPr>
    </w:p>
    <w:p w:rsidR="0023306D" w:rsidRPr="00B34E9C" w:rsidRDefault="00C43C88" w:rsidP="00C43C88">
      <w:pPr>
        <w:pStyle w:val="Caption"/>
        <w:rPr>
          <w:b w:val="0"/>
          <w:bCs w:val="0"/>
        </w:rPr>
      </w:pPr>
      <w:bookmarkStart w:id="35" w:name="_Toc320624125"/>
      <w:r>
        <w:t xml:space="preserve">Table </w:t>
      </w:r>
      <w:fldSimple w:instr=" SEQ Table \* ARABIC ">
        <w:r w:rsidR="00CE280F">
          <w:rPr>
            <w:noProof/>
          </w:rPr>
          <w:t>10</w:t>
        </w:r>
      </w:fldSimple>
      <w:r>
        <w:t xml:space="preserve">:  2011 FinAnswer Express Program </w:t>
      </w:r>
      <w:proofErr w:type="gramStart"/>
      <w:r>
        <w:t>Performance</w:t>
      </w:r>
      <w:bookmarkEnd w:id="35"/>
      <w:proofErr w:type="gramEnd"/>
      <w:r>
        <w:t xml:space="preserve"> </w:t>
      </w:r>
    </w:p>
    <w:p w:rsidR="0023306D" w:rsidRDefault="004C018C" w:rsidP="0023306D">
      <w:r>
        <w:object w:dxaOrig="9763" w:dyaOrig="2939">
          <v:shape id="_x0000_i1034" type="#_x0000_t75" style="width:419.1pt;height:146.7pt" o:ole="">
            <v:imagedata r:id="rId34" o:title=""/>
          </v:shape>
          <o:OLEObject Type="Embed" ProgID="Excel.Sheet.12" ShapeID="_x0000_i1034" DrawAspect="Content" ObjectID="_1394628394" r:id="rId35"/>
        </w:object>
      </w:r>
    </w:p>
    <w:p w:rsidR="00242158" w:rsidRDefault="00242158" w:rsidP="0023306D"/>
    <w:p w:rsidR="00242158" w:rsidRDefault="00242158" w:rsidP="0023306D"/>
    <w:p w:rsidR="0023306D" w:rsidRPr="00B34E9C" w:rsidRDefault="0023306D" w:rsidP="0023306D">
      <w:r w:rsidRPr="00B34E9C">
        <w:t>Details of program savings by measure type are provided in the table below:</w:t>
      </w:r>
    </w:p>
    <w:p w:rsidR="0023306D" w:rsidRPr="00B34E9C" w:rsidRDefault="0023306D" w:rsidP="0023306D"/>
    <w:p w:rsidR="00D534EE" w:rsidRDefault="00D534EE" w:rsidP="0023306D">
      <w:pPr>
        <w:jc w:val="center"/>
        <w:rPr>
          <w:b/>
          <w:bCs/>
          <w:highlight w:val="yellow"/>
        </w:rPr>
      </w:pPr>
    </w:p>
    <w:p w:rsidR="00D534EE" w:rsidRDefault="00D534EE" w:rsidP="0023306D">
      <w:pPr>
        <w:jc w:val="center"/>
        <w:rPr>
          <w:b/>
          <w:bCs/>
          <w:highlight w:val="yellow"/>
        </w:rPr>
      </w:pPr>
    </w:p>
    <w:p w:rsidR="00D534EE" w:rsidRDefault="00D534EE" w:rsidP="0023306D">
      <w:pPr>
        <w:jc w:val="center"/>
        <w:rPr>
          <w:b/>
          <w:bCs/>
          <w:highlight w:val="yellow"/>
        </w:rPr>
      </w:pPr>
    </w:p>
    <w:p w:rsidR="0023306D" w:rsidRPr="00B34E9C" w:rsidRDefault="00C43C88" w:rsidP="00C43C88">
      <w:pPr>
        <w:pStyle w:val="Caption"/>
        <w:rPr>
          <w:b w:val="0"/>
          <w:bCs w:val="0"/>
        </w:rPr>
      </w:pPr>
      <w:bookmarkStart w:id="36" w:name="_Toc320624126"/>
      <w:r>
        <w:t xml:space="preserve">Table </w:t>
      </w:r>
      <w:fldSimple w:instr=" SEQ Table \* ARABIC ">
        <w:r w:rsidR="00CE280F">
          <w:rPr>
            <w:noProof/>
          </w:rPr>
          <w:t>11</w:t>
        </w:r>
      </w:fldSimple>
      <w:r>
        <w:t>:  FinAnswer Express Savings by Measure Type</w:t>
      </w:r>
      <w:bookmarkEnd w:id="36"/>
    </w:p>
    <w:p w:rsidR="00D534EE" w:rsidRPr="00B34E9C" w:rsidRDefault="004C018C" w:rsidP="0023306D">
      <w:pPr>
        <w:jc w:val="center"/>
      </w:pPr>
      <w:r>
        <w:object w:dxaOrig="6905" w:dyaOrig="4086">
          <v:shape id="_x0000_i1035" type="#_x0000_t75" style="width:345.05pt;height:203.75pt" o:ole="">
            <v:imagedata r:id="rId36" o:title=""/>
          </v:shape>
          <o:OLEObject Type="Embed" ProgID="Excel.Sheet.12" ShapeID="_x0000_i1035" DrawAspect="Content" ObjectID="_1394628395" r:id="rId37"/>
        </w:object>
      </w:r>
    </w:p>
    <w:p w:rsidR="0023306D" w:rsidRPr="00B34E9C" w:rsidRDefault="0023306D" w:rsidP="0023306D"/>
    <w:p w:rsidR="00F9455D" w:rsidRDefault="00F9455D" w:rsidP="0023306D">
      <w:pPr>
        <w:rPr>
          <w:b/>
        </w:rPr>
      </w:pPr>
    </w:p>
    <w:p w:rsidR="0023306D" w:rsidRDefault="0023306D" w:rsidP="0023306D">
      <w:pPr>
        <w:rPr>
          <w:b/>
        </w:rPr>
      </w:pPr>
      <w:r w:rsidRPr="00B34E9C">
        <w:rPr>
          <w:b/>
        </w:rPr>
        <w:t>Major Trends and Activities</w:t>
      </w:r>
      <w:r>
        <w:rPr>
          <w:b/>
        </w:rPr>
        <w:t xml:space="preserve">  </w:t>
      </w:r>
    </w:p>
    <w:p w:rsidR="0023306D" w:rsidRDefault="0023306D" w:rsidP="0023306D">
      <w:pPr>
        <w:jc w:val="both"/>
      </w:pPr>
      <w:r w:rsidRPr="00B34E9C">
        <w:t>During 201</w:t>
      </w:r>
      <w:r>
        <w:t>1</w:t>
      </w:r>
      <w:r w:rsidRPr="00B34E9C">
        <w:t xml:space="preserve">, the Company continued to support the Pacific Power Energy Efficiency Alliance, a trade ally network which provides support to lighting, motor, HVAC and other </w:t>
      </w:r>
      <w:r>
        <w:t xml:space="preserve">contractors and </w:t>
      </w:r>
      <w:r w:rsidRPr="00B34E9C">
        <w:t xml:space="preserve">distributors who participate in offering the Company’s energy efficiency programs. </w:t>
      </w:r>
      <w:r>
        <w:t>Contractors, distributors</w:t>
      </w:r>
      <w:r w:rsidRPr="00B34E9C">
        <w:t xml:space="preserve"> and others are recruited, approved and trained on the Company’s programs. Upon approval, trade allies are listed on the Company’s program website as a participating vendor</w:t>
      </w:r>
      <w:r>
        <w:t xml:space="preserve"> and provided with training and program information to help them help </w:t>
      </w:r>
      <w:r w:rsidR="00756E25">
        <w:t>Pacific Power</w:t>
      </w:r>
      <w:r>
        <w:t xml:space="preserve"> customers</w:t>
      </w:r>
      <w:r w:rsidRPr="00B34E9C">
        <w:t>.</w:t>
      </w:r>
      <w:r>
        <w:t xml:space="preserve"> </w:t>
      </w:r>
    </w:p>
    <w:p w:rsidR="0023306D" w:rsidRPr="00B34E9C" w:rsidRDefault="0023306D" w:rsidP="0023306D">
      <w:pPr>
        <w:jc w:val="both"/>
      </w:pPr>
    </w:p>
    <w:p w:rsidR="0023306D" w:rsidRPr="00B34E9C" w:rsidRDefault="0023306D" w:rsidP="0023306D">
      <w:pPr>
        <w:jc w:val="both"/>
      </w:pPr>
      <w:r w:rsidRPr="00B34E9C">
        <w:t>Each year, training events are held for trade allies working with the FinAnswer Express program. The events were held February 1</w:t>
      </w:r>
      <w:r>
        <w:t>5</w:t>
      </w:r>
      <w:r w:rsidRPr="00B34E9C">
        <w:t xml:space="preserve"> and 1</w:t>
      </w:r>
      <w:r>
        <w:t>6, 2011</w:t>
      </w:r>
      <w:r w:rsidR="001356E3">
        <w:t>,</w:t>
      </w:r>
      <w:r w:rsidRPr="00B34E9C">
        <w:t xml:space="preserve"> in Yakima and Walla Walla</w:t>
      </w:r>
      <w:r>
        <w:t xml:space="preserve"> locations</w:t>
      </w:r>
      <w:r w:rsidRPr="00B34E9C">
        <w:t xml:space="preserve">. The events were attended by over </w:t>
      </w:r>
      <w:r>
        <w:t>110</w:t>
      </w:r>
      <w:r w:rsidRPr="00B34E9C">
        <w:t xml:space="preserve"> trade allies</w:t>
      </w:r>
      <w:r>
        <w:t>/participants</w:t>
      </w:r>
      <w:r w:rsidRPr="00B34E9C">
        <w:t xml:space="preserve"> and provided information about program changes, recognized outstanding trade allies, and provided sales training on energy efficiency</w:t>
      </w:r>
      <w:r>
        <w:t xml:space="preserve"> incentives within their business models</w:t>
      </w:r>
      <w:r w:rsidRPr="00B34E9C">
        <w:t xml:space="preserve">. </w:t>
      </w:r>
      <w:r>
        <w:t xml:space="preserve">Cascade Natural Gas attended and provided information on available incentives.  </w:t>
      </w:r>
      <w:r w:rsidRPr="00B34E9C">
        <w:t xml:space="preserve">On March </w:t>
      </w:r>
      <w:r>
        <w:t>1, 2011</w:t>
      </w:r>
      <w:r w:rsidRPr="00B34E9C">
        <w:t xml:space="preserve">, lighting trade allies attended a regional technical training in the Tri-cities area sponsored by Bonneville Power Administration’s Northwest Trade Ally Network and </w:t>
      </w:r>
      <w:r w:rsidR="0043243D">
        <w:t>Pacific Power</w:t>
      </w:r>
      <w:r w:rsidRPr="00B34E9C">
        <w:t xml:space="preserve"> to further improve lighting energy efficiency knowledge. </w:t>
      </w:r>
    </w:p>
    <w:p w:rsidR="0023306D" w:rsidRPr="00B34E9C" w:rsidRDefault="0023306D" w:rsidP="0023306D">
      <w:pPr>
        <w:jc w:val="both"/>
      </w:pPr>
    </w:p>
    <w:p w:rsidR="0023306D" w:rsidRDefault="0023306D" w:rsidP="0023306D">
      <w:pPr>
        <w:jc w:val="both"/>
      </w:pPr>
      <w:r w:rsidRPr="00B34E9C">
        <w:t xml:space="preserve">A dedicated team of technical and outreach specialists support trade allies throughout the year by conducting on-site program trainings, responding to inquiries from customers and trade allies, and publishing an educational newsletter. </w:t>
      </w:r>
      <w:r>
        <w:t xml:space="preserve">The Company increased the focus on industrial and agricultural measures in 2011 by adding a technical outreach specialist for irrigation, dairy/farm and small compressed air trade allies. </w:t>
      </w:r>
    </w:p>
    <w:p w:rsidR="004C3518" w:rsidRDefault="0023306D" w:rsidP="0023306D">
      <w:pPr>
        <w:jc w:val="both"/>
      </w:pPr>
      <w:r>
        <w:t xml:space="preserve">   </w:t>
      </w:r>
    </w:p>
    <w:p w:rsidR="0023306D" w:rsidRDefault="0023306D" w:rsidP="0023306D">
      <w:pPr>
        <w:jc w:val="both"/>
      </w:pPr>
      <w:r w:rsidRPr="00B34E9C">
        <w:t>In 201</w:t>
      </w:r>
      <w:r>
        <w:t>1</w:t>
      </w:r>
      <w:r w:rsidRPr="00B34E9C">
        <w:t xml:space="preserve">, the Company added content to the web page specifically for trade allies at </w:t>
      </w:r>
      <w:hyperlink r:id="rId38" w:history="1">
        <w:r w:rsidRPr="00B34E9C">
          <w:rPr>
            <w:rStyle w:val="Hyperlink"/>
          </w:rPr>
          <w:t>www.pacificpower.net/alliance</w:t>
        </w:r>
      </w:hyperlink>
      <w:r w:rsidRPr="00B34E9C">
        <w:t xml:space="preserve">. This page includes service area maps, a link to program information, announcements for upcoming events, resources </w:t>
      </w:r>
      <w:r>
        <w:t xml:space="preserve">(updated </w:t>
      </w:r>
      <w:r w:rsidRPr="00B34E9C">
        <w:t>Light Emitting Diode policy), and current and past newsletters.</w:t>
      </w:r>
      <w:r>
        <w:t xml:space="preserve"> Of special note was an addition of a T12 information flyer for allies to provide to their customers on the pending 2012 federal standards change with linear fluorescent lamps and to help promote lighting upgrades with appropriate accurate information.  This information is also contained on a customer facing page at </w:t>
      </w:r>
      <w:hyperlink r:id="rId39" w:history="1">
        <w:r w:rsidRPr="00146281">
          <w:rPr>
            <w:rStyle w:val="Hyperlink"/>
          </w:rPr>
          <w:t>www.pacificpower.net/lightingstandards</w:t>
        </w:r>
      </w:hyperlink>
      <w:r>
        <w:t xml:space="preserve">. </w:t>
      </w:r>
    </w:p>
    <w:p w:rsidR="0023306D" w:rsidRDefault="0023306D" w:rsidP="0023306D">
      <w:pPr>
        <w:jc w:val="both"/>
      </w:pPr>
    </w:p>
    <w:p w:rsidR="0023306D" w:rsidRDefault="0023306D" w:rsidP="0023306D">
      <w:pPr>
        <w:spacing w:after="200" w:line="276" w:lineRule="auto"/>
        <w:jc w:val="both"/>
      </w:pPr>
      <w:r>
        <w:t>Some of the Company’s program paid advertising in 2011 also focused on the topic of upgrading linear fluorescent lighting.  The goal is to encourage customers to upgrade now rather than wait until after the standards change.  By upgrading ahead of the standards change, customers can start saving money on their electric bills sooner and benefit from better lighting.</w:t>
      </w:r>
      <w:r w:rsidR="00F6065C">
        <w:t xml:space="preserve">  </w:t>
      </w:r>
      <w:r>
        <w:t>The Company’s project management staff continued outreach and provided technical services and FinAnswer Express incentives for customer energy efficiency projects.</w:t>
      </w:r>
    </w:p>
    <w:p w:rsidR="0023306D" w:rsidRPr="003744D1" w:rsidRDefault="0023306D" w:rsidP="004C3518">
      <w:pPr>
        <w:spacing w:after="200"/>
        <w:contextualSpacing/>
        <w:jc w:val="both"/>
        <w:rPr>
          <w:b/>
        </w:rPr>
      </w:pPr>
      <w:r w:rsidRPr="003744D1">
        <w:rPr>
          <w:b/>
        </w:rPr>
        <w:t>Program Changes</w:t>
      </w:r>
    </w:p>
    <w:p w:rsidR="0023306D" w:rsidRDefault="0023306D" w:rsidP="0023306D">
      <w:pPr>
        <w:spacing w:after="200" w:line="276" w:lineRule="auto"/>
        <w:jc w:val="both"/>
      </w:pPr>
      <w:r>
        <w:t xml:space="preserve">There were no FinAnswer Express program changes in 2011.  </w:t>
      </w:r>
      <w:r w:rsidRPr="00D8165F">
        <w:t>Modifications to the FinAnswer Express program were discussed with the DSM Advisory Group on</w:t>
      </w:r>
      <w:r w:rsidR="001356E3">
        <w:t xml:space="preserve"> several occasions throughout the year with a final discussion occurring on</w:t>
      </w:r>
      <w:r w:rsidRPr="00D8165F">
        <w:t xml:space="preserve"> </w:t>
      </w:r>
      <w:r>
        <w:t>November</w:t>
      </w:r>
      <w:r w:rsidRPr="00D8165F">
        <w:t xml:space="preserve"> 2</w:t>
      </w:r>
      <w:r>
        <w:t>2, 2011</w:t>
      </w:r>
      <w:r w:rsidRPr="00D8165F">
        <w:t xml:space="preserve">. </w:t>
      </w:r>
      <w:r w:rsidR="0089558A">
        <w:t xml:space="preserve">The modifications </w:t>
      </w:r>
      <w:r w:rsidRPr="00D8165F">
        <w:t xml:space="preserve">became effective on </w:t>
      </w:r>
      <w:r>
        <w:t>February 24, 2012</w:t>
      </w:r>
      <w:r w:rsidRPr="00D8165F">
        <w:t xml:space="preserve">. </w:t>
      </w:r>
    </w:p>
    <w:p w:rsidR="0023306D" w:rsidRPr="00B34E9C" w:rsidRDefault="0023306D" w:rsidP="00E40049">
      <w:pPr>
        <w:contextualSpacing/>
        <w:rPr>
          <w:b/>
        </w:rPr>
      </w:pPr>
      <w:r w:rsidRPr="00B34E9C">
        <w:rPr>
          <w:b/>
        </w:rPr>
        <w:t>Program Evaluations</w:t>
      </w:r>
      <w:r>
        <w:rPr>
          <w:b/>
        </w:rPr>
        <w:t xml:space="preserve">  </w:t>
      </w:r>
    </w:p>
    <w:p w:rsidR="00D534EE" w:rsidRPr="00B34E9C" w:rsidRDefault="00D534EE" w:rsidP="00E40049">
      <w:pPr>
        <w:contextualSpacing/>
        <w:jc w:val="both"/>
      </w:pPr>
      <w:r>
        <w:t>A p</w:t>
      </w:r>
      <w:r w:rsidRPr="00B34E9C">
        <w:t xml:space="preserve">rocess and impact evaluation </w:t>
      </w:r>
      <w:r>
        <w:t xml:space="preserve">will be completed during </w:t>
      </w:r>
      <w:r w:rsidRPr="00B34E9C">
        <w:t>201</w:t>
      </w:r>
      <w:r>
        <w:t>2</w:t>
      </w:r>
      <w:r w:rsidRPr="00B34E9C">
        <w:t xml:space="preserve"> for FinAnswer</w:t>
      </w:r>
      <w:r>
        <w:t xml:space="preserve"> Express</w:t>
      </w:r>
      <w:r w:rsidRPr="00B34E9C">
        <w:t xml:space="preserve">   program </w:t>
      </w:r>
      <w:r w:rsidR="009C271A">
        <w:t xml:space="preserve">for program </w:t>
      </w:r>
      <w:r w:rsidRPr="00B34E9C">
        <w:t>years 200</w:t>
      </w:r>
      <w:r>
        <w:t>9</w:t>
      </w:r>
      <w:r w:rsidRPr="00B34E9C">
        <w:t xml:space="preserve"> – 20</w:t>
      </w:r>
      <w:r>
        <w:t>11</w:t>
      </w:r>
      <w:r w:rsidRPr="00B34E9C">
        <w:t xml:space="preserve">. </w:t>
      </w:r>
    </w:p>
    <w:p w:rsidR="00CE3F03" w:rsidRPr="00B34E9C" w:rsidRDefault="00CE3F03">
      <w:pPr>
        <w:spacing w:after="200" w:line="276" w:lineRule="auto"/>
        <w:rPr>
          <w:b/>
          <w:bCs/>
        </w:rPr>
      </w:pPr>
    </w:p>
    <w:p w:rsidR="00C916C9" w:rsidRDefault="00C916C9" w:rsidP="004D4F2F">
      <w:pPr>
        <w:spacing w:after="200" w:line="276" w:lineRule="auto"/>
        <w:rPr>
          <w:b/>
          <w:bCs/>
          <w:sz w:val="32"/>
          <w:szCs w:val="32"/>
        </w:rPr>
      </w:pPr>
    </w:p>
    <w:p w:rsidR="00E40049" w:rsidRDefault="00E40049">
      <w:pPr>
        <w:rPr>
          <w:b/>
          <w:bCs/>
          <w:sz w:val="32"/>
          <w:szCs w:val="32"/>
        </w:rPr>
      </w:pPr>
      <w:r>
        <w:rPr>
          <w:b/>
          <w:bCs/>
          <w:sz w:val="32"/>
          <w:szCs w:val="32"/>
        </w:rPr>
        <w:br w:type="page"/>
      </w:r>
    </w:p>
    <w:p w:rsidR="004D4F2F" w:rsidRPr="00E40049" w:rsidRDefault="004D4F2F" w:rsidP="004D4F2F">
      <w:pPr>
        <w:spacing w:after="200" w:line="276" w:lineRule="auto"/>
        <w:rPr>
          <w:b/>
          <w:bCs/>
          <w:sz w:val="28"/>
          <w:szCs w:val="28"/>
        </w:rPr>
      </w:pPr>
      <w:r w:rsidRPr="00E40049">
        <w:rPr>
          <w:b/>
          <w:bCs/>
          <w:sz w:val="28"/>
          <w:szCs w:val="28"/>
        </w:rPr>
        <w:t xml:space="preserve">Energy FinAnswer (Schedule 125) </w:t>
      </w:r>
    </w:p>
    <w:p w:rsidR="004D4F2F" w:rsidRPr="00B34E9C" w:rsidRDefault="004D4F2F" w:rsidP="004D4F2F">
      <w:pPr>
        <w:jc w:val="both"/>
      </w:pPr>
      <w:r w:rsidRPr="00B34E9C">
        <w:t xml:space="preserve">The Energy FinAnswer program serves commercial, industrial, and agricultural customers for retrofits and new construction. The program includes a vendor neutral investment grade energy analysis and cash incentives equal to $0.15 per kWh annual energy savings plus $50 per kW average monthly demand savings (up to 60 percent of project costs). There is a cap to prevent incentives from bringing the payback for a project below one year and a cap for lighting energy savings per project because lighting-only projects are included in FinAnswer Express. The program includes a commissioning requirement and post-installation verification. There are design assistance services and special incentives available for new construction and major renovation projects where energy code applies. The program is marketed primarily via </w:t>
      </w:r>
      <w:r w:rsidR="0043243D">
        <w:t>Pacific Power</w:t>
      </w:r>
      <w:r w:rsidRPr="00B34E9C">
        <w:t xml:space="preserve"> account managers, trade allies, Energy FinAnswer consultants and project staff. Other leads are received via word-of-mouth or past participants returning for additional projects and a combination of other Company outreach efforts. </w:t>
      </w:r>
    </w:p>
    <w:p w:rsidR="004D4F2F" w:rsidRPr="00B34E9C" w:rsidRDefault="004D4F2F" w:rsidP="004D4F2F">
      <w:pPr>
        <w:jc w:val="both"/>
      </w:pPr>
    </w:p>
    <w:p w:rsidR="004D4F2F" w:rsidRPr="00B34E9C" w:rsidRDefault="004D4F2F" w:rsidP="004D4F2F">
      <w:pPr>
        <w:jc w:val="both"/>
      </w:pPr>
      <w:r w:rsidRPr="00B34E9C">
        <w:t>Program results for 201</w:t>
      </w:r>
      <w:r>
        <w:t>1</w:t>
      </w:r>
      <w:r w:rsidRPr="00B34E9C">
        <w:t xml:space="preserve"> are provided in Table 12 below.</w:t>
      </w:r>
    </w:p>
    <w:p w:rsidR="004D4F2F" w:rsidRPr="00B34E9C" w:rsidRDefault="00C43C88" w:rsidP="00C43C88">
      <w:pPr>
        <w:pStyle w:val="Caption"/>
        <w:rPr>
          <w:b w:val="0"/>
          <w:bCs w:val="0"/>
        </w:rPr>
      </w:pPr>
      <w:bookmarkStart w:id="37" w:name="_Toc320624127"/>
      <w:r>
        <w:t xml:space="preserve">Table </w:t>
      </w:r>
      <w:fldSimple w:instr=" SEQ Table \* ARABIC ">
        <w:r w:rsidR="00CE280F">
          <w:rPr>
            <w:noProof/>
          </w:rPr>
          <w:t>12</w:t>
        </w:r>
      </w:fldSimple>
      <w:r>
        <w:t>:  Energy FinAnswer Program Performance</w:t>
      </w:r>
      <w:bookmarkEnd w:id="37"/>
    </w:p>
    <w:p w:rsidR="004D4F2F" w:rsidRPr="00B34E9C" w:rsidRDefault="004C018C" w:rsidP="004D4F2F">
      <w:pPr>
        <w:jc w:val="center"/>
      </w:pPr>
      <w:r>
        <w:object w:dxaOrig="9827" w:dyaOrig="2939">
          <v:shape id="_x0000_i1036" type="#_x0000_t75" style="width:429.95pt;height:146.7pt" o:ole="">
            <v:imagedata r:id="rId40" o:title=""/>
          </v:shape>
          <o:OLEObject Type="Embed" ProgID="Excel.Sheet.12" ShapeID="_x0000_i1036" DrawAspect="Content" ObjectID="_1394628396" r:id="rId41"/>
        </w:object>
      </w:r>
    </w:p>
    <w:p w:rsidR="008B43EF" w:rsidRDefault="008B43EF" w:rsidP="004D4F2F"/>
    <w:p w:rsidR="004C018C" w:rsidRDefault="004C018C" w:rsidP="004D4F2F"/>
    <w:p w:rsidR="004D4F2F" w:rsidRPr="00B34E9C" w:rsidRDefault="004D4F2F" w:rsidP="004D4F2F">
      <w:r w:rsidRPr="00B34E9C">
        <w:t xml:space="preserve">Details of program savings by measure type </w:t>
      </w:r>
      <w:r w:rsidR="004C018C">
        <w:t xml:space="preserve">(at site) </w:t>
      </w:r>
      <w:r w:rsidRPr="00B34E9C">
        <w:t xml:space="preserve">are provided in Table 13 below. </w:t>
      </w:r>
    </w:p>
    <w:p w:rsidR="004D4F2F" w:rsidRPr="00B34E9C" w:rsidRDefault="00C43C88" w:rsidP="00C43C88">
      <w:pPr>
        <w:pStyle w:val="Caption"/>
        <w:rPr>
          <w:b w:val="0"/>
          <w:bCs w:val="0"/>
        </w:rPr>
      </w:pPr>
      <w:bookmarkStart w:id="38" w:name="_Toc320624128"/>
      <w:r>
        <w:t xml:space="preserve">Table </w:t>
      </w:r>
      <w:fldSimple w:instr=" SEQ Table \* ARABIC ">
        <w:r w:rsidR="00CE280F">
          <w:rPr>
            <w:noProof/>
          </w:rPr>
          <w:t>13</w:t>
        </w:r>
      </w:fldSimple>
      <w:r>
        <w:t>:  Energy FinAnswer Savings by Measure Type</w:t>
      </w:r>
      <w:bookmarkEnd w:id="38"/>
    </w:p>
    <w:p w:rsidR="004D4F2F" w:rsidRPr="00B34E9C" w:rsidRDefault="004C018C" w:rsidP="004D4F2F">
      <w:pPr>
        <w:jc w:val="center"/>
      </w:pPr>
      <w:r>
        <w:object w:dxaOrig="6679" w:dyaOrig="2939">
          <v:shape id="_x0000_i1037" type="#_x0000_t75" style="width:333.5pt;height:146.7pt" o:ole="">
            <v:imagedata r:id="rId42" o:title=""/>
          </v:shape>
          <o:OLEObject Type="Embed" ProgID="Excel.Sheet.12" ShapeID="_x0000_i1037" DrawAspect="Content" ObjectID="_1394628397" r:id="rId43"/>
        </w:object>
      </w:r>
    </w:p>
    <w:p w:rsidR="008A03EF" w:rsidRDefault="008A03EF" w:rsidP="004D4F2F">
      <w:pPr>
        <w:jc w:val="both"/>
        <w:rPr>
          <w:b/>
        </w:rPr>
      </w:pPr>
    </w:p>
    <w:p w:rsidR="00A07A1B" w:rsidRDefault="00A07A1B" w:rsidP="004D4F2F">
      <w:pPr>
        <w:jc w:val="both"/>
        <w:rPr>
          <w:b/>
        </w:rPr>
      </w:pPr>
    </w:p>
    <w:p w:rsidR="004D4F2F" w:rsidRDefault="004D4F2F" w:rsidP="004D4F2F">
      <w:pPr>
        <w:jc w:val="both"/>
        <w:rPr>
          <w:b/>
        </w:rPr>
      </w:pPr>
      <w:r>
        <w:rPr>
          <w:b/>
        </w:rPr>
        <w:t>Major Trends or Activities</w:t>
      </w:r>
    </w:p>
    <w:p w:rsidR="004D4F2F" w:rsidRPr="004D4F2F" w:rsidRDefault="004D4F2F" w:rsidP="004D4F2F">
      <w:pPr>
        <w:jc w:val="both"/>
      </w:pPr>
      <w:r w:rsidRPr="004D4F2F">
        <w:t>Energy FinAnswer continues to experience strong participation from the fruit storage and processing industry. Energy FinAnswer program also saw an increase in program activity with K-12 schools across the service territory.</w:t>
      </w:r>
    </w:p>
    <w:p w:rsidR="004D4F2F" w:rsidRDefault="004D4F2F" w:rsidP="004D4F2F">
      <w:pPr>
        <w:jc w:val="both"/>
        <w:rPr>
          <w:b/>
        </w:rPr>
      </w:pPr>
    </w:p>
    <w:p w:rsidR="004D4F2F" w:rsidRDefault="004D4F2F" w:rsidP="004D4F2F">
      <w:pPr>
        <w:jc w:val="both"/>
        <w:rPr>
          <w:b/>
        </w:rPr>
      </w:pPr>
      <w:r>
        <w:rPr>
          <w:b/>
        </w:rPr>
        <w:t>Program Changes</w:t>
      </w:r>
    </w:p>
    <w:p w:rsidR="004D4F2F" w:rsidRPr="00DA079E" w:rsidRDefault="00DB0459" w:rsidP="004D4F2F">
      <w:pPr>
        <w:jc w:val="both"/>
      </w:pPr>
      <w:r w:rsidRPr="00DA079E">
        <w:t>No program changes are planned at this time.</w:t>
      </w:r>
    </w:p>
    <w:p w:rsidR="004D4F2F" w:rsidRDefault="004D4F2F" w:rsidP="004D4F2F">
      <w:pPr>
        <w:jc w:val="both"/>
        <w:rPr>
          <w:b/>
        </w:rPr>
      </w:pPr>
    </w:p>
    <w:p w:rsidR="004D4F2F" w:rsidRPr="00B34E9C" w:rsidRDefault="004D4F2F" w:rsidP="004D4F2F">
      <w:pPr>
        <w:jc w:val="both"/>
        <w:rPr>
          <w:b/>
        </w:rPr>
      </w:pPr>
      <w:r w:rsidRPr="00B34E9C">
        <w:rPr>
          <w:b/>
        </w:rPr>
        <w:t>Program Evaluations</w:t>
      </w:r>
    </w:p>
    <w:p w:rsidR="004D4F2F" w:rsidRPr="00B34E9C" w:rsidRDefault="00DA079E" w:rsidP="00083A77">
      <w:pPr>
        <w:jc w:val="both"/>
      </w:pPr>
      <w:r>
        <w:t>A p</w:t>
      </w:r>
      <w:r w:rsidR="004D4F2F" w:rsidRPr="00B34E9C">
        <w:t xml:space="preserve">rocess and impact evaluation </w:t>
      </w:r>
      <w:r w:rsidR="00DB0459">
        <w:t xml:space="preserve">will be completed during </w:t>
      </w:r>
      <w:r w:rsidR="004D4F2F" w:rsidRPr="00B34E9C">
        <w:t>201</w:t>
      </w:r>
      <w:r w:rsidR="00DB0459">
        <w:t>2</w:t>
      </w:r>
      <w:r w:rsidR="004D4F2F" w:rsidRPr="00B34E9C">
        <w:t xml:space="preserve"> for the Energy FinAnswer program for program years 200</w:t>
      </w:r>
      <w:r w:rsidR="00DB0459">
        <w:t>9</w:t>
      </w:r>
      <w:r w:rsidR="004D4F2F" w:rsidRPr="00B34E9C">
        <w:t xml:space="preserve"> – 20</w:t>
      </w:r>
      <w:r w:rsidR="00DB0459">
        <w:t>11</w:t>
      </w:r>
      <w:r w:rsidR="004D4F2F" w:rsidRPr="00B34E9C">
        <w:t xml:space="preserve">. </w:t>
      </w:r>
    </w:p>
    <w:p w:rsidR="00CE3F03" w:rsidRPr="00B34E9C" w:rsidRDefault="00CE3F03">
      <w:pPr>
        <w:jc w:val="both"/>
      </w:pPr>
    </w:p>
    <w:p w:rsidR="00FC5E06" w:rsidRPr="00B34E9C" w:rsidRDefault="00FC5E06">
      <w:pPr>
        <w:jc w:val="both"/>
        <w:rPr>
          <w:b/>
        </w:rPr>
      </w:pPr>
    </w:p>
    <w:p w:rsidR="00555241" w:rsidRDefault="00555241">
      <w:pPr>
        <w:jc w:val="both"/>
        <w:rPr>
          <w:b/>
        </w:rPr>
      </w:pPr>
    </w:p>
    <w:p w:rsidR="00555241" w:rsidRDefault="00555241">
      <w:pPr>
        <w:jc w:val="both"/>
        <w:rPr>
          <w:b/>
        </w:rPr>
      </w:pPr>
    </w:p>
    <w:p w:rsidR="00555241" w:rsidRDefault="00555241">
      <w:pPr>
        <w:jc w:val="both"/>
        <w:rPr>
          <w:b/>
        </w:rPr>
      </w:pPr>
    </w:p>
    <w:p w:rsidR="0076088A" w:rsidRPr="00B34E9C" w:rsidRDefault="0076088A" w:rsidP="0076088A">
      <w:bookmarkStart w:id="39" w:name="_Toc288484127"/>
    </w:p>
    <w:p w:rsidR="0076088A" w:rsidRPr="00B34E9C" w:rsidRDefault="0076088A" w:rsidP="0076088A"/>
    <w:p w:rsidR="009C271A" w:rsidRDefault="009C271A">
      <w:pPr>
        <w:rPr>
          <w:rFonts w:ascii="Arial" w:hAnsi="Arial" w:cs="Arial"/>
          <w:b/>
          <w:bCs/>
          <w:kern w:val="32"/>
          <w:sz w:val="32"/>
          <w:szCs w:val="32"/>
        </w:rPr>
      </w:pPr>
      <w:bookmarkStart w:id="40" w:name="_Toc289064246"/>
      <w:r>
        <w:br w:type="page"/>
      </w:r>
    </w:p>
    <w:p w:rsidR="008C6BDB" w:rsidRDefault="00FB587C" w:rsidP="00EC1594">
      <w:pPr>
        <w:pStyle w:val="Heading1"/>
        <w:rPr>
          <w:rFonts w:ascii="Times New Roman" w:hAnsi="Times New Roman" w:cs="Times New Roman"/>
        </w:rPr>
      </w:pPr>
      <w:bookmarkStart w:id="41" w:name="_Toc320526600"/>
      <w:r w:rsidRPr="00FB587C">
        <w:rPr>
          <w:rFonts w:ascii="Times New Roman" w:hAnsi="Times New Roman" w:cs="Times New Roman"/>
        </w:rPr>
        <w:t>Overall Portfolio Expenditures and Results</w:t>
      </w:r>
      <w:r w:rsidR="008C6BDB" w:rsidRPr="00B34E9C">
        <w:rPr>
          <w:rStyle w:val="FootnoteReference"/>
          <w:rFonts w:ascii="Times New Roman" w:hAnsi="Times New Roman" w:cs="Times New Roman"/>
        </w:rPr>
        <w:footnoteReference w:id="9"/>
      </w:r>
      <w:bookmarkEnd w:id="39"/>
      <w:bookmarkEnd w:id="40"/>
      <w:bookmarkEnd w:id="41"/>
    </w:p>
    <w:p w:rsidR="00641762" w:rsidRPr="00641762" w:rsidRDefault="00641762" w:rsidP="00641762"/>
    <w:p w:rsidR="008C6BDB" w:rsidRPr="00B34E9C" w:rsidRDefault="008C6BDB" w:rsidP="004403B9"/>
    <w:p w:rsidR="008C6BDB" w:rsidRPr="00B34E9C" w:rsidRDefault="00A52294" w:rsidP="009764E7">
      <w:pPr>
        <w:jc w:val="center"/>
      </w:pPr>
      <w:r w:rsidRPr="00A52294">
        <w:rPr>
          <w:noProof/>
          <w:lang w:eastAsia="en-US"/>
        </w:rPr>
        <w:drawing>
          <wp:inline distT="0" distB="0" distL="0" distR="0">
            <wp:extent cx="4102842" cy="2777705"/>
            <wp:effectExtent l="19050" t="0" r="11958" b="359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8C6BDB" w:rsidRPr="00B34E9C" w:rsidRDefault="008C6BDB" w:rsidP="009764E7">
      <w:pPr>
        <w:jc w:val="center"/>
      </w:pPr>
    </w:p>
    <w:p w:rsidR="008C6BDB" w:rsidRPr="00B34E9C" w:rsidRDefault="00A52294" w:rsidP="00F60719">
      <w:pPr>
        <w:jc w:val="center"/>
      </w:pPr>
      <w:r w:rsidRPr="00A52294">
        <w:rPr>
          <w:noProof/>
          <w:lang w:eastAsia="en-US"/>
        </w:rPr>
        <w:drawing>
          <wp:inline distT="0" distB="0" distL="0" distR="0">
            <wp:extent cx="4163970" cy="3329796"/>
            <wp:effectExtent l="19050" t="0" r="27030" b="3954"/>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2C5163" w:rsidRDefault="002C5163">
      <w:pPr>
        <w:rPr>
          <w:rFonts w:ascii="Arial" w:hAnsi="Arial" w:cs="Arial"/>
          <w:b/>
          <w:bCs/>
          <w:kern w:val="32"/>
          <w:sz w:val="32"/>
          <w:szCs w:val="32"/>
        </w:rPr>
      </w:pPr>
      <w:bookmarkStart w:id="42" w:name="_Toc288484128"/>
      <w:bookmarkStart w:id="43" w:name="_Toc289064247"/>
      <w:r>
        <w:br w:type="page"/>
      </w:r>
    </w:p>
    <w:p w:rsidR="008C6BDB" w:rsidRPr="002C5163" w:rsidRDefault="00FB587C" w:rsidP="002D4FB2">
      <w:pPr>
        <w:pStyle w:val="Heading1"/>
        <w:rPr>
          <w:rFonts w:ascii="Times New Roman" w:hAnsi="Times New Roman" w:cs="Times New Roman"/>
        </w:rPr>
      </w:pPr>
      <w:bookmarkStart w:id="44" w:name="_Toc320526601"/>
      <w:r w:rsidRPr="00FB587C">
        <w:rPr>
          <w:rFonts w:ascii="Times New Roman" w:hAnsi="Times New Roman" w:cs="Times New Roman"/>
        </w:rPr>
        <w:t>System Benefits Charge Balancing Account Summary</w:t>
      </w:r>
      <w:bookmarkEnd w:id="42"/>
      <w:bookmarkEnd w:id="43"/>
      <w:bookmarkEnd w:id="44"/>
    </w:p>
    <w:p w:rsidR="008C6BDB" w:rsidRPr="00B34E9C" w:rsidRDefault="008C6BDB" w:rsidP="00264E3A">
      <w:pPr>
        <w:spacing w:line="276" w:lineRule="auto"/>
        <w:rPr>
          <w:sz w:val="16"/>
          <w:szCs w:val="16"/>
        </w:rPr>
      </w:pPr>
    </w:p>
    <w:p w:rsidR="008C6BDB" w:rsidRPr="00B34E9C" w:rsidRDefault="008C6BDB">
      <w:pPr>
        <w:jc w:val="both"/>
      </w:pPr>
      <w:r w:rsidRPr="00B34E9C">
        <w:t>Demand</w:t>
      </w:r>
      <w:r w:rsidR="00D45ACF" w:rsidRPr="00B34E9C">
        <w:t>-s</w:t>
      </w:r>
      <w:r w:rsidRPr="00B34E9C">
        <w:t>ide Management activities are funded through Schedule 191</w:t>
      </w:r>
      <w:r w:rsidR="00D45ACF" w:rsidRPr="00B34E9C">
        <w:t>,</w:t>
      </w:r>
      <w:r w:rsidR="00FC5E06" w:rsidRPr="00B34E9C">
        <w:t xml:space="preserve"> </w:t>
      </w:r>
      <w:r w:rsidRPr="00B34E9C">
        <w:t>System Benefit</w:t>
      </w:r>
      <w:r w:rsidR="00D45ACF" w:rsidRPr="00B34E9C">
        <w:t>s</w:t>
      </w:r>
      <w:r w:rsidRPr="00B34E9C">
        <w:t xml:space="preserve"> Charge. </w:t>
      </w:r>
      <w:r w:rsidR="00FC5E06" w:rsidRPr="00B34E9C">
        <w:t>E</w:t>
      </w:r>
      <w:r w:rsidRPr="00B34E9C">
        <w:t>xpenditures are charged as incurred and collected from the System</w:t>
      </w:r>
      <w:r w:rsidR="00D45ACF" w:rsidRPr="00B34E9C">
        <w:t>s</w:t>
      </w:r>
      <w:r w:rsidRPr="00B34E9C">
        <w:t xml:space="preserve"> Benefit Charge. The balancing account is the mechanism used for managing the revenue collected and expenses incurred in the provision of Demand</w:t>
      </w:r>
      <w:r w:rsidR="00D45ACF" w:rsidRPr="00B34E9C">
        <w:t>-s</w:t>
      </w:r>
      <w:r w:rsidRPr="00B34E9C">
        <w:t>ide Management programs. The balancing account activity for 20</w:t>
      </w:r>
      <w:r w:rsidR="00E86ACE" w:rsidRPr="00B34E9C">
        <w:t>1</w:t>
      </w:r>
      <w:r w:rsidR="001F32F5">
        <w:t>1</w:t>
      </w:r>
      <w:r w:rsidRPr="00B34E9C">
        <w:t xml:space="preserve"> is</w:t>
      </w:r>
      <w:r w:rsidR="00D45ACF" w:rsidRPr="00B34E9C">
        <w:t xml:space="preserve"> included in this report consistent with Ordering Paragraph 8(</w:t>
      </w:r>
      <w:r w:rsidR="002C5163">
        <w:t>g</w:t>
      </w:r>
      <w:r w:rsidR="00D45ACF" w:rsidRPr="00B34E9C">
        <w:t xml:space="preserve">), Order 02, </w:t>
      </w:r>
      <w:proofErr w:type="gramStart"/>
      <w:r w:rsidR="00D45ACF" w:rsidRPr="00B34E9C">
        <w:t>Docket</w:t>
      </w:r>
      <w:proofErr w:type="gramEnd"/>
      <w:r w:rsidR="00D45ACF" w:rsidRPr="00B34E9C">
        <w:t xml:space="preserve"> UE-100170 and is</w:t>
      </w:r>
      <w:r w:rsidRPr="00B34E9C">
        <w:t xml:space="preserve"> outlined in </w:t>
      </w:r>
      <w:r w:rsidR="00D45ACF" w:rsidRPr="00B34E9C">
        <w:t>T</w:t>
      </w:r>
      <w:r w:rsidRPr="00B34E9C">
        <w:t>able</w:t>
      </w:r>
      <w:r w:rsidR="00FC5E06" w:rsidRPr="00B34E9C">
        <w:t xml:space="preserve"> 14</w:t>
      </w:r>
      <w:r w:rsidRPr="00B34E9C">
        <w:t xml:space="preserve"> below.</w:t>
      </w:r>
    </w:p>
    <w:p w:rsidR="008C6BDB" w:rsidRPr="00B34E9C" w:rsidRDefault="008C6BDB" w:rsidP="00264E3A">
      <w:pPr>
        <w:rPr>
          <w:noProof/>
          <w:lang w:eastAsia="en-US"/>
        </w:rPr>
      </w:pPr>
    </w:p>
    <w:p w:rsidR="008C6BDB" w:rsidRPr="00B34E9C" w:rsidRDefault="00C43C88" w:rsidP="00C43C88">
      <w:pPr>
        <w:pStyle w:val="Caption"/>
        <w:rPr>
          <w:b w:val="0"/>
          <w:bCs w:val="0"/>
          <w:noProof/>
        </w:rPr>
      </w:pPr>
      <w:bookmarkStart w:id="45" w:name="_Toc320624129"/>
      <w:r>
        <w:t xml:space="preserve">Table </w:t>
      </w:r>
      <w:fldSimple w:instr=" SEQ Table \* ARABIC ">
        <w:r w:rsidR="00CE280F">
          <w:rPr>
            <w:noProof/>
          </w:rPr>
          <w:t>14</w:t>
        </w:r>
      </w:fldSimple>
      <w:r>
        <w:t>:  System Benefit Charge Balancing Account Summary</w:t>
      </w:r>
      <w:bookmarkEnd w:id="45"/>
    </w:p>
    <w:p w:rsidR="008C6BDB" w:rsidRPr="00B34E9C" w:rsidRDefault="00A86F10" w:rsidP="00CF05F7">
      <w:pPr>
        <w:jc w:val="center"/>
      </w:pPr>
      <w:r>
        <w:object w:dxaOrig="9597" w:dyaOrig="6045">
          <v:shape id="_x0000_i1038" type="#_x0000_t75" style="width:437.45pt;height:302.25pt" o:ole="">
            <v:imagedata r:id="rId46" o:title=""/>
          </v:shape>
          <o:OLEObject Type="Embed" ProgID="Excel.Sheet.12" ShapeID="_x0000_i1038" DrawAspect="Content" ObjectID="_1394628398" r:id="rId47"/>
        </w:object>
      </w:r>
    </w:p>
    <w:p w:rsidR="008C6BDB" w:rsidRPr="00B34E9C" w:rsidRDefault="008C6BDB" w:rsidP="00264E3A">
      <w:pPr>
        <w:jc w:val="center"/>
      </w:pPr>
    </w:p>
    <w:p w:rsidR="008C6BDB" w:rsidRPr="00B34E9C" w:rsidRDefault="008C6BDB" w:rsidP="00264E3A">
      <w:pPr>
        <w:spacing w:line="276" w:lineRule="auto"/>
      </w:pPr>
      <w:r w:rsidRPr="00B34E9C">
        <w:t>Column Explanations:</w:t>
      </w:r>
    </w:p>
    <w:p w:rsidR="00111899" w:rsidRDefault="008C6BDB">
      <w:pPr>
        <w:spacing w:line="276" w:lineRule="auto"/>
        <w:ind w:left="450"/>
        <w:jc w:val="both"/>
        <w:rPr>
          <w:sz w:val="22"/>
          <w:szCs w:val="22"/>
        </w:rPr>
      </w:pPr>
      <w:proofErr w:type="gramStart"/>
      <w:r w:rsidRPr="00B34E9C">
        <w:rPr>
          <w:sz w:val="22"/>
          <w:szCs w:val="22"/>
          <w:u w:val="single"/>
        </w:rPr>
        <w:t>Deferred Expenditures</w:t>
      </w:r>
      <w:r w:rsidRPr="00B34E9C">
        <w:rPr>
          <w:sz w:val="22"/>
          <w:szCs w:val="22"/>
        </w:rPr>
        <w:t>: Monthly expenditures for all program activities, including funding for the Northwest Energy Efficiency Alliance.</w:t>
      </w:r>
      <w:proofErr w:type="gramEnd"/>
    </w:p>
    <w:p w:rsidR="00111899" w:rsidRDefault="008C6BDB">
      <w:pPr>
        <w:spacing w:line="276" w:lineRule="auto"/>
        <w:ind w:left="450"/>
        <w:jc w:val="both"/>
        <w:rPr>
          <w:sz w:val="22"/>
          <w:szCs w:val="22"/>
        </w:rPr>
      </w:pPr>
      <w:r w:rsidRPr="00B34E9C">
        <w:rPr>
          <w:sz w:val="22"/>
          <w:szCs w:val="22"/>
          <w:u w:val="single"/>
        </w:rPr>
        <w:t>Revenue Collected</w:t>
      </w:r>
      <w:r w:rsidRPr="00B34E9C">
        <w:rPr>
          <w:sz w:val="22"/>
          <w:szCs w:val="22"/>
        </w:rPr>
        <w:t>: Revenue collected through Schedule 191, System Benefit</w:t>
      </w:r>
      <w:r w:rsidR="00C13E86" w:rsidRPr="00B34E9C">
        <w:rPr>
          <w:sz w:val="22"/>
          <w:szCs w:val="22"/>
        </w:rPr>
        <w:t>s</w:t>
      </w:r>
      <w:r w:rsidRPr="00B34E9C">
        <w:rPr>
          <w:sz w:val="22"/>
          <w:szCs w:val="22"/>
        </w:rPr>
        <w:t xml:space="preserve"> Charge. </w:t>
      </w:r>
    </w:p>
    <w:p w:rsidR="00111899" w:rsidRDefault="008C6BDB">
      <w:pPr>
        <w:spacing w:line="276" w:lineRule="auto"/>
        <w:ind w:left="450"/>
        <w:jc w:val="both"/>
        <w:rPr>
          <w:sz w:val="22"/>
          <w:szCs w:val="22"/>
        </w:rPr>
      </w:pPr>
      <w:r w:rsidRPr="00B34E9C">
        <w:rPr>
          <w:sz w:val="22"/>
          <w:szCs w:val="22"/>
          <w:u w:val="single"/>
        </w:rPr>
        <w:t>Carrying Charge</w:t>
      </w:r>
      <w:r w:rsidRPr="00B34E9C">
        <w:rPr>
          <w:sz w:val="22"/>
          <w:szCs w:val="22"/>
        </w:rPr>
        <w:t>: Monthly charge based on “Accumulative Balance” of the account, accrued when cumulative revenue exceeds cumulative expenditures.</w:t>
      </w:r>
      <w:r w:rsidR="00C13E86" w:rsidRPr="00B34E9C">
        <w:rPr>
          <w:sz w:val="22"/>
          <w:szCs w:val="22"/>
        </w:rPr>
        <w:t xml:space="preserve"> On July 29, 2010 in Docket UE-001457, the Commission ordered that the carrying charge on negative balances (balances owing to customers) be eliminated going forward.</w:t>
      </w:r>
    </w:p>
    <w:p w:rsidR="00111899" w:rsidRDefault="008C6BDB">
      <w:pPr>
        <w:spacing w:line="276" w:lineRule="auto"/>
        <w:ind w:left="450"/>
        <w:jc w:val="both"/>
        <w:rPr>
          <w:sz w:val="22"/>
          <w:szCs w:val="22"/>
        </w:rPr>
      </w:pPr>
      <w:r w:rsidRPr="00B34E9C">
        <w:rPr>
          <w:sz w:val="22"/>
          <w:szCs w:val="22"/>
          <w:u w:val="single"/>
        </w:rPr>
        <w:t>Accumulative Balance</w:t>
      </w:r>
      <w:r w:rsidRPr="00B34E9C">
        <w:rPr>
          <w:sz w:val="22"/>
          <w:szCs w:val="22"/>
        </w:rPr>
        <w:t xml:space="preserve">: Current balance of the account.  </w:t>
      </w:r>
      <w:proofErr w:type="gramStart"/>
      <w:r w:rsidRPr="00B34E9C">
        <w:rPr>
          <w:sz w:val="22"/>
          <w:szCs w:val="22"/>
        </w:rPr>
        <w:t>A running total of account activities.</w:t>
      </w:r>
      <w:proofErr w:type="gramEnd"/>
      <w:r w:rsidR="0065692B" w:rsidRPr="00B34E9C">
        <w:rPr>
          <w:sz w:val="22"/>
          <w:szCs w:val="22"/>
        </w:rPr>
        <w:t xml:space="preserve"> </w:t>
      </w:r>
      <w:r w:rsidRPr="00B34E9C">
        <w:rPr>
          <w:sz w:val="22"/>
          <w:szCs w:val="22"/>
        </w:rPr>
        <w:t xml:space="preserve">If more is collected in “Revenue” than is spent for a given month, the </w:t>
      </w:r>
      <w:r w:rsidR="00C13E86" w:rsidRPr="00B34E9C">
        <w:rPr>
          <w:sz w:val="22"/>
          <w:szCs w:val="22"/>
        </w:rPr>
        <w:t>“</w:t>
      </w:r>
      <w:r w:rsidRPr="00B34E9C">
        <w:rPr>
          <w:sz w:val="22"/>
          <w:szCs w:val="22"/>
        </w:rPr>
        <w:t xml:space="preserve">Accumulated Balance” will be increased by the net amount. </w:t>
      </w:r>
      <w:r w:rsidR="00215976" w:rsidRPr="00B34E9C">
        <w:rPr>
          <w:sz w:val="22"/>
          <w:szCs w:val="22"/>
        </w:rPr>
        <w:t xml:space="preserve">A negative accumulative balance </w:t>
      </w:r>
      <w:r w:rsidR="0065692B" w:rsidRPr="00B34E9C">
        <w:rPr>
          <w:sz w:val="22"/>
          <w:szCs w:val="22"/>
        </w:rPr>
        <w:t xml:space="preserve">means </w:t>
      </w:r>
      <w:r w:rsidR="00215976" w:rsidRPr="00B34E9C">
        <w:rPr>
          <w:sz w:val="22"/>
          <w:szCs w:val="22"/>
        </w:rPr>
        <w:t>cumulative revenue exceeds cumulative expenditures</w:t>
      </w:r>
      <w:r w:rsidR="0065692B" w:rsidRPr="00B34E9C">
        <w:rPr>
          <w:sz w:val="22"/>
          <w:szCs w:val="22"/>
        </w:rPr>
        <w:t xml:space="preserve">; positive </w:t>
      </w:r>
      <w:r w:rsidR="00215976" w:rsidRPr="00B34E9C">
        <w:rPr>
          <w:sz w:val="22"/>
          <w:szCs w:val="22"/>
        </w:rPr>
        <w:t>accumulative balance means cumulative expenditures exceed cumulative revenue</w:t>
      </w:r>
      <w:r w:rsidR="0065692B" w:rsidRPr="00B34E9C">
        <w:rPr>
          <w:sz w:val="22"/>
          <w:szCs w:val="22"/>
        </w:rPr>
        <w:t>.</w:t>
      </w:r>
    </w:p>
    <w:p w:rsidR="00111899" w:rsidRDefault="00ED22E0">
      <w:pPr>
        <w:spacing w:line="276" w:lineRule="auto"/>
        <w:ind w:left="450"/>
        <w:jc w:val="both"/>
        <w:rPr>
          <w:sz w:val="22"/>
          <w:szCs w:val="22"/>
        </w:rPr>
      </w:pPr>
      <w:r>
        <w:rPr>
          <w:sz w:val="22"/>
          <w:szCs w:val="22"/>
          <w:u w:val="single"/>
        </w:rPr>
        <w:t>Accrued Costs</w:t>
      </w:r>
      <w:r w:rsidRPr="00ED22E0">
        <w:rPr>
          <w:sz w:val="22"/>
          <w:szCs w:val="22"/>
        </w:rPr>
        <w:t>:</w:t>
      </w:r>
      <w:r>
        <w:rPr>
          <w:sz w:val="22"/>
          <w:szCs w:val="22"/>
        </w:rPr>
        <w:t xml:space="preserve">  Program costs incurred during the period </w:t>
      </w:r>
      <w:r w:rsidR="00E3458D">
        <w:rPr>
          <w:sz w:val="22"/>
          <w:szCs w:val="22"/>
        </w:rPr>
        <w:t>not yet posted</w:t>
      </w:r>
      <w:r>
        <w:rPr>
          <w:sz w:val="22"/>
          <w:szCs w:val="22"/>
        </w:rPr>
        <w:t>.</w:t>
      </w:r>
    </w:p>
    <w:p w:rsidR="00111899" w:rsidRDefault="00ED22E0">
      <w:pPr>
        <w:spacing w:line="276" w:lineRule="auto"/>
        <w:ind w:left="450"/>
        <w:jc w:val="both"/>
        <w:rPr>
          <w:sz w:val="22"/>
          <w:szCs w:val="22"/>
        </w:rPr>
      </w:pPr>
      <w:r>
        <w:rPr>
          <w:sz w:val="22"/>
          <w:szCs w:val="22"/>
          <w:u w:val="single"/>
        </w:rPr>
        <w:t>Accrual Basis Accumulat</w:t>
      </w:r>
      <w:r w:rsidR="00800FE3">
        <w:rPr>
          <w:sz w:val="22"/>
          <w:szCs w:val="22"/>
          <w:u w:val="single"/>
        </w:rPr>
        <w:t>ive Balance</w:t>
      </w:r>
      <w:r w:rsidR="00800FE3" w:rsidRPr="00800FE3">
        <w:rPr>
          <w:sz w:val="22"/>
          <w:szCs w:val="22"/>
        </w:rPr>
        <w:t>:</w:t>
      </w:r>
      <w:r w:rsidR="00800FE3">
        <w:rPr>
          <w:sz w:val="22"/>
          <w:szCs w:val="22"/>
        </w:rPr>
        <w:t xml:space="preserve">  Current balance of account </w:t>
      </w:r>
      <w:r w:rsidR="00BD3FD7">
        <w:rPr>
          <w:sz w:val="22"/>
          <w:szCs w:val="22"/>
        </w:rPr>
        <w:t xml:space="preserve">including accrued </w:t>
      </w:r>
      <w:r w:rsidR="00800FE3">
        <w:rPr>
          <w:sz w:val="22"/>
          <w:szCs w:val="22"/>
        </w:rPr>
        <w:t>cost</w:t>
      </w:r>
      <w:r w:rsidR="008A03EF">
        <w:rPr>
          <w:sz w:val="22"/>
          <w:szCs w:val="22"/>
        </w:rPr>
        <w:t>s</w:t>
      </w:r>
      <w:r w:rsidR="00800FE3">
        <w:rPr>
          <w:sz w:val="22"/>
          <w:szCs w:val="22"/>
        </w:rPr>
        <w:t>.</w:t>
      </w:r>
    </w:p>
    <w:p w:rsidR="008C6BDB" w:rsidRDefault="008C6BDB" w:rsidP="00264E3A">
      <w:pPr>
        <w:spacing w:line="276" w:lineRule="auto"/>
        <w:rPr>
          <w:sz w:val="22"/>
          <w:szCs w:val="22"/>
        </w:rPr>
      </w:pPr>
    </w:p>
    <w:p w:rsidR="006B147E" w:rsidRPr="00B34E9C" w:rsidRDefault="006B147E" w:rsidP="00264E3A">
      <w:pPr>
        <w:spacing w:line="276" w:lineRule="auto"/>
        <w:rPr>
          <w:sz w:val="22"/>
          <w:szCs w:val="22"/>
        </w:rPr>
      </w:pPr>
    </w:p>
    <w:p w:rsidR="00976ECA" w:rsidRPr="00F6065C" w:rsidRDefault="00BE3047">
      <w:pPr>
        <w:jc w:val="both"/>
      </w:pPr>
      <w:r w:rsidRPr="00BE3047">
        <w:t>During calendar year 2011, the under-collected balance in the System Benefits Charge account increased by $376,000 and with accrued costs, the account increased by approximately $907,000. Therefore, Pacific Power spent approximately $376,000 and with accrued costs $907,000 more than was collected for program delivery during the year.</w:t>
      </w:r>
    </w:p>
    <w:p w:rsidR="007E2FBC" w:rsidRPr="00B34E9C" w:rsidRDefault="007E2FBC" w:rsidP="007B5472">
      <w:pPr>
        <w:pStyle w:val="Heading1"/>
        <w:rPr>
          <w:rFonts w:ascii="Times New Roman" w:hAnsi="Times New Roman" w:cs="Times New Roman"/>
        </w:rPr>
      </w:pPr>
      <w:bookmarkStart w:id="46" w:name="_Toc288484129"/>
      <w:bookmarkStart w:id="47" w:name="_Toc289064248"/>
    </w:p>
    <w:p w:rsidR="00A54217" w:rsidRPr="00B34E9C" w:rsidRDefault="00A54217" w:rsidP="00A54217"/>
    <w:p w:rsidR="00A54217" w:rsidRPr="00B34E9C" w:rsidRDefault="00A54217" w:rsidP="00A54217"/>
    <w:p w:rsidR="006B147E" w:rsidRDefault="006B147E">
      <w:pPr>
        <w:rPr>
          <w:rFonts w:ascii="Arial" w:hAnsi="Arial" w:cs="Arial"/>
          <w:b/>
          <w:bCs/>
          <w:kern w:val="32"/>
          <w:sz w:val="32"/>
          <w:szCs w:val="32"/>
        </w:rPr>
      </w:pPr>
      <w:r>
        <w:br w:type="page"/>
      </w:r>
    </w:p>
    <w:p w:rsidR="007B5472" w:rsidRPr="00E40049" w:rsidRDefault="007B5472" w:rsidP="002D4FB2">
      <w:pPr>
        <w:pStyle w:val="Heading1"/>
        <w:rPr>
          <w:rFonts w:ascii="Times New Roman" w:hAnsi="Times New Roman" w:cs="Times New Roman"/>
        </w:rPr>
      </w:pPr>
      <w:bookmarkStart w:id="48" w:name="_Toc320526602"/>
      <w:r w:rsidRPr="00E40049">
        <w:rPr>
          <w:rFonts w:ascii="Times New Roman" w:hAnsi="Times New Roman" w:cs="Times New Roman"/>
        </w:rPr>
        <w:t>Cost Effectiveness</w:t>
      </w:r>
      <w:bookmarkEnd w:id="46"/>
      <w:bookmarkEnd w:id="47"/>
      <w:bookmarkEnd w:id="48"/>
    </w:p>
    <w:p w:rsidR="007B5472" w:rsidRPr="00B34E9C" w:rsidRDefault="007B5472" w:rsidP="007B5472"/>
    <w:p w:rsidR="007B5472" w:rsidRPr="00B34E9C" w:rsidRDefault="007B5472" w:rsidP="007B5472">
      <w:pPr>
        <w:jc w:val="both"/>
      </w:pPr>
      <w:r w:rsidRPr="00B34E9C">
        <w:t>The cost effectiveness of individual programs operated by the Company for 201</w:t>
      </w:r>
      <w:r w:rsidR="001247E0">
        <w:t>1</w:t>
      </w:r>
      <w:r w:rsidRPr="00B34E9C">
        <w:t xml:space="preserve"> </w:t>
      </w:r>
      <w:r w:rsidR="00C13E86" w:rsidRPr="00B34E9C">
        <w:t>is</w:t>
      </w:r>
      <w:r w:rsidRPr="00B34E9C">
        <w:t xml:space="preserve"> calculated using actual expenditures and reported savings. Cost</w:t>
      </w:r>
      <w:r w:rsidR="00C13E86" w:rsidRPr="00B34E9C">
        <w:t xml:space="preserve"> </w:t>
      </w:r>
      <w:r w:rsidRPr="00B34E9C">
        <w:t xml:space="preserve">effectiveness is provided at the individual program, residential energy efficiency portfolio, </w:t>
      </w:r>
      <w:r w:rsidR="00866511" w:rsidRPr="00B34E9C">
        <w:t xml:space="preserve">residential energy efficiency portfolio with non-energy benefits, </w:t>
      </w:r>
      <w:r w:rsidRPr="00B34E9C">
        <w:t xml:space="preserve">non-residential energy efficiency portfolio, </w:t>
      </w:r>
      <w:r w:rsidR="00866511" w:rsidRPr="00B34E9C">
        <w:t>non</w:t>
      </w:r>
      <w:r w:rsidR="00C13E86" w:rsidRPr="00B34E9C">
        <w:t>-</w:t>
      </w:r>
      <w:r w:rsidR="00866511" w:rsidRPr="00B34E9C">
        <w:t xml:space="preserve">residential energy efficiency portfolio with non-energy benefits, </w:t>
      </w:r>
      <w:r w:rsidRPr="00B34E9C">
        <w:t>overall demand-side management program portfolio levels</w:t>
      </w:r>
      <w:r w:rsidR="00866511" w:rsidRPr="00B34E9C">
        <w:t>, and overall demand-side management program portfolio with no</w:t>
      </w:r>
      <w:r w:rsidR="00335772" w:rsidRPr="00B34E9C">
        <w:t>n</w:t>
      </w:r>
      <w:r w:rsidR="00866511" w:rsidRPr="00B34E9C">
        <w:t>-energy benefits.</w:t>
      </w:r>
      <w:r w:rsidRPr="00B34E9C">
        <w:t xml:space="preserve"> Deemed savings estimates, where applicable, were the same as those used in the planning estimates</w:t>
      </w:r>
      <w:r w:rsidR="00151F84" w:rsidRPr="00B34E9C">
        <w:t xml:space="preserve"> and filed forecasts</w:t>
      </w:r>
      <w:r w:rsidRPr="00B34E9C">
        <w:t>, unless more recent estimates were available from evaluations.</w:t>
      </w:r>
    </w:p>
    <w:p w:rsidR="007B5472" w:rsidRPr="00B34E9C" w:rsidRDefault="007B5472" w:rsidP="007B5472">
      <w:pPr>
        <w:jc w:val="both"/>
      </w:pPr>
    </w:p>
    <w:p w:rsidR="007B5472" w:rsidRPr="00B34E9C" w:rsidRDefault="007B5472" w:rsidP="007B5472">
      <w:pPr>
        <w:jc w:val="both"/>
      </w:pPr>
      <w:r w:rsidRPr="00B34E9C">
        <w:t xml:space="preserve">Energy savings shown in this report are gross savings and the impact of line losses is indicated with an “at site” or “at generation” designation. Line losses are based on the Company’s 2007 line loss study. </w:t>
      </w:r>
      <w:r w:rsidR="009D3919" w:rsidRPr="00B34E9C">
        <w:t xml:space="preserve">All cost effectiveness calculations will assume a </w:t>
      </w:r>
      <w:r w:rsidRPr="00B34E9C">
        <w:t xml:space="preserve">Net-to-gross </w:t>
      </w:r>
      <w:r w:rsidR="009D3919" w:rsidRPr="00B34E9C">
        <w:t>ratio of 1.0 consistent with the Council’s methodology.</w:t>
      </w:r>
      <w:r w:rsidRPr="00B34E9C">
        <w:t xml:space="preserve"> The energy savings attributed to each program are shaped according to specific end-use savings (the hourly calculation of when energy is used for the various end-use measures from which the savings are derived). Program costs and the value of the energy savings are then compared on a present value basis with the Company’s 20</w:t>
      </w:r>
      <w:r w:rsidR="001247E0">
        <w:t>11</w:t>
      </w:r>
      <w:r w:rsidRPr="00B34E9C">
        <w:t xml:space="preserve"> </w:t>
      </w:r>
      <w:r w:rsidR="00AB162B">
        <w:t>IRP</w:t>
      </w:r>
      <w:r w:rsidRPr="00B34E9C">
        <w:t xml:space="preserve"> calculated decrement values for demand-side resource savings and avoided capacity investments. The energy efficiency resource decrement values are fully shaped to represent the 8,760 hourly values that exist within a calendar year. By matching the hourly savings with the hourly avoided costs, both energy and capacity impacts of energy efficiency savings are recognized. </w:t>
      </w:r>
    </w:p>
    <w:p w:rsidR="007B5472" w:rsidRPr="00B34E9C" w:rsidRDefault="007B5472" w:rsidP="007B5472">
      <w:pPr>
        <w:jc w:val="both"/>
      </w:pPr>
    </w:p>
    <w:p w:rsidR="007B5472" w:rsidRDefault="007B5472" w:rsidP="007B5472">
      <w:pPr>
        <w:jc w:val="both"/>
      </w:pPr>
      <w:r w:rsidRPr="00B34E9C">
        <w:t>The five California Standard Practice Manual cost effectiveness tests</w:t>
      </w:r>
      <w:r w:rsidR="00151F84" w:rsidRPr="00B34E9C">
        <w:t xml:space="preserve"> as modified in the Northwest</w:t>
      </w:r>
      <w:r w:rsidRPr="00B34E9C">
        <w:t xml:space="preserve"> were utiliz</w:t>
      </w:r>
      <w:r w:rsidR="009D3919" w:rsidRPr="00B34E9C">
        <w:t>ed in the cost benefit analysis.</w:t>
      </w:r>
    </w:p>
    <w:p w:rsidR="00764BC6" w:rsidRDefault="00764BC6" w:rsidP="007B5472">
      <w:pPr>
        <w:jc w:val="both"/>
      </w:pPr>
    </w:p>
    <w:p w:rsidR="00E40049" w:rsidRPr="00B34E9C" w:rsidRDefault="00E40049" w:rsidP="007B5472">
      <w:pPr>
        <w:jc w:val="both"/>
      </w:pPr>
    </w:p>
    <w:p w:rsidR="007B5472" w:rsidRPr="00B34E9C" w:rsidRDefault="007B5472" w:rsidP="00E40049">
      <w:pPr>
        <w:spacing w:after="200"/>
        <w:contextualSpacing/>
        <w:rPr>
          <w:b/>
        </w:rPr>
      </w:pPr>
      <w:r w:rsidRPr="00B34E9C">
        <w:rPr>
          <w:b/>
        </w:rPr>
        <w:t>Key Assumptions for Cost Effectiveness Calculations</w:t>
      </w:r>
    </w:p>
    <w:p w:rsidR="007B5472" w:rsidRPr="00B34E9C" w:rsidRDefault="007B5472" w:rsidP="007B5472">
      <w:r w:rsidRPr="00B34E9C">
        <w:t>Cost effectiveness calculations for programs and measures (or measure groups) within each program will be detailed in the following tables.</w:t>
      </w:r>
    </w:p>
    <w:p w:rsidR="007B5472" w:rsidRPr="00B34E9C" w:rsidRDefault="007B5472" w:rsidP="007B5472"/>
    <w:p w:rsidR="007B5472" w:rsidRPr="00B34E9C" w:rsidRDefault="007B5472" w:rsidP="007B5472">
      <w:r w:rsidRPr="00B34E9C">
        <w:t>Global assumptions used in all cost effectiveness calculations include:</w:t>
      </w:r>
    </w:p>
    <w:p w:rsidR="007B5472" w:rsidRPr="00B34E9C" w:rsidRDefault="007B5472" w:rsidP="007B5472"/>
    <w:p w:rsidR="007B5472" w:rsidRPr="00B34E9C" w:rsidRDefault="004C018C" w:rsidP="007B5472">
      <w:pPr>
        <w:jc w:val="center"/>
      </w:pPr>
      <w:r>
        <w:object w:dxaOrig="7472" w:dyaOrig="1763">
          <v:shape id="_x0000_i1039" type="#_x0000_t75" style="width:340.3pt;height:80.15pt" o:ole="">
            <v:imagedata r:id="rId48" o:title=""/>
          </v:shape>
          <o:OLEObject Type="Embed" ProgID="Excel.Sheet.12" ShapeID="_x0000_i1039" DrawAspect="Content" ObjectID="_1394628399" r:id="rId49"/>
        </w:object>
      </w:r>
    </w:p>
    <w:p w:rsidR="007B5472" w:rsidRDefault="007B5472" w:rsidP="007B5472"/>
    <w:p w:rsidR="001E5693" w:rsidRPr="00B34E9C" w:rsidRDefault="001E5693" w:rsidP="007B5472"/>
    <w:p w:rsidR="00E40049" w:rsidRDefault="00E40049">
      <w:r>
        <w:br w:type="page"/>
      </w:r>
    </w:p>
    <w:p w:rsidR="007B5472" w:rsidRPr="00B34E9C" w:rsidRDefault="007B5472" w:rsidP="007B5472">
      <w:r w:rsidRPr="00B34E9C">
        <w:t>Key elements that go into the cost effectiveness calculation for each program include:</w:t>
      </w:r>
    </w:p>
    <w:p w:rsidR="003402DC" w:rsidRPr="00B34E9C" w:rsidRDefault="003402DC" w:rsidP="003402DC">
      <w:pPr>
        <w:pStyle w:val="ListParagraph"/>
      </w:pPr>
    </w:p>
    <w:p w:rsidR="007B5472" w:rsidRPr="00B34E9C" w:rsidRDefault="007B5472" w:rsidP="007B5472">
      <w:pPr>
        <w:pStyle w:val="ListParagraph"/>
        <w:numPr>
          <w:ilvl w:val="0"/>
          <w:numId w:val="26"/>
        </w:numPr>
      </w:pPr>
      <w:r w:rsidRPr="00B34E9C">
        <w:t>KW/kWh Savings at Gross</w:t>
      </w:r>
    </w:p>
    <w:p w:rsidR="007B5472" w:rsidRPr="00B34E9C" w:rsidRDefault="007B5472" w:rsidP="007B5472">
      <w:pPr>
        <w:pStyle w:val="ListParagraph"/>
        <w:numPr>
          <w:ilvl w:val="0"/>
          <w:numId w:val="26"/>
        </w:numPr>
      </w:pPr>
      <w:r w:rsidRPr="00B34E9C">
        <w:t>Administrative expenses</w:t>
      </w:r>
    </w:p>
    <w:p w:rsidR="007B5472" w:rsidRPr="00B34E9C" w:rsidRDefault="007B5472" w:rsidP="007B5472">
      <w:pPr>
        <w:pStyle w:val="ListParagraph"/>
        <w:numPr>
          <w:ilvl w:val="0"/>
          <w:numId w:val="26"/>
        </w:numPr>
      </w:pPr>
      <w:r w:rsidRPr="00B34E9C">
        <w:t>Incentives paid</w:t>
      </w:r>
    </w:p>
    <w:p w:rsidR="007B5472" w:rsidRPr="00B34E9C" w:rsidRDefault="007B5472" w:rsidP="007B5472">
      <w:pPr>
        <w:pStyle w:val="ListParagraph"/>
        <w:numPr>
          <w:ilvl w:val="0"/>
          <w:numId w:val="26"/>
        </w:numPr>
      </w:pPr>
      <w:r w:rsidRPr="00B34E9C">
        <w:t xml:space="preserve">Total utility costs – including administration and evaluation  </w:t>
      </w:r>
    </w:p>
    <w:p w:rsidR="007B5472" w:rsidRPr="00B34E9C" w:rsidRDefault="007B5472" w:rsidP="007B5472">
      <w:pPr>
        <w:pStyle w:val="ListParagraph"/>
        <w:numPr>
          <w:ilvl w:val="0"/>
          <w:numId w:val="26"/>
        </w:numPr>
      </w:pPr>
      <w:r w:rsidRPr="00B34E9C">
        <w:t>Gross customer costs</w:t>
      </w:r>
    </w:p>
    <w:p w:rsidR="007B5472" w:rsidRPr="00B34E9C" w:rsidRDefault="007B5472" w:rsidP="007B5472">
      <w:pPr>
        <w:pStyle w:val="ListParagraph"/>
        <w:numPr>
          <w:ilvl w:val="0"/>
          <w:numId w:val="27"/>
        </w:numPr>
      </w:pPr>
      <w:r w:rsidRPr="00B34E9C">
        <w:t>Net To Gross ratio</w:t>
      </w:r>
    </w:p>
    <w:p w:rsidR="007B5472" w:rsidRPr="00B34E9C" w:rsidRDefault="007B5472" w:rsidP="007B5472">
      <w:pPr>
        <w:pStyle w:val="ListParagraph"/>
        <w:numPr>
          <w:ilvl w:val="0"/>
          <w:numId w:val="27"/>
        </w:numPr>
      </w:pPr>
      <w:r w:rsidRPr="00B34E9C">
        <w:t>Measure life</w:t>
      </w:r>
    </w:p>
    <w:p w:rsidR="007B5472" w:rsidRPr="00B34E9C" w:rsidRDefault="007B5472" w:rsidP="007B5472">
      <w:pPr>
        <w:pStyle w:val="ListParagraph"/>
        <w:numPr>
          <w:ilvl w:val="0"/>
          <w:numId w:val="27"/>
        </w:numPr>
      </w:pPr>
      <w:r w:rsidRPr="00B34E9C">
        <w:t>IRP decrement value</w:t>
      </w:r>
    </w:p>
    <w:p w:rsidR="007B5472" w:rsidRPr="00B34E9C" w:rsidRDefault="007B5472" w:rsidP="007B5472"/>
    <w:p w:rsidR="007B5472" w:rsidRDefault="007B5472" w:rsidP="007B5472">
      <w:pPr>
        <w:jc w:val="both"/>
      </w:pPr>
      <w:r w:rsidRPr="00B34E9C">
        <w:t xml:space="preserve">The overall </w:t>
      </w:r>
      <w:r w:rsidR="004C5071" w:rsidRPr="00B34E9C">
        <w:t>demand-side management</w:t>
      </w:r>
      <w:r w:rsidRPr="00B34E9C">
        <w:t xml:space="preserve"> portfolio and component sectors were all cost effective on a</w:t>
      </w:r>
      <w:r w:rsidR="00B40784" w:rsidRPr="00B34E9C">
        <w:t>ll cost tests</w:t>
      </w:r>
      <w:r w:rsidRPr="00B34E9C">
        <w:t xml:space="preserve">. </w:t>
      </w:r>
    </w:p>
    <w:p w:rsidR="007A5B33" w:rsidRPr="00B34E9C" w:rsidRDefault="007A5B33" w:rsidP="007B5472">
      <w:pPr>
        <w:jc w:val="both"/>
      </w:pPr>
    </w:p>
    <w:p w:rsidR="003402DC" w:rsidRDefault="00C43C88" w:rsidP="00C43C88">
      <w:pPr>
        <w:pStyle w:val="Caption"/>
      </w:pPr>
      <w:bookmarkStart w:id="49" w:name="_Toc320624130"/>
      <w:r>
        <w:t xml:space="preserve">Table </w:t>
      </w:r>
      <w:fldSimple w:instr=" SEQ Table \* ARABIC ">
        <w:r w:rsidR="00CE280F">
          <w:rPr>
            <w:noProof/>
          </w:rPr>
          <w:t>15</w:t>
        </w:r>
      </w:fldSimple>
      <w:r>
        <w:t>:  Portfolio and Sector Cost Effectiveness Summary</w:t>
      </w:r>
      <w:bookmarkEnd w:id="49"/>
    </w:p>
    <w:p w:rsidR="004C018C" w:rsidRPr="004C018C" w:rsidRDefault="004C018C" w:rsidP="004C018C">
      <w:pPr>
        <w:rPr>
          <w:lang w:eastAsia="en-US"/>
        </w:rPr>
      </w:pPr>
    </w:p>
    <w:p w:rsidR="009D3919" w:rsidRPr="00B34E9C" w:rsidRDefault="004C018C" w:rsidP="009D3919">
      <w:r>
        <w:object w:dxaOrig="9489" w:dyaOrig="4468">
          <v:shape id="_x0000_i1040" type="#_x0000_t75" style="width:431.3pt;height:223.45pt" o:ole="">
            <v:imagedata r:id="rId50" o:title=""/>
          </v:shape>
          <o:OLEObject Type="Embed" ProgID="Excel.Sheet.12" ShapeID="_x0000_i1040" DrawAspect="Content" ObjectID="_1394628400" r:id="rId51"/>
        </w:object>
      </w:r>
    </w:p>
    <w:p w:rsidR="003402DC" w:rsidRPr="00B34E9C" w:rsidRDefault="003402DC" w:rsidP="009D3919"/>
    <w:p w:rsidR="0004620C" w:rsidRPr="00B34E9C" w:rsidRDefault="0004620C" w:rsidP="0004620C">
      <w:pPr>
        <w:jc w:val="both"/>
      </w:pPr>
      <w:r w:rsidRPr="00B34E9C">
        <w:t>R</w:t>
      </w:r>
      <w:r w:rsidR="003402DC" w:rsidRPr="00B34E9C">
        <w:t>esults of the cost effectiveness analysis, as conducted by The Cadmus Group are included</w:t>
      </w:r>
      <w:r w:rsidRPr="00B34E9C">
        <w:t xml:space="preserve"> Appendix 1. Please refer to the Cost Effectiveness Appendix 1 to this report for more information on the cost effectiveness tests and the assumptions and inputs.</w:t>
      </w:r>
    </w:p>
    <w:p w:rsidR="003402DC" w:rsidRPr="00B34E9C" w:rsidRDefault="003402DC" w:rsidP="003402DC">
      <w:pPr>
        <w:pStyle w:val="NoSpacing"/>
        <w:rPr>
          <w:rFonts w:ascii="Times New Roman" w:hAnsi="Times New Roman" w:cs="Times New Roman"/>
          <w:sz w:val="24"/>
          <w:szCs w:val="24"/>
        </w:rPr>
      </w:pPr>
    </w:p>
    <w:p w:rsidR="003402DC" w:rsidRPr="00B34E9C" w:rsidRDefault="003402DC" w:rsidP="003402DC">
      <w:pPr>
        <w:pStyle w:val="NoSpacing"/>
        <w:rPr>
          <w:rFonts w:ascii="Times New Roman" w:hAnsi="Times New Roman" w:cs="Times New Roman"/>
          <w:sz w:val="24"/>
          <w:szCs w:val="24"/>
        </w:rPr>
      </w:pPr>
    </w:p>
    <w:p w:rsidR="00764BC6" w:rsidRDefault="00764BC6">
      <w:pPr>
        <w:rPr>
          <w:rFonts w:eastAsia="Times New Roman"/>
          <w:lang w:eastAsia="en-US"/>
        </w:rPr>
      </w:pPr>
      <w:r>
        <w:br w:type="page"/>
      </w:r>
    </w:p>
    <w:p w:rsidR="001E5693" w:rsidRPr="00B34E9C" w:rsidRDefault="001E5693" w:rsidP="003402DC">
      <w:pPr>
        <w:pStyle w:val="NoSpacing"/>
        <w:rPr>
          <w:rFonts w:ascii="Times New Roman" w:hAnsi="Times New Roman" w:cs="Times New Roman"/>
          <w:sz w:val="24"/>
          <w:szCs w:val="24"/>
        </w:rPr>
      </w:pPr>
    </w:p>
    <w:p w:rsidR="003402DC" w:rsidRPr="00B34E9C" w:rsidRDefault="003402DC" w:rsidP="003402DC">
      <w:r w:rsidRPr="00B34E9C">
        <w:t>________________________________________________________________</w:t>
      </w:r>
    </w:p>
    <w:p w:rsidR="0004620C" w:rsidRPr="00E40049" w:rsidRDefault="0004620C" w:rsidP="002D4FB2">
      <w:pPr>
        <w:pStyle w:val="Heading1"/>
        <w:rPr>
          <w:rFonts w:ascii="Times New Roman" w:hAnsi="Times New Roman" w:cs="Times New Roman"/>
        </w:rPr>
      </w:pPr>
      <w:bookmarkStart w:id="50" w:name="_Toc257793524"/>
      <w:bookmarkStart w:id="51" w:name="_Toc289064249"/>
      <w:bookmarkStart w:id="52" w:name="_Toc320526603"/>
      <w:r w:rsidRPr="00E40049">
        <w:rPr>
          <w:rFonts w:ascii="Times New Roman" w:hAnsi="Times New Roman" w:cs="Times New Roman"/>
        </w:rPr>
        <w:t>Appendices</w:t>
      </w:r>
      <w:bookmarkEnd w:id="50"/>
      <w:bookmarkEnd w:id="51"/>
      <w:bookmarkEnd w:id="52"/>
    </w:p>
    <w:p w:rsidR="0004620C" w:rsidRPr="00B34E9C" w:rsidRDefault="0004620C" w:rsidP="0004620C">
      <w:pPr>
        <w:ind w:left="720"/>
      </w:pPr>
    </w:p>
    <w:p w:rsidR="0004620C" w:rsidRPr="00B34E9C" w:rsidRDefault="0004620C" w:rsidP="0004620C">
      <w:pPr>
        <w:ind w:left="720"/>
      </w:pPr>
      <w:r w:rsidRPr="00B34E9C">
        <w:t>Appendix 1 – Cost Effectiveness Details</w:t>
      </w:r>
    </w:p>
    <w:p w:rsidR="0004620C" w:rsidRPr="00B34E9C" w:rsidRDefault="0004620C" w:rsidP="00D02848">
      <w:pPr>
        <w:pStyle w:val="memoaddress"/>
        <w:rPr>
          <w:rFonts w:ascii="Times New Roman" w:hAnsi="Times New Roman"/>
        </w:rPr>
      </w:pPr>
    </w:p>
    <w:p w:rsidR="0004620C" w:rsidRPr="00B34E9C" w:rsidRDefault="0004620C" w:rsidP="00D02848">
      <w:pPr>
        <w:pStyle w:val="memoaddress"/>
        <w:rPr>
          <w:rFonts w:ascii="Times New Roman" w:hAnsi="Times New Roman"/>
        </w:rPr>
      </w:pPr>
    </w:p>
    <w:p w:rsidR="0004620C" w:rsidRPr="00B34E9C" w:rsidRDefault="0004620C" w:rsidP="00D02848">
      <w:pPr>
        <w:pStyle w:val="memoaddress"/>
        <w:rPr>
          <w:rFonts w:ascii="Times New Roman" w:hAnsi="Times New Roman"/>
        </w:rPr>
      </w:pPr>
    </w:p>
    <w:p w:rsidR="0004620C" w:rsidRPr="00B34E9C" w:rsidRDefault="0004620C" w:rsidP="00D02848">
      <w:pPr>
        <w:pStyle w:val="memoaddress"/>
        <w:rPr>
          <w:rFonts w:ascii="Times New Roman" w:hAnsi="Times New Roman"/>
        </w:rPr>
      </w:pPr>
    </w:p>
    <w:p w:rsidR="0004620C" w:rsidRPr="00B34E9C" w:rsidRDefault="0004620C" w:rsidP="00D02848">
      <w:pPr>
        <w:pStyle w:val="memoaddress"/>
        <w:rPr>
          <w:rFonts w:ascii="Times New Roman" w:hAnsi="Times New Roman"/>
        </w:rPr>
      </w:pPr>
    </w:p>
    <w:p w:rsidR="0004620C" w:rsidRPr="00B34E9C" w:rsidRDefault="0004620C" w:rsidP="00D02848">
      <w:pPr>
        <w:pStyle w:val="memoaddress"/>
        <w:rPr>
          <w:rFonts w:ascii="Times New Roman" w:hAnsi="Times New Roman"/>
        </w:rPr>
      </w:pPr>
    </w:p>
    <w:p w:rsidR="0004620C" w:rsidRPr="00B34E9C" w:rsidRDefault="0004620C" w:rsidP="00D02848">
      <w:pPr>
        <w:pStyle w:val="memoaddress"/>
        <w:rPr>
          <w:rFonts w:ascii="Times New Roman" w:hAnsi="Times New Roman"/>
        </w:rPr>
      </w:pPr>
    </w:p>
    <w:p w:rsidR="0004620C" w:rsidRPr="00B34E9C" w:rsidRDefault="0004620C" w:rsidP="00D02848">
      <w:pPr>
        <w:pStyle w:val="memoaddress"/>
        <w:rPr>
          <w:rFonts w:ascii="Times New Roman" w:hAnsi="Times New Roman"/>
        </w:rPr>
      </w:pPr>
    </w:p>
    <w:p w:rsidR="0004620C" w:rsidRPr="00B34E9C" w:rsidRDefault="0004620C" w:rsidP="00D02848">
      <w:pPr>
        <w:pStyle w:val="memoaddress"/>
        <w:rPr>
          <w:rFonts w:ascii="Times New Roman" w:hAnsi="Times New Roman"/>
        </w:rPr>
      </w:pPr>
    </w:p>
    <w:p w:rsidR="0004620C" w:rsidRPr="00B34E9C" w:rsidRDefault="0004620C" w:rsidP="00D02848">
      <w:pPr>
        <w:pStyle w:val="memoaddress"/>
        <w:rPr>
          <w:rFonts w:ascii="Times New Roman" w:hAnsi="Times New Roman"/>
        </w:rPr>
      </w:pPr>
    </w:p>
    <w:p w:rsidR="0004620C" w:rsidRPr="00B34E9C" w:rsidRDefault="0004620C" w:rsidP="00D02848">
      <w:pPr>
        <w:pStyle w:val="memoaddress"/>
        <w:rPr>
          <w:rFonts w:ascii="Times New Roman" w:hAnsi="Times New Roman"/>
        </w:rPr>
      </w:pPr>
    </w:p>
    <w:p w:rsidR="0004620C" w:rsidRPr="00B34E9C" w:rsidRDefault="0004620C" w:rsidP="00D02848">
      <w:pPr>
        <w:pStyle w:val="memoaddress"/>
        <w:rPr>
          <w:rFonts w:ascii="Times New Roman" w:hAnsi="Times New Roman"/>
        </w:rPr>
      </w:pPr>
    </w:p>
    <w:p w:rsidR="0004620C" w:rsidRPr="00B34E9C" w:rsidRDefault="0004620C" w:rsidP="00D02848">
      <w:pPr>
        <w:pStyle w:val="memoaddress"/>
        <w:rPr>
          <w:rFonts w:ascii="Times New Roman" w:hAnsi="Times New Roman"/>
        </w:rPr>
      </w:pPr>
    </w:p>
    <w:p w:rsidR="0004620C" w:rsidRPr="00B34E9C" w:rsidRDefault="0004620C" w:rsidP="00D02848">
      <w:pPr>
        <w:pStyle w:val="memoaddress"/>
        <w:rPr>
          <w:rFonts w:ascii="Times New Roman" w:hAnsi="Times New Roman"/>
        </w:rPr>
      </w:pPr>
    </w:p>
    <w:p w:rsidR="0004620C" w:rsidRPr="00B34E9C" w:rsidRDefault="0004620C" w:rsidP="00D02848">
      <w:pPr>
        <w:pStyle w:val="memoaddress"/>
        <w:rPr>
          <w:rFonts w:ascii="Times New Roman" w:hAnsi="Times New Roman"/>
        </w:rPr>
      </w:pPr>
    </w:p>
    <w:p w:rsidR="0004620C" w:rsidRDefault="0004620C" w:rsidP="00D02848">
      <w:pPr>
        <w:pStyle w:val="memoaddress"/>
      </w:pPr>
    </w:p>
    <w:p w:rsidR="0004620C" w:rsidRDefault="0004620C" w:rsidP="00D02848">
      <w:pPr>
        <w:pStyle w:val="memoaddress"/>
      </w:pPr>
    </w:p>
    <w:p w:rsidR="0004620C" w:rsidRDefault="0004620C" w:rsidP="00D02848">
      <w:pPr>
        <w:pStyle w:val="memoaddress"/>
      </w:pPr>
    </w:p>
    <w:p w:rsidR="0004620C" w:rsidRDefault="0004620C" w:rsidP="00D02848">
      <w:pPr>
        <w:pStyle w:val="memoaddress"/>
      </w:pPr>
    </w:p>
    <w:p w:rsidR="0004620C" w:rsidRDefault="0004620C" w:rsidP="00D02848">
      <w:pPr>
        <w:pStyle w:val="memoaddress"/>
      </w:pPr>
    </w:p>
    <w:p w:rsidR="0004620C" w:rsidRDefault="0004620C" w:rsidP="00D02848">
      <w:pPr>
        <w:pStyle w:val="memoaddress"/>
      </w:pPr>
    </w:p>
    <w:p w:rsidR="0004620C" w:rsidRDefault="0004620C" w:rsidP="00D02848">
      <w:pPr>
        <w:pStyle w:val="memoaddress"/>
      </w:pPr>
    </w:p>
    <w:p w:rsidR="0004620C" w:rsidRDefault="0004620C" w:rsidP="00D02848">
      <w:pPr>
        <w:pStyle w:val="memoaddress"/>
      </w:pPr>
    </w:p>
    <w:p w:rsidR="0004620C" w:rsidRDefault="0004620C" w:rsidP="00D02848">
      <w:pPr>
        <w:pStyle w:val="memoaddress"/>
      </w:pPr>
    </w:p>
    <w:p w:rsidR="0004620C" w:rsidRDefault="0004620C" w:rsidP="00D02848">
      <w:pPr>
        <w:pStyle w:val="memoaddress"/>
      </w:pPr>
    </w:p>
    <w:p w:rsidR="0004620C" w:rsidRDefault="0004620C" w:rsidP="00D02848">
      <w:pPr>
        <w:pStyle w:val="memoaddress"/>
      </w:pPr>
    </w:p>
    <w:sectPr w:rsidR="0004620C" w:rsidSect="000F136B">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CAD" w:rsidRDefault="003F3CAD" w:rsidP="00972D86">
      <w:r>
        <w:separator/>
      </w:r>
    </w:p>
  </w:endnote>
  <w:endnote w:type="continuationSeparator" w:id="0">
    <w:p w:rsidR="003F3CAD" w:rsidRDefault="003F3CAD" w:rsidP="00972D8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21F" w:rsidRDefault="000022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21220"/>
      <w:docPartObj>
        <w:docPartGallery w:val="Page Numbers (Bottom of Page)"/>
        <w:docPartUnique/>
      </w:docPartObj>
    </w:sdtPr>
    <w:sdtContent>
      <w:p w:rsidR="00D2145C" w:rsidRDefault="005A47AE">
        <w:pPr>
          <w:pStyle w:val="Footer"/>
          <w:jc w:val="center"/>
        </w:pPr>
        <w:r w:rsidRPr="00864DCF">
          <w:rPr>
            <w:rFonts w:ascii="Arial" w:hAnsi="Arial" w:cs="Arial"/>
          </w:rPr>
          <w:fldChar w:fldCharType="begin"/>
        </w:r>
        <w:r w:rsidR="00D2145C" w:rsidRPr="00864DCF">
          <w:rPr>
            <w:rFonts w:ascii="Arial" w:hAnsi="Arial" w:cs="Arial"/>
          </w:rPr>
          <w:instrText xml:space="preserve"> PAGE   \* MERGEFORMAT </w:instrText>
        </w:r>
        <w:r w:rsidRPr="00864DCF">
          <w:rPr>
            <w:rFonts w:ascii="Arial" w:hAnsi="Arial" w:cs="Arial"/>
          </w:rPr>
          <w:fldChar w:fldCharType="separate"/>
        </w:r>
        <w:r w:rsidR="0000221F">
          <w:rPr>
            <w:rFonts w:ascii="Arial" w:hAnsi="Arial" w:cs="Arial"/>
            <w:noProof/>
          </w:rPr>
          <w:t>31</w:t>
        </w:r>
        <w:r w:rsidRPr="00864DCF">
          <w:rPr>
            <w:rFonts w:ascii="Arial" w:hAnsi="Arial" w:cs="Arial"/>
          </w:rPr>
          <w:fldChar w:fldCharType="end"/>
        </w:r>
      </w:p>
    </w:sdtContent>
  </w:sdt>
  <w:p w:rsidR="00D2145C" w:rsidRDefault="00D2145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21F" w:rsidRDefault="000022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CAD" w:rsidRDefault="003F3CAD" w:rsidP="00972D86">
      <w:r>
        <w:separator/>
      </w:r>
    </w:p>
  </w:footnote>
  <w:footnote w:type="continuationSeparator" w:id="0">
    <w:p w:rsidR="003F3CAD" w:rsidRDefault="003F3CAD" w:rsidP="00972D86">
      <w:r>
        <w:continuationSeparator/>
      </w:r>
    </w:p>
  </w:footnote>
  <w:footnote w:id="1">
    <w:p w:rsidR="00D2145C" w:rsidRDefault="00D2145C" w:rsidP="00C47E0D">
      <w:pPr>
        <w:pStyle w:val="FootnoteText"/>
      </w:pPr>
      <w:r>
        <w:rPr>
          <w:rStyle w:val="FootnoteReference"/>
        </w:rPr>
        <w:footnoteRef/>
      </w:r>
      <w:r>
        <w:t xml:space="preserve"> Savings reported are preliminary. Verified savings will be provided for the 2010 - 2011 calendar years as part of the Company’s 2010 - 2011 biennium report due June 1, 2012. </w:t>
      </w:r>
    </w:p>
    <w:p w:rsidR="00D2145C" w:rsidRDefault="00D2145C">
      <w:pPr>
        <w:pStyle w:val="FootnoteText"/>
      </w:pPr>
    </w:p>
  </w:footnote>
  <w:footnote w:id="2">
    <w:p w:rsidR="00D2145C" w:rsidRDefault="00D2145C">
      <w:pPr>
        <w:pStyle w:val="FootnoteText"/>
      </w:pPr>
      <w:r>
        <w:rPr>
          <w:rStyle w:val="FootnoteReference"/>
        </w:rPr>
        <w:footnoteRef/>
      </w:r>
      <w:r>
        <w:t xml:space="preserve"> Cost effectiveness is determined by total resource cost test, adjusted by 10 percent and inclusive of quantifiable non-energy benefits.</w:t>
      </w:r>
    </w:p>
  </w:footnote>
  <w:footnote w:id="3">
    <w:p w:rsidR="00D2145C" w:rsidRDefault="00D2145C" w:rsidP="005679B5">
      <w:pPr>
        <w:pStyle w:val="FootnoteText"/>
      </w:pPr>
      <w:r>
        <w:rPr>
          <w:rStyle w:val="FootnoteReference"/>
        </w:rPr>
        <w:footnoteRef/>
      </w:r>
      <w:r>
        <w:t xml:space="preserve"> Savings reported are preliminary. Verified savings will be provided for the 2010 - 2011 calendar years as part of the Company’s June 1, 2012, 2010 - 2011 biennium report. </w:t>
      </w:r>
    </w:p>
    <w:p w:rsidR="00D2145C" w:rsidRDefault="00D2145C" w:rsidP="005679B5">
      <w:pPr>
        <w:pStyle w:val="FootnoteText"/>
      </w:pPr>
    </w:p>
  </w:footnote>
  <w:footnote w:id="4">
    <w:p w:rsidR="00D2145C" w:rsidRPr="0081268D" w:rsidRDefault="00D2145C">
      <w:pPr>
        <w:jc w:val="both"/>
      </w:pPr>
      <w:r w:rsidRPr="00493079">
        <w:rPr>
          <w:rStyle w:val="FootnoteReference"/>
          <w:sz w:val="20"/>
          <w:szCs w:val="20"/>
        </w:rPr>
        <w:footnoteRef/>
      </w:r>
      <w:r w:rsidRPr="00DE5C48">
        <w:rPr>
          <w:rFonts w:ascii="Arial" w:hAnsi="Arial" w:cs="Arial"/>
          <w:sz w:val="20"/>
          <w:szCs w:val="20"/>
        </w:rPr>
        <w:t xml:space="preserve"> </w:t>
      </w:r>
      <w:r w:rsidRPr="0081268D">
        <w:rPr>
          <w:sz w:val="20"/>
          <w:szCs w:val="20"/>
        </w:rPr>
        <w:t>To remain consistent with the Northwest Power and Conservation Council’s regional power plan, the savings values in this table are shown prior to any net-to-gross adjustment.  The values at generation include line losses between the customer site and the generation source. The Company’s assumed line losses by sector are 8.87 percent for residential, 8.73 percent for commercial and 7.54 percent for industrial. These values are based on the Company’s 2007 Transmission and Distribution Loss Study by Management Applications Consulting published in October 2008.</w:t>
      </w:r>
    </w:p>
  </w:footnote>
  <w:footnote w:id="5">
    <w:p w:rsidR="00D2145C" w:rsidRPr="0081268D" w:rsidRDefault="00D2145C">
      <w:pPr>
        <w:pStyle w:val="FootnoteText"/>
        <w:jc w:val="both"/>
      </w:pPr>
      <w:r w:rsidRPr="0081268D">
        <w:rPr>
          <w:rStyle w:val="FootnoteReference"/>
        </w:rPr>
        <w:footnoteRef/>
      </w:r>
      <w:r w:rsidRPr="0081268D">
        <w:t xml:space="preserve"> CFL Adjustment: The Energy Education Program savings reflect</w:t>
      </w:r>
      <w:r>
        <w:t>s</w:t>
      </w:r>
      <w:r w:rsidRPr="0081268D">
        <w:t xml:space="preserve"> </w:t>
      </w:r>
      <w:r>
        <w:t>594,829</w:t>
      </w:r>
      <w:r w:rsidRPr="0081268D">
        <w:t xml:space="preserve"> kWh of savings</w:t>
      </w:r>
      <w:r>
        <w:t xml:space="preserve"> at site</w:t>
      </w:r>
      <w:r w:rsidRPr="0081268D">
        <w:t xml:space="preserve"> related to installation of additional CFLs that are purchased by participants.  This amount is adjusted out of the Residential portfolio results to avoid potentially double counting the savings in both the Energy Education program and Home Energy Savings program. </w:t>
      </w:r>
    </w:p>
  </w:footnote>
  <w:footnote w:id="6">
    <w:p w:rsidR="00D2145C" w:rsidRDefault="00D2145C">
      <w:pPr>
        <w:pStyle w:val="FootnoteText"/>
      </w:pPr>
      <w:r>
        <w:rPr>
          <w:rStyle w:val="FootnoteReference"/>
        </w:rPr>
        <w:footnoteRef/>
      </w:r>
      <w:r>
        <w:t xml:space="preserve"> NEEA savings for this report were calculated based on baseline assumptions in place when biennium targets were established. </w:t>
      </w:r>
    </w:p>
  </w:footnote>
  <w:footnote w:id="7">
    <w:p w:rsidR="00D2145C" w:rsidRDefault="00D2145C">
      <w:pPr>
        <w:pStyle w:val="FootnoteText"/>
      </w:pPr>
      <w:r>
        <w:rPr>
          <w:rStyle w:val="FootnoteReference"/>
        </w:rPr>
        <w:footnoteRef/>
      </w:r>
      <w:r>
        <w:t xml:space="preserve"> Expenditures include only those related to the 2010 - 2011 school year.  The Company is funding the 2011 - 2012 school year as referenced in Docket UE-100170 Order 02, paragraph (7), </w:t>
      </w:r>
      <w:proofErr w:type="gramStart"/>
      <w:r>
        <w:t>sub</w:t>
      </w:r>
      <w:proofErr w:type="gramEnd"/>
      <w:r>
        <w:t xml:space="preserve"> article (d). Related kWh savings for the 2011 - 2012 will not be claimed.</w:t>
      </w:r>
    </w:p>
  </w:footnote>
  <w:footnote w:id="8">
    <w:p w:rsidR="00D2145C" w:rsidRDefault="00D2145C" w:rsidP="00AB5965">
      <w:pPr>
        <w:pStyle w:val="FootnoteText"/>
        <w:jc w:val="both"/>
      </w:pPr>
      <w:r w:rsidRPr="001A3026">
        <w:rPr>
          <w:rStyle w:val="FootnoteReference"/>
          <w:rFonts w:ascii="Arial" w:hAnsi="Arial" w:cs="Arial"/>
        </w:rPr>
        <w:footnoteRef/>
      </w:r>
      <w:r w:rsidRPr="001A3026">
        <w:rPr>
          <w:rFonts w:ascii="Arial" w:hAnsi="Arial" w:cs="Arial"/>
        </w:rPr>
        <w:t xml:space="preserve"> “</w:t>
      </w:r>
      <w:r w:rsidRPr="00555241">
        <w:t>Assessment of Washington Energy Education In Schools- 20</w:t>
      </w:r>
      <w:r>
        <w:t xml:space="preserve">10 </w:t>
      </w:r>
      <w:r w:rsidRPr="00555241">
        <w:t>-</w:t>
      </w:r>
      <w:r>
        <w:t xml:space="preserve"> 20</w:t>
      </w:r>
      <w:r w:rsidRPr="00555241">
        <w:t>1</w:t>
      </w:r>
      <w:r>
        <w:t>1</w:t>
      </w:r>
      <w:r w:rsidRPr="00555241">
        <w:t xml:space="preserve"> Program Year”, </w:t>
      </w:r>
      <w:r>
        <w:t>January 27, 2012</w:t>
      </w:r>
      <w:r w:rsidRPr="00555241">
        <w:t xml:space="preserve"> by The Cadmus Group</w:t>
      </w:r>
      <w:r w:rsidRPr="001A3026">
        <w:rPr>
          <w:rFonts w:ascii="Arial" w:hAnsi="Arial" w:cs="Arial"/>
        </w:rPr>
        <w:t xml:space="preserve">.  </w:t>
      </w:r>
    </w:p>
  </w:footnote>
  <w:footnote w:id="9">
    <w:p w:rsidR="00D2145C" w:rsidRPr="00555241" w:rsidRDefault="00D2145C">
      <w:pPr>
        <w:pStyle w:val="FootnoteText"/>
        <w:jc w:val="both"/>
      </w:pPr>
      <w:r>
        <w:rPr>
          <w:rStyle w:val="FootnoteReference"/>
        </w:rPr>
        <w:footnoteRef/>
      </w:r>
      <w:r>
        <w:t xml:space="preserve"> </w:t>
      </w:r>
      <w:r w:rsidRPr="00555241">
        <w:t>In the Northwest regional power plan, savings potential for refrigerated warehouses is included in the industrial sector.  This is consistent with the Company’s reporting for savings from this segment.  Electric sales are identified as commercial.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21F" w:rsidRDefault="000022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21F" w:rsidRDefault="0000221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21F" w:rsidRDefault="000022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751A"/>
    <w:multiLevelType w:val="singleLevel"/>
    <w:tmpl w:val="436ABFDA"/>
    <w:lvl w:ilvl="0">
      <w:start w:val="1"/>
      <w:numFmt w:val="bullet"/>
      <w:pStyle w:val="b"/>
      <w:lvlText w:val=""/>
      <w:lvlJc w:val="left"/>
      <w:pPr>
        <w:tabs>
          <w:tab w:val="num" w:pos="360"/>
        </w:tabs>
        <w:ind w:left="360" w:hanging="360"/>
      </w:pPr>
      <w:rPr>
        <w:rFonts w:ascii="Wingdings" w:hAnsi="Wingdings" w:hint="default"/>
      </w:rPr>
    </w:lvl>
  </w:abstractNum>
  <w:abstractNum w:abstractNumId="1">
    <w:nsid w:val="02B34301"/>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31A39AE"/>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52916CD"/>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CE02781"/>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E463D71"/>
    <w:multiLevelType w:val="hybridMultilevel"/>
    <w:tmpl w:val="ABB60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0739DD"/>
    <w:multiLevelType w:val="hybridMultilevel"/>
    <w:tmpl w:val="99AA7F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2442B8"/>
    <w:multiLevelType w:val="hybridMultilevel"/>
    <w:tmpl w:val="800E0E8C"/>
    <w:lvl w:ilvl="0" w:tplc="ABD6A38E">
      <w:start w:val="2"/>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B22B3E"/>
    <w:multiLevelType w:val="hybridMultilevel"/>
    <w:tmpl w:val="67F6BF6C"/>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nsid w:val="18C158CD"/>
    <w:multiLevelType w:val="hybridMultilevel"/>
    <w:tmpl w:val="CD886B06"/>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0">
    <w:nsid w:val="219D40F2"/>
    <w:multiLevelType w:val="hybridMultilevel"/>
    <w:tmpl w:val="8D82256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3047B4E"/>
    <w:multiLevelType w:val="hybridMultilevel"/>
    <w:tmpl w:val="6ACEE7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0654630"/>
    <w:multiLevelType w:val="hybridMultilevel"/>
    <w:tmpl w:val="E3D4C3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31FC3C0C"/>
    <w:multiLevelType w:val="hybridMultilevel"/>
    <w:tmpl w:val="6D44333E"/>
    <w:lvl w:ilvl="0" w:tplc="A6544E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2CE34AE"/>
    <w:multiLevelType w:val="hybridMultilevel"/>
    <w:tmpl w:val="962A6E28"/>
    <w:lvl w:ilvl="0" w:tplc="D4A8CE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A17FA4"/>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386A0760"/>
    <w:multiLevelType w:val="hybridMultilevel"/>
    <w:tmpl w:val="1DFCA6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AEA70D1"/>
    <w:multiLevelType w:val="hybridMultilevel"/>
    <w:tmpl w:val="638AFD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DD1402"/>
    <w:multiLevelType w:val="hybridMultilevel"/>
    <w:tmpl w:val="AFEC9C20"/>
    <w:lvl w:ilvl="0" w:tplc="C8944E3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19">
    <w:nsid w:val="44176EDF"/>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46DD3CCE"/>
    <w:multiLevelType w:val="hybridMultilevel"/>
    <w:tmpl w:val="DB54E21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1">
    <w:nsid w:val="4A0F60CB"/>
    <w:multiLevelType w:val="hybridMultilevel"/>
    <w:tmpl w:val="4F5833A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4BA77E14"/>
    <w:multiLevelType w:val="hybridMultilevel"/>
    <w:tmpl w:val="21A86EA8"/>
    <w:lvl w:ilvl="0" w:tplc="1A92BC9E">
      <w:start w:val="1"/>
      <w:numFmt w:val="bullet"/>
      <w:lvlText w:val=""/>
      <w:lvlJc w:val="left"/>
      <w:pPr>
        <w:tabs>
          <w:tab w:val="num" w:pos="720"/>
        </w:tabs>
        <w:ind w:left="720" w:hanging="360"/>
      </w:pPr>
      <w:rPr>
        <w:rFonts w:ascii="Symbol" w:hAnsi="Symbol" w:cs="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3">
    <w:nsid w:val="4DA57028"/>
    <w:multiLevelType w:val="hybridMultilevel"/>
    <w:tmpl w:val="03AC28D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nsid w:val="54BD28FD"/>
    <w:multiLevelType w:val="hybridMultilevel"/>
    <w:tmpl w:val="35B27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E7C09D1"/>
    <w:multiLevelType w:val="hybridMultilevel"/>
    <w:tmpl w:val="1840A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4F35C1"/>
    <w:multiLevelType w:val="hybridMultilevel"/>
    <w:tmpl w:val="EC2044B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nsid w:val="600329A1"/>
    <w:multiLevelType w:val="hybridMultilevel"/>
    <w:tmpl w:val="7CD450D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nsid w:val="642A71A9"/>
    <w:multiLevelType w:val="hybridMultilevel"/>
    <w:tmpl w:val="25767FCC"/>
    <w:lvl w:ilvl="0" w:tplc="04090001">
      <w:start w:val="1"/>
      <w:numFmt w:val="bullet"/>
      <w:lvlText w:val=""/>
      <w:lvlJc w:val="left"/>
      <w:pPr>
        <w:ind w:left="780" w:hanging="360"/>
      </w:pPr>
      <w:rPr>
        <w:rFonts w:ascii="Symbol" w:hAnsi="Symbol" w:hint="default"/>
      </w:rPr>
    </w:lvl>
    <w:lvl w:ilvl="1" w:tplc="04090001">
      <w:start w:val="1"/>
      <w:numFmt w:val="bullet"/>
      <w:lvlText w:val=""/>
      <w:lvlJc w:val="left"/>
      <w:pPr>
        <w:ind w:left="1500" w:hanging="360"/>
      </w:pPr>
      <w:rPr>
        <w:rFonts w:ascii="Symbol" w:hAnsi="Symbol"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nsid w:val="66C43CF8"/>
    <w:multiLevelType w:val="hybridMultilevel"/>
    <w:tmpl w:val="13ACFF2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nsid w:val="6BA90432"/>
    <w:multiLevelType w:val="hybridMultilevel"/>
    <w:tmpl w:val="6816B332"/>
    <w:lvl w:ilvl="0" w:tplc="C8944E3C">
      <w:start w:val="1"/>
      <w:numFmt w:val="bullet"/>
      <w:lvlText w:val=""/>
      <w:lvlJc w:val="left"/>
      <w:pPr>
        <w:tabs>
          <w:tab w:val="num" w:pos="720"/>
        </w:tabs>
        <w:ind w:left="720" w:hanging="360"/>
      </w:pPr>
      <w:rPr>
        <w:rFonts w:ascii="Symbol" w:hAnsi="Symbol" w:cs="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6E3A6D5E"/>
    <w:multiLevelType w:val="hybridMultilevel"/>
    <w:tmpl w:val="F5683B1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nsid w:val="74DD0C53"/>
    <w:multiLevelType w:val="hybridMultilevel"/>
    <w:tmpl w:val="2626EDB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5395EAB"/>
    <w:multiLevelType w:val="hybridMultilevel"/>
    <w:tmpl w:val="3A70366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nsid w:val="77BE1322"/>
    <w:multiLevelType w:val="hybridMultilevel"/>
    <w:tmpl w:val="A58802BE"/>
    <w:lvl w:ilvl="0" w:tplc="E5F44926">
      <w:start w:val="1"/>
      <w:numFmt w:val="decimal"/>
      <w:lvlText w:val="%1."/>
      <w:lvlJc w:val="left"/>
      <w:pPr>
        <w:ind w:left="180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nsid w:val="7B751985"/>
    <w:multiLevelType w:val="hybridMultilevel"/>
    <w:tmpl w:val="951E46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C192D08"/>
    <w:multiLevelType w:val="hybridMultilevel"/>
    <w:tmpl w:val="7432301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nsid w:val="7D771488"/>
    <w:multiLevelType w:val="hybridMultilevel"/>
    <w:tmpl w:val="AE822F7A"/>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num w:numId="1">
    <w:abstractNumId w:val="18"/>
  </w:num>
  <w:num w:numId="2">
    <w:abstractNumId w:val="22"/>
  </w:num>
  <w:num w:numId="3">
    <w:abstractNumId w:val="30"/>
  </w:num>
  <w:num w:numId="4">
    <w:abstractNumId w:val="1"/>
  </w:num>
  <w:num w:numId="5">
    <w:abstractNumId w:val="8"/>
  </w:num>
  <w:num w:numId="6">
    <w:abstractNumId w:val="34"/>
  </w:num>
  <w:num w:numId="7">
    <w:abstractNumId w:val="2"/>
  </w:num>
  <w:num w:numId="8">
    <w:abstractNumId w:val="3"/>
  </w:num>
  <w:num w:numId="9">
    <w:abstractNumId w:val="19"/>
  </w:num>
  <w:num w:numId="10">
    <w:abstractNumId w:val="15"/>
  </w:num>
  <w:num w:numId="11">
    <w:abstractNumId w:val="7"/>
  </w:num>
  <w:num w:numId="12">
    <w:abstractNumId w:val="26"/>
  </w:num>
  <w:num w:numId="13">
    <w:abstractNumId w:val="33"/>
  </w:num>
  <w:num w:numId="14">
    <w:abstractNumId w:val="23"/>
  </w:num>
  <w:num w:numId="15">
    <w:abstractNumId w:val="4"/>
  </w:num>
  <w:num w:numId="16">
    <w:abstractNumId w:val="32"/>
  </w:num>
  <w:num w:numId="17">
    <w:abstractNumId w:val="14"/>
  </w:num>
  <w:num w:numId="18">
    <w:abstractNumId w:val="13"/>
  </w:num>
  <w:num w:numId="19">
    <w:abstractNumId w:val="6"/>
  </w:num>
  <w:num w:numId="20">
    <w:abstractNumId w:val="17"/>
  </w:num>
  <w:num w:numId="21">
    <w:abstractNumId w:val="31"/>
  </w:num>
  <w:num w:numId="22">
    <w:abstractNumId w:val="27"/>
  </w:num>
  <w:num w:numId="23">
    <w:abstractNumId w:val="29"/>
  </w:num>
  <w:num w:numId="24">
    <w:abstractNumId w:val="36"/>
  </w:num>
  <w:num w:numId="25">
    <w:abstractNumId w:val="35"/>
  </w:num>
  <w:num w:numId="26">
    <w:abstractNumId w:val="5"/>
  </w:num>
  <w:num w:numId="27">
    <w:abstractNumId w:val="25"/>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20"/>
  </w:num>
  <w:num w:numId="33">
    <w:abstractNumId w:val="37"/>
  </w:num>
  <w:num w:numId="34">
    <w:abstractNumId w:val="9"/>
  </w:num>
  <w:num w:numId="35">
    <w:abstractNumId w:val="24"/>
  </w:num>
  <w:num w:numId="36">
    <w:abstractNumId w:val="11"/>
  </w:num>
  <w:num w:numId="37">
    <w:abstractNumId w:val="16"/>
  </w:num>
  <w:num w:numId="3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embedSystemFonts/>
  <w:proofState w:spelling="clean" w:grammar="clean"/>
  <w:defaultTabStop w:val="720"/>
  <w:drawingGridHorizontalSpacing w:val="120"/>
  <w:displayHorizontalDrawingGridEvery w:val="2"/>
  <w:characterSpacingControl w:val="doNotCompress"/>
  <w:doNotValidateAgainstSchema/>
  <w:doNotDemarcateInvalidXml/>
  <w:hdrShapeDefaults>
    <o:shapedefaults v:ext="edit" spidmax="17409"/>
  </w:hdrShapeDefaults>
  <w:footnotePr>
    <w:footnote w:id="-1"/>
    <w:footnote w:id="0"/>
  </w:footnotePr>
  <w:endnotePr>
    <w:endnote w:id="-1"/>
    <w:endnote w:id="0"/>
  </w:endnotePr>
  <w:compat/>
  <w:rsids>
    <w:rsidRoot w:val="00972D86"/>
    <w:rsid w:val="00000765"/>
    <w:rsid w:val="0000221F"/>
    <w:rsid w:val="00003D96"/>
    <w:rsid w:val="00004B3F"/>
    <w:rsid w:val="000051BB"/>
    <w:rsid w:val="000065BB"/>
    <w:rsid w:val="00007047"/>
    <w:rsid w:val="00011AFB"/>
    <w:rsid w:val="0001500C"/>
    <w:rsid w:val="00015D20"/>
    <w:rsid w:val="000177BC"/>
    <w:rsid w:val="00020FFF"/>
    <w:rsid w:val="00021E03"/>
    <w:rsid w:val="00023F63"/>
    <w:rsid w:val="000244A9"/>
    <w:rsid w:val="000247CE"/>
    <w:rsid w:val="00027800"/>
    <w:rsid w:val="00031E0D"/>
    <w:rsid w:val="00032623"/>
    <w:rsid w:val="00043A16"/>
    <w:rsid w:val="0004620C"/>
    <w:rsid w:val="000467FE"/>
    <w:rsid w:val="00052592"/>
    <w:rsid w:val="000546B4"/>
    <w:rsid w:val="00054F60"/>
    <w:rsid w:val="000554E0"/>
    <w:rsid w:val="00061D82"/>
    <w:rsid w:val="00064106"/>
    <w:rsid w:val="00065C99"/>
    <w:rsid w:val="00071762"/>
    <w:rsid w:val="00076AB2"/>
    <w:rsid w:val="00077366"/>
    <w:rsid w:val="000825A1"/>
    <w:rsid w:val="00083A77"/>
    <w:rsid w:val="00084249"/>
    <w:rsid w:val="00085A44"/>
    <w:rsid w:val="000877A3"/>
    <w:rsid w:val="000877CE"/>
    <w:rsid w:val="00091278"/>
    <w:rsid w:val="000A204B"/>
    <w:rsid w:val="000B4E14"/>
    <w:rsid w:val="000C317B"/>
    <w:rsid w:val="000C3D6F"/>
    <w:rsid w:val="000D290A"/>
    <w:rsid w:val="000D3281"/>
    <w:rsid w:val="000D3857"/>
    <w:rsid w:val="000D51E3"/>
    <w:rsid w:val="000E05BE"/>
    <w:rsid w:val="000E3A57"/>
    <w:rsid w:val="000E5172"/>
    <w:rsid w:val="000F0807"/>
    <w:rsid w:val="000F136B"/>
    <w:rsid w:val="000F2E88"/>
    <w:rsid w:val="000F316C"/>
    <w:rsid w:val="000F50EE"/>
    <w:rsid w:val="000F542D"/>
    <w:rsid w:val="00101F00"/>
    <w:rsid w:val="00102531"/>
    <w:rsid w:val="00104615"/>
    <w:rsid w:val="00104BF2"/>
    <w:rsid w:val="0011091F"/>
    <w:rsid w:val="00111899"/>
    <w:rsid w:val="00113953"/>
    <w:rsid w:val="00114A65"/>
    <w:rsid w:val="0011671F"/>
    <w:rsid w:val="00123418"/>
    <w:rsid w:val="001247E0"/>
    <w:rsid w:val="00134374"/>
    <w:rsid w:val="001356E3"/>
    <w:rsid w:val="001357FB"/>
    <w:rsid w:val="001368CB"/>
    <w:rsid w:val="00137599"/>
    <w:rsid w:val="001453DC"/>
    <w:rsid w:val="00145A9F"/>
    <w:rsid w:val="00151F84"/>
    <w:rsid w:val="00153C08"/>
    <w:rsid w:val="001540B6"/>
    <w:rsid w:val="00160CE2"/>
    <w:rsid w:val="00160CEE"/>
    <w:rsid w:val="00163050"/>
    <w:rsid w:val="00163304"/>
    <w:rsid w:val="00163F80"/>
    <w:rsid w:val="00164E1E"/>
    <w:rsid w:val="001663D7"/>
    <w:rsid w:val="00167F79"/>
    <w:rsid w:val="00170CF5"/>
    <w:rsid w:val="0017244A"/>
    <w:rsid w:val="00176128"/>
    <w:rsid w:val="00182223"/>
    <w:rsid w:val="00192761"/>
    <w:rsid w:val="00193A2D"/>
    <w:rsid w:val="001948CA"/>
    <w:rsid w:val="0019716C"/>
    <w:rsid w:val="001976A6"/>
    <w:rsid w:val="00197E7A"/>
    <w:rsid w:val="001A0D41"/>
    <w:rsid w:val="001A3026"/>
    <w:rsid w:val="001A62AA"/>
    <w:rsid w:val="001A7162"/>
    <w:rsid w:val="001A7ABE"/>
    <w:rsid w:val="001B692B"/>
    <w:rsid w:val="001C1FFD"/>
    <w:rsid w:val="001D1A43"/>
    <w:rsid w:val="001D4C2F"/>
    <w:rsid w:val="001D7359"/>
    <w:rsid w:val="001D78A2"/>
    <w:rsid w:val="001E05FF"/>
    <w:rsid w:val="001E1072"/>
    <w:rsid w:val="001E5693"/>
    <w:rsid w:val="001E57C7"/>
    <w:rsid w:val="001F0042"/>
    <w:rsid w:val="001F054D"/>
    <w:rsid w:val="001F215E"/>
    <w:rsid w:val="001F2AA3"/>
    <w:rsid w:val="001F32F5"/>
    <w:rsid w:val="001F5FCC"/>
    <w:rsid w:val="002020A8"/>
    <w:rsid w:val="00202DD4"/>
    <w:rsid w:val="0021128B"/>
    <w:rsid w:val="00215976"/>
    <w:rsid w:val="002170E0"/>
    <w:rsid w:val="00221893"/>
    <w:rsid w:val="0022553A"/>
    <w:rsid w:val="00226ED4"/>
    <w:rsid w:val="00230A66"/>
    <w:rsid w:val="00230B50"/>
    <w:rsid w:val="0023306D"/>
    <w:rsid w:val="00234EE4"/>
    <w:rsid w:val="00240150"/>
    <w:rsid w:val="00242158"/>
    <w:rsid w:val="0024317F"/>
    <w:rsid w:val="0024323A"/>
    <w:rsid w:val="00245255"/>
    <w:rsid w:val="0025011F"/>
    <w:rsid w:val="002507DB"/>
    <w:rsid w:val="00250FFB"/>
    <w:rsid w:val="002624C1"/>
    <w:rsid w:val="00264E3A"/>
    <w:rsid w:val="00274012"/>
    <w:rsid w:val="00275474"/>
    <w:rsid w:val="00276AA7"/>
    <w:rsid w:val="00277E13"/>
    <w:rsid w:val="002810D1"/>
    <w:rsid w:val="00282D61"/>
    <w:rsid w:val="00285815"/>
    <w:rsid w:val="0028681B"/>
    <w:rsid w:val="00292CD8"/>
    <w:rsid w:val="002940D7"/>
    <w:rsid w:val="002A17F3"/>
    <w:rsid w:val="002A3770"/>
    <w:rsid w:val="002B49A1"/>
    <w:rsid w:val="002B6EFB"/>
    <w:rsid w:val="002B7003"/>
    <w:rsid w:val="002B77B9"/>
    <w:rsid w:val="002C0E28"/>
    <w:rsid w:val="002C316F"/>
    <w:rsid w:val="002C5163"/>
    <w:rsid w:val="002D1060"/>
    <w:rsid w:val="002D4186"/>
    <w:rsid w:val="002D4FB2"/>
    <w:rsid w:val="002D66DD"/>
    <w:rsid w:val="002E208B"/>
    <w:rsid w:val="002E38C1"/>
    <w:rsid w:val="002F06E4"/>
    <w:rsid w:val="002F37D2"/>
    <w:rsid w:val="00302C12"/>
    <w:rsid w:val="0030355D"/>
    <w:rsid w:val="003040BB"/>
    <w:rsid w:val="00304CFD"/>
    <w:rsid w:val="00314AB0"/>
    <w:rsid w:val="0032034C"/>
    <w:rsid w:val="00320BF6"/>
    <w:rsid w:val="003253C4"/>
    <w:rsid w:val="00327081"/>
    <w:rsid w:val="00332CC0"/>
    <w:rsid w:val="00335772"/>
    <w:rsid w:val="003368C0"/>
    <w:rsid w:val="003402DC"/>
    <w:rsid w:val="00340DC8"/>
    <w:rsid w:val="00344CD3"/>
    <w:rsid w:val="003453B7"/>
    <w:rsid w:val="00346990"/>
    <w:rsid w:val="00346D89"/>
    <w:rsid w:val="00347579"/>
    <w:rsid w:val="0035306A"/>
    <w:rsid w:val="003543A7"/>
    <w:rsid w:val="00354B2F"/>
    <w:rsid w:val="0035642A"/>
    <w:rsid w:val="00357902"/>
    <w:rsid w:val="00366B62"/>
    <w:rsid w:val="00367BFA"/>
    <w:rsid w:val="00367ECF"/>
    <w:rsid w:val="003720D8"/>
    <w:rsid w:val="00373D0B"/>
    <w:rsid w:val="003831A4"/>
    <w:rsid w:val="00385E43"/>
    <w:rsid w:val="00394E76"/>
    <w:rsid w:val="003A03B2"/>
    <w:rsid w:val="003A348C"/>
    <w:rsid w:val="003B1F7F"/>
    <w:rsid w:val="003C073E"/>
    <w:rsid w:val="003C6802"/>
    <w:rsid w:val="003C7CBF"/>
    <w:rsid w:val="003D087A"/>
    <w:rsid w:val="003D60AE"/>
    <w:rsid w:val="003D62EE"/>
    <w:rsid w:val="003E1EBE"/>
    <w:rsid w:val="003E7946"/>
    <w:rsid w:val="003F2D35"/>
    <w:rsid w:val="003F3CAD"/>
    <w:rsid w:val="004003DF"/>
    <w:rsid w:val="004015D6"/>
    <w:rsid w:val="0040561A"/>
    <w:rsid w:val="00413179"/>
    <w:rsid w:val="004159DA"/>
    <w:rsid w:val="00415E86"/>
    <w:rsid w:val="00421179"/>
    <w:rsid w:val="0042432E"/>
    <w:rsid w:val="00431422"/>
    <w:rsid w:val="0043243D"/>
    <w:rsid w:val="00433192"/>
    <w:rsid w:val="0043447D"/>
    <w:rsid w:val="004403B9"/>
    <w:rsid w:val="0045036B"/>
    <w:rsid w:val="0045100F"/>
    <w:rsid w:val="004542DD"/>
    <w:rsid w:val="004575FF"/>
    <w:rsid w:val="00461965"/>
    <w:rsid w:val="004619EB"/>
    <w:rsid w:val="00461EDB"/>
    <w:rsid w:val="00463EE3"/>
    <w:rsid w:val="00464416"/>
    <w:rsid w:val="0046528F"/>
    <w:rsid w:val="00470A58"/>
    <w:rsid w:val="00470B16"/>
    <w:rsid w:val="004713FF"/>
    <w:rsid w:val="004717D7"/>
    <w:rsid w:val="00472F55"/>
    <w:rsid w:val="00473159"/>
    <w:rsid w:val="00481C50"/>
    <w:rsid w:val="00481D24"/>
    <w:rsid w:val="00484352"/>
    <w:rsid w:val="00491BF1"/>
    <w:rsid w:val="00493079"/>
    <w:rsid w:val="00495ABF"/>
    <w:rsid w:val="004A6A35"/>
    <w:rsid w:val="004B0235"/>
    <w:rsid w:val="004B28C7"/>
    <w:rsid w:val="004B4C95"/>
    <w:rsid w:val="004B7C60"/>
    <w:rsid w:val="004C018C"/>
    <w:rsid w:val="004C3518"/>
    <w:rsid w:val="004C5071"/>
    <w:rsid w:val="004C5A53"/>
    <w:rsid w:val="004C5D4E"/>
    <w:rsid w:val="004D1AAB"/>
    <w:rsid w:val="004D4F2F"/>
    <w:rsid w:val="004D5E43"/>
    <w:rsid w:val="004D6826"/>
    <w:rsid w:val="004D781B"/>
    <w:rsid w:val="004E024B"/>
    <w:rsid w:val="004E7695"/>
    <w:rsid w:val="004F0137"/>
    <w:rsid w:val="004F0984"/>
    <w:rsid w:val="004F0990"/>
    <w:rsid w:val="004F23CC"/>
    <w:rsid w:val="004F4B69"/>
    <w:rsid w:val="004F693A"/>
    <w:rsid w:val="005003A0"/>
    <w:rsid w:val="005009D4"/>
    <w:rsid w:val="0050223F"/>
    <w:rsid w:val="00505492"/>
    <w:rsid w:val="00511EF2"/>
    <w:rsid w:val="00515802"/>
    <w:rsid w:val="00521757"/>
    <w:rsid w:val="00526AF5"/>
    <w:rsid w:val="005435F3"/>
    <w:rsid w:val="00544CDF"/>
    <w:rsid w:val="00552DE2"/>
    <w:rsid w:val="00553AE0"/>
    <w:rsid w:val="00554B86"/>
    <w:rsid w:val="00555241"/>
    <w:rsid w:val="00556E90"/>
    <w:rsid w:val="005608EF"/>
    <w:rsid w:val="00561FFB"/>
    <w:rsid w:val="00563EC2"/>
    <w:rsid w:val="00566A0D"/>
    <w:rsid w:val="005670BA"/>
    <w:rsid w:val="005675FF"/>
    <w:rsid w:val="00567933"/>
    <w:rsid w:val="005679B5"/>
    <w:rsid w:val="005705B7"/>
    <w:rsid w:val="005818A9"/>
    <w:rsid w:val="005837C8"/>
    <w:rsid w:val="00587C0A"/>
    <w:rsid w:val="00591A05"/>
    <w:rsid w:val="0059332B"/>
    <w:rsid w:val="00594CCE"/>
    <w:rsid w:val="00594EE9"/>
    <w:rsid w:val="00595016"/>
    <w:rsid w:val="005A1110"/>
    <w:rsid w:val="005A47AE"/>
    <w:rsid w:val="005A6CF9"/>
    <w:rsid w:val="005A730D"/>
    <w:rsid w:val="005B62D5"/>
    <w:rsid w:val="005B62E5"/>
    <w:rsid w:val="005B64C9"/>
    <w:rsid w:val="005B7123"/>
    <w:rsid w:val="005C185A"/>
    <w:rsid w:val="005C43FC"/>
    <w:rsid w:val="005C5105"/>
    <w:rsid w:val="005C575E"/>
    <w:rsid w:val="005C5BE2"/>
    <w:rsid w:val="005D0562"/>
    <w:rsid w:val="005D3D8A"/>
    <w:rsid w:val="005D7594"/>
    <w:rsid w:val="005E0A13"/>
    <w:rsid w:val="005E20A4"/>
    <w:rsid w:val="005E2476"/>
    <w:rsid w:val="005E4629"/>
    <w:rsid w:val="005F418C"/>
    <w:rsid w:val="005F525B"/>
    <w:rsid w:val="005F6583"/>
    <w:rsid w:val="006032C0"/>
    <w:rsid w:val="00612D14"/>
    <w:rsid w:val="00615ABA"/>
    <w:rsid w:val="0062137B"/>
    <w:rsid w:val="00623BA0"/>
    <w:rsid w:val="00624AA1"/>
    <w:rsid w:val="00627563"/>
    <w:rsid w:val="006312DD"/>
    <w:rsid w:val="0063196E"/>
    <w:rsid w:val="00633AF4"/>
    <w:rsid w:val="00641762"/>
    <w:rsid w:val="00641C59"/>
    <w:rsid w:val="00641E04"/>
    <w:rsid w:val="006426EC"/>
    <w:rsid w:val="00643AB1"/>
    <w:rsid w:val="00643C50"/>
    <w:rsid w:val="0064683B"/>
    <w:rsid w:val="00647C85"/>
    <w:rsid w:val="00653A8A"/>
    <w:rsid w:val="00654E1C"/>
    <w:rsid w:val="00655D1A"/>
    <w:rsid w:val="0065692B"/>
    <w:rsid w:val="00660C45"/>
    <w:rsid w:val="00664519"/>
    <w:rsid w:val="006645C5"/>
    <w:rsid w:val="0066765E"/>
    <w:rsid w:val="0067080E"/>
    <w:rsid w:val="00672D72"/>
    <w:rsid w:val="00674601"/>
    <w:rsid w:val="006775A9"/>
    <w:rsid w:val="00682923"/>
    <w:rsid w:val="00684B39"/>
    <w:rsid w:val="00685B34"/>
    <w:rsid w:val="00690641"/>
    <w:rsid w:val="00692167"/>
    <w:rsid w:val="00692C79"/>
    <w:rsid w:val="006960B6"/>
    <w:rsid w:val="006A1B37"/>
    <w:rsid w:val="006A3786"/>
    <w:rsid w:val="006A4B44"/>
    <w:rsid w:val="006A6C39"/>
    <w:rsid w:val="006B147E"/>
    <w:rsid w:val="006B4284"/>
    <w:rsid w:val="006B451D"/>
    <w:rsid w:val="006B5D7B"/>
    <w:rsid w:val="006D54B5"/>
    <w:rsid w:val="006D604D"/>
    <w:rsid w:val="006E0554"/>
    <w:rsid w:val="006F6D50"/>
    <w:rsid w:val="006F74A5"/>
    <w:rsid w:val="00700962"/>
    <w:rsid w:val="007013AC"/>
    <w:rsid w:val="00715914"/>
    <w:rsid w:val="00724576"/>
    <w:rsid w:val="0072661D"/>
    <w:rsid w:val="00726DFB"/>
    <w:rsid w:val="00732FDB"/>
    <w:rsid w:val="00734E52"/>
    <w:rsid w:val="007430D9"/>
    <w:rsid w:val="00746F9D"/>
    <w:rsid w:val="00747998"/>
    <w:rsid w:val="00754D00"/>
    <w:rsid w:val="007569FB"/>
    <w:rsid w:val="00756E25"/>
    <w:rsid w:val="00757C1B"/>
    <w:rsid w:val="0076088A"/>
    <w:rsid w:val="00764BC6"/>
    <w:rsid w:val="0076500F"/>
    <w:rsid w:val="00766D70"/>
    <w:rsid w:val="007707C4"/>
    <w:rsid w:val="00773830"/>
    <w:rsid w:val="00773F2F"/>
    <w:rsid w:val="007765CC"/>
    <w:rsid w:val="00776EBC"/>
    <w:rsid w:val="0078204A"/>
    <w:rsid w:val="0078254A"/>
    <w:rsid w:val="00782745"/>
    <w:rsid w:val="007A33CC"/>
    <w:rsid w:val="007A5B33"/>
    <w:rsid w:val="007A5C8F"/>
    <w:rsid w:val="007A612D"/>
    <w:rsid w:val="007A65CF"/>
    <w:rsid w:val="007A7004"/>
    <w:rsid w:val="007A758B"/>
    <w:rsid w:val="007B1485"/>
    <w:rsid w:val="007B14DF"/>
    <w:rsid w:val="007B2CCE"/>
    <w:rsid w:val="007B35F2"/>
    <w:rsid w:val="007B4B6E"/>
    <w:rsid w:val="007B5472"/>
    <w:rsid w:val="007B656B"/>
    <w:rsid w:val="007B6579"/>
    <w:rsid w:val="007B76B3"/>
    <w:rsid w:val="007C43B6"/>
    <w:rsid w:val="007C4933"/>
    <w:rsid w:val="007C4F6A"/>
    <w:rsid w:val="007C7B2E"/>
    <w:rsid w:val="007D4061"/>
    <w:rsid w:val="007E0C8A"/>
    <w:rsid w:val="007E0FB1"/>
    <w:rsid w:val="007E170E"/>
    <w:rsid w:val="007E2FBC"/>
    <w:rsid w:val="007E5D02"/>
    <w:rsid w:val="007E604E"/>
    <w:rsid w:val="007E669D"/>
    <w:rsid w:val="007F1E3D"/>
    <w:rsid w:val="007F26DB"/>
    <w:rsid w:val="008001B7"/>
    <w:rsid w:val="00800811"/>
    <w:rsid w:val="00800FE3"/>
    <w:rsid w:val="00804A45"/>
    <w:rsid w:val="0080658E"/>
    <w:rsid w:val="00810E06"/>
    <w:rsid w:val="0081268D"/>
    <w:rsid w:val="0081391C"/>
    <w:rsid w:val="008148B1"/>
    <w:rsid w:val="00821049"/>
    <w:rsid w:val="00824375"/>
    <w:rsid w:val="00825EB0"/>
    <w:rsid w:val="00833A95"/>
    <w:rsid w:val="00833DBD"/>
    <w:rsid w:val="008343A1"/>
    <w:rsid w:val="00834B4C"/>
    <w:rsid w:val="008422F3"/>
    <w:rsid w:val="0084541D"/>
    <w:rsid w:val="00847514"/>
    <w:rsid w:val="008509CA"/>
    <w:rsid w:val="00851FD7"/>
    <w:rsid w:val="00852CDB"/>
    <w:rsid w:val="00853A7A"/>
    <w:rsid w:val="00853AE9"/>
    <w:rsid w:val="00854F5D"/>
    <w:rsid w:val="008569A0"/>
    <w:rsid w:val="00862460"/>
    <w:rsid w:val="0086342D"/>
    <w:rsid w:val="00863E03"/>
    <w:rsid w:val="00864DCF"/>
    <w:rsid w:val="0086634F"/>
    <w:rsid w:val="00866511"/>
    <w:rsid w:val="0087015C"/>
    <w:rsid w:val="008736E1"/>
    <w:rsid w:val="00882026"/>
    <w:rsid w:val="00882294"/>
    <w:rsid w:val="0088610D"/>
    <w:rsid w:val="00892C55"/>
    <w:rsid w:val="008936C6"/>
    <w:rsid w:val="0089558A"/>
    <w:rsid w:val="00896E16"/>
    <w:rsid w:val="008A03EF"/>
    <w:rsid w:val="008A6C42"/>
    <w:rsid w:val="008B3498"/>
    <w:rsid w:val="008B43EF"/>
    <w:rsid w:val="008B487D"/>
    <w:rsid w:val="008B7400"/>
    <w:rsid w:val="008C6BDB"/>
    <w:rsid w:val="008C74EC"/>
    <w:rsid w:val="008D0C9B"/>
    <w:rsid w:val="008D2217"/>
    <w:rsid w:val="008D5EBD"/>
    <w:rsid w:val="008E0B0E"/>
    <w:rsid w:val="008E1453"/>
    <w:rsid w:val="008E2F78"/>
    <w:rsid w:val="008F2726"/>
    <w:rsid w:val="008F302F"/>
    <w:rsid w:val="008F72BD"/>
    <w:rsid w:val="00900399"/>
    <w:rsid w:val="00900B67"/>
    <w:rsid w:val="00902CA7"/>
    <w:rsid w:val="00903DF7"/>
    <w:rsid w:val="0090469A"/>
    <w:rsid w:val="00905F3C"/>
    <w:rsid w:val="009108C5"/>
    <w:rsid w:val="00912468"/>
    <w:rsid w:val="00915479"/>
    <w:rsid w:val="00922932"/>
    <w:rsid w:val="00924003"/>
    <w:rsid w:val="009248A0"/>
    <w:rsid w:val="00930C5A"/>
    <w:rsid w:val="0093517A"/>
    <w:rsid w:val="00935803"/>
    <w:rsid w:val="00943F5E"/>
    <w:rsid w:val="00945517"/>
    <w:rsid w:val="00952A6B"/>
    <w:rsid w:val="00954E03"/>
    <w:rsid w:val="00960712"/>
    <w:rsid w:val="00970A4B"/>
    <w:rsid w:val="00970B99"/>
    <w:rsid w:val="00972D86"/>
    <w:rsid w:val="009739AF"/>
    <w:rsid w:val="009764E7"/>
    <w:rsid w:val="00976ECA"/>
    <w:rsid w:val="00982521"/>
    <w:rsid w:val="00982846"/>
    <w:rsid w:val="00986C19"/>
    <w:rsid w:val="00987A20"/>
    <w:rsid w:val="00990D6C"/>
    <w:rsid w:val="009946EF"/>
    <w:rsid w:val="00994969"/>
    <w:rsid w:val="0099695C"/>
    <w:rsid w:val="00997125"/>
    <w:rsid w:val="009A125E"/>
    <w:rsid w:val="009A18D4"/>
    <w:rsid w:val="009A5332"/>
    <w:rsid w:val="009A63CD"/>
    <w:rsid w:val="009B138E"/>
    <w:rsid w:val="009B3182"/>
    <w:rsid w:val="009B456B"/>
    <w:rsid w:val="009B6E2F"/>
    <w:rsid w:val="009B7AC9"/>
    <w:rsid w:val="009C086C"/>
    <w:rsid w:val="009C271A"/>
    <w:rsid w:val="009C3896"/>
    <w:rsid w:val="009C3FB6"/>
    <w:rsid w:val="009C4369"/>
    <w:rsid w:val="009C4A21"/>
    <w:rsid w:val="009D3919"/>
    <w:rsid w:val="009D3CB8"/>
    <w:rsid w:val="009D445B"/>
    <w:rsid w:val="009D5F0B"/>
    <w:rsid w:val="009D7516"/>
    <w:rsid w:val="009E4B63"/>
    <w:rsid w:val="009F0E86"/>
    <w:rsid w:val="009F3B5E"/>
    <w:rsid w:val="009F79A2"/>
    <w:rsid w:val="009F7E13"/>
    <w:rsid w:val="00A00B9B"/>
    <w:rsid w:val="00A02D50"/>
    <w:rsid w:val="00A0422D"/>
    <w:rsid w:val="00A056C6"/>
    <w:rsid w:val="00A05DFB"/>
    <w:rsid w:val="00A07A1B"/>
    <w:rsid w:val="00A12548"/>
    <w:rsid w:val="00A32AFB"/>
    <w:rsid w:val="00A33573"/>
    <w:rsid w:val="00A34C36"/>
    <w:rsid w:val="00A40B31"/>
    <w:rsid w:val="00A434A2"/>
    <w:rsid w:val="00A473F5"/>
    <w:rsid w:val="00A52294"/>
    <w:rsid w:val="00A54217"/>
    <w:rsid w:val="00A54468"/>
    <w:rsid w:val="00A559BF"/>
    <w:rsid w:val="00A57B52"/>
    <w:rsid w:val="00A63615"/>
    <w:rsid w:val="00A6368B"/>
    <w:rsid w:val="00A6483F"/>
    <w:rsid w:val="00A72455"/>
    <w:rsid w:val="00A819BB"/>
    <w:rsid w:val="00A86F10"/>
    <w:rsid w:val="00A91B57"/>
    <w:rsid w:val="00A92942"/>
    <w:rsid w:val="00AA1F0F"/>
    <w:rsid w:val="00AA3573"/>
    <w:rsid w:val="00AA6AC1"/>
    <w:rsid w:val="00AA7192"/>
    <w:rsid w:val="00AB04B0"/>
    <w:rsid w:val="00AB162B"/>
    <w:rsid w:val="00AB2236"/>
    <w:rsid w:val="00AB5965"/>
    <w:rsid w:val="00AB75EF"/>
    <w:rsid w:val="00AC1AC2"/>
    <w:rsid w:val="00AD1DD7"/>
    <w:rsid w:val="00AD5971"/>
    <w:rsid w:val="00AE06AF"/>
    <w:rsid w:val="00AE1AA7"/>
    <w:rsid w:val="00AE1D65"/>
    <w:rsid w:val="00AE2010"/>
    <w:rsid w:val="00AE4412"/>
    <w:rsid w:val="00AE652C"/>
    <w:rsid w:val="00AF4078"/>
    <w:rsid w:val="00AF4536"/>
    <w:rsid w:val="00AF5014"/>
    <w:rsid w:val="00B0040E"/>
    <w:rsid w:val="00B006F4"/>
    <w:rsid w:val="00B06329"/>
    <w:rsid w:val="00B06D35"/>
    <w:rsid w:val="00B1088A"/>
    <w:rsid w:val="00B15B2E"/>
    <w:rsid w:val="00B17D4D"/>
    <w:rsid w:val="00B17F48"/>
    <w:rsid w:val="00B20127"/>
    <w:rsid w:val="00B23FD1"/>
    <w:rsid w:val="00B24748"/>
    <w:rsid w:val="00B251D0"/>
    <w:rsid w:val="00B345F4"/>
    <w:rsid w:val="00B34E9C"/>
    <w:rsid w:val="00B35FD0"/>
    <w:rsid w:val="00B36E01"/>
    <w:rsid w:val="00B40784"/>
    <w:rsid w:val="00B41C9A"/>
    <w:rsid w:val="00B432A1"/>
    <w:rsid w:val="00B4732E"/>
    <w:rsid w:val="00B47496"/>
    <w:rsid w:val="00B509F7"/>
    <w:rsid w:val="00B563D2"/>
    <w:rsid w:val="00B70ACD"/>
    <w:rsid w:val="00B70E5A"/>
    <w:rsid w:val="00B761CF"/>
    <w:rsid w:val="00B77427"/>
    <w:rsid w:val="00B81F6D"/>
    <w:rsid w:val="00B8407B"/>
    <w:rsid w:val="00B865F5"/>
    <w:rsid w:val="00B91174"/>
    <w:rsid w:val="00B9578B"/>
    <w:rsid w:val="00B9754B"/>
    <w:rsid w:val="00B97FC7"/>
    <w:rsid w:val="00BA2D26"/>
    <w:rsid w:val="00BA35C8"/>
    <w:rsid w:val="00BA3FA2"/>
    <w:rsid w:val="00BA6008"/>
    <w:rsid w:val="00BA76F8"/>
    <w:rsid w:val="00BA7AAC"/>
    <w:rsid w:val="00BB06DB"/>
    <w:rsid w:val="00BB5973"/>
    <w:rsid w:val="00BD00ED"/>
    <w:rsid w:val="00BD218C"/>
    <w:rsid w:val="00BD3FD7"/>
    <w:rsid w:val="00BE0A84"/>
    <w:rsid w:val="00BE2FBD"/>
    <w:rsid w:val="00BE3047"/>
    <w:rsid w:val="00BE4427"/>
    <w:rsid w:val="00BF6872"/>
    <w:rsid w:val="00C03A82"/>
    <w:rsid w:val="00C06FAB"/>
    <w:rsid w:val="00C11B05"/>
    <w:rsid w:val="00C12DAB"/>
    <w:rsid w:val="00C1321D"/>
    <w:rsid w:val="00C13E86"/>
    <w:rsid w:val="00C14C45"/>
    <w:rsid w:val="00C16511"/>
    <w:rsid w:val="00C246A9"/>
    <w:rsid w:val="00C24C11"/>
    <w:rsid w:val="00C27914"/>
    <w:rsid w:val="00C3009B"/>
    <w:rsid w:val="00C32C33"/>
    <w:rsid w:val="00C34E22"/>
    <w:rsid w:val="00C409BE"/>
    <w:rsid w:val="00C42C62"/>
    <w:rsid w:val="00C43C88"/>
    <w:rsid w:val="00C46EC1"/>
    <w:rsid w:val="00C47E0D"/>
    <w:rsid w:val="00C5087B"/>
    <w:rsid w:val="00C516E9"/>
    <w:rsid w:val="00C553E3"/>
    <w:rsid w:val="00C6122E"/>
    <w:rsid w:val="00C62E2C"/>
    <w:rsid w:val="00C74860"/>
    <w:rsid w:val="00C77F83"/>
    <w:rsid w:val="00C81A94"/>
    <w:rsid w:val="00C81E4D"/>
    <w:rsid w:val="00C83C30"/>
    <w:rsid w:val="00C849EF"/>
    <w:rsid w:val="00C916C9"/>
    <w:rsid w:val="00C92F44"/>
    <w:rsid w:val="00C94516"/>
    <w:rsid w:val="00C95843"/>
    <w:rsid w:val="00C97BDB"/>
    <w:rsid w:val="00CA52F0"/>
    <w:rsid w:val="00CA52FF"/>
    <w:rsid w:val="00CA5814"/>
    <w:rsid w:val="00CA7B76"/>
    <w:rsid w:val="00CB28B8"/>
    <w:rsid w:val="00CB2C6D"/>
    <w:rsid w:val="00CB3116"/>
    <w:rsid w:val="00CB3356"/>
    <w:rsid w:val="00CB4CD1"/>
    <w:rsid w:val="00CC3FE4"/>
    <w:rsid w:val="00CC527E"/>
    <w:rsid w:val="00CC7138"/>
    <w:rsid w:val="00CD1A4B"/>
    <w:rsid w:val="00CD3103"/>
    <w:rsid w:val="00CD612B"/>
    <w:rsid w:val="00CD7823"/>
    <w:rsid w:val="00CE280F"/>
    <w:rsid w:val="00CE2B16"/>
    <w:rsid w:val="00CE3F03"/>
    <w:rsid w:val="00CE42BC"/>
    <w:rsid w:val="00CE76C1"/>
    <w:rsid w:val="00CF05F7"/>
    <w:rsid w:val="00CF174D"/>
    <w:rsid w:val="00CF26C3"/>
    <w:rsid w:val="00CF2F29"/>
    <w:rsid w:val="00CF3E98"/>
    <w:rsid w:val="00CF574F"/>
    <w:rsid w:val="00CF5C11"/>
    <w:rsid w:val="00D02848"/>
    <w:rsid w:val="00D0336A"/>
    <w:rsid w:val="00D0508C"/>
    <w:rsid w:val="00D07D2B"/>
    <w:rsid w:val="00D10F79"/>
    <w:rsid w:val="00D111DD"/>
    <w:rsid w:val="00D2145C"/>
    <w:rsid w:val="00D26BC7"/>
    <w:rsid w:val="00D27154"/>
    <w:rsid w:val="00D302C8"/>
    <w:rsid w:val="00D3372D"/>
    <w:rsid w:val="00D34088"/>
    <w:rsid w:val="00D34AF2"/>
    <w:rsid w:val="00D352B9"/>
    <w:rsid w:val="00D35A5F"/>
    <w:rsid w:val="00D36DBC"/>
    <w:rsid w:val="00D45ACF"/>
    <w:rsid w:val="00D464BB"/>
    <w:rsid w:val="00D46A1F"/>
    <w:rsid w:val="00D47764"/>
    <w:rsid w:val="00D47CDE"/>
    <w:rsid w:val="00D506E0"/>
    <w:rsid w:val="00D52B1B"/>
    <w:rsid w:val="00D534EE"/>
    <w:rsid w:val="00D535DD"/>
    <w:rsid w:val="00D57476"/>
    <w:rsid w:val="00D61F34"/>
    <w:rsid w:val="00D641B6"/>
    <w:rsid w:val="00D649F1"/>
    <w:rsid w:val="00D664AC"/>
    <w:rsid w:val="00D70312"/>
    <w:rsid w:val="00D70A6F"/>
    <w:rsid w:val="00D714A9"/>
    <w:rsid w:val="00D737F5"/>
    <w:rsid w:val="00D750F4"/>
    <w:rsid w:val="00D774F4"/>
    <w:rsid w:val="00D7772A"/>
    <w:rsid w:val="00D836AA"/>
    <w:rsid w:val="00D836F0"/>
    <w:rsid w:val="00D9196A"/>
    <w:rsid w:val="00D931E2"/>
    <w:rsid w:val="00D95CF7"/>
    <w:rsid w:val="00DA079E"/>
    <w:rsid w:val="00DA168A"/>
    <w:rsid w:val="00DA34F5"/>
    <w:rsid w:val="00DA4465"/>
    <w:rsid w:val="00DA605D"/>
    <w:rsid w:val="00DA63F4"/>
    <w:rsid w:val="00DA6986"/>
    <w:rsid w:val="00DB0459"/>
    <w:rsid w:val="00DB211C"/>
    <w:rsid w:val="00DB37A3"/>
    <w:rsid w:val="00DB4080"/>
    <w:rsid w:val="00DB597D"/>
    <w:rsid w:val="00DB5F5D"/>
    <w:rsid w:val="00DB6F35"/>
    <w:rsid w:val="00DC08B0"/>
    <w:rsid w:val="00DC0D0A"/>
    <w:rsid w:val="00DC3EE6"/>
    <w:rsid w:val="00DC4781"/>
    <w:rsid w:val="00DD126D"/>
    <w:rsid w:val="00DD6058"/>
    <w:rsid w:val="00DD6AF1"/>
    <w:rsid w:val="00DD6BFB"/>
    <w:rsid w:val="00DD7048"/>
    <w:rsid w:val="00DE1B81"/>
    <w:rsid w:val="00DE49EF"/>
    <w:rsid w:val="00DE5C48"/>
    <w:rsid w:val="00DF07DD"/>
    <w:rsid w:val="00DF456D"/>
    <w:rsid w:val="00E0147F"/>
    <w:rsid w:val="00E02DC0"/>
    <w:rsid w:val="00E07D79"/>
    <w:rsid w:val="00E12F71"/>
    <w:rsid w:val="00E14DFB"/>
    <w:rsid w:val="00E14EB9"/>
    <w:rsid w:val="00E21D30"/>
    <w:rsid w:val="00E21DEA"/>
    <w:rsid w:val="00E24391"/>
    <w:rsid w:val="00E33F13"/>
    <w:rsid w:val="00E3458D"/>
    <w:rsid w:val="00E3599A"/>
    <w:rsid w:val="00E359A7"/>
    <w:rsid w:val="00E3641B"/>
    <w:rsid w:val="00E40049"/>
    <w:rsid w:val="00E407FF"/>
    <w:rsid w:val="00E44119"/>
    <w:rsid w:val="00E448F5"/>
    <w:rsid w:val="00E46729"/>
    <w:rsid w:val="00E46D67"/>
    <w:rsid w:val="00E46F3D"/>
    <w:rsid w:val="00E5240C"/>
    <w:rsid w:val="00E60089"/>
    <w:rsid w:val="00E611B4"/>
    <w:rsid w:val="00E643C7"/>
    <w:rsid w:val="00E65306"/>
    <w:rsid w:val="00E768B3"/>
    <w:rsid w:val="00E825B7"/>
    <w:rsid w:val="00E832E1"/>
    <w:rsid w:val="00E8462C"/>
    <w:rsid w:val="00E84ADF"/>
    <w:rsid w:val="00E86160"/>
    <w:rsid w:val="00E86ACE"/>
    <w:rsid w:val="00E87BD1"/>
    <w:rsid w:val="00E95B74"/>
    <w:rsid w:val="00E96884"/>
    <w:rsid w:val="00E978BE"/>
    <w:rsid w:val="00EA4068"/>
    <w:rsid w:val="00EA4261"/>
    <w:rsid w:val="00EA4B09"/>
    <w:rsid w:val="00EA5215"/>
    <w:rsid w:val="00EA6CB8"/>
    <w:rsid w:val="00EB1DC9"/>
    <w:rsid w:val="00EB29D0"/>
    <w:rsid w:val="00EB4322"/>
    <w:rsid w:val="00EC1594"/>
    <w:rsid w:val="00EC3546"/>
    <w:rsid w:val="00EC3625"/>
    <w:rsid w:val="00ED060D"/>
    <w:rsid w:val="00ED22E0"/>
    <w:rsid w:val="00ED2B67"/>
    <w:rsid w:val="00ED4024"/>
    <w:rsid w:val="00EE1205"/>
    <w:rsid w:val="00EE459B"/>
    <w:rsid w:val="00EE53F9"/>
    <w:rsid w:val="00EE7787"/>
    <w:rsid w:val="00EF1EA5"/>
    <w:rsid w:val="00EF5CAF"/>
    <w:rsid w:val="00F021F5"/>
    <w:rsid w:val="00F02C3E"/>
    <w:rsid w:val="00F04415"/>
    <w:rsid w:val="00F1423E"/>
    <w:rsid w:val="00F142EE"/>
    <w:rsid w:val="00F16792"/>
    <w:rsid w:val="00F2709C"/>
    <w:rsid w:val="00F34CCC"/>
    <w:rsid w:val="00F37E37"/>
    <w:rsid w:val="00F427B5"/>
    <w:rsid w:val="00F46735"/>
    <w:rsid w:val="00F46F8E"/>
    <w:rsid w:val="00F50C69"/>
    <w:rsid w:val="00F521F1"/>
    <w:rsid w:val="00F569C3"/>
    <w:rsid w:val="00F56A05"/>
    <w:rsid w:val="00F6065C"/>
    <w:rsid w:val="00F60719"/>
    <w:rsid w:val="00F6447B"/>
    <w:rsid w:val="00F64A1F"/>
    <w:rsid w:val="00F71B19"/>
    <w:rsid w:val="00F74519"/>
    <w:rsid w:val="00F74639"/>
    <w:rsid w:val="00F7701E"/>
    <w:rsid w:val="00F86024"/>
    <w:rsid w:val="00F871EC"/>
    <w:rsid w:val="00F9455D"/>
    <w:rsid w:val="00FA0CF0"/>
    <w:rsid w:val="00FA1FFA"/>
    <w:rsid w:val="00FA3438"/>
    <w:rsid w:val="00FA6262"/>
    <w:rsid w:val="00FA62E7"/>
    <w:rsid w:val="00FB026D"/>
    <w:rsid w:val="00FB587C"/>
    <w:rsid w:val="00FB6786"/>
    <w:rsid w:val="00FB68FC"/>
    <w:rsid w:val="00FC0069"/>
    <w:rsid w:val="00FC1A1E"/>
    <w:rsid w:val="00FC43DB"/>
    <w:rsid w:val="00FC5E06"/>
    <w:rsid w:val="00FC6956"/>
    <w:rsid w:val="00FD121C"/>
    <w:rsid w:val="00FD1BBA"/>
    <w:rsid w:val="00FD259A"/>
    <w:rsid w:val="00FD3AC1"/>
    <w:rsid w:val="00FD49FC"/>
    <w:rsid w:val="00FD500B"/>
    <w:rsid w:val="00FE0FF7"/>
    <w:rsid w:val="00FE46B6"/>
    <w:rsid w:val="00FF0B7A"/>
    <w:rsid w:val="00FF75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unhideWhenUsed="0"/>
    <w:lsdException w:name="toc 2" w:unhideWhenUsed="0"/>
    <w:lsdException w:name="toc 3" w:unhideWhenUsed="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annotation text" w:uiPriority="0" w:unhideWhenUsed="0"/>
    <w:lsdException w:name="header" w:unhideWhenUsed="0"/>
    <w:lsdException w:name="footer" w:unhideWhenUsed="0"/>
    <w:lsdException w:name="caption" w:uiPriority="0" w:qFormat="1"/>
    <w:lsdException w:name="footnote reference" w:uiPriority="0" w:unhideWhenUsed="0"/>
    <w:lsdException w:name="annotation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72D86"/>
    <w:rPr>
      <w:rFonts w:ascii="Times New Roman" w:eastAsia="MS Mincho" w:hAnsi="Times New Roman"/>
      <w:sz w:val="24"/>
      <w:szCs w:val="24"/>
      <w:lang w:eastAsia="ja-JP"/>
    </w:rPr>
  </w:style>
  <w:style w:type="paragraph" w:styleId="Heading1">
    <w:name w:val="heading 1"/>
    <w:basedOn w:val="Normal"/>
    <w:next w:val="Normal"/>
    <w:link w:val="Heading1Char"/>
    <w:qFormat/>
    <w:rsid w:val="00972D8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2D86"/>
    <w:rPr>
      <w:rFonts w:ascii="Arial" w:eastAsia="MS Mincho" w:hAnsi="Arial" w:cs="Arial"/>
      <w:b/>
      <w:bCs/>
      <w:kern w:val="32"/>
      <w:sz w:val="32"/>
      <w:szCs w:val="32"/>
      <w:lang w:eastAsia="ja-JP"/>
    </w:rPr>
  </w:style>
  <w:style w:type="paragraph" w:customStyle="1" w:styleId="tabletitle">
    <w:name w:val="table title"/>
    <w:basedOn w:val="Normal"/>
    <w:rsid w:val="00972D86"/>
    <w:pPr>
      <w:keepNext/>
      <w:spacing w:before="180" w:after="60"/>
      <w:jc w:val="center"/>
    </w:pPr>
    <w:rPr>
      <w:rFonts w:eastAsia="Times New Roman"/>
      <w:b/>
      <w:bCs/>
      <w:lang w:eastAsia="en-US"/>
    </w:rPr>
  </w:style>
  <w:style w:type="paragraph" w:styleId="FootnoteText">
    <w:name w:val="footnote text"/>
    <w:basedOn w:val="Normal"/>
    <w:link w:val="FootnoteTextChar"/>
    <w:semiHidden/>
    <w:rsid w:val="00972D86"/>
    <w:rPr>
      <w:sz w:val="20"/>
      <w:szCs w:val="20"/>
    </w:rPr>
  </w:style>
  <w:style w:type="character" w:customStyle="1" w:styleId="FootnoteTextChar">
    <w:name w:val="Footnote Text Char"/>
    <w:basedOn w:val="DefaultParagraphFont"/>
    <w:link w:val="FootnoteText"/>
    <w:semiHidden/>
    <w:rsid w:val="00972D86"/>
    <w:rPr>
      <w:rFonts w:ascii="Times New Roman" w:eastAsia="MS Mincho" w:hAnsi="Times New Roman" w:cs="Times New Roman"/>
      <w:sz w:val="20"/>
      <w:szCs w:val="20"/>
      <w:lang w:eastAsia="ja-JP"/>
    </w:rPr>
  </w:style>
  <w:style w:type="character" w:styleId="FootnoteReference">
    <w:name w:val="footnote reference"/>
    <w:basedOn w:val="DefaultParagraphFont"/>
    <w:semiHidden/>
    <w:rsid w:val="00972D86"/>
    <w:rPr>
      <w:vertAlign w:val="superscript"/>
    </w:rPr>
  </w:style>
  <w:style w:type="table" w:styleId="TableGrid">
    <w:name w:val="Table Grid"/>
    <w:basedOn w:val="TableNormal"/>
    <w:uiPriority w:val="99"/>
    <w:rsid w:val="00972D86"/>
    <w:rPr>
      <w:rFonts w:ascii="Times New Roman" w:eastAsia="MS Mincho"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
    <w:name w:val="Char Char2"/>
    <w:basedOn w:val="Normal"/>
    <w:uiPriority w:val="99"/>
    <w:rsid w:val="00972D86"/>
    <w:pPr>
      <w:spacing w:after="160" w:line="240" w:lineRule="exact"/>
    </w:pPr>
    <w:rPr>
      <w:rFonts w:ascii="CG Times" w:eastAsia="Times New Roman" w:hAnsi="CG Times" w:cs="CG Times"/>
      <w:sz w:val="20"/>
      <w:szCs w:val="20"/>
      <w:lang w:eastAsia="en-US"/>
    </w:rPr>
  </w:style>
  <w:style w:type="paragraph" w:styleId="BalloonText">
    <w:name w:val="Balloon Text"/>
    <w:basedOn w:val="Normal"/>
    <w:link w:val="BalloonTextChar"/>
    <w:uiPriority w:val="99"/>
    <w:semiHidden/>
    <w:rsid w:val="00905F3C"/>
    <w:rPr>
      <w:rFonts w:ascii="Tahoma" w:hAnsi="Tahoma" w:cs="Tahoma"/>
      <w:sz w:val="16"/>
      <w:szCs w:val="16"/>
    </w:rPr>
  </w:style>
  <w:style w:type="character" w:customStyle="1" w:styleId="BalloonTextChar">
    <w:name w:val="Balloon Text Char"/>
    <w:basedOn w:val="DefaultParagraphFont"/>
    <w:link w:val="BalloonText"/>
    <w:uiPriority w:val="99"/>
    <w:semiHidden/>
    <w:rsid w:val="00905F3C"/>
    <w:rPr>
      <w:rFonts w:ascii="Tahoma" w:eastAsia="MS Mincho" w:hAnsi="Tahoma" w:cs="Tahoma"/>
      <w:sz w:val="16"/>
      <w:szCs w:val="16"/>
      <w:lang w:eastAsia="ja-JP"/>
    </w:rPr>
  </w:style>
  <w:style w:type="character" w:styleId="Hyperlink">
    <w:name w:val="Hyperlink"/>
    <w:basedOn w:val="DefaultParagraphFont"/>
    <w:uiPriority w:val="99"/>
    <w:rsid w:val="00E44119"/>
    <w:rPr>
      <w:color w:val="0000FF"/>
      <w:u w:val="single"/>
    </w:rPr>
  </w:style>
  <w:style w:type="paragraph" w:customStyle="1" w:styleId="CharChar21">
    <w:name w:val="Char Char21"/>
    <w:basedOn w:val="Normal"/>
    <w:uiPriority w:val="99"/>
    <w:rsid w:val="00E44119"/>
    <w:pPr>
      <w:spacing w:after="160" w:line="240" w:lineRule="exact"/>
    </w:pPr>
    <w:rPr>
      <w:rFonts w:ascii="CG Times" w:eastAsia="Times New Roman" w:hAnsi="CG Times" w:cs="CG Times"/>
      <w:sz w:val="20"/>
      <w:szCs w:val="20"/>
      <w:lang w:eastAsia="en-US"/>
    </w:rPr>
  </w:style>
  <w:style w:type="paragraph" w:styleId="ListParagraph">
    <w:name w:val="List Paragraph"/>
    <w:basedOn w:val="Normal"/>
    <w:uiPriority w:val="34"/>
    <w:qFormat/>
    <w:rsid w:val="00F021F5"/>
    <w:pPr>
      <w:ind w:left="720"/>
      <w:contextualSpacing/>
    </w:pPr>
  </w:style>
  <w:style w:type="paragraph" w:styleId="Header">
    <w:name w:val="header"/>
    <w:basedOn w:val="Normal"/>
    <w:link w:val="HeaderChar"/>
    <w:uiPriority w:val="99"/>
    <w:semiHidden/>
    <w:rsid w:val="002E208B"/>
    <w:pPr>
      <w:tabs>
        <w:tab w:val="center" w:pos="4680"/>
        <w:tab w:val="right" w:pos="9360"/>
      </w:tabs>
    </w:pPr>
  </w:style>
  <w:style w:type="character" w:customStyle="1" w:styleId="HeaderChar">
    <w:name w:val="Header Char"/>
    <w:basedOn w:val="DefaultParagraphFont"/>
    <w:link w:val="Header"/>
    <w:uiPriority w:val="99"/>
    <w:semiHidden/>
    <w:rsid w:val="002E208B"/>
    <w:rPr>
      <w:rFonts w:ascii="Times New Roman" w:eastAsia="MS Mincho" w:hAnsi="Times New Roman" w:cs="Times New Roman"/>
      <w:sz w:val="24"/>
      <w:szCs w:val="24"/>
      <w:lang w:eastAsia="ja-JP"/>
    </w:rPr>
  </w:style>
  <w:style w:type="paragraph" w:styleId="Footer">
    <w:name w:val="footer"/>
    <w:basedOn w:val="Normal"/>
    <w:link w:val="FooterChar"/>
    <w:uiPriority w:val="99"/>
    <w:rsid w:val="002E208B"/>
    <w:pPr>
      <w:tabs>
        <w:tab w:val="center" w:pos="4680"/>
        <w:tab w:val="right" w:pos="9360"/>
      </w:tabs>
    </w:pPr>
  </w:style>
  <w:style w:type="character" w:customStyle="1" w:styleId="FooterChar">
    <w:name w:val="Footer Char"/>
    <w:basedOn w:val="DefaultParagraphFont"/>
    <w:link w:val="Footer"/>
    <w:uiPriority w:val="99"/>
    <w:rsid w:val="002E208B"/>
    <w:rPr>
      <w:rFonts w:ascii="Times New Roman" w:eastAsia="MS Mincho" w:hAnsi="Times New Roman" w:cs="Times New Roman"/>
      <w:sz w:val="24"/>
      <w:szCs w:val="24"/>
      <w:lang w:eastAsia="ja-JP"/>
    </w:rPr>
  </w:style>
  <w:style w:type="paragraph" w:customStyle="1" w:styleId="tabletext">
    <w:name w:val="table text"/>
    <w:basedOn w:val="Normal"/>
    <w:rsid w:val="00264E3A"/>
    <w:pPr>
      <w:spacing w:before="20" w:after="20"/>
    </w:pPr>
    <w:rPr>
      <w:rFonts w:ascii="Arial Narrow" w:eastAsia="Times New Roman" w:hAnsi="Arial Narrow" w:cs="Arial Narrow"/>
      <w:sz w:val="20"/>
      <w:szCs w:val="20"/>
      <w:lang w:eastAsia="en-US"/>
    </w:rPr>
  </w:style>
  <w:style w:type="paragraph" w:styleId="NoSpacing">
    <w:name w:val="No Spacing"/>
    <w:link w:val="NoSpacingChar"/>
    <w:uiPriority w:val="1"/>
    <w:qFormat/>
    <w:rsid w:val="003D60AE"/>
    <w:rPr>
      <w:rFonts w:eastAsia="Times New Roman" w:cs="Calibri"/>
    </w:rPr>
  </w:style>
  <w:style w:type="character" w:customStyle="1" w:styleId="NoSpacingChar">
    <w:name w:val="No Spacing Char"/>
    <w:basedOn w:val="DefaultParagraphFont"/>
    <w:link w:val="NoSpacing"/>
    <w:uiPriority w:val="1"/>
    <w:rsid w:val="003D60AE"/>
    <w:rPr>
      <w:rFonts w:eastAsia="Times New Roman"/>
      <w:sz w:val="22"/>
      <w:szCs w:val="22"/>
      <w:lang w:val="en-US" w:eastAsia="en-US"/>
    </w:rPr>
  </w:style>
  <w:style w:type="paragraph" w:styleId="TOCHeading">
    <w:name w:val="TOC Heading"/>
    <w:basedOn w:val="Heading1"/>
    <w:next w:val="Normal"/>
    <w:uiPriority w:val="39"/>
    <w:qFormat/>
    <w:rsid w:val="003D60AE"/>
    <w:pPr>
      <w:keepLines/>
      <w:spacing w:before="480" w:after="0" w:line="276" w:lineRule="auto"/>
      <w:outlineLvl w:val="9"/>
    </w:pPr>
    <w:rPr>
      <w:rFonts w:ascii="Cambria" w:eastAsia="Times New Roman" w:hAnsi="Cambria" w:cs="Cambria"/>
      <w:color w:val="365F91"/>
      <w:kern w:val="0"/>
      <w:sz w:val="28"/>
      <w:szCs w:val="28"/>
      <w:lang w:eastAsia="en-US"/>
    </w:rPr>
  </w:style>
  <w:style w:type="paragraph" w:styleId="TOC1">
    <w:name w:val="toc 1"/>
    <w:basedOn w:val="Normal"/>
    <w:next w:val="Normal"/>
    <w:autoRedefine/>
    <w:uiPriority w:val="39"/>
    <w:rsid w:val="003D60AE"/>
    <w:pPr>
      <w:spacing w:after="100"/>
    </w:pPr>
  </w:style>
  <w:style w:type="paragraph" w:styleId="TOC2">
    <w:name w:val="toc 2"/>
    <w:basedOn w:val="Normal"/>
    <w:next w:val="Normal"/>
    <w:autoRedefine/>
    <w:uiPriority w:val="99"/>
    <w:semiHidden/>
    <w:rsid w:val="003D60AE"/>
    <w:pPr>
      <w:spacing w:after="100" w:line="276" w:lineRule="auto"/>
      <w:ind w:left="220"/>
    </w:pPr>
    <w:rPr>
      <w:rFonts w:ascii="Calibri" w:eastAsia="Times New Roman" w:hAnsi="Calibri" w:cs="Calibri"/>
      <w:sz w:val="22"/>
      <w:szCs w:val="22"/>
      <w:lang w:eastAsia="en-US"/>
    </w:rPr>
  </w:style>
  <w:style w:type="paragraph" w:styleId="TOC3">
    <w:name w:val="toc 3"/>
    <w:basedOn w:val="Normal"/>
    <w:next w:val="Normal"/>
    <w:autoRedefine/>
    <w:uiPriority w:val="99"/>
    <w:semiHidden/>
    <w:rsid w:val="003D60AE"/>
    <w:pPr>
      <w:spacing w:after="100" w:line="276" w:lineRule="auto"/>
      <w:ind w:left="440"/>
    </w:pPr>
    <w:rPr>
      <w:rFonts w:ascii="Calibri" w:eastAsia="Times New Roman" w:hAnsi="Calibri" w:cs="Calibri"/>
      <w:sz w:val="22"/>
      <w:szCs w:val="22"/>
      <w:lang w:eastAsia="en-US"/>
    </w:rPr>
  </w:style>
  <w:style w:type="paragraph" w:styleId="Revision">
    <w:name w:val="Revision"/>
    <w:hidden/>
    <w:uiPriority w:val="99"/>
    <w:semiHidden/>
    <w:rsid w:val="00C5087B"/>
    <w:rPr>
      <w:rFonts w:ascii="Times New Roman" w:eastAsia="MS Mincho" w:hAnsi="Times New Roman"/>
      <w:sz w:val="24"/>
      <w:szCs w:val="24"/>
      <w:lang w:eastAsia="ja-JP"/>
    </w:rPr>
  </w:style>
  <w:style w:type="character" w:styleId="FollowedHyperlink">
    <w:name w:val="FollowedHyperlink"/>
    <w:basedOn w:val="DefaultParagraphFont"/>
    <w:uiPriority w:val="99"/>
    <w:semiHidden/>
    <w:rsid w:val="009739AF"/>
    <w:rPr>
      <w:color w:val="800080"/>
      <w:u w:val="single"/>
    </w:rPr>
  </w:style>
  <w:style w:type="character" w:styleId="Strong">
    <w:name w:val="Strong"/>
    <w:basedOn w:val="DefaultParagraphFont"/>
    <w:uiPriority w:val="99"/>
    <w:qFormat/>
    <w:rsid w:val="006312DD"/>
    <w:rPr>
      <w:b/>
      <w:bCs/>
    </w:rPr>
  </w:style>
  <w:style w:type="character" w:styleId="CommentReference">
    <w:name w:val="annotation reference"/>
    <w:basedOn w:val="DefaultParagraphFont"/>
    <w:uiPriority w:val="99"/>
    <w:semiHidden/>
    <w:rsid w:val="00A91B57"/>
    <w:rPr>
      <w:sz w:val="16"/>
      <w:szCs w:val="16"/>
    </w:rPr>
  </w:style>
  <w:style w:type="paragraph" w:styleId="CommentText">
    <w:name w:val="annotation text"/>
    <w:basedOn w:val="Normal"/>
    <w:link w:val="CommentTextChar"/>
    <w:rsid w:val="00A91B57"/>
    <w:rPr>
      <w:sz w:val="20"/>
      <w:szCs w:val="20"/>
    </w:rPr>
  </w:style>
  <w:style w:type="character" w:customStyle="1" w:styleId="CommentTextChar">
    <w:name w:val="Comment Text Char"/>
    <w:basedOn w:val="DefaultParagraphFont"/>
    <w:link w:val="CommentText"/>
    <w:rsid w:val="00A91B57"/>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rsid w:val="00A91B57"/>
    <w:rPr>
      <w:b/>
      <w:bCs/>
    </w:rPr>
  </w:style>
  <w:style w:type="character" w:customStyle="1" w:styleId="CommentSubjectChar">
    <w:name w:val="Comment Subject Char"/>
    <w:basedOn w:val="CommentTextChar"/>
    <w:link w:val="CommentSubject"/>
    <w:uiPriority w:val="99"/>
    <w:semiHidden/>
    <w:rsid w:val="00A91B57"/>
    <w:rPr>
      <w:b/>
      <w:bCs/>
    </w:rPr>
  </w:style>
  <w:style w:type="paragraph" w:styleId="EndnoteText">
    <w:name w:val="endnote text"/>
    <w:basedOn w:val="Normal"/>
    <w:link w:val="EndnoteTextChar"/>
    <w:uiPriority w:val="99"/>
    <w:semiHidden/>
    <w:rsid w:val="0080658E"/>
    <w:rPr>
      <w:sz w:val="20"/>
      <w:szCs w:val="20"/>
    </w:rPr>
  </w:style>
  <w:style w:type="character" w:customStyle="1" w:styleId="EndnoteTextChar">
    <w:name w:val="Endnote Text Char"/>
    <w:basedOn w:val="DefaultParagraphFont"/>
    <w:link w:val="EndnoteText"/>
    <w:uiPriority w:val="99"/>
    <w:semiHidden/>
    <w:rsid w:val="0080658E"/>
    <w:rPr>
      <w:rFonts w:ascii="Times New Roman" w:eastAsia="MS Mincho" w:hAnsi="Times New Roman" w:cs="Times New Roman"/>
      <w:sz w:val="20"/>
      <w:szCs w:val="20"/>
      <w:lang w:eastAsia="ja-JP"/>
    </w:rPr>
  </w:style>
  <w:style w:type="character" w:styleId="EndnoteReference">
    <w:name w:val="endnote reference"/>
    <w:basedOn w:val="DefaultParagraphFont"/>
    <w:uiPriority w:val="99"/>
    <w:semiHidden/>
    <w:rsid w:val="0080658E"/>
    <w:rPr>
      <w:vertAlign w:val="superscript"/>
    </w:rPr>
  </w:style>
  <w:style w:type="paragraph" w:styleId="TableofFigures">
    <w:name w:val="table of figures"/>
    <w:basedOn w:val="Normal"/>
    <w:next w:val="Normal"/>
    <w:uiPriority w:val="99"/>
    <w:unhideWhenUsed/>
    <w:rsid w:val="00903DF7"/>
  </w:style>
  <w:style w:type="paragraph" w:customStyle="1" w:styleId="memoaddress">
    <w:name w:val="memo address"/>
    <w:next w:val="FootnoteText"/>
    <w:rsid w:val="00D02848"/>
    <w:pPr>
      <w:tabs>
        <w:tab w:val="left" w:pos="1350"/>
      </w:tabs>
      <w:spacing w:before="120" w:after="120"/>
    </w:pPr>
    <w:rPr>
      <w:rFonts w:ascii="Arial" w:eastAsia="Times New Roman" w:hAnsi="Arial"/>
      <w:b/>
      <w:szCs w:val="20"/>
    </w:rPr>
  </w:style>
  <w:style w:type="paragraph" w:styleId="Caption">
    <w:name w:val="caption"/>
    <w:basedOn w:val="Normal"/>
    <w:next w:val="Normal"/>
    <w:qFormat/>
    <w:rsid w:val="00D02848"/>
    <w:pPr>
      <w:keepNext/>
      <w:spacing w:before="180" w:after="60"/>
      <w:jc w:val="center"/>
    </w:pPr>
    <w:rPr>
      <w:rFonts w:eastAsia="Times New Roman"/>
      <w:b/>
      <w:bCs/>
      <w:lang w:eastAsia="en-US"/>
    </w:rPr>
  </w:style>
  <w:style w:type="paragraph" w:styleId="BodyTextIndent">
    <w:name w:val="Body Text Indent"/>
    <w:basedOn w:val="Normal"/>
    <w:link w:val="BodyTextIndentChar"/>
    <w:uiPriority w:val="99"/>
    <w:semiHidden/>
    <w:unhideWhenUsed/>
    <w:rsid w:val="00D02848"/>
    <w:pPr>
      <w:spacing w:after="120"/>
      <w:ind w:left="360"/>
    </w:pPr>
  </w:style>
  <w:style w:type="character" w:customStyle="1" w:styleId="BodyTextIndentChar">
    <w:name w:val="Body Text Indent Char"/>
    <w:basedOn w:val="DefaultParagraphFont"/>
    <w:link w:val="BodyTextIndent"/>
    <w:uiPriority w:val="99"/>
    <w:semiHidden/>
    <w:rsid w:val="00D02848"/>
    <w:rPr>
      <w:rFonts w:ascii="Times New Roman" w:eastAsia="MS Mincho" w:hAnsi="Times New Roman"/>
      <w:sz w:val="24"/>
      <w:szCs w:val="24"/>
      <w:lang w:eastAsia="ja-JP"/>
    </w:rPr>
  </w:style>
  <w:style w:type="paragraph" w:customStyle="1" w:styleId="Default">
    <w:name w:val="Default"/>
    <w:rsid w:val="0023306D"/>
    <w:pPr>
      <w:autoSpaceDE w:val="0"/>
      <w:autoSpaceDN w:val="0"/>
      <w:adjustRightInd w:val="0"/>
    </w:pPr>
    <w:rPr>
      <w:rFonts w:eastAsia="Times New Roman" w:cs="Calibri"/>
      <w:color w:val="000000"/>
      <w:sz w:val="24"/>
      <w:szCs w:val="24"/>
    </w:rPr>
  </w:style>
  <w:style w:type="paragraph" w:customStyle="1" w:styleId="b">
    <w:name w:val="b"/>
    <w:aliases w:val="bullet"/>
    <w:basedOn w:val="Normal"/>
    <w:link w:val="bChar"/>
    <w:rsid w:val="0023306D"/>
    <w:pPr>
      <w:numPr>
        <w:numId w:val="38"/>
      </w:numPr>
      <w:spacing w:after="120" w:line="264" w:lineRule="auto"/>
    </w:pPr>
    <w:rPr>
      <w:rFonts w:ascii="Calibri" w:eastAsia="Times New Roman" w:hAnsi="Calibri" w:cs="Arial"/>
      <w:sz w:val="22"/>
      <w:szCs w:val="22"/>
      <w:lang w:eastAsia="en-US"/>
    </w:rPr>
  </w:style>
  <w:style w:type="character" w:customStyle="1" w:styleId="bChar">
    <w:name w:val="b Char"/>
    <w:aliases w:val="bullet Char,bullet Char Char"/>
    <w:basedOn w:val="DefaultParagraphFont"/>
    <w:link w:val="b"/>
    <w:rsid w:val="0023306D"/>
    <w:rPr>
      <w:rFonts w:eastAsia="Times New Roman" w:cs="Arial"/>
    </w:rPr>
  </w:style>
  <w:style w:type="paragraph" w:customStyle="1" w:styleId="in">
    <w:name w:val="in"/>
    <w:aliases w:val="into bullet"/>
    <w:basedOn w:val="Normal"/>
    <w:link w:val="inChar"/>
    <w:rsid w:val="0023306D"/>
    <w:pPr>
      <w:spacing w:after="120" w:line="264" w:lineRule="auto"/>
      <w:ind w:left="360"/>
    </w:pPr>
    <w:rPr>
      <w:rFonts w:ascii="Calibri" w:eastAsia="Times New Roman" w:hAnsi="Calibri" w:cs="Arial"/>
      <w:sz w:val="22"/>
      <w:szCs w:val="22"/>
      <w:lang w:eastAsia="en-US"/>
    </w:rPr>
  </w:style>
  <w:style w:type="character" w:customStyle="1" w:styleId="inChar">
    <w:name w:val="in Char"/>
    <w:aliases w:val="into bullet Char"/>
    <w:basedOn w:val="DefaultParagraphFont"/>
    <w:link w:val="in"/>
    <w:rsid w:val="0023306D"/>
    <w:rPr>
      <w:rFonts w:eastAsia="Times New Roman" w:cs="Arial"/>
    </w:rPr>
  </w:style>
  <w:style w:type="paragraph" w:customStyle="1" w:styleId="t">
    <w:name w:val="t"/>
    <w:aliases w:val="text"/>
    <w:basedOn w:val="Normal"/>
    <w:link w:val="tChar"/>
    <w:rsid w:val="0023306D"/>
    <w:pPr>
      <w:spacing w:after="240" w:line="264" w:lineRule="auto"/>
      <w:ind w:left="360"/>
    </w:pPr>
    <w:rPr>
      <w:rFonts w:ascii="Calibri" w:eastAsia="Times New Roman" w:hAnsi="Calibri" w:cs="Arial"/>
      <w:sz w:val="22"/>
      <w:szCs w:val="22"/>
      <w:lang w:eastAsia="en-US"/>
    </w:rPr>
  </w:style>
  <w:style w:type="character" w:customStyle="1" w:styleId="tChar">
    <w:name w:val="t Char"/>
    <w:aliases w:val="text Char Char"/>
    <w:basedOn w:val="DefaultParagraphFont"/>
    <w:link w:val="t"/>
    <w:rsid w:val="0023306D"/>
    <w:rPr>
      <w:rFonts w:eastAsia="Times New Roman" w:cs="Arial"/>
    </w:rPr>
  </w:style>
  <w:style w:type="character" w:customStyle="1" w:styleId="st1">
    <w:name w:val="st1"/>
    <w:basedOn w:val="DefaultParagraphFont"/>
    <w:rsid w:val="00863E03"/>
  </w:style>
</w:styles>
</file>

<file path=word/webSettings.xml><?xml version="1.0" encoding="utf-8"?>
<w:webSettings xmlns:r="http://schemas.openxmlformats.org/officeDocument/2006/relationships" xmlns:w="http://schemas.openxmlformats.org/wordprocessingml/2006/main">
  <w:divs>
    <w:div w:id="62259689">
      <w:bodyDiv w:val="1"/>
      <w:marLeft w:val="0"/>
      <w:marRight w:val="0"/>
      <w:marTop w:val="0"/>
      <w:marBottom w:val="0"/>
      <w:divBdr>
        <w:top w:val="none" w:sz="0" w:space="0" w:color="auto"/>
        <w:left w:val="none" w:sz="0" w:space="0" w:color="auto"/>
        <w:bottom w:val="none" w:sz="0" w:space="0" w:color="auto"/>
        <w:right w:val="none" w:sz="0" w:space="0" w:color="auto"/>
      </w:divBdr>
    </w:div>
    <w:div w:id="154104917">
      <w:marLeft w:val="0"/>
      <w:marRight w:val="0"/>
      <w:marTop w:val="0"/>
      <w:marBottom w:val="0"/>
      <w:divBdr>
        <w:top w:val="none" w:sz="0" w:space="0" w:color="auto"/>
        <w:left w:val="none" w:sz="0" w:space="0" w:color="auto"/>
        <w:bottom w:val="none" w:sz="0" w:space="0" w:color="auto"/>
        <w:right w:val="none" w:sz="0" w:space="0" w:color="auto"/>
      </w:divBdr>
    </w:div>
    <w:div w:id="154104918">
      <w:marLeft w:val="0"/>
      <w:marRight w:val="0"/>
      <w:marTop w:val="0"/>
      <w:marBottom w:val="0"/>
      <w:divBdr>
        <w:top w:val="none" w:sz="0" w:space="0" w:color="auto"/>
        <w:left w:val="none" w:sz="0" w:space="0" w:color="auto"/>
        <w:bottom w:val="none" w:sz="0" w:space="0" w:color="auto"/>
        <w:right w:val="none" w:sz="0" w:space="0" w:color="auto"/>
      </w:divBdr>
    </w:div>
    <w:div w:id="154104919">
      <w:marLeft w:val="0"/>
      <w:marRight w:val="0"/>
      <w:marTop w:val="0"/>
      <w:marBottom w:val="0"/>
      <w:divBdr>
        <w:top w:val="none" w:sz="0" w:space="0" w:color="auto"/>
        <w:left w:val="none" w:sz="0" w:space="0" w:color="auto"/>
        <w:bottom w:val="none" w:sz="0" w:space="0" w:color="auto"/>
        <w:right w:val="none" w:sz="0" w:space="0" w:color="auto"/>
      </w:divBdr>
    </w:div>
    <w:div w:id="154104920">
      <w:marLeft w:val="0"/>
      <w:marRight w:val="0"/>
      <w:marTop w:val="0"/>
      <w:marBottom w:val="0"/>
      <w:divBdr>
        <w:top w:val="none" w:sz="0" w:space="0" w:color="auto"/>
        <w:left w:val="none" w:sz="0" w:space="0" w:color="auto"/>
        <w:bottom w:val="none" w:sz="0" w:space="0" w:color="auto"/>
        <w:right w:val="none" w:sz="0" w:space="0" w:color="auto"/>
      </w:divBdr>
    </w:div>
    <w:div w:id="154104921">
      <w:marLeft w:val="0"/>
      <w:marRight w:val="0"/>
      <w:marTop w:val="0"/>
      <w:marBottom w:val="0"/>
      <w:divBdr>
        <w:top w:val="none" w:sz="0" w:space="0" w:color="auto"/>
        <w:left w:val="none" w:sz="0" w:space="0" w:color="auto"/>
        <w:bottom w:val="none" w:sz="0" w:space="0" w:color="auto"/>
        <w:right w:val="none" w:sz="0" w:space="0" w:color="auto"/>
      </w:divBdr>
    </w:div>
    <w:div w:id="154104922">
      <w:marLeft w:val="0"/>
      <w:marRight w:val="0"/>
      <w:marTop w:val="0"/>
      <w:marBottom w:val="0"/>
      <w:divBdr>
        <w:top w:val="none" w:sz="0" w:space="0" w:color="auto"/>
        <w:left w:val="none" w:sz="0" w:space="0" w:color="auto"/>
        <w:bottom w:val="none" w:sz="0" w:space="0" w:color="auto"/>
        <w:right w:val="none" w:sz="0" w:space="0" w:color="auto"/>
      </w:divBdr>
    </w:div>
    <w:div w:id="154104923">
      <w:marLeft w:val="0"/>
      <w:marRight w:val="0"/>
      <w:marTop w:val="0"/>
      <w:marBottom w:val="0"/>
      <w:divBdr>
        <w:top w:val="none" w:sz="0" w:space="0" w:color="auto"/>
        <w:left w:val="none" w:sz="0" w:space="0" w:color="auto"/>
        <w:bottom w:val="none" w:sz="0" w:space="0" w:color="auto"/>
        <w:right w:val="none" w:sz="0" w:space="0" w:color="auto"/>
      </w:divBdr>
    </w:div>
    <w:div w:id="154104924">
      <w:marLeft w:val="0"/>
      <w:marRight w:val="0"/>
      <w:marTop w:val="0"/>
      <w:marBottom w:val="0"/>
      <w:divBdr>
        <w:top w:val="none" w:sz="0" w:space="0" w:color="auto"/>
        <w:left w:val="none" w:sz="0" w:space="0" w:color="auto"/>
        <w:bottom w:val="none" w:sz="0" w:space="0" w:color="auto"/>
        <w:right w:val="none" w:sz="0" w:space="0" w:color="auto"/>
      </w:divBdr>
    </w:div>
    <w:div w:id="154104925">
      <w:marLeft w:val="0"/>
      <w:marRight w:val="0"/>
      <w:marTop w:val="0"/>
      <w:marBottom w:val="0"/>
      <w:divBdr>
        <w:top w:val="none" w:sz="0" w:space="0" w:color="auto"/>
        <w:left w:val="none" w:sz="0" w:space="0" w:color="auto"/>
        <w:bottom w:val="none" w:sz="0" w:space="0" w:color="auto"/>
        <w:right w:val="none" w:sz="0" w:space="0" w:color="auto"/>
      </w:divBdr>
    </w:div>
    <w:div w:id="154104926">
      <w:marLeft w:val="0"/>
      <w:marRight w:val="0"/>
      <w:marTop w:val="0"/>
      <w:marBottom w:val="0"/>
      <w:divBdr>
        <w:top w:val="none" w:sz="0" w:space="0" w:color="auto"/>
        <w:left w:val="none" w:sz="0" w:space="0" w:color="auto"/>
        <w:bottom w:val="none" w:sz="0" w:space="0" w:color="auto"/>
        <w:right w:val="none" w:sz="0" w:space="0" w:color="auto"/>
      </w:divBdr>
    </w:div>
    <w:div w:id="154104927">
      <w:marLeft w:val="0"/>
      <w:marRight w:val="0"/>
      <w:marTop w:val="0"/>
      <w:marBottom w:val="0"/>
      <w:divBdr>
        <w:top w:val="none" w:sz="0" w:space="0" w:color="auto"/>
        <w:left w:val="none" w:sz="0" w:space="0" w:color="auto"/>
        <w:bottom w:val="none" w:sz="0" w:space="0" w:color="auto"/>
        <w:right w:val="none" w:sz="0" w:space="0" w:color="auto"/>
      </w:divBdr>
    </w:div>
    <w:div w:id="154104928">
      <w:marLeft w:val="0"/>
      <w:marRight w:val="0"/>
      <w:marTop w:val="0"/>
      <w:marBottom w:val="0"/>
      <w:divBdr>
        <w:top w:val="none" w:sz="0" w:space="0" w:color="auto"/>
        <w:left w:val="none" w:sz="0" w:space="0" w:color="auto"/>
        <w:bottom w:val="none" w:sz="0" w:space="0" w:color="auto"/>
        <w:right w:val="none" w:sz="0" w:space="0" w:color="auto"/>
      </w:divBdr>
    </w:div>
    <w:div w:id="154104929">
      <w:marLeft w:val="0"/>
      <w:marRight w:val="0"/>
      <w:marTop w:val="0"/>
      <w:marBottom w:val="0"/>
      <w:divBdr>
        <w:top w:val="none" w:sz="0" w:space="0" w:color="auto"/>
        <w:left w:val="none" w:sz="0" w:space="0" w:color="auto"/>
        <w:bottom w:val="none" w:sz="0" w:space="0" w:color="auto"/>
        <w:right w:val="none" w:sz="0" w:space="0" w:color="auto"/>
      </w:divBdr>
    </w:div>
    <w:div w:id="453789034">
      <w:bodyDiv w:val="1"/>
      <w:marLeft w:val="0"/>
      <w:marRight w:val="0"/>
      <w:marTop w:val="0"/>
      <w:marBottom w:val="0"/>
      <w:divBdr>
        <w:top w:val="none" w:sz="0" w:space="0" w:color="auto"/>
        <w:left w:val="none" w:sz="0" w:space="0" w:color="auto"/>
        <w:bottom w:val="none" w:sz="0" w:space="0" w:color="auto"/>
        <w:right w:val="none" w:sz="0" w:space="0" w:color="auto"/>
      </w:divBdr>
    </w:div>
    <w:div w:id="542795576">
      <w:bodyDiv w:val="1"/>
      <w:marLeft w:val="0"/>
      <w:marRight w:val="0"/>
      <w:marTop w:val="0"/>
      <w:marBottom w:val="0"/>
      <w:divBdr>
        <w:top w:val="none" w:sz="0" w:space="0" w:color="auto"/>
        <w:left w:val="none" w:sz="0" w:space="0" w:color="auto"/>
        <w:bottom w:val="none" w:sz="0" w:space="0" w:color="auto"/>
        <w:right w:val="none" w:sz="0" w:space="0" w:color="auto"/>
      </w:divBdr>
    </w:div>
    <w:div w:id="658382733">
      <w:bodyDiv w:val="1"/>
      <w:marLeft w:val="0"/>
      <w:marRight w:val="0"/>
      <w:marTop w:val="0"/>
      <w:marBottom w:val="0"/>
      <w:divBdr>
        <w:top w:val="none" w:sz="0" w:space="0" w:color="auto"/>
        <w:left w:val="none" w:sz="0" w:space="0" w:color="auto"/>
        <w:bottom w:val="none" w:sz="0" w:space="0" w:color="auto"/>
        <w:right w:val="none" w:sz="0" w:space="0" w:color="auto"/>
      </w:divBdr>
    </w:div>
    <w:div w:id="982127231">
      <w:bodyDiv w:val="1"/>
      <w:marLeft w:val="0"/>
      <w:marRight w:val="0"/>
      <w:marTop w:val="0"/>
      <w:marBottom w:val="0"/>
      <w:divBdr>
        <w:top w:val="none" w:sz="0" w:space="0" w:color="auto"/>
        <w:left w:val="none" w:sz="0" w:space="0" w:color="auto"/>
        <w:bottom w:val="none" w:sz="0" w:space="0" w:color="auto"/>
        <w:right w:val="none" w:sz="0" w:space="0" w:color="auto"/>
      </w:divBdr>
    </w:div>
    <w:div w:id="1430001271">
      <w:bodyDiv w:val="1"/>
      <w:marLeft w:val="0"/>
      <w:marRight w:val="0"/>
      <w:marTop w:val="0"/>
      <w:marBottom w:val="0"/>
      <w:divBdr>
        <w:top w:val="none" w:sz="0" w:space="0" w:color="auto"/>
        <w:left w:val="none" w:sz="0" w:space="0" w:color="auto"/>
        <w:bottom w:val="none" w:sz="0" w:space="0" w:color="auto"/>
        <w:right w:val="none" w:sz="0" w:space="0" w:color="auto"/>
      </w:divBdr>
    </w:div>
    <w:div w:id="1434280882">
      <w:bodyDiv w:val="1"/>
      <w:marLeft w:val="0"/>
      <w:marRight w:val="0"/>
      <w:marTop w:val="0"/>
      <w:marBottom w:val="0"/>
      <w:divBdr>
        <w:top w:val="none" w:sz="0" w:space="0" w:color="auto"/>
        <w:left w:val="none" w:sz="0" w:space="0" w:color="auto"/>
        <w:bottom w:val="none" w:sz="0" w:space="0" w:color="auto"/>
        <w:right w:val="none" w:sz="0" w:space="0" w:color="auto"/>
      </w:divBdr>
    </w:div>
    <w:div w:id="1829395477">
      <w:bodyDiv w:val="1"/>
      <w:marLeft w:val="0"/>
      <w:marRight w:val="0"/>
      <w:marTop w:val="0"/>
      <w:marBottom w:val="0"/>
      <w:divBdr>
        <w:top w:val="none" w:sz="0" w:space="0" w:color="auto"/>
        <w:left w:val="none" w:sz="0" w:space="0" w:color="auto"/>
        <w:bottom w:val="none" w:sz="0" w:space="0" w:color="auto"/>
        <w:right w:val="none" w:sz="0" w:space="0" w:color="auto"/>
      </w:divBdr>
    </w:div>
    <w:div w:id="1856455426">
      <w:bodyDiv w:val="1"/>
      <w:marLeft w:val="0"/>
      <w:marRight w:val="0"/>
      <w:marTop w:val="0"/>
      <w:marBottom w:val="0"/>
      <w:divBdr>
        <w:top w:val="none" w:sz="0" w:space="0" w:color="auto"/>
        <w:left w:val="none" w:sz="0" w:space="0" w:color="auto"/>
        <w:bottom w:val="none" w:sz="0" w:space="0" w:color="auto"/>
        <w:right w:val="none" w:sz="0" w:space="0" w:color="auto"/>
      </w:divBdr>
    </w:div>
    <w:div w:id="202207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package" Target="embeddings/Microsoft_Office_Excel_Worksheet3.xlsx"/><Relationship Id="rId26" Type="http://schemas.openxmlformats.org/officeDocument/2006/relationships/package" Target="embeddings/Microsoft_Office_Excel_Worksheet6.xlsx"/><Relationship Id="rId39" Type="http://schemas.openxmlformats.org/officeDocument/2006/relationships/hyperlink" Target="http://www.pacificpower.net/lightingstandards" TargetMode="External"/><Relationship Id="rId21" Type="http://schemas.openxmlformats.org/officeDocument/2006/relationships/package" Target="embeddings/Microsoft_Office_Excel_Worksheet4.xlsx"/><Relationship Id="rId34" Type="http://schemas.openxmlformats.org/officeDocument/2006/relationships/image" Target="media/image10.emf"/><Relationship Id="rId42" Type="http://schemas.openxmlformats.org/officeDocument/2006/relationships/image" Target="media/image13.emf"/><Relationship Id="rId47" Type="http://schemas.openxmlformats.org/officeDocument/2006/relationships/package" Target="embeddings/Microsoft_Office_Excel_Worksheet14.xlsx"/><Relationship Id="rId50" Type="http://schemas.openxmlformats.org/officeDocument/2006/relationships/image" Target="media/image16.emf"/><Relationship Id="rId55" Type="http://schemas.openxmlformats.org/officeDocument/2006/relationships/customXml" Target="../customXml/item2.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footer" Target="footer3.xml"/><Relationship Id="rId29" Type="http://schemas.openxmlformats.org/officeDocument/2006/relationships/hyperlink" Target="http://www.pacificorp.com/es/dsm/washington.html" TargetMode="External"/><Relationship Id="rId11" Type="http://schemas.openxmlformats.org/officeDocument/2006/relationships/header" Target="header1.xml"/><Relationship Id="rId24" Type="http://schemas.openxmlformats.org/officeDocument/2006/relationships/hyperlink" Target="http://www.pacificorp.com/es/dsm/washington.html" TargetMode="External"/><Relationship Id="rId32" Type="http://schemas.openxmlformats.org/officeDocument/2006/relationships/image" Target="media/image9.emf"/><Relationship Id="rId37" Type="http://schemas.openxmlformats.org/officeDocument/2006/relationships/package" Target="embeddings/Microsoft_Office_Excel_Worksheet11.xlsx"/><Relationship Id="rId40" Type="http://schemas.openxmlformats.org/officeDocument/2006/relationships/image" Target="media/image12.emf"/><Relationship Id="rId45" Type="http://schemas.openxmlformats.org/officeDocument/2006/relationships/chart" Target="charts/chart2.xml"/><Relationship Id="rId53"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www.homeenergysavings.net"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2.xml"/><Relationship Id="rId22" Type="http://schemas.openxmlformats.org/officeDocument/2006/relationships/image" Target="media/image5.emf"/><Relationship Id="rId27" Type="http://schemas.openxmlformats.org/officeDocument/2006/relationships/image" Target="media/image7.emf"/><Relationship Id="rId30" Type="http://schemas.openxmlformats.org/officeDocument/2006/relationships/image" Target="media/image8.emf"/><Relationship Id="rId35" Type="http://schemas.openxmlformats.org/officeDocument/2006/relationships/package" Target="embeddings/Microsoft_Office_Excel_Worksheet10.xlsx"/><Relationship Id="rId43" Type="http://schemas.openxmlformats.org/officeDocument/2006/relationships/package" Target="embeddings/Microsoft_Office_Excel_Worksheet13.xlsx"/><Relationship Id="rId48" Type="http://schemas.openxmlformats.org/officeDocument/2006/relationships/image" Target="media/image15.emf"/><Relationship Id="rId56" Type="http://schemas.openxmlformats.org/officeDocument/2006/relationships/customXml" Target="../customXml/item3.xml"/><Relationship Id="rId8" Type="http://schemas.openxmlformats.org/officeDocument/2006/relationships/package" Target="embeddings/Microsoft_Office_Excel_Worksheet1.xlsx"/><Relationship Id="rId51" Type="http://schemas.openxmlformats.org/officeDocument/2006/relationships/package" Target="embeddings/Microsoft_Office_Excel_Worksheet16.xlsx"/><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emf"/><Relationship Id="rId25" Type="http://schemas.openxmlformats.org/officeDocument/2006/relationships/image" Target="media/image6.emf"/><Relationship Id="rId33" Type="http://schemas.openxmlformats.org/officeDocument/2006/relationships/package" Target="embeddings/Microsoft_Office_Excel_Worksheet9.xlsx"/><Relationship Id="rId38" Type="http://schemas.openxmlformats.org/officeDocument/2006/relationships/hyperlink" Target="http://www.pacificpower.net/alliance" TargetMode="External"/><Relationship Id="rId46" Type="http://schemas.openxmlformats.org/officeDocument/2006/relationships/image" Target="media/image14.emf"/><Relationship Id="rId20" Type="http://schemas.openxmlformats.org/officeDocument/2006/relationships/image" Target="media/image4.emf"/><Relationship Id="rId41" Type="http://schemas.openxmlformats.org/officeDocument/2006/relationships/package" Target="embeddings/Microsoft_Office_Excel_Worksheet12.xlsx"/><Relationship Id="rId54"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3.xml"/><Relationship Id="rId23" Type="http://schemas.openxmlformats.org/officeDocument/2006/relationships/package" Target="embeddings/Microsoft_Office_Excel_Worksheet5.xlsx"/><Relationship Id="rId28" Type="http://schemas.openxmlformats.org/officeDocument/2006/relationships/package" Target="embeddings/Microsoft_Office_Excel_Worksheet7.xlsx"/><Relationship Id="rId36" Type="http://schemas.openxmlformats.org/officeDocument/2006/relationships/image" Target="media/image11.emf"/><Relationship Id="rId49" Type="http://schemas.openxmlformats.org/officeDocument/2006/relationships/package" Target="embeddings/Microsoft_Office_Excel_Worksheet15.xlsx"/><Relationship Id="rId57" Type="http://schemas.openxmlformats.org/officeDocument/2006/relationships/customXml" Target="../customXml/item4.xml"/><Relationship Id="rId10" Type="http://schemas.openxmlformats.org/officeDocument/2006/relationships/package" Target="embeddings/Microsoft_Office_Excel_Worksheet2.xlsx"/><Relationship Id="rId31" Type="http://schemas.openxmlformats.org/officeDocument/2006/relationships/package" Target="embeddings/Microsoft_Office_Excel_Worksheet8.xlsx"/><Relationship Id="rId44" Type="http://schemas.openxmlformats.org/officeDocument/2006/relationships/chart" Target="charts/chart1.xml"/><Relationship Id="rId5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Pdx2c\GROUPS\DSM\Program%20Management%20files\Washington\DSM%20Reports\Drafts%20and%20backup%20documentation\2011%20Reports\Backup%20and%20Drafts\WA%20Tables%20and%20charts%20Draft%2003201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Pdx2c\GROUPS\DSM\Program%20Management%20files\Washington\DSM%20Reports\Drafts%20and%20backup%20documentation\2011%20Reports\Backup%20and%20Drafts\WA%20Tables%20and%20charts%20Draft%200320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Expenditures by Customer Type</a:t>
            </a:r>
          </a:p>
        </c:rich>
      </c:tx>
      <c:layout/>
      <c:overlay val="1"/>
    </c:title>
    <c:plotArea>
      <c:layout>
        <c:manualLayout>
          <c:layoutTarget val="inner"/>
          <c:xMode val="edge"/>
          <c:yMode val="edge"/>
          <c:x val="0.16724502003145042"/>
          <c:y val="0.17314960629921261"/>
          <c:w val="0.68011359762309109"/>
          <c:h val="0.7854151753758053"/>
        </c:manualLayout>
      </c:layout>
      <c:pieChart>
        <c:varyColors val="1"/>
        <c:ser>
          <c:idx val="0"/>
          <c:order val="0"/>
          <c:spPr>
            <a:solidFill>
              <a:srgbClr val="9999FF"/>
            </a:solidFill>
            <a:ln w="12700">
              <a:solidFill>
                <a:srgbClr val="000000"/>
              </a:solidFill>
              <a:prstDash val="solid"/>
            </a:ln>
          </c:spPr>
          <c:explosion val="7"/>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Lbls>
            <c:numFmt formatCode="0%" sourceLinked="0"/>
            <c:spPr>
              <a:noFill/>
              <a:ln w="25400">
                <a:noFill/>
              </a:ln>
            </c:spPr>
            <c:showCatName val="1"/>
            <c:showPercent val="1"/>
            <c:showLeaderLines val="1"/>
          </c:dLbls>
          <c:cat>
            <c:strRef>
              <c:f>'expend charts for annual report'!$A$17:$A$20</c:f>
              <c:strCache>
                <c:ptCount val="3"/>
                <c:pt idx="0">
                  <c:v>Residential</c:v>
                </c:pt>
                <c:pt idx="1">
                  <c:v>Commercial</c:v>
                </c:pt>
                <c:pt idx="2">
                  <c:v>Industrial</c:v>
                </c:pt>
              </c:strCache>
            </c:strRef>
          </c:cat>
          <c:val>
            <c:numRef>
              <c:f>'expend charts for annual report'!$C$17:$C$20</c:f>
              <c:numCache>
                <c:formatCode>_("$"* #,##0.00_);_("$"* \(#,##0.00\);_("$"* "-"??_);_(@_)</c:formatCode>
                <c:ptCount val="3"/>
                <c:pt idx="0">
                  <c:v>2742023.7600000002</c:v>
                </c:pt>
                <c:pt idx="1">
                  <c:v>1581380.78</c:v>
                </c:pt>
                <c:pt idx="2">
                  <c:v>2380439.5300000003</c:v>
                </c:pt>
              </c:numCache>
            </c:numRef>
          </c:val>
        </c:ser>
        <c:dLbls>
          <c:showCatName val="1"/>
          <c:showPercent val="1"/>
        </c:dLbls>
        <c:firstSliceAng val="93"/>
      </c:pieChart>
      <c:spPr>
        <a:noFill/>
        <a:ln w="25400">
          <a:noFill/>
        </a:ln>
      </c:spPr>
    </c:plotArea>
    <c:plotVisOnly val="1"/>
    <c:dispBlanksAs val="zero"/>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Energy Efficiency Results By Customer Type</a:t>
            </a:r>
          </a:p>
        </c:rich>
      </c:tx>
      <c:layout>
        <c:manualLayout>
          <c:xMode val="edge"/>
          <c:yMode val="edge"/>
          <c:x val="0.23184629091948344"/>
          <c:y val="0"/>
        </c:manualLayout>
      </c:layout>
      <c:overlay val="1"/>
    </c:title>
    <c:plotArea>
      <c:layout>
        <c:manualLayout>
          <c:layoutTarget val="inner"/>
          <c:xMode val="edge"/>
          <c:yMode val="edge"/>
          <c:x val="0.21341123975437132"/>
          <c:y val="0.16994704780713543"/>
          <c:w val="0.64005648455680564"/>
          <c:h val="0.80040218680062658"/>
        </c:manualLayout>
      </c:layout>
      <c:pieChart>
        <c:varyColors val="1"/>
        <c:ser>
          <c:idx val="0"/>
          <c:order val="0"/>
          <c:spPr>
            <a:solidFill>
              <a:srgbClr val="9999FF"/>
            </a:solidFill>
            <a:ln w="12700">
              <a:solidFill>
                <a:srgbClr val="000000"/>
              </a:solidFill>
              <a:prstDash val="solid"/>
            </a:ln>
          </c:spPr>
          <c:explosion val="6"/>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Lbls>
            <c:numFmt formatCode="0%" sourceLinked="0"/>
            <c:spPr>
              <a:noFill/>
              <a:ln w="25400">
                <a:noFill/>
              </a:ln>
            </c:spPr>
            <c:showCatName val="1"/>
            <c:showPercent val="1"/>
            <c:showLeaderLines val="1"/>
          </c:dLbls>
          <c:cat>
            <c:strRef>
              <c:f>'expend charts for annual report'!$A$40:$A$43</c:f>
              <c:strCache>
                <c:ptCount val="3"/>
                <c:pt idx="0">
                  <c:v>Residential</c:v>
                </c:pt>
                <c:pt idx="1">
                  <c:v>Commercial</c:v>
                </c:pt>
                <c:pt idx="2">
                  <c:v>Industrial</c:v>
                </c:pt>
              </c:strCache>
            </c:strRef>
          </c:cat>
          <c:val>
            <c:numRef>
              <c:f>'expend charts for annual report'!$C$40:$C$43</c:f>
              <c:numCache>
                <c:formatCode>_(* #,##0_);_(* \(#,##0\);_(* "-"??_);_(@_)</c:formatCode>
                <c:ptCount val="3"/>
                <c:pt idx="0">
                  <c:v>15038433.300000004</c:v>
                </c:pt>
                <c:pt idx="1">
                  <c:v>6702903</c:v>
                </c:pt>
                <c:pt idx="2">
                  <c:v>12949266</c:v>
                </c:pt>
              </c:numCache>
            </c:numRef>
          </c:val>
        </c:ser>
        <c:dLbls>
          <c:showCatName val="1"/>
          <c:showPercent val="1"/>
        </c:dLbls>
        <c:firstSliceAng val="89"/>
      </c:pieChart>
      <c:spPr>
        <a:noFill/>
        <a:ln w="25400">
          <a:noFill/>
        </a:ln>
      </c:spPr>
    </c:plotArea>
    <c:plotVisOnly val="1"/>
    <c:dispBlanksAs val="zero"/>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2010-01-29T08:00:00+00:00</OpenedDate>
    <Date1 xmlns="dc463f71-b30c-4ab2-9473-d307f9d35888">2012-03-30T07:00:00+00:00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100170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EBE089650263A4BBB0BF02FB6333EAD" ma:contentTypeVersion="131" ma:contentTypeDescription="" ma:contentTypeScope="" ma:versionID="f8b6365998eca13bd4bdc0a7e77349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CA27D9A-0CED-4839-9137-8FA8ECBDF8DB}"/>
</file>

<file path=customXml/itemProps2.xml><?xml version="1.0" encoding="utf-8"?>
<ds:datastoreItem xmlns:ds="http://schemas.openxmlformats.org/officeDocument/2006/customXml" ds:itemID="{FBF8CEC0-823B-4AA4-9251-A5CC3D37946F}"/>
</file>

<file path=customXml/itemProps3.xml><?xml version="1.0" encoding="utf-8"?>
<ds:datastoreItem xmlns:ds="http://schemas.openxmlformats.org/officeDocument/2006/customXml" ds:itemID="{79A01850-03E9-44B8-BEE6-27097F64E694}"/>
</file>

<file path=customXml/itemProps4.xml><?xml version="1.0" encoding="utf-8"?>
<ds:datastoreItem xmlns:ds="http://schemas.openxmlformats.org/officeDocument/2006/customXml" ds:itemID="{BB09193A-414F-4A93-A14E-27BD73DFC759}"/>
</file>

<file path=docProps/app.xml><?xml version="1.0" encoding="utf-8"?>
<Properties xmlns="http://schemas.openxmlformats.org/officeDocument/2006/extended-properties" xmlns:vt="http://schemas.openxmlformats.org/officeDocument/2006/docPropsVTypes">
  <Template>Normal.dotm</Template>
  <TotalTime>0</TotalTime>
  <Pages>31</Pages>
  <Words>4875</Words>
  <Characters>31633</Characters>
  <Application>Microsoft Office Word</Application>
  <DocSecurity>0</DocSecurity>
  <Lines>263</Lines>
  <Paragraphs>72</Paragraphs>
  <ScaleCrop>false</ScaleCrop>
  <Company/>
  <LinksUpToDate>false</LinksUpToDate>
  <CharactersWithSpaces>36436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2012-03-30T22:58:00Z</dcterms:created>
  <dcterms:modified xsi:type="dcterms:W3CDTF">2012-03-30T22:58:00Z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0x0101006E56B4D1795A2E4DB2F0B01679ED314A004EBE089650263A4BBB0BF02FB6333EAD</vt:lpwstr>
  </property>
  <property fmtid="{D5CDD505-2E9C-101B-9397-08002B2CF9AE}" pid="4" name="_docset_NoMedatataSyncRequired">
    <vt:lpwstr>False</vt:lpwstr>
  </property>
</Properties>
</file>