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8F252B" w:rsidRPr="00BE3468" w:rsidRDefault="008F252B">
      <w:pPr>
        <w:rPr>
          <w:sz w:val="24"/>
          <w:szCs w:val="24"/>
        </w:rPr>
      </w:pPr>
    </w:p>
    <w:p w:rsidR="003C2111" w:rsidRPr="00BE3468" w:rsidRDefault="003C2111" w:rsidP="00C514E0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3600"/>
        </w:tabs>
        <w:rPr>
          <w:sz w:val="24"/>
          <w:szCs w:val="24"/>
        </w:rPr>
      </w:pPr>
      <w:r w:rsidRPr="00BE3468">
        <w:rPr>
          <w:sz w:val="24"/>
          <w:szCs w:val="24"/>
        </w:rPr>
        <w:t>February 2</w:t>
      </w:r>
      <w:r w:rsidR="00EE6A6C">
        <w:rPr>
          <w:sz w:val="24"/>
          <w:szCs w:val="24"/>
        </w:rPr>
        <w:t>6</w:t>
      </w:r>
      <w:r w:rsidRPr="00BE3468">
        <w:rPr>
          <w:sz w:val="24"/>
          <w:szCs w:val="24"/>
        </w:rPr>
        <w:t>, 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outlineLvl w:val="0"/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Via Web Portal and Overnight Courier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UE-132043</w:t>
      </w:r>
    </w:p>
    <w:p w:rsidR="00BE3468" w:rsidRPr="00BE3468" w:rsidRDefault="00BE3468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 w:rsidRPr="00BE3468">
        <w:rPr>
          <w:b/>
          <w:bCs/>
          <w:sz w:val="24"/>
          <w:szCs w:val="24"/>
        </w:rPr>
        <w:t>2015 Annual Report of Energy Conservation Accomplishments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Enclosed are an original and three copies of Puget Sound Energy’s (“PSE”) 2015 Annual Report of Energy Efficiency Conservation Accomplishments (the “Annual Report”).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This Annual Report was prepared and is submitted in accordance with WAC 480-109-120(3) and Condition (8</w:t>
      </w:r>
      <w:proofErr w:type="gramStart"/>
      <w:r w:rsidRPr="00BE3468">
        <w:rPr>
          <w:sz w:val="24"/>
          <w:szCs w:val="24"/>
        </w:rPr>
        <w:t>)(</w:t>
      </w:r>
      <w:proofErr w:type="gramEnd"/>
      <w:r w:rsidRPr="00BE3468">
        <w:rPr>
          <w:sz w:val="24"/>
          <w:szCs w:val="24"/>
        </w:rPr>
        <w:t xml:space="preserve">b) of Attachment A - Amended in Order 04, Docket No. </w:t>
      </w:r>
      <w:proofErr w:type="gramStart"/>
      <w:r w:rsidRPr="00BE3468">
        <w:rPr>
          <w:sz w:val="24"/>
          <w:szCs w:val="24"/>
        </w:rPr>
        <w:t>UE</w:t>
      </w:r>
      <w:r w:rsidRPr="00BE3468">
        <w:rPr>
          <w:sz w:val="24"/>
          <w:szCs w:val="24"/>
        </w:rPr>
        <w:noBreakHyphen/>
        <w:t>132043, Required Reports and Filings.</w:t>
      </w:r>
      <w:proofErr w:type="gramEnd"/>
      <w:r w:rsidRPr="00BE3468">
        <w:rPr>
          <w:rStyle w:val="FootnoteReference"/>
          <w:sz w:val="24"/>
          <w:szCs w:val="24"/>
        </w:rPr>
        <w:footnoteReference w:id="1"/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Results outlined in the Annual Report indicate that PSE’s Energy Efficiency Portfolio achieved 282,600 Megawatt-hours (MWh), or 32.3 average megawatts (</w:t>
      </w:r>
      <w:proofErr w:type="spellStart"/>
      <w:r w:rsidRPr="00BE3468">
        <w:rPr>
          <w:sz w:val="24"/>
          <w:szCs w:val="24"/>
        </w:rPr>
        <w:t>aMW</w:t>
      </w:r>
      <w:proofErr w:type="spellEnd"/>
      <w:r w:rsidRPr="00BE3468">
        <w:rPr>
          <w:sz w:val="24"/>
          <w:szCs w:val="24"/>
        </w:rPr>
        <w:t xml:space="preserve">) of electric conservation and 3.24 million therms of natural gas conservation in 2015.  These figures exceeded the overall 2015 goals by 2 percent and 5 percent, respectively.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Electric expenditures to acquire cost-effective energy conservation were $93.2</w:t>
      </w:r>
      <w:r w:rsidRPr="00BE3468">
        <w:rPr>
          <w:rStyle w:val="FootnoteReference"/>
          <w:sz w:val="24"/>
          <w:szCs w:val="24"/>
        </w:rPr>
        <w:footnoteReference w:id="2"/>
      </w:r>
      <w:r w:rsidRPr="00BE3468">
        <w:rPr>
          <w:sz w:val="24"/>
          <w:szCs w:val="24"/>
        </w:rPr>
        <w:t xml:space="preserve"> million or 6 percent under anticipated spending.  Natural gas program expenditures were $13.1 million, and were commensurate with anticipated spending.  PSE provides detailed expenditure and saving figures for electric and natural gas conservation programs in the Annual Report’s Exhibit 1: 2015 Savings and Expenditures.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As has been PSE’s long-standing continuous improvement practice, the 2015 Annual Report contains a number of enhancements, some in response to Regulatory Stakeholder requests and suggestions.  Most are readability and organizational improvements; including Chapter outline references, expanding Exhibit 1 into a two-page document, and simplified Business Energy Management program measure tables.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1260"/>
        </w:tabs>
        <w:rPr>
          <w:sz w:val="24"/>
          <w:szCs w:val="24"/>
        </w:rPr>
      </w:pPr>
      <w:r w:rsidRPr="00BE3468">
        <w:rPr>
          <w:sz w:val="24"/>
          <w:szCs w:val="24"/>
        </w:rPr>
        <w:t>The entire Annual Report package consists of: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1:  The 2015 Annual Report of Energy Conservation Accomplishments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1 - 2015 Expenditures and Savings, including Supplements 1 through 4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2 - 2015 Program-level Cost-Effectiveness Calculations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5 - Prescriptive and Selected Calculated Measures, Supplements 1 and 2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9 - Condition Compliance Checklist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10 - 2015 NEEA Accomplishments</w:t>
      </w: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2:  Exhibit 6, Supplement 1 - Completed 2015 Evaluation Studies.</w:t>
      </w:r>
      <w:r w:rsidRPr="00BE3468" w:rsidDel="00F47E02">
        <w:rPr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PSE </w:t>
      </w:r>
      <w:r w:rsidR="00EE6A6C">
        <w:rPr>
          <w:sz w:val="24"/>
          <w:szCs w:val="24"/>
        </w:rPr>
        <w:t>will</w:t>
      </w:r>
      <w:r w:rsidR="003F5DB7">
        <w:rPr>
          <w:sz w:val="24"/>
          <w:szCs w:val="24"/>
        </w:rPr>
        <w:t xml:space="preserve"> provid</w:t>
      </w:r>
      <w:r w:rsidR="00EE6A6C">
        <w:rPr>
          <w:sz w:val="24"/>
          <w:szCs w:val="24"/>
        </w:rPr>
        <w:t>e</w:t>
      </w:r>
      <w:r w:rsidRPr="00BE3468">
        <w:rPr>
          <w:sz w:val="24"/>
          <w:szCs w:val="24"/>
        </w:rPr>
        <w:t xml:space="preserve"> an electronic version of the Report to its Conservation Resource Advisory Group (“CRAG”</w:t>
      </w:r>
      <w:bookmarkStart w:id="0" w:name="_GoBack"/>
      <w:bookmarkEnd w:id="0"/>
      <w:r w:rsidRPr="00BE3468">
        <w:rPr>
          <w:sz w:val="24"/>
          <w:szCs w:val="24"/>
        </w:rPr>
        <w:t xml:space="preserve">) on February </w:t>
      </w:r>
      <w:r w:rsidRPr="003F5DB7">
        <w:rPr>
          <w:sz w:val="24"/>
          <w:szCs w:val="24"/>
        </w:rPr>
        <w:t>29</w:t>
      </w:r>
      <w:r w:rsidRPr="00BE3468">
        <w:rPr>
          <w:sz w:val="24"/>
          <w:szCs w:val="24"/>
        </w:rPr>
        <w:t>, 2016.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Chris Schaefer at (425) 456-2932 </w:t>
      </w:r>
      <w:r w:rsidR="003F5DB7">
        <w:rPr>
          <w:sz w:val="24"/>
          <w:szCs w:val="24"/>
        </w:rPr>
        <w:t xml:space="preserve">or </w:t>
      </w:r>
      <w:hyperlink r:id="rId8" w:history="1">
        <w:r w:rsidR="003F5DB7" w:rsidRPr="003F5DB7">
          <w:rPr>
            <w:rStyle w:val="Hyperlink"/>
            <w:color w:val="auto"/>
            <w:sz w:val="24"/>
            <w:szCs w:val="24"/>
            <w:u w:val="none"/>
          </w:rPr>
          <w:t>chris.schaefer@pse.com</w:t>
        </w:r>
      </w:hyperlink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 xml:space="preserve">for additional information about this filing.  If you have any other questions, please contact me at </w:t>
      </w:r>
      <w:r w:rsidR="003F5DB7">
        <w:rPr>
          <w:sz w:val="24"/>
          <w:szCs w:val="24"/>
        </w:rPr>
        <w:br/>
      </w:r>
      <w:r w:rsidRPr="00BE3468">
        <w:rPr>
          <w:sz w:val="24"/>
          <w:szCs w:val="24"/>
        </w:rPr>
        <w:t>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Enclosure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  <w:t>Simon J. ffitch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ab/>
        <w:t>Sheree Carson, Perkins Coie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sectPr w:rsidR="00BE3468" w:rsidRPr="00BE3468" w:rsidSect="0016581A">
      <w:headerReference w:type="default" r:id="rId9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C" w:rsidRDefault="0030517C">
      <w:r>
        <w:separator/>
      </w:r>
    </w:p>
  </w:endnote>
  <w:endnote w:type="continuationSeparator" w:id="0">
    <w:p w:rsidR="0030517C" w:rsidRDefault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C" w:rsidRDefault="0030517C">
      <w:r>
        <w:separator/>
      </w:r>
    </w:p>
  </w:footnote>
  <w:footnote w:type="continuationSeparator" w:id="0">
    <w:p w:rsidR="0030517C" w:rsidRDefault="0030517C">
      <w:r>
        <w:continuationSeparator/>
      </w:r>
    </w:p>
  </w:footnote>
  <w:footnote w:id="1">
    <w:p w:rsidR="00BE3468" w:rsidRDefault="00BE3468" w:rsidP="00BE3468">
      <w:pPr>
        <w:pStyle w:val="FootnoteText"/>
      </w:pPr>
      <w:r>
        <w:rPr>
          <w:rStyle w:val="FootnoteReference"/>
        </w:rPr>
        <w:footnoteRef/>
      </w:r>
      <w:r>
        <w:t xml:space="preserve"> The 2015 Annual Report will be the last to reference reporting conditions, as reporting requirements are now enumerated in WAC 480-109.</w:t>
      </w:r>
    </w:p>
  </w:footnote>
  <w:footnote w:id="2">
    <w:p w:rsidR="00BE3468" w:rsidRDefault="00BE3468" w:rsidP="00BE346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It is important to note that the total electric expenditures also include programs that do not acquire energy conservation; Net Metering and Electric Vehicle Charger Incentive.  These programs represented $1.61 million of the overall 2015 electric expenditures.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Default="00BE3468" w:rsidP="00BE3468">
    <w:r>
      <w:t>Mr. Steven V. King, Executive Director and Secretary</w:t>
    </w:r>
  </w:p>
  <w:p w:rsidR="00BE3468" w:rsidRPr="00F70527" w:rsidRDefault="00BE3468" w:rsidP="00BE3468">
    <w:pPr>
      <w:tabs>
        <w:tab w:val="left" w:pos="540"/>
      </w:tabs>
    </w:pPr>
    <w:r w:rsidRPr="00F70527">
      <w:t>Docket Nos. UE-970686 and UE-132043</w:t>
    </w:r>
  </w:p>
  <w:p w:rsidR="00BE3468" w:rsidRDefault="00BE3468" w:rsidP="00BE3468">
    <w:pPr>
      <w:pStyle w:val="Header"/>
    </w:pPr>
    <w:r>
      <w:t>February 2</w:t>
    </w:r>
    <w:r w:rsidR="00EE6A6C">
      <w:t>6</w:t>
    </w:r>
    <w:r>
      <w:t>, 2016</w:t>
    </w:r>
  </w:p>
  <w:p w:rsidR="00BE3468" w:rsidRPr="00637772" w:rsidRDefault="00BE3468" w:rsidP="00BE3468">
    <w:pPr>
      <w:pStyle w:val="Header"/>
    </w:pPr>
    <w:r>
      <w:t xml:space="preserve">Page </w:t>
    </w:r>
    <w:r w:rsidRPr="00637772">
      <w:fldChar w:fldCharType="begin"/>
    </w:r>
    <w:r w:rsidRPr="00637772">
      <w:instrText xml:space="preserve"> PAGE  \* Arabic  \* MERGEFORMAT </w:instrText>
    </w:r>
    <w:r w:rsidRPr="00637772">
      <w:fldChar w:fldCharType="separate"/>
    </w:r>
    <w:r w:rsidR="00EE6A6C">
      <w:rPr>
        <w:noProof/>
      </w:rPr>
      <w:t>2</w:t>
    </w:r>
    <w:r w:rsidRPr="00637772">
      <w:fldChar w:fldCharType="end"/>
    </w:r>
    <w:r w:rsidRPr="00637772">
      <w:t xml:space="preserve"> of </w:t>
    </w:r>
    <w:r w:rsidR="00EE6A6C">
      <w:fldChar w:fldCharType="begin"/>
    </w:r>
    <w:r w:rsidR="00EE6A6C">
      <w:instrText xml:space="preserve"> NUMPAGES  \* Arabic  \* MERGEFORMAT </w:instrText>
    </w:r>
    <w:r w:rsidR="00EE6A6C">
      <w:fldChar w:fldCharType="separate"/>
    </w:r>
    <w:r w:rsidR="00EE6A6C">
      <w:rPr>
        <w:noProof/>
      </w:rPr>
      <w:t>2</w:t>
    </w:r>
    <w:r w:rsidR="00EE6A6C">
      <w:rPr>
        <w:noProof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37A89"/>
    <w:rsid w:val="000853D9"/>
    <w:rsid w:val="001042A2"/>
    <w:rsid w:val="0015165F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E1A97"/>
    <w:rsid w:val="002E383D"/>
    <w:rsid w:val="0030517C"/>
    <w:rsid w:val="00345041"/>
    <w:rsid w:val="00347F38"/>
    <w:rsid w:val="003678D9"/>
    <w:rsid w:val="003A76AC"/>
    <w:rsid w:val="003C2111"/>
    <w:rsid w:val="003E13F9"/>
    <w:rsid w:val="003F5DB7"/>
    <w:rsid w:val="00407A34"/>
    <w:rsid w:val="004600AC"/>
    <w:rsid w:val="004969C7"/>
    <w:rsid w:val="004D46D3"/>
    <w:rsid w:val="0050006D"/>
    <w:rsid w:val="005017E8"/>
    <w:rsid w:val="00510AE0"/>
    <w:rsid w:val="00531B58"/>
    <w:rsid w:val="00572303"/>
    <w:rsid w:val="005800A0"/>
    <w:rsid w:val="00643713"/>
    <w:rsid w:val="0068589D"/>
    <w:rsid w:val="006908A4"/>
    <w:rsid w:val="006D2397"/>
    <w:rsid w:val="006D7C39"/>
    <w:rsid w:val="007405F2"/>
    <w:rsid w:val="00785ACB"/>
    <w:rsid w:val="00790114"/>
    <w:rsid w:val="00792E54"/>
    <w:rsid w:val="007E1015"/>
    <w:rsid w:val="00811B8E"/>
    <w:rsid w:val="00822FB4"/>
    <w:rsid w:val="008A4013"/>
    <w:rsid w:val="008C7B25"/>
    <w:rsid w:val="008E0092"/>
    <w:rsid w:val="008F252B"/>
    <w:rsid w:val="00922FBD"/>
    <w:rsid w:val="00985516"/>
    <w:rsid w:val="009E612A"/>
    <w:rsid w:val="00A677BE"/>
    <w:rsid w:val="00AB0205"/>
    <w:rsid w:val="00AB491D"/>
    <w:rsid w:val="00AB6F6A"/>
    <w:rsid w:val="00B20B45"/>
    <w:rsid w:val="00B35FDE"/>
    <w:rsid w:val="00B40743"/>
    <w:rsid w:val="00B67452"/>
    <w:rsid w:val="00BA18B7"/>
    <w:rsid w:val="00BD2F72"/>
    <w:rsid w:val="00BE3468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F5CCE"/>
    <w:rsid w:val="00E55FE0"/>
    <w:rsid w:val="00E80F47"/>
    <w:rsid w:val="00EA3F86"/>
    <w:rsid w:val="00EE6A6C"/>
    <w:rsid w:val="00F642D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chaefer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F39D4F-1685-4779-9CF9-B11FE728C25B}"/>
</file>

<file path=customXml/itemProps2.xml><?xml version="1.0" encoding="utf-8"?>
<ds:datastoreItem xmlns:ds="http://schemas.openxmlformats.org/officeDocument/2006/customXml" ds:itemID="{D50D7544-EE0D-4303-B4CD-CE9AE690355E}"/>
</file>

<file path=customXml/itemProps3.xml><?xml version="1.0" encoding="utf-8"?>
<ds:datastoreItem xmlns:ds="http://schemas.openxmlformats.org/officeDocument/2006/customXml" ds:itemID="{35B2B1B7-6848-4F30-A99A-2C4E06E00D38}"/>
</file>

<file path=customXml/itemProps4.xml><?xml version="1.0" encoding="utf-8"?>
<ds:datastoreItem xmlns:ds="http://schemas.openxmlformats.org/officeDocument/2006/customXml" ds:itemID="{B1B6E9C1-E796-406F-A5A0-FD7B01367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2807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3</cp:revision>
  <cp:lastPrinted>2016-02-26T17:28:00Z</cp:lastPrinted>
  <dcterms:created xsi:type="dcterms:W3CDTF">2016-02-26T17:26:00Z</dcterms:created>
  <dcterms:modified xsi:type="dcterms:W3CDTF">2016-02-26T17:32:00Z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