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F0C75" w:rsidRDefault="00763E80" w:rsidP="009F0C75">
      <w:pPr>
        <w:tabs>
          <w:tab w:val="left" w:pos="1260"/>
        </w:tabs>
        <w:jc w:val="center"/>
      </w:pPr>
      <w:r>
        <w:t>DOCKET NO. UE-1</w:t>
      </w:r>
      <w:r w:rsidR="00B82AB0">
        <w:t>00176</w:t>
      </w:r>
      <w:r w:rsidR="009F0C75">
        <w:t xml:space="preserve">  </w:t>
      </w:r>
    </w:p>
    <w:p w:rsidR="009F0C75" w:rsidRDefault="009F0C75" w:rsidP="009F0C75">
      <w:pPr>
        <w:tabs>
          <w:tab w:val="left" w:pos="1260"/>
        </w:tabs>
        <w:jc w:val="center"/>
      </w:pP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9F0C75" w:rsidP="009F0C75">
      <w:pPr>
        <w:tabs>
          <w:tab w:val="left" w:pos="1260"/>
        </w:tabs>
        <w:spacing w:line="480" w:lineRule="auto"/>
        <w:jc w:val="center"/>
      </w:pPr>
      <w:r>
        <w:t>BRUCE W. FOLSOM</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BA001D" w:rsidRPr="00BA001D" w:rsidRDefault="00BA001D" w:rsidP="00BA001D">
      <w:pPr>
        <w:tabs>
          <w:tab w:val="left" w:pos="1260"/>
        </w:tabs>
        <w:spacing w:line="480" w:lineRule="auto"/>
        <w:ind w:firstLine="720"/>
        <w:jc w:val="both"/>
        <w:rPr>
          <w:b/>
          <w:bCs/>
        </w:rPr>
      </w:pPr>
      <w:r w:rsidRPr="00BA001D">
        <w:rPr>
          <w:b/>
          <w:bCs/>
        </w:rPr>
        <w:t>Q.</w:t>
      </w:r>
      <w:r w:rsidRPr="00BA001D">
        <w:rPr>
          <w:b/>
          <w:bCs/>
        </w:rPr>
        <w:tab/>
      </w:r>
      <w:r w:rsidRPr="00BA001D">
        <w:rPr>
          <w:b/>
          <w:bCs/>
        </w:rPr>
        <w:tab/>
        <w:t>Please state your name, employer and business address.</w:t>
      </w:r>
    </w:p>
    <w:p w:rsidR="00BA001D" w:rsidRPr="00BA001D" w:rsidRDefault="00BA001D" w:rsidP="00BA001D">
      <w:pPr>
        <w:suppressAutoHyphens/>
        <w:spacing w:line="480" w:lineRule="auto"/>
        <w:ind w:firstLine="720"/>
        <w:jc w:val="both"/>
      </w:pPr>
      <w:r w:rsidRPr="00BA001D">
        <w:t>A.</w:t>
      </w:r>
      <w:r w:rsidRPr="00BA001D">
        <w:tab/>
        <w:t>My name is Bruce Folsom.  I am e</w:t>
      </w:r>
      <w:r w:rsidR="00763E80">
        <w:t xml:space="preserve">mployed by Avista as the Director of Energy Efficiency Policy.  </w:t>
      </w:r>
      <w:r w:rsidRPr="00BA001D">
        <w:t xml:space="preserve">My business address is 1411 </w:t>
      </w:r>
      <w:r w:rsidR="00A11CF7">
        <w:t xml:space="preserve">East </w:t>
      </w:r>
      <w:r w:rsidRPr="00BA001D">
        <w:t xml:space="preserve">Mission Avenue, Spokane, Washington.  </w:t>
      </w:r>
    </w:p>
    <w:p w:rsidR="00BA001D" w:rsidRPr="00BA001D" w:rsidRDefault="00BA001D" w:rsidP="00BA001D">
      <w:pPr>
        <w:suppressAutoHyphens/>
        <w:spacing w:line="480" w:lineRule="auto"/>
        <w:jc w:val="both"/>
        <w:rPr>
          <w:b/>
          <w:bCs/>
        </w:rPr>
      </w:pPr>
      <w:r w:rsidRPr="00BA001D">
        <w:rPr>
          <w:b/>
          <w:bCs/>
        </w:rPr>
        <w:tab/>
        <w:t>Q.</w:t>
      </w:r>
      <w:r w:rsidRPr="00BA001D">
        <w:rPr>
          <w:b/>
          <w:bCs/>
        </w:rPr>
        <w:tab/>
        <w:t>Would you please describe your education and business experience?</w:t>
      </w:r>
    </w:p>
    <w:p w:rsidR="00BA001D" w:rsidRPr="00BA001D" w:rsidRDefault="00BA001D" w:rsidP="00BA001D">
      <w:pPr>
        <w:suppressAutoHyphens/>
        <w:spacing w:line="480" w:lineRule="auto"/>
        <w:jc w:val="both"/>
      </w:pPr>
      <w:r w:rsidRPr="00BA001D">
        <w:tab/>
        <w:t>A.</w:t>
      </w:r>
      <w:r w:rsidRPr="00BA001D">
        <w:tab/>
        <w:t xml:space="preserve">I graduated from the </w:t>
      </w:r>
      <w:smartTag w:uri="urn:schemas-microsoft-com:office:smarttags" w:element="place">
        <w:smartTag w:uri="urn:schemas-microsoft-com:office:smarttags" w:element="PlaceType">
          <w:r w:rsidRPr="00BA001D">
            <w:t>University</w:t>
          </w:r>
        </w:smartTag>
        <w:r w:rsidRPr="00BA001D">
          <w:t xml:space="preserve"> of </w:t>
        </w:r>
        <w:smartTag w:uri="urn:schemas-microsoft-com:office:smarttags" w:element="PlaceName">
          <w:r w:rsidRPr="00BA001D">
            <w:t>Washington</w:t>
          </w:r>
        </w:smartTag>
      </w:smartTag>
      <w:r w:rsidRPr="00BA001D">
        <w:t xml:space="preserve"> in 1979 with Bachelor of Arts and Bachelor of Science degrees.  I received a Masters in Business Administration degree from </w:t>
      </w:r>
      <w:smartTag w:uri="urn:schemas-microsoft-com:office:smarttags" w:element="place">
        <w:smartTag w:uri="urn:schemas-microsoft-com:office:smarttags" w:element="PlaceName">
          <w:r w:rsidRPr="00BA001D">
            <w:t>Seattle</w:t>
          </w:r>
        </w:smartTag>
        <w:r w:rsidRPr="00BA001D">
          <w:t xml:space="preserve"> </w:t>
        </w:r>
        <w:smartTag w:uri="urn:schemas-microsoft-com:office:smarttags" w:element="PlaceType">
          <w:r w:rsidRPr="00BA001D">
            <w:t>University</w:t>
          </w:r>
        </w:smartTag>
      </w:smartTag>
      <w:r w:rsidRPr="00BA001D">
        <w:t xml:space="preserve"> in 1984.</w:t>
      </w:r>
    </w:p>
    <w:p w:rsidR="00E0716E" w:rsidRDefault="00A11CF7" w:rsidP="00E0716E">
      <w:pPr>
        <w:suppressAutoHyphens/>
        <w:spacing w:line="480" w:lineRule="auto"/>
        <w:ind w:firstLine="720"/>
        <w:jc w:val="both"/>
      </w:pPr>
      <w:r>
        <w:t xml:space="preserve"> </w:t>
      </w:r>
      <w:r w:rsidR="00BA001D" w:rsidRPr="00BA001D">
        <w:t>I joined the Company in 1993 in the State and Federal Regulation Department.  My duties included work associated with tariff revisions and aspects of integrated resource planning, demand side management, competitive bidding, and emerging issues.  In 2002, I was named Manager of Regulatory Compliance which added responsibilities such as implementing the Federal Energy Regulatory Commission’s changes to its Standards of Conduct rule</w:t>
      </w:r>
      <w:r w:rsidR="00BA001D" w:rsidRPr="00B25236">
        <w:t xml:space="preserve">.  I </w:t>
      </w:r>
      <w:r w:rsidR="00CD3D55">
        <w:t>joined the Demand Side M</w:t>
      </w:r>
      <w:r w:rsidR="00B25236">
        <w:t xml:space="preserve">anagement (DSM) </w:t>
      </w:r>
      <w:r w:rsidR="00B25236" w:rsidRPr="00B25236">
        <w:t xml:space="preserve">team in September 2006 </w:t>
      </w:r>
      <w:r w:rsidR="00B25236">
        <w:t>to assist in the contemplated growth of energy efficie</w:t>
      </w:r>
      <w:r w:rsidR="009E6986">
        <w:t>ncy services.  T</w:t>
      </w:r>
      <w:r w:rsidR="00B25236">
        <w:t xml:space="preserve">he energy efficiency </w:t>
      </w:r>
      <w:r w:rsidR="00C12BA8">
        <w:t>group</w:t>
      </w:r>
      <w:r w:rsidR="00B25236">
        <w:t xml:space="preserve"> </w:t>
      </w:r>
      <w:r w:rsidR="009E6986">
        <w:t xml:space="preserve">was restructured </w:t>
      </w:r>
      <w:r w:rsidR="00B25236">
        <w:t xml:space="preserve">in August 2010 and I am now leading the DSM Policy, Planning and Analysis Team. </w:t>
      </w:r>
      <w:r>
        <w:t xml:space="preserve"> </w:t>
      </w:r>
      <w:r w:rsidR="00BA001D" w:rsidRPr="00BA001D">
        <w:t>Prior to joining Avista, I was employed by the Washington Utilities and Transportation Commission beginning in 1984, and then served as the Electric Program Manager from 1990 to February, 1993.  From 1979 to 1983, I was the Pacific Northwest Regional Director of the Environmental Careers Organization, a national, private, not-for-profit organization.</w:t>
      </w:r>
    </w:p>
    <w:p w:rsidR="00B4778E" w:rsidRDefault="00B4778E" w:rsidP="00E0716E">
      <w:pPr>
        <w:suppressAutoHyphens/>
        <w:spacing w:line="480" w:lineRule="auto"/>
        <w:ind w:firstLine="720"/>
        <w:jc w:val="both"/>
      </w:pPr>
      <w:r>
        <w:lastRenderedPageBreak/>
        <w:t xml:space="preserve">I am a member of the Board of Directors of the Northwest Energy Efficiency Alliance (NEEA) and </w:t>
      </w:r>
      <w:r w:rsidR="00DD3582">
        <w:t xml:space="preserve">a member </w:t>
      </w:r>
      <w:r>
        <w:t>of the Regional Technical Forum (RTF) Policy Advisory Committee.</w:t>
      </w:r>
    </w:p>
    <w:p w:rsidR="00BA001D" w:rsidRPr="00C12BA8" w:rsidRDefault="00BA001D" w:rsidP="00C12BA8">
      <w:pPr>
        <w:pStyle w:val="BodyText2"/>
        <w:ind w:firstLine="720"/>
        <w:rPr>
          <w:b/>
        </w:rPr>
      </w:pPr>
      <w:r w:rsidRPr="00C12BA8">
        <w:rPr>
          <w:b/>
        </w:rPr>
        <w:t>Q.</w:t>
      </w:r>
      <w:r w:rsidRPr="00C12BA8">
        <w:rPr>
          <w:b/>
        </w:rPr>
        <w:tab/>
        <w:t>What is the scope of your testimony in this proceeding?</w:t>
      </w:r>
    </w:p>
    <w:p w:rsidR="00F57FA4" w:rsidRDefault="00BA001D" w:rsidP="00F57FA4">
      <w:pPr>
        <w:pStyle w:val="BodyText2"/>
        <w:ind w:firstLine="720"/>
      </w:pPr>
      <w:r w:rsidRPr="00BA001D">
        <w:t>A.</w:t>
      </w:r>
      <w:r w:rsidRPr="00BA001D">
        <w:tab/>
      </w:r>
      <w:r w:rsidR="00F01DE7">
        <w:t>The purpose of my testimony</w:t>
      </w:r>
      <w:r w:rsidR="00F57FA4">
        <w:t xml:space="preserve"> </w:t>
      </w:r>
      <w:r w:rsidR="00F01DE7">
        <w:t xml:space="preserve">is to present </w:t>
      </w:r>
      <w:r w:rsidR="00F57FA4">
        <w:t xml:space="preserve">an overview of </w:t>
      </w:r>
      <w:r w:rsidR="00F01DE7">
        <w:t>Avista’s 2010-2011 energy efficiency results pursuant to RCW 19.285, also known as “I-937” or the Washington Energy Independence Act</w:t>
      </w:r>
      <w:r w:rsidR="007578C7" w:rsidRPr="007578C7">
        <w:t xml:space="preserve"> </w:t>
      </w:r>
      <w:r w:rsidR="007578C7">
        <w:t>and WAC 480-109</w:t>
      </w:r>
      <w:r w:rsidR="00F01DE7">
        <w:t xml:space="preserve">.  </w:t>
      </w:r>
      <w:r w:rsidR="00F57FA4">
        <w:t xml:space="preserve">Avista acquired </w:t>
      </w:r>
      <w:r w:rsidR="00F9085B">
        <w:t>169,467</w:t>
      </w:r>
      <w:r w:rsidR="00F57FA4">
        <w:t xml:space="preserve"> </w:t>
      </w:r>
      <w:r w:rsidR="007E0765">
        <w:t>M</w:t>
      </w:r>
      <w:r w:rsidR="00A11CF7">
        <w:t>Wh</w:t>
      </w:r>
      <w:r w:rsidR="00F57FA4">
        <w:t xml:space="preserve"> in the 2010-2011 </w:t>
      </w:r>
      <w:r w:rsidR="00C256DC">
        <w:t>B</w:t>
      </w:r>
      <w:r w:rsidR="00A11CF7">
        <w:t>iennium</w:t>
      </w:r>
      <w:r w:rsidR="00F57FA4">
        <w:t xml:space="preserve">, exceeding by </w:t>
      </w:r>
      <w:r w:rsidR="00F9085B">
        <w:t>32</w:t>
      </w:r>
      <w:r w:rsidR="00F57FA4">
        <w:t>% its Commission-ap</w:t>
      </w:r>
      <w:r w:rsidR="00385ACD">
        <w:t xml:space="preserve">proved </w:t>
      </w:r>
      <w:r w:rsidR="00276CFE">
        <w:t xml:space="preserve">I-937 </w:t>
      </w:r>
      <w:r w:rsidR="00385ACD">
        <w:t>target.  D</w:t>
      </w:r>
      <w:r w:rsidR="00F57FA4">
        <w:t xml:space="preserve">r. Sami Khawaja, </w:t>
      </w:r>
      <w:r w:rsidR="003F299C">
        <w:t xml:space="preserve">Senior Vice President </w:t>
      </w:r>
      <w:r w:rsidR="00F57FA4">
        <w:t>of The Cadmus Group, presents these verified savings</w:t>
      </w:r>
      <w:r w:rsidR="008A25ED">
        <w:t xml:space="preserve"> in his direct testimony (MSK-1</w:t>
      </w:r>
      <w:r w:rsidR="008C4EB9">
        <w:t>T).</w:t>
      </w:r>
    </w:p>
    <w:p w:rsidR="00F01DE7" w:rsidRDefault="00F57FA4" w:rsidP="00F57FA4">
      <w:pPr>
        <w:pStyle w:val="BodyText2"/>
        <w:ind w:firstLine="720"/>
      </w:pPr>
      <w:r>
        <w:t xml:space="preserve">My </w:t>
      </w:r>
      <w:r w:rsidR="00F01DE7">
        <w:t xml:space="preserve">testimony </w:t>
      </w:r>
      <w:r>
        <w:t xml:space="preserve">also summarizes the </w:t>
      </w:r>
      <w:r w:rsidR="00F01DE7">
        <w:t xml:space="preserve">cost-effectiveness and other attributes of the Company’s DSM programs </w:t>
      </w:r>
      <w:r>
        <w:t>in support of a request for a</w:t>
      </w:r>
      <w:r w:rsidR="00F01DE7">
        <w:t xml:space="preserve"> finding of prudence </w:t>
      </w:r>
      <w:r>
        <w:t xml:space="preserve">of these </w:t>
      </w:r>
      <w:r w:rsidR="00F01DE7">
        <w:t>expenditures</w:t>
      </w:r>
      <w:r w:rsidR="008C4EB9">
        <w:t xml:space="preserve"> in compliance with Order No. 05 in Docket Nos. UE-110876 and UG-110877 (consolidated)</w:t>
      </w:r>
      <w:r w:rsidR="00F01DE7">
        <w:t>.</w:t>
      </w:r>
      <w:r>
        <w:t xml:space="preserve">  To acquire its 2010-2011 </w:t>
      </w:r>
      <w:r w:rsidR="007578C7">
        <w:t xml:space="preserve">Washington </w:t>
      </w:r>
      <w:r w:rsidR="00A73762">
        <w:t>electric</w:t>
      </w:r>
      <w:r>
        <w:t xml:space="preserve"> efficiency savings, Avista spent</w:t>
      </w:r>
      <w:r w:rsidR="007E0765">
        <w:t xml:space="preserve"> over</w:t>
      </w:r>
      <w:r w:rsidR="003F299C">
        <w:t xml:space="preserve"> $</w:t>
      </w:r>
      <w:r w:rsidR="007E0765">
        <w:t>29.</w:t>
      </w:r>
      <w:r w:rsidR="00BE4ADD">
        <w:t>4 million</w:t>
      </w:r>
      <w:r w:rsidR="003F299C">
        <w:t xml:space="preserve"> with a benefit-to-</w:t>
      </w:r>
      <w:r w:rsidR="00044846">
        <w:t xml:space="preserve">cost ratio of </w:t>
      </w:r>
      <w:r w:rsidR="007E0765">
        <w:t>1.</w:t>
      </w:r>
      <w:r w:rsidR="00276CFE">
        <w:t>5</w:t>
      </w:r>
      <w:r w:rsidR="00FD4D18">
        <w:t>8</w:t>
      </w:r>
      <w:r w:rsidR="00044846">
        <w:t xml:space="preserve">, using the Commission-prescribed Total Resource Cost (TRC) test.  </w:t>
      </w:r>
      <w:r w:rsidR="006A79C3">
        <w:t>The Company spent more than $11.</w:t>
      </w:r>
      <w:r w:rsidR="00BE4ADD">
        <w:t>1</w:t>
      </w:r>
      <w:r w:rsidR="006A79C3">
        <w:t xml:space="preserve"> million on </w:t>
      </w:r>
      <w:r w:rsidR="007578C7">
        <w:t xml:space="preserve">Washington </w:t>
      </w:r>
      <w:r w:rsidR="006A79C3">
        <w:t>n</w:t>
      </w:r>
      <w:r w:rsidR="00044846">
        <w:t>atural gas energy ef</w:t>
      </w:r>
      <w:r w:rsidR="007E0765">
        <w:t xml:space="preserve">ficiency </w:t>
      </w:r>
      <w:r w:rsidR="006A79C3">
        <w:t xml:space="preserve">which </w:t>
      </w:r>
      <w:r w:rsidR="007E0765">
        <w:t>resulted in savings of over 2.</w:t>
      </w:r>
      <w:r w:rsidR="00F9085B">
        <w:t>5</w:t>
      </w:r>
      <w:r w:rsidR="007E0765">
        <w:t xml:space="preserve"> million </w:t>
      </w:r>
      <w:r w:rsidR="00044846">
        <w:t xml:space="preserve">therms with a </w:t>
      </w:r>
      <w:r w:rsidR="007E0765">
        <w:t xml:space="preserve">TRC </w:t>
      </w:r>
      <w:r w:rsidR="0067731E">
        <w:t>benefit-to-</w:t>
      </w:r>
      <w:r w:rsidR="00044846">
        <w:t xml:space="preserve">cost </w:t>
      </w:r>
      <w:r w:rsidR="00385ACD">
        <w:t>ratio</w:t>
      </w:r>
      <w:r w:rsidR="00044846">
        <w:t xml:space="preserve"> of </w:t>
      </w:r>
      <w:r w:rsidR="00F9085B">
        <w:t>1.19</w:t>
      </w:r>
      <w:r w:rsidR="00044846">
        <w:t xml:space="preserve">.  </w:t>
      </w:r>
      <w:r w:rsidR="00385ACD">
        <w:t xml:space="preserve">Company witness </w:t>
      </w:r>
      <w:r w:rsidR="008C4EB9">
        <w:t>Lori</w:t>
      </w:r>
      <w:r w:rsidR="00385ACD">
        <w:t xml:space="preserve"> </w:t>
      </w:r>
      <w:r>
        <w:t>Hermanson provides the details of these calculations.</w:t>
      </w:r>
    </w:p>
    <w:p w:rsidR="00BA001D" w:rsidRDefault="00385ACD" w:rsidP="00C12BA8">
      <w:pPr>
        <w:pStyle w:val="BodyText2"/>
        <w:ind w:firstLine="720"/>
      </w:pPr>
      <w:r>
        <w:t>T</w:t>
      </w:r>
      <w:r w:rsidR="00012FD8">
        <w:t xml:space="preserve">his is Avista’s first </w:t>
      </w:r>
      <w:r w:rsidR="007578C7">
        <w:t>“Biennium Conservation R</w:t>
      </w:r>
      <w:r w:rsidR="00F57FA4">
        <w:t>eport</w:t>
      </w:r>
      <w:r w:rsidR="007578C7">
        <w:t>”</w:t>
      </w:r>
      <w:r w:rsidR="00F57FA4">
        <w:t xml:space="preserve"> </w:t>
      </w:r>
      <w:r w:rsidR="00012FD8">
        <w:t xml:space="preserve">filing under I-937.  This is also Avista’s first request for a </w:t>
      </w:r>
      <w:r w:rsidR="00F57FA4">
        <w:t xml:space="preserve">finding of prudence outside of </w:t>
      </w:r>
      <w:r w:rsidR="00012FD8">
        <w:t>a general rate case</w:t>
      </w:r>
      <w:r w:rsidR="00C64CC5">
        <w:t xml:space="preserve"> since the inception of the Public Purposes </w:t>
      </w:r>
      <w:r w:rsidR="00012FD8">
        <w:t xml:space="preserve">Tariff Rider in 1995.  </w:t>
      </w:r>
      <w:r w:rsidR="00B87A95">
        <w:t>T</w:t>
      </w:r>
      <w:r w:rsidR="00F57FA4">
        <w:t>herefore</w:t>
      </w:r>
      <w:r w:rsidR="00012FD8">
        <w:t xml:space="preserve">, </w:t>
      </w:r>
      <w:r w:rsidR="00015017">
        <w:t xml:space="preserve">I report on </w:t>
      </w:r>
      <w:r w:rsidR="00391B72">
        <w:lastRenderedPageBreak/>
        <w:t>compliance with various requirements, provide a br</w:t>
      </w:r>
      <w:r w:rsidR="00015017">
        <w:t>ief</w:t>
      </w:r>
      <w:r w:rsidR="00BA001D" w:rsidRPr="00BA001D">
        <w:t xml:space="preserve"> overview of the Company’s </w:t>
      </w:r>
      <w:r w:rsidR="00015017">
        <w:t>DSM programs</w:t>
      </w:r>
      <w:r w:rsidR="00F57FA4">
        <w:t>,</w:t>
      </w:r>
      <w:r w:rsidR="00015017">
        <w:t xml:space="preserve"> and </w:t>
      </w:r>
      <w:r w:rsidR="00391B72">
        <w:t xml:space="preserve">discuss issues unique to </w:t>
      </w:r>
      <w:r w:rsidR="00012FD8">
        <w:t xml:space="preserve">this </w:t>
      </w:r>
      <w:r w:rsidR="00F57FA4">
        <w:t>two-year period</w:t>
      </w:r>
      <w:r w:rsidR="00BA001D" w:rsidRPr="00BA001D">
        <w:t>.</w:t>
      </w:r>
    </w:p>
    <w:p w:rsidR="00012FD8" w:rsidRDefault="00F57FA4" w:rsidP="00C12BA8">
      <w:pPr>
        <w:pStyle w:val="BodyText2"/>
        <w:ind w:firstLine="720"/>
      </w:pPr>
      <w:r>
        <w:t xml:space="preserve">Coincident with this testimony, the Company </w:t>
      </w:r>
      <w:r w:rsidR="003F299C">
        <w:t>submitted</w:t>
      </w:r>
      <w:r w:rsidR="00012FD8">
        <w:t xml:space="preserve"> annual true-up (or cost recovery) revisions to Avista’s </w:t>
      </w:r>
      <w:r w:rsidR="007578C7">
        <w:t>Public Purpose</w:t>
      </w:r>
      <w:r w:rsidR="00012FD8">
        <w:t xml:space="preserve"> Tariff Riders, Schedules 91 (electric) and 191 (natural gas)</w:t>
      </w:r>
      <w:r w:rsidR="00102D12">
        <w:t xml:space="preserve"> in a separate </w:t>
      </w:r>
      <w:r w:rsidR="007578C7">
        <w:t>filing</w:t>
      </w:r>
      <w:r w:rsidR="00012FD8">
        <w:t>.</w:t>
      </w:r>
      <w:r w:rsidR="00102D12">
        <w:t xml:space="preserve">  Avista’s Tariff Riders provide revenue to support the Company’s energy efficiency programs.  These tariff riders are now on an annual “true-up” schedule, to be filed on June 1</w:t>
      </w:r>
      <w:r w:rsidR="00102D12" w:rsidRPr="0084760B">
        <w:rPr>
          <w:vertAlign w:val="superscript"/>
        </w:rPr>
        <w:t>st</w:t>
      </w:r>
      <w:r w:rsidR="00102D12">
        <w:t xml:space="preserve"> each year with a requested effective date of August 1</w:t>
      </w:r>
      <w:r w:rsidR="00102D12" w:rsidRPr="0084760B">
        <w:rPr>
          <w:vertAlign w:val="superscript"/>
        </w:rPr>
        <w:t>st</w:t>
      </w:r>
      <w:r w:rsidR="00102D12">
        <w:t xml:space="preserve">.  These dates were derived from discussions with the Commission Staff and interested parties.  The proposed revision to Schedules 91 and 191 seek a decrease of </w:t>
      </w:r>
      <w:r w:rsidR="00F9085B">
        <w:t>1.8</w:t>
      </w:r>
      <w:r w:rsidR="00102D12">
        <w:t xml:space="preserve">% and </w:t>
      </w:r>
      <w:r w:rsidR="00AA68AA">
        <w:t>1.3</w:t>
      </w:r>
      <w:r w:rsidR="00102D12">
        <w:t>%</w:t>
      </w:r>
      <w:r w:rsidR="00F9085B">
        <w:t>,</w:t>
      </w:r>
      <w:r w:rsidR="00102D12">
        <w:t xml:space="preserve"> respectively</w:t>
      </w:r>
      <w:r w:rsidR="00F9085B">
        <w:t>, in billed rates</w:t>
      </w:r>
      <w:r w:rsidR="00102D12">
        <w:t>.</w:t>
      </w:r>
    </w:p>
    <w:p w:rsidR="00B3562A" w:rsidRPr="00B3562A" w:rsidRDefault="00B3562A" w:rsidP="00C12BA8">
      <w:pPr>
        <w:pStyle w:val="BodyText2"/>
        <w:ind w:firstLine="720"/>
        <w:rPr>
          <w:b/>
        </w:rPr>
      </w:pPr>
      <w:r w:rsidRPr="00B3562A">
        <w:rPr>
          <w:b/>
        </w:rPr>
        <w:t>Q.</w:t>
      </w:r>
      <w:r w:rsidRPr="00B3562A">
        <w:rPr>
          <w:b/>
        </w:rPr>
        <w:tab/>
        <w:t xml:space="preserve">Avista includes in this filing both electric and natural gas efficiency results. </w:t>
      </w:r>
      <w:r>
        <w:rPr>
          <w:b/>
        </w:rPr>
        <w:t xml:space="preserve"> </w:t>
      </w:r>
      <w:r w:rsidRPr="00B3562A">
        <w:rPr>
          <w:b/>
        </w:rPr>
        <w:t>Please describe natural gas efficiency savings relative to “I-937.”</w:t>
      </w:r>
    </w:p>
    <w:p w:rsidR="00B3562A" w:rsidRDefault="00B3562A" w:rsidP="00C12BA8">
      <w:pPr>
        <w:pStyle w:val="BodyText2"/>
        <w:ind w:firstLine="720"/>
      </w:pPr>
      <w:r>
        <w:t>A.</w:t>
      </w:r>
      <w:r>
        <w:tab/>
        <w:t>RCW 19.285 and WAC 480-109 are unique to electric efficiency. However, for customer service and overall economy of scale, Avista operates its electric and natural gas efficiency programs on a unified basis.  For administrative benefit, Avista is combining its request for a finding of prudence together with its request for approval of compliance of its electric efficiency operations with RCW 19.285 and WAC 480-109.</w:t>
      </w:r>
    </w:p>
    <w:p w:rsidR="006B0D62" w:rsidRPr="006B0D62" w:rsidRDefault="006B0D62" w:rsidP="00C12BA8">
      <w:pPr>
        <w:pStyle w:val="BodyText2"/>
        <w:ind w:firstLine="720"/>
        <w:rPr>
          <w:b/>
        </w:rPr>
      </w:pPr>
      <w:r w:rsidRPr="006B0D62">
        <w:rPr>
          <w:b/>
        </w:rPr>
        <w:t>Q.</w:t>
      </w:r>
      <w:r w:rsidRPr="006B0D62">
        <w:rPr>
          <w:b/>
        </w:rPr>
        <w:tab/>
        <w:t>Are you sponsoring any exhibits in this proceeding?</w:t>
      </w:r>
    </w:p>
    <w:p w:rsidR="00A575B7" w:rsidRDefault="006B0D62" w:rsidP="007578C7">
      <w:pPr>
        <w:pStyle w:val="BodyText2"/>
        <w:ind w:firstLine="720"/>
      </w:pPr>
      <w:r>
        <w:t>A.</w:t>
      </w:r>
      <w:r>
        <w:tab/>
        <w:t>Yes.  I am sponsoring Exhibit No.</w:t>
      </w:r>
      <w:r w:rsidR="00102D12">
        <w:t>__</w:t>
      </w:r>
      <w:r w:rsidR="00E37091">
        <w:t>_</w:t>
      </w:r>
      <w:r w:rsidR="00102D12">
        <w:t>(BWF-2) through</w:t>
      </w:r>
      <w:r w:rsidR="00A575B7" w:rsidRPr="00A575B7">
        <w:t xml:space="preserve"> </w:t>
      </w:r>
      <w:r w:rsidR="00A575B7">
        <w:t>Exhibit No.</w:t>
      </w:r>
      <w:r w:rsidR="00102D12">
        <w:t>__</w:t>
      </w:r>
      <w:r w:rsidR="00E37091">
        <w:t>_</w:t>
      </w:r>
      <w:r w:rsidR="00102D12">
        <w:t>(BWF</w:t>
      </w:r>
      <w:r w:rsidR="00BC7784">
        <w:t>-</w:t>
      </w:r>
      <w:r w:rsidR="00CD3D55">
        <w:t>5</w:t>
      </w:r>
      <w:r w:rsidR="00102D12">
        <w:t>)</w:t>
      </w:r>
      <w:r w:rsidR="00CD3D55">
        <w:t xml:space="preserve">. </w:t>
      </w:r>
      <w:r>
        <w:t xml:space="preserve"> </w:t>
      </w:r>
      <w:r w:rsidR="00E37091">
        <w:t>Exhibit No._</w:t>
      </w:r>
      <w:r w:rsidR="00A575B7">
        <w:t>__</w:t>
      </w:r>
      <w:r w:rsidR="00102D12">
        <w:t xml:space="preserve">(BWF-2) </w:t>
      </w:r>
      <w:r>
        <w:t xml:space="preserve">summarizes compliance with conditions required by the Commission’s order approving Avista’s 2010-2011 energy efficiency </w:t>
      </w:r>
      <w:r>
        <w:lastRenderedPageBreak/>
        <w:t>targets.  Exhibit No.</w:t>
      </w:r>
      <w:r w:rsidR="00E37091">
        <w:t>_</w:t>
      </w:r>
      <w:r w:rsidR="00102D12">
        <w:t>__(</w:t>
      </w:r>
      <w:r>
        <w:t>BWF-</w:t>
      </w:r>
      <w:r w:rsidR="00A73762">
        <w:t>3</w:t>
      </w:r>
      <w:r w:rsidR="00102D12">
        <w:t>)</w:t>
      </w:r>
      <w:r w:rsidR="00A73762">
        <w:t xml:space="preserve"> lists </w:t>
      </w:r>
      <w:r w:rsidR="0067731E">
        <w:t>nineteen</w:t>
      </w:r>
      <w:r>
        <w:t xml:space="preserve"> all-day </w:t>
      </w:r>
      <w:r w:rsidR="00A73762">
        <w:t xml:space="preserve">Avista-facilitated energy efficiency </w:t>
      </w:r>
      <w:r>
        <w:t>meetings</w:t>
      </w:r>
      <w:r w:rsidR="00A73762">
        <w:t>, three Integrated Resource Planning Technical Advisory Committee meetings with energy efficiency related presentations, six Washington Conservation Group meetings</w:t>
      </w:r>
      <w:r>
        <w:t xml:space="preserve"> and </w:t>
      </w:r>
      <w:r w:rsidR="00B90124">
        <w:t>eleven</w:t>
      </w:r>
      <w:r w:rsidR="00A73762">
        <w:t xml:space="preserve"> Avista energy efficiency</w:t>
      </w:r>
      <w:r w:rsidR="00FC4F0C">
        <w:t xml:space="preserve"> w</w:t>
      </w:r>
      <w:r>
        <w:t>ebinars with participation by Avista’s energy efficiency stakeholders in 2010-2011.  Exhibit No.</w:t>
      </w:r>
      <w:r w:rsidR="00E37091">
        <w:t>___(</w:t>
      </w:r>
      <w:r>
        <w:t>BWF-4</w:t>
      </w:r>
      <w:r w:rsidR="00E37091">
        <w:t>)</w:t>
      </w:r>
      <w:r>
        <w:t xml:space="preserve"> itemizes Avista’s response to </w:t>
      </w:r>
      <w:r w:rsidR="0067731E">
        <w:t>“</w:t>
      </w:r>
      <w:r w:rsidR="007E0765">
        <w:t>impact</w:t>
      </w:r>
      <w:r w:rsidR="0067731E">
        <w:t>”</w:t>
      </w:r>
      <w:r w:rsidR="007E0765">
        <w:t xml:space="preserve"> findings and </w:t>
      </w:r>
      <w:r>
        <w:t>recommendations</w:t>
      </w:r>
      <w:r w:rsidR="007E0765">
        <w:t xml:space="preserve"> </w:t>
      </w:r>
      <w:r>
        <w:t>provided by The Cadmus Group for future consideration.</w:t>
      </w:r>
      <w:r w:rsidR="007E0765">
        <w:t xml:space="preserve">  Exhibit No.</w:t>
      </w:r>
      <w:r w:rsidR="00E37091">
        <w:t>___(</w:t>
      </w:r>
      <w:r w:rsidR="007E0765">
        <w:t>BWF-5</w:t>
      </w:r>
      <w:r w:rsidR="00E37091">
        <w:t>)</w:t>
      </w:r>
      <w:r w:rsidR="007E0765">
        <w:t xml:space="preserve"> itemizes Avista’s response to </w:t>
      </w:r>
      <w:r w:rsidR="0067731E">
        <w:t>“</w:t>
      </w:r>
      <w:r w:rsidR="007E0765">
        <w:t>process</w:t>
      </w:r>
      <w:r w:rsidR="0067731E">
        <w:t>”</w:t>
      </w:r>
      <w:r w:rsidR="007E0765">
        <w:t xml:space="preserve"> findings and recommendations provided by The Cadmus Group for future consideration.</w:t>
      </w:r>
    </w:p>
    <w:p w:rsidR="00C505F2" w:rsidRPr="00C505F2" w:rsidRDefault="00C505F2" w:rsidP="00C505F2">
      <w:pPr>
        <w:pStyle w:val="BodyText2"/>
        <w:jc w:val="center"/>
        <w:rPr>
          <w:b/>
          <w:u w:val="single"/>
        </w:rPr>
      </w:pPr>
      <w:r w:rsidRPr="00C505F2">
        <w:rPr>
          <w:b/>
          <w:u w:val="single"/>
        </w:rPr>
        <w:t xml:space="preserve">II. BACKGROUND </w:t>
      </w:r>
    </w:p>
    <w:p w:rsidR="00391B72" w:rsidRPr="00012FD8" w:rsidRDefault="00012FD8" w:rsidP="00C12BA8">
      <w:pPr>
        <w:pStyle w:val="BodyText2"/>
        <w:ind w:firstLine="720"/>
        <w:rPr>
          <w:b/>
        </w:rPr>
      </w:pPr>
      <w:r w:rsidRPr="00012FD8">
        <w:rPr>
          <w:b/>
        </w:rPr>
        <w:t>Q.</w:t>
      </w:r>
      <w:r w:rsidRPr="00012FD8">
        <w:rPr>
          <w:b/>
        </w:rPr>
        <w:tab/>
        <w:t>What is the procedural context for this case?</w:t>
      </w:r>
    </w:p>
    <w:p w:rsidR="00540B4A" w:rsidRDefault="00012FD8" w:rsidP="00C12BA8">
      <w:pPr>
        <w:pStyle w:val="BodyText2"/>
        <w:ind w:firstLine="720"/>
      </w:pPr>
      <w:r>
        <w:t>A.</w:t>
      </w:r>
      <w:r>
        <w:tab/>
      </w:r>
      <w:r w:rsidR="00540B4A">
        <w:t>This filing is responsive to three previous cases and incorporates direction and related compliance</w:t>
      </w:r>
      <w:r w:rsidR="00E46953">
        <w:t xml:space="preserve"> from each.</w:t>
      </w:r>
      <w:r w:rsidR="00996420">
        <w:t xml:space="preserve">  </w:t>
      </w:r>
    </w:p>
    <w:p w:rsidR="00391B72" w:rsidRDefault="00B4163B" w:rsidP="00C12BA8">
      <w:pPr>
        <w:pStyle w:val="BodyText2"/>
        <w:ind w:firstLine="720"/>
      </w:pPr>
      <w:r>
        <w:t xml:space="preserve">The requirement to meet conservation targets under I-937 became </w:t>
      </w:r>
      <w:r w:rsidR="00540B4A">
        <w:t>effective on January 1, 2010.  On May 13, 2010, t</w:t>
      </w:r>
      <w:r>
        <w:t>he Commission approved</w:t>
      </w:r>
      <w:r w:rsidR="00C64CC5">
        <w:t>,</w:t>
      </w:r>
      <w:r>
        <w:t xml:space="preserve"> with conditions</w:t>
      </w:r>
      <w:r w:rsidR="00C64CC5">
        <w:t>,</w:t>
      </w:r>
      <w:r>
        <w:t xml:space="preserve"> Avista’s 2010-2011 </w:t>
      </w:r>
      <w:r w:rsidR="002A21B4">
        <w:t xml:space="preserve">Biennial Conservation Plan, </w:t>
      </w:r>
      <w:r w:rsidR="00E46953">
        <w:t>and associ</w:t>
      </w:r>
      <w:r w:rsidR="00540B4A">
        <w:t>ated</w:t>
      </w:r>
      <w:r w:rsidR="002A21B4">
        <w:t xml:space="preserve"> targets,</w:t>
      </w:r>
      <w:r>
        <w:t xml:space="preserve"> by Order No. 01 in Docket No. UE-100176.  The conditions specified multiple req</w:t>
      </w:r>
      <w:r w:rsidR="00A575B7">
        <w:t>uirements including program delivery</w:t>
      </w:r>
      <w:r>
        <w:t xml:space="preserve">, evaluation, reporting, stakeholder involvement, cost-recovery and other items.  </w:t>
      </w:r>
    </w:p>
    <w:p w:rsidR="00E00C78" w:rsidRDefault="00B4163B" w:rsidP="00C12BA8">
      <w:pPr>
        <w:pStyle w:val="BodyText2"/>
        <w:ind w:firstLine="720"/>
      </w:pPr>
      <w:r>
        <w:t xml:space="preserve">Evaluation, Measurement and Verification (EM&amp;V) was addressed in a Commission-ordered </w:t>
      </w:r>
      <w:r w:rsidR="00A11CF7">
        <w:t>EM&amp;V</w:t>
      </w:r>
      <w:r w:rsidR="00E00C78">
        <w:t xml:space="preserve"> </w:t>
      </w:r>
      <w:r>
        <w:t>collabo</w:t>
      </w:r>
      <w:r w:rsidR="00E46953">
        <w:t xml:space="preserve">rative (in Docket </w:t>
      </w:r>
      <w:r w:rsidR="0084760B">
        <w:t>No</w:t>
      </w:r>
      <w:r w:rsidR="00E46953" w:rsidRPr="0084760B">
        <w:t xml:space="preserve">. </w:t>
      </w:r>
      <w:r w:rsidR="0084760B" w:rsidRPr="0084760B">
        <w:t>UG-090135</w:t>
      </w:r>
      <w:r w:rsidRPr="0084760B">
        <w:t>)</w:t>
      </w:r>
      <w:r w:rsidR="00E00C78" w:rsidRPr="0084760B">
        <w:t>.</w:t>
      </w:r>
      <w:r w:rsidR="00E00C78">
        <w:t xml:space="preserve">  This resulted</w:t>
      </w:r>
      <w:r>
        <w:t xml:space="preserve"> in two key documents, </w:t>
      </w:r>
      <w:r w:rsidR="00E46953">
        <w:t xml:space="preserve">the </w:t>
      </w:r>
      <w:r>
        <w:t>EM&amp;V Framework and the 2011 EM&amp;V Plan</w:t>
      </w:r>
      <w:r w:rsidR="00E00C78">
        <w:t>,</w:t>
      </w:r>
      <w:r>
        <w:t xml:space="preserve"> filed </w:t>
      </w:r>
      <w:r>
        <w:lastRenderedPageBreak/>
        <w:t>September 1, 2010</w:t>
      </w:r>
      <w:r w:rsidR="00A11CF7">
        <w:t>,</w:t>
      </w:r>
      <w:r>
        <w:t xml:space="preserve"> and November 1, 2010, respectively.</w:t>
      </w:r>
      <w:r w:rsidR="00E00C78">
        <w:t xml:space="preserve">  Together with Avista’s regular DSM Annual Business Plans (</w:t>
      </w:r>
      <w:r w:rsidR="00E46953">
        <w:t>filed with the Commission</w:t>
      </w:r>
      <w:r w:rsidR="00A73762">
        <w:t xml:space="preserve"> and supplemented with programmatic modifications and updated with a review of the natural gas portfolio</w:t>
      </w:r>
      <w:r w:rsidR="00E00C78">
        <w:t xml:space="preserve">), these two EM&amp;V documents and the conditions contained in Docket No. UE-100176 established the standards for reporting and </w:t>
      </w:r>
      <w:r w:rsidR="00E46953">
        <w:t>independent verification of</w:t>
      </w:r>
      <w:r w:rsidR="00E00C78">
        <w:t xml:space="preserve"> claimed energy savings.  </w:t>
      </w:r>
    </w:p>
    <w:p w:rsidR="003F0C50" w:rsidRDefault="007578C7" w:rsidP="00A575B7">
      <w:pPr>
        <w:pStyle w:val="BodyText2"/>
        <w:ind w:firstLine="720"/>
      </w:pPr>
      <w:r>
        <w:t xml:space="preserve">The third applicable docket is regarding prudence of DSM expenditures. </w:t>
      </w:r>
      <w:r w:rsidR="0089183D">
        <w:t>Avista has sought findings of prudence in gen</w:t>
      </w:r>
      <w:r w:rsidR="00764049">
        <w:t xml:space="preserve">eral rate cases for its energy efficiency expenditures since the inception of the DSM Tariff Riders </w:t>
      </w:r>
      <w:r w:rsidR="0089183D">
        <w:t xml:space="preserve">in 1995. </w:t>
      </w:r>
      <w:r w:rsidR="003F299C">
        <w:t xml:space="preserve"> </w:t>
      </w:r>
      <w:r w:rsidR="0089183D">
        <w:t xml:space="preserve">As an outcome of </w:t>
      </w:r>
      <w:r w:rsidR="005C72B6">
        <w:t xml:space="preserve">a </w:t>
      </w:r>
      <w:r w:rsidR="0089183D">
        <w:t>settlement in Avista’s 2011 general rate case</w:t>
      </w:r>
      <w:r w:rsidR="00E46953">
        <w:t>,</w:t>
      </w:r>
      <w:r w:rsidR="0089183D">
        <w:t xml:space="preserve"> the Commission approved </w:t>
      </w:r>
      <w:r w:rsidR="00D860FE">
        <w:t xml:space="preserve">a </w:t>
      </w:r>
      <w:r w:rsidR="005C72B6">
        <w:t xml:space="preserve">process </w:t>
      </w:r>
      <w:r w:rsidR="00734BD3">
        <w:t>whereby Avista is</w:t>
      </w:r>
      <w:r w:rsidR="005C72B6">
        <w:t xml:space="preserve"> to seek a finding of prudence </w:t>
      </w:r>
      <w:r w:rsidR="00734BD3">
        <w:t>in a “Prudence F</w:t>
      </w:r>
      <w:r w:rsidR="00AF378A">
        <w:t>iling” to be submitted on June 1, 2012 (per Docket Nos. UE-110876 and UG-110877, Order No. 05</w:t>
      </w:r>
      <w:r w:rsidR="00734BD3">
        <w:t>)</w:t>
      </w:r>
      <w:r w:rsidR="003F299C">
        <w:t xml:space="preserve">. </w:t>
      </w:r>
      <w:r w:rsidR="00D860FE">
        <w:t xml:space="preserve"> </w:t>
      </w:r>
      <w:r w:rsidR="00734BD3">
        <w:t xml:space="preserve">The Company is to file testimony and exhibits with, in essence, parties having the ability </w:t>
      </w:r>
      <w:r w:rsidR="0067731E">
        <w:t>to seek</w:t>
      </w:r>
      <w:r w:rsidR="00734BD3">
        <w:t xml:space="preserve"> a full adjudicatio</w:t>
      </w:r>
      <w:r w:rsidR="003F0C50">
        <w:t xml:space="preserve">n of this filing. </w:t>
      </w:r>
      <w:r w:rsidR="003F299C">
        <w:t xml:space="preserve"> </w:t>
      </w:r>
      <w:r w:rsidR="003F0C50">
        <w:t>Order No. 05 states, at paragraph 4: “Within 30 days of the filing, any person could request that the Commission set the matter for adjudication.  If Avista’s request was set for hearing</w:t>
      </w:r>
      <w:r w:rsidR="00FC4F0C">
        <w:t>,</w:t>
      </w:r>
      <w:r w:rsidR="003F0C50">
        <w:t xml:space="preserve"> Movants agree to support a suspension period of up to 6 months.”</w:t>
      </w:r>
    </w:p>
    <w:p w:rsidR="00B4163B" w:rsidRDefault="00F205CD" w:rsidP="00C12BA8">
      <w:pPr>
        <w:pStyle w:val="BodyText2"/>
        <w:ind w:firstLine="720"/>
      </w:pPr>
      <w:r>
        <w:t xml:space="preserve">In this testimony, exhibits, and workpapers, Avista provides extensive data and explanation towards assuring </w:t>
      </w:r>
      <w:r w:rsidR="00E56BF1">
        <w:t xml:space="preserve">that </w:t>
      </w:r>
      <w:r>
        <w:t xml:space="preserve">all interested parties are satisfied that the </w:t>
      </w:r>
      <w:r w:rsidR="00A979E2">
        <w:t xml:space="preserve">independently </w:t>
      </w:r>
      <w:r>
        <w:t xml:space="preserve">verified independent savings exceed required targets and </w:t>
      </w:r>
      <w:r w:rsidR="003F299C">
        <w:t>were</w:t>
      </w:r>
      <w:r>
        <w:t xml:space="preserve"> accomplished in a prudent and cost-effective manner</w:t>
      </w:r>
      <w:r w:rsidR="00BF031F">
        <w:t>.</w:t>
      </w:r>
    </w:p>
    <w:p w:rsidR="00B3562A" w:rsidRDefault="00B3562A" w:rsidP="00C12BA8">
      <w:pPr>
        <w:pStyle w:val="BodyText2"/>
        <w:ind w:firstLine="720"/>
      </w:pPr>
    </w:p>
    <w:p w:rsidR="00E3476D" w:rsidRPr="007D6F6D" w:rsidRDefault="00E3476D" w:rsidP="00E3476D">
      <w:pPr>
        <w:pStyle w:val="BodyText2"/>
        <w:rPr>
          <w:b/>
        </w:rPr>
      </w:pPr>
      <w:r w:rsidRPr="007D6F6D">
        <w:rPr>
          <w:b/>
        </w:rPr>
        <w:lastRenderedPageBreak/>
        <w:tab/>
        <w:t>Q.</w:t>
      </w:r>
      <w:r w:rsidRPr="007D6F6D">
        <w:rPr>
          <w:b/>
        </w:rPr>
        <w:tab/>
        <w:t xml:space="preserve">What </w:t>
      </w:r>
      <w:r>
        <w:rPr>
          <w:b/>
        </w:rPr>
        <w:t xml:space="preserve">specific </w:t>
      </w:r>
      <w:r w:rsidRPr="007D6F6D">
        <w:rPr>
          <w:b/>
        </w:rPr>
        <w:t xml:space="preserve">approvals </w:t>
      </w:r>
      <w:r>
        <w:rPr>
          <w:b/>
        </w:rPr>
        <w:t xml:space="preserve">are requested </w:t>
      </w:r>
      <w:r w:rsidRPr="007D6F6D">
        <w:rPr>
          <w:b/>
        </w:rPr>
        <w:t>in this filing?</w:t>
      </w:r>
    </w:p>
    <w:p w:rsidR="00C505F2" w:rsidRDefault="00E3476D" w:rsidP="00BF031F">
      <w:pPr>
        <w:pStyle w:val="BodyText2"/>
      </w:pPr>
      <w:r>
        <w:tab/>
        <w:t>A.</w:t>
      </w:r>
      <w:r>
        <w:tab/>
        <w:t>Avista is requesting two approvals:  1) pursuant to RCW 19.285 and WAC 480-109</w:t>
      </w:r>
      <w:r w:rsidR="00FC4F0C">
        <w:t>,</w:t>
      </w:r>
      <w:r>
        <w:t xml:space="preserve"> that Avis</w:t>
      </w:r>
      <w:r w:rsidR="003F299C">
        <w:t>ta has met the requirements of I-937</w:t>
      </w:r>
      <w:r>
        <w:t xml:space="preserve">, and 2) that the Commission issue a finding that the expenditures to fund Avista’s </w:t>
      </w:r>
      <w:r w:rsidR="00E6792D">
        <w:t>electric and natural gas</w:t>
      </w:r>
      <w:r>
        <w:t xml:space="preserve"> </w:t>
      </w:r>
      <w:r w:rsidR="005E42C9">
        <w:t>efficiency programs in calendar years 2010 and 2011 were prudent</w:t>
      </w:r>
      <w:r>
        <w:t xml:space="preserve">. </w:t>
      </w:r>
    </w:p>
    <w:p w:rsidR="007578C7" w:rsidRDefault="007578C7" w:rsidP="00BF031F">
      <w:pPr>
        <w:pStyle w:val="BodyText2"/>
      </w:pPr>
    </w:p>
    <w:p w:rsidR="00B0042F" w:rsidRPr="00B0042F" w:rsidRDefault="00C505F2" w:rsidP="00B0042F">
      <w:pPr>
        <w:pStyle w:val="BodyText2"/>
        <w:jc w:val="center"/>
        <w:rPr>
          <w:b/>
          <w:u w:val="single"/>
        </w:rPr>
      </w:pPr>
      <w:r>
        <w:rPr>
          <w:b/>
          <w:u w:val="single"/>
        </w:rPr>
        <w:t>III</w:t>
      </w:r>
      <w:r w:rsidRPr="00B0042F">
        <w:rPr>
          <w:b/>
          <w:u w:val="single"/>
        </w:rPr>
        <w:t xml:space="preserve">.  </w:t>
      </w:r>
      <w:r>
        <w:rPr>
          <w:b/>
          <w:u w:val="single"/>
        </w:rPr>
        <w:t xml:space="preserve">OVERVIEW OF PROGRAMS AND 2010-2011 RESULTS </w:t>
      </w:r>
    </w:p>
    <w:p w:rsidR="009B057F" w:rsidRPr="00DD1D21" w:rsidRDefault="009B057F" w:rsidP="009B057F">
      <w:pPr>
        <w:pStyle w:val="BodyText2"/>
        <w:ind w:firstLine="720"/>
        <w:rPr>
          <w:b/>
        </w:rPr>
      </w:pPr>
      <w:r w:rsidRPr="00DD1D21">
        <w:rPr>
          <w:b/>
        </w:rPr>
        <w:t>Q.</w:t>
      </w:r>
      <w:r w:rsidRPr="00DD1D21">
        <w:rPr>
          <w:b/>
        </w:rPr>
        <w:tab/>
      </w:r>
      <w:r>
        <w:rPr>
          <w:b/>
        </w:rPr>
        <w:t xml:space="preserve">How are Avista’s DSM programs delivered to customers to achieve the targets?  </w:t>
      </w:r>
    </w:p>
    <w:p w:rsidR="009B057F" w:rsidRPr="00BA001D" w:rsidRDefault="009B057F" w:rsidP="009B057F">
      <w:pPr>
        <w:spacing w:line="480" w:lineRule="auto"/>
        <w:ind w:firstLine="720"/>
        <w:jc w:val="both"/>
      </w:pPr>
      <w:r>
        <w:t>A.</w:t>
      </w:r>
      <w:r>
        <w:tab/>
      </w:r>
      <w:r w:rsidR="00275837">
        <w:t xml:space="preserve">Avista’s core objective has historically been to provide customers with cost-effective energy efficiency services.  </w:t>
      </w:r>
      <w:r w:rsidRPr="00BA001D">
        <w:t xml:space="preserve">Avista </w:t>
      </w:r>
      <w:r w:rsidR="00BB4C87">
        <w:t>is in its 35</w:t>
      </w:r>
      <w:r w:rsidRPr="004E4687">
        <w:rPr>
          <w:vertAlign w:val="superscript"/>
        </w:rPr>
        <w:t>th</w:t>
      </w:r>
      <w:r w:rsidR="00275837">
        <w:t xml:space="preserve"> year of doing so</w:t>
      </w:r>
      <w:r>
        <w:t xml:space="preserve">.  Avista’s approach is </w:t>
      </w:r>
      <w:r w:rsidRPr="00BA001D">
        <w:t>to use the most effective “mechanism” to deliver energy efficiency services to customers.  These mechanisms are varied and include</w:t>
      </w:r>
      <w:r w:rsidR="0067731E">
        <w:t>:</w:t>
      </w:r>
      <w:r w:rsidRPr="00BA001D">
        <w:t xml:space="preserve"> 1) prescriptive programs (or “standard offers” such as hig</w:t>
      </w:r>
      <w:r w:rsidR="0067731E">
        <w:t>h efficiency appliance rebates);</w:t>
      </w:r>
      <w:r w:rsidRPr="00BA001D">
        <w:t xml:space="preserve"> 2) site-specific or “customized” analyses at customer premise</w:t>
      </w:r>
      <w:r w:rsidR="0067731E">
        <w:t>s;</w:t>
      </w:r>
      <w:r>
        <w:t xml:space="preserve"> 3) “market transformational,”</w:t>
      </w:r>
      <w:r w:rsidRPr="00BA001D">
        <w:t xml:space="preserve"> or regional, efforts with other utilities</w:t>
      </w:r>
      <w:r w:rsidR="003F299C">
        <w:t xml:space="preserve"> through NEEA</w:t>
      </w:r>
      <w:r w:rsidR="0067731E">
        <w:t>;</w:t>
      </w:r>
      <w:r w:rsidRPr="00BA001D">
        <w:t xml:space="preserve"> 4) low-income </w:t>
      </w:r>
      <w:r w:rsidR="005E42C9">
        <w:t>energy efficiency</w:t>
      </w:r>
      <w:r w:rsidRPr="00BA001D">
        <w:t xml:space="preserve"> services through </w:t>
      </w:r>
      <w:r w:rsidR="0067731E">
        <w:t>local Community Action Agencies;</w:t>
      </w:r>
      <w:r w:rsidRPr="00BA001D">
        <w:t xml:space="preserve"> 5) low-cost/no-cost advice through a multi-channel communication effort</w:t>
      </w:r>
      <w:r w:rsidR="0067731E">
        <w:t>;</w:t>
      </w:r>
      <w:r>
        <w:t xml:space="preserve"> and 6) support for cost-effective appliance standards and building codes</w:t>
      </w:r>
      <w:r w:rsidRPr="00BA001D">
        <w:t xml:space="preserve">.  </w:t>
      </w:r>
    </w:p>
    <w:p w:rsidR="009675AA" w:rsidRDefault="009B057F" w:rsidP="009675AA">
      <w:pPr>
        <w:spacing w:line="480" w:lineRule="auto"/>
        <w:ind w:firstLine="720"/>
        <w:contextualSpacing/>
        <w:jc w:val="both"/>
        <w:rPr>
          <w:bCs/>
        </w:rPr>
      </w:pPr>
      <w:r w:rsidRPr="00BA001D">
        <w:t xml:space="preserve">As part of Avista’s </w:t>
      </w:r>
      <w:r>
        <w:t>Integrated Resource P</w:t>
      </w:r>
      <w:r w:rsidRPr="00BA001D">
        <w:t xml:space="preserve">lanning </w:t>
      </w:r>
      <w:r w:rsidR="00903595">
        <w:t xml:space="preserve">(IRP) </w:t>
      </w:r>
      <w:r w:rsidRPr="00BA001D">
        <w:t xml:space="preserve">efforts, over </w:t>
      </w:r>
      <w:r>
        <w:t>3,</w:t>
      </w:r>
      <w:r w:rsidRPr="00BA001D">
        <w:t>000 measures are considered and then e</w:t>
      </w:r>
      <w:r w:rsidR="003F299C">
        <w:t xml:space="preserve">xamined for cost-effectiveness.  </w:t>
      </w:r>
      <w:r w:rsidRPr="00BA001D">
        <w:rPr>
          <w:bCs/>
        </w:rPr>
        <w:t>The Company’s comprehensive energy efficiency outreach, the “Every Little Bit” c</w:t>
      </w:r>
      <w:r>
        <w:rPr>
          <w:bCs/>
        </w:rPr>
        <w:t xml:space="preserve">ommunications </w:t>
      </w:r>
      <w:r>
        <w:rPr>
          <w:bCs/>
        </w:rPr>
        <w:lastRenderedPageBreak/>
        <w:t xml:space="preserve">campaign, continues to inform customers of the availability of </w:t>
      </w:r>
      <w:r w:rsidR="0067731E">
        <w:rPr>
          <w:bCs/>
        </w:rPr>
        <w:t>utility-</w:t>
      </w:r>
      <w:r w:rsidR="00275837">
        <w:rPr>
          <w:bCs/>
        </w:rPr>
        <w:t>sponsored energy efficiency programs</w:t>
      </w:r>
      <w:r w:rsidR="0067731E">
        <w:rPr>
          <w:bCs/>
        </w:rPr>
        <w:t>,</w:t>
      </w:r>
      <w:r w:rsidR="00275837">
        <w:rPr>
          <w:bCs/>
        </w:rPr>
        <w:t xml:space="preserve"> as well as general energy efficiency education</w:t>
      </w:r>
      <w:r w:rsidRPr="00BA001D">
        <w:rPr>
          <w:bCs/>
        </w:rPr>
        <w:t xml:space="preserve">. </w:t>
      </w:r>
      <w:r w:rsidR="003F299C">
        <w:rPr>
          <w:bCs/>
        </w:rPr>
        <w:t xml:space="preserve"> </w:t>
      </w:r>
      <w:r w:rsidR="009675AA">
        <w:rPr>
          <w:bCs/>
        </w:rPr>
        <w:t>Avista’s programs are delivered by approx</w:t>
      </w:r>
      <w:r w:rsidR="00FC4F0C">
        <w:rPr>
          <w:bCs/>
        </w:rPr>
        <w:t>imately 2</w:t>
      </w:r>
      <w:r w:rsidR="007E39BE">
        <w:rPr>
          <w:bCs/>
        </w:rPr>
        <w:t>9</w:t>
      </w:r>
      <w:r w:rsidR="00FC4F0C">
        <w:rPr>
          <w:bCs/>
        </w:rPr>
        <w:t xml:space="preserve"> full-time equivalent employees</w:t>
      </w:r>
      <w:r w:rsidR="009675AA">
        <w:rPr>
          <w:bCs/>
        </w:rPr>
        <w:t xml:space="preserve">. </w:t>
      </w:r>
    </w:p>
    <w:p w:rsidR="00A45FA9" w:rsidRPr="00B35A29" w:rsidRDefault="00A45FA9" w:rsidP="009B057F">
      <w:pPr>
        <w:spacing w:line="480" w:lineRule="auto"/>
        <w:ind w:firstLine="720"/>
        <w:contextualSpacing/>
        <w:jc w:val="both"/>
        <w:rPr>
          <w:b/>
        </w:rPr>
      </w:pPr>
      <w:r w:rsidRPr="00916C0B">
        <w:rPr>
          <w:b/>
        </w:rPr>
        <w:t>Q.</w:t>
      </w:r>
      <w:r w:rsidRPr="00916C0B">
        <w:rPr>
          <w:b/>
        </w:rPr>
        <w:tab/>
        <w:t>Please describe</w:t>
      </w:r>
      <w:r w:rsidR="003F299C">
        <w:rPr>
          <w:b/>
        </w:rPr>
        <w:t xml:space="preserve"> Avista’s efforts to implement </w:t>
      </w:r>
      <w:r w:rsidR="000D3595">
        <w:rPr>
          <w:b/>
        </w:rPr>
        <w:t xml:space="preserve">the provisions of </w:t>
      </w:r>
      <w:r w:rsidR="003F299C">
        <w:rPr>
          <w:b/>
        </w:rPr>
        <w:t>I-937</w:t>
      </w:r>
      <w:r w:rsidR="000D3595">
        <w:rPr>
          <w:b/>
        </w:rPr>
        <w:t xml:space="preserve"> and </w:t>
      </w:r>
      <w:r w:rsidRPr="00916C0B">
        <w:rPr>
          <w:b/>
        </w:rPr>
        <w:t>WAC 480-109, “Acquisition of minimum quantities of conservation and renewable energy as required by the Energy Indepen</w:t>
      </w:r>
      <w:r w:rsidR="000D3595">
        <w:rPr>
          <w:b/>
        </w:rPr>
        <w:t>dence Act (chapter 19.285 RCW).”</w:t>
      </w:r>
    </w:p>
    <w:p w:rsidR="00A45FA9" w:rsidRPr="00A45FA9" w:rsidRDefault="00A45FA9" w:rsidP="000D3595">
      <w:pPr>
        <w:spacing w:line="480" w:lineRule="auto"/>
        <w:ind w:firstLine="720"/>
        <w:jc w:val="both"/>
      </w:pPr>
      <w:r>
        <w:t>A.</w:t>
      </w:r>
      <w:r>
        <w:tab/>
        <w:t>In Docket No. UE-100176, the Commission approved A</w:t>
      </w:r>
      <w:r w:rsidRPr="00E5223B">
        <w:t>vista</w:t>
      </w:r>
      <w:r>
        <w:t>’s</w:t>
      </w:r>
      <w:r w:rsidRPr="00E5223B">
        <w:t xml:space="preserve"> Ten-year Achievable Conservation Potential and Biennial Conservation Target </w:t>
      </w:r>
      <w:r>
        <w:t>Report (“</w:t>
      </w:r>
      <w:r w:rsidR="00D22D53">
        <w:t>Biennial Conservation Plan</w:t>
      </w:r>
      <w:r>
        <w:t>”</w:t>
      </w:r>
      <w:r w:rsidR="00D22D53">
        <w:t xml:space="preserve"> or “BCP”</w:t>
      </w:r>
      <w:r>
        <w:t>)</w:t>
      </w:r>
      <w:r w:rsidRPr="00E5223B">
        <w:t xml:space="preserve">.  </w:t>
      </w:r>
      <w:r w:rsidRPr="00EB69E2">
        <w:t xml:space="preserve">Avista </w:t>
      </w:r>
      <w:r>
        <w:t xml:space="preserve">elected to use the Northwest Power </w:t>
      </w:r>
      <w:r w:rsidR="00D22D53">
        <w:t xml:space="preserve">and Conservation </w:t>
      </w:r>
      <w:r>
        <w:t>Council’s O</w:t>
      </w:r>
      <w:r w:rsidRPr="00455A8F">
        <w:t xml:space="preserve">ption #1 </w:t>
      </w:r>
      <w:r>
        <w:t xml:space="preserve">of </w:t>
      </w:r>
      <w:r w:rsidR="00D22D53">
        <w:t>its</w:t>
      </w:r>
      <w:r>
        <w:t xml:space="preserve"> </w:t>
      </w:r>
      <w:r w:rsidRPr="00D22D53">
        <w:rPr>
          <w:i/>
        </w:rPr>
        <w:t>6</w:t>
      </w:r>
      <w:r w:rsidRPr="00D22D53">
        <w:rPr>
          <w:i/>
          <w:vertAlign w:val="superscript"/>
        </w:rPr>
        <w:t>th</w:t>
      </w:r>
      <w:r w:rsidRPr="00D22D53">
        <w:rPr>
          <w:i/>
        </w:rPr>
        <w:t xml:space="preserve"> Power Plan</w:t>
      </w:r>
      <w:r>
        <w:t xml:space="preserve"> to establish</w:t>
      </w:r>
      <w:r w:rsidRPr="00EB69E2">
        <w:t xml:space="preserve"> the </w:t>
      </w:r>
      <w:r>
        <w:t xml:space="preserve">Company’s </w:t>
      </w:r>
      <w:r w:rsidRPr="00EB69E2">
        <w:t>acquisition target</w:t>
      </w:r>
      <w:r>
        <w:t>, adjusted to include electric-to-natural-gas fuel conversions</w:t>
      </w:r>
      <w:r w:rsidRPr="00EB69E2">
        <w:t>.</w:t>
      </w:r>
      <w:r>
        <w:t xml:space="preserve">  The acquisition target was 11.6% </w:t>
      </w:r>
      <w:r w:rsidRPr="004E5CD7">
        <w:t>greater than</w:t>
      </w:r>
      <w:r>
        <w:t xml:space="preserve"> the Company’s Integrated Resource Plan’s energy efficiency targets for the same period. </w:t>
      </w:r>
      <w:r w:rsidR="000E70C3">
        <w:t xml:space="preserve"> </w:t>
      </w:r>
      <w:r>
        <w:t>Avista’s goal was</w:t>
      </w:r>
      <w:r w:rsidRPr="00EB69E2">
        <w:t xml:space="preserve"> to </w:t>
      </w:r>
      <w:r>
        <w:t xml:space="preserve">acquire 128,603 </w:t>
      </w:r>
      <w:r w:rsidR="00EE7999">
        <w:t xml:space="preserve">annual, first-year </w:t>
      </w:r>
      <w:r w:rsidR="000E70C3">
        <w:t>MWh</w:t>
      </w:r>
      <w:r w:rsidRPr="00EB69E2">
        <w:t xml:space="preserve"> of </w:t>
      </w:r>
      <w:r>
        <w:t xml:space="preserve">energy </w:t>
      </w:r>
      <w:r w:rsidRPr="00EB69E2">
        <w:t>efficiency</w:t>
      </w:r>
      <w:r w:rsidR="000D3595">
        <w:t xml:space="preserve"> during the 2010-2011 b</w:t>
      </w:r>
      <w:r w:rsidR="00EE7999">
        <w:t>iennium</w:t>
      </w:r>
      <w:r w:rsidR="000D3595">
        <w:t>.</w:t>
      </w:r>
      <w:r w:rsidRPr="00EB69E2">
        <w:t xml:space="preserve"> </w:t>
      </w:r>
      <w:r w:rsidR="000D3595">
        <w:t xml:space="preserve">This was </w:t>
      </w:r>
      <w:r>
        <w:t xml:space="preserve">described in </w:t>
      </w:r>
      <w:r w:rsidR="000D3595">
        <w:t>the Company’s</w:t>
      </w:r>
      <w:r>
        <w:t xml:space="preserve"> approved </w:t>
      </w:r>
      <w:r w:rsidR="007578C7">
        <w:t>BCP</w:t>
      </w:r>
      <w:r>
        <w:t xml:space="preserve"> in 2010 and </w:t>
      </w:r>
      <w:r w:rsidRPr="00EB69E2">
        <w:t>2011</w:t>
      </w:r>
      <w:r w:rsidR="000D3595">
        <w:t>,</w:t>
      </w:r>
      <w:r>
        <w:t xml:space="preserve"> the first</w:t>
      </w:r>
      <w:r w:rsidRPr="00EB69E2">
        <w:t xml:space="preserve"> I-937 </w:t>
      </w:r>
      <w:r>
        <w:t xml:space="preserve">two-year </w:t>
      </w:r>
      <w:r w:rsidRPr="00EB69E2">
        <w:t>compliance period.</w:t>
      </w:r>
      <w:r>
        <w:t xml:space="preserve"> </w:t>
      </w:r>
      <w:r w:rsidR="002B0E46">
        <w:t xml:space="preserve">Avista opted to use the Council’s targets rather that the Company’s most recent IRP because the </w:t>
      </w:r>
      <w:r w:rsidR="002B0E46" w:rsidRPr="002B0E46">
        <w:rPr>
          <w:i/>
        </w:rPr>
        <w:t>6</w:t>
      </w:r>
      <w:r w:rsidR="002B0E46" w:rsidRPr="002B0E46">
        <w:rPr>
          <w:i/>
          <w:vertAlign w:val="superscript"/>
        </w:rPr>
        <w:t>th</w:t>
      </w:r>
      <w:r w:rsidR="002B0E46" w:rsidRPr="002B0E46">
        <w:rPr>
          <w:i/>
        </w:rPr>
        <w:t xml:space="preserve"> Power Plan</w:t>
      </w:r>
      <w:r w:rsidR="002B0E46">
        <w:t xml:space="preserve"> conservation goals had recently received significant public and expert review.</w:t>
      </w:r>
    </w:p>
    <w:p w:rsidR="007D6F6D" w:rsidRPr="00B0042F" w:rsidRDefault="00B0042F" w:rsidP="007D6F6D">
      <w:pPr>
        <w:pStyle w:val="BodyText2"/>
        <w:ind w:firstLine="720"/>
        <w:rPr>
          <w:b/>
        </w:rPr>
      </w:pPr>
      <w:r w:rsidRPr="00B0042F">
        <w:rPr>
          <w:b/>
        </w:rPr>
        <w:t>Q.</w:t>
      </w:r>
      <w:r w:rsidRPr="00B0042F">
        <w:rPr>
          <w:b/>
        </w:rPr>
        <w:tab/>
      </w:r>
      <w:r w:rsidR="00E3476D">
        <w:rPr>
          <w:b/>
        </w:rPr>
        <w:t xml:space="preserve">Would you please summarize </w:t>
      </w:r>
      <w:r w:rsidR="00A45FA9">
        <w:rPr>
          <w:b/>
        </w:rPr>
        <w:t>Avista’s results?</w:t>
      </w:r>
    </w:p>
    <w:p w:rsidR="00747BA8" w:rsidRDefault="00DD7E53" w:rsidP="00747BA8">
      <w:pPr>
        <w:pStyle w:val="BodyText2"/>
        <w:ind w:firstLine="720"/>
      </w:pPr>
      <w:r>
        <w:t>A.</w:t>
      </w:r>
      <w:r>
        <w:tab/>
      </w:r>
      <w:r w:rsidR="00E3476D">
        <w:t xml:space="preserve">Yes.  </w:t>
      </w:r>
      <w:r w:rsidR="00747BA8">
        <w:t xml:space="preserve">Avista exceeded its 2010-2011 </w:t>
      </w:r>
      <w:r w:rsidR="007578C7">
        <w:t>BCP</w:t>
      </w:r>
      <w:r w:rsidR="00B90124">
        <w:t xml:space="preserve"> </w:t>
      </w:r>
      <w:r w:rsidR="00747BA8">
        <w:t>electric t</w:t>
      </w:r>
      <w:r w:rsidR="00FC4F0C">
        <w:t xml:space="preserve">argets by </w:t>
      </w:r>
      <w:r w:rsidR="00F9085B">
        <w:t>32</w:t>
      </w:r>
      <w:r w:rsidR="00FC4F0C">
        <w:t xml:space="preserve">%, achieving </w:t>
      </w:r>
      <w:r w:rsidR="00276CFE">
        <w:t>16</w:t>
      </w:r>
      <w:r w:rsidR="00F9085B">
        <w:t xml:space="preserve">9,467 </w:t>
      </w:r>
      <w:r w:rsidR="006C5D7F">
        <w:t>M</w:t>
      </w:r>
      <w:r w:rsidR="00FC4F0C">
        <w:t xml:space="preserve">Wh </w:t>
      </w:r>
      <w:r w:rsidR="0064082D">
        <w:t xml:space="preserve">from </w:t>
      </w:r>
      <w:r w:rsidR="0064082D" w:rsidRPr="0064082D">
        <w:t xml:space="preserve">demand-side energy efficiency </w:t>
      </w:r>
      <w:r w:rsidR="00FC4F0C">
        <w:t xml:space="preserve">towards its goal of </w:t>
      </w:r>
      <w:r w:rsidR="00FC4F0C">
        <w:lastRenderedPageBreak/>
        <w:t>128</w:t>
      </w:r>
      <w:r w:rsidR="006C5D7F">
        <w:t>,603</w:t>
      </w:r>
      <w:r w:rsidR="00747BA8">
        <w:t xml:space="preserve"> </w:t>
      </w:r>
      <w:r w:rsidR="006C5D7F">
        <w:t>M</w:t>
      </w:r>
      <w:r w:rsidR="00747BA8">
        <w:t xml:space="preserve">Wh.  Avista achieved </w:t>
      </w:r>
      <w:r w:rsidR="00B90124">
        <w:t xml:space="preserve">over </w:t>
      </w:r>
      <w:r w:rsidR="006C5D7F">
        <w:t>2.</w:t>
      </w:r>
      <w:r w:rsidR="00F9085B">
        <w:t>5</w:t>
      </w:r>
      <w:r w:rsidR="006C5D7F">
        <w:t xml:space="preserve"> million</w:t>
      </w:r>
      <w:r w:rsidR="00747BA8">
        <w:t xml:space="preserve"> therms, or </w:t>
      </w:r>
      <w:r w:rsidR="006C5D7F">
        <w:t>7</w:t>
      </w:r>
      <w:r w:rsidR="00F9085B">
        <w:t>9</w:t>
      </w:r>
      <w:r w:rsidR="00747BA8">
        <w:t xml:space="preserve">% of its natural gas efficiency goals of </w:t>
      </w:r>
      <w:r w:rsidR="006C5D7F">
        <w:t>3.2 million</w:t>
      </w:r>
      <w:r w:rsidR="00747BA8">
        <w:t xml:space="preserve"> therms</w:t>
      </w:r>
      <w:r w:rsidR="007578C7">
        <w:t xml:space="preserve"> in Washington</w:t>
      </w:r>
      <w:r w:rsidR="00747BA8">
        <w:t xml:space="preserve">.  </w:t>
      </w:r>
      <w:r w:rsidR="007336AA">
        <w:t>Under</w:t>
      </w:r>
      <w:r w:rsidR="00B74756">
        <w:t xml:space="preserve"> </w:t>
      </w:r>
      <w:r w:rsidR="00D22D53">
        <w:t>the Total Resource Cost (TRC) cost-</w:t>
      </w:r>
      <w:r w:rsidR="00B74756">
        <w:t xml:space="preserve">effectiveness </w:t>
      </w:r>
      <w:r w:rsidR="00D22D53">
        <w:t>test</w:t>
      </w:r>
      <w:r w:rsidR="00747BA8">
        <w:t>,</w:t>
      </w:r>
      <w:r w:rsidR="00D22D53">
        <w:t xml:space="preserve"> </w:t>
      </w:r>
      <w:r w:rsidR="007336AA">
        <w:t xml:space="preserve">the </w:t>
      </w:r>
      <w:r w:rsidR="00747BA8">
        <w:t xml:space="preserve">electric efficiency </w:t>
      </w:r>
      <w:r w:rsidR="007336AA">
        <w:t>benefits exceeded the cost</w:t>
      </w:r>
      <w:r w:rsidR="000E70C3">
        <w:t>s</w:t>
      </w:r>
      <w:r w:rsidR="007336AA">
        <w:t xml:space="preserve"> </w:t>
      </w:r>
      <w:r w:rsidR="00D22D53">
        <w:t xml:space="preserve">by a </w:t>
      </w:r>
      <w:r w:rsidR="007336AA">
        <w:t xml:space="preserve">ratio of </w:t>
      </w:r>
      <w:r w:rsidR="006C5D7F">
        <w:t>1.</w:t>
      </w:r>
      <w:r w:rsidR="00276CFE">
        <w:t>5</w:t>
      </w:r>
      <w:r w:rsidR="00F9085B">
        <w:t>8</w:t>
      </w:r>
      <w:r w:rsidR="00B74756">
        <w:t>.</w:t>
      </w:r>
      <w:r w:rsidR="00747BA8">
        <w:t xml:space="preserve">  The </w:t>
      </w:r>
      <w:r w:rsidR="006F123C">
        <w:t xml:space="preserve">Washington </w:t>
      </w:r>
      <w:r w:rsidR="00747BA8">
        <w:t>natural gas efficiency TRC ratio</w:t>
      </w:r>
      <w:r w:rsidR="006F123C">
        <w:t xml:space="preserve"> was 1.19</w:t>
      </w:r>
      <w:r w:rsidR="00747BA8">
        <w:t xml:space="preserve">.  </w:t>
      </w:r>
      <w:r w:rsidR="00BC7784">
        <w:t>Illustration</w:t>
      </w:r>
      <w:r w:rsidR="00747BA8">
        <w:t xml:space="preserve"> </w:t>
      </w:r>
      <w:r w:rsidR="00903595">
        <w:t xml:space="preserve">No. </w:t>
      </w:r>
      <w:r w:rsidR="004E644D">
        <w:t>1</w:t>
      </w:r>
      <w:r w:rsidR="00747BA8">
        <w:t xml:space="preserve"> provides these and </w:t>
      </w:r>
      <w:r w:rsidR="00E06FFA">
        <w:t>related key</w:t>
      </w:r>
      <w:r w:rsidR="00747BA8">
        <w:t xml:space="preserve"> metrics.</w:t>
      </w:r>
    </w:p>
    <w:p w:rsidR="00B90124" w:rsidRPr="00BC7784" w:rsidRDefault="00BC7784" w:rsidP="00B90124">
      <w:pPr>
        <w:pStyle w:val="Caption"/>
        <w:jc w:val="both"/>
        <w:rPr>
          <w:b w:val="0"/>
          <w:color w:val="000000" w:themeColor="text1"/>
          <w:sz w:val="24"/>
          <w:u w:val="single"/>
        </w:rPr>
      </w:pPr>
      <w:r w:rsidRPr="00BC7784">
        <w:rPr>
          <w:b w:val="0"/>
          <w:color w:val="000000" w:themeColor="text1"/>
          <w:sz w:val="24"/>
          <w:u w:val="single"/>
        </w:rPr>
        <w:t>Illustration</w:t>
      </w:r>
      <w:r w:rsidR="00B90124" w:rsidRPr="00BC7784">
        <w:rPr>
          <w:b w:val="0"/>
          <w:color w:val="000000" w:themeColor="text1"/>
          <w:sz w:val="24"/>
          <w:u w:val="single"/>
        </w:rPr>
        <w:t xml:space="preserve"> </w:t>
      </w:r>
      <w:r w:rsidR="00903595" w:rsidRPr="00BC7784">
        <w:rPr>
          <w:b w:val="0"/>
          <w:color w:val="000000" w:themeColor="text1"/>
          <w:sz w:val="24"/>
          <w:u w:val="single"/>
        </w:rPr>
        <w:t xml:space="preserve">No. </w:t>
      </w:r>
      <w:r w:rsidR="000D3595">
        <w:rPr>
          <w:b w:val="0"/>
          <w:color w:val="000000" w:themeColor="text1"/>
          <w:sz w:val="24"/>
          <w:u w:val="single"/>
        </w:rPr>
        <w:t>1</w:t>
      </w:r>
      <w:r w:rsidR="00B90124" w:rsidRPr="00BC7784">
        <w:rPr>
          <w:b w:val="0"/>
          <w:color w:val="000000" w:themeColor="text1"/>
          <w:sz w:val="24"/>
          <w:u w:val="single"/>
        </w:rPr>
        <w:t>:</w:t>
      </w:r>
    </w:p>
    <w:p w:rsidR="008667F8" w:rsidRDefault="00565E39" w:rsidP="008667F8">
      <w:pPr>
        <w:pStyle w:val="BodyText2"/>
        <w:keepN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25pt;width:479.25pt;height:443.25pt;z-index:251666432;mso-position-horizontal:absolute;mso-position-horizontal-relative:text;mso-position-vertical:absolute;mso-position-vertical-relative:text;mso-width-relative:page;mso-height-relative:page">
            <v:imagedata r:id="rId12" o:title=""/>
          </v:shape>
          <o:OLEObject Type="Embed" ProgID="Word.Document.12" ShapeID="_x0000_s1027" DrawAspect="Content" ObjectID="_1399874593" r:id="rId13">
            <o:FieldCodes>\s</o:FieldCodes>
          </o:OLEObject>
        </w:pict>
      </w: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8667F8" w:rsidRDefault="008667F8" w:rsidP="008667F8">
      <w:pPr>
        <w:pStyle w:val="Caption"/>
        <w:jc w:val="both"/>
        <w:rPr>
          <w:color w:val="000000" w:themeColor="text1"/>
          <w:sz w:val="24"/>
        </w:rPr>
      </w:pPr>
    </w:p>
    <w:p w:rsidR="00471F6E" w:rsidRDefault="00471F6E" w:rsidP="00471F6E"/>
    <w:p w:rsidR="00471F6E" w:rsidRPr="00471F6E" w:rsidRDefault="00471F6E" w:rsidP="00471F6E"/>
    <w:p w:rsidR="008667F8" w:rsidRDefault="008667F8" w:rsidP="008667F8">
      <w:pPr>
        <w:pStyle w:val="Caption"/>
        <w:jc w:val="both"/>
        <w:rPr>
          <w:color w:val="000000" w:themeColor="text1"/>
          <w:sz w:val="24"/>
        </w:rPr>
      </w:pPr>
    </w:p>
    <w:p w:rsidR="008667F8" w:rsidRDefault="008667F8" w:rsidP="00D22D53">
      <w:pPr>
        <w:pStyle w:val="BodyText2"/>
      </w:pPr>
    </w:p>
    <w:p w:rsidR="00613D00" w:rsidRDefault="00613D00" w:rsidP="00D22D53">
      <w:pPr>
        <w:pStyle w:val="BodyText2"/>
      </w:pPr>
    </w:p>
    <w:p w:rsidR="00747BA8" w:rsidRPr="00747BA8" w:rsidRDefault="00747BA8" w:rsidP="00B74756">
      <w:pPr>
        <w:pStyle w:val="BodyText2"/>
        <w:ind w:firstLine="720"/>
        <w:rPr>
          <w:b/>
        </w:rPr>
      </w:pPr>
      <w:r w:rsidRPr="00747BA8">
        <w:rPr>
          <w:b/>
        </w:rPr>
        <w:lastRenderedPageBreak/>
        <w:t>Q.</w:t>
      </w:r>
      <w:r w:rsidRPr="00747BA8">
        <w:rPr>
          <w:b/>
        </w:rPr>
        <w:tab/>
        <w:t>What is the breakdown of the electric savings by contribution area?</w:t>
      </w:r>
    </w:p>
    <w:p w:rsidR="00F9085B" w:rsidRDefault="00747BA8" w:rsidP="0064082D">
      <w:pPr>
        <w:pStyle w:val="BodyText2"/>
        <w:ind w:firstLine="720"/>
      </w:pPr>
      <w:r>
        <w:t>A.</w:t>
      </w:r>
      <w:r>
        <w:tab/>
      </w:r>
      <w:bookmarkStart w:id="0" w:name="OLE_LINK3"/>
      <w:bookmarkStart w:id="1" w:name="OLE_LINK4"/>
      <w:r w:rsidR="00A957E9">
        <w:t xml:space="preserve">Avista’s electric efficiency acquisition is derived from several different areas.  </w:t>
      </w:r>
      <w:r w:rsidR="001112A0">
        <w:t>Illustration No. 2</w:t>
      </w:r>
      <w:r w:rsidR="00A957E9">
        <w:t xml:space="preserve">, below, shows the various contributions by area towards the overall 2010-2011 </w:t>
      </w:r>
      <w:r w:rsidR="00613D00">
        <w:t xml:space="preserve">BCP </w:t>
      </w:r>
      <w:r w:rsidR="00A957E9">
        <w:t>targets.</w:t>
      </w:r>
    </w:p>
    <w:p w:rsidR="00BC7784" w:rsidRPr="00BC7784" w:rsidRDefault="001112A0" w:rsidP="00BC7784">
      <w:pPr>
        <w:pStyle w:val="BodyText2"/>
        <w:rPr>
          <w:u w:val="single"/>
        </w:rPr>
      </w:pPr>
      <w:r>
        <w:rPr>
          <w:u w:val="single"/>
        </w:rPr>
        <w:t>Illustration No. 2</w:t>
      </w:r>
    </w:p>
    <w:bookmarkEnd w:id="0"/>
    <w:bookmarkEnd w:id="1"/>
    <w:p w:rsidR="00471F6E" w:rsidRDefault="0064082D" w:rsidP="00B74756">
      <w:pPr>
        <w:pStyle w:val="BodyText2"/>
        <w:ind w:firstLine="720"/>
        <w:rPr>
          <w:highlight w:val="yellow"/>
        </w:rPr>
      </w:pPr>
      <w:r w:rsidRPr="0064082D">
        <w:rPr>
          <w:noProof/>
        </w:rPr>
        <w:drawing>
          <wp:anchor distT="0" distB="0" distL="114300" distR="114300" simplePos="0" relativeHeight="251667456" behindDoc="0" locked="0" layoutInCell="1" allowOverlap="1">
            <wp:simplePos x="0" y="0"/>
            <wp:positionH relativeFrom="column">
              <wp:posOffset>-51436</wp:posOffset>
            </wp:positionH>
            <wp:positionV relativeFrom="paragraph">
              <wp:posOffset>1905</wp:posOffset>
            </wp:positionV>
            <wp:extent cx="5688593" cy="2914650"/>
            <wp:effectExtent l="19050" t="0" r="7357"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688593" cy="2914650"/>
                    </a:xfrm>
                    <a:prstGeom prst="rect">
                      <a:avLst/>
                    </a:prstGeom>
                    <a:noFill/>
                    <a:ln w="9525">
                      <a:noFill/>
                      <a:miter lim="800000"/>
                      <a:headEnd/>
                      <a:tailEnd/>
                    </a:ln>
                  </pic:spPr>
                </pic:pic>
              </a:graphicData>
            </a:graphic>
          </wp:anchor>
        </w:drawing>
      </w:r>
    </w:p>
    <w:p w:rsidR="00471F6E" w:rsidRDefault="00471F6E" w:rsidP="00B74756">
      <w:pPr>
        <w:pStyle w:val="BodyText2"/>
        <w:ind w:firstLine="720"/>
        <w:rPr>
          <w:highlight w:val="yellow"/>
        </w:rPr>
      </w:pPr>
    </w:p>
    <w:p w:rsidR="00471F6E" w:rsidRDefault="00471F6E" w:rsidP="00B74756">
      <w:pPr>
        <w:pStyle w:val="BodyText2"/>
        <w:ind w:firstLine="720"/>
        <w:rPr>
          <w:highlight w:val="yellow"/>
        </w:rPr>
      </w:pPr>
    </w:p>
    <w:p w:rsidR="00471F6E" w:rsidRDefault="00471F6E" w:rsidP="00B74756">
      <w:pPr>
        <w:pStyle w:val="BodyText2"/>
        <w:ind w:firstLine="720"/>
        <w:rPr>
          <w:highlight w:val="yellow"/>
        </w:rPr>
      </w:pPr>
    </w:p>
    <w:p w:rsidR="00613D00" w:rsidRDefault="00613D00" w:rsidP="00B74756">
      <w:pPr>
        <w:pStyle w:val="BodyText2"/>
        <w:ind w:firstLine="720"/>
        <w:rPr>
          <w:highlight w:val="yellow"/>
        </w:rPr>
      </w:pPr>
    </w:p>
    <w:p w:rsidR="00471F6E" w:rsidRDefault="00471F6E" w:rsidP="00B74756">
      <w:pPr>
        <w:pStyle w:val="BodyText2"/>
        <w:ind w:firstLine="720"/>
        <w:rPr>
          <w:highlight w:val="yellow"/>
        </w:rPr>
      </w:pPr>
    </w:p>
    <w:p w:rsidR="00471F6E" w:rsidRDefault="00471F6E" w:rsidP="00B74756">
      <w:pPr>
        <w:pStyle w:val="BodyText2"/>
        <w:ind w:firstLine="720"/>
        <w:rPr>
          <w:highlight w:val="yellow"/>
        </w:rPr>
      </w:pPr>
    </w:p>
    <w:p w:rsidR="00471F6E" w:rsidRDefault="00471F6E" w:rsidP="00B74756">
      <w:pPr>
        <w:pStyle w:val="BodyText2"/>
        <w:ind w:firstLine="720"/>
        <w:rPr>
          <w:highlight w:val="yellow"/>
        </w:rPr>
      </w:pPr>
    </w:p>
    <w:p w:rsidR="00471F6E" w:rsidRDefault="00471F6E" w:rsidP="0064082D">
      <w:pPr>
        <w:pStyle w:val="BodyText2"/>
        <w:rPr>
          <w:highlight w:val="yellow"/>
        </w:rPr>
      </w:pPr>
    </w:p>
    <w:p w:rsidR="00613D00" w:rsidRDefault="004A4C8B" w:rsidP="00567F4E">
      <w:pPr>
        <w:spacing w:line="480" w:lineRule="auto"/>
        <w:ind w:firstLine="720"/>
        <w:jc w:val="both"/>
      </w:pPr>
      <w:r w:rsidRPr="004A4C8B">
        <w:t xml:space="preserve">The </w:t>
      </w:r>
      <w:r w:rsidR="00BC7784">
        <w:t>Illustration</w:t>
      </w:r>
      <w:r w:rsidRPr="004A4C8B">
        <w:t xml:space="preserve"> above disaggregates Avista’s 2010-2011 acquisition into local acquisition (</w:t>
      </w:r>
      <w:r>
        <w:t>by</w:t>
      </w:r>
      <w:r w:rsidRPr="004A4C8B">
        <w:t xml:space="preserve"> </w:t>
      </w:r>
      <w:r>
        <w:t>customer</w:t>
      </w:r>
      <w:r w:rsidRPr="004A4C8B">
        <w:t xml:space="preserve"> segment</w:t>
      </w:r>
      <w:r>
        <w:t xml:space="preserve"> as well as the CFL contingency plan</w:t>
      </w:r>
      <w:r w:rsidRPr="004A4C8B">
        <w:t>), regional savings recognized by NEEA during the biennium and ascribed to Avista’s Washington service territory</w:t>
      </w:r>
      <w:r w:rsidR="004E644D">
        <w:t>,</w:t>
      </w:r>
      <w:r w:rsidRPr="004A4C8B">
        <w:t xml:space="preserve"> and distribution efficiency savings for projects completed during that period.</w:t>
      </w:r>
      <w:r w:rsidR="00567F4E">
        <w:t xml:space="preserve"> </w:t>
      </w:r>
    </w:p>
    <w:p w:rsidR="0064082D" w:rsidRDefault="0064082D" w:rsidP="00567F4E">
      <w:pPr>
        <w:spacing w:line="480" w:lineRule="auto"/>
        <w:ind w:firstLine="720"/>
        <w:jc w:val="both"/>
      </w:pPr>
    </w:p>
    <w:p w:rsidR="0064082D" w:rsidRDefault="0064082D" w:rsidP="00567F4E">
      <w:pPr>
        <w:spacing w:line="480" w:lineRule="auto"/>
        <w:ind w:firstLine="720"/>
        <w:jc w:val="both"/>
      </w:pPr>
    </w:p>
    <w:p w:rsidR="00B05D26" w:rsidRPr="00B05D26" w:rsidRDefault="00B05D26" w:rsidP="00B74756">
      <w:pPr>
        <w:pStyle w:val="BodyText2"/>
        <w:ind w:firstLine="720"/>
        <w:rPr>
          <w:b/>
        </w:rPr>
      </w:pPr>
      <w:r w:rsidRPr="00B05D26">
        <w:rPr>
          <w:b/>
        </w:rPr>
        <w:lastRenderedPageBreak/>
        <w:t>Q.</w:t>
      </w:r>
      <w:r w:rsidRPr="00B05D26">
        <w:rPr>
          <w:b/>
        </w:rPr>
        <w:tab/>
        <w:t xml:space="preserve">Please address the conditions that were part of the Commission’s order in its approval of the Company’s BCP. </w:t>
      </w:r>
    </w:p>
    <w:p w:rsidR="00567F4E" w:rsidRDefault="001F46B6" w:rsidP="00A979E2">
      <w:pPr>
        <w:pStyle w:val="BodyText2"/>
        <w:ind w:firstLine="720"/>
      </w:pPr>
      <w:r>
        <w:t>A.</w:t>
      </w:r>
      <w:r>
        <w:tab/>
      </w:r>
      <w:r w:rsidR="00E3476D">
        <w:t>Nine “conditi</w:t>
      </w:r>
      <w:r w:rsidR="00567F4E">
        <w:t>ons” are stated in paragraphs 58</w:t>
      </w:r>
      <w:r w:rsidR="00B05D26">
        <w:t xml:space="preserve"> through 67</w:t>
      </w:r>
      <w:r w:rsidR="00D22D53">
        <w:t xml:space="preserve"> of the Commis</w:t>
      </w:r>
      <w:r w:rsidR="00D93D19">
        <w:t>s</w:t>
      </w:r>
      <w:r w:rsidR="00D22D53">
        <w:t>i</w:t>
      </w:r>
      <w:r w:rsidR="00D93D19">
        <w:t>on’s Order No. 01 approving the Company’s 2010-2011 targets</w:t>
      </w:r>
      <w:r w:rsidR="00E3476D">
        <w:t xml:space="preserve">.  </w:t>
      </w:r>
      <w:r w:rsidR="00D93D19">
        <w:t xml:space="preserve">Avista has complied with all specified conditions.  This </w:t>
      </w:r>
      <w:r w:rsidR="00E3476D">
        <w:t>is shown in Exhibit</w:t>
      </w:r>
      <w:r w:rsidR="004E644D">
        <w:t xml:space="preserve"> </w:t>
      </w:r>
      <w:r w:rsidR="009A29EC">
        <w:t>No.___(</w:t>
      </w:r>
      <w:r w:rsidR="00E3476D">
        <w:t>BWF-2</w:t>
      </w:r>
      <w:r w:rsidR="009A29EC">
        <w:t>)</w:t>
      </w:r>
      <w:r w:rsidR="00E3476D">
        <w:t xml:space="preserve">.  </w:t>
      </w:r>
    </w:p>
    <w:p w:rsidR="004E65B5" w:rsidRPr="004E65B5" w:rsidRDefault="00567F4E" w:rsidP="00567F4E">
      <w:pPr>
        <w:spacing w:line="480" w:lineRule="auto"/>
        <w:ind w:firstLine="720"/>
        <w:jc w:val="both"/>
        <w:rPr>
          <w:b/>
        </w:rPr>
      </w:pPr>
      <w:r>
        <w:rPr>
          <w:b/>
        </w:rPr>
        <w:t>Q.</w:t>
      </w:r>
      <w:r>
        <w:rPr>
          <w:b/>
        </w:rPr>
        <w:tab/>
      </w:r>
      <w:r w:rsidR="004E65B5" w:rsidRPr="004E65B5">
        <w:rPr>
          <w:b/>
        </w:rPr>
        <w:t>What does NEEA bring to Avista’s DSM portfolio?</w:t>
      </w:r>
    </w:p>
    <w:p w:rsidR="004E65B5" w:rsidRDefault="00567F4E" w:rsidP="00567F4E">
      <w:pPr>
        <w:spacing w:line="480" w:lineRule="auto"/>
        <w:ind w:firstLine="720"/>
        <w:jc w:val="both"/>
      </w:pPr>
      <w:r>
        <w:t>A.</w:t>
      </w:r>
      <w:r>
        <w:tab/>
      </w:r>
      <w:r w:rsidR="004E65B5">
        <w:t xml:space="preserve">Avista is one of fourteen </w:t>
      </w:r>
      <w:r w:rsidR="00EE7999">
        <w:t xml:space="preserve">direct </w:t>
      </w:r>
      <w:r w:rsidR="004E65B5">
        <w:t>fu</w:t>
      </w:r>
      <w:r w:rsidR="00FC4F0C">
        <w:t>nders</w:t>
      </w:r>
      <w:r w:rsidR="004E65B5">
        <w:t xml:space="preserve"> of NEEA since the creation of that organization in 1996.  NEEA acts on behalf of funding </w:t>
      </w:r>
      <w:r w:rsidR="00FC4F0C">
        <w:t>entities</w:t>
      </w:r>
      <w:r w:rsidR="004E65B5">
        <w:t xml:space="preserve"> throughout the region to acquire energ</w:t>
      </w:r>
      <w:r w:rsidR="00785130">
        <w:t>y efficiency resources through “market transformations”</w:t>
      </w:r>
      <w:r w:rsidR="004E65B5">
        <w:t xml:space="preserve"> that could not be achieved through individual utility action.  NEEA’s market transformation ventures are interventions in key markets that change the trajectory of the acceptance of an energy efficiency product or service.  Due to the scale necessary for being effective within these markets</w:t>
      </w:r>
      <w:r w:rsidR="000E70C3">
        <w:t>,</w:t>
      </w:r>
      <w:r w:rsidR="004E65B5">
        <w:t xml:space="preserve"> this is best achieved on a regional basis.</w:t>
      </w:r>
    </w:p>
    <w:p w:rsidR="004E65B5" w:rsidRDefault="00785130" w:rsidP="00785130">
      <w:pPr>
        <w:tabs>
          <w:tab w:val="left" w:pos="540"/>
        </w:tabs>
        <w:spacing w:line="480" w:lineRule="auto"/>
        <w:jc w:val="both"/>
      </w:pPr>
      <w:r>
        <w:tab/>
      </w:r>
      <w:r w:rsidR="004E65B5">
        <w:t>Avista’s participation in NEEA leads to the acquisition of resources that would be unachievable, or more costly, if it were not achieved through regional cooperation</w:t>
      </w:r>
      <w:r w:rsidR="004E644D">
        <w:t xml:space="preserve"> and emphasis</w:t>
      </w:r>
      <w:r w:rsidR="004E65B5">
        <w:t>.</w:t>
      </w:r>
    </w:p>
    <w:p w:rsidR="004E65B5" w:rsidRPr="00785130" w:rsidRDefault="00785130" w:rsidP="00785130">
      <w:pPr>
        <w:tabs>
          <w:tab w:val="left" w:pos="540"/>
        </w:tabs>
        <w:spacing w:line="480" w:lineRule="auto"/>
        <w:jc w:val="both"/>
        <w:rPr>
          <w:b/>
        </w:rPr>
      </w:pPr>
      <w:r w:rsidRPr="00785130">
        <w:rPr>
          <w:b/>
        </w:rPr>
        <w:tab/>
        <w:t>Q.</w:t>
      </w:r>
      <w:r w:rsidRPr="00785130">
        <w:rPr>
          <w:b/>
        </w:rPr>
        <w:tab/>
      </w:r>
      <w:r w:rsidR="004E65B5" w:rsidRPr="00785130">
        <w:rPr>
          <w:b/>
        </w:rPr>
        <w:t>What acquisition is Avista claiming</w:t>
      </w:r>
      <w:r w:rsidR="00C256DC">
        <w:rPr>
          <w:b/>
        </w:rPr>
        <w:t xml:space="preserve"> for NEEA during the 2010-2011 B</w:t>
      </w:r>
      <w:r w:rsidR="004E65B5" w:rsidRPr="00785130">
        <w:rPr>
          <w:b/>
        </w:rPr>
        <w:t>iennium?</w:t>
      </w:r>
    </w:p>
    <w:p w:rsidR="00C505F2" w:rsidRDefault="00785130" w:rsidP="00BC7784">
      <w:pPr>
        <w:tabs>
          <w:tab w:val="left" w:pos="540"/>
        </w:tabs>
        <w:spacing w:line="480" w:lineRule="auto"/>
        <w:ind w:hanging="547"/>
        <w:jc w:val="both"/>
      </w:pPr>
      <w:r>
        <w:tab/>
      </w:r>
      <w:r>
        <w:tab/>
        <w:t>A.</w:t>
      </w:r>
      <w:r>
        <w:tab/>
      </w:r>
      <w:r w:rsidR="004E65B5">
        <w:t>A</w:t>
      </w:r>
      <w:r>
        <w:t>vista is claiming a</w:t>
      </w:r>
      <w:r w:rsidR="005C3E22">
        <w:t xml:space="preserve"> total of 5.38 aMW (47,129 </w:t>
      </w:r>
      <w:r w:rsidR="000E70C3">
        <w:t>MWh</w:t>
      </w:r>
      <w:r w:rsidR="004E65B5">
        <w:t>’s)</w:t>
      </w:r>
      <w:r>
        <w:t xml:space="preserve"> from NEEA’s results for this </w:t>
      </w:r>
      <w:r w:rsidR="00C256DC">
        <w:t>b</w:t>
      </w:r>
      <w:r>
        <w:t>iennium</w:t>
      </w:r>
      <w:r w:rsidR="004E65B5">
        <w:t xml:space="preserve">.  This </w:t>
      </w:r>
      <w:r w:rsidR="000E70C3">
        <w:t>value</w:t>
      </w:r>
      <w:r w:rsidR="004E65B5">
        <w:t xml:space="preserve"> is based upon NEEA’s calculation of total regional savings within Avista’s Washington service territory less those which were captured as part of Avista’s local DSM portfolio</w:t>
      </w:r>
      <w:r w:rsidR="001112A0">
        <w:t xml:space="preserve">, as included in Company witness Lori </w:t>
      </w:r>
      <w:r w:rsidR="001112A0">
        <w:lastRenderedPageBreak/>
        <w:t>Hermanson’s testimony</w:t>
      </w:r>
      <w:r w:rsidR="004E65B5">
        <w:t xml:space="preserve">.  This amount also includes the net impact of several one-time adjustments, both positive and negative, that occurred during that biennium.   </w:t>
      </w:r>
    </w:p>
    <w:p w:rsidR="00567F4E" w:rsidRDefault="00567F4E" w:rsidP="00B3562A">
      <w:pPr>
        <w:tabs>
          <w:tab w:val="left" w:pos="540"/>
        </w:tabs>
        <w:spacing w:line="480" w:lineRule="auto"/>
        <w:jc w:val="both"/>
      </w:pPr>
    </w:p>
    <w:p w:rsidR="00C505F2" w:rsidRPr="00C505F2" w:rsidRDefault="00C505F2" w:rsidP="00C505F2">
      <w:pPr>
        <w:spacing w:line="480" w:lineRule="auto"/>
        <w:jc w:val="center"/>
        <w:rPr>
          <w:b/>
          <w:u w:val="single"/>
        </w:rPr>
      </w:pPr>
      <w:r w:rsidRPr="00C505F2">
        <w:rPr>
          <w:b/>
          <w:u w:val="single"/>
        </w:rPr>
        <w:t>IV.  DISCUSSION OF SELECTED ISSUES</w:t>
      </w:r>
    </w:p>
    <w:p w:rsidR="009902B8" w:rsidRPr="009902B8" w:rsidRDefault="009902B8" w:rsidP="009902B8">
      <w:pPr>
        <w:pStyle w:val="BodyText2"/>
        <w:ind w:firstLine="720"/>
        <w:rPr>
          <w:b/>
        </w:rPr>
      </w:pPr>
      <w:r w:rsidRPr="009902B8">
        <w:rPr>
          <w:b/>
        </w:rPr>
        <w:t>Q.</w:t>
      </w:r>
      <w:r w:rsidRPr="009902B8">
        <w:rPr>
          <w:b/>
        </w:rPr>
        <w:tab/>
        <w:t>Why did Avista</w:t>
      </w:r>
      <w:r w:rsidR="00FC47A0">
        <w:rPr>
          <w:b/>
        </w:rPr>
        <w:t xml:space="preserve">’s </w:t>
      </w:r>
      <w:r w:rsidR="00E06FFA">
        <w:rPr>
          <w:b/>
        </w:rPr>
        <w:t xml:space="preserve">electric </w:t>
      </w:r>
      <w:r w:rsidR="00FC47A0">
        <w:rPr>
          <w:b/>
        </w:rPr>
        <w:t>acquisition achievement</w:t>
      </w:r>
      <w:r w:rsidRPr="009902B8">
        <w:rPr>
          <w:b/>
        </w:rPr>
        <w:t xml:space="preserve"> exceed its targets by </w:t>
      </w:r>
      <w:r w:rsidR="00F9085B">
        <w:rPr>
          <w:b/>
        </w:rPr>
        <w:t>32</w:t>
      </w:r>
      <w:r w:rsidR="00BB4C87">
        <w:rPr>
          <w:b/>
        </w:rPr>
        <w:t>%</w:t>
      </w:r>
      <w:r w:rsidRPr="009902B8">
        <w:rPr>
          <w:b/>
        </w:rPr>
        <w:t>?</w:t>
      </w:r>
    </w:p>
    <w:p w:rsidR="000029F9" w:rsidRDefault="009902B8" w:rsidP="000029F9">
      <w:pPr>
        <w:pStyle w:val="BodyText2"/>
      </w:pPr>
      <w:r>
        <w:tab/>
        <w:t>A.</w:t>
      </w:r>
      <w:r>
        <w:tab/>
      </w:r>
      <w:bookmarkStart w:id="2" w:name="OLE_LINK1"/>
      <w:bookmarkStart w:id="3" w:name="OLE_LINK2"/>
      <w:r w:rsidR="000029F9">
        <w:t xml:space="preserve">Avista’s first and foremost objective is to achieve all cost-effective energy efficiency resources.  </w:t>
      </w:r>
      <w:bookmarkEnd w:id="2"/>
      <w:bookmarkEnd w:id="3"/>
      <w:r w:rsidR="000029F9">
        <w:t xml:space="preserve">The 2010-2011 Biennium was the first under the I-937 requirements and was the first period for which penalties could be levied for insufficient acquisition.  Consequently, the Company integrated the timing of the acquisition of identified cost-effective resources into our business planning strategy to assure compliance with I-937 requirements.  This included launching a </w:t>
      </w:r>
      <w:r w:rsidR="007C68DF">
        <w:t>C</w:t>
      </w:r>
      <w:r w:rsidR="000029F9">
        <w:t xml:space="preserve">ompact </w:t>
      </w:r>
      <w:r w:rsidR="007C68DF">
        <w:t>F</w:t>
      </w:r>
      <w:r w:rsidR="000029F9">
        <w:t xml:space="preserve">luorescent </w:t>
      </w:r>
      <w:r w:rsidR="007C68DF">
        <w:t>L</w:t>
      </w:r>
      <w:r w:rsidR="000029F9">
        <w:t>amp (CFL) contingency program in the summer of 2011.  The results of this program, in conjunction with the breadth of standard programs and higher than anticipated realization rates in general, allowed the Company to surpass its targets.</w:t>
      </w:r>
    </w:p>
    <w:p w:rsidR="000029F9" w:rsidRDefault="000029F9" w:rsidP="000029F9">
      <w:pPr>
        <w:pStyle w:val="BodyText2"/>
      </w:pPr>
      <w:r>
        <w:tab/>
        <w:t xml:space="preserve">Another contributing factor to exceeding </w:t>
      </w:r>
      <w:r w:rsidR="007C68DF">
        <w:t xml:space="preserve">the </w:t>
      </w:r>
      <w:r>
        <w:t xml:space="preserve">target was </w:t>
      </w:r>
      <w:r w:rsidR="001112A0">
        <w:t>higher</w:t>
      </w:r>
      <w:r>
        <w:t xml:space="preserve"> savings reported by NEEA that are attributable to Avista.  Historically, NEEA savings ascribed to Avista’s Washington service territory has been in the range of 1.0 to 1.4 aMW per year.  However, the claimable savings resulting from NEEA’s CFL market transformation ventures were steadily declining and there were additional uncertainties relating to methodologies for allocating regional savings to individual utilities and jurisdictions.  Avista also had no prior experience with baseline savings consistent with the Council’s </w:t>
      </w:r>
      <w:r>
        <w:lastRenderedPageBreak/>
        <w:t>6</w:t>
      </w:r>
      <w:r>
        <w:rPr>
          <w:vertAlign w:val="superscript"/>
        </w:rPr>
        <w:t>th</w:t>
      </w:r>
      <w:r>
        <w:t xml:space="preserve"> Power Plan.  NEEA’s calculation of Avista’s Washington acquisition under protocols consistent with the Council’s </w:t>
      </w:r>
      <w:r>
        <w:rPr>
          <w:i/>
        </w:rPr>
        <w:t>6</w:t>
      </w:r>
      <w:r>
        <w:rPr>
          <w:i/>
          <w:vertAlign w:val="superscript"/>
        </w:rPr>
        <w:t>th</w:t>
      </w:r>
      <w:r>
        <w:rPr>
          <w:i/>
        </w:rPr>
        <w:t xml:space="preserve"> Power Plan</w:t>
      </w:r>
      <w:r>
        <w:t xml:space="preserve"> was released to Avista on March 29, 2012 and contained the confirmation of 5.38 aMW of energy savings recognized during the 2010-2011 Biennium, more</w:t>
      </w:r>
      <w:r w:rsidR="007C68DF">
        <w:t xml:space="preserve"> than twice the Company’s</w:t>
      </w:r>
      <w:r>
        <w:t xml:space="preserve"> previous experience.</w:t>
      </w:r>
    </w:p>
    <w:p w:rsidR="000A266D" w:rsidRPr="008000C8" w:rsidRDefault="000A266D" w:rsidP="000029F9">
      <w:pPr>
        <w:pStyle w:val="BodyText2"/>
        <w:rPr>
          <w:b/>
        </w:rPr>
      </w:pPr>
      <w:r>
        <w:tab/>
      </w:r>
      <w:r w:rsidRPr="008000C8">
        <w:rPr>
          <w:b/>
        </w:rPr>
        <w:t>Q.</w:t>
      </w:r>
      <w:r w:rsidRPr="008000C8">
        <w:rPr>
          <w:b/>
        </w:rPr>
        <w:tab/>
      </w:r>
      <w:r w:rsidR="008000C8">
        <w:rPr>
          <w:b/>
        </w:rPr>
        <w:t xml:space="preserve">What </w:t>
      </w:r>
      <w:r w:rsidR="00881CBE">
        <w:rPr>
          <w:b/>
        </w:rPr>
        <w:t>is a realization rate</w:t>
      </w:r>
      <w:r w:rsidR="00C1791B">
        <w:rPr>
          <w:b/>
        </w:rPr>
        <w:t xml:space="preserve"> and how does this a</w:t>
      </w:r>
      <w:r w:rsidR="008000C8">
        <w:rPr>
          <w:b/>
        </w:rPr>
        <w:t>ffect claimed savings?</w:t>
      </w:r>
    </w:p>
    <w:p w:rsidR="008000C8" w:rsidRDefault="008000C8" w:rsidP="008000C8">
      <w:pPr>
        <w:pStyle w:val="BodyText2"/>
        <w:ind w:firstLine="720"/>
      </w:pPr>
      <w:r>
        <w:t>A.</w:t>
      </w:r>
      <w:r>
        <w:tab/>
        <w:t xml:space="preserve"> Energy efficiency savings are </w:t>
      </w:r>
      <w:r w:rsidRPr="00864432">
        <w:t>estimated</w:t>
      </w:r>
      <w:r>
        <w:t xml:space="preserve"> based on the per-measure (e.g., T-8 commercial lighting, </w:t>
      </w:r>
      <w:r w:rsidR="00C1791B">
        <w:t>ENERGY STAR</w:t>
      </w:r>
      <w:r>
        <w:t xml:space="preserve">® Dishwashers, or ceiling insulation) accepted value multiplied by the number of units installed.  Thereafter, the number of units installed </w:t>
      </w:r>
      <w:r w:rsidR="00881CBE">
        <w:t>is</w:t>
      </w:r>
      <w:r>
        <w:t xml:space="preserve"> verified for accuracy</w:t>
      </w:r>
      <w:r w:rsidR="00FC4F0C">
        <w:t xml:space="preserve"> and proper installation</w:t>
      </w:r>
      <w:r>
        <w:t xml:space="preserve"> and the actual saving</w:t>
      </w:r>
      <w:r w:rsidR="00881CBE">
        <w:t>s</w:t>
      </w:r>
      <w:r>
        <w:t xml:space="preserve"> value per measure can be tested by data loggers</w:t>
      </w:r>
      <w:r w:rsidR="00FC4F0C">
        <w:t>, billing analysis</w:t>
      </w:r>
      <w:r>
        <w:t xml:space="preserve"> and other </w:t>
      </w:r>
      <w:r w:rsidR="00C1791B">
        <w:t xml:space="preserve">analytical </w:t>
      </w:r>
      <w:r>
        <w:t xml:space="preserve">means.  If the actual savings per measure are </w:t>
      </w:r>
      <w:r w:rsidR="00864432">
        <w:t xml:space="preserve">confirmed without change </w:t>
      </w:r>
      <w:r w:rsidRPr="00864432">
        <w:t>and</w:t>
      </w:r>
      <w:r>
        <w:t xml:space="preserve"> if the number of installations, upon verification, </w:t>
      </w:r>
      <w:r w:rsidR="00C1791B">
        <w:t xml:space="preserve">are found </w:t>
      </w:r>
      <w:r w:rsidR="001F46B6">
        <w:t xml:space="preserve">to be properly installed and </w:t>
      </w:r>
      <w:r>
        <w:t xml:space="preserve">equal to </w:t>
      </w:r>
      <w:r w:rsidR="00A7400E">
        <w:t xml:space="preserve">those claimed, then the realization rate is 100%.  If the actual savings level per measure is less or if the installed units are less, then the realization rate would be less.  </w:t>
      </w:r>
      <w:r w:rsidR="006B2A0E">
        <w:t xml:space="preserve">Because this is Avista’s </w:t>
      </w:r>
      <w:r w:rsidR="00864432">
        <w:t>first experience with independent third-party evaluation of the electric DSM portfolio</w:t>
      </w:r>
      <w:r w:rsidR="006B2A0E">
        <w:t xml:space="preserve">, the Company </w:t>
      </w:r>
      <w:r w:rsidR="00864432">
        <w:t xml:space="preserve">conservatively </w:t>
      </w:r>
      <w:r w:rsidR="006B2A0E">
        <w:t xml:space="preserve">opted to assume lower realization rates for purposes of </w:t>
      </w:r>
      <w:r w:rsidR="00864432">
        <w:t>business</w:t>
      </w:r>
      <w:r w:rsidR="006B2A0E">
        <w:t xml:space="preserve"> planning.  </w:t>
      </w:r>
    </w:p>
    <w:p w:rsidR="006B2A0E" w:rsidRPr="0025229F" w:rsidRDefault="006B2A0E" w:rsidP="008000C8">
      <w:pPr>
        <w:pStyle w:val="BodyText2"/>
        <w:ind w:firstLine="720"/>
        <w:rPr>
          <w:b/>
        </w:rPr>
      </w:pPr>
      <w:r w:rsidRPr="0025229F">
        <w:rPr>
          <w:b/>
        </w:rPr>
        <w:t>Q.</w:t>
      </w:r>
      <w:r w:rsidRPr="0025229F">
        <w:rPr>
          <w:b/>
        </w:rPr>
        <w:tab/>
      </w:r>
      <w:r w:rsidR="0025229F" w:rsidRPr="0025229F">
        <w:rPr>
          <w:b/>
        </w:rPr>
        <w:t>What is a Technical Reference Manual and what is its relation to this filing?</w:t>
      </w:r>
    </w:p>
    <w:p w:rsidR="0025229F" w:rsidRDefault="0025229F" w:rsidP="008000C8">
      <w:pPr>
        <w:pStyle w:val="BodyText2"/>
        <w:ind w:firstLine="720"/>
      </w:pPr>
      <w:r>
        <w:t>A.</w:t>
      </w:r>
      <w:r>
        <w:tab/>
        <w:t>A Technical Reference Manual (TRM) is, at its essence, a list of pres</w:t>
      </w:r>
      <w:r w:rsidR="00C1791B">
        <w:t>criptive (or standard offer</w:t>
      </w:r>
      <w:r>
        <w:t>) measure</w:t>
      </w:r>
      <w:r w:rsidR="001F46B6">
        <w:t>s</w:t>
      </w:r>
      <w:r>
        <w:t xml:space="preserve"> with an assigned unit energy savings (UES) value.  This approach is described in the Company’s EM&amp;V Framework and is </w:t>
      </w:r>
      <w:r w:rsidR="00087DAE">
        <w:lastRenderedPageBreak/>
        <w:t>referenced</w:t>
      </w:r>
      <w:r>
        <w:t xml:space="preserve"> in its annual EM&amp;V Plan.  </w:t>
      </w:r>
      <w:r w:rsidR="00881CBE">
        <w:t xml:space="preserve">For the most part, this is consistent with the </w:t>
      </w:r>
      <w:r w:rsidR="00C1791B">
        <w:t xml:space="preserve">RTF, the energy efficiency advisory committee supporting </w:t>
      </w:r>
      <w:r w:rsidR="00881CBE">
        <w:t>the Northwest Power and Conservation Council.  Avista’s</w:t>
      </w:r>
      <w:r>
        <w:t xml:space="preserve"> EM&amp;V Plan calls for every program and measure to be evaluated and verified by a</w:t>
      </w:r>
      <w:r w:rsidR="00C1791B">
        <w:t>n independent</w:t>
      </w:r>
      <w:r>
        <w:t xml:space="preserve"> third-party entity.  The Cadmus Group was selected to provide this independent verification</w:t>
      </w:r>
      <w:r w:rsidR="00C1791B">
        <w:t xml:space="preserve">, including the </w:t>
      </w:r>
      <w:r w:rsidR="001F46B6">
        <w:t>review</w:t>
      </w:r>
      <w:r w:rsidR="00C1791B">
        <w:t xml:space="preserve"> of the Company’s TRM</w:t>
      </w:r>
      <w:r>
        <w:t xml:space="preserve">.  </w:t>
      </w:r>
    </w:p>
    <w:p w:rsidR="004419A0" w:rsidRDefault="008654BC" w:rsidP="00D40946">
      <w:pPr>
        <w:pStyle w:val="BodyText2"/>
        <w:ind w:firstLine="720"/>
      </w:pPr>
      <w:r>
        <w:t>U</w:t>
      </w:r>
      <w:r w:rsidR="00881CBE">
        <w:t xml:space="preserve">nit energy savings </w:t>
      </w:r>
      <w:r>
        <w:t xml:space="preserve">values </w:t>
      </w:r>
      <w:r w:rsidR="00340B15">
        <w:t xml:space="preserve">contained </w:t>
      </w:r>
      <w:r>
        <w:t>with</w:t>
      </w:r>
      <w:r w:rsidR="00340B15">
        <w:t>in the TRM will be</w:t>
      </w:r>
      <w:r>
        <w:t xml:space="preserve"> updated </w:t>
      </w:r>
      <w:r w:rsidR="00932FDB">
        <w:t>in conjunction with</w:t>
      </w:r>
      <w:r>
        <w:t xml:space="preserve"> evaluation results and</w:t>
      </w:r>
      <w:r w:rsidR="00932FDB">
        <w:t xml:space="preserve"> applicable best available science</w:t>
      </w:r>
      <w:r>
        <w:t xml:space="preserve">, leading to </w:t>
      </w:r>
      <w:r w:rsidR="001112A0">
        <w:t xml:space="preserve">any necessary refinements </w:t>
      </w:r>
      <w:r>
        <w:t xml:space="preserve">of energy savings </w:t>
      </w:r>
      <w:r w:rsidR="001112A0">
        <w:t xml:space="preserve">estimates </w:t>
      </w:r>
      <w:r>
        <w:t xml:space="preserve">of existing programs. </w:t>
      </w:r>
      <w:r w:rsidR="00340B15">
        <w:t xml:space="preserve"> </w:t>
      </w:r>
    </w:p>
    <w:p w:rsidR="00881CBE" w:rsidRPr="00881CBE" w:rsidRDefault="00881CBE" w:rsidP="00D40946">
      <w:pPr>
        <w:pStyle w:val="BodyText2"/>
        <w:ind w:firstLine="720"/>
        <w:rPr>
          <w:b/>
        </w:rPr>
      </w:pPr>
      <w:r w:rsidRPr="00881CBE">
        <w:rPr>
          <w:b/>
        </w:rPr>
        <w:t>Q.</w:t>
      </w:r>
      <w:r w:rsidRPr="00881CBE">
        <w:rPr>
          <w:b/>
        </w:rPr>
        <w:tab/>
        <w:t>Why do you say that Avista’s approach to EM&amp;V</w:t>
      </w:r>
      <w:r w:rsidR="008654BC">
        <w:rPr>
          <w:b/>
        </w:rPr>
        <w:t xml:space="preserve"> is</w:t>
      </w:r>
      <w:r w:rsidRPr="00881CBE">
        <w:rPr>
          <w:b/>
        </w:rPr>
        <w:t xml:space="preserve"> “for the most part”</w:t>
      </w:r>
      <w:r w:rsidR="00C97734">
        <w:rPr>
          <w:b/>
        </w:rPr>
        <w:t xml:space="preserve"> consistent with the RT</w:t>
      </w:r>
      <w:r w:rsidRPr="00881CBE">
        <w:rPr>
          <w:b/>
        </w:rPr>
        <w:t>F?</w:t>
      </w:r>
    </w:p>
    <w:p w:rsidR="00881CBE" w:rsidRDefault="00881CBE" w:rsidP="00D40946">
      <w:pPr>
        <w:pStyle w:val="BodyText2"/>
        <w:ind w:firstLine="720"/>
      </w:pPr>
      <w:r>
        <w:t>A.</w:t>
      </w:r>
      <w:r>
        <w:tab/>
        <w:t xml:space="preserve">Avista seeks to use the best science available </w:t>
      </w:r>
      <w:r w:rsidR="00C97734">
        <w:t xml:space="preserve">to determine claimed savings.  Avista looks first to the RTF, but recognizes that </w:t>
      </w:r>
      <w:r w:rsidR="008654BC">
        <w:t>RTF unit energy savings estimates may be based upon regional program experience</w:t>
      </w:r>
      <w:r w:rsidR="00932FDB">
        <w:t>, unique delivery mechanisms, or other program attributes</w:t>
      </w:r>
      <w:r w:rsidR="008654BC">
        <w:t xml:space="preserve"> which </w:t>
      </w:r>
      <w:r w:rsidR="00932FDB">
        <w:t>are not necessarily</w:t>
      </w:r>
      <w:r w:rsidR="008654BC">
        <w:t xml:space="preserve"> consistent with Avista’s programs, markets served or purpose to which the UES is being applied. </w:t>
      </w:r>
      <w:r w:rsidR="00932FDB">
        <w:t xml:space="preserve"> Beyond the UES itself, other relevant data or analytical components are also considered for use by Avista to leverage the value of the RTF’s evaluation portfolio.</w:t>
      </w:r>
    </w:p>
    <w:p w:rsidR="00B3562A" w:rsidRDefault="00B3562A" w:rsidP="00D40946">
      <w:pPr>
        <w:pStyle w:val="BodyText2"/>
        <w:ind w:firstLine="720"/>
      </w:pPr>
    </w:p>
    <w:p w:rsidR="0064082D" w:rsidRDefault="0064082D" w:rsidP="00D40946">
      <w:pPr>
        <w:pStyle w:val="BodyText2"/>
        <w:ind w:firstLine="720"/>
      </w:pPr>
    </w:p>
    <w:p w:rsidR="00B3562A" w:rsidRDefault="00B3562A" w:rsidP="00D40946">
      <w:pPr>
        <w:pStyle w:val="BodyText2"/>
        <w:ind w:firstLine="720"/>
      </w:pPr>
    </w:p>
    <w:p w:rsidR="00B3562A" w:rsidRDefault="00B3562A" w:rsidP="00D40946">
      <w:pPr>
        <w:pStyle w:val="BodyText2"/>
        <w:ind w:firstLine="720"/>
      </w:pPr>
    </w:p>
    <w:p w:rsidR="00C97734" w:rsidRPr="00C97734" w:rsidRDefault="00C97734" w:rsidP="00D40946">
      <w:pPr>
        <w:pStyle w:val="BodyText2"/>
        <w:ind w:firstLine="720"/>
        <w:rPr>
          <w:b/>
        </w:rPr>
      </w:pPr>
      <w:r w:rsidRPr="00C97734">
        <w:rPr>
          <w:b/>
        </w:rPr>
        <w:lastRenderedPageBreak/>
        <w:t>Q.</w:t>
      </w:r>
      <w:r w:rsidRPr="00C97734">
        <w:rPr>
          <w:b/>
        </w:rPr>
        <w:tab/>
        <w:t>Would you please provide examples of this?</w:t>
      </w:r>
    </w:p>
    <w:p w:rsidR="00A97EE8" w:rsidRDefault="00C97734" w:rsidP="00D40946">
      <w:pPr>
        <w:pStyle w:val="BodyText2"/>
        <w:ind w:firstLine="720"/>
      </w:pPr>
      <w:r>
        <w:t>A.</w:t>
      </w:r>
      <w:r>
        <w:tab/>
        <w:t xml:space="preserve">Yes.  </w:t>
      </w:r>
      <w:r w:rsidR="00A97EE8">
        <w:t xml:space="preserve">I will point out two examples, Avista’s </w:t>
      </w:r>
      <w:r w:rsidR="001F46B6">
        <w:t>appliance</w:t>
      </w:r>
      <w:r w:rsidR="005D7457">
        <w:t xml:space="preserve"> recycling program </w:t>
      </w:r>
      <w:r w:rsidR="00A97EE8">
        <w:t xml:space="preserve">and Avista’s </w:t>
      </w:r>
      <w:r w:rsidR="005D7457">
        <w:t xml:space="preserve">CFL </w:t>
      </w:r>
      <w:r w:rsidR="00932FDB">
        <w:t xml:space="preserve">contingency </w:t>
      </w:r>
      <w:r w:rsidR="005D7457">
        <w:t>program</w:t>
      </w:r>
      <w:r w:rsidR="00A97EE8">
        <w:t xml:space="preserve">, </w:t>
      </w:r>
      <w:r w:rsidR="00932FDB">
        <w:t xml:space="preserve">both of </w:t>
      </w:r>
      <w:r w:rsidR="00A97EE8">
        <w:t>which will be further described by Dr. Sami Khawaja.</w:t>
      </w:r>
    </w:p>
    <w:p w:rsidR="00252E79" w:rsidRPr="00234BF5" w:rsidRDefault="00252E79" w:rsidP="00252E79">
      <w:pPr>
        <w:spacing w:line="480" w:lineRule="auto"/>
        <w:ind w:firstLine="720"/>
        <w:jc w:val="both"/>
      </w:pPr>
      <w:r w:rsidRPr="00234BF5">
        <w:t xml:space="preserve">Avista </w:t>
      </w:r>
      <w:r>
        <w:t xml:space="preserve">questioned </w:t>
      </w:r>
      <w:r w:rsidR="004E644D">
        <w:t>why</w:t>
      </w:r>
      <w:r w:rsidR="0020621B">
        <w:t xml:space="preserve"> the </w:t>
      </w:r>
      <w:r>
        <w:t xml:space="preserve">RTF’s </w:t>
      </w:r>
      <w:r w:rsidRPr="00234BF5">
        <w:t>unit energy savings for the appliance recycling program</w:t>
      </w:r>
      <w:r w:rsidR="004E644D">
        <w:t xml:space="preserve"> differed</w:t>
      </w:r>
      <w:r w:rsidR="00A11CF7">
        <w:t xml:space="preserve"> from program design estimates</w:t>
      </w:r>
      <w:r w:rsidR="0020621B">
        <w:t xml:space="preserve">. </w:t>
      </w:r>
      <w:r w:rsidRPr="00234BF5">
        <w:t xml:space="preserve"> The Cadmus Group, through its independent </w:t>
      </w:r>
      <w:r w:rsidR="001F46B6">
        <w:t>review</w:t>
      </w:r>
      <w:r w:rsidRPr="00234BF5">
        <w:t xml:space="preserve"> of Avista’s </w:t>
      </w:r>
      <w:r w:rsidR="0020621B">
        <w:t>TRM</w:t>
      </w:r>
      <w:r w:rsidRPr="00234BF5">
        <w:t xml:space="preserve">, </w:t>
      </w:r>
      <w:r>
        <w:t>presented</w:t>
      </w:r>
      <w:r w:rsidRPr="00234BF5">
        <w:t xml:space="preserve"> UES values f</w:t>
      </w:r>
      <w:r w:rsidR="004E644D">
        <w:t>or the refrigerator and freezer-</w:t>
      </w:r>
      <w:r w:rsidRPr="00234BF5">
        <w:t xml:space="preserve">recycling program unique to Avista’s program delivery and service territory considerations. </w:t>
      </w:r>
      <w:r w:rsidR="0020621B">
        <w:t xml:space="preserve"> </w:t>
      </w:r>
      <w:r w:rsidRPr="00234BF5">
        <w:t xml:space="preserve">Following significant </w:t>
      </w:r>
      <w:r>
        <w:t xml:space="preserve">analysis, discussion and effort with the Council Staff, The Cadmus Group and Avista, </w:t>
      </w:r>
      <w:r w:rsidR="0020621B">
        <w:t>we</w:t>
      </w:r>
      <w:r>
        <w:t xml:space="preserve"> </w:t>
      </w:r>
      <w:r w:rsidR="0020621B">
        <w:t>consider</w:t>
      </w:r>
      <w:r>
        <w:t xml:space="preserve"> </w:t>
      </w:r>
      <w:r w:rsidRPr="00234BF5">
        <w:t xml:space="preserve">the issue resolved by </w:t>
      </w:r>
      <w:r w:rsidR="0020621B">
        <w:t xml:space="preserve">incorporating data specific to </w:t>
      </w:r>
      <w:r w:rsidRPr="00234BF5">
        <w:t>Avista</w:t>
      </w:r>
      <w:r w:rsidR="0020621B">
        <w:t xml:space="preserve">’s service territory </w:t>
      </w:r>
      <w:r w:rsidR="004E644D">
        <w:t>in</w:t>
      </w:r>
      <w:r w:rsidRPr="00234BF5">
        <w:t xml:space="preserve"> the </w:t>
      </w:r>
      <w:r w:rsidR="008654BC">
        <w:t>analytical methodology</w:t>
      </w:r>
      <w:r w:rsidRPr="00234BF5">
        <w:t xml:space="preserve"> employed by the </w:t>
      </w:r>
      <w:r w:rsidR="0020621B">
        <w:t>RTF</w:t>
      </w:r>
      <w:r w:rsidRPr="00234BF5">
        <w:t xml:space="preserve">.   </w:t>
      </w:r>
    </w:p>
    <w:p w:rsidR="00252E79" w:rsidRDefault="00252E79" w:rsidP="00252E79">
      <w:pPr>
        <w:pStyle w:val="BodyText2"/>
        <w:ind w:firstLine="720"/>
      </w:pPr>
      <w:r w:rsidRPr="00252E79">
        <w:t xml:space="preserve">The </w:t>
      </w:r>
      <w:r>
        <w:t xml:space="preserve">RTF’s established UES for </w:t>
      </w:r>
      <w:r w:rsidR="0020621B">
        <w:t>direct mail standard CFLs is 15</w:t>
      </w:r>
      <w:r>
        <w:t xml:space="preserve"> </w:t>
      </w:r>
      <w:r w:rsidR="00A11CF7">
        <w:t>kWh</w:t>
      </w:r>
      <w:r>
        <w:t xml:space="preserve">/lamp based on </w:t>
      </w:r>
      <w:r w:rsidR="001F46B6">
        <w:t xml:space="preserve">its </w:t>
      </w:r>
      <w:r>
        <w:t>August 30</w:t>
      </w:r>
      <w:r w:rsidR="00567F4E">
        <w:t xml:space="preserve">, 2011 </w:t>
      </w:r>
      <w:r w:rsidR="001F46B6">
        <w:t>resolution</w:t>
      </w:r>
      <w:r>
        <w:t xml:space="preserve">.  At the Commission open meeting of June 30, 2011, </w:t>
      </w:r>
      <w:r w:rsidR="001F46B6">
        <w:t xml:space="preserve">two months prior to the RTF’s action, </w:t>
      </w:r>
      <w:r>
        <w:t>Avista stated that the Company’s delivery mechanis</w:t>
      </w:r>
      <w:r w:rsidR="00A830E6">
        <w:t xml:space="preserve">m, program design, and potential for greater CFL saturation are different than those underlying the RTF calculations.  Avista stated that </w:t>
      </w:r>
      <w:r w:rsidRPr="00276CFE">
        <w:t>24</w:t>
      </w:r>
      <w:r>
        <w:t xml:space="preserve"> </w:t>
      </w:r>
      <w:r w:rsidR="00A11CF7">
        <w:t>kWh</w:t>
      </w:r>
      <w:r>
        <w:t xml:space="preserve">/lamp </w:t>
      </w:r>
      <w:r w:rsidR="00075F82">
        <w:t>was</w:t>
      </w:r>
      <w:r w:rsidR="00A830E6">
        <w:t xml:space="preserve"> a</w:t>
      </w:r>
      <w:r w:rsidR="00075F82">
        <w:t xml:space="preserve"> reasonable and</w:t>
      </w:r>
      <w:r w:rsidR="00A830E6">
        <w:t xml:space="preserve"> </w:t>
      </w:r>
      <w:r w:rsidR="00075F82">
        <w:t>conservative</w:t>
      </w:r>
      <w:r w:rsidR="00A830E6">
        <w:t xml:space="preserve"> planning estimate </w:t>
      </w:r>
      <w:r>
        <w:t>but that the actual savings wou</w:t>
      </w:r>
      <w:r w:rsidR="0020621B">
        <w:t>ld be measured by impact analysi</w:t>
      </w:r>
      <w:r>
        <w:t>s.  The Cadmus Group</w:t>
      </w:r>
      <w:r w:rsidR="00A830E6">
        <w:t xml:space="preserve"> has determined that </w:t>
      </w:r>
      <w:r w:rsidR="00276CFE">
        <w:t>the UES</w:t>
      </w:r>
      <w:r w:rsidR="00A830E6">
        <w:t xml:space="preserve"> </w:t>
      </w:r>
      <w:r w:rsidR="00276CFE">
        <w:t>for</w:t>
      </w:r>
      <w:r w:rsidR="00A830E6">
        <w:t xml:space="preserve"> Avista’s CFL </w:t>
      </w:r>
      <w:r w:rsidR="00B04EA0">
        <w:t>C</w:t>
      </w:r>
      <w:r w:rsidR="00276CFE">
        <w:t xml:space="preserve">ontingency </w:t>
      </w:r>
      <w:r w:rsidR="00B04EA0">
        <w:t>P</w:t>
      </w:r>
      <w:r w:rsidR="00A830E6">
        <w:t xml:space="preserve">rogram </w:t>
      </w:r>
      <w:r w:rsidR="00276CFE">
        <w:t>is 38.65</w:t>
      </w:r>
      <w:r w:rsidR="00B04EA0">
        <w:t xml:space="preserve"> </w:t>
      </w:r>
      <w:r w:rsidR="00A11CF7">
        <w:t>kWh</w:t>
      </w:r>
      <w:r w:rsidR="00A830E6">
        <w:t>/lamp</w:t>
      </w:r>
      <w:r w:rsidR="001F46B6">
        <w:t xml:space="preserve"> </w:t>
      </w:r>
      <w:r w:rsidR="00276CFE">
        <w:t>for residential</w:t>
      </w:r>
      <w:r w:rsidR="001F46B6">
        <w:t xml:space="preserve"> application</w:t>
      </w:r>
      <w:r w:rsidR="00276CFE">
        <w:t>s</w:t>
      </w:r>
      <w:r w:rsidR="00A830E6">
        <w:t xml:space="preserve">.  Avista understands that Council Staff concurs </w:t>
      </w:r>
      <w:r w:rsidR="0020621B">
        <w:t>with</w:t>
      </w:r>
      <w:r w:rsidR="00A830E6">
        <w:t xml:space="preserve"> </w:t>
      </w:r>
      <w:r w:rsidR="00E749FF">
        <w:t>the ass</w:t>
      </w:r>
      <w:r w:rsidR="00A830E6">
        <w:t xml:space="preserve">umptions and </w:t>
      </w:r>
      <w:r w:rsidR="00E749FF">
        <w:t xml:space="preserve">methodology </w:t>
      </w:r>
      <w:r w:rsidR="00B04EA0">
        <w:t>through</w:t>
      </w:r>
      <w:r w:rsidR="00E749FF">
        <w:t xml:space="preserve"> which this UES was</w:t>
      </w:r>
      <w:r w:rsidR="00A830E6">
        <w:t xml:space="preserve"> derived.</w:t>
      </w:r>
    </w:p>
    <w:p w:rsidR="00272704" w:rsidRPr="00252E79" w:rsidRDefault="00272704" w:rsidP="00272704">
      <w:pPr>
        <w:pStyle w:val="BodyText2"/>
        <w:ind w:firstLine="720"/>
      </w:pPr>
      <w:r>
        <w:lastRenderedPageBreak/>
        <w:t>The</w:t>
      </w:r>
      <w:r w:rsidR="004E644D">
        <w:t xml:space="preserve"> above two examples demonstrate</w:t>
      </w:r>
      <w:r>
        <w:t xml:space="preserve"> that other relevant data or analytical components are considered by Avista, through its third party evaluator, to leverage the value of the RTF’s evaluation portfolio.</w:t>
      </w:r>
    </w:p>
    <w:p w:rsidR="009243B1" w:rsidRPr="00C903BB" w:rsidRDefault="00C903BB" w:rsidP="00A61F3C">
      <w:pPr>
        <w:spacing w:line="480" w:lineRule="auto"/>
        <w:ind w:firstLine="720"/>
        <w:jc w:val="both"/>
        <w:rPr>
          <w:b/>
        </w:rPr>
      </w:pPr>
      <w:r w:rsidRPr="00C903BB">
        <w:rPr>
          <w:b/>
        </w:rPr>
        <w:t>Q.</w:t>
      </w:r>
      <w:r w:rsidRPr="00C903BB">
        <w:rPr>
          <w:b/>
        </w:rPr>
        <w:tab/>
      </w:r>
      <w:r w:rsidR="00A61F3C">
        <w:rPr>
          <w:b/>
        </w:rPr>
        <w:t>What has been Avista’s perspective regarding stakeholder involvement?</w:t>
      </w:r>
    </w:p>
    <w:p w:rsidR="00A61F3C" w:rsidRDefault="00912F11" w:rsidP="00912F11">
      <w:pPr>
        <w:spacing w:line="480" w:lineRule="auto"/>
        <w:jc w:val="both"/>
      </w:pPr>
      <w:r>
        <w:tab/>
        <w:t>A.</w:t>
      </w:r>
      <w:r>
        <w:tab/>
      </w:r>
      <w:r w:rsidR="00A61F3C">
        <w:t xml:space="preserve">Avista’s energy efficiency programs have benefited </w:t>
      </w:r>
      <w:r w:rsidR="005477EE">
        <w:t>by</w:t>
      </w:r>
      <w:r w:rsidR="00A61F3C">
        <w:t xml:space="preserve"> input from customer groups, external experts, and thought leaders.  I am unaware of any utility that has a longer-running, continuous </w:t>
      </w:r>
      <w:r w:rsidR="005477EE">
        <w:t>stakeholder involvement effort than Avista’s</w:t>
      </w:r>
      <w:r w:rsidR="001F46B6">
        <w:t>,</w:t>
      </w:r>
      <w:r w:rsidR="005477EE">
        <w:t xml:space="preserve"> which began in 1992.  </w:t>
      </w:r>
    </w:p>
    <w:p w:rsidR="009243B1" w:rsidRDefault="0020621B" w:rsidP="00912F11">
      <w:pPr>
        <w:spacing w:line="480" w:lineRule="auto"/>
        <w:jc w:val="both"/>
      </w:pPr>
      <w:r>
        <w:tab/>
        <w:t>In an effort t</w:t>
      </w:r>
      <w:r w:rsidR="005477EE">
        <w:t xml:space="preserve">o improve our advisory process, in June of 2010 Avista contracted Dr. Dune Ives of Milepost Consulting to independently facilitate our meetings and webinars.  The Company </w:t>
      </w:r>
      <w:r w:rsidR="00AB5A11" w:rsidRPr="005F23C0">
        <w:t>engage</w:t>
      </w:r>
      <w:r w:rsidR="00AB5A11">
        <w:t>d</w:t>
      </w:r>
      <w:r w:rsidR="00AB5A11" w:rsidRPr="005F23C0">
        <w:t xml:space="preserve"> two </w:t>
      </w:r>
      <w:r w:rsidR="00AB5A11">
        <w:t>nationally-</w:t>
      </w:r>
      <w:r w:rsidR="00AB5A11" w:rsidRPr="005F23C0">
        <w:t>recognized EM&amp;V experts, Steve Schiller and Dr. Chris Ann Dickerson</w:t>
      </w:r>
      <w:r w:rsidR="005477EE">
        <w:t>, to provide technical assistance</w:t>
      </w:r>
      <w:r w:rsidR="00AB5A11">
        <w:t>.</w:t>
      </w:r>
      <w:r w:rsidR="005477EE">
        <w:t xml:space="preserve">  Steve Schiller was later retained by the Commission Staff in its 2011 Conservation Working Group process.</w:t>
      </w:r>
    </w:p>
    <w:p w:rsidR="005477EE" w:rsidRDefault="005477EE" w:rsidP="00912F11">
      <w:pPr>
        <w:spacing w:line="480" w:lineRule="auto"/>
        <w:jc w:val="both"/>
      </w:pPr>
      <w:r>
        <w:tab/>
        <w:t xml:space="preserve">During the 2010-2011 </w:t>
      </w:r>
      <w:r w:rsidR="00C256DC">
        <w:t>B</w:t>
      </w:r>
      <w:r>
        <w:t xml:space="preserve">iennium, Avista’s primary stakeholders had the opportunity to participate in </w:t>
      </w:r>
      <w:r w:rsidR="00567F4E">
        <w:t>nineteen</w:t>
      </w:r>
      <w:r>
        <w:t xml:space="preserve"> all-day meetings and </w:t>
      </w:r>
      <w:r w:rsidR="009C31EC">
        <w:t>eleven</w:t>
      </w:r>
      <w:r>
        <w:t xml:space="preserve"> webinars convened by Avista </w:t>
      </w:r>
      <w:r w:rsidR="0020621B">
        <w:t>with topics</w:t>
      </w:r>
      <w:r>
        <w:t xml:space="preserve"> unique to the Company’s DSM efforts.  In addition, six all-day meetings specific </w:t>
      </w:r>
      <w:r w:rsidR="004E644D">
        <w:t xml:space="preserve">to BCP issues were held by the </w:t>
      </w:r>
      <w:r>
        <w:t>UTC Staff</w:t>
      </w:r>
      <w:r w:rsidR="004E644D">
        <w:t>,</w:t>
      </w:r>
      <w:r>
        <w:t xml:space="preserve"> </w:t>
      </w:r>
      <w:r w:rsidR="0020621B">
        <w:t>including</w:t>
      </w:r>
      <w:r>
        <w:t xml:space="preserve"> Avista, other utilities, and our primary stakeholders.  Further, parts of </w:t>
      </w:r>
      <w:r w:rsidR="00FC4F0C">
        <w:t>three</w:t>
      </w:r>
      <w:r w:rsidR="009675AA">
        <w:t xml:space="preserve"> </w:t>
      </w:r>
      <w:r>
        <w:t xml:space="preserve">Avista Integrated Resource Planning Technical Advisory Committee meetings were devoted to the </w:t>
      </w:r>
      <w:r>
        <w:lastRenderedPageBreak/>
        <w:t>Company’s DSM efforts in 2010 and 2011.</w:t>
      </w:r>
      <w:r w:rsidR="00014C72">
        <w:t xml:space="preserve">  A summary of t</w:t>
      </w:r>
      <w:r w:rsidR="007A5857">
        <w:t xml:space="preserve">hese meetings </w:t>
      </w:r>
      <w:r w:rsidR="004E644D">
        <w:t>is</w:t>
      </w:r>
      <w:r w:rsidR="007A5857">
        <w:t xml:space="preserve"> shown in Exhibit </w:t>
      </w:r>
      <w:r w:rsidR="004E644D">
        <w:t>No.___(</w:t>
      </w:r>
      <w:r w:rsidR="007A5857">
        <w:t>BWF</w:t>
      </w:r>
      <w:r w:rsidR="009C31EC">
        <w:t>-2</w:t>
      </w:r>
      <w:r w:rsidR="004E644D">
        <w:t>)</w:t>
      </w:r>
      <w:r w:rsidR="009C31EC">
        <w:t>.</w:t>
      </w:r>
    </w:p>
    <w:p w:rsidR="00AB5A11" w:rsidRDefault="005477EE" w:rsidP="007A5857">
      <w:pPr>
        <w:spacing w:line="480" w:lineRule="auto"/>
        <w:jc w:val="both"/>
      </w:pPr>
      <w:r>
        <w:tab/>
        <w:t>The Company has also sought to keep stakeholders informed of DSM activities through a quarterly newsletter, monthly reports and other communications.</w:t>
      </w:r>
    </w:p>
    <w:p w:rsidR="00567F4E" w:rsidRPr="00AA68AA" w:rsidRDefault="00AA68AA" w:rsidP="00AA68AA">
      <w:pPr>
        <w:spacing w:line="480" w:lineRule="auto"/>
        <w:ind w:firstLine="720"/>
        <w:jc w:val="both"/>
        <w:rPr>
          <w:b/>
        </w:rPr>
      </w:pPr>
      <w:r w:rsidRPr="00AA68AA">
        <w:rPr>
          <w:b/>
        </w:rPr>
        <w:t>Q.</w:t>
      </w:r>
      <w:r w:rsidRPr="00AA68AA">
        <w:rPr>
          <w:b/>
        </w:rPr>
        <w:tab/>
        <w:t>Would you please describe the engagement of the Cadmus Group for Avista’s evaluation, measurement, and verification?</w:t>
      </w:r>
    </w:p>
    <w:p w:rsidR="00AA68AA" w:rsidRDefault="00AA68AA" w:rsidP="00AA68AA">
      <w:pPr>
        <w:spacing w:line="480" w:lineRule="auto"/>
        <w:ind w:firstLine="720"/>
        <w:jc w:val="both"/>
      </w:pPr>
      <w:r>
        <w:t>A.</w:t>
      </w:r>
      <w:r>
        <w:tab/>
        <w:t>Yes. A central component of Avista’s EM&amp;V Framework and EM&amp;V Annual Plan is independent, or third-party, verification of the Company’s claimed efficiency savings.  The Cadmus Group was retained, after a competitive Request-for-Proposal process, to perform impact and process evaluations.  Impact evaluation measures actual savings at the customer premises through a variety of quantitative methods and physical equipment.  Process evaluations examine potential for program delivery improvements based on participant and non-participant surveys, among other means.</w:t>
      </w:r>
    </w:p>
    <w:p w:rsidR="00DE2186" w:rsidRDefault="00E01F09" w:rsidP="00912F11">
      <w:pPr>
        <w:pStyle w:val="BodyText2"/>
        <w:ind w:firstLine="720"/>
        <w:rPr>
          <w:b/>
        </w:rPr>
      </w:pPr>
      <w:r w:rsidRPr="00DE2186">
        <w:rPr>
          <w:b/>
        </w:rPr>
        <w:t>Q.</w:t>
      </w:r>
      <w:r w:rsidRPr="00DE2186">
        <w:rPr>
          <w:b/>
        </w:rPr>
        <w:tab/>
      </w:r>
      <w:r w:rsidR="00014C72">
        <w:rPr>
          <w:b/>
        </w:rPr>
        <w:t xml:space="preserve">Dr. Khawaja makes a series of recommendations in his testimony regarding suggested improvements to Avista’s DSM programs.  </w:t>
      </w:r>
      <w:r w:rsidR="003D4F24">
        <w:rPr>
          <w:b/>
        </w:rPr>
        <w:t xml:space="preserve">What </w:t>
      </w:r>
      <w:r w:rsidR="00014C72">
        <w:rPr>
          <w:b/>
        </w:rPr>
        <w:t>is the Company’s response to these recommendations</w:t>
      </w:r>
      <w:r w:rsidR="00422A07">
        <w:rPr>
          <w:b/>
        </w:rPr>
        <w:t>?</w:t>
      </w:r>
      <w:r w:rsidR="00DE2186">
        <w:rPr>
          <w:b/>
        </w:rPr>
        <w:t xml:space="preserve">  </w:t>
      </w:r>
    </w:p>
    <w:p w:rsidR="00014C72" w:rsidRDefault="00DE2186" w:rsidP="00184FB2">
      <w:pPr>
        <w:pStyle w:val="BodyText2"/>
        <w:ind w:firstLine="720"/>
      </w:pPr>
      <w:r>
        <w:t>A.</w:t>
      </w:r>
      <w:r>
        <w:tab/>
      </w:r>
      <w:r w:rsidR="00014C72">
        <w:t xml:space="preserve">The purpose of impact evaluations and process evaluations is for continued program improvement.  The Company has historically reviewed and modified its DSM programs for </w:t>
      </w:r>
      <w:r w:rsidR="00AA68AA">
        <w:t>improved</w:t>
      </w:r>
      <w:r w:rsidR="004E644D">
        <w:t xml:space="preserve"> </w:t>
      </w:r>
      <w:r w:rsidR="00C256DC">
        <w:t xml:space="preserve">use of customer funds and </w:t>
      </w:r>
      <w:r w:rsidR="00014C72">
        <w:t xml:space="preserve">better service to customers.  </w:t>
      </w:r>
      <w:r w:rsidR="003D4F24">
        <w:t>Dr. Khawaja</w:t>
      </w:r>
      <w:r w:rsidR="00014C72">
        <w:t>’s recommendations continue in this vein.</w:t>
      </w:r>
    </w:p>
    <w:p w:rsidR="003D4F24" w:rsidRDefault="00014C72" w:rsidP="00C46A2A">
      <w:pPr>
        <w:spacing w:line="480" w:lineRule="auto"/>
        <w:ind w:firstLine="720"/>
        <w:jc w:val="both"/>
      </w:pPr>
      <w:r>
        <w:lastRenderedPageBreak/>
        <w:t>Cadmus’ recommendations</w:t>
      </w:r>
      <w:r w:rsidR="0007138B">
        <w:t xml:space="preserve"> have been reviewed by the Company and</w:t>
      </w:r>
      <w:r>
        <w:t xml:space="preserve"> </w:t>
      </w:r>
      <w:r w:rsidR="00DC3862">
        <w:t>generally fall into three categories.  First</w:t>
      </w:r>
      <w:r w:rsidR="004E644D">
        <w:t>,</w:t>
      </w:r>
      <w:r w:rsidR="00DC3862">
        <w:t xml:space="preserve"> there are items that Avista has completed or is in the process of implementing. Cadmus has shared with the Company and its Advisory Group preliminary findings in some programs.  An example of this was Cadmus’ discussion of our low-income programs at Avista’s October 18</w:t>
      </w:r>
      <w:r w:rsidR="00DC3862" w:rsidRPr="00DC3862">
        <w:rPr>
          <w:vertAlign w:val="superscript"/>
        </w:rPr>
        <w:t>th</w:t>
      </w:r>
      <w:r w:rsidR="00DC3862">
        <w:t xml:space="preserve"> and 19</w:t>
      </w:r>
      <w:r w:rsidR="00DC3862" w:rsidRPr="00DC3862">
        <w:rPr>
          <w:vertAlign w:val="superscript"/>
        </w:rPr>
        <w:t>th</w:t>
      </w:r>
      <w:r w:rsidR="00306080">
        <w:t xml:space="preserve">, 2011, </w:t>
      </w:r>
      <w:r w:rsidR="00DC3862">
        <w:t xml:space="preserve">Advisory Group Meeting. The second category of Cadmus’s recommendations </w:t>
      </w:r>
      <w:r w:rsidR="00AA68AA">
        <w:t>are</w:t>
      </w:r>
      <w:r w:rsidR="00DC3862">
        <w:t xml:space="preserve"> concepts that will be implemented immediately.  An example of this is to consider performing three- to six-month post-installation random inspections to confirm measure persistence and potentially to identify opportunities to improve performance</w:t>
      </w:r>
      <w:r w:rsidR="005D2A9C">
        <w:t xml:space="preserve">.  The third general category </w:t>
      </w:r>
      <w:r w:rsidR="004E644D">
        <w:t>concerns</w:t>
      </w:r>
      <w:r w:rsidR="005D2A9C">
        <w:t xml:space="preserve"> areas that we need to provide further </w:t>
      </w:r>
      <w:r w:rsidR="004E644D">
        <w:t>information for other</w:t>
      </w:r>
      <w:r w:rsidR="00C46A2A">
        <w:t>s</w:t>
      </w:r>
      <w:r w:rsidR="004E644D">
        <w:t>’</w:t>
      </w:r>
      <w:r w:rsidR="00C46A2A">
        <w:t xml:space="preserve"> consideration.  For example, regarding information systems</w:t>
      </w:r>
      <w:r w:rsidR="004E644D">
        <w:t>,</w:t>
      </w:r>
      <w:r w:rsidR="00C46A2A">
        <w:t xml:space="preserve"> there are only a few options available on the market and we have thoroughly researched these.  These options are stand-alone systems which are not fully integrated into utility systems such as customer and financial databases.  In addition, being a dual-fuel utility adds complexity that has not been fully addressed by the major vendors.  Furthermore, the Company is currently in the process of updating its legacy Customer Service System.  Utility database systems available on the market currently do not meet all of the Company’s energy efficiency processing and tracking needs.  These types of software modules are currently under development and may be available in approximately two years.  In the meantime, the Company plans to continue with its current systems</w:t>
      </w:r>
      <w:r w:rsidR="004E644D">
        <w:t>,</w:t>
      </w:r>
      <w:r w:rsidR="00C46A2A">
        <w:t xml:space="preserve"> since program tracking has been effective.  </w:t>
      </w:r>
    </w:p>
    <w:p w:rsidR="006A0EAA" w:rsidRDefault="005D2A9C" w:rsidP="00B32855">
      <w:pPr>
        <w:pStyle w:val="BodyText2"/>
      </w:pPr>
      <w:r>
        <w:lastRenderedPageBreak/>
        <w:tab/>
        <w:t xml:space="preserve">Exhibit </w:t>
      </w:r>
      <w:r w:rsidR="009A29EC">
        <w:t>No._</w:t>
      </w:r>
      <w:r>
        <w:t>__(BWF-4) provides Avista’s perspective and next steps regarding each</w:t>
      </w:r>
      <w:r w:rsidR="00C256DC">
        <w:t xml:space="preserve"> impact finding and</w:t>
      </w:r>
      <w:r>
        <w:t xml:space="preserve"> recommendation shown in Dr. Khawaja’s testimony.</w:t>
      </w:r>
      <w:r w:rsidR="00C256DC">
        <w:t xml:space="preserve">  Exhibit </w:t>
      </w:r>
      <w:r w:rsidR="009A29EC">
        <w:t>No._</w:t>
      </w:r>
      <w:r w:rsidR="00C256DC">
        <w:t xml:space="preserve">__(BWF-5) provides Avista’s perspective and next steps regarding each process finding and recommendation shown in Dr. Khawaja’s testimony.    </w:t>
      </w:r>
    </w:p>
    <w:p w:rsidR="00E8471B" w:rsidRPr="00B32855" w:rsidRDefault="00B32855" w:rsidP="00B32855">
      <w:pPr>
        <w:pStyle w:val="BodyText2"/>
        <w:ind w:left="720"/>
        <w:rPr>
          <w:b/>
        </w:rPr>
      </w:pPr>
      <w:r w:rsidRPr="00B32855">
        <w:rPr>
          <w:b/>
        </w:rPr>
        <w:t>Q.</w:t>
      </w:r>
      <w:r w:rsidRPr="00B32855">
        <w:rPr>
          <w:b/>
        </w:rPr>
        <w:tab/>
        <w:t>What was the cost of Avista’s independent evaluation?</w:t>
      </w:r>
    </w:p>
    <w:p w:rsidR="002344C9" w:rsidRDefault="00B32855" w:rsidP="00B32855">
      <w:pPr>
        <w:pStyle w:val="BodyText2"/>
        <w:ind w:firstLine="720"/>
      </w:pPr>
      <w:r>
        <w:t>A.</w:t>
      </w:r>
      <w:r>
        <w:tab/>
      </w:r>
      <w:r w:rsidR="0041552B">
        <w:t>Paragraph 62</w:t>
      </w:r>
      <w:r w:rsidR="00EB7272">
        <w:t xml:space="preserve"> of the Commission’s Order </w:t>
      </w:r>
      <w:r w:rsidR="00306080">
        <w:t xml:space="preserve">No. </w:t>
      </w:r>
      <w:r w:rsidR="0041552B">
        <w:t xml:space="preserve">01 </w:t>
      </w:r>
      <w:r w:rsidR="00EB7272">
        <w:t>in Docket No. UE-100</w:t>
      </w:r>
      <w:r w:rsidR="00BC7784">
        <w:t>1</w:t>
      </w:r>
      <w:r w:rsidR="00EB7272">
        <w:t xml:space="preserve">76, </w:t>
      </w:r>
      <w:r>
        <w:t xml:space="preserve">requires that </w:t>
      </w:r>
      <w:r w:rsidR="00EB7272">
        <w:t xml:space="preserve">3-6% of Avista’s DSM budget is </w:t>
      </w:r>
      <w:r>
        <w:t>to be dedicated</w:t>
      </w:r>
      <w:r w:rsidR="00EB7272">
        <w:t xml:space="preserve"> to </w:t>
      </w:r>
      <w:r w:rsidR="00967717">
        <w:t>EM&amp;V</w:t>
      </w:r>
      <w:r w:rsidR="00EB7272">
        <w:t>.  Avista</w:t>
      </w:r>
      <w:r>
        <w:t xml:space="preserve"> has paid $</w:t>
      </w:r>
      <w:r w:rsidR="00FD4D18">
        <w:t>1.1</w:t>
      </w:r>
      <w:r w:rsidR="000029F9">
        <w:t xml:space="preserve"> million and $55</w:t>
      </w:r>
      <w:r w:rsidR="0007138B">
        <w:t>9</w:t>
      </w:r>
      <w:r w:rsidR="00306080">
        <w:t xml:space="preserve">,000 </w:t>
      </w:r>
      <w:r w:rsidR="000029F9">
        <w:t>for Washington electric and natural gas EM&amp;V respectively,</w:t>
      </w:r>
      <w:r>
        <w:t xml:space="preserve"> or</w:t>
      </w:r>
      <w:r w:rsidR="000029F9">
        <w:t xml:space="preserve"> </w:t>
      </w:r>
      <w:r w:rsidR="000029F9" w:rsidRPr="0007138B">
        <w:t>4.</w:t>
      </w:r>
      <w:r w:rsidR="0007138B" w:rsidRPr="0007138B">
        <w:t>3</w:t>
      </w:r>
      <w:r w:rsidRPr="0007138B">
        <w:t>%</w:t>
      </w:r>
      <w:r w:rsidR="0007138B">
        <w:t xml:space="preserve">, of its DSM electric </w:t>
      </w:r>
      <w:r w:rsidR="00B3562A">
        <w:t>(3.7</w:t>
      </w:r>
      <w:r w:rsidR="00B3562A" w:rsidRPr="00B3562A">
        <w:t>%)</w:t>
      </w:r>
      <w:r w:rsidR="00B3562A">
        <w:t xml:space="preserve"> </w:t>
      </w:r>
      <w:r w:rsidR="0007138B">
        <w:t>and natural gas</w:t>
      </w:r>
      <w:r w:rsidR="00B3562A">
        <w:t xml:space="preserve"> (5.3</w:t>
      </w:r>
      <w:r w:rsidR="00B3562A" w:rsidRPr="00B3562A">
        <w:t>%)</w:t>
      </w:r>
      <w:r w:rsidR="00B3562A">
        <w:t xml:space="preserve"> </w:t>
      </w:r>
      <w:r w:rsidR="0007138B">
        <w:t>budget</w:t>
      </w:r>
      <w:r>
        <w:t xml:space="preserve"> for</w:t>
      </w:r>
      <w:r w:rsidR="00EB7272">
        <w:t xml:space="preserve"> inde</w:t>
      </w:r>
      <w:r w:rsidR="0041552B">
        <w:t xml:space="preserve">pendent evaluation </w:t>
      </w:r>
      <w:r>
        <w:t xml:space="preserve">for the 2010-2011 </w:t>
      </w:r>
      <w:r w:rsidR="00C256DC">
        <w:t>B</w:t>
      </w:r>
      <w:r>
        <w:t>iennium</w:t>
      </w:r>
      <w:r w:rsidR="00EB7272">
        <w:t xml:space="preserve">.  </w:t>
      </w:r>
    </w:p>
    <w:p w:rsidR="009A29EC" w:rsidRPr="009C464E" w:rsidRDefault="009A29EC" w:rsidP="006A0EAA">
      <w:pPr>
        <w:pStyle w:val="BodyText2"/>
        <w:spacing w:line="240" w:lineRule="auto"/>
        <w:rPr>
          <w:bCs/>
        </w:rPr>
      </w:pPr>
    </w:p>
    <w:p w:rsidR="006D464B" w:rsidRPr="006D464B" w:rsidRDefault="00C505F2" w:rsidP="006D464B">
      <w:pPr>
        <w:pStyle w:val="BodyText2"/>
        <w:jc w:val="center"/>
        <w:rPr>
          <w:b/>
          <w:bCs/>
          <w:u w:val="single"/>
        </w:rPr>
      </w:pPr>
      <w:r>
        <w:rPr>
          <w:b/>
          <w:bCs/>
          <w:u w:val="single"/>
        </w:rPr>
        <w:t xml:space="preserve">V.  </w:t>
      </w:r>
      <w:r w:rsidR="006D464B" w:rsidRPr="006D464B">
        <w:rPr>
          <w:b/>
          <w:bCs/>
          <w:u w:val="single"/>
        </w:rPr>
        <w:t>DISTRIBUTION</w:t>
      </w:r>
      <w:r w:rsidR="006D464B">
        <w:rPr>
          <w:b/>
          <w:bCs/>
          <w:u w:val="single"/>
        </w:rPr>
        <w:t xml:space="preserve"> </w:t>
      </w:r>
      <w:r w:rsidR="004C078A">
        <w:rPr>
          <w:b/>
          <w:bCs/>
          <w:u w:val="single"/>
        </w:rPr>
        <w:t xml:space="preserve">EFFICIENCY </w:t>
      </w:r>
      <w:r w:rsidR="006D464B">
        <w:rPr>
          <w:b/>
          <w:bCs/>
          <w:u w:val="single"/>
        </w:rPr>
        <w:t>SAVINGS</w:t>
      </w:r>
    </w:p>
    <w:p w:rsidR="006D464B" w:rsidRPr="006D464B" w:rsidRDefault="004C078A" w:rsidP="006D464B">
      <w:pPr>
        <w:pStyle w:val="BodyText2"/>
        <w:ind w:firstLine="720"/>
        <w:rPr>
          <w:b/>
        </w:rPr>
      </w:pPr>
      <w:r>
        <w:rPr>
          <w:b/>
        </w:rPr>
        <w:t>Q.</w:t>
      </w:r>
      <w:r>
        <w:rPr>
          <w:b/>
        </w:rPr>
        <w:tab/>
        <w:t>What were</w:t>
      </w:r>
      <w:r w:rsidR="006D464B" w:rsidRPr="006D464B">
        <w:rPr>
          <w:b/>
        </w:rPr>
        <w:t xml:space="preserve"> Avista’s contemplated distribution efficiency savings for the 201</w:t>
      </w:r>
      <w:r>
        <w:rPr>
          <w:b/>
        </w:rPr>
        <w:t xml:space="preserve">0-2011 </w:t>
      </w:r>
      <w:r w:rsidR="00C256DC">
        <w:rPr>
          <w:b/>
        </w:rPr>
        <w:t>B</w:t>
      </w:r>
      <w:r>
        <w:rPr>
          <w:b/>
        </w:rPr>
        <w:t>ienniu</w:t>
      </w:r>
      <w:r w:rsidR="006D464B" w:rsidRPr="006D464B">
        <w:rPr>
          <w:b/>
        </w:rPr>
        <w:t>m?</w:t>
      </w:r>
    </w:p>
    <w:p w:rsidR="00151BF0" w:rsidRDefault="006D464B" w:rsidP="00794E53">
      <w:pPr>
        <w:spacing w:line="480" w:lineRule="auto"/>
        <w:ind w:firstLine="720"/>
      </w:pPr>
      <w:r>
        <w:t>A.</w:t>
      </w:r>
      <w:r>
        <w:tab/>
      </w:r>
      <w:r w:rsidR="00151BF0">
        <w:t>Avista stated in its 2010</w:t>
      </w:r>
      <w:r w:rsidR="00E90C7A">
        <w:t>-2011</w:t>
      </w:r>
      <w:r w:rsidR="00151BF0">
        <w:t xml:space="preserve"> BCP related to di</w:t>
      </w:r>
      <w:r w:rsidR="00E90C7A">
        <w:t>stribution efficiency (at page 16</w:t>
      </w:r>
      <w:r w:rsidR="00151BF0">
        <w:t>):</w:t>
      </w:r>
    </w:p>
    <w:p w:rsidR="00E90C7A" w:rsidRDefault="00E90C7A" w:rsidP="00794E53">
      <w:pPr>
        <w:ind w:left="720" w:right="576"/>
        <w:jc w:val="both"/>
      </w:pPr>
      <w:r>
        <w:t xml:space="preserve">Avista’s incorporation of distribution efficiency upgrades is in accordance with the methodology established by the Northwest Energy Efficiency Alliance (NEEA) and published in the Distribution Efficiency Initiative Report (DEI 2008).  These distribution efficiency upgrades include the addition of capacitor banks and voltage regulators controlled in a complimentary manner to provide system optimization, loss minimization and to reduce end of line voltage levels.  Avista’s estimate of the savings for distribution efficiency is approximately 1.85% of controlled load based on this NEEA methodology.   </w:t>
      </w:r>
    </w:p>
    <w:p w:rsidR="00E90C7A" w:rsidRDefault="00E90C7A" w:rsidP="00794E53">
      <w:pPr>
        <w:ind w:left="720" w:right="576"/>
        <w:jc w:val="both"/>
      </w:pPr>
    </w:p>
    <w:p w:rsidR="00CD6CDF" w:rsidRDefault="00E90C7A" w:rsidP="00794E53">
      <w:pPr>
        <w:ind w:left="720" w:right="576"/>
        <w:jc w:val="both"/>
      </w:pPr>
      <w:r>
        <w:t xml:space="preserve">Because the distribution efficiency feeder improvements are on a one-to-four year construction cycle, the majority of these savings will not be recognized until a future two-year compliance period (e.g. 2012-2013).  </w:t>
      </w:r>
      <w:r w:rsidR="00151BF0">
        <w:lastRenderedPageBreak/>
        <w:t xml:space="preserve">Avista is expecting approximately 3% to 6% (or 7,000 </w:t>
      </w:r>
      <w:r w:rsidR="000E70C3">
        <w:t>MWh</w:t>
      </w:r>
      <w:r w:rsidR="00151BF0">
        <w:t xml:space="preserve">’s) of the currently identified distribution efficiency potential to be completed in the current two-year (2010-2011) compliance period. </w:t>
      </w:r>
    </w:p>
    <w:p w:rsidR="00CD6CDF" w:rsidRDefault="00CD6CDF" w:rsidP="00CD6CDF">
      <w:pPr>
        <w:ind w:left="720"/>
      </w:pPr>
    </w:p>
    <w:p w:rsidR="006D464B" w:rsidRPr="006D464B" w:rsidRDefault="006D464B" w:rsidP="00434C8F">
      <w:pPr>
        <w:pStyle w:val="BodyText2"/>
        <w:rPr>
          <w:b/>
        </w:rPr>
      </w:pPr>
      <w:r w:rsidRPr="006D464B">
        <w:rPr>
          <w:b/>
        </w:rPr>
        <w:tab/>
        <w:t>Q.</w:t>
      </w:r>
      <w:r w:rsidRPr="006D464B">
        <w:rPr>
          <w:b/>
        </w:rPr>
        <w:tab/>
        <w:t>What distribution efficiency saving</w:t>
      </w:r>
      <w:r w:rsidR="00E90C7A">
        <w:rPr>
          <w:b/>
        </w:rPr>
        <w:t>s</w:t>
      </w:r>
      <w:r w:rsidRPr="006D464B">
        <w:rPr>
          <w:b/>
        </w:rPr>
        <w:t xml:space="preserve"> were achieved</w:t>
      </w:r>
      <w:r w:rsidR="00E90C7A">
        <w:rPr>
          <w:b/>
        </w:rPr>
        <w:t xml:space="preserve"> during the 2010-2011 </w:t>
      </w:r>
      <w:r w:rsidR="00C256DC">
        <w:rPr>
          <w:b/>
        </w:rPr>
        <w:t>B</w:t>
      </w:r>
      <w:r w:rsidR="00E90C7A">
        <w:rPr>
          <w:b/>
        </w:rPr>
        <w:t>iennium</w:t>
      </w:r>
      <w:r w:rsidRPr="006D464B">
        <w:rPr>
          <w:b/>
        </w:rPr>
        <w:t>?</w:t>
      </w:r>
    </w:p>
    <w:p w:rsidR="00471F6E" w:rsidRDefault="006D464B" w:rsidP="00471F6E">
      <w:pPr>
        <w:pStyle w:val="BodyText2"/>
      </w:pPr>
      <w:r>
        <w:tab/>
        <w:t>A.</w:t>
      </w:r>
      <w:r>
        <w:tab/>
      </w:r>
      <w:r w:rsidR="00794E53">
        <w:t>The Company did not achieve its estimated d</w:t>
      </w:r>
      <w:r w:rsidR="006B7E3F" w:rsidRPr="006B7E3F">
        <w:t xml:space="preserve">istribution efficiency </w:t>
      </w:r>
      <w:r w:rsidR="00794E53">
        <w:t xml:space="preserve">potential </w:t>
      </w:r>
      <w:r w:rsidR="006B7E3F" w:rsidRPr="006B7E3F">
        <w:t>for the period 2010-2011</w:t>
      </w:r>
      <w:r w:rsidR="00794E53">
        <w:t>.</w:t>
      </w:r>
      <w:r w:rsidR="006B7E3F" w:rsidRPr="006B7E3F">
        <w:t xml:space="preserve">  </w:t>
      </w:r>
      <w:r w:rsidR="00471F6E">
        <w:t>The method Avista has implemented</w:t>
      </w:r>
      <w:r w:rsidR="00471F6E" w:rsidRPr="00CA6A02">
        <w:t xml:space="preserve"> for achieving distribution efficiency </w:t>
      </w:r>
      <w:r w:rsidR="00471F6E">
        <w:t xml:space="preserve">is </w:t>
      </w:r>
      <w:r w:rsidR="00471F6E" w:rsidRPr="00CA6A02">
        <w:t xml:space="preserve">called voltage optimization.  This methodology relies on the existence of a “digital electric model” used in conjunction with voltage regulators to raise and lower voltage, capacitor banks to provide for power factor correction and a distribution management system </w:t>
      </w:r>
      <w:r w:rsidR="00471F6E">
        <w:t xml:space="preserve">(DMS) </w:t>
      </w:r>
      <w:r w:rsidR="00471F6E" w:rsidRPr="00CA6A02">
        <w:t>that can calculate and make adjustments in real time.  This method is most effective when the circuit voltage has little deviation end-to-end or is considered to have a flat voltage profile.  In order to achieve a flat profile</w:t>
      </w:r>
      <w:r w:rsidR="00471F6E">
        <w:t>,</w:t>
      </w:r>
      <w:r w:rsidR="00471F6E" w:rsidRPr="00CA6A02">
        <w:t xml:space="preserve"> capacitor banks are used to attain near unity power factor or 1.00. Without capacitor banks, average power factor can typically fluctuate from approximately 0.95 leading to 0.95 lagging.  Power factor is dynamic, changing constantly as load on the circuit changes.  A capacitor bank may be needed for a few hours multiple times a day.  Given a flat voltage profile</w:t>
      </w:r>
      <w:r w:rsidR="004E644D">
        <w:t>,</w:t>
      </w:r>
      <w:r w:rsidR="00471F6E" w:rsidRPr="00CA6A02">
        <w:t xml:space="preserve"> voltage regulators are used to reduce voltage which in turn reduces both loads and losses.  The </w:t>
      </w:r>
      <w:r w:rsidR="00471F6E">
        <w:t>DMS</w:t>
      </w:r>
      <w:r w:rsidR="00471F6E" w:rsidRPr="00CA6A02">
        <w:t xml:space="preserve"> continuously calculates power flows to determine a course of action for the capacitor banks and the voltage regulators.</w:t>
      </w:r>
    </w:p>
    <w:p w:rsidR="00471F6E" w:rsidRDefault="00471F6E" w:rsidP="00471F6E">
      <w:pPr>
        <w:pStyle w:val="BodyText2"/>
        <w:ind w:firstLine="720"/>
      </w:pPr>
      <w:r w:rsidRPr="00CA6A02">
        <w:t>Avista originally</w:t>
      </w:r>
      <w:r w:rsidR="00B3562A">
        <w:t xml:space="preserve"> planned to implement the fully-</w:t>
      </w:r>
      <w:r w:rsidRPr="00CA6A02">
        <w:t xml:space="preserve">capable system in the 2012-2013 timeframe.  It was thought that some of the capacitor banks could be utilized for power factor correction prior to the full implementation.  Without the full </w:t>
      </w:r>
      <w:r w:rsidRPr="00CA6A02">
        <w:lastRenderedPageBreak/>
        <w:t>implementation in place, the manual effort required to manage power factor correction</w:t>
      </w:r>
      <w:r>
        <w:t>,</w:t>
      </w:r>
      <w:r w:rsidRPr="00CA6A02">
        <w:t xml:space="preserve"> while coordinating with automated voltage regulators</w:t>
      </w:r>
      <w:r>
        <w:t>,</w:t>
      </w:r>
      <w:r w:rsidRPr="00CA6A02">
        <w:t xml:space="preserve"> was deemed inappropriate.  Accordingly, only savings from reconductoring efforts were captured for 2010-2011.</w:t>
      </w:r>
      <w:r>
        <w:t xml:space="preserve"> </w:t>
      </w:r>
      <w:r w:rsidR="0020469C">
        <w:t>Although the Company did not achieve its combined goal of the reconductoring and power factor correction</w:t>
      </w:r>
      <w:r w:rsidR="00876B13">
        <w:t xml:space="preserve"> savings</w:t>
      </w:r>
      <w:r w:rsidR="0020469C">
        <w:t>, it is important to note that</w:t>
      </w:r>
      <w:r w:rsidR="00876B13">
        <w:t xml:space="preserve"> t</w:t>
      </w:r>
      <w:r w:rsidR="0020469C">
        <w:t>he reconductoring savings a</w:t>
      </w:r>
      <w:r w:rsidR="00FA0175">
        <w:t xml:space="preserve">chieved </w:t>
      </w:r>
      <w:r w:rsidR="00876B13">
        <w:t>a greater amount</w:t>
      </w:r>
      <w:r w:rsidR="00FA0175">
        <w:t xml:space="preserve"> than </w:t>
      </w:r>
      <w:r w:rsidR="00876B13">
        <w:t>that initially estimated by 1.2%</w:t>
      </w:r>
      <w:r w:rsidR="0020469C">
        <w:t>.</w:t>
      </w:r>
    </w:p>
    <w:p w:rsidR="006B7E3F" w:rsidRDefault="006B7E3F" w:rsidP="00471F6E">
      <w:pPr>
        <w:pStyle w:val="BodyText2"/>
        <w:ind w:firstLine="720"/>
      </w:pPr>
      <w:r w:rsidRPr="006B7E3F">
        <w:t>The estimated and actual savings for reconductoring and power factor co</w:t>
      </w:r>
      <w:r w:rsidR="0043740F">
        <w:t xml:space="preserve">rrection are shown in the </w:t>
      </w:r>
      <w:r w:rsidR="00453B38">
        <w:t>Illustration</w:t>
      </w:r>
      <w:r w:rsidRPr="006B7E3F">
        <w:t xml:space="preserve"> below:</w:t>
      </w:r>
    </w:p>
    <w:p w:rsidR="00794E53" w:rsidRPr="00453B38" w:rsidRDefault="00453B38" w:rsidP="00434C8F">
      <w:pPr>
        <w:pStyle w:val="BodyText2"/>
        <w:rPr>
          <w:u w:val="single"/>
        </w:rPr>
      </w:pPr>
      <w:r w:rsidRPr="00453B38">
        <w:rPr>
          <w:u w:val="single"/>
        </w:rPr>
        <w:t>Illustration No. 3</w:t>
      </w:r>
    </w:p>
    <w:p w:rsidR="006B7E3F" w:rsidRDefault="00B402B0" w:rsidP="00434C8F">
      <w:pPr>
        <w:pStyle w:val="BodyText2"/>
      </w:pPr>
      <w:r w:rsidRPr="00B402B0">
        <w:rPr>
          <w:noProof/>
        </w:rPr>
        <w:drawing>
          <wp:anchor distT="0" distB="0" distL="114300" distR="114300" simplePos="0" relativeHeight="251662336" behindDoc="0" locked="0" layoutInCell="1" allowOverlap="1">
            <wp:simplePos x="0" y="0"/>
            <wp:positionH relativeFrom="column">
              <wp:posOffset>253365</wp:posOffset>
            </wp:positionH>
            <wp:positionV relativeFrom="paragraph">
              <wp:posOffset>6350</wp:posOffset>
            </wp:positionV>
            <wp:extent cx="4914900" cy="255270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914900" cy="2552700"/>
                    </a:xfrm>
                    <a:prstGeom prst="rect">
                      <a:avLst/>
                    </a:prstGeom>
                    <a:noFill/>
                    <a:ln w="9525">
                      <a:noFill/>
                      <a:miter lim="800000"/>
                      <a:headEnd/>
                      <a:tailEnd/>
                    </a:ln>
                  </pic:spPr>
                </pic:pic>
              </a:graphicData>
            </a:graphic>
          </wp:anchor>
        </w:drawing>
      </w:r>
    </w:p>
    <w:p w:rsidR="0043740F" w:rsidRDefault="0043740F" w:rsidP="00434C8F">
      <w:pPr>
        <w:pStyle w:val="BodyText2"/>
      </w:pPr>
    </w:p>
    <w:p w:rsidR="0043740F" w:rsidRDefault="0043740F" w:rsidP="00434C8F">
      <w:pPr>
        <w:pStyle w:val="BodyText2"/>
      </w:pPr>
    </w:p>
    <w:p w:rsidR="0043740F" w:rsidRDefault="0043740F" w:rsidP="00434C8F">
      <w:pPr>
        <w:pStyle w:val="BodyText2"/>
      </w:pPr>
    </w:p>
    <w:p w:rsidR="0043740F" w:rsidRDefault="0043740F" w:rsidP="00434C8F">
      <w:pPr>
        <w:pStyle w:val="BodyText2"/>
      </w:pPr>
    </w:p>
    <w:p w:rsidR="002E2715" w:rsidRDefault="002E2715" w:rsidP="00434C8F">
      <w:pPr>
        <w:pStyle w:val="BodyText2"/>
      </w:pPr>
    </w:p>
    <w:p w:rsidR="002E2715" w:rsidRDefault="002E2715" w:rsidP="00434C8F">
      <w:pPr>
        <w:pStyle w:val="BodyText2"/>
      </w:pPr>
    </w:p>
    <w:p w:rsidR="0043740F" w:rsidRDefault="0043740F" w:rsidP="00434C8F">
      <w:pPr>
        <w:pStyle w:val="BodyText2"/>
      </w:pPr>
    </w:p>
    <w:p w:rsidR="006D464B" w:rsidRPr="006D464B" w:rsidRDefault="006D464B" w:rsidP="00434C8F">
      <w:pPr>
        <w:pStyle w:val="BodyText2"/>
        <w:rPr>
          <w:b/>
        </w:rPr>
      </w:pPr>
      <w:r w:rsidRPr="006D464B">
        <w:rPr>
          <w:b/>
        </w:rPr>
        <w:tab/>
        <w:t>Q.</w:t>
      </w:r>
      <w:r w:rsidRPr="006D464B">
        <w:rPr>
          <w:b/>
        </w:rPr>
        <w:tab/>
        <w:t>How were these savings measured and verified?</w:t>
      </w:r>
    </w:p>
    <w:p w:rsidR="00794E53" w:rsidRDefault="006D464B" w:rsidP="00434C8F">
      <w:pPr>
        <w:pStyle w:val="BodyText2"/>
      </w:pPr>
      <w:r>
        <w:tab/>
        <w:t>A.</w:t>
      </w:r>
      <w:r>
        <w:tab/>
      </w:r>
      <w:r w:rsidR="00794E53">
        <w:t xml:space="preserve">The distribution savings were verified using SyneGEE engineering analysis tools in conjunction with annual average load as measured by the field devices with the distribution management system.  These SynerGEE models were run in both a pre-reconductoring configuration and a post reconductoring configuration to determine </w:t>
      </w:r>
      <w:r w:rsidR="00794E53">
        <w:lastRenderedPageBreak/>
        <w:t>the loss reduction.  No additional measures or calculation were required for reconductoring alone.</w:t>
      </w:r>
    </w:p>
    <w:p w:rsidR="00E90C7A" w:rsidRPr="00E90C7A" w:rsidRDefault="0004172C" w:rsidP="00434C8F">
      <w:pPr>
        <w:pStyle w:val="BodyText2"/>
        <w:rPr>
          <w:b/>
        </w:rPr>
      </w:pPr>
      <w:r w:rsidRPr="00E90C7A">
        <w:rPr>
          <w:b/>
        </w:rPr>
        <w:tab/>
      </w:r>
      <w:r w:rsidR="00E90C7A" w:rsidRPr="00E90C7A">
        <w:rPr>
          <w:b/>
        </w:rPr>
        <w:t>Q.</w:t>
      </w:r>
      <w:r w:rsidR="00E90C7A" w:rsidRPr="00E90C7A">
        <w:rPr>
          <w:b/>
        </w:rPr>
        <w:tab/>
        <w:t xml:space="preserve">Recognizing that the majority of the Company’s distribution efficiency savings </w:t>
      </w:r>
      <w:r w:rsidR="00E90C7A">
        <w:rPr>
          <w:b/>
        </w:rPr>
        <w:t>are</w:t>
      </w:r>
      <w:r w:rsidR="00E90C7A" w:rsidRPr="00E90C7A">
        <w:rPr>
          <w:b/>
        </w:rPr>
        <w:t xml:space="preserve"> expected in the 2012-2013 </w:t>
      </w:r>
      <w:r w:rsidR="00C256DC">
        <w:rPr>
          <w:b/>
        </w:rPr>
        <w:t>B</w:t>
      </w:r>
      <w:r w:rsidR="00E90C7A" w:rsidRPr="00E90C7A">
        <w:rPr>
          <w:b/>
        </w:rPr>
        <w:t>iennium and recognizing that distribution efficiency EM&amp;V is a focus of current efforts, what would be the effect of not including 2010-2011 distribution efficiency savings against th</w:t>
      </w:r>
      <w:r w:rsidR="00967717">
        <w:rPr>
          <w:b/>
        </w:rPr>
        <w:t>e 2010-2011 overall I-937</w:t>
      </w:r>
      <w:r w:rsidR="00E90C7A" w:rsidRPr="00E90C7A">
        <w:rPr>
          <w:b/>
        </w:rPr>
        <w:t xml:space="preserve"> targets?</w:t>
      </w:r>
    </w:p>
    <w:p w:rsidR="00E90C7A" w:rsidRDefault="00E90C7A" w:rsidP="00434C8F">
      <w:pPr>
        <w:pStyle w:val="BodyText2"/>
      </w:pPr>
      <w:r>
        <w:tab/>
        <w:t>A.</w:t>
      </w:r>
      <w:r>
        <w:tab/>
        <w:t xml:space="preserve">The distribution </w:t>
      </w:r>
      <w:r w:rsidR="006A72FF">
        <w:t xml:space="preserve">efficiency savings for the 2010-2011 </w:t>
      </w:r>
      <w:r w:rsidR="00C256DC">
        <w:t>B</w:t>
      </w:r>
      <w:r w:rsidR="006A72FF">
        <w:t xml:space="preserve">iennium compose </w:t>
      </w:r>
      <w:r w:rsidR="00453B38" w:rsidRPr="00825A37">
        <w:t>2</w:t>
      </w:r>
      <w:r w:rsidR="006A72FF" w:rsidRPr="00825A37">
        <w:t>%</w:t>
      </w:r>
      <w:r w:rsidR="006A72FF">
        <w:t xml:space="preserve"> of Avista’s </w:t>
      </w:r>
      <w:r w:rsidR="00453B38">
        <w:t xml:space="preserve">I-937 </w:t>
      </w:r>
      <w:r w:rsidR="006A72FF">
        <w:t xml:space="preserve">claimed savings.  </w:t>
      </w:r>
      <w:r w:rsidR="00FE2EB7">
        <w:t xml:space="preserve">While the Company is claiming these savings for this period, please note that if the distribution savings were not counted, </w:t>
      </w:r>
      <w:r w:rsidR="006A72FF">
        <w:t xml:space="preserve">Avista would still have exceeded its 2010-2011 targets by </w:t>
      </w:r>
      <w:r w:rsidR="00825A37">
        <w:t>32</w:t>
      </w:r>
      <w:r w:rsidR="006A72FF">
        <w:t>%.  This is an issue</w:t>
      </w:r>
      <w:r w:rsidR="004E644D">
        <w:t>, therefore,</w:t>
      </w:r>
      <w:r w:rsidR="006A72FF">
        <w:t xml:space="preserve"> that would not affec</w:t>
      </w:r>
      <w:r w:rsidR="009A2CE7">
        <w:t xml:space="preserve">t current I-937 compliance </w:t>
      </w:r>
      <w:r w:rsidR="006A72FF">
        <w:t xml:space="preserve">and, moreover, is an issue to be addressed during the 2012-2013 </w:t>
      </w:r>
      <w:r w:rsidR="00C256DC">
        <w:t>B</w:t>
      </w:r>
      <w:r w:rsidR="006A72FF">
        <w:t>iennium as described in the Commission’s Order 01 in Docket UE-111882 at Paragraph 28, Part (6)(g):</w:t>
      </w:r>
    </w:p>
    <w:p w:rsidR="004E7C5A" w:rsidRDefault="006A72FF" w:rsidP="004E7C5A">
      <w:pPr>
        <w:pStyle w:val="BodyText2"/>
        <w:spacing w:line="240" w:lineRule="auto"/>
        <w:ind w:left="720"/>
      </w:pPr>
      <w:r>
        <w:t>For savings claimed from distribution efficiency, Avista Corporation must provide third-party verified values calculated using applicable parts of the RTF’s Automated CVR Protocol No. 1, Voltage Optimization Protocol, or any other protocol recognized by the RTF following the date of this order.  This requirement does not prevent Avista Corporation from developing an additional EM&amp;V methodology for distribution efficiency and advocating at a future Commission proceeding for the recognition of third-party verified savings cal</w:t>
      </w:r>
      <w:r w:rsidR="00903595">
        <w:t>culated using that methodology.</w:t>
      </w:r>
    </w:p>
    <w:p w:rsidR="006A72FF" w:rsidRDefault="006A72FF" w:rsidP="004E7C5A">
      <w:pPr>
        <w:pStyle w:val="BodyText2"/>
      </w:pPr>
    </w:p>
    <w:p w:rsidR="000B7E63" w:rsidRDefault="000B7E63" w:rsidP="004E7C5A">
      <w:pPr>
        <w:pStyle w:val="BodyText2"/>
      </w:pPr>
    </w:p>
    <w:p w:rsidR="000B7E63" w:rsidRDefault="000B7E63" w:rsidP="004E7C5A">
      <w:pPr>
        <w:pStyle w:val="BodyText2"/>
      </w:pPr>
    </w:p>
    <w:p w:rsidR="000B7E63" w:rsidRPr="00E90C7A" w:rsidRDefault="000B7E63" w:rsidP="004E7C5A">
      <w:pPr>
        <w:pStyle w:val="BodyText2"/>
      </w:pPr>
    </w:p>
    <w:p w:rsidR="00E90C7A" w:rsidRPr="00E90C7A" w:rsidRDefault="00E90C7A" w:rsidP="00E90C7A">
      <w:pPr>
        <w:pStyle w:val="BodyText2"/>
        <w:jc w:val="center"/>
        <w:rPr>
          <w:b/>
          <w:u w:val="single"/>
        </w:rPr>
      </w:pPr>
      <w:r w:rsidRPr="00E90C7A">
        <w:rPr>
          <w:b/>
          <w:u w:val="single"/>
        </w:rPr>
        <w:lastRenderedPageBreak/>
        <w:t>V</w:t>
      </w:r>
      <w:r w:rsidR="00C505F2">
        <w:rPr>
          <w:b/>
          <w:u w:val="single"/>
        </w:rPr>
        <w:t>I</w:t>
      </w:r>
      <w:r w:rsidRPr="00E90C7A">
        <w:rPr>
          <w:b/>
          <w:u w:val="single"/>
        </w:rPr>
        <w:t>.  OTHER COMPANY WITNESSES</w:t>
      </w:r>
    </w:p>
    <w:p w:rsidR="004705D1" w:rsidRPr="004705D1" w:rsidRDefault="0004172C" w:rsidP="00E90C7A">
      <w:pPr>
        <w:pStyle w:val="BodyText2"/>
        <w:ind w:firstLine="720"/>
        <w:rPr>
          <w:b/>
        </w:rPr>
      </w:pPr>
      <w:r>
        <w:rPr>
          <w:b/>
        </w:rPr>
        <w:t>Q.</w:t>
      </w:r>
      <w:r>
        <w:rPr>
          <w:b/>
        </w:rPr>
        <w:tab/>
        <w:t xml:space="preserve"> Would you please </w:t>
      </w:r>
      <w:r w:rsidR="00460E72">
        <w:rPr>
          <w:b/>
        </w:rPr>
        <w:t>provide a brief summary of the testimony of the other witnesses representing Avista in this proceeding?</w:t>
      </w:r>
    </w:p>
    <w:p w:rsidR="00460E72" w:rsidRDefault="0004172C" w:rsidP="00434C8F">
      <w:pPr>
        <w:pStyle w:val="BodyText2"/>
      </w:pPr>
      <w:r>
        <w:tab/>
        <w:t>A.</w:t>
      </w:r>
      <w:r>
        <w:tab/>
        <w:t xml:space="preserve">Yes.  </w:t>
      </w:r>
      <w:r w:rsidR="00460E72">
        <w:t>The following witnesses are presenting direct testimony on behalf of Avista:</w:t>
      </w:r>
    </w:p>
    <w:p w:rsidR="0004172C" w:rsidRPr="00B90124" w:rsidRDefault="0004172C" w:rsidP="00D35DC2">
      <w:pPr>
        <w:pStyle w:val="BodyText2"/>
        <w:ind w:firstLine="720"/>
      </w:pPr>
      <w:r w:rsidRPr="00D35DC2">
        <w:rPr>
          <w:u w:val="single"/>
        </w:rPr>
        <w:t>Lori B. Hermanson</w:t>
      </w:r>
      <w:r>
        <w:t xml:space="preserve">, Senior Utility Resource Analyst, will report on the </w:t>
      </w:r>
      <w:r w:rsidR="007C68DF">
        <w:t xml:space="preserve">cost-effectiveness and regulatory </w:t>
      </w:r>
      <w:r>
        <w:t xml:space="preserve">prudence of the 2010-2011 electric and natural gas DSM portfolio.  </w:t>
      </w:r>
      <w:r w:rsidR="00D02105">
        <w:t xml:space="preserve">As the project manager for evaluation, Ms. Hermanson describes the administration of The Cadmus Group contracting process and addresses other </w:t>
      </w:r>
      <w:r w:rsidR="00D02105" w:rsidRPr="00B90124">
        <w:t xml:space="preserve">evaluation issues.  Ms. Hermanson </w:t>
      </w:r>
      <w:r w:rsidR="00761131" w:rsidRPr="00B90124">
        <w:t>explains:</w:t>
      </w:r>
      <w:r w:rsidR="00D02105" w:rsidRPr="00B90124">
        <w:t xml:space="preserve"> </w:t>
      </w:r>
    </w:p>
    <w:p w:rsidR="00761131" w:rsidRPr="00F9085B" w:rsidRDefault="00761131" w:rsidP="00F9085B">
      <w:pPr>
        <w:pStyle w:val="BodyText3"/>
        <w:numPr>
          <w:ilvl w:val="0"/>
          <w:numId w:val="24"/>
        </w:numPr>
        <w:spacing w:after="0"/>
        <w:jc w:val="both"/>
        <w:rPr>
          <w:sz w:val="24"/>
          <w:szCs w:val="24"/>
        </w:rPr>
      </w:pPr>
      <w:r w:rsidRPr="00B90124">
        <w:rPr>
          <w:sz w:val="24"/>
          <w:szCs w:val="24"/>
        </w:rPr>
        <w:t xml:space="preserve">Washington electric programs have been cost-effective from both a Total Resource Cost (TRC) and Program Administrator Cost Test (PACT) perspective.  The 2010-2011 TRC benefit-to-cost ratio of </w:t>
      </w:r>
      <w:r w:rsidR="002176A3" w:rsidRPr="00B90124">
        <w:rPr>
          <w:sz w:val="24"/>
          <w:szCs w:val="24"/>
        </w:rPr>
        <w:t>1.</w:t>
      </w:r>
      <w:r w:rsidR="00E749FF">
        <w:rPr>
          <w:sz w:val="24"/>
          <w:szCs w:val="24"/>
        </w:rPr>
        <w:t>5</w:t>
      </w:r>
      <w:r w:rsidR="00F9085B">
        <w:rPr>
          <w:sz w:val="24"/>
          <w:szCs w:val="24"/>
        </w:rPr>
        <w:t>8</w:t>
      </w:r>
      <w:r w:rsidRPr="00B90124">
        <w:rPr>
          <w:sz w:val="24"/>
          <w:szCs w:val="24"/>
        </w:rPr>
        <w:t>, for the Washington electric DSM program portfolio, is cost-effective, with a net TRC benefit to customers of over $</w:t>
      </w:r>
      <w:r w:rsidR="00F9085B">
        <w:rPr>
          <w:sz w:val="24"/>
          <w:szCs w:val="24"/>
        </w:rPr>
        <w:t>33.6</w:t>
      </w:r>
      <w:r w:rsidRPr="00B90124">
        <w:rPr>
          <w:sz w:val="24"/>
          <w:szCs w:val="24"/>
        </w:rPr>
        <w:t xml:space="preserve"> million.  The 2010-2011 PACT benefit-to-cost ratio is cost-effective with a net PACT benefit of over $</w:t>
      </w:r>
      <w:r w:rsidR="00F9085B">
        <w:rPr>
          <w:sz w:val="24"/>
          <w:szCs w:val="24"/>
        </w:rPr>
        <w:t>65.4</w:t>
      </w:r>
      <w:r w:rsidRPr="00F9085B">
        <w:rPr>
          <w:sz w:val="24"/>
          <w:szCs w:val="24"/>
        </w:rPr>
        <w:t xml:space="preserve"> million.  The levelized TRC and PACT cost is $</w:t>
      </w:r>
      <w:r w:rsidR="00F9085B">
        <w:rPr>
          <w:sz w:val="24"/>
          <w:szCs w:val="24"/>
        </w:rPr>
        <w:t>42.48</w:t>
      </w:r>
      <w:r w:rsidRPr="00F9085B">
        <w:rPr>
          <w:sz w:val="24"/>
          <w:szCs w:val="24"/>
        </w:rPr>
        <w:t xml:space="preserve"> and $</w:t>
      </w:r>
      <w:r w:rsidR="00F9085B">
        <w:rPr>
          <w:sz w:val="24"/>
          <w:szCs w:val="24"/>
        </w:rPr>
        <w:t>18.33</w:t>
      </w:r>
      <w:r w:rsidRPr="00F9085B">
        <w:rPr>
          <w:sz w:val="24"/>
          <w:szCs w:val="24"/>
        </w:rPr>
        <w:t xml:space="preserve"> per </w:t>
      </w:r>
      <w:r w:rsidR="000E70C3" w:rsidRPr="00F9085B">
        <w:rPr>
          <w:sz w:val="24"/>
          <w:szCs w:val="24"/>
        </w:rPr>
        <w:t>MWh</w:t>
      </w:r>
      <w:r w:rsidR="00FE2EB7" w:rsidRPr="00F9085B">
        <w:rPr>
          <w:sz w:val="24"/>
          <w:szCs w:val="24"/>
        </w:rPr>
        <w:t>, respectively</w:t>
      </w:r>
      <w:r w:rsidRPr="00F9085B">
        <w:rPr>
          <w:sz w:val="24"/>
          <w:szCs w:val="24"/>
        </w:rPr>
        <w:t xml:space="preserve">. The overall portfolio of measures has a weighted average measure life of </w:t>
      </w:r>
      <w:r w:rsidR="009A5FB1" w:rsidRPr="00F9085B">
        <w:rPr>
          <w:sz w:val="24"/>
          <w:szCs w:val="24"/>
        </w:rPr>
        <w:t>12</w:t>
      </w:r>
      <w:r w:rsidRPr="00F9085B">
        <w:rPr>
          <w:sz w:val="24"/>
          <w:szCs w:val="24"/>
        </w:rPr>
        <w:t xml:space="preserve"> years for 2010-2011. </w:t>
      </w:r>
    </w:p>
    <w:p w:rsidR="00AE6E62" w:rsidRDefault="00761131" w:rsidP="00AE6E62">
      <w:pPr>
        <w:pStyle w:val="BodyText3"/>
        <w:numPr>
          <w:ilvl w:val="0"/>
          <w:numId w:val="24"/>
        </w:numPr>
        <w:spacing w:after="0"/>
        <w:jc w:val="both"/>
        <w:rPr>
          <w:sz w:val="24"/>
          <w:szCs w:val="24"/>
        </w:rPr>
      </w:pPr>
      <w:r w:rsidRPr="00AE6B13">
        <w:rPr>
          <w:sz w:val="24"/>
          <w:szCs w:val="24"/>
        </w:rPr>
        <w:t>The Washington natural gas DSM program</w:t>
      </w:r>
      <w:r w:rsidR="00895113" w:rsidRPr="00AE6B13">
        <w:rPr>
          <w:sz w:val="24"/>
          <w:szCs w:val="24"/>
        </w:rPr>
        <w:t xml:space="preserve"> portfolio </w:t>
      </w:r>
      <w:r w:rsidR="002176A3" w:rsidRPr="00AE6B13">
        <w:rPr>
          <w:sz w:val="24"/>
          <w:szCs w:val="24"/>
        </w:rPr>
        <w:t xml:space="preserve">has a </w:t>
      </w:r>
      <w:r w:rsidRPr="00AE6B13">
        <w:rPr>
          <w:sz w:val="24"/>
          <w:szCs w:val="24"/>
        </w:rPr>
        <w:t xml:space="preserve">2010-2011 TRC ratio </w:t>
      </w:r>
      <w:r w:rsidR="00FE2EB7">
        <w:rPr>
          <w:sz w:val="24"/>
          <w:szCs w:val="24"/>
        </w:rPr>
        <w:t>of</w:t>
      </w:r>
      <w:r w:rsidRPr="00AE6B13">
        <w:rPr>
          <w:sz w:val="24"/>
          <w:szCs w:val="24"/>
        </w:rPr>
        <w:t xml:space="preserve"> </w:t>
      </w:r>
      <w:r w:rsidR="006D142F">
        <w:rPr>
          <w:sz w:val="24"/>
          <w:szCs w:val="24"/>
        </w:rPr>
        <w:t>1.19</w:t>
      </w:r>
      <w:r w:rsidRPr="00AE6B13">
        <w:rPr>
          <w:sz w:val="24"/>
          <w:szCs w:val="24"/>
        </w:rPr>
        <w:t>.  The 2010-2011 PAC</w:t>
      </w:r>
      <w:r w:rsidR="002176A3" w:rsidRPr="00AE6B13">
        <w:rPr>
          <w:sz w:val="24"/>
          <w:szCs w:val="24"/>
        </w:rPr>
        <w:t>T</w:t>
      </w:r>
      <w:r w:rsidRPr="00AE6B13">
        <w:rPr>
          <w:sz w:val="24"/>
          <w:szCs w:val="24"/>
        </w:rPr>
        <w:t xml:space="preserve"> benefit cost ratio is </w:t>
      </w:r>
      <w:r w:rsidR="006D142F">
        <w:rPr>
          <w:sz w:val="24"/>
          <w:szCs w:val="24"/>
        </w:rPr>
        <w:t>3.02</w:t>
      </w:r>
      <w:r w:rsidRPr="00AE6B13">
        <w:rPr>
          <w:sz w:val="24"/>
          <w:szCs w:val="24"/>
        </w:rPr>
        <w:t xml:space="preserve">.  Therefore, the Washington natural gas DSM portfolio passes the PAC test in 2010-2011.  The levelized TRC and PAC cost is </w:t>
      </w:r>
      <w:r w:rsidR="006D142F">
        <w:rPr>
          <w:sz w:val="24"/>
          <w:szCs w:val="24"/>
        </w:rPr>
        <w:t>$1.07</w:t>
      </w:r>
      <w:r w:rsidRPr="00AE6B13">
        <w:rPr>
          <w:sz w:val="24"/>
          <w:szCs w:val="24"/>
        </w:rPr>
        <w:t xml:space="preserve"> and </w:t>
      </w:r>
      <w:r w:rsidR="006D142F">
        <w:rPr>
          <w:sz w:val="24"/>
          <w:szCs w:val="24"/>
        </w:rPr>
        <w:t>41.5</w:t>
      </w:r>
      <w:r w:rsidRPr="00AE6B13">
        <w:rPr>
          <w:sz w:val="24"/>
          <w:szCs w:val="24"/>
        </w:rPr>
        <w:t xml:space="preserve"> cents per therm</w:t>
      </w:r>
      <w:r w:rsidR="00FE2EB7">
        <w:rPr>
          <w:sz w:val="24"/>
          <w:szCs w:val="24"/>
        </w:rPr>
        <w:t>, respectively</w:t>
      </w:r>
      <w:r w:rsidRPr="00AE6B13">
        <w:rPr>
          <w:sz w:val="24"/>
          <w:szCs w:val="24"/>
        </w:rPr>
        <w:t xml:space="preserve">. The overall portfolio of measures has a weighted average measure life of </w:t>
      </w:r>
      <w:r w:rsidR="009A5FB1">
        <w:rPr>
          <w:sz w:val="24"/>
          <w:szCs w:val="24"/>
        </w:rPr>
        <w:t>21</w:t>
      </w:r>
      <w:r w:rsidRPr="00AE6B13">
        <w:rPr>
          <w:sz w:val="24"/>
          <w:szCs w:val="24"/>
        </w:rPr>
        <w:t xml:space="preserve"> years for 2010-2011.  </w:t>
      </w:r>
    </w:p>
    <w:p w:rsidR="00AE6B13" w:rsidRPr="00AE6B13" w:rsidRDefault="00AE6B13" w:rsidP="00AE6B13">
      <w:pPr>
        <w:pStyle w:val="BodyText3"/>
        <w:spacing w:after="0"/>
        <w:ind w:left="1080"/>
        <w:jc w:val="both"/>
        <w:rPr>
          <w:sz w:val="24"/>
          <w:szCs w:val="24"/>
        </w:rPr>
      </w:pPr>
    </w:p>
    <w:p w:rsidR="00BC7784" w:rsidRPr="00BC7784" w:rsidRDefault="00BC7784" w:rsidP="00BC7784">
      <w:pPr>
        <w:pStyle w:val="BodyText2"/>
        <w:ind w:firstLine="720"/>
      </w:pPr>
      <w:r w:rsidRPr="00460E72">
        <w:rPr>
          <w:u w:val="single"/>
        </w:rPr>
        <w:t>Dr. Sami Khawaja</w:t>
      </w:r>
      <w:r>
        <w:t xml:space="preserve">, Senior Vice President and Group Manager, The Cadmus Group, will present the results of third party verification of Avista’s 2010-2011 DSM electric and natural gas portfolio.  Dr. Khawaja will describe the methodology and conclusions of his company’s independent impact evaluations and process evaluations </w:t>
      </w:r>
      <w:r>
        <w:lastRenderedPageBreak/>
        <w:t>that are a central component of Avista</w:t>
      </w:r>
      <w:r w:rsidR="00B3562A">
        <w:t>’s EM&amp;V Framework and EM&amp;V Plan</w:t>
      </w:r>
      <w:r>
        <w:t>.  His testimony concludes that Avista’s Washington el</w:t>
      </w:r>
      <w:r w:rsidR="00F9085B">
        <w:t>ectric DSM programs achieved 132</w:t>
      </w:r>
      <w:r>
        <w:t>% of its 2010-2011 Commission-approved target and its natu</w:t>
      </w:r>
      <w:r w:rsidR="00F9085B">
        <w:t>ral gas DSM programs achieved 79</w:t>
      </w:r>
      <w:r>
        <w:t>% of its natural gas IRP targets.</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34BF5" w:rsidRPr="00E25098" w:rsidRDefault="00C408E4" w:rsidP="000A102F">
      <w:pPr>
        <w:pStyle w:val="BodyText2"/>
        <w:ind w:firstLine="720"/>
        <w:rPr>
          <w:b/>
        </w:rPr>
      </w:pPr>
      <w:r>
        <w:t>A.</w:t>
      </w:r>
      <w:r>
        <w:tab/>
      </w:r>
      <w:r w:rsidR="00BA001D" w:rsidRPr="009C464E">
        <w:t>Yes, it does.</w:t>
      </w:r>
      <w:r w:rsidR="00BA001D" w:rsidRPr="009C464E">
        <w:rPr>
          <w:b/>
        </w:rPr>
        <w:tab/>
      </w:r>
    </w:p>
    <w:sectPr w:rsidR="00234BF5" w:rsidRPr="00E25098"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62A" w:rsidRDefault="00B3562A">
      <w:r>
        <w:separator/>
      </w:r>
    </w:p>
  </w:endnote>
  <w:endnote w:type="continuationSeparator" w:id="0">
    <w:p w:rsidR="00B3562A" w:rsidRDefault="00B35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2A" w:rsidRPr="009B57D5" w:rsidRDefault="00B3562A" w:rsidP="00875820">
    <w:pPr>
      <w:pStyle w:val="Footer"/>
      <w:tabs>
        <w:tab w:val="clear" w:pos="4320"/>
        <w:tab w:val="clear" w:pos="8640"/>
        <w:tab w:val="left" w:pos="180"/>
        <w:tab w:val="right" w:pos="8460"/>
      </w:tabs>
    </w:pPr>
    <w:r w:rsidRPr="009B57D5">
      <w:t>Direct Testimony of Bruce W. Folsom</w:t>
    </w:r>
    <w:r w:rsidRPr="009B57D5">
      <w:tab/>
    </w:r>
  </w:p>
  <w:p w:rsidR="00B3562A" w:rsidRPr="009B57D5" w:rsidRDefault="00B3562A">
    <w:pPr>
      <w:pStyle w:val="Footer"/>
      <w:tabs>
        <w:tab w:val="clear" w:pos="4320"/>
        <w:tab w:val="clear" w:pos="8640"/>
        <w:tab w:val="left" w:pos="180"/>
        <w:tab w:val="right" w:pos="9360"/>
      </w:tabs>
      <w:rPr>
        <w:lang w:val="fr-FR"/>
      </w:rPr>
    </w:pPr>
    <w:r w:rsidRPr="009B57D5">
      <w:rPr>
        <w:lang w:val="fr-FR"/>
      </w:rPr>
      <w:t>Avista Corporation</w:t>
    </w:r>
  </w:p>
  <w:p w:rsidR="00B3562A" w:rsidRPr="00FE4718" w:rsidRDefault="001A2A7D" w:rsidP="00875820">
    <w:pPr>
      <w:pStyle w:val="Footer"/>
      <w:tabs>
        <w:tab w:val="clear" w:pos="4320"/>
        <w:tab w:val="clear" w:pos="8640"/>
        <w:tab w:val="left" w:pos="180"/>
        <w:tab w:val="right" w:pos="8280"/>
      </w:tabs>
      <w:rPr>
        <w:rStyle w:val="PageNumber"/>
        <w:rFonts w:ascii="Palatino Linotype" w:hAnsi="Palatino Linotype" w:cs="Palatino Linotype"/>
        <w:lang w:val="fr-FR"/>
      </w:rPr>
    </w:pPr>
    <w:r>
      <w:rPr>
        <w:lang w:val="fr-FR"/>
      </w:rPr>
      <w:t>Docket No</w:t>
    </w:r>
    <w:r w:rsidR="00B3562A">
      <w:rPr>
        <w:lang w:val="fr-FR"/>
      </w:rPr>
      <w:t>. UE-100176</w:t>
    </w:r>
    <w:r w:rsidR="00B3562A">
      <w:rPr>
        <w:lang w:val="fr-FR"/>
      </w:rPr>
      <w:tab/>
    </w:r>
    <w:r w:rsidR="00B3562A" w:rsidRPr="00FE4718">
      <w:rPr>
        <w:lang w:val="fr-FR"/>
      </w:rPr>
      <w:t>Page</w:t>
    </w:r>
    <w:r w:rsidR="00B3562A" w:rsidRPr="00FE4718">
      <w:rPr>
        <w:rFonts w:ascii="Palatino Linotype" w:hAnsi="Palatino Linotype" w:cs="Palatino Linotype"/>
        <w:lang w:val="fr-FR"/>
      </w:rPr>
      <w:t xml:space="preserve"> </w:t>
    </w:r>
    <w:r w:rsidR="00565E39">
      <w:rPr>
        <w:rStyle w:val="PageNumber"/>
        <w:rFonts w:ascii="Palatino Linotype" w:hAnsi="Palatino Linotype" w:cs="Palatino Linotype"/>
      </w:rPr>
      <w:fldChar w:fldCharType="begin"/>
    </w:r>
    <w:r w:rsidR="00B3562A" w:rsidRPr="00FE4718">
      <w:rPr>
        <w:rStyle w:val="PageNumber"/>
        <w:rFonts w:ascii="Palatino Linotype" w:hAnsi="Palatino Linotype" w:cs="Palatino Linotype"/>
        <w:lang w:val="fr-FR"/>
      </w:rPr>
      <w:instrText xml:space="preserve"> PAGE </w:instrText>
    </w:r>
    <w:r w:rsidR="00565E39">
      <w:rPr>
        <w:rStyle w:val="PageNumber"/>
        <w:rFonts w:ascii="Palatino Linotype" w:hAnsi="Palatino Linotype" w:cs="Palatino Linotype"/>
      </w:rPr>
      <w:fldChar w:fldCharType="separate"/>
    </w:r>
    <w:r w:rsidR="007E39BE">
      <w:rPr>
        <w:rStyle w:val="PageNumber"/>
        <w:rFonts w:ascii="Palatino Linotype" w:hAnsi="Palatino Linotype" w:cs="Palatino Linotype"/>
        <w:noProof/>
        <w:lang w:val="fr-FR"/>
      </w:rPr>
      <w:t>7</w:t>
    </w:r>
    <w:r w:rsidR="00565E39">
      <w:rPr>
        <w:rStyle w:val="PageNumber"/>
        <w:rFonts w:ascii="Palatino Linotype" w:hAnsi="Palatino Linotype" w:cs="Palatino Linotype"/>
      </w:rPr>
      <w:fldChar w:fldCharType="end"/>
    </w:r>
  </w:p>
  <w:p w:rsidR="00B3562A" w:rsidRDefault="00B3562A">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2A" w:rsidRDefault="00B3562A">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62A" w:rsidRDefault="00B3562A">
      <w:r>
        <w:separator/>
      </w:r>
    </w:p>
  </w:footnote>
  <w:footnote w:type="continuationSeparator" w:id="0">
    <w:p w:rsidR="00B3562A" w:rsidRDefault="00B35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2A" w:rsidRDefault="00B3562A">
    <w:pPr>
      <w:pStyle w:val="Header"/>
      <w:jc w:val="right"/>
    </w:pPr>
    <w:r>
      <w:t>Exhibit No. ___(BWF-1T)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2A" w:rsidRDefault="00B3562A">
    <w:pPr>
      <w:pStyle w:val="Header"/>
    </w:pPr>
    <w:r>
      <w:tab/>
    </w:r>
    <w:r>
      <w:tab/>
      <w:t>Exhibit No. ___(BWF-1T)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8EF"/>
    <w:multiLevelType w:val="hybridMultilevel"/>
    <w:tmpl w:val="D098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018E1"/>
    <w:multiLevelType w:val="hybridMultilevel"/>
    <w:tmpl w:val="D458D402"/>
    <w:lvl w:ilvl="0" w:tplc="879048D0">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8404F"/>
    <w:multiLevelType w:val="hybridMultilevel"/>
    <w:tmpl w:val="62748094"/>
    <w:lvl w:ilvl="0" w:tplc="67407600">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0">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953121"/>
    <w:multiLevelType w:val="hybridMultilevel"/>
    <w:tmpl w:val="93046B10"/>
    <w:lvl w:ilvl="0" w:tplc="1996D95E">
      <w:start w:val="1"/>
      <w:numFmt w:val="bullet"/>
      <w:lvlText w:val=""/>
      <w:lvlJc w:val="left"/>
      <w:pPr>
        <w:ind w:left="720" w:hanging="72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780B2135"/>
    <w:multiLevelType w:val="hybridMultilevel"/>
    <w:tmpl w:val="5E960DAA"/>
    <w:lvl w:ilvl="0" w:tplc="67407600">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2"/>
  </w:num>
  <w:num w:numId="4">
    <w:abstractNumId w:val="6"/>
  </w:num>
  <w:num w:numId="5">
    <w:abstractNumId w:val="19"/>
  </w:num>
  <w:num w:numId="6">
    <w:abstractNumId w:val="10"/>
  </w:num>
  <w:num w:numId="7">
    <w:abstractNumId w:val="22"/>
  </w:num>
  <w:num w:numId="8">
    <w:abstractNumId w:val="13"/>
  </w:num>
  <w:num w:numId="9">
    <w:abstractNumId w:val="11"/>
  </w:num>
  <w:num w:numId="10">
    <w:abstractNumId w:val="4"/>
  </w:num>
  <w:num w:numId="11">
    <w:abstractNumId w:val="7"/>
  </w:num>
  <w:num w:numId="12">
    <w:abstractNumId w:val="24"/>
  </w:num>
  <w:num w:numId="13">
    <w:abstractNumId w:val="5"/>
  </w:num>
  <w:num w:numId="14">
    <w:abstractNumId w:val="17"/>
  </w:num>
  <w:num w:numId="15">
    <w:abstractNumId w:val="14"/>
  </w:num>
  <w:num w:numId="16">
    <w:abstractNumId w:val="8"/>
  </w:num>
  <w:num w:numId="17">
    <w:abstractNumId w:val="20"/>
  </w:num>
  <w:num w:numId="18">
    <w:abstractNumId w:val="18"/>
  </w:num>
  <w:num w:numId="19">
    <w:abstractNumId w:val="3"/>
  </w:num>
  <w:num w:numId="20">
    <w:abstractNumId w:val="15"/>
  </w:num>
  <w:num w:numId="21">
    <w:abstractNumId w:val="0"/>
  </w:num>
  <w:num w:numId="22">
    <w:abstractNumId w:val="2"/>
  </w:num>
  <w:num w:numId="23">
    <w:abstractNumId w:val="23"/>
  </w:num>
  <w:num w:numId="24">
    <w:abstractNumId w:val="1"/>
  </w:num>
  <w:num w:numId="25">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29F9"/>
    <w:rsid w:val="00004C3F"/>
    <w:rsid w:val="00012FD8"/>
    <w:rsid w:val="000136E3"/>
    <w:rsid w:val="00014C72"/>
    <w:rsid w:val="00015017"/>
    <w:rsid w:val="00027F3D"/>
    <w:rsid w:val="0003076B"/>
    <w:rsid w:val="00030C4B"/>
    <w:rsid w:val="0003377A"/>
    <w:rsid w:val="0004172C"/>
    <w:rsid w:val="00044846"/>
    <w:rsid w:val="00057524"/>
    <w:rsid w:val="000624F2"/>
    <w:rsid w:val="00064A2D"/>
    <w:rsid w:val="0007138B"/>
    <w:rsid w:val="00071FF7"/>
    <w:rsid w:val="00073275"/>
    <w:rsid w:val="00075241"/>
    <w:rsid w:val="000758F4"/>
    <w:rsid w:val="00075F82"/>
    <w:rsid w:val="00085D56"/>
    <w:rsid w:val="00087DAE"/>
    <w:rsid w:val="000A0285"/>
    <w:rsid w:val="000A102F"/>
    <w:rsid w:val="000A266D"/>
    <w:rsid w:val="000A35C0"/>
    <w:rsid w:val="000A732D"/>
    <w:rsid w:val="000B12A4"/>
    <w:rsid w:val="000B33D3"/>
    <w:rsid w:val="000B7E63"/>
    <w:rsid w:val="000C184E"/>
    <w:rsid w:val="000C45D1"/>
    <w:rsid w:val="000D0053"/>
    <w:rsid w:val="000D188A"/>
    <w:rsid w:val="000D3595"/>
    <w:rsid w:val="000E70C3"/>
    <w:rsid w:val="000F1660"/>
    <w:rsid w:val="000F19B0"/>
    <w:rsid w:val="000F2EF9"/>
    <w:rsid w:val="00102D12"/>
    <w:rsid w:val="00104FDA"/>
    <w:rsid w:val="001112A0"/>
    <w:rsid w:val="00112B0B"/>
    <w:rsid w:val="001207AD"/>
    <w:rsid w:val="0012625E"/>
    <w:rsid w:val="00133B1B"/>
    <w:rsid w:val="001417CA"/>
    <w:rsid w:val="00143110"/>
    <w:rsid w:val="00151BF0"/>
    <w:rsid w:val="00155AE7"/>
    <w:rsid w:val="00155DDE"/>
    <w:rsid w:val="001659B7"/>
    <w:rsid w:val="00167BF2"/>
    <w:rsid w:val="00173891"/>
    <w:rsid w:val="00182994"/>
    <w:rsid w:val="001831B7"/>
    <w:rsid w:val="00184FB2"/>
    <w:rsid w:val="0018648B"/>
    <w:rsid w:val="00186A22"/>
    <w:rsid w:val="001901E6"/>
    <w:rsid w:val="001A2A7D"/>
    <w:rsid w:val="001B2789"/>
    <w:rsid w:val="001B2833"/>
    <w:rsid w:val="001B4D7A"/>
    <w:rsid w:val="001C5741"/>
    <w:rsid w:val="001C5FFA"/>
    <w:rsid w:val="001C6366"/>
    <w:rsid w:val="001E0EEB"/>
    <w:rsid w:val="001E474C"/>
    <w:rsid w:val="001F46B6"/>
    <w:rsid w:val="001F65B1"/>
    <w:rsid w:val="001F69A2"/>
    <w:rsid w:val="001F7008"/>
    <w:rsid w:val="00200A34"/>
    <w:rsid w:val="00201375"/>
    <w:rsid w:val="0020469C"/>
    <w:rsid w:val="0020621B"/>
    <w:rsid w:val="00213128"/>
    <w:rsid w:val="00215701"/>
    <w:rsid w:val="002176A3"/>
    <w:rsid w:val="00222835"/>
    <w:rsid w:val="0022523C"/>
    <w:rsid w:val="00227A41"/>
    <w:rsid w:val="00232B29"/>
    <w:rsid w:val="002344C9"/>
    <w:rsid w:val="00234BF5"/>
    <w:rsid w:val="002414C0"/>
    <w:rsid w:val="002415AD"/>
    <w:rsid w:val="002416B7"/>
    <w:rsid w:val="00251CCB"/>
    <w:rsid w:val="00251E91"/>
    <w:rsid w:val="0025229F"/>
    <w:rsid w:val="00252E79"/>
    <w:rsid w:val="00256EC0"/>
    <w:rsid w:val="0026382F"/>
    <w:rsid w:val="00272190"/>
    <w:rsid w:val="00272704"/>
    <w:rsid w:val="00275837"/>
    <w:rsid w:val="00276CFE"/>
    <w:rsid w:val="0028339B"/>
    <w:rsid w:val="002852DD"/>
    <w:rsid w:val="00294D01"/>
    <w:rsid w:val="00296B19"/>
    <w:rsid w:val="002A21B4"/>
    <w:rsid w:val="002A6D68"/>
    <w:rsid w:val="002B0E46"/>
    <w:rsid w:val="002B1BB9"/>
    <w:rsid w:val="002B2924"/>
    <w:rsid w:val="002B66A8"/>
    <w:rsid w:val="002C1F26"/>
    <w:rsid w:val="002C3713"/>
    <w:rsid w:val="002D0907"/>
    <w:rsid w:val="002D16DA"/>
    <w:rsid w:val="002D25DB"/>
    <w:rsid w:val="002E26E5"/>
    <w:rsid w:val="002E2715"/>
    <w:rsid w:val="002F13BD"/>
    <w:rsid w:val="002F6A07"/>
    <w:rsid w:val="00306080"/>
    <w:rsid w:val="003072ED"/>
    <w:rsid w:val="0031046F"/>
    <w:rsid w:val="003108D8"/>
    <w:rsid w:val="00310E07"/>
    <w:rsid w:val="00314F29"/>
    <w:rsid w:val="00331C80"/>
    <w:rsid w:val="003328FC"/>
    <w:rsid w:val="0033304C"/>
    <w:rsid w:val="00336966"/>
    <w:rsid w:val="00340B15"/>
    <w:rsid w:val="0034108B"/>
    <w:rsid w:val="00343C9F"/>
    <w:rsid w:val="00344E85"/>
    <w:rsid w:val="00350D7F"/>
    <w:rsid w:val="00352CED"/>
    <w:rsid w:val="0035761F"/>
    <w:rsid w:val="00365FC4"/>
    <w:rsid w:val="00366CF9"/>
    <w:rsid w:val="0037345B"/>
    <w:rsid w:val="003741AC"/>
    <w:rsid w:val="00376CC7"/>
    <w:rsid w:val="00380FF3"/>
    <w:rsid w:val="0038448B"/>
    <w:rsid w:val="00384C87"/>
    <w:rsid w:val="00385ACD"/>
    <w:rsid w:val="00391AC7"/>
    <w:rsid w:val="00391B72"/>
    <w:rsid w:val="00394838"/>
    <w:rsid w:val="00397DD2"/>
    <w:rsid w:val="003A0C49"/>
    <w:rsid w:val="003B02D3"/>
    <w:rsid w:val="003B0386"/>
    <w:rsid w:val="003B0728"/>
    <w:rsid w:val="003D214C"/>
    <w:rsid w:val="003D4F24"/>
    <w:rsid w:val="003D563A"/>
    <w:rsid w:val="003E419E"/>
    <w:rsid w:val="003E4646"/>
    <w:rsid w:val="003F01B1"/>
    <w:rsid w:val="003F0C50"/>
    <w:rsid w:val="003F26D3"/>
    <w:rsid w:val="003F299C"/>
    <w:rsid w:val="003F43EA"/>
    <w:rsid w:val="003F5E86"/>
    <w:rsid w:val="003F643E"/>
    <w:rsid w:val="00402E71"/>
    <w:rsid w:val="00403F4F"/>
    <w:rsid w:val="00410B7D"/>
    <w:rsid w:val="0041552B"/>
    <w:rsid w:val="00415C63"/>
    <w:rsid w:val="0042262B"/>
    <w:rsid w:val="00422A07"/>
    <w:rsid w:val="00424342"/>
    <w:rsid w:val="00434C8F"/>
    <w:rsid w:val="00436B7B"/>
    <w:rsid w:val="0043740F"/>
    <w:rsid w:val="004419A0"/>
    <w:rsid w:val="0044425A"/>
    <w:rsid w:val="0044788C"/>
    <w:rsid w:val="00447DB0"/>
    <w:rsid w:val="00452961"/>
    <w:rsid w:val="00453B38"/>
    <w:rsid w:val="00460E72"/>
    <w:rsid w:val="0046306C"/>
    <w:rsid w:val="004651C8"/>
    <w:rsid w:val="004705D1"/>
    <w:rsid w:val="00471F6E"/>
    <w:rsid w:val="00494659"/>
    <w:rsid w:val="004A28B9"/>
    <w:rsid w:val="004A4C8B"/>
    <w:rsid w:val="004A706D"/>
    <w:rsid w:val="004A7110"/>
    <w:rsid w:val="004B2BFF"/>
    <w:rsid w:val="004B465D"/>
    <w:rsid w:val="004B5597"/>
    <w:rsid w:val="004B7258"/>
    <w:rsid w:val="004C078A"/>
    <w:rsid w:val="004C2C07"/>
    <w:rsid w:val="004D0C37"/>
    <w:rsid w:val="004D39EE"/>
    <w:rsid w:val="004E4687"/>
    <w:rsid w:val="004E5CD7"/>
    <w:rsid w:val="004E644D"/>
    <w:rsid w:val="004E65B5"/>
    <w:rsid w:val="004E7C5A"/>
    <w:rsid w:val="004F05DE"/>
    <w:rsid w:val="005000B4"/>
    <w:rsid w:val="00504A0B"/>
    <w:rsid w:val="00516B38"/>
    <w:rsid w:val="00536F2C"/>
    <w:rsid w:val="005403F5"/>
    <w:rsid w:val="00540B4A"/>
    <w:rsid w:val="00543FB8"/>
    <w:rsid w:val="005477EE"/>
    <w:rsid w:val="00553109"/>
    <w:rsid w:val="00557055"/>
    <w:rsid w:val="00562A7E"/>
    <w:rsid w:val="00563272"/>
    <w:rsid w:val="00565E39"/>
    <w:rsid w:val="00567F4E"/>
    <w:rsid w:val="00572CD4"/>
    <w:rsid w:val="00581E91"/>
    <w:rsid w:val="00592088"/>
    <w:rsid w:val="005B0315"/>
    <w:rsid w:val="005B0823"/>
    <w:rsid w:val="005B2908"/>
    <w:rsid w:val="005B3556"/>
    <w:rsid w:val="005B40B4"/>
    <w:rsid w:val="005C3E22"/>
    <w:rsid w:val="005C466E"/>
    <w:rsid w:val="005C72B6"/>
    <w:rsid w:val="005D2A9C"/>
    <w:rsid w:val="005D7457"/>
    <w:rsid w:val="005E42C9"/>
    <w:rsid w:val="005F23C0"/>
    <w:rsid w:val="005F59F0"/>
    <w:rsid w:val="00602DED"/>
    <w:rsid w:val="0060447E"/>
    <w:rsid w:val="006115D7"/>
    <w:rsid w:val="006123A9"/>
    <w:rsid w:val="006136E9"/>
    <w:rsid w:val="00613D00"/>
    <w:rsid w:val="006140F2"/>
    <w:rsid w:val="00614745"/>
    <w:rsid w:val="006164E0"/>
    <w:rsid w:val="00620C9A"/>
    <w:rsid w:val="00621866"/>
    <w:rsid w:val="00623EB0"/>
    <w:rsid w:val="00626E61"/>
    <w:rsid w:val="00630ECD"/>
    <w:rsid w:val="00637D52"/>
    <w:rsid w:val="00640659"/>
    <w:rsid w:val="0064082D"/>
    <w:rsid w:val="00640CC7"/>
    <w:rsid w:val="00642AE3"/>
    <w:rsid w:val="006543BF"/>
    <w:rsid w:val="00655D65"/>
    <w:rsid w:val="00662B8A"/>
    <w:rsid w:val="006632C6"/>
    <w:rsid w:val="00666B23"/>
    <w:rsid w:val="00671E76"/>
    <w:rsid w:val="00672DC1"/>
    <w:rsid w:val="006741FE"/>
    <w:rsid w:val="006758B6"/>
    <w:rsid w:val="00675DD5"/>
    <w:rsid w:val="0067612D"/>
    <w:rsid w:val="0067731E"/>
    <w:rsid w:val="00684F1B"/>
    <w:rsid w:val="006924B3"/>
    <w:rsid w:val="006930B7"/>
    <w:rsid w:val="006A0EAA"/>
    <w:rsid w:val="006A332A"/>
    <w:rsid w:val="006A72FF"/>
    <w:rsid w:val="006A79C3"/>
    <w:rsid w:val="006B0D62"/>
    <w:rsid w:val="006B2A0E"/>
    <w:rsid w:val="006B475D"/>
    <w:rsid w:val="006B4C03"/>
    <w:rsid w:val="006B7E3F"/>
    <w:rsid w:val="006C2B3A"/>
    <w:rsid w:val="006C5D7F"/>
    <w:rsid w:val="006C75AB"/>
    <w:rsid w:val="006D00EF"/>
    <w:rsid w:val="006D142F"/>
    <w:rsid w:val="006D32EF"/>
    <w:rsid w:val="006D464B"/>
    <w:rsid w:val="006D5303"/>
    <w:rsid w:val="006D5526"/>
    <w:rsid w:val="006F123C"/>
    <w:rsid w:val="0070261A"/>
    <w:rsid w:val="00705DC0"/>
    <w:rsid w:val="00710740"/>
    <w:rsid w:val="00710BC8"/>
    <w:rsid w:val="00716DF2"/>
    <w:rsid w:val="00722D42"/>
    <w:rsid w:val="00727B0B"/>
    <w:rsid w:val="00727B71"/>
    <w:rsid w:val="00730353"/>
    <w:rsid w:val="00732695"/>
    <w:rsid w:val="007336AA"/>
    <w:rsid w:val="00734BD3"/>
    <w:rsid w:val="00741D17"/>
    <w:rsid w:val="007429F0"/>
    <w:rsid w:val="00747BA8"/>
    <w:rsid w:val="007500F5"/>
    <w:rsid w:val="007542BC"/>
    <w:rsid w:val="00755BDF"/>
    <w:rsid w:val="00757121"/>
    <w:rsid w:val="007578C7"/>
    <w:rsid w:val="00760670"/>
    <w:rsid w:val="00761131"/>
    <w:rsid w:val="00763E80"/>
    <w:rsid w:val="00764049"/>
    <w:rsid w:val="00772ADA"/>
    <w:rsid w:val="00772FF5"/>
    <w:rsid w:val="007748D5"/>
    <w:rsid w:val="00775332"/>
    <w:rsid w:val="00776434"/>
    <w:rsid w:val="00783403"/>
    <w:rsid w:val="00785130"/>
    <w:rsid w:val="00790F3A"/>
    <w:rsid w:val="00791F3C"/>
    <w:rsid w:val="00794E53"/>
    <w:rsid w:val="007952AD"/>
    <w:rsid w:val="0079603F"/>
    <w:rsid w:val="00796254"/>
    <w:rsid w:val="00797096"/>
    <w:rsid w:val="007A5857"/>
    <w:rsid w:val="007B5DDA"/>
    <w:rsid w:val="007C68DF"/>
    <w:rsid w:val="007D220F"/>
    <w:rsid w:val="007D6C6B"/>
    <w:rsid w:val="007D6F6D"/>
    <w:rsid w:val="007E0765"/>
    <w:rsid w:val="007E39BE"/>
    <w:rsid w:val="007E6CC3"/>
    <w:rsid w:val="007E773D"/>
    <w:rsid w:val="007F2DD8"/>
    <w:rsid w:val="008000C8"/>
    <w:rsid w:val="008006D8"/>
    <w:rsid w:val="0080613E"/>
    <w:rsid w:val="00822ED5"/>
    <w:rsid w:val="0082479C"/>
    <w:rsid w:val="00825A37"/>
    <w:rsid w:val="008263A2"/>
    <w:rsid w:val="0083408D"/>
    <w:rsid w:val="0084760B"/>
    <w:rsid w:val="00851D7D"/>
    <w:rsid w:val="00852B4A"/>
    <w:rsid w:val="00864432"/>
    <w:rsid w:val="008654BC"/>
    <w:rsid w:val="00865A53"/>
    <w:rsid w:val="008667F8"/>
    <w:rsid w:val="008677B5"/>
    <w:rsid w:val="00867A28"/>
    <w:rsid w:val="0087578E"/>
    <w:rsid w:val="00875820"/>
    <w:rsid w:val="00876B13"/>
    <w:rsid w:val="00881CBE"/>
    <w:rsid w:val="00882B04"/>
    <w:rsid w:val="008861AE"/>
    <w:rsid w:val="00887776"/>
    <w:rsid w:val="00887B21"/>
    <w:rsid w:val="00887EA5"/>
    <w:rsid w:val="0089183D"/>
    <w:rsid w:val="00895113"/>
    <w:rsid w:val="00895A90"/>
    <w:rsid w:val="008A14B8"/>
    <w:rsid w:val="008A25ED"/>
    <w:rsid w:val="008B0818"/>
    <w:rsid w:val="008B6DBE"/>
    <w:rsid w:val="008C1927"/>
    <w:rsid w:val="008C4EB9"/>
    <w:rsid w:val="008D2CA6"/>
    <w:rsid w:val="008E1385"/>
    <w:rsid w:val="008E1970"/>
    <w:rsid w:val="008E1EA2"/>
    <w:rsid w:val="008E2CE0"/>
    <w:rsid w:val="008E53B5"/>
    <w:rsid w:val="008F1CA2"/>
    <w:rsid w:val="008F2246"/>
    <w:rsid w:val="00903595"/>
    <w:rsid w:val="00905081"/>
    <w:rsid w:val="00905F96"/>
    <w:rsid w:val="0090617A"/>
    <w:rsid w:val="0091139D"/>
    <w:rsid w:val="00912A29"/>
    <w:rsid w:val="00912F11"/>
    <w:rsid w:val="009143AB"/>
    <w:rsid w:val="00916C0B"/>
    <w:rsid w:val="00916CBA"/>
    <w:rsid w:val="00917BCD"/>
    <w:rsid w:val="0092254D"/>
    <w:rsid w:val="009236A1"/>
    <w:rsid w:val="009243B1"/>
    <w:rsid w:val="00924428"/>
    <w:rsid w:val="00932FDB"/>
    <w:rsid w:val="00937812"/>
    <w:rsid w:val="009446E9"/>
    <w:rsid w:val="00946F70"/>
    <w:rsid w:val="00950C53"/>
    <w:rsid w:val="00953395"/>
    <w:rsid w:val="009535F5"/>
    <w:rsid w:val="00953FB6"/>
    <w:rsid w:val="0095714C"/>
    <w:rsid w:val="009621B2"/>
    <w:rsid w:val="00962AB9"/>
    <w:rsid w:val="00963172"/>
    <w:rsid w:val="009675AA"/>
    <w:rsid w:val="00967717"/>
    <w:rsid w:val="009746C7"/>
    <w:rsid w:val="00975B1C"/>
    <w:rsid w:val="00987291"/>
    <w:rsid w:val="009878E9"/>
    <w:rsid w:val="0099006D"/>
    <w:rsid w:val="009902B8"/>
    <w:rsid w:val="00991BBA"/>
    <w:rsid w:val="00992182"/>
    <w:rsid w:val="00996420"/>
    <w:rsid w:val="0099790C"/>
    <w:rsid w:val="009A0AC9"/>
    <w:rsid w:val="009A29EC"/>
    <w:rsid w:val="009A2CE7"/>
    <w:rsid w:val="009A5FB1"/>
    <w:rsid w:val="009B057F"/>
    <w:rsid w:val="009B576A"/>
    <w:rsid w:val="009B57D5"/>
    <w:rsid w:val="009B6893"/>
    <w:rsid w:val="009C31EC"/>
    <w:rsid w:val="009C464E"/>
    <w:rsid w:val="009D6768"/>
    <w:rsid w:val="009E3323"/>
    <w:rsid w:val="009E675A"/>
    <w:rsid w:val="009E6986"/>
    <w:rsid w:val="009F0C75"/>
    <w:rsid w:val="00A00338"/>
    <w:rsid w:val="00A02FA3"/>
    <w:rsid w:val="00A044F6"/>
    <w:rsid w:val="00A11CF7"/>
    <w:rsid w:val="00A136B9"/>
    <w:rsid w:val="00A13CCC"/>
    <w:rsid w:val="00A142CB"/>
    <w:rsid w:val="00A22D1B"/>
    <w:rsid w:val="00A279E4"/>
    <w:rsid w:val="00A417C9"/>
    <w:rsid w:val="00A45FA9"/>
    <w:rsid w:val="00A575B7"/>
    <w:rsid w:val="00A61F3C"/>
    <w:rsid w:val="00A66EA8"/>
    <w:rsid w:val="00A73762"/>
    <w:rsid w:val="00A7400E"/>
    <w:rsid w:val="00A752B9"/>
    <w:rsid w:val="00A75368"/>
    <w:rsid w:val="00A830E6"/>
    <w:rsid w:val="00A844DE"/>
    <w:rsid w:val="00A84E8B"/>
    <w:rsid w:val="00A91670"/>
    <w:rsid w:val="00A957E9"/>
    <w:rsid w:val="00A97000"/>
    <w:rsid w:val="00A979E2"/>
    <w:rsid w:val="00A97D0C"/>
    <w:rsid w:val="00A97EE8"/>
    <w:rsid w:val="00AA1D46"/>
    <w:rsid w:val="00AA64D0"/>
    <w:rsid w:val="00AA68AA"/>
    <w:rsid w:val="00AB28B2"/>
    <w:rsid w:val="00AB500D"/>
    <w:rsid w:val="00AB5A11"/>
    <w:rsid w:val="00AB7E20"/>
    <w:rsid w:val="00AC21B3"/>
    <w:rsid w:val="00AC3937"/>
    <w:rsid w:val="00AC5055"/>
    <w:rsid w:val="00AC7D32"/>
    <w:rsid w:val="00AD4904"/>
    <w:rsid w:val="00AD62B3"/>
    <w:rsid w:val="00AD7CDD"/>
    <w:rsid w:val="00AE0E12"/>
    <w:rsid w:val="00AE4ADF"/>
    <w:rsid w:val="00AE6B13"/>
    <w:rsid w:val="00AE6E62"/>
    <w:rsid w:val="00AE7F83"/>
    <w:rsid w:val="00AF378A"/>
    <w:rsid w:val="00B0042F"/>
    <w:rsid w:val="00B023FA"/>
    <w:rsid w:val="00B02FAC"/>
    <w:rsid w:val="00B04EA0"/>
    <w:rsid w:val="00B05D26"/>
    <w:rsid w:val="00B1295E"/>
    <w:rsid w:val="00B25236"/>
    <w:rsid w:val="00B26A4C"/>
    <w:rsid w:val="00B3129B"/>
    <w:rsid w:val="00B31FF1"/>
    <w:rsid w:val="00B32855"/>
    <w:rsid w:val="00B340AC"/>
    <w:rsid w:val="00B355DA"/>
    <w:rsid w:val="00B3562A"/>
    <w:rsid w:val="00B35A29"/>
    <w:rsid w:val="00B362FF"/>
    <w:rsid w:val="00B402B0"/>
    <w:rsid w:val="00B4163B"/>
    <w:rsid w:val="00B4778E"/>
    <w:rsid w:val="00B57A6A"/>
    <w:rsid w:val="00B61B1F"/>
    <w:rsid w:val="00B65E13"/>
    <w:rsid w:val="00B66CC9"/>
    <w:rsid w:val="00B70D6C"/>
    <w:rsid w:val="00B72749"/>
    <w:rsid w:val="00B72799"/>
    <w:rsid w:val="00B74756"/>
    <w:rsid w:val="00B82AB0"/>
    <w:rsid w:val="00B8384D"/>
    <w:rsid w:val="00B86976"/>
    <w:rsid w:val="00B87A95"/>
    <w:rsid w:val="00B90124"/>
    <w:rsid w:val="00B957CA"/>
    <w:rsid w:val="00B96E76"/>
    <w:rsid w:val="00B97F32"/>
    <w:rsid w:val="00BA001D"/>
    <w:rsid w:val="00BA1D51"/>
    <w:rsid w:val="00BB257C"/>
    <w:rsid w:val="00BB340E"/>
    <w:rsid w:val="00BB3F7B"/>
    <w:rsid w:val="00BB4C87"/>
    <w:rsid w:val="00BB5945"/>
    <w:rsid w:val="00BC1BE5"/>
    <w:rsid w:val="00BC2A11"/>
    <w:rsid w:val="00BC387D"/>
    <w:rsid w:val="00BC7784"/>
    <w:rsid w:val="00BD02BB"/>
    <w:rsid w:val="00BD30B0"/>
    <w:rsid w:val="00BD3937"/>
    <w:rsid w:val="00BD540B"/>
    <w:rsid w:val="00BE2D81"/>
    <w:rsid w:val="00BE4ADD"/>
    <w:rsid w:val="00BF031F"/>
    <w:rsid w:val="00BF593D"/>
    <w:rsid w:val="00C01FE1"/>
    <w:rsid w:val="00C1167B"/>
    <w:rsid w:val="00C12BA8"/>
    <w:rsid w:val="00C133EB"/>
    <w:rsid w:val="00C136BA"/>
    <w:rsid w:val="00C15A48"/>
    <w:rsid w:val="00C16512"/>
    <w:rsid w:val="00C1791B"/>
    <w:rsid w:val="00C22CDF"/>
    <w:rsid w:val="00C2351E"/>
    <w:rsid w:val="00C240B4"/>
    <w:rsid w:val="00C256DC"/>
    <w:rsid w:val="00C25B19"/>
    <w:rsid w:val="00C30C85"/>
    <w:rsid w:val="00C3125B"/>
    <w:rsid w:val="00C37A73"/>
    <w:rsid w:val="00C408E4"/>
    <w:rsid w:val="00C41640"/>
    <w:rsid w:val="00C46A2A"/>
    <w:rsid w:val="00C505F2"/>
    <w:rsid w:val="00C647E0"/>
    <w:rsid w:val="00C64CC5"/>
    <w:rsid w:val="00C7389F"/>
    <w:rsid w:val="00C76057"/>
    <w:rsid w:val="00C77DED"/>
    <w:rsid w:val="00C8791E"/>
    <w:rsid w:val="00C903BB"/>
    <w:rsid w:val="00C90B02"/>
    <w:rsid w:val="00C90C39"/>
    <w:rsid w:val="00C969D5"/>
    <w:rsid w:val="00C97734"/>
    <w:rsid w:val="00C97E75"/>
    <w:rsid w:val="00CA17F8"/>
    <w:rsid w:val="00CA1BF3"/>
    <w:rsid w:val="00CB02CA"/>
    <w:rsid w:val="00CB18D8"/>
    <w:rsid w:val="00CB57A1"/>
    <w:rsid w:val="00CC1591"/>
    <w:rsid w:val="00CC3151"/>
    <w:rsid w:val="00CC5F9E"/>
    <w:rsid w:val="00CC7863"/>
    <w:rsid w:val="00CD3D55"/>
    <w:rsid w:val="00CD6CDF"/>
    <w:rsid w:val="00CE0F6F"/>
    <w:rsid w:val="00CE495E"/>
    <w:rsid w:val="00CE4E05"/>
    <w:rsid w:val="00CE6446"/>
    <w:rsid w:val="00CF0619"/>
    <w:rsid w:val="00CF10D8"/>
    <w:rsid w:val="00CF772B"/>
    <w:rsid w:val="00D00BCD"/>
    <w:rsid w:val="00D02105"/>
    <w:rsid w:val="00D0462E"/>
    <w:rsid w:val="00D108E4"/>
    <w:rsid w:val="00D11509"/>
    <w:rsid w:val="00D14AA6"/>
    <w:rsid w:val="00D201A3"/>
    <w:rsid w:val="00D22D53"/>
    <w:rsid w:val="00D24792"/>
    <w:rsid w:val="00D26EB3"/>
    <w:rsid w:val="00D310E6"/>
    <w:rsid w:val="00D35DC2"/>
    <w:rsid w:val="00D4013E"/>
    <w:rsid w:val="00D40946"/>
    <w:rsid w:val="00D525E9"/>
    <w:rsid w:val="00D52617"/>
    <w:rsid w:val="00D62131"/>
    <w:rsid w:val="00D62575"/>
    <w:rsid w:val="00D676EF"/>
    <w:rsid w:val="00D73464"/>
    <w:rsid w:val="00D73928"/>
    <w:rsid w:val="00D860FE"/>
    <w:rsid w:val="00D87C3D"/>
    <w:rsid w:val="00D900BF"/>
    <w:rsid w:val="00D904D6"/>
    <w:rsid w:val="00D91BFA"/>
    <w:rsid w:val="00D93D19"/>
    <w:rsid w:val="00DA4E76"/>
    <w:rsid w:val="00DA5DCD"/>
    <w:rsid w:val="00DA5F6F"/>
    <w:rsid w:val="00DB1BB6"/>
    <w:rsid w:val="00DB558B"/>
    <w:rsid w:val="00DC3862"/>
    <w:rsid w:val="00DC43B6"/>
    <w:rsid w:val="00DC6CD1"/>
    <w:rsid w:val="00DD02C6"/>
    <w:rsid w:val="00DD1D21"/>
    <w:rsid w:val="00DD3582"/>
    <w:rsid w:val="00DD5286"/>
    <w:rsid w:val="00DD7E53"/>
    <w:rsid w:val="00DE0124"/>
    <w:rsid w:val="00DE2186"/>
    <w:rsid w:val="00DF1341"/>
    <w:rsid w:val="00DF164C"/>
    <w:rsid w:val="00DF326D"/>
    <w:rsid w:val="00DF4B60"/>
    <w:rsid w:val="00E00C78"/>
    <w:rsid w:val="00E00E8E"/>
    <w:rsid w:val="00E01F09"/>
    <w:rsid w:val="00E06C56"/>
    <w:rsid w:val="00E06CF2"/>
    <w:rsid w:val="00E06FFA"/>
    <w:rsid w:val="00E0716E"/>
    <w:rsid w:val="00E15856"/>
    <w:rsid w:val="00E20A8C"/>
    <w:rsid w:val="00E2188D"/>
    <w:rsid w:val="00E25098"/>
    <w:rsid w:val="00E3476D"/>
    <w:rsid w:val="00E35005"/>
    <w:rsid w:val="00E35A65"/>
    <w:rsid w:val="00E37091"/>
    <w:rsid w:val="00E41260"/>
    <w:rsid w:val="00E4353A"/>
    <w:rsid w:val="00E46752"/>
    <w:rsid w:val="00E46953"/>
    <w:rsid w:val="00E531F6"/>
    <w:rsid w:val="00E538DB"/>
    <w:rsid w:val="00E54178"/>
    <w:rsid w:val="00E56BF1"/>
    <w:rsid w:val="00E57FD1"/>
    <w:rsid w:val="00E61F48"/>
    <w:rsid w:val="00E66E1F"/>
    <w:rsid w:val="00E6792D"/>
    <w:rsid w:val="00E7229B"/>
    <w:rsid w:val="00E7293D"/>
    <w:rsid w:val="00E749FF"/>
    <w:rsid w:val="00E74B15"/>
    <w:rsid w:val="00E755FA"/>
    <w:rsid w:val="00E83176"/>
    <w:rsid w:val="00E843F3"/>
    <w:rsid w:val="00E8471B"/>
    <w:rsid w:val="00E90748"/>
    <w:rsid w:val="00E90C7A"/>
    <w:rsid w:val="00E949BC"/>
    <w:rsid w:val="00EA266C"/>
    <w:rsid w:val="00EA2DA0"/>
    <w:rsid w:val="00EA579E"/>
    <w:rsid w:val="00EA5FD0"/>
    <w:rsid w:val="00EB1908"/>
    <w:rsid w:val="00EB5F37"/>
    <w:rsid w:val="00EB605D"/>
    <w:rsid w:val="00EB6804"/>
    <w:rsid w:val="00EB7272"/>
    <w:rsid w:val="00EC4A8A"/>
    <w:rsid w:val="00EC7EE3"/>
    <w:rsid w:val="00ED55A7"/>
    <w:rsid w:val="00EE1CC3"/>
    <w:rsid w:val="00EE67FF"/>
    <w:rsid w:val="00EE7999"/>
    <w:rsid w:val="00EF097A"/>
    <w:rsid w:val="00EF610B"/>
    <w:rsid w:val="00F000FC"/>
    <w:rsid w:val="00F01DE7"/>
    <w:rsid w:val="00F01F0F"/>
    <w:rsid w:val="00F03BEA"/>
    <w:rsid w:val="00F16CF0"/>
    <w:rsid w:val="00F17870"/>
    <w:rsid w:val="00F205CD"/>
    <w:rsid w:val="00F219C1"/>
    <w:rsid w:val="00F40F5F"/>
    <w:rsid w:val="00F4184F"/>
    <w:rsid w:val="00F431BD"/>
    <w:rsid w:val="00F45E52"/>
    <w:rsid w:val="00F46CB2"/>
    <w:rsid w:val="00F522DF"/>
    <w:rsid w:val="00F548EC"/>
    <w:rsid w:val="00F57FA4"/>
    <w:rsid w:val="00F62511"/>
    <w:rsid w:val="00F62DF2"/>
    <w:rsid w:val="00F6346E"/>
    <w:rsid w:val="00F9085B"/>
    <w:rsid w:val="00F9368E"/>
    <w:rsid w:val="00F93DDE"/>
    <w:rsid w:val="00F95624"/>
    <w:rsid w:val="00FA0175"/>
    <w:rsid w:val="00FA232D"/>
    <w:rsid w:val="00FA4288"/>
    <w:rsid w:val="00FA4E6C"/>
    <w:rsid w:val="00FB13FA"/>
    <w:rsid w:val="00FB4FA0"/>
    <w:rsid w:val="00FB5EDC"/>
    <w:rsid w:val="00FC11D3"/>
    <w:rsid w:val="00FC47A0"/>
    <w:rsid w:val="00FC48B2"/>
    <w:rsid w:val="00FC4F0C"/>
    <w:rsid w:val="00FC56E3"/>
    <w:rsid w:val="00FC5F75"/>
    <w:rsid w:val="00FD0652"/>
    <w:rsid w:val="00FD4D18"/>
    <w:rsid w:val="00FE1872"/>
    <w:rsid w:val="00FE2EB7"/>
    <w:rsid w:val="00FE4718"/>
    <w:rsid w:val="00FF115D"/>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uiPriority w:val="99"/>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4904"/>
    <w:rPr>
      <w:sz w:val="20"/>
      <w:szCs w:val="20"/>
    </w:rPr>
  </w:style>
  <w:style w:type="character" w:styleId="FootnoteReference">
    <w:name w:val="footnote reference"/>
    <w:basedOn w:val="DefaultParagraphFont"/>
    <w:uiPriority w:val="99"/>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uiPriority w:val="99"/>
    <w:rsid w:val="00975B1C"/>
  </w:style>
  <w:style w:type="character" w:customStyle="1" w:styleId="BodyText2Char">
    <w:name w:val="Body Text 2 Char"/>
    <w:basedOn w:val="DefaultParagraphFont"/>
    <w:link w:val="BodyText2"/>
    <w:uiPriority w:val="99"/>
    <w:rsid w:val="00BD540B"/>
    <w:rPr>
      <w:sz w:val="24"/>
      <w:szCs w:val="24"/>
    </w:rPr>
  </w:style>
  <w:style w:type="paragraph" w:styleId="Caption">
    <w:name w:val="caption"/>
    <w:basedOn w:val="Normal"/>
    <w:next w:val="Normal"/>
    <w:unhideWhenUsed/>
    <w:qFormat/>
    <w:rsid w:val="003F26D3"/>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7635486">
      <w:bodyDiv w:val="1"/>
      <w:marLeft w:val="0"/>
      <w:marRight w:val="0"/>
      <w:marTop w:val="0"/>
      <w:marBottom w:val="0"/>
      <w:divBdr>
        <w:top w:val="none" w:sz="0" w:space="0" w:color="auto"/>
        <w:left w:val="none" w:sz="0" w:space="0" w:color="auto"/>
        <w:bottom w:val="none" w:sz="0" w:space="0" w:color="auto"/>
        <w:right w:val="none" w:sz="0" w:space="0" w:color="auto"/>
      </w:divBdr>
    </w:div>
    <w:div w:id="144786914">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141120609">
      <w:bodyDiv w:val="1"/>
      <w:marLeft w:val="0"/>
      <w:marRight w:val="0"/>
      <w:marTop w:val="0"/>
      <w:marBottom w:val="0"/>
      <w:divBdr>
        <w:top w:val="none" w:sz="0" w:space="0" w:color="auto"/>
        <w:left w:val="none" w:sz="0" w:space="0" w:color="auto"/>
        <w:bottom w:val="none" w:sz="0" w:space="0" w:color="auto"/>
        <w:right w:val="none" w:sz="0" w:space="0" w:color="auto"/>
      </w:divBdr>
    </w:div>
    <w:div w:id="134362347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8118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F8E44A-60B2-4472-BED4-169E3D651E99}"/>
</file>

<file path=customXml/itemProps2.xml><?xml version="1.0" encoding="utf-8"?>
<ds:datastoreItem xmlns:ds="http://schemas.openxmlformats.org/officeDocument/2006/customXml" ds:itemID="{8B191EE5-5228-45A1-B466-56013515FBEC}"/>
</file>

<file path=customXml/itemProps3.xml><?xml version="1.0" encoding="utf-8"?>
<ds:datastoreItem xmlns:ds="http://schemas.openxmlformats.org/officeDocument/2006/customXml" ds:itemID="{4E6E99A5-B902-46BB-B03C-5BF8F3630269}"/>
</file>

<file path=customXml/itemProps4.xml><?xml version="1.0" encoding="utf-8"?>
<ds:datastoreItem xmlns:ds="http://schemas.openxmlformats.org/officeDocument/2006/customXml" ds:itemID="{6B33BB69-331A-4D75-B5D3-6DE87D46BCC6}"/>
</file>

<file path=customXml/itemProps5.xml><?xml version="1.0" encoding="utf-8"?>
<ds:datastoreItem xmlns:ds="http://schemas.openxmlformats.org/officeDocument/2006/customXml" ds:itemID="{D5532693-0644-4682-B805-2ED8E3A2FE8D}"/>
</file>

<file path=docProps/app.xml><?xml version="1.0" encoding="utf-8"?>
<Properties xmlns="http://schemas.openxmlformats.org/officeDocument/2006/extended-properties" xmlns:vt="http://schemas.openxmlformats.org/officeDocument/2006/docPropsVTypes">
  <Template>Normal.dotm</Template>
  <TotalTime>49</TotalTime>
  <Pages>24</Pages>
  <Words>4822</Words>
  <Characters>28196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32953</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Avista - Patrick Ehrbar</cp:lastModifiedBy>
  <cp:revision>8</cp:revision>
  <cp:lastPrinted>2012-05-30T16:17:00Z</cp:lastPrinted>
  <dcterms:created xsi:type="dcterms:W3CDTF">2012-05-24T22:45:00Z</dcterms:created>
  <dcterms:modified xsi:type="dcterms:W3CDTF">2012-05-30T16:17:00Z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