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EE" w:rsidRPr="001A21EE" w:rsidRDefault="008E652A" w:rsidP="001A21EE">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60288" behindDoc="0" locked="0" layoutInCell="1" allowOverlap="1">
                <wp:simplePos x="0" y="0"/>
                <wp:positionH relativeFrom="column">
                  <wp:posOffset>6265545</wp:posOffset>
                </wp:positionH>
                <wp:positionV relativeFrom="paragraph">
                  <wp:posOffset>170815</wp:posOffset>
                </wp:positionV>
                <wp:extent cx="0" cy="5072932"/>
                <wp:effectExtent l="0" t="0" r="19050" b="33020"/>
                <wp:wrapNone/>
                <wp:docPr id="1" name="Straight Connector 1"/>
                <wp:cNvGraphicFramePr/>
                <a:graphic xmlns:a="http://schemas.openxmlformats.org/drawingml/2006/main">
                  <a:graphicData uri="http://schemas.microsoft.com/office/word/2010/wordprocessingShape">
                    <wps:wsp>
                      <wps:cNvCnPr/>
                      <wps:spPr>
                        <a:xfrm flipH="1">
                          <a:off x="0" y="0"/>
                          <a:ext cx="0" cy="50729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0B94E9" id="Straight Connector 1"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35pt,13.45pt" to="493.35pt,4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" strokecolor="black [3040]"/>
            </w:pict>
          </mc:Fallback>
        </mc:AlternateContent>
      </w:r>
      <w:r w:rsidR="00212B33">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6096000</wp:posOffset>
                </wp:positionH>
                <wp:positionV relativeFrom="paragraph">
                  <wp:posOffset>-32385</wp:posOffset>
                </wp:positionV>
                <wp:extent cx="628650" cy="5915025"/>
                <wp:effectExtent l="0" t="0" r="0" b="0"/>
                <wp:wrapNone/>
                <wp:docPr id="7" name="Text Box 7"/>
                <wp:cNvGraphicFramePr/>
                <a:graphic xmlns:a="http://schemas.openxmlformats.org/drawingml/2006/main">
                  <a:graphicData uri="http://schemas.microsoft.com/office/word/2010/wordprocessingShape">
                    <wps:wsp>
                      <wps:cNvSpPr txBox="1"/>
                      <wps:spPr>
                        <a:xfrm>
                          <a:off x="0" y="0"/>
                          <a:ext cx="628650" cy="591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2B33" w:rsidRDefault="008E652A">
                            <w:pPr>
                              <w:rPr>
                                <w:rFonts w:ascii="Arial" w:hAnsi="Arial" w:cs="Arial"/>
                                <w:sz w:val="20"/>
                              </w:rPr>
                            </w:pPr>
                            <w:r>
                              <w:rPr>
                                <w:rFonts w:ascii="Arial" w:hAnsi="Arial" w:cs="Arial"/>
                                <w:sz w:val="20"/>
                              </w:rPr>
                              <w:t>(D)</w:t>
                            </w: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Pr="00212B33" w:rsidRDefault="008E652A">
                            <w:pPr>
                              <w:rPr>
                                <w:rFonts w:ascii="Arial" w:hAnsi="Arial" w:cs="Arial"/>
                                <w:sz w:val="20"/>
                              </w:rPr>
                            </w:pPr>
                            <w:r>
                              <w:rPr>
                                <w:rFonts w:ascii="Arial" w:hAnsi="Arial" w:cs="Arial"/>
                                <w:sz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0pt;margin-top:-2.55pt;width:49.5pt;height:4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" filled="f" stroked="f" strokeweight=".5pt">
                <v:textbox>
                  <w:txbxContent>
                    <w:p w:rsidR="00212B33" w:rsidRDefault="008E652A">
                      <w:pPr>
                        <w:rPr>
                          <w:rFonts w:ascii="Arial" w:hAnsi="Arial" w:cs="Arial"/>
                          <w:sz w:val="20"/>
                        </w:rPr>
                      </w:pPr>
                      <w:r>
                        <w:rPr>
                          <w:rFonts w:ascii="Arial" w:hAnsi="Arial" w:cs="Arial"/>
                          <w:sz w:val="20"/>
                        </w:rPr>
                        <w:t>(D)</w:t>
                      </w: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Default="008E652A">
                      <w:pPr>
                        <w:rPr>
                          <w:rFonts w:ascii="Arial" w:hAnsi="Arial" w:cs="Arial"/>
                          <w:sz w:val="20"/>
                        </w:rPr>
                      </w:pPr>
                    </w:p>
                    <w:p w:rsidR="008E652A" w:rsidRPr="00212B33" w:rsidRDefault="008E652A">
                      <w:pPr>
                        <w:rPr>
                          <w:rFonts w:ascii="Arial" w:hAnsi="Arial" w:cs="Arial"/>
                          <w:sz w:val="20"/>
                        </w:rPr>
                      </w:pPr>
                      <w:r>
                        <w:rPr>
                          <w:rFonts w:ascii="Arial" w:hAnsi="Arial" w:cs="Arial"/>
                          <w:sz w:val="20"/>
                        </w:rPr>
                        <w:t>(D)</w:t>
                      </w:r>
                    </w:p>
                  </w:txbxContent>
                </v:textbox>
              </v:shape>
            </w:pict>
          </mc:Fallback>
        </mc:AlternateContent>
      </w:r>
      <w:r w:rsidR="001A21EE" w:rsidRPr="001A21EE">
        <w:rPr>
          <w:rFonts w:ascii="Arial" w:hAnsi="Arial" w:cs="Arial"/>
          <w:sz w:val="20"/>
          <w:u w:val="single"/>
        </w:rPr>
        <w:t>PROVISIONS</w:t>
      </w:r>
      <w:r w:rsidR="001A21EE" w:rsidRPr="001A21EE">
        <w:rPr>
          <w:rFonts w:ascii="Arial" w:hAnsi="Arial" w:cs="Arial"/>
          <w:sz w:val="20"/>
        </w:rPr>
        <w:t xml:space="preserve">:  </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Installation, daily operation, repair and maintenance of lights on this rate schedule will be performed by the Company, providing that the facilities furnished remain readily accessible for maintenance purposes.</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8" w:history="1">
        <w:r w:rsidRPr="009E0D11">
          <w:rPr>
            <w:rStyle w:val="Hyperlink"/>
            <w:rFonts w:ascii="Arial" w:hAnsi="Arial" w:cs="Arial"/>
            <w:sz w:val="20"/>
          </w:rPr>
          <w:t>www.pacificpower.net/streetlights</w:t>
        </w:r>
      </w:hyperlink>
      <w:r>
        <w:rPr>
          <w:rFonts w:ascii="Arial" w:hAnsi="Arial" w:cs="Arial"/>
          <w:sz w:val="20"/>
        </w:rPr>
        <w:t>. Pacific Power’s obligation to repair street lights is limited to this tariff.</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Existing fixtures and facilities that are deemed irreparable will be replaced with comparable fixtures and facilities from the Company’s Construction Standards.</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 xml:space="preserve">The Company will, upon written request of Customer, convert existing </w:t>
      </w:r>
      <w:proofErr w:type="spellStart"/>
      <w:r>
        <w:rPr>
          <w:rFonts w:ascii="Arial" w:hAnsi="Arial" w:cs="Arial"/>
          <w:sz w:val="20"/>
        </w:rPr>
        <w:t>streetlighting</w:t>
      </w:r>
      <w:proofErr w:type="spellEnd"/>
      <w:r>
        <w:rPr>
          <w:rFonts w:ascii="Arial" w:hAnsi="Arial" w:cs="Arial"/>
          <w:sz w:val="20"/>
        </w:rPr>
        <w:t xml:space="preserve"> facilities to other types of Company approved facilities. In such event, should the revenue increase, the </w:t>
      </w:r>
      <w:proofErr w:type="spellStart"/>
      <w:r>
        <w:rPr>
          <w:rFonts w:ascii="Arial" w:hAnsi="Arial" w:cs="Arial"/>
          <w:sz w:val="20"/>
        </w:rPr>
        <w:t>streetlighting</w:t>
      </w:r>
      <w:proofErr w:type="spellEnd"/>
      <w:r>
        <w:rPr>
          <w:rFonts w:ascii="Arial" w:hAnsi="Arial" w:cs="Arial"/>
          <w:sz w:val="20"/>
        </w:rPr>
        <w:t xml:space="preserve"> extension allowance defined in Rule 14 Section III.D is applicable only to the increase in annual revenue due to the replacement. If there is no increase in revenue there is no allowance. The Customer shall advance the estimated cost of all materials and labor associated with installation and removal, less the estimated salvage on the removed facilities, in excess of the applicable allowance.</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Temporary disconnection and subsequent reconnection of electrical service requested by the Customer shall be at the Customer’s expense. The Customer may request temporary suspension of power by written notice. During such periods, the monthly rate will be reduced by the Company’s estimate average energy costs for the luminaire. The facilities may be considered idle and may be removed after 12 months of inactivity.</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Pole re-painting, when requested by the Customer and not required for safety reasons, shall be done at Customer’s expense using the original pole color.</w:t>
      </w:r>
    </w:p>
    <w:p w:rsidR="00180E8F" w:rsidRDefault="00180E8F" w:rsidP="00180E8F">
      <w:pPr>
        <w:pStyle w:val="ListParagraph"/>
        <w:numPr>
          <w:ilvl w:val="0"/>
          <w:numId w:val="7"/>
        </w:numPr>
        <w:ind w:left="720"/>
        <w:jc w:val="both"/>
        <w:rPr>
          <w:rFonts w:ascii="Arial" w:hAnsi="Arial" w:cs="Arial"/>
          <w:sz w:val="20"/>
        </w:rPr>
      </w:pPr>
      <w:r>
        <w:rPr>
          <w:rFonts w:ascii="Arial" w:hAnsi="Arial" w:cs="Arial"/>
          <w:sz w:val="20"/>
        </w:rPr>
        <w:t>Glare and vandalism shielding, when requested by Customer, shall be installed at the Customer’s expense. In cases of repetitive vandalism, the Company may notify the Customer of the need to install vandal shields at the Customer’ expense.</w:t>
      </w:r>
    </w:p>
    <w:p w:rsidR="001A21EE" w:rsidRPr="001A21EE" w:rsidRDefault="001A21EE" w:rsidP="001A21EE">
      <w:pPr>
        <w:jc w:val="both"/>
        <w:rPr>
          <w:rFonts w:ascii="Arial" w:hAnsi="Arial" w:cs="Arial"/>
          <w:sz w:val="20"/>
        </w:rPr>
      </w:pPr>
    </w:p>
    <w:p w:rsidR="001A21EE" w:rsidRPr="001A21EE" w:rsidRDefault="00180E8F" w:rsidP="001A21EE">
      <w:pPr>
        <w:jc w:val="both"/>
        <w:rPr>
          <w:rFonts w:ascii="Arial" w:hAnsi="Arial" w:cs="Arial"/>
          <w:sz w:val="20"/>
        </w:rPr>
      </w:pPr>
      <w:r>
        <w:rPr>
          <w:rFonts w:ascii="Arial" w:hAnsi="Arial" w:cs="Arial"/>
          <w:sz w:val="20"/>
          <w:u w:val="single"/>
        </w:rPr>
        <w:t>TERMINATION OF SERVICE</w:t>
      </w:r>
      <w:r w:rsidR="001A21EE" w:rsidRPr="001A21EE">
        <w:rPr>
          <w:rFonts w:ascii="Arial" w:hAnsi="Arial" w:cs="Arial"/>
          <w:sz w:val="20"/>
        </w:rPr>
        <w:t>:</w:t>
      </w:r>
    </w:p>
    <w:p w:rsidR="00180E8F" w:rsidRDefault="001A21EE" w:rsidP="00180E8F">
      <w:pPr>
        <w:jc w:val="both"/>
        <w:rPr>
          <w:rFonts w:ascii="Arial" w:hAnsi="Arial" w:cs="Arial"/>
          <w:sz w:val="20"/>
        </w:rPr>
      </w:pPr>
      <w:r w:rsidRPr="001A21EE">
        <w:rPr>
          <w:rFonts w:ascii="Arial" w:hAnsi="Arial" w:cs="Arial"/>
          <w:sz w:val="20"/>
        </w:rPr>
        <w:tab/>
      </w:r>
      <w:r w:rsidR="00180E8F">
        <w:rPr>
          <w:rFonts w:ascii="Arial" w:hAnsi="Arial" w:cs="Arial"/>
          <w:sz w:val="20"/>
        </w:rPr>
        <w:t>The customer can request removal of lights with a minimum of 2 months written notice. The customer will be charged with the costs of removal.</w:t>
      </w:r>
    </w:p>
    <w:p w:rsidR="001A21EE" w:rsidRPr="001A21EE" w:rsidRDefault="001A21EE" w:rsidP="00180E8F">
      <w:pPr>
        <w:jc w:val="both"/>
        <w:rPr>
          <w:rFonts w:ascii="Arial" w:hAnsi="Arial" w:cs="Arial"/>
          <w:sz w:val="20"/>
        </w:rPr>
      </w:pPr>
    </w:p>
    <w:p w:rsidR="001A21EE" w:rsidRPr="001A21EE" w:rsidRDefault="001A21EE" w:rsidP="001A21EE">
      <w:pPr>
        <w:jc w:val="both"/>
        <w:rPr>
          <w:rFonts w:ascii="Arial" w:hAnsi="Arial" w:cs="Arial"/>
          <w:sz w:val="20"/>
        </w:rPr>
      </w:pPr>
      <w:r w:rsidRPr="001A21EE">
        <w:rPr>
          <w:rFonts w:ascii="Arial" w:hAnsi="Arial" w:cs="Arial"/>
          <w:sz w:val="20"/>
          <w:u w:val="single"/>
        </w:rPr>
        <w:t>RULES AND REGULATIONS</w:t>
      </w:r>
      <w:r w:rsidRPr="001A21EE">
        <w:rPr>
          <w:rFonts w:ascii="Arial" w:hAnsi="Arial" w:cs="Arial"/>
          <w:sz w:val="20"/>
        </w:rPr>
        <w:t>:</w:t>
      </w:r>
    </w:p>
    <w:p w:rsidR="00DE2657" w:rsidRPr="001A21EE" w:rsidRDefault="001A21EE" w:rsidP="001A21EE">
      <w:pPr>
        <w:rPr>
          <w:rFonts w:ascii="Arial" w:hAnsi="Arial" w:cs="Arial"/>
          <w:sz w:val="20"/>
        </w:rPr>
      </w:pPr>
      <w:r w:rsidRPr="001A21EE">
        <w:rPr>
          <w:rFonts w:ascii="Arial" w:hAnsi="Arial" w:cs="Arial"/>
          <w:sz w:val="20"/>
        </w:rPr>
        <w:tab/>
        <w:t>Service under this schedule is subject to the General Rules and Regulations contained in the tariff of which this schedule is a part and to those prescribed by r</w:t>
      </w:r>
      <w:bookmarkStart w:id="0" w:name="_GoBack"/>
      <w:bookmarkEnd w:id="0"/>
      <w:r w:rsidRPr="001A21EE">
        <w:rPr>
          <w:rFonts w:ascii="Arial" w:hAnsi="Arial" w:cs="Arial"/>
          <w:sz w:val="20"/>
        </w:rPr>
        <w:t>egulatory authorities.</w:t>
      </w:r>
    </w:p>
    <w:sectPr w:rsidR="00DE2657" w:rsidRPr="001A21EE" w:rsidSect="00A91A21">
      <w:headerReference w:type="default" r:id="rId9"/>
      <w:footerReference w:type="default" r:id="rId10"/>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Batang"/>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A67A76" w:rsidRDefault="00A67A76" w:rsidP="00A67A76">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8E652A">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D013FA">
      <w:rPr>
        <w:rFonts w:ascii="Arial" w:hAnsi="Arial" w:cs="Arial"/>
        <w:sz w:val="20"/>
      </w:rPr>
      <w:t xml:space="preserve">March 1, </w:t>
    </w:r>
    <w:r w:rsidR="008E652A">
      <w:rPr>
        <w:rFonts w:ascii="Arial" w:hAnsi="Arial" w:cs="Arial"/>
        <w:sz w:val="20"/>
      </w:rPr>
      <w:t>2020</w:t>
    </w:r>
  </w:p>
  <w:p w:rsidR="003960AD" w:rsidRDefault="008E652A" w:rsidP="000B36F4">
    <w:pPr>
      <w:pStyle w:val="Footer"/>
      <w:tabs>
        <w:tab w:val="clear" w:pos="4680"/>
        <w:tab w:val="clear" w:pos="9360"/>
        <w:tab w:val="right" w:pos="9216"/>
      </w:tabs>
      <w:ind w:left="900" w:hanging="900"/>
      <w:rPr>
        <w:rFonts w:ascii="Arial" w:hAnsi="Arial" w:cs="Arial"/>
        <w:sz w:val="20"/>
      </w:rPr>
    </w:pPr>
    <w:r w:rsidRPr="000554FF">
      <w:rPr>
        <w:noProof/>
      </w:rPr>
      <w:drawing>
        <wp:anchor distT="0" distB="0" distL="114300" distR="114300" simplePos="0" relativeHeight="251660288" behindDoc="1" locked="0" layoutInCell="1" allowOverlap="1" wp14:anchorId="3717C8DE" wp14:editId="2681BB2D">
          <wp:simplePos x="0" y="0"/>
          <wp:positionH relativeFrom="margin">
            <wp:posOffset>111319</wp:posOffset>
          </wp:positionH>
          <wp:positionV relativeFrom="paragraph">
            <wp:posOffset>32634</wp:posOffset>
          </wp:positionV>
          <wp:extent cx="2409825" cy="91012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910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0AD">
      <w:rPr>
        <w:rFonts w:ascii="Arial" w:hAnsi="Arial" w:cs="Arial"/>
        <w:b/>
        <w:sz w:val="20"/>
      </w:rPr>
      <w:t>Advice No.</w:t>
    </w:r>
    <w:r w:rsidR="003960AD">
      <w:rPr>
        <w:rFonts w:ascii="Arial" w:hAnsi="Arial" w:cs="Arial"/>
        <w:sz w:val="20"/>
      </w:rPr>
      <w:t xml:space="preserve"> </w:t>
    </w:r>
    <w:r>
      <w:rPr>
        <w:rFonts w:ascii="Arial" w:hAnsi="Arial" w:cs="Arial"/>
        <w:sz w:val="20"/>
      </w:rPr>
      <w:t>19-08</w:t>
    </w:r>
  </w:p>
  <w:p w:rsidR="00180E8F" w:rsidRDefault="00180E8F" w:rsidP="00180E8F">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180E8F" w:rsidRDefault="00180E8F" w:rsidP="00180E8F">
    <w:pPr>
      <w:pStyle w:val="Footer"/>
      <w:tabs>
        <w:tab w:val="clear" w:pos="4680"/>
        <w:tab w:val="clear" w:pos="9360"/>
        <w:tab w:val="right" w:pos="9216"/>
      </w:tabs>
      <w:ind w:left="900" w:hanging="900"/>
      <w:jc w:val="center"/>
      <w:rPr>
        <w:rFonts w:ascii="Arial" w:hAnsi="Arial" w:cs="Arial"/>
        <w:b/>
        <w:sz w:val="20"/>
      </w:rPr>
    </w:pPr>
    <w:r>
      <w:rPr>
        <w:rFonts w:ascii="Arial" w:hAnsi="Arial" w:cs="Arial"/>
        <w:b/>
        <w:noProof/>
        <w:sz w:val="20"/>
        <w:lang w:eastAsia="en-US"/>
      </w:rPr>
      <w:drawing>
        <wp:anchor distT="0" distB="0" distL="114300" distR="114300" simplePos="0" relativeHeight="251656192" behindDoc="1" locked="0" layoutInCell="1" allowOverlap="1" wp14:anchorId="1D9E9CBA" wp14:editId="68EF6076">
          <wp:simplePos x="0" y="0"/>
          <wp:positionH relativeFrom="column">
            <wp:posOffset>2886075</wp:posOffset>
          </wp:positionH>
          <wp:positionV relativeFrom="paragraph">
            <wp:posOffset>4248785</wp:posOffset>
          </wp:positionV>
          <wp:extent cx="1943100" cy="432435"/>
          <wp:effectExtent l="19050" t="0" r="0" b="0"/>
          <wp:wrapNone/>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1943100" cy="432435"/>
                  </a:xfrm>
                  <a:prstGeom prst="rect">
                    <a:avLst/>
                  </a:prstGeom>
                  <a:noFill/>
                  <a:ln w="9525">
                    <a:noFill/>
                    <a:miter lim="800000"/>
                    <a:headEnd/>
                    <a:tailEnd/>
                  </a:ln>
                </pic:spPr>
              </pic:pic>
            </a:graphicData>
          </a:graphic>
        </wp:anchor>
      </w:drawing>
    </w:r>
  </w:p>
  <w:p w:rsidR="003960AD" w:rsidRDefault="00180E8F" w:rsidP="00180E8F">
    <w:pPr>
      <w:pStyle w:val="Footer"/>
      <w:tabs>
        <w:tab w:val="clear" w:pos="4680"/>
        <w:tab w:val="clear" w:pos="9360"/>
        <w:tab w:val="right" w:pos="9216"/>
      </w:tabs>
      <w:ind w:left="900" w:hanging="900"/>
      <w:rPr>
        <w:rFonts w:ascii="Arial" w:hAnsi="Arial" w:cs="Arial"/>
        <w:sz w:val="20"/>
      </w:rPr>
    </w:pPr>
    <w:r>
      <w:rPr>
        <w:rFonts w:ascii="Arial" w:hAnsi="Arial" w:cs="Arial"/>
        <w:b/>
        <w:noProof/>
        <w:sz w:val="20"/>
        <w:lang w:eastAsia="en-US"/>
      </w:rPr>
      <w:drawing>
        <wp:anchor distT="0" distB="0" distL="114300" distR="114300" simplePos="0" relativeHeight="251655168" behindDoc="1" locked="0" layoutInCell="1" allowOverlap="1" wp14:anchorId="0DCCB54F" wp14:editId="01545119">
          <wp:simplePos x="0" y="0"/>
          <wp:positionH relativeFrom="column">
            <wp:posOffset>2889841</wp:posOffset>
          </wp:positionH>
          <wp:positionV relativeFrom="paragraph">
            <wp:posOffset>3952506</wp:posOffset>
          </wp:positionV>
          <wp:extent cx="1947973" cy="43593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947973" cy="435935"/>
                  </a:xfrm>
                  <a:prstGeom prst="rect">
                    <a:avLst/>
                  </a:prstGeom>
                  <a:noFill/>
                  <a:ln w="9525">
                    <a:noFill/>
                    <a:miter lim="800000"/>
                    <a:headEnd/>
                    <a:tailEnd/>
                  </a:ln>
                </pic:spPr>
              </pic:pic>
            </a:graphicData>
          </a:graphic>
        </wp:anchor>
      </w:drawing>
    </w:r>
    <w:r>
      <w:rPr>
        <w:rFonts w:ascii="Arial" w:hAnsi="Arial" w:cs="Arial"/>
        <w:b/>
        <w:sz w:val="20"/>
      </w:rPr>
      <w:t>By: _________________________</w:t>
    </w:r>
    <w:r>
      <w:rPr>
        <w:rFonts w:ascii="Arial" w:hAnsi="Arial" w:cs="Arial"/>
        <w:sz w:val="20"/>
      </w:rPr>
      <w:t xml:space="preserve"> </w:t>
    </w:r>
    <w:r w:rsidR="008E652A">
      <w:rPr>
        <w:rFonts w:ascii="Arial" w:hAnsi="Arial" w:cs="Arial"/>
        <w:sz w:val="20"/>
      </w:rPr>
      <w:t>Etta Lockey</w:t>
    </w:r>
    <w:r>
      <w:rPr>
        <w:rFonts w:ascii="Arial" w:hAnsi="Arial" w:cs="Arial"/>
        <w:sz w:val="20"/>
      </w:rPr>
      <w:tab/>
    </w:r>
    <w:r w:rsidRPr="008917EB">
      <w:rPr>
        <w:rFonts w:ascii="Arial" w:hAnsi="Arial" w:cs="Arial"/>
        <w:b/>
        <w:sz w:val="20"/>
      </w:rPr>
      <w:t>Title:</w:t>
    </w:r>
    <w:r>
      <w:rPr>
        <w:rFonts w:ascii="Arial" w:hAnsi="Arial" w:cs="Arial"/>
        <w:sz w:val="20"/>
      </w:rPr>
      <w:t xml:space="preserve">  Vice President, Regulation</w:t>
    </w:r>
    <w:r w:rsidR="003960AD">
      <w:rPr>
        <w:rFonts w:ascii="Arial" w:hAnsi="Arial" w:cs="Arial"/>
        <w:sz w:val="20"/>
      </w:rPr>
      <w:tab/>
    </w:r>
    <w:r w:rsidR="003960AD">
      <w:rPr>
        <w:rFonts w:ascii="Arial" w:hAnsi="Arial" w:cs="Arial"/>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A24DEF" w:rsidRDefault="00E37108" w:rsidP="00A24DE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1B7AB"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140A8"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A24DE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80E8F" w:rsidP="00A91A21">
    <w:pPr>
      <w:tabs>
        <w:tab w:val="left" w:pos="7200"/>
      </w:tabs>
      <w:ind w:right="2160"/>
      <w:jc w:val="right"/>
      <w:rPr>
        <w:rFonts w:ascii="Arial" w:hAnsi="Arial" w:cs="Arial"/>
        <w:sz w:val="20"/>
      </w:rPr>
    </w:pPr>
    <w:r>
      <w:rPr>
        <w:rFonts w:ascii="Arial" w:hAnsi="Arial" w:cs="Arial"/>
        <w:sz w:val="20"/>
      </w:rPr>
      <w:t>First Revision of Sheet No. 57.3</w:t>
    </w:r>
  </w:p>
  <w:p w:rsidR="003960AD" w:rsidRDefault="00180E8F" w:rsidP="00A91A21">
    <w:pPr>
      <w:tabs>
        <w:tab w:val="left" w:pos="7200"/>
      </w:tabs>
      <w:ind w:right="2160"/>
      <w:jc w:val="right"/>
      <w:rPr>
        <w:rFonts w:ascii="Arial" w:hAnsi="Arial" w:cs="Arial"/>
        <w:sz w:val="20"/>
      </w:rPr>
    </w:pPr>
    <w:r>
      <w:rPr>
        <w:rFonts w:ascii="Arial" w:hAnsi="Arial" w:cs="Arial"/>
        <w:sz w:val="20"/>
      </w:rPr>
      <w:t xml:space="preserve">Canceling </w:t>
    </w:r>
    <w:r w:rsidR="009421D3">
      <w:rPr>
        <w:rFonts w:ascii="Arial" w:hAnsi="Arial" w:cs="Arial"/>
        <w:sz w:val="20"/>
      </w:rPr>
      <w:t>Original Sheet</w:t>
    </w:r>
    <w:r w:rsidR="00DE2657">
      <w:rPr>
        <w:rFonts w:ascii="Arial" w:hAnsi="Arial" w:cs="Arial"/>
        <w:sz w:val="20"/>
      </w:rPr>
      <w:t xml:space="preserve"> No. 57</w:t>
    </w:r>
    <w:r w:rsidR="00162DE3">
      <w:rPr>
        <w:rFonts w:ascii="Arial" w:hAnsi="Arial" w:cs="Arial"/>
        <w:sz w:val="20"/>
      </w:rPr>
      <w:t>.</w:t>
    </w:r>
    <w:r w:rsidR="001A21EE">
      <w:rPr>
        <w:rFonts w:ascii="Arial" w:hAnsi="Arial" w:cs="Arial"/>
        <w:sz w:val="20"/>
      </w:rPr>
      <w:t>3</w:t>
    </w:r>
  </w:p>
  <w:p w:rsidR="003960AD" w:rsidRDefault="003960AD">
    <w:pPr>
      <w:rPr>
        <w:rFonts w:ascii="Arial" w:hAnsi="Arial" w:cs="Arial"/>
        <w:sz w:val="20"/>
      </w:rPr>
    </w:pPr>
    <w:r>
      <w:rPr>
        <w:rFonts w:ascii="Arial" w:hAnsi="Arial" w:cs="Arial"/>
        <w:sz w:val="20"/>
      </w:rPr>
      <w:tab/>
    </w:r>
  </w:p>
  <w:p w:rsidR="003960AD" w:rsidRPr="00CF64E6" w:rsidRDefault="00DE2657" w:rsidP="00A91A21">
    <w:pPr>
      <w:tabs>
        <w:tab w:val="left" w:pos="7200"/>
      </w:tabs>
      <w:ind w:right="2160"/>
      <w:rPr>
        <w:rFonts w:ascii="Arial" w:hAnsi="Arial" w:cs="Arial"/>
        <w:b/>
        <w:sz w:val="24"/>
        <w:szCs w:val="24"/>
      </w:rPr>
    </w:pPr>
    <w:r>
      <w:rPr>
        <w:rFonts w:ascii="Arial" w:hAnsi="Arial" w:cs="Arial"/>
        <w:b/>
        <w:sz w:val="24"/>
        <w:szCs w:val="24"/>
      </w:rPr>
      <w:t>Schedule 57</w:t>
    </w:r>
  </w:p>
  <w:p w:rsidR="003960AD" w:rsidRDefault="00DE2657" w:rsidP="00A91A21">
    <w:pPr>
      <w:pBdr>
        <w:bottom w:val="single" w:sz="12" w:space="1" w:color="auto"/>
      </w:pBdr>
      <w:rPr>
        <w:rFonts w:ascii="Arial" w:hAnsi="Arial" w:cs="Arial"/>
        <w:b/>
        <w:sz w:val="20"/>
      </w:rPr>
    </w:pPr>
    <w:r>
      <w:rPr>
        <w:rFonts w:ascii="Arial" w:hAnsi="Arial" w:cs="Arial"/>
        <w:b/>
        <w:sz w:val="20"/>
      </w:rPr>
      <w:t>MERCURY VAPOR STREET LIGHTING SERVICE – NO NEW SERVICE</w:t>
    </w:r>
  </w:p>
  <w:p w:rsidR="003960AD" w:rsidRPr="00AE1E9E" w:rsidRDefault="003960AD">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2CC95043"/>
    <w:multiLevelType w:val="hybridMultilevel"/>
    <w:tmpl w:val="C714D2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15:restartNumberingAfterBreak="0">
    <w:nsid w:val="5A203B0F"/>
    <w:multiLevelType w:val="hybridMultilevel"/>
    <w:tmpl w:val="E308392A"/>
    <w:lvl w:ilvl="0" w:tplc="37C4C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C75B6"/>
    <w:rsid w:val="000E3B96"/>
    <w:rsid w:val="00113567"/>
    <w:rsid w:val="001356D7"/>
    <w:rsid w:val="00135716"/>
    <w:rsid w:val="001522E7"/>
    <w:rsid w:val="00156C50"/>
    <w:rsid w:val="001620F1"/>
    <w:rsid w:val="00162DE3"/>
    <w:rsid w:val="00172D01"/>
    <w:rsid w:val="00180E8F"/>
    <w:rsid w:val="001A21EE"/>
    <w:rsid w:val="001C0F5B"/>
    <w:rsid w:val="001D4F15"/>
    <w:rsid w:val="001F19AC"/>
    <w:rsid w:val="001F372F"/>
    <w:rsid w:val="00204381"/>
    <w:rsid w:val="00205735"/>
    <w:rsid w:val="00212B33"/>
    <w:rsid w:val="00266E07"/>
    <w:rsid w:val="002739D8"/>
    <w:rsid w:val="002972ED"/>
    <w:rsid w:val="002B1262"/>
    <w:rsid w:val="002C1B76"/>
    <w:rsid w:val="002C79BC"/>
    <w:rsid w:val="002D40E8"/>
    <w:rsid w:val="002E41E4"/>
    <w:rsid w:val="002E6C6E"/>
    <w:rsid w:val="00322467"/>
    <w:rsid w:val="00341521"/>
    <w:rsid w:val="0034455A"/>
    <w:rsid w:val="00353BFC"/>
    <w:rsid w:val="003960AD"/>
    <w:rsid w:val="003A6C95"/>
    <w:rsid w:val="003C2525"/>
    <w:rsid w:val="003F72C1"/>
    <w:rsid w:val="004043D5"/>
    <w:rsid w:val="00457B71"/>
    <w:rsid w:val="00464C7E"/>
    <w:rsid w:val="00490AF3"/>
    <w:rsid w:val="004A30F3"/>
    <w:rsid w:val="004A52F7"/>
    <w:rsid w:val="004B1617"/>
    <w:rsid w:val="004C5FE8"/>
    <w:rsid w:val="00534D32"/>
    <w:rsid w:val="00546A05"/>
    <w:rsid w:val="00555712"/>
    <w:rsid w:val="00564506"/>
    <w:rsid w:val="00577682"/>
    <w:rsid w:val="00580EC3"/>
    <w:rsid w:val="00583749"/>
    <w:rsid w:val="005A1156"/>
    <w:rsid w:val="005C397C"/>
    <w:rsid w:val="005E008E"/>
    <w:rsid w:val="005E29DE"/>
    <w:rsid w:val="005E6C2D"/>
    <w:rsid w:val="005F64B9"/>
    <w:rsid w:val="005F7880"/>
    <w:rsid w:val="0061429B"/>
    <w:rsid w:val="00622B69"/>
    <w:rsid w:val="006625D9"/>
    <w:rsid w:val="006638F3"/>
    <w:rsid w:val="00683DDC"/>
    <w:rsid w:val="0068713C"/>
    <w:rsid w:val="006A266F"/>
    <w:rsid w:val="006E1287"/>
    <w:rsid w:val="006E424F"/>
    <w:rsid w:val="00710518"/>
    <w:rsid w:val="00716B4A"/>
    <w:rsid w:val="0072316D"/>
    <w:rsid w:val="007504BF"/>
    <w:rsid w:val="0077488B"/>
    <w:rsid w:val="007854E0"/>
    <w:rsid w:val="00790CE2"/>
    <w:rsid w:val="007B7A3F"/>
    <w:rsid w:val="007E0BC7"/>
    <w:rsid w:val="007F06C3"/>
    <w:rsid w:val="007F42F1"/>
    <w:rsid w:val="007F6029"/>
    <w:rsid w:val="008119C5"/>
    <w:rsid w:val="00813698"/>
    <w:rsid w:val="00823ACF"/>
    <w:rsid w:val="008474F2"/>
    <w:rsid w:val="008766A2"/>
    <w:rsid w:val="00876B56"/>
    <w:rsid w:val="00886645"/>
    <w:rsid w:val="008A77C7"/>
    <w:rsid w:val="008E652A"/>
    <w:rsid w:val="008E7364"/>
    <w:rsid w:val="00920A5D"/>
    <w:rsid w:val="009421D3"/>
    <w:rsid w:val="009700FD"/>
    <w:rsid w:val="009B1635"/>
    <w:rsid w:val="009B59D6"/>
    <w:rsid w:val="009E0C82"/>
    <w:rsid w:val="00A24DEF"/>
    <w:rsid w:val="00A261ED"/>
    <w:rsid w:val="00A43A23"/>
    <w:rsid w:val="00A67A76"/>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202C"/>
    <w:rsid w:val="00B86CD1"/>
    <w:rsid w:val="00BA088F"/>
    <w:rsid w:val="00BA1BE8"/>
    <w:rsid w:val="00C0493E"/>
    <w:rsid w:val="00C210FD"/>
    <w:rsid w:val="00C31B67"/>
    <w:rsid w:val="00C41C7D"/>
    <w:rsid w:val="00C60F7D"/>
    <w:rsid w:val="00C91131"/>
    <w:rsid w:val="00CD01ED"/>
    <w:rsid w:val="00CE6692"/>
    <w:rsid w:val="00CF64E6"/>
    <w:rsid w:val="00D013FA"/>
    <w:rsid w:val="00D23AB3"/>
    <w:rsid w:val="00D313E0"/>
    <w:rsid w:val="00D45A57"/>
    <w:rsid w:val="00D60206"/>
    <w:rsid w:val="00D932B5"/>
    <w:rsid w:val="00DB2070"/>
    <w:rsid w:val="00DB51D8"/>
    <w:rsid w:val="00DE2657"/>
    <w:rsid w:val="00DE409D"/>
    <w:rsid w:val="00E13A5F"/>
    <w:rsid w:val="00E37108"/>
    <w:rsid w:val="00E44254"/>
    <w:rsid w:val="00E52C0F"/>
    <w:rsid w:val="00E53EC5"/>
    <w:rsid w:val="00E84454"/>
    <w:rsid w:val="00E86C83"/>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28FB30E-C469-4504-AE84-DDE88E59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5D9"/>
    <w:pPr>
      <w:ind w:left="720"/>
      <w:contextualSpacing/>
    </w:pPr>
  </w:style>
  <w:style w:type="character" w:styleId="Hyperlink">
    <w:name w:val="Hyperlink"/>
    <w:basedOn w:val="DefaultParagraphFont"/>
    <w:uiPriority w:val="99"/>
    <w:unhideWhenUsed/>
    <w:rsid w:val="00180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35186">
      <w:bodyDiv w:val="1"/>
      <w:marLeft w:val="0"/>
      <w:marRight w:val="0"/>
      <w:marTop w:val="0"/>
      <w:marBottom w:val="0"/>
      <w:divBdr>
        <w:top w:val="none" w:sz="0" w:space="0" w:color="auto"/>
        <w:left w:val="none" w:sz="0" w:space="0" w:color="auto"/>
        <w:bottom w:val="none" w:sz="0" w:space="0" w:color="auto"/>
        <w:right w:val="none" w:sz="0" w:space="0" w:color="auto"/>
      </w:divBdr>
    </w:div>
    <w:div w:id="11742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cificpower.net/streetligh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E7B5A2F5-04DA-47FE-99D6-9C5092549AAE}">
  <ds:schemaRefs>
    <ds:schemaRef ds:uri="http://schemas.openxmlformats.org/officeDocument/2006/bibliography"/>
  </ds:schemaRefs>
</ds:datastoreItem>
</file>

<file path=customXml/itemProps2.xml><?xml version="1.0" encoding="utf-8"?>
<ds:datastoreItem xmlns:ds="http://schemas.openxmlformats.org/officeDocument/2006/customXml" ds:itemID="{B4000B93-E09B-4B2A-A5D8-D0861347C735}"/>
</file>

<file path=customXml/itemProps3.xml><?xml version="1.0" encoding="utf-8"?>
<ds:datastoreItem xmlns:ds="http://schemas.openxmlformats.org/officeDocument/2006/customXml" ds:itemID="{6CD5096B-F338-426E-8F57-2C298BEE4528}"/>
</file>

<file path=customXml/itemProps4.xml><?xml version="1.0" encoding="utf-8"?>
<ds:datastoreItem xmlns:ds="http://schemas.openxmlformats.org/officeDocument/2006/customXml" ds:itemID="{50B359A6-6060-4907-AF5A-10B1552D2241}"/>
</file>

<file path=customXml/itemProps5.xml><?xml version="1.0" encoding="utf-8"?>
<ds:datastoreItem xmlns:ds="http://schemas.openxmlformats.org/officeDocument/2006/customXml" ds:itemID="{A60D66C1-45EF-48F2-899C-B8A6827CB79A}"/>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Penfield, Mary</cp:lastModifiedBy>
  <cp:revision>3</cp:revision>
  <cp:lastPrinted>2011-04-06T22:22:00Z</cp:lastPrinted>
  <dcterms:created xsi:type="dcterms:W3CDTF">2019-12-06T20:09:00Z</dcterms:created>
  <dcterms:modified xsi:type="dcterms:W3CDTF">2019-12-06T20:11:00Z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