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1D" w:rsidRPr="00BE2BC5" w:rsidRDefault="00226363" w:rsidP="00AF2D35">
      <w:pPr>
        <w:pStyle w:val="NoSpacing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[Service Date February 27, 2012]</w:t>
      </w:r>
      <w:bookmarkStart w:id="0" w:name="_GoBack"/>
      <w:bookmarkEnd w:id="0"/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  <w:jc w:val="center"/>
      </w:pPr>
      <w:r>
        <w:t xml:space="preserve">February </w:t>
      </w:r>
      <w:r w:rsidR="001045C5">
        <w:t>27</w:t>
      </w:r>
      <w:r>
        <w:t>, 2012</w:t>
      </w: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</w:p>
    <w:p w:rsidR="00770E35" w:rsidRPr="00770E35" w:rsidRDefault="00770E35" w:rsidP="00AF2D35">
      <w:pPr>
        <w:pStyle w:val="NoSpacing"/>
        <w:spacing w:line="264" w:lineRule="auto"/>
        <w:jc w:val="center"/>
        <w:rPr>
          <w:b/>
        </w:rPr>
      </w:pPr>
      <w:r w:rsidRPr="00770E35">
        <w:rPr>
          <w:b/>
        </w:rPr>
        <w:t xml:space="preserve">NOTICE </w:t>
      </w:r>
      <w:r w:rsidR="001045C5">
        <w:rPr>
          <w:b/>
        </w:rPr>
        <w:t>CANCELLING</w:t>
      </w:r>
      <w:r w:rsidRPr="00770E35">
        <w:rPr>
          <w:b/>
        </w:rPr>
        <w:t xml:space="preserve"> PREHEARING CONFERENCE</w:t>
      </w:r>
    </w:p>
    <w:p w:rsidR="00770E35" w:rsidRPr="00770E35" w:rsidRDefault="00770E35" w:rsidP="00AF2D35">
      <w:pPr>
        <w:pStyle w:val="NoSpacing"/>
        <w:spacing w:line="264" w:lineRule="auto"/>
        <w:jc w:val="center"/>
        <w:rPr>
          <w:b/>
        </w:rPr>
      </w:pPr>
      <w:r w:rsidRPr="00770E35">
        <w:rPr>
          <w:b/>
        </w:rPr>
        <w:t>(Set for Wednesday, February 29, 2012)</w:t>
      </w: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</w:p>
    <w:p w:rsidR="00770E35" w:rsidRPr="00591AAC" w:rsidRDefault="00770E35" w:rsidP="00AF2D35">
      <w:pPr>
        <w:spacing w:line="264" w:lineRule="auto"/>
        <w:ind w:left="720" w:hanging="720"/>
        <w:rPr>
          <w:b/>
          <w:sz w:val="25"/>
          <w:szCs w:val="25"/>
        </w:rPr>
      </w:pPr>
      <w:r w:rsidRPr="0053344A">
        <w:rPr>
          <w:sz w:val="25"/>
          <w:szCs w:val="25"/>
        </w:rPr>
        <w:t>RE:</w:t>
      </w:r>
      <w:r>
        <w:rPr>
          <w:sz w:val="25"/>
          <w:szCs w:val="25"/>
        </w:rPr>
        <w:tab/>
      </w:r>
      <w:r>
        <w:rPr>
          <w:i/>
          <w:sz w:val="25"/>
          <w:szCs w:val="25"/>
        </w:rPr>
        <w:t xml:space="preserve">Sandy Judd and Tara </w:t>
      </w:r>
      <w:proofErr w:type="spellStart"/>
      <w:r>
        <w:rPr>
          <w:i/>
          <w:sz w:val="25"/>
          <w:szCs w:val="25"/>
        </w:rPr>
        <w:t>Herivel</w:t>
      </w:r>
      <w:proofErr w:type="spellEnd"/>
      <w:r>
        <w:rPr>
          <w:i/>
          <w:sz w:val="25"/>
          <w:szCs w:val="25"/>
        </w:rPr>
        <w:t>, Complainants, v. AT&amp;T Communications of the Pacific Northwest, Inc., and T-</w:t>
      </w:r>
      <w:proofErr w:type="spellStart"/>
      <w:r>
        <w:rPr>
          <w:i/>
          <w:sz w:val="25"/>
          <w:szCs w:val="25"/>
        </w:rPr>
        <w:t>Netix</w:t>
      </w:r>
      <w:proofErr w:type="spellEnd"/>
      <w:r>
        <w:rPr>
          <w:i/>
          <w:sz w:val="25"/>
          <w:szCs w:val="25"/>
        </w:rPr>
        <w:t xml:space="preserve">, Inc., </w:t>
      </w:r>
      <w:r w:rsidRPr="00591AAC">
        <w:rPr>
          <w:sz w:val="25"/>
          <w:szCs w:val="25"/>
        </w:rPr>
        <w:t>Docket UT-042022</w:t>
      </w: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  <w:r>
        <w:t>TO ALL PARTIES:</w:t>
      </w: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  <w:r>
        <w:t>On March 31, 201</w:t>
      </w:r>
      <w:r w:rsidR="004B24BE">
        <w:t>1</w:t>
      </w:r>
      <w:r>
        <w:t>, the Washington Utilities and Transportation Commission (Commission) entered Order 25 – Final Order Affirming Order 23 In Part on Other Grounds and Responding to Questions Referred From Superior Court</w:t>
      </w:r>
      <w:r w:rsidR="00AF2D35">
        <w:t>,</w:t>
      </w:r>
      <w:r>
        <w:t xml:space="preserve"> in the above matter.</w:t>
      </w:r>
    </w:p>
    <w:p w:rsidR="00770E35" w:rsidRDefault="00770E35" w:rsidP="00AF2D35">
      <w:pPr>
        <w:pStyle w:val="NoSpacing"/>
        <w:spacing w:line="264" w:lineRule="auto"/>
      </w:pPr>
    </w:p>
    <w:p w:rsidR="00770E35" w:rsidRDefault="00770E35" w:rsidP="00AF2D35">
      <w:pPr>
        <w:pStyle w:val="NoSpacing"/>
        <w:spacing w:line="264" w:lineRule="auto"/>
      </w:pPr>
      <w:r>
        <w:t>On April 29, 201</w:t>
      </w:r>
      <w:r w:rsidR="004B24BE">
        <w:t>1</w:t>
      </w:r>
      <w:r>
        <w:t>, AT&amp;T Communications of the Pacific Northwest, Inc.</w:t>
      </w:r>
      <w:r w:rsidR="00E86F87">
        <w:t xml:space="preserve"> (AT&amp;T)</w:t>
      </w:r>
      <w:r>
        <w:t>, filed with the Commission a copy of a Petition for Judicial Review of Administrative Agency Decision and for Declaratory Relief, filed in Thurston County Superior Court.</w:t>
      </w:r>
      <w:r w:rsidR="004B24BE">
        <w:rPr>
          <w:rStyle w:val="FootnoteReference"/>
        </w:rPr>
        <w:footnoteReference w:id="1"/>
      </w:r>
    </w:p>
    <w:p w:rsidR="004B24BE" w:rsidRDefault="004B24BE" w:rsidP="00AF2D35">
      <w:pPr>
        <w:pStyle w:val="NoSpacing"/>
        <w:spacing w:line="264" w:lineRule="auto"/>
      </w:pPr>
    </w:p>
    <w:p w:rsidR="00AF2D35" w:rsidRDefault="00AF2D35" w:rsidP="00AF2D35">
      <w:pPr>
        <w:pStyle w:val="NoSpacing"/>
        <w:spacing w:line="264" w:lineRule="auto"/>
      </w:pPr>
      <w:r>
        <w:t xml:space="preserve">On February 2, 2012, Judge Paula Casey entered </w:t>
      </w:r>
      <w:r w:rsidR="00204197">
        <w:t xml:space="preserve">the Thurston County Superior </w:t>
      </w:r>
      <w:proofErr w:type="gramStart"/>
      <w:r w:rsidR="00204197">
        <w:t>Court ’</w:t>
      </w:r>
      <w:r w:rsidR="00E86F87">
        <w:t>s</w:t>
      </w:r>
      <w:proofErr w:type="gramEnd"/>
      <w:r w:rsidR="00E86F87">
        <w:t xml:space="preserve"> </w:t>
      </w:r>
      <w:r>
        <w:t xml:space="preserve">Order on Petitions </w:t>
      </w:r>
      <w:r w:rsidR="00E86F87">
        <w:t>f</w:t>
      </w:r>
      <w:r>
        <w:t>or Review</w:t>
      </w:r>
      <w:r w:rsidR="00E86F87">
        <w:t xml:space="preserve"> (Court Order)</w:t>
      </w:r>
      <w:r>
        <w:t>.</w:t>
      </w:r>
      <w:r>
        <w:rPr>
          <w:rStyle w:val="FootnoteReference"/>
        </w:rPr>
        <w:footnoteReference w:id="2"/>
      </w:r>
      <w:r w:rsidR="00F265D1">
        <w:t xml:space="preserve">  </w:t>
      </w:r>
      <w:r w:rsidR="00E86F87">
        <w:t>The Court affirmed the Commission’s determination that AT&amp;T was an operator services provider (OSP) during the time period at issue but found “that the parties were not provided the full opportunity to present evidence” on whether AT&amp;T violated the Commission’s OSP rules</w:t>
      </w:r>
      <w:r w:rsidR="00204197">
        <w:t xml:space="preserve">.  The matter was </w:t>
      </w:r>
      <w:r w:rsidR="00E86F87">
        <w:t>“remanded to the WUTC to receive additional evidence.”</w:t>
      </w:r>
    </w:p>
    <w:p w:rsidR="00AF2D35" w:rsidRDefault="00AF2D35" w:rsidP="00AF2D35">
      <w:pPr>
        <w:pStyle w:val="NoSpacing"/>
        <w:spacing w:line="264" w:lineRule="auto"/>
      </w:pPr>
    </w:p>
    <w:p w:rsidR="009E2A35" w:rsidRDefault="004B24BE" w:rsidP="00AF2D35">
      <w:pPr>
        <w:pStyle w:val="NoSpacing"/>
        <w:spacing w:line="264" w:lineRule="auto"/>
      </w:pPr>
      <w:r>
        <w:t xml:space="preserve">On February 2, 2012, the Complainants filed </w:t>
      </w:r>
      <w:r w:rsidR="00E86F87">
        <w:t xml:space="preserve">a letter </w:t>
      </w:r>
      <w:r>
        <w:t xml:space="preserve">with the Commission requesting that a prehearing conference be scheduled to address </w:t>
      </w:r>
      <w:r w:rsidR="00AF2D35">
        <w:t xml:space="preserve">the </w:t>
      </w:r>
      <w:r w:rsidR="00E86F87">
        <w:t xml:space="preserve">remand in the </w:t>
      </w:r>
      <w:r>
        <w:t>Court</w:t>
      </w:r>
      <w:r w:rsidR="00E86F87">
        <w:t xml:space="preserve"> Order</w:t>
      </w:r>
      <w:r w:rsidR="00747F0C">
        <w:t>.</w:t>
      </w:r>
    </w:p>
    <w:p w:rsidR="00747F0C" w:rsidRDefault="00747F0C" w:rsidP="00AF2D35">
      <w:pPr>
        <w:pStyle w:val="NoSpacing"/>
        <w:spacing w:line="264" w:lineRule="auto"/>
      </w:pPr>
    </w:p>
    <w:p w:rsidR="00747F0C" w:rsidRDefault="00747F0C" w:rsidP="00AF2D35">
      <w:pPr>
        <w:pStyle w:val="NoSpacing"/>
        <w:spacing w:line="264" w:lineRule="auto"/>
      </w:pPr>
      <w:r>
        <w:t>On February 14, 2012, the Commission issued a notice of prehearing conference for February 29, 2012.</w:t>
      </w:r>
    </w:p>
    <w:p w:rsidR="009E2A35" w:rsidRDefault="009E2A35" w:rsidP="00AF2D35">
      <w:pPr>
        <w:pStyle w:val="NoSpacing"/>
        <w:spacing w:line="264" w:lineRule="auto"/>
      </w:pPr>
    </w:p>
    <w:p w:rsidR="004B24BE" w:rsidRDefault="009E2A35" w:rsidP="00AF2D35">
      <w:pPr>
        <w:pStyle w:val="NoSpacing"/>
        <w:spacing w:line="264" w:lineRule="auto"/>
      </w:pPr>
      <w:r>
        <w:t xml:space="preserve">On February 15, 2012, AT&amp;T filed a motion in King County Superior Court </w:t>
      </w:r>
      <w:r w:rsidR="00E81148">
        <w:t xml:space="preserve">(Court) </w:t>
      </w:r>
      <w:r>
        <w:t xml:space="preserve">to terminate or withdraw </w:t>
      </w:r>
      <w:r w:rsidR="00E81148">
        <w:t xml:space="preserve">the Court’s </w:t>
      </w:r>
      <w:r>
        <w:t>primary jurisdiction referral</w:t>
      </w:r>
      <w:r w:rsidR="00E81148">
        <w:t xml:space="preserve"> to the Commission (Motion)</w:t>
      </w:r>
      <w:r>
        <w:t>.</w:t>
      </w:r>
    </w:p>
    <w:p w:rsidR="009E2A35" w:rsidRDefault="009E2A35" w:rsidP="00AF2D35">
      <w:pPr>
        <w:pStyle w:val="NoSpacing"/>
        <w:spacing w:line="264" w:lineRule="auto"/>
      </w:pPr>
    </w:p>
    <w:p w:rsidR="009E2A35" w:rsidRDefault="009E2A35" w:rsidP="00AF2D35">
      <w:pPr>
        <w:pStyle w:val="NoSpacing"/>
        <w:spacing w:line="264" w:lineRule="auto"/>
      </w:pPr>
      <w:r>
        <w:t xml:space="preserve">On February 24, 2012, </w:t>
      </w:r>
      <w:r w:rsidR="00E81148">
        <w:t>the Court entered an order</w:t>
      </w:r>
      <w:r w:rsidR="00747F0C">
        <w:t xml:space="preserve"> grant</w:t>
      </w:r>
      <w:r w:rsidR="00E81148">
        <w:t>ing</w:t>
      </w:r>
      <w:r w:rsidR="00747F0C">
        <w:t xml:space="preserve"> the </w:t>
      </w:r>
      <w:r w:rsidR="00E81148">
        <w:t>M</w:t>
      </w:r>
      <w:r w:rsidR="00747F0C">
        <w:t>otion</w:t>
      </w:r>
      <w:r w:rsidR="00E81148">
        <w:t xml:space="preserve"> (Order)</w:t>
      </w:r>
      <w:r w:rsidR="00747F0C">
        <w:t>.</w:t>
      </w:r>
      <w:r w:rsidR="00747F0C">
        <w:rPr>
          <w:rStyle w:val="FootnoteReference"/>
        </w:rPr>
        <w:footnoteReference w:id="3"/>
      </w:r>
      <w:r w:rsidR="00747F0C">
        <w:t xml:space="preserve">  The Order states that all remaining legal or factual issues in this case are withdrawn from the Commission’s consideration and will be address</w:t>
      </w:r>
      <w:r w:rsidR="00E81148">
        <w:t>ed</w:t>
      </w:r>
      <w:r w:rsidR="00747F0C">
        <w:t xml:space="preserve"> by the Court.</w:t>
      </w:r>
      <w:r w:rsidR="00E81148">
        <w:t xml:space="preserve">  Accordingly, no further proceedings are warranted in this docket at this time.</w:t>
      </w:r>
    </w:p>
    <w:p w:rsidR="00AF2D35" w:rsidRDefault="00AF2D35" w:rsidP="00AF2D35">
      <w:pPr>
        <w:pStyle w:val="NoSpacing"/>
        <w:spacing w:line="264" w:lineRule="auto"/>
      </w:pPr>
    </w:p>
    <w:p w:rsidR="00AF2D35" w:rsidRPr="00D014AE" w:rsidRDefault="00AF2D35" w:rsidP="00AF2D35">
      <w:pPr>
        <w:pStyle w:val="NoSpacing"/>
        <w:spacing w:line="264" w:lineRule="auto"/>
      </w:pPr>
      <w:r w:rsidRPr="00AF2D35">
        <w:rPr>
          <w:b/>
        </w:rPr>
        <w:t xml:space="preserve">NOTICE IS GIVEN That </w:t>
      </w:r>
      <w:r w:rsidR="001045C5">
        <w:rPr>
          <w:b/>
        </w:rPr>
        <w:t>the</w:t>
      </w:r>
      <w:r w:rsidRPr="00AF2D35">
        <w:rPr>
          <w:b/>
        </w:rPr>
        <w:t xml:space="preserve"> prehearing conference </w:t>
      </w:r>
      <w:r w:rsidR="001045C5">
        <w:rPr>
          <w:b/>
        </w:rPr>
        <w:t xml:space="preserve">scheduled for </w:t>
      </w:r>
      <w:r w:rsidRPr="00AF2D35">
        <w:rPr>
          <w:b/>
        </w:rPr>
        <w:t>February 29, 2012, at 1:30 p.m., i</w:t>
      </w:r>
      <w:r w:rsidR="001045C5">
        <w:rPr>
          <w:b/>
        </w:rPr>
        <w:t>s cancelled.</w:t>
      </w:r>
    </w:p>
    <w:p w:rsidR="00AF2D35" w:rsidRDefault="00AF2D35" w:rsidP="00AF2D35">
      <w:pPr>
        <w:pStyle w:val="NoSpacing"/>
        <w:spacing w:line="264" w:lineRule="auto"/>
      </w:pPr>
    </w:p>
    <w:p w:rsidR="00AF2D35" w:rsidRDefault="00AF2D35" w:rsidP="00AF2D35">
      <w:pPr>
        <w:pStyle w:val="NoSpacing"/>
        <w:spacing w:line="264" w:lineRule="auto"/>
      </w:pPr>
      <w:r>
        <w:t>Sincerely,</w:t>
      </w:r>
    </w:p>
    <w:p w:rsidR="00AF2D35" w:rsidRDefault="00AF2D35" w:rsidP="00AF2D35">
      <w:pPr>
        <w:pStyle w:val="NoSpacing"/>
        <w:spacing w:line="264" w:lineRule="auto"/>
      </w:pPr>
    </w:p>
    <w:p w:rsidR="00AF2D35" w:rsidRDefault="00AF2D35" w:rsidP="00AF2D35">
      <w:pPr>
        <w:pStyle w:val="NoSpacing"/>
        <w:spacing w:line="264" w:lineRule="auto"/>
      </w:pPr>
    </w:p>
    <w:p w:rsidR="00AF2D35" w:rsidRDefault="00AF2D35" w:rsidP="00AF2D35">
      <w:pPr>
        <w:pStyle w:val="NoSpacing"/>
        <w:spacing w:line="264" w:lineRule="auto"/>
      </w:pPr>
    </w:p>
    <w:p w:rsidR="00AF2D35" w:rsidRDefault="00AF2D35" w:rsidP="00AF2D35">
      <w:pPr>
        <w:pStyle w:val="NoSpacing"/>
        <w:spacing w:line="264" w:lineRule="auto"/>
      </w:pPr>
      <w:r>
        <w:t>GREGORY J. KOPTA</w:t>
      </w:r>
    </w:p>
    <w:p w:rsidR="00AF2D35" w:rsidRDefault="00AF2D35" w:rsidP="00AF2D35">
      <w:pPr>
        <w:pStyle w:val="NoSpacing"/>
        <w:spacing w:line="264" w:lineRule="auto"/>
      </w:pPr>
      <w:r>
        <w:t>Administrative Law Judge</w:t>
      </w:r>
    </w:p>
    <w:sectPr w:rsidR="00AF2D35" w:rsidSect="00A32E62">
      <w:headerReference w:type="default" r:id="rId8"/>
      <w:pgSz w:w="12240" w:h="15840" w:code="1"/>
      <w:pgMar w:top="1440" w:right="1440" w:bottom="1440" w:left="1800" w:header="1440" w:footer="72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14" w:rsidRDefault="00FE6514" w:rsidP="004B24BE">
      <w:r>
        <w:separator/>
      </w:r>
    </w:p>
  </w:endnote>
  <w:endnote w:type="continuationSeparator" w:id="0">
    <w:p w:rsidR="00FE6514" w:rsidRDefault="00FE6514" w:rsidP="004B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14" w:rsidRDefault="00FE6514" w:rsidP="004B24BE">
      <w:r>
        <w:separator/>
      </w:r>
    </w:p>
  </w:footnote>
  <w:footnote w:type="continuationSeparator" w:id="0">
    <w:p w:rsidR="00FE6514" w:rsidRDefault="00FE6514" w:rsidP="004B24BE">
      <w:r>
        <w:continuationSeparator/>
      </w:r>
    </w:p>
  </w:footnote>
  <w:footnote w:id="1">
    <w:p w:rsidR="009E2A35" w:rsidRPr="00AF2D35" w:rsidRDefault="009E2A35">
      <w:pPr>
        <w:pStyle w:val="FootnoteText"/>
        <w:rPr>
          <w:sz w:val="22"/>
          <w:szCs w:val="22"/>
        </w:rPr>
      </w:pPr>
      <w:r w:rsidRPr="004B24BE">
        <w:rPr>
          <w:rStyle w:val="FootnoteReference"/>
          <w:sz w:val="22"/>
          <w:szCs w:val="22"/>
        </w:rPr>
        <w:footnoteRef/>
      </w:r>
      <w:r w:rsidRPr="004B24BE">
        <w:rPr>
          <w:sz w:val="22"/>
          <w:szCs w:val="22"/>
        </w:rPr>
        <w:t xml:space="preserve"> </w:t>
      </w:r>
      <w:r w:rsidRPr="00AF2D35">
        <w:rPr>
          <w:sz w:val="22"/>
          <w:szCs w:val="22"/>
        </w:rPr>
        <w:t>No. 11-2-00992-8.</w:t>
      </w:r>
    </w:p>
    <w:p w:rsidR="009E2A35" w:rsidRPr="00AF2D35" w:rsidRDefault="009E2A35">
      <w:pPr>
        <w:pStyle w:val="FootnoteText"/>
        <w:rPr>
          <w:sz w:val="22"/>
          <w:szCs w:val="22"/>
        </w:rPr>
      </w:pPr>
    </w:p>
  </w:footnote>
  <w:footnote w:id="2">
    <w:p w:rsidR="009E2A35" w:rsidRDefault="009E2A35">
      <w:pPr>
        <w:pStyle w:val="FootnoteText"/>
      </w:pPr>
      <w:r w:rsidRPr="00AF2D35">
        <w:rPr>
          <w:rStyle w:val="FootnoteReference"/>
          <w:sz w:val="22"/>
          <w:szCs w:val="22"/>
        </w:rPr>
        <w:footnoteRef/>
      </w:r>
      <w:r w:rsidRPr="00AF2D35">
        <w:rPr>
          <w:sz w:val="22"/>
          <w:szCs w:val="22"/>
        </w:rPr>
        <w:t xml:space="preserve"> No. 11-2-00992-8 and No. 11-2-00998-7.</w:t>
      </w:r>
    </w:p>
  </w:footnote>
  <w:footnote w:id="3">
    <w:p w:rsidR="00747F0C" w:rsidRPr="00747F0C" w:rsidRDefault="00747F0C">
      <w:pPr>
        <w:pStyle w:val="FootnoteText"/>
        <w:rPr>
          <w:sz w:val="22"/>
          <w:szCs w:val="22"/>
        </w:rPr>
      </w:pPr>
      <w:r w:rsidRPr="00747F0C">
        <w:rPr>
          <w:rStyle w:val="FootnoteReference"/>
          <w:sz w:val="22"/>
          <w:szCs w:val="22"/>
        </w:rPr>
        <w:footnoteRef/>
      </w:r>
      <w:r w:rsidRPr="00747F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No. </w:t>
      </w:r>
      <w:r w:rsidRPr="00747F0C">
        <w:rPr>
          <w:sz w:val="22"/>
          <w:szCs w:val="22"/>
        </w:rPr>
        <w:t>00-2-17565-5 SEA.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35" w:rsidRPr="00F265D1" w:rsidRDefault="009E2A35" w:rsidP="00F265D1">
    <w:pPr>
      <w:pStyle w:val="Header"/>
      <w:tabs>
        <w:tab w:val="clear" w:pos="9360"/>
        <w:tab w:val="right" w:pos="8730"/>
      </w:tabs>
      <w:rPr>
        <w:b/>
        <w:noProof/>
        <w:sz w:val="20"/>
        <w:szCs w:val="20"/>
      </w:rPr>
    </w:pPr>
    <w:r w:rsidRPr="00F265D1">
      <w:rPr>
        <w:b/>
        <w:sz w:val="20"/>
        <w:szCs w:val="20"/>
      </w:rPr>
      <w:t>DOCKET UT-042022</w:t>
    </w:r>
    <w:r w:rsidRPr="00F265D1">
      <w:rPr>
        <w:b/>
        <w:sz w:val="20"/>
        <w:szCs w:val="20"/>
      </w:rPr>
      <w:tab/>
    </w:r>
    <w:r w:rsidRPr="00F265D1">
      <w:rPr>
        <w:b/>
        <w:sz w:val="20"/>
        <w:szCs w:val="20"/>
      </w:rPr>
      <w:tab/>
      <w:t xml:space="preserve">PAGE </w:t>
    </w:r>
    <w:r w:rsidRPr="00F265D1">
      <w:rPr>
        <w:b/>
        <w:sz w:val="20"/>
        <w:szCs w:val="20"/>
      </w:rPr>
      <w:fldChar w:fldCharType="begin"/>
    </w:r>
    <w:r w:rsidRPr="00F265D1">
      <w:rPr>
        <w:b/>
        <w:sz w:val="20"/>
        <w:szCs w:val="20"/>
      </w:rPr>
      <w:instrText xml:space="preserve"> PAGE   \* MERGEFORMAT </w:instrText>
    </w:r>
    <w:r w:rsidRPr="00F265D1">
      <w:rPr>
        <w:b/>
        <w:sz w:val="20"/>
        <w:szCs w:val="20"/>
      </w:rPr>
      <w:fldChar w:fldCharType="separate"/>
    </w:r>
    <w:r w:rsidR="00226363">
      <w:rPr>
        <w:b/>
        <w:noProof/>
        <w:sz w:val="20"/>
        <w:szCs w:val="20"/>
      </w:rPr>
      <w:t>2</w:t>
    </w:r>
    <w:r w:rsidRPr="00F265D1">
      <w:rPr>
        <w:b/>
        <w:noProof/>
        <w:sz w:val="20"/>
        <w:szCs w:val="20"/>
      </w:rPr>
      <w:fldChar w:fldCharType="end"/>
    </w:r>
  </w:p>
  <w:p w:rsidR="009E2A35" w:rsidRPr="00F265D1" w:rsidRDefault="009E2A35" w:rsidP="00F265D1">
    <w:pPr>
      <w:pStyle w:val="Header"/>
      <w:tabs>
        <w:tab w:val="clear" w:pos="9360"/>
        <w:tab w:val="right" w:pos="8730"/>
      </w:tabs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35"/>
    <w:rsid w:val="00000817"/>
    <w:rsid w:val="00000D94"/>
    <w:rsid w:val="00024FCC"/>
    <w:rsid w:val="00025066"/>
    <w:rsid w:val="00036A42"/>
    <w:rsid w:val="00054580"/>
    <w:rsid w:val="000A4CFE"/>
    <w:rsid w:val="000C159F"/>
    <w:rsid w:val="000D794B"/>
    <w:rsid w:val="000E69A6"/>
    <w:rsid w:val="000F4FEE"/>
    <w:rsid w:val="000F629A"/>
    <w:rsid w:val="000F6DD6"/>
    <w:rsid w:val="001045C5"/>
    <w:rsid w:val="001140DB"/>
    <w:rsid w:val="00124765"/>
    <w:rsid w:val="00125DE3"/>
    <w:rsid w:val="0012797D"/>
    <w:rsid w:val="00134F21"/>
    <w:rsid w:val="0014077E"/>
    <w:rsid w:val="00141D59"/>
    <w:rsid w:val="001605B2"/>
    <w:rsid w:val="001703EB"/>
    <w:rsid w:val="001723BF"/>
    <w:rsid w:val="00196394"/>
    <w:rsid w:val="001A7351"/>
    <w:rsid w:val="001B2E88"/>
    <w:rsid w:val="001B3E0A"/>
    <w:rsid w:val="001C5C2C"/>
    <w:rsid w:val="001E109A"/>
    <w:rsid w:val="00204197"/>
    <w:rsid w:val="00223577"/>
    <w:rsid w:val="00226363"/>
    <w:rsid w:val="002276DC"/>
    <w:rsid w:val="00244FDA"/>
    <w:rsid w:val="00251048"/>
    <w:rsid w:val="0025477A"/>
    <w:rsid w:val="00262124"/>
    <w:rsid w:val="0026475C"/>
    <w:rsid w:val="00270B6C"/>
    <w:rsid w:val="00281C9A"/>
    <w:rsid w:val="002861A1"/>
    <w:rsid w:val="002E5203"/>
    <w:rsid w:val="002E6BF6"/>
    <w:rsid w:val="003004E6"/>
    <w:rsid w:val="00311D5D"/>
    <w:rsid w:val="00320272"/>
    <w:rsid w:val="00325229"/>
    <w:rsid w:val="00326C72"/>
    <w:rsid w:val="00331826"/>
    <w:rsid w:val="00331DBD"/>
    <w:rsid w:val="00335E7B"/>
    <w:rsid w:val="00337B84"/>
    <w:rsid w:val="0035370C"/>
    <w:rsid w:val="003753AE"/>
    <w:rsid w:val="003A7922"/>
    <w:rsid w:val="003B5BCB"/>
    <w:rsid w:val="003D043A"/>
    <w:rsid w:val="003E07FA"/>
    <w:rsid w:val="003F118C"/>
    <w:rsid w:val="003F43F9"/>
    <w:rsid w:val="003F6DEF"/>
    <w:rsid w:val="00400A04"/>
    <w:rsid w:val="00405309"/>
    <w:rsid w:val="004274F0"/>
    <w:rsid w:val="00434DC9"/>
    <w:rsid w:val="00437E3F"/>
    <w:rsid w:val="00446B83"/>
    <w:rsid w:val="004470D6"/>
    <w:rsid w:val="00466587"/>
    <w:rsid w:val="00497485"/>
    <w:rsid w:val="0049799B"/>
    <w:rsid w:val="004A343B"/>
    <w:rsid w:val="004B13DF"/>
    <w:rsid w:val="004B24BE"/>
    <w:rsid w:val="004D03CC"/>
    <w:rsid w:val="004D5E7A"/>
    <w:rsid w:val="004F325A"/>
    <w:rsid w:val="00500BD3"/>
    <w:rsid w:val="00506508"/>
    <w:rsid w:val="00512941"/>
    <w:rsid w:val="00514DD5"/>
    <w:rsid w:val="00524ED7"/>
    <w:rsid w:val="00527B33"/>
    <w:rsid w:val="0053359C"/>
    <w:rsid w:val="00546385"/>
    <w:rsid w:val="00550788"/>
    <w:rsid w:val="00571C63"/>
    <w:rsid w:val="0057556D"/>
    <w:rsid w:val="005811C7"/>
    <w:rsid w:val="00593825"/>
    <w:rsid w:val="005963E1"/>
    <w:rsid w:val="005970BC"/>
    <w:rsid w:val="005A4601"/>
    <w:rsid w:val="005E200A"/>
    <w:rsid w:val="005E662A"/>
    <w:rsid w:val="005F6CB0"/>
    <w:rsid w:val="00621BBF"/>
    <w:rsid w:val="00625C28"/>
    <w:rsid w:val="00625F87"/>
    <w:rsid w:val="006302DA"/>
    <w:rsid w:val="006328EE"/>
    <w:rsid w:val="00636DA8"/>
    <w:rsid w:val="00637028"/>
    <w:rsid w:val="00647468"/>
    <w:rsid w:val="00671E79"/>
    <w:rsid w:val="006725EB"/>
    <w:rsid w:val="00672ABD"/>
    <w:rsid w:val="00682AAC"/>
    <w:rsid w:val="006967D3"/>
    <w:rsid w:val="006B51AE"/>
    <w:rsid w:val="006C391D"/>
    <w:rsid w:val="006D55D8"/>
    <w:rsid w:val="006E57AA"/>
    <w:rsid w:val="0070503D"/>
    <w:rsid w:val="00744C85"/>
    <w:rsid w:val="00747F0C"/>
    <w:rsid w:val="00751967"/>
    <w:rsid w:val="00760467"/>
    <w:rsid w:val="00770E35"/>
    <w:rsid w:val="007777F4"/>
    <w:rsid w:val="0078059A"/>
    <w:rsid w:val="00782B25"/>
    <w:rsid w:val="007A011C"/>
    <w:rsid w:val="007A316D"/>
    <w:rsid w:val="007A6418"/>
    <w:rsid w:val="007B1BB5"/>
    <w:rsid w:val="007B6BA4"/>
    <w:rsid w:val="007C5D5F"/>
    <w:rsid w:val="007D026E"/>
    <w:rsid w:val="007D15D4"/>
    <w:rsid w:val="007E4058"/>
    <w:rsid w:val="007E4545"/>
    <w:rsid w:val="007E6723"/>
    <w:rsid w:val="007F7C8A"/>
    <w:rsid w:val="00813DB4"/>
    <w:rsid w:val="008221C4"/>
    <w:rsid w:val="008312B2"/>
    <w:rsid w:val="00834A6B"/>
    <w:rsid w:val="008530CE"/>
    <w:rsid w:val="00857614"/>
    <w:rsid w:val="00860D9F"/>
    <w:rsid w:val="00863D19"/>
    <w:rsid w:val="00866E0A"/>
    <w:rsid w:val="008712BF"/>
    <w:rsid w:val="00885F8D"/>
    <w:rsid w:val="008927D2"/>
    <w:rsid w:val="00894053"/>
    <w:rsid w:val="008A0BC8"/>
    <w:rsid w:val="008A2759"/>
    <w:rsid w:val="008C4198"/>
    <w:rsid w:val="008D7609"/>
    <w:rsid w:val="008F1933"/>
    <w:rsid w:val="008F56B3"/>
    <w:rsid w:val="009109F0"/>
    <w:rsid w:val="0091303D"/>
    <w:rsid w:val="00950B86"/>
    <w:rsid w:val="009518F5"/>
    <w:rsid w:val="00956140"/>
    <w:rsid w:val="00957166"/>
    <w:rsid w:val="009621D5"/>
    <w:rsid w:val="00976A7E"/>
    <w:rsid w:val="00977AD2"/>
    <w:rsid w:val="0099015C"/>
    <w:rsid w:val="009903F5"/>
    <w:rsid w:val="009931C1"/>
    <w:rsid w:val="009A5465"/>
    <w:rsid w:val="009A68EE"/>
    <w:rsid w:val="009B5279"/>
    <w:rsid w:val="009D011E"/>
    <w:rsid w:val="009E2A35"/>
    <w:rsid w:val="009E5DD1"/>
    <w:rsid w:val="009F2B54"/>
    <w:rsid w:val="009F41E3"/>
    <w:rsid w:val="009F57A7"/>
    <w:rsid w:val="00A06B24"/>
    <w:rsid w:val="00A06FCB"/>
    <w:rsid w:val="00A13853"/>
    <w:rsid w:val="00A25D45"/>
    <w:rsid w:val="00A30C4A"/>
    <w:rsid w:val="00A32E62"/>
    <w:rsid w:val="00A35B1C"/>
    <w:rsid w:val="00A35FD1"/>
    <w:rsid w:val="00A642B3"/>
    <w:rsid w:val="00A6640F"/>
    <w:rsid w:val="00A82346"/>
    <w:rsid w:val="00AA1D38"/>
    <w:rsid w:val="00AB33FE"/>
    <w:rsid w:val="00AD1F22"/>
    <w:rsid w:val="00AE465D"/>
    <w:rsid w:val="00AF2D35"/>
    <w:rsid w:val="00B01186"/>
    <w:rsid w:val="00B4193F"/>
    <w:rsid w:val="00B62CF3"/>
    <w:rsid w:val="00B6469B"/>
    <w:rsid w:val="00B91632"/>
    <w:rsid w:val="00BA4723"/>
    <w:rsid w:val="00BA4DB0"/>
    <w:rsid w:val="00BC18E9"/>
    <w:rsid w:val="00BD2231"/>
    <w:rsid w:val="00BD4460"/>
    <w:rsid w:val="00BE0AD2"/>
    <w:rsid w:val="00BE2BC5"/>
    <w:rsid w:val="00BE754D"/>
    <w:rsid w:val="00BF5A05"/>
    <w:rsid w:val="00C02040"/>
    <w:rsid w:val="00C03C4D"/>
    <w:rsid w:val="00C1419E"/>
    <w:rsid w:val="00C227FD"/>
    <w:rsid w:val="00C32100"/>
    <w:rsid w:val="00C55CFC"/>
    <w:rsid w:val="00C77E1D"/>
    <w:rsid w:val="00C920D2"/>
    <w:rsid w:val="00C93A82"/>
    <w:rsid w:val="00C95EC7"/>
    <w:rsid w:val="00CB2C63"/>
    <w:rsid w:val="00CB7F41"/>
    <w:rsid w:val="00CE13E8"/>
    <w:rsid w:val="00CF06C1"/>
    <w:rsid w:val="00D0056C"/>
    <w:rsid w:val="00D014AE"/>
    <w:rsid w:val="00D167FA"/>
    <w:rsid w:val="00D23952"/>
    <w:rsid w:val="00D36495"/>
    <w:rsid w:val="00D417B8"/>
    <w:rsid w:val="00D43D00"/>
    <w:rsid w:val="00D51AB0"/>
    <w:rsid w:val="00D5254D"/>
    <w:rsid w:val="00D6592D"/>
    <w:rsid w:val="00D81A5D"/>
    <w:rsid w:val="00D87DE9"/>
    <w:rsid w:val="00D93AF7"/>
    <w:rsid w:val="00D955D2"/>
    <w:rsid w:val="00D968B5"/>
    <w:rsid w:val="00DA4DDA"/>
    <w:rsid w:val="00DB12F0"/>
    <w:rsid w:val="00DB4A12"/>
    <w:rsid w:val="00DB53EA"/>
    <w:rsid w:val="00DC441F"/>
    <w:rsid w:val="00DE67C3"/>
    <w:rsid w:val="00DE758E"/>
    <w:rsid w:val="00DF16E1"/>
    <w:rsid w:val="00DF3BFE"/>
    <w:rsid w:val="00DF6CB3"/>
    <w:rsid w:val="00E005E8"/>
    <w:rsid w:val="00E21AF0"/>
    <w:rsid w:val="00E43AD9"/>
    <w:rsid w:val="00E666E8"/>
    <w:rsid w:val="00E81148"/>
    <w:rsid w:val="00E86F87"/>
    <w:rsid w:val="00E94DEF"/>
    <w:rsid w:val="00E95080"/>
    <w:rsid w:val="00EA64C0"/>
    <w:rsid w:val="00EC7B52"/>
    <w:rsid w:val="00ED08AA"/>
    <w:rsid w:val="00EE4F4B"/>
    <w:rsid w:val="00EF3F4D"/>
    <w:rsid w:val="00F265D1"/>
    <w:rsid w:val="00F35267"/>
    <w:rsid w:val="00F50B69"/>
    <w:rsid w:val="00F54581"/>
    <w:rsid w:val="00F558A0"/>
    <w:rsid w:val="00F67B92"/>
    <w:rsid w:val="00F75379"/>
    <w:rsid w:val="00F763FB"/>
    <w:rsid w:val="00F80CD0"/>
    <w:rsid w:val="00F819C6"/>
    <w:rsid w:val="00F903F5"/>
    <w:rsid w:val="00FC344E"/>
    <w:rsid w:val="00FE3112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35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0E35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4B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6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5D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D1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E35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0CE"/>
    <w:pPr>
      <w:keepNext/>
      <w:keepLines/>
      <w:spacing w:before="480" w:line="264" w:lineRule="auto"/>
      <w:jc w:val="center"/>
      <w:outlineLvl w:val="0"/>
    </w:pPr>
    <w:rPr>
      <w:rFonts w:eastAsiaTheme="majorEastAsia" w:cstheme="majorBidi"/>
      <w:b/>
      <w:bCs/>
      <w:sz w:val="25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0CE"/>
    <w:pPr>
      <w:keepNext/>
      <w:keepLines/>
      <w:spacing w:before="200" w:line="264" w:lineRule="auto"/>
      <w:outlineLvl w:val="1"/>
    </w:pPr>
    <w:rPr>
      <w:rFonts w:eastAsiaTheme="majorEastAsia" w:cstheme="majorBidi"/>
      <w:b/>
      <w:bCs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0CE"/>
    <w:pPr>
      <w:keepNext/>
      <w:keepLines/>
      <w:spacing w:line="264" w:lineRule="auto"/>
      <w:ind w:left="720"/>
      <w:outlineLvl w:val="2"/>
    </w:pPr>
    <w:rPr>
      <w:rFonts w:eastAsiaTheme="majorEastAsia" w:cstheme="majorBidi"/>
      <w:b/>
      <w:bCs/>
      <w:sz w:val="2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C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0C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0CE"/>
    <w:rPr>
      <w:rFonts w:eastAsiaTheme="majorEastAsia" w:cstheme="majorBidi"/>
      <w:b/>
      <w:bCs/>
    </w:rPr>
  </w:style>
  <w:style w:type="paragraph" w:styleId="NoSpacing">
    <w:name w:val="No Spacing"/>
    <w:uiPriority w:val="1"/>
    <w:qFormat/>
    <w:rsid w:val="00770E35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4BE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4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6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5D1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5D1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2012-02-27T08:00:00+00:00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8CFB385-2078-4FAF-BC65-0DB2AB0AB590}"/>
</file>

<file path=customXml/itemProps2.xml><?xml version="1.0" encoding="utf-8"?>
<ds:datastoreItem xmlns:ds="http://schemas.openxmlformats.org/officeDocument/2006/customXml" ds:itemID="{85B7CEAF-7934-4DE5-8ED6-ECDB6CE8AAE7}"/>
</file>

<file path=customXml/itemProps3.xml><?xml version="1.0" encoding="utf-8"?>
<ds:datastoreItem xmlns:ds="http://schemas.openxmlformats.org/officeDocument/2006/customXml" ds:itemID="{BBFA0A2F-551F-412B-B771-F1AA3FF09D75}"/>
</file>

<file path=customXml/itemProps4.xml><?xml version="1.0" encoding="utf-8"?>
<ds:datastoreItem xmlns:ds="http://schemas.openxmlformats.org/officeDocument/2006/customXml" ds:itemID="{5CB31625-9A09-44BB-AEA0-05C8D122F770}"/>
</file>

<file path=customXml/itemProps5.xml><?xml version="1.0" encoding="utf-8"?>
<ds:datastoreItem xmlns:ds="http://schemas.openxmlformats.org/officeDocument/2006/customXml" ds:itemID="{A26A1EC9-4E38-4168-8395-8D3A65079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2012-02-27T17:53:00Z</dcterms:created>
  <dcterms:modified xsi:type="dcterms:W3CDTF">2012-02-27T18:48:00Z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