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4D61" w14:textId="7A68CDB8" w:rsidR="007B7439" w:rsidRPr="00DE3409" w:rsidRDefault="007B7439" w:rsidP="001711D5">
      <w:pPr>
        <w:pStyle w:val="Header"/>
        <w:tabs>
          <w:tab w:val="clear" w:pos="4320"/>
          <w:tab w:val="clear" w:pos="8640"/>
          <w:tab w:val="left" w:pos="2430"/>
        </w:tabs>
        <w:spacing w:line="240" w:lineRule="exact"/>
        <w:jc w:val="center"/>
        <w:rPr>
          <w:sz w:val="24"/>
          <w:szCs w:val="24"/>
        </w:rPr>
      </w:pPr>
      <w:r w:rsidRPr="00DE3409">
        <w:rPr>
          <w:sz w:val="24"/>
          <w:szCs w:val="24"/>
        </w:rPr>
        <w:t>BEFORE THE</w:t>
      </w:r>
      <w:r w:rsidR="001711D5" w:rsidRPr="00DE3409">
        <w:rPr>
          <w:sz w:val="24"/>
          <w:szCs w:val="24"/>
        </w:rPr>
        <w:t xml:space="preserve"> </w:t>
      </w:r>
      <w:r w:rsidRPr="00DE3409">
        <w:rPr>
          <w:sz w:val="24"/>
          <w:szCs w:val="24"/>
        </w:rPr>
        <w:t>WASHINGTON UTILITIES AND TRANSPORTATION COMMISSION</w:t>
      </w:r>
    </w:p>
    <w:p w14:paraId="7BC35ED9" w14:textId="77777777" w:rsidR="007B7439" w:rsidRPr="00DE3409" w:rsidRDefault="007B7439" w:rsidP="00B373C1">
      <w:pPr>
        <w:pStyle w:val="Header"/>
        <w:spacing w:line="240" w:lineRule="exact"/>
        <w:rPr>
          <w:sz w:val="24"/>
          <w:szCs w:val="24"/>
        </w:rPr>
      </w:pPr>
    </w:p>
    <w:tbl>
      <w:tblPr>
        <w:tblW w:w="9678" w:type="dxa"/>
        <w:tblInd w:w="124" w:type="dxa"/>
        <w:tblLayout w:type="fixed"/>
        <w:tblCellMar>
          <w:left w:w="124" w:type="dxa"/>
          <w:right w:w="124" w:type="dxa"/>
        </w:tblCellMar>
        <w:tblLook w:val="0000" w:firstRow="0" w:lastRow="0" w:firstColumn="0" w:lastColumn="0" w:noHBand="0" w:noVBand="0"/>
      </w:tblPr>
      <w:tblGrid>
        <w:gridCol w:w="5088"/>
        <w:gridCol w:w="4590"/>
      </w:tblGrid>
      <w:tr w:rsidR="007B7439" w:rsidRPr="00DE3409" w14:paraId="60E286A3" w14:textId="77777777" w:rsidTr="001711D5">
        <w:tc>
          <w:tcPr>
            <w:tcW w:w="5088" w:type="dxa"/>
            <w:tcBorders>
              <w:top w:val="single" w:sz="6" w:space="0" w:color="FFFFFF"/>
              <w:left w:val="single" w:sz="6" w:space="0" w:color="FFFFFF"/>
              <w:bottom w:val="single" w:sz="7" w:space="0" w:color="000000"/>
              <w:right w:val="single" w:sz="6" w:space="0" w:color="FFFFFF"/>
            </w:tcBorders>
          </w:tcPr>
          <w:p w14:paraId="47BE62FA"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WASHINGTON UTILITIES AND TRANSPORTATION COMMISSION,</w:t>
            </w:r>
          </w:p>
          <w:p w14:paraId="6DE7FBAA" w14:textId="77777777" w:rsidR="007B7439" w:rsidRPr="00DE3409" w:rsidRDefault="007B7439" w:rsidP="00B373C1">
            <w:pPr>
              <w:pStyle w:val="Header"/>
              <w:tabs>
                <w:tab w:val="left" w:pos="681"/>
                <w:tab w:val="left" w:pos="1401"/>
              </w:tabs>
              <w:spacing w:line="240" w:lineRule="exact"/>
              <w:rPr>
                <w:sz w:val="24"/>
                <w:szCs w:val="24"/>
              </w:rPr>
            </w:pPr>
          </w:p>
          <w:p w14:paraId="77AEA9B5"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ab/>
            </w:r>
            <w:r w:rsidRPr="00DE3409">
              <w:rPr>
                <w:sz w:val="24"/>
                <w:szCs w:val="24"/>
              </w:rPr>
              <w:tab/>
              <w:t>Complainant,</w:t>
            </w:r>
          </w:p>
          <w:p w14:paraId="02B175D3" w14:textId="77777777" w:rsidR="007B7439" w:rsidRPr="00DE3409" w:rsidRDefault="007B7439" w:rsidP="00B373C1">
            <w:pPr>
              <w:pStyle w:val="Header"/>
              <w:tabs>
                <w:tab w:val="left" w:pos="681"/>
                <w:tab w:val="left" w:pos="1401"/>
              </w:tabs>
              <w:spacing w:line="240" w:lineRule="exact"/>
              <w:rPr>
                <w:sz w:val="24"/>
                <w:szCs w:val="24"/>
              </w:rPr>
            </w:pPr>
          </w:p>
          <w:p w14:paraId="6D01D6DF"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v.</w:t>
            </w:r>
          </w:p>
          <w:p w14:paraId="7A9D2431" w14:textId="77777777" w:rsidR="007B7439" w:rsidRPr="00DE3409" w:rsidRDefault="007B7439" w:rsidP="00B373C1">
            <w:pPr>
              <w:pStyle w:val="Header"/>
              <w:tabs>
                <w:tab w:val="left" w:pos="681"/>
                <w:tab w:val="left" w:pos="1401"/>
              </w:tabs>
              <w:spacing w:line="240" w:lineRule="exact"/>
              <w:rPr>
                <w:sz w:val="24"/>
                <w:szCs w:val="24"/>
              </w:rPr>
            </w:pPr>
          </w:p>
          <w:p w14:paraId="79827464"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 POWER &amp; LIGHT COMPANY, a division of PacifiCorp, </w:t>
            </w:r>
          </w:p>
          <w:p w14:paraId="1CB825A1" w14:textId="77777777" w:rsidR="007B7439" w:rsidRPr="00DE3409" w:rsidRDefault="007B7439" w:rsidP="00B373C1">
            <w:pPr>
              <w:pStyle w:val="Header"/>
              <w:tabs>
                <w:tab w:val="left" w:pos="681"/>
                <w:tab w:val="left" w:pos="1401"/>
              </w:tabs>
              <w:spacing w:line="240" w:lineRule="exact"/>
              <w:rPr>
                <w:sz w:val="24"/>
                <w:szCs w:val="24"/>
              </w:rPr>
            </w:pPr>
          </w:p>
          <w:p w14:paraId="5F884A5B"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ab/>
            </w:r>
            <w:r w:rsidRPr="00DE3409">
              <w:rPr>
                <w:sz w:val="24"/>
                <w:szCs w:val="24"/>
              </w:rPr>
              <w:tab/>
              <w:t>Respondent.</w:t>
            </w:r>
          </w:p>
          <w:p w14:paraId="0A998018"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02C31B07"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11F08FEC" w14:textId="77777777" w:rsidR="007B7439" w:rsidRPr="00DE3409" w:rsidRDefault="007B7439" w:rsidP="00B373C1">
            <w:pPr>
              <w:pStyle w:val="Header"/>
              <w:tabs>
                <w:tab w:val="left" w:pos="681"/>
                <w:tab w:val="left" w:pos="1401"/>
              </w:tabs>
              <w:spacing w:line="240" w:lineRule="exact"/>
              <w:rPr>
                <w:sz w:val="24"/>
                <w:szCs w:val="24"/>
              </w:rPr>
            </w:pPr>
          </w:p>
          <w:p w14:paraId="54CE02F0"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 POWER &amp; LIGHT COMPANY </w:t>
            </w:r>
          </w:p>
          <w:p w14:paraId="7E53967D" w14:textId="77777777" w:rsidR="007B7439" w:rsidRPr="00DE3409" w:rsidRDefault="007B7439" w:rsidP="00B373C1">
            <w:pPr>
              <w:pStyle w:val="Header"/>
              <w:tabs>
                <w:tab w:val="left" w:pos="681"/>
                <w:tab w:val="left" w:pos="1401"/>
              </w:tabs>
              <w:spacing w:line="240" w:lineRule="exact"/>
              <w:rPr>
                <w:sz w:val="24"/>
                <w:szCs w:val="24"/>
              </w:rPr>
            </w:pPr>
          </w:p>
          <w:p w14:paraId="67C1296D"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Petition for an Order Approving Deferral of the Washington-Allocated Revenue Requirement Associated with the Merwin Fish Collector. </w:t>
            </w:r>
          </w:p>
          <w:p w14:paraId="785F29B7"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503FC1E9"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38FEDB31" w14:textId="77777777" w:rsidR="007B7439" w:rsidRPr="00DE3409" w:rsidRDefault="007B7439" w:rsidP="00B373C1">
            <w:pPr>
              <w:pStyle w:val="Header"/>
              <w:tabs>
                <w:tab w:val="left" w:pos="681"/>
                <w:tab w:val="left" w:pos="1401"/>
              </w:tabs>
              <w:spacing w:line="240" w:lineRule="exact"/>
              <w:rPr>
                <w:sz w:val="24"/>
                <w:szCs w:val="24"/>
              </w:rPr>
            </w:pPr>
          </w:p>
          <w:p w14:paraId="242BAE96"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PACIFICORP d/b/a PACIFIC POWER &amp; LIGHT COMPANY </w:t>
            </w:r>
          </w:p>
          <w:p w14:paraId="3AD5646B" w14:textId="77777777" w:rsidR="007B7439" w:rsidRPr="00DE3409" w:rsidRDefault="007B7439" w:rsidP="00B373C1">
            <w:pPr>
              <w:pStyle w:val="Header"/>
              <w:tabs>
                <w:tab w:val="left" w:pos="681"/>
                <w:tab w:val="left" w:pos="1401"/>
              </w:tabs>
              <w:spacing w:line="240" w:lineRule="exact"/>
              <w:rPr>
                <w:sz w:val="24"/>
                <w:szCs w:val="24"/>
              </w:rPr>
            </w:pPr>
          </w:p>
          <w:p w14:paraId="277A31FE"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Petition for an Order Approving Deferral of costs Related to Colstrip Outage.  </w:t>
            </w:r>
          </w:p>
          <w:p w14:paraId="15DC9DF1"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6688C061"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2749330A" w14:textId="77777777" w:rsidR="007B7439" w:rsidRPr="00DE3409" w:rsidRDefault="007B7439" w:rsidP="00B373C1">
            <w:pPr>
              <w:pStyle w:val="Header"/>
              <w:tabs>
                <w:tab w:val="left" w:pos="681"/>
                <w:tab w:val="left" w:pos="1401"/>
              </w:tabs>
              <w:spacing w:line="240" w:lineRule="exact"/>
              <w:rPr>
                <w:sz w:val="24"/>
                <w:szCs w:val="24"/>
              </w:rPr>
            </w:pPr>
          </w:p>
          <w:p w14:paraId="3E37CC64"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PACIFICORP d/b/a PACIFIC POWER &amp; LIGHT COMPANY </w:t>
            </w:r>
          </w:p>
          <w:p w14:paraId="7DA8F649" w14:textId="77777777" w:rsidR="007B7439" w:rsidRPr="00DE3409" w:rsidRDefault="007B7439" w:rsidP="00B373C1">
            <w:pPr>
              <w:pStyle w:val="Header"/>
              <w:tabs>
                <w:tab w:val="left" w:pos="681"/>
                <w:tab w:val="left" w:pos="1401"/>
              </w:tabs>
              <w:spacing w:line="240" w:lineRule="exact"/>
              <w:rPr>
                <w:sz w:val="24"/>
                <w:szCs w:val="24"/>
              </w:rPr>
            </w:pPr>
          </w:p>
          <w:p w14:paraId="707A2FB2" w14:textId="078592E9" w:rsidR="007B7439" w:rsidRPr="00DE3409" w:rsidRDefault="007B7439" w:rsidP="00B373C1">
            <w:pPr>
              <w:pStyle w:val="Header"/>
              <w:tabs>
                <w:tab w:val="left" w:pos="681"/>
                <w:tab w:val="left" w:pos="1401"/>
              </w:tabs>
              <w:spacing w:line="240" w:lineRule="exact"/>
              <w:rPr>
                <w:sz w:val="24"/>
                <w:szCs w:val="24"/>
              </w:rPr>
            </w:pPr>
            <w:r w:rsidRPr="00DE3409">
              <w:rPr>
                <w:sz w:val="24"/>
                <w:szCs w:val="24"/>
              </w:rPr>
              <w:t>Petition for an Order Approving Deferral of Costs Related to Declining Hydro Generation.</w:t>
            </w:r>
          </w:p>
        </w:tc>
        <w:tc>
          <w:tcPr>
            <w:tcW w:w="4590" w:type="dxa"/>
            <w:tcBorders>
              <w:top w:val="single" w:sz="6" w:space="0" w:color="FFFFFF"/>
              <w:left w:val="single" w:sz="7" w:space="0" w:color="000000"/>
              <w:bottom w:val="single" w:sz="6" w:space="0" w:color="FFFFFF"/>
              <w:right w:val="single" w:sz="6" w:space="0" w:color="FFFFFF"/>
            </w:tcBorders>
          </w:tcPr>
          <w:p w14:paraId="1A84A977" w14:textId="77777777" w:rsidR="007B7439" w:rsidRPr="00DE3409" w:rsidRDefault="007B7439" w:rsidP="00B373C1">
            <w:pPr>
              <w:pStyle w:val="Header"/>
              <w:spacing w:line="240" w:lineRule="exact"/>
              <w:ind w:left="416"/>
              <w:rPr>
                <w:sz w:val="24"/>
                <w:szCs w:val="24"/>
              </w:rPr>
            </w:pPr>
            <w:r w:rsidRPr="00DE3409">
              <w:rPr>
                <w:sz w:val="24"/>
                <w:szCs w:val="24"/>
              </w:rPr>
              <w:t>DOCKET UE-140762 and UE-140617 (</w:t>
            </w:r>
            <w:r w:rsidRPr="00DE3409">
              <w:rPr>
                <w:i/>
                <w:sz w:val="24"/>
                <w:szCs w:val="24"/>
              </w:rPr>
              <w:t>consolidated</w:t>
            </w:r>
            <w:r w:rsidRPr="00DE3409">
              <w:rPr>
                <w:sz w:val="24"/>
                <w:szCs w:val="24"/>
              </w:rPr>
              <w:t>)</w:t>
            </w:r>
          </w:p>
          <w:p w14:paraId="6E65FFFC" w14:textId="77777777" w:rsidR="007B7439" w:rsidRPr="00DE3409" w:rsidRDefault="007B7439" w:rsidP="00B373C1">
            <w:pPr>
              <w:pStyle w:val="Header"/>
              <w:spacing w:line="240" w:lineRule="exact"/>
              <w:ind w:left="416"/>
              <w:rPr>
                <w:sz w:val="24"/>
                <w:szCs w:val="24"/>
              </w:rPr>
            </w:pPr>
          </w:p>
          <w:p w14:paraId="5A1A6ADE" w14:textId="77777777" w:rsidR="007B7439" w:rsidRPr="00DE3409" w:rsidRDefault="007B7439" w:rsidP="00B373C1">
            <w:pPr>
              <w:pStyle w:val="Header"/>
              <w:spacing w:line="240" w:lineRule="exact"/>
              <w:ind w:left="416"/>
              <w:rPr>
                <w:sz w:val="24"/>
                <w:szCs w:val="24"/>
              </w:rPr>
            </w:pPr>
          </w:p>
          <w:p w14:paraId="4282BE75" w14:textId="77777777" w:rsidR="007B7439" w:rsidRPr="00DE3409" w:rsidRDefault="007B7439" w:rsidP="00B373C1">
            <w:pPr>
              <w:pStyle w:val="Header"/>
              <w:spacing w:line="240" w:lineRule="exact"/>
              <w:ind w:left="416"/>
              <w:rPr>
                <w:sz w:val="24"/>
                <w:szCs w:val="24"/>
              </w:rPr>
            </w:pPr>
          </w:p>
          <w:p w14:paraId="2CD1795A" w14:textId="77777777" w:rsidR="007B7439" w:rsidRPr="00DE3409" w:rsidRDefault="007B7439" w:rsidP="00B373C1">
            <w:pPr>
              <w:pStyle w:val="Header"/>
              <w:spacing w:line="240" w:lineRule="exact"/>
              <w:ind w:left="416"/>
              <w:rPr>
                <w:sz w:val="24"/>
                <w:szCs w:val="24"/>
              </w:rPr>
            </w:pPr>
          </w:p>
          <w:p w14:paraId="7B294C48" w14:textId="77777777" w:rsidR="007B7439" w:rsidRPr="00DE3409" w:rsidRDefault="007B7439" w:rsidP="00B373C1">
            <w:pPr>
              <w:pStyle w:val="Header"/>
              <w:spacing w:line="240" w:lineRule="exact"/>
              <w:ind w:left="416"/>
              <w:rPr>
                <w:sz w:val="24"/>
                <w:szCs w:val="24"/>
              </w:rPr>
            </w:pPr>
          </w:p>
          <w:p w14:paraId="7A605725" w14:textId="77777777" w:rsidR="007B7439" w:rsidRPr="00DE3409" w:rsidRDefault="007B7439" w:rsidP="00B373C1">
            <w:pPr>
              <w:pStyle w:val="Header"/>
              <w:spacing w:line="240" w:lineRule="exact"/>
              <w:ind w:left="416"/>
              <w:rPr>
                <w:sz w:val="24"/>
                <w:szCs w:val="24"/>
              </w:rPr>
            </w:pPr>
          </w:p>
          <w:p w14:paraId="5CFC2358" w14:textId="77777777" w:rsidR="007B7439" w:rsidRPr="00DE3409" w:rsidRDefault="007B7439" w:rsidP="00B373C1">
            <w:pPr>
              <w:pStyle w:val="Header"/>
              <w:spacing w:line="240" w:lineRule="exact"/>
              <w:ind w:left="416"/>
              <w:rPr>
                <w:sz w:val="24"/>
                <w:szCs w:val="24"/>
              </w:rPr>
            </w:pPr>
          </w:p>
          <w:p w14:paraId="4FE4DF61" w14:textId="77777777" w:rsidR="007B7439" w:rsidRPr="00DE3409" w:rsidRDefault="007B7439" w:rsidP="00B373C1">
            <w:pPr>
              <w:pStyle w:val="Header"/>
              <w:spacing w:line="240" w:lineRule="exact"/>
              <w:ind w:left="416"/>
              <w:rPr>
                <w:sz w:val="24"/>
                <w:szCs w:val="24"/>
              </w:rPr>
            </w:pPr>
          </w:p>
          <w:p w14:paraId="1A5A621C" w14:textId="77777777" w:rsidR="007B7439" w:rsidRPr="00DE3409" w:rsidRDefault="007B7439" w:rsidP="00B373C1">
            <w:pPr>
              <w:pStyle w:val="Header"/>
              <w:spacing w:line="240" w:lineRule="exact"/>
              <w:ind w:left="416"/>
              <w:rPr>
                <w:sz w:val="24"/>
                <w:szCs w:val="24"/>
              </w:rPr>
            </w:pPr>
          </w:p>
          <w:p w14:paraId="187285CB" w14:textId="77777777" w:rsidR="007B7439" w:rsidRPr="00DE3409" w:rsidRDefault="007B7439" w:rsidP="00B373C1">
            <w:pPr>
              <w:pStyle w:val="Header"/>
              <w:spacing w:line="240" w:lineRule="exact"/>
              <w:ind w:left="416"/>
              <w:rPr>
                <w:sz w:val="24"/>
                <w:szCs w:val="24"/>
              </w:rPr>
            </w:pPr>
          </w:p>
          <w:p w14:paraId="7C838A5E" w14:textId="77777777" w:rsidR="007B7439" w:rsidRPr="00DE3409" w:rsidRDefault="007B7439" w:rsidP="00B373C1">
            <w:pPr>
              <w:pStyle w:val="Header"/>
              <w:spacing w:line="240" w:lineRule="exact"/>
              <w:ind w:left="416"/>
              <w:rPr>
                <w:sz w:val="24"/>
                <w:szCs w:val="24"/>
              </w:rPr>
            </w:pPr>
          </w:p>
          <w:p w14:paraId="5D603F3E" w14:textId="77777777" w:rsidR="007B7439" w:rsidRPr="00DE3409" w:rsidRDefault="007B7439" w:rsidP="00B373C1">
            <w:pPr>
              <w:pStyle w:val="Header"/>
              <w:spacing w:line="240" w:lineRule="exact"/>
              <w:ind w:left="416"/>
              <w:rPr>
                <w:sz w:val="24"/>
                <w:szCs w:val="24"/>
              </w:rPr>
            </w:pPr>
          </w:p>
          <w:p w14:paraId="50671A8B" w14:textId="77777777" w:rsidR="007B7439" w:rsidRPr="00DE3409" w:rsidRDefault="007B7439" w:rsidP="00B373C1">
            <w:pPr>
              <w:pStyle w:val="Header"/>
              <w:spacing w:line="240" w:lineRule="exact"/>
              <w:ind w:left="416"/>
              <w:rPr>
                <w:sz w:val="24"/>
                <w:szCs w:val="24"/>
              </w:rPr>
            </w:pPr>
          </w:p>
          <w:p w14:paraId="1E722B5A" w14:textId="77777777" w:rsidR="007B7439" w:rsidRPr="00DE3409" w:rsidRDefault="007B7439" w:rsidP="00B373C1">
            <w:pPr>
              <w:pStyle w:val="Header"/>
              <w:spacing w:line="240" w:lineRule="exact"/>
              <w:ind w:left="416"/>
              <w:rPr>
                <w:sz w:val="24"/>
                <w:szCs w:val="24"/>
              </w:rPr>
            </w:pPr>
          </w:p>
          <w:p w14:paraId="1CF5E1E8" w14:textId="77777777" w:rsidR="007B7439" w:rsidRPr="00DE3409" w:rsidRDefault="007B7439" w:rsidP="00B373C1">
            <w:pPr>
              <w:pStyle w:val="Header"/>
              <w:spacing w:line="240" w:lineRule="exact"/>
              <w:ind w:left="416"/>
              <w:rPr>
                <w:sz w:val="24"/>
                <w:szCs w:val="24"/>
              </w:rPr>
            </w:pPr>
          </w:p>
          <w:p w14:paraId="1FE83C54" w14:textId="77777777" w:rsidR="007B7439" w:rsidRPr="00DE3409" w:rsidRDefault="007B7439" w:rsidP="00B373C1">
            <w:pPr>
              <w:pStyle w:val="Header"/>
              <w:spacing w:line="240" w:lineRule="exact"/>
              <w:ind w:left="416"/>
              <w:rPr>
                <w:sz w:val="24"/>
                <w:szCs w:val="24"/>
              </w:rPr>
            </w:pPr>
          </w:p>
          <w:p w14:paraId="2B5F1B17" w14:textId="77777777" w:rsidR="007B7439" w:rsidRPr="00DE3409" w:rsidRDefault="007B7439" w:rsidP="00B373C1">
            <w:pPr>
              <w:pStyle w:val="Header"/>
              <w:spacing w:line="240" w:lineRule="exact"/>
              <w:ind w:left="416"/>
              <w:rPr>
                <w:sz w:val="24"/>
                <w:szCs w:val="24"/>
              </w:rPr>
            </w:pPr>
          </w:p>
          <w:p w14:paraId="7A9EFA26" w14:textId="77777777" w:rsidR="007B7439" w:rsidRPr="00DE3409" w:rsidRDefault="007B7439" w:rsidP="00B373C1">
            <w:pPr>
              <w:pStyle w:val="Header"/>
              <w:spacing w:line="240" w:lineRule="exact"/>
              <w:ind w:left="416"/>
              <w:rPr>
                <w:sz w:val="24"/>
                <w:szCs w:val="24"/>
              </w:rPr>
            </w:pPr>
          </w:p>
          <w:p w14:paraId="729E08AE" w14:textId="5B2AA29F" w:rsidR="007B7439" w:rsidRPr="00DE3409" w:rsidRDefault="007B7439" w:rsidP="00B373C1">
            <w:pPr>
              <w:pStyle w:val="Header"/>
              <w:spacing w:line="240" w:lineRule="exact"/>
              <w:ind w:left="416"/>
              <w:rPr>
                <w:sz w:val="24"/>
                <w:szCs w:val="24"/>
              </w:rPr>
            </w:pPr>
            <w:r w:rsidRPr="00DE3409">
              <w:rPr>
                <w:sz w:val="24"/>
                <w:szCs w:val="24"/>
              </w:rPr>
              <w:t>DOCKET UE-131384</w:t>
            </w:r>
          </w:p>
          <w:p w14:paraId="33BFE8C2" w14:textId="77777777" w:rsidR="007B7439" w:rsidRPr="00DE3409" w:rsidRDefault="007B7439" w:rsidP="00B373C1">
            <w:pPr>
              <w:pStyle w:val="Header"/>
              <w:spacing w:line="240" w:lineRule="exact"/>
              <w:ind w:left="416"/>
              <w:rPr>
                <w:sz w:val="24"/>
                <w:szCs w:val="24"/>
              </w:rPr>
            </w:pPr>
          </w:p>
          <w:p w14:paraId="64512388" w14:textId="77777777" w:rsidR="007B7439" w:rsidRPr="00DE3409" w:rsidRDefault="007B7439" w:rsidP="00B373C1">
            <w:pPr>
              <w:pStyle w:val="Header"/>
              <w:spacing w:line="240" w:lineRule="exact"/>
              <w:ind w:left="416"/>
              <w:rPr>
                <w:sz w:val="24"/>
                <w:szCs w:val="24"/>
              </w:rPr>
            </w:pPr>
          </w:p>
          <w:p w14:paraId="17CCF612" w14:textId="77777777" w:rsidR="007B7439" w:rsidRPr="00DE3409" w:rsidRDefault="007B7439" w:rsidP="00B373C1">
            <w:pPr>
              <w:pStyle w:val="Header"/>
              <w:spacing w:line="240" w:lineRule="exact"/>
              <w:ind w:left="416"/>
              <w:rPr>
                <w:sz w:val="24"/>
                <w:szCs w:val="24"/>
              </w:rPr>
            </w:pPr>
          </w:p>
          <w:p w14:paraId="2D08C5F7" w14:textId="77777777" w:rsidR="007B7439" w:rsidRPr="00DE3409" w:rsidRDefault="007B7439" w:rsidP="00B373C1">
            <w:pPr>
              <w:pStyle w:val="Header"/>
              <w:spacing w:line="240" w:lineRule="exact"/>
              <w:ind w:left="416"/>
              <w:rPr>
                <w:sz w:val="24"/>
                <w:szCs w:val="24"/>
              </w:rPr>
            </w:pPr>
          </w:p>
          <w:p w14:paraId="449F5BC3" w14:textId="77777777" w:rsidR="007B7439" w:rsidRPr="00DE3409" w:rsidRDefault="007B7439" w:rsidP="00B373C1">
            <w:pPr>
              <w:pStyle w:val="Header"/>
              <w:spacing w:line="240" w:lineRule="exact"/>
              <w:ind w:left="416"/>
              <w:rPr>
                <w:sz w:val="24"/>
                <w:szCs w:val="24"/>
              </w:rPr>
            </w:pPr>
          </w:p>
          <w:p w14:paraId="3090292C" w14:textId="77777777" w:rsidR="007B7439" w:rsidRPr="00DE3409" w:rsidRDefault="007B7439" w:rsidP="00B373C1">
            <w:pPr>
              <w:pStyle w:val="Header"/>
              <w:spacing w:line="240" w:lineRule="exact"/>
              <w:ind w:left="416"/>
              <w:rPr>
                <w:sz w:val="24"/>
                <w:szCs w:val="24"/>
              </w:rPr>
            </w:pPr>
          </w:p>
          <w:p w14:paraId="7A2FD18E" w14:textId="77777777" w:rsidR="007B7439" w:rsidRPr="00DE3409" w:rsidRDefault="007B7439" w:rsidP="00B373C1">
            <w:pPr>
              <w:pStyle w:val="Header"/>
              <w:spacing w:line="240" w:lineRule="exact"/>
              <w:ind w:left="416"/>
              <w:rPr>
                <w:sz w:val="24"/>
                <w:szCs w:val="24"/>
              </w:rPr>
            </w:pPr>
          </w:p>
          <w:p w14:paraId="17872847" w14:textId="77777777" w:rsidR="007B7439" w:rsidRPr="00DE3409" w:rsidRDefault="007B7439" w:rsidP="00B373C1">
            <w:pPr>
              <w:pStyle w:val="Header"/>
              <w:spacing w:line="240" w:lineRule="exact"/>
              <w:ind w:left="416"/>
              <w:rPr>
                <w:sz w:val="24"/>
                <w:szCs w:val="24"/>
              </w:rPr>
            </w:pPr>
            <w:r w:rsidRPr="00DE3409">
              <w:rPr>
                <w:sz w:val="24"/>
                <w:szCs w:val="24"/>
              </w:rPr>
              <w:t>DOCKET UE-140094</w:t>
            </w:r>
          </w:p>
          <w:p w14:paraId="3720F0A7" w14:textId="77777777" w:rsidR="007B7439" w:rsidRPr="00DE3409" w:rsidRDefault="007B7439" w:rsidP="00B373C1">
            <w:pPr>
              <w:pStyle w:val="Header"/>
              <w:spacing w:line="240" w:lineRule="exact"/>
              <w:ind w:left="416"/>
              <w:rPr>
                <w:sz w:val="24"/>
                <w:szCs w:val="24"/>
              </w:rPr>
            </w:pPr>
          </w:p>
          <w:p w14:paraId="57472EFD" w14:textId="3FEAC903" w:rsidR="007B7439" w:rsidRPr="00DE3409" w:rsidRDefault="007B7439" w:rsidP="00B373C1">
            <w:pPr>
              <w:spacing w:line="240" w:lineRule="exact"/>
              <w:ind w:left="464"/>
              <w:rPr>
                <w:szCs w:val="24"/>
              </w:rPr>
            </w:pPr>
          </w:p>
        </w:tc>
      </w:tr>
    </w:tbl>
    <w:p w14:paraId="6D53F62D" w14:textId="60DC588E" w:rsidR="00B373C1" w:rsidRPr="00DE3409" w:rsidRDefault="00B373C1" w:rsidP="00B373C1">
      <w:pPr>
        <w:pStyle w:val="Header"/>
        <w:spacing w:line="240" w:lineRule="exact"/>
        <w:rPr>
          <w:sz w:val="24"/>
          <w:szCs w:val="24"/>
        </w:rPr>
      </w:pPr>
    </w:p>
    <w:p w14:paraId="23FAEBE3" w14:textId="6A897621" w:rsidR="00B373C1" w:rsidRPr="00DE3409" w:rsidRDefault="004855EC" w:rsidP="001711D5">
      <w:pPr>
        <w:pStyle w:val="Header"/>
        <w:spacing w:line="240" w:lineRule="exact"/>
        <w:jc w:val="center"/>
        <w:rPr>
          <w:b/>
          <w:sz w:val="24"/>
          <w:szCs w:val="24"/>
        </w:rPr>
      </w:pPr>
      <w:r>
        <w:rPr>
          <w:b/>
          <w:sz w:val="24"/>
          <w:szCs w:val="24"/>
        </w:rPr>
        <w:t>REPLY</w:t>
      </w:r>
      <w:r w:rsidR="00B373C1" w:rsidRPr="00DE3409">
        <w:rPr>
          <w:b/>
          <w:sz w:val="24"/>
          <w:szCs w:val="24"/>
        </w:rPr>
        <w:t xml:space="preserve"> BRIEF ON BEHALF OF COMMISSION STAFF</w:t>
      </w:r>
    </w:p>
    <w:p w14:paraId="05E6EC78" w14:textId="77777777" w:rsidR="001711D5" w:rsidRPr="00DE3409" w:rsidRDefault="001711D5" w:rsidP="001711D5">
      <w:pPr>
        <w:pStyle w:val="Header"/>
        <w:spacing w:line="240" w:lineRule="exact"/>
        <w:jc w:val="center"/>
        <w:rPr>
          <w:b/>
          <w:sz w:val="24"/>
          <w:szCs w:val="24"/>
        </w:rPr>
      </w:pPr>
    </w:p>
    <w:p w14:paraId="34152FE8" w14:textId="62EA113A" w:rsidR="001711D5" w:rsidRPr="00DE3409" w:rsidRDefault="004855EC" w:rsidP="001711D5">
      <w:pPr>
        <w:spacing w:line="240" w:lineRule="exact"/>
        <w:ind w:left="3600" w:firstLine="720"/>
        <w:rPr>
          <w:bCs/>
          <w:szCs w:val="24"/>
        </w:rPr>
      </w:pPr>
      <w:r>
        <w:rPr>
          <w:bCs/>
          <w:szCs w:val="24"/>
        </w:rPr>
        <w:t>February 3</w:t>
      </w:r>
      <w:r w:rsidR="001711D5" w:rsidRPr="00DE3409">
        <w:rPr>
          <w:bCs/>
          <w:szCs w:val="24"/>
        </w:rPr>
        <w:t>, 2015</w:t>
      </w:r>
    </w:p>
    <w:p w14:paraId="2BDBA2BC" w14:textId="77777777" w:rsidR="001711D5" w:rsidRPr="00DE3409" w:rsidRDefault="001711D5" w:rsidP="001711D5">
      <w:pPr>
        <w:spacing w:line="240" w:lineRule="exact"/>
        <w:rPr>
          <w:bCs/>
          <w:szCs w:val="24"/>
        </w:rPr>
      </w:pPr>
    </w:p>
    <w:p w14:paraId="23FEDCC4" w14:textId="77777777" w:rsidR="001711D5" w:rsidRPr="00DE3409"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ROBERT W. FERGUSON</w:t>
      </w:r>
    </w:p>
    <w:p w14:paraId="03681636" w14:textId="77777777" w:rsidR="001711D5" w:rsidRPr="00DE3409"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 xml:space="preserve">Attorney General </w:t>
      </w:r>
    </w:p>
    <w:p w14:paraId="4B28C246" w14:textId="77777777" w:rsidR="001711D5" w:rsidRPr="00DE3409" w:rsidRDefault="001711D5" w:rsidP="001711D5">
      <w:pPr>
        <w:spacing w:line="240" w:lineRule="exact"/>
        <w:rPr>
          <w:bCs/>
          <w:szCs w:val="24"/>
        </w:rPr>
      </w:pPr>
    </w:p>
    <w:p w14:paraId="0EE031C5" w14:textId="77777777" w:rsidR="001711D5"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 xml:space="preserve">PATRICK J. OSHIE </w:t>
      </w:r>
    </w:p>
    <w:p w14:paraId="3C961CE7" w14:textId="0F1154BF" w:rsidR="00F1557E" w:rsidRDefault="00F1557E" w:rsidP="001711D5">
      <w:pPr>
        <w:spacing w:line="240" w:lineRule="exact"/>
        <w:rPr>
          <w:bCs/>
          <w:szCs w:val="24"/>
        </w:rPr>
      </w:pPr>
      <w:r>
        <w:rPr>
          <w:bCs/>
          <w:szCs w:val="24"/>
        </w:rPr>
        <w:tab/>
      </w:r>
      <w:r>
        <w:rPr>
          <w:bCs/>
          <w:szCs w:val="24"/>
        </w:rPr>
        <w:tab/>
      </w:r>
      <w:r>
        <w:rPr>
          <w:bCs/>
          <w:szCs w:val="24"/>
        </w:rPr>
        <w:tab/>
      </w:r>
      <w:r>
        <w:rPr>
          <w:bCs/>
          <w:szCs w:val="24"/>
        </w:rPr>
        <w:tab/>
      </w:r>
      <w:r>
        <w:rPr>
          <w:bCs/>
          <w:szCs w:val="24"/>
        </w:rPr>
        <w:tab/>
      </w:r>
      <w:r>
        <w:rPr>
          <w:bCs/>
          <w:szCs w:val="24"/>
        </w:rPr>
        <w:tab/>
        <w:t>JENNIFER CAMERON-RULKOWSKI</w:t>
      </w:r>
    </w:p>
    <w:p w14:paraId="04356286" w14:textId="2207F656" w:rsidR="00F1557E" w:rsidRPr="00DE3409" w:rsidRDefault="00F1557E" w:rsidP="001711D5">
      <w:pPr>
        <w:spacing w:line="240" w:lineRule="exact"/>
        <w:rPr>
          <w:bCs/>
          <w:szCs w:val="24"/>
        </w:rPr>
      </w:pPr>
      <w:r>
        <w:rPr>
          <w:bCs/>
          <w:szCs w:val="24"/>
        </w:rPr>
        <w:tab/>
      </w:r>
      <w:r>
        <w:rPr>
          <w:bCs/>
          <w:szCs w:val="24"/>
        </w:rPr>
        <w:tab/>
      </w:r>
      <w:r>
        <w:rPr>
          <w:bCs/>
          <w:szCs w:val="24"/>
        </w:rPr>
        <w:tab/>
      </w:r>
      <w:r>
        <w:rPr>
          <w:bCs/>
          <w:szCs w:val="24"/>
        </w:rPr>
        <w:tab/>
      </w:r>
      <w:r>
        <w:rPr>
          <w:bCs/>
          <w:szCs w:val="24"/>
        </w:rPr>
        <w:tab/>
      </w:r>
      <w:r>
        <w:rPr>
          <w:bCs/>
          <w:szCs w:val="24"/>
        </w:rPr>
        <w:tab/>
        <w:t>BRETT SHEARER</w:t>
      </w:r>
      <w:r>
        <w:rPr>
          <w:bCs/>
          <w:szCs w:val="24"/>
        </w:rPr>
        <w:tab/>
      </w:r>
    </w:p>
    <w:p w14:paraId="433184AB" w14:textId="57DDBDA8"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Assistant Attorney</w:t>
      </w:r>
      <w:r w:rsidR="00F1557E">
        <w:rPr>
          <w:szCs w:val="24"/>
        </w:rPr>
        <w:t>s</w:t>
      </w:r>
      <w:r w:rsidRPr="00DE3409">
        <w:rPr>
          <w:szCs w:val="24"/>
        </w:rPr>
        <w:t xml:space="preserve"> General </w:t>
      </w:r>
    </w:p>
    <w:p w14:paraId="5DBB66C4"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Office of the Attorney General </w:t>
      </w:r>
    </w:p>
    <w:p w14:paraId="79625473"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Utilities &amp; Transportation Division</w:t>
      </w:r>
    </w:p>
    <w:p w14:paraId="05E27E05" w14:textId="456B7D6E"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1400 S Evergreen Park Drive S.W.</w:t>
      </w:r>
    </w:p>
    <w:p w14:paraId="5D092AFB"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P.O. Box 40128</w:t>
      </w:r>
    </w:p>
    <w:p w14:paraId="43C2BC9F"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Olympia, WA  98504-0128 </w:t>
      </w:r>
    </w:p>
    <w:p w14:paraId="2412781E" w14:textId="30F7AE33" w:rsidR="0026572D" w:rsidRPr="00DE3409" w:rsidRDefault="001711D5" w:rsidP="00FD7711">
      <w:pPr>
        <w:spacing w:line="240" w:lineRule="exact"/>
        <w:rPr>
          <w:b/>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(360) 664-</w:t>
      </w:r>
      <w:r w:rsidR="00FD7711" w:rsidRPr="00DE3409">
        <w:rPr>
          <w:szCs w:val="24"/>
        </w:rPr>
        <w:t>1188</w:t>
      </w:r>
    </w:p>
    <w:p w14:paraId="21EA8FC8" w14:textId="77777777" w:rsidR="007B560E" w:rsidRPr="00DE3409" w:rsidRDefault="007B560E" w:rsidP="00FD7711">
      <w:pPr>
        <w:spacing w:line="240" w:lineRule="exact"/>
        <w:rPr>
          <w:b/>
          <w:szCs w:val="24"/>
        </w:rPr>
        <w:sectPr w:rsidR="007B560E" w:rsidRPr="00DE3409" w:rsidSect="00D93C30">
          <w:pgSz w:w="12240" w:h="15840" w:code="1"/>
          <w:pgMar w:top="1440" w:right="1440" w:bottom="1152" w:left="1440" w:header="288" w:footer="432" w:gutter="0"/>
          <w:cols w:space="720"/>
          <w:docGrid w:linePitch="360"/>
        </w:sectPr>
      </w:pPr>
    </w:p>
    <w:p w14:paraId="003E1C93" w14:textId="40749E19" w:rsidR="00B373C1" w:rsidRPr="00DE3409" w:rsidRDefault="00FD7711" w:rsidP="00FD7711">
      <w:pPr>
        <w:spacing w:line="240" w:lineRule="exact"/>
        <w:jc w:val="center"/>
        <w:rPr>
          <w:color w:val="auto"/>
          <w:szCs w:val="24"/>
        </w:rPr>
      </w:pPr>
      <w:r w:rsidRPr="00DE3409">
        <w:rPr>
          <w:b/>
          <w:color w:val="auto"/>
          <w:szCs w:val="24"/>
        </w:rPr>
        <w:lastRenderedPageBreak/>
        <w:t>TABLE OF CONTENTS</w:t>
      </w:r>
    </w:p>
    <w:p w14:paraId="54E1EB84" w14:textId="77777777" w:rsidR="00FD7711" w:rsidRPr="00DE3409" w:rsidRDefault="00FD7711" w:rsidP="00FD7711">
      <w:pPr>
        <w:spacing w:line="240" w:lineRule="exact"/>
        <w:rPr>
          <w:color w:val="auto"/>
          <w:szCs w:val="24"/>
        </w:rPr>
      </w:pPr>
    </w:p>
    <w:p w14:paraId="73CACDD9" w14:textId="77777777" w:rsidR="00FD7711" w:rsidRPr="00DE3409" w:rsidRDefault="00FD7711" w:rsidP="00FD7711">
      <w:pPr>
        <w:rPr>
          <w:szCs w:val="24"/>
        </w:rPr>
      </w:pPr>
    </w:p>
    <w:p w14:paraId="4648035B" w14:textId="4E38112B" w:rsidR="00FD7711" w:rsidRPr="00DE3409" w:rsidRDefault="00FD7711" w:rsidP="00117F6C">
      <w:pPr>
        <w:tabs>
          <w:tab w:val="left" w:pos="720"/>
          <w:tab w:val="left" w:pos="1440"/>
          <w:tab w:val="left" w:pos="2160"/>
          <w:tab w:val="right" w:leader="dot" w:pos="8640"/>
        </w:tabs>
        <w:rPr>
          <w:szCs w:val="24"/>
        </w:rPr>
      </w:pPr>
      <w:r w:rsidRPr="00DE3409">
        <w:rPr>
          <w:szCs w:val="24"/>
        </w:rPr>
        <w:t>I.</w:t>
      </w:r>
      <w:r w:rsidRPr="00DE3409">
        <w:rPr>
          <w:szCs w:val="24"/>
        </w:rPr>
        <w:tab/>
        <w:t xml:space="preserve">INTRODUCTION </w:t>
      </w:r>
      <w:r w:rsidRPr="00DE3409">
        <w:rPr>
          <w:szCs w:val="24"/>
        </w:rPr>
        <w:tab/>
      </w:r>
      <w:r w:rsidR="00AC10B6">
        <w:rPr>
          <w:szCs w:val="24"/>
        </w:rPr>
        <w:t>1</w:t>
      </w:r>
    </w:p>
    <w:p w14:paraId="53B587E9" w14:textId="77777777" w:rsidR="00FD7711" w:rsidRPr="00DE3409" w:rsidRDefault="00FD7711" w:rsidP="00117F6C">
      <w:pPr>
        <w:tabs>
          <w:tab w:val="right" w:leader="dot" w:pos="8640"/>
        </w:tabs>
        <w:rPr>
          <w:szCs w:val="24"/>
        </w:rPr>
      </w:pPr>
    </w:p>
    <w:p w14:paraId="762BC4EA" w14:textId="6C6F4EA2" w:rsidR="00FD7711" w:rsidRPr="00DE3409" w:rsidRDefault="00F20099" w:rsidP="00117F6C">
      <w:pPr>
        <w:tabs>
          <w:tab w:val="left" w:pos="720"/>
          <w:tab w:val="left" w:pos="1440"/>
          <w:tab w:val="left" w:pos="2160"/>
          <w:tab w:val="right" w:leader="dot" w:pos="8640"/>
        </w:tabs>
        <w:rPr>
          <w:szCs w:val="24"/>
        </w:rPr>
      </w:pPr>
      <w:r w:rsidRPr="00DE3409">
        <w:rPr>
          <w:szCs w:val="24"/>
        </w:rPr>
        <w:t>II.</w:t>
      </w:r>
      <w:r w:rsidRPr="00DE3409">
        <w:rPr>
          <w:szCs w:val="24"/>
        </w:rPr>
        <w:tab/>
        <w:t xml:space="preserve">COST OF CAPITAL </w:t>
      </w:r>
      <w:r w:rsidR="00FD7711" w:rsidRPr="00DE3409">
        <w:rPr>
          <w:szCs w:val="24"/>
        </w:rPr>
        <w:tab/>
      </w:r>
      <w:r w:rsidR="00AC10B6">
        <w:rPr>
          <w:szCs w:val="24"/>
        </w:rPr>
        <w:t>1</w:t>
      </w:r>
    </w:p>
    <w:p w14:paraId="2CB5C816" w14:textId="19EFE06D" w:rsidR="00035BE9" w:rsidRDefault="00035BE9" w:rsidP="00117F6C">
      <w:pPr>
        <w:tabs>
          <w:tab w:val="left" w:pos="720"/>
          <w:tab w:val="left" w:pos="1440"/>
          <w:tab w:val="left" w:pos="2160"/>
          <w:tab w:val="right" w:leader="dot" w:pos="8640"/>
        </w:tabs>
        <w:rPr>
          <w:szCs w:val="24"/>
        </w:rPr>
      </w:pPr>
    </w:p>
    <w:p w14:paraId="1A1DAE7F" w14:textId="314E7939" w:rsidR="00035BE9" w:rsidRPr="00035BE9" w:rsidRDefault="00035BE9" w:rsidP="00035BE9">
      <w:pPr>
        <w:tabs>
          <w:tab w:val="left" w:pos="720"/>
          <w:tab w:val="left" w:pos="1440"/>
          <w:tab w:val="left" w:pos="2160"/>
          <w:tab w:val="right" w:leader="dot" w:pos="8640"/>
        </w:tabs>
        <w:spacing w:line="480" w:lineRule="auto"/>
        <w:rPr>
          <w:rFonts w:eastAsia="Calibri"/>
        </w:rPr>
      </w:pPr>
      <w:r>
        <w:rPr>
          <w:szCs w:val="24"/>
        </w:rPr>
        <w:tab/>
        <w:t>A.</w:t>
      </w:r>
      <w:r>
        <w:rPr>
          <w:szCs w:val="24"/>
        </w:rPr>
        <w:tab/>
      </w:r>
      <w:r w:rsidRPr="00035BE9">
        <w:rPr>
          <w:rFonts w:eastAsia="Calibri"/>
        </w:rPr>
        <w:t>Return on Equity</w:t>
      </w:r>
      <w:r>
        <w:rPr>
          <w:rFonts w:eastAsia="Calibri"/>
        </w:rPr>
        <w:t xml:space="preserve"> </w:t>
      </w:r>
      <w:r>
        <w:rPr>
          <w:rFonts w:eastAsia="Calibri"/>
        </w:rPr>
        <w:tab/>
      </w:r>
      <w:r w:rsidR="00AC10B6">
        <w:rPr>
          <w:rFonts w:eastAsia="Calibri"/>
        </w:rPr>
        <w:t>1</w:t>
      </w:r>
    </w:p>
    <w:p w14:paraId="6FE574F6" w14:textId="77777777" w:rsidR="00035BE9" w:rsidRDefault="00035BE9" w:rsidP="00035BE9">
      <w:pPr>
        <w:tabs>
          <w:tab w:val="left" w:pos="720"/>
          <w:tab w:val="left" w:pos="1440"/>
          <w:tab w:val="left" w:pos="2160"/>
          <w:tab w:val="right" w:leader="dot" w:pos="8640"/>
        </w:tabs>
        <w:rPr>
          <w:szCs w:val="24"/>
        </w:rPr>
      </w:pPr>
      <w:r>
        <w:rPr>
          <w:szCs w:val="24"/>
        </w:rPr>
        <w:tab/>
      </w:r>
      <w:r>
        <w:rPr>
          <w:szCs w:val="24"/>
        </w:rPr>
        <w:tab/>
      </w:r>
      <w:r w:rsidRPr="00035BE9">
        <w:rPr>
          <w:szCs w:val="24"/>
        </w:rPr>
        <w:t>1.</w:t>
      </w:r>
      <w:r w:rsidRPr="00035BE9">
        <w:rPr>
          <w:szCs w:val="24"/>
        </w:rPr>
        <w:tab/>
        <w:t xml:space="preserve">The interest rate environment indicates that the </w:t>
      </w:r>
    </w:p>
    <w:p w14:paraId="3D20447A" w14:textId="1B614F0D" w:rsidR="00035BE9" w:rsidRDefault="00035BE9" w:rsidP="00035BE9">
      <w:pPr>
        <w:tabs>
          <w:tab w:val="left" w:pos="720"/>
          <w:tab w:val="left" w:pos="1440"/>
          <w:tab w:val="left" w:pos="2160"/>
          <w:tab w:val="right" w:leader="dot" w:pos="8640"/>
        </w:tabs>
        <w:rPr>
          <w:szCs w:val="24"/>
        </w:rPr>
      </w:pPr>
      <w:r>
        <w:rPr>
          <w:szCs w:val="24"/>
        </w:rPr>
        <w:tab/>
      </w:r>
      <w:r>
        <w:rPr>
          <w:szCs w:val="24"/>
        </w:rPr>
        <w:tab/>
      </w:r>
      <w:r>
        <w:rPr>
          <w:szCs w:val="24"/>
        </w:rPr>
        <w:tab/>
      </w:r>
      <w:r w:rsidRPr="00035BE9">
        <w:rPr>
          <w:szCs w:val="24"/>
        </w:rPr>
        <w:t>Company’s return on equity should be reduced</w:t>
      </w:r>
      <w:r>
        <w:rPr>
          <w:szCs w:val="24"/>
        </w:rPr>
        <w:t xml:space="preserve"> </w:t>
      </w:r>
      <w:r>
        <w:rPr>
          <w:szCs w:val="24"/>
        </w:rPr>
        <w:tab/>
      </w:r>
      <w:r w:rsidR="00AC10B6">
        <w:rPr>
          <w:szCs w:val="24"/>
        </w:rPr>
        <w:t>1</w:t>
      </w:r>
    </w:p>
    <w:p w14:paraId="2F90BEDF" w14:textId="77777777" w:rsidR="00035BE9" w:rsidRDefault="00035BE9" w:rsidP="00035BE9">
      <w:pPr>
        <w:tabs>
          <w:tab w:val="left" w:pos="720"/>
          <w:tab w:val="left" w:pos="1440"/>
          <w:tab w:val="left" w:pos="2160"/>
          <w:tab w:val="right" w:leader="dot" w:pos="8640"/>
        </w:tabs>
        <w:rPr>
          <w:szCs w:val="24"/>
        </w:rPr>
      </w:pPr>
    </w:p>
    <w:p w14:paraId="0FBBF16A" w14:textId="77777777" w:rsidR="00035BE9" w:rsidRDefault="00035BE9" w:rsidP="00035BE9">
      <w:pPr>
        <w:tabs>
          <w:tab w:val="left" w:pos="720"/>
          <w:tab w:val="left" w:pos="1440"/>
          <w:tab w:val="left" w:pos="2160"/>
          <w:tab w:val="right" w:leader="dot" w:pos="8640"/>
        </w:tabs>
        <w:rPr>
          <w:szCs w:val="24"/>
        </w:rPr>
      </w:pPr>
      <w:r>
        <w:rPr>
          <w:b/>
          <w:szCs w:val="24"/>
        </w:rPr>
        <w:tab/>
      </w:r>
      <w:r>
        <w:rPr>
          <w:b/>
          <w:szCs w:val="24"/>
        </w:rPr>
        <w:tab/>
      </w:r>
      <w:r w:rsidRPr="00035BE9">
        <w:rPr>
          <w:szCs w:val="24"/>
        </w:rPr>
        <w:t>2.</w:t>
      </w:r>
      <w:r w:rsidRPr="00035BE9">
        <w:rPr>
          <w:szCs w:val="24"/>
        </w:rPr>
        <w:tab/>
        <w:t xml:space="preserve">The Company has high debt ratings and, therefore, low </w:t>
      </w:r>
    </w:p>
    <w:p w14:paraId="54075ADC" w14:textId="77777777" w:rsidR="00035BE9" w:rsidRDefault="00035BE9" w:rsidP="00035BE9">
      <w:pPr>
        <w:tabs>
          <w:tab w:val="left" w:pos="720"/>
          <w:tab w:val="left" w:pos="1440"/>
          <w:tab w:val="left" w:pos="2160"/>
          <w:tab w:val="right" w:leader="dot" w:pos="8640"/>
        </w:tabs>
        <w:rPr>
          <w:szCs w:val="24"/>
        </w:rPr>
      </w:pPr>
      <w:r>
        <w:rPr>
          <w:szCs w:val="24"/>
        </w:rPr>
        <w:tab/>
      </w:r>
      <w:r>
        <w:rPr>
          <w:szCs w:val="24"/>
        </w:rPr>
        <w:tab/>
      </w:r>
      <w:r>
        <w:rPr>
          <w:szCs w:val="24"/>
        </w:rPr>
        <w:tab/>
      </w:r>
      <w:r w:rsidRPr="00035BE9">
        <w:rPr>
          <w:szCs w:val="24"/>
        </w:rPr>
        <w:t xml:space="preserve">risk in comparison to the proxy groups as well as to the </w:t>
      </w:r>
    </w:p>
    <w:p w14:paraId="3A578193" w14:textId="3532A411" w:rsidR="00035BE9" w:rsidRDefault="00035BE9" w:rsidP="00035BE9">
      <w:pPr>
        <w:tabs>
          <w:tab w:val="left" w:pos="720"/>
          <w:tab w:val="left" w:pos="1440"/>
          <w:tab w:val="left" w:pos="2160"/>
          <w:tab w:val="right" w:leader="dot" w:pos="8640"/>
        </w:tabs>
        <w:rPr>
          <w:szCs w:val="24"/>
        </w:rPr>
      </w:pPr>
      <w:r>
        <w:rPr>
          <w:szCs w:val="24"/>
        </w:rPr>
        <w:tab/>
      </w:r>
      <w:r>
        <w:rPr>
          <w:szCs w:val="24"/>
        </w:rPr>
        <w:tab/>
      </w:r>
      <w:r>
        <w:rPr>
          <w:szCs w:val="24"/>
        </w:rPr>
        <w:tab/>
      </w:r>
      <w:r w:rsidRPr="00035BE9">
        <w:rPr>
          <w:szCs w:val="24"/>
        </w:rPr>
        <w:t>whole industry</w:t>
      </w:r>
      <w:r>
        <w:rPr>
          <w:szCs w:val="24"/>
        </w:rPr>
        <w:t xml:space="preserve"> </w:t>
      </w:r>
      <w:r>
        <w:rPr>
          <w:szCs w:val="24"/>
        </w:rPr>
        <w:tab/>
      </w:r>
      <w:r w:rsidR="00B85524">
        <w:rPr>
          <w:szCs w:val="24"/>
        </w:rPr>
        <w:t>3</w:t>
      </w:r>
    </w:p>
    <w:p w14:paraId="2B9E60BF" w14:textId="6821620A" w:rsidR="001C694B" w:rsidRDefault="001C694B" w:rsidP="00035BE9">
      <w:pPr>
        <w:tabs>
          <w:tab w:val="left" w:pos="720"/>
          <w:tab w:val="left" w:pos="1440"/>
          <w:tab w:val="left" w:pos="2160"/>
          <w:tab w:val="right" w:leader="dot" w:pos="8640"/>
        </w:tabs>
        <w:rPr>
          <w:szCs w:val="24"/>
        </w:rPr>
      </w:pPr>
    </w:p>
    <w:p w14:paraId="7309A261" w14:textId="2A7E5580" w:rsidR="00035BE9" w:rsidRDefault="001C694B" w:rsidP="00035BE9">
      <w:pPr>
        <w:tabs>
          <w:tab w:val="left" w:pos="720"/>
          <w:tab w:val="left" w:pos="1440"/>
          <w:tab w:val="left" w:pos="2160"/>
          <w:tab w:val="right" w:leader="dot" w:pos="8640"/>
        </w:tabs>
        <w:rPr>
          <w:szCs w:val="24"/>
        </w:rPr>
      </w:pPr>
      <w:r>
        <w:rPr>
          <w:szCs w:val="24"/>
        </w:rPr>
        <w:tab/>
      </w:r>
      <w:r>
        <w:rPr>
          <w:szCs w:val="24"/>
        </w:rPr>
        <w:tab/>
      </w:r>
      <w:r w:rsidRPr="001C694B">
        <w:rPr>
          <w:szCs w:val="24"/>
        </w:rPr>
        <w:t>3.</w:t>
      </w:r>
      <w:r w:rsidRPr="001C694B">
        <w:rPr>
          <w:szCs w:val="24"/>
        </w:rPr>
        <w:tab/>
        <w:t>PacifiCorp is not entitled to the same ROE as PSE</w:t>
      </w:r>
      <w:r>
        <w:rPr>
          <w:szCs w:val="24"/>
        </w:rPr>
        <w:t xml:space="preserve"> </w:t>
      </w:r>
      <w:r>
        <w:rPr>
          <w:szCs w:val="24"/>
        </w:rPr>
        <w:tab/>
      </w:r>
      <w:r w:rsidR="00AC10B6">
        <w:rPr>
          <w:szCs w:val="24"/>
        </w:rPr>
        <w:t>3</w:t>
      </w:r>
    </w:p>
    <w:p w14:paraId="0309AC88" w14:textId="37637F9F" w:rsidR="001C694B" w:rsidRDefault="001C694B" w:rsidP="00035BE9">
      <w:pPr>
        <w:tabs>
          <w:tab w:val="left" w:pos="720"/>
          <w:tab w:val="left" w:pos="1440"/>
          <w:tab w:val="left" w:pos="2160"/>
          <w:tab w:val="right" w:leader="dot" w:pos="8640"/>
        </w:tabs>
        <w:rPr>
          <w:szCs w:val="24"/>
        </w:rPr>
      </w:pPr>
    </w:p>
    <w:p w14:paraId="56A5797D" w14:textId="77777777" w:rsidR="001C694B" w:rsidRDefault="001C694B" w:rsidP="00035BE9">
      <w:pPr>
        <w:tabs>
          <w:tab w:val="left" w:pos="720"/>
          <w:tab w:val="left" w:pos="1440"/>
          <w:tab w:val="left" w:pos="2160"/>
          <w:tab w:val="right" w:leader="dot" w:pos="8640"/>
        </w:tabs>
        <w:rPr>
          <w:szCs w:val="24"/>
        </w:rPr>
      </w:pPr>
      <w:r>
        <w:rPr>
          <w:szCs w:val="24"/>
        </w:rPr>
        <w:tab/>
      </w:r>
      <w:r>
        <w:rPr>
          <w:szCs w:val="24"/>
        </w:rPr>
        <w:tab/>
      </w:r>
      <w:r w:rsidRPr="001C694B">
        <w:rPr>
          <w:szCs w:val="24"/>
        </w:rPr>
        <w:t>4.</w:t>
      </w:r>
      <w:r w:rsidRPr="001C694B">
        <w:rPr>
          <w:szCs w:val="24"/>
        </w:rPr>
        <w:tab/>
        <w:t xml:space="preserve">Mr. Strunk’s analysis inappropriately minimizes the results </w:t>
      </w:r>
    </w:p>
    <w:p w14:paraId="4F37DC40" w14:textId="77777777" w:rsidR="001C694B" w:rsidRDefault="001C694B" w:rsidP="00035BE9">
      <w:pPr>
        <w:tabs>
          <w:tab w:val="left" w:pos="720"/>
          <w:tab w:val="left" w:pos="1440"/>
          <w:tab w:val="left" w:pos="2160"/>
          <w:tab w:val="right" w:leader="dot" w:pos="8640"/>
        </w:tabs>
        <w:rPr>
          <w:szCs w:val="24"/>
        </w:rPr>
      </w:pPr>
      <w:r>
        <w:rPr>
          <w:szCs w:val="24"/>
        </w:rPr>
        <w:tab/>
      </w:r>
      <w:r>
        <w:rPr>
          <w:szCs w:val="24"/>
        </w:rPr>
        <w:tab/>
      </w:r>
      <w:r>
        <w:rPr>
          <w:szCs w:val="24"/>
        </w:rPr>
        <w:tab/>
      </w:r>
      <w:r w:rsidRPr="001C694B">
        <w:rPr>
          <w:szCs w:val="24"/>
        </w:rPr>
        <w:t xml:space="preserve">from the most widely accepted methodology, Discounted </w:t>
      </w:r>
    </w:p>
    <w:p w14:paraId="2309508A" w14:textId="599F921F" w:rsidR="001C694B" w:rsidRDefault="001C694B" w:rsidP="00035BE9">
      <w:pPr>
        <w:tabs>
          <w:tab w:val="left" w:pos="720"/>
          <w:tab w:val="left" w:pos="1440"/>
          <w:tab w:val="left" w:pos="2160"/>
          <w:tab w:val="right" w:leader="dot" w:pos="8640"/>
        </w:tabs>
        <w:rPr>
          <w:szCs w:val="24"/>
        </w:rPr>
      </w:pPr>
      <w:r>
        <w:rPr>
          <w:szCs w:val="24"/>
        </w:rPr>
        <w:tab/>
      </w:r>
      <w:r>
        <w:rPr>
          <w:szCs w:val="24"/>
        </w:rPr>
        <w:tab/>
      </w:r>
      <w:r>
        <w:rPr>
          <w:szCs w:val="24"/>
        </w:rPr>
        <w:tab/>
      </w:r>
      <w:r w:rsidRPr="001C694B">
        <w:rPr>
          <w:szCs w:val="24"/>
        </w:rPr>
        <w:t>Cash Flow</w:t>
      </w:r>
      <w:r>
        <w:rPr>
          <w:szCs w:val="24"/>
        </w:rPr>
        <w:t xml:space="preserve"> </w:t>
      </w:r>
      <w:r>
        <w:rPr>
          <w:szCs w:val="24"/>
        </w:rPr>
        <w:tab/>
      </w:r>
      <w:r w:rsidR="00AC10B6">
        <w:rPr>
          <w:szCs w:val="24"/>
        </w:rPr>
        <w:t>4</w:t>
      </w:r>
    </w:p>
    <w:p w14:paraId="0257BE39" w14:textId="77777777" w:rsidR="001C694B" w:rsidRDefault="001C694B" w:rsidP="00035BE9">
      <w:pPr>
        <w:tabs>
          <w:tab w:val="left" w:pos="720"/>
          <w:tab w:val="left" w:pos="1440"/>
          <w:tab w:val="left" w:pos="2160"/>
          <w:tab w:val="right" w:leader="dot" w:pos="8640"/>
        </w:tabs>
        <w:rPr>
          <w:szCs w:val="24"/>
        </w:rPr>
      </w:pPr>
    </w:p>
    <w:p w14:paraId="1A2F5413" w14:textId="2BF8A3F8" w:rsidR="001C694B" w:rsidRDefault="001C694B" w:rsidP="00035BE9">
      <w:pPr>
        <w:tabs>
          <w:tab w:val="left" w:pos="720"/>
          <w:tab w:val="left" w:pos="1440"/>
          <w:tab w:val="left" w:pos="2160"/>
          <w:tab w:val="right" w:leader="dot" w:pos="8640"/>
        </w:tabs>
        <w:rPr>
          <w:szCs w:val="24"/>
        </w:rPr>
      </w:pPr>
      <w:r>
        <w:rPr>
          <w:szCs w:val="24"/>
        </w:rPr>
        <w:tab/>
      </w:r>
      <w:r w:rsidRPr="001C694B">
        <w:rPr>
          <w:szCs w:val="24"/>
        </w:rPr>
        <w:t>B.</w:t>
      </w:r>
      <w:r w:rsidRPr="001C694B">
        <w:rPr>
          <w:szCs w:val="24"/>
        </w:rPr>
        <w:tab/>
        <w:t>Capital Structure</w:t>
      </w:r>
      <w:r>
        <w:rPr>
          <w:szCs w:val="24"/>
        </w:rPr>
        <w:t xml:space="preserve"> </w:t>
      </w:r>
      <w:r>
        <w:rPr>
          <w:szCs w:val="24"/>
        </w:rPr>
        <w:tab/>
      </w:r>
      <w:r w:rsidR="0015504F">
        <w:rPr>
          <w:szCs w:val="24"/>
        </w:rPr>
        <w:t>6</w:t>
      </w:r>
    </w:p>
    <w:p w14:paraId="015B45C3" w14:textId="77777777" w:rsidR="001C694B" w:rsidRDefault="001C694B" w:rsidP="00035BE9">
      <w:pPr>
        <w:tabs>
          <w:tab w:val="left" w:pos="720"/>
          <w:tab w:val="left" w:pos="1440"/>
          <w:tab w:val="left" w:pos="2160"/>
          <w:tab w:val="right" w:leader="dot" w:pos="8640"/>
        </w:tabs>
        <w:rPr>
          <w:szCs w:val="24"/>
        </w:rPr>
      </w:pPr>
    </w:p>
    <w:p w14:paraId="1D5D101A" w14:textId="77777777" w:rsidR="001C694B" w:rsidRDefault="001C694B" w:rsidP="00035BE9">
      <w:pPr>
        <w:tabs>
          <w:tab w:val="left" w:pos="720"/>
          <w:tab w:val="left" w:pos="1440"/>
          <w:tab w:val="left" w:pos="2160"/>
          <w:tab w:val="right" w:leader="dot" w:pos="8640"/>
        </w:tabs>
        <w:rPr>
          <w:szCs w:val="24"/>
        </w:rPr>
      </w:pPr>
      <w:r>
        <w:rPr>
          <w:szCs w:val="24"/>
        </w:rPr>
        <w:tab/>
      </w:r>
      <w:r>
        <w:rPr>
          <w:szCs w:val="24"/>
        </w:rPr>
        <w:tab/>
      </w:r>
      <w:r w:rsidRPr="001C694B">
        <w:rPr>
          <w:szCs w:val="24"/>
        </w:rPr>
        <w:t>1.</w:t>
      </w:r>
      <w:r w:rsidRPr="001C694B">
        <w:rPr>
          <w:szCs w:val="24"/>
        </w:rPr>
        <w:tab/>
        <w:t xml:space="preserve">The Company has not demonstrated that using its </w:t>
      </w:r>
    </w:p>
    <w:p w14:paraId="1E44E3A4" w14:textId="77777777" w:rsidR="001C694B" w:rsidRDefault="001C694B" w:rsidP="00035BE9">
      <w:pPr>
        <w:tabs>
          <w:tab w:val="left" w:pos="720"/>
          <w:tab w:val="left" w:pos="1440"/>
          <w:tab w:val="left" w:pos="2160"/>
          <w:tab w:val="right" w:leader="dot" w:pos="8640"/>
        </w:tabs>
        <w:rPr>
          <w:szCs w:val="24"/>
        </w:rPr>
      </w:pPr>
      <w:r>
        <w:rPr>
          <w:szCs w:val="24"/>
        </w:rPr>
        <w:tab/>
      </w:r>
      <w:r>
        <w:rPr>
          <w:szCs w:val="24"/>
        </w:rPr>
        <w:tab/>
      </w:r>
      <w:r>
        <w:rPr>
          <w:szCs w:val="24"/>
        </w:rPr>
        <w:tab/>
      </w:r>
      <w:r w:rsidRPr="001C694B">
        <w:rPr>
          <w:szCs w:val="24"/>
        </w:rPr>
        <w:t xml:space="preserve">actual capital structure rather than the existing hypothetical </w:t>
      </w:r>
    </w:p>
    <w:p w14:paraId="3DE07B65" w14:textId="50A36031" w:rsidR="001C694B" w:rsidRDefault="001C694B" w:rsidP="00035BE9">
      <w:pPr>
        <w:tabs>
          <w:tab w:val="left" w:pos="720"/>
          <w:tab w:val="left" w:pos="1440"/>
          <w:tab w:val="left" w:pos="2160"/>
          <w:tab w:val="right" w:leader="dot" w:pos="8640"/>
        </w:tabs>
        <w:rPr>
          <w:szCs w:val="24"/>
        </w:rPr>
      </w:pPr>
      <w:r>
        <w:rPr>
          <w:szCs w:val="24"/>
        </w:rPr>
        <w:tab/>
      </w:r>
      <w:r>
        <w:rPr>
          <w:szCs w:val="24"/>
        </w:rPr>
        <w:tab/>
      </w:r>
      <w:r>
        <w:rPr>
          <w:szCs w:val="24"/>
        </w:rPr>
        <w:tab/>
      </w:r>
      <w:r w:rsidRPr="001C694B">
        <w:rPr>
          <w:szCs w:val="24"/>
        </w:rPr>
        <w:t>capital structure balances safety and economy</w:t>
      </w:r>
      <w:r>
        <w:rPr>
          <w:szCs w:val="24"/>
        </w:rPr>
        <w:t xml:space="preserve"> </w:t>
      </w:r>
      <w:r>
        <w:rPr>
          <w:szCs w:val="24"/>
        </w:rPr>
        <w:tab/>
      </w:r>
      <w:r w:rsidR="00E47653">
        <w:rPr>
          <w:szCs w:val="24"/>
        </w:rPr>
        <w:t>6</w:t>
      </w:r>
    </w:p>
    <w:p w14:paraId="3C529592" w14:textId="77777777" w:rsidR="00DC2971" w:rsidRDefault="00DC2971" w:rsidP="00035BE9">
      <w:pPr>
        <w:tabs>
          <w:tab w:val="left" w:pos="720"/>
          <w:tab w:val="left" w:pos="1440"/>
          <w:tab w:val="left" w:pos="2160"/>
          <w:tab w:val="right" w:leader="dot" w:pos="8640"/>
        </w:tabs>
        <w:rPr>
          <w:szCs w:val="24"/>
        </w:rPr>
      </w:pPr>
    </w:p>
    <w:p w14:paraId="17122828" w14:textId="77777777" w:rsidR="00DC2971" w:rsidRDefault="00DC2971" w:rsidP="00035BE9">
      <w:pPr>
        <w:tabs>
          <w:tab w:val="left" w:pos="720"/>
          <w:tab w:val="left" w:pos="1440"/>
          <w:tab w:val="left" w:pos="2160"/>
          <w:tab w:val="right" w:leader="dot" w:pos="8640"/>
        </w:tabs>
        <w:rPr>
          <w:szCs w:val="24"/>
        </w:rPr>
      </w:pPr>
      <w:r>
        <w:rPr>
          <w:szCs w:val="24"/>
        </w:rPr>
        <w:tab/>
      </w:r>
      <w:r>
        <w:rPr>
          <w:szCs w:val="24"/>
        </w:rPr>
        <w:tab/>
      </w:r>
      <w:r w:rsidRPr="00DC2971">
        <w:rPr>
          <w:szCs w:val="24"/>
        </w:rPr>
        <w:t>2.</w:t>
      </w:r>
      <w:r w:rsidRPr="00DC2971">
        <w:rPr>
          <w:szCs w:val="24"/>
        </w:rPr>
        <w:tab/>
        <w:t xml:space="preserve">PacifiCorp’s argument that, if the Commission adopts </w:t>
      </w:r>
    </w:p>
    <w:p w14:paraId="66E45928" w14:textId="77777777" w:rsidR="00DC2971" w:rsidRDefault="00DC2971" w:rsidP="00035BE9">
      <w:pPr>
        <w:tabs>
          <w:tab w:val="left" w:pos="720"/>
          <w:tab w:val="left" w:pos="1440"/>
          <w:tab w:val="left" w:pos="2160"/>
          <w:tab w:val="right" w:leader="dot" w:pos="8640"/>
        </w:tabs>
        <w:rPr>
          <w:szCs w:val="24"/>
        </w:rPr>
      </w:pPr>
      <w:r>
        <w:rPr>
          <w:szCs w:val="24"/>
        </w:rPr>
        <w:tab/>
      </w:r>
      <w:r>
        <w:rPr>
          <w:szCs w:val="24"/>
        </w:rPr>
        <w:tab/>
      </w:r>
      <w:r>
        <w:rPr>
          <w:szCs w:val="24"/>
        </w:rPr>
        <w:tab/>
      </w:r>
      <w:r w:rsidRPr="00DC2971">
        <w:rPr>
          <w:szCs w:val="24"/>
        </w:rPr>
        <w:t xml:space="preserve">a hypothetical capital structure, it should also adopt </w:t>
      </w:r>
    </w:p>
    <w:p w14:paraId="0FB116FE" w14:textId="08B63572" w:rsidR="00DC2971" w:rsidRPr="00DC2971" w:rsidRDefault="00DC2971" w:rsidP="00035BE9">
      <w:pPr>
        <w:tabs>
          <w:tab w:val="left" w:pos="720"/>
          <w:tab w:val="left" w:pos="1440"/>
          <w:tab w:val="left" w:pos="2160"/>
          <w:tab w:val="right" w:leader="dot" w:pos="8640"/>
        </w:tabs>
        <w:rPr>
          <w:szCs w:val="24"/>
        </w:rPr>
      </w:pPr>
      <w:r>
        <w:rPr>
          <w:szCs w:val="24"/>
        </w:rPr>
        <w:tab/>
      </w:r>
      <w:r>
        <w:rPr>
          <w:szCs w:val="24"/>
        </w:rPr>
        <w:tab/>
      </w:r>
      <w:r>
        <w:rPr>
          <w:szCs w:val="24"/>
        </w:rPr>
        <w:tab/>
      </w:r>
      <w:r w:rsidRPr="00DC2971">
        <w:rPr>
          <w:szCs w:val="24"/>
        </w:rPr>
        <w:t>hypothetical debt costs, is not credible</w:t>
      </w:r>
      <w:r>
        <w:rPr>
          <w:szCs w:val="24"/>
        </w:rPr>
        <w:t xml:space="preserve"> </w:t>
      </w:r>
      <w:r>
        <w:rPr>
          <w:szCs w:val="24"/>
        </w:rPr>
        <w:tab/>
      </w:r>
      <w:r w:rsidR="00E47653">
        <w:rPr>
          <w:szCs w:val="24"/>
        </w:rPr>
        <w:t>7</w:t>
      </w:r>
    </w:p>
    <w:p w14:paraId="2F035C74" w14:textId="38EA40D0" w:rsidR="00574527" w:rsidRPr="00DE3409" w:rsidRDefault="00574527" w:rsidP="00117F6C">
      <w:pPr>
        <w:tabs>
          <w:tab w:val="left" w:pos="720"/>
          <w:tab w:val="left" w:pos="1440"/>
          <w:tab w:val="left" w:pos="2160"/>
          <w:tab w:val="right" w:leader="dot" w:pos="8640"/>
        </w:tabs>
        <w:rPr>
          <w:szCs w:val="24"/>
        </w:rPr>
      </w:pPr>
    </w:p>
    <w:p w14:paraId="57F05666" w14:textId="77777777" w:rsidR="00DC2971" w:rsidRDefault="00DC2971" w:rsidP="00DC2971">
      <w:pPr>
        <w:keepNext/>
        <w:tabs>
          <w:tab w:val="left" w:pos="720"/>
          <w:tab w:val="left" w:pos="1440"/>
          <w:tab w:val="left" w:pos="2160"/>
          <w:tab w:val="right" w:leader="dot" w:pos="8640"/>
        </w:tabs>
        <w:ind w:left="720" w:hanging="720"/>
        <w:rPr>
          <w:szCs w:val="24"/>
        </w:rPr>
      </w:pPr>
      <w:r w:rsidRPr="00DC2971">
        <w:rPr>
          <w:szCs w:val="24"/>
        </w:rPr>
        <w:t xml:space="preserve">III. </w:t>
      </w:r>
      <w:r w:rsidRPr="00DC2971">
        <w:rPr>
          <w:szCs w:val="24"/>
        </w:rPr>
        <w:tab/>
        <w:t xml:space="preserve">THE COSTS OF </w:t>
      </w:r>
      <w:r w:rsidRPr="00DC2971">
        <w:rPr>
          <w:rFonts w:cstheme="minorBidi"/>
        </w:rPr>
        <w:t xml:space="preserve">OREGON AND CALIFORNIA QFs ARE </w:t>
      </w:r>
      <w:r w:rsidRPr="00DC2971">
        <w:rPr>
          <w:szCs w:val="24"/>
        </w:rPr>
        <w:t xml:space="preserve">PROPERLY </w:t>
      </w:r>
    </w:p>
    <w:p w14:paraId="43BA3729" w14:textId="10983E16" w:rsidR="00DC2971" w:rsidRPr="00DC2971" w:rsidRDefault="00DC2971" w:rsidP="00DC2971">
      <w:pPr>
        <w:keepNext/>
        <w:tabs>
          <w:tab w:val="left" w:pos="720"/>
          <w:tab w:val="left" w:pos="1440"/>
          <w:tab w:val="left" w:pos="2160"/>
          <w:tab w:val="right" w:leader="dot" w:pos="8640"/>
        </w:tabs>
        <w:ind w:left="720" w:hanging="720"/>
        <w:rPr>
          <w:szCs w:val="24"/>
        </w:rPr>
      </w:pPr>
      <w:r>
        <w:rPr>
          <w:szCs w:val="24"/>
        </w:rPr>
        <w:tab/>
      </w:r>
      <w:r w:rsidRPr="00DC2971">
        <w:rPr>
          <w:szCs w:val="24"/>
        </w:rPr>
        <w:t xml:space="preserve">ALLOCATED BY THE WCA </w:t>
      </w:r>
      <w:r w:rsidRPr="00DC2971">
        <w:rPr>
          <w:szCs w:val="24"/>
        </w:rPr>
        <w:tab/>
      </w:r>
      <w:r w:rsidR="00E47653">
        <w:rPr>
          <w:szCs w:val="24"/>
        </w:rPr>
        <w:t>8</w:t>
      </w:r>
    </w:p>
    <w:p w14:paraId="59E2FA42" w14:textId="77777777" w:rsidR="00DC2971" w:rsidRDefault="00DC2971" w:rsidP="00DC2971">
      <w:pPr>
        <w:keepNext/>
        <w:jc w:val="center"/>
        <w:rPr>
          <w:rFonts w:cstheme="minorBidi"/>
          <w:b/>
        </w:rPr>
      </w:pPr>
    </w:p>
    <w:p w14:paraId="077C904E" w14:textId="77777777" w:rsidR="00DC2971" w:rsidRDefault="00DC2971" w:rsidP="00DC2971">
      <w:pPr>
        <w:tabs>
          <w:tab w:val="left" w:pos="720"/>
          <w:tab w:val="left" w:pos="1440"/>
          <w:tab w:val="left" w:pos="2160"/>
          <w:tab w:val="right" w:leader="dot" w:pos="8640"/>
        </w:tabs>
        <w:ind w:left="1530" w:hanging="1530"/>
        <w:rPr>
          <w:rFonts w:eastAsia="Calibri"/>
        </w:rPr>
      </w:pPr>
      <w:r>
        <w:rPr>
          <w:rFonts w:cstheme="minorBidi"/>
          <w:b/>
        </w:rPr>
        <w:tab/>
      </w:r>
      <w:r w:rsidRPr="00DC2971">
        <w:rPr>
          <w:rFonts w:cstheme="minorBidi"/>
        </w:rPr>
        <w:t xml:space="preserve">A. </w:t>
      </w:r>
      <w:r w:rsidRPr="00DC2971">
        <w:rPr>
          <w:rFonts w:cstheme="minorBidi"/>
        </w:rPr>
        <w:tab/>
      </w:r>
      <w:r w:rsidRPr="00DC2971">
        <w:rPr>
          <w:rFonts w:eastAsia="Calibri"/>
        </w:rPr>
        <w:t xml:space="preserve">PacifiCorp presents no Compelling Reason to Modify the </w:t>
      </w:r>
    </w:p>
    <w:p w14:paraId="7A638C32" w14:textId="4FC1186E" w:rsidR="007740B0" w:rsidRDefault="00DC2971" w:rsidP="00DC2971">
      <w:pPr>
        <w:tabs>
          <w:tab w:val="left" w:pos="720"/>
          <w:tab w:val="left" w:pos="1440"/>
          <w:tab w:val="left" w:pos="2160"/>
          <w:tab w:val="right" w:leader="dot" w:pos="8640"/>
        </w:tabs>
        <w:ind w:left="1530" w:hanging="1530"/>
        <w:rPr>
          <w:rFonts w:eastAsia="Calibri"/>
        </w:rPr>
      </w:pPr>
      <w:r>
        <w:rPr>
          <w:rFonts w:eastAsia="Calibri"/>
        </w:rPr>
        <w:tab/>
      </w:r>
      <w:r>
        <w:rPr>
          <w:rFonts w:eastAsia="Calibri"/>
        </w:rPr>
        <w:tab/>
        <w:t xml:space="preserve">WCA to Include the </w:t>
      </w:r>
      <w:r w:rsidRPr="00DC2971">
        <w:rPr>
          <w:rFonts w:eastAsia="Calibri"/>
        </w:rPr>
        <w:t>high costs of Oregon and California QFs</w:t>
      </w:r>
      <w:r>
        <w:rPr>
          <w:rFonts w:eastAsia="Calibri"/>
        </w:rPr>
        <w:t xml:space="preserve"> </w:t>
      </w:r>
      <w:r>
        <w:rPr>
          <w:rFonts w:eastAsia="Calibri"/>
        </w:rPr>
        <w:tab/>
      </w:r>
      <w:r w:rsidR="00E47653">
        <w:rPr>
          <w:rFonts w:eastAsia="Calibri"/>
        </w:rPr>
        <w:t>8</w:t>
      </w:r>
    </w:p>
    <w:p w14:paraId="133E4735" w14:textId="77777777" w:rsidR="00DC2971" w:rsidRDefault="00DC2971" w:rsidP="00DC2971">
      <w:pPr>
        <w:tabs>
          <w:tab w:val="left" w:pos="720"/>
          <w:tab w:val="left" w:pos="1440"/>
          <w:tab w:val="left" w:pos="2160"/>
          <w:tab w:val="right" w:leader="dot" w:pos="8640"/>
        </w:tabs>
        <w:ind w:left="1530" w:hanging="1530"/>
        <w:rPr>
          <w:rFonts w:eastAsia="Calibri"/>
        </w:rPr>
      </w:pPr>
    </w:p>
    <w:p w14:paraId="2AF2418B" w14:textId="77777777" w:rsidR="00DC2971" w:rsidRDefault="00DC2971" w:rsidP="00DC2971">
      <w:pPr>
        <w:tabs>
          <w:tab w:val="left" w:pos="720"/>
          <w:tab w:val="left" w:pos="1440"/>
          <w:tab w:val="left" w:pos="2160"/>
          <w:tab w:val="right" w:leader="dot" w:pos="8640"/>
        </w:tabs>
        <w:ind w:left="1530" w:hanging="1530"/>
      </w:pPr>
      <w:r>
        <w:rPr>
          <w:rFonts w:cstheme="minorBidi"/>
          <w:b/>
        </w:rPr>
        <w:tab/>
      </w:r>
      <w:r w:rsidRPr="00DC2971">
        <w:rPr>
          <w:rFonts w:cstheme="minorBidi"/>
        </w:rPr>
        <w:t>B.</w:t>
      </w:r>
      <w:r w:rsidRPr="00DC2971">
        <w:rPr>
          <w:rFonts w:cstheme="minorBidi"/>
        </w:rPr>
        <w:tab/>
      </w:r>
      <w:r w:rsidRPr="00DC2971">
        <w:t xml:space="preserve">The Exclusion of Oregon and California QFs from the WCA </w:t>
      </w:r>
    </w:p>
    <w:p w14:paraId="50A8CB0E" w14:textId="412CC219" w:rsidR="00DC2971" w:rsidRDefault="00DC2971" w:rsidP="00DC2971">
      <w:pPr>
        <w:tabs>
          <w:tab w:val="left" w:pos="720"/>
          <w:tab w:val="left" w:pos="1440"/>
          <w:tab w:val="left" w:pos="2160"/>
          <w:tab w:val="right" w:leader="dot" w:pos="8640"/>
        </w:tabs>
        <w:ind w:left="1530" w:hanging="1530"/>
      </w:pPr>
      <w:r>
        <w:tab/>
      </w:r>
      <w:r>
        <w:tab/>
      </w:r>
      <w:r w:rsidRPr="00DC2971">
        <w:t>complies with the Commerce Clause</w:t>
      </w:r>
      <w:r>
        <w:t xml:space="preserve"> </w:t>
      </w:r>
      <w:r>
        <w:tab/>
      </w:r>
      <w:r w:rsidR="00E47653">
        <w:t>9</w:t>
      </w:r>
    </w:p>
    <w:p w14:paraId="32D94915" w14:textId="77777777" w:rsidR="00DC2971" w:rsidRDefault="00DC2971" w:rsidP="00DC2971">
      <w:pPr>
        <w:tabs>
          <w:tab w:val="left" w:pos="720"/>
          <w:tab w:val="left" w:pos="1440"/>
          <w:tab w:val="left" w:pos="2160"/>
          <w:tab w:val="right" w:leader="dot" w:pos="8640"/>
        </w:tabs>
        <w:ind w:left="1530" w:hanging="1530"/>
      </w:pPr>
    </w:p>
    <w:p w14:paraId="20659C7C" w14:textId="4FF4A162" w:rsidR="00DC2971" w:rsidRPr="00DC2971" w:rsidRDefault="00DC2971" w:rsidP="00DC2971">
      <w:pPr>
        <w:tabs>
          <w:tab w:val="left" w:pos="720"/>
          <w:tab w:val="left" w:pos="1440"/>
          <w:tab w:val="left" w:pos="2160"/>
          <w:tab w:val="right" w:leader="dot" w:pos="8640"/>
        </w:tabs>
        <w:ind w:left="1530" w:hanging="1530"/>
        <w:rPr>
          <w:szCs w:val="24"/>
        </w:rPr>
      </w:pPr>
      <w:r>
        <w:tab/>
      </w:r>
      <w:r w:rsidRPr="00DC2971">
        <w:t xml:space="preserve">C. </w:t>
      </w:r>
      <w:r w:rsidRPr="00DC2971">
        <w:tab/>
        <w:t>The WCA is Fair, Equitable and is not Discriminatory</w:t>
      </w:r>
      <w:r>
        <w:t xml:space="preserve"> </w:t>
      </w:r>
      <w:r>
        <w:tab/>
      </w:r>
      <w:r w:rsidR="00E47653">
        <w:t>13</w:t>
      </w:r>
    </w:p>
    <w:p w14:paraId="48B7F0B9" w14:textId="66F71B75" w:rsidR="00284023" w:rsidRPr="00DE3409" w:rsidRDefault="00284023" w:rsidP="00117F6C">
      <w:pPr>
        <w:tabs>
          <w:tab w:val="left" w:pos="720"/>
          <w:tab w:val="left" w:pos="1440"/>
          <w:tab w:val="left" w:pos="2160"/>
          <w:tab w:val="right" w:leader="dot" w:pos="8640"/>
        </w:tabs>
        <w:rPr>
          <w:szCs w:val="24"/>
        </w:rPr>
      </w:pPr>
    </w:p>
    <w:p w14:paraId="25D79A5E" w14:textId="15F61FF5" w:rsidR="00AD537F" w:rsidRDefault="00E47351" w:rsidP="004855EC">
      <w:pPr>
        <w:tabs>
          <w:tab w:val="left" w:pos="720"/>
          <w:tab w:val="left" w:pos="1440"/>
          <w:tab w:val="left" w:pos="2160"/>
          <w:tab w:val="right" w:leader="dot" w:pos="8640"/>
          <w:tab w:val="right" w:leader="dot" w:pos="8820"/>
        </w:tabs>
        <w:rPr>
          <w:szCs w:val="24"/>
        </w:rPr>
      </w:pPr>
      <w:r>
        <w:rPr>
          <w:szCs w:val="24"/>
        </w:rPr>
        <w:t>IV</w:t>
      </w:r>
      <w:r w:rsidR="00312D08" w:rsidRPr="00DE3409">
        <w:rPr>
          <w:szCs w:val="24"/>
        </w:rPr>
        <w:t>.</w:t>
      </w:r>
      <w:r w:rsidR="00312D08" w:rsidRPr="00DE3409">
        <w:rPr>
          <w:szCs w:val="24"/>
        </w:rPr>
        <w:tab/>
      </w:r>
      <w:r w:rsidR="00AD537F">
        <w:rPr>
          <w:szCs w:val="24"/>
        </w:rPr>
        <w:t xml:space="preserve">INSURANCE EXPENSE </w:t>
      </w:r>
      <w:r w:rsidR="00AD537F">
        <w:rPr>
          <w:szCs w:val="24"/>
        </w:rPr>
        <w:tab/>
      </w:r>
      <w:r w:rsidR="00B85524">
        <w:rPr>
          <w:szCs w:val="24"/>
        </w:rPr>
        <w:t>17</w:t>
      </w:r>
    </w:p>
    <w:p w14:paraId="043AFFAF" w14:textId="77777777" w:rsidR="00AD537F" w:rsidRDefault="00AD537F" w:rsidP="004855EC">
      <w:pPr>
        <w:tabs>
          <w:tab w:val="left" w:pos="720"/>
          <w:tab w:val="left" w:pos="1440"/>
          <w:tab w:val="left" w:pos="2160"/>
          <w:tab w:val="right" w:leader="dot" w:pos="8640"/>
          <w:tab w:val="right" w:leader="dot" w:pos="8820"/>
        </w:tabs>
        <w:rPr>
          <w:szCs w:val="24"/>
        </w:rPr>
      </w:pPr>
    </w:p>
    <w:p w14:paraId="600DD711" w14:textId="5B5BFE02" w:rsidR="00CD5DD7" w:rsidRPr="00DE3409" w:rsidRDefault="00AD537F" w:rsidP="004855EC">
      <w:pPr>
        <w:tabs>
          <w:tab w:val="left" w:pos="720"/>
          <w:tab w:val="left" w:pos="1440"/>
          <w:tab w:val="left" w:pos="2160"/>
          <w:tab w:val="right" w:leader="dot" w:pos="8640"/>
          <w:tab w:val="right" w:leader="dot" w:pos="8820"/>
        </w:tabs>
        <w:rPr>
          <w:szCs w:val="24"/>
        </w:rPr>
      </w:pPr>
      <w:r>
        <w:rPr>
          <w:szCs w:val="24"/>
        </w:rPr>
        <w:t>V.</w:t>
      </w:r>
      <w:r>
        <w:rPr>
          <w:szCs w:val="24"/>
        </w:rPr>
        <w:tab/>
      </w:r>
      <w:r w:rsidR="00DB66C8" w:rsidRPr="00DE3409">
        <w:rPr>
          <w:szCs w:val="24"/>
        </w:rPr>
        <w:t xml:space="preserve">CONCLUSION </w:t>
      </w:r>
      <w:r w:rsidR="00DB66C8" w:rsidRPr="00DE3409">
        <w:rPr>
          <w:szCs w:val="24"/>
        </w:rPr>
        <w:tab/>
      </w:r>
      <w:r w:rsidR="00E47653">
        <w:rPr>
          <w:szCs w:val="24"/>
        </w:rPr>
        <w:t>18</w:t>
      </w:r>
    </w:p>
    <w:p w14:paraId="2FC18F3D" w14:textId="2FA0EAA2" w:rsidR="00FD7711" w:rsidRPr="00DE3409" w:rsidRDefault="00FD7711">
      <w:pPr>
        <w:spacing w:after="200" w:line="276" w:lineRule="auto"/>
        <w:rPr>
          <w:color w:val="auto"/>
          <w:szCs w:val="24"/>
        </w:rPr>
      </w:pPr>
      <w:r w:rsidRPr="00DE3409">
        <w:rPr>
          <w:color w:val="auto"/>
          <w:szCs w:val="24"/>
        </w:rPr>
        <w:br w:type="page"/>
      </w:r>
    </w:p>
    <w:p w14:paraId="4B5609AA" w14:textId="3EBD9D2B" w:rsidR="00FD7711" w:rsidRPr="00DE3409" w:rsidRDefault="00FD7711" w:rsidP="00FD7711">
      <w:pPr>
        <w:spacing w:line="240" w:lineRule="exact"/>
        <w:jc w:val="center"/>
        <w:rPr>
          <w:b/>
          <w:color w:val="auto"/>
          <w:szCs w:val="24"/>
        </w:rPr>
      </w:pPr>
      <w:r w:rsidRPr="00DE3409">
        <w:rPr>
          <w:b/>
          <w:color w:val="auto"/>
          <w:szCs w:val="24"/>
        </w:rPr>
        <w:lastRenderedPageBreak/>
        <w:t>TABLE OF AUTHORITIES</w:t>
      </w:r>
    </w:p>
    <w:p w14:paraId="16AAEDD3" w14:textId="77777777" w:rsidR="00FD7711" w:rsidRDefault="00FD7711" w:rsidP="00FD7711">
      <w:pPr>
        <w:spacing w:line="240" w:lineRule="exact"/>
        <w:rPr>
          <w:color w:val="auto"/>
          <w:szCs w:val="24"/>
        </w:rPr>
      </w:pPr>
    </w:p>
    <w:p w14:paraId="0EC0309C" w14:textId="77777777" w:rsidR="0003109E" w:rsidRPr="00DE3409" w:rsidRDefault="0003109E" w:rsidP="00FD7711">
      <w:pPr>
        <w:spacing w:line="240" w:lineRule="exact"/>
        <w:rPr>
          <w:color w:val="auto"/>
          <w:szCs w:val="24"/>
        </w:rPr>
      </w:pPr>
    </w:p>
    <w:p w14:paraId="5BFAA41B" w14:textId="77777777" w:rsidR="00FD7711" w:rsidRPr="001F30F6" w:rsidRDefault="00FD7711" w:rsidP="00FD7711">
      <w:pPr>
        <w:jc w:val="center"/>
        <w:rPr>
          <w:b/>
          <w:szCs w:val="24"/>
        </w:rPr>
      </w:pPr>
      <w:r w:rsidRPr="001F30F6">
        <w:rPr>
          <w:b/>
          <w:i/>
          <w:szCs w:val="24"/>
        </w:rPr>
        <w:t>Table of Cases</w:t>
      </w:r>
    </w:p>
    <w:p w14:paraId="39768809" w14:textId="77777777" w:rsidR="00FD7711" w:rsidRPr="00DE3409" w:rsidRDefault="00FD7711" w:rsidP="00FD7711">
      <w:pPr>
        <w:rPr>
          <w:szCs w:val="24"/>
        </w:rPr>
      </w:pPr>
    </w:p>
    <w:p w14:paraId="6964ABFB" w14:textId="77777777" w:rsidR="00602BF6" w:rsidRPr="00035BE9" w:rsidRDefault="00602BF6" w:rsidP="00D338DE">
      <w:pPr>
        <w:tabs>
          <w:tab w:val="left" w:pos="720"/>
          <w:tab w:val="left" w:pos="1440"/>
          <w:tab w:val="left" w:pos="2160"/>
          <w:tab w:val="right" w:leader="dot" w:pos="8730"/>
        </w:tabs>
      </w:pPr>
      <w:r w:rsidRPr="00035BE9">
        <w:rPr>
          <w:i/>
        </w:rPr>
        <w:t>C &amp; A Carbone, Inc. v. Town of Clarkstown</w:t>
      </w:r>
      <w:r w:rsidRPr="00035BE9">
        <w:t xml:space="preserve">, </w:t>
      </w:r>
    </w:p>
    <w:p w14:paraId="7F38AE0E" w14:textId="33E2E8AC" w:rsidR="00602BF6" w:rsidRDefault="00602BF6" w:rsidP="00D338DE">
      <w:pPr>
        <w:tabs>
          <w:tab w:val="left" w:pos="720"/>
          <w:tab w:val="left" w:pos="1440"/>
          <w:tab w:val="left" w:pos="2160"/>
          <w:tab w:val="right" w:leader="dot" w:pos="8730"/>
        </w:tabs>
      </w:pPr>
      <w:r w:rsidRPr="00035BE9">
        <w:tab/>
        <w:t>511 U.S. 383, 114 S.Ct. 1677, 128 L.</w:t>
      </w:r>
      <w:r w:rsidR="0061405C">
        <w:t xml:space="preserve"> </w:t>
      </w:r>
      <w:bookmarkStart w:id="0" w:name="_GoBack"/>
      <w:bookmarkEnd w:id="0"/>
      <w:r w:rsidRPr="00035BE9">
        <w:t>Ed.</w:t>
      </w:r>
      <w:r w:rsidR="0061405C">
        <w:t xml:space="preserve"> </w:t>
      </w:r>
      <w:r w:rsidRPr="00035BE9">
        <w:t>2d 399 (1994)</w:t>
      </w:r>
      <w:r>
        <w:t xml:space="preserve"> </w:t>
      </w:r>
      <w:r>
        <w:tab/>
      </w:r>
      <w:r w:rsidR="004658E4">
        <w:t>13</w:t>
      </w:r>
    </w:p>
    <w:p w14:paraId="39D94BDF" w14:textId="77777777" w:rsidR="00602BF6" w:rsidRDefault="00602BF6" w:rsidP="00D338DE">
      <w:pPr>
        <w:tabs>
          <w:tab w:val="left" w:pos="720"/>
          <w:tab w:val="left" w:pos="1440"/>
          <w:tab w:val="left" w:pos="2160"/>
          <w:tab w:val="right" w:leader="dot" w:pos="8730"/>
        </w:tabs>
      </w:pPr>
    </w:p>
    <w:p w14:paraId="180C167E" w14:textId="3C7A45EC" w:rsidR="00D338DE" w:rsidRPr="00035BE9" w:rsidRDefault="00D338DE" w:rsidP="00D338DE">
      <w:pPr>
        <w:tabs>
          <w:tab w:val="left" w:pos="720"/>
          <w:tab w:val="left" w:pos="1440"/>
          <w:tab w:val="left" w:pos="2160"/>
          <w:tab w:val="right" w:leader="dot" w:pos="8730"/>
        </w:tabs>
      </w:pPr>
      <w:r w:rsidRPr="00035BE9">
        <w:rPr>
          <w:i/>
        </w:rPr>
        <w:t>Dep’t of Revenue of Ky. v. Davis</w:t>
      </w:r>
      <w:r w:rsidRPr="00035BE9">
        <w:t xml:space="preserve">, </w:t>
      </w:r>
    </w:p>
    <w:p w14:paraId="22C7A96E" w14:textId="0B55BC02" w:rsidR="00D338DE" w:rsidRPr="00035BE9" w:rsidRDefault="00D338DE" w:rsidP="00D338DE">
      <w:pPr>
        <w:tabs>
          <w:tab w:val="left" w:pos="720"/>
          <w:tab w:val="left" w:pos="1440"/>
          <w:tab w:val="left" w:pos="2160"/>
          <w:tab w:val="right" w:leader="dot" w:pos="8730"/>
          <w:tab w:val="right" w:leader="dot" w:pos="9187"/>
        </w:tabs>
      </w:pPr>
      <w:r w:rsidRPr="00035BE9">
        <w:tab/>
        <w:t xml:space="preserve">553 U.S. 328, 128 S. Ct. 1801, 170 L. Ed. 2d 685 (2008) </w:t>
      </w:r>
      <w:r w:rsidRPr="00035BE9">
        <w:tab/>
      </w:r>
      <w:r w:rsidR="004658E4">
        <w:t>10</w:t>
      </w:r>
    </w:p>
    <w:p w14:paraId="60BBA9A4" w14:textId="77777777" w:rsidR="00D338DE" w:rsidRPr="00035BE9" w:rsidRDefault="00D338DE" w:rsidP="00D338DE">
      <w:pPr>
        <w:tabs>
          <w:tab w:val="left" w:pos="720"/>
          <w:tab w:val="left" w:pos="1440"/>
          <w:tab w:val="left" w:pos="2160"/>
          <w:tab w:val="right" w:leader="dot" w:pos="8730"/>
          <w:tab w:val="right" w:leader="dot" w:pos="9187"/>
        </w:tabs>
      </w:pPr>
    </w:p>
    <w:p w14:paraId="030F7948" w14:textId="77777777" w:rsidR="00602BF6" w:rsidRPr="00035BE9" w:rsidRDefault="00602BF6" w:rsidP="00FD7711">
      <w:pPr>
        <w:tabs>
          <w:tab w:val="left" w:pos="720"/>
          <w:tab w:val="left" w:pos="1440"/>
          <w:tab w:val="left" w:pos="2160"/>
          <w:tab w:val="right" w:leader="dot" w:pos="8640"/>
        </w:tabs>
      </w:pPr>
      <w:r w:rsidRPr="00035BE9">
        <w:rPr>
          <w:i/>
        </w:rPr>
        <w:t>Entergy Nuclear Vt. Yankee, LLC v. Shumlin</w:t>
      </w:r>
      <w:r w:rsidRPr="00035BE9">
        <w:t xml:space="preserve">, </w:t>
      </w:r>
    </w:p>
    <w:p w14:paraId="31D94CC4" w14:textId="2F11A4D2" w:rsidR="00602BF6" w:rsidRDefault="00602BF6" w:rsidP="00FD7711">
      <w:pPr>
        <w:tabs>
          <w:tab w:val="left" w:pos="720"/>
          <w:tab w:val="left" w:pos="1440"/>
          <w:tab w:val="left" w:pos="2160"/>
          <w:tab w:val="right" w:leader="dot" w:pos="8640"/>
        </w:tabs>
      </w:pPr>
      <w:r w:rsidRPr="00035BE9">
        <w:tab/>
        <w:t>733 F.3d 393 (2d Cir. 2013)</w:t>
      </w:r>
      <w:r>
        <w:t xml:space="preserve"> </w:t>
      </w:r>
      <w:r>
        <w:tab/>
      </w:r>
      <w:r w:rsidR="004658E4">
        <w:t>11</w:t>
      </w:r>
    </w:p>
    <w:p w14:paraId="00075607" w14:textId="77777777" w:rsidR="00602BF6" w:rsidRDefault="00602BF6" w:rsidP="00FD7711">
      <w:pPr>
        <w:tabs>
          <w:tab w:val="left" w:pos="720"/>
          <w:tab w:val="left" w:pos="1440"/>
          <w:tab w:val="left" w:pos="2160"/>
          <w:tab w:val="right" w:leader="dot" w:pos="8640"/>
        </w:tabs>
      </w:pPr>
    </w:p>
    <w:p w14:paraId="71DE9B0B" w14:textId="77777777" w:rsidR="00602BF6" w:rsidRPr="00035BE9" w:rsidRDefault="00602BF6" w:rsidP="00B01D54">
      <w:pPr>
        <w:tabs>
          <w:tab w:val="left" w:pos="720"/>
          <w:tab w:val="left" w:pos="1440"/>
          <w:tab w:val="left" w:pos="2160"/>
          <w:tab w:val="right" w:leader="dot" w:pos="8640"/>
        </w:tabs>
      </w:pPr>
      <w:r w:rsidRPr="00035BE9">
        <w:rPr>
          <w:i/>
        </w:rPr>
        <w:t>Gen. Motors Corp. v. Tracy</w:t>
      </w:r>
      <w:r w:rsidRPr="00035BE9">
        <w:t xml:space="preserve">, </w:t>
      </w:r>
    </w:p>
    <w:p w14:paraId="7D51ECA6" w14:textId="5FB2EAB3" w:rsidR="00602BF6" w:rsidRDefault="00602BF6" w:rsidP="00B01D54">
      <w:pPr>
        <w:tabs>
          <w:tab w:val="left" w:pos="720"/>
          <w:tab w:val="left" w:pos="1440"/>
          <w:tab w:val="left" w:pos="2160"/>
          <w:tab w:val="right" w:leader="dot" w:pos="8640"/>
        </w:tabs>
      </w:pPr>
      <w:r w:rsidRPr="00035BE9">
        <w:tab/>
        <w:t>519 U.S. 278, 117 S. Ct. 811, 824, 136 L. Ed. 2d 761 (1997)</w:t>
      </w:r>
      <w:r>
        <w:t xml:space="preserve"> </w:t>
      </w:r>
      <w:r>
        <w:tab/>
      </w:r>
      <w:r w:rsidR="004658E4">
        <w:t>12</w:t>
      </w:r>
    </w:p>
    <w:p w14:paraId="08302154" w14:textId="77777777" w:rsidR="00602BF6" w:rsidRDefault="00602BF6" w:rsidP="00B01D54">
      <w:pPr>
        <w:tabs>
          <w:tab w:val="left" w:pos="720"/>
          <w:tab w:val="left" w:pos="1440"/>
          <w:tab w:val="left" w:pos="2160"/>
          <w:tab w:val="right" w:leader="dot" w:pos="8640"/>
        </w:tabs>
      </w:pPr>
    </w:p>
    <w:p w14:paraId="7F440AE4" w14:textId="77777777" w:rsidR="00602BF6" w:rsidRPr="00035BE9" w:rsidRDefault="00602BF6" w:rsidP="00D338DE">
      <w:pPr>
        <w:tabs>
          <w:tab w:val="left" w:pos="720"/>
          <w:tab w:val="left" w:pos="1440"/>
          <w:tab w:val="left" w:pos="2160"/>
          <w:tab w:val="right" w:leader="dot" w:pos="8730"/>
        </w:tabs>
      </w:pPr>
      <w:r w:rsidRPr="00035BE9">
        <w:rPr>
          <w:i/>
        </w:rPr>
        <w:t>Middle S. Energy, Inc. v. Ark. Pub. Serv. Comm’n</w:t>
      </w:r>
      <w:r w:rsidRPr="00035BE9">
        <w:t xml:space="preserve">, </w:t>
      </w:r>
    </w:p>
    <w:p w14:paraId="2FE3050C" w14:textId="467E274D" w:rsidR="00602BF6" w:rsidRDefault="00602BF6" w:rsidP="00D338DE">
      <w:pPr>
        <w:tabs>
          <w:tab w:val="left" w:pos="720"/>
          <w:tab w:val="left" w:pos="1440"/>
          <w:tab w:val="left" w:pos="2160"/>
          <w:tab w:val="right" w:leader="dot" w:pos="8730"/>
        </w:tabs>
      </w:pPr>
      <w:r w:rsidRPr="00035BE9">
        <w:tab/>
        <w:t>772 F.2d 404 (8th Cir. 1985)</w:t>
      </w:r>
      <w:r>
        <w:t xml:space="preserve"> </w:t>
      </w:r>
      <w:r>
        <w:tab/>
      </w:r>
      <w:r w:rsidR="004658E4">
        <w:t>12</w:t>
      </w:r>
    </w:p>
    <w:p w14:paraId="0BB588CC" w14:textId="77777777" w:rsidR="00602BF6" w:rsidRDefault="00602BF6" w:rsidP="00D338DE">
      <w:pPr>
        <w:tabs>
          <w:tab w:val="left" w:pos="720"/>
          <w:tab w:val="left" w:pos="1440"/>
          <w:tab w:val="left" w:pos="2160"/>
          <w:tab w:val="right" w:leader="dot" w:pos="8730"/>
        </w:tabs>
      </w:pPr>
    </w:p>
    <w:p w14:paraId="4E7613D5" w14:textId="33457C12" w:rsidR="00D338DE" w:rsidRPr="00035BE9" w:rsidRDefault="00D338DE" w:rsidP="00D338DE">
      <w:pPr>
        <w:tabs>
          <w:tab w:val="left" w:pos="720"/>
          <w:tab w:val="left" w:pos="1440"/>
          <w:tab w:val="left" w:pos="2160"/>
          <w:tab w:val="right" w:leader="dot" w:pos="8730"/>
        </w:tabs>
      </w:pPr>
      <w:r w:rsidRPr="00035BE9">
        <w:rPr>
          <w:i/>
        </w:rPr>
        <w:t>Nat’l Ass’n of Optometrists &amp; Opticians v. Harris</w:t>
      </w:r>
      <w:r w:rsidRPr="00035BE9">
        <w:t>,</w:t>
      </w:r>
    </w:p>
    <w:p w14:paraId="22E3A7B9" w14:textId="4BB2386D" w:rsidR="00D338DE" w:rsidRPr="00035BE9" w:rsidRDefault="00D338DE" w:rsidP="00D338DE">
      <w:pPr>
        <w:tabs>
          <w:tab w:val="left" w:pos="720"/>
          <w:tab w:val="left" w:pos="1440"/>
          <w:tab w:val="left" w:pos="2160"/>
          <w:tab w:val="right" w:leader="dot" w:pos="8730"/>
          <w:tab w:val="right" w:leader="dot" w:pos="9187"/>
        </w:tabs>
      </w:pPr>
      <w:r w:rsidRPr="00035BE9">
        <w:tab/>
        <w:t xml:space="preserve"> 682 F.3d 1144 (9th Cir. 2012) </w:t>
      </w:r>
      <w:r w:rsidRPr="00035BE9">
        <w:tab/>
      </w:r>
      <w:r w:rsidR="004658E4">
        <w:t>10</w:t>
      </w:r>
    </w:p>
    <w:p w14:paraId="12A639C7" w14:textId="77777777" w:rsidR="00D338DE" w:rsidRPr="00035BE9" w:rsidRDefault="00D338DE" w:rsidP="00D338DE">
      <w:pPr>
        <w:tabs>
          <w:tab w:val="left" w:pos="720"/>
          <w:tab w:val="left" w:pos="1440"/>
          <w:tab w:val="left" w:pos="2160"/>
          <w:tab w:val="right" w:leader="dot" w:pos="8730"/>
        </w:tabs>
      </w:pPr>
    </w:p>
    <w:p w14:paraId="055F0CE5" w14:textId="77777777" w:rsidR="00D338DE" w:rsidRPr="00035BE9" w:rsidRDefault="00D338DE" w:rsidP="00B01D54">
      <w:pPr>
        <w:tabs>
          <w:tab w:val="left" w:pos="720"/>
          <w:tab w:val="left" w:pos="1440"/>
          <w:tab w:val="left" w:pos="2160"/>
          <w:tab w:val="right" w:leader="dot" w:pos="8640"/>
        </w:tabs>
      </w:pPr>
      <w:r w:rsidRPr="00035BE9">
        <w:rPr>
          <w:i/>
        </w:rPr>
        <w:t>New England Power Co. v. New Hampshire</w:t>
      </w:r>
      <w:r w:rsidRPr="00035BE9">
        <w:t xml:space="preserve">, </w:t>
      </w:r>
    </w:p>
    <w:p w14:paraId="0EEC68DE" w14:textId="73DD5F33" w:rsidR="00D338DE" w:rsidRDefault="00D338DE" w:rsidP="00B01D54">
      <w:pPr>
        <w:tabs>
          <w:tab w:val="left" w:pos="720"/>
          <w:tab w:val="left" w:pos="1440"/>
          <w:tab w:val="left" w:pos="2160"/>
          <w:tab w:val="right" w:leader="dot" w:pos="8640"/>
        </w:tabs>
      </w:pPr>
      <w:r w:rsidRPr="00035BE9">
        <w:tab/>
        <w:t>455 U.S. 331, 102 S. Ct. 1096, 71 L. Ed. 2d 188 (1982)</w:t>
      </w:r>
      <w:r>
        <w:t xml:space="preserve"> </w:t>
      </w:r>
      <w:r>
        <w:tab/>
      </w:r>
      <w:r w:rsidR="004658E4">
        <w:t>11</w:t>
      </w:r>
    </w:p>
    <w:p w14:paraId="27254FD9" w14:textId="77777777" w:rsidR="00D338DE" w:rsidRDefault="00D338DE" w:rsidP="00B01D54">
      <w:pPr>
        <w:tabs>
          <w:tab w:val="left" w:pos="720"/>
          <w:tab w:val="left" w:pos="1440"/>
          <w:tab w:val="left" w:pos="2160"/>
          <w:tab w:val="right" w:leader="dot" w:pos="8640"/>
        </w:tabs>
      </w:pPr>
    </w:p>
    <w:p w14:paraId="29D84F8A" w14:textId="1E7FC7EB" w:rsidR="00B868F2" w:rsidRPr="00035BE9" w:rsidRDefault="00B868F2" w:rsidP="00B01D54">
      <w:pPr>
        <w:tabs>
          <w:tab w:val="left" w:pos="720"/>
          <w:tab w:val="left" w:pos="1440"/>
          <w:tab w:val="left" w:pos="2160"/>
          <w:tab w:val="right" w:leader="dot" w:pos="8640"/>
        </w:tabs>
      </w:pPr>
      <w:r w:rsidRPr="00035BE9">
        <w:rPr>
          <w:i/>
        </w:rPr>
        <w:t>Or. Waste Sys., Inc. v. Dep’t of Envtl. Quality of State of Or.</w:t>
      </w:r>
      <w:r w:rsidRPr="00035BE9">
        <w:t xml:space="preserve">, </w:t>
      </w:r>
    </w:p>
    <w:p w14:paraId="0E305555" w14:textId="2209919B" w:rsidR="00B868F2" w:rsidRDefault="00B868F2" w:rsidP="00B01D54">
      <w:pPr>
        <w:tabs>
          <w:tab w:val="left" w:pos="720"/>
          <w:tab w:val="left" w:pos="1440"/>
          <w:tab w:val="left" w:pos="2160"/>
          <w:tab w:val="right" w:leader="dot" w:pos="8640"/>
        </w:tabs>
      </w:pPr>
      <w:r w:rsidRPr="00035BE9">
        <w:tab/>
        <w:t>511 U.S. 93, 114 S. Ct. 1345, 128 L. Ed. 2d 13 (1994)</w:t>
      </w:r>
      <w:r w:rsidRPr="00E96963">
        <w:t xml:space="preserve"> </w:t>
      </w:r>
      <w:r>
        <w:tab/>
      </w:r>
      <w:r w:rsidR="004658E4">
        <w:t>11, 12</w:t>
      </w:r>
    </w:p>
    <w:p w14:paraId="76EE2A43" w14:textId="77777777" w:rsidR="00B868F2" w:rsidRDefault="00B868F2" w:rsidP="00B01D54">
      <w:pPr>
        <w:tabs>
          <w:tab w:val="left" w:pos="720"/>
          <w:tab w:val="left" w:pos="1440"/>
          <w:tab w:val="left" w:pos="2160"/>
          <w:tab w:val="right" w:leader="dot" w:pos="8640"/>
        </w:tabs>
      </w:pPr>
    </w:p>
    <w:p w14:paraId="284744FF" w14:textId="77777777" w:rsidR="00602BF6" w:rsidRPr="00035BE9" w:rsidRDefault="00602BF6" w:rsidP="00FD7711">
      <w:pPr>
        <w:tabs>
          <w:tab w:val="left" w:pos="720"/>
          <w:tab w:val="left" w:pos="1440"/>
          <w:tab w:val="left" w:pos="2160"/>
          <w:tab w:val="right" w:leader="dot" w:pos="8640"/>
        </w:tabs>
      </w:pPr>
      <w:r w:rsidRPr="00035BE9">
        <w:rPr>
          <w:i/>
        </w:rPr>
        <w:t>Public S. Union Co. v. Missouri Pub. Serv. Comm’n</w:t>
      </w:r>
      <w:r w:rsidRPr="00035BE9">
        <w:t xml:space="preserve">, </w:t>
      </w:r>
    </w:p>
    <w:p w14:paraId="0827274F" w14:textId="5D6D8D94" w:rsidR="00602BF6" w:rsidRDefault="00602BF6" w:rsidP="00FD7711">
      <w:pPr>
        <w:tabs>
          <w:tab w:val="left" w:pos="720"/>
          <w:tab w:val="left" w:pos="1440"/>
          <w:tab w:val="left" w:pos="2160"/>
          <w:tab w:val="right" w:leader="dot" w:pos="8640"/>
        </w:tabs>
      </w:pPr>
      <w:r w:rsidRPr="00035BE9">
        <w:tab/>
        <w:t>289 F.3d 503, 508 (8th Cir. 2002)</w:t>
      </w:r>
      <w:r>
        <w:t xml:space="preserve"> </w:t>
      </w:r>
      <w:r>
        <w:tab/>
      </w:r>
      <w:r w:rsidR="004658E4">
        <w:t>13</w:t>
      </w:r>
    </w:p>
    <w:p w14:paraId="012FF7EF" w14:textId="77777777" w:rsidR="00602BF6" w:rsidRDefault="00602BF6" w:rsidP="00FD7711">
      <w:pPr>
        <w:tabs>
          <w:tab w:val="left" w:pos="720"/>
          <w:tab w:val="left" w:pos="1440"/>
          <w:tab w:val="left" w:pos="2160"/>
          <w:tab w:val="right" w:leader="dot" w:pos="8640"/>
        </w:tabs>
      </w:pPr>
    </w:p>
    <w:p w14:paraId="0EDDB3C7" w14:textId="74DFF2E4" w:rsidR="00B868F2" w:rsidRPr="00035BE9" w:rsidRDefault="00B868F2" w:rsidP="00B868F2">
      <w:pPr>
        <w:tabs>
          <w:tab w:val="left" w:pos="720"/>
          <w:tab w:val="left" w:pos="1440"/>
          <w:tab w:val="left" w:pos="2160"/>
          <w:tab w:val="right" w:leader="dot" w:pos="8730"/>
          <w:tab w:val="right" w:leader="dot" w:pos="9187"/>
        </w:tabs>
      </w:pPr>
      <w:r w:rsidRPr="00035BE9">
        <w:rPr>
          <w:i/>
        </w:rPr>
        <w:t>Wyoming v. Oklahoma</w:t>
      </w:r>
      <w:r w:rsidRPr="00035BE9">
        <w:t xml:space="preserve">, </w:t>
      </w:r>
    </w:p>
    <w:p w14:paraId="5A057364" w14:textId="0059695C" w:rsidR="00B868F2" w:rsidRPr="00DE3409" w:rsidRDefault="00B868F2" w:rsidP="00B868F2">
      <w:pPr>
        <w:tabs>
          <w:tab w:val="left" w:pos="720"/>
          <w:tab w:val="left" w:pos="1440"/>
          <w:tab w:val="left" w:pos="2160"/>
          <w:tab w:val="right" w:leader="dot" w:pos="8730"/>
          <w:tab w:val="right" w:leader="dot" w:pos="9187"/>
        </w:tabs>
        <w:rPr>
          <w:szCs w:val="24"/>
        </w:rPr>
      </w:pPr>
      <w:r w:rsidRPr="00035BE9">
        <w:tab/>
        <w:t xml:space="preserve">502 U.S. 437, 112 S. Ct. 789, 117 L. Ed. 2d 1 (1992) </w:t>
      </w:r>
      <w:r w:rsidRPr="00035BE9">
        <w:tab/>
      </w:r>
      <w:r w:rsidR="004658E4">
        <w:t>11</w:t>
      </w:r>
    </w:p>
    <w:p w14:paraId="427DAC8A" w14:textId="77777777" w:rsidR="0047380D" w:rsidRDefault="0047380D" w:rsidP="00FD7711">
      <w:pPr>
        <w:tabs>
          <w:tab w:val="left" w:pos="720"/>
          <w:tab w:val="left" w:pos="1440"/>
          <w:tab w:val="left" w:pos="2160"/>
          <w:tab w:val="right" w:leader="dot" w:pos="8640"/>
        </w:tabs>
        <w:rPr>
          <w:szCs w:val="24"/>
        </w:rPr>
      </w:pPr>
    </w:p>
    <w:p w14:paraId="603147BE" w14:textId="53AF5C9F" w:rsidR="0003109E" w:rsidRDefault="0003109E" w:rsidP="00FD7711">
      <w:pPr>
        <w:tabs>
          <w:tab w:val="left" w:pos="720"/>
          <w:tab w:val="left" w:pos="1440"/>
          <w:tab w:val="left" w:pos="2160"/>
          <w:tab w:val="right" w:leader="dot" w:pos="8640"/>
        </w:tabs>
        <w:rPr>
          <w:szCs w:val="24"/>
        </w:rPr>
      </w:pPr>
    </w:p>
    <w:p w14:paraId="0CE8A284" w14:textId="77777777" w:rsidR="0003109E" w:rsidRPr="00DE3409" w:rsidRDefault="0003109E" w:rsidP="00FD7711">
      <w:pPr>
        <w:tabs>
          <w:tab w:val="left" w:pos="720"/>
          <w:tab w:val="left" w:pos="1440"/>
          <w:tab w:val="left" w:pos="2160"/>
          <w:tab w:val="right" w:leader="dot" w:pos="8640"/>
        </w:tabs>
        <w:rPr>
          <w:szCs w:val="24"/>
        </w:rPr>
      </w:pPr>
    </w:p>
    <w:p w14:paraId="32E6A9B9" w14:textId="0282F799" w:rsidR="00FD7711" w:rsidRPr="001F30F6" w:rsidRDefault="00FD7711" w:rsidP="00FD7711">
      <w:pPr>
        <w:tabs>
          <w:tab w:val="left" w:pos="720"/>
          <w:tab w:val="left" w:pos="1440"/>
          <w:tab w:val="left" w:pos="2160"/>
          <w:tab w:val="right" w:leader="dot" w:pos="8640"/>
        </w:tabs>
        <w:jc w:val="center"/>
        <w:rPr>
          <w:b/>
          <w:szCs w:val="24"/>
        </w:rPr>
      </w:pPr>
      <w:r w:rsidRPr="001F30F6">
        <w:rPr>
          <w:b/>
          <w:i/>
          <w:szCs w:val="24"/>
        </w:rPr>
        <w:t>Table of Administrative Case</w:t>
      </w:r>
    </w:p>
    <w:p w14:paraId="7561614D" w14:textId="77777777" w:rsidR="00FD7711" w:rsidRPr="00DE3409" w:rsidRDefault="00FD7711" w:rsidP="00FD7711">
      <w:pPr>
        <w:tabs>
          <w:tab w:val="left" w:pos="720"/>
          <w:tab w:val="left" w:pos="1440"/>
          <w:tab w:val="left" w:pos="2160"/>
          <w:tab w:val="right" w:leader="dot" w:pos="8640"/>
        </w:tabs>
        <w:rPr>
          <w:szCs w:val="24"/>
        </w:rPr>
      </w:pPr>
    </w:p>
    <w:p w14:paraId="48D3DA6B" w14:textId="5F45322D" w:rsidR="00061667" w:rsidRPr="00035BE9" w:rsidRDefault="001E2BF7" w:rsidP="00C8438F">
      <w:pPr>
        <w:tabs>
          <w:tab w:val="left" w:pos="720"/>
          <w:tab w:val="left" w:pos="1440"/>
          <w:tab w:val="left" w:pos="2160"/>
          <w:tab w:val="right" w:leader="dot" w:pos="8640"/>
        </w:tabs>
        <w:rPr>
          <w:color w:val="000000" w:themeColor="text1"/>
          <w:szCs w:val="24"/>
        </w:rPr>
      </w:pPr>
      <w:r w:rsidRPr="00035BE9">
        <w:rPr>
          <w:i/>
          <w:color w:val="000000" w:themeColor="text1"/>
          <w:szCs w:val="24"/>
        </w:rPr>
        <w:t>In the Matter of PacifiCorp</w:t>
      </w:r>
      <w:r w:rsidR="00061667" w:rsidRPr="00035BE9">
        <w:rPr>
          <w:i/>
          <w:color w:val="000000" w:themeColor="text1"/>
          <w:szCs w:val="24"/>
        </w:rPr>
        <w:t xml:space="preserve"> Petition for an Order Approving Deferral of Costs Related to Declining Hydro Generation</w:t>
      </w:r>
      <w:r w:rsidR="00061667" w:rsidRPr="00035BE9">
        <w:rPr>
          <w:color w:val="000000" w:themeColor="text1"/>
          <w:szCs w:val="24"/>
        </w:rPr>
        <w:t xml:space="preserve">, </w:t>
      </w:r>
    </w:p>
    <w:p w14:paraId="523B21CE" w14:textId="5CA95070" w:rsidR="00061667" w:rsidRPr="00DE3409" w:rsidRDefault="00061667" w:rsidP="00C8438F">
      <w:pPr>
        <w:tabs>
          <w:tab w:val="left" w:pos="720"/>
          <w:tab w:val="left" w:pos="1440"/>
          <w:tab w:val="left" w:pos="2160"/>
          <w:tab w:val="right" w:leader="dot" w:pos="8640"/>
        </w:tabs>
        <w:rPr>
          <w:color w:val="000000" w:themeColor="text1"/>
          <w:szCs w:val="24"/>
        </w:rPr>
      </w:pPr>
      <w:r w:rsidRPr="00035BE9">
        <w:rPr>
          <w:color w:val="000000" w:themeColor="text1"/>
          <w:szCs w:val="24"/>
        </w:rPr>
        <w:tab/>
        <w:t xml:space="preserve">Docket UE-140094, Petition (January 17, 2014) </w:t>
      </w:r>
      <w:r w:rsidRPr="00035BE9">
        <w:rPr>
          <w:color w:val="000000" w:themeColor="text1"/>
          <w:szCs w:val="24"/>
        </w:rPr>
        <w:tab/>
      </w:r>
      <w:r w:rsidR="004658E4">
        <w:rPr>
          <w:color w:val="000000" w:themeColor="text1"/>
          <w:szCs w:val="24"/>
        </w:rPr>
        <w:t>17</w:t>
      </w:r>
    </w:p>
    <w:p w14:paraId="4E3185E5" w14:textId="77777777" w:rsidR="00061667" w:rsidRPr="00DE3409" w:rsidRDefault="00061667" w:rsidP="00C8438F">
      <w:pPr>
        <w:tabs>
          <w:tab w:val="left" w:pos="720"/>
          <w:tab w:val="left" w:pos="1440"/>
          <w:tab w:val="left" w:pos="2160"/>
          <w:tab w:val="right" w:leader="dot" w:pos="8640"/>
        </w:tabs>
        <w:rPr>
          <w:szCs w:val="24"/>
        </w:rPr>
      </w:pPr>
    </w:p>
    <w:p w14:paraId="0FBE1A3E" w14:textId="2150A0E8" w:rsidR="000B72E2" w:rsidRPr="00035BE9" w:rsidRDefault="00914E19" w:rsidP="00B04E78">
      <w:pPr>
        <w:keepNext/>
        <w:tabs>
          <w:tab w:val="left" w:pos="720"/>
          <w:tab w:val="left" w:pos="1440"/>
          <w:tab w:val="left" w:pos="2160"/>
          <w:tab w:val="right" w:leader="dot" w:pos="8640"/>
        </w:tabs>
        <w:rPr>
          <w:szCs w:val="24"/>
        </w:rPr>
      </w:pPr>
      <w:r w:rsidRPr="00035BE9">
        <w:rPr>
          <w:i/>
          <w:szCs w:val="24"/>
        </w:rPr>
        <w:t xml:space="preserve">Utilities &amp; Transp. </w:t>
      </w:r>
      <w:r w:rsidR="00312D08" w:rsidRPr="00035BE9">
        <w:rPr>
          <w:i/>
          <w:szCs w:val="24"/>
        </w:rPr>
        <w:t xml:space="preserve">Comm’n </w:t>
      </w:r>
      <w:r w:rsidR="0047380D" w:rsidRPr="00035BE9">
        <w:rPr>
          <w:i/>
          <w:szCs w:val="24"/>
        </w:rPr>
        <w:t>v. PacifiCorp</w:t>
      </w:r>
      <w:r w:rsidR="000B72E2" w:rsidRPr="00035BE9">
        <w:rPr>
          <w:szCs w:val="24"/>
        </w:rPr>
        <w:t xml:space="preserve">, </w:t>
      </w:r>
    </w:p>
    <w:p w14:paraId="2CDFFE13" w14:textId="667FC7BB" w:rsidR="0047380D" w:rsidRPr="00DE3409" w:rsidRDefault="000B72E2" w:rsidP="00FD7711">
      <w:pPr>
        <w:tabs>
          <w:tab w:val="left" w:pos="720"/>
          <w:tab w:val="left" w:pos="1440"/>
          <w:tab w:val="left" w:pos="2160"/>
          <w:tab w:val="right" w:leader="dot" w:pos="8640"/>
        </w:tabs>
        <w:rPr>
          <w:szCs w:val="24"/>
        </w:rPr>
      </w:pPr>
      <w:r w:rsidRPr="00035BE9">
        <w:rPr>
          <w:szCs w:val="24"/>
        </w:rPr>
        <w:tab/>
        <w:t xml:space="preserve">Docket UE-050684, Order 04 </w:t>
      </w:r>
      <w:r w:rsidR="0047380D" w:rsidRPr="00035BE9">
        <w:rPr>
          <w:szCs w:val="24"/>
        </w:rPr>
        <w:t>(April 17, 2006)</w:t>
      </w:r>
      <w:r w:rsidRPr="00035BE9">
        <w:rPr>
          <w:szCs w:val="24"/>
        </w:rPr>
        <w:t xml:space="preserve"> </w:t>
      </w:r>
      <w:r w:rsidRPr="00035BE9">
        <w:rPr>
          <w:szCs w:val="24"/>
        </w:rPr>
        <w:tab/>
      </w:r>
      <w:r w:rsidR="004658E4">
        <w:rPr>
          <w:szCs w:val="24"/>
        </w:rPr>
        <w:t>4</w:t>
      </w:r>
    </w:p>
    <w:p w14:paraId="25A22F31" w14:textId="77777777" w:rsidR="000B72E2" w:rsidRPr="00DE3409" w:rsidRDefault="000B72E2" w:rsidP="00FD7711">
      <w:pPr>
        <w:tabs>
          <w:tab w:val="left" w:pos="720"/>
          <w:tab w:val="left" w:pos="1440"/>
          <w:tab w:val="left" w:pos="2160"/>
          <w:tab w:val="right" w:leader="dot" w:pos="8640"/>
        </w:tabs>
        <w:rPr>
          <w:szCs w:val="24"/>
        </w:rPr>
      </w:pPr>
    </w:p>
    <w:p w14:paraId="61393A0F" w14:textId="78FBCA3F" w:rsidR="00B01130" w:rsidRPr="00035BE9" w:rsidRDefault="00312D08" w:rsidP="0003109E">
      <w:pPr>
        <w:keepNext/>
        <w:tabs>
          <w:tab w:val="left" w:pos="720"/>
          <w:tab w:val="left" w:pos="1440"/>
          <w:tab w:val="left" w:pos="2160"/>
          <w:tab w:val="right" w:leader="dot" w:pos="8640"/>
        </w:tabs>
        <w:rPr>
          <w:szCs w:val="24"/>
        </w:rPr>
      </w:pPr>
      <w:r w:rsidRPr="00035BE9">
        <w:rPr>
          <w:i/>
          <w:szCs w:val="24"/>
        </w:rPr>
        <w:lastRenderedPageBreak/>
        <w:t xml:space="preserve">Utilities </w:t>
      </w:r>
      <w:r w:rsidR="00914E19" w:rsidRPr="00035BE9">
        <w:rPr>
          <w:i/>
          <w:szCs w:val="24"/>
        </w:rPr>
        <w:t>&amp;</w:t>
      </w:r>
      <w:r w:rsidRPr="00035BE9">
        <w:rPr>
          <w:i/>
          <w:szCs w:val="24"/>
        </w:rPr>
        <w:t xml:space="preserve"> Transp. Comm’n </w:t>
      </w:r>
      <w:r w:rsidR="00C8438F" w:rsidRPr="00035BE9">
        <w:rPr>
          <w:i/>
          <w:szCs w:val="24"/>
        </w:rPr>
        <w:t>v. PacifiCorp</w:t>
      </w:r>
      <w:r w:rsidR="00C8438F" w:rsidRPr="00035BE9">
        <w:rPr>
          <w:szCs w:val="24"/>
        </w:rPr>
        <w:t xml:space="preserve">, </w:t>
      </w:r>
    </w:p>
    <w:p w14:paraId="2A24DFF4" w14:textId="536C9324" w:rsidR="00C8438F" w:rsidRPr="00DE3409" w:rsidRDefault="00B01130" w:rsidP="00FD7711">
      <w:pPr>
        <w:tabs>
          <w:tab w:val="left" w:pos="720"/>
          <w:tab w:val="left" w:pos="1440"/>
          <w:tab w:val="left" w:pos="2160"/>
          <w:tab w:val="right" w:leader="dot" w:pos="8640"/>
        </w:tabs>
        <w:rPr>
          <w:szCs w:val="24"/>
        </w:rPr>
      </w:pPr>
      <w:r w:rsidRPr="00035BE9">
        <w:rPr>
          <w:szCs w:val="24"/>
        </w:rPr>
        <w:tab/>
      </w:r>
      <w:r w:rsidR="00C8438F" w:rsidRPr="00035BE9">
        <w:rPr>
          <w:szCs w:val="24"/>
        </w:rPr>
        <w:t xml:space="preserve">Docket No. UE-100749, Order 06 (March 25, 2011) </w:t>
      </w:r>
      <w:r w:rsidR="00C8438F" w:rsidRPr="00035BE9">
        <w:rPr>
          <w:szCs w:val="24"/>
        </w:rPr>
        <w:tab/>
      </w:r>
      <w:r w:rsidR="004658E4">
        <w:rPr>
          <w:szCs w:val="24"/>
        </w:rPr>
        <w:t>4-6</w:t>
      </w:r>
    </w:p>
    <w:p w14:paraId="12275D03" w14:textId="77777777" w:rsidR="00C8438F" w:rsidRPr="00DE3409" w:rsidRDefault="00C8438F" w:rsidP="00FD7711">
      <w:pPr>
        <w:tabs>
          <w:tab w:val="left" w:pos="720"/>
          <w:tab w:val="left" w:pos="1440"/>
          <w:tab w:val="left" w:pos="2160"/>
          <w:tab w:val="right" w:leader="dot" w:pos="8640"/>
        </w:tabs>
        <w:rPr>
          <w:szCs w:val="24"/>
        </w:rPr>
      </w:pPr>
    </w:p>
    <w:p w14:paraId="5E89FD7C" w14:textId="54A40B46" w:rsidR="000B72E2" w:rsidRPr="00035BE9" w:rsidRDefault="00312D08" w:rsidP="00FD7711">
      <w:pPr>
        <w:tabs>
          <w:tab w:val="left" w:pos="720"/>
          <w:tab w:val="left" w:pos="1440"/>
          <w:tab w:val="left" w:pos="2160"/>
          <w:tab w:val="right" w:leader="dot" w:pos="8640"/>
        </w:tabs>
        <w:rPr>
          <w:szCs w:val="24"/>
        </w:rPr>
      </w:pPr>
      <w:r w:rsidRPr="00035BE9">
        <w:rPr>
          <w:i/>
          <w:szCs w:val="24"/>
        </w:rPr>
        <w:t xml:space="preserve">Utilities </w:t>
      </w:r>
      <w:r w:rsidR="00914E19" w:rsidRPr="00035BE9">
        <w:rPr>
          <w:i/>
          <w:szCs w:val="24"/>
        </w:rPr>
        <w:t>&amp;</w:t>
      </w:r>
      <w:r w:rsidRPr="00035BE9">
        <w:rPr>
          <w:i/>
          <w:szCs w:val="24"/>
        </w:rPr>
        <w:t xml:space="preserve"> Transp. Comm’n </w:t>
      </w:r>
      <w:r w:rsidR="000B72E2" w:rsidRPr="00035BE9">
        <w:rPr>
          <w:i/>
          <w:szCs w:val="24"/>
        </w:rPr>
        <w:t>v. PacifiCorp</w:t>
      </w:r>
      <w:r w:rsidR="000B72E2" w:rsidRPr="00035BE9">
        <w:rPr>
          <w:szCs w:val="24"/>
        </w:rPr>
        <w:t>,</w:t>
      </w:r>
    </w:p>
    <w:p w14:paraId="34E66C58" w14:textId="77777777" w:rsidR="00F42525" w:rsidRPr="00035BE9" w:rsidRDefault="000B72E2" w:rsidP="00FD7711">
      <w:pPr>
        <w:tabs>
          <w:tab w:val="left" w:pos="720"/>
          <w:tab w:val="left" w:pos="1440"/>
          <w:tab w:val="left" w:pos="2160"/>
          <w:tab w:val="right" w:leader="dot" w:pos="8640"/>
        </w:tabs>
        <w:rPr>
          <w:szCs w:val="24"/>
        </w:rPr>
      </w:pPr>
      <w:r w:rsidRPr="00035BE9">
        <w:rPr>
          <w:szCs w:val="24"/>
        </w:rPr>
        <w:tab/>
        <w:t xml:space="preserve">Docket UE-130043, Order 05 </w:t>
      </w:r>
    </w:p>
    <w:p w14:paraId="33DEB412" w14:textId="74650E05" w:rsidR="00FD7711" w:rsidRPr="00DE3409" w:rsidRDefault="00F42525" w:rsidP="00FD7711">
      <w:pPr>
        <w:tabs>
          <w:tab w:val="left" w:pos="720"/>
          <w:tab w:val="left" w:pos="1440"/>
          <w:tab w:val="left" w:pos="2160"/>
          <w:tab w:val="right" w:leader="dot" w:pos="8640"/>
        </w:tabs>
        <w:rPr>
          <w:szCs w:val="24"/>
        </w:rPr>
      </w:pPr>
      <w:r w:rsidRPr="00035BE9">
        <w:rPr>
          <w:szCs w:val="24"/>
        </w:rPr>
        <w:tab/>
      </w:r>
      <w:r w:rsidR="000B72E2" w:rsidRPr="00035BE9">
        <w:rPr>
          <w:szCs w:val="24"/>
        </w:rPr>
        <w:t xml:space="preserve">(December 4, 2013) </w:t>
      </w:r>
      <w:r w:rsidR="000B72E2" w:rsidRPr="00035BE9">
        <w:rPr>
          <w:szCs w:val="24"/>
        </w:rPr>
        <w:tab/>
      </w:r>
      <w:r w:rsidR="004658E4">
        <w:rPr>
          <w:szCs w:val="24"/>
        </w:rPr>
        <w:t>2, 4, 5, 6, 10</w:t>
      </w:r>
    </w:p>
    <w:p w14:paraId="01AEF314" w14:textId="77777777" w:rsidR="00FD7711" w:rsidRPr="00DE3409" w:rsidRDefault="00FD7711" w:rsidP="00FD7711">
      <w:pPr>
        <w:tabs>
          <w:tab w:val="left" w:pos="720"/>
          <w:tab w:val="left" w:pos="1440"/>
          <w:tab w:val="left" w:pos="2160"/>
          <w:tab w:val="right" w:leader="dot" w:pos="8640"/>
        </w:tabs>
        <w:rPr>
          <w:szCs w:val="24"/>
        </w:rPr>
      </w:pPr>
    </w:p>
    <w:p w14:paraId="4EDF7869" w14:textId="26479C36" w:rsidR="00954712" w:rsidRPr="00DE3409" w:rsidRDefault="00954712" w:rsidP="00FD7711">
      <w:pPr>
        <w:tabs>
          <w:tab w:val="left" w:pos="720"/>
          <w:tab w:val="left" w:pos="1440"/>
          <w:tab w:val="left" w:pos="2160"/>
          <w:tab w:val="right" w:leader="dot" w:pos="8640"/>
        </w:tabs>
        <w:rPr>
          <w:i/>
          <w:szCs w:val="24"/>
        </w:rPr>
      </w:pPr>
    </w:p>
    <w:p w14:paraId="0EBC0A0E" w14:textId="5EDA7C59" w:rsidR="004855EC" w:rsidRDefault="004855EC" w:rsidP="004855EC">
      <w:pPr>
        <w:jc w:val="center"/>
        <w:rPr>
          <w:szCs w:val="24"/>
        </w:rPr>
      </w:pPr>
    </w:p>
    <w:p w14:paraId="7EE1442F" w14:textId="2301C7D2" w:rsidR="004855EC" w:rsidRDefault="004855EC" w:rsidP="004855EC">
      <w:pPr>
        <w:rPr>
          <w:szCs w:val="24"/>
        </w:rPr>
      </w:pPr>
    </w:p>
    <w:p w14:paraId="165B89CD" w14:textId="77777777" w:rsidR="00FD7711" w:rsidRPr="004855EC" w:rsidRDefault="00FD7711" w:rsidP="004855EC">
      <w:pPr>
        <w:rPr>
          <w:szCs w:val="24"/>
        </w:rPr>
        <w:sectPr w:rsidR="00FD7711" w:rsidRPr="004855EC" w:rsidSect="00126870">
          <w:footerReference w:type="default" r:id="rId11"/>
          <w:pgSz w:w="12240" w:h="15840" w:code="1"/>
          <w:pgMar w:top="1440" w:right="1440" w:bottom="1440" w:left="1440" w:header="288" w:footer="432" w:gutter="0"/>
          <w:pgNumType w:fmt="lowerRoman" w:start="1"/>
          <w:cols w:space="720"/>
          <w:docGrid w:linePitch="360"/>
        </w:sectPr>
      </w:pPr>
    </w:p>
    <w:p w14:paraId="11B42996" w14:textId="53885416" w:rsidR="0009119D" w:rsidRPr="00DE3409" w:rsidRDefault="0009119D" w:rsidP="00D874F6">
      <w:pPr>
        <w:keepNext/>
        <w:spacing w:line="480" w:lineRule="auto"/>
        <w:jc w:val="center"/>
        <w:rPr>
          <w:b/>
          <w:color w:val="auto"/>
          <w:szCs w:val="24"/>
        </w:rPr>
      </w:pPr>
      <w:r w:rsidRPr="00DE3409">
        <w:rPr>
          <w:b/>
          <w:color w:val="auto"/>
          <w:szCs w:val="24"/>
        </w:rPr>
        <w:lastRenderedPageBreak/>
        <w:t>I.  INTRODUCTION</w:t>
      </w:r>
    </w:p>
    <w:p w14:paraId="298D6C4F" w14:textId="52E9901D" w:rsidR="004D5713" w:rsidRPr="00DE3409" w:rsidRDefault="00F72546" w:rsidP="004D5713">
      <w:pPr>
        <w:pStyle w:val="WUTCParagraph"/>
        <w:tabs>
          <w:tab w:val="clear" w:pos="1440"/>
        </w:tabs>
        <w:rPr>
          <w:lang w:val="en-US"/>
        </w:rPr>
      </w:pPr>
      <w:r>
        <w:rPr>
          <w:lang w:val="en-US"/>
        </w:rPr>
        <w:tab/>
        <w:t xml:space="preserve">Staff’s Reply Brief </w:t>
      </w:r>
      <w:r w:rsidR="00ED1D93">
        <w:rPr>
          <w:lang w:val="en-US"/>
        </w:rPr>
        <w:t xml:space="preserve">responds to </w:t>
      </w:r>
      <w:r w:rsidR="001B4793">
        <w:rPr>
          <w:lang w:val="en-US"/>
        </w:rPr>
        <w:t>the</w:t>
      </w:r>
      <w:r w:rsidR="00ED1D93">
        <w:rPr>
          <w:lang w:val="en-US"/>
        </w:rPr>
        <w:t xml:space="preserve"> arguments </w:t>
      </w:r>
      <w:r w:rsidR="001B4793">
        <w:rPr>
          <w:lang w:val="en-US"/>
        </w:rPr>
        <w:t xml:space="preserve">of </w:t>
      </w:r>
      <w:r w:rsidR="001B4793" w:rsidRPr="00DE3409">
        <w:t>PacifiCorp d/b/a Pacific Power &amp; Light Comp</w:t>
      </w:r>
      <w:r w:rsidR="001B4793">
        <w:t>any (“PacifiCorp” or “Company”)</w:t>
      </w:r>
      <w:r w:rsidR="00ED1D93">
        <w:rPr>
          <w:lang w:val="en-US"/>
        </w:rPr>
        <w:t xml:space="preserve"> challenging Staff’s rational and equitable cost of capital analysis, and </w:t>
      </w:r>
      <w:r w:rsidR="0058128E">
        <w:rPr>
          <w:lang w:val="en-US"/>
        </w:rPr>
        <w:t>Staff’s</w:t>
      </w:r>
      <w:r w:rsidR="00ED1D93">
        <w:rPr>
          <w:lang w:val="en-US"/>
        </w:rPr>
        <w:t xml:space="preserve"> continued support for the WCA’s exclusion of Oregon and California QFs from Washington rates. Staff’s brief also addresses</w:t>
      </w:r>
      <w:r w:rsidR="00FE4718">
        <w:rPr>
          <w:lang w:val="en-US"/>
        </w:rPr>
        <w:t xml:space="preserve"> insurance expenses and why removal of the Company’s </w:t>
      </w:r>
      <w:r w:rsidR="00FE4718">
        <w:t>$30.8 million insurance expense</w:t>
      </w:r>
      <w:r w:rsidR="00FE4718">
        <w:rPr>
          <w:lang w:val="en-US"/>
        </w:rPr>
        <w:t xml:space="preserve"> for 2012 from its six year rolling average reflects correct ratemaking principles and protects the ratepayers from one-time expense outliers.  </w:t>
      </w:r>
    </w:p>
    <w:p w14:paraId="64409D40" w14:textId="34D34467" w:rsidR="00CA7E4B" w:rsidRDefault="00CA7E4B" w:rsidP="00F72C54">
      <w:pPr>
        <w:keepNext/>
        <w:spacing w:line="480" w:lineRule="auto"/>
        <w:jc w:val="center"/>
        <w:rPr>
          <w:b/>
          <w:szCs w:val="24"/>
        </w:rPr>
      </w:pPr>
      <w:r w:rsidRPr="00DE3409">
        <w:rPr>
          <w:b/>
          <w:szCs w:val="24"/>
        </w:rPr>
        <w:t>II.  COST OF CAPITAL</w:t>
      </w:r>
    </w:p>
    <w:p w14:paraId="53B7E8C7" w14:textId="4324AE0B" w:rsidR="00A365E8" w:rsidRPr="00A365E8" w:rsidRDefault="00A365E8" w:rsidP="00F72C54">
      <w:pPr>
        <w:spacing w:line="480" w:lineRule="auto"/>
        <w:rPr>
          <w:rFonts w:eastAsia="Calibri"/>
          <w:b/>
        </w:rPr>
      </w:pPr>
      <w:r>
        <w:rPr>
          <w:rFonts w:eastAsia="Calibri"/>
          <w:b/>
        </w:rPr>
        <w:t>A.</w:t>
      </w:r>
      <w:r>
        <w:rPr>
          <w:rFonts w:eastAsia="Calibri"/>
          <w:b/>
        </w:rPr>
        <w:tab/>
      </w:r>
      <w:r w:rsidR="00F35A4A">
        <w:rPr>
          <w:rFonts w:eastAsia="Calibri"/>
          <w:b/>
        </w:rPr>
        <w:t>Return on Equity</w:t>
      </w:r>
    </w:p>
    <w:p w14:paraId="5169FCBF" w14:textId="023039B2" w:rsidR="00A365E8" w:rsidRDefault="00F72C54" w:rsidP="00F72C54">
      <w:pPr>
        <w:ind w:left="1440" w:hanging="720"/>
        <w:rPr>
          <w:b/>
          <w:szCs w:val="24"/>
        </w:rPr>
      </w:pPr>
      <w:r>
        <w:rPr>
          <w:b/>
          <w:szCs w:val="24"/>
        </w:rPr>
        <w:t>1.</w:t>
      </w:r>
      <w:r>
        <w:rPr>
          <w:b/>
          <w:szCs w:val="24"/>
        </w:rPr>
        <w:tab/>
      </w:r>
      <w:r w:rsidR="00A365E8">
        <w:rPr>
          <w:b/>
          <w:szCs w:val="24"/>
        </w:rPr>
        <w:t>The interest rate environment indicates that the Company’s return on equity should be reduced.</w:t>
      </w:r>
    </w:p>
    <w:p w14:paraId="5EFF4613" w14:textId="77777777" w:rsidR="00F72C54" w:rsidRDefault="00F72C54" w:rsidP="00F72C54">
      <w:pPr>
        <w:ind w:left="1440" w:hanging="720"/>
        <w:rPr>
          <w:b/>
          <w:szCs w:val="24"/>
        </w:rPr>
      </w:pPr>
    </w:p>
    <w:p w14:paraId="6A121F26" w14:textId="498690CF" w:rsidR="00A365E8" w:rsidRDefault="00F72C54" w:rsidP="00F72C54">
      <w:pPr>
        <w:pStyle w:val="WUTCParagraph"/>
        <w:tabs>
          <w:tab w:val="clear" w:pos="1440"/>
        </w:tabs>
      </w:pPr>
      <w:r>
        <w:tab/>
      </w:r>
      <w:r w:rsidR="00A365E8" w:rsidRPr="00F72C54">
        <w:t>PacifiCorp argues that its return on equity (ROE) should be raised because “[i]nterest rates are similar to the 2013 level when the Commission set [the Company’s] ROE at 9.5 percent, . . . and the risk associated with future interest rates has increased.”</w:t>
      </w:r>
      <w:r w:rsidR="00A365E8">
        <w:rPr>
          <w:rStyle w:val="FootnoteReference"/>
        </w:rPr>
        <w:footnoteReference w:id="2"/>
      </w:r>
      <w:r w:rsidR="00A365E8" w:rsidRPr="00F72C54">
        <w:t xml:space="preserve">  Current interest rates, however, are not similar to 2013 rates.  Even if they were, there is no basis for the Company’s suggestion that similar interest rates create an “interest rate environment [that] supports a higher ROE.”</w:t>
      </w:r>
      <w:r w:rsidR="00A365E8">
        <w:rPr>
          <w:rStyle w:val="FootnoteReference"/>
        </w:rPr>
        <w:footnoteReference w:id="3"/>
      </w:r>
      <w:r w:rsidR="00A365E8" w:rsidRPr="00F72C54">
        <w:t xml:space="preserve">  Furthermore, the Company’s theory that interest rate risk has increased should be given little weight.  The specter of increased risk that the Company raises is no more substantial than the Company’s prior prediction of interest rate increases that never materialized.</w:t>
      </w:r>
    </w:p>
    <w:p w14:paraId="5441E6FF" w14:textId="278BD132" w:rsidR="00A365E8" w:rsidRPr="00F72C54" w:rsidRDefault="00F72C54" w:rsidP="00F72C54">
      <w:pPr>
        <w:pStyle w:val="WUTCParagraph"/>
        <w:tabs>
          <w:tab w:val="clear" w:pos="1440"/>
        </w:tabs>
      </w:pPr>
      <w:r>
        <w:lastRenderedPageBreak/>
        <w:tab/>
      </w:r>
      <w:r w:rsidR="00A365E8" w:rsidRPr="00F72C54">
        <w:t>Interest rates in 2014 were not merely dissimilar to 2013 rates; rates in 2014 were unmistakably different in that they experienced a distinct decline.  In December 2013, when the Commission entered its decision in the 2013 general rate case (GRC), the average bond yield of single-A rated public utilities was 4.81 percent.</w:t>
      </w:r>
      <w:r w:rsidR="00A365E8">
        <w:rPr>
          <w:rStyle w:val="FootnoteReference"/>
        </w:rPr>
        <w:footnoteReference w:id="4"/>
      </w:r>
      <w:r w:rsidR="00A365E8" w:rsidRPr="00F72C54">
        <w:t xml:space="preserve">  The yields continued to decline steadily throughout 2014.  The average yield as of November 2014 for single-A rated utilities was 4.09 percent.</w:t>
      </w:r>
      <w:r w:rsidR="00A365E8">
        <w:rPr>
          <w:rStyle w:val="FootnoteReference"/>
        </w:rPr>
        <w:footnoteReference w:id="5"/>
      </w:r>
    </w:p>
    <w:p w14:paraId="7F479794" w14:textId="03037735" w:rsidR="00A365E8" w:rsidRDefault="005142EA" w:rsidP="0015504F">
      <w:pPr>
        <w:pStyle w:val="WUTCParagraph"/>
        <w:tabs>
          <w:tab w:val="clear" w:pos="1440"/>
        </w:tabs>
      </w:pPr>
      <w:r>
        <w:tab/>
      </w:r>
      <w:r w:rsidR="00A365E8">
        <w:t xml:space="preserve">PacifiCorp </w:t>
      </w:r>
      <w:r w:rsidR="00A365E8">
        <w:rPr>
          <w:bCs/>
        </w:rPr>
        <w:t xml:space="preserve">has not demonstrated that investors will think the interest rate environment makes the Company a riskier investment.  </w:t>
      </w:r>
      <w:r w:rsidR="00A365E8">
        <w:t>The Company argues that the conclusion of the Federal Reserve’s quantitative easing program has led investors to expect higher interest rates and that, therefore, there is now more risk that interest rates will increase.</w:t>
      </w:r>
      <w:r w:rsidR="00A365E8">
        <w:rPr>
          <w:rStyle w:val="FootnoteReference"/>
        </w:rPr>
        <w:footnoteReference w:id="6"/>
      </w:r>
      <w:r w:rsidR="00A365E8">
        <w:t xml:space="preserve">  This is the same kind of speculative argument regarding interest rate risk that the Company made in the 2013 GRC.</w:t>
      </w:r>
      <w:r w:rsidR="00A365E8">
        <w:rPr>
          <w:rStyle w:val="FootnoteReference"/>
        </w:rPr>
        <w:footnoteReference w:id="7"/>
      </w:r>
      <w:r w:rsidR="00A365E8">
        <w:t xml:space="preserve">  Despite the Company’s assertions in the prior GRC that interest rates would rise, rates actually declined.  As Mr. Parcell points out, due to the fact that interest rates have remained low, “it cannot be maintained that low interest rates . . . are temporary and do not reflect investor expectations.”</w:t>
      </w:r>
      <w:r w:rsidR="00A365E8">
        <w:rPr>
          <w:rStyle w:val="FootnoteReference"/>
        </w:rPr>
        <w:footnoteReference w:id="8"/>
      </w:r>
      <w:r w:rsidR="00A365E8">
        <w:t xml:space="preserve">  PacifiCorp should not receive a higher ROE in this case based merely on speculation that the cost of debt might increase before the completion of the Company’s next rate case.</w:t>
      </w:r>
    </w:p>
    <w:p w14:paraId="788F0BE3" w14:textId="1369C377" w:rsidR="00A365E8" w:rsidRDefault="00F72C54" w:rsidP="00E47653">
      <w:pPr>
        <w:keepNext/>
        <w:ind w:left="1440" w:hanging="720"/>
        <w:rPr>
          <w:b/>
          <w:szCs w:val="24"/>
        </w:rPr>
      </w:pPr>
      <w:r>
        <w:rPr>
          <w:b/>
          <w:szCs w:val="24"/>
        </w:rPr>
        <w:lastRenderedPageBreak/>
        <w:t>2.</w:t>
      </w:r>
      <w:r>
        <w:rPr>
          <w:b/>
          <w:szCs w:val="24"/>
        </w:rPr>
        <w:tab/>
      </w:r>
      <w:r w:rsidR="00A365E8">
        <w:rPr>
          <w:b/>
          <w:szCs w:val="24"/>
        </w:rPr>
        <w:t xml:space="preserve">The Company has high debt ratings and, therefore, low risk in comparison to the proxy groups as well as to the whole industry. </w:t>
      </w:r>
    </w:p>
    <w:p w14:paraId="4F4E8C50" w14:textId="77777777" w:rsidR="00F72C54" w:rsidRDefault="00F72C54" w:rsidP="00E47653">
      <w:pPr>
        <w:keepNext/>
        <w:rPr>
          <w:b/>
          <w:szCs w:val="24"/>
        </w:rPr>
      </w:pPr>
    </w:p>
    <w:p w14:paraId="22C7FEE0" w14:textId="5B692C65" w:rsidR="00A365E8" w:rsidRDefault="00F72C54" w:rsidP="00F72C54">
      <w:pPr>
        <w:pStyle w:val="WUTCParagraph"/>
        <w:tabs>
          <w:tab w:val="clear" w:pos="1440"/>
        </w:tabs>
        <w:rPr>
          <w:b/>
        </w:rPr>
      </w:pPr>
      <w:r>
        <w:tab/>
      </w:r>
      <w:r w:rsidR="00A365E8">
        <w:t>PacifiCorp argues that the Company’s risk profile does not support a lower ROE, in part because the Company’s risk profile is similar to those of the proxy group companies.  Although it is true that one of Mr. Parcell’s criteria for selecting companies for his proxy group was a Moody’s or S&amp;P rating of “A,” PacifiCorp still has top ratings when compared with the proxy group.</w:t>
      </w:r>
      <w:r w:rsidR="00A365E8">
        <w:rPr>
          <w:rStyle w:val="FootnoteReference"/>
        </w:rPr>
        <w:footnoteReference w:id="9"/>
      </w:r>
      <w:r w:rsidR="00A365E8">
        <w:t xml:space="preserve">  PacifiCorp has a higher S&amp;P bond rating than any of the companies of Mr. Parcell’s proxy group, and only one of the other proxy group companies has the same Moody’s rating as PacifiCorp.</w:t>
      </w:r>
      <w:r w:rsidR="00A365E8">
        <w:rPr>
          <w:rStyle w:val="FootnoteReference"/>
        </w:rPr>
        <w:footnoteReference w:id="10"/>
      </w:r>
      <w:r w:rsidR="00A365E8">
        <w:t xml:space="preserve">  Even in Mr. Strunk’s proxy group all of the companies save two have a rating that is lower than PacifiCorp’s.</w:t>
      </w:r>
      <w:r w:rsidR="00A365E8">
        <w:rPr>
          <w:rStyle w:val="FootnoteReference"/>
        </w:rPr>
        <w:footnoteReference w:id="11"/>
      </w:r>
      <w:r w:rsidR="00A365E8">
        <w:t xml:space="preserve">  In addition, Mr. Parcell demonstrates that PacifiCorp’s bond ratings are above the industry average.</w:t>
      </w:r>
      <w:r w:rsidR="00A365E8">
        <w:rPr>
          <w:rStyle w:val="FootnoteReference"/>
        </w:rPr>
        <w:footnoteReference w:id="12"/>
      </w:r>
      <w:r w:rsidR="00A365E8">
        <w:t xml:space="preserve">  Due to its high debt ratings, PacifiCorp carries relatively low risk, which translates into a lower required return.  </w:t>
      </w:r>
    </w:p>
    <w:p w14:paraId="6D899124" w14:textId="434DDA7A" w:rsidR="00A365E8" w:rsidRDefault="00F72C54" w:rsidP="00F72C54">
      <w:pPr>
        <w:spacing w:line="480" w:lineRule="auto"/>
        <w:ind w:firstLine="720"/>
        <w:rPr>
          <w:b/>
          <w:szCs w:val="24"/>
        </w:rPr>
      </w:pPr>
      <w:r>
        <w:rPr>
          <w:b/>
          <w:szCs w:val="24"/>
        </w:rPr>
        <w:t>3.</w:t>
      </w:r>
      <w:r>
        <w:rPr>
          <w:b/>
          <w:szCs w:val="24"/>
        </w:rPr>
        <w:tab/>
      </w:r>
      <w:r w:rsidR="00A365E8">
        <w:rPr>
          <w:b/>
          <w:szCs w:val="24"/>
        </w:rPr>
        <w:t>PacifiCorp is not entitled to the same ROE as PSE.</w:t>
      </w:r>
    </w:p>
    <w:p w14:paraId="51921401" w14:textId="5F1C2BE8" w:rsidR="00A365E8" w:rsidRDefault="00F72C54" w:rsidP="00F72C54">
      <w:pPr>
        <w:pStyle w:val="WUTCParagraph"/>
        <w:tabs>
          <w:tab w:val="clear" w:pos="1440"/>
        </w:tabs>
      </w:pPr>
      <w:r>
        <w:tab/>
      </w:r>
      <w:r w:rsidR="00A365E8">
        <w:t>The Company appears to argue that Mr. Parcell should recommend at least the same ROE for PacifiCorp in 2015 that he recommends for Puget Sound Energy, Inc. (PSE) as of early 2013.</w:t>
      </w:r>
      <w:r w:rsidR="00A365E8">
        <w:rPr>
          <w:rStyle w:val="FootnoteReference"/>
        </w:rPr>
        <w:footnoteReference w:id="13"/>
      </w:r>
      <w:r w:rsidR="00A365E8">
        <w:t xml:space="preserve">  This fails to take into account, however, the companies’ respective credit ratings and the interest rate environment during the last two years.  As Mr. Parcell explained, </w:t>
      </w:r>
    </w:p>
    <w:p w14:paraId="6C164300" w14:textId="77777777" w:rsidR="00A365E8" w:rsidRDefault="00A365E8" w:rsidP="00F72C54">
      <w:pPr>
        <w:ind w:left="720"/>
        <w:rPr>
          <w:szCs w:val="24"/>
        </w:rPr>
      </w:pPr>
      <w:r>
        <w:rPr>
          <w:szCs w:val="24"/>
        </w:rPr>
        <w:t xml:space="preserve">PSE has lower bond ratings than PacifiCorp.  And also PSE’s return on equity was as of early 2013, whereas PacifiCorp’s is in the . . . fourth quarter of 2014.  It’s a different time period, different proxy companies.   And most of my recommendations are lower today than they were two years ago because the cost of </w:t>
      </w:r>
      <w:r>
        <w:rPr>
          <w:szCs w:val="24"/>
        </w:rPr>
        <w:lastRenderedPageBreak/>
        <w:t>equity has declined over the last two years, as indicated by the lower authorized returns by utility commissions.</w:t>
      </w:r>
      <w:r>
        <w:rPr>
          <w:rStyle w:val="FootnoteReference"/>
          <w:szCs w:val="24"/>
        </w:rPr>
        <w:footnoteReference w:id="14"/>
      </w:r>
    </w:p>
    <w:p w14:paraId="0AAC0100" w14:textId="77777777" w:rsidR="00F72C54" w:rsidRDefault="00F72C54" w:rsidP="00F72C54">
      <w:pPr>
        <w:rPr>
          <w:szCs w:val="24"/>
        </w:rPr>
      </w:pPr>
    </w:p>
    <w:p w14:paraId="2D1552A2" w14:textId="77777777" w:rsidR="00A365E8" w:rsidRPr="002B4F5F" w:rsidRDefault="00A365E8" w:rsidP="00F72C54">
      <w:pPr>
        <w:spacing w:line="480" w:lineRule="auto"/>
        <w:rPr>
          <w:szCs w:val="24"/>
        </w:rPr>
      </w:pPr>
      <w:r>
        <w:rPr>
          <w:szCs w:val="24"/>
        </w:rPr>
        <w:t>The Company latches on to Mr. Parcell’s application of his Comparable Earnings (CE) analysis to the two companies to imply discriminatory treatment.</w:t>
      </w:r>
      <w:r>
        <w:rPr>
          <w:rStyle w:val="FootnoteReference"/>
          <w:szCs w:val="24"/>
        </w:rPr>
        <w:footnoteReference w:id="15"/>
      </w:r>
      <w:r>
        <w:rPr>
          <w:szCs w:val="24"/>
        </w:rPr>
        <w:t xml:space="preserve">  The fact is, however, that Mr. Parcell’s conclusions regarding the two companies are not that different.  First of all, Mr. Parcell recommends a reduction in the ROE of both PacifiCorp and PSE.  Moreover, his midpoints for the two companies are relatively close: 9.3 percent (PacifiCorp)</w:t>
      </w:r>
      <w:r>
        <w:rPr>
          <w:rStyle w:val="FootnoteReference"/>
          <w:szCs w:val="24"/>
        </w:rPr>
        <w:footnoteReference w:id="16"/>
      </w:r>
      <w:r>
        <w:rPr>
          <w:szCs w:val="24"/>
        </w:rPr>
        <w:t xml:space="preserve"> and 9.5 percent (PSE)</w:t>
      </w:r>
      <w:r>
        <w:rPr>
          <w:rStyle w:val="FootnoteReference"/>
          <w:szCs w:val="24"/>
        </w:rPr>
        <w:footnoteReference w:id="17"/>
      </w:r>
      <w:r>
        <w:rPr>
          <w:szCs w:val="24"/>
        </w:rPr>
        <w:t xml:space="preserve"> respectively.  The differences in Mr. Parcell’s recommendations reflect the differences in the interest rate environment and the companies’ risk profiles.  In keeping with the decline in interest rates during the last two years, Mr. Parcell’s midpoint for PacifiCorp is lower than for PSE.  The larger difference between Mr. Parcell’s recommended equity returns for the two companies (9.0 for PacifiCorp and 9.5 for PSE) is consistent with the stronger debt ratings of PacifiCorp.</w:t>
      </w:r>
      <w:r>
        <w:rPr>
          <w:rStyle w:val="FootnoteReference"/>
          <w:szCs w:val="24"/>
        </w:rPr>
        <w:footnoteReference w:id="18"/>
      </w:r>
    </w:p>
    <w:p w14:paraId="260FDF9A" w14:textId="2C1BBB10" w:rsidR="00A365E8" w:rsidRDefault="00F72C54" w:rsidP="00F72C54">
      <w:pPr>
        <w:ind w:left="1440" w:hanging="720"/>
        <w:rPr>
          <w:b/>
          <w:szCs w:val="24"/>
        </w:rPr>
      </w:pPr>
      <w:r>
        <w:rPr>
          <w:b/>
          <w:szCs w:val="24"/>
        </w:rPr>
        <w:t>4.</w:t>
      </w:r>
      <w:r>
        <w:rPr>
          <w:b/>
          <w:szCs w:val="24"/>
        </w:rPr>
        <w:tab/>
      </w:r>
      <w:r w:rsidR="00A365E8">
        <w:rPr>
          <w:b/>
          <w:szCs w:val="24"/>
        </w:rPr>
        <w:t>Mr. Strunk’s analysis inappropriately minimizes the results from the most widely accepted methodology, Discounted Cash Flow.</w:t>
      </w:r>
    </w:p>
    <w:p w14:paraId="522D3A20" w14:textId="77777777" w:rsidR="00F72C54" w:rsidRDefault="00F72C54" w:rsidP="00F72C54">
      <w:pPr>
        <w:ind w:firstLine="720"/>
        <w:rPr>
          <w:b/>
          <w:szCs w:val="24"/>
        </w:rPr>
      </w:pPr>
    </w:p>
    <w:p w14:paraId="4A01ED1D" w14:textId="06EE5E2B" w:rsidR="00A365E8" w:rsidRPr="00F72C54" w:rsidRDefault="00F72C54" w:rsidP="00F72C54">
      <w:pPr>
        <w:pStyle w:val="WUTCParagraph"/>
        <w:tabs>
          <w:tab w:val="clear" w:pos="1440"/>
        </w:tabs>
      </w:pPr>
      <w:r>
        <w:tab/>
      </w:r>
      <w:r w:rsidR="00A365E8">
        <w:t>The Commission regularly relies on the Discounted Cash Flow (DCF) model.</w:t>
      </w:r>
      <w:r w:rsidR="00A365E8">
        <w:rPr>
          <w:rStyle w:val="FootnoteReference"/>
        </w:rPr>
        <w:footnoteReference w:id="19"/>
      </w:r>
      <w:r w:rsidR="00A365E8">
        <w:t xml:space="preserve">  Although the Commission typically considers multiple methodologies and does not base its </w:t>
      </w:r>
      <w:r w:rsidR="00A365E8">
        <w:lastRenderedPageBreak/>
        <w:t>decision on the evidence of only one model,</w:t>
      </w:r>
      <w:r w:rsidR="00A365E8">
        <w:rPr>
          <w:rStyle w:val="FootnoteReference"/>
        </w:rPr>
        <w:footnoteReference w:id="20"/>
      </w:r>
      <w:r w:rsidR="00A365E8">
        <w:t xml:space="preserve"> the Commission consistently accords significant weight to the DCF model.  The Commission has described DCF as “</w:t>
      </w:r>
      <w:r w:rsidR="00A365E8" w:rsidRPr="00C65FD2">
        <w:t>one of the oldest and widely accepted methods to estimate the cost of equity</w:t>
      </w:r>
      <w:r w:rsidR="00A365E8">
        <w:t>”</w:t>
      </w:r>
      <w:r w:rsidR="00A365E8">
        <w:rPr>
          <w:rStyle w:val="FootnoteReference"/>
        </w:rPr>
        <w:footnoteReference w:id="21"/>
      </w:r>
      <w:r w:rsidR="00A365E8">
        <w:t xml:space="preserve"> and, citing the Company’s cost of capital witness in the last general rate case, the “most widely accepted approach.”</w:t>
      </w:r>
      <w:r w:rsidR="00A365E8">
        <w:rPr>
          <w:rStyle w:val="FootnoteReference"/>
        </w:rPr>
        <w:footnoteReference w:id="22"/>
      </w:r>
      <w:r>
        <w:rPr>
          <w:lang w:val="en-US"/>
        </w:rPr>
        <w:t xml:space="preserve">  </w:t>
      </w:r>
    </w:p>
    <w:p w14:paraId="46F24707" w14:textId="163356A6" w:rsidR="00A365E8" w:rsidRPr="00F72C54" w:rsidRDefault="00F72C54" w:rsidP="00F72C54">
      <w:pPr>
        <w:pStyle w:val="WUTCParagraph"/>
        <w:tabs>
          <w:tab w:val="clear" w:pos="1440"/>
        </w:tabs>
      </w:pPr>
      <w:r>
        <w:tab/>
      </w:r>
      <w:r w:rsidR="00A365E8" w:rsidRPr="00F72C54">
        <w:t>Notwithstanding the Commission’s reliance on the DCF methodology, PacifiCorp’s ROE request minimizes its DCF results.  Citing the “current risks associated with interest rates and the volatility of capital markets,” the Company argues that the Commission should place greater reliance on all of its methodologies except traditional DCF.</w:t>
      </w:r>
      <w:r w:rsidR="00A365E8">
        <w:rPr>
          <w:rStyle w:val="FootnoteReference"/>
        </w:rPr>
        <w:footnoteReference w:id="23"/>
      </w:r>
      <w:r w:rsidR="00A365E8" w:rsidRPr="00F72C54">
        <w:t xml:space="preserve">  As discussed above, however, the risks cited by the Company are no greater now than at the time of the last general rate case.  Accordingly, it is not appropriate to accord DCF results less weight.  Mr. Strunk’s DCF analysis results in a cost of equity of 9.00 percent,</w:t>
      </w:r>
      <w:r w:rsidR="00A365E8">
        <w:rPr>
          <w:rStyle w:val="FootnoteReference"/>
        </w:rPr>
        <w:footnoteReference w:id="24"/>
      </w:r>
      <w:r w:rsidR="00A365E8" w:rsidRPr="00F72C54">
        <w:t xml:space="preserve"> yet his recommended ROE is 10.0 percent, a recommendation that discounts his traditional DCF analysis entirely and inappropriately.  It is worth noting that Mr. Parcell’s midpoint under his DCF analysis is exactly the same as Mr. Strunk’s DCF result.</w:t>
      </w:r>
      <w:r w:rsidR="00A365E8">
        <w:rPr>
          <w:rStyle w:val="FootnoteReference"/>
        </w:rPr>
        <w:footnoteReference w:id="25"/>
      </w:r>
      <w:r w:rsidR="00A365E8" w:rsidRPr="00F72C54">
        <w:t xml:space="preserve">  Mr. Gorman, too, accords, concluding that “a DCF return for PacifiCorp of 8.95%, rounded to 9.00%, is a reasonable return in this case.”</w:t>
      </w:r>
      <w:r w:rsidR="00A365E8">
        <w:rPr>
          <w:rStyle w:val="FootnoteReference"/>
        </w:rPr>
        <w:footnoteReference w:id="26"/>
      </w:r>
    </w:p>
    <w:p w14:paraId="579BBB0C" w14:textId="1A221458" w:rsidR="00A365E8" w:rsidRDefault="00F35A4A" w:rsidP="0015504F">
      <w:pPr>
        <w:keepNext/>
        <w:spacing w:line="480" w:lineRule="auto"/>
        <w:rPr>
          <w:b/>
          <w:szCs w:val="24"/>
        </w:rPr>
      </w:pPr>
      <w:r>
        <w:rPr>
          <w:b/>
          <w:szCs w:val="24"/>
        </w:rPr>
        <w:lastRenderedPageBreak/>
        <w:t>B.</w:t>
      </w:r>
      <w:r>
        <w:rPr>
          <w:b/>
          <w:szCs w:val="24"/>
        </w:rPr>
        <w:tab/>
        <w:t>Capital Structure</w:t>
      </w:r>
    </w:p>
    <w:p w14:paraId="0C639D98" w14:textId="1BD484C6" w:rsidR="00A365E8" w:rsidRDefault="00F72C54" w:rsidP="00F72C54">
      <w:pPr>
        <w:pStyle w:val="WUTCParagraph"/>
        <w:tabs>
          <w:tab w:val="clear" w:pos="1440"/>
        </w:tabs>
      </w:pPr>
      <w:r>
        <w:tab/>
      </w:r>
      <w:r w:rsidR="00A365E8">
        <w:t>The standard in setting a capital structure for the purpose of ratemaking is to balance safety and economy so that the return is sufficient for the Company to access capital on attractive terms while avoiding excessive rate increases to customers.</w:t>
      </w:r>
      <w:r w:rsidR="00A365E8">
        <w:rPr>
          <w:rStyle w:val="FootnoteReference"/>
        </w:rPr>
        <w:footnoteReference w:id="27"/>
      </w:r>
      <w:r w:rsidR="00A365E8">
        <w:t xml:space="preserve">  Awarding a return that is too low may jeopardize the Company’s ability to issue bonds at reasonable rates; awarding a return that is too high saddles the customers with higher rates than necessary.  PacifiCorp fails to show that its proposed capital structure achieves this balance.</w:t>
      </w:r>
    </w:p>
    <w:p w14:paraId="64A188B6" w14:textId="5264662B" w:rsidR="00A365E8" w:rsidRDefault="00F72C54" w:rsidP="00F72C54">
      <w:pPr>
        <w:keepNext/>
        <w:ind w:left="1440" w:hanging="720"/>
        <w:rPr>
          <w:b/>
          <w:szCs w:val="24"/>
        </w:rPr>
      </w:pPr>
      <w:r>
        <w:rPr>
          <w:b/>
          <w:szCs w:val="24"/>
        </w:rPr>
        <w:t>1.</w:t>
      </w:r>
      <w:r>
        <w:rPr>
          <w:b/>
          <w:szCs w:val="24"/>
        </w:rPr>
        <w:tab/>
      </w:r>
      <w:r w:rsidR="00A365E8" w:rsidRPr="00C67FD5">
        <w:rPr>
          <w:b/>
          <w:szCs w:val="24"/>
        </w:rPr>
        <w:t>The Company has not demonstrated that using its actual capital structure rather than the existing hypothetical capital structure balances safety and economy.</w:t>
      </w:r>
    </w:p>
    <w:p w14:paraId="0A50A206" w14:textId="77777777" w:rsidR="00F72C54" w:rsidRPr="00C67FD5" w:rsidRDefault="00F72C54" w:rsidP="00F72C54">
      <w:pPr>
        <w:keepNext/>
        <w:ind w:left="1440" w:hanging="720"/>
        <w:rPr>
          <w:b/>
          <w:szCs w:val="24"/>
        </w:rPr>
      </w:pPr>
    </w:p>
    <w:p w14:paraId="2406ACAC" w14:textId="2C22A97C" w:rsidR="00A365E8" w:rsidRPr="00F72C54" w:rsidRDefault="00F72C54" w:rsidP="00F72C54">
      <w:pPr>
        <w:pStyle w:val="WUTCParagraph"/>
        <w:tabs>
          <w:tab w:val="clear" w:pos="1440"/>
        </w:tabs>
      </w:pPr>
      <w:r>
        <w:tab/>
      </w:r>
      <w:r w:rsidR="00A365E8">
        <w:t>Since 2011, PacifiCorp has operated in Washington with a hypothetical capital structure and a 49.1 percent equity level.</w:t>
      </w:r>
      <w:r w:rsidR="00A365E8">
        <w:rPr>
          <w:rStyle w:val="FootnoteReference"/>
        </w:rPr>
        <w:footnoteReference w:id="28"/>
      </w:r>
      <w:r w:rsidR="00A365E8">
        <w:t xml:space="preserve">  Using a hypothetical capital structure is well established and has worked.  The Company attempts to discredit Staff’s recommendation to continue using a hypothetical structure by mischaracterizing a discovery response to the Company from Mr. Parcell.</w:t>
      </w:r>
      <w:r w:rsidR="00A365E8">
        <w:rPr>
          <w:rStyle w:val="FootnoteReference"/>
        </w:rPr>
        <w:footnoteReference w:id="29"/>
      </w:r>
      <w:r w:rsidR="00A365E8">
        <w:t xml:space="preserve">  The Company states that Mr. Parcell was “unable to identify a single other case where he recommended a hypothetical capital structure”</w:t>
      </w:r>
      <w:r w:rsidR="00A365E8">
        <w:rPr>
          <w:rStyle w:val="FootnoteReference"/>
        </w:rPr>
        <w:footnoteReference w:id="30"/>
      </w:r>
      <w:r w:rsidR="00A365E8">
        <w:t xml:space="preserve"> when, in actuality, he responded that he </w:t>
      </w:r>
      <w:r w:rsidR="00A365E8" w:rsidRPr="00A66D1E">
        <w:rPr>
          <w:i/>
        </w:rPr>
        <w:t>had</w:t>
      </w:r>
      <w:r w:rsidR="00A365E8">
        <w:t xml:space="preserve">, to the best of his recollection, but did not maintain a list of such instances and that the Company could conduct such a study with a </w:t>
      </w:r>
      <w:r w:rsidR="00C5310D">
        <w:t>c</w:t>
      </w:r>
      <w:r w:rsidR="00C5310D">
        <w:rPr>
          <w:lang w:val="en-US"/>
        </w:rPr>
        <w:t>ompact disk</w:t>
      </w:r>
      <w:r w:rsidR="00A365E8">
        <w:t xml:space="preserve"> containing all of his previous testimonies if PacifiCorp so desired.  Apparently, the Company did not so desire because it never requested the testimonies.</w:t>
      </w:r>
      <w:r>
        <w:rPr>
          <w:lang w:val="en-US"/>
        </w:rPr>
        <w:t xml:space="preserve">  </w:t>
      </w:r>
    </w:p>
    <w:p w14:paraId="2F1B144F" w14:textId="1937BE35" w:rsidR="00A365E8" w:rsidRPr="00F72C54" w:rsidRDefault="00F72C54" w:rsidP="00F72C54">
      <w:pPr>
        <w:pStyle w:val="WUTCParagraph"/>
        <w:tabs>
          <w:tab w:val="clear" w:pos="1440"/>
        </w:tabs>
      </w:pPr>
      <w:r>
        <w:lastRenderedPageBreak/>
        <w:tab/>
      </w:r>
      <w:r w:rsidR="00A365E8" w:rsidRPr="00F72C54">
        <w:t>PacifiCorp argues that the Company’s actual equity level of 51.73 percent is safe and economical.</w:t>
      </w:r>
      <w:r w:rsidR="00A365E8">
        <w:rPr>
          <w:rStyle w:val="FootnoteReference"/>
        </w:rPr>
        <w:footnoteReference w:id="31"/>
      </w:r>
      <w:r w:rsidR="00A365E8" w:rsidRPr="00F72C54">
        <w:t xml:space="preserve">  The reasons that the Company cites </w:t>
      </w:r>
      <w:r w:rsidR="00B715B2">
        <w:rPr>
          <w:lang w:val="en-US"/>
        </w:rPr>
        <w:t>in support of</w:t>
      </w:r>
      <w:r w:rsidR="00A365E8" w:rsidRPr="00F72C54">
        <w:t xml:space="preserve"> safety at an equity level of 51.73 percent, however, </w:t>
      </w:r>
      <w:r w:rsidR="00B715B2">
        <w:rPr>
          <w:lang w:val="en-US"/>
        </w:rPr>
        <w:t>are just as valid for</w:t>
      </w:r>
      <w:r w:rsidR="00A365E8" w:rsidRPr="00F72C54">
        <w:t xml:space="preserve"> 49.1 percent equity.  The 49.1 percent equity level has “maintain[ed] the Company’s credit rating and ensure[d] continued access to low-cost capital,”</w:t>
      </w:r>
      <w:r w:rsidR="00A365E8">
        <w:rPr>
          <w:rStyle w:val="FootnoteReference"/>
        </w:rPr>
        <w:footnoteReference w:id="32"/>
      </w:r>
      <w:r w:rsidR="00A365E8" w:rsidRPr="00F72C54">
        <w:t xml:space="preserve"> which Mr. Parcell shows in his list of the Company’s credit ratings since 2006</w:t>
      </w:r>
      <w:r w:rsidR="00A365E8">
        <w:rPr>
          <w:rStyle w:val="FootnoteReference"/>
        </w:rPr>
        <w:footnoteReference w:id="33"/>
      </w:r>
      <w:r w:rsidR="00A365E8" w:rsidRPr="00F72C54">
        <w:t xml:space="preserve"> and is evident from the Company’s declining debt costs.  PacifiCorp’s low risk profile indicates that increasing the Company’s equity level above its current level is not necessary to access capital on attractive terms.  In other words, it would not be economical.</w:t>
      </w:r>
    </w:p>
    <w:p w14:paraId="3CE6DBAA" w14:textId="7BBD6D9C" w:rsidR="00A365E8" w:rsidRDefault="00F72C54" w:rsidP="00F72C54">
      <w:pPr>
        <w:ind w:left="1440" w:hanging="720"/>
        <w:rPr>
          <w:b/>
          <w:szCs w:val="24"/>
        </w:rPr>
      </w:pPr>
      <w:r>
        <w:rPr>
          <w:b/>
          <w:szCs w:val="24"/>
        </w:rPr>
        <w:t>2.</w:t>
      </w:r>
      <w:r>
        <w:rPr>
          <w:b/>
          <w:szCs w:val="24"/>
        </w:rPr>
        <w:tab/>
      </w:r>
      <w:r w:rsidR="00A365E8">
        <w:rPr>
          <w:b/>
          <w:szCs w:val="24"/>
        </w:rPr>
        <w:t>PacifiCorp’s argument that, if the Commission adopts a hypothetical capital structure, it should also adopt hypothetical debt costs, is not credible.</w:t>
      </w:r>
    </w:p>
    <w:p w14:paraId="32D04A41" w14:textId="77777777" w:rsidR="00F72C54" w:rsidRDefault="00F72C54" w:rsidP="00F72C54">
      <w:pPr>
        <w:ind w:left="1440" w:hanging="720"/>
        <w:rPr>
          <w:b/>
          <w:szCs w:val="24"/>
        </w:rPr>
      </w:pPr>
    </w:p>
    <w:p w14:paraId="7F85CEBD" w14:textId="322A07A0" w:rsidR="00A365E8" w:rsidRPr="005A3F6E" w:rsidRDefault="00F72C54" w:rsidP="00F72C54">
      <w:pPr>
        <w:pStyle w:val="WUTCParagraph"/>
        <w:tabs>
          <w:tab w:val="clear" w:pos="1440"/>
        </w:tabs>
      </w:pPr>
      <w:r>
        <w:tab/>
      </w:r>
      <w:r w:rsidR="00A365E8">
        <w:t>PacifiCorp posits that capitalizing the Company at 49.1 percent would cause a credit rating downgrade. According to the Company, the downgrade would increase debt costs, and, therefore, PacifiCorp should be awarded a higher return based on hypothetical debt costs.</w:t>
      </w:r>
      <w:r w:rsidR="00A365E8">
        <w:rPr>
          <w:rStyle w:val="FootnoteReference"/>
        </w:rPr>
        <w:footnoteReference w:id="34"/>
      </w:r>
      <w:r w:rsidR="00A365E8">
        <w:t xml:space="preserve">  While imputing the percentage of debt in a capital structure is well established, imputing the </w:t>
      </w:r>
      <w:r w:rsidR="00A365E8">
        <w:rPr>
          <w:i/>
        </w:rPr>
        <w:t>cost</w:t>
      </w:r>
      <w:r w:rsidR="00A365E8">
        <w:t xml:space="preserve"> of debt is another matter entirely.  Debt costs generally are what they are. Using a hypothetical cost of debt is unreasonable in this case and would artificially and unnecessarily inflate the rate of return.  Since 2006, the Commission has adopted a hypothetical capital structure for PacifiCorp in every GRC in which cost of capital was litigated, but the Commission has not approved hypothetical debt costs. PacifiCorp has demonstrated that it has maintained its excellent credit ratings with a capital structure </w:t>
      </w:r>
      <w:r w:rsidR="00A365E8">
        <w:lastRenderedPageBreak/>
        <w:t>composed of 49.1 percent equity.  Accordingly maintaining the existing hypothetical capital structure is reasonable but awarding PacifiCorp a higher ROE based on that structure is not.</w:t>
      </w:r>
    </w:p>
    <w:p w14:paraId="23DC011B" w14:textId="5DFA003A" w:rsidR="00E9542E" w:rsidRDefault="00C961A7" w:rsidP="00F72C54">
      <w:pPr>
        <w:keepNext/>
        <w:jc w:val="center"/>
        <w:rPr>
          <w:rFonts w:cstheme="minorBidi"/>
          <w:b/>
        </w:rPr>
      </w:pPr>
      <w:r w:rsidRPr="00DE3409">
        <w:rPr>
          <w:b/>
          <w:szCs w:val="24"/>
        </w:rPr>
        <w:t xml:space="preserve">III.  </w:t>
      </w:r>
      <w:r w:rsidR="00E9542E">
        <w:rPr>
          <w:b/>
          <w:szCs w:val="24"/>
        </w:rPr>
        <w:t xml:space="preserve">THE COSTS OF </w:t>
      </w:r>
      <w:r w:rsidRPr="002E2A39">
        <w:rPr>
          <w:rFonts w:cstheme="minorBidi"/>
          <w:b/>
        </w:rPr>
        <w:t xml:space="preserve">OREGON AND CALIFORNIA </w:t>
      </w:r>
      <w:r w:rsidR="00E9542E">
        <w:rPr>
          <w:rFonts w:cstheme="minorBidi"/>
          <w:b/>
        </w:rPr>
        <w:t xml:space="preserve">QFs ARE </w:t>
      </w:r>
    </w:p>
    <w:p w14:paraId="039884FF" w14:textId="014FCCBB" w:rsidR="00E9542E" w:rsidRDefault="00E9542E" w:rsidP="00F72C54">
      <w:pPr>
        <w:keepNext/>
        <w:jc w:val="center"/>
        <w:rPr>
          <w:b/>
          <w:szCs w:val="24"/>
        </w:rPr>
      </w:pPr>
      <w:r>
        <w:rPr>
          <w:b/>
          <w:szCs w:val="24"/>
        </w:rPr>
        <w:t xml:space="preserve">PROPERLY ALLOCATED BY THE WCA </w:t>
      </w:r>
    </w:p>
    <w:p w14:paraId="5AE79519" w14:textId="77777777" w:rsidR="00E9542E" w:rsidRDefault="00E9542E" w:rsidP="00F72C54">
      <w:pPr>
        <w:keepNext/>
        <w:jc w:val="center"/>
        <w:rPr>
          <w:rFonts w:cstheme="minorBidi"/>
          <w:b/>
        </w:rPr>
      </w:pPr>
    </w:p>
    <w:p w14:paraId="07E7074C" w14:textId="6B6AB3D0" w:rsidR="00EF0972" w:rsidRDefault="00C961A7" w:rsidP="00F72C54">
      <w:pPr>
        <w:keepNext/>
        <w:rPr>
          <w:rFonts w:eastAsia="Calibri"/>
          <w:b/>
        </w:rPr>
      </w:pPr>
      <w:r>
        <w:rPr>
          <w:rFonts w:cstheme="minorBidi"/>
          <w:b/>
        </w:rPr>
        <w:t>A</w:t>
      </w:r>
      <w:r w:rsidR="00EF0972" w:rsidRPr="002E2A39">
        <w:rPr>
          <w:rFonts w:cstheme="minorBidi"/>
          <w:b/>
        </w:rPr>
        <w:t xml:space="preserve">. </w:t>
      </w:r>
      <w:r w:rsidR="00EF0972" w:rsidRPr="002E2A39">
        <w:rPr>
          <w:rFonts w:cstheme="minorBidi"/>
          <w:b/>
        </w:rPr>
        <w:tab/>
      </w:r>
      <w:r w:rsidR="00E9542E">
        <w:rPr>
          <w:rFonts w:eastAsia="Calibri"/>
          <w:b/>
        </w:rPr>
        <w:t xml:space="preserve">PacifiCorp presents no Compelling Reason to Modify the WCA to Include the </w:t>
      </w:r>
      <w:r w:rsidR="00E9542E">
        <w:rPr>
          <w:rFonts w:eastAsia="Calibri"/>
          <w:b/>
        </w:rPr>
        <w:tab/>
        <w:t xml:space="preserve">high costs of Oregon and California QFs. </w:t>
      </w:r>
    </w:p>
    <w:p w14:paraId="3E6BF57E" w14:textId="06A1C2AC" w:rsidR="00E9542E" w:rsidRPr="002E2A39" w:rsidRDefault="00E9542E" w:rsidP="00F72C54">
      <w:pPr>
        <w:keepNext/>
        <w:rPr>
          <w:rFonts w:eastAsia="Calibri"/>
          <w:b/>
        </w:rPr>
      </w:pPr>
    </w:p>
    <w:p w14:paraId="1EE45E76" w14:textId="423B017D" w:rsidR="00EF0972" w:rsidRPr="00EF0972" w:rsidRDefault="00EF0972" w:rsidP="00EF0972">
      <w:pPr>
        <w:pStyle w:val="WUTCParagraph"/>
        <w:tabs>
          <w:tab w:val="clear" w:pos="1440"/>
        </w:tabs>
      </w:pPr>
      <w:r>
        <w:tab/>
      </w:r>
      <w:r w:rsidRPr="00EF0972">
        <w:t xml:space="preserve">Under the current WCA cost allocation methodology, the cost of purchased power contracts with QFs located in Oregon and California are not included in Washington rates.  PacifiCorp proposes to revise the WCA to include the costs of QFs approved by the Oregon and California regulators. The Company alone bears the burden of proof to show that the WCA should be modified to include these QFs. </w:t>
      </w:r>
    </w:p>
    <w:p w14:paraId="3A089ED2" w14:textId="21AE738B" w:rsidR="00EF0972" w:rsidRPr="00DA0449" w:rsidRDefault="00EF0972" w:rsidP="00EF0972">
      <w:pPr>
        <w:pStyle w:val="WUTCParagraph"/>
        <w:tabs>
          <w:tab w:val="clear" w:pos="1440"/>
        </w:tabs>
      </w:pPr>
      <w:r>
        <w:tab/>
      </w:r>
      <w:r w:rsidRPr="002E2A39">
        <w:t>The fundamental argument presented by PacifiCorp is that these QF contracts benefit Washington customers.</w:t>
      </w:r>
      <w:r w:rsidRPr="002E2A39">
        <w:rPr>
          <w:vertAlign w:val="superscript"/>
        </w:rPr>
        <w:footnoteReference w:id="35"/>
      </w:r>
      <w:r w:rsidRPr="002E2A39">
        <w:t xml:space="preserve"> </w:t>
      </w:r>
      <w:r w:rsidR="0057568C">
        <w:rPr>
          <w:lang w:val="en-US"/>
        </w:rPr>
        <w:t>The Company</w:t>
      </w:r>
      <w:r w:rsidRPr="002E2A39">
        <w:t xml:space="preserve"> attempts to meet its burden of proof by offering high-level assertions about the service provided by these resources.  However, these representations are merely generalized statements that largely refer to these resources’ impact on the WCA or its </w:t>
      </w:r>
      <w:r w:rsidRPr="002E2A39">
        <w:rPr>
          <w:i/>
        </w:rPr>
        <w:t>system</w:t>
      </w:r>
      <w:r w:rsidR="00037201">
        <w:rPr>
          <w:i/>
          <w:lang w:val="en-US"/>
        </w:rPr>
        <w:t xml:space="preserve"> - </w:t>
      </w:r>
      <w:r w:rsidRPr="002E2A39">
        <w:t>presumably the Company’s entire six-state portfolio.</w:t>
      </w:r>
      <w:r w:rsidRPr="002E2A39">
        <w:rPr>
          <w:vertAlign w:val="superscript"/>
        </w:rPr>
        <w:footnoteReference w:id="36"/>
      </w:r>
      <w:r w:rsidRPr="002E2A39">
        <w:t xml:space="preserve"> The Company presents no evidence that effectively details the </w:t>
      </w:r>
      <w:r w:rsidR="00A876C1" w:rsidRPr="00A876C1">
        <w:rPr>
          <w:i/>
          <w:lang w:val="en-US"/>
        </w:rPr>
        <w:t>specific</w:t>
      </w:r>
      <w:r w:rsidR="00A876C1">
        <w:rPr>
          <w:lang w:val="en-US"/>
        </w:rPr>
        <w:t xml:space="preserve"> </w:t>
      </w:r>
      <w:r w:rsidRPr="002E2A39">
        <w:t>benefits provided Washington ratepayers by these QF resources. To prove its case, the Company needs more than just generalized statements of</w:t>
      </w:r>
      <w:r>
        <w:t xml:space="preserve"> system-wide service.</w:t>
      </w:r>
      <w:r>
        <w:rPr>
          <w:lang w:val="en-US"/>
        </w:rPr>
        <w:t xml:space="preserve">  </w:t>
      </w:r>
    </w:p>
    <w:p w14:paraId="77C1C2D7" w14:textId="0AC5E04F" w:rsidR="00EF0972" w:rsidRPr="00DA0449" w:rsidRDefault="00EF0972" w:rsidP="00EF0972">
      <w:pPr>
        <w:pStyle w:val="WUTCParagraph"/>
        <w:tabs>
          <w:tab w:val="clear" w:pos="1440"/>
        </w:tabs>
      </w:pPr>
      <w:r w:rsidRPr="002E2A39">
        <w:tab/>
        <w:t xml:space="preserve">Critically, </w:t>
      </w:r>
      <w:r w:rsidRPr="00DA0449">
        <w:rPr>
          <w:rFonts w:cstheme="minorBidi"/>
        </w:rPr>
        <w:t xml:space="preserve">the Company’s argument entirely misses the point.  The issue is not whether Washington customers benefit from the contracts with the Oregon and California QFs.  The issue is whether the Company should be allowed to shift the costs of those </w:t>
      </w:r>
      <w:r w:rsidRPr="00DA0449">
        <w:rPr>
          <w:rFonts w:cstheme="minorBidi"/>
        </w:rPr>
        <w:lastRenderedPageBreak/>
        <w:t xml:space="preserve">contracts to Washington when </w:t>
      </w:r>
      <w:r w:rsidR="00A876C1">
        <w:rPr>
          <w:rFonts w:cstheme="minorBidi"/>
          <w:lang w:val="en-US"/>
        </w:rPr>
        <w:t xml:space="preserve">the </w:t>
      </w:r>
      <w:r w:rsidRPr="00DA0449">
        <w:rPr>
          <w:rFonts w:cstheme="minorBidi"/>
        </w:rPr>
        <w:t>costs are the direct result of th</w:t>
      </w:r>
      <w:r w:rsidR="00A876C1">
        <w:rPr>
          <w:rFonts w:cstheme="minorBidi"/>
          <w:lang w:val="en-US"/>
        </w:rPr>
        <w:t xml:space="preserve">e those state’s </w:t>
      </w:r>
      <w:r w:rsidRPr="00DA0449">
        <w:rPr>
          <w:rFonts w:cstheme="minorBidi"/>
        </w:rPr>
        <w:t>PURPA policy decisions.</w:t>
      </w:r>
      <w:r w:rsidRPr="002E2A39">
        <w:rPr>
          <w:rFonts w:cstheme="minorBidi"/>
          <w:vertAlign w:val="superscript"/>
        </w:rPr>
        <w:footnoteReference w:id="37"/>
      </w:r>
      <w:r w:rsidRPr="00DA0449">
        <w:rPr>
          <w:rFonts w:cstheme="minorBidi"/>
        </w:rPr>
        <w:t xml:space="preserve"> </w:t>
      </w:r>
      <w:r w:rsidR="00DA0449">
        <w:rPr>
          <w:rFonts w:cstheme="minorBidi"/>
          <w:lang w:val="en-US"/>
        </w:rPr>
        <w:t xml:space="preserve"> </w:t>
      </w:r>
    </w:p>
    <w:p w14:paraId="15571529" w14:textId="1ACEC2ED" w:rsidR="00252A6F" w:rsidRPr="00DA0449" w:rsidRDefault="00EF0972" w:rsidP="00EF0972">
      <w:pPr>
        <w:pStyle w:val="WUTCParagraph"/>
        <w:tabs>
          <w:tab w:val="clear" w:pos="1440"/>
        </w:tabs>
      </w:pPr>
      <w:r w:rsidRPr="00DA0449">
        <w:rPr>
          <w:rFonts w:cstheme="minorBidi"/>
        </w:rPr>
        <w:tab/>
        <w:t>As Staff has shown, PURPA allows Oregon and California to implement the Act according to their own policies and methodologies.</w:t>
      </w:r>
      <w:r w:rsidRPr="002E2A39">
        <w:rPr>
          <w:vertAlign w:val="superscript"/>
        </w:rPr>
        <w:footnoteReference w:id="38"/>
      </w:r>
      <w:r w:rsidRPr="00DA0449">
        <w:rPr>
          <w:rFonts w:cstheme="minorBidi"/>
        </w:rPr>
        <w:t xml:space="preserve"> As a result, the WCA’s t</w:t>
      </w:r>
      <w:r w:rsidR="00A876C1">
        <w:rPr>
          <w:rFonts w:cstheme="minorBidi"/>
        </w:rPr>
        <w:t xml:space="preserve">hree states have promulgated </w:t>
      </w:r>
      <w:r w:rsidR="00A876C1">
        <w:rPr>
          <w:rFonts w:cstheme="minorBidi"/>
          <w:lang w:val="en-US"/>
        </w:rPr>
        <w:t xml:space="preserve">materially different </w:t>
      </w:r>
      <w:r w:rsidRPr="00DA0449">
        <w:rPr>
          <w:rFonts w:cstheme="minorBidi"/>
        </w:rPr>
        <w:t>policies for the purpose of implementing PURPA. These divergent policies and methodologies have created costs for PURPA resources in Oregon and California that are significantly higher than those located in Washington.</w:t>
      </w:r>
      <w:r w:rsidRPr="002E2A39">
        <w:rPr>
          <w:vertAlign w:val="superscript"/>
        </w:rPr>
        <w:footnoteReference w:id="39"/>
      </w:r>
      <w:r w:rsidRPr="00DA0449">
        <w:rPr>
          <w:rFonts w:cstheme="minorBidi"/>
        </w:rPr>
        <w:t xml:space="preserve">  The Commission can be assured that nothing in PURPA compels it to relinquish its duty to protect Washington ratepayers by accepting the cost consequences of the PURPA decisions made in those states.</w:t>
      </w:r>
      <w:r w:rsidRPr="002E2A39">
        <w:rPr>
          <w:vertAlign w:val="superscript"/>
        </w:rPr>
        <w:footnoteReference w:id="40"/>
      </w:r>
      <w:r w:rsidRPr="00DA0449">
        <w:rPr>
          <w:rFonts w:cstheme="minorBidi"/>
        </w:rPr>
        <w:t xml:space="preserve">  As Staff advocates, the Commission should </w:t>
      </w:r>
      <w:r w:rsidR="00EA4127">
        <w:rPr>
          <w:rFonts w:cstheme="minorBidi"/>
          <w:lang w:val="en-US"/>
        </w:rPr>
        <w:t xml:space="preserve">not modify the WCA to accept the costs of the Oregon and California QFs. </w:t>
      </w:r>
      <w:r w:rsidR="00A876C1">
        <w:rPr>
          <w:rFonts w:cstheme="minorBidi"/>
          <w:lang w:val="en-US"/>
        </w:rPr>
        <w:t xml:space="preserve">This </w:t>
      </w:r>
      <w:r w:rsidR="00EA4127">
        <w:rPr>
          <w:rFonts w:cstheme="minorBidi"/>
          <w:lang w:val="en-US"/>
        </w:rPr>
        <w:t>would ensure</w:t>
      </w:r>
      <w:r w:rsidR="00A876C1">
        <w:rPr>
          <w:rFonts w:cstheme="minorBidi"/>
          <w:lang w:val="en-US"/>
        </w:rPr>
        <w:t xml:space="preserve"> that Washington </w:t>
      </w:r>
      <w:r w:rsidRPr="00DA0449">
        <w:rPr>
          <w:rFonts w:cstheme="minorBidi"/>
        </w:rPr>
        <w:t xml:space="preserve">ratepayers </w:t>
      </w:r>
      <w:r w:rsidR="00453FEB">
        <w:rPr>
          <w:rFonts w:cstheme="minorBidi"/>
          <w:lang w:val="en-US"/>
        </w:rPr>
        <w:t xml:space="preserve">are not harmed by </w:t>
      </w:r>
      <w:r w:rsidR="00A876C1">
        <w:rPr>
          <w:rFonts w:cstheme="minorBidi"/>
          <w:lang w:val="en-US"/>
        </w:rPr>
        <w:t xml:space="preserve">the </w:t>
      </w:r>
      <w:r w:rsidRPr="00DA0449">
        <w:rPr>
          <w:rFonts w:cstheme="minorBidi"/>
        </w:rPr>
        <w:t>PURPA polic</w:t>
      </w:r>
      <w:r w:rsidR="00A876C1">
        <w:rPr>
          <w:rFonts w:cstheme="minorBidi"/>
          <w:lang w:val="en-US"/>
        </w:rPr>
        <w:t xml:space="preserve">y decisions made by Oregon and California. </w:t>
      </w:r>
      <w:r w:rsidRPr="00DA0449">
        <w:rPr>
          <w:rFonts w:cstheme="minorBidi"/>
        </w:rPr>
        <w:t xml:space="preserve">The Company has provided no reason to change this fundamental precept now. </w:t>
      </w:r>
    </w:p>
    <w:p w14:paraId="6A30B997" w14:textId="0C182F76" w:rsidR="00DA0449" w:rsidRPr="00D41FAC" w:rsidRDefault="00C961A7" w:rsidP="00C961A7">
      <w:pPr>
        <w:keepNext/>
        <w:ind w:left="720" w:hanging="720"/>
        <w:outlineLvl w:val="1"/>
        <w:rPr>
          <w:b/>
        </w:rPr>
      </w:pPr>
      <w:bookmarkStart w:id="1" w:name="_Toc406768277"/>
      <w:r>
        <w:rPr>
          <w:rFonts w:cstheme="minorBidi"/>
          <w:b/>
        </w:rPr>
        <w:t>B.</w:t>
      </w:r>
      <w:r w:rsidR="00DA0449" w:rsidRPr="00DA0449">
        <w:rPr>
          <w:rFonts w:cstheme="minorBidi"/>
          <w:b/>
        </w:rPr>
        <w:tab/>
      </w:r>
      <w:r w:rsidR="00DA0449" w:rsidRPr="00D41FAC">
        <w:rPr>
          <w:b/>
        </w:rPr>
        <w:t>The Exclusion of Oregon and California QFs from the WCA complies with the Commerce Clause</w:t>
      </w:r>
      <w:bookmarkEnd w:id="1"/>
    </w:p>
    <w:p w14:paraId="6A4CCFE9" w14:textId="77777777" w:rsidR="00DA0449" w:rsidRPr="00D41FAC" w:rsidRDefault="00DA0449" w:rsidP="00DA0449">
      <w:pPr>
        <w:keepNext/>
        <w:jc w:val="both"/>
        <w:rPr>
          <w:rFonts w:cstheme="minorBidi"/>
        </w:rPr>
      </w:pPr>
    </w:p>
    <w:p w14:paraId="1FD119BA" w14:textId="4195EC6A" w:rsidR="00DA0449" w:rsidRPr="00DA0449" w:rsidRDefault="00DA0449" w:rsidP="00DA0449">
      <w:pPr>
        <w:pStyle w:val="WUTCParagraph"/>
        <w:tabs>
          <w:tab w:val="clear" w:pos="1440"/>
        </w:tabs>
      </w:pPr>
      <w:r>
        <w:tab/>
      </w:r>
      <w:r w:rsidRPr="00D41FAC">
        <w:t xml:space="preserve">First, </w:t>
      </w:r>
      <w:r w:rsidR="00EF3E8B">
        <w:t>PacifiCorp</w:t>
      </w:r>
      <w:r w:rsidRPr="00D41FAC">
        <w:t xml:space="preserve"> misrepresents Staff’s QF position in this case.  It claims Staff (and parties) are recommending disallowance of the Oregon and California QFs simply because the “QFs are located outside of Washington.”</w:t>
      </w:r>
      <w:r w:rsidRPr="00D41FAC">
        <w:rPr>
          <w:vertAlign w:val="superscript"/>
        </w:rPr>
        <w:footnoteReference w:id="41"/>
      </w:r>
      <w:r w:rsidRPr="00D41FAC">
        <w:t xml:space="preserve">  Of course, this is not true. Staff’s recommendation to exclude these QFs from Washington rates is founded upon the real and substantial policy differences </w:t>
      </w:r>
      <w:r w:rsidR="00293583">
        <w:rPr>
          <w:lang w:val="en-US"/>
        </w:rPr>
        <w:t xml:space="preserve">of </w:t>
      </w:r>
      <w:r w:rsidRPr="00D41FAC">
        <w:t xml:space="preserve">Oregon, California and Washington affecting the </w:t>
      </w:r>
      <w:r w:rsidRPr="00D41FAC">
        <w:lastRenderedPageBreak/>
        <w:t>development and cost of such renewable resources. These policy differences result in the significantly higher QF prices the Company seeks to recover in this case.</w:t>
      </w:r>
      <w:r w:rsidRPr="00D41FAC">
        <w:rPr>
          <w:vertAlign w:val="superscript"/>
        </w:rPr>
        <w:footnoteReference w:id="42"/>
      </w:r>
      <w:r w:rsidRPr="00D41FAC">
        <w:t xml:space="preserve"> Thus, the Commission reasoned in UE-130043 that Oregon and California should bear the costs of their decisions and not Washington ratepayers.</w:t>
      </w:r>
      <w:r w:rsidRPr="00D41FAC">
        <w:rPr>
          <w:vertAlign w:val="superscript"/>
        </w:rPr>
        <w:footnoteReference w:id="43"/>
      </w:r>
      <w:r w:rsidRPr="00D41FAC">
        <w:t xml:space="preserve">  These factors formed the basis of Staff’s QF position</w:t>
      </w:r>
      <w:r w:rsidR="00C429B0">
        <w:rPr>
          <w:lang w:val="en-US"/>
        </w:rPr>
        <w:t>—</w:t>
      </w:r>
      <w:r w:rsidRPr="00D41FAC">
        <w:t xml:space="preserve">not the simple fact that these facilities are located in another state. </w:t>
      </w:r>
      <w:r>
        <w:rPr>
          <w:lang w:val="en-US"/>
        </w:rPr>
        <w:t xml:space="preserve"> </w:t>
      </w:r>
    </w:p>
    <w:p w14:paraId="33D4C69E" w14:textId="0506B465" w:rsidR="00DA0449" w:rsidRPr="00DA0449" w:rsidRDefault="00DA0449" w:rsidP="00DA0449">
      <w:pPr>
        <w:pStyle w:val="WUTCParagraph"/>
        <w:tabs>
          <w:tab w:val="clear" w:pos="1440"/>
        </w:tabs>
      </w:pPr>
      <w:r w:rsidRPr="00DA0449">
        <w:rPr>
          <w:rFonts w:cstheme="minorBidi"/>
        </w:rPr>
        <w:tab/>
        <w:t>Based on its misstatement of the parties’ QF position, PacifiCorp raises the specter of a Commerce Clause violation should the Commission exclude these QF resources from the WCA.</w:t>
      </w:r>
      <w:r w:rsidRPr="00D41FAC">
        <w:rPr>
          <w:vertAlign w:val="superscript"/>
        </w:rPr>
        <w:footnoteReference w:id="44"/>
      </w:r>
      <w:r w:rsidRPr="00DA0449">
        <w:rPr>
          <w:rFonts w:cstheme="minorBidi"/>
        </w:rPr>
        <w:t xml:space="preserve"> It argues that disallowing the costs of “these out-of-state QFs” is “[f]acially discriminatory” and therefore, “</w:t>
      </w:r>
      <w:r w:rsidRPr="00DA0449">
        <w:rPr>
          <w:rFonts w:cstheme="minorBidi"/>
          <w:i/>
        </w:rPr>
        <w:t>per se</w:t>
      </w:r>
      <w:r w:rsidRPr="00DA0449">
        <w:rPr>
          <w:rFonts w:cstheme="minorBidi"/>
        </w:rPr>
        <w:t xml:space="preserve"> invalid” under the Commerce Clause.</w:t>
      </w:r>
      <w:r w:rsidRPr="00D41FAC">
        <w:rPr>
          <w:vertAlign w:val="superscript"/>
        </w:rPr>
        <w:footnoteReference w:id="45"/>
      </w:r>
      <w:r w:rsidRPr="00DA0449">
        <w:rPr>
          <w:rFonts w:cstheme="minorBidi"/>
        </w:rPr>
        <w:t xml:space="preserve"> The Company’s argument has no merit.  Staff’s QF position does not discriminate between in-state and out-of-state economic interests and comports with the Commerce Clause.  </w:t>
      </w:r>
    </w:p>
    <w:p w14:paraId="04D47145" w14:textId="56FB64B3" w:rsidR="00DA0449" w:rsidRPr="00DA0449" w:rsidRDefault="00DA0449" w:rsidP="00DA0449">
      <w:pPr>
        <w:pStyle w:val="WUTCParagraph"/>
        <w:tabs>
          <w:tab w:val="clear" w:pos="1440"/>
        </w:tabs>
      </w:pPr>
      <w:r w:rsidRPr="00DA0449">
        <w:rPr>
          <w:rFonts w:cstheme="minorBidi"/>
        </w:rPr>
        <w:tab/>
        <w:t>Commerce Clause jurisprudence is driven by concerns about economic protectionism</w:t>
      </w:r>
      <w:r w:rsidR="007C5DD8">
        <w:rPr>
          <w:rFonts w:cstheme="minorBidi"/>
          <w:lang w:val="en-US"/>
        </w:rPr>
        <w:t xml:space="preserve"> - </w:t>
      </w:r>
      <w:r w:rsidRPr="00DA0449">
        <w:rPr>
          <w:rFonts w:cstheme="minorBidi"/>
        </w:rPr>
        <w:t>that is, regulatory measures designed to benefit in-state economic interests by burdening out-of-state competitors.</w:t>
      </w:r>
      <w:r w:rsidRPr="00D41FAC">
        <w:rPr>
          <w:vertAlign w:val="superscript"/>
        </w:rPr>
        <w:footnoteReference w:id="46"/>
      </w:r>
      <w:r w:rsidRPr="00DA0449">
        <w:rPr>
          <w:rFonts w:cstheme="minorBidi"/>
        </w:rPr>
        <w:t xml:space="preserve"> Furthermore, statutes and regulations do not become vulnerable to invalidation simply because they influence interstate commerce</w:t>
      </w:r>
      <w:r w:rsidR="007C5DD8">
        <w:rPr>
          <w:rFonts w:cstheme="minorBidi"/>
          <w:lang w:val="en-US"/>
        </w:rPr>
        <w:t xml:space="preserve"> - </w:t>
      </w:r>
      <w:r w:rsidRPr="00DA0449">
        <w:rPr>
          <w:rFonts w:cstheme="minorBidi"/>
        </w:rPr>
        <w:t>however indirectly.</w:t>
      </w:r>
      <w:r w:rsidRPr="00D41FAC">
        <w:rPr>
          <w:vertAlign w:val="superscript"/>
        </w:rPr>
        <w:footnoteReference w:id="47"/>
      </w:r>
      <w:r w:rsidRPr="00DA0449">
        <w:rPr>
          <w:rFonts w:cstheme="minorBidi"/>
        </w:rPr>
        <w:t xml:space="preserve"> To the contrary, PacifiCorp must show a “</w:t>
      </w:r>
      <w:r w:rsidRPr="00DA0449">
        <w:rPr>
          <w:rFonts w:cstheme="minorBidi"/>
          <w:i/>
        </w:rPr>
        <w:t xml:space="preserve">substantial burden </w:t>
      </w:r>
      <w:r w:rsidRPr="00DA0449">
        <w:rPr>
          <w:rFonts w:cstheme="minorBidi"/>
        </w:rPr>
        <w:t xml:space="preserve">on </w:t>
      </w:r>
      <w:r w:rsidRPr="00DA0449">
        <w:rPr>
          <w:rFonts w:cstheme="minorBidi"/>
          <w:i/>
        </w:rPr>
        <w:t>interstate commerce</w:t>
      </w:r>
      <w:r w:rsidRPr="00DA0449">
        <w:rPr>
          <w:rFonts w:cstheme="minorBidi"/>
        </w:rPr>
        <w:t>.”</w:t>
      </w:r>
      <w:r w:rsidRPr="00D41FAC">
        <w:rPr>
          <w:vertAlign w:val="superscript"/>
        </w:rPr>
        <w:footnoteReference w:id="48"/>
      </w:r>
      <w:r w:rsidRPr="00DA0449">
        <w:rPr>
          <w:rFonts w:cstheme="minorBidi"/>
        </w:rPr>
        <w:t xml:space="preserve"> It has failed to do so. </w:t>
      </w:r>
      <w:r>
        <w:rPr>
          <w:rFonts w:cstheme="minorBidi"/>
          <w:lang w:val="en-US"/>
        </w:rPr>
        <w:t xml:space="preserve"> </w:t>
      </w:r>
    </w:p>
    <w:p w14:paraId="650A1DAF" w14:textId="38862377" w:rsidR="00DA0449" w:rsidRPr="00DA0449" w:rsidRDefault="00DA0449" w:rsidP="00DA0449">
      <w:pPr>
        <w:pStyle w:val="WUTCParagraph"/>
        <w:tabs>
          <w:tab w:val="clear" w:pos="1440"/>
        </w:tabs>
      </w:pPr>
      <w:r w:rsidRPr="00D41FAC">
        <w:tab/>
        <w:t>A law or regulation “can discriminate against out-of-state interests in three different ways: (1) facially; (2) purposefully, or (3) in practical effect.”</w:t>
      </w:r>
      <w:r w:rsidRPr="00D41FAC">
        <w:rPr>
          <w:vertAlign w:val="superscript"/>
        </w:rPr>
        <w:footnoteReference w:id="49"/>
      </w:r>
      <w:r w:rsidRPr="00D41FAC">
        <w:t xml:space="preserve"> In its brief, the Company </w:t>
      </w:r>
      <w:r w:rsidRPr="00D41FAC">
        <w:lastRenderedPageBreak/>
        <w:t xml:space="preserve">argues that Staff’s position is facially discriminatory. It offers no facts to support its argument. </w:t>
      </w:r>
      <w:r>
        <w:rPr>
          <w:lang w:val="en-US"/>
        </w:rPr>
        <w:t xml:space="preserve"> </w:t>
      </w:r>
    </w:p>
    <w:p w14:paraId="5021B690" w14:textId="3B7FEB18" w:rsidR="00DA0449" w:rsidRDefault="00DA0449" w:rsidP="00DA0449">
      <w:pPr>
        <w:pStyle w:val="WUTCParagraph"/>
        <w:tabs>
          <w:tab w:val="clear" w:pos="1440"/>
        </w:tabs>
      </w:pPr>
      <w:r w:rsidRPr="00D41FAC">
        <w:tab/>
        <w:t>Discrimination requires “differential treatment of in-state and out-of-state economic interests that benefits the former and burdens the latter.”</w:t>
      </w:r>
      <w:r w:rsidRPr="00D41FAC">
        <w:rPr>
          <w:vertAlign w:val="superscript"/>
        </w:rPr>
        <w:footnoteReference w:id="50"/>
      </w:r>
      <w:r w:rsidRPr="00D41FAC">
        <w:t xml:space="preserve"> Facial discrimination requires </w:t>
      </w:r>
      <w:r w:rsidRPr="00DA0449">
        <w:rPr>
          <w:i/>
        </w:rPr>
        <w:t xml:space="preserve">express </w:t>
      </w:r>
      <w:r>
        <w:t xml:space="preserve">differential treatment. </w:t>
      </w:r>
      <w:r>
        <w:rPr>
          <w:lang w:val="en-US"/>
        </w:rPr>
        <w:t xml:space="preserve"> </w:t>
      </w:r>
      <w:r w:rsidRPr="00D41FAC">
        <w:t xml:space="preserve">An example of facial discrimination is set forth below. </w:t>
      </w:r>
    </w:p>
    <w:p w14:paraId="3865930C" w14:textId="77777777" w:rsidR="00DA0449" w:rsidRDefault="00DA0449" w:rsidP="00DA0449">
      <w:pPr>
        <w:pStyle w:val="WUTCParagraph"/>
        <w:tabs>
          <w:tab w:val="clear" w:pos="1440"/>
        </w:tabs>
      </w:pPr>
      <w:r w:rsidRPr="00D41FAC">
        <w:tab/>
        <w:t xml:space="preserve">The United States Supreme Court’s decision in </w:t>
      </w:r>
      <w:r w:rsidRPr="00DA0449">
        <w:rPr>
          <w:i/>
        </w:rPr>
        <w:t>Wyoming v. Oklahoma</w:t>
      </w:r>
      <w:r w:rsidRPr="00D41FAC">
        <w:t xml:space="preserve"> dealt directly with facial discrimination.  Here, Wyoming challenged an Oklahoma statute that required Oklahoma coal-fired generators to burn a mixture containing at least 10% Oklahoma-mined coal. The Court held that the law violated the Commerce Clause “on its face,” since it “expressly reserve[d] a segment of the Oklahoma coal market for Oklahoma-mined coal, to the exclusion of coal mined in other States.”</w:t>
      </w:r>
      <w:r w:rsidRPr="00D41FAC">
        <w:rPr>
          <w:vertAlign w:val="superscript"/>
        </w:rPr>
        <w:footnoteReference w:id="51"/>
      </w:r>
      <w:r w:rsidRPr="00D41FAC">
        <w:t xml:space="preserve">  Unlike the Oklahoma statute, Staff position expresses no preference for locally-produced energy. </w:t>
      </w:r>
    </w:p>
    <w:p w14:paraId="2BC6F9F2" w14:textId="623650F0" w:rsidR="00DA0449" w:rsidRDefault="00DA0449" w:rsidP="00DA0449">
      <w:pPr>
        <w:pStyle w:val="WUTCParagraph"/>
        <w:tabs>
          <w:tab w:val="clear" w:pos="1440"/>
        </w:tabs>
      </w:pPr>
      <w:r w:rsidRPr="00D41FAC">
        <w:tab/>
        <w:t xml:space="preserve">The Company’s citation to </w:t>
      </w:r>
      <w:r w:rsidRPr="00DA0449">
        <w:rPr>
          <w:i/>
        </w:rPr>
        <w:t xml:space="preserve">New England Power I </w:t>
      </w:r>
      <w:r w:rsidRPr="00D41FAC">
        <w:t>fails to support its constitutional argument. In that case, the United States Supreme Court invalidated a New Hampshire regulatory order prohibiting an in-state power plant from exporting some of its output to out-of-state retail utilities in an effort to reduce prices for in-state consumers.</w:t>
      </w:r>
      <w:r w:rsidRPr="00D41FAC">
        <w:rPr>
          <w:vertAlign w:val="superscript"/>
        </w:rPr>
        <w:footnoteReference w:id="52"/>
      </w:r>
      <w:r w:rsidRPr="00D41FAC">
        <w:t xml:space="preserve"> The Court concluded that the order violated the commerce clause on its face because it overtly banned the export of power beyond the state’s border.</w:t>
      </w:r>
      <w:r w:rsidRPr="00D41FAC">
        <w:rPr>
          <w:vertAlign w:val="superscript"/>
        </w:rPr>
        <w:footnoteReference w:id="53"/>
      </w:r>
      <w:r w:rsidRPr="00D41FAC">
        <w:t xml:space="preserve">  Here, Staff’s position would have no effect on out-of-state access to Washington’s power resources. Nor, has it in any way “banned” out-of-state QFs from seeking to </w:t>
      </w:r>
      <w:r>
        <w:t xml:space="preserve">sell its power in Washington.  </w:t>
      </w:r>
    </w:p>
    <w:p w14:paraId="0B6F7071" w14:textId="070ED5A7" w:rsidR="00DA0449" w:rsidRPr="00DA0449" w:rsidRDefault="00DA0449" w:rsidP="00DA0449">
      <w:pPr>
        <w:pStyle w:val="WUTCParagraph"/>
        <w:tabs>
          <w:tab w:val="clear" w:pos="1440"/>
        </w:tabs>
      </w:pPr>
      <w:r>
        <w:rPr>
          <w:rFonts w:cstheme="minorBidi"/>
          <w:lang w:val="en-US"/>
        </w:rPr>
        <w:lastRenderedPageBreak/>
        <w:tab/>
      </w:r>
      <w:r w:rsidRPr="00DA0449">
        <w:rPr>
          <w:rFonts w:cstheme="minorBidi"/>
        </w:rPr>
        <w:t xml:space="preserve">The Company’s citation to </w:t>
      </w:r>
      <w:r w:rsidRPr="00DA0449">
        <w:rPr>
          <w:rFonts w:cstheme="minorBidi"/>
          <w:i/>
        </w:rPr>
        <w:t>Middle South Energy</w:t>
      </w:r>
      <w:r w:rsidRPr="00DA0449">
        <w:rPr>
          <w:rFonts w:cstheme="minorBidi"/>
        </w:rPr>
        <w:t xml:space="preserve"> is likewise unhelpful. In that case, the Eighth Circuit found discriminatory an Arkansas agency’s plan to cancel an in-state utility’s financing and purchasing contracts with an affiliated out-of-state producer.</w:t>
      </w:r>
      <w:r w:rsidRPr="00D41FAC">
        <w:rPr>
          <w:vertAlign w:val="superscript"/>
        </w:rPr>
        <w:footnoteReference w:id="54"/>
      </w:r>
      <w:r w:rsidRPr="00DA0449">
        <w:rPr>
          <w:rFonts w:cstheme="minorBidi"/>
        </w:rPr>
        <w:t xml:space="preserve">  Staff’s position here would have no effect on the Company’s private contracts with out-of-state QFs. As a result, these contracts are not threatened by Staff’s recommendations in this case. In other words, the QFs in question have entered into PPA’s with PacifiCorp consistent with terms and conditions established by the Oregon and California regulators. A Commission decision here consistent with Staff’s position would not alter the contractual relationship bet</w:t>
      </w:r>
      <w:r>
        <w:rPr>
          <w:rFonts w:cstheme="minorBidi"/>
        </w:rPr>
        <w:t xml:space="preserve">ween the QFs and the Company.  </w:t>
      </w:r>
    </w:p>
    <w:p w14:paraId="4D394304" w14:textId="6E9CAB9D" w:rsidR="00DA0449" w:rsidRPr="00DA0449" w:rsidRDefault="00DA0449" w:rsidP="00DA0449">
      <w:pPr>
        <w:pStyle w:val="WUTCParagraph"/>
        <w:tabs>
          <w:tab w:val="clear" w:pos="1440"/>
        </w:tabs>
      </w:pPr>
      <w:r>
        <w:rPr>
          <w:rFonts w:cstheme="minorBidi"/>
        </w:rPr>
        <w:tab/>
      </w:r>
      <w:r w:rsidRPr="00DA0449">
        <w:rPr>
          <w:rFonts w:cstheme="minorBidi"/>
        </w:rPr>
        <w:t>At its most basic level, the Company’s argument fails because the Company never identifies the “in-state and out-of-state economic interests” that would allegedly receive differential treatmen</w:t>
      </w:r>
      <w:r w:rsidR="00293583">
        <w:rPr>
          <w:rFonts w:cstheme="minorBidi"/>
        </w:rPr>
        <w:t>t under Staff’s recommendation.</w:t>
      </w:r>
      <w:r w:rsidRPr="00D41FAC">
        <w:rPr>
          <w:vertAlign w:val="superscript"/>
        </w:rPr>
        <w:footnoteReference w:id="55"/>
      </w:r>
      <w:r w:rsidRPr="00DA0449">
        <w:rPr>
          <w:rFonts w:cstheme="minorBidi"/>
        </w:rPr>
        <w:t xml:space="preserve"> This failure stems from the fact that Staff’s position would only impact a </w:t>
      </w:r>
      <w:r w:rsidRPr="00DA0449">
        <w:rPr>
          <w:rFonts w:cstheme="minorBidi"/>
          <w:i/>
        </w:rPr>
        <w:t xml:space="preserve">single </w:t>
      </w:r>
      <w:r w:rsidRPr="00DA0449">
        <w:rPr>
          <w:rFonts w:cstheme="minorBidi"/>
        </w:rPr>
        <w:t>economic interest</w:t>
      </w:r>
      <w:r w:rsidR="00037201">
        <w:rPr>
          <w:rFonts w:cstheme="minorBidi"/>
          <w:lang w:val="en-US"/>
        </w:rPr>
        <w:t xml:space="preserve"> - </w:t>
      </w:r>
      <w:r w:rsidRPr="00DA0449">
        <w:rPr>
          <w:rFonts w:cstheme="minorBidi"/>
        </w:rPr>
        <w:t>i.e., PacifiCorp. Any complaint steeped in discrimination would assume a “comparison of substantially similar entities.”</w:t>
      </w:r>
      <w:r w:rsidRPr="00D41FAC">
        <w:rPr>
          <w:vertAlign w:val="superscript"/>
        </w:rPr>
        <w:footnoteReference w:id="56"/>
      </w:r>
      <w:r w:rsidRPr="00DA0449">
        <w:rPr>
          <w:rFonts w:cstheme="minorBidi"/>
        </w:rPr>
        <w:t xml:space="preserve">  The Company here offers nothing to compare. </w:t>
      </w:r>
      <w:r>
        <w:rPr>
          <w:rFonts w:cstheme="minorBidi"/>
          <w:lang w:val="en-US"/>
        </w:rPr>
        <w:t xml:space="preserve"> </w:t>
      </w:r>
    </w:p>
    <w:p w14:paraId="28CCD17D" w14:textId="1268F9F8" w:rsidR="00DA0449" w:rsidRPr="00DA0449" w:rsidRDefault="00DA0449" w:rsidP="00DA0449">
      <w:pPr>
        <w:pStyle w:val="WUTCParagraph"/>
        <w:tabs>
          <w:tab w:val="clear" w:pos="1440"/>
        </w:tabs>
      </w:pPr>
      <w:r>
        <w:rPr>
          <w:rFonts w:cstheme="minorBidi"/>
        </w:rPr>
        <w:tab/>
      </w:r>
      <w:r w:rsidRPr="00DA0449">
        <w:rPr>
          <w:rFonts w:cstheme="minorBidi"/>
        </w:rPr>
        <w:t>Finally, the Company’s constitutional claim cites no controlling authority demonstrating contravention of the “central rationale for the rule against discrimination</w:t>
      </w:r>
      <w:r w:rsidR="00037201">
        <w:rPr>
          <w:rFonts w:cstheme="minorBidi"/>
        </w:rPr>
        <w:t>”</w:t>
      </w:r>
      <w:r w:rsidR="00037201">
        <w:rPr>
          <w:rFonts w:cstheme="minorBidi"/>
          <w:lang w:val="en-US"/>
        </w:rPr>
        <w:t xml:space="preserve">- </w:t>
      </w:r>
      <w:r w:rsidRPr="00DA0449">
        <w:rPr>
          <w:rFonts w:cstheme="minorBidi"/>
        </w:rPr>
        <w:t xml:space="preserve">that is, prohibition of “state or municipal laws whose object is local economic protectionism, laws that would excite those jealousies and retaliatory measures the Constitution was </w:t>
      </w:r>
      <w:r w:rsidRPr="00DA0449">
        <w:rPr>
          <w:rFonts w:cstheme="minorBidi"/>
        </w:rPr>
        <w:lastRenderedPageBreak/>
        <w:t>designed to prevent.”</w:t>
      </w:r>
      <w:r w:rsidRPr="00D41FAC">
        <w:rPr>
          <w:vertAlign w:val="superscript"/>
        </w:rPr>
        <w:footnoteReference w:id="57"/>
      </w:r>
      <w:r w:rsidRPr="00DA0449">
        <w:rPr>
          <w:rFonts w:cstheme="minorBidi"/>
        </w:rPr>
        <w:t xml:space="preserve"> In the absence of such authority, the Company’s “per se invalidity” theory fails.</w:t>
      </w:r>
      <w:r>
        <w:rPr>
          <w:rFonts w:cstheme="minorBidi"/>
          <w:lang w:val="en-US"/>
        </w:rPr>
        <w:t xml:space="preserve">  </w:t>
      </w:r>
    </w:p>
    <w:p w14:paraId="73FE037C" w14:textId="6B7C1BD7" w:rsidR="00DA0449" w:rsidRPr="00DA0449" w:rsidRDefault="00DA0449" w:rsidP="00EF0972">
      <w:pPr>
        <w:pStyle w:val="WUTCParagraph"/>
        <w:tabs>
          <w:tab w:val="clear" w:pos="1440"/>
        </w:tabs>
      </w:pPr>
      <w:r w:rsidRPr="00DA0449">
        <w:rPr>
          <w:rFonts w:cstheme="minorBidi"/>
        </w:rPr>
        <w:tab/>
        <w:t xml:space="preserve">In sum, the Commerce Clause does not require states to set identical avoided costs. Nor does it mandate that Washington set rates based upon another state’s determination of avoided costs. If this were the case, PURPA’s entire </w:t>
      </w:r>
      <w:r w:rsidR="00600D42">
        <w:rPr>
          <w:rFonts w:cstheme="minorBidi"/>
          <w:lang w:val="en-US"/>
        </w:rPr>
        <w:t xml:space="preserve">avoided cost </w:t>
      </w:r>
      <w:r w:rsidRPr="00DA0449">
        <w:rPr>
          <w:rFonts w:cstheme="minorBidi"/>
        </w:rPr>
        <w:t>construct would be unconstitutional. Further, the Commerce Clause does not prevent a Commission from regulating “a local public utility for the protection of local . . . ratepayers.”</w:t>
      </w:r>
      <w:r w:rsidRPr="00D41FAC">
        <w:rPr>
          <w:vertAlign w:val="superscript"/>
        </w:rPr>
        <w:footnoteReference w:id="58"/>
      </w:r>
      <w:r w:rsidRPr="00DA0449">
        <w:rPr>
          <w:rFonts w:cstheme="minorBidi"/>
        </w:rPr>
        <w:t xml:space="preserve"> Staff’s QF position presents no constitutional barriers that would prevent its adoption.  It allows QF owners to offer their products in Washington</w:t>
      </w:r>
      <w:r w:rsidR="00EA4127">
        <w:rPr>
          <w:rFonts w:cstheme="minorBidi"/>
          <w:lang w:val="en-US"/>
        </w:rPr>
        <w:t xml:space="preserve"> at the Company’s current avoided cost</w:t>
      </w:r>
      <w:r w:rsidR="00C961A7">
        <w:rPr>
          <w:rFonts w:cstheme="minorBidi"/>
          <w:lang w:val="en-US"/>
        </w:rPr>
        <w:t xml:space="preserve">, and </w:t>
      </w:r>
      <w:r w:rsidRPr="00DA0449">
        <w:rPr>
          <w:rFonts w:cstheme="minorBidi"/>
        </w:rPr>
        <w:t>does not impair QF owners from doing business in Oregon and California</w:t>
      </w:r>
      <w:r w:rsidR="00EA4127">
        <w:rPr>
          <w:rFonts w:cstheme="minorBidi"/>
          <w:lang w:val="en-US"/>
        </w:rPr>
        <w:t xml:space="preserve"> at the avoided costs established by those states</w:t>
      </w:r>
      <w:r w:rsidRPr="00DA0449">
        <w:rPr>
          <w:rFonts w:cstheme="minorBidi"/>
        </w:rPr>
        <w:t>. Importantly, it would not alter the existing contractual relationships between the Company and its QF suppliers</w:t>
      </w:r>
      <w:r w:rsidR="00C961A7">
        <w:rPr>
          <w:rFonts w:cstheme="minorBidi"/>
          <w:lang w:val="en-US"/>
        </w:rPr>
        <w:t xml:space="preserve">. There is no Commerce Clause violation emanating from </w:t>
      </w:r>
      <w:r w:rsidR="00EA4127">
        <w:rPr>
          <w:rFonts w:cstheme="minorBidi"/>
          <w:lang w:val="en-US"/>
        </w:rPr>
        <w:t xml:space="preserve">a </w:t>
      </w:r>
      <w:r w:rsidR="00C961A7">
        <w:rPr>
          <w:rFonts w:cstheme="minorBidi"/>
          <w:lang w:val="en-US"/>
        </w:rPr>
        <w:t xml:space="preserve">Commission </w:t>
      </w:r>
      <w:r w:rsidR="00EA4127">
        <w:rPr>
          <w:rFonts w:cstheme="minorBidi"/>
          <w:lang w:val="en-US"/>
        </w:rPr>
        <w:t xml:space="preserve">decision </w:t>
      </w:r>
      <w:r w:rsidR="00C961A7">
        <w:rPr>
          <w:rFonts w:cstheme="minorBidi"/>
          <w:lang w:val="en-US"/>
        </w:rPr>
        <w:t xml:space="preserve">upholding the WCA. </w:t>
      </w:r>
    </w:p>
    <w:p w14:paraId="39153880" w14:textId="0490CF25" w:rsidR="004855EC" w:rsidRDefault="00C961A7" w:rsidP="00034532">
      <w:pPr>
        <w:pStyle w:val="WUTCParagraph"/>
        <w:numPr>
          <w:ilvl w:val="0"/>
          <w:numId w:val="0"/>
        </w:numPr>
        <w:tabs>
          <w:tab w:val="clear" w:pos="1440"/>
        </w:tabs>
        <w:rPr>
          <w:b/>
        </w:rPr>
      </w:pPr>
      <w:r w:rsidRPr="00E9542E">
        <w:rPr>
          <w:b/>
          <w:lang w:val="en-US"/>
        </w:rPr>
        <w:t>C</w:t>
      </w:r>
      <w:r>
        <w:rPr>
          <w:lang w:val="en-US"/>
        </w:rPr>
        <w:t xml:space="preserve">. </w:t>
      </w:r>
      <w:r w:rsidR="00E9542E">
        <w:rPr>
          <w:lang w:val="en-US"/>
        </w:rPr>
        <w:tab/>
      </w:r>
      <w:r w:rsidR="00E9542E" w:rsidRPr="00E9542E">
        <w:rPr>
          <w:b/>
          <w:lang w:val="en-US"/>
        </w:rPr>
        <w:t>The WCA is Fair, Equitable and is not Discriminatory</w:t>
      </w:r>
      <w:r w:rsidRPr="00E9542E">
        <w:rPr>
          <w:b/>
          <w:lang w:val="en-US"/>
        </w:rPr>
        <w:t xml:space="preserve"> </w:t>
      </w:r>
    </w:p>
    <w:p w14:paraId="417F2EE1" w14:textId="53029089" w:rsidR="00E9542E" w:rsidRPr="00034532" w:rsidRDefault="0002673F" w:rsidP="00034532">
      <w:pPr>
        <w:pStyle w:val="WUTCParagraph"/>
        <w:tabs>
          <w:tab w:val="clear" w:pos="1440"/>
        </w:tabs>
      </w:pPr>
      <w:r>
        <w:tab/>
      </w:r>
      <w:r w:rsidR="00E9542E" w:rsidRPr="00E9542E">
        <w:t xml:space="preserve">PacifiCorp </w:t>
      </w:r>
      <w:r>
        <w:t>claims the Commission has engaged in discriminatory behavior by treating the Company’s QFs differently than that of Avista Corporation.</w:t>
      </w:r>
      <w:r>
        <w:rPr>
          <w:rStyle w:val="FootnoteReference"/>
        </w:rPr>
        <w:footnoteReference w:id="59"/>
      </w:r>
      <w:r>
        <w:t xml:space="preserve">  This is a patently false statement that ignores the history of the WCA and the significant policy differences between the three WCA states. </w:t>
      </w:r>
      <w:r w:rsidR="00034532">
        <w:rPr>
          <w:lang w:val="en-US"/>
        </w:rPr>
        <w:t xml:space="preserve"> </w:t>
      </w:r>
    </w:p>
    <w:p w14:paraId="606B3BE5" w14:textId="5E587883" w:rsidR="007B27E7" w:rsidRPr="00034532" w:rsidRDefault="0002673F" w:rsidP="0002673F">
      <w:pPr>
        <w:pStyle w:val="WUTCParagraph"/>
        <w:tabs>
          <w:tab w:val="clear" w:pos="1440"/>
        </w:tabs>
      </w:pPr>
      <w:r w:rsidRPr="00034532">
        <w:tab/>
        <w:t xml:space="preserve">The </w:t>
      </w:r>
      <w:r w:rsidR="005D7E95" w:rsidRPr="00034532">
        <w:t xml:space="preserve">Company’s memory on the </w:t>
      </w:r>
      <w:r w:rsidRPr="00034532">
        <w:t xml:space="preserve">WCA </w:t>
      </w:r>
      <w:r w:rsidR="005D7E95" w:rsidRPr="00034532">
        <w:t xml:space="preserve">is short. Less than ten years ago, it presented the WCA to the Commission as PacifiCorp’s </w:t>
      </w:r>
      <w:r w:rsidR="005D7E95" w:rsidRPr="00034532">
        <w:rPr>
          <w:i/>
        </w:rPr>
        <w:t>designated</w:t>
      </w:r>
      <w:r w:rsidR="005D7E95" w:rsidRPr="00034532">
        <w:t xml:space="preserve"> inter-jurisdictional allocation </w:t>
      </w:r>
      <w:r w:rsidR="005D7E95" w:rsidRPr="00034532">
        <w:lastRenderedPageBreak/>
        <w:t>methodology.</w:t>
      </w:r>
      <w:r w:rsidR="005D7E95">
        <w:rPr>
          <w:rStyle w:val="FootnoteReference"/>
        </w:rPr>
        <w:footnoteReference w:id="60"/>
      </w:r>
      <w:r w:rsidR="005D7E95" w:rsidRPr="00034532">
        <w:t xml:space="preserve"> Staff proposed two adjustments to the Company’s WCA.</w:t>
      </w:r>
      <w:r w:rsidR="00256AAD">
        <w:rPr>
          <w:rStyle w:val="FootnoteReference"/>
        </w:rPr>
        <w:footnoteReference w:id="61"/>
      </w:r>
      <w:r w:rsidR="005D7E95" w:rsidRPr="00034532">
        <w:t xml:space="preserve"> Importantly, the situs allocation of QF costs was not one of them. </w:t>
      </w:r>
      <w:r w:rsidR="00E5631E" w:rsidRPr="00034532">
        <w:t xml:space="preserve"> With the support of the Company and Staff, </w:t>
      </w:r>
      <w:r w:rsidR="004A6604" w:rsidRPr="00034532">
        <w:t xml:space="preserve">the Commission </w:t>
      </w:r>
      <w:r w:rsidR="009825DA" w:rsidRPr="00034532">
        <w:t xml:space="preserve">concluded </w:t>
      </w:r>
      <w:r w:rsidR="00CB61B4" w:rsidRPr="00034532">
        <w:t>th</w:t>
      </w:r>
      <w:r w:rsidR="004A6604" w:rsidRPr="00034532">
        <w:t>at adopting the</w:t>
      </w:r>
      <w:r w:rsidR="00CB61B4" w:rsidRPr="00034532">
        <w:t xml:space="preserve"> methodology was </w:t>
      </w:r>
      <w:r w:rsidR="004A6604" w:rsidRPr="00034532">
        <w:t xml:space="preserve">“in the public interest” and </w:t>
      </w:r>
      <w:r w:rsidR="00E5631E" w:rsidRPr="00034532">
        <w:t xml:space="preserve">that </w:t>
      </w:r>
      <w:r w:rsidR="004A6604" w:rsidRPr="00034532">
        <w:t>the rates affected by it were “fair, just, reasonable and sufficient.”</w:t>
      </w:r>
      <w:r w:rsidR="004A6604">
        <w:rPr>
          <w:rStyle w:val="FootnoteReference"/>
        </w:rPr>
        <w:footnoteReference w:id="62"/>
      </w:r>
      <w:r w:rsidR="004A6604" w:rsidRPr="00034532">
        <w:t xml:space="preserve"> </w:t>
      </w:r>
      <w:r w:rsidR="00E5631E" w:rsidRPr="00034532">
        <w:t xml:space="preserve">The WCA was then used by </w:t>
      </w:r>
      <w:r w:rsidR="00526A7D" w:rsidRPr="00034532">
        <w:t xml:space="preserve">PacifiCorp </w:t>
      </w:r>
      <w:r w:rsidR="00E5631E" w:rsidRPr="00034532">
        <w:t xml:space="preserve">to allocate costs in numerous rate cases since its adoption. </w:t>
      </w:r>
      <w:r w:rsidR="007B27E7" w:rsidRPr="00034532">
        <w:t xml:space="preserve">In sum, the WCA was proposed by the Company for its use in Washington. It cannot make a plausible claim now that its own methodology discriminates against its interests. </w:t>
      </w:r>
      <w:r w:rsidR="00034532">
        <w:rPr>
          <w:lang w:val="en-US"/>
        </w:rPr>
        <w:t xml:space="preserve"> </w:t>
      </w:r>
    </w:p>
    <w:p w14:paraId="1B65F0B2" w14:textId="0DFC799A" w:rsidR="00227534" w:rsidRDefault="00647D31" w:rsidP="0002673F">
      <w:pPr>
        <w:pStyle w:val="WUTCParagraph"/>
        <w:tabs>
          <w:tab w:val="clear" w:pos="1440"/>
        </w:tabs>
      </w:pPr>
      <w:r w:rsidRPr="00034532">
        <w:tab/>
      </w:r>
      <w:r w:rsidR="00227534">
        <w:t xml:space="preserve">As to supporting its discrimination claim, </w:t>
      </w:r>
      <w:r w:rsidR="00526A7D">
        <w:t xml:space="preserve">PacifiCorp simply states </w:t>
      </w:r>
      <w:r w:rsidR="00227534">
        <w:t xml:space="preserve">that the Commission has allowed </w:t>
      </w:r>
      <w:r w:rsidR="00526A7D">
        <w:t xml:space="preserve">Avista to recover the costs of </w:t>
      </w:r>
      <w:r w:rsidR="00227534">
        <w:t xml:space="preserve">some Idaho </w:t>
      </w:r>
      <w:r w:rsidR="00526A7D">
        <w:t xml:space="preserve">QFs </w:t>
      </w:r>
      <w:r w:rsidR="00227534">
        <w:t xml:space="preserve">in rates </w:t>
      </w:r>
      <w:r w:rsidR="00526A7D">
        <w:t xml:space="preserve">that were priced </w:t>
      </w:r>
      <w:r w:rsidR="00227534">
        <w:t>higher than Washington’s avoided costs.</w:t>
      </w:r>
      <w:r w:rsidR="00526A7D">
        <w:rPr>
          <w:rStyle w:val="FootnoteReference"/>
        </w:rPr>
        <w:footnoteReference w:id="63"/>
      </w:r>
      <w:r w:rsidR="00227534">
        <w:t xml:space="preserve"> </w:t>
      </w:r>
      <w:r w:rsidR="00526A7D">
        <w:t xml:space="preserve"> As noted in Section C above, a discrimination claim must be founded upon proof of disparate treatment </w:t>
      </w:r>
      <w:r w:rsidR="00603CD6">
        <w:t xml:space="preserve">when two </w:t>
      </w:r>
      <w:r w:rsidR="00526A7D" w:rsidRPr="0082685A">
        <w:rPr>
          <w:i/>
        </w:rPr>
        <w:t>similarly situated</w:t>
      </w:r>
      <w:r w:rsidR="00526A7D">
        <w:t xml:space="preserve"> entities</w:t>
      </w:r>
      <w:r w:rsidR="00603CD6">
        <w:t xml:space="preserve"> are compared</w:t>
      </w:r>
      <w:r w:rsidR="00526A7D">
        <w:t>.</w:t>
      </w:r>
      <w:r w:rsidR="00526A7D">
        <w:rPr>
          <w:rStyle w:val="FootnoteReference"/>
        </w:rPr>
        <w:footnoteReference w:id="64"/>
      </w:r>
      <w:r w:rsidR="00526A7D">
        <w:t xml:space="preserve"> Here, </w:t>
      </w:r>
      <w:r w:rsidR="00603CD6">
        <w:t xml:space="preserve">PacifiCorp </w:t>
      </w:r>
      <w:r w:rsidR="00526A7D">
        <w:t xml:space="preserve">makes no attempt to compare Avista’s regulatory environment with its own. </w:t>
      </w:r>
      <w:r w:rsidR="0082685A">
        <w:t xml:space="preserve">It </w:t>
      </w:r>
      <w:r w:rsidR="004A51C9">
        <w:t xml:space="preserve">also fails to compare the amount of energy or capacity supplied by </w:t>
      </w:r>
      <w:r w:rsidR="0082685A">
        <w:t xml:space="preserve">Avista’s </w:t>
      </w:r>
      <w:r w:rsidR="004A51C9">
        <w:t>QFs and the duration of those agreements. Finally, it skips over any comparison of t</w:t>
      </w:r>
      <w:r w:rsidR="00526A7D">
        <w:t>he circumstances that lead to the Commission’s acceptance of certain Idaho PPAs</w:t>
      </w:r>
      <w:r w:rsidR="00603CD6">
        <w:t xml:space="preserve"> with those at issue in this rate case.</w:t>
      </w:r>
      <w:r w:rsidR="00DD28D7">
        <w:rPr>
          <w:rStyle w:val="FootnoteReference"/>
        </w:rPr>
        <w:footnoteReference w:id="65"/>
      </w:r>
      <w:r w:rsidR="00603CD6">
        <w:t xml:space="preserve"> These are critical issues that the Company ignores, even though it bears the burden to prove them. </w:t>
      </w:r>
      <w:r w:rsidR="00501DA3">
        <w:t>In the end, it is not enough to claim discrimination</w:t>
      </w:r>
      <w:r w:rsidR="004D18C7">
        <w:t>. I</w:t>
      </w:r>
      <w:r w:rsidR="00501DA3">
        <w:t xml:space="preserve">t must be proven with </w:t>
      </w:r>
      <w:r w:rsidR="0082685A">
        <w:t xml:space="preserve">actual </w:t>
      </w:r>
      <w:r w:rsidR="00501DA3">
        <w:t>facts</w:t>
      </w:r>
      <w:r w:rsidR="00A06978">
        <w:t xml:space="preserve"> - </w:t>
      </w:r>
      <w:r w:rsidR="00501DA3">
        <w:t xml:space="preserve">not allegations. </w:t>
      </w:r>
      <w:r w:rsidR="00F82661" w:rsidRPr="00501DA3">
        <w:t xml:space="preserve"> </w:t>
      </w:r>
    </w:p>
    <w:p w14:paraId="263BE64A" w14:textId="07932A78" w:rsidR="00647D31" w:rsidRDefault="00DD28D7" w:rsidP="0002673F">
      <w:pPr>
        <w:pStyle w:val="WUTCParagraph"/>
        <w:tabs>
          <w:tab w:val="clear" w:pos="1440"/>
        </w:tabs>
      </w:pPr>
      <w:r w:rsidRPr="00034532">
        <w:lastRenderedPageBreak/>
        <w:tab/>
      </w:r>
      <w:r w:rsidR="00647D31">
        <w:t>The Company also fails to a</w:t>
      </w:r>
      <w:r w:rsidR="004D18C7">
        <w:t xml:space="preserve">cknowledge </w:t>
      </w:r>
      <w:r w:rsidR="00647D31">
        <w:t xml:space="preserve">the cause of its </w:t>
      </w:r>
      <w:r w:rsidR="004D18C7">
        <w:t xml:space="preserve">QF </w:t>
      </w:r>
      <w:r w:rsidR="00647D31">
        <w:t xml:space="preserve">cost recovery </w:t>
      </w:r>
      <w:r w:rsidR="004D18C7">
        <w:t>difficulties</w:t>
      </w:r>
      <w:r w:rsidR="00037201">
        <w:t xml:space="preserve"> - </w:t>
      </w:r>
      <w:r w:rsidR="00647D31">
        <w:t xml:space="preserve">assuming </w:t>
      </w:r>
      <w:r w:rsidR="004D18C7">
        <w:t xml:space="preserve">they </w:t>
      </w:r>
      <w:r w:rsidR="00647D31">
        <w:t xml:space="preserve">exist. The crux of its complaint is that it is not fully recovering </w:t>
      </w:r>
      <w:r w:rsidR="003B7432">
        <w:t xml:space="preserve">the </w:t>
      </w:r>
      <w:r w:rsidR="00647D31">
        <w:t xml:space="preserve">full QF PPA costs in Oregon and California. </w:t>
      </w:r>
      <w:r w:rsidR="003B7432">
        <w:t>This has nothing to do with Washington and everything to do with the Company’s renegotiation of its Revised Protocol to system-allocate its QF PPA costs.</w:t>
      </w:r>
      <w:r w:rsidR="00905C27">
        <w:rPr>
          <w:rStyle w:val="FootnoteReference"/>
        </w:rPr>
        <w:footnoteReference w:id="66"/>
      </w:r>
      <w:r w:rsidR="003B7432">
        <w:t xml:space="preserve"> Through this renegotiation, the Company voluntarily gave up full recovery of its PPA costs for QF facilities located in Oregon and California.</w:t>
      </w:r>
      <w:r w:rsidR="00F8410B">
        <w:rPr>
          <w:rStyle w:val="FootnoteReference"/>
        </w:rPr>
        <w:footnoteReference w:id="67"/>
      </w:r>
      <w:r w:rsidR="003B7432">
        <w:t xml:space="preserve"> I</w:t>
      </w:r>
      <w:r w:rsidR="003A0E00">
        <w:t xml:space="preserve">n doing so, it must have known </w:t>
      </w:r>
      <w:r w:rsidR="004D18C7">
        <w:t>that the</w:t>
      </w:r>
      <w:r w:rsidR="003B7432">
        <w:t xml:space="preserve"> WCA did not include cost recovery of these resources. It </w:t>
      </w:r>
      <w:r w:rsidR="004D18C7">
        <w:t xml:space="preserve">should not </w:t>
      </w:r>
      <w:r w:rsidR="003B7432">
        <w:t xml:space="preserve">blame the Commission for its QF cost recovery woes. It needs to look no farther than its own actions.  </w:t>
      </w:r>
    </w:p>
    <w:p w14:paraId="704526A0" w14:textId="7AAC6518" w:rsidR="008C79E3" w:rsidRDefault="007B27E7" w:rsidP="0002673F">
      <w:pPr>
        <w:pStyle w:val="WUTCParagraph"/>
        <w:tabs>
          <w:tab w:val="clear" w:pos="1440"/>
        </w:tabs>
      </w:pPr>
      <w:r w:rsidRPr="00034532">
        <w:tab/>
        <w:t xml:space="preserve">The Company points to </w:t>
      </w:r>
      <w:r w:rsidRPr="007B27E7">
        <w:rPr>
          <w:i/>
        </w:rPr>
        <w:t>Washington Water Power</w:t>
      </w:r>
      <w:r>
        <w:t xml:space="preserve"> to support its discrimination claim. </w:t>
      </w:r>
      <w:r w:rsidR="0003684D">
        <w:t xml:space="preserve">It does not help it. </w:t>
      </w:r>
      <w:r>
        <w:t xml:space="preserve">In that case, Washington Water Power sought to include in rates </w:t>
      </w:r>
      <w:r w:rsidR="00952573">
        <w:t xml:space="preserve">over $6 million in power costs associated with the Potlatch </w:t>
      </w:r>
      <w:r w:rsidR="00193ECE">
        <w:t xml:space="preserve">Corporation’s </w:t>
      </w:r>
      <w:r w:rsidR="00952573">
        <w:t>cogeneration facility</w:t>
      </w:r>
      <w:r w:rsidR="009C11C5">
        <w:t xml:space="preserve"> - </w:t>
      </w:r>
      <w:r w:rsidR="00952573">
        <w:t xml:space="preserve">an Idaho QF. The Commission </w:t>
      </w:r>
      <w:r w:rsidR="00193ECE">
        <w:t xml:space="preserve">rejected the inclusion of </w:t>
      </w:r>
      <w:r w:rsidR="00952573">
        <w:t xml:space="preserve">the </w:t>
      </w:r>
      <w:r w:rsidR="0003684D">
        <w:t xml:space="preserve">proposed </w:t>
      </w:r>
      <w:r w:rsidR="00952573">
        <w:t xml:space="preserve">Potlatch PPA in rates, concluding that the contract costs were based on an “incorrect </w:t>
      </w:r>
      <w:r w:rsidR="00193ECE">
        <w:t xml:space="preserve">[avoided cost] </w:t>
      </w:r>
      <w:r w:rsidR="00952573">
        <w:t xml:space="preserve">methodology” used by </w:t>
      </w:r>
      <w:r w:rsidR="00193ECE">
        <w:t xml:space="preserve">the </w:t>
      </w:r>
      <w:r w:rsidR="00DD28D7">
        <w:t>c</w:t>
      </w:r>
      <w:r w:rsidR="00952573">
        <w:t>ompany.</w:t>
      </w:r>
      <w:r w:rsidR="00952573">
        <w:rPr>
          <w:rStyle w:val="FootnoteReference"/>
        </w:rPr>
        <w:footnoteReference w:id="68"/>
      </w:r>
      <w:r w:rsidR="00952573">
        <w:t xml:space="preserve"> </w:t>
      </w:r>
      <w:r w:rsidR="00193ECE">
        <w:t xml:space="preserve">The import of this case is that the Commission </w:t>
      </w:r>
      <w:r w:rsidR="00B97055">
        <w:t>properly exercised its authority to apply Washington’s avoided cost rules to an out-of-state PPA</w:t>
      </w:r>
      <w:r w:rsidR="00037201">
        <w:t>.</w:t>
      </w:r>
      <w:r w:rsidR="001F2CD8">
        <w:t xml:space="preserve"> </w:t>
      </w:r>
      <w:r w:rsidR="008C79E3">
        <w:t xml:space="preserve">Thus, the Commission’s decision is consistent with the principle that it is not bound to accept the avoided cost decisions of another jurisdiction. </w:t>
      </w:r>
      <w:r w:rsidR="00876026">
        <w:t xml:space="preserve">Since the Commission rejected Washington Water Power’s QF PPA, it also undermines PacifiCorp’s allegation that the </w:t>
      </w:r>
      <w:r w:rsidR="00876026">
        <w:lastRenderedPageBreak/>
        <w:t xml:space="preserve">Commission treats it differently than other utilities </w:t>
      </w:r>
      <w:r w:rsidR="00EB4B0A">
        <w:t xml:space="preserve">when it come to the rate treatment of out-of-state QFs. </w:t>
      </w:r>
      <w:r w:rsidR="00876026">
        <w:t xml:space="preserve"> </w:t>
      </w:r>
    </w:p>
    <w:p w14:paraId="65C16C35" w14:textId="6B060E96" w:rsidR="00E9542E" w:rsidRPr="0003109E" w:rsidRDefault="008C79E3" w:rsidP="0003109E">
      <w:pPr>
        <w:pStyle w:val="WUTCParagraph"/>
        <w:tabs>
          <w:tab w:val="clear" w:pos="1440"/>
        </w:tabs>
      </w:pPr>
      <w:r w:rsidRPr="00034532">
        <w:tab/>
      </w:r>
      <w:r w:rsidR="0003684D">
        <w:t>Interestingly, following th</w:t>
      </w:r>
      <w:r w:rsidR="00540DD5">
        <w:t xml:space="preserve">is </w:t>
      </w:r>
      <w:r w:rsidR="0003684D">
        <w:t>Commission’s order</w:t>
      </w:r>
      <w:r w:rsidR="00540DD5">
        <w:t xml:space="preserve">, </w:t>
      </w:r>
      <w:r w:rsidR="0003684D">
        <w:t xml:space="preserve">Potlatch and </w:t>
      </w:r>
      <w:r w:rsidR="00876026">
        <w:t>Washington Water Power c</w:t>
      </w:r>
      <w:r w:rsidR="0003684D">
        <w:t xml:space="preserve">ontinued to negotiate </w:t>
      </w:r>
      <w:r w:rsidR="00540DD5">
        <w:t xml:space="preserve">a </w:t>
      </w:r>
      <w:r w:rsidR="0003684D">
        <w:t>PPA</w:t>
      </w:r>
      <w:r w:rsidR="00540DD5">
        <w:t xml:space="preserve">. The </w:t>
      </w:r>
      <w:r w:rsidR="004B1FC5">
        <w:t xml:space="preserve">parties apparently </w:t>
      </w:r>
      <w:r w:rsidR="0003684D">
        <w:t>reached a deal th</w:t>
      </w:r>
      <w:r w:rsidR="00D879AB">
        <w:t xml:space="preserve">at </w:t>
      </w:r>
      <w:r w:rsidR="00540DD5">
        <w:t xml:space="preserve">would have </w:t>
      </w:r>
      <w:r w:rsidR="00D879AB">
        <w:t>directly d</w:t>
      </w:r>
      <w:r w:rsidR="0003684D">
        <w:t xml:space="preserve">esignated a certain portion of the plant’s output </w:t>
      </w:r>
      <w:r w:rsidR="00D879AB">
        <w:t>to Washington</w:t>
      </w:r>
      <w:r w:rsidR="00EB4B0A">
        <w:t xml:space="preserve"> </w:t>
      </w:r>
      <w:r w:rsidR="00540DD5">
        <w:t>priced at Washington’s avoided costs</w:t>
      </w:r>
      <w:r w:rsidR="00D879AB">
        <w:t>.</w:t>
      </w:r>
      <w:r w:rsidR="00540DD5">
        <w:rPr>
          <w:rStyle w:val="FootnoteReference"/>
        </w:rPr>
        <w:footnoteReference w:id="69"/>
      </w:r>
      <w:r w:rsidR="00D879AB">
        <w:t xml:space="preserve"> This proposal was however rejected by the Idaho </w:t>
      </w:r>
      <w:r w:rsidR="00876026">
        <w:t xml:space="preserve">Public Utilities </w:t>
      </w:r>
      <w:r w:rsidR="00D879AB">
        <w:t>Commission. It concluded that the rates proposed fo</w:t>
      </w:r>
      <w:r w:rsidR="00EB4B0A">
        <w:t>r Idaho were based on the c</w:t>
      </w:r>
      <w:r w:rsidR="00D879AB">
        <w:t>ompany’s historical avoided costs and were not based on avoided cost rates currently in effect.</w:t>
      </w:r>
      <w:r w:rsidR="00D879AB">
        <w:rPr>
          <w:rStyle w:val="FootnoteReference"/>
        </w:rPr>
        <w:footnoteReference w:id="70"/>
      </w:r>
      <w:r w:rsidR="00D879AB">
        <w:t xml:space="preserve"> </w:t>
      </w:r>
      <w:r>
        <w:t xml:space="preserve">To this point, the </w:t>
      </w:r>
      <w:r w:rsidR="00876026">
        <w:t xml:space="preserve">Idaho </w:t>
      </w:r>
      <w:r>
        <w:t xml:space="preserve">Commission stated: “[w]e find that it is not in the public interest to approve a contract based on </w:t>
      </w:r>
      <w:r w:rsidR="00600D42">
        <w:t>pre-190 r</w:t>
      </w:r>
      <w:r>
        <w:t xml:space="preserve">ates and conditions of sale when they differ so substantially from </w:t>
      </w:r>
      <w:r w:rsidR="00600D42">
        <w:t xml:space="preserve">190 </w:t>
      </w:r>
      <w:r>
        <w:t>rates now in effect.”</w:t>
      </w:r>
      <w:r>
        <w:rPr>
          <w:rStyle w:val="FootnoteReference"/>
        </w:rPr>
        <w:footnoteReference w:id="71"/>
      </w:r>
      <w:r>
        <w:t xml:space="preserve"> Later in its order, the </w:t>
      </w:r>
      <w:r w:rsidR="00876026">
        <w:t xml:space="preserve">Idaho </w:t>
      </w:r>
      <w:r>
        <w:t xml:space="preserve">Commission made very clear its disregard for company attempts to bring PPAs to it for approval based on historic </w:t>
      </w:r>
      <w:r w:rsidR="004B1FC5">
        <w:t xml:space="preserve">avoided costs no </w:t>
      </w:r>
      <w:r>
        <w:t>longer in effect.</w:t>
      </w:r>
      <w:r>
        <w:rPr>
          <w:rStyle w:val="FootnoteReference"/>
        </w:rPr>
        <w:footnoteReference w:id="72"/>
      </w:r>
      <w:r>
        <w:t xml:space="preserve"> </w:t>
      </w:r>
      <w:r w:rsidR="00876026">
        <w:t xml:space="preserve"> This case argues directly against the Company’s attempt here to re-price its Oregon and California QFs based on Washington’s historical avoided costs.  Contemporary ratepayers have a right to QFs priced at </w:t>
      </w:r>
      <w:r w:rsidR="00647D31">
        <w:t>Washington’s present-day</w:t>
      </w:r>
      <w:r w:rsidR="00876026">
        <w:t xml:space="preserve"> avoided costs</w:t>
      </w:r>
      <w:r w:rsidR="00037201">
        <w:t xml:space="preserve"> - </w:t>
      </w:r>
      <w:r w:rsidR="00876026">
        <w:t>not the historical avoided costs sought b</w:t>
      </w:r>
      <w:r w:rsidR="00647D31">
        <w:t>y</w:t>
      </w:r>
      <w:r w:rsidR="00876026">
        <w:t xml:space="preserve"> the Company. Such a practice is deservedly inequitable and would result in </w:t>
      </w:r>
      <w:r w:rsidR="00647D31">
        <w:t>patently un</w:t>
      </w:r>
      <w:r w:rsidR="00876026">
        <w:t xml:space="preserve">fair </w:t>
      </w:r>
      <w:r w:rsidR="00647D31">
        <w:t>and un</w:t>
      </w:r>
      <w:r w:rsidR="00876026">
        <w:t xml:space="preserve">reasonable rates. </w:t>
      </w:r>
    </w:p>
    <w:p w14:paraId="5FFAC633" w14:textId="5E4C45A8" w:rsidR="00046653" w:rsidRPr="00EF0972" w:rsidRDefault="00AD537F" w:rsidP="00034532">
      <w:pPr>
        <w:pStyle w:val="WUTCParagraph"/>
        <w:keepNext/>
        <w:numPr>
          <w:ilvl w:val="0"/>
          <w:numId w:val="0"/>
        </w:numPr>
        <w:tabs>
          <w:tab w:val="clear" w:pos="1440"/>
        </w:tabs>
        <w:jc w:val="center"/>
        <w:rPr>
          <w:b/>
          <w:lang w:val="en-US"/>
        </w:rPr>
      </w:pPr>
      <w:r w:rsidRPr="00EF0972">
        <w:rPr>
          <w:b/>
          <w:lang w:val="en-US"/>
        </w:rPr>
        <w:lastRenderedPageBreak/>
        <w:t>IV.  INSURANCE EXPENSE</w:t>
      </w:r>
    </w:p>
    <w:p w14:paraId="79DEFA9D" w14:textId="0D22BFC9" w:rsidR="00AD537F" w:rsidRDefault="00AD537F" w:rsidP="00AD537F">
      <w:pPr>
        <w:pStyle w:val="WUTCParagraph"/>
        <w:tabs>
          <w:tab w:val="clear" w:pos="1440"/>
        </w:tabs>
      </w:pPr>
      <w:r>
        <w:tab/>
        <w:t>PacifiCorp proposes to adjust its insurance expense to reflect a six-year rolling average.</w:t>
      </w:r>
      <w:r>
        <w:rPr>
          <w:rStyle w:val="FootnoteReference"/>
        </w:rPr>
        <w:footnoteReference w:id="73"/>
      </w:r>
      <w:r>
        <w:t xml:space="preserve">  The Company includes its $30.8 million 2012 insurance expense in its averaging calculation.</w:t>
      </w:r>
      <w:r>
        <w:rPr>
          <w:rStyle w:val="FootnoteReference"/>
        </w:rPr>
        <w:footnoteReference w:id="74"/>
      </w:r>
      <w:r>
        <w:t xml:space="preserve">  Staff supports the use of the six-year average but replaces the anomalous 2012 expense in the averaging calculation.</w:t>
      </w:r>
      <w:r>
        <w:rPr>
          <w:rStyle w:val="FootnoteReference"/>
        </w:rPr>
        <w:footnoteReference w:id="75"/>
      </w:r>
      <w:r>
        <w:t xml:space="preserve">  </w:t>
      </w:r>
    </w:p>
    <w:p w14:paraId="56CBAA2C" w14:textId="6C21F2E2" w:rsidR="00AD537F" w:rsidRPr="00DE3409" w:rsidRDefault="00AD537F" w:rsidP="00AD537F">
      <w:pPr>
        <w:pStyle w:val="WUTCParagraph"/>
        <w:tabs>
          <w:tab w:val="clear" w:pos="1440"/>
        </w:tabs>
      </w:pPr>
      <w:r>
        <w:tab/>
        <w:t>PacifiCorp’s initial brief argues that historical averages should include anomalous events and points to Staff witness Mr. Gomez’s testimony relating to the proposed hydro deferral for support.</w:t>
      </w:r>
      <w:r>
        <w:rPr>
          <w:rStyle w:val="FootnoteReference"/>
        </w:rPr>
        <w:footnoteReference w:id="76"/>
      </w:r>
      <w:r>
        <w:t xml:space="preserve">  The Company conspicuously fails to mention that the hydro forecasting models discussed by Mr. Gomez as a “long-term average” include several decades of data.</w:t>
      </w:r>
      <w:r>
        <w:rPr>
          <w:rStyle w:val="FootnoteReference"/>
        </w:rPr>
        <w:footnoteReference w:id="77"/>
      </w:r>
      <w:r>
        <w:t xml:space="preserve">  Conversely, the insurance expense in this case derives from a six-year rolling average.  Basic arithmetic reveals that an average based on decades of data can and should include events that would be statistical outliers over a much shorter period, such as a six-year average.  The same basic arithmetic requires that a six-year average should generally contain terms likely to reoccur in the rate year or approximately every six years.  Therefore, a six-year perspective would obviously be inappropriate for an average based on several decades of data, and the Company’s argument that the Commission adopt a decades-long perspective for purposes of a six-year averaging is equally inappropriate.  The Commission should reject PacifiCorp’s proposal and adopt Staff’s recommendation as outlined in the testimony of Mr. Jason L</w:t>
      </w:r>
      <w:r>
        <w:rPr>
          <w:lang w:val="en-US"/>
        </w:rPr>
        <w:t>.</w:t>
      </w:r>
      <w:r>
        <w:t xml:space="preserve"> Ball.  </w:t>
      </w:r>
    </w:p>
    <w:p w14:paraId="296B0E6C" w14:textId="4BD43ABD" w:rsidR="00CF2EA1" w:rsidRPr="00DE3409" w:rsidRDefault="00462CA9" w:rsidP="00E47653">
      <w:pPr>
        <w:keepNext/>
        <w:spacing w:line="480" w:lineRule="auto"/>
        <w:jc w:val="center"/>
      </w:pPr>
      <w:r w:rsidRPr="00DE3409">
        <w:rPr>
          <w:b/>
          <w:szCs w:val="24"/>
        </w:rPr>
        <w:lastRenderedPageBreak/>
        <w:t>V</w:t>
      </w:r>
      <w:r w:rsidR="00312D08" w:rsidRPr="00DE3409">
        <w:rPr>
          <w:b/>
          <w:szCs w:val="24"/>
        </w:rPr>
        <w:t>.</w:t>
      </w:r>
      <w:r w:rsidR="004855EC">
        <w:rPr>
          <w:b/>
          <w:szCs w:val="24"/>
        </w:rPr>
        <w:t xml:space="preserve">  </w:t>
      </w:r>
      <w:r w:rsidR="00CF2EA1" w:rsidRPr="00DE3409">
        <w:rPr>
          <w:b/>
        </w:rPr>
        <w:t>CONCLUSION</w:t>
      </w:r>
    </w:p>
    <w:p w14:paraId="58655D0E" w14:textId="372A875E" w:rsidR="007270E6" w:rsidRPr="004855EC" w:rsidRDefault="00E93C20" w:rsidP="008C79E3">
      <w:pPr>
        <w:pStyle w:val="WUTCParagraph"/>
        <w:tabs>
          <w:tab w:val="clear" w:pos="1440"/>
        </w:tabs>
        <w:rPr>
          <w:lang w:val="en-US"/>
        </w:rPr>
      </w:pPr>
      <w:r>
        <w:tab/>
      </w:r>
      <w:r w:rsidR="00F638EF">
        <w:rPr>
          <w:lang w:val="en-US"/>
        </w:rPr>
        <w:t>For the reasons stated</w:t>
      </w:r>
      <w:r>
        <w:rPr>
          <w:lang w:val="en-US"/>
        </w:rPr>
        <w:t xml:space="preserve"> above, PacifiCorp has failed to meet its burden </w:t>
      </w:r>
      <w:r w:rsidR="007321A0">
        <w:rPr>
          <w:lang w:val="en-US"/>
        </w:rPr>
        <w:t>on a number of issues, including i</w:t>
      </w:r>
      <w:r w:rsidR="00F638EF">
        <w:rPr>
          <w:lang w:val="en-US"/>
        </w:rPr>
        <w:t xml:space="preserve">ts proposed cost of capital, allocation of QF costs, </w:t>
      </w:r>
      <w:r w:rsidR="00DF3002">
        <w:rPr>
          <w:lang w:val="en-US"/>
        </w:rPr>
        <w:t xml:space="preserve">and the </w:t>
      </w:r>
      <w:r w:rsidR="00F638EF">
        <w:rPr>
          <w:lang w:val="en-US"/>
        </w:rPr>
        <w:t>insurance expense adjustment</w:t>
      </w:r>
      <w:r w:rsidR="007321A0">
        <w:rPr>
          <w:lang w:val="en-US"/>
        </w:rPr>
        <w:t xml:space="preserve"> addressed herein</w:t>
      </w:r>
      <w:r w:rsidR="00F638EF">
        <w:rPr>
          <w:lang w:val="en-US"/>
        </w:rPr>
        <w:t>.  As discussed both in this Reply as well as in Staff’s Initial Brief, PacifiCorp has failed to show that it is entitled to the rate increase and associated rate treatments it proposes, and the Commission should adopt Staff’s reasonable, alternative proposals.</w:t>
      </w:r>
    </w:p>
    <w:p w14:paraId="744AD118" w14:textId="21AE5B2E" w:rsidR="00913457" w:rsidRPr="00DE3409" w:rsidRDefault="009D1DB0" w:rsidP="007270E6">
      <w:pPr>
        <w:pStyle w:val="WUTCParagraph"/>
        <w:numPr>
          <w:ilvl w:val="0"/>
          <w:numId w:val="0"/>
        </w:numPr>
        <w:tabs>
          <w:tab w:val="clear" w:pos="1440"/>
        </w:tabs>
      </w:pPr>
      <w:r w:rsidRPr="00DE3409">
        <w:tab/>
      </w:r>
      <w:r w:rsidR="00302751" w:rsidRPr="00DE3409">
        <w:t xml:space="preserve">Dated this </w:t>
      </w:r>
      <w:r w:rsidR="00120FC1">
        <w:rPr>
          <w:lang w:val="en-US"/>
        </w:rPr>
        <w:t>3rd</w:t>
      </w:r>
      <w:r w:rsidR="0063598A" w:rsidRPr="00DE3409">
        <w:rPr>
          <w:lang w:val="en-US"/>
        </w:rPr>
        <w:t xml:space="preserve"> </w:t>
      </w:r>
      <w:r w:rsidR="00302751" w:rsidRPr="00DE3409">
        <w:t xml:space="preserve">day of </w:t>
      </w:r>
      <w:r w:rsidR="00120FC1">
        <w:rPr>
          <w:lang w:val="en-US"/>
        </w:rPr>
        <w:t>February</w:t>
      </w:r>
      <w:r w:rsidR="00302751" w:rsidRPr="00DE3409">
        <w:t xml:space="preserve"> 201</w:t>
      </w:r>
      <w:r w:rsidR="0063598A" w:rsidRPr="00DE3409">
        <w:rPr>
          <w:lang w:val="en-US"/>
        </w:rPr>
        <w:t>5</w:t>
      </w:r>
      <w:r w:rsidR="00302751" w:rsidRPr="00DE3409">
        <w:t>.</w:t>
      </w:r>
    </w:p>
    <w:p w14:paraId="2175678F" w14:textId="77777777" w:rsidR="00A21621" w:rsidRPr="00DE3409" w:rsidRDefault="00A21621" w:rsidP="00A21621">
      <w:pPr>
        <w:ind w:left="720"/>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Respectfully submitted, </w:t>
      </w:r>
    </w:p>
    <w:p w14:paraId="3012A65A" w14:textId="77777777" w:rsidR="00A21621" w:rsidRPr="00DE3409" w:rsidRDefault="00A21621" w:rsidP="00A21621">
      <w:pPr>
        <w:pStyle w:val="BodyTextIndent2"/>
        <w:rPr>
          <w:rFonts w:ascii="Times New Roman" w:hAnsi="Times New Roman"/>
        </w:rPr>
      </w:pPr>
    </w:p>
    <w:p w14:paraId="56849686" w14:textId="77777777" w:rsidR="00A21621" w:rsidRPr="00DE3409" w:rsidRDefault="00A21621" w:rsidP="00A21621">
      <w:pPr>
        <w:ind w:left="5040"/>
        <w:jc w:val="both"/>
        <w:rPr>
          <w:szCs w:val="24"/>
        </w:rPr>
      </w:pPr>
      <w:r w:rsidRPr="00DE3409">
        <w:rPr>
          <w:szCs w:val="24"/>
        </w:rPr>
        <w:t>ROBERT W. FERGUSON</w:t>
      </w:r>
    </w:p>
    <w:p w14:paraId="378F65A0" w14:textId="77777777" w:rsidR="00A21621" w:rsidRPr="00DE3409" w:rsidRDefault="00A21621" w:rsidP="00A21621">
      <w:pPr>
        <w:ind w:firstLine="5040"/>
        <w:jc w:val="both"/>
        <w:rPr>
          <w:szCs w:val="24"/>
        </w:rPr>
      </w:pPr>
      <w:r w:rsidRPr="00DE3409">
        <w:rPr>
          <w:szCs w:val="24"/>
        </w:rPr>
        <w:t>Attorney General</w:t>
      </w:r>
    </w:p>
    <w:p w14:paraId="133A87E4" w14:textId="77777777" w:rsidR="00A21621" w:rsidRPr="00DE3409" w:rsidRDefault="00A21621" w:rsidP="00A21621">
      <w:pPr>
        <w:jc w:val="both"/>
        <w:rPr>
          <w:szCs w:val="24"/>
        </w:rPr>
      </w:pPr>
    </w:p>
    <w:p w14:paraId="477BE45C" w14:textId="77777777" w:rsidR="00A21621" w:rsidRPr="00DE3409" w:rsidRDefault="00A21621" w:rsidP="00A21621">
      <w:pPr>
        <w:ind w:left="1440" w:firstLine="3600"/>
        <w:jc w:val="both"/>
        <w:rPr>
          <w:szCs w:val="24"/>
        </w:rPr>
      </w:pPr>
    </w:p>
    <w:p w14:paraId="76F46F8A" w14:textId="77777777" w:rsidR="00A21621" w:rsidRPr="00DE3409" w:rsidRDefault="00A21621" w:rsidP="00A21621">
      <w:pPr>
        <w:ind w:left="1440" w:firstLine="3600"/>
        <w:jc w:val="both"/>
        <w:rPr>
          <w:szCs w:val="24"/>
        </w:rPr>
      </w:pPr>
      <w:r w:rsidRPr="00DE3409">
        <w:rPr>
          <w:szCs w:val="24"/>
        </w:rPr>
        <w:t>______________________________</w:t>
      </w:r>
    </w:p>
    <w:p w14:paraId="1A680456" w14:textId="77777777" w:rsidR="00A21621" w:rsidRPr="00DE3409" w:rsidRDefault="00A21621" w:rsidP="00A21621">
      <w:pPr>
        <w:ind w:firstLine="5040"/>
        <w:jc w:val="both"/>
        <w:rPr>
          <w:szCs w:val="24"/>
        </w:rPr>
      </w:pPr>
      <w:r w:rsidRPr="00DE3409">
        <w:rPr>
          <w:szCs w:val="24"/>
        </w:rPr>
        <w:t xml:space="preserve">PATRICK J. OSHIE </w:t>
      </w:r>
    </w:p>
    <w:p w14:paraId="237B0CD1" w14:textId="77777777" w:rsidR="00A21621" w:rsidRPr="00DE3409" w:rsidRDefault="00A21621" w:rsidP="00A21621">
      <w:pPr>
        <w:ind w:left="1440" w:firstLine="3600"/>
        <w:jc w:val="both"/>
        <w:rPr>
          <w:szCs w:val="24"/>
        </w:rPr>
      </w:pPr>
      <w:r w:rsidRPr="00DE3409">
        <w:rPr>
          <w:szCs w:val="24"/>
        </w:rPr>
        <w:t>Assistant Attorney General</w:t>
      </w:r>
    </w:p>
    <w:p w14:paraId="62523DDA" w14:textId="622C2766" w:rsidR="00F1001C" w:rsidRDefault="00F1001C" w:rsidP="00A21621">
      <w:pPr>
        <w:ind w:left="1440" w:firstLine="3600"/>
        <w:jc w:val="both"/>
        <w:rPr>
          <w:szCs w:val="24"/>
        </w:rPr>
      </w:pPr>
      <w:r>
        <w:rPr>
          <w:szCs w:val="24"/>
        </w:rPr>
        <w:t>JENNIFER CAMERON-RULKOWSKI</w:t>
      </w:r>
    </w:p>
    <w:p w14:paraId="14A6E858" w14:textId="6411C898" w:rsidR="00F1001C" w:rsidRDefault="00F1001C" w:rsidP="00A21621">
      <w:pPr>
        <w:ind w:left="1440" w:firstLine="3600"/>
        <w:jc w:val="both"/>
        <w:rPr>
          <w:szCs w:val="24"/>
        </w:rPr>
      </w:pPr>
      <w:r>
        <w:rPr>
          <w:szCs w:val="24"/>
        </w:rPr>
        <w:t xml:space="preserve">Assistant Attorney General </w:t>
      </w:r>
    </w:p>
    <w:p w14:paraId="7D3136D7" w14:textId="3EE6C9B2" w:rsidR="00F1001C" w:rsidRDefault="00F1001C" w:rsidP="00A21621">
      <w:pPr>
        <w:ind w:left="1440" w:firstLine="3600"/>
        <w:jc w:val="both"/>
        <w:rPr>
          <w:szCs w:val="24"/>
        </w:rPr>
      </w:pPr>
      <w:r>
        <w:rPr>
          <w:szCs w:val="24"/>
        </w:rPr>
        <w:t>BRETT P. SHEARER</w:t>
      </w:r>
    </w:p>
    <w:p w14:paraId="12D98C44" w14:textId="461CD8B5" w:rsidR="00F1001C" w:rsidRPr="00DE3409" w:rsidRDefault="00F1001C" w:rsidP="00A21621">
      <w:pPr>
        <w:ind w:left="1440" w:firstLine="3600"/>
        <w:jc w:val="both"/>
        <w:rPr>
          <w:szCs w:val="24"/>
        </w:rPr>
      </w:pPr>
      <w:r>
        <w:rPr>
          <w:szCs w:val="24"/>
        </w:rPr>
        <w:t xml:space="preserve">Assistant Attorney General </w:t>
      </w:r>
    </w:p>
    <w:p w14:paraId="42A782E5" w14:textId="77777777" w:rsidR="00A21621" w:rsidRPr="00DE3409" w:rsidRDefault="00A21621" w:rsidP="00A21621">
      <w:pPr>
        <w:ind w:left="2160" w:firstLine="2880"/>
        <w:jc w:val="both"/>
        <w:rPr>
          <w:szCs w:val="24"/>
        </w:rPr>
      </w:pPr>
      <w:r w:rsidRPr="00DE3409">
        <w:rPr>
          <w:szCs w:val="24"/>
        </w:rPr>
        <w:t>Counsel for Washington Utilities and</w:t>
      </w:r>
    </w:p>
    <w:p w14:paraId="613E9B58" w14:textId="116A7E68" w:rsidR="00144A93" w:rsidRPr="00DE3409" w:rsidRDefault="00A21621" w:rsidP="00D46B46">
      <w:pPr>
        <w:ind w:left="2880" w:firstLine="2160"/>
        <w:jc w:val="both"/>
        <w:rPr>
          <w:szCs w:val="24"/>
        </w:rPr>
      </w:pPr>
      <w:r w:rsidRPr="00DE3409">
        <w:rPr>
          <w:szCs w:val="24"/>
        </w:rPr>
        <w:t>Transportation Commission Staff</w:t>
      </w:r>
    </w:p>
    <w:p w14:paraId="0FF8AA64" w14:textId="5BD526CB" w:rsidR="009D1DB0" w:rsidRPr="00DE3409" w:rsidRDefault="009D1DB0" w:rsidP="00574055">
      <w:pPr>
        <w:tabs>
          <w:tab w:val="left" w:pos="3617"/>
        </w:tabs>
        <w:rPr>
          <w:szCs w:val="24"/>
          <w:lang w:val="x-none" w:eastAsia="x-none"/>
        </w:rPr>
      </w:pPr>
    </w:p>
    <w:sectPr w:rsidR="009D1DB0" w:rsidRPr="00DE3409" w:rsidSect="004855EC">
      <w:footerReference w:type="default" r:id="rId12"/>
      <w:pgSz w:w="12240" w:h="15840" w:code="1"/>
      <w:pgMar w:top="1440" w:right="1440" w:bottom="1440" w:left="1872" w:header="288"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09016" w14:textId="77777777" w:rsidR="00B715B2" w:rsidRDefault="00B715B2" w:rsidP="00302751">
      <w:r>
        <w:separator/>
      </w:r>
    </w:p>
  </w:endnote>
  <w:endnote w:type="continuationSeparator" w:id="0">
    <w:p w14:paraId="44BE6C9C" w14:textId="77777777" w:rsidR="00B715B2" w:rsidRDefault="00B715B2" w:rsidP="00302751">
      <w:r>
        <w:continuationSeparator/>
      </w:r>
    </w:p>
  </w:endnote>
  <w:endnote w:type="continuationNotice" w:id="1">
    <w:p w14:paraId="793027C3" w14:textId="77777777" w:rsidR="00B715B2" w:rsidRDefault="00B7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0ED8" w14:textId="77777777" w:rsidR="00B715B2" w:rsidRPr="007B7439" w:rsidRDefault="00B715B2" w:rsidP="007B7439">
    <w:pPr>
      <w:pStyle w:val="Footer"/>
      <w:rPr>
        <w:sz w:val="20"/>
      </w:rPr>
    </w:pPr>
  </w:p>
  <w:p w14:paraId="52F269BB" w14:textId="2AD9B285" w:rsidR="00B715B2" w:rsidRPr="00654B38" w:rsidRDefault="00B715B2">
    <w:pPr>
      <w:pStyle w:val="Footer"/>
      <w:rPr>
        <w:sz w:val="20"/>
      </w:rPr>
    </w:pPr>
    <w:r>
      <w:rPr>
        <w:sz w:val="20"/>
      </w:rPr>
      <w:t xml:space="preserve">REPLY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61405C">
      <w:rPr>
        <w:noProof/>
        <w:sz w:val="20"/>
      </w:rPr>
      <w:t>iii</w:t>
    </w:r>
    <w:r w:rsidRPr="00654B3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F04F" w14:textId="77777777" w:rsidR="00B715B2" w:rsidRDefault="00B715B2">
    <w:pPr>
      <w:pStyle w:val="Footer"/>
      <w:rPr>
        <w:sz w:val="20"/>
      </w:rPr>
    </w:pPr>
  </w:p>
  <w:p w14:paraId="188D8DF6" w14:textId="11AF91C5" w:rsidR="00B715B2" w:rsidRPr="00654B38" w:rsidRDefault="00B715B2">
    <w:pPr>
      <w:pStyle w:val="Footer"/>
      <w:rPr>
        <w:sz w:val="20"/>
      </w:rPr>
    </w:pPr>
    <w:r>
      <w:rPr>
        <w:sz w:val="20"/>
      </w:rPr>
      <w:t xml:space="preserve">REPLY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61405C">
      <w:rPr>
        <w:noProof/>
        <w:sz w:val="20"/>
      </w:rPr>
      <w:t>16</w:t>
    </w:r>
    <w:r w:rsidRPr="00654B3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6BE9C" w14:textId="77777777" w:rsidR="00B715B2" w:rsidRDefault="00B715B2" w:rsidP="00302751">
      <w:r>
        <w:separator/>
      </w:r>
    </w:p>
  </w:footnote>
  <w:footnote w:type="continuationSeparator" w:id="0">
    <w:p w14:paraId="1BC8B555" w14:textId="77777777" w:rsidR="00B715B2" w:rsidRDefault="00B715B2" w:rsidP="00302751">
      <w:r>
        <w:continuationSeparator/>
      </w:r>
    </w:p>
  </w:footnote>
  <w:footnote w:type="continuationNotice" w:id="1">
    <w:p w14:paraId="473FE9EB" w14:textId="77777777" w:rsidR="00B715B2" w:rsidRDefault="00B715B2"/>
  </w:footnote>
  <w:footnote w:id="2">
    <w:p w14:paraId="4B591B86" w14:textId="3ACB9DD2" w:rsidR="00B715B2" w:rsidRPr="009F3A1E" w:rsidRDefault="00B715B2" w:rsidP="00A365E8">
      <w:pPr>
        <w:pStyle w:val="FootnoteText"/>
      </w:pPr>
      <w:r w:rsidRPr="009F3A1E">
        <w:rPr>
          <w:rStyle w:val="FootnoteReference"/>
        </w:rPr>
        <w:footnoteRef/>
      </w:r>
      <w:r w:rsidRPr="009F3A1E">
        <w:t xml:space="preserve"> Pacific Power’s Ope</w:t>
      </w:r>
      <w:r>
        <w:t>ning Brief (“Company Brief”) at</w:t>
      </w:r>
      <w:r w:rsidRPr="009F3A1E">
        <w:t xml:space="preserve"> 10</w:t>
      </w:r>
      <w:r>
        <w:t>:</w:t>
      </w:r>
      <w:r w:rsidRPr="009F3A1E">
        <w:t>¶ 26.</w:t>
      </w:r>
    </w:p>
  </w:footnote>
  <w:footnote w:id="3">
    <w:p w14:paraId="3481CF0E" w14:textId="77777777" w:rsidR="00B715B2" w:rsidRPr="009F3A1E" w:rsidRDefault="00B715B2" w:rsidP="00A365E8">
      <w:pPr>
        <w:pStyle w:val="FootnoteText"/>
      </w:pPr>
      <w:r w:rsidRPr="009F3A1E">
        <w:rPr>
          <w:rStyle w:val="FootnoteReference"/>
        </w:rPr>
        <w:footnoteRef/>
      </w:r>
      <w:r w:rsidRPr="009F3A1E">
        <w:t xml:space="preserve"> Company Brief at 10.</w:t>
      </w:r>
    </w:p>
  </w:footnote>
  <w:footnote w:id="4">
    <w:p w14:paraId="72F10AB9" w14:textId="77777777" w:rsidR="00B715B2" w:rsidRPr="009F3A1E" w:rsidRDefault="00B715B2" w:rsidP="00A365E8">
      <w:pPr>
        <w:pStyle w:val="FootnoteText"/>
      </w:pPr>
      <w:r w:rsidRPr="009F3A1E">
        <w:rPr>
          <w:rStyle w:val="FootnoteReference"/>
        </w:rPr>
        <w:footnoteRef/>
      </w:r>
      <w:r w:rsidRPr="009F3A1E">
        <w:t xml:space="preserve"> </w:t>
      </w:r>
      <w:r w:rsidRPr="009F3A1E">
        <w:rPr>
          <w:i/>
        </w:rPr>
        <w:t xml:space="preserve">See </w:t>
      </w:r>
      <w:r w:rsidRPr="009F3A1E">
        <w:t>Strunk, Exh. No. KGS-39CX (Mergent Corporate Bond Yield Averages).</w:t>
      </w:r>
    </w:p>
  </w:footnote>
  <w:footnote w:id="5">
    <w:p w14:paraId="243555B8" w14:textId="77777777" w:rsidR="00B715B2" w:rsidRPr="009F3A1E" w:rsidRDefault="00B715B2" w:rsidP="00A365E8">
      <w:pPr>
        <w:pStyle w:val="FootnoteText"/>
      </w:pPr>
      <w:r w:rsidRPr="009F3A1E">
        <w:rPr>
          <w:rStyle w:val="FootnoteReference"/>
        </w:rPr>
        <w:footnoteRef/>
      </w:r>
      <w:r w:rsidRPr="009F3A1E">
        <w:t xml:space="preserve"> </w:t>
      </w:r>
      <w:r w:rsidRPr="009F3A1E">
        <w:rPr>
          <w:i/>
        </w:rPr>
        <w:t xml:space="preserve">Id. </w:t>
      </w:r>
    </w:p>
  </w:footnote>
  <w:footnote w:id="6">
    <w:p w14:paraId="2D2626B9" w14:textId="3F57D603" w:rsidR="00B715B2" w:rsidRPr="009F3A1E" w:rsidRDefault="00B715B2" w:rsidP="00A365E8">
      <w:pPr>
        <w:pStyle w:val="FootnoteText"/>
      </w:pPr>
      <w:r w:rsidRPr="009F3A1E">
        <w:rPr>
          <w:rStyle w:val="FootnoteReference"/>
        </w:rPr>
        <w:footnoteRef/>
      </w:r>
      <w:r w:rsidRPr="009F3A1E">
        <w:t xml:space="preserve"> Company Brief at 10</w:t>
      </w:r>
      <w:r>
        <w:t>:</w:t>
      </w:r>
      <w:r w:rsidRPr="009F3A1E">
        <w:t>¶ 28.</w:t>
      </w:r>
    </w:p>
  </w:footnote>
  <w:footnote w:id="7">
    <w:p w14:paraId="2BA8477F" w14:textId="2FEC33B1" w:rsidR="00B715B2" w:rsidRPr="00603432" w:rsidRDefault="00B715B2" w:rsidP="00A365E8">
      <w:pPr>
        <w:pStyle w:val="FootnoteText"/>
      </w:pPr>
      <w:r w:rsidRPr="00603432">
        <w:rPr>
          <w:rStyle w:val="FootnoteReference"/>
        </w:rPr>
        <w:footnoteRef/>
      </w:r>
      <w:r w:rsidRPr="00603432">
        <w:t xml:space="preserve"> Docket UE-130043, </w:t>
      </w:r>
      <w:r>
        <w:t>PacifiCorp’s Opening Brief</w:t>
      </w:r>
      <w:r w:rsidRPr="00603432">
        <w:t xml:space="preserve"> </w:t>
      </w:r>
      <w:r>
        <w:t>at</w:t>
      </w:r>
      <w:r w:rsidRPr="00603432">
        <w:t xml:space="preserve"> 5-6, ¶ 13 (“The Federal Reserve’s prior policies have held interest rates artificially low and, in anticipation and response to the Federal Reserve’s June announcement, interest rates have increased dramatically” and “[a]s of the hearing, the single “A” utility bond yield was 4.87 percent, the highest level in over two years”);</w:t>
      </w:r>
      <w:r>
        <w:t xml:space="preserve"> at 8:</w:t>
      </w:r>
      <w:r w:rsidRPr="00603432">
        <w:t>¶ 18 (“interest rates are increasing so dramatically—and are expected to continue to increase”).</w:t>
      </w:r>
    </w:p>
  </w:footnote>
  <w:footnote w:id="8">
    <w:p w14:paraId="71CBA721" w14:textId="6DB88D3E" w:rsidR="00B715B2" w:rsidRDefault="00B715B2" w:rsidP="00A365E8">
      <w:pPr>
        <w:pStyle w:val="FootnoteText"/>
      </w:pPr>
      <w:r w:rsidRPr="009F3A1E">
        <w:rPr>
          <w:rStyle w:val="FootnoteReference"/>
        </w:rPr>
        <w:footnoteRef/>
      </w:r>
      <w:r w:rsidRPr="009F3A1E">
        <w:t xml:space="preserve"> Parcell, Exh. No. DCP-1T </w:t>
      </w:r>
      <w:r>
        <w:t xml:space="preserve">at </w:t>
      </w:r>
      <w:r w:rsidRPr="009F3A1E">
        <w:t>39:13-21.</w:t>
      </w:r>
    </w:p>
  </w:footnote>
  <w:footnote w:id="9">
    <w:p w14:paraId="2CD78E95" w14:textId="77777777" w:rsidR="00B715B2" w:rsidRPr="009F3A1E" w:rsidRDefault="00B715B2" w:rsidP="00A365E8">
      <w:pPr>
        <w:pStyle w:val="FootnoteText"/>
      </w:pPr>
      <w:r w:rsidRPr="009F3A1E">
        <w:rPr>
          <w:rStyle w:val="FootnoteReference"/>
        </w:rPr>
        <w:footnoteRef/>
      </w:r>
      <w:r w:rsidRPr="009F3A1E">
        <w:t xml:space="preserve"> Parcell, Exh. No. DCP-8.</w:t>
      </w:r>
    </w:p>
  </w:footnote>
  <w:footnote w:id="10">
    <w:p w14:paraId="6485ABB0" w14:textId="77777777" w:rsidR="00B715B2" w:rsidRPr="009F3A1E" w:rsidRDefault="00B715B2" w:rsidP="00A365E8">
      <w:pPr>
        <w:pStyle w:val="FootnoteText"/>
        <w:rPr>
          <w:i/>
        </w:rPr>
      </w:pPr>
      <w:r w:rsidRPr="009F3A1E">
        <w:rPr>
          <w:rStyle w:val="FootnoteReference"/>
        </w:rPr>
        <w:footnoteRef/>
      </w:r>
      <w:r w:rsidRPr="009F3A1E">
        <w:t xml:space="preserve"> </w:t>
      </w:r>
      <w:r w:rsidRPr="009F3A1E">
        <w:rPr>
          <w:i/>
        </w:rPr>
        <w:t>Id.</w:t>
      </w:r>
    </w:p>
  </w:footnote>
  <w:footnote w:id="11">
    <w:p w14:paraId="77187CAA" w14:textId="77777777" w:rsidR="00B715B2" w:rsidRPr="009F3A1E" w:rsidRDefault="00B715B2" w:rsidP="00A365E8">
      <w:pPr>
        <w:pStyle w:val="FootnoteText"/>
        <w:rPr>
          <w:i/>
        </w:rPr>
      </w:pPr>
      <w:r w:rsidRPr="009F3A1E">
        <w:rPr>
          <w:rStyle w:val="FootnoteReference"/>
        </w:rPr>
        <w:footnoteRef/>
      </w:r>
      <w:r w:rsidRPr="009F3A1E">
        <w:t xml:space="preserve"> </w:t>
      </w:r>
      <w:r w:rsidRPr="009F3A1E">
        <w:rPr>
          <w:i/>
        </w:rPr>
        <w:t xml:space="preserve">Id. </w:t>
      </w:r>
    </w:p>
  </w:footnote>
  <w:footnote w:id="12">
    <w:p w14:paraId="01737E06" w14:textId="15CB1CF3" w:rsidR="00B715B2" w:rsidRPr="009F3A1E" w:rsidRDefault="00B715B2" w:rsidP="00A365E8">
      <w:pPr>
        <w:pStyle w:val="FootnoteText"/>
      </w:pPr>
      <w:r w:rsidRPr="009F3A1E">
        <w:rPr>
          <w:rStyle w:val="FootnoteReference"/>
        </w:rPr>
        <w:footnoteRef/>
      </w:r>
      <w:r w:rsidRPr="009F3A1E">
        <w:t xml:space="preserve"> Parcell, Exh. No. DCP-1T </w:t>
      </w:r>
      <w:r>
        <w:t xml:space="preserve">at </w:t>
      </w:r>
      <w:r w:rsidRPr="009F3A1E">
        <w:t>16:25-17:12.</w:t>
      </w:r>
    </w:p>
  </w:footnote>
  <w:footnote w:id="13">
    <w:p w14:paraId="46B64DD3" w14:textId="47B1E4C4" w:rsidR="00B715B2" w:rsidRPr="009F3A1E" w:rsidRDefault="00B715B2" w:rsidP="00A365E8">
      <w:pPr>
        <w:pStyle w:val="FootnoteText"/>
      </w:pPr>
      <w:r w:rsidRPr="009F3A1E">
        <w:rPr>
          <w:rStyle w:val="FootnoteReference"/>
        </w:rPr>
        <w:footnoteRef/>
      </w:r>
      <w:r>
        <w:t xml:space="preserve"> Company Brief at 12-14:</w:t>
      </w:r>
      <w:r w:rsidRPr="009F3A1E">
        <w:t>¶¶ 34-39.</w:t>
      </w:r>
    </w:p>
  </w:footnote>
  <w:footnote w:id="14">
    <w:p w14:paraId="5AD4607C" w14:textId="216B87E1" w:rsidR="00B715B2" w:rsidRPr="009F3A1E" w:rsidRDefault="00B715B2" w:rsidP="00A365E8">
      <w:pPr>
        <w:pStyle w:val="FootnoteText"/>
      </w:pPr>
      <w:r w:rsidRPr="009F3A1E">
        <w:rPr>
          <w:rStyle w:val="FootnoteReference"/>
        </w:rPr>
        <w:footnoteRef/>
      </w:r>
      <w:r w:rsidRPr="009F3A1E">
        <w:t xml:space="preserve"> Parcell, TR. </w:t>
      </w:r>
      <w:r>
        <w:t xml:space="preserve">at </w:t>
      </w:r>
      <w:r w:rsidRPr="009F3A1E">
        <w:t>294:4.</w:t>
      </w:r>
    </w:p>
  </w:footnote>
  <w:footnote w:id="15">
    <w:p w14:paraId="20864945" w14:textId="382FA9A9" w:rsidR="00B715B2" w:rsidRPr="009F3A1E" w:rsidRDefault="00B715B2" w:rsidP="00A365E8">
      <w:pPr>
        <w:pStyle w:val="FootnoteText"/>
      </w:pPr>
      <w:r w:rsidRPr="009F3A1E">
        <w:rPr>
          <w:rStyle w:val="FootnoteReference"/>
        </w:rPr>
        <w:footnoteRef/>
      </w:r>
      <w:r w:rsidRPr="009F3A1E">
        <w:t xml:space="preserve"> </w:t>
      </w:r>
      <w:r w:rsidRPr="009F3A1E">
        <w:rPr>
          <w:i/>
        </w:rPr>
        <w:t xml:space="preserve">See </w:t>
      </w:r>
      <w:r>
        <w:t>Company Brief at 12-14:</w:t>
      </w:r>
      <w:r w:rsidRPr="009F3A1E">
        <w:t>¶¶34-39.</w:t>
      </w:r>
    </w:p>
  </w:footnote>
  <w:footnote w:id="16">
    <w:p w14:paraId="5AB595D6" w14:textId="15D6C98F" w:rsidR="00B715B2" w:rsidRPr="009F3A1E" w:rsidRDefault="00B715B2" w:rsidP="00A365E8">
      <w:pPr>
        <w:pStyle w:val="FootnoteText"/>
      </w:pPr>
      <w:r w:rsidRPr="009F3A1E">
        <w:rPr>
          <w:rStyle w:val="FootnoteReference"/>
        </w:rPr>
        <w:footnoteRef/>
      </w:r>
      <w:r w:rsidRPr="009F3A1E">
        <w:t xml:space="preserve"> Parcell, Exh. No. DCP-1T </w:t>
      </w:r>
      <w:r>
        <w:t xml:space="preserve">at </w:t>
      </w:r>
      <w:r w:rsidRPr="009F3A1E">
        <w:t>4:1-2.</w:t>
      </w:r>
    </w:p>
  </w:footnote>
  <w:footnote w:id="17">
    <w:p w14:paraId="03420E4F" w14:textId="0C01DE84" w:rsidR="00B715B2" w:rsidRPr="009F3A1E" w:rsidRDefault="00B715B2" w:rsidP="00A365E8">
      <w:pPr>
        <w:pStyle w:val="FootnoteText"/>
      </w:pPr>
      <w:r w:rsidRPr="009F3A1E">
        <w:rPr>
          <w:rStyle w:val="FootnoteReference"/>
        </w:rPr>
        <w:footnoteRef/>
      </w:r>
      <w:r w:rsidRPr="009F3A1E">
        <w:t xml:space="preserve"> Parcell, Exh. No. DCP-</w:t>
      </w:r>
      <w:r>
        <w:t>26CX</w:t>
      </w:r>
      <w:r w:rsidRPr="009F3A1E">
        <w:t xml:space="preserve"> </w:t>
      </w:r>
      <w:r>
        <w:t xml:space="preserve">at </w:t>
      </w:r>
      <w:r w:rsidRPr="009F3A1E">
        <w:t>4:3-4.</w:t>
      </w:r>
    </w:p>
  </w:footnote>
  <w:footnote w:id="18">
    <w:p w14:paraId="182B9ED4" w14:textId="3B88C81A" w:rsidR="00B715B2" w:rsidRPr="00EF6778" w:rsidRDefault="00B715B2" w:rsidP="00A365E8">
      <w:pPr>
        <w:pStyle w:val="FootnoteText"/>
      </w:pPr>
      <w:r w:rsidRPr="009F3A1E">
        <w:rPr>
          <w:rStyle w:val="FootnoteReference"/>
        </w:rPr>
        <w:footnoteRef/>
      </w:r>
      <w:r w:rsidRPr="009F3A1E">
        <w:t xml:space="preserve"> </w:t>
      </w:r>
      <w:r w:rsidRPr="009F3A1E">
        <w:rPr>
          <w:i/>
        </w:rPr>
        <w:t xml:space="preserve">See </w:t>
      </w:r>
      <w:r w:rsidRPr="009F3A1E">
        <w:t>Parcell, Exh. No. DCP-</w:t>
      </w:r>
      <w:r>
        <w:t>26CX</w:t>
      </w:r>
      <w:r w:rsidRPr="009F3A1E">
        <w:t xml:space="preserve"> </w:t>
      </w:r>
      <w:r>
        <w:t xml:space="preserve">at </w:t>
      </w:r>
      <w:r w:rsidRPr="009F3A1E">
        <w:t>33 (PSE security ratings).</w:t>
      </w:r>
    </w:p>
  </w:footnote>
  <w:footnote w:id="19">
    <w:p w14:paraId="5C78F259" w14:textId="772D1C85" w:rsidR="00B715B2" w:rsidRPr="009F3A1E" w:rsidRDefault="00B715B2" w:rsidP="00A365E8">
      <w:pPr>
        <w:pStyle w:val="FootnoteText"/>
      </w:pPr>
      <w:r w:rsidRPr="009F3A1E">
        <w:rPr>
          <w:rStyle w:val="FootnoteReference"/>
        </w:rPr>
        <w:footnoteRef/>
      </w:r>
      <w:r w:rsidRPr="009F3A1E">
        <w:t xml:space="preserve"> </w:t>
      </w:r>
      <w:r w:rsidRPr="009F3A1E">
        <w:rPr>
          <w:i/>
        </w:rPr>
        <w:t>See, e.g., Utilities and Transp. Comm’n v. PacifiCorp,</w:t>
      </w:r>
      <w:r w:rsidRPr="009F3A1E">
        <w:t xml:space="preserve"> Docket UE-050684, Order 04, Order Rejecting Tariffs as Filed; Rejecting Stipulation on Net Power Costs; Rejecting, in Part, and Accepting, in Part, Stipulation on Temperature Normalization Adjustment;</w:t>
      </w:r>
      <w:r>
        <w:t xml:space="preserve"> Determining Cost of Capital, at</w:t>
      </w:r>
      <w:r w:rsidRPr="009F3A1E">
        <w:t xml:space="preserve"> 94</w:t>
      </w:r>
      <w:r>
        <w:t>:</w:t>
      </w:r>
      <w:r w:rsidRPr="009F3A1E">
        <w:t xml:space="preserve">¶¶ 261-63 (April 17, 2006); </w:t>
      </w:r>
      <w:r w:rsidRPr="009F3A1E">
        <w:rPr>
          <w:i/>
        </w:rPr>
        <w:t xml:space="preserve">Utilities and Transp. Comm’n v. PacifiCorp, </w:t>
      </w:r>
      <w:r w:rsidRPr="009F3A1E">
        <w:t>Docket No. UE-100749, Order 06, Final Order Rejecting Tariff Sheets; Authorizing Increased Rates; and</w:t>
      </w:r>
      <w:r>
        <w:t xml:space="preserve"> Requiring Compliance Filing, at</w:t>
      </w:r>
      <w:r w:rsidRPr="009F3A1E">
        <w:t xml:space="preserve"> 33-35</w:t>
      </w:r>
      <w:r>
        <w:t>:</w:t>
      </w:r>
      <w:r w:rsidRPr="009F3A1E">
        <w:t xml:space="preserve">¶¶79-85 (March 25, 2011); </w:t>
      </w:r>
      <w:r w:rsidRPr="009F3A1E">
        <w:rPr>
          <w:i/>
        </w:rPr>
        <w:t>Utilities and Transp. Comm’n v. PacifiCorp,</w:t>
      </w:r>
      <w:r w:rsidRPr="009F3A1E">
        <w:t xml:space="preserve"> Docket UE-130043, Order 05, Final Order Rejecting Tariff Sheets; Resolving Contested Issues; Authorizing and Requiring Compliance Filing, </w:t>
      </w:r>
      <w:r>
        <w:t xml:space="preserve">at </w:t>
      </w:r>
      <w:r w:rsidRPr="009F3A1E">
        <w:t xml:space="preserve">25, ¶ 64 (December 4, 2013). </w:t>
      </w:r>
    </w:p>
  </w:footnote>
  <w:footnote w:id="20">
    <w:p w14:paraId="26F62E2E" w14:textId="2A156801" w:rsidR="00B715B2" w:rsidRPr="009F3A1E" w:rsidRDefault="00B715B2" w:rsidP="00A365E8">
      <w:pPr>
        <w:pStyle w:val="FootnoteText"/>
      </w:pPr>
      <w:r w:rsidRPr="009F3A1E">
        <w:rPr>
          <w:rStyle w:val="FootnoteReference"/>
        </w:rPr>
        <w:footnoteRef/>
      </w:r>
      <w:r w:rsidRPr="009F3A1E">
        <w:t xml:space="preserve"> Docket UE-100749, Order 06 at 37</w:t>
      </w:r>
      <w:r>
        <w:t>:</w:t>
      </w:r>
      <w:r w:rsidRPr="009F3A1E">
        <w:t>¶ 91.</w:t>
      </w:r>
    </w:p>
  </w:footnote>
  <w:footnote w:id="21">
    <w:p w14:paraId="4D565920" w14:textId="79555B34" w:rsidR="00B715B2" w:rsidRPr="009F3A1E" w:rsidRDefault="00B715B2" w:rsidP="00A365E8">
      <w:pPr>
        <w:pStyle w:val="FootnoteText"/>
      </w:pPr>
      <w:r w:rsidRPr="009F3A1E">
        <w:rPr>
          <w:rStyle w:val="FootnoteReference"/>
        </w:rPr>
        <w:footnoteRef/>
      </w:r>
      <w:r w:rsidRPr="009F3A1E">
        <w:t xml:space="preserve"> Docket UE-100749, Order 06</w:t>
      </w:r>
      <w:r>
        <w:t xml:space="preserve"> at 23:¶ 46.</w:t>
      </w:r>
      <w:r w:rsidRPr="009F3A1E">
        <w:t xml:space="preserve"> </w:t>
      </w:r>
    </w:p>
  </w:footnote>
  <w:footnote w:id="22">
    <w:p w14:paraId="04A6063B" w14:textId="5098E8B2" w:rsidR="00B715B2" w:rsidRPr="009F3A1E" w:rsidRDefault="00B715B2" w:rsidP="00A365E8">
      <w:pPr>
        <w:pStyle w:val="FootnoteText"/>
      </w:pPr>
      <w:r w:rsidRPr="009F3A1E">
        <w:rPr>
          <w:rStyle w:val="FootnoteReference"/>
        </w:rPr>
        <w:footnoteRef/>
      </w:r>
      <w:r w:rsidRPr="009F3A1E">
        <w:t xml:space="preserve"> Docket UE-130043, Order 05, </w:t>
      </w:r>
      <w:r>
        <w:t>at 16:</w:t>
      </w:r>
      <w:r w:rsidRPr="009F3A1E">
        <w:t>¶ 44.</w:t>
      </w:r>
    </w:p>
  </w:footnote>
  <w:footnote w:id="23">
    <w:p w14:paraId="7049C498" w14:textId="59C5A3BC" w:rsidR="00B715B2" w:rsidRPr="009F3A1E" w:rsidRDefault="00B715B2" w:rsidP="00A365E8">
      <w:pPr>
        <w:pStyle w:val="FootnoteText"/>
      </w:pPr>
      <w:r w:rsidRPr="009F3A1E">
        <w:rPr>
          <w:rStyle w:val="FootnoteReference"/>
        </w:rPr>
        <w:footnoteRef/>
      </w:r>
      <w:r w:rsidRPr="009F3A1E">
        <w:t xml:space="preserve"> Company Brief at 6</w:t>
      </w:r>
      <w:r>
        <w:t>:</w:t>
      </w:r>
      <w:r w:rsidRPr="009F3A1E">
        <w:t>¶14.</w:t>
      </w:r>
    </w:p>
  </w:footnote>
  <w:footnote w:id="24">
    <w:p w14:paraId="59080024" w14:textId="77777777" w:rsidR="00B715B2" w:rsidRPr="009F3A1E" w:rsidRDefault="00B715B2" w:rsidP="00A365E8">
      <w:pPr>
        <w:pStyle w:val="FootnoteText"/>
      </w:pPr>
      <w:r w:rsidRPr="009F3A1E">
        <w:rPr>
          <w:rStyle w:val="FootnoteReference"/>
        </w:rPr>
        <w:footnoteRef/>
      </w:r>
      <w:r w:rsidRPr="009F3A1E">
        <w:t xml:space="preserve"> Strunk, Exh. No. KGS-18 (Summary of Cost of Equity Estimates).</w:t>
      </w:r>
    </w:p>
  </w:footnote>
  <w:footnote w:id="25">
    <w:p w14:paraId="22FA47E9" w14:textId="5974B865" w:rsidR="00B715B2" w:rsidRPr="009F3A1E" w:rsidRDefault="00B715B2" w:rsidP="00A365E8">
      <w:pPr>
        <w:pStyle w:val="FootnoteText"/>
      </w:pPr>
      <w:r w:rsidRPr="009F3A1E">
        <w:rPr>
          <w:rStyle w:val="FootnoteReference"/>
        </w:rPr>
        <w:footnoteRef/>
      </w:r>
      <w:r w:rsidRPr="009F3A1E">
        <w:t xml:space="preserve"> </w:t>
      </w:r>
      <w:r w:rsidRPr="009F3A1E">
        <w:rPr>
          <w:i/>
        </w:rPr>
        <w:t xml:space="preserve">See </w:t>
      </w:r>
      <w:r w:rsidRPr="009F3A1E">
        <w:t xml:space="preserve">Parcell, Exh. No. DCP-1T </w:t>
      </w:r>
      <w:r>
        <w:t xml:space="preserve">at </w:t>
      </w:r>
      <w:r w:rsidRPr="009F3A1E">
        <w:t>3:23.</w:t>
      </w:r>
    </w:p>
  </w:footnote>
  <w:footnote w:id="26">
    <w:p w14:paraId="76A57F85" w14:textId="6DD2E3BD" w:rsidR="00B715B2" w:rsidRPr="009F3A1E" w:rsidRDefault="00B715B2" w:rsidP="00A365E8">
      <w:pPr>
        <w:pStyle w:val="FootnoteText"/>
      </w:pPr>
      <w:r w:rsidRPr="009F3A1E">
        <w:rPr>
          <w:rStyle w:val="FootnoteReference"/>
        </w:rPr>
        <w:footnoteRef/>
      </w:r>
      <w:r w:rsidRPr="009F3A1E">
        <w:t xml:space="preserve"> Gorman, MPG-1Tr </w:t>
      </w:r>
      <w:r>
        <w:t xml:space="preserve">at </w:t>
      </w:r>
      <w:r w:rsidRPr="009F3A1E">
        <w:t>34:2-3.</w:t>
      </w:r>
    </w:p>
  </w:footnote>
  <w:footnote w:id="27">
    <w:p w14:paraId="461A1544" w14:textId="0CFF7D06" w:rsidR="00B715B2" w:rsidRDefault="00B715B2" w:rsidP="00A365E8">
      <w:pPr>
        <w:pStyle w:val="FootnoteText"/>
      </w:pPr>
      <w:r w:rsidRPr="009F3A1E">
        <w:rPr>
          <w:rStyle w:val="FootnoteReference"/>
        </w:rPr>
        <w:footnoteRef/>
      </w:r>
      <w:r w:rsidRPr="009F3A1E">
        <w:t xml:space="preserve"> Docket No. UE-100749, Order 0</w:t>
      </w:r>
      <w:r>
        <w:t>6</w:t>
      </w:r>
      <w:r w:rsidRPr="009F3A1E">
        <w:t xml:space="preserve"> </w:t>
      </w:r>
      <w:r>
        <w:t>at</w:t>
      </w:r>
      <w:r w:rsidRPr="009F3A1E">
        <w:t xml:space="preserve"> 20</w:t>
      </w:r>
      <w:r>
        <w:t>:</w:t>
      </w:r>
      <w:r w:rsidRPr="009F3A1E">
        <w:t>¶ 39.</w:t>
      </w:r>
    </w:p>
  </w:footnote>
  <w:footnote w:id="28">
    <w:p w14:paraId="71AEA698" w14:textId="39650116" w:rsidR="00B715B2" w:rsidRPr="009F3A1E" w:rsidRDefault="00B715B2" w:rsidP="00A365E8">
      <w:pPr>
        <w:pStyle w:val="FootnoteText"/>
      </w:pPr>
      <w:r w:rsidRPr="009F3A1E">
        <w:rPr>
          <w:rStyle w:val="FootnoteReference"/>
        </w:rPr>
        <w:footnoteRef/>
      </w:r>
      <w:r w:rsidRPr="009F3A1E">
        <w:t xml:space="preserve"> Docket. UE-100749, Order 06</w:t>
      </w:r>
      <w:r>
        <w:t xml:space="preserve"> at 22:¶ 43</w:t>
      </w:r>
      <w:r w:rsidRPr="009F3A1E">
        <w:t xml:space="preserve"> (“In summary, we adopt a hypothetical capital structure for ratemaking purposes with 49.1 percent common equity, 0.3 percent preferred stock, and 50.60 percent long-term debt”); Docket UE-130043, Order 05, </w:t>
      </w:r>
      <w:r>
        <w:t>at</w:t>
      </w:r>
      <w:r w:rsidRPr="009F3A1E">
        <w:t xml:space="preserve"> 16</w:t>
      </w:r>
      <w:r>
        <w:t>:</w:t>
      </w:r>
      <w:r w:rsidRPr="009F3A1E">
        <w:t>¶ 42 (“In summary, adjusting only to account for a slight reduction in PacifiCorp’s preferred stock ratio, we again approve a hypothetical capital structure for ratemaking purposes with 49.1 percent common equity ratio”).</w:t>
      </w:r>
    </w:p>
  </w:footnote>
  <w:footnote w:id="29">
    <w:p w14:paraId="543A0DB4" w14:textId="2634B2BB" w:rsidR="00B715B2" w:rsidRPr="009F3A1E" w:rsidRDefault="00B715B2" w:rsidP="00A365E8">
      <w:pPr>
        <w:pStyle w:val="FootnoteText"/>
      </w:pPr>
      <w:r w:rsidRPr="009F3A1E">
        <w:rPr>
          <w:rStyle w:val="FootnoteReference"/>
        </w:rPr>
        <w:footnoteRef/>
      </w:r>
      <w:r w:rsidRPr="009F3A1E">
        <w:t xml:space="preserve"> </w:t>
      </w:r>
      <w:r w:rsidRPr="009F3A1E">
        <w:rPr>
          <w:i/>
        </w:rPr>
        <w:t xml:space="preserve">See </w:t>
      </w:r>
      <w:r w:rsidRPr="009F3A1E">
        <w:t>Parcell, Exh. No. DCP-</w:t>
      </w:r>
      <w:r>
        <w:t>17CX</w:t>
      </w:r>
      <w:r w:rsidRPr="009F3A1E">
        <w:t>.</w:t>
      </w:r>
    </w:p>
  </w:footnote>
  <w:footnote w:id="30">
    <w:p w14:paraId="522C8F3A" w14:textId="69B64D39" w:rsidR="00B715B2" w:rsidRPr="009F3A1E" w:rsidRDefault="00B715B2" w:rsidP="00A365E8">
      <w:pPr>
        <w:pStyle w:val="FootnoteText"/>
      </w:pPr>
      <w:r w:rsidRPr="009F3A1E">
        <w:rPr>
          <w:rStyle w:val="FootnoteReference"/>
        </w:rPr>
        <w:footnoteRef/>
      </w:r>
      <w:r w:rsidRPr="009F3A1E">
        <w:t xml:space="preserve"> Company Brief at 18</w:t>
      </w:r>
      <w:r>
        <w:t>:</w:t>
      </w:r>
      <w:r w:rsidRPr="009F3A1E">
        <w:t>¶49.</w:t>
      </w:r>
    </w:p>
  </w:footnote>
  <w:footnote w:id="31">
    <w:p w14:paraId="127F7FEF" w14:textId="128AB5FE" w:rsidR="00B715B2" w:rsidRPr="009F3A1E" w:rsidRDefault="00B715B2" w:rsidP="00A365E8">
      <w:pPr>
        <w:pStyle w:val="FootnoteText"/>
      </w:pPr>
      <w:r w:rsidRPr="009F3A1E">
        <w:rPr>
          <w:rStyle w:val="FootnoteReference"/>
        </w:rPr>
        <w:footnoteRef/>
      </w:r>
      <w:r w:rsidRPr="009F3A1E">
        <w:t xml:space="preserve"> Company Brief at 16-17</w:t>
      </w:r>
      <w:r>
        <w:t>:</w:t>
      </w:r>
      <w:r w:rsidRPr="009F3A1E">
        <w:t>¶46.</w:t>
      </w:r>
    </w:p>
  </w:footnote>
  <w:footnote w:id="32">
    <w:p w14:paraId="405BC1D3" w14:textId="795DDA76" w:rsidR="00B715B2" w:rsidRPr="009F3A1E" w:rsidRDefault="00B715B2" w:rsidP="00A365E8">
      <w:pPr>
        <w:pStyle w:val="FootnoteText"/>
      </w:pPr>
      <w:r w:rsidRPr="009F3A1E">
        <w:rPr>
          <w:rStyle w:val="FootnoteReference"/>
        </w:rPr>
        <w:footnoteRef/>
      </w:r>
      <w:r w:rsidRPr="009F3A1E">
        <w:t xml:space="preserve"> </w:t>
      </w:r>
      <w:r w:rsidRPr="009F3A1E">
        <w:rPr>
          <w:i/>
        </w:rPr>
        <w:t xml:space="preserve">See </w:t>
      </w:r>
      <w:r w:rsidRPr="009F3A1E">
        <w:t>Company Brief at 16-17</w:t>
      </w:r>
      <w:r>
        <w:t>:</w:t>
      </w:r>
      <w:r w:rsidRPr="009F3A1E">
        <w:t>¶46.</w:t>
      </w:r>
    </w:p>
  </w:footnote>
  <w:footnote w:id="33">
    <w:p w14:paraId="1B2798DE" w14:textId="77777777" w:rsidR="00B715B2" w:rsidRPr="009F3A1E" w:rsidRDefault="00B715B2" w:rsidP="00A365E8">
      <w:pPr>
        <w:pStyle w:val="FootnoteText"/>
      </w:pPr>
      <w:r w:rsidRPr="009F3A1E">
        <w:rPr>
          <w:rStyle w:val="FootnoteReference"/>
        </w:rPr>
        <w:footnoteRef/>
      </w:r>
      <w:r w:rsidRPr="009F3A1E">
        <w:t xml:space="preserve"> </w:t>
      </w:r>
      <w:r w:rsidRPr="009F3A1E">
        <w:rPr>
          <w:i/>
        </w:rPr>
        <w:t xml:space="preserve">See </w:t>
      </w:r>
      <w:r w:rsidRPr="009F3A1E">
        <w:t>Parcell, Exh. No. DCP-5.</w:t>
      </w:r>
    </w:p>
  </w:footnote>
  <w:footnote w:id="34">
    <w:p w14:paraId="59202EA0" w14:textId="37D00DD0" w:rsidR="00B715B2" w:rsidRDefault="00B715B2" w:rsidP="00A365E8">
      <w:pPr>
        <w:pStyle w:val="FootnoteText"/>
      </w:pPr>
      <w:r w:rsidRPr="009F3A1E">
        <w:rPr>
          <w:rStyle w:val="FootnoteReference"/>
        </w:rPr>
        <w:footnoteRef/>
      </w:r>
      <w:r w:rsidRPr="009F3A1E">
        <w:t xml:space="preserve"> Company Brief at 20</w:t>
      </w:r>
      <w:r>
        <w:t>:</w:t>
      </w:r>
      <w:r w:rsidRPr="009F3A1E">
        <w:t>¶55.</w:t>
      </w:r>
    </w:p>
  </w:footnote>
  <w:footnote w:id="35">
    <w:p w14:paraId="00D2A23A" w14:textId="311BEA08" w:rsidR="00B715B2" w:rsidRDefault="00B715B2" w:rsidP="00EF0972">
      <w:pPr>
        <w:pStyle w:val="FootnoteText"/>
      </w:pPr>
      <w:r>
        <w:rPr>
          <w:rStyle w:val="FootnoteReference"/>
        </w:rPr>
        <w:footnoteRef/>
      </w:r>
      <w:r>
        <w:t xml:space="preserve"> Company Brief at ¶¶62-64.</w:t>
      </w:r>
    </w:p>
  </w:footnote>
  <w:footnote w:id="36">
    <w:p w14:paraId="2BA6491D" w14:textId="201F453E" w:rsidR="00B715B2" w:rsidRDefault="00B715B2" w:rsidP="00EF0972">
      <w:pPr>
        <w:pStyle w:val="FootnoteText"/>
      </w:pPr>
      <w:r>
        <w:rPr>
          <w:rStyle w:val="FootnoteReference"/>
        </w:rPr>
        <w:footnoteRef/>
      </w:r>
      <w:r>
        <w:t xml:space="preserve"> Duvall, Exh. No. GND-4T at 16:10-12 and 18:22-23.</w:t>
      </w:r>
    </w:p>
  </w:footnote>
  <w:footnote w:id="37">
    <w:p w14:paraId="254FA04D" w14:textId="77777777" w:rsidR="00B715B2" w:rsidRDefault="00B715B2" w:rsidP="00EF0972">
      <w:pPr>
        <w:pStyle w:val="FootnoteText"/>
      </w:pPr>
      <w:r>
        <w:rPr>
          <w:rStyle w:val="FootnoteReference"/>
        </w:rPr>
        <w:footnoteRef/>
      </w:r>
      <w:r>
        <w:t xml:space="preserve"> PacifiCorp could have addressed these critical policy differences in this case, but it failed to do so.</w:t>
      </w:r>
    </w:p>
  </w:footnote>
  <w:footnote w:id="38">
    <w:p w14:paraId="7AC562E1" w14:textId="716BFB5D" w:rsidR="00B715B2" w:rsidRDefault="00B715B2" w:rsidP="00EF0972">
      <w:pPr>
        <w:pStyle w:val="FootnoteText"/>
      </w:pPr>
      <w:r>
        <w:rPr>
          <w:rStyle w:val="FootnoteReference"/>
        </w:rPr>
        <w:footnoteRef/>
      </w:r>
      <w:r>
        <w:t xml:space="preserve"> Staff Initial Brief at </w:t>
      </w:r>
      <w:r w:rsidRPr="00016183">
        <w:t>¶</w:t>
      </w:r>
      <w:r>
        <w:t>47.</w:t>
      </w:r>
    </w:p>
  </w:footnote>
  <w:footnote w:id="39">
    <w:p w14:paraId="016F3D14" w14:textId="7E646377" w:rsidR="00B715B2" w:rsidRDefault="00B715B2" w:rsidP="00EF0972">
      <w:pPr>
        <w:pStyle w:val="FootnoteText"/>
      </w:pPr>
      <w:r>
        <w:rPr>
          <w:rStyle w:val="FootnoteReference"/>
        </w:rPr>
        <w:footnoteRef/>
      </w:r>
      <w:r>
        <w:t xml:space="preserve"> Staff Initial Brief at </w:t>
      </w:r>
      <w:r w:rsidRPr="00016183">
        <w:t>¶</w:t>
      </w:r>
      <w:r>
        <w:t>39.</w:t>
      </w:r>
    </w:p>
  </w:footnote>
  <w:footnote w:id="40">
    <w:p w14:paraId="2386D05B" w14:textId="3DF78598" w:rsidR="00B715B2" w:rsidRDefault="00B715B2" w:rsidP="00EF0972">
      <w:pPr>
        <w:pStyle w:val="FootnoteText"/>
      </w:pPr>
      <w:r>
        <w:rPr>
          <w:rStyle w:val="FootnoteReference"/>
        </w:rPr>
        <w:footnoteRef/>
      </w:r>
      <w:r>
        <w:t xml:space="preserve"> Staff Initial Brief at </w:t>
      </w:r>
      <w:r w:rsidRPr="00016183">
        <w:t>¶</w:t>
      </w:r>
      <w:r>
        <w:t>48. Without question, the consequences of accepting any of the Company’s QF proposals are significant, and would require Washington ratepayers to pay up to $10 million more in additional rates.</w:t>
      </w:r>
    </w:p>
  </w:footnote>
  <w:footnote w:id="41">
    <w:p w14:paraId="4F557643" w14:textId="3F8CB207" w:rsidR="00B715B2" w:rsidRDefault="00B715B2" w:rsidP="00DA0449">
      <w:pPr>
        <w:pStyle w:val="FootnoteText"/>
      </w:pPr>
      <w:r>
        <w:rPr>
          <w:rStyle w:val="FootnoteReference"/>
        </w:rPr>
        <w:footnoteRef/>
      </w:r>
      <w:r>
        <w:t xml:space="preserve"> Company Brief at </w:t>
      </w:r>
      <w:r w:rsidRPr="00016183">
        <w:t>¶</w:t>
      </w:r>
      <w:r>
        <w:t>78.</w:t>
      </w:r>
    </w:p>
  </w:footnote>
  <w:footnote w:id="42">
    <w:p w14:paraId="1CA6DA88" w14:textId="4ACBACA9" w:rsidR="00B715B2" w:rsidRDefault="00B715B2" w:rsidP="00DA0449">
      <w:pPr>
        <w:pStyle w:val="FootnoteText"/>
      </w:pPr>
      <w:r>
        <w:rPr>
          <w:rStyle w:val="FootnoteReference"/>
        </w:rPr>
        <w:footnoteRef/>
      </w:r>
      <w:r>
        <w:t xml:space="preserve"> Staff Initial Brief at </w:t>
      </w:r>
      <w:r w:rsidRPr="00016183">
        <w:t>¶</w:t>
      </w:r>
      <w:r>
        <w:t>39</w:t>
      </w:r>
    </w:p>
  </w:footnote>
  <w:footnote w:id="43">
    <w:p w14:paraId="37D56775" w14:textId="0B2538FE" w:rsidR="00B715B2" w:rsidRDefault="00B715B2" w:rsidP="00DA0449">
      <w:pPr>
        <w:pStyle w:val="FootnoteText"/>
      </w:pPr>
      <w:r>
        <w:rPr>
          <w:rStyle w:val="FootnoteReference"/>
        </w:rPr>
        <w:footnoteRef/>
      </w:r>
      <w:r>
        <w:t xml:space="preserve"> Docket UE-130043, Order 05, at </w:t>
      </w:r>
      <w:r w:rsidRPr="00016183">
        <w:t>¶</w:t>
      </w:r>
      <w:r>
        <w:t xml:space="preserve">111. </w:t>
      </w:r>
    </w:p>
  </w:footnote>
  <w:footnote w:id="44">
    <w:p w14:paraId="10EEC867" w14:textId="18DF5E48" w:rsidR="00B715B2" w:rsidRDefault="00B715B2" w:rsidP="00DA0449">
      <w:pPr>
        <w:pStyle w:val="FootnoteText"/>
      </w:pPr>
      <w:r>
        <w:rPr>
          <w:rStyle w:val="FootnoteReference"/>
        </w:rPr>
        <w:footnoteRef/>
      </w:r>
      <w:r>
        <w:t xml:space="preserve"> Company Brief at </w:t>
      </w:r>
      <w:r w:rsidRPr="00016183">
        <w:t>¶</w:t>
      </w:r>
      <w:r>
        <w:t>78.</w:t>
      </w:r>
    </w:p>
  </w:footnote>
  <w:footnote w:id="45">
    <w:p w14:paraId="338AC32D" w14:textId="77777777" w:rsidR="00B715B2" w:rsidRDefault="00B715B2" w:rsidP="00DA0449">
      <w:pPr>
        <w:pStyle w:val="FootnoteText"/>
      </w:pPr>
      <w:r>
        <w:rPr>
          <w:rStyle w:val="FootnoteReference"/>
        </w:rPr>
        <w:footnoteRef/>
      </w:r>
      <w:r>
        <w:t xml:space="preserve"> </w:t>
      </w:r>
      <w:r w:rsidRPr="00DA0449">
        <w:rPr>
          <w:i/>
        </w:rPr>
        <w:t>Id.,</w:t>
      </w:r>
      <w:r>
        <w:t xml:space="preserve"> citing U.S. Const. art I, §8, cl. 3.</w:t>
      </w:r>
    </w:p>
  </w:footnote>
  <w:footnote w:id="46">
    <w:p w14:paraId="6D6E722E" w14:textId="77777777" w:rsidR="00B715B2" w:rsidRDefault="00B715B2" w:rsidP="00DA0449">
      <w:pPr>
        <w:pStyle w:val="FootnoteText"/>
      </w:pPr>
      <w:r>
        <w:rPr>
          <w:rStyle w:val="FootnoteReference"/>
        </w:rPr>
        <w:footnoteRef/>
      </w:r>
      <w:r>
        <w:t xml:space="preserve"> </w:t>
      </w:r>
      <w:r w:rsidRPr="00E96963">
        <w:rPr>
          <w:i/>
        </w:rPr>
        <w:t>Nat’l Ass’n of Optometrists &amp; Opticians v. Harris</w:t>
      </w:r>
      <w:r w:rsidRPr="00E96963">
        <w:t xml:space="preserve">, 682 F.3d 1144, 1148 (9th Cir. 2012) (quoting </w:t>
      </w:r>
      <w:r w:rsidRPr="00E96963">
        <w:rPr>
          <w:i/>
        </w:rPr>
        <w:t>Dep’t of Revenue of Ky. v. Davis</w:t>
      </w:r>
      <w:r w:rsidRPr="00E96963">
        <w:t xml:space="preserve">, 553 U.S. 328, </w:t>
      </w:r>
      <w:r>
        <w:t xml:space="preserve">337-38, </w:t>
      </w:r>
      <w:r w:rsidRPr="00E96963">
        <w:t>128 S. Ct. 1801, 170 L. Ed. 2d 685 (2008)).</w:t>
      </w:r>
    </w:p>
  </w:footnote>
  <w:footnote w:id="47">
    <w:p w14:paraId="411F50F0" w14:textId="77777777" w:rsidR="00B715B2" w:rsidRDefault="00B715B2" w:rsidP="00DA0449">
      <w:pPr>
        <w:pStyle w:val="FootnoteText"/>
      </w:pPr>
      <w:r>
        <w:rPr>
          <w:rStyle w:val="FootnoteReference"/>
        </w:rPr>
        <w:footnoteRef/>
      </w:r>
      <w:r>
        <w:t xml:space="preserve"> </w:t>
      </w:r>
      <w:r w:rsidRPr="005A40C7">
        <w:rPr>
          <w:i/>
          <w:szCs w:val="24"/>
        </w:rPr>
        <w:t>Nat’l Ass’n of Optometrists</w:t>
      </w:r>
      <w:r w:rsidRPr="005A40C7">
        <w:rPr>
          <w:szCs w:val="24"/>
        </w:rPr>
        <w:t>, 682 F.3d at 1148.</w:t>
      </w:r>
    </w:p>
  </w:footnote>
  <w:footnote w:id="48">
    <w:p w14:paraId="6970D556" w14:textId="77777777" w:rsidR="00B715B2" w:rsidRDefault="00B715B2" w:rsidP="00DA0449">
      <w:pPr>
        <w:pStyle w:val="FootnoteText"/>
      </w:pPr>
      <w:r>
        <w:rPr>
          <w:rStyle w:val="FootnoteReference"/>
        </w:rPr>
        <w:footnoteRef/>
      </w:r>
      <w:r>
        <w:t xml:space="preserve"> </w:t>
      </w:r>
      <w:r w:rsidRPr="00B868F2">
        <w:rPr>
          <w:i/>
        </w:rPr>
        <w:t>Id</w:t>
      </w:r>
      <w:r>
        <w:t>. (E</w:t>
      </w:r>
      <w:r w:rsidRPr="00E96963">
        <w:t>mphasis in original).</w:t>
      </w:r>
    </w:p>
  </w:footnote>
  <w:footnote w:id="49">
    <w:p w14:paraId="28B52F64" w14:textId="77777777" w:rsidR="00B715B2" w:rsidRDefault="00B715B2" w:rsidP="00DA0449">
      <w:pPr>
        <w:pStyle w:val="FootnoteText"/>
      </w:pPr>
      <w:r>
        <w:rPr>
          <w:rStyle w:val="FootnoteReference"/>
        </w:rPr>
        <w:footnoteRef/>
      </w:r>
      <w:r>
        <w:t xml:space="preserve"> </w:t>
      </w:r>
      <w:r>
        <w:rPr>
          <w:i/>
        </w:rPr>
        <w:t>Nat’l Ass’</w:t>
      </w:r>
      <w:r w:rsidRPr="00E96963">
        <w:rPr>
          <w:i/>
        </w:rPr>
        <w:t>n of Optometrists &amp; Opticians LensCrafters, Inc. v. Brown</w:t>
      </w:r>
      <w:r w:rsidRPr="00E96963">
        <w:t>, 567 F.3d 521, 525 (9th Cir.</w:t>
      </w:r>
      <w:r>
        <w:t xml:space="preserve"> </w:t>
      </w:r>
      <w:r w:rsidRPr="00E96963">
        <w:t>2009).</w:t>
      </w:r>
      <w:r>
        <w:rPr>
          <w:szCs w:val="24"/>
        </w:rPr>
        <w:t xml:space="preserve">  </w:t>
      </w:r>
    </w:p>
  </w:footnote>
  <w:footnote w:id="50">
    <w:p w14:paraId="49E7DF6D" w14:textId="77777777" w:rsidR="00B715B2" w:rsidRDefault="00B715B2" w:rsidP="00DA0449">
      <w:pPr>
        <w:pStyle w:val="FootnoteText"/>
      </w:pPr>
      <w:r>
        <w:rPr>
          <w:rStyle w:val="FootnoteReference"/>
        </w:rPr>
        <w:footnoteRef/>
      </w:r>
      <w:r>
        <w:t xml:space="preserve"> </w:t>
      </w:r>
      <w:r>
        <w:rPr>
          <w:i/>
        </w:rPr>
        <w:t>Or.</w:t>
      </w:r>
      <w:r w:rsidRPr="00E96963">
        <w:rPr>
          <w:i/>
        </w:rPr>
        <w:t xml:space="preserve"> Waste Sys., Inc. v. Dep’t of Envtl. Quality of State of Or.</w:t>
      </w:r>
      <w:r w:rsidRPr="00E96963">
        <w:t>, 511 U.S. 93, 99, 114 S. Ct. 1345, 128 L. Ed. 2d 13 (1994) (invalidating state surcharge on the disposal of solid waste generated out of state)</w:t>
      </w:r>
    </w:p>
  </w:footnote>
  <w:footnote w:id="51">
    <w:p w14:paraId="5F73391B" w14:textId="3D717116" w:rsidR="00B715B2" w:rsidRDefault="00B715B2" w:rsidP="00DA0449">
      <w:pPr>
        <w:pStyle w:val="FootnoteText"/>
      </w:pPr>
      <w:r>
        <w:rPr>
          <w:rStyle w:val="FootnoteReference"/>
        </w:rPr>
        <w:footnoteRef/>
      </w:r>
      <w:r>
        <w:t xml:space="preserve"> </w:t>
      </w:r>
      <w:r w:rsidRPr="006B7C35">
        <w:rPr>
          <w:i/>
        </w:rPr>
        <w:t>Wyoming v. Oklahoma</w:t>
      </w:r>
      <w:r w:rsidRPr="006B7C35">
        <w:t>, 502 U.S. 437,</w:t>
      </w:r>
      <w:r>
        <w:t xml:space="preserve"> 455</w:t>
      </w:r>
      <w:r w:rsidRPr="006B7C35">
        <w:t>, 112 S. Ct. 789, 117 L. Ed. 2d 1 (1992).</w:t>
      </w:r>
    </w:p>
  </w:footnote>
  <w:footnote w:id="52">
    <w:p w14:paraId="626298D9" w14:textId="77777777" w:rsidR="00B715B2" w:rsidRDefault="00B715B2" w:rsidP="00DA0449">
      <w:pPr>
        <w:pStyle w:val="FootnoteText"/>
      </w:pPr>
      <w:r>
        <w:rPr>
          <w:rStyle w:val="FootnoteReference"/>
        </w:rPr>
        <w:footnoteRef/>
      </w:r>
      <w:r>
        <w:t xml:space="preserve"> </w:t>
      </w:r>
      <w:r w:rsidRPr="00E96963">
        <w:rPr>
          <w:i/>
        </w:rPr>
        <w:t>New England Power Co. v. New Hampshire</w:t>
      </w:r>
      <w:r w:rsidRPr="00E96963">
        <w:t xml:space="preserve">, 455 U.S. 331, </w:t>
      </w:r>
      <w:r>
        <w:t xml:space="preserve">344, </w:t>
      </w:r>
      <w:r w:rsidRPr="00E96963">
        <w:t>102 S. Ct. 1096, 71 L. Ed. 2d 188 (1982).</w:t>
      </w:r>
    </w:p>
  </w:footnote>
  <w:footnote w:id="53">
    <w:p w14:paraId="7B8EA714" w14:textId="2E082EEF" w:rsidR="00B715B2" w:rsidRDefault="00B715B2" w:rsidP="00DA0449">
      <w:pPr>
        <w:pStyle w:val="FootnoteText"/>
      </w:pPr>
      <w:r>
        <w:rPr>
          <w:rStyle w:val="FootnoteReference"/>
        </w:rPr>
        <w:footnoteRef/>
      </w:r>
      <w:r>
        <w:t xml:space="preserve"> </w:t>
      </w:r>
      <w:r w:rsidRPr="00D338DE">
        <w:rPr>
          <w:i/>
        </w:rPr>
        <w:t>Id</w:t>
      </w:r>
      <w:r>
        <w:t xml:space="preserve">.  </w:t>
      </w:r>
      <w:r>
        <w:rPr>
          <w:i/>
          <w:szCs w:val="24"/>
        </w:rPr>
        <w:t xml:space="preserve">See also, </w:t>
      </w:r>
      <w:r w:rsidRPr="00E96963">
        <w:rPr>
          <w:i/>
        </w:rPr>
        <w:t>Entergy Nuclear Vt. Yankee, LLC v. Shumlin</w:t>
      </w:r>
      <w:r w:rsidRPr="00E96963">
        <w:t>, 733 F.3d 393, 430 (2d Cir. 2013).</w:t>
      </w:r>
    </w:p>
  </w:footnote>
  <w:footnote w:id="54">
    <w:p w14:paraId="2AAC99D6" w14:textId="77777777" w:rsidR="00B715B2" w:rsidRDefault="00B715B2" w:rsidP="00DA0449">
      <w:pPr>
        <w:pStyle w:val="FootnoteText"/>
      </w:pPr>
      <w:r>
        <w:rPr>
          <w:rStyle w:val="FootnoteReference"/>
        </w:rPr>
        <w:footnoteRef/>
      </w:r>
      <w:r>
        <w:t xml:space="preserve"> </w:t>
      </w:r>
      <w:r w:rsidRPr="00E96963">
        <w:rPr>
          <w:i/>
        </w:rPr>
        <w:t>Middle S. Energy, Inc. v. Ark. Pub. Serv. Comm’n</w:t>
      </w:r>
      <w:r w:rsidRPr="00E96963">
        <w:t>, 772 F.2d 404</w:t>
      </w:r>
      <w:r>
        <w:t>, 417</w:t>
      </w:r>
      <w:r w:rsidRPr="00E96963">
        <w:t xml:space="preserve"> (8th Cir. 1985).</w:t>
      </w:r>
    </w:p>
  </w:footnote>
  <w:footnote w:id="55">
    <w:p w14:paraId="3A966C0D" w14:textId="77777777" w:rsidR="00B715B2" w:rsidRDefault="00B715B2" w:rsidP="00DA0449">
      <w:pPr>
        <w:pStyle w:val="FootnoteText"/>
      </w:pPr>
      <w:r>
        <w:rPr>
          <w:rStyle w:val="FootnoteReference"/>
        </w:rPr>
        <w:footnoteRef/>
      </w:r>
      <w:r>
        <w:t xml:space="preserve"> </w:t>
      </w:r>
      <w:r>
        <w:rPr>
          <w:i/>
        </w:rPr>
        <w:t>Or.</w:t>
      </w:r>
      <w:r w:rsidRPr="00E96963">
        <w:rPr>
          <w:i/>
        </w:rPr>
        <w:t xml:space="preserve"> Waste Sys., Inc. v. Dep’t of Envtl. Quality of State of Or.</w:t>
      </w:r>
      <w:r w:rsidRPr="00E96963">
        <w:t>, 511 U.S. 93, 99, 114 S. Ct. 1345, 128 L. Ed. 2d 13 (1994).</w:t>
      </w:r>
    </w:p>
  </w:footnote>
  <w:footnote w:id="56">
    <w:p w14:paraId="37BC093D" w14:textId="77777777" w:rsidR="00B715B2" w:rsidRDefault="00B715B2" w:rsidP="00DA0449">
      <w:pPr>
        <w:pStyle w:val="FootnoteText"/>
      </w:pPr>
      <w:r>
        <w:rPr>
          <w:rStyle w:val="FootnoteReference"/>
        </w:rPr>
        <w:footnoteRef/>
      </w:r>
      <w:r>
        <w:t xml:space="preserve"> </w:t>
      </w:r>
      <w:r w:rsidRPr="00E96963">
        <w:rPr>
          <w:i/>
        </w:rPr>
        <w:t>Gen. Motors Corp. v. Tracy</w:t>
      </w:r>
      <w:r w:rsidRPr="00E96963">
        <w:t>, 519 U.S. 278, 298, 117 S. Ct. 811, 824, 136 L. Ed. 2d 761 (1997).</w:t>
      </w:r>
    </w:p>
  </w:footnote>
  <w:footnote w:id="57">
    <w:p w14:paraId="43BB2CD2" w14:textId="77777777" w:rsidR="00B715B2" w:rsidRDefault="00B715B2" w:rsidP="00DA0449">
      <w:pPr>
        <w:pStyle w:val="FootnoteText"/>
      </w:pPr>
      <w:r>
        <w:rPr>
          <w:rStyle w:val="FootnoteReference"/>
        </w:rPr>
        <w:footnoteRef/>
      </w:r>
      <w:r>
        <w:t xml:space="preserve"> </w:t>
      </w:r>
      <w:r w:rsidRPr="00E96963">
        <w:rPr>
          <w:i/>
        </w:rPr>
        <w:t>C &amp; A Carbone, Inc. v. Town of Clarkstown</w:t>
      </w:r>
      <w:r w:rsidRPr="00E96963">
        <w:t>, 511 U.S. 383, 390, 114 S.C</w:t>
      </w:r>
      <w:r>
        <w:t>t. 1677, 128 L.Ed.2d 399 (1994).</w:t>
      </w:r>
    </w:p>
  </w:footnote>
  <w:footnote w:id="58">
    <w:p w14:paraId="7EB34EF3" w14:textId="77777777" w:rsidR="00B715B2" w:rsidRDefault="00B715B2" w:rsidP="00DA0449">
      <w:pPr>
        <w:pStyle w:val="FootnoteText"/>
      </w:pPr>
      <w:r>
        <w:rPr>
          <w:rStyle w:val="FootnoteReference"/>
        </w:rPr>
        <w:footnoteRef/>
      </w:r>
      <w:r>
        <w:t xml:space="preserve"> </w:t>
      </w:r>
      <w:r w:rsidRPr="00E96963">
        <w:rPr>
          <w:i/>
        </w:rPr>
        <w:t>Public S. Union Co. v. Missouri Pub. Serv. Comm’n</w:t>
      </w:r>
      <w:r w:rsidRPr="00E96963">
        <w:t>, 289 F.3d 503, 508 (8th Cir. 2002)</w:t>
      </w:r>
    </w:p>
  </w:footnote>
  <w:footnote w:id="59">
    <w:p w14:paraId="5BF353A1" w14:textId="4A73336D" w:rsidR="00B715B2" w:rsidRDefault="00B715B2">
      <w:pPr>
        <w:pStyle w:val="FootnoteText"/>
      </w:pPr>
      <w:r>
        <w:rPr>
          <w:rStyle w:val="FootnoteReference"/>
        </w:rPr>
        <w:footnoteRef/>
      </w:r>
      <w:r>
        <w:t xml:space="preserve"> Company Brief at </w:t>
      </w:r>
      <w:r w:rsidRPr="00016183">
        <w:t>¶</w:t>
      </w:r>
      <w:r>
        <w:t>76.</w:t>
      </w:r>
    </w:p>
  </w:footnote>
  <w:footnote w:id="60">
    <w:p w14:paraId="15520FE9" w14:textId="78F8FC9F" w:rsidR="00B715B2" w:rsidRDefault="00B715B2">
      <w:pPr>
        <w:pStyle w:val="FootnoteText"/>
      </w:pPr>
      <w:r>
        <w:rPr>
          <w:rStyle w:val="FootnoteReference"/>
        </w:rPr>
        <w:footnoteRef/>
      </w:r>
      <w:r>
        <w:t xml:space="preserve"> </w:t>
      </w:r>
      <w:r>
        <w:rPr>
          <w:i/>
        </w:rPr>
        <w:t>Utilities &amp; Transp. Comm’n</w:t>
      </w:r>
      <w:r w:rsidRPr="00256AAD">
        <w:rPr>
          <w:i/>
        </w:rPr>
        <w:t xml:space="preserve"> v. PacifiCorp</w:t>
      </w:r>
      <w:r>
        <w:t xml:space="preserve">, Dockets UE-061546 and UE-060817 (consolidated), Order 08 at </w:t>
      </w:r>
      <w:r w:rsidRPr="00016183">
        <w:t>¶</w:t>
      </w:r>
      <w:r>
        <w:t xml:space="preserve">43. </w:t>
      </w:r>
    </w:p>
  </w:footnote>
  <w:footnote w:id="61">
    <w:p w14:paraId="7D3117A9" w14:textId="57175C68" w:rsidR="00B715B2" w:rsidRDefault="00B715B2">
      <w:pPr>
        <w:pStyle w:val="FootnoteText"/>
      </w:pPr>
      <w:r>
        <w:rPr>
          <w:rStyle w:val="FootnoteReference"/>
        </w:rPr>
        <w:footnoteRef/>
      </w:r>
      <w:r>
        <w:t xml:space="preserve"> Dockets UE-061546 and UE-060817, Order 08 at </w:t>
      </w:r>
      <w:r w:rsidRPr="00016183">
        <w:t>¶</w:t>
      </w:r>
      <w:r>
        <w:t>45.</w:t>
      </w:r>
    </w:p>
  </w:footnote>
  <w:footnote w:id="62">
    <w:p w14:paraId="2684B44C" w14:textId="74441141" w:rsidR="00B715B2" w:rsidRDefault="00B715B2" w:rsidP="004A6604">
      <w:pPr>
        <w:pStyle w:val="FootnoteText"/>
      </w:pPr>
      <w:r>
        <w:rPr>
          <w:rStyle w:val="FootnoteReference"/>
        </w:rPr>
        <w:footnoteRef/>
      </w:r>
      <w:r>
        <w:t xml:space="preserve"> Dockets UE-061546 and UE-060817, Order 08 at </w:t>
      </w:r>
      <w:r w:rsidRPr="00016183">
        <w:t>¶</w:t>
      </w:r>
      <w:r>
        <w:t xml:space="preserve">57 and </w:t>
      </w:r>
      <w:r w:rsidRPr="00016183">
        <w:t>¶</w:t>
      </w:r>
      <w:r>
        <w:t>225.</w:t>
      </w:r>
    </w:p>
  </w:footnote>
  <w:footnote w:id="63">
    <w:p w14:paraId="1B6A4C25" w14:textId="7F4397F5" w:rsidR="00B715B2" w:rsidRDefault="00B715B2">
      <w:pPr>
        <w:pStyle w:val="FootnoteText"/>
      </w:pPr>
      <w:r>
        <w:rPr>
          <w:rStyle w:val="FootnoteReference"/>
        </w:rPr>
        <w:footnoteRef/>
      </w:r>
      <w:r>
        <w:t xml:space="preserve"> Company Brief at </w:t>
      </w:r>
      <w:r w:rsidRPr="00016183">
        <w:t>¶</w:t>
      </w:r>
      <w:r>
        <w:t>76.</w:t>
      </w:r>
    </w:p>
  </w:footnote>
  <w:footnote w:id="64">
    <w:p w14:paraId="0BA04EA8" w14:textId="77777777" w:rsidR="00B715B2" w:rsidRDefault="00B715B2" w:rsidP="00526A7D">
      <w:pPr>
        <w:pStyle w:val="FootnoteText"/>
      </w:pPr>
      <w:r>
        <w:rPr>
          <w:rStyle w:val="FootnoteReference"/>
        </w:rPr>
        <w:footnoteRef/>
      </w:r>
      <w:r>
        <w:t xml:space="preserve"> See Staff Reply Brief, Section C, </w:t>
      </w:r>
      <w:r w:rsidRPr="00016183">
        <w:t>¶</w:t>
      </w:r>
      <w:r>
        <w:t xml:space="preserve">24.  </w:t>
      </w:r>
    </w:p>
  </w:footnote>
  <w:footnote w:id="65">
    <w:p w14:paraId="5B0C2820" w14:textId="1BEA6F76" w:rsidR="00B715B2" w:rsidRPr="00DD28D7" w:rsidRDefault="00B715B2">
      <w:pPr>
        <w:pStyle w:val="FootnoteText"/>
      </w:pPr>
      <w:r>
        <w:rPr>
          <w:rStyle w:val="FootnoteReference"/>
        </w:rPr>
        <w:footnoteRef/>
      </w:r>
      <w:r>
        <w:t xml:space="preserve"> </w:t>
      </w:r>
      <w:r w:rsidRPr="00DD28D7">
        <w:t xml:space="preserve">Mr. Gomez </w:t>
      </w:r>
      <w:r>
        <w:t xml:space="preserve">agreed </w:t>
      </w:r>
      <w:r w:rsidRPr="00DD28D7">
        <w:t>that Avista has never sought to apply out-of-date avoided costs to projects it has brought to the Commission for approval.</w:t>
      </w:r>
      <w:r>
        <w:t xml:space="preserve"> Further, he agreed that </w:t>
      </w:r>
      <w:r w:rsidRPr="00DD28D7">
        <w:t xml:space="preserve">Avista </w:t>
      </w:r>
      <w:r>
        <w:t xml:space="preserve">has never before </w:t>
      </w:r>
      <w:r w:rsidRPr="00DD28D7">
        <w:t>brought all its out-of-state QFs of various vintages to the Commission for approval in one proceeding</w:t>
      </w:r>
      <w:r>
        <w:t xml:space="preserve"> - </w:t>
      </w:r>
      <w:r w:rsidRPr="00DD28D7">
        <w:t>as the Company is attempting to do here</w:t>
      </w:r>
      <w:r>
        <w:t>. See Gomez, TR. at 599: 16-22.</w:t>
      </w:r>
    </w:p>
  </w:footnote>
  <w:footnote w:id="66">
    <w:p w14:paraId="77DA4893" w14:textId="2EC0F24A" w:rsidR="00B715B2" w:rsidRDefault="00B715B2">
      <w:pPr>
        <w:pStyle w:val="FootnoteText"/>
      </w:pPr>
      <w:r>
        <w:rPr>
          <w:rStyle w:val="FootnoteReference"/>
        </w:rPr>
        <w:footnoteRef/>
      </w:r>
      <w:r>
        <w:t xml:space="preserve"> Gomez, TR. at 593: 2-5.</w:t>
      </w:r>
    </w:p>
  </w:footnote>
  <w:footnote w:id="67">
    <w:p w14:paraId="322D9039" w14:textId="750B0C2C" w:rsidR="00B715B2" w:rsidRDefault="00B715B2">
      <w:pPr>
        <w:pStyle w:val="FootnoteText"/>
      </w:pPr>
      <w:r>
        <w:rPr>
          <w:rStyle w:val="FootnoteReference"/>
        </w:rPr>
        <w:footnoteRef/>
      </w:r>
      <w:r>
        <w:t xml:space="preserve"> Gomez, TR. at 593: 6-15.</w:t>
      </w:r>
    </w:p>
  </w:footnote>
  <w:footnote w:id="68">
    <w:p w14:paraId="55C862B3" w14:textId="4551EC0D" w:rsidR="00B715B2" w:rsidRDefault="00B715B2">
      <w:pPr>
        <w:pStyle w:val="FootnoteText"/>
      </w:pPr>
      <w:r>
        <w:rPr>
          <w:rStyle w:val="FootnoteReference"/>
        </w:rPr>
        <w:footnoteRef/>
      </w:r>
      <w:r>
        <w:t xml:space="preserve"> </w:t>
      </w:r>
      <w:r>
        <w:rPr>
          <w:i/>
        </w:rPr>
        <w:t>Utilities &amp; Transp. Comm’n</w:t>
      </w:r>
      <w:r w:rsidRPr="00256AAD">
        <w:rPr>
          <w:i/>
        </w:rPr>
        <w:t xml:space="preserve"> </w:t>
      </w:r>
      <w:r w:rsidRPr="00952573">
        <w:rPr>
          <w:i/>
        </w:rPr>
        <w:t>v. Washington Water Power Company</w:t>
      </w:r>
      <w:r>
        <w:t xml:space="preserve">, Cause No. UE-83-14, Second Supplemental Order Rejecting Tariff Filing (November 9, 1983), at pg. 11. The Company’s avoided cost calculation was based on a facility that had not yet been built and would have included capacity charges. Given the utility’s resources needs, the Commission concluded that PPAs with Bonneville Power Administration would have determined the Company’s appropriate avoided cost.   </w:t>
      </w:r>
    </w:p>
  </w:footnote>
  <w:footnote w:id="69">
    <w:p w14:paraId="7F5C501F" w14:textId="0A27F4F0" w:rsidR="00B715B2" w:rsidRDefault="00B715B2">
      <w:pPr>
        <w:pStyle w:val="FootnoteText"/>
      </w:pPr>
      <w:r>
        <w:rPr>
          <w:rStyle w:val="FootnoteReference"/>
        </w:rPr>
        <w:footnoteRef/>
      </w:r>
      <w:r>
        <w:t xml:space="preserve"> </w:t>
      </w:r>
      <w:r w:rsidRPr="008C79E3">
        <w:rPr>
          <w:i/>
        </w:rPr>
        <w:t>In the Matter of the Application of the Washington Water Power Company for an Order Approving Third Revision Sheet 55 Applicable to Electric Service in the State of Idaho</w:t>
      </w:r>
      <w:r>
        <w:t xml:space="preserve">, Cause No. U-1008-189, 1984 WL 1015943 (Idaho P.U.C.) (October 1984), at 2. </w:t>
      </w:r>
    </w:p>
  </w:footnote>
  <w:footnote w:id="70">
    <w:p w14:paraId="543A53D0" w14:textId="13254EB5" w:rsidR="00B715B2" w:rsidRDefault="00B715B2">
      <w:pPr>
        <w:pStyle w:val="FootnoteText"/>
      </w:pPr>
      <w:r>
        <w:rPr>
          <w:rStyle w:val="FootnoteReference"/>
        </w:rPr>
        <w:footnoteRef/>
      </w:r>
      <w:r>
        <w:t xml:space="preserve"> </w:t>
      </w:r>
      <w:r w:rsidRPr="008C79E3">
        <w:rPr>
          <w:i/>
        </w:rPr>
        <w:t>In the Matter of the Application of the Washington Water Power Company for an Order Approving Third Revision Sheet 55 Applicable to Electric Service in the State of Idaho</w:t>
      </w:r>
      <w:r>
        <w:t xml:space="preserve">, Cause No. U-1008-189, 1984 WL 1015943 (Idaho P.U.C.) (October 1984), at 2-3. </w:t>
      </w:r>
    </w:p>
  </w:footnote>
  <w:footnote w:id="71">
    <w:p w14:paraId="5946CF1B" w14:textId="2FD38EE1" w:rsidR="00B715B2" w:rsidRDefault="00B715B2">
      <w:pPr>
        <w:pStyle w:val="FootnoteText"/>
      </w:pPr>
      <w:r>
        <w:rPr>
          <w:rStyle w:val="FootnoteReference"/>
        </w:rPr>
        <w:footnoteRef/>
      </w:r>
      <w:r>
        <w:t xml:space="preserve"> </w:t>
      </w:r>
      <w:r w:rsidRPr="0003109E">
        <w:rPr>
          <w:i/>
        </w:rPr>
        <w:t>Id</w:t>
      </w:r>
      <w:r>
        <w:t xml:space="preserve">., at 3. The term “190” refers to a previous case setting Idaho’s initial avoided costs following the enactment of PURPA.  </w:t>
      </w:r>
    </w:p>
  </w:footnote>
  <w:footnote w:id="72">
    <w:p w14:paraId="69F227F2" w14:textId="3A7B4717" w:rsidR="00B715B2" w:rsidRDefault="00B715B2">
      <w:pPr>
        <w:pStyle w:val="FootnoteText"/>
      </w:pPr>
      <w:r>
        <w:rPr>
          <w:rStyle w:val="FootnoteReference"/>
        </w:rPr>
        <w:footnoteRef/>
      </w:r>
      <w:r>
        <w:t xml:space="preserve"> </w:t>
      </w:r>
      <w:r w:rsidRPr="0003109E">
        <w:rPr>
          <w:i/>
        </w:rPr>
        <w:t>Id</w:t>
      </w:r>
      <w:r>
        <w:t xml:space="preserve">. at 3. </w:t>
      </w:r>
    </w:p>
  </w:footnote>
  <w:footnote w:id="73">
    <w:p w14:paraId="3922FE3C" w14:textId="4FAE2A65" w:rsidR="00B715B2" w:rsidRDefault="00B715B2" w:rsidP="00AD537F">
      <w:pPr>
        <w:pStyle w:val="FootnoteText"/>
      </w:pPr>
      <w:r>
        <w:rPr>
          <w:rStyle w:val="FootnoteReference"/>
        </w:rPr>
        <w:footnoteRef/>
      </w:r>
      <w:r>
        <w:t xml:space="preserve"> Siores, Exh. No. NCS-1T at 18:1.</w:t>
      </w:r>
    </w:p>
  </w:footnote>
  <w:footnote w:id="74">
    <w:p w14:paraId="0E801001" w14:textId="51228DA8" w:rsidR="00B715B2" w:rsidRDefault="00B715B2" w:rsidP="00AD537F">
      <w:pPr>
        <w:pStyle w:val="FootnoteText"/>
      </w:pPr>
      <w:r>
        <w:rPr>
          <w:rStyle w:val="FootnoteReference"/>
        </w:rPr>
        <w:footnoteRef/>
      </w:r>
      <w:r>
        <w:t xml:space="preserve"> Siores, Exh. No. NCS-3 at 4.7.1.</w:t>
      </w:r>
    </w:p>
  </w:footnote>
  <w:footnote w:id="75">
    <w:p w14:paraId="61F29F6C" w14:textId="58F87E49" w:rsidR="00B715B2" w:rsidRDefault="00B715B2" w:rsidP="00AD537F">
      <w:pPr>
        <w:pStyle w:val="FootnoteText"/>
      </w:pPr>
      <w:r>
        <w:rPr>
          <w:rStyle w:val="FootnoteReference"/>
        </w:rPr>
        <w:footnoteRef/>
      </w:r>
      <w:r>
        <w:t xml:space="preserve"> Ball, Exh. No. JLB-1T at 14:1-3.</w:t>
      </w:r>
    </w:p>
  </w:footnote>
  <w:footnote w:id="76">
    <w:p w14:paraId="33DAE0C1" w14:textId="56C5651F" w:rsidR="00B715B2" w:rsidRDefault="00B715B2" w:rsidP="00AD537F">
      <w:pPr>
        <w:pStyle w:val="FootnoteText"/>
      </w:pPr>
      <w:r>
        <w:rPr>
          <w:rStyle w:val="FootnoteReference"/>
        </w:rPr>
        <w:footnoteRef/>
      </w:r>
      <w:r>
        <w:t xml:space="preserve"> Company Brief at 52-53:¶139.</w:t>
      </w:r>
    </w:p>
  </w:footnote>
  <w:footnote w:id="77">
    <w:p w14:paraId="6EED22E1" w14:textId="0974B001" w:rsidR="00B715B2" w:rsidRPr="00780265" w:rsidRDefault="00B715B2" w:rsidP="00AD537F">
      <w:pPr>
        <w:pStyle w:val="FootnoteText"/>
      </w:pPr>
      <w:r>
        <w:rPr>
          <w:rStyle w:val="FootnoteReference"/>
        </w:rPr>
        <w:footnoteRef/>
      </w:r>
      <w:r>
        <w:t xml:space="preserve"> </w:t>
      </w:r>
      <w:r w:rsidRPr="004D76C8">
        <w:rPr>
          <w:i/>
        </w:rPr>
        <w:t xml:space="preserve">Pacific Power, </w:t>
      </w:r>
      <w:r w:rsidRPr="002E2412">
        <w:t>Docket UE-140094</w:t>
      </w:r>
      <w:r>
        <w:t xml:space="preserve">, Petition for an Order Approving Deferral of Costs Related to Declining Hydro Generation, ¶5 (“the Company uses a single-year median water year developed based on the available history of the Company’s major hydro facilities, which range from 40 years to over 90 years.”).  </w:t>
      </w:r>
      <w:r>
        <w:rPr>
          <w:i/>
        </w:rPr>
        <w:t xml:space="preserve">See also </w:t>
      </w:r>
      <w:r>
        <w:t xml:space="preserve">Gomez, Exh. No. DCG-1CT at 18 (describing the Company’s petition in Docket UE-140094 and providing Staff’s position).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C324CF4"/>
    <w:lvl w:ilvl="0">
      <w:start w:val="1"/>
      <w:numFmt w:val="upperRoman"/>
      <w:lvlText w:val="%1."/>
      <w:lvlJc w:val="left"/>
      <w:pPr>
        <w:tabs>
          <w:tab w:val="num" w:pos="0"/>
        </w:tabs>
        <w:ind w:left="720" w:hanging="720"/>
      </w:pPr>
      <w:rPr>
        <w:rFonts w:hint="default"/>
      </w:rPr>
    </w:lvl>
    <w:lvl w:ilvl="1">
      <w:start w:val="2"/>
      <w:numFmt w:val="decimal"/>
      <w:lvlText w:val="%2."/>
      <w:lvlJc w:val="left"/>
      <w:pPr>
        <w:tabs>
          <w:tab w:val="num" w:pos="0"/>
        </w:tabs>
        <w:ind w:left="720" w:hanging="720"/>
      </w:pPr>
      <w:rPr>
        <w:rFonts w:hint="default"/>
        <w:i w:val="0"/>
      </w:rPr>
    </w:lvl>
    <w:lvl w:ilvl="2">
      <w:start w:val="1"/>
      <w:numFmt w:val="upperLetter"/>
      <w:lvlText w:val="%3."/>
      <w:lvlJc w:val="left"/>
      <w:pPr>
        <w:tabs>
          <w:tab w:val="num" w:pos="90"/>
        </w:tabs>
        <w:ind w:left="1530" w:hanging="720"/>
      </w:pPr>
      <w:rPr>
        <w:rFonts w:hint="default"/>
      </w:rPr>
    </w:lvl>
    <w:lvl w:ilvl="3">
      <w:start w:val="1"/>
      <w:numFmt w:val="lowerLetter"/>
      <w:lvlText w:val="%4."/>
      <w:lvlJc w:val="left"/>
      <w:pPr>
        <w:tabs>
          <w:tab w:val="num" w:pos="2160"/>
        </w:tabs>
        <w:ind w:left="2160" w:hanging="72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
    <w:nsid w:val="0D483620"/>
    <w:multiLevelType w:val="hybridMultilevel"/>
    <w:tmpl w:val="6650714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2311E"/>
    <w:multiLevelType w:val="hybridMultilevel"/>
    <w:tmpl w:val="3670E76A"/>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635296"/>
    <w:multiLevelType w:val="hybridMultilevel"/>
    <w:tmpl w:val="DC3EB2AA"/>
    <w:lvl w:ilvl="0" w:tplc="76DC5A48">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F0E89"/>
    <w:multiLevelType w:val="hybridMultilevel"/>
    <w:tmpl w:val="183AC526"/>
    <w:lvl w:ilvl="0" w:tplc="FAD0C446">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313537"/>
    <w:multiLevelType w:val="hybridMultilevel"/>
    <w:tmpl w:val="F9B4211A"/>
    <w:lvl w:ilvl="0" w:tplc="6B308CE0">
      <w:start w:val="1"/>
      <w:numFmt w:val="upperRoman"/>
      <w:lvlText w:val="%1."/>
      <w:lvlJc w:val="left"/>
      <w:pPr>
        <w:ind w:left="90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BC44BD"/>
    <w:multiLevelType w:val="hybridMultilevel"/>
    <w:tmpl w:val="9A9A8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C3B78"/>
    <w:multiLevelType w:val="hybridMultilevel"/>
    <w:tmpl w:val="01EE7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95728"/>
    <w:multiLevelType w:val="hybridMultilevel"/>
    <w:tmpl w:val="CCF42E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22EC711E"/>
    <w:multiLevelType w:val="hybridMultilevel"/>
    <w:tmpl w:val="A162C682"/>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EE0E9B"/>
    <w:multiLevelType w:val="hybridMultilevel"/>
    <w:tmpl w:val="74AC5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F03A94"/>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13C9D"/>
    <w:multiLevelType w:val="hybridMultilevel"/>
    <w:tmpl w:val="15C465A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BC7D78"/>
    <w:multiLevelType w:val="hybridMultilevel"/>
    <w:tmpl w:val="853015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9E0D3F"/>
    <w:multiLevelType w:val="hybridMultilevel"/>
    <w:tmpl w:val="B0761BE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52392"/>
    <w:multiLevelType w:val="hybridMultilevel"/>
    <w:tmpl w:val="B65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57545"/>
    <w:multiLevelType w:val="hybridMultilevel"/>
    <w:tmpl w:val="3814C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C65EE"/>
    <w:multiLevelType w:val="hybridMultilevel"/>
    <w:tmpl w:val="6C02E268"/>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E576D7"/>
    <w:multiLevelType w:val="hybridMultilevel"/>
    <w:tmpl w:val="AD9CAA38"/>
    <w:lvl w:ilvl="0" w:tplc="594646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740FBF"/>
    <w:multiLevelType w:val="hybridMultilevel"/>
    <w:tmpl w:val="8468207C"/>
    <w:lvl w:ilvl="0" w:tplc="C55C04C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A22D2A"/>
    <w:multiLevelType w:val="hybridMultilevel"/>
    <w:tmpl w:val="2B6C5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EB3C67"/>
    <w:multiLevelType w:val="hybridMultilevel"/>
    <w:tmpl w:val="9CC253CC"/>
    <w:lvl w:ilvl="0" w:tplc="1DAA4C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2B5253"/>
    <w:multiLevelType w:val="hybridMultilevel"/>
    <w:tmpl w:val="FB824940"/>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22F1C"/>
    <w:multiLevelType w:val="hybridMultilevel"/>
    <w:tmpl w:val="5FA6F160"/>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01DA1"/>
    <w:multiLevelType w:val="hybridMultilevel"/>
    <w:tmpl w:val="A460757C"/>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CBA1031"/>
    <w:multiLevelType w:val="hybridMultilevel"/>
    <w:tmpl w:val="7FC64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931D5B"/>
    <w:multiLevelType w:val="hybridMultilevel"/>
    <w:tmpl w:val="263AC560"/>
    <w:lvl w:ilvl="0" w:tplc="01A8E266">
      <w:start w:val="1"/>
      <w:numFmt w:val="decimal"/>
      <w:pStyle w:val="WUTCParagraph"/>
      <w:lvlText w:val="%1"/>
      <w:lvlJc w:val="left"/>
      <w:pPr>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566340"/>
    <w:multiLevelType w:val="hybridMultilevel"/>
    <w:tmpl w:val="A380E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DD0B89"/>
    <w:multiLevelType w:val="hybridMultilevel"/>
    <w:tmpl w:val="E468E758"/>
    <w:lvl w:ilvl="0" w:tplc="07C8FC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B7021C"/>
    <w:multiLevelType w:val="hybridMultilevel"/>
    <w:tmpl w:val="256CEFC4"/>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0076D3"/>
    <w:multiLevelType w:val="hybridMultilevel"/>
    <w:tmpl w:val="36BE6B0E"/>
    <w:lvl w:ilvl="0" w:tplc="663460AA">
      <w:start w:val="1"/>
      <w:numFmt w:val="bullet"/>
      <w:lvlText w:val=""/>
      <w:lvlJc w:val="left"/>
      <w:pPr>
        <w:ind w:left="2520" w:hanging="720"/>
      </w:pPr>
      <w:rPr>
        <w:rFonts w:ascii="Symbol" w:hAnsi="Symbol" w:hint="default"/>
        <w:b w:val="0"/>
        <w:i w:val="0"/>
        <w:sz w:val="24"/>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nsid w:val="7DE875D7"/>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19"/>
  </w:num>
  <w:num w:numId="4">
    <w:abstractNumId w:val="27"/>
    <w:lvlOverride w:ilvl="0">
      <w:startOverride w:val="3"/>
    </w:lvlOverride>
  </w:num>
  <w:num w:numId="5">
    <w:abstractNumId w:val="20"/>
  </w:num>
  <w:num w:numId="6">
    <w:abstractNumId w:val="21"/>
  </w:num>
  <w:num w:numId="7">
    <w:abstractNumId w:val="1"/>
  </w:num>
  <w:num w:numId="8">
    <w:abstractNumId w:val="12"/>
  </w:num>
  <w:num w:numId="9">
    <w:abstractNumId w:val="17"/>
  </w:num>
  <w:num w:numId="10">
    <w:abstractNumId w:val="24"/>
  </w:num>
  <w:num w:numId="11">
    <w:abstractNumId w:val="32"/>
  </w:num>
  <w:num w:numId="12">
    <w:abstractNumId w:val="6"/>
  </w:num>
  <w:num w:numId="13">
    <w:abstractNumId w:val="13"/>
  </w:num>
  <w:num w:numId="14">
    <w:abstractNumId w:val="10"/>
  </w:num>
  <w:num w:numId="15">
    <w:abstractNumId w:val="28"/>
  </w:num>
  <w:num w:numId="16">
    <w:abstractNumId w:val="14"/>
  </w:num>
  <w:num w:numId="17">
    <w:abstractNumId w:val="3"/>
  </w:num>
  <w:num w:numId="18">
    <w:abstractNumId w:val="9"/>
  </w:num>
  <w:num w:numId="19">
    <w:abstractNumId w:val="4"/>
  </w:num>
  <w:num w:numId="20">
    <w:abstractNumId w:val="31"/>
  </w:num>
  <w:num w:numId="21">
    <w:abstractNumId w:val="16"/>
  </w:num>
  <w:num w:numId="22">
    <w:abstractNumId w:val="22"/>
  </w:num>
  <w:num w:numId="23">
    <w:abstractNumId w:val="29"/>
  </w:num>
  <w:num w:numId="24">
    <w:abstractNumId w:val="26"/>
  </w:num>
  <w:num w:numId="25">
    <w:abstractNumId w:val="30"/>
  </w:num>
  <w:num w:numId="26">
    <w:abstractNumId w:val="18"/>
  </w:num>
  <w:num w:numId="27">
    <w:abstractNumId w:val="25"/>
  </w:num>
  <w:num w:numId="28">
    <w:abstractNumId w:val="8"/>
  </w:num>
  <w:num w:numId="29">
    <w:abstractNumId w:val="15"/>
  </w:num>
  <w:num w:numId="30">
    <w:abstractNumId w:val="11"/>
  </w:num>
  <w:num w:numId="31">
    <w:abstractNumId w:val="2"/>
  </w:num>
  <w:num w:numId="32">
    <w:abstractNumId w:val="0"/>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1"/>
    <w:rsid w:val="0000196E"/>
    <w:rsid w:val="0001319B"/>
    <w:rsid w:val="0002673F"/>
    <w:rsid w:val="0003109E"/>
    <w:rsid w:val="000322F9"/>
    <w:rsid w:val="00034532"/>
    <w:rsid w:val="00035AC4"/>
    <w:rsid w:val="00035BE9"/>
    <w:rsid w:val="0003684D"/>
    <w:rsid w:val="00037201"/>
    <w:rsid w:val="00046653"/>
    <w:rsid w:val="00046A07"/>
    <w:rsid w:val="00061667"/>
    <w:rsid w:val="00064292"/>
    <w:rsid w:val="00084629"/>
    <w:rsid w:val="0008792E"/>
    <w:rsid w:val="0009119D"/>
    <w:rsid w:val="000940DD"/>
    <w:rsid w:val="00094B61"/>
    <w:rsid w:val="000A4757"/>
    <w:rsid w:val="000A7561"/>
    <w:rsid w:val="000B02B2"/>
    <w:rsid w:val="000B04AD"/>
    <w:rsid w:val="000B1FAB"/>
    <w:rsid w:val="000B58F8"/>
    <w:rsid w:val="000B72E2"/>
    <w:rsid w:val="000C4198"/>
    <w:rsid w:val="000C572D"/>
    <w:rsid w:val="000D2823"/>
    <w:rsid w:val="000D7924"/>
    <w:rsid w:val="000E2497"/>
    <w:rsid w:val="000F7BAB"/>
    <w:rsid w:val="0010170B"/>
    <w:rsid w:val="00103711"/>
    <w:rsid w:val="001133D1"/>
    <w:rsid w:val="00115327"/>
    <w:rsid w:val="00117F6C"/>
    <w:rsid w:val="0012054B"/>
    <w:rsid w:val="00120FC1"/>
    <w:rsid w:val="00125BD8"/>
    <w:rsid w:val="00126870"/>
    <w:rsid w:val="00130E2D"/>
    <w:rsid w:val="00132784"/>
    <w:rsid w:val="00136DFE"/>
    <w:rsid w:val="00143E9B"/>
    <w:rsid w:val="00144A93"/>
    <w:rsid w:val="001536CA"/>
    <w:rsid w:val="0015504F"/>
    <w:rsid w:val="00161753"/>
    <w:rsid w:val="00166F09"/>
    <w:rsid w:val="001711D5"/>
    <w:rsid w:val="00183623"/>
    <w:rsid w:val="00191483"/>
    <w:rsid w:val="00193ECE"/>
    <w:rsid w:val="001B4793"/>
    <w:rsid w:val="001C694B"/>
    <w:rsid w:val="001D08EC"/>
    <w:rsid w:val="001D2BCC"/>
    <w:rsid w:val="001D5EF0"/>
    <w:rsid w:val="001E06F6"/>
    <w:rsid w:val="001E2BF7"/>
    <w:rsid w:val="001F2CD8"/>
    <w:rsid w:val="001F30F6"/>
    <w:rsid w:val="001F7710"/>
    <w:rsid w:val="001F7B36"/>
    <w:rsid w:val="00200AEF"/>
    <w:rsid w:val="00211639"/>
    <w:rsid w:val="00212842"/>
    <w:rsid w:val="00213A4A"/>
    <w:rsid w:val="00213E13"/>
    <w:rsid w:val="00216491"/>
    <w:rsid w:val="002254B6"/>
    <w:rsid w:val="0022641B"/>
    <w:rsid w:val="00226616"/>
    <w:rsid w:val="00227534"/>
    <w:rsid w:val="00231620"/>
    <w:rsid w:val="00241E2B"/>
    <w:rsid w:val="0024244B"/>
    <w:rsid w:val="00244C47"/>
    <w:rsid w:val="0024537E"/>
    <w:rsid w:val="0025091B"/>
    <w:rsid w:val="00252A6F"/>
    <w:rsid w:val="00255498"/>
    <w:rsid w:val="00256AAD"/>
    <w:rsid w:val="00261237"/>
    <w:rsid w:val="00263BA2"/>
    <w:rsid w:val="0026572D"/>
    <w:rsid w:val="002750D7"/>
    <w:rsid w:val="00280D76"/>
    <w:rsid w:val="0028339C"/>
    <w:rsid w:val="00284023"/>
    <w:rsid w:val="00286AE9"/>
    <w:rsid w:val="002900F8"/>
    <w:rsid w:val="00293583"/>
    <w:rsid w:val="002954CD"/>
    <w:rsid w:val="002A39A2"/>
    <w:rsid w:val="002A7359"/>
    <w:rsid w:val="002B566B"/>
    <w:rsid w:val="002C1BEF"/>
    <w:rsid w:val="002D37FE"/>
    <w:rsid w:val="002E2412"/>
    <w:rsid w:val="002E63A4"/>
    <w:rsid w:val="00302751"/>
    <w:rsid w:val="003027B9"/>
    <w:rsid w:val="00310609"/>
    <w:rsid w:val="00312D08"/>
    <w:rsid w:val="00315FCB"/>
    <w:rsid w:val="0032373B"/>
    <w:rsid w:val="003267F0"/>
    <w:rsid w:val="00344AFE"/>
    <w:rsid w:val="003459B1"/>
    <w:rsid w:val="00346F3B"/>
    <w:rsid w:val="00351CBB"/>
    <w:rsid w:val="003521E9"/>
    <w:rsid w:val="00352B69"/>
    <w:rsid w:val="003542A0"/>
    <w:rsid w:val="003546CD"/>
    <w:rsid w:val="00355770"/>
    <w:rsid w:val="003762E5"/>
    <w:rsid w:val="00381487"/>
    <w:rsid w:val="00381B10"/>
    <w:rsid w:val="00382246"/>
    <w:rsid w:val="00384C3F"/>
    <w:rsid w:val="0038534A"/>
    <w:rsid w:val="00386FAE"/>
    <w:rsid w:val="003903AE"/>
    <w:rsid w:val="00390D06"/>
    <w:rsid w:val="003921ED"/>
    <w:rsid w:val="003A0284"/>
    <w:rsid w:val="003A059A"/>
    <w:rsid w:val="003A0E00"/>
    <w:rsid w:val="003A37D3"/>
    <w:rsid w:val="003A4309"/>
    <w:rsid w:val="003B187E"/>
    <w:rsid w:val="003B252D"/>
    <w:rsid w:val="003B7432"/>
    <w:rsid w:val="003C1844"/>
    <w:rsid w:val="003C5042"/>
    <w:rsid w:val="003D0FD8"/>
    <w:rsid w:val="003E59F1"/>
    <w:rsid w:val="003E63CD"/>
    <w:rsid w:val="003E6794"/>
    <w:rsid w:val="003F53A4"/>
    <w:rsid w:val="004001B0"/>
    <w:rsid w:val="004022DE"/>
    <w:rsid w:val="004257BE"/>
    <w:rsid w:val="00431278"/>
    <w:rsid w:val="00433D5A"/>
    <w:rsid w:val="00433FFA"/>
    <w:rsid w:val="00450CDF"/>
    <w:rsid w:val="00453983"/>
    <w:rsid w:val="00453FEB"/>
    <w:rsid w:val="004566F7"/>
    <w:rsid w:val="00462CA9"/>
    <w:rsid w:val="00462E28"/>
    <w:rsid w:val="0046339F"/>
    <w:rsid w:val="004658E4"/>
    <w:rsid w:val="0047380D"/>
    <w:rsid w:val="004855EC"/>
    <w:rsid w:val="004924E7"/>
    <w:rsid w:val="0049405B"/>
    <w:rsid w:val="004A51C9"/>
    <w:rsid w:val="004A6604"/>
    <w:rsid w:val="004A7020"/>
    <w:rsid w:val="004A7391"/>
    <w:rsid w:val="004A7A1B"/>
    <w:rsid w:val="004A7B7B"/>
    <w:rsid w:val="004B1FC5"/>
    <w:rsid w:val="004B6439"/>
    <w:rsid w:val="004B65EF"/>
    <w:rsid w:val="004B6FFC"/>
    <w:rsid w:val="004C0472"/>
    <w:rsid w:val="004D10A4"/>
    <w:rsid w:val="004D18C7"/>
    <w:rsid w:val="004D5713"/>
    <w:rsid w:val="004D63A6"/>
    <w:rsid w:val="004E25E5"/>
    <w:rsid w:val="004E2D64"/>
    <w:rsid w:val="004E46FB"/>
    <w:rsid w:val="004F0162"/>
    <w:rsid w:val="004F21D2"/>
    <w:rsid w:val="004F3B3A"/>
    <w:rsid w:val="00501DA3"/>
    <w:rsid w:val="00503184"/>
    <w:rsid w:val="005075BB"/>
    <w:rsid w:val="005103A9"/>
    <w:rsid w:val="005142EA"/>
    <w:rsid w:val="005215BC"/>
    <w:rsid w:val="00526A7D"/>
    <w:rsid w:val="00530899"/>
    <w:rsid w:val="005409DE"/>
    <w:rsid w:val="00540DD5"/>
    <w:rsid w:val="00540F41"/>
    <w:rsid w:val="00544DD2"/>
    <w:rsid w:val="00545D12"/>
    <w:rsid w:val="00556B33"/>
    <w:rsid w:val="00561428"/>
    <w:rsid w:val="00562C54"/>
    <w:rsid w:val="00563D17"/>
    <w:rsid w:val="00567225"/>
    <w:rsid w:val="005713CF"/>
    <w:rsid w:val="00574055"/>
    <w:rsid w:val="00574527"/>
    <w:rsid w:val="0057568C"/>
    <w:rsid w:val="0058128E"/>
    <w:rsid w:val="005864D8"/>
    <w:rsid w:val="00587EC8"/>
    <w:rsid w:val="00596274"/>
    <w:rsid w:val="00596B6C"/>
    <w:rsid w:val="0059793D"/>
    <w:rsid w:val="005A0CB4"/>
    <w:rsid w:val="005A176C"/>
    <w:rsid w:val="005A207B"/>
    <w:rsid w:val="005A70B0"/>
    <w:rsid w:val="005B422B"/>
    <w:rsid w:val="005B509E"/>
    <w:rsid w:val="005C0838"/>
    <w:rsid w:val="005C2909"/>
    <w:rsid w:val="005C2D88"/>
    <w:rsid w:val="005D14B9"/>
    <w:rsid w:val="005D151A"/>
    <w:rsid w:val="005D1EE5"/>
    <w:rsid w:val="005D55FA"/>
    <w:rsid w:val="005D79B1"/>
    <w:rsid w:val="005D7E95"/>
    <w:rsid w:val="005E337A"/>
    <w:rsid w:val="005F050D"/>
    <w:rsid w:val="00600D42"/>
    <w:rsid w:val="0060117F"/>
    <w:rsid w:val="00602BF6"/>
    <w:rsid w:val="00603CD6"/>
    <w:rsid w:val="006113A2"/>
    <w:rsid w:val="0061405C"/>
    <w:rsid w:val="0061702C"/>
    <w:rsid w:val="006222FA"/>
    <w:rsid w:val="006268E2"/>
    <w:rsid w:val="00627847"/>
    <w:rsid w:val="00632ACC"/>
    <w:rsid w:val="00634296"/>
    <w:rsid w:val="00634AF2"/>
    <w:rsid w:val="0063598A"/>
    <w:rsid w:val="0064168A"/>
    <w:rsid w:val="006432C1"/>
    <w:rsid w:val="00644740"/>
    <w:rsid w:val="00647D31"/>
    <w:rsid w:val="00652054"/>
    <w:rsid w:val="00654B38"/>
    <w:rsid w:val="006612B5"/>
    <w:rsid w:val="00665B0C"/>
    <w:rsid w:val="00673BA1"/>
    <w:rsid w:val="00681078"/>
    <w:rsid w:val="00693878"/>
    <w:rsid w:val="0069775D"/>
    <w:rsid w:val="006B1447"/>
    <w:rsid w:val="006C7FA7"/>
    <w:rsid w:val="006E5149"/>
    <w:rsid w:val="006E599F"/>
    <w:rsid w:val="006E6BA4"/>
    <w:rsid w:val="006F5303"/>
    <w:rsid w:val="006F6DA2"/>
    <w:rsid w:val="006F6E49"/>
    <w:rsid w:val="00704F19"/>
    <w:rsid w:val="00717649"/>
    <w:rsid w:val="0072050E"/>
    <w:rsid w:val="00725C4A"/>
    <w:rsid w:val="007266F7"/>
    <w:rsid w:val="007270E6"/>
    <w:rsid w:val="007321A0"/>
    <w:rsid w:val="007334F2"/>
    <w:rsid w:val="00736293"/>
    <w:rsid w:val="00736570"/>
    <w:rsid w:val="0074395E"/>
    <w:rsid w:val="0074598E"/>
    <w:rsid w:val="0075086C"/>
    <w:rsid w:val="00751873"/>
    <w:rsid w:val="007649CE"/>
    <w:rsid w:val="00766A87"/>
    <w:rsid w:val="00766D38"/>
    <w:rsid w:val="00771AD5"/>
    <w:rsid w:val="007740B0"/>
    <w:rsid w:val="00790821"/>
    <w:rsid w:val="00794AA8"/>
    <w:rsid w:val="007979A2"/>
    <w:rsid w:val="007A6E00"/>
    <w:rsid w:val="007B27E7"/>
    <w:rsid w:val="007B3369"/>
    <w:rsid w:val="007B560E"/>
    <w:rsid w:val="007B7439"/>
    <w:rsid w:val="007C5DD8"/>
    <w:rsid w:val="007E198F"/>
    <w:rsid w:val="007E2312"/>
    <w:rsid w:val="007E74CC"/>
    <w:rsid w:val="007E780A"/>
    <w:rsid w:val="007F02C0"/>
    <w:rsid w:val="007F4ADC"/>
    <w:rsid w:val="00800C0C"/>
    <w:rsid w:val="0080595C"/>
    <w:rsid w:val="00813924"/>
    <w:rsid w:val="0082685A"/>
    <w:rsid w:val="00852525"/>
    <w:rsid w:val="00854C2F"/>
    <w:rsid w:val="00861222"/>
    <w:rsid w:val="0086648F"/>
    <w:rsid w:val="00872744"/>
    <w:rsid w:val="00876026"/>
    <w:rsid w:val="00877965"/>
    <w:rsid w:val="0088013E"/>
    <w:rsid w:val="00880B00"/>
    <w:rsid w:val="00882CF0"/>
    <w:rsid w:val="0088383C"/>
    <w:rsid w:val="00891C60"/>
    <w:rsid w:val="00894495"/>
    <w:rsid w:val="008963FC"/>
    <w:rsid w:val="008B0D0D"/>
    <w:rsid w:val="008B17E0"/>
    <w:rsid w:val="008B5185"/>
    <w:rsid w:val="008B799C"/>
    <w:rsid w:val="008C79E3"/>
    <w:rsid w:val="008D633A"/>
    <w:rsid w:val="008D6A0C"/>
    <w:rsid w:val="008F6FBD"/>
    <w:rsid w:val="0090093F"/>
    <w:rsid w:val="00902B00"/>
    <w:rsid w:val="009032B7"/>
    <w:rsid w:val="00904C70"/>
    <w:rsid w:val="009052E5"/>
    <w:rsid w:val="00905C27"/>
    <w:rsid w:val="00906BEC"/>
    <w:rsid w:val="00910E23"/>
    <w:rsid w:val="00911F48"/>
    <w:rsid w:val="009124FE"/>
    <w:rsid w:val="00912C0F"/>
    <w:rsid w:val="00913457"/>
    <w:rsid w:val="00914E19"/>
    <w:rsid w:val="0092191B"/>
    <w:rsid w:val="00922362"/>
    <w:rsid w:val="009350FC"/>
    <w:rsid w:val="00940A58"/>
    <w:rsid w:val="00943CDB"/>
    <w:rsid w:val="00952573"/>
    <w:rsid w:val="00954712"/>
    <w:rsid w:val="009555D9"/>
    <w:rsid w:val="00971160"/>
    <w:rsid w:val="00971999"/>
    <w:rsid w:val="00976F72"/>
    <w:rsid w:val="009825DA"/>
    <w:rsid w:val="0098285B"/>
    <w:rsid w:val="009A0911"/>
    <w:rsid w:val="009B5EFC"/>
    <w:rsid w:val="009B7A9B"/>
    <w:rsid w:val="009C0933"/>
    <w:rsid w:val="009C11C5"/>
    <w:rsid w:val="009C22AC"/>
    <w:rsid w:val="009C7F8F"/>
    <w:rsid w:val="009D1DB0"/>
    <w:rsid w:val="009D45AD"/>
    <w:rsid w:val="009F5D8C"/>
    <w:rsid w:val="00A06978"/>
    <w:rsid w:val="00A10C18"/>
    <w:rsid w:val="00A115D2"/>
    <w:rsid w:val="00A17D20"/>
    <w:rsid w:val="00A21621"/>
    <w:rsid w:val="00A21B1F"/>
    <w:rsid w:val="00A23AD4"/>
    <w:rsid w:val="00A25BAC"/>
    <w:rsid w:val="00A365E8"/>
    <w:rsid w:val="00A408BE"/>
    <w:rsid w:val="00A42964"/>
    <w:rsid w:val="00A707A0"/>
    <w:rsid w:val="00A723DB"/>
    <w:rsid w:val="00A8309F"/>
    <w:rsid w:val="00A876C1"/>
    <w:rsid w:val="00A93692"/>
    <w:rsid w:val="00AA1480"/>
    <w:rsid w:val="00AA292F"/>
    <w:rsid w:val="00AA559D"/>
    <w:rsid w:val="00AB3111"/>
    <w:rsid w:val="00AC0AEE"/>
    <w:rsid w:val="00AC0E5D"/>
    <w:rsid w:val="00AC10B6"/>
    <w:rsid w:val="00AC1D78"/>
    <w:rsid w:val="00AC3C29"/>
    <w:rsid w:val="00AC5ED2"/>
    <w:rsid w:val="00AC7104"/>
    <w:rsid w:val="00AD5319"/>
    <w:rsid w:val="00AD537F"/>
    <w:rsid w:val="00AD737F"/>
    <w:rsid w:val="00AE05C6"/>
    <w:rsid w:val="00AE1E9F"/>
    <w:rsid w:val="00AE5C42"/>
    <w:rsid w:val="00AE78B8"/>
    <w:rsid w:val="00B01130"/>
    <w:rsid w:val="00B01371"/>
    <w:rsid w:val="00B01D54"/>
    <w:rsid w:val="00B04E78"/>
    <w:rsid w:val="00B06144"/>
    <w:rsid w:val="00B11966"/>
    <w:rsid w:val="00B164DF"/>
    <w:rsid w:val="00B16833"/>
    <w:rsid w:val="00B309F8"/>
    <w:rsid w:val="00B373C1"/>
    <w:rsid w:val="00B461C5"/>
    <w:rsid w:val="00B51E6D"/>
    <w:rsid w:val="00B55473"/>
    <w:rsid w:val="00B556A8"/>
    <w:rsid w:val="00B61B5A"/>
    <w:rsid w:val="00B7035C"/>
    <w:rsid w:val="00B70D20"/>
    <w:rsid w:val="00B715B2"/>
    <w:rsid w:val="00B730F8"/>
    <w:rsid w:val="00B77CE7"/>
    <w:rsid w:val="00B85524"/>
    <w:rsid w:val="00B868F2"/>
    <w:rsid w:val="00B937E4"/>
    <w:rsid w:val="00B956D5"/>
    <w:rsid w:val="00B95A1C"/>
    <w:rsid w:val="00B97055"/>
    <w:rsid w:val="00BB08E7"/>
    <w:rsid w:val="00BB1D74"/>
    <w:rsid w:val="00BB201F"/>
    <w:rsid w:val="00BB21F3"/>
    <w:rsid w:val="00BB6A79"/>
    <w:rsid w:val="00BC2704"/>
    <w:rsid w:val="00BD322B"/>
    <w:rsid w:val="00BD5D01"/>
    <w:rsid w:val="00BE418D"/>
    <w:rsid w:val="00BE4B5C"/>
    <w:rsid w:val="00C166B8"/>
    <w:rsid w:val="00C20747"/>
    <w:rsid w:val="00C2637D"/>
    <w:rsid w:val="00C33738"/>
    <w:rsid w:val="00C3379B"/>
    <w:rsid w:val="00C35710"/>
    <w:rsid w:val="00C429B0"/>
    <w:rsid w:val="00C42DA1"/>
    <w:rsid w:val="00C5310D"/>
    <w:rsid w:val="00C54AFF"/>
    <w:rsid w:val="00C63CD3"/>
    <w:rsid w:val="00C649C6"/>
    <w:rsid w:val="00C726DC"/>
    <w:rsid w:val="00C72AC3"/>
    <w:rsid w:val="00C770CE"/>
    <w:rsid w:val="00C8438F"/>
    <w:rsid w:val="00C86BE4"/>
    <w:rsid w:val="00C87079"/>
    <w:rsid w:val="00C922B9"/>
    <w:rsid w:val="00C9329A"/>
    <w:rsid w:val="00C961A7"/>
    <w:rsid w:val="00C97997"/>
    <w:rsid w:val="00CA0262"/>
    <w:rsid w:val="00CA0C94"/>
    <w:rsid w:val="00CA4522"/>
    <w:rsid w:val="00CA630E"/>
    <w:rsid w:val="00CA76AC"/>
    <w:rsid w:val="00CA7E4B"/>
    <w:rsid w:val="00CB54FA"/>
    <w:rsid w:val="00CB5DE5"/>
    <w:rsid w:val="00CB61B4"/>
    <w:rsid w:val="00CD102E"/>
    <w:rsid w:val="00CD287F"/>
    <w:rsid w:val="00CD2E45"/>
    <w:rsid w:val="00CD5DD7"/>
    <w:rsid w:val="00CF2EA1"/>
    <w:rsid w:val="00D01D4A"/>
    <w:rsid w:val="00D15211"/>
    <w:rsid w:val="00D1741A"/>
    <w:rsid w:val="00D2291F"/>
    <w:rsid w:val="00D25534"/>
    <w:rsid w:val="00D334D5"/>
    <w:rsid w:val="00D338DE"/>
    <w:rsid w:val="00D341B9"/>
    <w:rsid w:val="00D41121"/>
    <w:rsid w:val="00D42D2A"/>
    <w:rsid w:val="00D45C75"/>
    <w:rsid w:val="00D45D51"/>
    <w:rsid w:val="00D46B46"/>
    <w:rsid w:val="00D50577"/>
    <w:rsid w:val="00D571C5"/>
    <w:rsid w:val="00D708B2"/>
    <w:rsid w:val="00D74DBD"/>
    <w:rsid w:val="00D7548C"/>
    <w:rsid w:val="00D75D90"/>
    <w:rsid w:val="00D76811"/>
    <w:rsid w:val="00D76BA4"/>
    <w:rsid w:val="00D816C1"/>
    <w:rsid w:val="00D874F6"/>
    <w:rsid w:val="00D879AB"/>
    <w:rsid w:val="00D87C36"/>
    <w:rsid w:val="00D92EEC"/>
    <w:rsid w:val="00D93C30"/>
    <w:rsid w:val="00D96DB5"/>
    <w:rsid w:val="00DA0449"/>
    <w:rsid w:val="00DA0598"/>
    <w:rsid w:val="00DA07DD"/>
    <w:rsid w:val="00DA4FF6"/>
    <w:rsid w:val="00DA6021"/>
    <w:rsid w:val="00DB01F6"/>
    <w:rsid w:val="00DB2D62"/>
    <w:rsid w:val="00DB43C0"/>
    <w:rsid w:val="00DB66C8"/>
    <w:rsid w:val="00DC15DC"/>
    <w:rsid w:val="00DC2971"/>
    <w:rsid w:val="00DC2BE4"/>
    <w:rsid w:val="00DC3FEE"/>
    <w:rsid w:val="00DC584F"/>
    <w:rsid w:val="00DD0DB7"/>
    <w:rsid w:val="00DD28D7"/>
    <w:rsid w:val="00DE3409"/>
    <w:rsid w:val="00DF02A6"/>
    <w:rsid w:val="00DF3002"/>
    <w:rsid w:val="00E05E5E"/>
    <w:rsid w:val="00E06748"/>
    <w:rsid w:val="00E10560"/>
    <w:rsid w:val="00E127BB"/>
    <w:rsid w:val="00E12A72"/>
    <w:rsid w:val="00E26D9A"/>
    <w:rsid w:val="00E3054F"/>
    <w:rsid w:val="00E35292"/>
    <w:rsid w:val="00E40E2B"/>
    <w:rsid w:val="00E44A49"/>
    <w:rsid w:val="00E46940"/>
    <w:rsid w:val="00E47351"/>
    <w:rsid w:val="00E47653"/>
    <w:rsid w:val="00E47FCA"/>
    <w:rsid w:val="00E50757"/>
    <w:rsid w:val="00E5523C"/>
    <w:rsid w:val="00E5631E"/>
    <w:rsid w:val="00E703BB"/>
    <w:rsid w:val="00E8619F"/>
    <w:rsid w:val="00E865C6"/>
    <w:rsid w:val="00E93C20"/>
    <w:rsid w:val="00E9542E"/>
    <w:rsid w:val="00E95556"/>
    <w:rsid w:val="00EA1A04"/>
    <w:rsid w:val="00EA4127"/>
    <w:rsid w:val="00EB4B0A"/>
    <w:rsid w:val="00EC0454"/>
    <w:rsid w:val="00EC287E"/>
    <w:rsid w:val="00EC7F8B"/>
    <w:rsid w:val="00ED1D93"/>
    <w:rsid w:val="00EF0972"/>
    <w:rsid w:val="00EF200B"/>
    <w:rsid w:val="00EF3E8B"/>
    <w:rsid w:val="00F01FCC"/>
    <w:rsid w:val="00F1001C"/>
    <w:rsid w:val="00F1271F"/>
    <w:rsid w:val="00F13C2C"/>
    <w:rsid w:val="00F142C2"/>
    <w:rsid w:val="00F151EA"/>
    <w:rsid w:val="00F1557E"/>
    <w:rsid w:val="00F20099"/>
    <w:rsid w:val="00F22831"/>
    <w:rsid w:val="00F25117"/>
    <w:rsid w:val="00F25D21"/>
    <w:rsid w:val="00F33FA0"/>
    <w:rsid w:val="00F35A4A"/>
    <w:rsid w:val="00F42525"/>
    <w:rsid w:val="00F455D2"/>
    <w:rsid w:val="00F45BFE"/>
    <w:rsid w:val="00F46F73"/>
    <w:rsid w:val="00F47E1E"/>
    <w:rsid w:val="00F500DA"/>
    <w:rsid w:val="00F56D96"/>
    <w:rsid w:val="00F638EF"/>
    <w:rsid w:val="00F71FB6"/>
    <w:rsid w:val="00F72546"/>
    <w:rsid w:val="00F72C54"/>
    <w:rsid w:val="00F75BF0"/>
    <w:rsid w:val="00F77C36"/>
    <w:rsid w:val="00F806EA"/>
    <w:rsid w:val="00F82661"/>
    <w:rsid w:val="00F8410B"/>
    <w:rsid w:val="00F94C96"/>
    <w:rsid w:val="00F979C8"/>
    <w:rsid w:val="00FA0C03"/>
    <w:rsid w:val="00FA59B7"/>
    <w:rsid w:val="00FA72E3"/>
    <w:rsid w:val="00FB2338"/>
    <w:rsid w:val="00FB73DA"/>
    <w:rsid w:val="00FC28F5"/>
    <w:rsid w:val="00FC4186"/>
    <w:rsid w:val="00FD0D24"/>
    <w:rsid w:val="00FD62BC"/>
    <w:rsid w:val="00FD7711"/>
    <w:rsid w:val="00FD7AC4"/>
    <w:rsid w:val="00FE19C5"/>
    <w:rsid w:val="00FE4718"/>
    <w:rsid w:val="00FF053B"/>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0E5F826"/>
  <w15:docId w15:val="{B4DC4571-4DF5-4B13-B64D-060F23A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51"/>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02751"/>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B04E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04E7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DA0449"/>
    <w:pPr>
      <w:keepNext/>
      <w:tabs>
        <w:tab w:val="num" w:pos="2160"/>
      </w:tabs>
      <w:ind w:left="2160" w:hanging="720"/>
      <w:jc w:val="both"/>
      <w:outlineLvl w:val="3"/>
    </w:pPr>
    <w:rPr>
      <w:b/>
      <w:color w:val="auto"/>
    </w:rPr>
  </w:style>
  <w:style w:type="paragraph" w:styleId="Heading5">
    <w:name w:val="heading 5"/>
    <w:basedOn w:val="Normal"/>
    <w:next w:val="Normal"/>
    <w:link w:val="Heading5Char"/>
    <w:qFormat/>
    <w:rsid w:val="00DA0449"/>
    <w:pPr>
      <w:keepNext/>
      <w:tabs>
        <w:tab w:val="num" w:pos="0"/>
      </w:tabs>
      <w:ind w:left="2880" w:hanging="720"/>
      <w:jc w:val="both"/>
      <w:outlineLvl w:val="4"/>
    </w:pPr>
    <w:rPr>
      <w:b/>
      <w:color w:val="auto"/>
    </w:rPr>
  </w:style>
  <w:style w:type="paragraph" w:styleId="Heading6">
    <w:name w:val="heading 6"/>
    <w:basedOn w:val="Normal"/>
    <w:next w:val="Normal"/>
    <w:link w:val="Heading6Char"/>
    <w:qFormat/>
    <w:rsid w:val="00DA0449"/>
    <w:pPr>
      <w:keepNext/>
      <w:tabs>
        <w:tab w:val="num" w:pos="0"/>
      </w:tabs>
      <w:ind w:left="3600" w:hanging="720"/>
      <w:jc w:val="both"/>
      <w:outlineLvl w:val="5"/>
    </w:pPr>
    <w:rPr>
      <w:b/>
      <w:color w:val="auto"/>
    </w:rPr>
  </w:style>
  <w:style w:type="paragraph" w:styleId="Heading7">
    <w:name w:val="heading 7"/>
    <w:basedOn w:val="Normal"/>
    <w:next w:val="Normal"/>
    <w:link w:val="Heading7Char"/>
    <w:qFormat/>
    <w:rsid w:val="00DA0449"/>
    <w:pPr>
      <w:keepNext/>
      <w:tabs>
        <w:tab w:val="num" w:pos="4320"/>
      </w:tabs>
      <w:ind w:left="4320" w:hanging="720"/>
      <w:jc w:val="both"/>
      <w:outlineLvl w:val="6"/>
    </w:pPr>
    <w:rPr>
      <w:b/>
      <w:color w:val="auto"/>
    </w:rPr>
  </w:style>
  <w:style w:type="paragraph" w:styleId="Heading8">
    <w:name w:val="heading 8"/>
    <w:basedOn w:val="Normal"/>
    <w:next w:val="Normal"/>
    <w:link w:val="Heading8Char"/>
    <w:qFormat/>
    <w:rsid w:val="00DA0449"/>
    <w:pPr>
      <w:keepNext/>
      <w:tabs>
        <w:tab w:val="num" w:pos="5040"/>
      </w:tabs>
      <w:ind w:left="5040" w:hanging="720"/>
      <w:jc w:val="both"/>
      <w:outlineLvl w:val="7"/>
    </w:pPr>
    <w:rPr>
      <w:b/>
      <w:color w:val="auto"/>
    </w:rPr>
  </w:style>
  <w:style w:type="paragraph" w:styleId="Heading9">
    <w:name w:val="heading 9"/>
    <w:basedOn w:val="Normal"/>
    <w:next w:val="Normal"/>
    <w:link w:val="Heading9Char"/>
    <w:qFormat/>
    <w:rsid w:val="00DA0449"/>
    <w:pPr>
      <w:keepNext/>
      <w:tabs>
        <w:tab w:val="num" w:pos="0"/>
      </w:tabs>
      <w:ind w:left="5760" w:hanging="720"/>
      <w:jc w:val="both"/>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751"/>
    <w:rPr>
      <w:rFonts w:ascii="Times New Roman" w:eastAsia="Times New Roman" w:hAnsi="Times New Roman" w:cs="Times New Roman"/>
      <w:b/>
      <w:snapToGrid w:val="0"/>
      <w:sz w:val="28"/>
      <w:szCs w:val="20"/>
    </w:rPr>
  </w:style>
  <w:style w:type="paragraph" w:styleId="Header">
    <w:name w:val="header"/>
    <w:basedOn w:val="Normal"/>
    <w:link w:val="HeaderChar"/>
    <w:rsid w:val="00302751"/>
    <w:pPr>
      <w:tabs>
        <w:tab w:val="center" w:pos="4320"/>
        <w:tab w:val="right" w:pos="8640"/>
      </w:tabs>
    </w:pPr>
    <w:rPr>
      <w:color w:val="auto"/>
      <w:sz w:val="20"/>
    </w:rPr>
  </w:style>
  <w:style w:type="character" w:customStyle="1" w:styleId="HeaderChar">
    <w:name w:val="Header Char"/>
    <w:basedOn w:val="DefaultParagraphFont"/>
    <w:link w:val="Header"/>
    <w:rsid w:val="00302751"/>
    <w:rPr>
      <w:rFonts w:ascii="Times New Roman" w:eastAsia="Times New Roman" w:hAnsi="Times New Roman" w:cs="Times New Roman"/>
      <w:sz w:val="20"/>
      <w:szCs w:val="20"/>
    </w:rPr>
  </w:style>
  <w:style w:type="paragraph" w:customStyle="1" w:styleId="WUTCParagraph">
    <w:name w:val="WUTC Paragraph"/>
    <w:basedOn w:val="Normal"/>
    <w:link w:val="WUTCParagraphChar"/>
    <w:qFormat/>
    <w:rsid w:val="00302751"/>
    <w:pPr>
      <w:numPr>
        <w:numId w:val="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302751"/>
    <w:rPr>
      <w:rFonts w:ascii="Times New Roman" w:eastAsia="Times New Roman" w:hAnsi="Times New Roman" w:cs="Times New Roman"/>
      <w:sz w:val="24"/>
      <w:szCs w:val="24"/>
      <w:lang w:val="x-none" w:eastAsia="x-non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30275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302751"/>
    <w:rPr>
      <w:rFonts w:ascii="Times New Roman" w:eastAsia="Times New Roman" w:hAnsi="Times New Roman" w:cs="Times New Roman"/>
      <w:color w:val="000000"/>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qFormat/>
    <w:rsid w:val="00302751"/>
    <w:rPr>
      <w:vertAlign w:val="superscript"/>
    </w:rPr>
  </w:style>
  <w:style w:type="paragraph" w:customStyle="1" w:styleId="center">
    <w:name w:val="center"/>
    <w:basedOn w:val="Normal"/>
    <w:rsid w:val="00302751"/>
    <w:pPr>
      <w:keepLines/>
      <w:spacing w:before="240" w:line="240" w:lineRule="atLeast"/>
      <w:jc w:val="center"/>
    </w:pPr>
    <w:rPr>
      <w:color w:val="auto"/>
      <w:lang w:eastAsia="zh-CN"/>
    </w:rPr>
  </w:style>
  <w:style w:type="paragraph" w:styleId="Footer">
    <w:name w:val="footer"/>
    <w:basedOn w:val="Normal"/>
    <w:link w:val="FooterChar"/>
    <w:uiPriority w:val="99"/>
    <w:unhideWhenUsed/>
    <w:rsid w:val="004F21D2"/>
    <w:pPr>
      <w:tabs>
        <w:tab w:val="center" w:pos="4680"/>
        <w:tab w:val="right" w:pos="9360"/>
      </w:tabs>
    </w:pPr>
  </w:style>
  <w:style w:type="character" w:customStyle="1" w:styleId="FooterChar">
    <w:name w:val="Footer Char"/>
    <w:basedOn w:val="DefaultParagraphFont"/>
    <w:link w:val="Footer"/>
    <w:uiPriority w:val="99"/>
    <w:rsid w:val="004F21D2"/>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453983"/>
    <w:rPr>
      <w:sz w:val="16"/>
      <w:szCs w:val="16"/>
    </w:rPr>
  </w:style>
  <w:style w:type="paragraph" w:styleId="CommentText">
    <w:name w:val="annotation text"/>
    <w:basedOn w:val="Normal"/>
    <w:link w:val="CommentTextChar"/>
    <w:uiPriority w:val="99"/>
    <w:semiHidden/>
    <w:unhideWhenUsed/>
    <w:rsid w:val="00453983"/>
    <w:rPr>
      <w:sz w:val="20"/>
    </w:rPr>
  </w:style>
  <w:style w:type="character" w:customStyle="1" w:styleId="CommentTextChar">
    <w:name w:val="Comment Text Char"/>
    <w:basedOn w:val="DefaultParagraphFont"/>
    <w:link w:val="CommentText"/>
    <w:uiPriority w:val="99"/>
    <w:semiHidden/>
    <w:rsid w:val="004539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3983"/>
    <w:rPr>
      <w:b/>
      <w:bCs/>
    </w:rPr>
  </w:style>
  <w:style w:type="character" w:customStyle="1" w:styleId="CommentSubjectChar">
    <w:name w:val="Comment Subject Char"/>
    <w:basedOn w:val="CommentTextChar"/>
    <w:link w:val="CommentSubject"/>
    <w:uiPriority w:val="99"/>
    <w:semiHidden/>
    <w:rsid w:val="0045398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5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983"/>
    <w:rPr>
      <w:rFonts w:ascii="Segoe UI" w:eastAsia="Times New Roman" w:hAnsi="Segoe UI" w:cs="Segoe UI"/>
      <w:color w:val="000000"/>
      <w:sz w:val="18"/>
      <w:szCs w:val="18"/>
    </w:rPr>
  </w:style>
  <w:style w:type="paragraph" w:styleId="BodyTextIndent2">
    <w:name w:val="Body Text Indent 2"/>
    <w:basedOn w:val="Normal"/>
    <w:link w:val="BodyTextIndent2Char"/>
    <w:rsid w:val="007B7439"/>
    <w:pPr>
      <w:ind w:left="686"/>
    </w:pPr>
    <w:rPr>
      <w:rFonts w:ascii="Palatino Linotype" w:hAnsi="Palatino Linotype"/>
      <w:color w:val="auto"/>
      <w:szCs w:val="24"/>
    </w:rPr>
  </w:style>
  <w:style w:type="character" w:customStyle="1" w:styleId="BodyTextIndent2Char">
    <w:name w:val="Body Text Indent 2 Char"/>
    <w:basedOn w:val="DefaultParagraphFont"/>
    <w:link w:val="BodyTextIndent2"/>
    <w:rsid w:val="007B7439"/>
    <w:rPr>
      <w:rFonts w:ascii="Palatino Linotype" w:eastAsia="Times New Roman" w:hAnsi="Palatino Linotype" w:cs="Times New Roman"/>
      <w:sz w:val="24"/>
      <w:szCs w:val="24"/>
    </w:rPr>
  </w:style>
  <w:style w:type="paragraph" w:styleId="ListParagraph">
    <w:name w:val="List Paragraph"/>
    <w:basedOn w:val="Normal"/>
    <w:link w:val="ListParagraphChar"/>
    <w:uiPriority w:val="34"/>
    <w:qFormat/>
    <w:rsid w:val="00CA7E4B"/>
    <w:pPr>
      <w:spacing w:after="160" w:line="259" w:lineRule="auto"/>
      <w:ind w:left="720"/>
      <w:contextualSpacing/>
    </w:pPr>
    <w:rPr>
      <w:rFonts w:asciiTheme="minorHAnsi" w:eastAsiaTheme="minorHAnsi" w:hAnsiTheme="minorHAnsi" w:cstheme="minorBidi"/>
      <w:color w:val="auto"/>
      <w:sz w:val="22"/>
      <w:szCs w:val="22"/>
    </w:rPr>
  </w:style>
  <w:style w:type="paragraph" w:styleId="BodyTextIndent">
    <w:name w:val="Body Text Indent"/>
    <w:basedOn w:val="Normal"/>
    <w:link w:val="BodyTextIndentChar"/>
    <w:uiPriority w:val="99"/>
    <w:semiHidden/>
    <w:unhideWhenUsed/>
    <w:rsid w:val="00252A6F"/>
    <w:pPr>
      <w:spacing w:after="120"/>
      <w:ind w:left="360"/>
    </w:pPr>
  </w:style>
  <w:style w:type="character" w:customStyle="1" w:styleId="BodyTextIndentChar">
    <w:name w:val="Body Text Indent Char"/>
    <w:basedOn w:val="DefaultParagraphFont"/>
    <w:link w:val="BodyTextIndent"/>
    <w:uiPriority w:val="99"/>
    <w:semiHidden/>
    <w:rsid w:val="00252A6F"/>
    <w:rPr>
      <w:rFonts w:ascii="Times New Roman" w:eastAsia="Times New Roman" w:hAnsi="Times New Roman" w:cs="Times New Roman"/>
      <w:color w:val="000000"/>
      <w:sz w:val="24"/>
      <w:szCs w:val="20"/>
    </w:rPr>
  </w:style>
  <w:style w:type="character" w:customStyle="1" w:styleId="Heading2Char">
    <w:name w:val="Heading 2 Char"/>
    <w:basedOn w:val="DefaultParagraphFont"/>
    <w:link w:val="Heading2"/>
    <w:uiPriority w:val="9"/>
    <w:semiHidden/>
    <w:rsid w:val="00B04E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04E78"/>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390D0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390D06"/>
    <w:rPr>
      <w:rFonts w:ascii="Consolas" w:eastAsia="Calibri" w:hAnsi="Consolas" w:cs="Times New Roman"/>
      <w:sz w:val="21"/>
      <w:szCs w:val="21"/>
    </w:rPr>
  </w:style>
  <w:style w:type="character" w:customStyle="1" w:styleId="ListParagraphChar">
    <w:name w:val="List Paragraph Char"/>
    <w:basedOn w:val="DefaultParagraphFont"/>
    <w:link w:val="ListParagraph"/>
    <w:uiPriority w:val="34"/>
    <w:locked/>
    <w:rsid w:val="00390D06"/>
  </w:style>
  <w:style w:type="character" w:customStyle="1" w:styleId="Heading4Char">
    <w:name w:val="Heading 4 Char"/>
    <w:basedOn w:val="DefaultParagraphFont"/>
    <w:link w:val="Heading4"/>
    <w:rsid w:val="00DA044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A044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A044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A0449"/>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A0449"/>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A0449"/>
    <w:rPr>
      <w:rFonts w:ascii="Times New Roman" w:eastAsia="Times New Roman" w:hAnsi="Times New Roman" w:cs="Times New Roman"/>
      <w:sz w:val="24"/>
      <w:szCs w:val="20"/>
    </w:rPr>
  </w:style>
  <w:style w:type="paragraph" w:styleId="Revision">
    <w:name w:val="Revision"/>
    <w:hidden/>
    <w:uiPriority w:val="99"/>
    <w:semiHidden/>
    <w:rsid w:val="00293583"/>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2015-02-03T21:55:58+00:00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1B79E-5B1F-4A4D-991D-31F38A20AB5D}"/>
</file>

<file path=customXml/itemProps2.xml><?xml version="1.0" encoding="utf-8"?>
<ds:datastoreItem xmlns:ds="http://schemas.openxmlformats.org/officeDocument/2006/customXml" ds:itemID="{EBEE18EA-7FCE-4532-A37E-016D5E891E98}"/>
</file>

<file path=customXml/itemProps3.xml><?xml version="1.0" encoding="utf-8"?>
<ds:datastoreItem xmlns:ds="http://schemas.openxmlformats.org/officeDocument/2006/customXml" ds:itemID="{7D45AD5F-E6F6-45E6-9353-022F397297DD}"/>
</file>

<file path=customXml/itemProps4.xml><?xml version="1.0" encoding="utf-8"?>
<ds:datastoreItem xmlns:ds="http://schemas.openxmlformats.org/officeDocument/2006/customXml" ds:itemID="{63999BAE-1F14-4B21-B84C-53AF0EB79A24}"/>
</file>

<file path=customXml/itemProps5.xml><?xml version="1.0" encoding="utf-8"?>
<ds:datastoreItem xmlns:ds="http://schemas.openxmlformats.org/officeDocument/2006/customXml" ds:itemID="{7C1A6CA3-89E2-45B7-8F2C-87CAAC588CDE}"/>
</file>

<file path=docProps/app.xml><?xml version="1.0" encoding="utf-8"?>
<Properties xmlns="http://schemas.openxmlformats.org/officeDocument/2006/extended-properties" xmlns:vt="http://schemas.openxmlformats.org/officeDocument/2006/docPropsVTypes">
  <Template>Normal.dotm</Template>
  <TotalTime>802</TotalTime>
  <Pages>22</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O. Gorsuch</dc:creator>
  <cp:lastModifiedBy>Gross, Krista (UTC)</cp:lastModifiedBy>
  <cp:revision>33</cp:revision>
  <cp:lastPrinted>2015-02-03T21:33:00Z</cp:lastPrinted>
  <dcterms:created xsi:type="dcterms:W3CDTF">2015-01-30T00:12:00Z</dcterms:created>
  <dcterms:modified xsi:type="dcterms:W3CDTF">2015-02-03T21:35:00Z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