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D0" w:rsidRPr="009852D0" w:rsidRDefault="009852D0" w:rsidP="00261D7D">
      <w:pPr>
        <w:widowControl w:val="0"/>
        <w:spacing w:before="240" w:line="240" w:lineRule="atLeast"/>
        <w:ind w:left="4320" w:firstLine="0"/>
        <w:rPr>
          <w:b/>
        </w:rPr>
      </w:pPr>
      <w:r w:rsidRPr="009852D0">
        <w:rPr>
          <w:b/>
        </w:rPr>
        <w:t>EXHIBIT NO</w:t>
      </w:r>
      <w:r w:rsidR="00261D7D">
        <w:rPr>
          <w:b/>
        </w:rPr>
        <w:t>. </w:t>
      </w:r>
      <w:r w:rsidRPr="009852D0">
        <w:rPr>
          <w:b/>
        </w:rPr>
        <w:t>___(</w:t>
      </w:r>
      <w:r w:rsidR="007B4E48">
        <w:rPr>
          <w:b/>
        </w:rPr>
        <w:t>R</w:t>
      </w:r>
      <w:r w:rsidR="00B4062B">
        <w:rPr>
          <w:b/>
        </w:rPr>
        <w:t>CB</w:t>
      </w:r>
      <w:r w:rsidRPr="009852D0">
        <w:rPr>
          <w:b/>
        </w:rPr>
        <w:t>-</w:t>
      </w:r>
      <w:r w:rsidR="001B3DDF">
        <w:rPr>
          <w:b/>
        </w:rPr>
        <w:t>1</w:t>
      </w:r>
      <w:r w:rsidRPr="009852D0">
        <w:rPr>
          <w:b/>
        </w:rPr>
        <w:t>T)</w:t>
      </w:r>
      <w:r w:rsidRPr="009852D0">
        <w:rPr>
          <w:b/>
        </w:rPr>
        <w:br/>
        <w:t>DOCKET NO. UE-</w:t>
      </w:r>
      <w:r w:rsidR="00307081" w:rsidRPr="00307081">
        <w:rPr>
          <w:b/>
        </w:rPr>
        <w:t>132027</w:t>
      </w:r>
      <w:r w:rsidRPr="009852D0">
        <w:rPr>
          <w:b/>
        </w:rPr>
        <w:br/>
        <w:t>WITNESS:  </w:t>
      </w:r>
      <w:r w:rsidR="001B3DDF">
        <w:rPr>
          <w:b/>
        </w:rPr>
        <w:t>ROBERT C. BELLEMARE</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r w:rsidRPr="009852D0">
        <w:rPr>
          <w:b/>
        </w:rPr>
        <w:t>BEFORE THE</w:t>
      </w:r>
    </w:p>
    <w:p w:rsidR="009852D0" w:rsidRPr="009852D0" w:rsidRDefault="009852D0" w:rsidP="009852D0">
      <w:pPr>
        <w:widowControl w:val="0"/>
        <w:spacing w:line="240" w:lineRule="auto"/>
        <w:ind w:firstLine="0"/>
        <w:jc w:val="center"/>
        <w:rPr>
          <w:b/>
        </w:rPr>
      </w:pPr>
      <w:r w:rsidRPr="009852D0">
        <w:rPr>
          <w:b/>
        </w:rPr>
        <w:t>WASHINGTON UTILITIES AND TRANSPORTATION COMMISSION</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tbl>
      <w:tblPr>
        <w:tblW w:w="9081" w:type="dxa"/>
        <w:tblLayout w:type="fixed"/>
        <w:tblCellMar>
          <w:left w:w="0" w:type="dxa"/>
          <w:right w:w="0" w:type="dxa"/>
        </w:tblCellMar>
        <w:tblLook w:val="0000" w:firstRow="0" w:lastRow="0" w:firstColumn="0" w:lastColumn="0" w:noHBand="0" w:noVBand="0"/>
      </w:tblPr>
      <w:tblGrid>
        <w:gridCol w:w="4378"/>
        <w:gridCol w:w="134"/>
        <w:gridCol w:w="4569"/>
      </w:tblGrid>
      <w:tr w:rsidR="00BA2D6C" w:rsidRPr="009852D0" w:rsidTr="006D3235">
        <w:trPr>
          <w:cantSplit/>
        </w:trPr>
        <w:tc>
          <w:tcPr>
            <w:tcW w:w="4238" w:type="dxa"/>
            <w:tcBorders>
              <w:bottom w:val="single" w:sz="4" w:space="0" w:color="auto"/>
              <w:right w:val="single" w:sz="4" w:space="0" w:color="auto"/>
            </w:tcBorders>
          </w:tcPr>
          <w:p w:rsidR="009852D0" w:rsidRPr="009852D0" w:rsidRDefault="009852D0" w:rsidP="009852D0">
            <w:pPr>
              <w:widowControl w:val="0"/>
              <w:tabs>
                <w:tab w:val="left" w:pos="1440"/>
              </w:tabs>
              <w:spacing w:line="240" w:lineRule="exact"/>
              <w:ind w:firstLine="0"/>
              <w:rPr>
                <w:b/>
              </w:rPr>
            </w:pPr>
            <w:r w:rsidRPr="009852D0">
              <w:rPr>
                <w:b/>
              </w:rPr>
              <w:t>In the Matter of the Petition of</w:t>
            </w:r>
          </w:p>
          <w:p w:rsidR="009852D0" w:rsidRPr="009852D0" w:rsidRDefault="009852D0" w:rsidP="009852D0">
            <w:pPr>
              <w:widowControl w:val="0"/>
              <w:tabs>
                <w:tab w:val="left" w:pos="1440"/>
              </w:tabs>
              <w:spacing w:line="240" w:lineRule="exact"/>
              <w:ind w:firstLine="0"/>
              <w:rPr>
                <w:b/>
              </w:rPr>
            </w:pPr>
          </w:p>
          <w:p w:rsidR="009852D0" w:rsidRPr="009852D0" w:rsidRDefault="009852D0" w:rsidP="009852D0">
            <w:pPr>
              <w:widowControl w:val="0"/>
              <w:tabs>
                <w:tab w:val="left" w:pos="1440"/>
              </w:tabs>
              <w:spacing w:line="240" w:lineRule="exact"/>
              <w:ind w:firstLine="0"/>
              <w:rPr>
                <w:b/>
              </w:rPr>
            </w:pPr>
            <w:r w:rsidRPr="009852D0">
              <w:rPr>
                <w:b/>
              </w:rPr>
              <w:t>PUGET SOUND ENERGY, INC.</w:t>
            </w:r>
          </w:p>
          <w:p w:rsidR="009852D0" w:rsidRPr="009852D0" w:rsidRDefault="009852D0" w:rsidP="009852D0">
            <w:pPr>
              <w:widowControl w:val="0"/>
              <w:tabs>
                <w:tab w:val="left" w:pos="1440"/>
              </w:tabs>
              <w:spacing w:line="240" w:lineRule="exact"/>
              <w:ind w:firstLine="0"/>
              <w:rPr>
                <w:b/>
              </w:rPr>
            </w:pPr>
          </w:p>
          <w:p w:rsidR="009852D0" w:rsidRPr="009852D0" w:rsidRDefault="009852D0" w:rsidP="009852D0">
            <w:pPr>
              <w:widowControl w:val="0"/>
              <w:tabs>
                <w:tab w:val="left" w:pos="1440"/>
              </w:tabs>
              <w:spacing w:line="240" w:lineRule="exact"/>
              <w:ind w:firstLine="0"/>
              <w:rPr>
                <w:b/>
              </w:rPr>
            </w:pPr>
            <w:r w:rsidRPr="009852D0">
              <w:rPr>
                <w:b/>
              </w:rPr>
              <w:t>For an Accounting Order Approving the Allocation of Proceeds of the Sale of Certain Assets to Public Utility District #1 of Jefferson County.</w:t>
            </w:r>
          </w:p>
        </w:tc>
        <w:tc>
          <w:tcPr>
            <w:tcW w:w="130" w:type="dxa"/>
            <w:tcBorders>
              <w:left w:val="single" w:sz="4" w:space="0" w:color="auto"/>
            </w:tcBorders>
          </w:tcPr>
          <w:p w:rsidR="009852D0" w:rsidRPr="009852D0" w:rsidRDefault="009852D0" w:rsidP="009852D0">
            <w:pPr>
              <w:widowControl w:val="0"/>
              <w:rPr>
                <w:b/>
              </w:rPr>
            </w:pPr>
          </w:p>
        </w:tc>
        <w:tc>
          <w:tcPr>
            <w:tcW w:w="4423" w:type="dxa"/>
            <w:vAlign w:val="center"/>
          </w:tcPr>
          <w:p w:rsidR="009852D0" w:rsidRPr="009852D0" w:rsidRDefault="009852D0" w:rsidP="00261D7D">
            <w:pPr>
              <w:widowControl w:val="0"/>
              <w:spacing w:line="240" w:lineRule="exact"/>
              <w:ind w:left="198" w:firstLine="0"/>
              <w:rPr>
                <w:b/>
              </w:rPr>
            </w:pPr>
            <w:r w:rsidRPr="009852D0">
              <w:rPr>
                <w:b/>
              </w:rPr>
              <w:t>Docket No. UE-</w:t>
            </w:r>
            <w:r w:rsidR="00307081" w:rsidRPr="00307081">
              <w:rPr>
                <w:b/>
              </w:rPr>
              <w:t>132027</w:t>
            </w:r>
          </w:p>
        </w:tc>
      </w:tr>
    </w:tbl>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r w:rsidRPr="00261D7D">
        <w:rPr>
          <w:b/>
        </w:rPr>
        <w:t xml:space="preserve">PREFILED </w:t>
      </w:r>
      <w:r w:rsidR="0083214F">
        <w:rPr>
          <w:b/>
        </w:rPr>
        <w:t>REBUTTAL</w:t>
      </w:r>
      <w:r w:rsidRPr="00261D7D">
        <w:rPr>
          <w:b/>
        </w:rPr>
        <w:t xml:space="preserve"> TESTIMONY (NONCONFIDENTIAL) OF</w:t>
      </w:r>
    </w:p>
    <w:p w:rsidR="00261D7D" w:rsidRPr="00261D7D" w:rsidRDefault="001B3DDF" w:rsidP="00261D7D">
      <w:pPr>
        <w:widowControl w:val="0"/>
        <w:spacing w:line="240" w:lineRule="auto"/>
        <w:ind w:firstLine="0"/>
        <w:jc w:val="center"/>
        <w:rPr>
          <w:b/>
        </w:rPr>
      </w:pPr>
      <w:r>
        <w:rPr>
          <w:b/>
        </w:rPr>
        <w:t>ROBERT C. BELLEMARE</w:t>
      </w:r>
    </w:p>
    <w:p w:rsidR="009852D0" w:rsidRPr="009852D0" w:rsidRDefault="00261D7D" w:rsidP="00261D7D">
      <w:pPr>
        <w:widowControl w:val="0"/>
        <w:spacing w:line="240" w:lineRule="auto"/>
        <w:ind w:firstLine="0"/>
        <w:jc w:val="center"/>
        <w:rPr>
          <w:b/>
        </w:rPr>
      </w:pPr>
      <w:r w:rsidRPr="00261D7D">
        <w:rPr>
          <w:b/>
        </w:rPr>
        <w:t>ON BEHALF OF PUGET SOUND ENERGY, INC.</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4610AC" w:rsidRPr="009075DC" w:rsidRDefault="00307081" w:rsidP="000F4005">
      <w:pPr>
        <w:widowControl w:val="0"/>
        <w:spacing w:line="240" w:lineRule="auto"/>
        <w:ind w:firstLine="0"/>
        <w:jc w:val="center"/>
        <w:rPr>
          <w:b/>
          <w:bCs/>
          <w:szCs w:val="24"/>
        </w:rPr>
        <w:sectPr w:rsidR="004610AC" w:rsidRPr="009075DC">
          <w:headerReference w:type="default" r:id="rId10"/>
          <w:footerReference w:type="default" r:id="rId11"/>
          <w:pgSz w:w="12240" w:h="15840" w:code="1"/>
          <w:pgMar w:top="1440" w:right="1440" w:bottom="1440" w:left="2160" w:header="720" w:footer="864" w:gutter="0"/>
          <w:pgNumType w:start="1"/>
          <w:cols w:space="720"/>
          <w:rtlGutter/>
        </w:sectPr>
      </w:pPr>
      <w:r>
        <w:rPr>
          <w:b/>
          <w:bCs/>
          <w:szCs w:val="24"/>
        </w:rPr>
        <w:t>APRIL 22, 2014</w:t>
      </w:r>
    </w:p>
    <w:p w:rsidR="001B0B4C" w:rsidRPr="00467975" w:rsidRDefault="001B0B4C" w:rsidP="001B0B4C">
      <w:pPr>
        <w:keepNext/>
        <w:keepLines/>
        <w:spacing w:before="240" w:after="360" w:line="240" w:lineRule="auto"/>
        <w:ind w:left="547" w:right="547" w:firstLine="0"/>
        <w:jc w:val="center"/>
        <w:rPr>
          <w:b/>
          <w:bCs/>
          <w:szCs w:val="24"/>
        </w:rPr>
      </w:pPr>
      <w:bookmarkStart w:id="0" w:name="_Toc125167531"/>
      <w:bookmarkStart w:id="1" w:name="_Toc127023381"/>
      <w:bookmarkStart w:id="2" w:name="_Toc364777984"/>
      <w:r w:rsidRPr="00467975">
        <w:rPr>
          <w:b/>
          <w:bCs/>
          <w:szCs w:val="24"/>
        </w:rPr>
        <w:lastRenderedPageBreak/>
        <w:t>PUGET SOUND ENERGY, INC.</w:t>
      </w:r>
    </w:p>
    <w:p w:rsidR="001B0B4C" w:rsidRPr="009075DC" w:rsidRDefault="001B0B4C" w:rsidP="001B0B4C">
      <w:pPr>
        <w:keepNext/>
        <w:keepLines/>
        <w:spacing w:before="240" w:after="360" w:line="240" w:lineRule="auto"/>
        <w:ind w:left="547" w:right="547" w:firstLine="0"/>
        <w:jc w:val="center"/>
        <w:rPr>
          <w:b/>
          <w:bCs/>
          <w:szCs w:val="24"/>
        </w:rPr>
      </w:pPr>
      <w:r w:rsidRPr="00467975">
        <w:rPr>
          <w:b/>
          <w:bCs/>
          <w:szCs w:val="24"/>
        </w:rPr>
        <w:t xml:space="preserve">PREFILED </w:t>
      </w:r>
      <w:r w:rsidR="00307081">
        <w:rPr>
          <w:b/>
          <w:bCs/>
          <w:szCs w:val="24"/>
        </w:rPr>
        <w:t>REBUTTAL</w:t>
      </w:r>
      <w:r w:rsidRPr="00467975">
        <w:rPr>
          <w:b/>
          <w:bCs/>
          <w:szCs w:val="24"/>
        </w:rPr>
        <w:t xml:space="preserve"> TESTIMONY </w:t>
      </w:r>
      <w:r>
        <w:rPr>
          <w:b/>
          <w:bCs/>
          <w:szCs w:val="24"/>
        </w:rPr>
        <w:t xml:space="preserve">(NONCONFIDENTIAL) </w:t>
      </w:r>
      <w:r w:rsidRPr="00467975">
        <w:rPr>
          <w:b/>
          <w:bCs/>
          <w:szCs w:val="24"/>
        </w:rPr>
        <w:t>OF</w:t>
      </w:r>
      <w:r>
        <w:rPr>
          <w:b/>
          <w:bCs/>
          <w:szCs w:val="24"/>
        </w:rPr>
        <w:br/>
      </w:r>
      <w:r>
        <w:rPr>
          <w:b/>
          <w:bCs/>
          <w:szCs w:val="24"/>
        </w:rPr>
        <w:br/>
      </w:r>
      <w:r w:rsidR="001B3DDF">
        <w:rPr>
          <w:b/>
          <w:bCs/>
          <w:szCs w:val="24"/>
        </w:rPr>
        <w:t>ROBERT C. BELLEMARE</w:t>
      </w:r>
    </w:p>
    <w:p w:rsidR="001B0B4C" w:rsidRDefault="001B0B4C" w:rsidP="001B0B4C">
      <w:pPr>
        <w:keepNext/>
        <w:keepLines/>
        <w:spacing w:before="240" w:after="360" w:line="240" w:lineRule="auto"/>
        <w:ind w:left="547" w:right="547" w:firstLine="0"/>
        <w:jc w:val="center"/>
        <w:rPr>
          <w:b/>
          <w:bCs/>
          <w:szCs w:val="24"/>
        </w:rPr>
      </w:pPr>
    </w:p>
    <w:p w:rsidR="001B0B4C" w:rsidRDefault="001B0B4C" w:rsidP="001B0B4C">
      <w:pPr>
        <w:keepNext/>
        <w:keepLines/>
        <w:spacing w:before="240" w:after="360" w:line="240" w:lineRule="auto"/>
        <w:ind w:left="547" w:right="547" w:firstLine="0"/>
        <w:jc w:val="center"/>
        <w:rPr>
          <w:b/>
          <w:bCs/>
          <w:szCs w:val="24"/>
        </w:rPr>
      </w:pPr>
      <w:r>
        <w:rPr>
          <w:b/>
          <w:bCs/>
          <w:szCs w:val="24"/>
        </w:rPr>
        <w:t>CONTENTS</w:t>
      </w:r>
    </w:p>
    <w:sdt>
      <w:sdtPr>
        <w:rPr>
          <w:rFonts w:ascii="Times New Roman" w:eastAsia="Times New Roman" w:hAnsi="Times New Roman" w:cs="Times New Roman"/>
          <w:b w:val="0"/>
          <w:bCs w:val="0"/>
          <w:color w:val="auto"/>
          <w:sz w:val="24"/>
          <w:szCs w:val="20"/>
          <w:lang w:eastAsia="zh-CN"/>
        </w:rPr>
        <w:id w:val="-52170612"/>
        <w:docPartObj>
          <w:docPartGallery w:val="Table of Contents"/>
          <w:docPartUnique/>
        </w:docPartObj>
      </w:sdtPr>
      <w:sdtEndPr>
        <w:rPr>
          <w:noProof/>
        </w:rPr>
      </w:sdtEndPr>
      <w:sdtContent>
        <w:p w:rsidR="001B0B4C" w:rsidRDefault="001B0B4C">
          <w:pPr>
            <w:pStyle w:val="TOCHeading"/>
          </w:pPr>
        </w:p>
        <w:p w:rsidR="00AC5355" w:rsidRDefault="001B0B4C">
          <w:pPr>
            <w:pStyle w:val="TOC1"/>
            <w:rPr>
              <w:rFonts w:asciiTheme="minorHAnsi" w:eastAsiaTheme="minorEastAsia" w:hAnsiTheme="minorHAnsi" w:cstheme="minorBidi"/>
              <w:color w:val="auto"/>
              <w:sz w:val="22"/>
              <w:szCs w:val="22"/>
              <w:lang w:eastAsia="en-US"/>
            </w:rPr>
          </w:pPr>
          <w:r w:rsidRPr="006234EB">
            <w:rPr>
              <w:color w:val="auto"/>
            </w:rPr>
            <w:fldChar w:fldCharType="begin"/>
          </w:r>
          <w:r w:rsidRPr="006234EB">
            <w:rPr>
              <w:color w:val="auto"/>
            </w:rPr>
            <w:instrText xml:space="preserve"> TOC \o "1-3" \h \z \u </w:instrText>
          </w:r>
          <w:r w:rsidRPr="006234EB">
            <w:rPr>
              <w:color w:val="auto"/>
            </w:rPr>
            <w:fldChar w:fldCharType="separate"/>
          </w:r>
          <w:bookmarkStart w:id="3" w:name="_GoBack"/>
          <w:bookmarkEnd w:id="3"/>
          <w:r w:rsidR="00AC5355" w:rsidRPr="00091074">
            <w:rPr>
              <w:rStyle w:val="Hyperlink"/>
            </w:rPr>
            <w:fldChar w:fldCharType="begin"/>
          </w:r>
          <w:r w:rsidR="00AC5355" w:rsidRPr="00091074">
            <w:rPr>
              <w:rStyle w:val="Hyperlink"/>
            </w:rPr>
            <w:instrText xml:space="preserve"> </w:instrText>
          </w:r>
          <w:r w:rsidR="00AC5355">
            <w:instrText>HYPERLINK \l "_Toc385936095"</w:instrText>
          </w:r>
          <w:r w:rsidR="00AC5355" w:rsidRPr="00091074">
            <w:rPr>
              <w:rStyle w:val="Hyperlink"/>
            </w:rPr>
            <w:instrText xml:space="preserve"> </w:instrText>
          </w:r>
          <w:r w:rsidR="00AC5355" w:rsidRPr="00091074">
            <w:rPr>
              <w:rStyle w:val="Hyperlink"/>
            </w:rPr>
          </w:r>
          <w:r w:rsidR="00AC5355" w:rsidRPr="00091074">
            <w:rPr>
              <w:rStyle w:val="Hyperlink"/>
            </w:rPr>
            <w:fldChar w:fldCharType="separate"/>
          </w:r>
          <w:r w:rsidR="00AC5355" w:rsidRPr="00091074">
            <w:rPr>
              <w:rStyle w:val="Hyperlink"/>
            </w:rPr>
            <w:t>I.</w:t>
          </w:r>
          <w:r w:rsidR="00AC5355">
            <w:rPr>
              <w:rFonts w:asciiTheme="minorHAnsi" w:eastAsiaTheme="minorEastAsia" w:hAnsiTheme="minorHAnsi" w:cstheme="minorBidi"/>
              <w:color w:val="auto"/>
              <w:sz w:val="22"/>
              <w:szCs w:val="22"/>
              <w:lang w:eastAsia="en-US"/>
            </w:rPr>
            <w:tab/>
          </w:r>
          <w:r w:rsidR="00AC5355" w:rsidRPr="00091074">
            <w:rPr>
              <w:rStyle w:val="Hyperlink"/>
            </w:rPr>
            <w:t>INTRODUCTION</w:t>
          </w:r>
          <w:r w:rsidR="00AC5355">
            <w:rPr>
              <w:webHidden/>
            </w:rPr>
            <w:tab/>
          </w:r>
          <w:r w:rsidR="00AC5355">
            <w:rPr>
              <w:webHidden/>
            </w:rPr>
            <w:fldChar w:fldCharType="begin"/>
          </w:r>
          <w:r w:rsidR="00AC5355">
            <w:rPr>
              <w:webHidden/>
            </w:rPr>
            <w:instrText xml:space="preserve"> PAGEREF _Toc385936095 \h </w:instrText>
          </w:r>
          <w:r w:rsidR="00AC5355">
            <w:rPr>
              <w:webHidden/>
            </w:rPr>
          </w:r>
          <w:r w:rsidR="00AC5355">
            <w:rPr>
              <w:webHidden/>
            </w:rPr>
            <w:fldChar w:fldCharType="separate"/>
          </w:r>
          <w:r w:rsidR="00AC5355">
            <w:rPr>
              <w:webHidden/>
            </w:rPr>
            <w:t>1</w:t>
          </w:r>
          <w:r w:rsidR="00AC5355">
            <w:rPr>
              <w:webHidden/>
            </w:rPr>
            <w:fldChar w:fldCharType="end"/>
          </w:r>
          <w:r w:rsidR="00AC5355" w:rsidRPr="00091074">
            <w:rPr>
              <w:rStyle w:val="Hyperlink"/>
            </w:rPr>
            <w:fldChar w:fldCharType="end"/>
          </w:r>
        </w:p>
        <w:p w:rsidR="00AC5355" w:rsidRDefault="00AC5355">
          <w:pPr>
            <w:pStyle w:val="TOC1"/>
            <w:rPr>
              <w:rFonts w:asciiTheme="minorHAnsi" w:eastAsiaTheme="minorEastAsia" w:hAnsiTheme="minorHAnsi" w:cstheme="minorBidi"/>
              <w:color w:val="auto"/>
              <w:sz w:val="22"/>
              <w:szCs w:val="22"/>
              <w:lang w:eastAsia="en-US"/>
            </w:rPr>
          </w:pPr>
          <w:hyperlink w:anchor="_Toc385936096" w:history="1">
            <w:r w:rsidRPr="00091074">
              <w:rPr>
                <w:rStyle w:val="Hyperlink"/>
                <w:lang w:eastAsia="en-US"/>
              </w:rPr>
              <w:t>II.</w:t>
            </w:r>
            <w:r>
              <w:rPr>
                <w:rFonts w:asciiTheme="minorHAnsi" w:eastAsiaTheme="minorEastAsia" w:hAnsiTheme="minorHAnsi" w:cstheme="minorBidi"/>
                <w:color w:val="auto"/>
                <w:sz w:val="22"/>
                <w:szCs w:val="22"/>
                <w:lang w:eastAsia="en-US"/>
              </w:rPr>
              <w:tab/>
            </w:r>
            <w:r w:rsidRPr="00091074">
              <w:rPr>
                <w:rStyle w:val="Hyperlink"/>
                <w:lang w:eastAsia="en-US"/>
              </w:rPr>
              <w:t>IMPACT OF THE SALE OF PSE’S JEFFERSON COUNTY SERVICE TERRITORY ON INVESTORS.</w:t>
            </w:r>
            <w:r>
              <w:rPr>
                <w:webHidden/>
              </w:rPr>
              <w:tab/>
            </w:r>
            <w:r>
              <w:rPr>
                <w:webHidden/>
              </w:rPr>
              <w:fldChar w:fldCharType="begin"/>
            </w:r>
            <w:r>
              <w:rPr>
                <w:webHidden/>
              </w:rPr>
              <w:instrText xml:space="preserve"> PAGEREF _Toc385936096 \h </w:instrText>
            </w:r>
            <w:r>
              <w:rPr>
                <w:webHidden/>
              </w:rPr>
            </w:r>
            <w:r>
              <w:rPr>
                <w:webHidden/>
              </w:rPr>
              <w:fldChar w:fldCharType="separate"/>
            </w:r>
            <w:r>
              <w:rPr>
                <w:webHidden/>
              </w:rPr>
              <w:t>4</w:t>
            </w:r>
            <w:r>
              <w:rPr>
                <w:webHidden/>
              </w:rPr>
              <w:fldChar w:fldCharType="end"/>
            </w:r>
          </w:hyperlink>
        </w:p>
        <w:p w:rsidR="00AC5355" w:rsidRDefault="00AC5355">
          <w:pPr>
            <w:pStyle w:val="TOC1"/>
            <w:rPr>
              <w:rFonts w:asciiTheme="minorHAnsi" w:eastAsiaTheme="minorEastAsia" w:hAnsiTheme="minorHAnsi" w:cstheme="minorBidi"/>
              <w:color w:val="auto"/>
              <w:sz w:val="22"/>
              <w:szCs w:val="22"/>
              <w:lang w:eastAsia="en-US"/>
            </w:rPr>
          </w:pPr>
          <w:hyperlink w:anchor="_Toc385936097" w:history="1">
            <w:r w:rsidRPr="00091074">
              <w:rPr>
                <w:rStyle w:val="Hyperlink"/>
                <w:lang w:eastAsia="en-US"/>
              </w:rPr>
              <w:t>III.</w:t>
            </w:r>
            <w:r>
              <w:rPr>
                <w:rFonts w:asciiTheme="minorHAnsi" w:eastAsiaTheme="minorEastAsia" w:hAnsiTheme="minorHAnsi" w:cstheme="minorBidi"/>
                <w:color w:val="auto"/>
                <w:sz w:val="22"/>
                <w:szCs w:val="22"/>
                <w:lang w:eastAsia="en-US"/>
              </w:rPr>
              <w:tab/>
            </w:r>
            <w:r w:rsidRPr="00091074">
              <w:rPr>
                <w:rStyle w:val="Hyperlink"/>
                <w:lang w:eastAsia="en-US"/>
              </w:rPr>
              <w:t>STRANDED COSTS</w:t>
            </w:r>
            <w:r>
              <w:rPr>
                <w:webHidden/>
              </w:rPr>
              <w:tab/>
            </w:r>
            <w:r>
              <w:rPr>
                <w:webHidden/>
              </w:rPr>
              <w:fldChar w:fldCharType="begin"/>
            </w:r>
            <w:r>
              <w:rPr>
                <w:webHidden/>
              </w:rPr>
              <w:instrText xml:space="preserve"> PAGEREF _Toc385936097 \h </w:instrText>
            </w:r>
            <w:r>
              <w:rPr>
                <w:webHidden/>
              </w:rPr>
            </w:r>
            <w:r>
              <w:rPr>
                <w:webHidden/>
              </w:rPr>
              <w:fldChar w:fldCharType="separate"/>
            </w:r>
            <w:r>
              <w:rPr>
                <w:webHidden/>
              </w:rPr>
              <w:t>14</w:t>
            </w:r>
            <w:r>
              <w:rPr>
                <w:webHidden/>
              </w:rPr>
              <w:fldChar w:fldCharType="end"/>
            </w:r>
          </w:hyperlink>
        </w:p>
        <w:p w:rsidR="00AC5355" w:rsidRDefault="00AC5355">
          <w:pPr>
            <w:pStyle w:val="TOC1"/>
            <w:rPr>
              <w:rFonts w:asciiTheme="minorHAnsi" w:eastAsiaTheme="minorEastAsia" w:hAnsiTheme="minorHAnsi" w:cstheme="minorBidi"/>
              <w:color w:val="auto"/>
              <w:sz w:val="22"/>
              <w:szCs w:val="22"/>
              <w:lang w:eastAsia="en-US"/>
            </w:rPr>
          </w:pPr>
          <w:hyperlink w:anchor="_Toc385936098" w:history="1">
            <w:r w:rsidRPr="00091074">
              <w:rPr>
                <w:rStyle w:val="Hyperlink"/>
                <w:lang w:eastAsia="en-US"/>
              </w:rPr>
              <w:t>IV.</w:t>
            </w:r>
            <w:r>
              <w:rPr>
                <w:rFonts w:asciiTheme="minorHAnsi" w:eastAsiaTheme="minorEastAsia" w:hAnsiTheme="minorHAnsi" w:cstheme="minorBidi"/>
                <w:color w:val="auto"/>
                <w:sz w:val="22"/>
                <w:szCs w:val="22"/>
                <w:lang w:eastAsia="en-US"/>
              </w:rPr>
              <w:tab/>
            </w:r>
            <w:r w:rsidRPr="00091074">
              <w:rPr>
                <w:rStyle w:val="Hyperlink"/>
                <w:lang w:eastAsia="en-US"/>
              </w:rPr>
              <w:t>MUNICIPALIZATIONS</w:t>
            </w:r>
            <w:r>
              <w:rPr>
                <w:webHidden/>
              </w:rPr>
              <w:tab/>
            </w:r>
            <w:r>
              <w:rPr>
                <w:webHidden/>
              </w:rPr>
              <w:fldChar w:fldCharType="begin"/>
            </w:r>
            <w:r>
              <w:rPr>
                <w:webHidden/>
              </w:rPr>
              <w:instrText xml:space="preserve"> PAGEREF _Toc385936098 \h </w:instrText>
            </w:r>
            <w:r>
              <w:rPr>
                <w:webHidden/>
              </w:rPr>
            </w:r>
            <w:r>
              <w:rPr>
                <w:webHidden/>
              </w:rPr>
              <w:fldChar w:fldCharType="separate"/>
            </w:r>
            <w:r>
              <w:rPr>
                <w:webHidden/>
              </w:rPr>
              <w:t>16</w:t>
            </w:r>
            <w:r>
              <w:rPr>
                <w:webHidden/>
              </w:rPr>
              <w:fldChar w:fldCharType="end"/>
            </w:r>
          </w:hyperlink>
        </w:p>
        <w:p w:rsidR="00AC5355" w:rsidRDefault="00AC5355">
          <w:pPr>
            <w:pStyle w:val="TOC1"/>
            <w:rPr>
              <w:rFonts w:asciiTheme="minorHAnsi" w:eastAsiaTheme="minorEastAsia" w:hAnsiTheme="minorHAnsi" w:cstheme="minorBidi"/>
              <w:color w:val="auto"/>
              <w:sz w:val="22"/>
              <w:szCs w:val="22"/>
              <w:lang w:eastAsia="en-US"/>
            </w:rPr>
          </w:pPr>
          <w:hyperlink w:anchor="_Toc385936099" w:history="1">
            <w:r w:rsidRPr="00091074">
              <w:rPr>
                <w:rStyle w:val="Hyperlink"/>
                <w:lang w:eastAsia="en-US"/>
              </w:rPr>
              <w:t>V.</w:t>
            </w:r>
            <w:r>
              <w:rPr>
                <w:rFonts w:asciiTheme="minorHAnsi" w:eastAsiaTheme="minorEastAsia" w:hAnsiTheme="minorHAnsi" w:cstheme="minorBidi"/>
                <w:color w:val="auto"/>
                <w:sz w:val="22"/>
                <w:szCs w:val="22"/>
                <w:lang w:eastAsia="en-US"/>
              </w:rPr>
              <w:tab/>
            </w:r>
            <w:r w:rsidRPr="00091074">
              <w:rPr>
                <w:rStyle w:val="Hyperlink"/>
                <w:lang w:eastAsia="en-US"/>
              </w:rPr>
              <w:t>CONCLUSIONS AND RECOMMENDATIONS</w:t>
            </w:r>
            <w:r>
              <w:rPr>
                <w:webHidden/>
              </w:rPr>
              <w:tab/>
            </w:r>
            <w:r>
              <w:rPr>
                <w:webHidden/>
              </w:rPr>
              <w:fldChar w:fldCharType="begin"/>
            </w:r>
            <w:r>
              <w:rPr>
                <w:webHidden/>
              </w:rPr>
              <w:instrText xml:space="preserve"> PAGEREF _Toc385936099 \h </w:instrText>
            </w:r>
            <w:r>
              <w:rPr>
                <w:webHidden/>
              </w:rPr>
            </w:r>
            <w:r>
              <w:rPr>
                <w:webHidden/>
              </w:rPr>
              <w:fldChar w:fldCharType="separate"/>
            </w:r>
            <w:r>
              <w:rPr>
                <w:webHidden/>
              </w:rPr>
              <w:t>18</w:t>
            </w:r>
            <w:r>
              <w:rPr>
                <w:webHidden/>
              </w:rPr>
              <w:fldChar w:fldCharType="end"/>
            </w:r>
          </w:hyperlink>
        </w:p>
        <w:p w:rsidR="001B0B4C" w:rsidRPr="009C61A7" w:rsidRDefault="001B0B4C" w:rsidP="009C61A7">
          <w:pPr>
            <w:sectPr w:rsidR="001B0B4C" w:rsidRPr="009C61A7" w:rsidSect="00B4062B">
              <w:footerReference w:type="default" r:id="rId12"/>
              <w:footerReference w:type="first" r:id="rId13"/>
              <w:pgSz w:w="12240" w:h="15840" w:code="1"/>
              <w:pgMar w:top="1440" w:right="1440" w:bottom="1440" w:left="2160" w:header="864" w:footer="576" w:gutter="0"/>
              <w:pgNumType w:start="1"/>
              <w:cols w:space="720"/>
              <w:docGrid w:linePitch="360"/>
            </w:sectPr>
          </w:pPr>
          <w:r w:rsidRPr="006234EB">
            <w:rPr>
              <w:b/>
              <w:bCs/>
              <w:noProof/>
            </w:rPr>
            <w:fldChar w:fldCharType="end"/>
          </w:r>
        </w:p>
      </w:sdtContent>
    </w:sdt>
    <w:p w:rsidR="001B0B4C" w:rsidRPr="00467975" w:rsidRDefault="001B0B4C" w:rsidP="001B0B4C">
      <w:pPr>
        <w:keepNext/>
        <w:keepLines/>
        <w:spacing w:before="240" w:after="360" w:line="240" w:lineRule="auto"/>
        <w:ind w:left="547" w:right="547" w:firstLine="0"/>
        <w:jc w:val="center"/>
        <w:rPr>
          <w:b/>
          <w:bCs/>
          <w:szCs w:val="24"/>
        </w:rPr>
      </w:pPr>
      <w:r w:rsidRPr="00467975">
        <w:rPr>
          <w:b/>
          <w:bCs/>
          <w:szCs w:val="24"/>
        </w:rPr>
        <w:lastRenderedPageBreak/>
        <w:t>PUGET SOUND ENERGY, INC.</w:t>
      </w:r>
    </w:p>
    <w:p w:rsidR="001B0B4C" w:rsidRPr="009075DC" w:rsidRDefault="001B0B4C" w:rsidP="001B0B4C">
      <w:pPr>
        <w:keepNext/>
        <w:keepLines/>
        <w:spacing w:before="240" w:after="360" w:line="240" w:lineRule="auto"/>
        <w:ind w:left="547" w:right="547" w:firstLine="0"/>
        <w:jc w:val="center"/>
        <w:rPr>
          <w:b/>
          <w:bCs/>
          <w:szCs w:val="24"/>
        </w:rPr>
      </w:pPr>
      <w:r w:rsidRPr="00467975">
        <w:rPr>
          <w:b/>
          <w:bCs/>
          <w:szCs w:val="24"/>
        </w:rPr>
        <w:t xml:space="preserve">PREFILED </w:t>
      </w:r>
      <w:r w:rsidR="00FB7ECD">
        <w:rPr>
          <w:b/>
          <w:bCs/>
          <w:szCs w:val="24"/>
        </w:rPr>
        <w:t>REBUTTAL</w:t>
      </w:r>
      <w:r w:rsidRPr="00467975">
        <w:rPr>
          <w:b/>
          <w:bCs/>
          <w:szCs w:val="24"/>
        </w:rPr>
        <w:t xml:space="preserve"> TESTIMONY </w:t>
      </w:r>
      <w:r>
        <w:rPr>
          <w:b/>
          <w:bCs/>
          <w:szCs w:val="24"/>
        </w:rPr>
        <w:t xml:space="preserve">(NONCONFIDENTIAL) </w:t>
      </w:r>
      <w:r w:rsidRPr="00467975">
        <w:rPr>
          <w:b/>
          <w:bCs/>
          <w:szCs w:val="24"/>
        </w:rPr>
        <w:t>OF</w:t>
      </w:r>
      <w:r>
        <w:rPr>
          <w:b/>
          <w:bCs/>
          <w:szCs w:val="24"/>
        </w:rPr>
        <w:br/>
      </w:r>
      <w:r>
        <w:rPr>
          <w:b/>
          <w:bCs/>
          <w:szCs w:val="24"/>
        </w:rPr>
        <w:br/>
      </w:r>
      <w:r w:rsidR="001B3DDF">
        <w:rPr>
          <w:b/>
          <w:bCs/>
          <w:szCs w:val="24"/>
        </w:rPr>
        <w:t>ROBERT C. BELLEMARE</w:t>
      </w:r>
    </w:p>
    <w:p w:rsidR="004610AC" w:rsidRPr="009075DC" w:rsidRDefault="004610AC" w:rsidP="006E0E79">
      <w:pPr>
        <w:pStyle w:val="Heading1"/>
        <w:spacing w:after="360" w:line="240" w:lineRule="auto"/>
        <w:rPr>
          <w:rFonts w:eastAsia="SimSun"/>
        </w:rPr>
      </w:pPr>
      <w:bookmarkStart w:id="4" w:name="_Toc370909491"/>
      <w:bookmarkStart w:id="5" w:name="_Toc385936095"/>
      <w:r w:rsidRPr="009075DC">
        <w:rPr>
          <w:rFonts w:eastAsia="SimSun"/>
        </w:rPr>
        <w:t>I.</w:t>
      </w:r>
      <w:r w:rsidRPr="009075DC">
        <w:rPr>
          <w:rFonts w:eastAsia="SimSun"/>
        </w:rPr>
        <w:tab/>
        <w:t>INTRODUCTION</w:t>
      </w:r>
      <w:bookmarkEnd w:id="0"/>
      <w:bookmarkEnd w:id="1"/>
      <w:bookmarkEnd w:id="2"/>
      <w:bookmarkEnd w:id="4"/>
      <w:bookmarkEnd w:id="5"/>
    </w:p>
    <w:p w:rsidR="004610AC" w:rsidRPr="009075DC" w:rsidRDefault="004610AC" w:rsidP="00802BCB">
      <w:pPr>
        <w:pStyle w:val="question"/>
        <w:widowControl w:val="0"/>
      </w:pPr>
      <w:r w:rsidRPr="009075DC">
        <w:rPr>
          <w:rFonts w:eastAsia="SimSun"/>
        </w:rPr>
        <w:t>Q.</w:t>
      </w:r>
      <w:r w:rsidRPr="009075DC">
        <w:rPr>
          <w:rFonts w:eastAsia="SimSun"/>
        </w:rPr>
        <w:tab/>
        <w:t>Please state your name</w:t>
      </w:r>
      <w:r w:rsidR="00397630">
        <w:rPr>
          <w:rFonts w:eastAsia="SimSun"/>
        </w:rPr>
        <w:t>, title,</w:t>
      </w:r>
      <w:r w:rsidRPr="009075DC">
        <w:rPr>
          <w:rFonts w:eastAsia="SimSun"/>
        </w:rPr>
        <w:t xml:space="preserve"> and business address.</w:t>
      </w:r>
    </w:p>
    <w:p w:rsidR="004610AC" w:rsidRPr="009075DC" w:rsidRDefault="004610AC" w:rsidP="00802BCB">
      <w:pPr>
        <w:pStyle w:val="answer"/>
        <w:widowControl w:val="0"/>
        <w:rPr>
          <w:rFonts w:eastAsia="SimSun"/>
        </w:rPr>
      </w:pPr>
      <w:r w:rsidRPr="009075DC">
        <w:rPr>
          <w:rFonts w:eastAsia="SimSun"/>
        </w:rPr>
        <w:t>A.</w:t>
      </w:r>
      <w:r w:rsidRPr="009075DC">
        <w:rPr>
          <w:rFonts w:eastAsia="SimSun"/>
        </w:rPr>
        <w:tab/>
        <w:t xml:space="preserve">My name is </w:t>
      </w:r>
      <w:r w:rsidR="001B3DDF">
        <w:rPr>
          <w:rFonts w:eastAsia="SimSun"/>
        </w:rPr>
        <w:t>Robert C. Bellemare</w:t>
      </w:r>
      <w:r w:rsidRPr="009075DC">
        <w:rPr>
          <w:rFonts w:eastAsia="SimSun"/>
        </w:rPr>
        <w:t xml:space="preserve">.  I am employed as </w:t>
      </w:r>
      <w:r w:rsidR="001B3DDF">
        <w:rPr>
          <w:rFonts w:eastAsia="SimSun"/>
        </w:rPr>
        <w:t xml:space="preserve">Chief Operating Officer of </w:t>
      </w:r>
      <w:proofErr w:type="spellStart"/>
      <w:r w:rsidR="001B3DDF">
        <w:rPr>
          <w:rFonts w:eastAsia="SimSun"/>
        </w:rPr>
        <w:t>Mykrobel</w:t>
      </w:r>
      <w:proofErr w:type="spellEnd"/>
      <w:r w:rsidR="001B3DDF">
        <w:rPr>
          <w:rFonts w:eastAsia="SimSun"/>
        </w:rPr>
        <w:t xml:space="preserve"> LLC</w:t>
      </w:r>
      <w:r w:rsidR="007D5BD2">
        <w:rPr>
          <w:rFonts w:eastAsia="SimSun"/>
        </w:rPr>
        <w:t>,</w:t>
      </w:r>
      <w:r w:rsidR="007D5BD2" w:rsidRPr="007D5BD2">
        <w:t xml:space="preserve"> </w:t>
      </w:r>
      <w:r w:rsidR="007D5BD2" w:rsidRPr="007D5BD2">
        <w:rPr>
          <w:rFonts w:eastAsia="SimSun"/>
        </w:rPr>
        <w:t>a consulting firm that focuses on utility related issues including asset and business valuation</w:t>
      </w:r>
      <w:r w:rsidRPr="009075DC">
        <w:rPr>
          <w:rFonts w:eastAsia="SimSun"/>
        </w:rPr>
        <w:t xml:space="preserve">.  My business address is </w:t>
      </w:r>
      <w:r w:rsidR="001B3DDF" w:rsidRPr="001B3DDF">
        <w:rPr>
          <w:rFonts w:eastAsia="SimSun"/>
        </w:rPr>
        <w:t>40 Sandia Haven Dr</w:t>
      </w:r>
      <w:r w:rsidR="001B3DDF">
        <w:rPr>
          <w:rFonts w:eastAsia="SimSun"/>
        </w:rPr>
        <w:t>ive,</w:t>
      </w:r>
      <w:r w:rsidR="001B3DDF" w:rsidRPr="001B3DDF">
        <w:rPr>
          <w:rFonts w:eastAsia="SimSun"/>
        </w:rPr>
        <w:t xml:space="preserve"> Cedar Crest, N</w:t>
      </w:r>
      <w:r w:rsidR="00CC2232">
        <w:rPr>
          <w:rFonts w:eastAsia="SimSun"/>
        </w:rPr>
        <w:t xml:space="preserve">ew </w:t>
      </w:r>
      <w:r w:rsidR="001B3DDF" w:rsidRPr="001B3DDF">
        <w:rPr>
          <w:rFonts w:eastAsia="SimSun"/>
        </w:rPr>
        <w:t>M</w:t>
      </w:r>
      <w:r w:rsidR="00CC2232">
        <w:rPr>
          <w:rFonts w:eastAsia="SimSun"/>
        </w:rPr>
        <w:t>exico,</w:t>
      </w:r>
      <w:r w:rsidR="001B3DDF" w:rsidRPr="001B3DDF">
        <w:rPr>
          <w:rFonts w:eastAsia="SimSun"/>
        </w:rPr>
        <w:t xml:space="preserve"> 87008</w:t>
      </w:r>
      <w:r w:rsidRPr="009075DC">
        <w:rPr>
          <w:rFonts w:eastAsia="SimSun"/>
        </w:rPr>
        <w:t>.</w:t>
      </w:r>
    </w:p>
    <w:p w:rsidR="004610AC" w:rsidRPr="009075DC" w:rsidRDefault="004610AC" w:rsidP="00802BCB">
      <w:pPr>
        <w:pStyle w:val="question"/>
        <w:widowControl w:val="0"/>
      </w:pPr>
      <w:r w:rsidRPr="009075DC">
        <w:rPr>
          <w:rFonts w:eastAsia="SimSun"/>
        </w:rPr>
        <w:t>Q.</w:t>
      </w:r>
      <w:r w:rsidRPr="009075DC">
        <w:rPr>
          <w:rFonts w:eastAsia="SimSun"/>
        </w:rPr>
        <w:tab/>
      </w:r>
      <w:r w:rsidR="001B3DDF">
        <w:rPr>
          <w:rFonts w:eastAsia="SimSun"/>
        </w:rPr>
        <w:t>Have you provided an exhibit describing your professional qualifications</w:t>
      </w:r>
      <w:r w:rsidRPr="009075DC">
        <w:rPr>
          <w:rFonts w:eastAsia="SimSun"/>
        </w:rPr>
        <w:t>?</w:t>
      </w:r>
    </w:p>
    <w:p w:rsidR="004610AC" w:rsidRDefault="004610AC" w:rsidP="00802BCB">
      <w:pPr>
        <w:pStyle w:val="answer"/>
        <w:widowControl w:val="0"/>
        <w:rPr>
          <w:rFonts w:eastAsia="SimSun"/>
        </w:rPr>
      </w:pPr>
      <w:r w:rsidRPr="009075DC">
        <w:rPr>
          <w:rFonts w:eastAsia="SimSun"/>
        </w:rPr>
        <w:t>A.</w:t>
      </w:r>
      <w:r w:rsidRPr="009075DC">
        <w:rPr>
          <w:rFonts w:eastAsia="SimSun"/>
        </w:rPr>
        <w:tab/>
        <w:t xml:space="preserve">Yes, </w:t>
      </w:r>
      <w:r w:rsidR="00FB7ECD">
        <w:rPr>
          <w:rFonts w:eastAsia="SimSun"/>
        </w:rPr>
        <w:t xml:space="preserve">I </w:t>
      </w:r>
      <w:r w:rsidR="001B3DDF">
        <w:rPr>
          <w:rFonts w:eastAsia="SimSun"/>
        </w:rPr>
        <w:t>have</w:t>
      </w:r>
      <w:r w:rsidRPr="009075DC">
        <w:rPr>
          <w:rFonts w:eastAsia="SimSun"/>
        </w:rPr>
        <w:t xml:space="preserve">.  </w:t>
      </w:r>
      <w:r w:rsidR="001B3DDF">
        <w:rPr>
          <w:rFonts w:eastAsia="SimSun"/>
        </w:rPr>
        <w:t xml:space="preserve">It is Exhibit No. ___(RCB-2).  </w:t>
      </w:r>
      <w:r w:rsidR="007D5BD2" w:rsidRPr="007D5BD2">
        <w:rPr>
          <w:rFonts w:eastAsia="SimSun"/>
        </w:rPr>
        <w:t xml:space="preserve">Key to this testimony are my credentials as a Certified Business Appraiser (CBA), Certified Valuation Analyst (CVA), Licensed Professional Engineer in the states of Oklahoma and </w:t>
      </w:r>
      <w:r w:rsidR="00F1128D">
        <w:rPr>
          <w:rFonts w:eastAsia="SimSun"/>
        </w:rPr>
        <w:t xml:space="preserve">Texas, and </w:t>
      </w:r>
      <w:r w:rsidR="00CD1C4F">
        <w:rPr>
          <w:rFonts w:eastAsia="SimSun"/>
        </w:rPr>
        <w:t xml:space="preserve">I </w:t>
      </w:r>
      <w:r w:rsidR="00F1128D">
        <w:rPr>
          <w:rFonts w:eastAsia="SimSun"/>
        </w:rPr>
        <w:t>have nearly 30 years</w:t>
      </w:r>
      <w:r w:rsidR="00F1128D" w:rsidRPr="007D5BD2">
        <w:rPr>
          <w:rFonts w:eastAsia="SimSun"/>
        </w:rPr>
        <w:t>’ experience</w:t>
      </w:r>
      <w:r w:rsidR="007D5BD2" w:rsidRPr="007D5BD2">
        <w:rPr>
          <w:rFonts w:eastAsia="SimSun"/>
        </w:rPr>
        <w:t xml:space="preserve"> in the electric utility industry in a variety of engineering, operations, management, and consulting roles.  </w:t>
      </w:r>
    </w:p>
    <w:p w:rsidR="007D5BD2" w:rsidRDefault="007D5BD2" w:rsidP="009F2B27">
      <w:pPr>
        <w:pStyle w:val="question"/>
        <w:rPr>
          <w:rFonts w:eastAsia="SimSun"/>
        </w:rPr>
      </w:pPr>
      <w:r w:rsidRPr="007D5BD2">
        <w:rPr>
          <w:rFonts w:eastAsia="SimSun"/>
        </w:rPr>
        <w:t>Q</w:t>
      </w:r>
      <w:r w:rsidR="004F3586">
        <w:rPr>
          <w:rFonts w:eastAsia="SimSun"/>
        </w:rPr>
        <w:t>.</w:t>
      </w:r>
      <w:r w:rsidRPr="007D5BD2">
        <w:rPr>
          <w:rFonts w:eastAsia="SimSun"/>
        </w:rPr>
        <w:tab/>
        <w:t>On whose behalf are you testifying?</w:t>
      </w:r>
    </w:p>
    <w:p w:rsidR="007D5BD2" w:rsidRPr="009075DC" w:rsidRDefault="007D5BD2" w:rsidP="009F2B27">
      <w:pPr>
        <w:pStyle w:val="Answer0"/>
        <w:rPr>
          <w:rFonts w:eastAsia="SimSun"/>
        </w:rPr>
      </w:pPr>
      <w:r w:rsidRPr="007D5BD2">
        <w:rPr>
          <w:rFonts w:eastAsia="SimSun"/>
        </w:rPr>
        <w:t>A</w:t>
      </w:r>
      <w:r w:rsidR="004F3586">
        <w:rPr>
          <w:rFonts w:eastAsia="SimSun"/>
        </w:rPr>
        <w:t>.</w:t>
      </w:r>
      <w:r w:rsidRPr="007D5BD2">
        <w:rPr>
          <w:rFonts w:eastAsia="SimSun"/>
        </w:rPr>
        <w:tab/>
      </w:r>
      <w:r w:rsidR="00F40C3A" w:rsidRPr="007D5BD2">
        <w:rPr>
          <w:rFonts w:eastAsia="SimSun"/>
        </w:rPr>
        <w:t xml:space="preserve">I am testifying on behalf of </w:t>
      </w:r>
      <w:r w:rsidR="00F1128D">
        <w:rPr>
          <w:rFonts w:eastAsia="SimSun"/>
        </w:rPr>
        <w:t>Puget Sound Energy, Inc. (“PSE”) i</w:t>
      </w:r>
      <w:r w:rsidR="00F40C3A" w:rsidRPr="007D5BD2">
        <w:rPr>
          <w:rFonts w:eastAsia="SimSun"/>
        </w:rPr>
        <w:t>n this proceeding.</w:t>
      </w:r>
      <w:r w:rsidR="00F40C3A">
        <w:rPr>
          <w:rFonts w:eastAsia="SimSun"/>
        </w:rPr>
        <w:t xml:space="preserve"> </w:t>
      </w:r>
      <w:r w:rsidR="00F1128D">
        <w:rPr>
          <w:rFonts w:eastAsia="SimSun"/>
        </w:rPr>
        <w:t>I</w:t>
      </w:r>
      <w:r w:rsidR="00F40C3A">
        <w:rPr>
          <w:rFonts w:eastAsia="SimSun"/>
        </w:rPr>
        <w:t xml:space="preserve"> </w:t>
      </w:r>
      <w:r w:rsidRPr="007D5BD2">
        <w:rPr>
          <w:rFonts w:eastAsia="SimSun"/>
        </w:rPr>
        <w:t xml:space="preserve">have been retained by </w:t>
      </w:r>
      <w:r w:rsidR="00F1128D">
        <w:rPr>
          <w:rFonts w:eastAsia="SimSun"/>
        </w:rPr>
        <w:t>PSE</w:t>
      </w:r>
      <w:r w:rsidRPr="007D5BD2">
        <w:rPr>
          <w:rFonts w:eastAsia="SimSun"/>
        </w:rPr>
        <w:t xml:space="preserve"> to review and respond to testimony submitted by </w:t>
      </w:r>
      <w:r w:rsidRPr="00232465">
        <w:rPr>
          <w:rFonts w:eastAsia="SimSun"/>
        </w:rPr>
        <w:t>WUTC Staff</w:t>
      </w:r>
      <w:r w:rsidR="00F1128D">
        <w:rPr>
          <w:rFonts w:eastAsia="SimSun"/>
        </w:rPr>
        <w:t xml:space="preserve"> (“Staff”)</w:t>
      </w:r>
      <w:r w:rsidRPr="00232465">
        <w:rPr>
          <w:rFonts w:eastAsia="SimSun"/>
        </w:rPr>
        <w:t xml:space="preserve">, Public Counsel, and </w:t>
      </w:r>
      <w:r w:rsidR="00232465" w:rsidRPr="00232465">
        <w:rPr>
          <w:rFonts w:eastAsia="SimSun"/>
        </w:rPr>
        <w:t>Industrial Customers of Northwest Utilities (“</w:t>
      </w:r>
      <w:r w:rsidRPr="00232465">
        <w:rPr>
          <w:rFonts w:eastAsia="SimSun"/>
        </w:rPr>
        <w:t>ICNU</w:t>
      </w:r>
      <w:r w:rsidR="00232465" w:rsidRPr="00232465">
        <w:rPr>
          <w:rFonts w:eastAsia="SimSun"/>
        </w:rPr>
        <w:t>”)</w:t>
      </w:r>
      <w:r w:rsidRPr="007D5BD2">
        <w:rPr>
          <w:rFonts w:eastAsia="SimSun"/>
        </w:rPr>
        <w:t xml:space="preserve"> in connection with PSE’s Petition for an Accounting </w:t>
      </w:r>
      <w:r w:rsidR="00CD1C4F">
        <w:rPr>
          <w:rFonts w:eastAsia="SimSun"/>
        </w:rPr>
        <w:t>O</w:t>
      </w:r>
      <w:r w:rsidR="00CD1C4F" w:rsidRPr="007D5BD2">
        <w:rPr>
          <w:rFonts w:eastAsia="SimSun"/>
        </w:rPr>
        <w:t xml:space="preserve">rder </w:t>
      </w:r>
      <w:r w:rsidRPr="007D5BD2">
        <w:rPr>
          <w:rFonts w:eastAsia="SimSun"/>
        </w:rPr>
        <w:t xml:space="preserve">Approving the Allocation of Proceeds of the Sale of Certain Assets to the Public </w:t>
      </w:r>
      <w:r w:rsidRPr="007D5BD2">
        <w:rPr>
          <w:rFonts w:eastAsia="SimSun"/>
        </w:rPr>
        <w:lastRenderedPageBreak/>
        <w:t xml:space="preserve">Utility </w:t>
      </w:r>
      <w:r w:rsidR="00F1128D">
        <w:rPr>
          <w:rFonts w:eastAsia="SimSun"/>
        </w:rPr>
        <w:t>District #1 of Jefferson County</w:t>
      </w:r>
      <w:r w:rsidRPr="00232465">
        <w:rPr>
          <w:rFonts w:eastAsia="SimSun"/>
        </w:rPr>
        <w:t>, Docket No.UE-132027</w:t>
      </w:r>
      <w:r w:rsidRPr="007D5BD2">
        <w:rPr>
          <w:rFonts w:eastAsia="SimSun"/>
        </w:rPr>
        <w:t xml:space="preserve">.  I was also employed by PSE in 2008 to </w:t>
      </w:r>
      <w:r w:rsidR="00E017A0" w:rsidRPr="007D5BD2">
        <w:rPr>
          <w:rFonts w:eastAsia="SimSun"/>
        </w:rPr>
        <w:t>20</w:t>
      </w:r>
      <w:r w:rsidR="00E017A0">
        <w:rPr>
          <w:rFonts w:eastAsia="SimSun"/>
        </w:rPr>
        <w:t>11</w:t>
      </w:r>
      <w:r w:rsidR="00E017A0" w:rsidRPr="007D5BD2">
        <w:rPr>
          <w:rFonts w:eastAsia="SimSun"/>
        </w:rPr>
        <w:t xml:space="preserve"> </w:t>
      </w:r>
      <w:r w:rsidRPr="007D5BD2">
        <w:rPr>
          <w:rFonts w:eastAsia="SimSun"/>
        </w:rPr>
        <w:t xml:space="preserve">as a consultant in connection with Jefferson County’s attempt to forcibly acquire </w:t>
      </w:r>
      <w:r w:rsidR="00CD1C4F">
        <w:rPr>
          <w:rFonts w:eastAsia="SimSun"/>
        </w:rPr>
        <w:t xml:space="preserve">PSE’s </w:t>
      </w:r>
      <w:r w:rsidRPr="007D5BD2">
        <w:rPr>
          <w:rFonts w:eastAsia="SimSun"/>
        </w:rPr>
        <w:t xml:space="preserve">Jefferson County service territory by Public Utility District #1 of Jefferson County (“JPUD”).  In my then role as Chief Operating Officer of </w:t>
      </w:r>
      <w:proofErr w:type="spellStart"/>
      <w:r w:rsidRPr="007D5BD2">
        <w:rPr>
          <w:rFonts w:eastAsia="SimSun"/>
        </w:rPr>
        <w:t>UtiliPoint</w:t>
      </w:r>
      <w:proofErr w:type="spellEnd"/>
      <w:r w:rsidRPr="007D5BD2">
        <w:rPr>
          <w:rFonts w:eastAsia="SimSun"/>
        </w:rPr>
        <w:t xml:space="preserve"> International, Inc., I was the primary author of a 2008 report entitled </w:t>
      </w:r>
      <w:r w:rsidR="00B73CCD" w:rsidRPr="007D5BD2">
        <w:rPr>
          <w:rFonts w:eastAsia="SimSun"/>
        </w:rPr>
        <w:t>“Feasibility Considerations For The Proposed Government Takeover Of Puget Sound Energy’s Electric Utility Business Within Jefferson County”</w:t>
      </w:r>
      <w:r w:rsidR="00F1128D">
        <w:rPr>
          <w:rFonts w:eastAsia="SimSun"/>
        </w:rPr>
        <w:t>,</w:t>
      </w:r>
      <w:r w:rsidR="00B73CCD" w:rsidRPr="007D5BD2">
        <w:rPr>
          <w:rFonts w:eastAsia="SimSun"/>
        </w:rPr>
        <w:t xml:space="preserve"> </w:t>
      </w:r>
      <w:r w:rsidRPr="007D5BD2">
        <w:rPr>
          <w:rFonts w:eastAsia="SimSun"/>
        </w:rPr>
        <w:t>referred to in this testimony as the “</w:t>
      </w:r>
      <w:proofErr w:type="spellStart"/>
      <w:r w:rsidRPr="007D5BD2">
        <w:rPr>
          <w:rFonts w:eastAsia="SimSun"/>
        </w:rPr>
        <w:t>UtiliPoint</w:t>
      </w:r>
      <w:proofErr w:type="spellEnd"/>
      <w:r w:rsidRPr="007D5BD2">
        <w:rPr>
          <w:rFonts w:eastAsia="SimSun"/>
        </w:rPr>
        <w:t xml:space="preserve"> Report”</w:t>
      </w:r>
      <w:r w:rsidR="00B73CCD">
        <w:rPr>
          <w:rFonts w:eastAsia="SimSun"/>
        </w:rPr>
        <w:t>.</w:t>
      </w:r>
      <w:r w:rsidRPr="007D5BD2">
        <w:rPr>
          <w:rFonts w:eastAsia="SimSun"/>
        </w:rPr>
        <w:t xml:space="preserve">  </w:t>
      </w:r>
    </w:p>
    <w:p w:rsidR="004610AC" w:rsidRPr="00CC2232" w:rsidRDefault="004610AC" w:rsidP="00CC2232">
      <w:pPr>
        <w:pStyle w:val="question"/>
      </w:pPr>
      <w:r w:rsidRPr="00CC2232">
        <w:rPr>
          <w:rFonts w:eastAsia="SimSun"/>
        </w:rPr>
        <w:t>Q.</w:t>
      </w:r>
      <w:r w:rsidRPr="00CC2232">
        <w:rPr>
          <w:rFonts w:eastAsia="SimSun"/>
        </w:rPr>
        <w:tab/>
        <w:t xml:space="preserve">What is the purpose of your </w:t>
      </w:r>
      <w:r w:rsidR="00FB7ECD" w:rsidRPr="00CC2232">
        <w:rPr>
          <w:rFonts w:eastAsia="SimSun"/>
        </w:rPr>
        <w:t xml:space="preserve">rebuttal </w:t>
      </w:r>
      <w:r w:rsidRPr="00CC2232">
        <w:rPr>
          <w:rFonts w:eastAsia="SimSun"/>
        </w:rPr>
        <w:t>testimony?</w:t>
      </w:r>
    </w:p>
    <w:p w:rsidR="004610AC" w:rsidRDefault="004610AC" w:rsidP="00CC2232">
      <w:pPr>
        <w:pStyle w:val="Answer0"/>
        <w:widowControl w:val="0"/>
        <w:rPr>
          <w:rFonts w:eastAsia="SimSun"/>
        </w:rPr>
      </w:pPr>
      <w:r w:rsidRPr="009075DC">
        <w:rPr>
          <w:rFonts w:eastAsia="SimSun"/>
        </w:rPr>
        <w:t>A.</w:t>
      </w:r>
      <w:r w:rsidRPr="009075DC">
        <w:rPr>
          <w:rFonts w:eastAsia="SimSun"/>
        </w:rPr>
        <w:tab/>
      </w:r>
      <w:r w:rsidR="00311A39">
        <w:rPr>
          <w:rFonts w:eastAsia="SimSun"/>
        </w:rPr>
        <w:t xml:space="preserve">My </w:t>
      </w:r>
      <w:r w:rsidR="00FB7ECD">
        <w:rPr>
          <w:rFonts w:eastAsia="SimSun"/>
        </w:rPr>
        <w:t xml:space="preserve">rebuttal </w:t>
      </w:r>
      <w:r w:rsidR="00311A39">
        <w:rPr>
          <w:rFonts w:eastAsia="SimSun"/>
        </w:rPr>
        <w:t xml:space="preserve">testimony </w:t>
      </w:r>
      <w:r w:rsidR="00FB7ECD">
        <w:rPr>
          <w:rFonts w:eastAsia="SimSun"/>
        </w:rPr>
        <w:t xml:space="preserve">responds to the testimony of </w:t>
      </w:r>
      <w:r w:rsidR="007D5BD2" w:rsidRPr="007D5BD2">
        <w:rPr>
          <w:rFonts w:eastAsia="SimSun"/>
        </w:rPr>
        <w:t>Edward J. Keating, James R. Dittmer, and Michael P. Gorman</w:t>
      </w:r>
      <w:r w:rsidR="007D5BD2">
        <w:rPr>
          <w:rFonts w:eastAsia="SimSun"/>
        </w:rPr>
        <w:t xml:space="preserve"> submitted on behalf of Staff, </w:t>
      </w:r>
      <w:r w:rsidR="008F1D6D">
        <w:rPr>
          <w:rFonts w:eastAsia="SimSun"/>
        </w:rPr>
        <w:t xml:space="preserve">Public Counsel, and </w:t>
      </w:r>
      <w:r w:rsidR="007D5BD2">
        <w:rPr>
          <w:rFonts w:eastAsia="SimSun"/>
        </w:rPr>
        <w:t xml:space="preserve">ICNU, respectively.  </w:t>
      </w:r>
      <w:r w:rsidR="00553AA0">
        <w:rPr>
          <w:rFonts w:eastAsia="SimSun"/>
        </w:rPr>
        <w:t xml:space="preserve">Each of the allocations of proceeds </w:t>
      </w:r>
      <w:r w:rsidR="00553AA0" w:rsidRPr="007D5BD2">
        <w:rPr>
          <w:rFonts w:eastAsia="SimSun"/>
        </w:rPr>
        <w:t>from the sale of assets and PSE’s lost service area in Jefferson County</w:t>
      </w:r>
      <w:r w:rsidR="00553AA0">
        <w:rPr>
          <w:rFonts w:eastAsia="SimSun"/>
        </w:rPr>
        <w:t xml:space="preserve"> proposed by </w:t>
      </w:r>
      <w:r w:rsidR="00F1128D">
        <w:rPr>
          <w:rFonts w:eastAsia="SimSun"/>
        </w:rPr>
        <w:t>these parties</w:t>
      </w:r>
      <w:r w:rsidR="007D5BD2">
        <w:rPr>
          <w:rFonts w:eastAsia="SimSun"/>
        </w:rPr>
        <w:t xml:space="preserve"> </w:t>
      </w:r>
      <w:r w:rsidR="007D5BD2" w:rsidRPr="007D5BD2">
        <w:rPr>
          <w:rFonts w:eastAsia="SimSun"/>
        </w:rPr>
        <w:t xml:space="preserve">is inadequate to </w:t>
      </w:r>
      <w:r w:rsidR="00AC25C8">
        <w:rPr>
          <w:rFonts w:eastAsia="SimSun"/>
        </w:rPr>
        <w:t>avoid</w:t>
      </w:r>
      <w:r w:rsidR="00AC25C8" w:rsidRPr="007D5BD2">
        <w:rPr>
          <w:rFonts w:eastAsia="SimSun"/>
        </w:rPr>
        <w:t xml:space="preserve"> </w:t>
      </w:r>
      <w:r w:rsidR="007D5BD2" w:rsidRPr="007D5BD2">
        <w:rPr>
          <w:rFonts w:eastAsia="SimSun"/>
        </w:rPr>
        <w:t xml:space="preserve">harm to </w:t>
      </w:r>
      <w:r w:rsidR="00553AA0">
        <w:rPr>
          <w:rFonts w:eastAsia="SimSun"/>
        </w:rPr>
        <w:t xml:space="preserve">PSE’s </w:t>
      </w:r>
      <w:r w:rsidR="007D5BD2" w:rsidRPr="007D5BD2">
        <w:rPr>
          <w:rFonts w:eastAsia="SimSun"/>
        </w:rPr>
        <w:t xml:space="preserve">investors.  In this testimony I provide a calculation of the minimum amount investors would expect to receive in a transaction of this type using a commonly used valuation method.  I am also responding to some specific issues raised by these witnesses with respect to the </w:t>
      </w:r>
      <w:proofErr w:type="spellStart"/>
      <w:r w:rsidR="007D5BD2" w:rsidRPr="007D5BD2">
        <w:rPr>
          <w:rFonts w:eastAsia="SimSun"/>
        </w:rPr>
        <w:t>UtiliPoint</w:t>
      </w:r>
      <w:proofErr w:type="spellEnd"/>
      <w:r w:rsidR="007D5BD2" w:rsidRPr="007D5BD2">
        <w:rPr>
          <w:rFonts w:eastAsia="SimSun"/>
        </w:rPr>
        <w:t xml:space="preserve"> Report</w:t>
      </w:r>
      <w:r w:rsidR="007D5BD2" w:rsidRPr="00FA44CD">
        <w:rPr>
          <w:rFonts w:eastAsia="SimSun"/>
        </w:rPr>
        <w:t xml:space="preserve"> and</w:t>
      </w:r>
      <w:r w:rsidR="007D5BD2" w:rsidRPr="007D5BD2">
        <w:rPr>
          <w:rFonts w:eastAsia="SimSun"/>
        </w:rPr>
        <w:t xml:space="preserve"> the number and frequency of “</w:t>
      </w:r>
      <w:proofErr w:type="spellStart"/>
      <w:r w:rsidR="007D5BD2" w:rsidRPr="007D5BD2">
        <w:rPr>
          <w:rFonts w:eastAsia="SimSun"/>
        </w:rPr>
        <w:t>municipalizations</w:t>
      </w:r>
      <w:proofErr w:type="spellEnd"/>
      <w:r w:rsidR="007D5BD2" w:rsidRPr="007D5BD2">
        <w:rPr>
          <w:rFonts w:eastAsia="SimSun"/>
        </w:rPr>
        <w:t>” that have occurred across the county over the last 40 years, and whether this risk is reasonably reflected in investor expectations with respect to investor owned utilities.</w:t>
      </w:r>
    </w:p>
    <w:p w:rsidR="00553AA0" w:rsidRPr="00CC2232" w:rsidRDefault="00553AA0" w:rsidP="00CC2232">
      <w:pPr>
        <w:pStyle w:val="question"/>
        <w:widowControl w:val="0"/>
      </w:pPr>
      <w:r w:rsidRPr="00CC2232">
        <w:t>Q</w:t>
      </w:r>
      <w:r w:rsidR="004F3586" w:rsidRPr="00CC2232">
        <w:t>.</w:t>
      </w:r>
      <w:r w:rsidRPr="00CC2232">
        <w:tab/>
        <w:t>Please summarize your testimony with respect to these matters</w:t>
      </w:r>
      <w:r w:rsidR="00936AA8" w:rsidRPr="00CC2232">
        <w:t>.</w:t>
      </w:r>
    </w:p>
    <w:p w:rsidR="00553AA0" w:rsidRPr="00936AA8" w:rsidRDefault="00553AA0" w:rsidP="00936AA8">
      <w:pPr>
        <w:pStyle w:val="Answer0"/>
      </w:pPr>
      <w:r w:rsidRPr="00936AA8">
        <w:lastRenderedPageBreak/>
        <w:t>A</w:t>
      </w:r>
      <w:r w:rsidR="004F3586" w:rsidRPr="00936AA8">
        <w:t>.</w:t>
      </w:r>
      <w:r w:rsidRPr="00936AA8">
        <w:tab/>
        <w:t>My calculation indicates investors would</w:t>
      </w:r>
      <w:r w:rsidR="00AC25C8" w:rsidRPr="00936AA8">
        <w:t>, at a minimum,</w:t>
      </w:r>
      <w:r w:rsidRPr="00936AA8">
        <w:t xml:space="preserve"> reasonably expect to receive at least $</w:t>
      </w:r>
      <w:r w:rsidR="00B6642A" w:rsidRPr="00936AA8">
        <w:t>75.7</w:t>
      </w:r>
      <w:r w:rsidR="0015139A" w:rsidRPr="00936AA8">
        <w:t xml:space="preserve"> </w:t>
      </w:r>
      <w:r w:rsidRPr="00936AA8">
        <w:t xml:space="preserve">million in compensation before they would even entertain a sale of assets and service area </w:t>
      </w:r>
      <w:r w:rsidR="00A40898" w:rsidRPr="00936AA8">
        <w:t>such as PSE’s</w:t>
      </w:r>
      <w:r w:rsidRPr="00936AA8">
        <w:t xml:space="preserve"> Jefferson County</w:t>
      </w:r>
      <w:r w:rsidR="00A40898" w:rsidRPr="00936AA8">
        <w:t xml:space="preserve"> service territory</w:t>
      </w:r>
      <w:r w:rsidRPr="00936AA8">
        <w:t xml:space="preserve">.  In fact, the sale of a portion of a system would likely command even higher compensation because typical utility investors are normally interested in long-term consistent earnings, and are not seeking deals to sell off portions of their service area for a short-term, one-time game.  </w:t>
      </w:r>
    </w:p>
    <w:p w:rsidR="00553AA0" w:rsidRPr="00936AA8" w:rsidRDefault="00553AA0" w:rsidP="00936AA8">
      <w:pPr>
        <w:pStyle w:val="Answer0"/>
        <w:ind w:firstLine="0"/>
      </w:pPr>
      <w:r w:rsidRPr="00936AA8">
        <w:t xml:space="preserve">In addition, I disagree with the position forwarded by </w:t>
      </w:r>
      <w:r w:rsidR="00F1128D" w:rsidRPr="00936AA8">
        <w:t>ICNU</w:t>
      </w:r>
      <w:r w:rsidR="001A4AC5" w:rsidRPr="00936AA8">
        <w:t xml:space="preserve"> page 10, lines 3-7 of </w:t>
      </w:r>
      <w:proofErr w:type="spellStart"/>
      <w:r w:rsidR="001A4AC5" w:rsidRPr="00936AA8">
        <w:t>Exh</w:t>
      </w:r>
      <w:proofErr w:type="spellEnd"/>
      <w:r w:rsidR="001A4AC5" w:rsidRPr="00936AA8">
        <w:t>. No. ___(MPG-1T)</w:t>
      </w:r>
      <w:r w:rsidRPr="00936AA8">
        <w:t xml:space="preserve">, and there is no supporting evidence for the position, that a </w:t>
      </w:r>
      <w:proofErr w:type="spellStart"/>
      <w:r w:rsidRPr="00936AA8">
        <w:t>PUD</w:t>
      </w:r>
      <w:proofErr w:type="spellEnd"/>
      <w:r w:rsidRPr="00936AA8">
        <w:t xml:space="preserve"> forming a utility through a hostile taking is incorporated into</w:t>
      </w:r>
      <w:r w:rsidR="00734A25" w:rsidRPr="00936AA8">
        <w:t xml:space="preserve"> </w:t>
      </w:r>
      <w:r w:rsidRPr="00936AA8">
        <w:t xml:space="preserve">PSE’s currently approved </w:t>
      </w:r>
      <w:r w:rsidR="00CD1C4F" w:rsidRPr="00936AA8">
        <w:t xml:space="preserve">rate </w:t>
      </w:r>
      <w:r w:rsidRPr="00936AA8">
        <w:t xml:space="preserve">of </w:t>
      </w:r>
      <w:r w:rsidR="00CD1C4F" w:rsidRPr="00936AA8">
        <w:t>return</w:t>
      </w:r>
      <w:r w:rsidRPr="00936AA8">
        <w:t>.  As I will further discuss, the hostile taking of an existing service area is an extremely rare event.  There are over 3,000 electric utilities in the United States and I can find evidence of only six transactions in the past 40 years that could even be considered to have formed through a hostile process (Jefferson County included).  I also do not find supporting evidence that PSE</w:t>
      </w:r>
      <w:r w:rsidR="00F1128D" w:rsidRPr="00936AA8">
        <w:t>’s</w:t>
      </w:r>
      <w:r w:rsidRPr="00936AA8">
        <w:t xml:space="preserve"> remaining customers are financially harmed </w:t>
      </w:r>
      <w:r w:rsidR="00C63610" w:rsidRPr="00936AA8">
        <w:t xml:space="preserve">by "stranded costs" incurred </w:t>
      </w:r>
      <w:r w:rsidRPr="00936AA8">
        <w:t xml:space="preserve">as a result of the Jefferson County transaction.  </w:t>
      </w:r>
    </w:p>
    <w:p w:rsidR="00553AA0" w:rsidRPr="00553AA0" w:rsidRDefault="00553AA0" w:rsidP="00CC2232">
      <w:pPr>
        <w:pStyle w:val="question"/>
        <w:widowControl w:val="0"/>
        <w:rPr>
          <w:lang w:eastAsia="en-US"/>
        </w:rPr>
      </w:pPr>
      <w:r w:rsidRPr="00553AA0">
        <w:rPr>
          <w:lang w:eastAsia="en-US"/>
        </w:rPr>
        <w:t>Q</w:t>
      </w:r>
      <w:r w:rsidR="004F3586">
        <w:rPr>
          <w:lang w:eastAsia="en-US"/>
        </w:rPr>
        <w:t>.</w:t>
      </w:r>
      <w:r w:rsidRPr="00553AA0">
        <w:rPr>
          <w:lang w:eastAsia="en-US"/>
        </w:rPr>
        <w:tab/>
        <w:t>Please summarize your conclusions and recommendation</w:t>
      </w:r>
      <w:r w:rsidR="00F64DEF">
        <w:rPr>
          <w:lang w:eastAsia="en-US"/>
        </w:rPr>
        <w:t>s with respect to these matters.</w:t>
      </w:r>
      <w:r w:rsidR="00C731C8" w:rsidRPr="00C731C8">
        <w:rPr>
          <w:b w:val="0"/>
          <w:lang w:eastAsia="en-US"/>
        </w:rPr>
        <w:t xml:space="preserve"> </w:t>
      </w:r>
    </w:p>
    <w:p w:rsidR="00553AA0" w:rsidRPr="00553AA0" w:rsidRDefault="00553AA0" w:rsidP="009F2B27">
      <w:pPr>
        <w:pStyle w:val="Answer0"/>
        <w:rPr>
          <w:lang w:eastAsia="en-US"/>
        </w:rPr>
      </w:pPr>
      <w:r w:rsidRPr="00662598">
        <w:rPr>
          <w:lang w:eastAsia="en-US"/>
        </w:rPr>
        <w:t>A</w:t>
      </w:r>
      <w:r w:rsidR="004F3586" w:rsidRPr="00662598">
        <w:rPr>
          <w:lang w:eastAsia="en-US"/>
        </w:rPr>
        <w:t>.</w:t>
      </w:r>
      <w:r w:rsidRPr="00662598">
        <w:rPr>
          <w:lang w:eastAsia="en-US"/>
        </w:rPr>
        <w:tab/>
      </w:r>
      <w:r w:rsidRPr="00553AA0">
        <w:rPr>
          <w:lang w:eastAsia="en-US"/>
        </w:rPr>
        <w:t>PSE’s investors should receive at least $</w:t>
      </w:r>
      <w:r w:rsidR="00B6642A">
        <w:rPr>
          <w:lang w:eastAsia="en-US"/>
        </w:rPr>
        <w:t>75.7</w:t>
      </w:r>
      <w:r w:rsidR="0015139A" w:rsidRPr="00553AA0">
        <w:rPr>
          <w:lang w:eastAsia="en-US"/>
        </w:rPr>
        <w:t xml:space="preserve"> </w:t>
      </w:r>
      <w:r w:rsidRPr="00553AA0">
        <w:rPr>
          <w:lang w:eastAsia="en-US"/>
        </w:rPr>
        <w:t>million in compensation from the Jefferson County transaction</w:t>
      </w:r>
      <w:r w:rsidR="00C731C8">
        <w:rPr>
          <w:lang w:eastAsia="en-US"/>
        </w:rPr>
        <w:t>, plus any additional portion of the gain on sale to be allocated to investors in this proceeding</w:t>
      </w:r>
      <w:r w:rsidRPr="00553AA0">
        <w:rPr>
          <w:lang w:eastAsia="en-US"/>
        </w:rPr>
        <w:t xml:space="preserve">.  </w:t>
      </w:r>
      <w:r w:rsidR="006729F0">
        <w:rPr>
          <w:lang w:eastAsia="en-US"/>
        </w:rPr>
        <w:t xml:space="preserve">My testimony does not attempt to </w:t>
      </w:r>
      <w:r w:rsidR="006729F0">
        <w:rPr>
          <w:lang w:eastAsia="en-US"/>
        </w:rPr>
        <w:lastRenderedPageBreak/>
        <w:t xml:space="preserve">allocate gain on sale.  </w:t>
      </w:r>
      <w:r w:rsidR="00C731C8">
        <w:rPr>
          <w:lang w:eastAsia="en-US"/>
        </w:rPr>
        <w:t>Of this $</w:t>
      </w:r>
      <w:r w:rsidR="00B6642A">
        <w:rPr>
          <w:lang w:eastAsia="en-US"/>
        </w:rPr>
        <w:t>75.7</w:t>
      </w:r>
      <w:r w:rsidR="00C731C8">
        <w:rPr>
          <w:lang w:eastAsia="en-US"/>
        </w:rPr>
        <w:t xml:space="preserve"> million, </w:t>
      </w:r>
      <w:r w:rsidRPr="00553AA0">
        <w:rPr>
          <w:lang w:eastAsia="en-US"/>
        </w:rPr>
        <w:t>$24</w:t>
      </w:r>
      <w:r w:rsidR="0015139A">
        <w:rPr>
          <w:lang w:eastAsia="en-US"/>
        </w:rPr>
        <w:t>.3</w:t>
      </w:r>
      <w:r w:rsidRPr="00553AA0">
        <w:rPr>
          <w:lang w:eastAsia="en-US"/>
        </w:rPr>
        <w:t xml:space="preserve"> million of the amount represents the debt portion of the Jefferson County net book value, and the remaining $</w:t>
      </w:r>
      <w:r w:rsidR="0015139A">
        <w:rPr>
          <w:lang w:eastAsia="en-US"/>
        </w:rPr>
        <w:t>51.</w:t>
      </w:r>
      <w:r w:rsidR="00C13340">
        <w:rPr>
          <w:lang w:eastAsia="en-US"/>
        </w:rPr>
        <w:t>4</w:t>
      </w:r>
      <w:r w:rsidR="00C13340" w:rsidRPr="00553AA0">
        <w:rPr>
          <w:lang w:eastAsia="en-US"/>
        </w:rPr>
        <w:t xml:space="preserve"> </w:t>
      </w:r>
      <w:r w:rsidRPr="00553AA0">
        <w:rPr>
          <w:lang w:eastAsia="en-US"/>
        </w:rPr>
        <w:t xml:space="preserve">million represents the minimum amount of compensation </w:t>
      </w:r>
      <w:r w:rsidR="001A4AC5">
        <w:rPr>
          <w:lang w:eastAsia="en-US"/>
        </w:rPr>
        <w:t xml:space="preserve">a </w:t>
      </w:r>
      <w:r w:rsidRPr="00553AA0">
        <w:rPr>
          <w:lang w:eastAsia="en-US"/>
        </w:rPr>
        <w:t>PSE shareholder would expect in such a transaction</w:t>
      </w:r>
      <w:r w:rsidR="00E017A0">
        <w:rPr>
          <w:lang w:eastAsia="en-US"/>
        </w:rPr>
        <w:t xml:space="preserve"> to compensate stock value and transaction costs</w:t>
      </w:r>
      <w:r w:rsidRPr="00553AA0">
        <w:rPr>
          <w:lang w:eastAsia="en-US"/>
        </w:rPr>
        <w:t>.</w:t>
      </w:r>
      <w:r w:rsidR="00F64DEF">
        <w:rPr>
          <w:lang w:eastAsia="en-US"/>
        </w:rPr>
        <w:t xml:space="preserve"> </w:t>
      </w:r>
    </w:p>
    <w:p w:rsidR="00553AA0" w:rsidRPr="00553AA0" w:rsidRDefault="00553AA0" w:rsidP="00F12C8F">
      <w:pPr>
        <w:pStyle w:val="Heading1"/>
        <w:rPr>
          <w:lang w:eastAsia="en-US"/>
        </w:rPr>
      </w:pPr>
      <w:bookmarkStart w:id="6" w:name="_Toc385936096"/>
      <w:r w:rsidRPr="00553AA0">
        <w:rPr>
          <w:lang w:eastAsia="en-US"/>
        </w:rPr>
        <w:t>II.</w:t>
      </w:r>
      <w:r w:rsidRPr="00553AA0">
        <w:rPr>
          <w:lang w:eastAsia="en-US"/>
        </w:rPr>
        <w:tab/>
        <w:t xml:space="preserve">IMPACT OF </w:t>
      </w:r>
      <w:r w:rsidR="00A40898">
        <w:rPr>
          <w:lang w:eastAsia="en-US"/>
        </w:rPr>
        <w:t>THE</w:t>
      </w:r>
      <w:r w:rsidR="00A40898" w:rsidRPr="00553AA0">
        <w:rPr>
          <w:lang w:eastAsia="en-US"/>
        </w:rPr>
        <w:t xml:space="preserve"> </w:t>
      </w:r>
      <w:r w:rsidRPr="00553AA0">
        <w:rPr>
          <w:lang w:eastAsia="en-US"/>
        </w:rPr>
        <w:t xml:space="preserve">SALE </w:t>
      </w:r>
      <w:r w:rsidR="00A40898">
        <w:rPr>
          <w:lang w:eastAsia="en-US"/>
        </w:rPr>
        <w:t xml:space="preserve">OF PSE’S JEFFERSON COUNTY SERVICE TERRITORY </w:t>
      </w:r>
      <w:r w:rsidRPr="00553AA0">
        <w:rPr>
          <w:lang w:eastAsia="en-US"/>
        </w:rPr>
        <w:t>ON INVESTORS.</w:t>
      </w:r>
      <w:bookmarkEnd w:id="6"/>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r>
      <w:r w:rsidR="00F64DEF">
        <w:rPr>
          <w:lang w:eastAsia="en-US"/>
        </w:rPr>
        <w:t>Staff</w:t>
      </w:r>
      <w:r w:rsidRPr="00553AA0">
        <w:rPr>
          <w:lang w:eastAsia="en-US"/>
        </w:rPr>
        <w:t xml:space="preserve"> states that shareholders are not harmed by the JPUD sale.</w:t>
      </w:r>
      <w:r w:rsidR="00F64DEF">
        <w:rPr>
          <w:rStyle w:val="FootnoteReference"/>
          <w:lang w:eastAsia="en-US"/>
        </w:rPr>
        <w:footnoteReference w:id="1"/>
      </w:r>
      <w:r w:rsidRPr="00553AA0">
        <w:rPr>
          <w:lang w:eastAsia="en-US"/>
        </w:rPr>
        <w:t xml:space="preserve">  Do you agree with this conclusion? </w:t>
      </w:r>
    </w:p>
    <w:p w:rsidR="00553AA0" w:rsidRPr="00553AA0" w:rsidRDefault="00553AA0" w:rsidP="009F2B27">
      <w:pPr>
        <w:pStyle w:val="Answer0"/>
        <w:rPr>
          <w:lang w:eastAsia="en-US"/>
        </w:rPr>
      </w:pPr>
      <w:r w:rsidRPr="00662598">
        <w:rPr>
          <w:lang w:eastAsia="en-US"/>
        </w:rPr>
        <w:t>A</w:t>
      </w:r>
      <w:r w:rsidR="004F3586" w:rsidRPr="00662598">
        <w:rPr>
          <w:lang w:eastAsia="en-US"/>
        </w:rPr>
        <w:t>.</w:t>
      </w:r>
      <w:r w:rsidRPr="00662598">
        <w:rPr>
          <w:lang w:eastAsia="en-US"/>
        </w:rPr>
        <w:tab/>
      </w:r>
      <w:r w:rsidRPr="00553AA0">
        <w:rPr>
          <w:lang w:eastAsia="en-US"/>
        </w:rPr>
        <w:t xml:space="preserve">No, I do not.  As </w:t>
      </w:r>
      <w:r w:rsidR="002331D2">
        <w:rPr>
          <w:lang w:eastAsia="en-US"/>
        </w:rPr>
        <w:t>I will</w:t>
      </w:r>
      <w:r w:rsidRPr="00553AA0">
        <w:rPr>
          <w:lang w:eastAsia="en-US"/>
        </w:rPr>
        <w:t xml:space="preserve"> demonstrate, share value can be different than the book value approach </w:t>
      </w:r>
      <w:r w:rsidR="00F64DEF">
        <w:rPr>
          <w:lang w:eastAsia="en-US"/>
        </w:rPr>
        <w:t>Staff</w:t>
      </w:r>
      <w:r w:rsidRPr="00553AA0">
        <w:rPr>
          <w:lang w:eastAsia="en-US"/>
        </w:rPr>
        <w:t xml:space="preserve"> is utilizing, and PSE’s share value is damaged by the loss of current and future earnings that would have been provided by Jefferson County customers.</w:t>
      </w:r>
      <w:r w:rsidRPr="00553AA0">
        <w:rPr>
          <w:b/>
          <w:lang w:eastAsia="en-US"/>
        </w:rPr>
        <w:t xml:space="preserve"> </w:t>
      </w:r>
      <w:r w:rsidR="00F64DEF">
        <w:rPr>
          <w:b/>
          <w:lang w:eastAsia="en-US"/>
        </w:rPr>
        <w:t xml:space="preserve"> </w:t>
      </w:r>
      <w:r w:rsidRPr="00232465">
        <w:rPr>
          <w:lang w:eastAsia="en-US"/>
        </w:rPr>
        <w:t xml:space="preserve">As </w:t>
      </w:r>
      <w:r w:rsidR="00F64DEF">
        <w:rPr>
          <w:lang w:eastAsia="en-US"/>
        </w:rPr>
        <w:t>ICNU stated o</w:t>
      </w:r>
      <w:r w:rsidRPr="00232465">
        <w:rPr>
          <w:lang w:eastAsia="en-US"/>
        </w:rPr>
        <w:t>n</w:t>
      </w:r>
      <w:r w:rsidR="00F64DEF">
        <w:rPr>
          <w:lang w:eastAsia="en-US"/>
        </w:rPr>
        <w:t xml:space="preserve"> page 14 of </w:t>
      </w:r>
      <w:proofErr w:type="spellStart"/>
      <w:r w:rsidR="00F64DEF">
        <w:rPr>
          <w:lang w:eastAsia="en-US"/>
        </w:rPr>
        <w:t>Exh</w:t>
      </w:r>
      <w:proofErr w:type="spellEnd"/>
      <w:r w:rsidR="00F64DEF">
        <w:rPr>
          <w:lang w:eastAsia="en-US"/>
        </w:rPr>
        <w:t xml:space="preserve">. No. </w:t>
      </w:r>
      <w:r w:rsidRPr="00232465">
        <w:rPr>
          <w:lang w:eastAsia="en-US"/>
        </w:rPr>
        <w:t xml:space="preserve">MPG-1T in Docket Nos. UE-111048/UG-111049, “Investors expect to achieve their return requirement from receiving dividends and stock price appreciation.”  What is lacking in </w:t>
      </w:r>
      <w:r w:rsidR="00F64DEF">
        <w:rPr>
          <w:lang w:eastAsia="en-US"/>
        </w:rPr>
        <w:t>Staff’s, Public Counsel’s and ICNU’s</w:t>
      </w:r>
      <w:r w:rsidRPr="00232465">
        <w:rPr>
          <w:lang w:eastAsia="en-US"/>
        </w:rPr>
        <w:t xml:space="preserve"> testimony in this </w:t>
      </w:r>
      <w:r w:rsidR="00F64DEF">
        <w:rPr>
          <w:lang w:eastAsia="en-US"/>
        </w:rPr>
        <w:t>proceeding i</w:t>
      </w:r>
      <w:r w:rsidRPr="00232465">
        <w:rPr>
          <w:lang w:eastAsia="en-US"/>
        </w:rPr>
        <w:t>s consideration of stock appreciation and expected compensation for a sale of service area such as Jefferson County.</w:t>
      </w:r>
    </w:p>
    <w:p w:rsidR="00CC2232" w:rsidRDefault="00553AA0" w:rsidP="00CC2232">
      <w:pPr>
        <w:pStyle w:val="question"/>
        <w:widowControl w:val="0"/>
        <w:rPr>
          <w:lang w:eastAsia="en-US"/>
        </w:rPr>
      </w:pPr>
      <w:r w:rsidRPr="00553AA0">
        <w:rPr>
          <w:lang w:eastAsia="en-US"/>
        </w:rPr>
        <w:t>Q</w:t>
      </w:r>
      <w:r w:rsidR="004F3586">
        <w:rPr>
          <w:lang w:eastAsia="en-US"/>
        </w:rPr>
        <w:t>.</w:t>
      </w:r>
      <w:r w:rsidRPr="00553AA0">
        <w:rPr>
          <w:lang w:eastAsia="en-US"/>
        </w:rPr>
        <w:tab/>
        <w:t xml:space="preserve">How does </w:t>
      </w:r>
      <w:r w:rsidR="00F64DEF">
        <w:rPr>
          <w:lang w:eastAsia="en-US"/>
        </w:rPr>
        <w:t>Staff</w:t>
      </w:r>
      <w:r w:rsidRPr="00553AA0">
        <w:rPr>
          <w:lang w:eastAsia="en-US"/>
        </w:rPr>
        <w:t xml:space="preserve"> support or justify </w:t>
      </w:r>
      <w:r w:rsidR="00F64DEF">
        <w:rPr>
          <w:lang w:eastAsia="en-US"/>
        </w:rPr>
        <w:t>its</w:t>
      </w:r>
      <w:r w:rsidR="002331D2">
        <w:rPr>
          <w:lang w:eastAsia="en-US"/>
        </w:rPr>
        <w:t xml:space="preserve"> conclusion</w:t>
      </w:r>
      <w:r w:rsidRPr="00553AA0">
        <w:rPr>
          <w:lang w:eastAsia="en-US"/>
        </w:rPr>
        <w:t>?</w:t>
      </w:r>
    </w:p>
    <w:p w:rsidR="00553AA0" w:rsidRPr="00553AA0" w:rsidRDefault="00553AA0" w:rsidP="00CC2232">
      <w:pPr>
        <w:pStyle w:val="answer"/>
        <w:rPr>
          <w:lang w:eastAsia="en-US"/>
        </w:rPr>
      </w:pPr>
      <w:r w:rsidRPr="00936AA8">
        <w:lastRenderedPageBreak/>
        <w:t>A</w:t>
      </w:r>
      <w:r w:rsidR="004F3586" w:rsidRPr="00936AA8">
        <w:t>.</w:t>
      </w:r>
      <w:r w:rsidRPr="00936AA8">
        <w:tab/>
      </w:r>
      <w:r w:rsidR="00337E3A" w:rsidRPr="00936AA8">
        <w:t>Staff</w:t>
      </w:r>
      <w:r w:rsidR="00337E3A">
        <w:rPr>
          <w:lang w:eastAsia="en-US"/>
        </w:rPr>
        <w:t xml:space="preserve"> and the other parties</w:t>
      </w:r>
      <w:r w:rsidR="00492464">
        <w:rPr>
          <w:lang w:eastAsia="en-US"/>
        </w:rPr>
        <w:t xml:space="preserve"> </w:t>
      </w:r>
      <w:r w:rsidR="00A94209">
        <w:rPr>
          <w:lang w:eastAsia="en-US"/>
        </w:rPr>
        <w:t>essentially conclude</w:t>
      </w:r>
      <w:r w:rsidR="00492464">
        <w:rPr>
          <w:lang w:eastAsia="en-US"/>
        </w:rPr>
        <w:t xml:space="preserve"> that</w:t>
      </w:r>
      <w:r w:rsidR="00492464" w:rsidRPr="00553AA0">
        <w:rPr>
          <w:lang w:eastAsia="en-US"/>
        </w:rPr>
        <w:t xml:space="preserve"> </w:t>
      </w:r>
      <w:r w:rsidRPr="00553AA0">
        <w:rPr>
          <w:lang w:eastAsia="en-US"/>
        </w:rPr>
        <w:t xml:space="preserve">investors are only entitled to net book value because </w:t>
      </w:r>
      <w:r w:rsidR="00A94209">
        <w:rPr>
          <w:lang w:eastAsia="en-US"/>
        </w:rPr>
        <w:t>investors</w:t>
      </w:r>
      <w:r w:rsidR="00A94209" w:rsidRPr="00553AA0">
        <w:rPr>
          <w:lang w:eastAsia="en-US"/>
        </w:rPr>
        <w:t xml:space="preserve"> </w:t>
      </w:r>
      <w:r w:rsidRPr="00553AA0">
        <w:rPr>
          <w:lang w:eastAsia="en-US"/>
        </w:rPr>
        <w:t xml:space="preserve">are not harmed if they are given back what is owed to them of their </w:t>
      </w:r>
      <w:r w:rsidR="00FA44CD">
        <w:rPr>
          <w:lang w:eastAsia="en-US"/>
        </w:rPr>
        <w:t xml:space="preserve">depreciated </w:t>
      </w:r>
      <w:r w:rsidRPr="00553AA0">
        <w:rPr>
          <w:lang w:eastAsia="en-US"/>
        </w:rPr>
        <w:t xml:space="preserve">original investment.  </w:t>
      </w:r>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t xml:space="preserve">What is your response to </w:t>
      </w:r>
      <w:r w:rsidR="00337E3A">
        <w:rPr>
          <w:lang w:eastAsia="en-US"/>
        </w:rPr>
        <w:t>Staff</w:t>
      </w:r>
      <w:r w:rsidRPr="00553AA0">
        <w:rPr>
          <w:lang w:eastAsia="en-US"/>
        </w:rPr>
        <w:t>’s analysis?</w:t>
      </w:r>
    </w:p>
    <w:p w:rsidR="00553AA0" w:rsidRPr="00553AA0" w:rsidRDefault="00553AA0" w:rsidP="009F2B27">
      <w:pPr>
        <w:pStyle w:val="Answer0"/>
        <w:rPr>
          <w:lang w:eastAsia="en-US"/>
        </w:rPr>
      </w:pPr>
      <w:r w:rsidRPr="00662598">
        <w:rPr>
          <w:lang w:eastAsia="en-US"/>
        </w:rPr>
        <w:t>A</w:t>
      </w:r>
      <w:r w:rsidR="004F3586" w:rsidRPr="00662598">
        <w:rPr>
          <w:lang w:eastAsia="en-US"/>
        </w:rPr>
        <w:t>.</w:t>
      </w:r>
      <w:r w:rsidRPr="00662598">
        <w:rPr>
          <w:lang w:eastAsia="en-US"/>
        </w:rPr>
        <w:tab/>
      </w:r>
      <w:r w:rsidR="00337E3A">
        <w:rPr>
          <w:lang w:eastAsia="en-US"/>
        </w:rPr>
        <w:t>Staff</w:t>
      </w:r>
      <w:r w:rsidR="002331D2">
        <w:rPr>
          <w:lang w:eastAsia="en-US"/>
        </w:rPr>
        <w:t>’s</w:t>
      </w:r>
      <w:r w:rsidRPr="00553AA0">
        <w:rPr>
          <w:lang w:eastAsia="en-US"/>
        </w:rPr>
        <w:t xml:space="preserve"> analysis does not include the portion of stock value that is above book value.  </w:t>
      </w:r>
      <w:r w:rsidR="005D3E8A">
        <w:rPr>
          <w:lang w:eastAsia="en-US"/>
        </w:rPr>
        <w:t>Investors aren’t</w:t>
      </w:r>
      <w:r w:rsidRPr="00553AA0">
        <w:rPr>
          <w:lang w:eastAsia="en-US"/>
        </w:rPr>
        <w:t xml:space="preserve"> just losing assets, they are losing customers and all future earnings opportunities from those customers.  Therefore, the loss of earnings has a measureable impact on stock value for the corporation.  In addition, investor</w:t>
      </w:r>
      <w:r w:rsidR="00A94209">
        <w:rPr>
          <w:lang w:eastAsia="en-US"/>
        </w:rPr>
        <w:t>s</w:t>
      </w:r>
      <w:r w:rsidRPr="00553AA0">
        <w:rPr>
          <w:lang w:eastAsia="en-US"/>
        </w:rPr>
        <w:t xml:space="preserve"> reasonably expect compensation over and above </w:t>
      </w:r>
      <w:r w:rsidR="00A94209">
        <w:rPr>
          <w:lang w:eastAsia="en-US"/>
        </w:rPr>
        <w:t>the</w:t>
      </w:r>
      <w:r w:rsidR="00A94209" w:rsidRPr="00553AA0">
        <w:rPr>
          <w:lang w:eastAsia="en-US"/>
        </w:rPr>
        <w:t xml:space="preserve"> </w:t>
      </w:r>
      <w:r w:rsidRPr="00553AA0">
        <w:rPr>
          <w:lang w:eastAsia="en-US"/>
        </w:rPr>
        <w:t>current stock value in a business sale</w:t>
      </w:r>
      <w:r w:rsidR="00A94209">
        <w:rPr>
          <w:lang w:eastAsia="en-US"/>
        </w:rPr>
        <w:t>.  Investors</w:t>
      </w:r>
      <w:r w:rsidRPr="00553AA0">
        <w:rPr>
          <w:lang w:eastAsia="en-US"/>
        </w:rPr>
        <w:t xml:space="preserve"> would have no financial incentive to engage in a transaction if there was no additional present value compensation </w:t>
      </w:r>
      <w:r w:rsidR="00A94209">
        <w:rPr>
          <w:lang w:eastAsia="en-US"/>
        </w:rPr>
        <w:t>above what</w:t>
      </w:r>
      <w:r w:rsidRPr="00553AA0">
        <w:rPr>
          <w:lang w:eastAsia="en-US"/>
        </w:rPr>
        <w:t xml:space="preserve"> would otherwise be provided had they retained the business.  </w:t>
      </w:r>
      <w:r w:rsidR="00A94209">
        <w:rPr>
          <w:lang w:eastAsia="en-US"/>
        </w:rPr>
        <w:t>I</w:t>
      </w:r>
      <w:r w:rsidRPr="00553AA0">
        <w:rPr>
          <w:lang w:eastAsia="en-US"/>
        </w:rPr>
        <w:t>nvestor</w:t>
      </w:r>
      <w:r w:rsidR="00A94209">
        <w:rPr>
          <w:lang w:eastAsia="en-US"/>
        </w:rPr>
        <w:t>s</w:t>
      </w:r>
      <w:r w:rsidRPr="00553AA0">
        <w:rPr>
          <w:lang w:eastAsia="en-US"/>
        </w:rPr>
        <w:t xml:space="preserve"> needs to be fairly compensated for </w:t>
      </w:r>
      <w:r w:rsidR="00A94209">
        <w:rPr>
          <w:lang w:eastAsia="en-US"/>
        </w:rPr>
        <w:t>their</w:t>
      </w:r>
      <w:r w:rsidR="00A94209" w:rsidRPr="00553AA0">
        <w:rPr>
          <w:lang w:eastAsia="en-US"/>
        </w:rPr>
        <w:t xml:space="preserve"> </w:t>
      </w:r>
      <w:r w:rsidRPr="00553AA0">
        <w:rPr>
          <w:lang w:eastAsia="en-US"/>
        </w:rPr>
        <w:t xml:space="preserve">stock value and </w:t>
      </w:r>
      <w:r w:rsidR="00A94209">
        <w:rPr>
          <w:lang w:eastAsia="en-US"/>
        </w:rPr>
        <w:t xml:space="preserve">require </w:t>
      </w:r>
      <w:r w:rsidRPr="00553AA0">
        <w:rPr>
          <w:lang w:eastAsia="en-US"/>
        </w:rPr>
        <w:t xml:space="preserve">additional compensation </w:t>
      </w:r>
      <w:r w:rsidR="00A94209">
        <w:rPr>
          <w:lang w:eastAsia="en-US"/>
        </w:rPr>
        <w:t>if they are</w:t>
      </w:r>
      <w:r w:rsidR="00A94209" w:rsidRPr="00553AA0">
        <w:rPr>
          <w:lang w:eastAsia="en-US"/>
        </w:rPr>
        <w:t xml:space="preserve"> </w:t>
      </w:r>
      <w:r w:rsidRPr="00553AA0">
        <w:rPr>
          <w:lang w:eastAsia="en-US"/>
        </w:rPr>
        <w:t xml:space="preserve">to engage in a transaction of this type. </w:t>
      </w:r>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t>What approach or methodology would you apply to determine the impact to investors of the sale of the JPUD assets?  Please explain why your selected methodology is appropriate</w:t>
      </w:r>
      <w:r w:rsidR="004865E0">
        <w:rPr>
          <w:lang w:eastAsia="en-US"/>
        </w:rPr>
        <w:t>.</w:t>
      </w:r>
    </w:p>
    <w:p w:rsidR="00553AA0" w:rsidRDefault="00553AA0" w:rsidP="009F2B27">
      <w:pPr>
        <w:pStyle w:val="Answer0"/>
        <w:rPr>
          <w:lang w:eastAsia="en-US"/>
        </w:rPr>
      </w:pPr>
      <w:r w:rsidRPr="00553AA0">
        <w:rPr>
          <w:lang w:eastAsia="en-US"/>
        </w:rPr>
        <w:t>A</w:t>
      </w:r>
      <w:r w:rsidR="004F3586">
        <w:rPr>
          <w:lang w:eastAsia="en-US"/>
        </w:rPr>
        <w:t>.</w:t>
      </w:r>
      <w:r w:rsidRPr="00553AA0">
        <w:rPr>
          <w:lang w:eastAsia="en-US"/>
        </w:rPr>
        <w:tab/>
        <w:t>The lost earnings from JPUD is estimated and the value of those earnings are calculated using a factor determined by a commonly used valuation formula sometimes referred to as a “constant growth” Discounted Cash Flow (</w:t>
      </w:r>
      <w:r w:rsidR="002331D2">
        <w:rPr>
          <w:lang w:eastAsia="en-US"/>
        </w:rPr>
        <w:t>“</w:t>
      </w:r>
      <w:r w:rsidRPr="00553AA0">
        <w:rPr>
          <w:lang w:eastAsia="en-US"/>
        </w:rPr>
        <w:t>DCF</w:t>
      </w:r>
      <w:r w:rsidR="002331D2">
        <w:rPr>
          <w:lang w:eastAsia="en-US"/>
        </w:rPr>
        <w:t>”</w:t>
      </w:r>
      <w:r w:rsidRPr="00553AA0">
        <w:rPr>
          <w:lang w:eastAsia="en-US"/>
        </w:rPr>
        <w:t xml:space="preserve">) model or “Gordon Growth” model.  That factor </w:t>
      </w:r>
      <w:r w:rsidR="002331D2">
        <w:rPr>
          <w:lang w:eastAsia="en-US"/>
        </w:rPr>
        <w:t>i</w:t>
      </w:r>
      <w:r w:rsidR="002331D2" w:rsidRPr="00553AA0">
        <w:rPr>
          <w:lang w:eastAsia="en-US"/>
        </w:rPr>
        <w:t xml:space="preserve">s </w:t>
      </w:r>
      <w:r w:rsidRPr="00553AA0">
        <w:rPr>
          <w:lang w:eastAsia="en-US"/>
        </w:rPr>
        <w:t>compared to industry stock price to earnings (</w:t>
      </w:r>
      <w:r w:rsidR="002331D2">
        <w:rPr>
          <w:lang w:eastAsia="en-US"/>
        </w:rPr>
        <w:t>“</w:t>
      </w:r>
      <w:r w:rsidRPr="00553AA0">
        <w:rPr>
          <w:lang w:eastAsia="en-US"/>
        </w:rPr>
        <w:t>P/E</w:t>
      </w:r>
      <w:r w:rsidR="002331D2">
        <w:rPr>
          <w:lang w:eastAsia="en-US"/>
        </w:rPr>
        <w:t>”</w:t>
      </w:r>
      <w:r w:rsidRPr="00553AA0">
        <w:rPr>
          <w:lang w:eastAsia="en-US"/>
        </w:rPr>
        <w:t xml:space="preserve">) ratios as a reasonability check.  The result </w:t>
      </w:r>
      <w:r w:rsidR="002331D2">
        <w:rPr>
          <w:lang w:eastAsia="en-US"/>
        </w:rPr>
        <w:t>i</w:t>
      </w:r>
      <w:r w:rsidR="002331D2" w:rsidRPr="00553AA0">
        <w:rPr>
          <w:lang w:eastAsia="en-US"/>
        </w:rPr>
        <w:t xml:space="preserve">s </w:t>
      </w:r>
      <w:r w:rsidRPr="00553AA0">
        <w:rPr>
          <w:lang w:eastAsia="en-US"/>
        </w:rPr>
        <w:t xml:space="preserve">then </w:t>
      </w:r>
      <w:r w:rsidRPr="00553AA0">
        <w:rPr>
          <w:lang w:eastAsia="en-US"/>
        </w:rPr>
        <w:lastRenderedPageBreak/>
        <w:t xml:space="preserve">multiplied by another factor for additional compensation that would reasonably be expected in a voluntary sale of a utility business.  The resulting equity value is added on top of the debt component of net book value to arrive at a minimum expected compensation investors would seek for a </w:t>
      </w:r>
      <w:r w:rsidR="002331D2" w:rsidRPr="00553AA0">
        <w:rPr>
          <w:lang w:eastAsia="en-US"/>
        </w:rPr>
        <w:t>JPUD</w:t>
      </w:r>
      <w:r w:rsidR="002331D2">
        <w:rPr>
          <w:lang w:eastAsia="en-US"/>
        </w:rPr>
        <w:t>-</w:t>
      </w:r>
      <w:r w:rsidRPr="00553AA0">
        <w:rPr>
          <w:lang w:eastAsia="en-US"/>
        </w:rPr>
        <w:t>type transaction.</w:t>
      </w:r>
    </w:p>
    <w:p w:rsidR="0008697F" w:rsidRDefault="0008697F" w:rsidP="00F12C8F">
      <w:pPr>
        <w:pStyle w:val="question"/>
        <w:rPr>
          <w:lang w:eastAsia="en-US"/>
        </w:rPr>
      </w:pPr>
      <w:r>
        <w:rPr>
          <w:lang w:eastAsia="en-US"/>
        </w:rPr>
        <w:t>Q.</w:t>
      </w:r>
      <w:r>
        <w:rPr>
          <w:lang w:eastAsia="en-US"/>
        </w:rPr>
        <w:tab/>
        <w:t>Did the other parties use the DCF model to value lost earnings?</w:t>
      </w:r>
    </w:p>
    <w:p w:rsidR="0008697F" w:rsidRPr="0008697F" w:rsidRDefault="0008697F">
      <w:pPr>
        <w:pStyle w:val="Answer0"/>
        <w:rPr>
          <w:lang w:eastAsia="en-US"/>
        </w:rPr>
      </w:pPr>
      <w:r w:rsidRPr="00F12C8F">
        <w:t>A.</w:t>
      </w:r>
      <w:r w:rsidRPr="00F12C8F">
        <w:tab/>
        <w:t>No</w:t>
      </w:r>
      <w:r w:rsidR="00337E3A">
        <w:t xml:space="preserve">, no </w:t>
      </w:r>
      <w:r w:rsidR="00861DF3">
        <w:t xml:space="preserve">other </w:t>
      </w:r>
      <w:r w:rsidR="00492464">
        <w:t xml:space="preserve">party </w:t>
      </w:r>
      <w:r w:rsidR="00861DF3">
        <w:t xml:space="preserve">used the DCF model in this proceeding.  </w:t>
      </w:r>
      <w:r w:rsidRPr="00232465">
        <w:t>ICNU, Public Counsel and WUTC Staff have all testified in past proceedings that the DCF model is an appropriate methodology for calculating PSE’s cost of capital</w:t>
      </w:r>
      <w:r w:rsidRPr="00337E3A">
        <w:t>.</w:t>
      </w:r>
      <w:r w:rsidR="0010119E">
        <w:rPr>
          <w:rStyle w:val="FootnoteReference"/>
        </w:rPr>
        <w:footnoteReference w:id="2"/>
      </w:r>
      <w:r w:rsidRPr="00232465">
        <w:rPr>
          <w:highlight w:val="yellow"/>
        </w:rPr>
        <w:t xml:space="preserve">  </w:t>
      </w:r>
      <w:r w:rsidRPr="00232465">
        <w:t>However, each party abandoned this methodology here, when the calculation supports lost opportunity to PSE’s shareholders.  No party has explained why it is appropriate to embrace the DCF methodology in one instance but reject it when viewed from the perspective</w:t>
      </w:r>
      <w:r w:rsidR="00FA44CD" w:rsidRPr="00232465">
        <w:t xml:space="preserve"> of a lost service area</w:t>
      </w:r>
      <w:r w:rsidRPr="00232465">
        <w:t xml:space="preserve">. </w:t>
      </w:r>
    </w:p>
    <w:p w:rsidR="00553AA0" w:rsidRPr="00553AA0" w:rsidRDefault="00553AA0" w:rsidP="009F2B27">
      <w:pPr>
        <w:pStyle w:val="question"/>
        <w:rPr>
          <w:lang w:eastAsia="en-US"/>
        </w:rPr>
      </w:pPr>
      <w:r w:rsidRPr="00553AA0">
        <w:rPr>
          <w:lang w:eastAsia="en-US"/>
        </w:rPr>
        <w:t>Q</w:t>
      </w:r>
      <w:r w:rsidR="004F3586">
        <w:rPr>
          <w:lang w:eastAsia="en-US"/>
        </w:rPr>
        <w:t>.</w:t>
      </w:r>
      <w:r w:rsidR="009C7E72">
        <w:rPr>
          <w:lang w:eastAsia="en-US"/>
        </w:rPr>
        <w:tab/>
      </w:r>
      <w:r w:rsidR="00FB0875" w:rsidRPr="00FB0875">
        <w:rPr>
          <w:lang w:eastAsia="en-US"/>
        </w:rPr>
        <w:t xml:space="preserve">In response to </w:t>
      </w:r>
      <w:r w:rsidR="00337E3A">
        <w:rPr>
          <w:lang w:eastAsia="en-US"/>
        </w:rPr>
        <w:t>Staff</w:t>
      </w:r>
      <w:r w:rsidR="00FB0875" w:rsidRPr="00FB0875">
        <w:rPr>
          <w:lang w:eastAsia="en-US"/>
        </w:rPr>
        <w:t>’s assertion that investors are not harmed,</w:t>
      </w:r>
      <w:r w:rsidR="00337E3A">
        <w:rPr>
          <w:rStyle w:val="FootnoteReference"/>
          <w:lang w:eastAsia="en-US"/>
        </w:rPr>
        <w:footnoteReference w:id="3"/>
      </w:r>
      <w:r w:rsidR="00FB0875" w:rsidRPr="00FB0875">
        <w:rPr>
          <w:lang w:eastAsia="en-US"/>
        </w:rPr>
        <w:t xml:space="preserve"> </w:t>
      </w:r>
      <w:r w:rsidR="00E2409E">
        <w:rPr>
          <w:lang w:eastAsia="en-US"/>
        </w:rPr>
        <w:t>h</w:t>
      </w:r>
      <w:r w:rsidR="00FB0875" w:rsidRPr="00FB0875">
        <w:rPr>
          <w:lang w:eastAsia="en-US"/>
        </w:rPr>
        <w:t xml:space="preserve">ave you undertaken </w:t>
      </w:r>
      <w:r w:rsidR="00FB0875">
        <w:rPr>
          <w:lang w:eastAsia="en-US"/>
        </w:rPr>
        <w:t xml:space="preserve">an </w:t>
      </w:r>
      <w:r w:rsidRPr="00553AA0">
        <w:rPr>
          <w:lang w:eastAsia="en-US"/>
        </w:rPr>
        <w:t>analysis that quantifies harm to investors</w:t>
      </w:r>
      <w:r w:rsidR="00E2409E">
        <w:rPr>
          <w:lang w:eastAsia="en-US"/>
        </w:rPr>
        <w:t xml:space="preserve">? </w:t>
      </w:r>
      <w:r w:rsidRPr="00553AA0">
        <w:rPr>
          <w:lang w:eastAsia="en-US"/>
        </w:rPr>
        <w:t xml:space="preserve"> </w:t>
      </w:r>
      <w:r w:rsidR="00E2409E">
        <w:rPr>
          <w:lang w:eastAsia="en-US"/>
        </w:rPr>
        <w:t>I</w:t>
      </w:r>
      <w:r w:rsidRPr="00553AA0">
        <w:rPr>
          <w:lang w:eastAsia="en-US"/>
        </w:rPr>
        <w:t>f so, please explain your analysis</w:t>
      </w:r>
      <w:r w:rsidR="00E2409E">
        <w:rPr>
          <w:lang w:eastAsia="en-US"/>
        </w:rPr>
        <w:t>.</w:t>
      </w:r>
      <w:r w:rsidRPr="00553AA0">
        <w:rPr>
          <w:lang w:eastAsia="en-US"/>
        </w:rPr>
        <w:t xml:space="preserve"> </w:t>
      </w:r>
    </w:p>
    <w:p w:rsidR="00553AA0" w:rsidRPr="00553AA0" w:rsidRDefault="00553AA0" w:rsidP="009F2B27">
      <w:pPr>
        <w:pStyle w:val="Answer0"/>
        <w:rPr>
          <w:lang w:eastAsia="en-US"/>
        </w:rPr>
      </w:pPr>
      <w:r w:rsidRPr="00662598">
        <w:rPr>
          <w:lang w:eastAsia="en-US"/>
        </w:rPr>
        <w:lastRenderedPageBreak/>
        <w:t>A</w:t>
      </w:r>
      <w:r w:rsidR="004F3586" w:rsidRPr="00662598">
        <w:rPr>
          <w:lang w:eastAsia="en-US"/>
        </w:rPr>
        <w:t>.</w:t>
      </w:r>
      <w:r w:rsidRPr="00662598">
        <w:rPr>
          <w:lang w:eastAsia="en-US"/>
        </w:rPr>
        <w:tab/>
      </w:r>
      <w:r w:rsidRPr="00553AA0">
        <w:rPr>
          <w:lang w:eastAsia="en-US"/>
        </w:rPr>
        <w:t xml:space="preserve">Yes, I have </w:t>
      </w:r>
      <w:r w:rsidR="00E2409E">
        <w:rPr>
          <w:lang w:eastAsia="en-US"/>
        </w:rPr>
        <w:t>analyzed</w:t>
      </w:r>
      <w:r w:rsidRPr="00553AA0">
        <w:rPr>
          <w:lang w:eastAsia="en-US"/>
        </w:rPr>
        <w:t xml:space="preserve"> the harm to investors associated with </w:t>
      </w:r>
      <w:r w:rsidR="00E2409E">
        <w:rPr>
          <w:lang w:eastAsia="en-US"/>
        </w:rPr>
        <w:t>PSE’s</w:t>
      </w:r>
      <w:r w:rsidR="00E2409E" w:rsidRPr="00553AA0">
        <w:rPr>
          <w:lang w:eastAsia="en-US"/>
        </w:rPr>
        <w:t xml:space="preserve"> </w:t>
      </w:r>
      <w:r w:rsidRPr="00553AA0">
        <w:rPr>
          <w:lang w:eastAsia="en-US"/>
        </w:rPr>
        <w:t xml:space="preserve">lost earnings stream from </w:t>
      </w:r>
      <w:r w:rsidR="00B07FE9">
        <w:rPr>
          <w:lang w:eastAsia="en-US"/>
        </w:rPr>
        <w:t xml:space="preserve">the loss of PSE’s </w:t>
      </w:r>
      <w:r w:rsidRPr="00553AA0">
        <w:rPr>
          <w:lang w:eastAsia="en-US"/>
        </w:rPr>
        <w:t xml:space="preserve">Jefferson County </w:t>
      </w:r>
      <w:r w:rsidR="00B07FE9">
        <w:rPr>
          <w:lang w:eastAsia="en-US"/>
        </w:rPr>
        <w:t xml:space="preserve">service territory </w:t>
      </w:r>
      <w:r w:rsidRPr="00553AA0">
        <w:rPr>
          <w:lang w:eastAsia="en-US"/>
        </w:rPr>
        <w:t>and find that at a minimum investors would expect $</w:t>
      </w:r>
      <w:r w:rsidR="00B6642A">
        <w:rPr>
          <w:lang w:eastAsia="en-US"/>
        </w:rPr>
        <w:t>75.7</w:t>
      </w:r>
      <w:r w:rsidR="0015139A">
        <w:rPr>
          <w:lang w:eastAsia="en-US"/>
        </w:rPr>
        <w:t xml:space="preserve"> </w:t>
      </w:r>
      <w:r w:rsidRPr="00553AA0">
        <w:rPr>
          <w:lang w:eastAsia="en-US"/>
        </w:rPr>
        <w:t xml:space="preserve">million in compensation to even entertain a transaction like </w:t>
      </w:r>
      <w:r w:rsidR="00B07FE9">
        <w:rPr>
          <w:lang w:eastAsia="en-US"/>
        </w:rPr>
        <w:t xml:space="preserve">the sale of the </w:t>
      </w:r>
      <w:r w:rsidRPr="00553AA0">
        <w:rPr>
          <w:lang w:eastAsia="en-US"/>
        </w:rPr>
        <w:t>Jefferson County</w:t>
      </w:r>
      <w:r w:rsidR="00B07FE9">
        <w:rPr>
          <w:lang w:eastAsia="en-US"/>
        </w:rPr>
        <w:t xml:space="preserve"> service territory</w:t>
      </w:r>
      <w:r w:rsidRPr="00553AA0">
        <w:rPr>
          <w:lang w:eastAsia="en-US"/>
        </w:rPr>
        <w:t>.  This analysis is based on the concept that for investors to be interested in a sale they need to recoup their associated debt, shareholder value, and additional compensation.  The steps in the calculation are outlined below.</w:t>
      </w:r>
    </w:p>
    <w:p w:rsidR="00553AA0" w:rsidRPr="00553AA0" w:rsidRDefault="00553AA0" w:rsidP="00F12C8F">
      <w:pPr>
        <w:pStyle w:val="Answer0"/>
        <w:numPr>
          <w:ilvl w:val="0"/>
          <w:numId w:val="48"/>
        </w:numPr>
        <w:rPr>
          <w:lang w:eastAsia="en-US"/>
        </w:rPr>
      </w:pPr>
      <w:r w:rsidRPr="00553AA0">
        <w:rPr>
          <w:lang w:eastAsia="en-US"/>
        </w:rPr>
        <w:t xml:space="preserve">All parties to this proceeding </w:t>
      </w:r>
      <w:r w:rsidR="00E2409E">
        <w:rPr>
          <w:lang w:eastAsia="en-US"/>
        </w:rPr>
        <w:t>appear to agree</w:t>
      </w:r>
      <w:r w:rsidRPr="00553AA0">
        <w:rPr>
          <w:lang w:eastAsia="en-US"/>
        </w:rPr>
        <w:t xml:space="preserve"> that Jefferson County had a net book value of $46.7 million.</w:t>
      </w:r>
    </w:p>
    <w:p w:rsidR="00553AA0" w:rsidRPr="00553AA0" w:rsidRDefault="00553AA0" w:rsidP="00F12C8F">
      <w:pPr>
        <w:pStyle w:val="Answer0"/>
        <w:numPr>
          <w:ilvl w:val="0"/>
          <w:numId w:val="48"/>
        </w:numPr>
        <w:rPr>
          <w:lang w:eastAsia="en-US"/>
        </w:rPr>
      </w:pPr>
      <w:r w:rsidRPr="00553AA0">
        <w:rPr>
          <w:lang w:eastAsia="en-US"/>
        </w:rPr>
        <w:t>The approved capital structure for PSE is 48% equity and 52% debt, which means $46.7 million in Jefferson County associated rate base would be financed using $22.4 million in equity and $24.3 million in debt.</w:t>
      </w:r>
    </w:p>
    <w:p w:rsidR="00553AA0" w:rsidRPr="00553AA0" w:rsidRDefault="00553AA0" w:rsidP="00F12C8F">
      <w:pPr>
        <w:pStyle w:val="Answer0"/>
        <w:numPr>
          <w:ilvl w:val="0"/>
          <w:numId w:val="48"/>
        </w:numPr>
        <w:rPr>
          <w:lang w:eastAsia="en-US"/>
        </w:rPr>
      </w:pPr>
      <w:r w:rsidRPr="00553AA0">
        <w:rPr>
          <w:lang w:eastAsia="en-US"/>
        </w:rPr>
        <w:t>PSE</w:t>
      </w:r>
      <w:r w:rsidR="00FB0875">
        <w:rPr>
          <w:lang w:eastAsia="en-US"/>
        </w:rPr>
        <w:t>’s</w:t>
      </w:r>
      <w:r w:rsidRPr="00553AA0">
        <w:rPr>
          <w:lang w:eastAsia="en-US"/>
        </w:rPr>
        <w:t xml:space="preserve"> authorized equity rate of return is 9.8%.  When 9.8% is applied to $22.4 million, Jefferson County would be contributing $2.2 million/year to PSE earnings. </w:t>
      </w:r>
    </w:p>
    <w:p w:rsidR="00553AA0" w:rsidRPr="00553AA0" w:rsidRDefault="00553AA0" w:rsidP="00F12C8F">
      <w:pPr>
        <w:pStyle w:val="Answer0"/>
        <w:numPr>
          <w:ilvl w:val="0"/>
          <w:numId w:val="48"/>
        </w:numPr>
        <w:rPr>
          <w:lang w:eastAsia="en-US"/>
        </w:rPr>
      </w:pPr>
      <w:r w:rsidRPr="00553AA0">
        <w:rPr>
          <w:lang w:eastAsia="en-US"/>
        </w:rPr>
        <w:t xml:space="preserve">In a sale of any business, investors would expect to be compensated for the debt obligations plus the value of business earnings plus additional compensation because otherwise there would be no incentive to sell. </w:t>
      </w:r>
    </w:p>
    <w:p w:rsidR="00116B23" w:rsidRPr="00232465" w:rsidRDefault="00553AA0" w:rsidP="00F12C8F">
      <w:pPr>
        <w:pStyle w:val="Answer0"/>
        <w:numPr>
          <w:ilvl w:val="0"/>
          <w:numId w:val="48"/>
        </w:numPr>
        <w:rPr>
          <w:lang w:eastAsia="en-US"/>
        </w:rPr>
      </w:pPr>
      <w:r w:rsidRPr="00E017A0">
        <w:rPr>
          <w:lang w:eastAsia="en-US"/>
        </w:rPr>
        <w:t xml:space="preserve">An annual “constant growth” </w:t>
      </w:r>
      <w:r w:rsidR="00667049" w:rsidRPr="00E017A0">
        <w:rPr>
          <w:lang w:eastAsia="en-US"/>
        </w:rPr>
        <w:t>DCF</w:t>
      </w:r>
      <w:r w:rsidRPr="00E017A0">
        <w:rPr>
          <w:lang w:eastAsia="en-US"/>
        </w:rPr>
        <w:t xml:space="preserve"> can be utilized to </w:t>
      </w:r>
      <w:r w:rsidR="00667049" w:rsidRPr="00E017A0">
        <w:rPr>
          <w:lang w:eastAsia="en-US"/>
        </w:rPr>
        <w:t xml:space="preserve">calculate the </w:t>
      </w:r>
      <w:r w:rsidRPr="00E017A0">
        <w:rPr>
          <w:lang w:eastAsia="en-US"/>
        </w:rPr>
        <w:t xml:space="preserve">present </w:t>
      </w:r>
      <w:r w:rsidR="00667049" w:rsidRPr="00E017A0">
        <w:rPr>
          <w:lang w:eastAsia="en-US"/>
        </w:rPr>
        <w:t xml:space="preserve">stock </w:t>
      </w:r>
      <w:r w:rsidRPr="00E017A0">
        <w:rPr>
          <w:lang w:eastAsia="en-US"/>
        </w:rPr>
        <w:t xml:space="preserve">value </w:t>
      </w:r>
      <w:r w:rsidR="00667049" w:rsidRPr="00E017A0">
        <w:rPr>
          <w:lang w:eastAsia="en-US"/>
        </w:rPr>
        <w:t xml:space="preserve">of </w:t>
      </w:r>
      <w:r w:rsidRPr="00E017A0">
        <w:rPr>
          <w:lang w:eastAsia="en-US"/>
        </w:rPr>
        <w:t xml:space="preserve">future earnings of a business by determining a “Gordon Growth” factor as follows: (1+ growth)/(discount rate – growth).  </w:t>
      </w:r>
      <w:r w:rsidR="00337E3A">
        <w:rPr>
          <w:lang w:eastAsia="en-US"/>
        </w:rPr>
        <w:t>ICNU</w:t>
      </w:r>
      <w:r w:rsidRPr="00232465">
        <w:rPr>
          <w:lang w:eastAsia="en-US"/>
        </w:rPr>
        <w:t xml:space="preserve"> refers to this model on pages 16 and 17 of </w:t>
      </w:r>
      <w:r w:rsidR="00337E3A">
        <w:rPr>
          <w:lang w:eastAsia="en-US"/>
        </w:rPr>
        <w:t>its</w:t>
      </w:r>
      <w:r w:rsidRPr="00232465">
        <w:rPr>
          <w:lang w:eastAsia="en-US"/>
        </w:rPr>
        <w:t xml:space="preserve"> </w:t>
      </w:r>
      <w:r w:rsidR="00667049" w:rsidRPr="00232465">
        <w:rPr>
          <w:lang w:eastAsia="en-US"/>
        </w:rPr>
        <w:t xml:space="preserve">response </w:t>
      </w:r>
      <w:r w:rsidRPr="00232465">
        <w:rPr>
          <w:lang w:eastAsia="en-US"/>
        </w:rPr>
        <w:t>testimony</w:t>
      </w:r>
      <w:r w:rsidR="00337E3A" w:rsidRPr="00337E3A">
        <w:rPr>
          <w:lang w:eastAsia="en-US"/>
        </w:rPr>
        <w:t xml:space="preserve"> </w:t>
      </w:r>
      <w:r w:rsidR="00337E3A" w:rsidRPr="00232465">
        <w:rPr>
          <w:lang w:eastAsia="en-US"/>
        </w:rPr>
        <w:t xml:space="preserve">in </w:t>
      </w:r>
      <w:r w:rsidR="00337E3A" w:rsidRPr="00232465">
        <w:rPr>
          <w:lang w:eastAsia="en-US"/>
        </w:rPr>
        <w:lastRenderedPageBreak/>
        <w:t>Docket Nos. UE-111048/UG-111049</w:t>
      </w:r>
      <w:r w:rsidR="00667049" w:rsidRPr="00232465">
        <w:rPr>
          <w:lang w:eastAsia="en-US"/>
        </w:rPr>
        <w:t>,</w:t>
      </w:r>
      <w:r w:rsidRPr="00232465">
        <w:rPr>
          <w:lang w:eastAsia="en-US"/>
        </w:rPr>
        <w:t xml:space="preserve"> Exhibit No. MPG-1T</w:t>
      </w:r>
      <w:r w:rsidR="00667049" w:rsidRPr="00232465">
        <w:rPr>
          <w:lang w:eastAsia="en-US"/>
        </w:rPr>
        <w:t>,</w:t>
      </w:r>
      <w:r w:rsidRPr="00232465">
        <w:rPr>
          <w:lang w:eastAsia="en-US"/>
        </w:rPr>
        <w:t xml:space="preserve"> </w:t>
      </w:r>
      <w:r w:rsidR="00667049" w:rsidRPr="00232465">
        <w:rPr>
          <w:lang w:eastAsia="en-US"/>
        </w:rPr>
        <w:t>stating,</w:t>
      </w:r>
      <w:r w:rsidRPr="00232465">
        <w:rPr>
          <w:lang w:eastAsia="en-US"/>
        </w:rPr>
        <w:t xml:space="preserve"> “the DCF model posits that a stock price is valued by summing the present value of expected future cash flows discounted at the investor’s required rate of return or cost of capital.”</w:t>
      </w:r>
      <w:r w:rsidR="00671359" w:rsidRPr="00232465">
        <w:rPr>
          <w:lang w:eastAsia="en-US"/>
        </w:rPr>
        <w:t xml:space="preserve">  </w:t>
      </w:r>
    </w:p>
    <w:p w:rsidR="00553AA0" w:rsidRPr="00232465" w:rsidRDefault="00553AA0" w:rsidP="00F12C8F">
      <w:pPr>
        <w:pStyle w:val="Answer0"/>
        <w:numPr>
          <w:ilvl w:val="0"/>
          <w:numId w:val="48"/>
        </w:numPr>
        <w:rPr>
          <w:lang w:eastAsia="en-US"/>
        </w:rPr>
      </w:pPr>
      <w:r w:rsidRPr="00232465">
        <w:rPr>
          <w:lang w:eastAsia="en-US"/>
        </w:rPr>
        <w:t>Assuming earnings growth is 4%</w:t>
      </w:r>
      <w:r w:rsidR="00E017A0" w:rsidRPr="00232465">
        <w:rPr>
          <w:lang w:eastAsia="en-US"/>
        </w:rPr>
        <w:t xml:space="preserve"> per </w:t>
      </w:r>
      <w:r w:rsidRPr="00232465">
        <w:rPr>
          <w:lang w:eastAsia="en-US"/>
        </w:rPr>
        <w:t xml:space="preserve">year and a discount rate equal to the equity return of 9.8%, then the Gordon model would calculate an 18 factor.  Note that on page 22 of </w:t>
      </w:r>
      <w:r w:rsidR="00337E3A">
        <w:rPr>
          <w:lang w:eastAsia="en-US"/>
        </w:rPr>
        <w:t>ICNU’s response testimony in</w:t>
      </w:r>
      <w:r w:rsidR="00337E3A" w:rsidRPr="00232465">
        <w:rPr>
          <w:lang w:eastAsia="en-US"/>
        </w:rPr>
        <w:t xml:space="preserve"> Docket Nos. UE-111048/UG-111049</w:t>
      </w:r>
      <w:r w:rsidR="00337E3A">
        <w:rPr>
          <w:lang w:eastAsia="en-US"/>
        </w:rPr>
        <w:t xml:space="preserve">, </w:t>
      </w:r>
      <w:r w:rsidRPr="00232465">
        <w:rPr>
          <w:lang w:eastAsia="en-US"/>
        </w:rPr>
        <w:t xml:space="preserve">Exhibit No. MPG-1T, </w:t>
      </w:r>
      <w:r w:rsidR="00667049" w:rsidRPr="00232465">
        <w:rPr>
          <w:lang w:eastAsia="en-US"/>
        </w:rPr>
        <w:t xml:space="preserve">Mr. </w:t>
      </w:r>
      <w:r w:rsidRPr="00232465">
        <w:rPr>
          <w:lang w:eastAsia="en-US"/>
        </w:rPr>
        <w:t>Gorman states</w:t>
      </w:r>
      <w:r w:rsidR="00FE1902" w:rsidRPr="00232465">
        <w:rPr>
          <w:lang w:eastAsia="en-US"/>
        </w:rPr>
        <w:t>,</w:t>
      </w:r>
      <w:r w:rsidRPr="00232465">
        <w:rPr>
          <w:lang w:eastAsia="en-US"/>
        </w:rPr>
        <w:t xml:space="preserve"> “the average and median sustainable growth rates for the proxy group using this internal growth rate model are 4.93% and 4.87%, respectively.” Therefore</w:t>
      </w:r>
      <w:r w:rsidR="00FE1902" w:rsidRPr="00232465">
        <w:rPr>
          <w:lang w:eastAsia="en-US"/>
        </w:rPr>
        <w:t>,</w:t>
      </w:r>
      <w:r w:rsidRPr="00232465">
        <w:rPr>
          <w:lang w:eastAsia="en-US"/>
        </w:rPr>
        <w:t xml:space="preserve"> the use of a 4% growth rate in this analysis should be viewed as conservative.</w:t>
      </w:r>
      <w:r w:rsidR="00671359" w:rsidRPr="00232465">
        <w:rPr>
          <w:lang w:eastAsia="en-US"/>
        </w:rPr>
        <w:t xml:space="preserve"> </w:t>
      </w:r>
    </w:p>
    <w:p w:rsidR="00553AA0" w:rsidRPr="00553AA0" w:rsidRDefault="00553AA0" w:rsidP="00F12C8F">
      <w:pPr>
        <w:pStyle w:val="Answer0"/>
        <w:numPr>
          <w:ilvl w:val="0"/>
          <w:numId w:val="48"/>
        </w:numPr>
        <w:rPr>
          <w:lang w:eastAsia="en-US"/>
        </w:rPr>
      </w:pPr>
      <w:r w:rsidRPr="00553AA0">
        <w:rPr>
          <w:lang w:eastAsia="en-US"/>
        </w:rPr>
        <w:t>This “factor” or multiplier is an estimate of what PSE’s stock price to earnings (P/E) ratio would be if publicly traded.  To examine the reasonableness of an 18 multiplier, I examined the P/E ratios for several electric utilities and found they typically range from 16 to 20 and this group’s average is 1</w:t>
      </w:r>
      <w:r w:rsidR="00E017A0">
        <w:rPr>
          <w:lang w:eastAsia="en-US"/>
        </w:rPr>
        <w:t>8.7</w:t>
      </w:r>
      <w:r w:rsidRPr="00553AA0">
        <w:rPr>
          <w:lang w:eastAsia="en-US"/>
        </w:rPr>
        <w:t xml:space="preserve">.  </w:t>
      </w:r>
      <w:r w:rsidR="00E017A0">
        <w:rPr>
          <w:lang w:eastAsia="en-US"/>
        </w:rPr>
        <w:t>In other words</w:t>
      </w:r>
      <w:r w:rsidR="00E017A0" w:rsidRPr="00553AA0">
        <w:rPr>
          <w:lang w:eastAsia="en-US"/>
        </w:rPr>
        <w:t>, if a shareholder wanted to purchase utility stock generating $2.2 million in earnings today, the</w:t>
      </w:r>
      <w:r w:rsidR="00936AA8">
        <w:rPr>
          <w:lang w:eastAsia="en-US"/>
        </w:rPr>
        <w:t xml:space="preserve"> shareholder </w:t>
      </w:r>
      <w:r w:rsidR="00E017A0" w:rsidRPr="00553AA0">
        <w:rPr>
          <w:lang w:eastAsia="en-US"/>
        </w:rPr>
        <w:t>would expect to pay around 18.7 x $2.2 million, or $41 million</w:t>
      </w:r>
      <w:r w:rsidR="00E017A0">
        <w:rPr>
          <w:lang w:eastAsia="en-US"/>
        </w:rPr>
        <w:t>,</w:t>
      </w:r>
      <w:r w:rsidR="00E017A0" w:rsidRPr="00553AA0">
        <w:rPr>
          <w:lang w:eastAsia="en-US"/>
        </w:rPr>
        <w:t xml:space="preserve"> to acquire such stock</w:t>
      </w:r>
      <w:r w:rsidR="00E017A0">
        <w:rPr>
          <w:lang w:eastAsia="en-US"/>
        </w:rPr>
        <w:t xml:space="preserve">.  </w:t>
      </w:r>
      <w:r w:rsidR="00FE1902">
        <w:rPr>
          <w:lang w:eastAsia="en-US"/>
        </w:rPr>
        <w:t xml:space="preserve">A list of the P/E ratios I examined is provided in Exhibit No.  ___(RCB-3).  </w:t>
      </w:r>
      <w:r w:rsidRPr="00553AA0">
        <w:rPr>
          <w:lang w:eastAsia="en-US"/>
        </w:rPr>
        <w:t xml:space="preserve">In addition, I examined the subset of utilities that </w:t>
      </w:r>
      <w:r w:rsidR="00337E3A">
        <w:rPr>
          <w:lang w:eastAsia="en-US"/>
        </w:rPr>
        <w:t>ICNU</w:t>
      </w:r>
      <w:r w:rsidRPr="00553AA0">
        <w:rPr>
          <w:lang w:eastAsia="en-US"/>
        </w:rPr>
        <w:t xml:space="preserve"> propose</w:t>
      </w:r>
      <w:r w:rsidR="00337E3A">
        <w:rPr>
          <w:lang w:eastAsia="en-US"/>
        </w:rPr>
        <w:t>s</w:t>
      </w:r>
      <w:r w:rsidRPr="00553AA0">
        <w:rPr>
          <w:lang w:eastAsia="en-US"/>
        </w:rPr>
        <w:t xml:space="preserve"> as PSE’s peer group in </w:t>
      </w:r>
      <w:r w:rsidR="00F43E4A">
        <w:rPr>
          <w:lang w:eastAsia="en-US"/>
        </w:rPr>
        <w:t>its</w:t>
      </w:r>
      <w:r w:rsidRPr="00553AA0">
        <w:rPr>
          <w:lang w:eastAsia="en-US"/>
        </w:rPr>
        <w:t xml:space="preserve"> calculations of </w:t>
      </w:r>
      <w:r w:rsidRPr="00553AA0">
        <w:rPr>
          <w:lang w:eastAsia="en-US"/>
        </w:rPr>
        <w:lastRenderedPageBreak/>
        <w:t xml:space="preserve">what </w:t>
      </w:r>
      <w:r w:rsidR="00F43E4A">
        <w:rPr>
          <w:lang w:eastAsia="en-US"/>
        </w:rPr>
        <w:t>it</w:t>
      </w:r>
      <w:r w:rsidRPr="00553AA0">
        <w:rPr>
          <w:lang w:eastAsia="en-US"/>
        </w:rPr>
        <w:t xml:space="preserve"> believe</w:t>
      </w:r>
      <w:r w:rsidR="00F43E4A">
        <w:rPr>
          <w:lang w:eastAsia="en-US"/>
        </w:rPr>
        <w:t>s</w:t>
      </w:r>
      <w:r w:rsidRPr="00553AA0">
        <w:rPr>
          <w:lang w:eastAsia="en-US"/>
        </w:rPr>
        <w:t xml:space="preserve"> PSE’s allowed return on equity should be in </w:t>
      </w:r>
      <w:r w:rsidR="00FE1902">
        <w:rPr>
          <w:lang w:eastAsia="en-US"/>
        </w:rPr>
        <w:t xml:space="preserve">PSE’s most recent general rate case, </w:t>
      </w:r>
      <w:r w:rsidRPr="00553AA0">
        <w:rPr>
          <w:lang w:eastAsia="en-US"/>
        </w:rPr>
        <w:t xml:space="preserve">Docket Nos. UE-111048/UG-111049.  These utilities, </w:t>
      </w:r>
      <w:r w:rsidR="00936AA8">
        <w:rPr>
          <w:lang w:eastAsia="en-US"/>
        </w:rPr>
        <w:t>highlighted</w:t>
      </w:r>
      <w:r w:rsidRPr="00553AA0">
        <w:rPr>
          <w:lang w:eastAsia="en-US"/>
        </w:rPr>
        <w:t xml:space="preserve"> in </w:t>
      </w:r>
      <w:r w:rsidR="00FE1902">
        <w:rPr>
          <w:lang w:eastAsia="en-US"/>
        </w:rPr>
        <w:t>E</w:t>
      </w:r>
      <w:r w:rsidR="0056364E">
        <w:rPr>
          <w:lang w:eastAsia="en-US"/>
        </w:rPr>
        <w:t>xhibit No. ___(RCB-3</w:t>
      </w:r>
      <w:r w:rsidR="00FE1902">
        <w:rPr>
          <w:lang w:eastAsia="en-US"/>
        </w:rPr>
        <w:t>)</w:t>
      </w:r>
      <w:r w:rsidRPr="00553AA0">
        <w:rPr>
          <w:lang w:eastAsia="en-US"/>
        </w:rPr>
        <w:t xml:space="preserve">, are currently trading with an average 17.5 P/E ratio. </w:t>
      </w:r>
      <w:r w:rsidR="00FE1902">
        <w:rPr>
          <w:lang w:eastAsia="en-US"/>
        </w:rPr>
        <w:t xml:space="preserve"> </w:t>
      </w:r>
      <w:r w:rsidRPr="00553AA0">
        <w:rPr>
          <w:lang w:eastAsia="en-US"/>
        </w:rPr>
        <w:t xml:space="preserve">I therefore conclude the 18 multiplier of earnings is a </w:t>
      </w:r>
      <w:r w:rsidR="00F27F7D" w:rsidRPr="00553AA0">
        <w:rPr>
          <w:lang w:eastAsia="en-US"/>
        </w:rPr>
        <w:t>reasonab</w:t>
      </w:r>
      <w:r w:rsidR="00F27F7D">
        <w:rPr>
          <w:lang w:eastAsia="en-US"/>
        </w:rPr>
        <w:t>le</w:t>
      </w:r>
      <w:r w:rsidR="00F27F7D" w:rsidRPr="00553AA0">
        <w:rPr>
          <w:lang w:eastAsia="en-US"/>
        </w:rPr>
        <w:t xml:space="preserve"> </w:t>
      </w:r>
      <w:r w:rsidRPr="00553AA0">
        <w:rPr>
          <w:lang w:eastAsia="en-US"/>
        </w:rPr>
        <w:t xml:space="preserve">estimate of stock value in PSE’s case.   </w:t>
      </w:r>
    </w:p>
    <w:p w:rsidR="00553AA0" w:rsidRPr="00553AA0" w:rsidRDefault="00553AA0" w:rsidP="00F12C8F">
      <w:pPr>
        <w:pStyle w:val="Answer0"/>
        <w:numPr>
          <w:ilvl w:val="0"/>
          <w:numId w:val="48"/>
        </w:numPr>
        <w:rPr>
          <w:lang w:eastAsia="en-US"/>
        </w:rPr>
      </w:pPr>
      <w:r w:rsidRPr="00553AA0">
        <w:rPr>
          <w:lang w:eastAsia="en-US"/>
        </w:rPr>
        <w:t xml:space="preserve">In addition, a stockholder would expect to receive more than just its “stock value” in a transaction, with 20 to 25% additional compensation not being unusual.  </w:t>
      </w:r>
      <w:r w:rsidR="00163E46">
        <w:rPr>
          <w:lang w:eastAsia="en-US"/>
        </w:rPr>
        <w:t>A</w:t>
      </w:r>
      <w:r w:rsidR="0056364E">
        <w:rPr>
          <w:lang w:eastAsia="en-US"/>
        </w:rPr>
        <w:t xml:space="preserve"> recent example of such a transaction is</w:t>
      </w:r>
      <w:r w:rsidRPr="00553AA0">
        <w:rPr>
          <w:lang w:eastAsia="en-US"/>
        </w:rPr>
        <w:t xml:space="preserve"> MidAmerican’s 2013 </w:t>
      </w:r>
      <w:r w:rsidR="0056364E">
        <w:rPr>
          <w:lang w:eastAsia="en-US"/>
        </w:rPr>
        <w:t>purchase of</w:t>
      </w:r>
      <w:r w:rsidRPr="00553AA0">
        <w:rPr>
          <w:lang w:eastAsia="en-US"/>
        </w:rPr>
        <w:t xml:space="preserve"> NV Energy</w:t>
      </w:r>
      <w:r w:rsidR="0056364E">
        <w:rPr>
          <w:lang w:eastAsia="en-US"/>
        </w:rPr>
        <w:t>,</w:t>
      </w:r>
      <w:r w:rsidRPr="00553AA0">
        <w:rPr>
          <w:lang w:eastAsia="en-US"/>
        </w:rPr>
        <w:t xml:space="preserve"> </w:t>
      </w:r>
      <w:r w:rsidR="0056364E">
        <w:rPr>
          <w:lang w:eastAsia="en-US"/>
        </w:rPr>
        <w:t xml:space="preserve">in </w:t>
      </w:r>
      <w:r w:rsidRPr="00553AA0">
        <w:rPr>
          <w:lang w:eastAsia="en-US"/>
        </w:rPr>
        <w:t>which</w:t>
      </w:r>
      <w:r w:rsidR="0056364E">
        <w:rPr>
          <w:lang w:eastAsia="en-US"/>
        </w:rPr>
        <w:t>,</w:t>
      </w:r>
      <w:r w:rsidRPr="00553AA0">
        <w:rPr>
          <w:lang w:eastAsia="en-US"/>
        </w:rPr>
        <w:t xml:space="preserve"> according to a May 29, 2013 New York Times article (</w:t>
      </w:r>
      <w:hyperlink r:id="rId14" w:history="1">
        <w:r w:rsidRPr="00553AA0">
          <w:rPr>
            <w:color w:val="0000FF"/>
            <w:u w:val="single"/>
            <w:lang w:eastAsia="en-US"/>
          </w:rPr>
          <w:t>http://dealbook.nytimes.com/2013/05/29/berkshire-unit-in-5-6-billion-deal-for-nevadas-largest-electric-utility/</w:t>
        </w:r>
      </w:hyperlink>
      <w:r w:rsidRPr="00553AA0">
        <w:rPr>
          <w:lang w:eastAsia="en-US"/>
        </w:rPr>
        <w:t>)</w:t>
      </w:r>
      <w:r w:rsidR="0056364E">
        <w:rPr>
          <w:lang w:eastAsia="en-US"/>
        </w:rPr>
        <w:t>,</w:t>
      </w:r>
      <w:r w:rsidRPr="00553AA0">
        <w:rPr>
          <w:lang w:eastAsia="en-US"/>
        </w:rPr>
        <w:t xml:space="preserve"> </w:t>
      </w:r>
      <w:r w:rsidR="0056364E">
        <w:rPr>
          <w:lang w:eastAsia="en-US"/>
        </w:rPr>
        <w:t>MidAmerican paid</w:t>
      </w:r>
      <w:r w:rsidR="0056364E" w:rsidRPr="00553AA0">
        <w:rPr>
          <w:lang w:eastAsia="en-US"/>
        </w:rPr>
        <w:t xml:space="preserve"> </w:t>
      </w:r>
      <w:r w:rsidRPr="00553AA0">
        <w:rPr>
          <w:lang w:eastAsia="en-US"/>
        </w:rPr>
        <w:t xml:space="preserve">a 23 percent premium for NV Energy.  </w:t>
      </w:r>
      <w:r w:rsidR="009D50D7">
        <w:rPr>
          <w:lang w:eastAsia="en-US"/>
        </w:rPr>
        <w:t>In Puget Holdings, LLC.’s</w:t>
      </w:r>
      <w:r w:rsidR="00671359">
        <w:rPr>
          <w:lang w:eastAsia="en-US"/>
        </w:rPr>
        <w:t xml:space="preserve"> </w:t>
      </w:r>
      <w:r w:rsidR="009D50D7">
        <w:rPr>
          <w:lang w:eastAsia="en-US"/>
        </w:rPr>
        <w:t xml:space="preserve">acquisition of PSE in Docket No. U-072375, Puget Holdings paid a 25% premium for the utility.  (See Order 08 at ¶ 53).  </w:t>
      </w:r>
      <w:r w:rsidRPr="00553AA0">
        <w:rPr>
          <w:lang w:eastAsia="en-US"/>
        </w:rPr>
        <w:t xml:space="preserve">I consider </w:t>
      </w:r>
      <w:r w:rsidR="00F27F7D">
        <w:rPr>
          <w:lang w:eastAsia="en-US"/>
        </w:rPr>
        <w:t>23%</w:t>
      </w:r>
      <w:r w:rsidR="00F27F7D" w:rsidRPr="00553AA0">
        <w:rPr>
          <w:lang w:eastAsia="en-US"/>
        </w:rPr>
        <w:t xml:space="preserve"> </w:t>
      </w:r>
      <w:r w:rsidRPr="00553AA0">
        <w:rPr>
          <w:lang w:eastAsia="en-US"/>
        </w:rPr>
        <w:t>a conservative factor in this case</w:t>
      </w:r>
      <w:r w:rsidR="009C5C39">
        <w:rPr>
          <w:lang w:eastAsia="en-US"/>
        </w:rPr>
        <w:t>, which</w:t>
      </w:r>
      <w:r w:rsidRPr="00553AA0">
        <w:rPr>
          <w:lang w:eastAsia="en-US"/>
        </w:rPr>
        <w:t xml:space="preserve"> involv</w:t>
      </w:r>
      <w:r w:rsidR="009C5C39">
        <w:rPr>
          <w:lang w:eastAsia="en-US"/>
        </w:rPr>
        <w:t>es</w:t>
      </w:r>
      <w:r w:rsidRPr="00553AA0">
        <w:rPr>
          <w:lang w:eastAsia="en-US"/>
        </w:rPr>
        <w:t xml:space="preserve"> a partial sale</w:t>
      </w:r>
      <w:r w:rsidR="009C5C39">
        <w:rPr>
          <w:lang w:eastAsia="en-US"/>
        </w:rPr>
        <w:t>,</w:t>
      </w:r>
      <w:r w:rsidRPr="00553AA0">
        <w:rPr>
          <w:lang w:eastAsia="en-US"/>
        </w:rPr>
        <w:t xml:space="preserve"> because utility investors are </w:t>
      </w:r>
      <w:r w:rsidR="009C5C39" w:rsidRPr="00553AA0">
        <w:rPr>
          <w:lang w:eastAsia="en-US"/>
        </w:rPr>
        <w:t>long</w:t>
      </w:r>
      <w:r w:rsidR="009C5C39">
        <w:rPr>
          <w:lang w:eastAsia="en-US"/>
        </w:rPr>
        <w:t>-</w:t>
      </w:r>
      <w:r w:rsidRPr="00553AA0">
        <w:rPr>
          <w:lang w:eastAsia="en-US"/>
        </w:rPr>
        <w:t>term investor</w:t>
      </w:r>
      <w:r w:rsidR="009C5C39">
        <w:rPr>
          <w:lang w:eastAsia="en-US"/>
        </w:rPr>
        <w:t>s</w:t>
      </w:r>
      <w:r w:rsidRPr="00553AA0">
        <w:rPr>
          <w:lang w:eastAsia="en-US"/>
        </w:rPr>
        <w:t xml:space="preserve"> interested in the predictability of earnings</w:t>
      </w:r>
      <w:r w:rsidR="00AA2C8E">
        <w:rPr>
          <w:lang w:eastAsia="en-US"/>
        </w:rPr>
        <w:t xml:space="preserve">; they are not typically interested in </w:t>
      </w:r>
      <w:r w:rsidRPr="00553AA0">
        <w:rPr>
          <w:lang w:eastAsia="en-US"/>
        </w:rPr>
        <w:t xml:space="preserve">selling a portion of their business for a short-term gain. </w:t>
      </w:r>
    </w:p>
    <w:p w:rsidR="00553AA0" w:rsidRPr="00553AA0" w:rsidRDefault="00553AA0" w:rsidP="00F12C8F">
      <w:pPr>
        <w:pStyle w:val="Answer0"/>
        <w:numPr>
          <w:ilvl w:val="0"/>
          <w:numId w:val="48"/>
        </w:numPr>
        <w:rPr>
          <w:lang w:eastAsia="en-US"/>
        </w:rPr>
      </w:pPr>
      <w:r w:rsidRPr="00553AA0">
        <w:rPr>
          <w:lang w:eastAsia="en-US"/>
        </w:rPr>
        <w:t>So for shareholder</w:t>
      </w:r>
      <w:r w:rsidR="009C5C39">
        <w:rPr>
          <w:lang w:eastAsia="en-US"/>
        </w:rPr>
        <w:t>s</w:t>
      </w:r>
      <w:r w:rsidRPr="00553AA0">
        <w:rPr>
          <w:lang w:eastAsia="en-US"/>
        </w:rPr>
        <w:t xml:space="preserve"> in this scenario to consider a transaction involving the loss of $2.2 million/year in earnings</w:t>
      </w:r>
      <w:r w:rsidR="009C5C39">
        <w:rPr>
          <w:lang w:eastAsia="en-US"/>
        </w:rPr>
        <w:t>,</w:t>
      </w:r>
      <w:r w:rsidRPr="00553AA0">
        <w:rPr>
          <w:lang w:eastAsia="en-US"/>
        </w:rPr>
        <w:t xml:space="preserve"> they would normally want at least </w:t>
      </w:r>
      <w:bookmarkStart w:id="7" w:name="OLE_LINK1"/>
      <w:r w:rsidRPr="00553AA0">
        <w:rPr>
          <w:lang w:eastAsia="en-US"/>
        </w:rPr>
        <w:t>$2.2*18*1.23, or $</w:t>
      </w:r>
      <w:r w:rsidR="00B6642A">
        <w:rPr>
          <w:lang w:eastAsia="en-US"/>
        </w:rPr>
        <w:t>48.7</w:t>
      </w:r>
      <w:r w:rsidRPr="00553AA0">
        <w:rPr>
          <w:lang w:eastAsia="en-US"/>
        </w:rPr>
        <w:t xml:space="preserve"> </w:t>
      </w:r>
      <w:bookmarkEnd w:id="7"/>
      <w:r w:rsidRPr="00553AA0">
        <w:rPr>
          <w:lang w:eastAsia="en-US"/>
        </w:rPr>
        <w:t>million in compensation</w:t>
      </w:r>
      <w:r w:rsidR="0015139A">
        <w:rPr>
          <w:lang w:eastAsia="en-US"/>
        </w:rPr>
        <w:t xml:space="preserve"> plus transaction costs of $2.7 million</w:t>
      </w:r>
      <w:r w:rsidRPr="00553AA0">
        <w:rPr>
          <w:lang w:eastAsia="en-US"/>
        </w:rPr>
        <w:t xml:space="preserve">. </w:t>
      </w:r>
    </w:p>
    <w:p w:rsidR="00553AA0" w:rsidRDefault="00553AA0" w:rsidP="00F12C8F">
      <w:pPr>
        <w:pStyle w:val="Answer0"/>
        <w:numPr>
          <w:ilvl w:val="0"/>
          <w:numId w:val="48"/>
        </w:numPr>
        <w:rPr>
          <w:lang w:eastAsia="en-US"/>
        </w:rPr>
      </w:pPr>
      <w:r w:rsidRPr="00553AA0">
        <w:rPr>
          <w:lang w:eastAsia="en-US"/>
        </w:rPr>
        <w:lastRenderedPageBreak/>
        <w:t xml:space="preserve">Therefore, the amount of transaction compensation an investor </w:t>
      </w:r>
      <w:r w:rsidR="009C5C39">
        <w:rPr>
          <w:lang w:eastAsia="en-US"/>
        </w:rPr>
        <w:t>would require before</w:t>
      </w:r>
      <w:r w:rsidRPr="00553AA0">
        <w:rPr>
          <w:lang w:eastAsia="en-US"/>
        </w:rPr>
        <w:t xml:space="preserve"> even consider</w:t>
      </w:r>
      <w:r w:rsidR="009C5C39">
        <w:rPr>
          <w:lang w:eastAsia="en-US"/>
        </w:rPr>
        <w:t>ing</w:t>
      </w:r>
      <w:r w:rsidRPr="00553AA0">
        <w:rPr>
          <w:lang w:eastAsia="en-US"/>
        </w:rPr>
        <w:t xml:space="preserve"> a transaction under normal circumstances (acting without compulsion) would be $</w:t>
      </w:r>
      <w:r w:rsidR="0015139A">
        <w:rPr>
          <w:lang w:eastAsia="en-US"/>
        </w:rPr>
        <w:t>24.3</w:t>
      </w:r>
      <w:r w:rsidR="00AD739E" w:rsidRPr="00553AA0">
        <w:rPr>
          <w:lang w:eastAsia="en-US"/>
        </w:rPr>
        <w:t xml:space="preserve"> </w:t>
      </w:r>
      <w:r w:rsidRPr="00553AA0">
        <w:rPr>
          <w:lang w:eastAsia="en-US"/>
        </w:rPr>
        <w:t>million (debt obligations) plus $</w:t>
      </w:r>
      <w:r w:rsidR="00B6642A">
        <w:rPr>
          <w:lang w:eastAsia="en-US"/>
        </w:rPr>
        <w:t>48.7</w:t>
      </w:r>
      <w:r w:rsidR="00AD739E" w:rsidRPr="00553AA0">
        <w:rPr>
          <w:lang w:eastAsia="en-US"/>
        </w:rPr>
        <w:t xml:space="preserve"> </w:t>
      </w:r>
      <w:r w:rsidRPr="00553AA0">
        <w:rPr>
          <w:lang w:eastAsia="en-US"/>
        </w:rPr>
        <w:t xml:space="preserve">million (equity), </w:t>
      </w:r>
      <w:r w:rsidR="00AD739E">
        <w:rPr>
          <w:lang w:eastAsia="en-US"/>
        </w:rPr>
        <w:t>plus transaction costs of $2.7 million for a total of</w:t>
      </w:r>
      <w:r w:rsidR="0015139A">
        <w:rPr>
          <w:lang w:eastAsia="en-US"/>
        </w:rPr>
        <w:t xml:space="preserve"> $</w:t>
      </w:r>
      <w:r w:rsidR="00B6642A">
        <w:rPr>
          <w:lang w:eastAsia="en-US"/>
        </w:rPr>
        <w:t>75.7</w:t>
      </w:r>
      <w:r w:rsidR="0015139A">
        <w:rPr>
          <w:lang w:eastAsia="en-US"/>
        </w:rPr>
        <w:t xml:space="preserve"> million</w:t>
      </w:r>
      <w:r w:rsidRPr="00553AA0">
        <w:rPr>
          <w:lang w:eastAsia="en-US"/>
        </w:rPr>
        <w:t>.</w:t>
      </w:r>
      <w:r w:rsidR="00AA2C8E">
        <w:rPr>
          <w:lang w:eastAsia="en-US"/>
        </w:rPr>
        <w:t xml:space="preserve">  It is only after this minimum $</w:t>
      </w:r>
      <w:r w:rsidR="00B6642A">
        <w:rPr>
          <w:lang w:eastAsia="en-US"/>
        </w:rPr>
        <w:t>75.7</w:t>
      </w:r>
      <w:r w:rsidR="00AA2C8E">
        <w:rPr>
          <w:lang w:eastAsia="en-US"/>
        </w:rPr>
        <w:t xml:space="preserve"> million is reached that the Commission should consider any equitable sharing of gain between customers and shareholders</w:t>
      </w:r>
      <w:r w:rsidR="00281FC8">
        <w:rPr>
          <w:lang w:eastAsia="en-US"/>
        </w:rPr>
        <w:t xml:space="preserve">.  </w:t>
      </w:r>
    </w:p>
    <w:p w:rsidR="00F27F7D" w:rsidRPr="00F43E4A" w:rsidRDefault="00F27F7D" w:rsidP="00662598">
      <w:pPr>
        <w:pStyle w:val="Answer0"/>
        <w:ind w:firstLine="0"/>
      </w:pPr>
      <w:r w:rsidRPr="00F43E4A">
        <w:t xml:space="preserve">Below is a chart summarizing the minimum amount of transaction value in a format </w:t>
      </w:r>
      <w:r w:rsidR="00167C21" w:rsidRPr="00F43E4A">
        <w:t>similar</w:t>
      </w:r>
      <w:r w:rsidRPr="00F43E4A">
        <w:t xml:space="preserve"> to </w:t>
      </w:r>
      <w:r w:rsidR="00F43E4A" w:rsidRPr="00F43E4A">
        <w:t>Staff’s</w:t>
      </w:r>
      <w:r w:rsidRPr="00F43E4A">
        <w:t xml:space="preserve">. </w:t>
      </w:r>
    </w:p>
    <w:p w:rsidR="00167C21" w:rsidRDefault="00822779" w:rsidP="00232465">
      <w:pPr>
        <w:pStyle w:val="Answer0"/>
        <w:ind w:left="0" w:firstLine="0"/>
        <w:jc w:val="center"/>
        <w:rPr>
          <w:lang w:eastAsia="en-US"/>
        </w:rPr>
      </w:pPr>
      <w:r w:rsidRPr="00822779">
        <w:rPr>
          <w:noProof/>
          <w:lang w:eastAsia="en-US"/>
        </w:rPr>
        <w:drawing>
          <wp:inline distT="0" distB="0" distL="0" distR="0" wp14:anchorId="160A2F79" wp14:editId="1FCBF6E5">
            <wp:extent cx="3587750" cy="3384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7750" cy="3384550"/>
                    </a:xfrm>
                    <a:prstGeom prst="rect">
                      <a:avLst/>
                    </a:prstGeom>
                    <a:noFill/>
                    <a:ln>
                      <a:noFill/>
                    </a:ln>
                  </pic:spPr>
                </pic:pic>
              </a:graphicData>
            </a:graphic>
          </wp:inline>
        </w:drawing>
      </w:r>
    </w:p>
    <w:p w:rsidR="0074460F" w:rsidRDefault="0074460F" w:rsidP="00936AA8">
      <w:pPr>
        <w:pStyle w:val="question"/>
      </w:pPr>
      <w:r w:rsidRPr="003807C7">
        <w:t>Q.</w:t>
      </w:r>
      <w:r w:rsidRPr="003807C7">
        <w:tab/>
      </w:r>
      <w:r w:rsidR="00936AA8">
        <w:t>Does</w:t>
      </w:r>
      <w:r w:rsidR="004858F2" w:rsidRPr="003807C7">
        <w:t xml:space="preserve"> </w:t>
      </w:r>
      <w:r w:rsidRPr="003807C7">
        <w:t>$</w:t>
      </w:r>
      <w:r w:rsidR="00B6642A">
        <w:t>75.7</w:t>
      </w:r>
      <w:r w:rsidRPr="003807C7">
        <w:t xml:space="preserve"> million reflect a fair and reasonable allocation of gain on sale in this case?</w:t>
      </w:r>
    </w:p>
    <w:p w:rsidR="0074460F" w:rsidRDefault="0074460F" w:rsidP="00662598">
      <w:pPr>
        <w:pStyle w:val="Answer0"/>
      </w:pPr>
      <w:r>
        <w:lastRenderedPageBreak/>
        <w:t>A.</w:t>
      </w:r>
      <w:r>
        <w:tab/>
        <w:t xml:space="preserve">No, </w:t>
      </w:r>
      <w:r w:rsidR="00F314C4">
        <w:t xml:space="preserve">and to be clear, </w:t>
      </w:r>
      <w:r>
        <w:t xml:space="preserve">I have not attempted to allocate gain on sale in my analysis.  We need to be careful in distinguishing "gain" on sale from what I have </w:t>
      </w:r>
      <w:r w:rsidR="00F314C4">
        <w:t>described as</w:t>
      </w:r>
      <w:r>
        <w:t xml:space="preserve"> the minimum amount of compensation that investors should receive to avoid harm.  My calculations reflect the minimum amount of money that is required to incent someone to even consider selling an asset.  It does not determine the purchase price of that asset, or how much "gain on sale" the owner of the asset may be able to realize if it does decide to sell the asset.   </w:t>
      </w:r>
    </w:p>
    <w:p w:rsidR="0074460F" w:rsidRDefault="0074460F" w:rsidP="00662598">
      <w:pPr>
        <w:pStyle w:val="Answer0"/>
      </w:pPr>
      <w:r>
        <w:tab/>
        <w:t xml:space="preserve">These are important distinctions.  The purchase price in this case was </w:t>
      </w:r>
      <w:r w:rsidRPr="00B6642A">
        <w:t>$109,</w:t>
      </w:r>
      <w:r w:rsidR="004723F1" w:rsidRPr="00B6642A">
        <w:t>2</w:t>
      </w:r>
      <w:r w:rsidR="004723F1">
        <w:t>73</w:t>
      </w:r>
      <w:r>
        <w:t>,196 and</w:t>
      </w:r>
      <w:r w:rsidR="004723F1">
        <w:t>,</w:t>
      </w:r>
      <w:r>
        <w:t xml:space="preserve"> based upon analysis done by both PSE and JPUD, </w:t>
      </w:r>
      <w:r w:rsidR="004723F1">
        <w:t xml:space="preserve">this </w:t>
      </w:r>
      <w:r w:rsidR="00B571A2">
        <w:t xml:space="preserve">amount </w:t>
      </w:r>
      <w:r>
        <w:t xml:space="preserve">was determined to be a reasonable reflection of the fair market value of these asset. </w:t>
      </w:r>
      <w:r w:rsidR="00B571A2">
        <w:t>F</w:t>
      </w:r>
      <w:r>
        <w:t>air market value reflects the intersection of what a willing purchaser is willing to pay to acquire an asset, and what a willing seller is willing to accept to sell an asset.  My analysis of the minimum amount of money it would take to incent an investor to even consider selling these assets is not a fair market value appraisal, it is simply a reflection of the value of the investment from the standpoint of the investor.  Normally the fair market value would be greater than this amount because otherwise there is no financial incentive for an investor to sell a business or asset.   And that is true in this case</w:t>
      </w:r>
      <w:r w:rsidR="00936AA8">
        <w:t xml:space="preserve"> – </w:t>
      </w:r>
      <w:r>
        <w:t xml:space="preserve">the resulting actual purchase price is higher than what I concluded is the minimum compensation investors would require before possibly entertaining a transaction of this type. </w:t>
      </w:r>
    </w:p>
    <w:p w:rsidR="0074460F" w:rsidRDefault="0074460F" w:rsidP="00662598">
      <w:pPr>
        <w:pStyle w:val="Answer0"/>
        <w:rPr>
          <w:lang w:eastAsia="en-US"/>
        </w:rPr>
      </w:pPr>
      <w:r>
        <w:tab/>
        <w:t xml:space="preserve">The "gain on sale" is the excess of the proceeds over the net book value of the asset being sold, less transaction costs.  In this case, we know this amount to be </w:t>
      </w:r>
      <w:r w:rsidRPr="00936AA8">
        <w:lastRenderedPageBreak/>
        <w:t>$59.9 million</w:t>
      </w:r>
      <w:r w:rsidRPr="00C13340">
        <w:t>.</w:t>
      </w:r>
      <w:r>
        <w:t xml:space="preserve">  Normally, gain on sale goes to the owner of the asset that is being sold.  However, I understand in this case, PSE has offered to share the gain on sale.  So, after accounting for the minimum amount of compensation that investors should receive to avoid harm, which I believe to be </w:t>
      </w:r>
      <w:r w:rsidRPr="007E1986">
        <w:t>$</w:t>
      </w:r>
      <w:r w:rsidR="00B6642A">
        <w:t>75.7</w:t>
      </w:r>
      <w:r w:rsidRPr="007E1986">
        <w:t xml:space="preserve"> million</w:t>
      </w:r>
      <w:r>
        <w:t xml:space="preserve">, PSE is offering to share the </w:t>
      </w:r>
      <w:r w:rsidR="00163E46">
        <w:t>balance</w:t>
      </w:r>
      <w:r>
        <w:t xml:space="preserve">, in approximately equal proportions.  </w:t>
      </w:r>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t>Some argue if the shareholder gets net book value they can just reinvest those proceeds back into the business and get the same return.</w:t>
      </w:r>
      <w:r w:rsidR="00F43E4A">
        <w:rPr>
          <w:rStyle w:val="FootnoteReference"/>
          <w:lang w:eastAsia="en-US"/>
        </w:rPr>
        <w:footnoteReference w:id="4"/>
      </w:r>
      <w:r w:rsidRPr="00553AA0">
        <w:rPr>
          <w:lang w:eastAsia="en-US"/>
        </w:rPr>
        <w:t xml:space="preserve">  What is your view on this topic?</w:t>
      </w:r>
    </w:p>
    <w:p w:rsidR="00553AA0" w:rsidRPr="00553AA0" w:rsidRDefault="00553AA0" w:rsidP="009F2B27">
      <w:pPr>
        <w:pStyle w:val="Answer0"/>
        <w:rPr>
          <w:lang w:eastAsia="en-US"/>
        </w:rPr>
      </w:pPr>
      <w:r w:rsidRPr="00F43E4A">
        <w:rPr>
          <w:lang w:eastAsia="en-US"/>
        </w:rPr>
        <w:t>A</w:t>
      </w:r>
      <w:r w:rsidR="004F3586" w:rsidRPr="00F43E4A">
        <w:rPr>
          <w:lang w:eastAsia="en-US"/>
        </w:rPr>
        <w:t>.</w:t>
      </w:r>
      <w:r w:rsidRPr="00F43E4A">
        <w:rPr>
          <w:lang w:eastAsia="en-US"/>
        </w:rPr>
        <w:tab/>
      </w:r>
      <w:r w:rsidRPr="00553AA0">
        <w:rPr>
          <w:lang w:eastAsia="en-US"/>
        </w:rPr>
        <w:t>PSE’s rate base has been permanently reduced by the departure and loss of Jefferson County assets and customers</w:t>
      </w:r>
      <w:r w:rsidR="00281FC8">
        <w:rPr>
          <w:lang w:eastAsia="en-US"/>
        </w:rPr>
        <w:t>;</w:t>
      </w:r>
      <w:r w:rsidR="00BE6BED">
        <w:rPr>
          <w:lang w:eastAsia="en-US"/>
        </w:rPr>
        <w:t xml:space="preserve"> therefore</w:t>
      </w:r>
      <w:r w:rsidR="00281FC8">
        <w:rPr>
          <w:lang w:eastAsia="en-US"/>
        </w:rPr>
        <w:t>,</w:t>
      </w:r>
      <w:r w:rsidR="00BE6BED">
        <w:rPr>
          <w:lang w:eastAsia="en-US"/>
        </w:rPr>
        <w:t xml:space="preserve"> there are no future earnings opportunity to make up for the loss of Jefferson County</w:t>
      </w:r>
      <w:r w:rsidRPr="00553AA0">
        <w:rPr>
          <w:lang w:eastAsia="en-US"/>
        </w:rPr>
        <w:t>.  The sale of</w:t>
      </w:r>
      <w:r w:rsidR="00281FC8">
        <w:rPr>
          <w:lang w:eastAsia="en-US"/>
        </w:rPr>
        <w:t xml:space="preserve"> the </w:t>
      </w:r>
      <w:r w:rsidRPr="00553AA0">
        <w:rPr>
          <w:lang w:eastAsia="en-US"/>
        </w:rPr>
        <w:t xml:space="preserve">Jefferson County </w:t>
      </w:r>
      <w:r w:rsidR="00281FC8">
        <w:rPr>
          <w:lang w:eastAsia="en-US"/>
        </w:rPr>
        <w:t xml:space="preserve">service territory </w:t>
      </w:r>
      <w:r w:rsidRPr="00553AA0">
        <w:rPr>
          <w:lang w:eastAsia="en-US"/>
        </w:rPr>
        <w:t>caused PSE to shrink in size</w:t>
      </w:r>
      <w:r w:rsidR="00281FC8">
        <w:rPr>
          <w:lang w:eastAsia="en-US"/>
        </w:rPr>
        <w:t>,</w:t>
      </w:r>
      <w:r w:rsidRPr="00553AA0">
        <w:rPr>
          <w:lang w:eastAsia="en-US"/>
        </w:rPr>
        <w:t xml:space="preserve"> and there is no new opportunity created for investors by its departure.   </w:t>
      </w:r>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t xml:space="preserve">Doesn’t your </w:t>
      </w:r>
      <w:r w:rsidR="00224272">
        <w:rPr>
          <w:lang w:eastAsia="en-US"/>
        </w:rPr>
        <w:t>analysis</w:t>
      </w:r>
      <w:r w:rsidR="00224272" w:rsidRPr="00553AA0">
        <w:rPr>
          <w:lang w:eastAsia="en-US"/>
        </w:rPr>
        <w:t xml:space="preserve"> </w:t>
      </w:r>
      <w:r w:rsidRPr="00553AA0">
        <w:rPr>
          <w:lang w:eastAsia="en-US"/>
        </w:rPr>
        <w:t xml:space="preserve">reflect an </w:t>
      </w:r>
      <w:r w:rsidR="00E7312A">
        <w:rPr>
          <w:lang w:eastAsia="en-US"/>
        </w:rPr>
        <w:t>“</w:t>
      </w:r>
      <w:r w:rsidRPr="00553AA0">
        <w:rPr>
          <w:lang w:eastAsia="en-US"/>
        </w:rPr>
        <w:t xml:space="preserve">income approach” to </w:t>
      </w:r>
      <w:r w:rsidR="00224272">
        <w:rPr>
          <w:lang w:eastAsia="en-US"/>
        </w:rPr>
        <w:t>valuing</w:t>
      </w:r>
      <w:r w:rsidR="00224272" w:rsidRPr="00224272">
        <w:rPr>
          <w:rFonts w:eastAsia="Calibri"/>
          <w:lang w:eastAsia="en-US"/>
        </w:rPr>
        <w:t xml:space="preserve"> </w:t>
      </w:r>
      <w:r w:rsidR="00224272" w:rsidRPr="00553AA0">
        <w:rPr>
          <w:rFonts w:eastAsia="Calibri"/>
          <w:lang w:eastAsia="en-US"/>
        </w:rPr>
        <w:t>a future revenue stream</w:t>
      </w:r>
      <w:r w:rsidR="00E7312A">
        <w:rPr>
          <w:lang w:eastAsia="en-US"/>
        </w:rPr>
        <w:t xml:space="preserve">? </w:t>
      </w:r>
      <w:r w:rsidR="00F43E4A">
        <w:rPr>
          <w:lang w:eastAsia="en-US"/>
        </w:rPr>
        <w:t xml:space="preserve"> </w:t>
      </w:r>
      <w:r w:rsidR="00E7312A">
        <w:rPr>
          <w:lang w:eastAsia="en-US"/>
        </w:rPr>
        <w:t>I</w:t>
      </w:r>
      <w:r w:rsidRPr="00553AA0">
        <w:rPr>
          <w:lang w:eastAsia="en-US"/>
        </w:rPr>
        <w:t xml:space="preserve">f so, why is it the appropriate methodology?  </w:t>
      </w:r>
    </w:p>
    <w:p w:rsidR="00553AA0" w:rsidRPr="00553AA0" w:rsidRDefault="00553AA0" w:rsidP="00917933">
      <w:pPr>
        <w:pStyle w:val="Answer0"/>
        <w:rPr>
          <w:lang w:eastAsia="en-US"/>
        </w:rPr>
      </w:pPr>
      <w:r w:rsidRPr="00553AA0">
        <w:rPr>
          <w:rFonts w:eastAsia="Calibri"/>
          <w:lang w:eastAsia="en-US"/>
        </w:rPr>
        <w:t>A</w:t>
      </w:r>
      <w:r w:rsidR="004F3586">
        <w:rPr>
          <w:rFonts w:eastAsia="Calibri"/>
          <w:lang w:eastAsia="en-US"/>
        </w:rPr>
        <w:t>.</w:t>
      </w:r>
      <w:r w:rsidRPr="00553AA0">
        <w:rPr>
          <w:rFonts w:eastAsia="Calibri"/>
          <w:lang w:eastAsia="en-US"/>
        </w:rPr>
        <w:tab/>
        <w:t xml:space="preserve">Yes, </w:t>
      </w:r>
      <w:r w:rsidR="00E7312A">
        <w:rPr>
          <w:rFonts w:eastAsia="Calibri"/>
          <w:lang w:eastAsia="en-US"/>
        </w:rPr>
        <w:t xml:space="preserve">this </w:t>
      </w:r>
      <w:r w:rsidR="00BE6BED">
        <w:rPr>
          <w:rFonts w:eastAsia="Calibri"/>
          <w:lang w:eastAsia="en-US"/>
        </w:rPr>
        <w:t>calculation represents</w:t>
      </w:r>
      <w:r w:rsidR="00E7312A">
        <w:rPr>
          <w:rFonts w:eastAsia="Calibri"/>
          <w:lang w:eastAsia="en-US"/>
        </w:rPr>
        <w:t xml:space="preserve"> an “income approach</w:t>
      </w:r>
      <w:r w:rsidR="00BE6BED">
        <w:rPr>
          <w:rFonts w:eastAsia="Calibri"/>
          <w:lang w:eastAsia="en-US"/>
        </w:rPr>
        <w:t>,</w:t>
      </w:r>
      <w:r w:rsidR="00E7312A">
        <w:rPr>
          <w:rFonts w:eastAsia="Calibri"/>
          <w:lang w:eastAsia="en-US"/>
        </w:rPr>
        <w:t xml:space="preserve">” </w:t>
      </w:r>
      <w:r w:rsidRPr="00553AA0">
        <w:rPr>
          <w:rFonts w:eastAsia="Calibri"/>
          <w:lang w:eastAsia="en-US"/>
        </w:rPr>
        <w:t>and it is a well-recogn</w:t>
      </w:r>
      <w:r w:rsidR="00936AA8">
        <w:rPr>
          <w:rFonts w:eastAsia="Calibri"/>
          <w:lang w:eastAsia="en-US"/>
        </w:rPr>
        <w:t>ized and accepted methodology for</w:t>
      </w:r>
      <w:r w:rsidRPr="00553AA0">
        <w:rPr>
          <w:rFonts w:eastAsia="Calibri"/>
          <w:lang w:eastAsia="en-US"/>
        </w:rPr>
        <w:t xml:space="preserve"> assessing the value of a future revenue stream. </w:t>
      </w:r>
      <w:r w:rsidR="00E7312A">
        <w:rPr>
          <w:rFonts w:eastAsia="Calibri"/>
          <w:lang w:eastAsia="en-US"/>
        </w:rPr>
        <w:t xml:space="preserve"> </w:t>
      </w:r>
      <w:r w:rsidRPr="00553AA0">
        <w:rPr>
          <w:rFonts w:eastAsia="Calibri"/>
          <w:lang w:eastAsia="en-US"/>
        </w:rPr>
        <w:t xml:space="preserve">The income approach is a “general way of determining a value indication of a business, business ownership interest, security, or intangible asset using one or more methods that convert anticipated economic benefits into a present single </w:t>
      </w:r>
      <w:r w:rsidRPr="00553AA0">
        <w:rPr>
          <w:rFonts w:eastAsia="Calibri"/>
          <w:lang w:eastAsia="en-US"/>
        </w:rPr>
        <w:lastRenderedPageBreak/>
        <w:t>amount</w:t>
      </w:r>
      <w:r w:rsidRPr="00E017A0">
        <w:rPr>
          <w:rFonts w:eastAsia="Calibri"/>
          <w:lang w:eastAsia="en-US"/>
        </w:rPr>
        <w:t>.”</w:t>
      </w:r>
      <w:r w:rsidRPr="00E017A0">
        <w:rPr>
          <w:rFonts w:eastAsia="Calibri"/>
          <w:szCs w:val="36"/>
          <w:vertAlign w:val="superscript"/>
          <w:lang w:eastAsia="en-US"/>
        </w:rPr>
        <w:footnoteReference w:id="5"/>
      </w:r>
      <w:r w:rsidRPr="00E017A0">
        <w:rPr>
          <w:rFonts w:eastAsia="Calibri"/>
          <w:lang w:eastAsia="en-US"/>
        </w:rPr>
        <w:t xml:space="preserve">  </w:t>
      </w:r>
      <w:r w:rsidR="00F43E4A">
        <w:rPr>
          <w:rFonts w:eastAsia="Calibri"/>
          <w:lang w:eastAsia="en-US"/>
        </w:rPr>
        <w:t xml:space="preserve">ICNU </w:t>
      </w:r>
      <w:r w:rsidRPr="00232465">
        <w:rPr>
          <w:rFonts w:eastAsia="Calibri"/>
          <w:lang w:eastAsia="en-US"/>
        </w:rPr>
        <w:t xml:space="preserve">uses this same methodology in </w:t>
      </w:r>
      <w:r w:rsidR="00F43E4A">
        <w:rPr>
          <w:rFonts w:eastAsia="Calibri"/>
          <w:lang w:eastAsia="en-US"/>
        </w:rPr>
        <w:t>its</w:t>
      </w:r>
      <w:r w:rsidRPr="00232465">
        <w:rPr>
          <w:rFonts w:eastAsia="Calibri"/>
          <w:lang w:eastAsia="en-US"/>
        </w:rPr>
        <w:t xml:space="preserve"> response testimony</w:t>
      </w:r>
      <w:r w:rsidR="00F43E4A" w:rsidRPr="00F43E4A">
        <w:rPr>
          <w:rFonts w:eastAsia="Calibri"/>
          <w:lang w:eastAsia="en-US"/>
        </w:rPr>
        <w:t xml:space="preserve"> </w:t>
      </w:r>
      <w:r w:rsidR="00F43E4A" w:rsidRPr="00232465">
        <w:rPr>
          <w:rFonts w:eastAsia="Calibri"/>
          <w:lang w:eastAsia="en-US"/>
        </w:rPr>
        <w:t>in Docket Nos. UE-111048/UG-111049</w:t>
      </w:r>
      <w:r w:rsidR="00E7312A" w:rsidRPr="00232465">
        <w:rPr>
          <w:rFonts w:eastAsia="Calibri"/>
          <w:lang w:eastAsia="en-US"/>
        </w:rPr>
        <w:t>,</w:t>
      </w:r>
      <w:r w:rsidRPr="00232465">
        <w:rPr>
          <w:rFonts w:eastAsia="Calibri"/>
          <w:lang w:eastAsia="en-US"/>
        </w:rPr>
        <w:t xml:space="preserve"> Exhibit No. MPG-1T</w:t>
      </w:r>
      <w:r w:rsidRPr="00E017A0">
        <w:rPr>
          <w:rFonts w:eastAsia="Calibri"/>
          <w:lang w:eastAsia="en-US"/>
        </w:rPr>
        <w:t>.</w:t>
      </w:r>
      <w:r w:rsidRPr="00553AA0">
        <w:rPr>
          <w:rFonts w:eastAsia="Calibri"/>
          <w:lang w:eastAsia="en-US"/>
        </w:rPr>
        <w:t xml:space="preserve">  Essentially</w:t>
      </w:r>
      <w:r w:rsidR="00E7312A">
        <w:rPr>
          <w:rFonts w:eastAsia="Calibri"/>
          <w:lang w:eastAsia="en-US"/>
        </w:rPr>
        <w:t>,</w:t>
      </w:r>
      <w:r w:rsidRPr="00553AA0">
        <w:rPr>
          <w:rFonts w:eastAsia="Calibri"/>
          <w:lang w:eastAsia="en-US"/>
        </w:rPr>
        <w:t xml:space="preserve"> it is an approach for valuing a business based on its future ability to generate earnings.  </w:t>
      </w:r>
    </w:p>
    <w:p w:rsidR="00553AA0" w:rsidRPr="00553AA0" w:rsidRDefault="00553AA0" w:rsidP="009F2B27">
      <w:pPr>
        <w:pStyle w:val="question"/>
        <w:rPr>
          <w:lang w:eastAsia="en-US"/>
        </w:rPr>
      </w:pPr>
      <w:r w:rsidRPr="00553AA0">
        <w:rPr>
          <w:lang w:eastAsia="en-US"/>
        </w:rPr>
        <w:t>Q</w:t>
      </w:r>
      <w:r w:rsidR="004F3586">
        <w:rPr>
          <w:lang w:eastAsia="en-US"/>
        </w:rPr>
        <w:t>.</w:t>
      </w:r>
      <w:r w:rsidRPr="00553AA0">
        <w:rPr>
          <w:lang w:eastAsia="en-US"/>
        </w:rPr>
        <w:tab/>
        <w:t xml:space="preserve">Much is made of Mr. Karzmar’ s </w:t>
      </w:r>
      <w:r w:rsidR="002464E2">
        <w:rPr>
          <w:lang w:eastAsia="en-US"/>
        </w:rPr>
        <w:t>concerns</w:t>
      </w:r>
      <w:r w:rsidR="002464E2" w:rsidRPr="00553AA0">
        <w:rPr>
          <w:lang w:eastAsia="en-US"/>
        </w:rPr>
        <w:t xml:space="preserve"> </w:t>
      </w:r>
      <w:r w:rsidRPr="00553AA0">
        <w:rPr>
          <w:lang w:eastAsia="en-US"/>
        </w:rPr>
        <w:t xml:space="preserve">about </w:t>
      </w:r>
      <w:r w:rsidR="002464E2">
        <w:rPr>
          <w:lang w:eastAsia="en-US"/>
        </w:rPr>
        <w:t xml:space="preserve">using </w:t>
      </w:r>
      <w:r w:rsidRPr="00553AA0">
        <w:rPr>
          <w:lang w:eastAsia="en-US"/>
        </w:rPr>
        <w:t xml:space="preserve">the </w:t>
      </w:r>
      <w:r w:rsidR="00224272">
        <w:rPr>
          <w:lang w:eastAsia="en-US"/>
        </w:rPr>
        <w:t>"</w:t>
      </w:r>
      <w:r w:rsidRPr="00553AA0">
        <w:rPr>
          <w:lang w:eastAsia="en-US"/>
        </w:rPr>
        <w:t>income approach</w:t>
      </w:r>
      <w:r w:rsidR="00224272">
        <w:rPr>
          <w:lang w:eastAsia="en-US"/>
        </w:rPr>
        <w:t>"</w:t>
      </w:r>
      <w:r w:rsidRPr="00553AA0">
        <w:rPr>
          <w:lang w:eastAsia="en-US"/>
        </w:rPr>
        <w:t xml:space="preserve"> in </w:t>
      </w:r>
      <w:r w:rsidR="002464E2">
        <w:rPr>
          <w:lang w:eastAsia="en-US"/>
        </w:rPr>
        <w:t>settlement negotiations with JPUD</w:t>
      </w:r>
      <w:r w:rsidRPr="00553AA0">
        <w:rPr>
          <w:lang w:eastAsia="en-US"/>
        </w:rPr>
        <w:t>.</w:t>
      </w:r>
      <w:r w:rsidR="00F43E4A">
        <w:rPr>
          <w:rStyle w:val="FootnoteReference"/>
          <w:lang w:eastAsia="en-US"/>
        </w:rPr>
        <w:footnoteReference w:id="6"/>
      </w:r>
      <w:r w:rsidRPr="00553AA0">
        <w:rPr>
          <w:lang w:eastAsia="en-US"/>
        </w:rPr>
        <w:t xml:space="preserve">  Was Mr. Karzmar correct</w:t>
      </w:r>
      <w:r w:rsidR="00100532">
        <w:rPr>
          <w:lang w:eastAsia="en-US"/>
        </w:rPr>
        <w:t xml:space="preserve"> expressing these reservations</w:t>
      </w:r>
      <w:r w:rsidRPr="00553AA0">
        <w:rPr>
          <w:lang w:eastAsia="en-US"/>
        </w:rPr>
        <w:t xml:space="preserve">?  </w:t>
      </w:r>
    </w:p>
    <w:p w:rsidR="00553AA0" w:rsidRPr="00553AA0" w:rsidRDefault="00553AA0" w:rsidP="00574EAD">
      <w:pPr>
        <w:pStyle w:val="Answer0"/>
        <w:rPr>
          <w:lang w:eastAsia="en-US"/>
        </w:rPr>
      </w:pPr>
      <w:r w:rsidRPr="00553AA0">
        <w:rPr>
          <w:lang w:eastAsia="en-US"/>
        </w:rPr>
        <w:t>A</w:t>
      </w:r>
      <w:r w:rsidR="004F3586">
        <w:rPr>
          <w:lang w:eastAsia="en-US"/>
        </w:rPr>
        <w:t>.</w:t>
      </w:r>
      <w:r w:rsidRPr="00553AA0">
        <w:rPr>
          <w:lang w:eastAsia="en-US"/>
        </w:rPr>
        <w:tab/>
      </w:r>
      <w:r w:rsidR="00CF6570">
        <w:rPr>
          <w:lang w:eastAsia="en-US"/>
        </w:rPr>
        <w:t>Yes, he was</w:t>
      </w:r>
      <w:r w:rsidRPr="00553AA0">
        <w:rPr>
          <w:lang w:eastAsia="en-US"/>
        </w:rPr>
        <w:t>, although it appear</w:t>
      </w:r>
      <w:r w:rsidR="00CF6570">
        <w:rPr>
          <w:lang w:eastAsia="en-US"/>
        </w:rPr>
        <w:t>s</w:t>
      </w:r>
      <w:r w:rsidRPr="00553AA0">
        <w:rPr>
          <w:lang w:eastAsia="en-US"/>
        </w:rPr>
        <w:t xml:space="preserve"> that the other witnesses misunderstand what Mr. Karzmar was saying.  Mr. Karzmar was speaking to methodologies for determining asset value in the context of a</w:t>
      </w:r>
      <w:r w:rsidR="00D0384D">
        <w:rPr>
          <w:lang w:eastAsia="en-US"/>
        </w:rPr>
        <w:t xml:space="preserve"> threatened</w:t>
      </w:r>
      <w:r w:rsidRPr="00553AA0">
        <w:rPr>
          <w:lang w:eastAsia="en-US"/>
        </w:rPr>
        <w:t xml:space="preserve"> condemnation proceeding.  </w:t>
      </w:r>
      <w:r w:rsidR="008353AA">
        <w:rPr>
          <w:lang w:eastAsia="en-US"/>
        </w:rPr>
        <w:t>H</w:t>
      </w:r>
      <w:r w:rsidRPr="00553AA0">
        <w:rPr>
          <w:lang w:eastAsia="en-US"/>
        </w:rPr>
        <w:t>e testified that “RCLD and RCNLD were recognized by the experts assisting PSE and JPUD as credible methodologies for determining asset values. PSE was also advised that Washington courts accepted the replacement cost and reproduction cost methods as a proper approach to determining fair market value in this jurisdiction.”</w:t>
      </w:r>
      <w:r w:rsidR="00F43E4A">
        <w:rPr>
          <w:rStyle w:val="FootnoteReference"/>
          <w:lang w:eastAsia="en-US"/>
        </w:rPr>
        <w:footnoteReference w:id="7"/>
      </w:r>
      <w:r w:rsidRPr="00553AA0">
        <w:rPr>
          <w:lang w:eastAsia="en-US"/>
        </w:rPr>
        <w:t xml:space="preserve">  </w:t>
      </w:r>
      <w:r w:rsidR="008353AA">
        <w:rPr>
          <w:lang w:eastAsia="en-US"/>
        </w:rPr>
        <w:t xml:space="preserve">I agree that </w:t>
      </w:r>
      <w:r w:rsidRPr="00553AA0">
        <w:rPr>
          <w:lang w:eastAsia="en-US"/>
        </w:rPr>
        <w:t>RCLD and RCNLD were good tool</w:t>
      </w:r>
      <w:r w:rsidR="00E87F0B">
        <w:rPr>
          <w:lang w:eastAsia="en-US"/>
        </w:rPr>
        <w:t>s</w:t>
      </w:r>
      <w:r w:rsidRPr="00553AA0">
        <w:rPr>
          <w:lang w:eastAsia="en-US"/>
        </w:rPr>
        <w:t xml:space="preserve"> for settlement negotiations with JPUD and </w:t>
      </w:r>
      <w:r w:rsidR="00E87F0B">
        <w:rPr>
          <w:lang w:eastAsia="en-US"/>
        </w:rPr>
        <w:t xml:space="preserve">established </w:t>
      </w:r>
      <w:r w:rsidRPr="00553AA0">
        <w:rPr>
          <w:lang w:eastAsia="en-US"/>
        </w:rPr>
        <w:t xml:space="preserve">a clear benchmark to determine the sufficiency of the purchase price of the assets.  That does not mean, however, nor is it the point that Mr. Karzmar was making, that the income approach is invalid or deficient for determining the value of a business as a going concern.  </w:t>
      </w:r>
    </w:p>
    <w:p w:rsidR="00553AA0" w:rsidRPr="00553AA0" w:rsidRDefault="00553AA0" w:rsidP="009F2B27">
      <w:pPr>
        <w:pStyle w:val="question"/>
        <w:rPr>
          <w:lang w:eastAsia="en-US"/>
        </w:rPr>
      </w:pPr>
      <w:r w:rsidRPr="00553AA0">
        <w:rPr>
          <w:lang w:eastAsia="en-US"/>
        </w:rPr>
        <w:lastRenderedPageBreak/>
        <w:t>Q</w:t>
      </w:r>
      <w:r w:rsidR="004F3586">
        <w:rPr>
          <w:lang w:eastAsia="en-US"/>
        </w:rPr>
        <w:t>.</w:t>
      </w:r>
      <w:r w:rsidRPr="00553AA0">
        <w:rPr>
          <w:lang w:eastAsia="en-US"/>
        </w:rPr>
        <w:tab/>
        <w:t xml:space="preserve">Do you agree with </w:t>
      </w:r>
      <w:r w:rsidR="00E87F0B">
        <w:rPr>
          <w:lang w:eastAsia="en-US"/>
        </w:rPr>
        <w:t>Staff</w:t>
      </w:r>
      <w:r w:rsidRPr="00553AA0">
        <w:rPr>
          <w:lang w:eastAsia="en-US"/>
        </w:rPr>
        <w:t>’s statement that the Company did not rely “on going concern damages” in connection with its negotiated settlement with JPUD?</w:t>
      </w:r>
    </w:p>
    <w:p w:rsidR="00553AA0" w:rsidRPr="00553AA0" w:rsidRDefault="00553AA0" w:rsidP="00574EAD">
      <w:pPr>
        <w:pStyle w:val="Answer0"/>
        <w:rPr>
          <w:lang w:eastAsia="en-US"/>
        </w:rPr>
      </w:pPr>
      <w:r w:rsidRPr="00662598">
        <w:rPr>
          <w:lang w:eastAsia="en-US"/>
        </w:rPr>
        <w:t>A</w:t>
      </w:r>
      <w:r w:rsidR="004F3586" w:rsidRPr="00662598">
        <w:rPr>
          <w:lang w:eastAsia="en-US"/>
        </w:rPr>
        <w:t>.</w:t>
      </w:r>
      <w:r w:rsidRPr="00662598">
        <w:rPr>
          <w:lang w:eastAsia="en-US"/>
        </w:rPr>
        <w:tab/>
      </w:r>
      <w:r w:rsidRPr="00553AA0">
        <w:rPr>
          <w:lang w:eastAsia="en-US"/>
        </w:rPr>
        <w:t>No.  First, for evaluating JPUD’s offer of settlement, Mr. Karzmar’ s testimony states that PSE assumed that it might be able to recover going concern damages in the range of $15 million to $20 million</w:t>
      </w:r>
      <w:r w:rsidRPr="00E87F0B">
        <w:rPr>
          <w:lang w:eastAsia="en-US"/>
        </w:rPr>
        <w:t>.</w:t>
      </w:r>
      <w:r w:rsidR="00E87F0B">
        <w:rPr>
          <w:rStyle w:val="FootnoteReference"/>
          <w:lang w:eastAsia="en-US"/>
        </w:rPr>
        <w:footnoteReference w:id="8"/>
      </w:r>
      <w:r w:rsidRPr="00E87F0B">
        <w:rPr>
          <w:lang w:eastAsia="en-US"/>
        </w:rPr>
        <w:t xml:space="preserve"> </w:t>
      </w:r>
      <w:r w:rsidR="00E87F0B">
        <w:rPr>
          <w:lang w:eastAsia="en-US"/>
        </w:rPr>
        <w:t xml:space="preserve"> </w:t>
      </w:r>
      <w:r w:rsidRPr="00E87F0B">
        <w:rPr>
          <w:lang w:eastAsia="en-US"/>
        </w:rPr>
        <w:t>Mr.</w:t>
      </w:r>
      <w:r w:rsidRPr="00553AA0">
        <w:rPr>
          <w:lang w:eastAsia="en-US"/>
        </w:rPr>
        <w:t xml:space="preserve"> Karzmar also points to an income approach assessment of the assets, within a range of $91 between $130 million, which compared favorably to PSE’s range of $105 million to $136 million derived from a RCNLD/RCLD valuation analysis</w:t>
      </w:r>
      <w:r w:rsidRPr="00E87F0B">
        <w:rPr>
          <w:lang w:eastAsia="en-US"/>
        </w:rPr>
        <w:t>.</w:t>
      </w:r>
      <w:r w:rsidR="00E87F0B">
        <w:rPr>
          <w:rStyle w:val="FootnoteReference"/>
          <w:lang w:eastAsia="en-US"/>
        </w:rPr>
        <w:footnoteReference w:id="9"/>
      </w:r>
      <w:r w:rsidRPr="00E87F0B">
        <w:rPr>
          <w:lang w:eastAsia="en-US"/>
        </w:rPr>
        <w:t xml:space="preserve">  </w:t>
      </w:r>
      <w:r w:rsidRPr="00553AA0">
        <w:rPr>
          <w:lang w:eastAsia="en-US"/>
        </w:rPr>
        <w:t>Finally, Mr. Karzmar point</w:t>
      </w:r>
      <w:r w:rsidR="00193663">
        <w:rPr>
          <w:lang w:eastAsia="en-US"/>
        </w:rPr>
        <w:t>s</w:t>
      </w:r>
      <w:r w:rsidRPr="00553AA0">
        <w:rPr>
          <w:lang w:eastAsia="en-US"/>
        </w:rPr>
        <w:t xml:space="preserve"> to the JPUD range of RCNLD valuations, $58 million to $83 million, as compared to the $103 million purchase price, and a downside litigation risk of approximately $45 million had PSE chosen to litigate.  When I review all of these numbers, and take into consideration the net book value of $46.7 million for these assets, I think PSE’s reliance on going concern damages was cautious, </w:t>
      </w:r>
      <w:r w:rsidR="008978A0">
        <w:rPr>
          <w:lang w:eastAsia="en-US"/>
        </w:rPr>
        <w:t>but also prudent</w:t>
      </w:r>
      <w:r w:rsidR="001B7E71">
        <w:rPr>
          <w:lang w:eastAsia="en-US"/>
        </w:rPr>
        <w:t>,</w:t>
      </w:r>
      <w:r w:rsidR="008978A0">
        <w:rPr>
          <w:lang w:eastAsia="en-US"/>
        </w:rPr>
        <w:t xml:space="preserve"> </w:t>
      </w:r>
      <w:r w:rsidRPr="00553AA0">
        <w:rPr>
          <w:lang w:eastAsia="en-US"/>
        </w:rPr>
        <w:t>with an offer of $103 million on the table</w:t>
      </w:r>
      <w:r w:rsidR="001B7E71">
        <w:rPr>
          <w:lang w:eastAsia="en-US"/>
        </w:rPr>
        <w:t xml:space="preserve"> and a significant </w:t>
      </w:r>
      <w:r w:rsidR="001B7E71" w:rsidRPr="00553AA0">
        <w:rPr>
          <w:lang w:eastAsia="en-US"/>
        </w:rPr>
        <w:t>litigation risk</w:t>
      </w:r>
      <w:r w:rsidR="001B7E71">
        <w:rPr>
          <w:lang w:eastAsia="en-US"/>
        </w:rPr>
        <w:t xml:space="preserve"> </w:t>
      </w:r>
      <w:r w:rsidR="009D311D">
        <w:rPr>
          <w:lang w:eastAsia="en-US"/>
        </w:rPr>
        <w:t>associated with taking these complex questions to a jury</w:t>
      </w:r>
      <w:r w:rsidRPr="00553AA0">
        <w:rPr>
          <w:lang w:eastAsia="en-US"/>
        </w:rPr>
        <w:t xml:space="preserve">.  </w:t>
      </w:r>
    </w:p>
    <w:p w:rsidR="00553AA0" w:rsidRPr="00553AA0" w:rsidRDefault="00553AA0" w:rsidP="009F2B27">
      <w:pPr>
        <w:pStyle w:val="Heading1"/>
        <w:rPr>
          <w:lang w:eastAsia="en-US"/>
        </w:rPr>
      </w:pPr>
      <w:bookmarkStart w:id="8" w:name="_Toc385936097"/>
      <w:r w:rsidRPr="00553AA0">
        <w:rPr>
          <w:lang w:eastAsia="en-US"/>
        </w:rPr>
        <w:t>I</w:t>
      </w:r>
      <w:r w:rsidR="004F3586">
        <w:rPr>
          <w:lang w:eastAsia="en-US"/>
        </w:rPr>
        <w:t>I</w:t>
      </w:r>
      <w:r w:rsidRPr="00553AA0">
        <w:rPr>
          <w:lang w:eastAsia="en-US"/>
        </w:rPr>
        <w:t>I.</w:t>
      </w:r>
      <w:r w:rsidRPr="00553AA0">
        <w:rPr>
          <w:lang w:eastAsia="en-US"/>
        </w:rPr>
        <w:tab/>
        <w:t>STRANDED COSTS</w:t>
      </w:r>
      <w:bookmarkEnd w:id="8"/>
    </w:p>
    <w:p w:rsidR="00553AA0" w:rsidRPr="00553AA0" w:rsidRDefault="00553AA0" w:rsidP="009F2B27">
      <w:pPr>
        <w:pStyle w:val="question"/>
        <w:rPr>
          <w:lang w:eastAsia="en-US"/>
        </w:rPr>
      </w:pPr>
      <w:r w:rsidRPr="00553AA0">
        <w:rPr>
          <w:lang w:eastAsia="en-US"/>
        </w:rPr>
        <w:t>Q</w:t>
      </w:r>
      <w:r w:rsidR="009F2B27">
        <w:rPr>
          <w:lang w:eastAsia="en-US"/>
        </w:rPr>
        <w:t>.</w:t>
      </w:r>
      <w:r w:rsidRPr="00553AA0">
        <w:rPr>
          <w:lang w:eastAsia="en-US"/>
        </w:rPr>
        <w:tab/>
      </w:r>
      <w:r w:rsidR="00C1322B">
        <w:rPr>
          <w:lang w:eastAsia="en-US"/>
        </w:rPr>
        <w:t>Public Counsel</w:t>
      </w:r>
      <w:r w:rsidRPr="00553AA0">
        <w:rPr>
          <w:lang w:eastAsia="en-US"/>
        </w:rPr>
        <w:t xml:space="preserve"> references the </w:t>
      </w:r>
      <w:proofErr w:type="spellStart"/>
      <w:r w:rsidRPr="00553AA0">
        <w:rPr>
          <w:lang w:eastAsia="en-US"/>
        </w:rPr>
        <w:t>UtiliPoint</w:t>
      </w:r>
      <w:proofErr w:type="spellEnd"/>
      <w:r w:rsidRPr="00553AA0">
        <w:rPr>
          <w:lang w:eastAsia="en-US"/>
        </w:rPr>
        <w:t xml:space="preserve"> Preliminary Feasibility Study as a basis to support </w:t>
      </w:r>
      <w:r w:rsidR="00662598">
        <w:rPr>
          <w:lang w:eastAsia="en-US"/>
        </w:rPr>
        <w:t>the</w:t>
      </w:r>
      <w:r w:rsidRPr="00553AA0">
        <w:rPr>
          <w:lang w:eastAsia="en-US"/>
        </w:rPr>
        <w:t xml:space="preserve"> argument that PSE’s remaining customers incurred “stranded costs” as a result of the sale of the Jefferson county service </w:t>
      </w:r>
      <w:r w:rsidRPr="00553AA0">
        <w:rPr>
          <w:lang w:eastAsia="en-US"/>
        </w:rPr>
        <w:lastRenderedPageBreak/>
        <w:t>territory.</w:t>
      </w:r>
      <w:r w:rsidR="00C1322B">
        <w:rPr>
          <w:rStyle w:val="FootnoteReference"/>
          <w:lang w:eastAsia="en-US"/>
        </w:rPr>
        <w:footnoteReference w:id="10"/>
      </w:r>
      <w:r w:rsidRPr="00553AA0">
        <w:rPr>
          <w:lang w:eastAsia="en-US"/>
        </w:rPr>
        <w:t xml:space="preserve">  Do you agree with </w:t>
      </w:r>
      <w:r w:rsidR="00C1322B">
        <w:rPr>
          <w:lang w:eastAsia="en-US"/>
        </w:rPr>
        <w:t>Public Counsel</w:t>
      </w:r>
      <w:r w:rsidRPr="00553AA0">
        <w:rPr>
          <w:lang w:eastAsia="en-US"/>
        </w:rPr>
        <w:t xml:space="preserve">’s reliance on the </w:t>
      </w:r>
      <w:proofErr w:type="spellStart"/>
      <w:r w:rsidRPr="00553AA0">
        <w:rPr>
          <w:lang w:eastAsia="en-US"/>
        </w:rPr>
        <w:t>UtiliPoint</w:t>
      </w:r>
      <w:proofErr w:type="spellEnd"/>
      <w:r w:rsidRPr="00553AA0">
        <w:rPr>
          <w:lang w:eastAsia="en-US"/>
        </w:rPr>
        <w:t xml:space="preserve"> Preliminary Feasibility Study in support of this conclusion?  </w:t>
      </w:r>
    </w:p>
    <w:p w:rsidR="00553AA0" w:rsidRPr="00553AA0" w:rsidRDefault="00553AA0" w:rsidP="009F2B27">
      <w:pPr>
        <w:pStyle w:val="Answer0"/>
        <w:rPr>
          <w:lang w:eastAsia="en-US"/>
        </w:rPr>
      </w:pPr>
      <w:r w:rsidRPr="00662598">
        <w:rPr>
          <w:lang w:eastAsia="en-US"/>
        </w:rPr>
        <w:t>A</w:t>
      </w:r>
      <w:r w:rsidR="009F2B27" w:rsidRPr="00662598">
        <w:rPr>
          <w:lang w:eastAsia="en-US"/>
        </w:rPr>
        <w:t>.</w:t>
      </w:r>
      <w:r w:rsidRPr="00662598">
        <w:rPr>
          <w:lang w:eastAsia="en-US"/>
        </w:rPr>
        <w:tab/>
      </w:r>
      <w:r w:rsidRPr="00553AA0">
        <w:rPr>
          <w:lang w:eastAsia="en-US"/>
        </w:rPr>
        <w:t xml:space="preserve">No.  I was the primary author of the </w:t>
      </w:r>
      <w:proofErr w:type="spellStart"/>
      <w:r w:rsidRPr="00553AA0">
        <w:rPr>
          <w:lang w:eastAsia="en-US"/>
        </w:rPr>
        <w:t>UtiliPoint</w:t>
      </w:r>
      <w:proofErr w:type="spellEnd"/>
      <w:r w:rsidRPr="00553AA0">
        <w:rPr>
          <w:lang w:eastAsia="en-US"/>
        </w:rPr>
        <w:t xml:space="preserve"> Study and I authored the section on stranded costs.  The report clearly states it did not consider stranded costs or any broader category cost referred to in the report as severance damages in that study.</w:t>
      </w:r>
    </w:p>
    <w:p w:rsidR="00553AA0" w:rsidRPr="00553AA0" w:rsidRDefault="00553AA0" w:rsidP="009F2B27">
      <w:pPr>
        <w:pStyle w:val="question"/>
        <w:rPr>
          <w:lang w:eastAsia="en-US"/>
        </w:rPr>
      </w:pPr>
      <w:r w:rsidRPr="00553AA0">
        <w:rPr>
          <w:lang w:eastAsia="en-US"/>
        </w:rPr>
        <w:t>Q</w:t>
      </w:r>
      <w:r w:rsidR="009F2B27">
        <w:rPr>
          <w:lang w:eastAsia="en-US"/>
        </w:rPr>
        <w:t>.</w:t>
      </w:r>
      <w:r w:rsidRPr="00553AA0">
        <w:rPr>
          <w:lang w:eastAsia="en-US"/>
        </w:rPr>
        <w:tab/>
        <w:t xml:space="preserve">Why </w:t>
      </w:r>
      <w:r w:rsidR="00F13F3E">
        <w:rPr>
          <w:lang w:eastAsia="en-US"/>
        </w:rPr>
        <w:t>did</w:t>
      </w:r>
      <w:r w:rsidR="00F13F3E" w:rsidRPr="00553AA0">
        <w:rPr>
          <w:lang w:eastAsia="en-US"/>
        </w:rPr>
        <w:t xml:space="preserve"> </w:t>
      </w:r>
      <w:r w:rsidRPr="00553AA0">
        <w:rPr>
          <w:lang w:eastAsia="en-US"/>
        </w:rPr>
        <w:t xml:space="preserve">you </w:t>
      </w:r>
      <w:r w:rsidR="00F13F3E">
        <w:rPr>
          <w:lang w:eastAsia="en-US"/>
        </w:rPr>
        <w:t xml:space="preserve">not </w:t>
      </w:r>
      <w:r w:rsidRPr="00553AA0">
        <w:rPr>
          <w:lang w:eastAsia="en-US"/>
        </w:rPr>
        <w:t xml:space="preserve">undertake an </w:t>
      </w:r>
      <w:r w:rsidR="00F13F3E" w:rsidRPr="00553AA0">
        <w:rPr>
          <w:lang w:eastAsia="en-US"/>
        </w:rPr>
        <w:t>analys</w:t>
      </w:r>
      <w:r w:rsidR="00F13F3E">
        <w:rPr>
          <w:lang w:eastAsia="en-US"/>
        </w:rPr>
        <w:t>i</w:t>
      </w:r>
      <w:r w:rsidR="00F13F3E" w:rsidRPr="00553AA0">
        <w:rPr>
          <w:lang w:eastAsia="en-US"/>
        </w:rPr>
        <w:t xml:space="preserve">s </w:t>
      </w:r>
      <w:r w:rsidRPr="00553AA0">
        <w:rPr>
          <w:lang w:eastAsia="en-US"/>
        </w:rPr>
        <w:t xml:space="preserve">of stranded costs or severance damages in the </w:t>
      </w:r>
      <w:proofErr w:type="spellStart"/>
      <w:r w:rsidRPr="00553AA0">
        <w:rPr>
          <w:lang w:eastAsia="en-US"/>
        </w:rPr>
        <w:t>UtiliPoint</w:t>
      </w:r>
      <w:proofErr w:type="spellEnd"/>
      <w:r w:rsidRPr="00553AA0">
        <w:rPr>
          <w:lang w:eastAsia="en-US"/>
        </w:rPr>
        <w:t xml:space="preserve"> Study?</w:t>
      </w:r>
    </w:p>
    <w:p w:rsidR="00553AA0" w:rsidRPr="00553AA0" w:rsidRDefault="00553AA0" w:rsidP="009F2B27">
      <w:pPr>
        <w:pStyle w:val="Answer0"/>
        <w:rPr>
          <w:lang w:eastAsia="en-US"/>
        </w:rPr>
      </w:pPr>
      <w:r w:rsidRPr="00662598">
        <w:rPr>
          <w:lang w:eastAsia="en-US"/>
        </w:rPr>
        <w:t>A</w:t>
      </w:r>
      <w:r w:rsidR="009F2B27" w:rsidRPr="00662598">
        <w:rPr>
          <w:lang w:eastAsia="en-US"/>
        </w:rPr>
        <w:t>.</w:t>
      </w:r>
      <w:r w:rsidRPr="00662598">
        <w:rPr>
          <w:lang w:eastAsia="en-US"/>
        </w:rPr>
        <w:tab/>
      </w:r>
      <w:r w:rsidRPr="00553AA0">
        <w:rPr>
          <w:lang w:eastAsia="en-US"/>
        </w:rPr>
        <w:t xml:space="preserve">Because at the time I prepared the report, the likely “minimum” price tag for Jefferson County to form a utility was likely to be too expensive, even without </w:t>
      </w:r>
      <w:r w:rsidR="00F13F3E">
        <w:rPr>
          <w:lang w:eastAsia="en-US"/>
        </w:rPr>
        <w:t xml:space="preserve">quantifying </w:t>
      </w:r>
      <w:r w:rsidRPr="00553AA0">
        <w:rPr>
          <w:lang w:eastAsia="en-US"/>
        </w:rPr>
        <w:t xml:space="preserve">stranded costs.  However, since it was a preliminary feasibility analysis, I did point out that such costs or damages may be incurred when one utility acquires the service area of an incumbent utility.  An actual analysis, however, of stated costs and severance damages was beyond the scope of this initial report.   </w:t>
      </w:r>
    </w:p>
    <w:p w:rsidR="00553AA0" w:rsidRPr="00553AA0" w:rsidRDefault="00553AA0" w:rsidP="009F2B27">
      <w:pPr>
        <w:pStyle w:val="question"/>
        <w:rPr>
          <w:lang w:eastAsia="en-US"/>
        </w:rPr>
      </w:pPr>
      <w:r w:rsidRPr="00553AA0">
        <w:rPr>
          <w:lang w:eastAsia="en-US"/>
        </w:rPr>
        <w:t>Q</w:t>
      </w:r>
      <w:r w:rsidR="009F2B27">
        <w:rPr>
          <w:lang w:eastAsia="en-US"/>
        </w:rPr>
        <w:t>.</w:t>
      </w:r>
      <w:r w:rsidRPr="00553AA0">
        <w:rPr>
          <w:lang w:eastAsia="en-US"/>
        </w:rPr>
        <w:tab/>
        <w:t>Do you know if any such costs or damages were subsequently discovered or incurred in connection with the sale of the JPUD assets?</w:t>
      </w:r>
    </w:p>
    <w:p w:rsidR="00553AA0" w:rsidRPr="00553AA0" w:rsidRDefault="00553AA0" w:rsidP="009F2B27">
      <w:pPr>
        <w:pStyle w:val="Answer0"/>
        <w:rPr>
          <w:lang w:eastAsia="en-US"/>
        </w:rPr>
      </w:pPr>
      <w:r w:rsidRPr="00662598">
        <w:rPr>
          <w:lang w:eastAsia="en-US"/>
        </w:rPr>
        <w:t>A</w:t>
      </w:r>
      <w:r w:rsidR="009F2B27" w:rsidRPr="00662598">
        <w:rPr>
          <w:lang w:eastAsia="en-US"/>
        </w:rPr>
        <w:t>.</w:t>
      </w:r>
      <w:r w:rsidRPr="00662598">
        <w:rPr>
          <w:lang w:eastAsia="en-US"/>
        </w:rPr>
        <w:tab/>
      </w:r>
      <w:r w:rsidRPr="00553AA0">
        <w:rPr>
          <w:lang w:eastAsia="en-US"/>
        </w:rPr>
        <w:t xml:space="preserve">I understand that some costs, of the nature that would fall under the term “severance damages” as used in the </w:t>
      </w:r>
      <w:proofErr w:type="spellStart"/>
      <w:r w:rsidRPr="00553AA0">
        <w:rPr>
          <w:lang w:eastAsia="en-US"/>
        </w:rPr>
        <w:t>UtiliPoint</w:t>
      </w:r>
      <w:proofErr w:type="spellEnd"/>
      <w:r w:rsidRPr="00553AA0">
        <w:rPr>
          <w:lang w:eastAsia="en-US"/>
        </w:rPr>
        <w:t xml:space="preserve"> Report, were identified during the three-year transition of the service area.  Mr. Sam Osborne speaks to this </w:t>
      </w:r>
      <w:r w:rsidR="005A07DC">
        <w:rPr>
          <w:lang w:eastAsia="en-US"/>
        </w:rPr>
        <w:t xml:space="preserve">on pages 10-11 of </w:t>
      </w:r>
      <w:r w:rsidRPr="00553AA0">
        <w:rPr>
          <w:lang w:eastAsia="en-US"/>
        </w:rPr>
        <w:t xml:space="preserve">his </w:t>
      </w:r>
      <w:proofErr w:type="spellStart"/>
      <w:r w:rsidR="005A07DC">
        <w:rPr>
          <w:lang w:eastAsia="en-US"/>
        </w:rPr>
        <w:t>prefiled</w:t>
      </w:r>
      <w:proofErr w:type="spellEnd"/>
      <w:r w:rsidR="005A07DC">
        <w:rPr>
          <w:lang w:eastAsia="en-US"/>
        </w:rPr>
        <w:t xml:space="preserve"> direct </w:t>
      </w:r>
      <w:r w:rsidRPr="00553AA0">
        <w:rPr>
          <w:lang w:eastAsia="en-US"/>
        </w:rPr>
        <w:t>testimony</w:t>
      </w:r>
      <w:r w:rsidR="00F13F3E">
        <w:rPr>
          <w:lang w:eastAsia="en-US"/>
        </w:rPr>
        <w:t>, Exhibit No. ___(SSO-1T)</w:t>
      </w:r>
      <w:r w:rsidRPr="00553AA0">
        <w:rPr>
          <w:lang w:eastAsia="en-US"/>
        </w:rPr>
        <w:t xml:space="preserve">.  PSE apparently </w:t>
      </w:r>
      <w:r w:rsidRPr="00553AA0">
        <w:rPr>
          <w:lang w:eastAsia="en-US"/>
        </w:rPr>
        <w:lastRenderedPageBreak/>
        <w:t>discerned some transition costs (e.g., contract termination and similar types of severance expenses), and expenses associated with accounts receivables and other incidental expenses.  According to Mr. Osborne’s testimony, these costs were passed on to JPUD</w:t>
      </w:r>
      <w:r w:rsidR="00C1322B">
        <w:rPr>
          <w:lang w:eastAsia="en-US"/>
        </w:rPr>
        <w:t>.</w:t>
      </w:r>
    </w:p>
    <w:p w:rsidR="00553AA0" w:rsidRPr="00553AA0" w:rsidRDefault="00553AA0" w:rsidP="009F2B27">
      <w:pPr>
        <w:pStyle w:val="question"/>
        <w:rPr>
          <w:lang w:eastAsia="en-US"/>
        </w:rPr>
      </w:pPr>
      <w:r w:rsidRPr="00553AA0">
        <w:rPr>
          <w:lang w:eastAsia="en-US"/>
        </w:rPr>
        <w:t>Q</w:t>
      </w:r>
      <w:r w:rsidR="009F2B27">
        <w:rPr>
          <w:lang w:eastAsia="en-US"/>
        </w:rPr>
        <w:t>.</w:t>
      </w:r>
      <w:r w:rsidRPr="00553AA0">
        <w:rPr>
          <w:lang w:eastAsia="en-US"/>
        </w:rPr>
        <w:tab/>
        <w:t xml:space="preserve">Are you aware of any other analyses, conditions or circumstances that support or </w:t>
      </w:r>
      <w:r w:rsidR="009D306C" w:rsidRPr="00553AA0">
        <w:rPr>
          <w:lang w:eastAsia="en-US"/>
        </w:rPr>
        <w:t>substant</w:t>
      </w:r>
      <w:r w:rsidR="009D306C">
        <w:rPr>
          <w:lang w:eastAsia="en-US"/>
        </w:rPr>
        <w:t>iate</w:t>
      </w:r>
      <w:r w:rsidR="009D306C" w:rsidRPr="00553AA0">
        <w:rPr>
          <w:lang w:eastAsia="en-US"/>
        </w:rPr>
        <w:t xml:space="preserve"> </w:t>
      </w:r>
      <w:r w:rsidR="00C1322B">
        <w:rPr>
          <w:lang w:eastAsia="en-US"/>
        </w:rPr>
        <w:t>Public Counsel</w:t>
      </w:r>
      <w:r w:rsidRPr="00553AA0">
        <w:rPr>
          <w:lang w:eastAsia="en-US"/>
        </w:rPr>
        <w:t>’s argument that PSE incurred any stranded costs or severance damages in connection with the transfer of the Jefferson County service area?</w:t>
      </w:r>
    </w:p>
    <w:p w:rsidR="00553AA0" w:rsidRPr="00553AA0" w:rsidRDefault="00553AA0" w:rsidP="009F2B27">
      <w:pPr>
        <w:pStyle w:val="Answer0"/>
        <w:rPr>
          <w:lang w:eastAsia="en-US"/>
        </w:rPr>
      </w:pPr>
      <w:r w:rsidRPr="00662598">
        <w:t>A</w:t>
      </w:r>
      <w:r w:rsidR="009F2B27" w:rsidRPr="00662598">
        <w:t>.</w:t>
      </w:r>
      <w:r w:rsidRPr="00662598">
        <w:tab/>
      </w:r>
      <w:r w:rsidRPr="00553AA0">
        <w:rPr>
          <w:lang w:eastAsia="en-US"/>
        </w:rPr>
        <w:t>No, excepting only the items referred to in Mr. Osborne’s testimony</w:t>
      </w:r>
      <w:r w:rsidR="005A07DC">
        <w:rPr>
          <w:lang w:eastAsia="en-US"/>
        </w:rPr>
        <w:t>,</w:t>
      </w:r>
      <w:r w:rsidRPr="00553AA0">
        <w:rPr>
          <w:lang w:eastAsia="en-US"/>
        </w:rPr>
        <w:t xml:space="preserve"> </w:t>
      </w:r>
      <w:r w:rsidR="00C1322B">
        <w:rPr>
          <w:lang w:eastAsia="en-US"/>
        </w:rPr>
        <w:t>Public Counsel</w:t>
      </w:r>
      <w:r w:rsidRPr="00553AA0">
        <w:rPr>
          <w:lang w:eastAsia="en-US"/>
        </w:rPr>
        <w:t xml:space="preserve"> does not provide any such support</w:t>
      </w:r>
      <w:r w:rsidR="005A07DC">
        <w:rPr>
          <w:lang w:eastAsia="en-US"/>
        </w:rPr>
        <w:t>,</w:t>
      </w:r>
      <w:r w:rsidRPr="00553AA0">
        <w:rPr>
          <w:lang w:eastAsia="en-US"/>
        </w:rPr>
        <w:t xml:space="preserve"> although </w:t>
      </w:r>
      <w:r w:rsidR="00C1322B">
        <w:rPr>
          <w:lang w:eastAsia="en-US"/>
        </w:rPr>
        <w:t>Mr. Dittmer</w:t>
      </w:r>
      <w:r w:rsidRPr="00553AA0">
        <w:rPr>
          <w:lang w:eastAsia="en-US"/>
        </w:rPr>
        <w:t xml:space="preserve"> does reference a study </w:t>
      </w:r>
      <w:r w:rsidR="0088780F">
        <w:rPr>
          <w:lang w:eastAsia="en-US"/>
        </w:rPr>
        <w:t>author</w:t>
      </w:r>
      <w:r w:rsidR="0088780F" w:rsidRPr="00553AA0">
        <w:rPr>
          <w:lang w:eastAsia="en-US"/>
        </w:rPr>
        <w:t xml:space="preserve">ed </w:t>
      </w:r>
      <w:r w:rsidRPr="00553AA0">
        <w:rPr>
          <w:lang w:eastAsia="en-US"/>
        </w:rPr>
        <w:t xml:space="preserve">by D. </w:t>
      </w:r>
      <w:proofErr w:type="spellStart"/>
      <w:r w:rsidRPr="00553AA0">
        <w:rPr>
          <w:lang w:eastAsia="en-US"/>
        </w:rPr>
        <w:t>Hittle</w:t>
      </w:r>
      <w:proofErr w:type="spellEnd"/>
      <w:r w:rsidRPr="00553AA0">
        <w:rPr>
          <w:lang w:eastAsia="en-US"/>
        </w:rPr>
        <w:t xml:space="preserve"> and Associates that was prepared about the same time I prepared the </w:t>
      </w:r>
      <w:proofErr w:type="spellStart"/>
      <w:r w:rsidRPr="00553AA0">
        <w:rPr>
          <w:lang w:eastAsia="en-US"/>
        </w:rPr>
        <w:t>UtiliPoint</w:t>
      </w:r>
      <w:proofErr w:type="spellEnd"/>
      <w:r w:rsidRPr="00553AA0">
        <w:rPr>
          <w:lang w:eastAsia="en-US"/>
        </w:rPr>
        <w:t xml:space="preserve"> Study.  However, like the </w:t>
      </w:r>
      <w:proofErr w:type="spellStart"/>
      <w:r w:rsidRPr="00553AA0">
        <w:rPr>
          <w:lang w:eastAsia="en-US"/>
        </w:rPr>
        <w:t>UtiliPoint</w:t>
      </w:r>
      <w:proofErr w:type="spellEnd"/>
      <w:r w:rsidRPr="00553AA0">
        <w:rPr>
          <w:lang w:eastAsia="en-US"/>
        </w:rPr>
        <w:t xml:space="preserve"> Study, the </w:t>
      </w:r>
      <w:proofErr w:type="spellStart"/>
      <w:r w:rsidRPr="00553AA0">
        <w:rPr>
          <w:lang w:eastAsia="en-US"/>
        </w:rPr>
        <w:t>Hittle</w:t>
      </w:r>
      <w:proofErr w:type="spellEnd"/>
      <w:r w:rsidRPr="00553AA0">
        <w:rPr>
          <w:lang w:eastAsia="en-US"/>
        </w:rPr>
        <w:t xml:space="preserve"> Report did not undertake an assessment of </w:t>
      </w:r>
      <w:r w:rsidR="00A9206E">
        <w:rPr>
          <w:lang w:eastAsia="en-US"/>
        </w:rPr>
        <w:t>stranded</w:t>
      </w:r>
      <w:r w:rsidR="00A9206E" w:rsidRPr="00553AA0">
        <w:rPr>
          <w:lang w:eastAsia="en-US"/>
        </w:rPr>
        <w:t xml:space="preserve"> </w:t>
      </w:r>
      <w:r w:rsidRPr="00553AA0">
        <w:rPr>
          <w:lang w:eastAsia="en-US"/>
        </w:rPr>
        <w:t xml:space="preserve">costs but, unlike the </w:t>
      </w:r>
      <w:proofErr w:type="spellStart"/>
      <w:r w:rsidRPr="00553AA0">
        <w:rPr>
          <w:lang w:eastAsia="en-US"/>
        </w:rPr>
        <w:t>UtiliPoint</w:t>
      </w:r>
      <w:proofErr w:type="spellEnd"/>
      <w:r w:rsidRPr="00553AA0">
        <w:rPr>
          <w:lang w:eastAsia="en-US"/>
        </w:rPr>
        <w:t xml:space="preserve"> Study, the </w:t>
      </w:r>
      <w:proofErr w:type="spellStart"/>
      <w:r w:rsidRPr="00553AA0">
        <w:rPr>
          <w:lang w:eastAsia="en-US"/>
        </w:rPr>
        <w:t>Hittle</w:t>
      </w:r>
      <w:proofErr w:type="spellEnd"/>
      <w:r w:rsidRPr="00553AA0">
        <w:rPr>
          <w:lang w:eastAsia="en-US"/>
        </w:rPr>
        <w:t xml:space="preserve"> Report offers </w:t>
      </w:r>
      <w:r w:rsidR="00BE6BED">
        <w:rPr>
          <w:lang w:eastAsia="en-US"/>
        </w:rPr>
        <w:t>an</w:t>
      </w:r>
      <w:r w:rsidRPr="00553AA0">
        <w:rPr>
          <w:lang w:eastAsia="en-US"/>
        </w:rPr>
        <w:t xml:space="preserve"> opinion that stranded costs in this case “are likely to be zero.”</w:t>
      </w:r>
      <w:r w:rsidR="00B12050">
        <w:rPr>
          <w:rStyle w:val="FootnoteReference"/>
          <w:lang w:eastAsia="en-US"/>
        </w:rPr>
        <w:footnoteReference w:id="11"/>
      </w:r>
      <w:r w:rsidRPr="00553AA0">
        <w:rPr>
          <w:lang w:eastAsia="en-US"/>
        </w:rPr>
        <w:t xml:space="preserve">    </w:t>
      </w:r>
    </w:p>
    <w:p w:rsidR="00553AA0" w:rsidRPr="00553AA0" w:rsidRDefault="004F3586" w:rsidP="00F12C8F">
      <w:pPr>
        <w:pStyle w:val="Heading1"/>
        <w:rPr>
          <w:lang w:eastAsia="en-US"/>
        </w:rPr>
      </w:pPr>
      <w:bookmarkStart w:id="9" w:name="_Toc385936098"/>
      <w:r w:rsidRPr="00553AA0">
        <w:rPr>
          <w:lang w:eastAsia="en-US"/>
        </w:rPr>
        <w:t>I</w:t>
      </w:r>
      <w:r>
        <w:rPr>
          <w:lang w:eastAsia="en-US"/>
        </w:rPr>
        <w:t>V</w:t>
      </w:r>
      <w:r w:rsidR="00553AA0" w:rsidRPr="00553AA0">
        <w:rPr>
          <w:lang w:eastAsia="en-US"/>
        </w:rPr>
        <w:t>.</w:t>
      </w:r>
      <w:r w:rsidR="00553AA0" w:rsidRPr="00553AA0">
        <w:rPr>
          <w:lang w:eastAsia="en-US"/>
        </w:rPr>
        <w:tab/>
        <w:t>MUNICIPALIZATIONS</w:t>
      </w:r>
      <w:bookmarkEnd w:id="9"/>
    </w:p>
    <w:p w:rsidR="00553AA0" w:rsidRPr="00553AA0" w:rsidRDefault="00553AA0" w:rsidP="009F2B27">
      <w:pPr>
        <w:pStyle w:val="question"/>
        <w:rPr>
          <w:lang w:eastAsia="en-US"/>
        </w:rPr>
      </w:pPr>
      <w:r w:rsidRPr="00553AA0">
        <w:rPr>
          <w:lang w:eastAsia="en-US"/>
        </w:rPr>
        <w:t>Q</w:t>
      </w:r>
      <w:r w:rsidR="009F2B27">
        <w:rPr>
          <w:lang w:eastAsia="en-US"/>
        </w:rPr>
        <w:t>.</w:t>
      </w:r>
      <w:r w:rsidRPr="00553AA0">
        <w:rPr>
          <w:lang w:eastAsia="en-US"/>
        </w:rPr>
        <w:tab/>
      </w:r>
      <w:r w:rsidR="00C1322B">
        <w:rPr>
          <w:lang w:eastAsia="en-US"/>
        </w:rPr>
        <w:t>ICNU</w:t>
      </w:r>
      <w:r w:rsidRPr="00553AA0">
        <w:rPr>
          <w:lang w:eastAsia="en-US"/>
        </w:rPr>
        <w:t xml:space="preserve"> states that the risk of public utility districts condemning PSE’s facilities is a known risk in the market place.  Do you agree?</w:t>
      </w:r>
    </w:p>
    <w:p w:rsidR="00553AA0" w:rsidRPr="00553AA0" w:rsidRDefault="00553AA0" w:rsidP="00662598">
      <w:pPr>
        <w:pStyle w:val="Answer0"/>
        <w:rPr>
          <w:lang w:eastAsia="en-US"/>
        </w:rPr>
      </w:pPr>
      <w:r w:rsidRPr="00553AA0">
        <w:rPr>
          <w:lang w:eastAsia="en-US"/>
        </w:rPr>
        <w:t>A</w:t>
      </w:r>
      <w:r w:rsidR="009F2B27">
        <w:rPr>
          <w:lang w:eastAsia="en-US"/>
        </w:rPr>
        <w:t>.</w:t>
      </w:r>
      <w:r w:rsidRPr="00553AA0">
        <w:rPr>
          <w:lang w:eastAsia="en-US"/>
        </w:rPr>
        <w:tab/>
        <w:t xml:space="preserve">While it may be a known risk, it is certainly an infrequent risk, and as such, I question that this risk is perceived by many investors or is reflected in the market </w:t>
      </w:r>
      <w:r w:rsidRPr="00553AA0">
        <w:rPr>
          <w:lang w:eastAsia="en-US"/>
        </w:rPr>
        <w:lastRenderedPageBreak/>
        <w:t xml:space="preserve">place.  </w:t>
      </w:r>
      <w:r w:rsidRPr="003807C7">
        <w:rPr>
          <w:lang w:eastAsia="en-US"/>
        </w:rPr>
        <w:t>Exhibit</w:t>
      </w:r>
      <w:r w:rsidR="005A07DC" w:rsidRPr="00574EAD">
        <w:rPr>
          <w:lang w:eastAsia="en-US"/>
        </w:rPr>
        <w:t xml:space="preserve"> No. _</w:t>
      </w:r>
      <w:r w:rsidR="005A07DC">
        <w:rPr>
          <w:lang w:eastAsia="en-US"/>
        </w:rPr>
        <w:t>__(RCB-4)</w:t>
      </w:r>
      <w:r w:rsidRPr="00553AA0">
        <w:rPr>
          <w:lang w:eastAsia="en-US"/>
        </w:rPr>
        <w:t xml:space="preserve"> provides an analysis I prepared of utilities that I am aware of forming since 1973.  As you will see, I have found 86 new utilities forming and many of these are very small entities that represent either new communities, such as those in Alaska, or specialty situations such as casinos or former military bases.  I only could identify six utilities (i</w:t>
      </w:r>
      <w:r w:rsidRPr="00574EAD">
        <w:rPr>
          <w:lang w:eastAsia="en-US"/>
        </w:rPr>
        <w:t xml:space="preserve">n </w:t>
      </w:r>
      <w:r w:rsidRPr="003807C7">
        <w:rPr>
          <w:lang w:eastAsia="en-US"/>
        </w:rPr>
        <w:t xml:space="preserve">bold text in Exhibit </w:t>
      </w:r>
      <w:r w:rsidR="005A07DC">
        <w:rPr>
          <w:lang w:eastAsia="en-US"/>
        </w:rPr>
        <w:t>No. </w:t>
      </w:r>
      <w:r w:rsidR="00662598">
        <w:rPr>
          <w:lang w:eastAsia="en-US"/>
        </w:rPr>
        <w:t>___(</w:t>
      </w:r>
      <w:r w:rsidR="005A07DC">
        <w:rPr>
          <w:lang w:eastAsia="en-US"/>
        </w:rPr>
        <w:t>RCB-4)</w:t>
      </w:r>
      <w:r w:rsidRPr="00553AA0">
        <w:rPr>
          <w:lang w:eastAsia="en-US"/>
        </w:rPr>
        <w:t xml:space="preserve">) formed through a “hostile” process, and I am including Jefferson County in that total. </w:t>
      </w:r>
    </w:p>
    <w:p w:rsidR="00553AA0" w:rsidRPr="00553AA0" w:rsidRDefault="00553AA0" w:rsidP="009F2B27">
      <w:pPr>
        <w:pStyle w:val="question"/>
        <w:rPr>
          <w:lang w:eastAsia="en-US"/>
        </w:rPr>
      </w:pPr>
      <w:r w:rsidRPr="00553AA0">
        <w:rPr>
          <w:lang w:eastAsia="en-US"/>
        </w:rPr>
        <w:t>Q.</w:t>
      </w:r>
      <w:r w:rsidRPr="00553AA0">
        <w:rPr>
          <w:lang w:eastAsia="en-US"/>
        </w:rPr>
        <w:tab/>
        <w:t>Do you agree that the risk of municipalization is built into the equity return?</w:t>
      </w:r>
    </w:p>
    <w:p w:rsidR="00553AA0" w:rsidRPr="00553AA0" w:rsidRDefault="00553AA0" w:rsidP="00662598">
      <w:pPr>
        <w:pStyle w:val="Answer0"/>
        <w:rPr>
          <w:lang w:eastAsia="en-US"/>
        </w:rPr>
      </w:pPr>
      <w:r w:rsidRPr="00553AA0">
        <w:rPr>
          <w:lang w:eastAsia="en-US"/>
        </w:rPr>
        <w:t>A</w:t>
      </w:r>
      <w:r w:rsidR="009F2B27">
        <w:rPr>
          <w:lang w:eastAsia="en-US"/>
        </w:rPr>
        <w:t>.</w:t>
      </w:r>
      <w:r w:rsidRPr="00553AA0">
        <w:rPr>
          <w:lang w:eastAsia="en-US"/>
        </w:rPr>
        <w:tab/>
        <w:t>No.  Keep in mind there are over 3,000 electric utilities in the United States, with most of these utilities forming in the early to mid-1900’s, including most of those in the state of Washington.  The formation of a utility through hostile means is an extremely rare occurrence in the electric utility industry</w:t>
      </w:r>
      <w:r w:rsidR="005A07DC">
        <w:rPr>
          <w:lang w:eastAsia="en-US"/>
        </w:rPr>
        <w:t>,</w:t>
      </w:r>
      <w:r w:rsidRPr="00553AA0">
        <w:rPr>
          <w:lang w:eastAsia="en-US"/>
        </w:rPr>
        <w:t xml:space="preserve"> nor is it expected to be a trend in the industry</w:t>
      </w:r>
      <w:r w:rsidR="005A07DC">
        <w:rPr>
          <w:lang w:eastAsia="en-US"/>
        </w:rPr>
        <w:t>.  T</w:t>
      </w:r>
      <w:r w:rsidRPr="00553AA0">
        <w:rPr>
          <w:lang w:eastAsia="en-US"/>
        </w:rPr>
        <w:t>herefore</w:t>
      </w:r>
      <w:r w:rsidR="005A07DC">
        <w:rPr>
          <w:lang w:eastAsia="en-US"/>
        </w:rPr>
        <w:t>,</w:t>
      </w:r>
      <w:r w:rsidRPr="00553AA0">
        <w:rPr>
          <w:lang w:eastAsia="en-US"/>
        </w:rPr>
        <w:t xml:space="preserve"> I do not believe </w:t>
      </w:r>
      <w:r w:rsidR="005A07DC">
        <w:rPr>
          <w:lang w:eastAsia="en-US"/>
        </w:rPr>
        <w:t xml:space="preserve">municipalization </w:t>
      </w:r>
      <w:r w:rsidRPr="00553AA0">
        <w:rPr>
          <w:lang w:eastAsia="en-US"/>
        </w:rPr>
        <w:t>is incorporated in</w:t>
      </w:r>
      <w:r w:rsidR="005A07DC">
        <w:rPr>
          <w:lang w:eastAsia="en-US"/>
        </w:rPr>
        <w:t>to</w:t>
      </w:r>
      <w:r w:rsidRPr="00553AA0">
        <w:rPr>
          <w:lang w:eastAsia="en-US"/>
        </w:rPr>
        <w:t xml:space="preserve"> customary risk of the industry.  Fitch Ratings came out with an analysis of municipalization on March 15, 2013</w:t>
      </w:r>
      <w:r w:rsidR="005A07DC">
        <w:rPr>
          <w:lang w:eastAsia="en-US"/>
        </w:rPr>
        <w:t xml:space="preserve">, </w:t>
      </w:r>
      <w:r w:rsidR="00AB1EA7">
        <w:rPr>
          <w:lang w:eastAsia="en-US"/>
        </w:rPr>
        <w:t xml:space="preserve">in </w:t>
      </w:r>
      <w:r w:rsidR="005A07DC">
        <w:rPr>
          <w:lang w:eastAsia="en-US"/>
        </w:rPr>
        <w:t xml:space="preserve">which </w:t>
      </w:r>
      <w:r w:rsidR="00AB1EA7">
        <w:rPr>
          <w:lang w:eastAsia="en-US"/>
        </w:rPr>
        <w:t xml:space="preserve">the analysts </w:t>
      </w:r>
      <w:r w:rsidRPr="00553AA0">
        <w:rPr>
          <w:lang w:eastAsia="en-US"/>
        </w:rPr>
        <w:t xml:space="preserve">concluded </w:t>
      </w:r>
      <w:r w:rsidR="00AB1EA7">
        <w:rPr>
          <w:lang w:eastAsia="en-US"/>
        </w:rPr>
        <w:t xml:space="preserve">they </w:t>
      </w:r>
      <w:r w:rsidRPr="00553AA0">
        <w:rPr>
          <w:lang w:eastAsia="en-US"/>
        </w:rPr>
        <w:t>“do not anticipate a material increase in the number of municipalities attempting to purchase an investor-owned utility (IOUs)”.</w:t>
      </w:r>
    </w:p>
    <w:p w:rsidR="005D4E37" w:rsidRPr="00553AA0" w:rsidRDefault="00553AA0" w:rsidP="00662598">
      <w:pPr>
        <w:pStyle w:val="Answer0"/>
        <w:ind w:firstLine="0"/>
        <w:rPr>
          <w:lang w:eastAsia="en-US"/>
        </w:rPr>
      </w:pPr>
      <w:r w:rsidRPr="00553AA0">
        <w:rPr>
          <w:lang w:eastAsia="en-US"/>
        </w:rPr>
        <w:t xml:space="preserve">In addition, I would have to believe that a stockholder would reasonably expect if a utility was put in a forced sale position and the company is successful in getting adequate compensation, the stockholder would get more than just its original cost less depreciation back, that it would be compensated in a similar manner as if </w:t>
      </w:r>
      <w:r w:rsidRPr="00553AA0">
        <w:rPr>
          <w:lang w:eastAsia="en-US"/>
        </w:rPr>
        <w:lastRenderedPageBreak/>
        <w:t xml:space="preserve">someone wanted to buy their stock at the stock value plus at least the customary premium involved in a voluntary type sale of a utility. </w:t>
      </w:r>
    </w:p>
    <w:p w:rsidR="00553AA0" w:rsidRPr="00553AA0" w:rsidRDefault="00553AA0" w:rsidP="00F12C8F">
      <w:pPr>
        <w:pStyle w:val="Heading1"/>
        <w:rPr>
          <w:lang w:eastAsia="en-US"/>
        </w:rPr>
      </w:pPr>
      <w:bookmarkStart w:id="10" w:name="_Toc385936099"/>
      <w:r w:rsidRPr="00553AA0">
        <w:rPr>
          <w:lang w:eastAsia="en-US"/>
        </w:rPr>
        <w:t>V.</w:t>
      </w:r>
      <w:r w:rsidRPr="00553AA0">
        <w:rPr>
          <w:lang w:eastAsia="en-US"/>
        </w:rPr>
        <w:tab/>
        <w:t>CONCLUSIONS AND RECOMMENDATIONS</w:t>
      </w:r>
      <w:bookmarkEnd w:id="10"/>
    </w:p>
    <w:p w:rsidR="008F1D6D" w:rsidRDefault="008F1D6D" w:rsidP="00F12C8F">
      <w:pPr>
        <w:pStyle w:val="question"/>
        <w:rPr>
          <w:lang w:eastAsia="en-US"/>
        </w:rPr>
      </w:pPr>
      <w:r>
        <w:rPr>
          <w:lang w:eastAsia="en-US"/>
        </w:rPr>
        <w:t>Q.</w:t>
      </w:r>
      <w:r>
        <w:rPr>
          <w:lang w:eastAsia="en-US"/>
        </w:rPr>
        <w:tab/>
        <w:t>Please summarize your recommendations.</w:t>
      </w:r>
    </w:p>
    <w:p w:rsidR="00553AA0" w:rsidRDefault="008F1D6D" w:rsidP="00662598">
      <w:pPr>
        <w:pStyle w:val="Answer0"/>
        <w:rPr>
          <w:lang w:eastAsia="en-US"/>
        </w:rPr>
      </w:pPr>
      <w:r>
        <w:rPr>
          <w:lang w:eastAsia="en-US"/>
        </w:rPr>
        <w:t>A.</w:t>
      </w:r>
      <w:r>
        <w:rPr>
          <w:lang w:eastAsia="en-US"/>
        </w:rPr>
        <w:tab/>
      </w:r>
      <w:r w:rsidR="00553AA0" w:rsidRPr="00553AA0">
        <w:rPr>
          <w:lang w:eastAsia="en-US"/>
        </w:rPr>
        <w:t>I conclude that PSE’s investors are owed at least $</w:t>
      </w:r>
      <w:r w:rsidR="00B6642A">
        <w:rPr>
          <w:lang w:eastAsia="en-US"/>
        </w:rPr>
        <w:t>75.7</w:t>
      </w:r>
      <w:r w:rsidR="00553AA0" w:rsidRPr="00553AA0">
        <w:rPr>
          <w:lang w:eastAsia="en-US"/>
        </w:rPr>
        <w:t xml:space="preserve"> million in the Jefferson County transaction based on a minimum transaction price an investor would consider engaging in such a transaction</w:t>
      </w:r>
      <w:r w:rsidR="005D4E37">
        <w:rPr>
          <w:lang w:eastAsia="en-US"/>
        </w:rPr>
        <w:t>, plus any additional portion of the gain on sale to be allocated to investors in this proceeding.</w:t>
      </w:r>
      <w:r w:rsidR="005D4E37" w:rsidRPr="00553AA0">
        <w:rPr>
          <w:lang w:eastAsia="en-US"/>
        </w:rPr>
        <w:t xml:space="preserve"> </w:t>
      </w:r>
    </w:p>
    <w:p w:rsidR="009C7E72" w:rsidRDefault="009C7E72" w:rsidP="00F12C8F">
      <w:pPr>
        <w:pStyle w:val="question"/>
        <w:rPr>
          <w:lang w:eastAsia="en-US"/>
        </w:rPr>
      </w:pPr>
      <w:r>
        <w:rPr>
          <w:lang w:eastAsia="en-US"/>
        </w:rPr>
        <w:t>Q.</w:t>
      </w:r>
      <w:r>
        <w:rPr>
          <w:lang w:eastAsia="en-US"/>
        </w:rPr>
        <w:tab/>
        <w:t>Does this conclude your rebuttal testimony?</w:t>
      </w:r>
    </w:p>
    <w:p w:rsidR="004610AC" w:rsidRPr="00C27038" w:rsidRDefault="009C7E72" w:rsidP="00662598">
      <w:pPr>
        <w:pStyle w:val="Answer0"/>
      </w:pPr>
      <w:r>
        <w:rPr>
          <w:lang w:eastAsia="en-US"/>
        </w:rPr>
        <w:t>A.</w:t>
      </w:r>
      <w:r>
        <w:rPr>
          <w:lang w:eastAsia="en-US"/>
        </w:rPr>
        <w:tab/>
        <w:t xml:space="preserve">Yes, it does. </w:t>
      </w:r>
    </w:p>
    <w:sectPr w:rsidR="004610AC" w:rsidRPr="00C27038" w:rsidSect="00EC61B9">
      <w:footerReference w:type="default" r:id="rId16"/>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28" w:rsidRDefault="006F2B28">
      <w:r>
        <w:separator/>
      </w:r>
    </w:p>
  </w:endnote>
  <w:endnote w:type="continuationSeparator" w:id="0">
    <w:p w:rsidR="006F2B28" w:rsidRDefault="006F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0" w:rsidRDefault="00CF6570" w:rsidP="0010762E">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0" w:rsidRDefault="00CF6570">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CF6570" w:rsidRDefault="00CF6570">
    <w:pPr>
      <w:pStyle w:val="Footer"/>
      <w:tabs>
        <w:tab w:val="clear" w:pos="4507"/>
        <w:tab w:val="clear" w:pos="9000"/>
        <w:tab w:val="right" w:pos="8640"/>
      </w:tabs>
      <w:spacing w:line="240" w:lineRule="auto"/>
      <w:ind w:right="0"/>
      <w:rPr>
        <w:sz w:val="10"/>
      </w:rPr>
    </w:pPr>
  </w:p>
  <w:p w:rsidR="00CF6570" w:rsidRDefault="00CF6570" w:rsidP="00261D7D">
    <w:pPr>
      <w:pStyle w:val="Footer"/>
      <w:tabs>
        <w:tab w:val="clear" w:pos="4507"/>
        <w:tab w:val="clear" w:pos="9000"/>
        <w:tab w:val="left" w:pos="5940"/>
        <w:tab w:val="left" w:pos="8640"/>
      </w:tabs>
      <w:ind w:right="0"/>
    </w:pPr>
    <w:r>
      <w:t xml:space="preserve">Prefiled Rebuttal Testimony </w:t>
    </w:r>
    <w:r>
      <w:tab/>
      <w:t>Exhibit No. ___(RCB-1T)</w:t>
    </w:r>
  </w:p>
  <w:p w:rsidR="00CF6570" w:rsidRDefault="00CF6570" w:rsidP="00FB7ECD">
    <w:pPr>
      <w:pStyle w:val="Footer"/>
      <w:tabs>
        <w:tab w:val="clear" w:pos="4507"/>
        <w:tab w:val="clear" w:pos="9000"/>
        <w:tab w:val="left" w:pos="5940"/>
        <w:tab w:val="left" w:pos="7560"/>
      </w:tabs>
      <w:ind w:right="0"/>
    </w:pPr>
    <w:r>
      <w:t>(</w:t>
    </w:r>
    <w:proofErr w:type="spellStart"/>
    <w:r>
      <w:t>Nonconfidential</w:t>
    </w:r>
    <w:proofErr w:type="spellEnd"/>
    <w:r>
      <w:t xml:space="preserve">) </w:t>
    </w:r>
    <w:r>
      <w:tab/>
    </w:r>
    <w:r>
      <w:tab/>
      <w:t>Page </w:t>
    </w:r>
    <w:r>
      <w:rPr>
        <w:rStyle w:val="PageNumber"/>
      </w:rPr>
      <w:t>i of i</w:t>
    </w:r>
  </w:p>
  <w:p w:rsidR="00CF6570" w:rsidRDefault="00CF6570" w:rsidP="003A165F">
    <w:pPr>
      <w:pStyle w:val="Footer"/>
      <w:tabs>
        <w:tab w:val="clear" w:pos="4507"/>
        <w:tab w:val="clear" w:pos="9000"/>
        <w:tab w:val="left" w:pos="5760"/>
        <w:tab w:val="left" w:pos="7560"/>
      </w:tabs>
      <w:ind w:right="0"/>
    </w:pPr>
    <w:r>
      <w:t>of</w:t>
    </w:r>
    <w:r w:rsidRPr="00261D7D">
      <w:t xml:space="preserve"> </w:t>
    </w:r>
    <w:r>
      <w:t>Robert C. Bellemare</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0" w:rsidRDefault="00CF6570">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CF6570" w:rsidRDefault="00CF6570">
    <w:pPr>
      <w:pStyle w:val="Footer"/>
      <w:tabs>
        <w:tab w:val="clear" w:pos="4507"/>
        <w:tab w:val="clear" w:pos="9000"/>
        <w:tab w:val="right" w:pos="8640"/>
      </w:tabs>
      <w:spacing w:line="240" w:lineRule="auto"/>
      <w:ind w:left="-630" w:right="0" w:hanging="4"/>
      <w:rPr>
        <w:sz w:val="10"/>
      </w:rPr>
    </w:pPr>
  </w:p>
  <w:p w:rsidR="00CF6570" w:rsidRDefault="00CF6570">
    <w:pPr>
      <w:pStyle w:val="Footer"/>
      <w:tabs>
        <w:tab w:val="clear" w:pos="4507"/>
        <w:tab w:val="clear" w:pos="9000"/>
        <w:tab w:val="right" w:pos="8640"/>
      </w:tabs>
      <w:ind w:left="-630" w:hanging="4"/>
    </w:pPr>
    <w:r>
      <w:t>Prefiled Direct Testimony of</w:t>
    </w:r>
    <w:r>
      <w:tab/>
      <w:t>Exhibit No. ___(JD-1CT)</w:t>
    </w:r>
  </w:p>
  <w:p w:rsidR="00CF6570" w:rsidRDefault="00CF657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0" w:rsidRDefault="00CF6570">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CF6570" w:rsidRDefault="00CF6570">
    <w:pPr>
      <w:pStyle w:val="Footer"/>
      <w:tabs>
        <w:tab w:val="clear" w:pos="4507"/>
        <w:tab w:val="clear" w:pos="9000"/>
        <w:tab w:val="right" w:pos="8640"/>
      </w:tabs>
      <w:spacing w:line="240" w:lineRule="auto"/>
      <w:ind w:right="0"/>
      <w:rPr>
        <w:sz w:val="10"/>
      </w:rPr>
    </w:pPr>
  </w:p>
  <w:p w:rsidR="00CF6570" w:rsidRDefault="00CF6570" w:rsidP="00261D7D">
    <w:pPr>
      <w:pStyle w:val="Footer"/>
      <w:tabs>
        <w:tab w:val="clear" w:pos="4507"/>
        <w:tab w:val="clear" w:pos="9000"/>
        <w:tab w:val="left" w:pos="5940"/>
        <w:tab w:val="left" w:pos="8640"/>
      </w:tabs>
      <w:ind w:right="0"/>
    </w:pPr>
    <w:r>
      <w:t xml:space="preserve">Prefiled Rebuttal Testimony </w:t>
    </w:r>
    <w:r>
      <w:tab/>
      <w:t>Exhibit No. ___(RCB-1T)</w:t>
    </w:r>
  </w:p>
  <w:p w:rsidR="00CF6570" w:rsidRDefault="00CF6570" w:rsidP="00F12C8F">
    <w:pPr>
      <w:pStyle w:val="Footer"/>
      <w:tabs>
        <w:tab w:val="clear" w:pos="4507"/>
        <w:tab w:val="clear" w:pos="9000"/>
        <w:tab w:val="left" w:pos="5940"/>
        <w:tab w:val="left" w:pos="7200"/>
      </w:tabs>
      <w:ind w:right="0"/>
    </w:pPr>
    <w:r>
      <w:t>(</w:t>
    </w:r>
    <w:proofErr w:type="spellStart"/>
    <w:r>
      <w:t>Nonconfidential</w:t>
    </w:r>
    <w:proofErr w:type="spellEnd"/>
    <w:r>
      <w:t xml:space="preserve">) </w:t>
    </w:r>
    <w:r>
      <w:tab/>
    </w:r>
    <w:r>
      <w:tab/>
      <w:t>Page </w:t>
    </w:r>
    <w:r>
      <w:rPr>
        <w:rStyle w:val="PageNumber"/>
      </w:rPr>
      <w:fldChar w:fldCharType="begin"/>
    </w:r>
    <w:r>
      <w:rPr>
        <w:rStyle w:val="PageNumber"/>
      </w:rPr>
      <w:instrText xml:space="preserve"> PAGE </w:instrText>
    </w:r>
    <w:r>
      <w:rPr>
        <w:rStyle w:val="PageNumber"/>
      </w:rPr>
      <w:fldChar w:fldCharType="separate"/>
    </w:r>
    <w:r w:rsidR="00AC5355">
      <w:rPr>
        <w:rStyle w:val="PageNumber"/>
        <w:noProof/>
      </w:rPr>
      <w:t>18</w:t>
    </w:r>
    <w:r>
      <w:rPr>
        <w:rStyle w:val="PageNumber"/>
      </w:rPr>
      <w:fldChar w:fldCharType="end"/>
    </w:r>
    <w:r>
      <w:rPr>
        <w:rStyle w:val="PageNumber"/>
      </w:rPr>
      <w:t xml:space="preserve"> of </w:t>
    </w:r>
    <w:r w:rsidR="00B4062B">
      <w:rPr>
        <w:rStyle w:val="PageNumber"/>
      </w:rPr>
      <w:t>18</w:t>
    </w:r>
  </w:p>
  <w:p w:rsidR="00CF6570" w:rsidRDefault="00CF6570" w:rsidP="00BE6C1A">
    <w:pPr>
      <w:pStyle w:val="Footer"/>
      <w:tabs>
        <w:tab w:val="clear" w:pos="4507"/>
        <w:tab w:val="clear" w:pos="9000"/>
        <w:tab w:val="left" w:pos="5760"/>
        <w:tab w:val="left" w:pos="7290"/>
        <w:tab w:val="left" w:pos="7380"/>
      </w:tabs>
      <w:ind w:right="0"/>
    </w:pPr>
    <w:r>
      <w:t>of</w:t>
    </w:r>
    <w:r w:rsidRPr="00261D7D">
      <w:t xml:space="preserve"> </w:t>
    </w:r>
    <w:r>
      <w:t>Robert C. Bellemare</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28" w:rsidRDefault="006F2B28">
      <w:r>
        <w:separator/>
      </w:r>
    </w:p>
  </w:footnote>
  <w:footnote w:type="continuationSeparator" w:id="0">
    <w:p w:rsidR="006F2B28" w:rsidRDefault="006F2B28">
      <w:r>
        <w:continuationSeparator/>
      </w:r>
    </w:p>
  </w:footnote>
  <w:footnote w:id="1">
    <w:p w:rsidR="00F64DEF" w:rsidRDefault="00F64DEF" w:rsidP="00662598">
      <w:pPr>
        <w:pStyle w:val="FootnoteText"/>
        <w:spacing w:before="120" w:line="240" w:lineRule="auto"/>
      </w:pPr>
      <w:r>
        <w:rPr>
          <w:rStyle w:val="FootnoteReference"/>
        </w:rPr>
        <w:footnoteRef/>
      </w:r>
      <w:r>
        <w:t xml:space="preserve"> </w:t>
      </w:r>
      <w:proofErr w:type="spellStart"/>
      <w:r>
        <w:t>Exh</w:t>
      </w:r>
      <w:proofErr w:type="spellEnd"/>
      <w:r>
        <w:t>. No. ___(EJK-1T), 32.</w:t>
      </w:r>
    </w:p>
  </w:footnote>
  <w:footnote w:id="2">
    <w:p w:rsidR="0010119E" w:rsidRPr="002945D5" w:rsidRDefault="0010119E" w:rsidP="00662598">
      <w:pPr>
        <w:pStyle w:val="FootnoteText"/>
        <w:spacing w:before="120" w:line="240" w:lineRule="auto"/>
      </w:pPr>
      <w:r>
        <w:rPr>
          <w:rStyle w:val="FootnoteReference"/>
        </w:rPr>
        <w:footnoteRef/>
      </w:r>
      <w:r>
        <w:t xml:space="preserve"> </w:t>
      </w:r>
      <w:r w:rsidR="009B7B72">
        <w:rPr>
          <w:i/>
        </w:rPr>
        <w:t>See</w:t>
      </w:r>
      <w:r w:rsidR="009B7B72">
        <w:t xml:space="preserve">, </w:t>
      </w:r>
      <w:r w:rsidR="009B7B72">
        <w:rPr>
          <w:i/>
        </w:rPr>
        <w:t>e.g.,</w:t>
      </w:r>
      <w:r w:rsidR="009B7B72">
        <w:t xml:space="preserve"> Hill, </w:t>
      </w:r>
      <w:proofErr w:type="spellStart"/>
      <w:r w:rsidR="009B7B72">
        <w:t>Exh</w:t>
      </w:r>
      <w:proofErr w:type="spellEnd"/>
      <w:r w:rsidR="009B7B72">
        <w:t xml:space="preserve">. No. SGH-1CT, 4:6-10 (on behalf of Public Counsel) in Docket Nos. UE-090704 and UG-090705 (testifying that the DCF model is more reliable than the Capital Asset Pricing Model); </w:t>
      </w:r>
      <w:r w:rsidR="009B7B72">
        <w:rPr>
          <w:i/>
        </w:rPr>
        <w:t>see also</w:t>
      </w:r>
      <w:r w:rsidR="009B7B72">
        <w:t xml:space="preserve"> Elgin, </w:t>
      </w:r>
      <w:proofErr w:type="spellStart"/>
      <w:r w:rsidR="009B7B72">
        <w:t>Exh</w:t>
      </w:r>
      <w:proofErr w:type="spellEnd"/>
      <w:r w:rsidR="009B7B72">
        <w:t xml:space="preserve">. No. KLE-1T, 7:1-12 (on behalf of Staff) in Docket Nos. UE-111048 and UG-111049 (“I strongly support the Commission’s policy and practice to use the </w:t>
      </w:r>
      <w:proofErr w:type="spellStart"/>
      <w:r w:rsidR="009B7B72">
        <w:t>DCF</w:t>
      </w:r>
      <w:proofErr w:type="spellEnd"/>
      <w:r w:rsidR="009B7B72">
        <w:t xml:space="preserve"> analysis…”); Gorman, </w:t>
      </w:r>
      <w:proofErr w:type="spellStart"/>
      <w:r w:rsidR="009B7B72">
        <w:t>Exh</w:t>
      </w:r>
      <w:proofErr w:type="spellEnd"/>
      <w:r w:rsidR="009B7B72">
        <w:t xml:space="preserve">. No. MPG-1T, 16-17 in Docket Nos. UE-111048 and UG-111049, and Parcell, </w:t>
      </w:r>
      <w:proofErr w:type="spellStart"/>
      <w:r w:rsidR="009B7B72">
        <w:t>Exh</w:t>
      </w:r>
      <w:proofErr w:type="spellEnd"/>
      <w:r w:rsidR="009B7B72">
        <w:t xml:space="preserve">. No. DCP-1T at 30:11-18 (on behalf of </w:t>
      </w:r>
      <w:r w:rsidR="00A432A6">
        <w:t>Staff) in Docket Nos. UE-090704 and UG-090705 (“The [DCF] model is one of the oldest, as well as the most commonly-used, models for estimating the cost of common equity for public utilities.  It is my understanding that the Commission’s policy is to place primary reliance on DCF results in setting the cost of capital for the utilities it regulates.”).</w:t>
      </w:r>
    </w:p>
  </w:footnote>
  <w:footnote w:id="3">
    <w:p w:rsidR="00337E3A" w:rsidRDefault="00337E3A" w:rsidP="00662598">
      <w:pPr>
        <w:pStyle w:val="FootnoteText"/>
        <w:spacing w:before="120" w:line="240" w:lineRule="auto"/>
      </w:pPr>
      <w:r>
        <w:rPr>
          <w:rStyle w:val="FootnoteReference"/>
        </w:rPr>
        <w:footnoteRef/>
      </w:r>
      <w:r>
        <w:t xml:space="preserve"> </w:t>
      </w:r>
      <w:proofErr w:type="spellStart"/>
      <w:r w:rsidR="004D55C9">
        <w:t>Exh</w:t>
      </w:r>
      <w:proofErr w:type="spellEnd"/>
      <w:r w:rsidR="004D55C9">
        <w:t>. No. ___(EJK-1T), 32:18-33:15.</w:t>
      </w:r>
    </w:p>
  </w:footnote>
  <w:footnote w:id="4">
    <w:p w:rsidR="00F43E4A" w:rsidRPr="004D55C9" w:rsidRDefault="00F43E4A" w:rsidP="00662598">
      <w:pPr>
        <w:pStyle w:val="FootnoteText"/>
        <w:spacing w:before="120" w:line="240" w:lineRule="auto"/>
      </w:pPr>
      <w:r>
        <w:rPr>
          <w:rStyle w:val="FootnoteReference"/>
        </w:rPr>
        <w:footnoteRef/>
      </w:r>
      <w:r>
        <w:t xml:space="preserve"> </w:t>
      </w:r>
      <w:proofErr w:type="spellStart"/>
      <w:r w:rsidR="004D55C9">
        <w:t>Exh</w:t>
      </w:r>
      <w:proofErr w:type="spellEnd"/>
      <w:r w:rsidR="004D55C9">
        <w:t xml:space="preserve">. No. ___(EJK-1T), 17:7-11. </w:t>
      </w:r>
      <w:r w:rsidR="004D55C9">
        <w:rPr>
          <w:i/>
        </w:rPr>
        <w:t>See also</w:t>
      </w:r>
      <w:r w:rsidR="004D55C9">
        <w:t xml:space="preserve"> </w:t>
      </w:r>
      <w:proofErr w:type="spellStart"/>
      <w:r w:rsidR="004D55C9">
        <w:t>Exh</w:t>
      </w:r>
      <w:proofErr w:type="spellEnd"/>
      <w:r w:rsidR="004D55C9">
        <w:t>. No. ___(EJK-1T), 33:11-16</w:t>
      </w:r>
      <w:r w:rsidR="00580782">
        <w:t>;</w:t>
      </w:r>
      <w:r w:rsidR="004D55C9">
        <w:t xml:space="preserve"> </w:t>
      </w:r>
      <w:proofErr w:type="spellStart"/>
      <w:r w:rsidR="004D55C9">
        <w:t>Exh</w:t>
      </w:r>
      <w:proofErr w:type="spellEnd"/>
      <w:r w:rsidR="004D55C9">
        <w:t>. No. ___(MPG-1T), 2:4-8</w:t>
      </w:r>
      <w:r w:rsidR="00580782">
        <w:t>,</w:t>
      </w:r>
      <w:r w:rsidR="004D55C9">
        <w:t xml:space="preserve"> and </w:t>
      </w:r>
      <w:proofErr w:type="spellStart"/>
      <w:r w:rsidR="004D55C9">
        <w:t>Exh</w:t>
      </w:r>
      <w:proofErr w:type="spellEnd"/>
      <w:r w:rsidR="004D55C9">
        <w:t>. No. ___(MP</w:t>
      </w:r>
      <w:r w:rsidR="00580782">
        <w:t>G</w:t>
      </w:r>
      <w:r w:rsidR="004D55C9">
        <w:t>-1T)</w:t>
      </w:r>
      <w:r w:rsidR="00580782">
        <w:t>, 8:3-11.</w:t>
      </w:r>
    </w:p>
  </w:footnote>
  <w:footnote w:id="5">
    <w:p w:rsidR="00CF6570" w:rsidRDefault="00CF6570" w:rsidP="00662598">
      <w:pPr>
        <w:pStyle w:val="FootnoteText"/>
        <w:spacing w:before="120" w:line="240" w:lineRule="auto"/>
      </w:pPr>
      <w:r>
        <w:rPr>
          <w:rStyle w:val="FootnoteReference"/>
        </w:rPr>
        <w:footnoteRef/>
      </w:r>
      <w:r>
        <w:t xml:space="preserve"> I</w:t>
      </w:r>
      <w:r w:rsidRPr="009D2D54">
        <w:t>nternational Glossary of Business Valuation Terms 2001</w:t>
      </w:r>
      <w:r>
        <w:t>.</w:t>
      </w:r>
    </w:p>
  </w:footnote>
  <w:footnote w:id="6">
    <w:p w:rsidR="00F43E4A" w:rsidRDefault="00F43E4A" w:rsidP="00662598">
      <w:pPr>
        <w:pStyle w:val="FootnoteText"/>
        <w:spacing w:before="120" w:line="240" w:lineRule="auto"/>
      </w:pPr>
      <w:r>
        <w:rPr>
          <w:rStyle w:val="FootnoteReference"/>
        </w:rPr>
        <w:footnoteRef/>
      </w:r>
      <w:r>
        <w:t xml:space="preserve"> </w:t>
      </w:r>
      <w:proofErr w:type="spellStart"/>
      <w:r w:rsidR="00936AA8">
        <w:t>Exh</w:t>
      </w:r>
      <w:proofErr w:type="spellEnd"/>
      <w:r w:rsidR="00936AA8">
        <w:t>. No. </w:t>
      </w:r>
      <w:r w:rsidR="00662598">
        <w:t xml:space="preserve"> KRK-1CT</w:t>
      </w:r>
      <w:r w:rsidR="00936AA8">
        <w:t xml:space="preserve"> at</w:t>
      </w:r>
      <w:r w:rsidR="00580782">
        <w:t xml:space="preserve"> 9:9-10:6</w:t>
      </w:r>
      <w:r w:rsidR="00863338">
        <w:t xml:space="preserve"> in Docket No. </w:t>
      </w:r>
      <w:r w:rsidR="00863338" w:rsidRPr="00863338">
        <w:t>U-101217</w:t>
      </w:r>
      <w:r w:rsidR="00580782">
        <w:t xml:space="preserve">. </w:t>
      </w:r>
    </w:p>
  </w:footnote>
  <w:footnote w:id="7">
    <w:p w:rsidR="00F43E4A" w:rsidRDefault="00F43E4A" w:rsidP="00662598">
      <w:pPr>
        <w:pStyle w:val="FootnoteText"/>
        <w:spacing w:before="120" w:line="240" w:lineRule="auto"/>
      </w:pPr>
      <w:r>
        <w:rPr>
          <w:rStyle w:val="FootnoteReference"/>
        </w:rPr>
        <w:footnoteRef/>
      </w:r>
      <w:r>
        <w:t xml:space="preserve"> </w:t>
      </w:r>
      <w:proofErr w:type="spellStart"/>
      <w:r w:rsidR="00662598">
        <w:t>Exh</w:t>
      </w:r>
      <w:proofErr w:type="spellEnd"/>
      <w:r w:rsidR="00662598">
        <w:t>. No. </w:t>
      </w:r>
      <w:r w:rsidR="00580782">
        <w:t>KRK-1CT</w:t>
      </w:r>
      <w:r w:rsidR="00936AA8">
        <w:t xml:space="preserve"> at</w:t>
      </w:r>
      <w:r w:rsidR="00580782">
        <w:t xml:space="preserve"> 12:3-7</w:t>
      </w:r>
      <w:r w:rsidR="00863338" w:rsidRPr="00863338">
        <w:t xml:space="preserve"> </w:t>
      </w:r>
      <w:r w:rsidR="00863338">
        <w:t>in Docket No. </w:t>
      </w:r>
      <w:r w:rsidR="00863338" w:rsidRPr="00863338">
        <w:t>U-101217</w:t>
      </w:r>
      <w:r w:rsidR="00580782">
        <w:t>.</w:t>
      </w:r>
    </w:p>
  </w:footnote>
  <w:footnote w:id="8">
    <w:p w:rsidR="00E87F0B" w:rsidRDefault="00E87F0B" w:rsidP="00662598">
      <w:pPr>
        <w:pStyle w:val="FootnoteText"/>
        <w:spacing w:before="120" w:line="240" w:lineRule="auto"/>
      </w:pPr>
      <w:r>
        <w:rPr>
          <w:rStyle w:val="FootnoteReference"/>
        </w:rPr>
        <w:footnoteRef/>
      </w:r>
      <w:r>
        <w:t xml:space="preserve"> </w:t>
      </w:r>
      <w:r w:rsidRPr="006729F0">
        <w:rPr>
          <w:i/>
        </w:rPr>
        <w:t>See</w:t>
      </w:r>
      <w:r w:rsidRPr="00E87F0B">
        <w:t xml:space="preserve"> </w:t>
      </w:r>
      <w:proofErr w:type="spellStart"/>
      <w:r w:rsidRPr="00E87F0B">
        <w:t>Exh</w:t>
      </w:r>
      <w:proofErr w:type="spellEnd"/>
      <w:r w:rsidRPr="00E87F0B">
        <w:t>. No.</w:t>
      </w:r>
      <w:r w:rsidR="00936AA8">
        <w:t> </w:t>
      </w:r>
      <w:r w:rsidRPr="00E87F0B">
        <w:t>KRK-1TC</w:t>
      </w:r>
      <w:r>
        <w:t xml:space="preserve"> at 16</w:t>
      </w:r>
      <w:r w:rsidRPr="00E87F0B">
        <w:t xml:space="preserve"> in Docket No. U-101217.  </w:t>
      </w:r>
    </w:p>
  </w:footnote>
  <w:footnote w:id="9">
    <w:p w:rsidR="00E87F0B" w:rsidRDefault="00E87F0B" w:rsidP="00662598">
      <w:pPr>
        <w:pStyle w:val="FootnoteText"/>
        <w:spacing w:before="120" w:line="240" w:lineRule="auto"/>
      </w:pPr>
      <w:r>
        <w:rPr>
          <w:rStyle w:val="FootnoteReference"/>
        </w:rPr>
        <w:footnoteRef/>
      </w:r>
      <w:r>
        <w:t xml:space="preserve"> </w:t>
      </w:r>
      <w:r w:rsidRPr="006729F0">
        <w:rPr>
          <w:i/>
        </w:rPr>
        <w:t>See</w:t>
      </w:r>
      <w:r w:rsidRPr="00E87F0B">
        <w:t xml:space="preserve"> </w:t>
      </w:r>
      <w:proofErr w:type="spellStart"/>
      <w:r w:rsidRPr="00E87F0B">
        <w:t>Exh</w:t>
      </w:r>
      <w:proofErr w:type="spellEnd"/>
      <w:r w:rsidRPr="00E87F0B">
        <w:t>. No. KRK-1TC</w:t>
      </w:r>
      <w:r>
        <w:t xml:space="preserve"> at 16</w:t>
      </w:r>
      <w:r w:rsidRPr="00E87F0B">
        <w:t xml:space="preserve"> in Docket No. U-101217</w:t>
      </w:r>
      <w:r>
        <w:t>.</w:t>
      </w:r>
    </w:p>
  </w:footnote>
  <w:footnote w:id="10">
    <w:p w:rsidR="00C1322B" w:rsidRPr="00106CCF" w:rsidRDefault="00C1322B" w:rsidP="00662598">
      <w:pPr>
        <w:pStyle w:val="FootnoteText"/>
        <w:spacing w:before="120" w:line="240" w:lineRule="auto"/>
      </w:pPr>
      <w:r>
        <w:rPr>
          <w:rStyle w:val="FootnoteReference"/>
        </w:rPr>
        <w:footnoteRef/>
      </w:r>
      <w:r>
        <w:t xml:space="preserve"> </w:t>
      </w:r>
      <w:r w:rsidR="00106CCF">
        <w:rPr>
          <w:i/>
        </w:rPr>
        <w:t>See, e.g.,</w:t>
      </w:r>
      <w:r w:rsidR="00106CCF">
        <w:t xml:space="preserve"> </w:t>
      </w:r>
      <w:proofErr w:type="spellStart"/>
      <w:r w:rsidR="00106CCF">
        <w:t>Exh</w:t>
      </w:r>
      <w:proofErr w:type="spellEnd"/>
      <w:r w:rsidR="00106CCF">
        <w:t>. No. </w:t>
      </w:r>
      <w:r w:rsidR="006729F0">
        <w:t xml:space="preserve"> </w:t>
      </w:r>
      <w:r w:rsidR="00106CCF">
        <w:t>JRD-1T, 21:13-22:34.</w:t>
      </w:r>
    </w:p>
  </w:footnote>
  <w:footnote w:id="11">
    <w:p w:rsidR="00B12050" w:rsidRDefault="00B12050" w:rsidP="00662598">
      <w:pPr>
        <w:pStyle w:val="FootnoteText"/>
        <w:spacing w:before="120" w:line="240" w:lineRule="auto"/>
      </w:pPr>
      <w:r>
        <w:rPr>
          <w:rStyle w:val="FootnoteReference"/>
        </w:rPr>
        <w:footnoteRef/>
      </w:r>
      <w:r>
        <w:t xml:space="preserve"> D </w:t>
      </w:r>
      <w:proofErr w:type="spellStart"/>
      <w:r>
        <w:t>Hittle</w:t>
      </w:r>
      <w:proofErr w:type="spellEnd"/>
      <w:r>
        <w:t xml:space="preserve"> &amp; Associates, “Preliminary Feasibility Study Public Utility District No. 1 of Jefferson County Electric System Acquisition,” September 15, 2008,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0" w:rsidRDefault="00CF6570">
    <w:pPr>
      <w:pStyle w:val="Header"/>
    </w:pPr>
    <w:r>
      <w:rPr>
        <w:noProof/>
        <w:lang w:eastAsia="en-US"/>
      </w:rPr>
      <mc:AlternateContent>
        <mc:Choice Requires="wps">
          <w:drawing>
            <wp:anchor distT="0" distB="0" distL="114298" distR="114298" simplePos="0" relativeHeight="251657728" behindDoc="0" locked="0" layoutInCell="0" allowOverlap="1" wp14:anchorId="631F3E2D" wp14:editId="40A12B00">
              <wp:simplePos x="0" y="0"/>
              <wp:positionH relativeFrom="column">
                <wp:posOffset>-177166</wp:posOffset>
              </wp:positionH>
              <wp:positionV relativeFrom="paragraph">
                <wp:posOffset>2540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CDAF6" id="Line 1"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EF2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0C1E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C6995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4D8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DCC7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7A631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02C395D"/>
    <w:multiLevelType w:val="hybridMultilevel"/>
    <w:tmpl w:val="BEA2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0FE037A"/>
    <w:multiLevelType w:val="hybridMultilevel"/>
    <w:tmpl w:val="361C48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9">
    <w:nsid w:val="507721E2"/>
    <w:multiLevelType w:val="hybridMultilevel"/>
    <w:tmpl w:val="316E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2">
    <w:nsid w:val="66E47712"/>
    <w:multiLevelType w:val="hybridMultilevel"/>
    <w:tmpl w:val="97FC1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4">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5">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8">
    <w:nsid w:val="7DF33547"/>
    <w:multiLevelType w:val="hybridMultilevel"/>
    <w:tmpl w:val="45B213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4"/>
  </w:num>
  <w:num w:numId="32">
    <w:abstractNumId w:val="10"/>
  </w:num>
  <w:num w:numId="33">
    <w:abstractNumId w:val="25"/>
  </w:num>
  <w:num w:numId="34">
    <w:abstractNumId w:val="16"/>
  </w:num>
  <w:num w:numId="35">
    <w:abstractNumId w:val="21"/>
  </w:num>
  <w:num w:numId="36">
    <w:abstractNumId w:val="23"/>
  </w:num>
  <w:num w:numId="37">
    <w:abstractNumId w:val="26"/>
  </w:num>
  <w:num w:numId="38">
    <w:abstractNumId w:val="17"/>
  </w:num>
  <w:num w:numId="39">
    <w:abstractNumId w:val="27"/>
  </w:num>
  <w:num w:numId="40">
    <w:abstractNumId w:val="18"/>
  </w:num>
  <w:num w:numId="41">
    <w:abstractNumId w:val="20"/>
  </w:num>
  <w:num w:numId="42">
    <w:abstractNumId w:val="12"/>
  </w:num>
  <w:num w:numId="43">
    <w:abstractNumId w:val="11"/>
  </w:num>
  <w:num w:numId="44">
    <w:abstractNumId w:val="14"/>
  </w:num>
  <w:num w:numId="45">
    <w:abstractNumId w:val="13"/>
  </w:num>
  <w:num w:numId="46">
    <w:abstractNumId w:val="15"/>
  </w:num>
  <w:num w:numId="47">
    <w:abstractNumId w:val="19"/>
  </w:num>
  <w:num w:numId="48">
    <w:abstractNumId w:val="28"/>
  </w:num>
  <w:num w:numId="49">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ellemare">
    <w15:presenceInfo w15:providerId="Windows Live" w15:userId="aef7d938bf0b9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3880"/>
    <w:rsid w:val="00004D39"/>
    <w:rsid w:val="00006AEE"/>
    <w:rsid w:val="00006CEF"/>
    <w:rsid w:val="0000723E"/>
    <w:rsid w:val="00007933"/>
    <w:rsid w:val="000101C9"/>
    <w:rsid w:val="000108CD"/>
    <w:rsid w:val="00011315"/>
    <w:rsid w:val="0001184F"/>
    <w:rsid w:val="00011FD7"/>
    <w:rsid w:val="000139D8"/>
    <w:rsid w:val="00013D39"/>
    <w:rsid w:val="00013E10"/>
    <w:rsid w:val="0001462C"/>
    <w:rsid w:val="00015FE8"/>
    <w:rsid w:val="0001611A"/>
    <w:rsid w:val="000166B1"/>
    <w:rsid w:val="00016D72"/>
    <w:rsid w:val="00017290"/>
    <w:rsid w:val="00017DB9"/>
    <w:rsid w:val="000221CB"/>
    <w:rsid w:val="000225AA"/>
    <w:rsid w:val="000230FD"/>
    <w:rsid w:val="00023506"/>
    <w:rsid w:val="00024ADC"/>
    <w:rsid w:val="00027AE4"/>
    <w:rsid w:val="0003005E"/>
    <w:rsid w:val="00030F56"/>
    <w:rsid w:val="00031B05"/>
    <w:rsid w:val="00032119"/>
    <w:rsid w:val="00032928"/>
    <w:rsid w:val="000343C2"/>
    <w:rsid w:val="0003497B"/>
    <w:rsid w:val="00034EBC"/>
    <w:rsid w:val="00035AB9"/>
    <w:rsid w:val="00036158"/>
    <w:rsid w:val="0004042B"/>
    <w:rsid w:val="00040AB3"/>
    <w:rsid w:val="00040BFD"/>
    <w:rsid w:val="000425A2"/>
    <w:rsid w:val="00043BF2"/>
    <w:rsid w:val="00043F54"/>
    <w:rsid w:val="0004438A"/>
    <w:rsid w:val="000456B9"/>
    <w:rsid w:val="000466D0"/>
    <w:rsid w:val="000478C6"/>
    <w:rsid w:val="00047DC5"/>
    <w:rsid w:val="0005078B"/>
    <w:rsid w:val="000528F5"/>
    <w:rsid w:val="00052A37"/>
    <w:rsid w:val="0005318A"/>
    <w:rsid w:val="00053B7F"/>
    <w:rsid w:val="00054C6A"/>
    <w:rsid w:val="00055FFA"/>
    <w:rsid w:val="00057091"/>
    <w:rsid w:val="00057C3E"/>
    <w:rsid w:val="000601AC"/>
    <w:rsid w:val="00060F57"/>
    <w:rsid w:val="000612F1"/>
    <w:rsid w:val="00061EC5"/>
    <w:rsid w:val="000623F4"/>
    <w:rsid w:val="00064171"/>
    <w:rsid w:val="00064903"/>
    <w:rsid w:val="00064BAA"/>
    <w:rsid w:val="000650F0"/>
    <w:rsid w:val="000671C3"/>
    <w:rsid w:val="00067771"/>
    <w:rsid w:val="0006778A"/>
    <w:rsid w:val="00071ADE"/>
    <w:rsid w:val="00071BB1"/>
    <w:rsid w:val="000720D0"/>
    <w:rsid w:val="000720FD"/>
    <w:rsid w:val="000755AA"/>
    <w:rsid w:val="0007591C"/>
    <w:rsid w:val="00076719"/>
    <w:rsid w:val="00076A47"/>
    <w:rsid w:val="0008032E"/>
    <w:rsid w:val="0008213E"/>
    <w:rsid w:val="00082B2B"/>
    <w:rsid w:val="00082C18"/>
    <w:rsid w:val="000831B1"/>
    <w:rsid w:val="00085AFB"/>
    <w:rsid w:val="00085CC0"/>
    <w:rsid w:val="00085F69"/>
    <w:rsid w:val="000867DE"/>
    <w:rsid w:val="0008697F"/>
    <w:rsid w:val="00086988"/>
    <w:rsid w:val="00087263"/>
    <w:rsid w:val="00087467"/>
    <w:rsid w:val="00090AC1"/>
    <w:rsid w:val="00090CF4"/>
    <w:rsid w:val="00091AD2"/>
    <w:rsid w:val="00091AE5"/>
    <w:rsid w:val="00092201"/>
    <w:rsid w:val="0009252E"/>
    <w:rsid w:val="000928D8"/>
    <w:rsid w:val="00093447"/>
    <w:rsid w:val="000947C0"/>
    <w:rsid w:val="00095901"/>
    <w:rsid w:val="00096A95"/>
    <w:rsid w:val="00097E1D"/>
    <w:rsid w:val="000A0290"/>
    <w:rsid w:val="000A03EA"/>
    <w:rsid w:val="000A1803"/>
    <w:rsid w:val="000A18A9"/>
    <w:rsid w:val="000A38C2"/>
    <w:rsid w:val="000A466A"/>
    <w:rsid w:val="000A4ADD"/>
    <w:rsid w:val="000A7131"/>
    <w:rsid w:val="000A731A"/>
    <w:rsid w:val="000B072E"/>
    <w:rsid w:val="000B1733"/>
    <w:rsid w:val="000B18E9"/>
    <w:rsid w:val="000B1DF8"/>
    <w:rsid w:val="000B1EA2"/>
    <w:rsid w:val="000B438F"/>
    <w:rsid w:val="000B4EC5"/>
    <w:rsid w:val="000B5329"/>
    <w:rsid w:val="000B547D"/>
    <w:rsid w:val="000B61D1"/>
    <w:rsid w:val="000B6E7F"/>
    <w:rsid w:val="000B7268"/>
    <w:rsid w:val="000B79AA"/>
    <w:rsid w:val="000C0FCD"/>
    <w:rsid w:val="000C1E8E"/>
    <w:rsid w:val="000C22CA"/>
    <w:rsid w:val="000C438E"/>
    <w:rsid w:val="000C51B5"/>
    <w:rsid w:val="000C5A2C"/>
    <w:rsid w:val="000C6EA8"/>
    <w:rsid w:val="000C7BD8"/>
    <w:rsid w:val="000C7C74"/>
    <w:rsid w:val="000D18C8"/>
    <w:rsid w:val="000D1FB5"/>
    <w:rsid w:val="000D2B67"/>
    <w:rsid w:val="000D2E80"/>
    <w:rsid w:val="000D30B9"/>
    <w:rsid w:val="000D32DD"/>
    <w:rsid w:val="000D34D0"/>
    <w:rsid w:val="000D3BF9"/>
    <w:rsid w:val="000D3EE9"/>
    <w:rsid w:val="000D66B3"/>
    <w:rsid w:val="000D7125"/>
    <w:rsid w:val="000E024D"/>
    <w:rsid w:val="000E060D"/>
    <w:rsid w:val="000E08A9"/>
    <w:rsid w:val="000E0956"/>
    <w:rsid w:val="000E0E47"/>
    <w:rsid w:val="000E2BB4"/>
    <w:rsid w:val="000E2D02"/>
    <w:rsid w:val="000E348A"/>
    <w:rsid w:val="000E4043"/>
    <w:rsid w:val="000E47EE"/>
    <w:rsid w:val="000E4C97"/>
    <w:rsid w:val="000E50F0"/>
    <w:rsid w:val="000E5955"/>
    <w:rsid w:val="000F041C"/>
    <w:rsid w:val="000F04B4"/>
    <w:rsid w:val="000F0D40"/>
    <w:rsid w:val="000F0E39"/>
    <w:rsid w:val="000F23B3"/>
    <w:rsid w:val="000F2B1A"/>
    <w:rsid w:val="000F37F6"/>
    <w:rsid w:val="000F4005"/>
    <w:rsid w:val="000F490A"/>
    <w:rsid w:val="000F4F36"/>
    <w:rsid w:val="000F52A7"/>
    <w:rsid w:val="000F59B2"/>
    <w:rsid w:val="000F762C"/>
    <w:rsid w:val="000F7DE8"/>
    <w:rsid w:val="00100417"/>
    <w:rsid w:val="00100532"/>
    <w:rsid w:val="001010E0"/>
    <w:rsid w:val="0010119E"/>
    <w:rsid w:val="00102D02"/>
    <w:rsid w:val="001038DF"/>
    <w:rsid w:val="001045A8"/>
    <w:rsid w:val="001049E6"/>
    <w:rsid w:val="001055EA"/>
    <w:rsid w:val="001066A2"/>
    <w:rsid w:val="0010692E"/>
    <w:rsid w:val="00106CCF"/>
    <w:rsid w:val="0010724B"/>
    <w:rsid w:val="0010762E"/>
    <w:rsid w:val="00107F70"/>
    <w:rsid w:val="00111CF4"/>
    <w:rsid w:val="00112AA6"/>
    <w:rsid w:val="001132B0"/>
    <w:rsid w:val="00113C14"/>
    <w:rsid w:val="00113E20"/>
    <w:rsid w:val="001148FE"/>
    <w:rsid w:val="00114B5C"/>
    <w:rsid w:val="00115F53"/>
    <w:rsid w:val="00116B23"/>
    <w:rsid w:val="0012055A"/>
    <w:rsid w:val="001213B8"/>
    <w:rsid w:val="0012187E"/>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090"/>
    <w:rsid w:val="001433AA"/>
    <w:rsid w:val="00143690"/>
    <w:rsid w:val="001437FE"/>
    <w:rsid w:val="00143E87"/>
    <w:rsid w:val="00144612"/>
    <w:rsid w:val="00146EDB"/>
    <w:rsid w:val="001479BB"/>
    <w:rsid w:val="00150762"/>
    <w:rsid w:val="001507AA"/>
    <w:rsid w:val="001508B7"/>
    <w:rsid w:val="001509BF"/>
    <w:rsid w:val="00150B43"/>
    <w:rsid w:val="0015139A"/>
    <w:rsid w:val="00151E68"/>
    <w:rsid w:val="00154085"/>
    <w:rsid w:val="00155A5E"/>
    <w:rsid w:val="00155ABF"/>
    <w:rsid w:val="001569A7"/>
    <w:rsid w:val="001603DB"/>
    <w:rsid w:val="00160D82"/>
    <w:rsid w:val="0016182B"/>
    <w:rsid w:val="00162108"/>
    <w:rsid w:val="001638AB"/>
    <w:rsid w:val="00163E46"/>
    <w:rsid w:val="00164085"/>
    <w:rsid w:val="00164275"/>
    <w:rsid w:val="0016477D"/>
    <w:rsid w:val="0016594C"/>
    <w:rsid w:val="001664B2"/>
    <w:rsid w:val="001668C4"/>
    <w:rsid w:val="00166CB0"/>
    <w:rsid w:val="0016795C"/>
    <w:rsid w:val="00167C21"/>
    <w:rsid w:val="00170A15"/>
    <w:rsid w:val="00171539"/>
    <w:rsid w:val="00171551"/>
    <w:rsid w:val="0017273B"/>
    <w:rsid w:val="00172914"/>
    <w:rsid w:val="001744D8"/>
    <w:rsid w:val="0017489F"/>
    <w:rsid w:val="00175610"/>
    <w:rsid w:val="00175E3E"/>
    <w:rsid w:val="00176EB6"/>
    <w:rsid w:val="0017762F"/>
    <w:rsid w:val="00177B8E"/>
    <w:rsid w:val="00180853"/>
    <w:rsid w:val="00180A27"/>
    <w:rsid w:val="00180C05"/>
    <w:rsid w:val="001812AB"/>
    <w:rsid w:val="001817F0"/>
    <w:rsid w:val="001818AF"/>
    <w:rsid w:val="00181BFF"/>
    <w:rsid w:val="001839D8"/>
    <w:rsid w:val="00184BED"/>
    <w:rsid w:val="00184D5A"/>
    <w:rsid w:val="00185D01"/>
    <w:rsid w:val="00187537"/>
    <w:rsid w:val="00187695"/>
    <w:rsid w:val="00190A38"/>
    <w:rsid w:val="001910AF"/>
    <w:rsid w:val="0019228F"/>
    <w:rsid w:val="00192868"/>
    <w:rsid w:val="00193441"/>
    <w:rsid w:val="00193663"/>
    <w:rsid w:val="00193732"/>
    <w:rsid w:val="00195455"/>
    <w:rsid w:val="0019623D"/>
    <w:rsid w:val="0019637E"/>
    <w:rsid w:val="00196735"/>
    <w:rsid w:val="00196CB7"/>
    <w:rsid w:val="00197043"/>
    <w:rsid w:val="00197652"/>
    <w:rsid w:val="00197EA3"/>
    <w:rsid w:val="001A2001"/>
    <w:rsid w:val="001A20CB"/>
    <w:rsid w:val="001A250C"/>
    <w:rsid w:val="001A28EB"/>
    <w:rsid w:val="001A2DBE"/>
    <w:rsid w:val="001A4458"/>
    <w:rsid w:val="001A4A08"/>
    <w:rsid w:val="001A4AC5"/>
    <w:rsid w:val="001A62B1"/>
    <w:rsid w:val="001A769C"/>
    <w:rsid w:val="001B05DD"/>
    <w:rsid w:val="001B0754"/>
    <w:rsid w:val="001B0B4C"/>
    <w:rsid w:val="001B0F21"/>
    <w:rsid w:val="001B1042"/>
    <w:rsid w:val="001B3B0C"/>
    <w:rsid w:val="001B3DDF"/>
    <w:rsid w:val="001B3DF5"/>
    <w:rsid w:val="001B3E49"/>
    <w:rsid w:val="001B4051"/>
    <w:rsid w:val="001B4343"/>
    <w:rsid w:val="001B5A35"/>
    <w:rsid w:val="001B5DB9"/>
    <w:rsid w:val="001B5E5D"/>
    <w:rsid w:val="001B75FA"/>
    <w:rsid w:val="001B7E71"/>
    <w:rsid w:val="001C05AF"/>
    <w:rsid w:val="001C1320"/>
    <w:rsid w:val="001C1757"/>
    <w:rsid w:val="001C2894"/>
    <w:rsid w:val="001C2995"/>
    <w:rsid w:val="001C468D"/>
    <w:rsid w:val="001C56AF"/>
    <w:rsid w:val="001C59B6"/>
    <w:rsid w:val="001C5E73"/>
    <w:rsid w:val="001D0F46"/>
    <w:rsid w:val="001D0FC0"/>
    <w:rsid w:val="001D21E8"/>
    <w:rsid w:val="001D2261"/>
    <w:rsid w:val="001D2653"/>
    <w:rsid w:val="001D3097"/>
    <w:rsid w:val="001D4534"/>
    <w:rsid w:val="001D5575"/>
    <w:rsid w:val="001D684E"/>
    <w:rsid w:val="001D68A6"/>
    <w:rsid w:val="001D7495"/>
    <w:rsid w:val="001D7C48"/>
    <w:rsid w:val="001E02E4"/>
    <w:rsid w:val="001E0901"/>
    <w:rsid w:val="001E1485"/>
    <w:rsid w:val="001E2231"/>
    <w:rsid w:val="001E2391"/>
    <w:rsid w:val="001E2AEA"/>
    <w:rsid w:val="001E3020"/>
    <w:rsid w:val="001E513B"/>
    <w:rsid w:val="001E64F1"/>
    <w:rsid w:val="001E694B"/>
    <w:rsid w:val="001F00F8"/>
    <w:rsid w:val="001F0A40"/>
    <w:rsid w:val="001F0E2A"/>
    <w:rsid w:val="001F12EA"/>
    <w:rsid w:val="001F4E1D"/>
    <w:rsid w:val="001F53AD"/>
    <w:rsid w:val="001F56EF"/>
    <w:rsid w:val="001F65D4"/>
    <w:rsid w:val="001F7EF7"/>
    <w:rsid w:val="00200785"/>
    <w:rsid w:val="00200EAD"/>
    <w:rsid w:val="00202C2B"/>
    <w:rsid w:val="00203289"/>
    <w:rsid w:val="002032D3"/>
    <w:rsid w:val="00204F26"/>
    <w:rsid w:val="00206094"/>
    <w:rsid w:val="00206603"/>
    <w:rsid w:val="00206F0F"/>
    <w:rsid w:val="00207F30"/>
    <w:rsid w:val="00210AF9"/>
    <w:rsid w:val="002111FC"/>
    <w:rsid w:val="002115FF"/>
    <w:rsid w:val="00211FAA"/>
    <w:rsid w:val="002128AA"/>
    <w:rsid w:val="002136F2"/>
    <w:rsid w:val="002142E7"/>
    <w:rsid w:val="002174BA"/>
    <w:rsid w:val="002176C8"/>
    <w:rsid w:val="00217738"/>
    <w:rsid w:val="0022127D"/>
    <w:rsid w:val="0022136F"/>
    <w:rsid w:val="00221CB5"/>
    <w:rsid w:val="002225DC"/>
    <w:rsid w:val="002226ED"/>
    <w:rsid w:val="00222B92"/>
    <w:rsid w:val="00224272"/>
    <w:rsid w:val="002251FC"/>
    <w:rsid w:val="00225390"/>
    <w:rsid w:val="0022698A"/>
    <w:rsid w:val="00227A66"/>
    <w:rsid w:val="00227EB5"/>
    <w:rsid w:val="00232465"/>
    <w:rsid w:val="002330EF"/>
    <w:rsid w:val="002331D2"/>
    <w:rsid w:val="00233A20"/>
    <w:rsid w:val="00233F78"/>
    <w:rsid w:val="002366CD"/>
    <w:rsid w:val="002370A7"/>
    <w:rsid w:val="00237797"/>
    <w:rsid w:val="00237937"/>
    <w:rsid w:val="00237BC7"/>
    <w:rsid w:val="0024173A"/>
    <w:rsid w:val="002422D7"/>
    <w:rsid w:val="00242F00"/>
    <w:rsid w:val="00243A60"/>
    <w:rsid w:val="00243B08"/>
    <w:rsid w:val="00243D81"/>
    <w:rsid w:val="00246044"/>
    <w:rsid w:val="002464E2"/>
    <w:rsid w:val="00250A52"/>
    <w:rsid w:val="00250AD0"/>
    <w:rsid w:val="002513A2"/>
    <w:rsid w:val="002514AA"/>
    <w:rsid w:val="0025348F"/>
    <w:rsid w:val="00253A60"/>
    <w:rsid w:val="00253D38"/>
    <w:rsid w:val="0025416C"/>
    <w:rsid w:val="00254DF0"/>
    <w:rsid w:val="00255EA6"/>
    <w:rsid w:val="00256290"/>
    <w:rsid w:val="00256613"/>
    <w:rsid w:val="002568DE"/>
    <w:rsid w:val="0025728A"/>
    <w:rsid w:val="0025778C"/>
    <w:rsid w:val="00257E6C"/>
    <w:rsid w:val="0026033F"/>
    <w:rsid w:val="00261527"/>
    <w:rsid w:val="00261C58"/>
    <w:rsid w:val="00261D7D"/>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77D96"/>
    <w:rsid w:val="002807BC"/>
    <w:rsid w:val="00281570"/>
    <w:rsid w:val="0028186A"/>
    <w:rsid w:val="00281E39"/>
    <w:rsid w:val="00281FB1"/>
    <w:rsid w:val="00281FC8"/>
    <w:rsid w:val="00282721"/>
    <w:rsid w:val="0028293A"/>
    <w:rsid w:val="00282C40"/>
    <w:rsid w:val="00284894"/>
    <w:rsid w:val="00285588"/>
    <w:rsid w:val="002855EA"/>
    <w:rsid w:val="00287296"/>
    <w:rsid w:val="00287AFF"/>
    <w:rsid w:val="002909F6"/>
    <w:rsid w:val="00290A9F"/>
    <w:rsid w:val="00290E05"/>
    <w:rsid w:val="00292DA1"/>
    <w:rsid w:val="00292FA1"/>
    <w:rsid w:val="00293401"/>
    <w:rsid w:val="002945D5"/>
    <w:rsid w:val="00296755"/>
    <w:rsid w:val="00296A6A"/>
    <w:rsid w:val="00296C41"/>
    <w:rsid w:val="00297CE7"/>
    <w:rsid w:val="002A0971"/>
    <w:rsid w:val="002A11DF"/>
    <w:rsid w:val="002A134B"/>
    <w:rsid w:val="002A16BC"/>
    <w:rsid w:val="002A1FA6"/>
    <w:rsid w:val="002A2592"/>
    <w:rsid w:val="002A2B7F"/>
    <w:rsid w:val="002A36E8"/>
    <w:rsid w:val="002A3893"/>
    <w:rsid w:val="002A3D0F"/>
    <w:rsid w:val="002A52A3"/>
    <w:rsid w:val="002A5C68"/>
    <w:rsid w:val="002A6307"/>
    <w:rsid w:val="002A633A"/>
    <w:rsid w:val="002A6899"/>
    <w:rsid w:val="002A6C1E"/>
    <w:rsid w:val="002B0467"/>
    <w:rsid w:val="002B16F8"/>
    <w:rsid w:val="002B19A0"/>
    <w:rsid w:val="002B1D5B"/>
    <w:rsid w:val="002B1F0C"/>
    <w:rsid w:val="002B45B6"/>
    <w:rsid w:val="002B6917"/>
    <w:rsid w:val="002B6A98"/>
    <w:rsid w:val="002B7714"/>
    <w:rsid w:val="002C091A"/>
    <w:rsid w:val="002C0EA5"/>
    <w:rsid w:val="002C1E94"/>
    <w:rsid w:val="002C2A01"/>
    <w:rsid w:val="002C4A47"/>
    <w:rsid w:val="002C4BFB"/>
    <w:rsid w:val="002C50FA"/>
    <w:rsid w:val="002C5F7C"/>
    <w:rsid w:val="002C68E6"/>
    <w:rsid w:val="002C7C00"/>
    <w:rsid w:val="002D09AB"/>
    <w:rsid w:val="002D0C18"/>
    <w:rsid w:val="002D0FA8"/>
    <w:rsid w:val="002D28A6"/>
    <w:rsid w:val="002D33EB"/>
    <w:rsid w:val="002D3501"/>
    <w:rsid w:val="002D510C"/>
    <w:rsid w:val="002D5599"/>
    <w:rsid w:val="002D5DA2"/>
    <w:rsid w:val="002D5FE6"/>
    <w:rsid w:val="002D673E"/>
    <w:rsid w:val="002D6908"/>
    <w:rsid w:val="002D6F6F"/>
    <w:rsid w:val="002D7216"/>
    <w:rsid w:val="002E0FE0"/>
    <w:rsid w:val="002E1234"/>
    <w:rsid w:val="002E282A"/>
    <w:rsid w:val="002E35BE"/>
    <w:rsid w:val="002E41ED"/>
    <w:rsid w:val="002E4423"/>
    <w:rsid w:val="002E485E"/>
    <w:rsid w:val="002E48B2"/>
    <w:rsid w:val="002E5080"/>
    <w:rsid w:val="002E5103"/>
    <w:rsid w:val="002E5F0A"/>
    <w:rsid w:val="002E6F7D"/>
    <w:rsid w:val="002E73DF"/>
    <w:rsid w:val="002E7A64"/>
    <w:rsid w:val="002F0196"/>
    <w:rsid w:val="002F0845"/>
    <w:rsid w:val="002F0E94"/>
    <w:rsid w:val="002F11BF"/>
    <w:rsid w:val="002F3B4F"/>
    <w:rsid w:val="002F3D74"/>
    <w:rsid w:val="002F4CD2"/>
    <w:rsid w:val="002F5779"/>
    <w:rsid w:val="002F6E18"/>
    <w:rsid w:val="002F7C7C"/>
    <w:rsid w:val="0030150A"/>
    <w:rsid w:val="00301A61"/>
    <w:rsid w:val="00301A6C"/>
    <w:rsid w:val="00301E96"/>
    <w:rsid w:val="00305389"/>
    <w:rsid w:val="003059B7"/>
    <w:rsid w:val="00306F7C"/>
    <w:rsid w:val="00307081"/>
    <w:rsid w:val="0030775B"/>
    <w:rsid w:val="00307993"/>
    <w:rsid w:val="00310C1C"/>
    <w:rsid w:val="00311A39"/>
    <w:rsid w:val="00311DA1"/>
    <w:rsid w:val="00311E3C"/>
    <w:rsid w:val="003123A3"/>
    <w:rsid w:val="00312E8D"/>
    <w:rsid w:val="00313C03"/>
    <w:rsid w:val="003150B6"/>
    <w:rsid w:val="00315C4A"/>
    <w:rsid w:val="0031649B"/>
    <w:rsid w:val="003169D0"/>
    <w:rsid w:val="00316FD9"/>
    <w:rsid w:val="00317C67"/>
    <w:rsid w:val="00317D20"/>
    <w:rsid w:val="00317DBE"/>
    <w:rsid w:val="00320F41"/>
    <w:rsid w:val="00321BDE"/>
    <w:rsid w:val="00322395"/>
    <w:rsid w:val="00322CA7"/>
    <w:rsid w:val="003231EB"/>
    <w:rsid w:val="003237D5"/>
    <w:rsid w:val="003239D7"/>
    <w:rsid w:val="00323FCF"/>
    <w:rsid w:val="00324237"/>
    <w:rsid w:val="003244A3"/>
    <w:rsid w:val="00325AD4"/>
    <w:rsid w:val="00325B31"/>
    <w:rsid w:val="00325CC4"/>
    <w:rsid w:val="0032688C"/>
    <w:rsid w:val="00326E7E"/>
    <w:rsid w:val="003270A8"/>
    <w:rsid w:val="003303D4"/>
    <w:rsid w:val="00330A52"/>
    <w:rsid w:val="0033262E"/>
    <w:rsid w:val="00332EF1"/>
    <w:rsid w:val="003331DE"/>
    <w:rsid w:val="00334559"/>
    <w:rsid w:val="003353E2"/>
    <w:rsid w:val="00335DD3"/>
    <w:rsid w:val="00335F02"/>
    <w:rsid w:val="0033664C"/>
    <w:rsid w:val="003373C6"/>
    <w:rsid w:val="00337E3A"/>
    <w:rsid w:val="003415CD"/>
    <w:rsid w:val="00341838"/>
    <w:rsid w:val="00342E24"/>
    <w:rsid w:val="00345B6F"/>
    <w:rsid w:val="003466A5"/>
    <w:rsid w:val="00346B8D"/>
    <w:rsid w:val="00347606"/>
    <w:rsid w:val="0035055A"/>
    <w:rsid w:val="003524AD"/>
    <w:rsid w:val="0035299B"/>
    <w:rsid w:val="00353EC9"/>
    <w:rsid w:val="00354158"/>
    <w:rsid w:val="00355D0F"/>
    <w:rsid w:val="00355E83"/>
    <w:rsid w:val="003567AA"/>
    <w:rsid w:val="003572FD"/>
    <w:rsid w:val="0035768B"/>
    <w:rsid w:val="00361737"/>
    <w:rsid w:val="00361C0C"/>
    <w:rsid w:val="00365D6C"/>
    <w:rsid w:val="0036790A"/>
    <w:rsid w:val="003709DA"/>
    <w:rsid w:val="003722A4"/>
    <w:rsid w:val="00372F79"/>
    <w:rsid w:val="00373D78"/>
    <w:rsid w:val="0037404C"/>
    <w:rsid w:val="003741A5"/>
    <w:rsid w:val="00374FB3"/>
    <w:rsid w:val="00376794"/>
    <w:rsid w:val="00377763"/>
    <w:rsid w:val="0038063A"/>
    <w:rsid w:val="003807C7"/>
    <w:rsid w:val="00381148"/>
    <w:rsid w:val="0038156A"/>
    <w:rsid w:val="00382131"/>
    <w:rsid w:val="00382153"/>
    <w:rsid w:val="00382180"/>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630"/>
    <w:rsid w:val="00397E04"/>
    <w:rsid w:val="003A165F"/>
    <w:rsid w:val="003A25AC"/>
    <w:rsid w:val="003A358A"/>
    <w:rsid w:val="003A37CF"/>
    <w:rsid w:val="003A4E91"/>
    <w:rsid w:val="003B0242"/>
    <w:rsid w:val="003B039B"/>
    <w:rsid w:val="003B1953"/>
    <w:rsid w:val="003B1A9C"/>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C712C"/>
    <w:rsid w:val="003D25AE"/>
    <w:rsid w:val="003D2CAA"/>
    <w:rsid w:val="003D3A7A"/>
    <w:rsid w:val="003D5491"/>
    <w:rsid w:val="003D5720"/>
    <w:rsid w:val="003D6487"/>
    <w:rsid w:val="003D6D6C"/>
    <w:rsid w:val="003D721D"/>
    <w:rsid w:val="003D7288"/>
    <w:rsid w:val="003E0E5C"/>
    <w:rsid w:val="003E1248"/>
    <w:rsid w:val="003E1CD9"/>
    <w:rsid w:val="003E27C0"/>
    <w:rsid w:val="003E3339"/>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4494"/>
    <w:rsid w:val="003F601C"/>
    <w:rsid w:val="003F60D5"/>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C22"/>
    <w:rsid w:val="00410FB9"/>
    <w:rsid w:val="0041150E"/>
    <w:rsid w:val="00411F09"/>
    <w:rsid w:val="004142F6"/>
    <w:rsid w:val="00416515"/>
    <w:rsid w:val="00416A2E"/>
    <w:rsid w:val="00416AE5"/>
    <w:rsid w:val="00417067"/>
    <w:rsid w:val="00417292"/>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36564"/>
    <w:rsid w:val="004365DA"/>
    <w:rsid w:val="00436A7C"/>
    <w:rsid w:val="00442BDB"/>
    <w:rsid w:val="00445291"/>
    <w:rsid w:val="004479B6"/>
    <w:rsid w:val="00452684"/>
    <w:rsid w:val="00453B78"/>
    <w:rsid w:val="00454484"/>
    <w:rsid w:val="0045503A"/>
    <w:rsid w:val="00456165"/>
    <w:rsid w:val="004610AC"/>
    <w:rsid w:val="00461566"/>
    <w:rsid w:val="00461678"/>
    <w:rsid w:val="004634CD"/>
    <w:rsid w:val="004635F1"/>
    <w:rsid w:val="00465629"/>
    <w:rsid w:val="00465691"/>
    <w:rsid w:val="00465779"/>
    <w:rsid w:val="00465C2D"/>
    <w:rsid w:val="00466B41"/>
    <w:rsid w:val="00467439"/>
    <w:rsid w:val="00467975"/>
    <w:rsid w:val="00467FE0"/>
    <w:rsid w:val="004708DE"/>
    <w:rsid w:val="00470AC5"/>
    <w:rsid w:val="004723F1"/>
    <w:rsid w:val="00472593"/>
    <w:rsid w:val="00472ABC"/>
    <w:rsid w:val="00472ED7"/>
    <w:rsid w:val="00473CB4"/>
    <w:rsid w:val="00474DA3"/>
    <w:rsid w:val="004758A2"/>
    <w:rsid w:val="00475961"/>
    <w:rsid w:val="004763B7"/>
    <w:rsid w:val="004764A5"/>
    <w:rsid w:val="0047745C"/>
    <w:rsid w:val="00480BEE"/>
    <w:rsid w:val="00480DFA"/>
    <w:rsid w:val="004810BA"/>
    <w:rsid w:val="0048255A"/>
    <w:rsid w:val="00482CE9"/>
    <w:rsid w:val="004837B4"/>
    <w:rsid w:val="004847D0"/>
    <w:rsid w:val="00485142"/>
    <w:rsid w:val="00485753"/>
    <w:rsid w:val="004858F2"/>
    <w:rsid w:val="00485FAF"/>
    <w:rsid w:val="004865E0"/>
    <w:rsid w:val="00486844"/>
    <w:rsid w:val="00486B8D"/>
    <w:rsid w:val="00486F8C"/>
    <w:rsid w:val="00487ADE"/>
    <w:rsid w:val="00490E67"/>
    <w:rsid w:val="00491BBE"/>
    <w:rsid w:val="00492464"/>
    <w:rsid w:val="00494276"/>
    <w:rsid w:val="004949C9"/>
    <w:rsid w:val="00494CF7"/>
    <w:rsid w:val="00495F6C"/>
    <w:rsid w:val="0049768D"/>
    <w:rsid w:val="00497A06"/>
    <w:rsid w:val="00497C3C"/>
    <w:rsid w:val="00497F4C"/>
    <w:rsid w:val="004A1256"/>
    <w:rsid w:val="004A1F3B"/>
    <w:rsid w:val="004A34D1"/>
    <w:rsid w:val="004A4030"/>
    <w:rsid w:val="004A4421"/>
    <w:rsid w:val="004A4442"/>
    <w:rsid w:val="004A4716"/>
    <w:rsid w:val="004A4C45"/>
    <w:rsid w:val="004A636A"/>
    <w:rsid w:val="004A6596"/>
    <w:rsid w:val="004A694E"/>
    <w:rsid w:val="004A7127"/>
    <w:rsid w:val="004A7817"/>
    <w:rsid w:val="004A78E3"/>
    <w:rsid w:val="004B3487"/>
    <w:rsid w:val="004B3A14"/>
    <w:rsid w:val="004B3E9E"/>
    <w:rsid w:val="004B4939"/>
    <w:rsid w:val="004B6069"/>
    <w:rsid w:val="004B62CF"/>
    <w:rsid w:val="004B654A"/>
    <w:rsid w:val="004B6BC7"/>
    <w:rsid w:val="004B711E"/>
    <w:rsid w:val="004C05B4"/>
    <w:rsid w:val="004C086F"/>
    <w:rsid w:val="004C168F"/>
    <w:rsid w:val="004C271B"/>
    <w:rsid w:val="004C331F"/>
    <w:rsid w:val="004C4A2E"/>
    <w:rsid w:val="004C4A7E"/>
    <w:rsid w:val="004C638F"/>
    <w:rsid w:val="004C6641"/>
    <w:rsid w:val="004C6CED"/>
    <w:rsid w:val="004C70DE"/>
    <w:rsid w:val="004C71E1"/>
    <w:rsid w:val="004D03B3"/>
    <w:rsid w:val="004D03CA"/>
    <w:rsid w:val="004D083F"/>
    <w:rsid w:val="004D14CD"/>
    <w:rsid w:val="004D2851"/>
    <w:rsid w:val="004D3D21"/>
    <w:rsid w:val="004D4861"/>
    <w:rsid w:val="004D4984"/>
    <w:rsid w:val="004D4B77"/>
    <w:rsid w:val="004D4D4C"/>
    <w:rsid w:val="004D55C9"/>
    <w:rsid w:val="004D5B37"/>
    <w:rsid w:val="004D5BFA"/>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1338"/>
    <w:rsid w:val="004F25CC"/>
    <w:rsid w:val="004F272B"/>
    <w:rsid w:val="004F3149"/>
    <w:rsid w:val="004F3586"/>
    <w:rsid w:val="004F35C5"/>
    <w:rsid w:val="004F42CA"/>
    <w:rsid w:val="004F55BA"/>
    <w:rsid w:val="004F5EC4"/>
    <w:rsid w:val="004F7BB1"/>
    <w:rsid w:val="0050095A"/>
    <w:rsid w:val="00501B9C"/>
    <w:rsid w:val="00502550"/>
    <w:rsid w:val="00502CAA"/>
    <w:rsid w:val="00503B4D"/>
    <w:rsid w:val="00503BB4"/>
    <w:rsid w:val="00504484"/>
    <w:rsid w:val="005044D0"/>
    <w:rsid w:val="00504687"/>
    <w:rsid w:val="00505FDD"/>
    <w:rsid w:val="0050617C"/>
    <w:rsid w:val="00506388"/>
    <w:rsid w:val="00507948"/>
    <w:rsid w:val="00507DCE"/>
    <w:rsid w:val="005101FD"/>
    <w:rsid w:val="00511B9A"/>
    <w:rsid w:val="00512554"/>
    <w:rsid w:val="00513B70"/>
    <w:rsid w:val="00513C79"/>
    <w:rsid w:val="00515B75"/>
    <w:rsid w:val="00515FC9"/>
    <w:rsid w:val="00516FC7"/>
    <w:rsid w:val="00517837"/>
    <w:rsid w:val="00520E14"/>
    <w:rsid w:val="00523F60"/>
    <w:rsid w:val="005245FB"/>
    <w:rsid w:val="00524B1B"/>
    <w:rsid w:val="00524E22"/>
    <w:rsid w:val="00525A4A"/>
    <w:rsid w:val="00527866"/>
    <w:rsid w:val="00530959"/>
    <w:rsid w:val="00533209"/>
    <w:rsid w:val="00533F86"/>
    <w:rsid w:val="00534A2F"/>
    <w:rsid w:val="00534FCA"/>
    <w:rsid w:val="005353E8"/>
    <w:rsid w:val="005374A8"/>
    <w:rsid w:val="00537591"/>
    <w:rsid w:val="00537B92"/>
    <w:rsid w:val="00537FD0"/>
    <w:rsid w:val="00540CD9"/>
    <w:rsid w:val="00541167"/>
    <w:rsid w:val="005413FD"/>
    <w:rsid w:val="00542BDF"/>
    <w:rsid w:val="005447C6"/>
    <w:rsid w:val="00547647"/>
    <w:rsid w:val="00550151"/>
    <w:rsid w:val="005501CF"/>
    <w:rsid w:val="00551C94"/>
    <w:rsid w:val="005524A5"/>
    <w:rsid w:val="00552ABC"/>
    <w:rsid w:val="00552FA8"/>
    <w:rsid w:val="00553157"/>
    <w:rsid w:val="00553AA0"/>
    <w:rsid w:val="00554CEB"/>
    <w:rsid w:val="005557AF"/>
    <w:rsid w:val="0055590F"/>
    <w:rsid w:val="00555E8B"/>
    <w:rsid w:val="00556755"/>
    <w:rsid w:val="00556802"/>
    <w:rsid w:val="00557F17"/>
    <w:rsid w:val="00557FF3"/>
    <w:rsid w:val="005634C0"/>
    <w:rsid w:val="0056364E"/>
    <w:rsid w:val="00563A48"/>
    <w:rsid w:val="00564239"/>
    <w:rsid w:val="00564892"/>
    <w:rsid w:val="005648E9"/>
    <w:rsid w:val="005651E0"/>
    <w:rsid w:val="00566D9B"/>
    <w:rsid w:val="00567AA6"/>
    <w:rsid w:val="0057057E"/>
    <w:rsid w:val="0057087F"/>
    <w:rsid w:val="00571F90"/>
    <w:rsid w:val="0057278B"/>
    <w:rsid w:val="005730AB"/>
    <w:rsid w:val="005731E1"/>
    <w:rsid w:val="00573432"/>
    <w:rsid w:val="005748D1"/>
    <w:rsid w:val="00574EAD"/>
    <w:rsid w:val="005767FD"/>
    <w:rsid w:val="0057744B"/>
    <w:rsid w:val="0058052A"/>
    <w:rsid w:val="00580782"/>
    <w:rsid w:val="005809F6"/>
    <w:rsid w:val="0058104E"/>
    <w:rsid w:val="00582F46"/>
    <w:rsid w:val="00585564"/>
    <w:rsid w:val="00585597"/>
    <w:rsid w:val="005858BF"/>
    <w:rsid w:val="00585BB2"/>
    <w:rsid w:val="005879F2"/>
    <w:rsid w:val="00587ADE"/>
    <w:rsid w:val="00587D8C"/>
    <w:rsid w:val="00587ECE"/>
    <w:rsid w:val="005917CC"/>
    <w:rsid w:val="0059182F"/>
    <w:rsid w:val="00591A61"/>
    <w:rsid w:val="00592134"/>
    <w:rsid w:val="00592351"/>
    <w:rsid w:val="00592472"/>
    <w:rsid w:val="00592A44"/>
    <w:rsid w:val="00592BA4"/>
    <w:rsid w:val="00592D78"/>
    <w:rsid w:val="00592DAD"/>
    <w:rsid w:val="00593085"/>
    <w:rsid w:val="00593147"/>
    <w:rsid w:val="0059465D"/>
    <w:rsid w:val="00594C7F"/>
    <w:rsid w:val="00595F32"/>
    <w:rsid w:val="00596396"/>
    <w:rsid w:val="00597808"/>
    <w:rsid w:val="005A07DC"/>
    <w:rsid w:val="005A0C1C"/>
    <w:rsid w:val="005A34F1"/>
    <w:rsid w:val="005A3A5E"/>
    <w:rsid w:val="005A5C7F"/>
    <w:rsid w:val="005A7B39"/>
    <w:rsid w:val="005B1B78"/>
    <w:rsid w:val="005B1BDA"/>
    <w:rsid w:val="005B1CB8"/>
    <w:rsid w:val="005B2241"/>
    <w:rsid w:val="005B314D"/>
    <w:rsid w:val="005B352A"/>
    <w:rsid w:val="005B485C"/>
    <w:rsid w:val="005B4F0C"/>
    <w:rsid w:val="005B5D76"/>
    <w:rsid w:val="005B5D80"/>
    <w:rsid w:val="005C0F6D"/>
    <w:rsid w:val="005C2638"/>
    <w:rsid w:val="005C26D2"/>
    <w:rsid w:val="005C2B9E"/>
    <w:rsid w:val="005C2EC0"/>
    <w:rsid w:val="005C31F9"/>
    <w:rsid w:val="005C3BDA"/>
    <w:rsid w:val="005C4134"/>
    <w:rsid w:val="005C4350"/>
    <w:rsid w:val="005C4382"/>
    <w:rsid w:val="005C52C0"/>
    <w:rsid w:val="005C58C8"/>
    <w:rsid w:val="005C633A"/>
    <w:rsid w:val="005C6F49"/>
    <w:rsid w:val="005C74AC"/>
    <w:rsid w:val="005C764F"/>
    <w:rsid w:val="005C7F64"/>
    <w:rsid w:val="005D058D"/>
    <w:rsid w:val="005D180F"/>
    <w:rsid w:val="005D27B0"/>
    <w:rsid w:val="005D27C9"/>
    <w:rsid w:val="005D2DF2"/>
    <w:rsid w:val="005D3306"/>
    <w:rsid w:val="005D3E8A"/>
    <w:rsid w:val="005D4E37"/>
    <w:rsid w:val="005D5B3A"/>
    <w:rsid w:val="005D5F0B"/>
    <w:rsid w:val="005D6946"/>
    <w:rsid w:val="005D7148"/>
    <w:rsid w:val="005D7606"/>
    <w:rsid w:val="005D78A6"/>
    <w:rsid w:val="005D7C82"/>
    <w:rsid w:val="005D7CBB"/>
    <w:rsid w:val="005E0C3F"/>
    <w:rsid w:val="005E10B6"/>
    <w:rsid w:val="005E1640"/>
    <w:rsid w:val="005E1BF9"/>
    <w:rsid w:val="005E2C8E"/>
    <w:rsid w:val="005E30B2"/>
    <w:rsid w:val="005E33C4"/>
    <w:rsid w:val="005E391B"/>
    <w:rsid w:val="005E436F"/>
    <w:rsid w:val="005E4CEA"/>
    <w:rsid w:val="005E4F1E"/>
    <w:rsid w:val="005E63F8"/>
    <w:rsid w:val="005E6AA5"/>
    <w:rsid w:val="005E7DF8"/>
    <w:rsid w:val="005F0DAB"/>
    <w:rsid w:val="005F10CA"/>
    <w:rsid w:val="005F1A8C"/>
    <w:rsid w:val="005F28F4"/>
    <w:rsid w:val="005F2A8D"/>
    <w:rsid w:val="005F2E6F"/>
    <w:rsid w:val="005F3825"/>
    <w:rsid w:val="005F76C3"/>
    <w:rsid w:val="00600207"/>
    <w:rsid w:val="00600A48"/>
    <w:rsid w:val="006016E2"/>
    <w:rsid w:val="00601F0F"/>
    <w:rsid w:val="006029BA"/>
    <w:rsid w:val="00603E13"/>
    <w:rsid w:val="006052DC"/>
    <w:rsid w:val="00605523"/>
    <w:rsid w:val="00605756"/>
    <w:rsid w:val="00605D54"/>
    <w:rsid w:val="006060D0"/>
    <w:rsid w:val="00607FCD"/>
    <w:rsid w:val="00610341"/>
    <w:rsid w:val="00610390"/>
    <w:rsid w:val="00610A97"/>
    <w:rsid w:val="00610DA4"/>
    <w:rsid w:val="006116C9"/>
    <w:rsid w:val="00612582"/>
    <w:rsid w:val="00613400"/>
    <w:rsid w:val="00613459"/>
    <w:rsid w:val="0061358D"/>
    <w:rsid w:val="006145D3"/>
    <w:rsid w:val="00614AB0"/>
    <w:rsid w:val="00614C73"/>
    <w:rsid w:val="006158B0"/>
    <w:rsid w:val="00615BA8"/>
    <w:rsid w:val="00615C06"/>
    <w:rsid w:val="00617A6B"/>
    <w:rsid w:val="006203EB"/>
    <w:rsid w:val="00620C28"/>
    <w:rsid w:val="006219C1"/>
    <w:rsid w:val="00622D1F"/>
    <w:rsid w:val="006234EB"/>
    <w:rsid w:val="00624398"/>
    <w:rsid w:val="006246D1"/>
    <w:rsid w:val="006254D3"/>
    <w:rsid w:val="0062622C"/>
    <w:rsid w:val="00626651"/>
    <w:rsid w:val="00630315"/>
    <w:rsid w:val="006319EB"/>
    <w:rsid w:val="00632141"/>
    <w:rsid w:val="00633834"/>
    <w:rsid w:val="00634A84"/>
    <w:rsid w:val="00635B8A"/>
    <w:rsid w:val="00636B02"/>
    <w:rsid w:val="006408DB"/>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B1B"/>
    <w:rsid w:val="00657CCB"/>
    <w:rsid w:val="0066089E"/>
    <w:rsid w:val="00660D21"/>
    <w:rsid w:val="00661590"/>
    <w:rsid w:val="00661CF5"/>
    <w:rsid w:val="00662598"/>
    <w:rsid w:val="006626D0"/>
    <w:rsid w:val="00662CCF"/>
    <w:rsid w:val="00662F32"/>
    <w:rsid w:val="00663620"/>
    <w:rsid w:val="006642AA"/>
    <w:rsid w:val="00665366"/>
    <w:rsid w:val="00665CF3"/>
    <w:rsid w:val="00665D71"/>
    <w:rsid w:val="00666543"/>
    <w:rsid w:val="006665EA"/>
    <w:rsid w:val="0066669F"/>
    <w:rsid w:val="00667049"/>
    <w:rsid w:val="00667981"/>
    <w:rsid w:val="00667CA3"/>
    <w:rsid w:val="00671359"/>
    <w:rsid w:val="006719EF"/>
    <w:rsid w:val="0067213D"/>
    <w:rsid w:val="00672286"/>
    <w:rsid w:val="0067270F"/>
    <w:rsid w:val="006729F0"/>
    <w:rsid w:val="00672F0B"/>
    <w:rsid w:val="00673A9F"/>
    <w:rsid w:val="006740A1"/>
    <w:rsid w:val="0067782C"/>
    <w:rsid w:val="0068044E"/>
    <w:rsid w:val="006806DF"/>
    <w:rsid w:val="00680803"/>
    <w:rsid w:val="00680A76"/>
    <w:rsid w:val="00680A90"/>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431E"/>
    <w:rsid w:val="0069502F"/>
    <w:rsid w:val="00695D44"/>
    <w:rsid w:val="00696255"/>
    <w:rsid w:val="006A1A12"/>
    <w:rsid w:val="006A262E"/>
    <w:rsid w:val="006A2E25"/>
    <w:rsid w:val="006A36EB"/>
    <w:rsid w:val="006A5744"/>
    <w:rsid w:val="006A7035"/>
    <w:rsid w:val="006A716E"/>
    <w:rsid w:val="006A74F5"/>
    <w:rsid w:val="006B0261"/>
    <w:rsid w:val="006B053C"/>
    <w:rsid w:val="006B0D9C"/>
    <w:rsid w:val="006B3079"/>
    <w:rsid w:val="006B3EB1"/>
    <w:rsid w:val="006B40A8"/>
    <w:rsid w:val="006B40FF"/>
    <w:rsid w:val="006B4712"/>
    <w:rsid w:val="006B4928"/>
    <w:rsid w:val="006B50D3"/>
    <w:rsid w:val="006B5757"/>
    <w:rsid w:val="006B5B78"/>
    <w:rsid w:val="006B6774"/>
    <w:rsid w:val="006B79D5"/>
    <w:rsid w:val="006C0B06"/>
    <w:rsid w:val="006C15B5"/>
    <w:rsid w:val="006C25C2"/>
    <w:rsid w:val="006C27F1"/>
    <w:rsid w:val="006C2CC9"/>
    <w:rsid w:val="006C2ED2"/>
    <w:rsid w:val="006C47DA"/>
    <w:rsid w:val="006C4C28"/>
    <w:rsid w:val="006C6DCB"/>
    <w:rsid w:val="006C78DE"/>
    <w:rsid w:val="006C793A"/>
    <w:rsid w:val="006D0311"/>
    <w:rsid w:val="006D07F2"/>
    <w:rsid w:val="006D0E17"/>
    <w:rsid w:val="006D14F9"/>
    <w:rsid w:val="006D3235"/>
    <w:rsid w:val="006D37B6"/>
    <w:rsid w:val="006D40EB"/>
    <w:rsid w:val="006D48DF"/>
    <w:rsid w:val="006D5D2B"/>
    <w:rsid w:val="006D6D2C"/>
    <w:rsid w:val="006D6F94"/>
    <w:rsid w:val="006D795E"/>
    <w:rsid w:val="006E034B"/>
    <w:rsid w:val="006E041D"/>
    <w:rsid w:val="006E0E79"/>
    <w:rsid w:val="006E14E9"/>
    <w:rsid w:val="006E159E"/>
    <w:rsid w:val="006E16B1"/>
    <w:rsid w:val="006E1B73"/>
    <w:rsid w:val="006E2CFE"/>
    <w:rsid w:val="006E38DF"/>
    <w:rsid w:val="006E39DE"/>
    <w:rsid w:val="006E42AB"/>
    <w:rsid w:val="006E52F9"/>
    <w:rsid w:val="006E56DD"/>
    <w:rsid w:val="006E670F"/>
    <w:rsid w:val="006E7A32"/>
    <w:rsid w:val="006E7B76"/>
    <w:rsid w:val="006E7D9A"/>
    <w:rsid w:val="006F0464"/>
    <w:rsid w:val="006F0CA7"/>
    <w:rsid w:val="006F2B28"/>
    <w:rsid w:val="006F5D9E"/>
    <w:rsid w:val="006F7036"/>
    <w:rsid w:val="006F760B"/>
    <w:rsid w:val="00700519"/>
    <w:rsid w:val="00702F60"/>
    <w:rsid w:val="00704B71"/>
    <w:rsid w:val="00704BF4"/>
    <w:rsid w:val="0070506E"/>
    <w:rsid w:val="007068E6"/>
    <w:rsid w:val="00706B06"/>
    <w:rsid w:val="00706BCB"/>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2222"/>
    <w:rsid w:val="00733028"/>
    <w:rsid w:val="00734133"/>
    <w:rsid w:val="0073473E"/>
    <w:rsid w:val="00734A25"/>
    <w:rsid w:val="00734B1C"/>
    <w:rsid w:val="007371B6"/>
    <w:rsid w:val="00740171"/>
    <w:rsid w:val="0074133E"/>
    <w:rsid w:val="00741A4C"/>
    <w:rsid w:val="00741D0C"/>
    <w:rsid w:val="00741DDA"/>
    <w:rsid w:val="00742234"/>
    <w:rsid w:val="0074434B"/>
    <w:rsid w:val="0074460F"/>
    <w:rsid w:val="0074503B"/>
    <w:rsid w:val="0074780F"/>
    <w:rsid w:val="007479D7"/>
    <w:rsid w:val="00747E79"/>
    <w:rsid w:val="007500C0"/>
    <w:rsid w:val="0075051F"/>
    <w:rsid w:val="0075114A"/>
    <w:rsid w:val="00752EBB"/>
    <w:rsid w:val="007566DF"/>
    <w:rsid w:val="00756DFF"/>
    <w:rsid w:val="00760094"/>
    <w:rsid w:val="007601AB"/>
    <w:rsid w:val="00761497"/>
    <w:rsid w:val="00761C3C"/>
    <w:rsid w:val="007634AB"/>
    <w:rsid w:val="00763C78"/>
    <w:rsid w:val="00763E2D"/>
    <w:rsid w:val="00764A88"/>
    <w:rsid w:val="007651A2"/>
    <w:rsid w:val="007658A2"/>
    <w:rsid w:val="00765BC2"/>
    <w:rsid w:val="00765CD3"/>
    <w:rsid w:val="00770765"/>
    <w:rsid w:val="007732A5"/>
    <w:rsid w:val="0077386A"/>
    <w:rsid w:val="00774148"/>
    <w:rsid w:val="007742C4"/>
    <w:rsid w:val="00775A5F"/>
    <w:rsid w:val="00776C7C"/>
    <w:rsid w:val="00777698"/>
    <w:rsid w:val="007777BC"/>
    <w:rsid w:val="00780212"/>
    <w:rsid w:val="00780447"/>
    <w:rsid w:val="00780F92"/>
    <w:rsid w:val="0078122C"/>
    <w:rsid w:val="0078192B"/>
    <w:rsid w:val="00783A84"/>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1DE3"/>
    <w:rsid w:val="007A217C"/>
    <w:rsid w:val="007A264B"/>
    <w:rsid w:val="007A31D7"/>
    <w:rsid w:val="007A35F3"/>
    <w:rsid w:val="007A50D7"/>
    <w:rsid w:val="007A524A"/>
    <w:rsid w:val="007A52B5"/>
    <w:rsid w:val="007A69BB"/>
    <w:rsid w:val="007B071B"/>
    <w:rsid w:val="007B0D7A"/>
    <w:rsid w:val="007B2007"/>
    <w:rsid w:val="007B3C89"/>
    <w:rsid w:val="007B413A"/>
    <w:rsid w:val="007B43E3"/>
    <w:rsid w:val="007B46B9"/>
    <w:rsid w:val="007B4805"/>
    <w:rsid w:val="007B4E48"/>
    <w:rsid w:val="007B6603"/>
    <w:rsid w:val="007B6F24"/>
    <w:rsid w:val="007B725E"/>
    <w:rsid w:val="007B7275"/>
    <w:rsid w:val="007B76A0"/>
    <w:rsid w:val="007C0025"/>
    <w:rsid w:val="007C010B"/>
    <w:rsid w:val="007C13E4"/>
    <w:rsid w:val="007C1638"/>
    <w:rsid w:val="007C1797"/>
    <w:rsid w:val="007C19D3"/>
    <w:rsid w:val="007C1CE4"/>
    <w:rsid w:val="007C341F"/>
    <w:rsid w:val="007C3DA2"/>
    <w:rsid w:val="007C4003"/>
    <w:rsid w:val="007C56FC"/>
    <w:rsid w:val="007C6142"/>
    <w:rsid w:val="007C7110"/>
    <w:rsid w:val="007C7EDA"/>
    <w:rsid w:val="007D0116"/>
    <w:rsid w:val="007D2984"/>
    <w:rsid w:val="007D38C9"/>
    <w:rsid w:val="007D422A"/>
    <w:rsid w:val="007D470E"/>
    <w:rsid w:val="007D4C5C"/>
    <w:rsid w:val="007D4D04"/>
    <w:rsid w:val="007D4E77"/>
    <w:rsid w:val="007D50A4"/>
    <w:rsid w:val="007D5BD2"/>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72C"/>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0EEA"/>
    <w:rsid w:val="00801246"/>
    <w:rsid w:val="00801D04"/>
    <w:rsid w:val="00802ACC"/>
    <w:rsid w:val="00802BCB"/>
    <w:rsid w:val="00803700"/>
    <w:rsid w:val="00803A83"/>
    <w:rsid w:val="00804023"/>
    <w:rsid w:val="00805019"/>
    <w:rsid w:val="008069EB"/>
    <w:rsid w:val="00807920"/>
    <w:rsid w:val="00807BFB"/>
    <w:rsid w:val="008108AB"/>
    <w:rsid w:val="008113BF"/>
    <w:rsid w:val="00812215"/>
    <w:rsid w:val="00812D69"/>
    <w:rsid w:val="00813661"/>
    <w:rsid w:val="00814872"/>
    <w:rsid w:val="00814B2E"/>
    <w:rsid w:val="00817414"/>
    <w:rsid w:val="00821648"/>
    <w:rsid w:val="00821B30"/>
    <w:rsid w:val="00822779"/>
    <w:rsid w:val="008228E3"/>
    <w:rsid w:val="0082303E"/>
    <w:rsid w:val="0082398C"/>
    <w:rsid w:val="00825E6E"/>
    <w:rsid w:val="0082602E"/>
    <w:rsid w:val="008272EF"/>
    <w:rsid w:val="00827622"/>
    <w:rsid w:val="0083214F"/>
    <w:rsid w:val="0083228E"/>
    <w:rsid w:val="008329CF"/>
    <w:rsid w:val="00832B64"/>
    <w:rsid w:val="008333DD"/>
    <w:rsid w:val="00833838"/>
    <w:rsid w:val="00833992"/>
    <w:rsid w:val="00834A08"/>
    <w:rsid w:val="0083536B"/>
    <w:rsid w:val="008353AA"/>
    <w:rsid w:val="00835B91"/>
    <w:rsid w:val="0083638D"/>
    <w:rsid w:val="00837E3B"/>
    <w:rsid w:val="00840CAF"/>
    <w:rsid w:val="008418FE"/>
    <w:rsid w:val="00841B7E"/>
    <w:rsid w:val="008426C6"/>
    <w:rsid w:val="00842FCF"/>
    <w:rsid w:val="008437E7"/>
    <w:rsid w:val="00845A09"/>
    <w:rsid w:val="0084663C"/>
    <w:rsid w:val="0085014D"/>
    <w:rsid w:val="008506A5"/>
    <w:rsid w:val="00851308"/>
    <w:rsid w:val="00851483"/>
    <w:rsid w:val="00853D37"/>
    <w:rsid w:val="0085432B"/>
    <w:rsid w:val="00854371"/>
    <w:rsid w:val="00854A7C"/>
    <w:rsid w:val="00855128"/>
    <w:rsid w:val="008554E1"/>
    <w:rsid w:val="00857C4F"/>
    <w:rsid w:val="00860860"/>
    <w:rsid w:val="00861015"/>
    <w:rsid w:val="00861DF3"/>
    <w:rsid w:val="008622E6"/>
    <w:rsid w:val="00862C8F"/>
    <w:rsid w:val="00863338"/>
    <w:rsid w:val="008648CD"/>
    <w:rsid w:val="00864908"/>
    <w:rsid w:val="008654ED"/>
    <w:rsid w:val="008659FF"/>
    <w:rsid w:val="008660C2"/>
    <w:rsid w:val="00870468"/>
    <w:rsid w:val="008707B7"/>
    <w:rsid w:val="00871BFC"/>
    <w:rsid w:val="008728B1"/>
    <w:rsid w:val="00873862"/>
    <w:rsid w:val="00873F67"/>
    <w:rsid w:val="00874FAE"/>
    <w:rsid w:val="00875BED"/>
    <w:rsid w:val="00876706"/>
    <w:rsid w:val="008768A1"/>
    <w:rsid w:val="0088137D"/>
    <w:rsid w:val="00881A27"/>
    <w:rsid w:val="00882736"/>
    <w:rsid w:val="008827A7"/>
    <w:rsid w:val="00884379"/>
    <w:rsid w:val="0088470E"/>
    <w:rsid w:val="00886451"/>
    <w:rsid w:val="0088780F"/>
    <w:rsid w:val="00887B10"/>
    <w:rsid w:val="00887F68"/>
    <w:rsid w:val="008906F3"/>
    <w:rsid w:val="00890811"/>
    <w:rsid w:val="00890AB0"/>
    <w:rsid w:val="00890D83"/>
    <w:rsid w:val="0089212C"/>
    <w:rsid w:val="00892520"/>
    <w:rsid w:val="008948DC"/>
    <w:rsid w:val="00896170"/>
    <w:rsid w:val="00896299"/>
    <w:rsid w:val="008975B2"/>
    <w:rsid w:val="008978A0"/>
    <w:rsid w:val="008978DD"/>
    <w:rsid w:val="008A059F"/>
    <w:rsid w:val="008A0B3E"/>
    <w:rsid w:val="008A1F10"/>
    <w:rsid w:val="008A288C"/>
    <w:rsid w:val="008A3638"/>
    <w:rsid w:val="008A5C74"/>
    <w:rsid w:val="008A5E4E"/>
    <w:rsid w:val="008A5FCA"/>
    <w:rsid w:val="008A606D"/>
    <w:rsid w:val="008A66A7"/>
    <w:rsid w:val="008A6B5F"/>
    <w:rsid w:val="008A7B95"/>
    <w:rsid w:val="008A7CA1"/>
    <w:rsid w:val="008A7D26"/>
    <w:rsid w:val="008A7F35"/>
    <w:rsid w:val="008B00F5"/>
    <w:rsid w:val="008B0167"/>
    <w:rsid w:val="008B0D24"/>
    <w:rsid w:val="008B2293"/>
    <w:rsid w:val="008B25E3"/>
    <w:rsid w:val="008B273D"/>
    <w:rsid w:val="008B3270"/>
    <w:rsid w:val="008B4340"/>
    <w:rsid w:val="008B4895"/>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31B"/>
    <w:rsid w:val="008D2CE4"/>
    <w:rsid w:val="008D3FE1"/>
    <w:rsid w:val="008D4518"/>
    <w:rsid w:val="008D4C23"/>
    <w:rsid w:val="008D6C80"/>
    <w:rsid w:val="008E00EF"/>
    <w:rsid w:val="008E07EE"/>
    <w:rsid w:val="008E1898"/>
    <w:rsid w:val="008E18FA"/>
    <w:rsid w:val="008E3C4E"/>
    <w:rsid w:val="008E41E0"/>
    <w:rsid w:val="008E4520"/>
    <w:rsid w:val="008E4A46"/>
    <w:rsid w:val="008E5C68"/>
    <w:rsid w:val="008E5D69"/>
    <w:rsid w:val="008E61BB"/>
    <w:rsid w:val="008E6753"/>
    <w:rsid w:val="008E7A0D"/>
    <w:rsid w:val="008F0360"/>
    <w:rsid w:val="008F1D6D"/>
    <w:rsid w:val="008F1F8B"/>
    <w:rsid w:val="008F21F0"/>
    <w:rsid w:val="008F228E"/>
    <w:rsid w:val="008F455B"/>
    <w:rsid w:val="008F4C14"/>
    <w:rsid w:val="008F55A3"/>
    <w:rsid w:val="008F6008"/>
    <w:rsid w:val="008F6105"/>
    <w:rsid w:val="008F70BE"/>
    <w:rsid w:val="008F7306"/>
    <w:rsid w:val="008F7F31"/>
    <w:rsid w:val="008F7F79"/>
    <w:rsid w:val="009013D9"/>
    <w:rsid w:val="00901420"/>
    <w:rsid w:val="00902AA1"/>
    <w:rsid w:val="009067E4"/>
    <w:rsid w:val="00906937"/>
    <w:rsid w:val="009075DC"/>
    <w:rsid w:val="00907CA5"/>
    <w:rsid w:val="00910504"/>
    <w:rsid w:val="00910CD0"/>
    <w:rsid w:val="00911066"/>
    <w:rsid w:val="00911969"/>
    <w:rsid w:val="00911AD7"/>
    <w:rsid w:val="00912345"/>
    <w:rsid w:val="00912ACA"/>
    <w:rsid w:val="00912EEC"/>
    <w:rsid w:val="009139C3"/>
    <w:rsid w:val="00913CE6"/>
    <w:rsid w:val="00913F9B"/>
    <w:rsid w:val="009142C4"/>
    <w:rsid w:val="00914617"/>
    <w:rsid w:val="00914888"/>
    <w:rsid w:val="00914AA3"/>
    <w:rsid w:val="00915F3E"/>
    <w:rsid w:val="009167EB"/>
    <w:rsid w:val="00917933"/>
    <w:rsid w:val="00917969"/>
    <w:rsid w:val="00921BB4"/>
    <w:rsid w:val="00921C0B"/>
    <w:rsid w:val="009225E7"/>
    <w:rsid w:val="00923506"/>
    <w:rsid w:val="0092367C"/>
    <w:rsid w:val="00923FD6"/>
    <w:rsid w:val="009243DE"/>
    <w:rsid w:val="00924F80"/>
    <w:rsid w:val="00926395"/>
    <w:rsid w:val="00926BB5"/>
    <w:rsid w:val="00927BE5"/>
    <w:rsid w:val="00927FB5"/>
    <w:rsid w:val="00930DE9"/>
    <w:rsid w:val="00930FAD"/>
    <w:rsid w:val="00931AF0"/>
    <w:rsid w:val="00932723"/>
    <w:rsid w:val="00933C29"/>
    <w:rsid w:val="00934526"/>
    <w:rsid w:val="0093478A"/>
    <w:rsid w:val="009349A4"/>
    <w:rsid w:val="00934BE7"/>
    <w:rsid w:val="009367D5"/>
    <w:rsid w:val="00936AA8"/>
    <w:rsid w:val="00936F05"/>
    <w:rsid w:val="00937640"/>
    <w:rsid w:val="00937A5E"/>
    <w:rsid w:val="00937D59"/>
    <w:rsid w:val="00937D5A"/>
    <w:rsid w:val="00940C57"/>
    <w:rsid w:val="00940C67"/>
    <w:rsid w:val="00941237"/>
    <w:rsid w:val="009426F1"/>
    <w:rsid w:val="0094330C"/>
    <w:rsid w:val="00947B74"/>
    <w:rsid w:val="00947F23"/>
    <w:rsid w:val="00951F47"/>
    <w:rsid w:val="00952690"/>
    <w:rsid w:val="00956EA5"/>
    <w:rsid w:val="00960171"/>
    <w:rsid w:val="00961E5B"/>
    <w:rsid w:val="0096292D"/>
    <w:rsid w:val="00963942"/>
    <w:rsid w:val="00963C5F"/>
    <w:rsid w:val="00963E83"/>
    <w:rsid w:val="00963F3E"/>
    <w:rsid w:val="009647FA"/>
    <w:rsid w:val="00966588"/>
    <w:rsid w:val="0096673F"/>
    <w:rsid w:val="00966BC0"/>
    <w:rsid w:val="00966F57"/>
    <w:rsid w:val="009674C8"/>
    <w:rsid w:val="00971941"/>
    <w:rsid w:val="00972197"/>
    <w:rsid w:val="0097229E"/>
    <w:rsid w:val="00972BD7"/>
    <w:rsid w:val="00972D2E"/>
    <w:rsid w:val="00972E38"/>
    <w:rsid w:val="0097489A"/>
    <w:rsid w:val="00975FAE"/>
    <w:rsid w:val="009760D8"/>
    <w:rsid w:val="009773FF"/>
    <w:rsid w:val="009775C7"/>
    <w:rsid w:val="009779B9"/>
    <w:rsid w:val="00977B93"/>
    <w:rsid w:val="00980289"/>
    <w:rsid w:val="009810B0"/>
    <w:rsid w:val="009819D5"/>
    <w:rsid w:val="0098299A"/>
    <w:rsid w:val="00983DD9"/>
    <w:rsid w:val="009852B7"/>
    <w:rsid w:val="009852D0"/>
    <w:rsid w:val="00985D15"/>
    <w:rsid w:val="009869AA"/>
    <w:rsid w:val="00990591"/>
    <w:rsid w:val="00990FFC"/>
    <w:rsid w:val="00991A60"/>
    <w:rsid w:val="0099224E"/>
    <w:rsid w:val="0099371E"/>
    <w:rsid w:val="0099372A"/>
    <w:rsid w:val="00993BD7"/>
    <w:rsid w:val="00993D71"/>
    <w:rsid w:val="00994C51"/>
    <w:rsid w:val="009956F8"/>
    <w:rsid w:val="0099791D"/>
    <w:rsid w:val="009A0AD1"/>
    <w:rsid w:val="009A3260"/>
    <w:rsid w:val="009A38BE"/>
    <w:rsid w:val="009A7BEE"/>
    <w:rsid w:val="009B0C25"/>
    <w:rsid w:val="009B0DB9"/>
    <w:rsid w:val="009B0E8E"/>
    <w:rsid w:val="009B0EB3"/>
    <w:rsid w:val="009B2DD1"/>
    <w:rsid w:val="009B4814"/>
    <w:rsid w:val="009B66A3"/>
    <w:rsid w:val="009B67C5"/>
    <w:rsid w:val="009B6F21"/>
    <w:rsid w:val="009B7B72"/>
    <w:rsid w:val="009C04DD"/>
    <w:rsid w:val="009C109B"/>
    <w:rsid w:val="009C17B4"/>
    <w:rsid w:val="009C1C81"/>
    <w:rsid w:val="009C1DF9"/>
    <w:rsid w:val="009C28B1"/>
    <w:rsid w:val="009C3E90"/>
    <w:rsid w:val="009C47E9"/>
    <w:rsid w:val="009C4C31"/>
    <w:rsid w:val="009C55D9"/>
    <w:rsid w:val="009C5825"/>
    <w:rsid w:val="009C5C39"/>
    <w:rsid w:val="009C61A7"/>
    <w:rsid w:val="009C6207"/>
    <w:rsid w:val="009C7E72"/>
    <w:rsid w:val="009D0FDD"/>
    <w:rsid w:val="009D2CBD"/>
    <w:rsid w:val="009D306C"/>
    <w:rsid w:val="009D311D"/>
    <w:rsid w:val="009D50D7"/>
    <w:rsid w:val="009D5D3D"/>
    <w:rsid w:val="009D65C1"/>
    <w:rsid w:val="009D7AD4"/>
    <w:rsid w:val="009D7FA2"/>
    <w:rsid w:val="009E01FD"/>
    <w:rsid w:val="009E115E"/>
    <w:rsid w:val="009E125C"/>
    <w:rsid w:val="009E1E5D"/>
    <w:rsid w:val="009E27EB"/>
    <w:rsid w:val="009E3B0A"/>
    <w:rsid w:val="009E4391"/>
    <w:rsid w:val="009E50D9"/>
    <w:rsid w:val="009E757D"/>
    <w:rsid w:val="009E758A"/>
    <w:rsid w:val="009E7E84"/>
    <w:rsid w:val="009F0584"/>
    <w:rsid w:val="009F16F6"/>
    <w:rsid w:val="009F2135"/>
    <w:rsid w:val="009F2286"/>
    <w:rsid w:val="009F2A00"/>
    <w:rsid w:val="009F2B27"/>
    <w:rsid w:val="009F2E62"/>
    <w:rsid w:val="009F303B"/>
    <w:rsid w:val="009F3137"/>
    <w:rsid w:val="009F3D88"/>
    <w:rsid w:val="009F4FD6"/>
    <w:rsid w:val="009F6332"/>
    <w:rsid w:val="009F6D1E"/>
    <w:rsid w:val="009F6F92"/>
    <w:rsid w:val="00A0051F"/>
    <w:rsid w:val="00A00AFC"/>
    <w:rsid w:val="00A014E9"/>
    <w:rsid w:val="00A0341E"/>
    <w:rsid w:val="00A03C2C"/>
    <w:rsid w:val="00A0437D"/>
    <w:rsid w:val="00A04BEB"/>
    <w:rsid w:val="00A05B24"/>
    <w:rsid w:val="00A068A1"/>
    <w:rsid w:val="00A1013D"/>
    <w:rsid w:val="00A1115C"/>
    <w:rsid w:val="00A1276E"/>
    <w:rsid w:val="00A12C18"/>
    <w:rsid w:val="00A1339F"/>
    <w:rsid w:val="00A13807"/>
    <w:rsid w:val="00A1390B"/>
    <w:rsid w:val="00A13A02"/>
    <w:rsid w:val="00A148EB"/>
    <w:rsid w:val="00A14DAF"/>
    <w:rsid w:val="00A1537F"/>
    <w:rsid w:val="00A16FBB"/>
    <w:rsid w:val="00A1796F"/>
    <w:rsid w:val="00A17DCD"/>
    <w:rsid w:val="00A17DD3"/>
    <w:rsid w:val="00A2069D"/>
    <w:rsid w:val="00A21717"/>
    <w:rsid w:val="00A22356"/>
    <w:rsid w:val="00A227BA"/>
    <w:rsid w:val="00A24DEB"/>
    <w:rsid w:val="00A24F0A"/>
    <w:rsid w:val="00A25124"/>
    <w:rsid w:val="00A27290"/>
    <w:rsid w:val="00A27F45"/>
    <w:rsid w:val="00A27F4D"/>
    <w:rsid w:val="00A30DDC"/>
    <w:rsid w:val="00A31691"/>
    <w:rsid w:val="00A31748"/>
    <w:rsid w:val="00A32037"/>
    <w:rsid w:val="00A33C72"/>
    <w:rsid w:val="00A3415A"/>
    <w:rsid w:val="00A3485C"/>
    <w:rsid w:val="00A354F2"/>
    <w:rsid w:val="00A3583D"/>
    <w:rsid w:val="00A40898"/>
    <w:rsid w:val="00A41383"/>
    <w:rsid w:val="00A41413"/>
    <w:rsid w:val="00A42881"/>
    <w:rsid w:val="00A42FE7"/>
    <w:rsid w:val="00A432A6"/>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02CD"/>
    <w:rsid w:val="00A60AA4"/>
    <w:rsid w:val="00A612E2"/>
    <w:rsid w:val="00A62AB0"/>
    <w:rsid w:val="00A643B3"/>
    <w:rsid w:val="00A64ADC"/>
    <w:rsid w:val="00A65C7F"/>
    <w:rsid w:val="00A6635F"/>
    <w:rsid w:val="00A668BB"/>
    <w:rsid w:val="00A66A45"/>
    <w:rsid w:val="00A679F1"/>
    <w:rsid w:val="00A746CD"/>
    <w:rsid w:val="00A75BCB"/>
    <w:rsid w:val="00A766C4"/>
    <w:rsid w:val="00A76BF9"/>
    <w:rsid w:val="00A76E2F"/>
    <w:rsid w:val="00A77667"/>
    <w:rsid w:val="00A8078F"/>
    <w:rsid w:val="00A81093"/>
    <w:rsid w:val="00A8135A"/>
    <w:rsid w:val="00A82F87"/>
    <w:rsid w:val="00A83E17"/>
    <w:rsid w:val="00A84915"/>
    <w:rsid w:val="00A857D7"/>
    <w:rsid w:val="00A860B7"/>
    <w:rsid w:val="00A87832"/>
    <w:rsid w:val="00A91720"/>
    <w:rsid w:val="00A9206E"/>
    <w:rsid w:val="00A94209"/>
    <w:rsid w:val="00A943DE"/>
    <w:rsid w:val="00A950BE"/>
    <w:rsid w:val="00A95E53"/>
    <w:rsid w:val="00A9627B"/>
    <w:rsid w:val="00A96BA8"/>
    <w:rsid w:val="00A96EA8"/>
    <w:rsid w:val="00A96FF2"/>
    <w:rsid w:val="00AA01A6"/>
    <w:rsid w:val="00AA0A33"/>
    <w:rsid w:val="00AA0DD3"/>
    <w:rsid w:val="00AA0F3E"/>
    <w:rsid w:val="00AA2435"/>
    <w:rsid w:val="00AA2591"/>
    <w:rsid w:val="00AA2C8E"/>
    <w:rsid w:val="00AA3302"/>
    <w:rsid w:val="00AA35AA"/>
    <w:rsid w:val="00AA434C"/>
    <w:rsid w:val="00AA63DC"/>
    <w:rsid w:val="00AB0C43"/>
    <w:rsid w:val="00AB1214"/>
    <w:rsid w:val="00AB1B73"/>
    <w:rsid w:val="00AB1EA7"/>
    <w:rsid w:val="00AB3379"/>
    <w:rsid w:val="00AB3558"/>
    <w:rsid w:val="00AB4C4C"/>
    <w:rsid w:val="00AB4C54"/>
    <w:rsid w:val="00AB5D04"/>
    <w:rsid w:val="00AB5F08"/>
    <w:rsid w:val="00AB75F7"/>
    <w:rsid w:val="00AB7BF1"/>
    <w:rsid w:val="00AC0E6C"/>
    <w:rsid w:val="00AC0EFD"/>
    <w:rsid w:val="00AC1699"/>
    <w:rsid w:val="00AC1C8D"/>
    <w:rsid w:val="00AC25C8"/>
    <w:rsid w:val="00AC286C"/>
    <w:rsid w:val="00AC3040"/>
    <w:rsid w:val="00AC3234"/>
    <w:rsid w:val="00AC40E9"/>
    <w:rsid w:val="00AC5355"/>
    <w:rsid w:val="00AC5B3D"/>
    <w:rsid w:val="00AC5B94"/>
    <w:rsid w:val="00AC5FC7"/>
    <w:rsid w:val="00AC6E75"/>
    <w:rsid w:val="00AC7AED"/>
    <w:rsid w:val="00AC7C43"/>
    <w:rsid w:val="00AC7CF6"/>
    <w:rsid w:val="00AD03A4"/>
    <w:rsid w:val="00AD165D"/>
    <w:rsid w:val="00AD202A"/>
    <w:rsid w:val="00AD2E33"/>
    <w:rsid w:val="00AD32C1"/>
    <w:rsid w:val="00AD4044"/>
    <w:rsid w:val="00AD4673"/>
    <w:rsid w:val="00AD6E2D"/>
    <w:rsid w:val="00AD739E"/>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49A"/>
    <w:rsid w:val="00AF2B4F"/>
    <w:rsid w:val="00AF34B0"/>
    <w:rsid w:val="00AF426F"/>
    <w:rsid w:val="00AF4765"/>
    <w:rsid w:val="00AF5CAD"/>
    <w:rsid w:val="00AF6283"/>
    <w:rsid w:val="00B00295"/>
    <w:rsid w:val="00B00C32"/>
    <w:rsid w:val="00B01958"/>
    <w:rsid w:val="00B027A9"/>
    <w:rsid w:val="00B03F44"/>
    <w:rsid w:val="00B04D94"/>
    <w:rsid w:val="00B0701E"/>
    <w:rsid w:val="00B07E93"/>
    <w:rsid w:val="00B07FE9"/>
    <w:rsid w:val="00B100E8"/>
    <w:rsid w:val="00B10D55"/>
    <w:rsid w:val="00B11A09"/>
    <w:rsid w:val="00B11AD6"/>
    <w:rsid w:val="00B12050"/>
    <w:rsid w:val="00B15EDE"/>
    <w:rsid w:val="00B16DBD"/>
    <w:rsid w:val="00B17EDF"/>
    <w:rsid w:val="00B205FF"/>
    <w:rsid w:val="00B2223B"/>
    <w:rsid w:val="00B22DF8"/>
    <w:rsid w:val="00B23A48"/>
    <w:rsid w:val="00B24883"/>
    <w:rsid w:val="00B25229"/>
    <w:rsid w:val="00B25A65"/>
    <w:rsid w:val="00B25E38"/>
    <w:rsid w:val="00B266D7"/>
    <w:rsid w:val="00B26CEC"/>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062B"/>
    <w:rsid w:val="00B410DC"/>
    <w:rsid w:val="00B44620"/>
    <w:rsid w:val="00B44678"/>
    <w:rsid w:val="00B4502B"/>
    <w:rsid w:val="00B46CBB"/>
    <w:rsid w:val="00B470CD"/>
    <w:rsid w:val="00B47142"/>
    <w:rsid w:val="00B47E3C"/>
    <w:rsid w:val="00B5076F"/>
    <w:rsid w:val="00B50B31"/>
    <w:rsid w:val="00B5217C"/>
    <w:rsid w:val="00B536F4"/>
    <w:rsid w:val="00B5381B"/>
    <w:rsid w:val="00B56541"/>
    <w:rsid w:val="00B566E6"/>
    <w:rsid w:val="00B571A2"/>
    <w:rsid w:val="00B57332"/>
    <w:rsid w:val="00B57496"/>
    <w:rsid w:val="00B603D4"/>
    <w:rsid w:val="00B60EE5"/>
    <w:rsid w:val="00B61FBE"/>
    <w:rsid w:val="00B62D23"/>
    <w:rsid w:val="00B62D3F"/>
    <w:rsid w:val="00B63675"/>
    <w:rsid w:val="00B63BC3"/>
    <w:rsid w:val="00B64BF6"/>
    <w:rsid w:val="00B64F79"/>
    <w:rsid w:val="00B658A6"/>
    <w:rsid w:val="00B6642A"/>
    <w:rsid w:val="00B6777E"/>
    <w:rsid w:val="00B7150D"/>
    <w:rsid w:val="00B7217C"/>
    <w:rsid w:val="00B72B8E"/>
    <w:rsid w:val="00B72BF7"/>
    <w:rsid w:val="00B72D3D"/>
    <w:rsid w:val="00B73CCD"/>
    <w:rsid w:val="00B73F34"/>
    <w:rsid w:val="00B73FBB"/>
    <w:rsid w:val="00B8099C"/>
    <w:rsid w:val="00B81686"/>
    <w:rsid w:val="00B81740"/>
    <w:rsid w:val="00B81CEF"/>
    <w:rsid w:val="00B82C14"/>
    <w:rsid w:val="00B861DB"/>
    <w:rsid w:val="00B8622A"/>
    <w:rsid w:val="00B87A02"/>
    <w:rsid w:val="00B87F43"/>
    <w:rsid w:val="00B905E9"/>
    <w:rsid w:val="00B97BA8"/>
    <w:rsid w:val="00B97E17"/>
    <w:rsid w:val="00BA0677"/>
    <w:rsid w:val="00BA099E"/>
    <w:rsid w:val="00BA120F"/>
    <w:rsid w:val="00BA13A6"/>
    <w:rsid w:val="00BA17EA"/>
    <w:rsid w:val="00BA18DA"/>
    <w:rsid w:val="00BA2D6C"/>
    <w:rsid w:val="00BA35F3"/>
    <w:rsid w:val="00BA3890"/>
    <w:rsid w:val="00BA49FE"/>
    <w:rsid w:val="00BA5292"/>
    <w:rsid w:val="00BA6230"/>
    <w:rsid w:val="00BA6566"/>
    <w:rsid w:val="00BA6F03"/>
    <w:rsid w:val="00BA7B3C"/>
    <w:rsid w:val="00BB02B7"/>
    <w:rsid w:val="00BB068C"/>
    <w:rsid w:val="00BB0E8D"/>
    <w:rsid w:val="00BB0E95"/>
    <w:rsid w:val="00BB2331"/>
    <w:rsid w:val="00BB379D"/>
    <w:rsid w:val="00BB3B79"/>
    <w:rsid w:val="00BB4A56"/>
    <w:rsid w:val="00BB4BEA"/>
    <w:rsid w:val="00BB56E2"/>
    <w:rsid w:val="00BB58AE"/>
    <w:rsid w:val="00BB59C4"/>
    <w:rsid w:val="00BB71E9"/>
    <w:rsid w:val="00BB7617"/>
    <w:rsid w:val="00BC0C2B"/>
    <w:rsid w:val="00BC172B"/>
    <w:rsid w:val="00BC1CCB"/>
    <w:rsid w:val="00BC29F7"/>
    <w:rsid w:val="00BC2C0B"/>
    <w:rsid w:val="00BC2D15"/>
    <w:rsid w:val="00BC3AF4"/>
    <w:rsid w:val="00BC4460"/>
    <w:rsid w:val="00BC49DD"/>
    <w:rsid w:val="00BC4CF1"/>
    <w:rsid w:val="00BC6885"/>
    <w:rsid w:val="00BC6B8F"/>
    <w:rsid w:val="00BC7443"/>
    <w:rsid w:val="00BD0105"/>
    <w:rsid w:val="00BD094A"/>
    <w:rsid w:val="00BD0FA2"/>
    <w:rsid w:val="00BD1824"/>
    <w:rsid w:val="00BD1891"/>
    <w:rsid w:val="00BD27DF"/>
    <w:rsid w:val="00BD2E50"/>
    <w:rsid w:val="00BD3A77"/>
    <w:rsid w:val="00BD3C91"/>
    <w:rsid w:val="00BD5053"/>
    <w:rsid w:val="00BD50E5"/>
    <w:rsid w:val="00BD5285"/>
    <w:rsid w:val="00BD5D14"/>
    <w:rsid w:val="00BD5DC8"/>
    <w:rsid w:val="00BD6611"/>
    <w:rsid w:val="00BD6B3D"/>
    <w:rsid w:val="00BD6B7E"/>
    <w:rsid w:val="00BD6DDF"/>
    <w:rsid w:val="00BE0B31"/>
    <w:rsid w:val="00BE0D4C"/>
    <w:rsid w:val="00BE0D5C"/>
    <w:rsid w:val="00BE165C"/>
    <w:rsid w:val="00BE20A5"/>
    <w:rsid w:val="00BE2A55"/>
    <w:rsid w:val="00BE3AC1"/>
    <w:rsid w:val="00BE540B"/>
    <w:rsid w:val="00BE59A0"/>
    <w:rsid w:val="00BE5A79"/>
    <w:rsid w:val="00BE6000"/>
    <w:rsid w:val="00BE6BED"/>
    <w:rsid w:val="00BE6C1A"/>
    <w:rsid w:val="00BE7C9B"/>
    <w:rsid w:val="00BF16FF"/>
    <w:rsid w:val="00BF26C9"/>
    <w:rsid w:val="00BF274B"/>
    <w:rsid w:val="00BF2C19"/>
    <w:rsid w:val="00BF2D9E"/>
    <w:rsid w:val="00BF328C"/>
    <w:rsid w:val="00BF34D1"/>
    <w:rsid w:val="00BF454F"/>
    <w:rsid w:val="00BF5B1A"/>
    <w:rsid w:val="00BF5BDF"/>
    <w:rsid w:val="00BF774D"/>
    <w:rsid w:val="00C017CB"/>
    <w:rsid w:val="00C01DCE"/>
    <w:rsid w:val="00C01F62"/>
    <w:rsid w:val="00C03302"/>
    <w:rsid w:val="00C0338C"/>
    <w:rsid w:val="00C04831"/>
    <w:rsid w:val="00C04D0F"/>
    <w:rsid w:val="00C0752B"/>
    <w:rsid w:val="00C10B0E"/>
    <w:rsid w:val="00C10DC6"/>
    <w:rsid w:val="00C10FFE"/>
    <w:rsid w:val="00C1240D"/>
    <w:rsid w:val="00C125FA"/>
    <w:rsid w:val="00C12ADD"/>
    <w:rsid w:val="00C12C7D"/>
    <w:rsid w:val="00C1322B"/>
    <w:rsid w:val="00C13340"/>
    <w:rsid w:val="00C135F3"/>
    <w:rsid w:val="00C14D1F"/>
    <w:rsid w:val="00C14D48"/>
    <w:rsid w:val="00C17147"/>
    <w:rsid w:val="00C20DD3"/>
    <w:rsid w:val="00C22377"/>
    <w:rsid w:val="00C22B2F"/>
    <w:rsid w:val="00C22D7C"/>
    <w:rsid w:val="00C23367"/>
    <w:rsid w:val="00C23EF3"/>
    <w:rsid w:val="00C23F7A"/>
    <w:rsid w:val="00C27038"/>
    <w:rsid w:val="00C276A9"/>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3C4"/>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B2C"/>
    <w:rsid w:val="00C56552"/>
    <w:rsid w:val="00C6018D"/>
    <w:rsid w:val="00C626CE"/>
    <w:rsid w:val="00C63444"/>
    <w:rsid w:val="00C63610"/>
    <w:rsid w:val="00C63D7A"/>
    <w:rsid w:val="00C63FEC"/>
    <w:rsid w:val="00C64764"/>
    <w:rsid w:val="00C64770"/>
    <w:rsid w:val="00C64F37"/>
    <w:rsid w:val="00C65866"/>
    <w:rsid w:val="00C6713F"/>
    <w:rsid w:val="00C67DF3"/>
    <w:rsid w:val="00C67E9C"/>
    <w:rsid w:val="00C7064C"/>
    <w:rsid w:val="00C707EF"/>
    <w:rsid w:val="00C70AD4"/>
    <w:rsid w:val="00C71101"/>
    <w:rsid w:val="00C72096"/>
    <w:rsid w:val="00C72FF0"/>
    <w:rsid w:val="00C731C8"/>
    <w:rsid w:val="00C7348A"/>
    <w:rsid w:val="00C73C6C"/>
    <w:rsid w:val="00C74BFB"/>
    <w:rsid w:val="00C75D47"/>
    <w:rsid w:val="00C77D9A"/>
    <w:rsid w:val="00C800B2"/>
    <w:rsid w:val="00C807B6"/>
    <w:rsid w:val="00C8119A"/>
    <w:rsid w:val="00C81E5F"/>
    <w:rsid w:val="00C846D7"/>
    <w:rsid w:val="00C84B04"/>
    <w:rsid w:val="00C85021"/>
    <w:rsid w:val="00C85E89"/>
    <w:rsid w:val="00C86ED6"/>
    <w:rsid w:val="00C9015B"/>
    <w:rsid w:val="00C906D1"/>
    <w:rsid w:val="00C914FC"/>
    <w:rsid w:val="00C91AAE"/>
    <w:rsid w:val="00C91F9D"/>
    <w:rsid w:val="00C92CD7"/>
    <w:rsid w:val="00C9311B"/>
    <w:rsid w:val="00C93A44"/>
    <w:rsid w:val="00C9692A"/>
    <w:rsid w:val="00CA0FE3"/>
    <w:rsid w:val="00CA1F02"/>
    <w:rsid w:val="00CA25B8"/>
    <w:rsid w:val="00CA33DF"/>
    <w:rsid w:val="00CA3B3D"/>
    <w:rsid w:val="00CA5B05"/>
    <w:rsid w:val="00CA6B1B"/>
    <w:rsid w:val="00CA6F2E"/>
    <w:rsid w:val="00CA7053"/>
    <w:rsid w:val="00CA7F28"/>
    <w:rsid w:val="00CB089E"/>
    <w:rsid w:val="00CB0A6C"/>
    <w:rsid w:val="00CB0BD5"/>
    <w:rsid w:val="00CB0BD7"/>
    <w:rsid w:val="00CB18D3"/>
    <w:rsid w:val="00CB2CDA"/>
    <w:rsid w:val="00CB3A67"/>
    <w:rsid w:val="00CB410C"/>
    <w:rsid w:val="00CB41A4"/>
    <w:rsid w:val="00CB4A11"/>
    <w:rsid w:val="00CB6B51"/>
    <w:rsid w:val="00CB723F"/>
    <w:rsid w:val="00CB7A7C"/>
    <w:rsid w:val="00CC06B8"/>
    <w:rsid w:val="00CC1BCD"/>
    <w:rsid w:val="00CC1D35"/>
    <w:rsid w:val="00CC2232"/>
    <w:rsid w:val="00CC29C6"/>
    <w:rsid w:val="00CC347C"/>
    <w:rsid w:val="00CC43A2"/>
    <w:rsid w:val="00CC4F77"/>
    <w:rsid w:val="00CC771C"/>
    <w:rsid w:val="00CC7784"/>
    <w:rsid w:val="00CC79CD"/>
    <w:rsid w:val="00CC7E24"/>
    <w:rsid w:val="00CD029F"/>
    <w:rsid w:val="00CD1A65"/>
    <w:rsid w:val="00CD1C4F"/>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786"/>
    <w:rsid w:val="00CE54C2"/>
    <w:rsid w:val="00CE5533"/>
    <w:rsid w:val="00CE558C"/>
    <w:rsid w:val="00CE577C"/>
    <w:rsid w:val="00CE5F94"/>
    <w:rsid w:val="00CE63D6"/>
    <w:rsid w:val="00CE7F4B"/>
    <w:rsid w:val="00CF1119"/>
    <w:rsid w:val="00CF1E44"/>
    <w:rsid w:val="00CF358D"/>
    <w:rsid w:val="00CF53C7"/>
    <w:rsid w:val="00CF5E04"/>
    <w:rsid w:val="00CF6570"/>
    <w:rsid w:val="00CF6784"/>
    <w:rsid w:val="00CF6F07"/>
    <w:rsid w:val="00CF7048"/>
    <w:rsid w:val="00D0022F"/>
    <w:rsid w:val="00D01042"/>
    <w:rsid w:val="00D01773"/>
    <w:rsid w:val="00D0179D"/>
    <w:rsid w:val="00D0230E"/>
    <w:rsid w:val="00D02E58"/>
    <w:rsid w:val="00D0384D"/>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1761"/>
    <w:rsid w:val="00D22E5B"/>
    <w:rsid w:val="00D231AA"/>
    <w:rsid w:val="00D235DB"/>
    <w:rsid w:val="00D23BFA"/>
    <w:rsid w:val="00D241E8"/>
    <w:rsid w:val="00D24501"/>
    <w:rsid w:val="00D25D58"/>
    <w:rsid w:val="00D26843"/>
    <w:rsid w:val="00D27F9C"/>
    <w:rsid w:val="00D302CE"/>
    <w:rsid w:val="00D3121E"/>
    <w:rsid w:val="00D3158F"/>
    <w:rsid w:val="00D32A41"/>
    <w:rsid w:val="00D33228"/>
    <w:rsid w:val="00D34F29"/>
    <w:rsid w:val="00D35801"/>
    <w:rsid w:val="00D372B9"/>
    <w:rsid w:val="00D37839"/>
    <w:rsid w:val="00D417A1"/>
    <w:rsid w:val="00D41FFC"/>
    <w:rsid w:val="00D430CB"/>
    <w:rsid w:val="00D43B6E"/>
    <w:rsid w:val="00D44143"/>
    <w:rsid w:val="00D45FEB"/>
    <w:rsid w:val="00D473C6"/>
    <w:rsid w:val="00D477DE"/>
    <w:rsid w:val="00D51985"/>
    <w:rsid w:val="00D5240F"/>
    <w:rsid w:val="00D5242A"/>
    <w:rsid w:val="00D53D27"/>
    <w:rsid w:val="00D53DEE"/>
    <w:rsid w:val="00D54EA8"/>
    <w:rsid w:val="00D5585F"/>
    <w:rsid w:val="00D56963"/>
    <w:rsid w:val="00D57C79"/>
    <w:rsid w:val="00D601A4"/>
    <w:rsid w:val="00D604E3"/>
    <w:rsid w:val="00D60F8F"/>
    <w:rsid w:val="00D6114D"/>
    <w:rsid w:val="00D61152"/>
    <w:rsid w:val="00D6139A"/>
    <w:rsid w:val="00D62AE4"/>
    <w:rsid w:val="00D63BF5"/>
    <w:rsid w:val="00D65101"/>
    <w:rsid w:val="00D65113"/>
    <w:rsid w:val="00D6547D"/>
    <w:rsid w:val="00D65954"/>
    <w:rsid w:val="00D65CC4"/>
    <w:rsid w:val="00D66A2B"/>
    <w:rsid w:val="00D66CA0"/>
    <w:rsid w:val="00D66EA9"/>
    <w:rsid w:val="00D679CA"/>
    <w:rsid w:val="00D70C26"/>
    <w:rsid w:val="00D70E42"/>
    <w:rsid w:val="00D719E2"/>
    <w:rsid w:val="00D7323B"/>
    <w:rsid w:val="00D733E9"/>
    <w:rsid w:val="00D74BE2"/>
    <w:rsid w:val="00D7577A"/>
    <w:rsid w:val="00D76783"/>
    <w:rsid w:val="00D76C18"/>
    <w:rsid w:val="00D778B5"/>
    <w:rsid w:val="00D77D82"/>
    <w:rsid w:val="00D80347"/>
    <w:rsid w:val="00D80DFA"/>
    <w:rsid w:val="00D83BD3"/>
    <w:rsid w:val="00D83F66"/>
    <w:rsid w:val="00D847AD"/>
    <w:rsid w:val="00D847C4"/>
    <w:rsid w:val="00D84CCB"/>
    <w:rsid w:val="00D8544C"/>
    <w:rsid w:val="00D863C2"/>
    <w:rsid w:val="00D87089"/>
    <w:rsid w:val="00D90EA9"/>
    <w:rsid w:val="00D90FF4"/>
    <w:rsid w:val="00D91F7F"/>
    <w:rsid w:val="00D92830"/>
    <w:rsid w:val="00D9293B"/>
    <w:rsid w:val="00D93FF7"/>
    <w:rsid w:val="00D94101"/>
    <w:rsid w:val="00D94BBE"/>
    <w:rsid w:val="00D95151"/>
    <w:rsid w:val="00D952E4"/>
    <w:rsid w:val="00D971A4"/>
    <w:rsid w:val="00D978F7"/>
    <w:rsid w:val="00DA0153"/>
    <w:rsid w:val="00DA5C81"/>
    <w:rsid w:val="00DB0A6C"/>
    <w:rsid w:val="00DB0E0E"/>
    <w:rsid w:val="00DB2869"/>
    <w:rsid w:val="00DB2986"/>
    <w:rsid w:val="00DB4BE0"/>
    <w:rsid w:val="00DB5488"/>
    <w:rsid w:val="00DB64DC"/>
    <w:rsid w:val="00DB653B"/>
    <w:rsid w:val="00DB6949"/>
    <w:rsid w:val="00DB707C"/>
    <w:rsid w:val="00DC02E9"/>
    <w:rsid w:val="00DC0707"/>
    <w:rsid w:val="00DC188D"/>
    <w:rsid w:val="00DC23EB"/>
    <w:rsid w:val="00DC30E3"/>
    <w:rsid w:val="00DC3F6F"/>
    <w:rsid w:val="00DC6CA9"/>
    <w:rsid w:val="00DC72C2"/>
    <w:rsid w:val="00DC72DC"/>
    <w:rsid w:val="00DD02E9"/>
    <w:rsid w:val="00DD0489"/>
    <w:rsid w:val="00DD07FD"/>
    <w:rsid w:val="00DD233F"/>
    <w:rsid w:val="00DD3BEB"/>
    <w:rsid w:val="00DD4589"/>
    <w:rsid w:val="00DD4985"/>
    <w:rsid w:val="00DD593D"/>
    <w:rsid w:val="00DD5AC3"/>
    <w:rsid w:val="00DD6052"/>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755"/>
    <w:rsid w:val="00DF5AC8"/>
    <w:rsid w:val="00DF5E16"/>
    <w:rsid w:val="00DF6BA9"/>
    <w:rsid w:val="00DF6EE4"/>
    <w:rsid w:val="00DF6F4A"/>
    <w:rsid w:val="00DF742C"/>
    <w:rsid w:val="00DF74EA"/>
    <w:rsid w:val="00DF7CB8"/>
    <w:rsid w:val="00DF7DCA"/>
    <w:rsid w:val="00E0034C"/>
    <w:rsid w:val="00E005DE"/>
    <w:rsid w:val="00E010DF"/>
    <w:rsid w:val="00E017A0"/>
    <w:rsid w:val="00E02DCE"/>
    <w:rsid w:val="00E03641"/>
    <w:rsid w:val="00E03B14"/>
    <w:rsid w:val="00E03C3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09E"/>
    <w:rsid w:val="00E243CF"/>
    <w:rsid w:val="00E24D64"/>
    <w:rsid w:val="00E26CC9"/>
    <w:rsid w:val="00E26D82"/>
    <w:rsid w:val="00E26E5A"/>
    <w:rsid w:val="00E2712A"/>
    <w:rsid w:val="00E3143B"/>
    <w:rsid w:val="00E32F0D"/>
    <w:rsid w:val="00E33738"/>
    <w:rsid w:val="00E34842"/>
    <w:rsid w:val="00E35091"/>
    <w:rsid w:val="00E3529D"/>
    <w:rsid w:val="00E35888"/>
    <w:rsid w:val="00E36103"/>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51E1"/>
    <w:rsid w:val="00E46107"/>
    <w:rsid w:val="00E4622F"/>
    <w:rsid w:val="00E467FB"/>
    <w:rsid w:val="00E47CB4"/>
    <w:rsid w:val="00E50262"/>
    <w:rsid w:val="00E51B87"/>
    <w:rsid w:val="00E5233D"/>
    <w:rsid w:val="00E52F45"/>
    <w:rsid w:val="00E53A95"/>
    <w:rsid w:val="00E53AC8"/>
    <w:rsid w:val="00E54077"/>
    <w:rsid w:val="00E54542"/>
    <w:rsid w:val="00E54A6E"/>
    <w:rsid w:val="00E607EC"/>
    <w:rsid w:val="00E61628"/>
    <w:rsid w:val="00E6199D"/>
    <w:rsid w:val="00E62B0B"/>
    <w:rsid w:val="00E637C9"/>
    <w:rsid w:val="00E6390C"/>
    <w:rsid w:val="00E6503B"/>
    <w:rsid w:val="00E650B6"/>
    <w:rsid w:val="00E65581"/>
    <w:rsid w:val="00E659AC"/>
    <w:rsid w:val="00E66BF9"/>
    <w:rsid w:val="00E704AC"/>
    <w:rsid w:val="00E70958"/>
    <w:rsid w:val="00E724DE"/>
    <w:rsid w:val="00E7312A"/>
    <w:rsid w:val="00E73A16"/>
    <w:rsid w:val="00E73AC1"/>
    <w:rsid w:val="00E74AD9"/>
    <w:rsid w:val="00E74F74"/>
    <w:rsid w:val="00E75AE2"/>
    <w:rsid w:val="00E76535"/>
    <w:rsid w:val="00E767B4"/>
    <w:rsid w:val="00E76B40"/>
    <w:rsid w:val="00E77D12"/>
    <w:rsid w:val="00E77E8A"/>
    <w:rsid w:val="00E81B09"/>
    <w:rsid w:val="00E82709"/>
    <w:rsid w:val="00E828EB"/>
    <w:rsid w:val="00E82F84"/>
    <w:rsid w:val="00E83E40"/>
    <w:rsid w:val="00E850E4"/>
    <w:rsid w:val="00E85A4A"/>
    <w:rsid w:val="00E8637D"/>
    <w:rsid w:val="00E87F0B"/>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642A"/>
    <w:rsid w:val="00EA69F2"/>
    <w:rsid w:val="00EA6C51"/>
    <w:rsid w:val="00EA710F"/>
    <w:rsid w:val="00EB07F5"/>
    <w:rsid w:val="00EB0B86"/>
    <w:rsid w:val="00EB176D"/>
    <w:rsid w:val="00EB1B2F"/>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941"/>
    <w:rsid w:val="00EC5B2D"/>
    <w:rsid w:val="00EC5B85"/>
    <w:rsid w:val="00EC61B9"/>
    <w:rsid w:val="00EC6871"/>
    <w:rsid w:val="00ED274B"/>
    <w:rsid w:val="00ED3116"/>
    <w:rsid w:val="00ED3D8A"/>
    <w:rsid w:val="00ED423F"/>
    <w:rsid w:val="00ED5C89"/>
    <w:rsid w:val="00ED5E3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6E7"/>
    <w:rsid w:val="00EE4764"/>
    <w:rsid w:val="00EE4FC6"/>
    <w:rsid w:val="00EE5925"/>
    <w:rsid w:val="00EE5E3B"/>
    <w:rsid w:val="00EE6DF9"/>
    <w:rsid w:val="00EE6F79"/>
    <w:rsid w:val="00EE733F"/>
    <w:rsid w:val="00EF00EC"/>
    <w:rsid w:val="00EF0976"/>
    <w:rsid w:val="00EF0D14"/>
    <w:rsid w:val="00EF0FD4"/>
    <w:rsid w:val="00EF1C89"/>
    <w:rsid w:val="00EF1D28"/>
    <w:rsid w:val="00EF2085"/>
    <w:rsid w:val="00EF33AC"/>
    <w:rsid w:val="00EF3868"/>
    <w:rsid w:val="00EF4542"/>
    <w:rsid w:val="00EF4CFB"/>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02E7"/>
    <w:rsid w:val="00F1128D"/>
    <w:rsid w:val="00F12C8F"/>
    <w:rsid w:val="00F139A3"/>
    <w:rsid w:val="00F13F3E"/>
    <w:rsid w:val="00F167BC"/>
    <w:rsid w:val="00F16E6A"/>
    <w:rsid w:val="00F1744A"/>
    <w:rsid w:val="00F177A6"/>
    <w:rsid w:val="00F177D6"/>
    <w:rsid w:val="00F21D3A"/>
    <w:rsid w:val="00F21D5C"/>
    <w:rsid w:val="00F22DBA"/>
    <w:rsid w:val="00F240F4"/>
    <w:rsid w:val="00F24E19"/>
    <w:rsid w:val="00F250E1"/>
    <w:rsid w:val="00F262C1"/>
    <w:rsid w:val="00F275A7"/>
    <w:rsid w:val="00F27CB4"/>
    <w:rsid w:val="00F27F7D"/>
    <w:rsid w:val="00F300A0"/>
    <w:rsid w:val="00F3028C"/>
    <w:rsid w:val="00F314C4"/>
    <w:rsid w:val="00F31555"/>
    <w:rsid w:val="00F31ADF"/>
    <w:rsid w:val="00F31DB1"/>
    <w:rsid w:val="00F32561"/>
    <w:rsid w:val="00F337AD"/>
    <w:rsid w:val="00F355BD"/>
    <w:rsid w:val="00F35C58"/>
    <w:rsid w:val="00F36537"/>
    <w:rsid w:val="00F36E31"/>
    <w:rsid w:val="00F3778C"/>
    <w:rsid w:val="00F37B02"/>
    <w:rsid w:val="00F400E2"/>
    <w:rsid w:val="00F40918"/>
    <w:rsid w:val="00F409F5"/>
    <w:rsid w:val="00F40C3A"/>
    <w:rsid w:val="00F41DAB"/>
    <w:rsid w:val="00F42112"/>
    <w:rsid w:val="00F4270A"/>
    <w:rsid w:val="00F43940"/>
    <w:rsid w:val="00F43E4A"/>
    <w:rsid w:val="00F43FB9"/>
    <w:rsid w:val="00F44163"/>
    <w:rsid w:val="00F4496E"/>
    <w:rsid w:val="00F4532A"/>
    <w:rsid w:val="00F456FE"/>
    <w:rsid w:val="00F45E6C"/>
    <w:rsid w:val="00F46067"/>
    <w:rsid w:val="00F4626C"/>
    <w:rsid w:val="00F4694D"/>
    <w:rsid w:val="00F473AC"/>
    <w:rsid w:val="00F47BB1"/>
    <w:rsid w:val="00F517F1"/>
    <w:rsid w:val="00F52174"/>
    <w:rsid w:val="00F52CEC"/>
    <w:rsid w:val="00F52EB7"/>
    <w:rsid w:val="00F53712"/>
    <w:rsid w:val="00F541AA"/>
    <w:rsid w:val="00F54EB2"/>
    <w:rsid w:val="00F560DB"/>
    <w:rsid w:val="00F56256"/>
    <w:rsid w:val="00F56FB8"/>
    <w:rsid w:val="00F60895"/>
    <w:rsid w:val="00F60BF1"/>
    <w:rsid w:val="00F6120A"/>
    <w:rsid w:val="00F61E32"/>
    <w:rsid w:val="00F63003"/>
    <w:rsid w:val="00F637CB"/>
    <w:rsid w:val="00F63A44"/>
    <w:rsid w:val="00F64DEF"/>
    <w:rsid w:val="00F65E80"/>
    <w:rsid w:val="00F65F19"/>
    <w:rsid w:val="00F668C7"/>
    <w:rsid w:val="00F6731F"/>
    <w:rsid w:val="00F678EF"/>
    <w:rsid w:val="00F70E56"/>
    <w:rsid w:val="00F72542"/>
    <w:rsid w:val="00F7294B"/>
    <w:rsid w:val="00F738B4"/>
    <w:rsid w:val="00F7519D"/>
    <w:rsid w:val="00F752F3"/>
    <w:rsid w:val="00F761B9"/>
    <w:rsid w:val="00F762AE"/>
    <w:rsid w:val="00F7641D"/>
    <w:rsid w:val="00F76A25"/>
    <w:rsid w:val="00F777C8"/>
    <w:rsid w:val="00F8418D"/>
    <w:rsid w:val="00F856D8"/>
    <w:rsid w:val="00F85D5F"/>
    <w:rsid w:val="00F86AA2"/>
    <w:rsid w:val="00F87945"/>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44CD"/>
    <w:rsid w:val="00FA6A03"/>
    <w:rsid w:val="00FA70BD"/>
    <w:rsid w:val="00FB0875"/>
    <w:rsid w:val="00FB0BAC"/>
    <w:rsid w:val="00FB1380"/>
    <w:rsid w:val="00FB1952"/>
    <w:rsid w:val="00FB1F00"/>
    <w:rsid w:val="00FB203C"/>
    <w:rsid w:val="00FB25A6"/>
    <w:rsid w:val="00FB39EB"/>
    <w:rsid w:val="00FB7594"/>
    <w:rsid w:val="00FB783D"/>
    <w:rsid w:val="00FB7EA9"/>
    <w:rsid w:val="00FB7ECD"/>
    <w:rsid w:val="00FC0CB3"/>
    <w:rsid w:val="00FC0FC9"/>
    <w:rsid w:val="00FC2710"/>
    <w:rsid w:val="00FC293F"/>
    <w:rsid w:val="00FC295F"/>
    <w:rsid w:val="00FC2970"/>
    <w:rsid w:val="00FC3195"/>
    <w:rsid w:val="00FC38C2"/>
    <w:rsid w:val="00FC4217"/>
    <w:rsid w:val="00FC48B2"/>
    <w:rsid w:val="00FC494C"/>
    <w:rsid w:val="00FC62ED"/>
    <w:rsid w:val="00FC6D07"/>
    <w:rsid w:val="00FD1570"/>
    <w:rsid w:val="00FD2477"/>
    <w:rsid w:val="00FD269F"/>
    <w:rsid w:val="00FD309A"/>
    <w:rsid w:val="00FD4F62"/>
    <w:rsid w:val="00FD5488"/>
    <w:rsid w:val="00FD54FC"/>
    <w:rsid w:val="00FD5B44"/>
    <w:rsid w:val="00FD7ACD"/>
    <w:rsid w:val="00FE1902"/>
    <w:rsid w:val="00FE3F4E"/>
    <w:rsid w:val="00FE4B40"/>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76D"/>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10762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10762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1665">
      <w:marLeft w:val="0"/>
      <w:marRight w:val="0"/>
      <w:marTop w:val="0"/>
      <w:marBottom w:val="0"/>
      <w:divBdr>
        <w:top w:val="none" w:sz="0" w:space="0" w:color="auto"/>
        <w:left w:val="none" w:sz="0" w:space="0" w:color="auto"/>
        <w:bottom w:val="none" w:sz="0" w:space="0" w:color="auto"/>
        <w:right w:val="none" w:sz="0" w:space="0" w:color="auto"/>
      </w:divBdr>
      <w:divsChild>
        <w:div w:id="570241667">
          <w:marLeft w:val="0"/>
          <w:marRight w:val="0"/>
          <w:marTop w:val="0"/>
          <w:marBottom w:val="0"/>
          <w:divBdr>
            <w:top w:val="none" w:sz="0" w:space="0" w:color="auto"/>
            <w:left w:val="none" w:sz="0" w:space="0" w:color="auto"/>
            <w:bottom w:val="none" w:sz="0" w:space="0" w:color="auto"/>
            <w:right w:val="none" w:sz="0" w:space="0" w:color="auto"/>
          </w:divBdr>
        </w:div>
      </w:divsChild>
    </w:div>
    <w:div w:id="570241666">
      <w:marLeft w:val="0"/>
      <w:marRight w:val="0"/>
      <w:marTop w:val="0"/>
      <w:marBottom w:val="0"/>
      <w:divBdr>
        <w:top w:val="none" w:sz="0" w:space="0" w:color="auto"/>
        <w:left w:val="none" w:sz="0" w:space="0" w:color="auto"/>
        <w:bottom w:val="none" w:sz="0" w:space="0" w:color="auto"/>
        <w:right w:val="none" w:sz="0" w:space="0" w:color="auto"/>
      </w:divBdr>
      <w:divsChild>
        <w:div w:id="570241668">
          <w:marLeft w:val="0"/>
          <w:marRight w:val="0"/>
          <w:marTop w:val="0"/>
          <w:marBottom w:val="0"/>
          <w:divBdr>
            <w:top w:val="none" w:sz="0" w:space="0" w:color="auto"/>
            <w:left w:val="none" w:sz="0" w:space="0" w:color="auto"/>
            <w:bottom w:val="none" w:sz="0" w:space="0" w:color="auto"/>
            <w:right w:val="none" w:sz="0" w:space="0" w:color="auto"/>
          </w:divBdr>
        </w:div>
      </w:divsChild>
    </w:div>
    <w:div w:id="570241669">
      <w:marLeft w:val="0"/>
      <w:marRight w:val="0"/>
      <w:marTop w:val="0"/>
      <w:marBottom w:val="0"/>
      <w:divBdr>
        <w:top w:val="none" w:sz="0" w:space="0" w:color="auto"/>
        <w:left w:val="none" w:sz="0" w:space="0" w:color="auto"/>
        <w:bottom w:val="none" w:sz="0" w:space="0" w:color="auto"/>
        <w:right w:val="none" w:sz="0" w:space="0" w:color="auto"/>
      </w:divBdr>
    </w:div>
    <w:div w:id="570241670">
      <w:marLeft w:val="0"/>
      <w:marRight w:val="0"/>
      <w:marTop w:val="0"/>
      <w:marBottom w:val="0"/>
      <w:divBdr>
        <w:top w:val="none" w:sz="0" w:space="0" w:color="auto"/>
        <w:left w:val="none" w:sz="0" w:space="0" w:color="auto"/>
        <w:bottom w:val="none" w:sz="0" w:space="0" w:color="auto"/>
        <w:right w:val="none" w:sz="0" w:space="0" w:color="auto"/>
      </w:divBdr>
    </w:div>
    <w:div w:id="570241671">
      <w:marLeft w:val="0"/>
      <w:marRight w:val="0"/>
      <w:marTop w:val="0"/>
      <w:marBottom w:val="0"/>
      <w:divBdr>
        <w:top w:val="none" w:sz="0" w:space="0" w:color="auto"/>
        <w:left w:val="none" w:sz="0" w:space="0" w:color="auto"/>
        <w:bottom w:val="none" w:sz="0" w:space="0" w:color="auto"/>
        <w:right w:val="none" w:sz="0" w:space="0" w:color="auto"/>
      </w:divBdr>
    </w:div>
    <w:div w:id="570241672">
      <w:marLeft w:val="0"/>
      <w:marRight w:val="0"/>
      <w:marTop w:val="0"/>
      <w:marBottom w:val="0"/>
      <w:divBdr>
        <w:top w:val="none" w:sz="0" w:space="0" w:color="auto"/>
        <w:left w:val="none" w:sz="0" w:space="0" w:color="auto"/>
        <w:bottom w:val="none" w:sz="0" w:space="0" w:color="auto"/>
        <w:right w:val="none" w:sz="0" w:space="0" w:color="auto"/>
      </w:divBdr>
    </w:div>
    <w:div w:id="570241673">
      <w:marLeft w:val="0"/>
      <w:marRight w:val="0"/>
      <w:marTop w:val="0"/>
      <w:marBottom w:val="0"/>
      <w:divBdr>
        <w:top w:val="none" w:sz="0" w:space="0" w:color="auto"/>
        <w:left w:val="none" w:sz="0" w:space="0" w:color="auto"/>
        <w:bottom w:val="none" w:sz="0" w:space="0" w:color="auto"/>
        <w:right w:val="none" w:sz="0" w:space="0" w:color="auto"/>
      </w:divBdr>
    </w:div>
    <w:div w:id="570241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26"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ealbook.nytimes.com/2013/05/29/berkshire-unit-in-5-6-billion-deal-for-nevadas-largest-electric-utilit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1F0633-2D9A-46F0-AD25-8D887F8BD43B}"/>
</file>

<file path=customXml/itemProps2.xml><?xml version="1.0" encoding="utf-8"?>
<ds:datastoreItem xmlns:ds="http://schemas.openxmlformats.org/officeDocument/2006/customXml" ds:itemID="{5FFA278E-F3E2-4D06-A556-B4A368490463}"/>
</file>

<file path=customXml/itemProps3.xml><?xml version="1.0" encoding="utf-8"?>
<ds:datastoreItem xmlns:ds="http://schemas.openxmlformats.org/officeDocument/2006/customXml" ds:itemID="{9F895B96-5C30-4212-B491-CACF8A5DC661}"/>
</file>

<file path=customXml/itemProps4.xml><?xml version="1.0" encoding="utf-8"?>
<ds:datastoreItem xmlns:ds="http://schemas.openxmlformats.org/officeDocument/2006/customXml" ds:itemID="{11FB6245-3D5A-43DF-8F01-D49EAF9BAD5C}"/>
</file>

<file path=customXml/itemProps5.xml><?xml version="1.0" encoding="utf-8"?>
<ds:datastoreItem xmlns:ds="http://schemas.openxmlformats.org/officeDocument/2006/customXml" ds:itemID="{F38C735B-53BB-4643-A849-1408443775A8}"/>
</file>

<file path=customXml/itemProps6.xml><?xml version="1.0" encoding="utf-8"?>
<ds:datastoreItem xmlns:ds="http://schemas.openxmlformats.org/officeDocument/2006/customXml" ds:itemID="{77CA758C-BAE5-4A10-B1EA-23DF1F3A6142}"/>
</file>

<file path=docProps/app.xml><?xml version="1.0" encoding="utf-8"?>
<Properties xmlns="http://schemas.openxmlformats.org/officeDocument/2006/extended-properties" xmlns:vt="http://schemas.openxmlformats.org/officeDocument/2006/docPropsVTypes">
  <Template>Normal.dotm</Template>
  <TotalTime>127</TotalTime>
  <Pages>20</Pages>
  <Words>4078</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Bellemare</dc:creator>
  <cp:lastModifiedBy>No Name</cp:lastModifiedBy>
  <cp:revision>10</cp:revision>
  <dcterms:created xsi:type="dcterms:W3CDTF">2014-04-22T13:58:00Z</dcterms:created>
  <dcterms:modified xsi:type="dcterms:W3CDTF">2014-04-22T20:19:00Z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IFAA/76tAXMvzceXYv237ZF2aomCw8VJqOZSK+U7HU0i9CiZW3tY8YrMg5KCiiI1TutDGnZmT22ZWg2m
vJRkoIqGvOrnt/noNNZKConfPU8GR3fB7XSNg60KJHO5Q/iOy27PEx9igguUMM4XrDgg8OAS/nyR
o24nQjc9PHF21sSrXpPH4ITJticMM0A1F3whsfts4100XmCtq8BFH7RNAKGYBf15G1O3LB6XSDf8
NovmyYTaTZtTDFNvF</vt:lpwstr>
  </property>
  <property fmtid="{D5CDD505-2E9C-101B-9397-08002B2CF9AE}" pid="3" name="MAIL_MSG_ID2">
    <vt:lpwstr>pNUWmFMx//zKKrreoqorOhQEnRO53Aul5/yfmXOmbwuRBh5icp2v/dt37VS
TVVVP/gwbxSyxq1x</vt:lpwstr>
  </property>
  <property fmtid="{D5CDD505-2E9C-101B-9397-08002B2CF9AE}" pid="4" name="RESPONSE_SENDER_NAME">
    <vt:lpwstr>sAAA4E8dREqJqIrlmu2Tj5NwZFRlSBCw+DL1bqPPf2SHBMo=</vt:lpwstr>
  </property>
  <property fmtid="{D5CDD505-2E9C-101B-9397-08002B2CF9AE}" pid="5" name="EMAIL_OWNER_ADDRESS">
    <vt:lpwstr>4AAAUmLmXdMZevSoixPTPtXFkVwZozOSC7OzjZcjl+iZcxSAC+1k9ztNSg==</vt:lpwstr>
  </property>
  <property fmtid="{D5CDD505-2E9C-101B-9397-08002B2CF9AE}" pid="6" name="ContentTypeId">
    <vt:lpwstr>0x0101006E56B4D1795A2E4DB2F0B01679ED314A00C87A0A5D7D9C4E4DAB7922844D35C890</vt:lpwstr>
  </property>
  <property fmtid="{D5CDD505-2E9C-101B-9397-08002B2CF9AE}" pid="7" name="_docset_NoMedatataSyncRequired">
    <vt:lpwstr>False</vt:lpwstr>
  </property>
</Properties>
</file>