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12" w:rsidRDefault="00C34812" w:rsidP="00C34812">
      <w:pPr>
        <w:rPr>
          <w:b/>
          <w:color w:val="000000"/>
        </w:rPr>
      </w:pPr>
      <w:r w:rsidRPr="00063A0A">
        <w:rPr>
          <w:b/>
          <w:color w:val="000000"/>
        </w:rPr>
        <w:t>Bench Request</w:t>
      </w:r>
      <w:r>
        <w:rPr>
          <w:b/>
          <w:color w:val="000000"/>
        </w:rPr>
        <w:t xml:space="preserve"> Data Request 4</w:t>
      </w:r>
    </w:p>
    <w:p w:rsidR="00C34812" w:rsidRDefault="00C34812" w:rsidP="00C34812">
      <w:pPr>
        <w:pStyle w:val="Default"/>
      </w:pPr>
    </w:p>
    <w:p w:rsidR="00C34812" w:rsidRPr="00C34812" w:rsidRDefault="00C34812" w:rsidP="00C34812">
      <w:pPr>
        <w:pStyle w:val="Default"/>
        <w:ind w:left="720"/>
      </w:pPr>
      <w:r w:rsidRPr="00C34812">
        <w:t xml:space="preserve">The Company makes a “correction” to Commission Staff’s imputation of small hydro Renewable Energy Credit (REC) revenues. (Dalley, </w:t>
      </w:r>
      <w:proofErr w:type="spellStart"/>
      <w:r w:rsidRPr="00C34812">
        <w:t>Exh</w:t>
      </w:r>
      <w:proofErr w:type="spellEnd"/>
      <w:r w:rsidRPr="00C34812">
        <w:t xml:space="preserve">. No. RBD-28CT at 15:7-14). The dollar amount of the Company’s “correction” is reflected in Dalley, </w:t>
      </w:r>
      <w:proofErr w:type="spellStart"/>
      <w:r w:rsidRPr="00C34812">
        <w:t>Exh</w:t>
      </w:r>
      <w:proofErr w:type="spellEnd"/>
      <w:r w:rsidRPr="00C34812">
        <w:t xml:space="preserve">. No. </w:t>
      </w:r>
      <w:proofErr w:type="gramStart"/>
      <w:r w:rsidRPr="00C34812">
        <w:t>RBD-29C at 7.</w:t>
      </w:r>
      <w:proofErr w:type="gramEnd"/>
      <w:r w:rsidRPr="00C34812">
        <w:t xml:space="preserve"> </w:t>
      </w:r>
    </w:p>
    <w:p w:rsidR="00C34812" w:rsidRPr="00C34812" w:rsidRDefault="00C34812" w:rsidP="00C34812">
      <w:pPr>
        <w:pStyle w:val="Default"/>
        <w:ind w:left="1080" w:hanging="360"/>
      </w:pPr>
      <w:r w:rsidRPr="00C34812">
        <w:t xml:space="preserve">a. </w:t>
      </w:r>
      <w:r>
        <w:t xml:space="preserve">  </w:t>
      </w:r>
      <w:r w:rsidRPr="00C34812">
        <w:t xml:space="preserve">Please identify the inputs and provide the calculation used to derive the dollar amount reflected in Dalley, </w:t>
      </w:r>
      <w:proofErr w:type="spellStart"/>
      <w:r w:rsidRPr="00C34812">
        <w:t>Exh</w:t>
      </w:r>
      <w:proofErr w:type="spellEnd"/>
      <w:r w:rsidRPr="00C34812">
        <w:t xml:space="preserve">. No. </w:t>
      </w:r>
      <w:proofErr w:type="gramStart"/>
      <w:r w:rsidRPr="00C34812">
        <w:t>RBD-29C at 7.</w:t>
      </w:r>
      <w:proofErr w:type="gramEnd"/>
      <w:r w:rsidRPr="00C34812">
        <w:t xml:space="preserve"> </w:t>
      </w:r>
    </w:p>
    <w:p w:rsidR="00C34812" w:rsidRPr="00C34812" w:rsidRDefault="00C34812" w:rsidP="00C34812">
      <w:pPr>
        <w:pStyle w:val="Default"/>
        <w:ind w:left="1080" w:hanging="360"/>
      </w:pPr>
      <w:r w:rsidRPr="00C34812">
        <w:t xml:space="preserve">b. </w:t>
      </w:r>
      <w:r>
        <w:t xml:space="preserve">  </w:t>
      </w:r>
      <w:r w:rsidRPr="00C34812">
        <w:t xml:space="preserve">For the calculation of non-Washington eligible RECs, please explain the rationale for grouping (or not grouping) non-Washington eligible small hydro RECs with other non-Washington eligible RECs. </w:t>
      </w:r>
    </w:p>
    <w:p w:rsidR="00C34812" w:rsidRDefault="00C34812" w:rsidP="00C34812">
      <w:pPr>
        <w:rPr>
          <w:b/>
          <w:color w:val="000000"/>
        </w:rPr>
      </w:pPr>
    </w:p>
    <w:p w:rsidR="00C34812" w:rsidRDefault="00C34812" w:rsidP="00C34812">
      <w:pPr>
        <w:rPr>
          <w:b/>
          <w:color w:val="000000"/>
        </w:rPr>
      </w:pPr>
      <w:r>
        <w:rPr>
          <w:b/>
          <w:color w:val="000000"/>
        </w:rPr>
        <w:t>Response to Bench Request Data Request 4</w:t>
      </w:r>
    </w:p>
    <w:p w:rsidR="00D43026" w:rsidRDefault="00D43026"/>
    <w:p w:rsidR="00FE36A9" w:rsidRDefault="00FE36A9" w:rsidP="00FE36A9">
      <w:pPr>
        <w:pStyle w:val="ListParagraph"/>
        <w:numPr>
          <w:ilvl w:val="0"/>
          <w:numId w:val="1"/>
        </w:numPr>
      </w:pPr>
      <w:r>
        <w:t>Please refer to Confidential Attachment Bench Request 4 for the workpapers used to derive the correction values shown at Exhibit No.__</w:t>
      </w:r>
      <w:proofErr w:type="gramStart"/>
      <w:r>
        <w:t>_(</w:t>
      </w:r>
      <w:proofErr w:type="gramEnd"/>
      <w:r>
        <w:t>RBD-29C) at 7.</w:t>
      </w:r>
    </w:p>
    <w:p w:rsidR="00FE36A9" w:rsidRDefault="00FE36A9" w:rsidP="00FE36A9">
      <w:pPr>
        <w:pStyle w:val="ListParagraph"/>
        <w:ind w:left="1080"/>
      </w:pPr>
    </w:p>
    <w:p w:rsidR="001D598B" w:rsidRDefault="000D2477" w:rsidP="00FE36A9">
      <w:pPr>
        <w:pStyle w:val="ListParagraph"/>
        <w:numPr>
          <w:ilvl w:val="0"/>
          <w:numId w:val="1"/>
        </w:numPr>
      </w:pPr>
      <w:r>
        <w:t>As shown on page 1, line 7 of Exhibit No.__</w:t>
      </w:r>
      <w:proofErr w:type="gramStart"/>
      <w:r>
        <w:t>_(</w:t>
      </w:r>
      <w:proofErr w:type="gramEnd"/>
      <w:r>
        <w:t>RBD-2</w:t>
      </w:r>
      <w:r w:rsidR="00A77C93">
        <w:t>9</w:t>
      </w:r>
      <w:r>
        <w:t>C), t</w:t>
      </w:r>
      <w:r w:rsidR="00041AC1">
        <w:t>he Company’s calculation of Washington’s allocated share of Washington non-eligible REC revenues includes all RECs generated from Washington non-eligible renewable resources in the west control area.</w:t>
      </w:r>
      <w:r w:rsidR="001D598B">
        <w:t xml:space="preserve">  Excluding certain non-eligible resources would not provide a full perspective of all REC transactions (generated, held/ banked, or sold) during the respective period</w:t>
      </w:r>
      <w:r>
        <w:t>s</w:t>
      </w:r>
      <w:r w:rsidR="001D598B">
        <w:t>.</w:t>
      </w:r>
    </w:p>
    <w:p w:rsidR="001D598B" w:rsidRDefault="001D598B" w:rsidP="001D598B">
      <w:pPr>
        <w:pStyle w:val="ListParagraph"/>
      </w:pPr>
    </w:p>
    <w:p w:rsidR="00FE36A9" w:rsidRDefault="001D598B" w:rsidP="001D598B">
      <w:pPr>
        <w:pStyle w:val="ListParagraph"/>
        <w:ind w:left="1080"/>
      </w:pPr>
      <w:r>
        <w:t xml:space="preserve">Staff’s non-eligible calculation includes only RECs from </w:t>
      </w:r>
      <w:r w:rsidR="000D2477">
        <w:t xml:space="preserve">Washington non-eligible </w:t>
      </w:r>
      <w:r>
        <w:t>resources that were sold during 2009 or 2010.</w:t>
      </w:r>
      <w:r w:rsidR="00C42812">
        <w:t xml:space="preserve">  Staff’s approach incorrectly assumes that there will never be a market in which to sell the RECs from the other resources.</w:t>
      </w:r>
      <w:r>
        <w:t xml:space="preserve">  Using Staff’s approach, the resources used in the </w:t>
      </w:r>
      <w:r w:rsidR="000D2477">
        <w:t>calculation</w:t>
      </w:r>
      <w:r>
        <w:t xml:space="preserve"> could change each year depending on which RECs were </w:t>
      </w:r>
      <w:r w:rsidR="000D2477">
        <w:t>sold by the Company.  This woul</w:t>
      </w:r>
      <w:r>
        <w:t xml:space="preserve">d potentially mean that some resources would be included in </w:t>
      </w:r>
      <w:r w:rsidR="000D2477">
        <w:t xml:space="preserve">the non-eligible calculation in </w:t>
      </w:r>
      <w:r>
        <w:t>some years and excluded in others.</w:t>
      </w:r>
      <w:r w:rsidR="0067564C">
        <w:t xml:space="preserve"> </w:t>
      </w:r>
      <w:r>
        <w:t xml:space="preserve"> The Company’s approach avoids this problem by including all </w:t>
      </w:r>
      <w:r w:rsidR="000D2477">
        <w:t xml:space="preserve">Washington non-eligible </w:t>
      </w:r>
      <w:r>
        <w:t>RECs</w:t>
      </w:r>
      <w:r w:rsidR="000D2477">
        <w:t xml:space="preserve"> in the west control area</w:t>
      </w:r>
      <w:r>
        <w:t xml:space="preserve"> in the calculation for each year.</w:t>
      </w:r>
      <w:r w:rsidR="00041AC1">
        <w:t xml:space="preserve">  </w:t>
      </w:r>
    </w:p>
    <w:p w:rsidR="001D598B" w:rsidRDefault="001D598B" w:rsidP="001D598B">
      <w:pPr>
        <w:pStyle w:val="ListParagraph"/>
      </w:pPr>
    </w:p>
    <w:p w:rsidR="0067564C" w:rsidRPr="001C7776" w:rsidRDefault="0067564C" w:rsidP="0067564C">
      <w:pPr>
        <w:ind w:left="720"/>
      </w:pPr>
      <w:r w:rsidRPr="001C7776">
        <w:t>Confidential information is provided subject to the terms and conditions of the protective order in this proceeding.</w:t>
      </w:r>
    </w:p>
    <w:p w:rsidR="0067564C" w:rsidRDefault="0067564C" w:rsidP="0067564C">
      <w:pPr>
        <w:pStyle w:val="ListParagraph"/>
      </w:pPr>
      <w:r w:rsidRPr="00DE0D97">
        <w:t xml:space="preserve"> </w:t>
      </w:r>
      <w:r>
        <w:t xml:space="preserve"> </w:t>
      </w:r>
    </w:p>
    <w:p w:rsidR="00C34812" w:rsidRDefault="00C34812" w:rsidP="00C34812"/>
    <w:p w:rsidR="00C34812" w:rsidRDefault="00C34812" w:rsidP="0067564C">
      <w:pPr>
        <w:ind w:firstLine="720"/>
      </w:pPr>
      <w:r>
        <w:t xml:space="preserve">PREPARER:  </w:t>
      </w:r>
      <w:r>
        <w:tab/>
      </w:r>
      <w:r w:rsidR="00FE36A9">
        <w:t>R. Bryce Dalley / Stacey J. Kusters</w:t>
      </w:r>
    </w:p>
    <w:p w:rsidR="00C34812" w:rsidRDefault="00C34812" w:rsidP="00C34812">
      <w:pPr>
        <w:ind w:left="720" w:hanging="720"/>
      </w:pPr>
    </w:p>
    <w:p w:rsidR="00C34812" w:rsidRDefault="00C34812" w:rsidP="0067564C">
      <w:pPr>
        <w:ind w:firstLine="720"/>
      </w:pPr>
      <w:r>
        <w:t xml:space="preserve">SPONSOR:  </w:t>
      </w:r>
      <w:r w:rsidR="0067564C">
        <w:tab/>
      </w:r>
      <w:r w:rsidR="00FE36A9">
        <w:t>R. Bryce Dalley / Stacey J. Kusters</w:t>
      </w:r>
    </w:p>
    <w:sectPr w:rsidR="00C34812" w:rsidSect="00D430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98B" w:rsidRDefault="001D598B" w:rsidP="00C34812">
      <w:r>
        <w:separator/>
      </w:r>
    </w:p>
  </w:endnote>
  <w:endnote w:type="continuationSeparator" w:id="0">
    <w:p w:rsidR="001D598B" w:rsidRDefault="001D598B" w:rsidP="00C34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1D" w:rsidRDefault="00540A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1D" w:rsidRDefault="00540A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1D" w:rsidRDefault="00540A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98B" w:rsidRDefault="001D598B" w:rsidP="00C34812">
      <w:r>
        <w:separator/>
      </w:r>
    </w:p>
  </w:footnote>
  <w:footnote w:type="continuationSeparator" w:id="0">
    <w:p w:rsidR="001D598B" w:rsidRDefault="001D598B" w:rsidP="00C34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1D" w:rsidRDefault="00540A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B" w:rsidRPr="00C34812" w:rsidRDefault="001D598B" w:rsidP="00C34812">
    <w:pPr>
      <w:pStyle w:val="Header"/>
      <w:rPr>
        <w:rFonts w:ascii="Times New Roman" w:hAnsi="Times New Roman" w:cs="Times New Roman"/>
        <w:color w:val="000000"/>
        <w:sz w:val="24"/>
        <w:szCs w:val="24"/>
      </w:rPr>
    </w:pPr>
    <w:r w:rsidRPr="00C34812">
      <w:rPr>
        <w:rFonts w:ascii="Times New Roman" w:hAnsi="Times New Roman" w:cs="Times New Roman"/>
        <w:color w:val="000000"/>
        <w:sz w:val="24"/>
        <w:szCs w:val="24"/>
      </w:rPr>
      <w:t>UE-100749/PacifiCorp</w:t>
    </w:r>
  </w:p>
  <w:p w:rsidR="001D598B" w:rsidRPr="00C34812" w:rsidRDefault="001D598B" w:rsidP="00C34812">
    <w:pPr>
      <w:pStyle w:val="Head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>November</w:t>
    </w:r>
    <w:r w:rsidR="00540A1D">
      <w:rPr>
        <w:rFonts w:ascii="Times New Roman" w:hAnsi="Times New Roman" w:cs="Times New Roman"/>
        <w:color w:val="000000"/>
        <w:sz w:val="24"/>
        <w:szCs w:val="24"/>
      </w:rPr>
      <w:t xml:space="preserve"> </w:t>
    </w:r>
    <w:r w:rsidR="00540A1D">
      <w:rPr>
        <w:rFonts w:ascii="Times New Roman" w:hAnsi="Times New Roman" w:cs="Times New Roman"/>
        <w:color w:val="000000"/>
        <w:sz w:val="24"/>
        <w:szCs w:val="24"/>
      </w:rPr>
      <w:t>11</w:t>
    </w:r>
    <w:r>
      <w:rPr>
        <w:rFonts w:ascii="Times New Roman" w:hAnsi="Times New Roman" w:cs="Times New Roman"/>
        <w:color w:val="000000"/>
        <w:sz w:val="24"/>
        <w:szCs w:val="24"/>
      </w:rPr>
      <w:t>, 2011</w:t>
    </w:r>
  </w:p>
  <w:p w:rsidR="001D598B" w:rsidRPr="00C34812" w:rsidRDefault="001D598B" w:rsidP="00C34812">
    <w:pPr>
      <w:pStyle w:val="Header"/>
      <w:rPr>
        <w:rFonts w:ascii="Times New Roman" w:hAnsi="Times New Roman" w:cs="Times New Roman"/>
        <w:sz w:val="24"/>
        <w:szCs w:val="24"/>
      </w:rPr>
    </w:pPr>
    <w:r w:rsidRPr="00C34812">
      <w:rPr>
        <w:rFonts w:ascii="Times New Roman" w:hAnsi="Times New Roman" w:cs="Times New Roman"/>
        <w:color w:val="000000"/>
        <w:sz w:val="24"/>
        <w:szCs w:val="24"/>
      </w:rPr>
      <w:t>Bench Request Data Re</w:t>
    </w:r>
    <w:r>
      <w:rPr>
        <w:rFonts w:ascii="Times New Roman" w:hAnsi="Times New Roman" w:cs="Times New Roman"/>
        <w:color w:val="000000"/>
        <w:sz w:val="24"/>
        <w:szCs w:val="24"/>
      </w:rPr>
      <w:t>quest 4</w:t>
    </w:r>
  </w:p>
  <w:p w:rsidR="001D598B" w:rsidRDefault="001D59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1D" w:rsidRDefault="00540A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14FD"/>
    <w:multiLevelType w:val="hybridMultilevel"/>
    <w:tmpl w:val="774C2DAC"/>
    <w:lvl w:ilvl="0" w:tplc="5EC645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tyuvbY3/qAkIMrZOrCl54n8RHQ=" w:salt="h6d8aAuOwit5NSZjZ4E+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812"/>
    <w:rsid w:val="00041AC1"/>
    <w:rsid w:val="00065ABC"/>
    <w:rsid w:val="000D2477"/>
    <w:rsid w:val="001D598B"/>
    <w:rsid w:val="00262D34"/>
    <w:rsid w:val="002D4A8D"/>
    <w:rsid w:val="002F3943"/>
    <w:rsid w:val="00433380"/>
    <w:rsid w:val="00540A1D"/>
    <w:rsid w:val="005D3B32"/>
    <w:rsid w:val="0067564C"/>
    <w:rsid w:val="00A77C93"/>
    <w:rsid w:val="00B8528B"/>
    <w:rsid w:val="00C34812"/>
    <w:rsid w:val="00C42812"/>
    <w:rsid w:val="00D43026"/>
    <w:rsid w:val="00E55D79"/>
    <w:rsid w:val="00F6098C"/>
    <w:rsid w:val="00F849EE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48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34812"/>
  </w:style>
  <w:style w:type="paragraph" w:styleId="Footer">
    <w:name w:val="footer"/>
    <w:basedOn w:val="Normal"/>
    <w:link w:val="FooterChar"/>
    <w:uiPriority w:val="99"/>
    <w:semiHidden/>
    <w:unhideWhenUsed/>
    <w:rsid w:val="00C348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34812"/>
  </w:style>
  <w:style w:type="paragraph" w:customStyle="1" w:styleId="Default">
    <w:name w:val="Default"/>
    <w:rsid w:val="00C34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3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C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6AB1D94-5FBD-4C5D-87F1-9F118A7A4B5C}"/>
</file>

<file path=customXml/itemProps2.xml><?xml version="1.0" encoding="utf-8"?>
<ds:datastoreItem xmlns:ds="http://schemas.openxmlformats.org/officeDocument/2006/customXml" ds:itemID="{BC2412B6-7F0F-413F-B3B1-F03E3772015B}"/>
</file>

<file path=customXml/itemProps3.xml><?xml version="1.0" encoding="utf-8"?>
<ds:datastoreItem xmlns:ds="http://schemas.openxmlformats.org/officeDocument/2006/customXml" ds:itemID="{75F2E0F9-4530-4DF3-81B0-92484A3379B8}"/>
</file>

<file path=customXml/itemProps4.xml><?xml version="1.0" encoding="utf-8"?>
<ds:datastoreItem xmlns:ds="http://schemas.openxmlformats.org/officeDocument/2006/customXml" ds:itemID="{9293E16B-14FB-46BC-9F6F-5519BE93C6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319</Words>
  <Characters>1821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p31208</dc:creator>
  <cp:keywords/>
  <dc:description/>
  <cp:lastModifiedBy>p21092</cp:lastModifiedBy>
  <cp:revision>9</cp:revision>
  <cp:lastPrinted>2011-11-11T23:16:00Z</cp:lastPrinted>
  <dcterms:created xsi:type="dcterms:W3CDTF">2011-11-04T15:18:00Z</dcterms:created>
  <dcterms:modified xsi:type="dcterms:W3CDTF">2011-11-11T23:16:00Z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