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69" w:rsidRPr="00DF2459" w:rsidRDefault="00491CCE" w:rsidP="00302D69">
      <w:pPr>
        <w:jc w:val="center"/>
        <w:rPr>
          <w:szCs w:val="24"/>
        </w:rPr>
      </w:pPr>
      <w:r>
        <w:rPr>
          <w:szCs w:val="24"/>
        </w:rPr>
        <w:fldChar w:fldCharType="begin"/>
      </w:r>
      <w:r w:rsidR="00DE7948">
        <w:rPr>
          <w:szCs w:val="24"/>
        </w:rPr>
        <w:instrText xml:space="preserve"> DATE \@ "MMMM d, yyyy" </w:instrText>
      </w:r>
      <w:r>
        <w:rPr>
          <w:szCs w:val="24"/>
        </w:rPr>
        <w:fldChar w:fldCharType="separate"/>
      </w:r>
      <w:r w:rsidR="0093428B">
        <w:rPr>
          <w:noProof/>
          <w:szCs w:val="24"/>
        </w:rPr>
        <w:t>February 2, 2012</w:t>
      </w:r>
      <w:r>
        <w:rPr>
          <w:szCs w:val="24"/>
        </w:rPr>
        <w:fldChar w:fldCharType="end"/>
      </w:r>
    </w:p>
    <w:p w:rsidR="007439CC" w:rsidRDefault="007439CC" w:rsidP="00302D69">
      <w:pPr>
        <w:rPr>
          <w:szCs w:val="24"/>
        </w:rPr>
      </w:pPr>
    </w:p>
    <w:p w:rsidR="00513284" w:rsidRDefault="00513284" w:rsidP="00302D69">
      <w:pPr>
        <w:rPr>
          <w:szCs w:val="24"/>
        </w:rPr>
      </w:pPr>
    </w:p>
    <w:p w:rsidR="007439CC" w:rsidRPr="00DF2459" w:rsidRDefault="007439CC" w:rsidP="00302D69">
      <w:pPr>
        <w:rPr>
          <w:szCs w:val="24"/>
        </w:rPr>
      </w:pPr>
    </w:p>
    <w:p w:rsidR="008A457E" w:rsidRPr="00DF2459" w:rsidRDefault="00C005C7" w:rsidP="00302D69">
      <w:pPr>
        <w:rPr>
          <w:b/>
          <w:i/>
          <w:smallCaps/>
          <w:szCs w:val="24"/>
        </w:rPr>
      </w:pPr>
      <w:r w:rsidRPr="00DF2459">
        <w:rPr>
          <w:b/>
          <w:i/>
          <w:smallCaps/>
          <w:szCs w:val="24"/>
        </w:rPr>
        <w:t xml:space="preserve">By </w:t>
      </w:r>
      <w:r w:rsidR="00BB7BBB">
        <w:rPr>
          <w:b/>
          <w:i/>
          <w:smallCaps/>
          <w:szCs w:val="24"/>
        </w:rPr>
        <w:t>Hand</w:t>
      </w:r>
      <w:r w:rsidRPr="00DF2459">
        <w:rPr>
          <w:b/>
          <w:i/>
          <w:smallCaps/>
          <w:szCs w:val="24"/>
        </w:rPr>
        <w:t xml:space="preserve"> &amp; </w:t>
      </w:r>
      <w:r w:rsidR="00BB7BBB">
        <w:rPr>
          <w:b/>
          <w:i/>
          <w:smallCaps/>
          <w:szCs w:val="24"/>
        </w:rPr>
        <w:t>Email</w:t>
      </w:r>
    </w:p>
    <w:p w:rsidR="00C005C7" w:rsidRPr="00DF2459" w:rsidRDefault="00491CCE" w:rsidP="00C005C7">
      <w:pPr>
        <w:rPr>
          <w:i/>
          <w:sz w:val="20"/>
        </w:rPr>
      </w:pPr>
      <w:hyperlink r:id="rId7" w:history="1">
        <w:r w:rsidR="00C005C7" w:rsidRPr="00DF2459">
          <w:rPr>
            <w:rStyle w:val="Hyperlink"/>
            <w:i/>
            <w:sz w:val="20"/>
          </w:rPr>
          <w:t>records@utc.wa.gov</w:t>
        </w:r>
      </w:hyperlink>
      <w:r w:rsidR="00DF2459">
        <w:rPr>
          <w:i/>
          <w:sz w:val="20"/>
        </w:rPr>
        <w:t xml:space="preserve"> •</w:t>
      </w:r>
      <w:r w:rsidR="00DF2459" w:rsidRPr="00DF2459">
        <w:rPr>
          <w:i/>
          <w:sz w:val="20"/>
        </w:rPr>
        <w:t xml:space="preserve"> </w:t>
      </w:r>
      <w:r w:rsidR="00C005C7" w:rsidRPr="00DF2459">
        <w:rPr>
          <w:i/>
          <w:sz w:val="20"/>
        </w:rPr>
        <w:t>Tel. (360) 664-1</w:t>
      </w:r>
      <w:r w:rsidR="00DA578F">
        <w:rPr>
          <w:i/>
          <w:sz w:val="20"/>
        </w:rPr>
        <w:t>234</w:t>
      </w:r>
    </w:p>
    <w:p w:rsidR="00C005C7" w:rsidRPr="00DF2459" w:rsidRDefault="00C005C7" w:rsidP="00C005C7">
      <w:pPr>
        <w:rPr>
          <w:szCs w:val="24"/>
        </w:rPr>
      </w:pPr>
    </w:p>
    <w:p w:rsidR="00C005C7" w:rsidRPr="00DF2459" w:rsidRDefault="00C005C7" w:rsidP="00C005C7">
      <w:pPr>
        <w:pStyle w:val="Header"/>
        <w:tabs>
          <w:tab w:val="clear" w:pos="4320"/>
          <w:tab w:val="clear" w:pos="8640"/>
        </w:tabs>
        <w:rPr>
          <w:szCs w:val="24"/>
        </w:rPr>
      </w:pPr>
      <w:r w:rsidRPr="00DF2459">
        <w:rPr>
          <w:szCs w:val="24"/>
        </w:rPr>
        <w:t>David Danner</w:t>
      </w:r>
    </w:p>
    <w:p w:rsidR="00C005C7" w:rsidRPr="00DF2459" w:rsidRDefault="00C005C7" w:rsidP="00C005C7">
      <w:pPr>
        <w:pStyle w:val="Header"/>
        <w:tabs>
          <w:tab w:val="clear" w:pos="4320"/>
          <w:tab w:val="clear" w:pos="8640"/>
        </w:tabs>
        <w:rPr>
          <w:szCs w:val="24"/>
        </w:rPr>
      </w:pPr>
      <w:r w:rsidRPr="00DF2459">
        <w:rPr>
          <w:szCs w:val="24"/>
        </w:rPr>
        <w:t>Secretary and Executive Director</w:t>
      </w:r>
    </w:p>
    <w:p w:rsidR="00C005C7" w:rsidRPr="00DF2459" w:rsidRDefault="00C005C7" w:rsidP="00C005C7">
      <w:pPr>
        <w:widowControl w:val="0"/>
        <w:rPr>
          <w:smallCaps/>
          <w:color w:val="000000"/>
          <w:szCs w:val="24"/>
        </w:rPr>
      </w:pPr>
      <w:smartTag w:uri="urn:schemas-microsoft-com:office:smarttags" w:element="State">
        <w:smartTag w:uri="urn:schemas-microsoft-com:office:smarttags" w:element="place">
          <w:r w:rsidRPr="00DF2459">
            <w:rPr>
              <w:smallCaps/>
              <w:color w:val="000000"/>
              <w:szCs w:val="24"/>
            </w:rPr>
            <w:t>Washington</w:t>
          </w:r>
        </w:smartTag>
      </w:smartTag>
      <w:r w:rsidRPr="00DF2459">
        <w:rPr>
          <w:smallCaps/>
          <w:color w:val="000000"/>
          <w:szCs w:val="24"/>
        </w:rPr>
        <w:t xml:space="preserve"> State Utilities </w:t>
      </w:r>
      <w:smartTag w:uri="urn:schemas-microsoft-com:office:smarttags" w:element="stockticker">
        <w:r w:rsidRPr="00DF2459">
          <w:rPr>
            <w:smallCaps/>
            <w:color w:val="000000"/>
            <w:szCs w:val="24"/>
          </w:rPr>
          <w:t>and</w:t>
        </w:r>
        <w:r w:rsidR="00F8467C">
          <w:rPr>
            <w:smallCaps/>
            <w:color w:val="000000"/>
            <w:szCs w:val="24"/>
          </w:rPr>
          <w:t xml:space="preserve"> </w:t>
        </w:r>
      </w:smartTag>
      <w:r w:rsidRPr="00DF2459">
        <w:rPr>
          <w:smallCaps/>
          <w:color w:val="000000"/>
          <w:szCs w:val="24"/>
        </w:rPr>
        <w:t>Transportation Commission</w:t>
      </w:r>
    </w:p>
    <w:p w:rsidR="00C005C7" w:rsidRPr="00DF2459" w:rsidRDefault="00C005C7" w:rsidP="00C005C7">
      <w:pPr>
        <w:widowControl w:val="0"/>
        <w:rPr>
          <w:color w:val="000000"/>
          <w:szCs w:val="24"/>
        </w:rPr>
      </w:pPr>
      <w:r w:rsidRPr="00DF2459">
        <w:rPr>
          <w:color w:val="000000"/>
          <w:szCs w:val="24"/>
        </w:rPr>
        <w:t>1300 S. Evergreen Park Drive S.W.</w:t>
      </w:r>
      <w:r w:rsidR="00F8467C">
        <w:rPr>
          <w:color w:val="000000"/>
          <w:szCs w:val="24"/>
        </w:rPr>
        <w:t xml:space="preserve">, </w:t>
      </w:r>
      <w:r w:rsidRPr="00DF2459">
        <w:rPr>
          <w:color w:val="000000"/>
          <w:szCs w:val="24"/>
        </w:rPr>
        <w:t>P.O. Box 47250</w:t>
      </w:r>
    </w:p>
    <w:p w:rsidR="00C005C7" w:rsidRPr="00DF2459" w:rsidRDefault="00C005C7" w:rsidP="00C005C7">
      <w:pPr>
        <w:widowControl w:val="0"/>
        <w:rPr>
          <w:color w:val="000000"/>
          <w:szCs w:val="24"/>
        </w:rPr>
      </w:pPr>
      <w:smartTag w:uri="urn:schemas-microsoft-com:office:smarttags" w:element="place">
        <w:smartTag w:uri="urn:schemas-microsoft-com:office:smarttags" w:element="City">
          <w:r w:rsidRPr="00DF2459">
            <w:rPr>
              <w:color w:val="000000"/>
              <w:szCs w:val="24"/>
            </w:rPr>
            <w:t>Olympia</w:t>
          </w:r>
        </w:smartTag>
        <w:r w:rsidRPr="00DF2459">
          <w:rPr>
            <w:color w:val="000000"/>
            <w:szCs w:val="24"/>
          </w:rPr>
          <w:t xml:space="preserve">, </w:t>
        </w:r>
        <w:smartTag w:uri="urn:schemas-microsoft-com:office:smarttags" w:element="State">
          <w:r w:rsidRPr="00DF2459">
            <w:rPr>
              <w:color w:val="000000"/>
              <w:szCs w:val="24"/>
            </w:rPr>
            <w:t>WA</w:t>
          </w:r>
        </w:smartTag>
        <w:r w:rsidRPr="00DF2459">
          <w:rPr>
            <w:color w:val="000000"/>
            <w:szCs w:val="24"/>
          </w:rPr>
          <w:t xml:space="preserve"> </w:t>
        </w:r>
        <w:smartTag w:uri="urn:schemas-microsoft-com:office:smarttags" w:element="PostalCode">
          <w:r w:rsidRPr="00DF2459">
            <w:rPr>
              <w:color w:val="000000"/>
              <w:szCs w:val="24"/>
            </w:rPr>
            <w:t>98504-7250</w:t>
          </w:r>
        </w:smartTag>
      </w:smartTag>
    </w:p>
    <w:p w:rsidR="00C005C7" w:rsidRPr="00DF2459" w:rsidRDefault="00C005C7" w:rsidP="00C005C7">
      <w:pPr>
        <w:widowControl w:val="0"/>
        <w:rPr>
          <w:color w:val="000000"/>
          <w:szCs w:val="24"/>
        </w:rPr>
      </w:pPr>
    </w:p>
    <w:p w:rsidR="00C005C7" w:rsidRPr="00DF2459" w:rsidRDefault="00C005C7" w:rsidP="00C005C7">
      <w:pPr>
        <w:ind w:left="2160" w:hanging="720"/>
        <w:rPr>
          <w:b/>
          <w:i/>
          <w:color w:val="000000"/>
          <w:szCs w:val="24"/>
        </w:rPr>
      </w:pPr>
      <w:r w:rsidRPr="00DF2459">
        <w:rPr>
          <w:b/>
          <w:smallCaps/>
          <w:color w:val="000000"/>
          <w:szCs w:val="24"/>
        </w:rPr>
        <w:t>Re:</w:t>
      </w:r>
      <w:r w:rsidRPr="00DF2459">
        <w:rPr>
          <w:b/>
          <w:i/>
          <w:color w:val="000000"/>
          <w:szCs w:val="24"/>
        </w:rPr>
        <w:tab/>
      </w:r>
      <w:r w:rsidRPr="00DF2459">
        <w:rPr>
          <w:b/>
          <w:szCs w:val="24"/>
        </w:rPr>
        <w:t>WUTC Docket No. UT-042022</w:t>
      </w:r>
      <w:r w:rsidRPr="00DF2459">
        <w:rPr>
          <w:b/>
          <w:szCs w:val="24"/>
        </w:rPr>
        <w:br/>
      </w:r>
      <w:r w:rsidRPr="00DF2459">
        <w:rPr>
          <w:b/>
          <w:i/>
          <w:color w:val="000000"/>
          <w:szCs w:val="24"/>
        </w:rPr>
        <w:t>Judd, et al., v. AT&amp;T, et al.</w:t>
      </w:r>
    </w:p>
    <w:p w:rsidR="00302D69" w:rsidRPr="00DF2459" w:rsidRDefault="0022002B" w:rsidP="00C005C7">
      <w:pPr>
        <w:spacing w:before="240"/>
        <w:rPr>
          <w:color w:val="000000"/>
          <w:szCs w:val="24"/>
        </w:rPr>
      </w:pPr>
      <w:r w:rsidRPr="00DF2459">
        <w:rPr>
          <w:color w:val="000000"/>
          <w:szCs w:val="24"/>
        </w:rPr>
        <w:t xml:space="preserve">Dear </w:t>
      </w:r>
      <w:r w:rsidR="00C005C7" w:rsidRPr="00DF2459">
        <w:rPr>
          <w:color w:val="000000"/>
          <w:szCs w:val="24"/>
        </w:rPr>
        <w:t>Mr. Danner</w:t>
      </w:r>
      <w:r w:rsidRPr="00DF2459">
        <w:rPr>
          <w:color w:val="000000"/>
          <w:szCs w:val="24"/>
        </w:rPr>
        <w:t>:</w:t>
      </w:r>
    </w:p>
    <w:p w:rsidR="00BB7BBB" w:rsidRDefault="00BF5620" w:rsidP="00BB7BBB">
      <w:pPr>
        <w:pStyle w:val="TEXT"/>
        <w:spacing w:line="240" w:lineRule="auto"/>
      </w:pPr>
      <w:r>
        <w:t>We</w:t>
      </w:r>
      <w:r w:rsidR="00BB7BBB">
        <w:t xml:space="preserve"> write to request a prehearing conference </w:t>
      </w:r>
      <w:r>
        <w:t>to address a remand of a portion of the Final Order</w:t>
      </w:r>
      <w:r w:rsidR="00BB7BBB">
        <w:t xml:space="preserve"> </w:t>
      </w:r>
      <w:r>
        <w:t>in this matter to the Commission by the Thurston County Superior Court. We represent the complainants in these proceedings.</w:t>
      </w:r>
    </w:p>
    <w:p w:rsidR="00BB7BBB" w:rsidRPr="006837FD" w:rsidRDefault="00BB7BBB" w:rsidP="00596560">
      <w:pPr>
        <w:pStyle w:val="Heading2"/>
      </w:pPr>
      <w:r>
        <w:t>OVERVIEW AND PROCEDURAL HISTORY</w:t>
      </w:r>
    </w:p>
    <w:p w:rsidR="00BF5620" w:rsidRPr="00BF5620" w:rsidRDefault="00BF5620" w:rsidP="00BF5620">
      <w:pPr>
        <w:pStyle w:val="TEXT"/>
        <w:spacing w:line="240" w:lineRule="auto"/>
      </w:pPr>
      <w:r w:rsidRPr="00BF5620">
        <w:t>In 1988, in response to the telecommunication industries’ practice of failing to disclose toll rates, the legislature mandated transparency.  It directed the WUTC to promulgate rules to ensure full disclosure of rates.  RCW 80.36.510-.520.</w:t>
      </w:r>
    </w:p>
    <w:p w:rsidR="00BF5620" w:rsidRPr="00BF5620" w:rsidRDefault="00BF5620" w:rsidP="00B874C7">
      <w:pPr>
        <w:pStyle w:val="TEXT"/>
        <w:spacing w:line="240" w:lineRule="auto"/>
      </w:pPr>
      <w:r w:rsidRPr="00BF5620">
        <w:t>The WUTC issued detailed regulations in 1991.  Under those regulations, “alternate operator services” companies were required to disclose rates for a particular call “immediately, upon request, and at no charge to the consumer.”  WAC 480-120-141(5)(a)(iv) (1991).  The operator was required to provide “</w:t>
      </w:r>
      <w:r w:rsidR="00B874C7">
        <w:t>(a) A</w:t>
      </w:r>
      <w:r w:rsidRPr="00BF5620">
        <w:t xml:space="preserve"> quote of the rates or charges for the call, including any surcharge</w:t>
      </w:r>
      <w:r w:rsidR="00B874C7">
        <w:t xml:space="preserve">; (b) </w:t>
      </w:r>
      <w:r w:rsidR="00B874C7" w:rsidRPr="00B874C7">
        <w:t xml:space="preserve">The method by which the rates or charges will be collected; and </w:t>
      </w:r>
      <w:r w:rsidR="00B874C7">
        <w:t xml:space="preserve">(c) </w:t>
      </w:r>
      <w:r w:rsidR="00B874C7" w:rsidRPr="00B874C7">
        <w:t>The methods by which complaints about the rates, charges, or collection practices will be resolved</w:t>
      </w:r>
      <w:r w:rsidRPr="00BF5620">
        <w:t xml:space="preserve">.”  </w:t>
      </w:r>
      <w:r w:rsidRPr="00BF5620">
        <w:rPr>
          <w:i/>
        </w:rPr>
        <w:t>Id</w:t>
      </w:r>
      <w:r w:rsidRPr="00BF5620">
        <w:t>.  In 1999, the WUTC amended the regulation to require automatic verbal rate disclosures triggered by a call recipient pressing the keys on the telephone keypad.  WAC 480-120-141(2)(b) (1999).</w:t>
      </w:r>
    </w:p>
    <w:p w:rsidR="00BF5620" w:rsidRPr="00BF5620" w:rsidRDefault="00BF5620" w:rsidP="00BF5620">
      <w:pPr>
        <w:pStyle w:val="TEXT"/>
        <w:spacing w:line="240" w:lineRule="auto"/>
      </w:pPr>
      <w:r w:rsidRPr="00BF5620">
        <w:t>The legislature made noncompliance with the WUTC regulations a violation of the Washington Consumer Protection Act.  RCW 80.36.530.</w:t>
      </w:r>
    </w:p>
    <w:p w:rsidR="00BB7BBB" w:rsidRPr="00BB7BBB" w:rsidRDefault="00BB7BBB" w:rsidP="00BB7BBB">
      <w:pPr>
        <w:pStyle w:val="TEXT"/>
        <w:spacing w:line="240" w:lineRule="auto"/>
      </w:pPr>
      <w:r w:rsidRPr="00BB7BBB">
        <w:lastRenderedPageBreak/>
        <w:t xml:space="preserve">Plaintiffs filed this </w:t>
      </w:r>
      <w:r w:rsidR="00737030">
        <w:t xml:space="preserve">King County </w:t>
      </w:r>
      <w:r w:rsidRPr="00BB7BBB">
        <w:t xml:space="preserve">lawsuit in the summer of 2000 as a putative class action, asserting that five companies had violated the Washington Consumer Protection Act by failing to </w:t>
      </w:r>
      <w:r w:rsidR="00B874C7">
        <w:t>comply with the WUTC regulations</w:t>
      </w:r>
      <w:r w:rsidRPr="00BB7BBB">
        <w:t xml:space="preserve"> on collect calls placed from Washington state prisons. All five companies filed motions to dismiss. Three of those companies (Qwest, Verizon, and CenturyTel) were dismissed by the trial court.  </w:t>
      </w:r>
    </w:p>
    <w:p w:rsidR="00BB7BBB" w:rsidRPr="00BB7BBB" w:rsidRDefault="00BB7BBB" w:rsidP="00BF5620">
      <w:pPr>
        <w:pStyle w:val="TEXT"/>
        <w:spacing w:line="240" w:lineRule="auto"/>
      </w:pPr>
      <w:r w:rsidRPr="00BB7BBB">
        <w:t>The two remaining defendants—T-Netix and AT&amp;T—also moved to dismiss, but the trial court did not grant their motions.  AT&amp;T alternatively requested that the matter be referred to the Washington Utilities and Transportation Commission (“WUTC”) under the doctrine of primary jurisdiction.</w:t>
      </w:r>
      <w:r w:rsidRPr="00BB7BBB">
        <w:rPr>
          <w:vertAlign w:val="superscript"/>
        </w:rPr>
        <w:footnoteReference w:id="1"/>
      </w:r>
      <w:r w:rsidRPr="00BB7BBB">
        <w:t xml:space="preserve"> </w:t>
      </w:r>
    </w:p>
    <w:p w:rsidR="00BB7BBB" w:rsidRPr="00BB7BBB" w:rsidRDefault="00BB7BBB" w:rsidP="00BB7BBB">
      <w:pPr>
        <w:pStyle w:val="TEXT"/>
        <w:spacing w:line="240" w:lineRule="auto"/>
      </w:pPr>
      <w:r w:rsidRPr="00BB7BBB">
        <w:t xml:space="preserve"> The court agreed and referred two questions to the WUTC:  (1) whether T</w:t>
      </w:r>
      <w:r w:rsidRPr="00BB7BBB">
        <w:noBreakHyphen/>
        <w:t xml:space="preserve">Netix and AT&amp;T were operator service providers (OSPs) and (2) whether they had violated WUTC </w:t>
      </w:r>
      <w:r w:rsidR="00737030">
        <w:t xml:space="preserve">the </w:t>
      </w:r>
      <w:r w:rsidRPr="00BB7BBB">
        <w:t xml:space="preserve">regulations </w:t>
      </w:r>
      <w:r w:rsidR="00737030">
        <w:t>that require</w:t>
      </w:r>
      <w:r w:rsidRPr="00BB7BBB">
        <w:t xml:space="preserve"> OSPs to disclose rates to consumers.</w:t>
      </w:r>
      <w:r w:rsidRPr="00BB7BBB">
        <w:rPr>
          <w:vertAlign w:val="superscript"/>
        </w:rPr>
        <w:footnoteReference w:id="2"/>
      </w:r>
      <w:r w:rsidRPr="00BB7BBB">
        <w:t xml:space="preserve"> The court stayed all further activity in the case, including a pending motion for class certification, until the WUTC made its ruling.   </w:t>
      </w:r>
    </w:p>
    <w:p w:rsidR="00BB7BBB" w:rsidRPr="00BB7BBB" w:rsidRDefault="00BB7BBB" w:rsidP="00BB7BBB">
      <w:pPr>
        <w:pStyle w:val="TEXT"/>
        <w:spacing w:line="240" w:lineRule="auto"/>
      </w:pPr>
      <w:r w:rsidRPr="00BB7BBB">
        <w:t xml:space="preserve">Plaintiffs appealed and eventually argued their case in the Washington Supreme Court, which affirmed the dismissals, including a holding that liability for violating the statute depended on showing a violation of WUTC regulations.  </w:t>
      </w:r>
      <w:r w:rsidRPr="00BB7BBB">
        <w:rPr>
          <w:i/>
        </w:rPr>
        <w:t>Judd v. American Tel. &amp; Tel. Co</w:t>
      </w:r>
      <w:r w:rsidRPr="00BB7BBB">
        <w:t>., 152 Wn.2d 195, 95 P.3d 337 (2004). Thus, in November 2004, a complaint was filed with the WUTC to address the questions referred by the court.</w:t>
      </w:r>
    </w:p>
    <w:p w:rsidR="00BB7BBB" w:rsidRPr="00BB7BBB" w:rsidRDefault="00BB7BBB" w:rsidP="00BB7BBB">
      <w:pPr>
        <w:pStyle w:val="TEXT"/>
        <w:spacing w:line="240" w:lineRule="auto"/>
      </w:pPr>
      <w:r w:rsidRPr="00BB7BBB">
        <w:t>The parties hired experts and began discovery in the WUTC proceedings.  T-Netix then filed a motion for summary determination in the WUTC, arguing that plaintiffs lacked standing.  The administrative law judge denied the motion and denied AT&amp;T’s separate motion to be dismissed on standing grounds. The WUTC affirmed the administrative law judge’s decision on the ground that the WUTC lacked jurisdiction to determine whether plaintiffs had standing.</w:t>
      </w:r>
    </w:p>
    <w:p w:rsidR="00BB7BBB" w:rsidRPr="00BB7BBB" w:rsidRDefault="00BB7BBB" w:rsidP="00BB7BBB">
      <w:pPr>
        <w:pStyle w:val="TEXT"/>
        <w:spacing w:line="240" w:lineRule="auto"/>
      </w:pPr>
      <w:r w:rsidRPr="00BB7BBB">
        <w:lastRenderedPageBreak/>
        <w:t>T-Netix requested the court to lift the stay on trial court proceedings and filed a motion for summary judgment on the standing issue, repeating the same arguments it had made in the agency.  On September 6, 2005, the Superior Court granted T-Netix’s summary judgment motion and revoked its referral to the Commission.</w:t>
      </w:r>
      <w:r w:rsidRPr="00BB7BBB">
        <w:rPr>
          <w:vertAlign w:val="superscript"/>
        </w:rPr>
        <w:footnoteReference w:id="3"/>
      </w:r>
      <w:r w:rsidRPr="00BB7BBB">
        <w:t xml:space="preserve">  The Superior Court later clarified that the ruling also applied to AT&amp;T.</w:t>
      </w:r>
      <w:r w:rsidRPr="00BB7BBB">
        <w:rPr>
          <w:vertAlign w:val="superscript"/>
        </w:rPr>
        <w:footnoteReference w:id="4"/>
      </w:r>
      <w:r w:rsidRPr="00BB7BBB">
        <w:t xml:space="preserve"> </w:t>
      </w:r>
    </w:p>
    <w:p w:rsidR="00BB7BBB" w:rsidRPr="00BB7BBB" w:rsidRDefault="00BB7BBB" w:rsidP="00BB7BBB">
      <w:pPr>
        <w:pStyle w:val="TEXT"/>
        <w:spacing w:line="240" w:lineRule="auto"/>
      </w:pPr>
      <w:r w:rsidRPr="00BB7BBB">
        <w:t>On December 18, 2006, the Washington Court of Appeals reversed the lower court’s decision on T-Netix’s summary judgment motion and remanded the case back to the Superior Court</w:t>
      </w:r>
      <w:r w:rsidR="00B874C7">
        <w:t xml:space="preserve"> to refer the matter back to the WUTC</w:t>
      </w:r>
      <w:r w:rsidRPr="00BB7BBB">
        <w:t>.</w:t>
      </w:r>
      <w:r w:rsidRPr="00BB7BBB">
        <w:rPr>
          <w:vertAlign w:val="superscript"/>
        </w:rPr>
        <w:footnoteReference w:id="5"/>
      </w:r>
      <w:r w:rsidRPr="00BB7BBB">
        <w:t xml:space="preserve">  On December 4, 2007, the Supreme Court of Washington denied T-Netix’s petition for review.</w:t>
      </w:r>
      <w:r w:rsidRPr="00BB7BBB">
        <w:rPr>
          <w:vertAlign w:val="superscript"/>
        </w:rPr>
        <w:footnoteReference w:id="6"/>
      </w:r>
      <w:r w:rsidRPr="00BB7BBB">
        <w:t xml:space="preserve">  On March 21, 2008, the Superior Court issued an order reinstating the referral to the Commission.</w:t>
      </w:r>
    </w:p>
    <w:p w:rsidR="00BB7BBB" w:rsidRPr="00BB7BBB" w:rsidRDefault="00BB7BBB" w:rsidP="00BB7BBB">
      <w:pPr>
        <w:pStyle w:val="TEXT"/>
        <w:spacing w:line="240" w:lineRule="auto"/>
        <w:rPr>
          <w:bCs/>
        </w:rPr>
      </w:pPr>
      <w:r w:rsidRPr="00BB7BBB">
        <w:t>On April 21, 2010, following extensive proceedings in the Commission, the administrative law judge issued Order 23, an initial order concluding that AT&amp;T was an OSP during the relevant time period, T-Netix was not an OSP, and t</w:t>
      </w:r>
      <w:r w:rsidRPr="00BB7BBB">
        <w:rPr>
          <w:bCs/>
        </w:rPr>
        <w:t xml:space="preserve">he </w:t>
      </w:r>
      <w:r w:rsidRPr="00BB7BBB">
        <w:t>Commission</w:t>
      </w:r>
      <w:r w:rsidRPr="00BB7BBB">
        <w:rPr>
          <w:bCs/>
        </w:rPr>
        <w:t xml:space="preserve"> </w:t>
      </w:r>
      <w:r w:rsidRPr="00BB7BBB">
        <w:t>should</w:t>
      </w:r>
      <w:r w:rsidRPr="00BB7BBB">
        <w:rPr>
          <w:bCs/>
        </w:rPr>
        <w:t xml:space="preserve"> schedule a prehearing conference to address the procedural steps to address the issue of whether AT&amp;T violated Commission </w:t>
      </w:r>
      <w:r w:rsidR="007F3C70">
        <w:rPr>
          <w:bCs/>
        </w:rPr>
        <w:t>regulations</w:t>
      </w:r>
      <w:r w:rsidRPr="00BB7BBB">
        <w:rPr>
          <w:bCs/>
        </w:rPr>
        <w:t>.</w:t>
      </w:r>
    </w:p>
    <w:p w:rsidR="003C238E" w:rsidRDefault="00BB7BBB" w:rsidP="00BB7BBB">
      <w:pPr>
        <w:pStyle w:val="TEXT"/>
        <w:spacing w:line="240" w:lineRule="auto"/>
        <w:rPr>
          <w:bCs/>
        </w:rPr>
      </w:pPr>
      <w:r w:rsidRPr="00BB7BBB">
        <w:rPr>
          <w:bCs/>
        </w:rPr>
        <w:t xml:space="preserve">AT&amp;T filed a petition for review of Order 23 by the full Commission on May 11, 2010.  On May 21, 2010, T-Netix and the plaintiffs filed answers opposing AT&amp;T’s petition.  The Commission reopened the record to receive additional evidence. </w:t>
      </w:r>
    </w:p>
    <w:p w:rsidR="00BB7BBB" w:rsidRDefault="00BB7BBB" w:rsidP="00BB7BBB">
      <w:pPr>
        <w:pStyle w:val="TEXT"/>
        <w:spacing w:line="240" w:lineRule="auto"/>
        <w:rPr>
          <w:bCs/>
        </w:rPr>
      </w:pPr>
      <w:r w:rsidRPr="00BB7BBB">
        <w:rPr>
          <w:bCs/>
        </w:rPr>
        <w:t xml:space="preserve">On March 31, 2011, the Commission issued </w:t>
      </w:r>
      <w:r w:rsidR="003C238E">
        <w:rPr>
          <w:bCs/>
        </w:rPr>
        <w:t xml:space="preserve">Final </w:t>
      </w:r>
      <w:r w:rsidRPr="00BB7BBB">
        <w:rPr>
          <w:bCs/>
        </w:rPr>
        <w:t xml:space="preserve">Order 25, </w:t>
      </w:r>
      <w:r w:rsidR="003C238E">
        <w:rPr>
          <w:bCs/>
        </w:rPr>
        <w:t>which</w:t>
      </w:r>
      <w:r w:rsidRPr="00BB7BBB">
        <w:rPr>
          <w:bCs/>
        </w:rPr>
        <w:t xml:space="preserve"> addressed the</w:t>
      </w:r>
      <w:r w:rsidR="003C238E">
        <w:rPr>
          <w:bCs/>
        </w:rPr>
        <w:t xml:space="preserve"> two</w:t>
      </w:r>
      <w:r w:rsidRPr="00BB7BBB">
        <w:rPr>
          <w:bCs/>
        </w:rPr>
        <w:t xml:space="preserve"> questions referred from the </w:t>
      </w:r>
      <w:r w:rsidR="003C238E">
        <w:rPr>
          <w:bCs/>
        </w:rPr>
        <w:t xml:space="preserve">King County </w:t>
      </w:r>
      <w:r w:rsidRPr="00BB7BBB">
        <w:rPr>
          <w:bCs/>
        </w:rPr>
        <w:t xml:space="preserve">Superior Court. </w:t>
      </w:r>
      <w:r w:rsidR="003C238E">
        <w:t xml:space="preserve"> For the first question of whether </w:t>
      </w:r>
      <w:r w:rsidR="003C238E" w:rsidRPr="000C5793">
        <w:t xml:space="preserve">AT&amp;T </w:t>
      </w:r>
      <w:r w:rsidR="003C238E">
        <w:t>and</w:t>
      </w:r>
      <w:r w:rsidR="003C238E" w:rsidRPr="000C5793">
        <w:t xml:space="preserve"> T-Netix were</w:t>
      </w:r>
      <w:r w:rsidR="003C238E">
        <w:t xml:space="preserve"> Operator Service Providers for collect telephone calls from Washington Department of Corrections facilities, the Commission responded that AT&amp;T was an Operator Service Provider.  For the second question of </w:t>
      </w:r>
      <w:r w:rsidR="003C238E">
        <w:lastRenderedPageBreak/>
        <w:t xml:space="preserve">whether </w:t>
      </w:r>
      <w:r w:rsidR="003C238E" w:rsidRPr="000C5793">
        <w:t>WAC</w:t>
      </w:r>
      <w:r w:rsidR="003C238E">
        <w:t xml:space="preserve"> 480-120-141 was violated in connection with those calls, the Commission responded that AT&amp;T had violated the regulation</w:t>
      </w:r>
      <w:r w:rsidR="003C238E" w:rsidRPr="000C5793">
        <w:t>.</w:t>
      </w:r>
      <w:r w:rsidR="003C238E">
        <w:t xml:space="preserve"> </w:t>
      </w:r>
      <w:r w:rsidRPr="00BB7BBB">
        <w:rPr>
          <w:bCs/>
        </w:rPr>
        <w:t>A copy of that order is attached</w:t>
      </w:r>
      <w:r>
        <w:rPr>
          <w:bCs/>
        </w:rPr>
        <w:t xml:space="preserve"> as Exhibit A</w:t>
      </w:r>
      <w:r w:rsidRPr="00BB7BBB">
        <w:rPr>
          <w:bCs/>
        </w:rPr>
        <w:t xml:space="preserve">. </w:t>
      </w:r>
    </w:p>
    <w:p w:rsidR="00737030" w:rsidRDefault="00DC0E77" w:rsidP="00596560">
      <w:pPr>
        <w:pStyle w:val="Heading2"/>
      </w:pPr>
      <w:r>
        <w:t xml:space="preserve">THE APPEAL OF </w:t>
      </w:r>
      <w:r w:rsidR="007F3C70">
        <w:t xml:space="preserve">FINAL </w:t>
      </w:r>
      <w:r>
        <w:t>ORDER 25</w:t>
      </w:r>
    </w:p>
    <w:p w:rsidR="00467C15" w:rsidRDefault="00596560" w:rsidP="00467C15">
      <w:pPr>
        <w:pStyle w:val="TEXT"/>
        <w:spacing w:line="240" w:lineRule="auto"/>
      </w:pPr>
      <w:r>
        <w:t xml:space="preserve">On April 29, </w:t>
      </w:r>
      <w:r w:rsidR="00467C15">
        <w:t xml:space="preserve">2011 </w:t>
      </w:r>
      <w:r>
        <w:t>respondents AT&amp;T and T-Netix each filed a petition for review under the Washington Administrative Procedure Act of Final Order 25</w:t>
      </w:r>
      <w:r w:rsidR="003C238E">
        <w:t xml:space="preserve">. </w:t>
      </w:r>
      <w:r w:rsidR="00467C15" w:rsidRPr="00467C15">
        <w:t xml:space="preserve">AT&amp;T filed a petition in </w:t>
      </w:r>
      <w:r w:rsidR="00467C15">
        <w:t xml:space="preserve">Thurston County Superior </w:t>
      </w:r>
      <w:r w:rsidR="003C238E">
        <w:t xml:space="preserve">Court </w:t>
      </w:r>
      <w:r w:rsidR="003C238E" w:rsidRPr="00467C15">
        <w:t>(</w:t>
      </w:r>
      <w:r w:rsidR="00467C15" w:rsidRPr="00467C15">
        <w:t xml:space="preserve">No. 11-2-00992-8) to vacate both of </w:t>
      </w:r>
      <w:r w:rsidR="003C238E">
        <w:t>the</w:t>
      </w:r>
      <w:r w:rsidR="00467C15" w:rsidRPr="00467C15">
        <w:t xml:space="preserve"> conclusions</w:t>
      </w:r>
      <w:r w:rsidR="003C238E">
        <w:t xml:space="preserve"> reached by the Commission</w:t>
      </w:r>
      <w:r w:rsidR="00467C15" w:rsidRPr="00467C15">
        <w:t>.  T</w:t>
      </w:r>
      <w:r w:rsidR="00467C15" w:rsidRPr="00467C15">
        <w:noBreakHyphen/>
        <w:t>Netix</w:t>
      </w:r>
      <w:r w:rsidR="007F3C70">
        <w:t xml:space="preserve"> also </w:t>
      </w:r>
      <w:r w:rsidR="00467C15" w:rsidRPr="00467C15">
        <w:t xml:space="preserve"> filed a petition in </w:t>
      </w:r>
      <w:r w:rsidR="00B801B0">
        <w:t xml:space="preserve">Thurston County Superior Court </w:t>
      </w:r>
      <w:r w:rsidR="00467C15" w:rsidRPr="00467C15">
        <w:t>(No. 11-2-00998-7) to vacate the Commission’s findings that WAC 480-120-141 had been violated and to challenge the admission into evidence of telephone bills that were considered by the Commission.  These petitions were consolidated for consideration in one proceeding.</w:t>
      </w:r>
      <w:r w:rsidR="003C238E">
        <w:t xml:space="preserve"> </w:t>
      </w:r>
    </w:p>
    <w:p w:rsidR="00467C15" w:rsidRDefault="003C238E" w:rsidP="00467C15">
      <w:pPr>
        <w:pStyle w:val="TEXT"/>
        <w:spacing w:line="240" w:lineRule="auto"/>
      </w:pPr>
      <w:r>
        <w:t>The Thurston Superior Court</w:t>
      </w:r>
      <w:r w:rsidR="00467C15">
        <w:t xml:space="preserve"> affirmed the Commission's ruling that AT&amp;T was the OSP for the calls at issue in this case. AT&amp;T then asked Judge </w:t>
      </w:r>
      <w:r w:rsidR="007F3C70">
        <w:t xml:space="preserve">Paula </w:t>
      </w:r>
      <w:r w:rsidR="00467C15">
        <w:t xml:space="preserve">Casey if she was also affirming the Commission's decision that AT&amp;T could not claim an exemption as an LEC. This was an argument raised in a footnote in AT&amp;T's brief that was not argued during the oral presentations. Judge Casey indicated that she would review the </w:t>
      </w:r>
      <w:r>
        <w:t>parties’ briefs</w:t>
      </w:r>
      <w:r w:rsidR="00467C15">
        <w:t xml:space="preserve"> and provide a written letter ruling on that issue.</w:t>
      </w:r>
      <w:r>
        <w:t xml:space="preserve"> </w:t>
      </w:r>
      <w:r w:rsidR="00B801B0">
        <w:t>She later affirmed the Commission’s conclusion that AT&amp;T is not entitled to invoke the LEC exemption allowed by WAC 480-120-021 (1991).</w:t>
      </w:r>
    </w:p>
    <w:p w:rsidR="00B801B0" w:rsidRDefault="00467C15" w:rsidP="00467C15">
      <w:pPr>
        <w:pStyle w:val="TEXT"/>
        <w:spacing w:line="240" w:lineRule="auto"/>
      </w:pPr>
      <w:r>
        <w:t xml:space="preserve">The second question </w:t>
      </w:r>
      <w:r w:rsidR="00B801B0">
        <w:t xml:space="preserve">regarding whether AT&amp;T had violated </w:t>
      </w:r>
      <w:r w:rsidR="00B801B0" w:rsidRPr="00467C15">
        <w:t xml:space="preserve">WAC 480-120-141 </w:t>
      </w:r>
      <w:r w:rsidR="00B801B0">
        <w:t>presented</w:t>
      </w:r>
      <w:r>
        <w:t xml:space="preserve"> two issues: (1) whether AT&amp;T and T-Netix were denied due process because an additional hearing was not held to determine whether the regulations </w:t>
      </w:r>
      <w:r w:rsidR="00B801B0">
        <w:t>had</w:t>
      </w:r>
      <w:r>
        <w:t xml:space="preserve"> been violated, and (2) whether there was sufficient evidence in the record to support a finding that the regulations had violated. Judge Casey only considered the first issue, and ruled that AT&amp;T and T-Netix were denied due process because they did not have an additional opportunity to submit evidence regarding the issue of whether the regulations had been violated. Judge Casey did not make a ruling on whether the evidence considered by the Commission was sufficient to support to support its decision. Accordingly, she </w:t>
      </w:r>
      <w:r w:rsidR="00B801B0">
        <w:t xml:space="preserve">ruled that “the parties </w:t>
      </w:r>
      <w:r w:rsidR="00B801B0">
        <w:rPr>
          <w:szCs w:val="24"/>
        </w:rPr>
        <w:t xml:space="preserve">were not provided the full opportunity to present evidence on that issue, and this matter is remanded to the </w:t>
      </w:r>
      <w:r w:rsidR="00B801B0">
        <w:t>WUTC to receive additional evidence on that issue and reconsider its response to the [question of whether the regulation had been violated].”</w:t>
      </w:r>
      <w:r>
        <w:t xml:space="preserve"> </w:t>
      </w:r>
    </w:p>
    <w:p w:rsidR="00467C15" w:rsidRDefault="00B801B0" w:rsidP="00467C15">
      <w:pPr>
        <w:pStyle w:val="TEXT"/>
        <w:spacing w:line="240" w:lineRule="auto"/>
      </w:pPr>
      <w:r>
        <w:lastRenderedPageBreak/>
        <w:t>A copy of the Court’s Order on the Petitions for Administrative Review is attached as Exhibit B</w:t>
      </w:r>
      <w:r w:rsidR="00467C15">
        <w:t>.</w:t>
      </w:r>
    </w:p>
    <w:p w:rsidR="00B801B0" w:rsidRDefault="00DC0E77" w:rsidP="00B801B0">
      <w:pPr>
        <w:pStyle w:val="Heading2"/>
      </w:pPr>
      <w:r>
        <w:t>THE PROCEEDING IN THE KING COUNTY SUPERIOR COURT</w:t>
      </w:r>
    </w:p>
    <w:p w:rsidR="00DC0E77" w:rsidRDefault="00DC0E77" w:rsidP="00DC0E77">
      <w:pPr>
        <w:pStyle w:val="TEXT"/>
        <w:spacing w:line="240" w:lineRule="auto"/>
      </w:pPr>
      <w:r>
        <w:t xml:space="preserve">After the Commission issued Final Order 25, the King County proceedings were assigned to Judge Beth Andrus. Both Judge Andrus and Judge Casey requested defendants to allow the King County court to review the petitions for administrative review, but the defendants refused to do so. The defendants then sought to stay the proceedings in King County, which Judge Andrus denied. She has established a discovery schedule, a schedule for determining the motion for class certification (which is now under consideration by her), and a trial date of June 25, 2012. </w:t>
      </w:r>
    </w:p>
    <w:p w:rsidR="000D0B0F" w:rsidRDefault="000D0B0F" w:rsidP="000D0B0F">
      <w:pPr>
        <w:pStyle w:val="Heading2"/>
      </w:pPr>
      <w:r>
        <w:t>REQUEST FOR PREHEARING CONFERENCE</w:t>
      </w:r>
    </w:p>
    <w:p w:rsidR="000D0B0F" w:rsidRDefault="000D0B0F" w:rsidP="000D0B0F">
      <w:pPr>
        <w:pStyle w:val="TEXT"/>
        <w:spacing w:line="240" w:lineRule="auto"/>
      </w:pPr>
      <w:r>
        <w:t>We request that the Commission address the issues raised by the remand from the Thurston County Superior Court as soon as possible</w:t>
      </w:r>
      <w:r w:rsidR="007F3C70">
        <w:t xml:space="preserve"> with the parties at a prehearing conference</w:t>
      </w:r>
      <w:r>
        <w:t>. This matter is now in its 11</w:t>
      </w:r>
      <w:r w:rsidRPr="000D0B0F">
        <w:rPr>
          <w:vertAlign w:val="superscript"/>
        </w:rPr>
        <w:t>th</w:t>
      </w:r>
      <w:r>
        <w:t xml:space="preserve"> year of litigation with a trial date set in King County Court in June, 2012. </w:t>
      </w:r>
    </w:p>
    <w:p w:rsidR="002D233E" w:rsidRPr="00E33D49" w:rsidRDefault="000D0B0F" w:rsidP="00E33D49">
      <w:pPr>
        <w:pStyle w:val="TEXT"/>
        <w:spacing w:line="240" w:lineRule="auto"/>
      </w:pPr>
      <w:r>
        <w:t xml:space="preserve">We also request that the </w:t>
      </w:r>
      <w:r w:rsidR="007F3C70">
        <w:t>C</w:t>
      </w:r>
      <w:r>
        <w:t xml:space="preserve">ommissioners preside over the additional proceedings contemplated by the remand as permitted by WAC 480-07-330. The order that was remanded by the court was decided by the full commission and </w:t>
      </w:r>
      <w:r w:rsidR="00E33D49">
        <w:t>the Commission</w:t>
      </w:r>
      <w:r>
        <w:t xml:space="preserve"> would be in the best position to receive additional evidence and determine how that evidence affects its original decision. Further, there is no </w:t>
      </w:r>
      <w:r w:rsidR="007F3C70">
        <w:t>doubt</w:t>
      </w:r>
      <w:r>
        <w:t xml:space="preserve"> that if this remand </w:t>
      </w:r>
      <w:r w:rsidR="00E33D49">
        <w:t>is</w:t>
      </w:r>
      <w:r>
        <w:t xml:space="preserve"> assigned to an administrative law judge for an initial decision that the order would be appealed</w:t>
      </w:r>
      <w:r w:rsidR="00E33D49">
        <w:t xml:space="preserve"> to the full commission. It will unquestionably be more efficient if </w:t>
      </w:r>
      <w:r w:rsidR="007F3C70">
        <w:t>the full commission considers the remand</w:t>
      </w:r>
      <w:r w:rsidR="00E33D49">
        <w:t>.</w:t>
      </w:r>
    </w:p>
    <w:p w:rsidR="00825331" w:rsidRPr="00DF2459" w:rsidRDefault="00825331" w:rsidP="00513284">
      <w:pPr>
        <w:keepNext/>
        <w:tabs>
          <w:tab w:val="center" w:pos="5040"/>
        </w:tabs>
        <w:spacing w:before="240"/>
        <w:jc w:val="both"/>
        <w:rPr>
          <w:szCs w:val="24"/>
        </w:rPr>
      </w:pPr>
      <w:r w:rsidRPr="00DF2459">
        <w:rPr>
          <w:szCs w:val="24"/>
        </w:rPr>
        <w:tab/>
        <w:t>Very truly yours,</w:t>
      </w:r>
    </w:p>
    <w:p w:rsidR="00825331" w:rsidRPr="00DF2459" w:rsidRDefault="00825331">
      <w:pPr>
        <w:keepNext/>
        <w:tabs>
          <w:tab w:val="center" w:pos="5040"/>
        </w:tabs>
        <w:spacing w:before="240"/>
        <w:jc w:val="both"/>
        <w:rPr>
          <w:smallCaps/>
          <w:szCs w:val="24"/>
        </w:rPr>
      </w:pPr>
      <w:r w:rsidRPr="00DF2459">
        <w:rPr>
          <w:smallCaps/>
          <w:szCs w:val="24"/>
        </w:rPr>
        <w:tab/>
        <w:t>SIRIANNI YOUTZ</w:t>
      </w:r>
    </w:p>
    <w:p w:rsidR="00825331" w:rsidRPr="00DF2459" w:rsidRDefault="00825331">
      <w:pPr>
        <w:keepNext/>
        <w:tabs>
          <w:tab w:val="center" w:pos="5040"/>
        </w:tabs>
        <w:jc w:val="both"/>
        <w:rPr>
          <w:smallCaps/>
          <w:szCs w:val="24"/>
        </w:rPr>
      </w:pPr>
      <w:r w:rsidRPr="00DF2459">
        <w:rPr>
          <w:smallCaps/>
          <w:szCs w:val="24"/>
        </w:rPr>
        <w:tab/>
        <w:t>SPOONEMORE</w:t>
      </w:r>
    </w:p>
    <w:p w:rsidR="007F3A15" w:rsidRPr="0093428B" w:rsidRDefault="00D85DFE" w:rsidP="009E4089">
      <w:pPr>
        <w:keepNext/>
        <w:tabs>
          <w:tab w:val="center" w:pos="5040"/>
        </w:tabs>
        <w:spacing w:before="240"/>
        <w:jc w:val="both"/>
        <w:rPr>
          <w:rFonts w:ascii="Script MT Bold" w:hAnsi="Script MT Bold"/>
          <w:sz w:val="26"/>
          <w:szCs w:val="26"/>
        </w:rPr>
      </w:pPr>
      <w:r w:rsidRPr="0093428B">
        <w:rPr>
          <w:rFonts w:ascii="Script MT Bold" w:hAnsi="Script MT Bold"/>
          <w:sz w:val="26"/>
          <w:szCs w:val="26"/>
        </w:rPr>
        <w:tab/>
      </w:r>
      <w:r w:rsidR="0093428B" w:rsidRPr="0093428B">
        <w:rPr>
          <w:rFonts w:ascii="Script MT Bold" w:hAnsi="Script MT Bold"/>
          <w:sz w:val="26"/>
          <w:szCs w:val="26"/>
        </w:rPr>
        <w:t>/s/ Chris R. Youtz</w:t>
      </w:r>
    </w:p>
    <w:p w:rsidR="00825331" w:rsidRDefault="007F3A15" w:rsidP="009E4089">
      <w:pPr>
        <w:keepNext/>
        <w:tabs>
          <w:tab w:val="center" w:pos="5040"/>
        </w:tabs>
        <w:spacing w:before="240"/>
        <w:jc w:val="both"/>
        <w:rPr>
          <w:szCs w:val="24"/>
        </w:rPr>
      </w:pPr>
      <w:r w:rsidRPr="003142EF">
        <w:rPr>
          <w:szCs w:val="24"/>
        </w:rPr>
        <w:tab/>
      </w:r>
      <w:r w:rsidR="00DE7948">
        <w:rPr>
          <w:szCs w:val="24"/>
        </w:rPr>
        <w:t>Chris R. Youtz</w:t>
      </w:r>
    </w:p>
    <w:p w:rsidR="00B874C7" w:rsidRDefault="0093428B" w:rsidP="0093428B">
      <w:pPr>
        <w:tabs>
          <w:tab w:val="center" w:pos="5040"/>
        </w:tabs>
        <w:jc w:val="both"/>
        <w:rPr>
          <w:szCs w:val="24"/>
        </w:rPr>
      </w:pPr>
      <w:r>
        <w:rPr>
          <w:szCs w:val="24"/>
        </w:rPr>
        <w:tab/>
      </w:r>
      <w:r w:rsidR="00B874C7">
        <w:rPr>
          <w:szCs w:val="24"/>
        </w:rPr>
        <w:t>Richard E. Spoonemore</w:t>
      </w:r>
    </w:p>
    <w:p w:rsidR="007439CC" w:rsidRDefault="007439CC" w:rsidP="00B874C7">
      <w:pPr>
        <w:widowControl w:val="0"/>
        <w:jc w:val="both"/>
        <w:rPr>
          <w:szCs w:val="24"/>
        </w:rPr>
      </w:pPr>
    </w:p>
    <w:p w:rsidR="007439CC" w:rsidRDefault="00DE7948" w:rsidP="00B874C7">
      <w:pPr>
        <w:widowControl w:val="0"/>
        <w:jc w:val="both"/>
        <w:rPr>
          <w:szCs w:val="24"/>
        </w:rPr>
      </w:pPr>
      <w:r>
        <w:rPr>
          <w:szCs w:val="24"/>
        </w:rPr>
        <w:t>CRY</w:t>
      </w:r>
      <w:r w:rsidR="002D233E">
        <w:rPr>
          <w:szCs w:val="24"/>
        </w:rPr>
        <w:t>:tr</w:t>
      </w:r>
    </w:p>
    <w:p w:rsidR="002D233E" w:rsidRDefault="002D233E">
      <w:pPr>
        <w:jc w:val="both"/>
        <w:rPr>
          <w:szCs w:val="24"/>
        </w:rPr>
      </w:pPr>
      <w:r>
        <w:rPr>
          <w:szCs w:val="24"/>
        </w:rPr>
        <w:t>Enclosures</w:t>
      </w:r>
    </w:p>
    <w:p w:rsidR="002D233E" w:rsidRPr="00DF2459" w:rsidRDefault="002D233E" w:rsidP="002D233E">
      <w:pPr>
        <w:tabs>
          <w:tab w:val="left" w:pos="1350"/>
        </w:tabs>
        <w:rPr>
          <w:szCs w:val="24"/>
        </w:rPr>
      </w:pPr>
      <w:r w:rsidRPr="00DF2459">
        <w:rPr>
          <w:szCs w:val="24"/>
        </w:rPr>
        <w:t>cc</w:t>
      </w:r>
      <w:r>
        <w:rPr>
          <w:szCs w:val="24"/>
        </w:rPr>
        <w:t xml:space="preserve"> </w:t>
      </w:r>
      <w:r w:rsidRPr="007439CC">
        <w:rPr>
          <w:i/>
          <w:sz w:val="20"/>
        </w:rPr>
        <w:t>(w/enc.)</w:t>
      </w:r>
      <w:r w:rsidRPr="00DF2459">
        <w:rPr>
          <w:szCs w:val="24"/>
        </w:rPr>
        <w:t>:</w:t>
      </w:r>
      <w:r>
        <w:rPr>
          <w:szCs w:val="24"/>
        </w:rPr>
        <w:tab/>
        <w:t>Letty S.D. Friesen</w:t>
      </w:r>
    </w:p>
    <w:p w:rsidR="002D233E" w:rsidRPr="00DF2459" w:rsidRDefault="002D233E" w:rsidP="002D233E">
      <w:pPr>
        <w:tabs>
          <w:tab w:val="left" w:pos="720"/>
          <w:tab w:val="left" w:pos="1440"/>
        </w:tabs>
        <w:ind w:left="1350"/>
        <w:rPr>
          <w:szCs w:val="24"/>
        </w:rPr>
      </w:pPr>
      <w:r w:rsidRPr="00DF2459">
        <w:rPr>
          <w:szCs w:val="24"/>
        </w:rPr>
        <w:t>Charles H.R. Peters</w:t>
      </w:r>
      <w:r>
        <w:rPr>
          <w:szCs w:val="24"/>
        </w:rPr>
        <w:t>/David C. Scott/Doug Snodgrass</w:t>
      </w:r>
    </w:p>
    <w:p w:rsidR="002D233E" w:rsidRPr="00DF2459" w:rsidRDefault="002D233E" w:rsidP="002D233E">
      <w:pPr>
        <w:tabs>
          <w:tab w:val="left" w:pos="720"/>
          <w:tab w:val="left" w:pos="1440"/>
        </w:tabs>
        <w:ind w:left="1350"/>
        <w:rPr>
          <w:szCs w:val="24"/>
        </w:rPr>
      </w:pPr>
      <w:r w:rsidRPr="00DF2459">
        <w:rPr>
          <w:szCs w:val="24"/>
        </w:rPr>
        <w:t>Arthur A. Butler</w:t>
      </w:r>
    </w:p>
    <w:p w:rsidR="002D233E" w:rsidRPr="00DF2459" w:rsidRDefault="002D233E" w:rsidP="002D233E">
      <w:pPr>
        <w:tabs>
          <w:tab w:val="left" w:pos="720"/>
          <w:tab w:val="left" w:pos="1440"/>
        </w:tabs>
        <w:ind w:left="1350"/>
        <w:rPr>
          <w:szCs w:val="24"/>
        </w:rPr>
      </w:pPr>
      <w:r>
        <w:rPr>
          <w:szCs w:val="24"/>
        </w:rPr>
        <w:t>Stephanie A. Joyce</w:t>
      </w:r>
    </w:p>
    <w:p w:rsidR="002D233E" w:rsidRDefault="002D233E" w:rsidP="002D233E">
      <w:pPr>
        <w:tabs>
          <w:tab w:val="left" w:pos="720"/>
          <w:tab w:val="left" w:pos="1440"/>
        </w:tabs>
        <w:ind w:left="1350"/>
        <w:rPr>
          <w:szCs w:val="24"/>
        </w:rPr>
      </w:pPr>
      <w:r w:rsidRPr="00DF2459">
        <w:rPr>
          <w:szCs w:val="24"/>
        </w:rPr>
        <w:t>Clients</w:t>
      </w:r>
    </w:p>
    <w:p w:rsidR="0004493F" w:rsidRDefault="0004493F" w:rsidP="002D233E">
      <w:pPr>
        <w:tabs>
          <w:tab w:val="left" w:pos="1350"/>
        </w:tabs>
        <w:rPr>
          <w:szCs w:val="24"/>
        </w:rPr>
      </w:pPr>
    </w:p>
    <w:sectPr w:rsidR="0004493F" w:rsidSect="002B09BA">
      <w:headerReference w:type="default" r:id="rId8"/>
      <w:headerReference w:type="first" r:id="rId9"/>
      <w:footerReference w:type="first" r:id="rId10"/>
      <w:type w:val="continuous"/>
      <w:pgSz w:w="12240" w:h="15840" w:code="1"/>
      <w:pgMar w:top="2160" w:right="1440" w:bottom="1440" w:left="1440" w:header="1080" w:footer="432"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4C7" w:rsidRDefault="00B874C7">
      <w:r>
        <w:separator/>
      </w:r>
    </w:p>
  </w:endnote>
  <w:endnote w:type="continuationSeparator" w:id="0">
    <w:p w:rsidR="00B874C7" w:rsidRDefault="00B874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C7" w:rsidRPr="0030292E" w:rsidRDefault="00B874C7">
    <w:pPr>
      <w:pStyle w:val="Footer"/>
      <w:tabs>
        <w:tab w:val="clear" w:pos="4320"/>
      </w:tabs>
      <w:ind w:right="90"/>
      <w:jc w:val="center"/>
      <w:rPr>
        <w:smallCaps/>
        <w:sz w:val="16"/>
      </w:rPr>
    </w:pPr>
    <w:r>
      <w:rPr>
        <w:smallCaps/>
        <w:sz w:val="16"/>
      </w:rPr>
      <w:t>999 Third Avenue, Suite 3650</w:t>
    </w:r>
  </w:p>
  <w:p w:rsidR="00B874C7" w:rsidRPr="0030292E" w:rsidRDefault="00B874C7">
    <w:pPr>
      <w:pStyle w:val="Footer"/>
      <w:tabs>
        <w:tab w:val="clear" w:pos="4320"/>
      </w:tabs>
      <w:ind w:right="90"/>
      <w:jc w:val="center"/>
      <w:rPr>
        <w:smallCaps/>
        <w:sz w:val="16"/>
      </w:rPr>
    </w:pPr>
    <w:smartTag w:uri="urn:schemas-microsoft-com:office:smarttags" w:element="place">
      <w:smartTag w:uri="urn:schemas-microsoft-com:office:smarttags" w:element="City">
        <w:r w:rsidRPr="0030292E">
          <w:rPr>
            <w:smallCaps/>
            <w:sz w:val="16"/>
          </w:rPr>
          <w:t>Seattle</w:t>
        </w:r>
      </w:smartTag>
      <w:r w:rsidRPr="0030292E">
        <w:rPr>
          <w:smallCaps/>
          <w:sz w:val="16"/>
        </w:rPr>
        <w:t xml:space="preserve">, </w:t>
      </w:r>
      <w:smartTag w:uri="urn:schemas-microsoft-com:office:smarttags" w:element="State">
        <w:r w:rsidRPr="0030292E">
          <w:rPr>
            <w:smallCaps/>
            <w:sz w:val="16"/>
          </w:rPr>
          <w:t>Washington</w:t>
        </w:r>
      </w:smartTag>
      <w:r w:rsidRPr="0030292E">
        <w:rPr>
          <w:smallCaps/>
          <w:sz w:val="16"/>
        </w:rPr>
        <w:t xml:space="preserve">  </w:t>
      </w:r>
      <w:smartTag w:uri="urn:schemas-microsoft-com:office:smarttags" w:element="PostalCode">
        <w:r w:rsidRPr="0030292E">
          <w:rPr>
            <w:smallCaps/>
            <w:sz w:val="16"/>
          </w:rPr>
          <w:t>98104</w:t>
        </w:r>
      </w:smartTag>
    </w:smartTag>
  </w:p>
  <w:p w:rsidR="00B874C7" w:rsidRPr="0030292E" w:rsidRDefault="00B874C7">
    <w:pPr>
      <w:pStyle w:val="Footer"/>
      <w:ind w:right="90"/>
      <w:jc w:val="center"/>
      <w:rPr>
        <w:smallCaps/>
        <w:sz w:val="16"/>
      </w:rPr>
    </w:pPr>
    <w:r w:rsidRPr="0030292E">
      <w:rPr>
        <w:smallCaps/>
        <w:sz w:val="16"/>
      </w:rPr>
      <w:t xml:space="preserve">Telephone:  (206) 223-0303  Facsimile:  </w:t>
    </w:r>
    <w:smartTag w:uri="urn:schemas-microsoft-com:office:smarttags" w:element="phone">
      <w:smartTagPr>
        <w:attr w:name="phonenumber" w:val="$6223$$$"/>
        <w:attr w:uri="urn:schemas-microsoft-com:office:office" w:name="ls" w:val="trans"/>
      </w:smartTagPr>
      <w:r w:rsidRPr="0030292E">
        <w:rPr>
          <w:smallCaps/>
          <w:sz w:val="16"/>
        </w:rPr>
        <w:t xml:space="preserve">(206) </w:t>
      </w:r>
      <w:smartTag w:uri="urn:schemas-microsoft-com:office:smarttags" w:element="phone">
        <w:smartTagPr>
          <w:attr w:name="phonenumber" w:val="$6223$$$"/>
          <w:attr w:uri="urn:schemas-microsoft-com:office:office" w:name="ls" w:val="trans"/>
        </w:smartTagPr>
        <w:r w:rsidRPr="0030292E">
          <w:rPr>
            <w:smallCaps/>
            <w:sz w:val="16"/>
          </w:rPr>
          <w:t>223-0246</w:t>
        </w:r>
      </w:smartTag>
    </w:smartTag>
  </w:p>
  <w:p w:rsidR="00B874C7" w:rsidRPr="0030292E" w:rsidRDefault="00B874C7">
    <w:pPr>
      <w:pStyle w:val="Footer"/>
      <w:ind w:right="90"/>
      <w:jc w:val="center"/>
      <w:rPr>
        <w:sz w:val="16"/>
      </w:rPr>
    </w:pPr>
    <w:r w:rsidRPr="0030292E">
      <w:rPr>
        <w:sz w:val="16"/>
      </w:rPr>
      <w:t xml:space="preserve">e-mail:  </w:t>
    </w:r>
    <w:r>
      <w:rPr>
        <w:sz w:val="16"/>
      </w:rPr>
      <w:t>cyoutz</w:t>
    </w:r>
    <w:r w:rsidRPr="0030292E">
      <w:rPr>
        <w:sz w:val="16"/>
      </w:rPr>
      <w:t>@sylaw.com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4C7" w:rsidRDefault="00B874C7">
      <w:r>
        <w:separator/>
      </w:r>
    </w:p>
  </w:footnote>
  <w:footnote w:type="continuationSeparator" w:id="0">
    <w:p w:rsidR="00B874C7" w:rsidRDefault="00B874C7">
      <w:r>
        <w:continuationSeparator/>
      </w:r>
    </w:p>
  </w:footnote>
  <w:footnote w:id="1">
    <w:p w:rsidR="00B874C7" w:rsidRDefault="00B874C7" w:rsidP="00BB7BBB">
      <w:pPr>
        <w:pStyle w:val="FootnoteText"/>
        <w:spacing w:before="0"/>
      </w:pPr>
      <w:r>
        <w:rPr>
          <w:rStyle w:val="FootnoteReference"/>
        </w:rPr>
        <w:footnoteRef/>
      </w:r>
      <w:r>
        <w:t xml:space="preserve"> Primary jurisdiction is a doctrine which requires that issues within an agency’s special expertise be decided by the appropriate agency.  </w:t>
      </w:r>
      <w:r>
        <w:rPr>
          <w:i/>
        </w:rPr>
        <w:t>Tenore, v. AT&amp;T Wireless Services,</w:t>
      </w:r>
      <w:r>
        <w:t xml:space="preserve"> 136 Wash.2d 322, 345, 962 P.2d 104, 115 (1998).</w:t>
      </w:r>
    </w:p>
    <w:p w:rsidR="00B874C7" w:rsidRPr="000D7655" w:rsidRDefault="00B874C7" w:rsidP="00BB7BBB">
      <w:pPr>
        <w:pStyle w:val="FootnoteText"/>
        <w:spacing w:before="0"/>
      </w:pPr>
    </w:p>
  </w:footnote>
  <w:footnote w:id="2">
    <w:p w:rsidR="00B874C7" w:rsidRDefault="00B874C7" w:rsidP="00BB7BBB">
      <w:pPr>
        <w:pStyle w:val="FootnoteText"/>
        <w:spacing w:before="0"/>
      </w:pPr>
      <w:r>
        <w:rPr>
          <w:rStyle w:val="FootnoteReference"/>
        </w:rPr>
        <w:footnoteRef/>
      </w:r>
      <w:r>
        <w:t xml:space="preserve"> </w:t>
      </w:r>
      <w:r w:rsidRPr="003131AC">
        <w:rPr>
          <w:i/>
        </w:rPr>
        <w:t>See</w:t>
      </w:r>
      <w:r>
        <w:rPr>
          <w:i/>
        </w:rPr>
        <w:t>,</w:t>
      </w:r>
      <w:r>
        <w:t xml:space="preserve"> WAC 480-120-141 (1991) and (1999).</w:t>
      </w:r>
    </w:p>
    <w:p w:rsidR="00B874C7" w:rsidRDefault="00B874C7" w:rsidP="00BB7BBB">
      <w:pPr>
        <w:pStyle w:val="FootnoteText"/>
        <w:spacing w:before="0"/>
      </w:pPr>
    </w:p>
  </w:footnote>
  <w:footnote w:id="3">
    <w:p w:rsidR="00B874C7" w:rsidRDefault="00B874C7" w:rsidP="00BB7BBB">
      <w:pPr>
        <w:pStyle w:val="FootnoteText"/>
        <w:spacing w:before="0"/>
        <w:rPr>
          <w:szCs w:val="22"/>
        </w:rPr>
      </w:pPr>
      <w:r w:rsidRPr="00EE7C89">
        <w:rPr>
          <w:rStyle w:val="FootnoteReference"/>
          <w:szCs w:val="22"/>
        </w:rPr>
        <w:footnoteRef/>
      </w:r>
      <w:r>
        <w:rPr>
          <w:i/>
          <w:szCs w:val="22"/>
        </w:rPr>
        <w:t xml:space="preserve"> Judd v. Am. Tel. &amp; Tel. Co</w:t>
      </w:r>
      <w:r w:rsidRPr="00EE7C89">
        <w:rPr>
          <w:szCs w:val="22"/>
        </w:rPr>
        <w:t xml:space="preserve">., </w:t>
      </w:r>
      <w:r>
        <w:rPr>
          <w:szCs w:val="22"/>
        </w:rPr>
        <w:t xml:space="preserve">King County Superior Court, No. 00-2-17565-5 SEA, </w:t>
      </w:r>
      <w:r>
        <w:rPr>
          <w:i/>
          <w:szCs w:val="22"/>
        </w:rPr>
        <w:t>Order Granting Defendant T-Netix’ Motion for Summary Judgment</w:t>
      </w:r>
      <w:r>
        <w:rPr>
          <w:szCs w:val="22"/>
        </w:rPr>
        <w:t>, September 6, 2006.</w:t>
      </w:r>
      <w:r w:rsidRPr="00EE7C89">
        <w:rPr>
          <w:szCs w:val="22"/>
        </w:rPr>
        <w:t xml:space="preserve"> </w:t>
      </w:r>
    </w:p>
    <w:p w:rsidR="00B874C7" w:rsidRPr="00EE7C89" w:rsidRDefault="00B874C7" w:rsidP="00BB7BBB">
      <w:pPr>
        <w:pStyle w:val="FootnoteText"/>
        <w:spacing w:before="0"/>
        <w:rPr>
          <w:szCs w:val="22"/>
        </w:rPr>
      </w:pPr>
    </w:p>
  </w:footnote>
  <w:footnote w:id="4">
    <w:p w:rsidR="00B874C7" w:rsidRDefault="00B874C7" w:rsidP="00BB7BBB">
      <w:pPr>
        <w:pStyle w:val="FootnoteText"/>
        <w:spacing w:before="0"/>
        <w:rPr>
          <w:szCs w:val="22"/>
        </w:rPr>
      </w:pPr>
      <w:r w:rsidRPr="00EE7C89">
        <w:rPr>
          <w:rStyle w:val="FootnoteReference"/>
          <w:szCs w:val="22"/>
        </w:rPr>
        <w:footnoteRef/>
      </w:r>
      <w:r>
        <w:rPr>
          <w:i/>
          <w:szCs w:val="22"/>
        </w:rPr>
        <w:t xml:space="preserve"> Judd</w:t>
      </w:r>
      <w:r>
        <w:rPr>
          <w:szCs w:val="22"/>
        </w:rPr>
        <w:t xml:space="preserve">, 136 Wash.App. 1022, not reported in P.3d, (2006). </w:t>
      </w:r>
      <w:r w:rsidRPr="00152940">
        <w:rPr>
          <w:szCs w:val="22"/>
        </w:rPr>
        <w:t xml:space="preserve"> </w:t>
      </w:r>
    </w:p>
    <w:p w:rsidR="00B874C7" w:rsidRPr="00EE7C89" w:rsidRDefault="00B874C7" w:rsidP="00BB7BBB">
      <w:pPr>
        <w:pStyle w:val="FootnoteText"/>
        <w:spacing w:before="0"/>
        <w:rPr>
          <w:szCs w:val="22"/>
        </w:rPr>
      </w:pPr>
    </w:p>
  </w:footnote>
  <w:footnote w:id="5">
    <w:p w:rsidR="00B874C7" w:rsidRPr="006E6022" w:rsidRDefault="00B874C7" w:rsidP="00BB7BBB">
      <w:pPr>
        <w:pStyle w:val="FootnoteText"/>
        <w:spacing w:before="0"/>
      </w:pPr>
      <w:r w:rsidRPr="006E6022">
        <w:rPr>
          <w:rStyle w:val="FootnoteReference"/>
        </w:rPr>
        <w:footnoteRef/>
      </w:r>
      <w:r>
        <w:rPr>
          <w:i/>
          <w:szCs w:val="22"/>
        </w:rPr>
        <w:t xml:space="preserve"> Judd</w:t>
      </w:r>
      <w:r>
        <w:rPr>
          <w:szCs w:val="22"/>
        </w:rPr>
        <w:t xml:space="preserve">, 136 Wash.App. 1022, not reported in P.3d, (2006). </w:t>
      </w:r>
      <w:r w:rsidRPr="00152940">
        <w:rPr>
          <w:szCs w:val="22"/>
        </w:rPr>
        <w:t xml:space="preserve"> </w:t>
      </w:r>
    </w:p>
    <w:p w:rsidR="00B874C7" w:rsidRDefault="00B874C7" w:rsidP="00BB7BBB">
      <w:pPr>
        <w:pStyle w:val="FootnoteText"/>
        <w:spacing w:before="0"/>
      </w:pPr>
    </w:p>
  </w:footnote>
  <w:footnote w:id="6">
    <w:p w:rsidR="00B874C7" w:rsidRDefault="00B874C7" w:rsidP="00BB7BBB">
      <w:pPr>
        <w:pStyle w:val="FootnoteText"/>
        <w:spacing w:before="0"/>
      </w:pPr>
      <w:r>
        <w:rPr>
          <w:rStyle w:val="FootnoteReference"/>
        </w:rPr>
        <w:footnoteRef/>
      </w:r>
      <w:r>
        <w:t xml:space="preserve"> </w:t>
      </w:r>
      <w:r>
        <w:rPr>
          <w:i/>
        </w:rPr>
        <w:t>Judd v. Am. Tel. &amp; Tel. Co.,</w:t>
      </w:r>
      <w:r>
        <w:t xml:space="preserve"> 162 Wash.2d 1002, 175 P.3d 1092 (2007).</w:t>
      </w:r>
    </w:p>
    <w:p w:rsidR="00B874C7" w:rsidRPr="00583714" w:rsidRDefault="00B874C7" w:rsidP="00BB7BBB">
      <w:pPr>
        <w:pStyle w:val="FootnoteText"/>
        <w:spacing w:befor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C7" w:rsidRPr="00E33D49" w:rsidRDefault="00B874C7" w:rsidP="00E33D49">
    <w:pPr>
      <w:pStyle w:val="Header"/>
      <w:rPr>
        <w:rFonts w:ascii="Imprint MT Shadow" w:hAnsi="Imprint MT Shadow"/>
        <w:smallCaps/>
        <w:spacing w:val="6"/>
        <w:sz w:val="26"/>
      </w:rPr>
    </w:pPr>
    <w:r w:rsidRPr="00E33D49">
      <w:rPr>
        <w:rFonts w:ascii="Imprint MT Shadow" w:hAnsi="Imprint MT Shadow"/>
        <w:smallCaps/>
        <w:spacing w:val="6"/>
        <w:sz w:val="26"/>
      </w:rPr>
      <w:t>Sirianni Youtz</w:t>
    </w:r>
  </w:p>
  <w:p w:rsidR="00B874C7" w:rsidRPr="00E33D49" w:rsidRDefault="00B874C7" w:rsidP="00E33D49">
    <w:pPr>
      <w:pStyle w:val="Header"/>
      <w:rPr>
        <w:rFonts w:ascii="Imprint MT Shadow" w:hAnsi="Imprint MT Shadow"/>
        <w:smallCaps/>
        <w:spacing w:val="6"/>
        <w:sz w:val="26"/>
      </w:rPr>
    </w:pPr>
    <w:r w:rsidRPr="00E33D49">
      <w:rPr>
        <w:rFonts w:ascii="Imprint MT Shadow" w:hAnsi="Imprint MT Shadow"/>
        <w:smallCaps/>
        <w:spacing w:val="6"/>
        <w:sz w:val="26"/>
      </w:rPr>
      <w:t>Spoonemore</w:t>
    </w:r>
  </w:p>
  <w:p w:rsidR="00B874C7" w:rsidRPr="0095278E" w:rsidRDefault="00B874C7">
    <w:pPr>
      <w:pStyle w:val="Header"/>
      <w:widowControl w:val="0"/>
    </w:pPr>
  </w:p>
  <w:p w:rsidR="00B874C7" w:rsidRPr="0095278E" w:rsidRDefault="00B874C7">
    <w:pPr>
      <w:pStyle w:val="Header"/>
      <w:widowControl w:val="0"/>
    </w:pPr>
    <w:r w:rsidRPr="0095278E">
      <w:t>David Danner</w:t>
    </w:r>
  </w:p>
  <w:p w:rsidR="00B874C7" w:rsidRPr="0095278E" w:rsidRDefault="00491CCE">
    <w:pPr>
      <w:pStyle w:val="Header"/>
      <w:widowControl w:val="0"/>
    </w:pPr>
    <w:fldSimple w:instr=" DATE  \@ &quot;MMMM d, yyyy&quot;  \* MERGEFORMAT ">
      <w:r w:rsidR="0093428B">
        <w:rPr>
          <w:noProof/>
        </w:rPr>
        <w:t>February 2, 2012</w:t>
      </w:r>
    </w:fldSimple>
  </w:p>
  <w:p w:rsidR="00B874C7" w:rsidRPr="0095278E" w:rsidRDefault="00B874C7">
    <w:pPr>
      <w:pStyle w:val="Header"/>
      <w:widowControl w:val="0"/>
    </w:pPr>
    <w:r w:rsidRPr="0095278E">
      <w:t xml:space="preserve">Page </w:t>
    </w:r>
    <w:r w:rsidRPr="0095278E">
      <w:pgNum/>
    </w:r>
  </w:p>
  <w:p w:rsidR="00B874C7" w:rsidRPr="0095278E" w:rsidRDefault="00B874C7">
    <w:pPr>
      <w:pStyle w:val="Header"/>
      <w:widowControl w:val="0"/>
    </w:pPr>
  </w:p>
  <w:p w:rsidR="00B874C7" w:rsidRPr="0095278E" w:rsidRDefault="00B874C7">
    <w:pPr>
      <w:pStyle w:val="Heade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C7" w:rsidRPr="00513284" w:rsidRDefault="00B874C7">
    <w:pPr>
      <w:pStyle w:val="Header"/>
      <w:jc w:val="center"/>
      <w:rPr>
        <w:rFonts w:ascii="Imprint MT Shadow" w:hAnsi="Imprint MT Shadow"/>
        <w:smallCaps/>
        <w:sz w:val="30"/>
      </w:rPr>
    </w:pPr>
    <w:r w:rsidRPr="00513284">
      <w:rPr>
        <w:rFonts w:ascii="Imprint MT Shadow" w:hAnsi="Imprint MT Shadow"/>
        <w:smallCaps/>
        <w:sz w:val="30"/>
      </w:rPr>
      <w:t>Sirianni Youtz</w:t>
    </w:r>
  </w:p>
  <w:p w:rsidR="00B874C7" w:rsidRPr="00513284" w:rsidRDefault="00B874C7">
    <w:pPr>
      <w:pStyle w:val="Header"/>
      <w:jc w:val="center"/>
      <w:rPr>
        <w:rFonts w:ascii="Imprint MT Shadow" w:hAnsi="Imprint MT Shadow"/>
        <w:smallCaps/>
        <w:sz w:val="30"/>
      </w:rPr>
    </w:pPr>
    <w:r w:rsidRPr="00513284">
      <w:rPr>
        <w:rFonts w:ascii="Imprint MT Shadow" w:hAnsi="Imprint MT Shadow"/>
        <w:smallCaps/>
        <w:sz w:val="30"/>
      </w:rPr>
      <w:t>Spoonemore</w:t>
    </w:r>
  </w:p>
  <w:p w:rsidR="00B874C7" w:rsidRPr="00513284" w:rsidRDefault="00B874C7">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D8E7F8"/>
    <w:lvl w:ilvl="0">
      <w:start w:val="1"/>
      <w:numFmt w:val="decimal"/>
      <w:lvlText w:val="%1."/>
      <w:lvlJc w:val="left"/>
      <w:pPr>
        <w:tabs>
          <w:tab w:val="num" w:pos="1800"/>
        </w:tabs>
        <w:ind w:left="1800" w:hanging="360"/>
      </w:pPr>
    </w:lvl>
  </w:abstractNum>
  <w:abstractNum w:abstractNumId="1">
    <w:nsid w:val="FFFFFF7D"/>
    <w:multiLevelType w:val="singleLevel"/>
    <w:tmpl w:val="78445BCC"/>
    <w:lvl w:ilvl="0">
      <w:start w:val="1"/>
      <w:numFmt w:val="decimal"/>
      <w:lvlText w:val="%1."/>
      <w:lvlJc w:val="left"/>
      <w:pPr>
        <w:tabs>
          <w:tab w:val="num" w:pos="1440"/>
        </w:tabs>
        <w:ind w:left="1440" w:hanging="360"/>
      </w:pPr>
    </w:lvl>
  </w:abstractNum>
  <w:abstractNum w:abstractNumId="2">
    <w:nsid w:val="FFFFFF7E"/>
    <w:multiLevelType w:val="singleLevel"/>
    <w:tmpl w:val="BC1622B8"/>
    <w:lvl w:ilvl="0">
      <w:start w:val="1"/>
      <w:numFmt w:val="decimal"/>
      <w:lvlText w:val="%1."/>
      <w:lvlJc w:val="left"/>
      <w:pPr>
        <w:tabs>
          <w:tab w:val="num" w:pos="1080"/>
        </w:tabs>
        <w:ind w:left="1080" w:hanging="360"/>
      </w:pPr>
    </w:lvl>
  </w:abstractNum>
  <w:abstractNum w:abstractNumId="3">
    <w:nsid w:val="FFFFFF7F"/>
    <w:multiLevelType w:val="singleLevel"/>
    <w:tmpl w:val="2DB27388"/>
    <w:lvl w:ilvl="0">
      <w:start w:val="1"/>
      <w:numFmt w:val="decimal"/>
      <w:lvlText w:val="%1."/>
      <w:lvlJc w:val="left"/>
      <w:pPr>
        <w:tabs>
          <w:tab w:val="num" w:pos="720"/>
        </w:tabs>
        <w:ind w:left="720" w:hanging="360"/>
      </w:pPr>
    </w:lvl>
  </w:abstractNum>
  <w:abstractNum w:abstractNumId="4">
    <w:nsid w:val="FFFFFF80"/>
    <w:multiLevelType w:val="singleLevel"/>
    <w:tmpl w:val="D1DA4F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4297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52F4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EAEB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D68964"/>
    <w:lvl w:ilvl="0">
      <w:start w:val="1"/>
      <w:numFmt w:val="decimal"/>
      <w:lvlText w:val="%1."/>
      <w:lvlJc w:val="left"/>
      <w:pPr>
        <w:tabs>
          <w:tab w:val="num" w:pos="360"/>
        </w:tabs>
        <w:ind w:left="360" w:hanging="360"/>
      </w:pPr>
    </w:lvl>
  </w:abstractNum>
  <w:abstractNum w:abstractNumId="9">
    <w:nsid w:val="FFFFFF89"/>
    <w:multiLevelType w:val="singleLevel"/>
    <w:tmpl w:val="53461F5C"/>
    <w:lvl w:ilvl="0">
      <w:start w:val="1"/>
      <w:numFmt w:val="bullet"/>
      <w:lvlText w:val=""/>
      <w:lvlJc w:val="left"/>
      <w:pPr>
        <w:tabs>
          <w:tab w:val="num" w:pos="360"/>
        </w:tabs>
        <w:ind w:left="360" w:hanging="360"/>
      </w:pPr>
      <w:rPr>
        <w:rFonts w:ascii="Symbol" w:hAnsi="Symbol" w:hint="default"/>
      </w:rPr>
    </w:lvl>
  </w:abstractNum>
  <w:abstractNum w:abstractNumId="10">
    <w:nsid w:val="20B3196E"/>
    <w:multiLevelType w:val="singleLevel"/>
    <w:tmpl w:val="09600B9C"/>
    <w:lvl w:ilvl="0">
      <w:start w:val="4"/>
      <w:numFmt w:val="upperLetter"/>
      <w:lvlText w:val="%1."/>
      <w:lvlJc w:val="left"/>
      <w:pPr>
        <w:tabs>
          <w:tab w:val="num" w:pos="2160"/>
        </w:tabs>
        <w:ind w:left="2160" w:hanging="720"/>
      </w:pPr>
      <w:rPr>
        <w:rFonts w:hint="default"/>
      </w:rPr>
    </w:lvl>
  </w:abstractNum>
  <w:abstractNum w:abstractNumId="11">
    <w:nsid w:val="27B6268F"/>
    <w:multiLevelType w:val="hybridMultilevel"/>
    <w:tmpl w:val="F064C530"/>
    <w:lvl w:ilvl="0" w:tplc="A56A5E2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9B508B2"/>
    <w:multiLevelType w:val="multilevel"/>
    <w:tmpl w:val="77406550"/>
    <w:lvl w:ilvl="0">
      <w:start w:val="1"/>
      <w:numFmt w:val="upperRoman"/>
      <w:pStyle w:val="Heading1"/>
      <w:lvlText w:val="%1."/>
      <w:lvlJc w:val="center"/>
      <w:pPr>
        <w:tabs>
          <w:tab w:val="num" w:pos="1008"/>
        </w:tabs>
        <w:ind w:left="720" w:firstLine="0"/>
      </w:pPr>
      <w:rPr>
        <w:rFonts w:ascii="Arial" w:hAnsi="Arial" w:hint="default"/>
        <w:b/>
        <w:i w:val="0"/>
        <w:sz w:val="22"/>
        <w:szCs w:val="22"/>
      </w:rPr>
    </w:lvl>
    <w:lvl w:ilvl="1">
      <w:start w:val="1"/>
      <w:numFmt w:val="upperLetter"/>
      <w:pStyle w:val="Heading2"/>
      <w:lvlText w:val="%2."/>
      <w:lvlJc w:val="left"/>
      <w:pPr>
        <w:tabs>
          <w:tab w:val="num" w:pos="1440"/>
        </w:tabs>
        <w:ind w:left="1440" w:hanging="720"/>
      </w:pPr>
      <w:rPr>
        <w:rFonts w:ascii="Arial" w:hAnsi="Arial" w:hint="default"/>
        <w:b/>
        <w:i w:val="0"/>
        <w:sz w:val="22"/>
        <w:szCs w:val="22"/>
      </w:rPr>
    </w:lvl>
    <w:lvl w:ilvl="2">
      <w:start w:val="1"/>
      <w:numFmt w:val="decimal"/>
      <w:pStyle w:val="Heading3"/>
      <w:lvlText w:val="%3."/>
      <w:lvlJc w:val="left"/>
      <w:pPr>
        <w:tabs>
          <w:tab w:val="num" w:pos="2160"/>
        </w:tabs>
        <w:ind w:left="2160" w:hanging="720"/>
      </w:pPr>
      <w:rPr>
        <w:rFonts w:ascii="Book Antiqua" w:hAnsi="Book Antiqua" w:hint="default"/>
        <w:b/>
        <w:i w:val="0"/>
        <w:sz w:val="24"/>
        <w:szCs w:val="24"/>
      </w:rPr>
    </w:lvl>
    <w:lvl w:ilvl="3">
      <w:start w:val="1"/>
      <w:numFmt w:val="lowerLetter"/>
      <w:pStyle w:val="Heading4"/>
      <w:lvlText w:val="%4."/>
      <w:lvlJc w:val="left"/>
      <w:pPr>
        <w:tabs>
          <w:tab w:val="num" w:pos="2880"/>
        </w:tabs>
        <w:ind w:left="2880" w:hanging="720"/>
      </w:pPr>
      <w:rPr>
        <w:rFonts w:ascii="Book Antiqua" w:hAnsi="Book Antiqua" w:hint="default"/>
        <w:b/>
        <w:i/>
      </w:rPr>
    </w:lvl>
    <w:lvl w:ilvl="4">
      <w:start w:val="1"/>
      <w:numFmt w:val="lowerRoman"/>
      <w:pStyle w:val="Heading5"/>
      <w:lvlText w:val="(%5)"/>
      <w:lvlJc w:val="left"/>
      <w:pPr>
        <w:tabs>
          <w:tab w:val="num" w:pos="3600"/>
        </w:tabs>
        <w:ind w:left="3600" w:hanging="720"/>
      </w:pPr>
      <w:rPr>
        <w:rFonts w:ascii="Book Antiqua" w:hAnsi="Book Antiqua" w:hint="default"/>
        <w:b w:val="0"/>
        <w:i/>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nsid w:val="45EB01DC"/>
    <w:multiLevelType w:val="multilevel"/>
    <w:tmpl w:val="5F3631D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nsid w:val="4E9153D0"/>
    <w:multiLevelType w:val="singleLevel"/>
    <w:tmpl w:val="E864DC2E"/>
    <w:lvl w:ilvl="0">
      <w:start w:val="1"/>
      <w:numFmt w:val="decimal"/>
      <w:lvlText w:val="%1."/>
      <w:lvlJc w:val="left"/>
      <w:pPr>
        <w:tabs>
          <w:tab w:val="num" w:pos="1800"/>
        </w:tabs>
        <w:ind w:left="0" w:firstLine="1440"/>
      </w:pPr>
    </w:lvl>
  </w:abstractNum>
  <w:abstractNum w:abstractNumId="15">
    <w:nsid w:val="4F5A7458"/>
    <w:multiLevelType w:val="hybridMultilevel"/>
    <w:tmpl w:val="4C8A9A52"/>
    <w:lvl w:ilvl="0" w:tplc="D73A7086">
      <w:start w:val="1"/>
      <w:numFmt w:val="decimal"/>
      <w:lvlText w:val="(%1)"/>
      <w:lvlJc w:val="left"/>
      <w:pPr>
        <w:tabs>
          <w:tab w:val="num" w:pos="3228"/>
        </w:tabs>
        <w:ind w:left="3228" w:hanging="17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EB95A1F"/>
    <w:multiLevelType w:val="hybridMultilevel"/>
    <w:tmpl w:val="CDD62202"/>
    <w:lvl w:ilvl="0" w:tplc="445020DA">
      <w:start w:val="1"/>
      <w:numFmt w:val="decimal"/>
      <w:lvlText w:val="(%1)"/>
      <w:lvlJc w:val="left"/>
      <w:pPr>
        <w:tabs>
          <w:tab w:val="num" w:pos="430"/>
        </w:tabs>
        <w:ind w:left="430" w:hanging="360"/>
      </w:pPr>
      <w:rPr>
        <w:rFonts w:hint="default"/>
      </w:rPr>
    </w:lvl>
    <w:lvl w:ilvl="1" w:tplc="04090019" w:tentative="1">
      <w:start w:val="1"/>
      <w:numFmt w:val="lowerLetter"/>
      <w:lvlText w:val="%2."/>
      <w:lvlJc w:val="left"/>
      <w:pPr>
        <w:tabs>
          <w:tab w:val="num" w:pos="1150"/>
        </w:tabs>
        <w:ind w:left="1150" w:hanging="360"/>
      </w:pPr>
    </w:lvl>
    <w:lvl w:ilvl="2" w:tplc="0409001B" w:tentative="1">
      <w:start w:val="1"/>
      <w:numFmt w:val="lowerRoman"/>
      <w:lvlText w:val="%3."/>
      <w:lvlJc w:val="right"/>
      <w:pPr>
        <w:tabs>
          <w:tab w:val="num" w:pos="1870"/>
        </w:tabs>
        <w:ind w:left="1870" w:hanging="180"/>
      </w:pPr>
    </w:lvl>
    <w:lvl w:ilvl="3" w:tplc="0409000F" w:tentative="1">
      <w:start w:val="1"/>
      <w:numFmt w:val="decimal"/>
      <w:lvlText w:val="%4."/>
      <w:lvlJc w:val="left"/>
      <w:pPr>
        <w:tabs>
          <w:tab w:val="num" w:pos="2590"/>
        </w:tabs>
        <w:ind w:left="2590" w:hanging="360"/>
      </w:pPr>
    </w:lvl>
    <w:lvl w:ilvl="4" w:tplc="04090019" w:tentative="1">
      <w:start w:val="1"/>
      <w:numFmt w:val="lowerLetter"/>
      <w:lvlText w:val="%5."/>
      <w:lvlJc w:val="left"/>
      <w:pPr>
        <w:tabs>
          <w:tab w:val="num" w:pos="3310"/>
        </w:tabs>
        <w:ind w:left="3310" w:hanging="360"/>
      </w:pPr>
    </w:lvl>
    <w:lvl w:ilvl="5" w:tplc="0409001B" w:tentative="1">
      <w:start w:val="1"/>
      <w:numFmt w:val="lowerRoman"/>
      <w:lvlText w:val="%6."/>
      <w:lvlJc w:val="right"/>
      <w:pPr>
        <w:tabs>
          <w:tab w:val="num" w:pos="4030"/>
        </w:tabs>
        <w:ind w:left="4030" w:hanging="180"/>
      </w:pPr>
    </w:lvl>
    <w:lvl w:ilvl="6" w:tplc="0409000F" w:tentative="1">
      <w:start w:val="1"/>
      <w:numFmt w:val="decimal"/>
      <w:lvlText w:val="%7."/>
      <w:lvlJc w:val="left"/>
      <w:pPr>
        <w:tabs>
          <w:tab w:val="num" w:pos="4750"/>
        </w:tabs>
        <w:ind w:left="4750" w:hanging="360"/>
      </w:pPr>
    </w:lvl>
    <w:lvl w:ilvl="7" w:tplc="04090019" w:tentative="1">
      <w:start w:val="1"/>
      <w:numFmt w:val="lowerLetter"/>
      <w:lvlText w:val="%8."/>
      <w:lvlJc w:val="left"/>
      <w:pPr>
        <w:tabs>
          <w:tab w:val="num" w:pos="5470"/>
        </w:tabs>
        <w:ind w:left="5470" w:hanging="360"/>
      </w:pPr>
    </w:lvl>
    <w:lvl w:ilvl="8" w:tplc="0409001B" w:tentative="1">
      <w:start w:val="1"/>
      <w:numFmt w:val="lowerRoman"/>
      <w:lvlText w:val="%9."/>
      <w:lvlJc w:val="right"/>
      <w:pPr>
        <w:tabs>
          <w:tab w:val="num" w:pos="6190"/>
        </w:tabs>
        <w:ind w:left="6190" w:hanging="180"/>
      </w:pPr>
    </w:lvl>
  </w:abstractNum>
  <w:num w:numId="1">
    <w:abstractNumId w:val="10"/>
  </w:num>
  <w:num w:numId="2">
    <w:abstractNumId w:val="14"/>
  </w:num>
  <w:num w:numId="3">
    <w:abstractNumId w:val="12"/>
  </w:num>
  <w:num w:numId="4">
    <w:abstractNumId w:val="12"/>
  </w:num>
  <w:num w:numId="5">
    <w:abstractNumId w:val="12"/>
  </w:num>
  <w:num w:numId="6">
    <w:abstractNumId w:val="12"/>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3"/>
  </w:num>
  <w:num w:numId="20">
    <w:abstractNumId w:val="1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gnword-docGUID" w:val="{B12F2418-C048-4150-9375-6772BB2BD1F3}"/>
    <w:docVar w:name="dgnword-eventsink" w:val="107989904"/>
  </w:docVars>
  <w:rsids>
    <w:rsidRoot w:val="00991331"/>
    <w:rsid w:val="0001428C"/>
    <w:rsid w:val="0002616E"/>
    <w:rsid w:val="00032BEF"/>
    <w:rsid w:val="00032C4B"/>
    <w:rsid w:val="000420B4"/>
    <w:rsid w:val="00042C22"/>
    <w:rsid w:val="00043D7B"/>
    <w:rsid w:val="0004493F"/>
    <w:rsid w:val="00072F4A"/>
    <w:rsid w:val="0007652E"/>
    <w:rsid w:val="000771E9"/>
    <w:rsid w:val="000801DB"/>
    <w:rsid w:val="00081287"/>
    <w:rsid w:val="00083A3A"/>
    <w:rsid w:val="0009698D"/>
    <w:rsid w:val="00096F3E"/>
    <w:rsid w:val="000C1B0E"/>
    <w:rsid w:val="000C4850"/>
    <w:rsid w:val="000C7DC2"/>
    <w:rsid w:val="000D0B0F"/>
    <w:rsid w:val="000D7371"/>
    <w:rsid w:val="000E7817"/>
    <w:rsid w:val="00103810"/>
    <w:rsid w:val="00116155"/>
    <w:rsid w:val="00116BF2"/>
    <w:rsid w:val="00120112"/>
    <w:rsid w:val="001238AA"/>
    <w:rsid w:val="0012503D"/>
    <w:rsid w:val="001501C9"/>
    <w:rsid w:val="00156F29"/>
    <w:rsid w:val="00162692"/>
    <w:rsid w:val="00186071"/>
    <w:rsid w:val="001862D1"/>
    <w:rsid w:val="001955B4"/>
    <w:rsid w:val="001A36D8"/>
    <w:rsid w:val="001A6A13"/>
    <w:rsid w:val="001B4E04"/>
    <w:rsid w:val="001C217D"/>
    <w:rsid w:val="001E1234"/>
    <w:rsid w:val="001F189A"/>
    <w:rsid w:val="001F3F6A"/>
    <w:rsid w:val="001F613F"/>
    <w:rsid w:val="002011E2"/>
    <w:rsid w:val="002073F1"/>
    <w:rsid w:val="0021103B"/>
    <w:rsid w:val="0022002B"/>
    <w:rsid w:val="002232DE"/>
    <w:rsid w:val="00236C32"/>
    <w:rsid w:val="00254096"/>
    <w:rsid w:val="00280950"/>
    <w:rsid w:val="00284AB0"/>
    <w:rsid w:val="002926FA"/>
    <w:rsid w:val="00296C9E"/>
    <w:rsid w:val="002A0D52"/>
    <w:rsid w:val="002A4CC0"/>
    <w:rsid w:val="002B09BA"/>
    <w:rsid w:val="002B6F7F"/>
    <w:rsid w:val="002B726B"/>
    <w:rsid w:val="002D233E"/>
    <w:rsid w:val="002D778D"/>
    <w:rsid w:val="002E1360"/>
    <w:rsid w:val="002F3D98"/>
    <w:rsid w:val="0030292E"/>
    <w:rsid w:val="00302D69"/>
    <w:rsid w:val="003142EF"/>
    <w:rsid w:val="00320B14"/>
    <w:rsid w:val="003266D7"/>
    <w:rsid w:val="00327197"/>
    <w:rsid w:val="003358DF"/>
    <w:rsid w:val="00345836"/>
    <w:rsid w:val="00363673"/>
    <w:rsid w:val="00364132"/>
    <w:rsid w:val="003671B2"/>
    <w:rsid w:val="003753E8"/>
    <w:rsid w:val="00377461"/>
    <w:rsid w:val="00377B40"/>
    <w:rsid w:val="003850CE"/>
    <w:rsid w:val="003859DC"/>
    <w:rsid w:val="00386A21"/>
    <w:rsid w:val="00392E72"/>
    <w:rsid w:val="003A1055"/>
    <w:rsid w:val="003A3AC7"/>
    <w:rsid w:val="003B0E2B"/>
    <w:rsid w:val="003C238E"/>
    <w:rsid w:val="003F2194"/>
    <w:rsid w:val="003F6486"/>
    <w:rsid w:val="004055AA"/>
    <w:rsid w:val="00406F1A"/>
    <w:rsid w:val="00410693"/>
    <w:rsid w:val="0041123C"/>
    <w:rsid w:val="004302E0"/>
    <w:rsid w:val="00430FAC"/>
    <w:rsid w:val="00437959"/>
    <w:rsid w:val="004446DB"/>
    <w:rsid w:val="00445BCF"/>
    <w:rsid w:val="00467C15"/>
    <w:rsid w:val="00487163"/>
    <w:rsid w:val="0049060C"/>
    <w:rsid w:val="00491CCE"/>
    <w:rsid w:val="004A0E72"/>
    <w:rsid w:val="004A333E"/>
    <w:rsid w:val="004A3E1B"/>
    <w:rsid w:val="004B289E"/>
    <w:rsid w:val="004B39C5"/>
    <w:rsid w:val="004B5515"/>
    <w:rsid w:val="004E3CBE"/>
    <w:rsid w:val="004E4930"/>
    <w:rsid w:val="004F2B70"/>
    <w:rsid w:val="00501CA0"/>
    <w:rsid w:val="00502958"/>
    <w:rsid w:val="00504482"/>
    <w:rsid w:val="005076D3"/>
    <w:rsid w:val="00513284"/>
    <w:rsid w:val="00534608"/>
    <w:rsid w:val="005463F4"/>
    <w:rsid w:val="00550B6B"/>
    <w:rsid w:val="0057267F"/>
    <w:rsid w:val="005751CF"/>
    <w:rsid w:val="005766D9"/>
    <w:rsid w:val="00594BC8"/>
    <w:rsid w:val="00596560"/>
    <w:rsid w:val="005A3228"/>
    <w:rsid w:val="005C7A9F"/>
    <w:rsid w:val="005D4997"/>
    <w:rsid w:val="005E3A27"/>
    <w:rsid w:val="005E75AA"/>
    <w:rsid w:val="005F0E48"/>
    <w:rsid w:val="005F5741"/>
    <w:rsid w:val="00606260"/>
    <w:rsid w:val="00606E5D"/>
    <w:rsid w:val="006103C2"/>
    <w:rsid w:val="00616E9F"/>
    <w:rsid w:val="006266B9"/>
    <w:rsid w:val="00627025"/>
    <w:rsid w:val="00646D65"/>
    <w:rsid w:val="00676E00"/>
    <w:rsid w:val="00682095"/>
    <w:rsid w:val="006837FD"/>
    <w:rsid w:val="006906FA"/>
    <w:rsid w:val="006B0804"/>
    <w:rsid w:val="006D1C21"/>
    <w:rsid w:val="006D4C9F"/>
    <w:rsid w:val="006E407D"/>
    <w:rsid w:val="00732012"/>
    <w:rsid w:val="007344DB"/>
    <w:rsid w:val="00735FF1"/>
    <w:rsid w:val="00736A0A"/>
    <w:rsid w:val="00737030"/>
    <w:rsid w:val="00740814"/>
    <w:rsid w:val="007439CC"/>
    <w:rsid w:val="00760E83"/>
    <w:rsid w:val="007650E2"/>
    <w:rsid w:val="007837C0"/>
    <w:rsid w:val="00784A5C"/>
    <w:rsid w:val="0079000F"/>
    <w:rsid w:val="0079545E"/>
    <w:rsid w:val="007969C0"/>
    <w:rsid w:val="007A6F49"/>
    <w:rsid w:val="007B6180"/>
    <w:rsid w:val="007C1C90"/>
    <w:rsid w:val="007C2F6B"/>
    <w:rsid w:val="007C4CC4"/>
    <w:rsid w:val="007D6FEF"/>
    <w:rsid w:val="007E33B7"/>
    <w:rsid w:val="007E3EC0"/>
    <w:rsid w:val="007F3A15"/>
    <w:rsid w:val="007F3C70"/>
    <w:rsid w:val="007F7968"/>
    <w:rsid w:val="00807555"/>
    <w:rsid w:val="00814856"/>
    <w:rsid w:val="00822015"/>
    <w:rsid w:val="0082305C"/>
    <w:rsid w:val="00825331"/>
    <w:rsid w:val="00827CC0"/>
    <w:rsid w:val="0087172D"/>
    <w:rsid w:val="00884D00"/>
    <w:rsid w:val="00886B58"/>
    <w:rsid w:val="008A2867"/>
    <w:rsid w:val="008A457E"/>
    <w:rsid w:val="008B1EB2"/>
    <w:rsid w:val="008B419D"/>
    <w:rsid w:val="008B6B4A"/>
    <w:rsid w:val="008C105C"/>
    <w:rsid w:val="008D3CFB"/>
    <w:rsid w:val="008E142D"/>
    <w:rsid w:val="008E2CAA"/>
    <w:rsid w:val="008E3467"/>
    <w:rsid w:val="008F78B3"/>
    <w:rsid w:val="00900E45"/>
    <w:rsid w:val="00900F4B"/>
    <w:rsid w:val="0090230A"/>
    <w:rsid w:val="00912E01"/>
    <w:rsid w:val="0091704D"/>
    <w:rsid w:val="0092075B"/>
    <w:rsid w:val="00925ECF"/>
    <w:rsid w:val="00926BE9"/>
    <w:rsid w:val="0093428B"/>
    <w:rsid w:val="00940D6C"/>
    <w:rsid w:val="00941025"/>
    <w:rsid w:val="00942395"/>
    <w:rsid w:val="0095278E"/>
    <w:rsid w:val="00960801"/>
    <w:rsid w:val="009659DC"/>
    <w:rsid w:val="00973899"/>
    <w:rsid w:val="00973D53"/>
    <w:rsid w:val="0097639D"/>
    <w:rsid w:val="00983938"/>
    <w:rsid w:val="00991331"/>
    <w:rsid w:val="009A7735"/>
    <w:rsid w:val="009B021F"/>
    <w:rsid w:val="009B51E1"/>
    <w:rsid w:val="009B6182"/>
    <w:rsid w:val="009B71E5"/>
    <w:rsid w:val="009E0F35"/>
    <w:rsid w:val="009E27DB"/>
    <w:rsid w:val="009E4089"/>
    <w:rsid w:val="009E4575"/>
    <w:rsid w:val="009F0F5D"/>
    <w:rsid w:val="009F3C2F"/>
    <w:rsid w:val="009F4FA6"/>
    <w:rsid w:val="00A14C73"/>
    <w:rsid w:val="00A161F0"/>
    <w:rsid w:val="00A1722E"/>
    <w:rsid w:val="00A35B5A"/>
    <w:rsid w:val="00A445CB"/>
    <w:rsid w:val="00A44E07"/>
    <w:rsid w:val="00A460D1"/>
    <w:rsid w:val="00A47D6C"/>
    <w:rsid w:val="00A53BB4"/>
    <w:rsid w:val="00A5612C"/>
    <w:rsid w:val="00A6077D"/>
    <w:rsid w:val="00AA6AE9"/>
    <w:rsid w:val="00AA7F78"/>
    <w:rsid w:val="00AB1B52"/>
    <w:rsid w:val="00AF01B6"/>
    <w:rsid w:val="00AF1E91"/>
    <w:rsid w:val="00AF2795"/>
    <w:rsid w:val="00AF5D7D"/>
    <w:rsid w:val="00B53147"/>
    <w:rsid w:val="00B65D81"/>
    <w:rsid w:val="00B801B0"/>
    <w:rsid w:val="00B821ED"/>
    <w:rsid w:val="00B8304B"/>
    <w:rsid w:val="00B838A5"/>
    <w:rsid w:val="00B874C7"/>
    <w:rsid w:val="00B876FB"/>
    <w:rsid w:val="00B92B12"/>
    <w:rsid w:val="00B93ABD"/>
    <w:rsid w:val="00B93F14"/>
    <w:rsid w:val="00B959EB"/>
    <w:rsid w:val="00BA7D94"/>
    <w:rsid w:val="00BB0C2F"/>
    <w:rsid w:val="00BB59F0"/>
    <w:rsid w:val="00BB6603"/>
    <w:rsid w:val="00BB7BBB"/>
    <w:rsid w:val="00BD39F2"/>
    <w:rsid w:val="00BE60B6"/>
    <w:rsid w:val="00BF2D3F"/>
    <w:rsid w:val="00BF5620"/>
    <w:rsid w:val="00C005C7"/>
    <w:rsid w:val="00C15D4C"/>
    <w:rsid w:val="00C20BE8"/>
    <w:rsid w:val="00C30777"/>
    <w:rsid w:val="00C41B3E"/>
    <w:rsid w:val="00C607DF"/>
    <w:rsid w:val="00C63604"/>
    <w:rsid w:val="00C765BB"/>
    <w:rsid w:val="00C77350"/>
    <w:rsid w:val="00C81C2D"/>
    <w:rsid w:val="00C8509C"/>
    <w:rsid w:val="00C91B48"/>
    <w:rsid w:val="00C95005"/>
    <w:rsid w:val="00CA5C03"/>
    <w:rsid w:val="00CA5E97"/>
    <w:rsid w:val="00CC1318"/>
    <w:rsid w:val="00CC58D4"/>
    <w:rsid w:val="00D219C5"/>
    <w:rsid w:val="00D24C25"/>
    <w:rsid w:val="00D35B3A"/>
    <w:rsid w:val="00D4160F"/>
    <w:rsid w:val="00D62547"/>
    <w:rsid w:val="00D66664"/>
    <w:rsid w:val="00D67C10"/>
    <w:rsid w:val="00D82F43"/>
    <w:rsid w:val="00D85DFE"/>
    <w:rsid w:val="00D86CF1"/>
    <w:rsid w:val="00D924C8"/>
    <w:rsid w:val="00D92D6F"/>
    <w:rsid w:val="00D93319"/>
    <w:rsid w:val="00DA578F"/>
    <w:rsid w:val="00DA7E14"/>
    <w:rsid w:val="00DB0DBD"/>
    <w:rsid w:val="00DB75F4"/>
    <w:rsid w:val="00DC0E77"/>
    <w:rsid w:val="00DE7948"/>
    <w:rsid w:val="00DF2459"/>
    <w:rsid w:val="00DF5273"/>
    <w:rsid w:val="00E03885"/>
    <w:rsid w:val="00E07BA9"/>
    <w:rsid w:val="00E163C7"/>
    <w:rsid w:val="00E2269C"/>
    <w:rsid w:val="00E33D49"/>
    <w:rsid w:val="00E504BF"/>
    <w:rsid w:val="00E50682"/>
    <w:rsid w:val="00E51F2D"/>
    <w:rsid w:val="00E52B52"/>
    <w:rsid w:val="00E56486"/>
    <w:rsid w:val="00E809D3"/>
    <w:rsid w:val="00E91824"/>
    <w:rsid w:val="00E95444"/>
    <w:rsid w:val="00E96F9D"/>
    <w:rsid w:val="00EA535A"/>
    <w:rsid w:val="00EA6342"/>
    <w:rsid w:val="00EC1ACD"/>
    <w:rsid w:val="00EC55BA"/>
    <w:rsid w:val="00ED0819"/>
    <w:rsid w:val="00ED348C"/>
    <w:rsid w:val="00EE4C31"/>
    <w:rsid w:val="00EE772E"/>
    <w:rsid w:val="00EF5BB6"/>
    <w:rsid w:val="00F21690"/>
    <w:rsid w:val="00F26014"/>
    <w:rsid w:val="00F3002F"/>
    <w:rsid w:val="00F429C7"/>
    <w:rsid w:val="00F42C2C"/>
    <w:rsid w:val="00F478EE"/>
    <w:rsid w:val="00F511F5"/>
    <w:rsid w:val="00F53A0B"/>
    <w:rsid w:val="00F5693E"/>
    <w:rsid w:val="00F57CF4"/>
    <w:rsid w:val="00F70868"/>
    <w:rsid w:val="00F71E37"/>
    <w:rsid w:val="00F8221F"/>
    <w:rsid w:val="00F8467C"/>
    <w:rsid w:val="00F90DE8"/>
    <w:rsid w:val="00FA074A"/>
    <w:rsid w:val="00FA46CD"/>
    <w:rsid w:val="00FB039B"/>
    <w:rsid w:val="00FB4DF5"/>
    <w:rsid w:val="00FC24A3"/>
    <w:rsid w:val="00FC5946"/>
    <w:rsid w:val="00FC5B08"/>
    <w:rsid w:val="00FD2C05"/>
    <w:rsid w:val="00FE17A2"/>
    <w:rsid w:val="00FE48B5"/>
    <w:rsid w:val="00FE7356"/>
    <w:rsid w:val="00FF6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9D"/>
    <w:rPr>
      <w:rFonts w:ascii="Book Antiqua" w:hAnsi="Book Antiqua"/>
      <w:sz w:val="24"/>
    </w:rPr>
  </w:style>
  <w:style w:type="paragraph" w:styleId="Heading1">
    <w:name w:val="heading 1"/>
    <w:basedOn w:val="Normal"/>
    <w:next w:val="TEXT"/>
    <w:qFormat/>
    <w:rsid w:val="0001428C"/>
    <w:pPr>
      <w:keepNext/>
      <w:numPr>
        <w:numId w:val="7"/>
      </w:numPr>
      <w:tabs>
        <w:tab w:val="clear" w:pos="1008"/>
        <w:tab w:val="num" w:pos="1800"/>
      </w:tabs>
      <w:spacing w:before="240"/>
      <w:ind w:left="1800" w:right="763" w:hanging="360"/>
      <w:jc w:val="center"/>
      <w:outlineLvl w:val="0"/>
    </w:pPr>
    <w:rPr>
      <w:rFonts w:ascii="Arial" w:hAnsi="Arial"/>
      <w:b/>
      <w:caps/>
      <w:kern w:val="28"/>
      <w:sz w:val="22"/>
    </w:rPr>
  </w:style>
  <w:style w:type="paragraph" w:styleId="Heading2">
    <w:name w:val="heading 2"/>
    <w:basedOn w:val="Normal"/>
    <w:next w:val="TEXT"/>
    <w:qFormat/>
    <w:rsid w:val="0001428C"/>
    <w:pPr>
      <w:keepNext/>
      <w:numPr>
        <w:ilvl w:val="1"/>
        <w:numId w:val="7"/>
      </w:numPr>
      <w:tabs>
        <w:tab w:val="clear" w:pos="1440"/>
        <w:tab w:val="num" w:pos="1800"/>
      </w:tabs>
      <w:spacing w:before="240"/>
      <w:ind w:left="1800" w:right="763" w:hanging="360"/>
      <w:jc w:val="both"/>
      <w:outlineLvl w:val="1"/>
    </w:pPr>
    <w:rPr>
      <w:rFonts w:ascii="Arial" w:hAnsi="Arial"/>
      <w:b/>
      <w:sz w:val="22"/>
    </w:rPr>
  </w:style>
  <w:style w:type="paragraph" w:styleId="Heading3">
    <w:name w:val="heading 3"/>
    <w:basedOn w:val="Normal"/>
    <w:next w:val="TEXT"/>
    <w:qFormat/>
    <w:rsid w:val="0001428C"/>
    <w:pPr>
      <w:keepNext/>
      <w:numPr>
        <w:ilvl w:val="2"/>
        <w:numId w:val="7"/>
      </w:numPr>
      <w:tabs>
        <w:tab w:val="clear" w:pos="2160"/>
        <w:tab w:val="num" w:pos="1800"/>
      </w:tabs>
      <w:spacing w:before="240" w:after="60"/>
      <w:ind w:left="1800" w:right="756" w:hanging="360"/>
      <w:jc w:val="both"/>
      <w:outlineLvl w:val="2"/>
    </w:pPr>
    <w:rPr>
      <w:b/>
    </w:rPr>
  </w:style>
  <w:style w:type="paragraph" w:styleId="Heading4">
    <w:name w:val="heading 4"/>
    <w:basedOn w:val="Normal"/>
    <w:next w:val="TEXT"/>
    <w:qFormat/>
    <w:rsid w:val="0001428C"/>
    <w:pPr>
      <w:keepNext/>
      <w:numPr>
        <w:ilvl w:val="3"/>
        <w:numId w:val="7"/>
      </w:numPr>
      <w:tabs>
        <w:tab w:val="clear" w:pos="2880"/>
        <w:tab w:val="num" w:pos="1800"/>
      </w:tabs>
      <w:spacing w:before="240"/>
      <w:ind w:left="1800" w:right="763" w:hanging="360"/>
      <w:outlineLvl w:val="3"/>
    </w:pPr>
    <w:rPr>
      <w:b/>
      <w:i/>
    </w:rPr>
  </w:style>
  <w:style w:type="paragraph" w:styleId="Heading5">
    <w:name w:val="heading 5"/>
    <w:basedOn w:val="Normal"/>
    <w:next w:val="TEXT"/>
    <w:qFormat/>
    <w:rsid w:val="0001428C"/>
    <w:pPr>
      <w:numPr>
        <w:ilvl w:val="4"/>
        <w:numId w:val="7"/>
      </w:numPr>
      <w:tabs>
        <w:tab w:val="clear" w:pos="3600"/>
        <w:tab w:val="num" w:pos="1800"/>
      </w:tabs>
      <w:spacing w:before="240"/>
      <w:ind w:left="1800" w:right="763" w:hanging="360"/>
      <w:outlineLvl w:val="4"/>
    </w:pPr>
    <w:rPr>
      <w:bCs/>
      <w:i/>
      <w:iCs/>
      <w:szCs w:val="26"/>
    </w:rPr>
  </w:style>
  <w:style w:type="paragraph" w:styleId="Heading7">
    <w:name w:val="heading 7"/>
    <w:basedOn w:val="Normal"/>
    <w:next w:val="Normal"/>
    <w:qFormat/>
    <w:rsid w:val="00302D69"/>
    <w:pPr>
      <w:keepNext/>
      <w:outlineLvl w:val="6"/>
    </w:pPr>
    <w:rPr>
      <w:b/>
      <w:smallCaps/>
    </w:rPr>
  </w:style>
  <w:style w:type="paragraph" w:styleId="Heading8">
    <w:name w:val="heading 8"/>
    <w:basedOn w:val="Normal"/>
    <w:next w:val="Normal"/>
    <w:qFormat/>
    <w:rsid w:val="00302D69"/>
    <w:pPr>
      <w:keepNext/>
      <w:ind w:left="2160" w:hanging="720"/>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428C"/>
    <w:pPr>
      <w:tabs>
        <w:tab w:val="center" w:pos="4320"/>
        <w:tab w:val="right" w:pos="8640"/>
      </w:tabs>
    </w:pPr>
  </w:style>
  <w:style w:type="paragraph" w:styleId="FootnoteText">
    <w:name w:val="footnote text"/>
    <w:basedOn w:val="Normal"/>
    <w:semiHidden/>
    <w:rsid w:val="0001428C"/>
    <w:pPr>
      <w:keepLines/>
      <w:tabs>
        <w:tab w:val="left" w:pos="-2070"/>
        <w:tab w:val="left" w:pos="540"/>
      </w:tabs>
      <w:spacing w:before="120"/>
      <w:ind w:firstLine="360"/>
      <w:jc w:val="both"/>
    </w:pPr>
    <w:rPr>
      <w:sz w:val="20"/>
    </w:rPr>
  </w:style>
  <w:style w:type="paragraph" w:styleId="BodyText">
    <w:name w:val="Body Text"/>
    <w:basedOn w:val="Normal"/>
    <w:rsid w:val="00302D69"/>
    <w:pPr>
      <w:widowControl w:val="0"/>
      <w:tabs>
        <w:tab w:val="left" w:pos="360"/>
      </w:tabs>
    </w:pPr>
    <w:rPr>
      <w:smallCaps/>
      <w:color w:val="000000"/>
    </w:rPr>
  </w:style>
  <w:style w:type="paragraph" w:styleId="Footer">
    <w:name w:val="footer"/>
    <w:basedOn w:val="Normal"/>
    <w:rsid w:val="0001428C"/>
    <w:pPr>
      <w:tabs>
        <w:tab w:val="center" w:pos="4320"/>
        <w:tab w:val="right" w:pos="8640"/>
      </w:tabs>
    </w:pPr>
    <w:rPr>
      <w:sz w:val="20"/>
    </w:rPr>
  </w:style>
  <w:style w:type="paragraph" w:customStyle="1" w:styleId="pleadingtext">
    <w:name w:val="pleading text"/>
    <w:basedOn w:val="Normal"/>
    <w:rsid w:val="00C77350"/>
    <w:pPr>
      <w:spacing w:line="480" w:lineRule="atLeast"/>
      <w:ind w:firstLine="1440"/>
      <w:jc w:val="both"/>
    </w:pPr>
  </w:style>
  <w:style w:type="paragraph" w:styleId="DocumentMap">
    <w:name w:val="Document Map"/>
    <w:basedOn w:val="Normal"/>
    <w:semiHidden/>
    <w:rsid w:val="0001428C"/>
    <w:pPr>
      <w:shd w:val="clear" w:color="auto" w:fill="000080"/>
    </w:pPr>
    <w:rPr>
      <w:rFonts w:ascii="Tahoma" w:hAnsi="Tahoma"/>
    </w:rPr>
  </w:style>
  <w:style w:type="character" w:styleId="PageNumber">
    <w:name w:val="page number"/>
    <w:basedOn w:val="DefaultParagraphFont"/>
    <w:rsid w:val="0001428C"/>
  </w:style>
  <w:style w:type="character" w:styleId="FootnoteReference">
    <w:name w:val="footnote reference"/>
    <w:basedOn w:val="DefaultParagraphFont"/>
    <w:semiHidden/>
    <w:rsid w:val="0001428C"/>
    <w:rPr>
      <w:position w:val="6"/>
      <w:sz w:val="16"/>
    </w:rPr>
  </w:style>
  <w:style w:type="paragraph" w:customStyle="1" w:styleId="TEXT">
    <w:name w:val="TEXT"/>
    <w:basedOn w:val="Normal"/>
    <w:rsid w:val="0001428C"/>
    <w:pPr>
      <w:spacing w:before="240" w:line="480" w:lineRule="atLeast"/>
      <w:ind w:firstLine="1440"/>
      <w:jc w:val="both"/>
    </w:pPr>
  </w:style>
  <w:style w:type="paragraph" w:styleId="TOAHeading">
    <w:name w:val="toa heading"/>
    <w:basedOn w:val="Normal"/>
    <w:next w:val="Normal"/>
    <w:semiHidden/>
    <w:rsid w:val="0001428C"/>
    <w:pPr>
      <w:keepNext/>
      <w:widowControl w:val="0"/>
      <w:tabs>
        <w:tab w:val="right" w:leader="dot" w:pos="9206"/>
      </w:tabs>
      <w:spacing w:before="240"/>
      <w:jc w:val="center"/>
    </w:pPr>
    <w:rPr>
      <w:rFonts w:ascii="Times New Roman" w:hAnsi="Times New Roman"/>
      <w:b/>
      <w:smallCaps/>
    </w:rPr>
  </w:style>
  <w:style w:type="paragraph" w:styleId="TOC1">
    <w:name w:val="toc 1"/>
    <w:basedOn w:val="Normal"/>
    <w:next w:val="Normal"/>
    <w:autoRedefine/>
    <w:semiHidden/>
    <w:rsid w:val="0001428C"/>
    <w:pPr>
      <w:tabs>
        <w:tab w:val="right" w:leader="dot" w:pos="9180"/>
      </w:tabs>
      <w:spacing w:before="60"/>
      <w:ind w:left="547" w:right="1296" w:hanging="547"/>
    </w:pPr>
    <w:rPr>
      <w:rFonts w:ascii="Times New Roman" w:hAnsi="Times New Roman"/>
      <w:noProof/>
    </w:rPr>
  </w:style>
  <w:style w:type="character" w:styleId="Hyperlink">
    <w:name w:val="Hyperlink"/>
    <w:basedOn w:val="DefaultParagraphFont"/>
    <w:uiPriority w:val="99"/>
    <w:rsid w:val="0001428C"/>
    <w:rPr>
      <w:color w:val="0000FF"/>
      <w:u w:val="single"/>
    </w:rPr>
  </w:style>
  <w:style w:type="paragraph" w:styleId="TOC2">
    <w:name w:val="toc 2"/>
    <w:basedOn w:val="Normal"/>
    <w:next w:val="Normal"/>
    <w:autoRedefine/>
    <w:semiHidden/>
    <w:rsid w:val="0001428C"/>
    <w:pPr>
      <w:tabs>
        <w:tab w:val="right" w:leader="dot" w:pos="9180"/>
      </w:tabs>
      <w:spacing w:before="60"/>
      <w:ind w:left="1080" w:right="2016" w:hanging="533"/>
    </w:pPr>
    <w:rPr>
      <w:rFonts w:ascii="Times New Roman" w:hAnsi="Times New Roman"/>
      <w:noProof/>
    </w:rPr>
  </w:style>
  <w:style w:type="paragraph" w:styleId="TOC3">
    <w:name w:val="toc 3"/>
    <w:basedOn w:val="Normal"/>
    <w:next w:val="Normal"/>
    <w:autoRedefine/>
    <w:semiHidden/>
    <w:rsid w:val="0001428C"/>
    <w:pPr>
      <w:tabs>
        <w:tab w:val="right" w:leader="dot" w:pos="9180"/>
      </w:tabs>
      <w:spacing w:before="60"/>
      <w:ind w:left="1627" w:right="2016" w:hanging="547"/>
    </w:pPr>
    <w:rPr>
      <w:rFonts w:ascii="Times New Roman" w:hAnsi="Times New Roman"/>
      <w:i/>
      <w:noProof/>
    </w:rPr>
  </w:style>
  <w:style w:type="paragraph" w:styleId="TOC4">
    <w:name w:val="toc 4"/>
    <w:basedOn w:val="Normal"/>
    <w:next w:val="Normal"/>
    <w:autoRedefine/>
    <w:semiHidden/>
    <w:rsid w:val="0001428C"/>
    <w:pPr>
      <w:tabs>
        <w:tab w:val="right" w:pos="8460"/>
        <w:tab w:val="right" w:pos="9180"/>
      </w:tabs>
      <w:ind w:left="2700" w:right="2016" w:hanging="720"/>
    </w:pPr>
    <w:rPr>
      <w:rFonts w:ascii="Times New Roman" w:hAnsi="Times New Roman"/>
      <w:i/>
    </w:rPr>
  </w:style>
  <w:style w:type="paragraph" w:styleId="TableofAuthorities">
    <w:name w:val="table of authorities"/>
    <w:basedOn w:val="Normal"/>
    <w:next w:val="Normal"/>
    <w:semiHidden/>
    <w:rsid w:val="0001428C"/>
    <w:pPr>
      <w:tabs>
        <w:tab w:val="right" w:leader="dot" w:pos="9180"/>
      </w:tabs>
      <w:ind w:left="360" w:right="2016" w:hanging="360"/>
    </w:pPr>
    <w:rPr>
      <w:rFonts w:ascii="Times New Roman" w:hAnsi="Times New Roman"/>
      <w:noProof/>
    </w:rPr>
  </w:style>
  <w:style w:type="paragraph" w:styleId="Index1">
    <w:name w:val="index 1"/>
    <w:basedOn w:val="Normal"/>
    <w:next w:val="Normal"/>
    <w:autoRedefine/>
    <w:semiHidden/>
    <w:rsid w:val="0001428C"/>
    <w:pPr>
      <w:ind w:left="240" w:hanging="240"/>
    </w:pPr>
  </w:style>
  <w:style w:type="paragraph" w:customStyle="1" w:styleId="indentedquote">
    <w:name w:val="indented quote"/>
    <w:basedOn w:val="Normal"/>
    <w:rsid w:val="0001428C"/>
    <w:pPr>
      <w:spacing w:before="240"/>
      <w:ind w:left="1440" w:right="1440"/>
      <w:jc w:val="both"/>
    </w:pPr>
  </w:style>
  <w:style w:type="character" w:styleId="LineNumber">
    <w:name w:val="line number"/>
    <w:basedOn w:val="DefaultParagraphFont"/>
    <w:rsid w:val="0001428C"/>
  </w:style>
  <w:style w:type="paragraph" w:styleId="TOC7">
    <w:name w:val="toc 7"/>
    <w:basedOn w:val="Normal"/>
    <w:next w:val="Normal"/>
    <w:autoRedefine/>
    <w:semiHidden/>
    <w:rsid w:val="007E33B7"/>
    <w:pPr>
      <w:ind w:left="1440"/>
    </w:pPr>
    <w:rPr>
      <w:rFonts w:ascii="Times New Roman" w:hAnsi="Times New Roman"/>
    </w:rPr>
  </w:style>
  <w:style w:type="paragraph" w:styleId="BalloonText">
    <w:name w:val="Balloon Text"/>
    <w:basedOn w:val="Normal"/>
    <w:semiHidden/>
    <w:rsid w:val="00F21690"/>
    <w:rPr>
      <w:rFonts w:ascii="Tahoma" w:hAnsi="Tahoma" w:cs="Tahoma"/>
      <w:sz w:val="16"/>
      <w:szCs w:val="16"/>
    </w:rPr>
  </w:style>
  <w:style w:type="paragraph" w:customStyle="1" w:styleId="Memo">
    <w:name w:val="Memo"/>
    <w:basedOn w:val="Normal"/>
    <w:rsid w:val="0004493F"/>
    <w:pPr>
      <w:tabs>
        <w:tab w:val="left" w:pos="360"/>
      </w:tabs>
      <w:ind w:left="720" w:hanging="720"/>
    </w:pPr>
    <w:rPr>
      <w:rFonts w:ascii="Times" w:hAnsi="Times"/>
      <w:sz w:val="18"/>
    </w:rPr>
  </w:style>
  <w:style w:type="numbering" w:customStyle="1" w:styleId="CurrentList1">
    <w:name w:val="Current List1"/>
    <w:rsid w:val="00F71E37"/>
  </w:style>
  <w:style w:type="character" w:customStyle="1" w:styleId="EmailStyle38">
    <w:name w:val="EmailStyle381"/>
    <w:aliases w:val="EmailStyle381"/>
    <w:basedOn w:val="DefaultParagraphFont"/>
    <w:semiHidden/>
    <w:personal/>
    <w:personalCompose/>
    <w:rsid w:val="00550B6B"/>
    <w:rPr>
      <w:rFonts w:ascii="Arial" w:hAnsi="Arial" w:cs="Arial"/>
      <w:color w:val="auto"/>
      <w:sz w:val="20"/>
      <w:szCs w:val="20"/>
      <w:u w:val="none"/>
    </w:rPr>
  </w:style>
</w:styles>
</file>

<file path=word/webSettings.xml><?xml version="1.0" encoding="utf-8"?>
<w:webSettings xmlns:r="http://schemas.openxmlformats.org/officeDocument/2006/relationships" xmlns:w="http://schemas.openxmlformats.org/wordprocessingml/2006/main">
  <w:divs>
    <w:div w:id="884757829">
      <w:bodyDiv w:val="1"/>
      <w:marLeft w:val="0"/>
      <w:marRight w:val="0"/>
      <w:marTop w:val="0"/>
      <w:marBottom w:val="0"/>
      <w:divBdr>
        <w:top w:val="none" w:sz="0" w:space="0" w:color="auto"/>
        <w:left w:val="none" w:sz="0" w:space="0" w:color="auto"/>
        <w:bottom w:val="none" w:sz="0" w:space="0" w:color="auto"/>
        <w:right w:val="none" w:sz="0" w:space="0" w:color="auto"/>
      </w:divBdr>
    </w:div>
    <w:div w:id="886914920">
      <w:bodyDiv w:val="1"/>
      <w:marLeft w:val="0"/>
      <w:marRight w:val="0"/>
      <w:marTop w:val="0"/>
      <w:marBottom w:val="0"/>
      <w:divBdr>
        <w:top w:val="none" w:sz="0" w:space="0" w:color="auto"/>
        <w:left w:val="none" w:sz="0" w:space="0" w:color="auto"/>
        <w:bottom w:val="none" w:sz="0" w:space="0" w:color="auto"/>
        <w:right w:val="none" w:sz="0" w:space="0" w:color="auto"/>
      </w:divBdr>
    </w:div>
    <w:div w:id="1956789051">
      <w:bodyDiv w:val="1"/>
      <w:marLeft w:val="0"/>
      <w:marRight w:val="0"/>
      <w:marTop w:val="0"/>
      <w:marBottom w:val="0"/>
      <w:divBdr>
        <w:top w:val="none" w:sz="0" w:space="0" w:color="auto"/>
        <w:left w:val="none" w:sz="0" w:space="0" w:color="auto"/>
        <w:bottom w:val="none" w:sz="0" w:space="0" w:color="auto"/>
        <w:right w:val="none" w:sz="0" w:space="0" w:color="auto"/>
      </w:divBdr>
    </w:div>
    <w:div w:id="21258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ecords@wutc.wa.gov"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eresa.SYLAW\Application%20Data\Microsoft\Templates\SYMS%20Templates\Letter-J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2004-11-17T08:00:00+00:00</OpenedDate>
    <Date1 xmlns="dc463f71-b30c-4ab2-9473-d307f9d35888">2012-02-02T08:00:00+00:00</Date1>
    <IsDocumentOrder xmlns="dc463f71-b30c-4ab2-9473-d307f9d35888" xsi:nil="true"/>
    <IsHighlyConfidential xmlns="dc463f71-b30c-4ab2-9473-d307f9d35888">false</IsHighlyConfidential>
    <CaseCompanyNames xmlns="dc463f71-b30c-4ab2-9473-d307f9d35888">AT&amp;T Communications of the Pacific Northwest, Inc.;T-Netix, Inc.</CaseCompanyNames>
    <DocketNumber xmlns="dc463f71-b30c-4ab2-9473-d307f9d35888">042022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34CB9233C84ABE00426E996B4763" ma:contentTypeVersion="136" ma:contentTypeDescription="" ma:contentTypeScope="" ma:versionID="94c5740cf05eb6382d764a4bd3e642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09BE7-0BED-44F4-9A5C-FCD248D826D2}"/>
</file>

<file path=customXml/itemProps2.xml><?xml version="1.0" encoding="utf-8"?>
<ds:datastoreItem xmlns:ds="http://schemas.openxmlformats.org/officeDocument/2006/customXml" ds:itemID="{CB60D256-0D48-4838-8689-BF5F8AA50FDE}"/>
</file>

<file path=customXml/itemProps3.xml><?xml version="1.0" encoding="utf-8"?>
<ds:datastoreItem xmlns:ds="http://schemas.openxmlformats.org/officeDocument/2006/customXml" ds:itemID="{780525DD-9976-4FF2-8018-6FF330CCE4AF}"/>
</file>

<file path=customXml/itemProps4.xml><?xml version="1.0" encoding="utf-8"?>
<ds:datastoreItem xmlns:ds="http://schemas.openxmlformats.org/officeDocument/2006/customXml" ds:itemID="{1944B6A2-21CA-45D5-9351-A05DDAC2090D}"/>
</file>

<file path=docProps/app.xml><?xml version="1.0" encoding="utf-8"?>
<Properties xmlns="http://schemas.openxmlformats.org/officeDocument/2006/extended-properties" xmlns:vt="http://schemas.openxmlformats.org/officeDocument/2006/docPropsVTypes">
  <Template>Letter-JPM</Template>
  <TotalTime>333</TotalTime>
  <Pages>6</Pages>
  <Words>1549</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9882</CharactersWithSpaces>
  <SharedDoc>false</SharedDoc>
  <HLinks>
    <vt:vector size="6" baseType="variant">
      <vt:variant>
        <vt:i4>3080260</vt:i4>
      </vt:variant>
      <vt:variant>
        <vt:i4>3</vt:i4>
      </vt:variant>
      <vt:variant>
        <vt:i4>0</vt:i4>
      </vt:variant>
      <vt:variant>
        <vt:i4>5</vt:i4>
      </vt:variant>
      <vt:variant>
        <vt:lpwstr>mailto:records@wutc.wa.gov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Lesch</dc:creator>
  <cp:lastModifiedBy>Theresa Redfern</cp:lastModifiedBy>
  <cp:revision>6</cp:revision>
  <cp:lastPrinted>2012-02-02T20:54:00Z</cp:lastPrinted>
  <dcterms:created xsi:type="dcterms:W3CDTF">2012-02-02T19:16:00Z</dcterms:created>
  <dcterms:modified xsi:type="dcterms:W3CDTF">2012-02-03T01:35:00Z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0x0101006E56B4D1795A2E4DB2F0B01679ED314A004B6134CB9233C84ABE00426E996B4763</vt:lpwstr>
  </property>
  <property fmtid="{D5CDD505-2E9C-101B-9397-08002B2CF9AE}" pid="3" name="_docset_NoMedatataSyncRequired">
    <vt:lpwstr>False</vt:lpwstr>
  </property>
</Properties>
</file>