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4B4" w:rsidRPr="004514B4" w:rsidRDefault="004514B4" w:rsidP="00BA4220">
      <w:pPr>
        <w:rPr>
          <w:rFonts w:ascii="Arial" w:hAnsi="Arial" w:cs="Arial"/>
          <w:b/>
          <w:iCs/>
          <w:sz w:val="20"/>
          <w:szCs w:val="20"/>
        </w:rPr>
      </w:pPr>
      <w:r w:rsidRPr="004514B4">
        <w:rPr>
          <w:rFonts w:ascii="Arial" w:hAnsi="Arial" w:cs="Arial"/>
          <w:b/>
          <w:iCs/>
          <w:sz w:val="20"/>
          <w:szCs w:val="20"/>
        </w:rPr>
        <w:t>FERC Accounts 134122 – Other Special Deposits Mizuho and 134123 – Other Special Deposits Wells</w:t>
      </w:r>
    </w:p>
    <w:p w:rsidR="004514B4" w:rsidRDefault="004514B4" w:rsidP="00BA4220">
      <w:pPr>
        <w:rPr>
          <w:rFonts w:ascii="Arial" w:hAnsi="Arial" w:cs="Arial"/>
          <w:iCs/>
          <w:sz w:val="20"/>
          <w:szCs w:val="20"/>
        </w:rPr>
      </w:pPr>
    </w:p>
    <w:p w:rsidR="00603723" w:rsidRDefault="00BA4220" w:rsidP="00BA4220">
      <w:pPr>
        <w:rPr>
          <w:rFonts w:ascii="Arial" w:hAnsi="Arial" w:cs="Arial"/>
          <w:iCs/>
          <w:sz w:val="20"/>
          <w:szCs w:val="20"/>
        </w:rPr>
      </w:pPr>
      <w:r w:rsidRPr="00BA4220">
        <w:rPr>
          <w:rFonts w:ascii="Arial" w:hAnsi="Arial" w:cs="Arial"/>
          <w:iCs/>
          <w:sz w:val="20"/>
          <w:szCs w:val="20"/>
        </w:rPr>
        <w:t>Wells Fargo Securities, LLC</w:t>
      </w:r>
      <w:r>
        <w:rPr>
          <w:rFonts w:ascii="Arial" w:hAnsi="Arial" w:cs="Arial"/>
          <w:iCs/>
          <w:sz w:val="20"/>
          <w:szCs w:val="20"/>
        </w:rPr>
        <w:t xml:space="preserve"> (Wells)</w:t>
      </w:r>
      <w:r w:rsidRPr="00BA4220">
        <w:rPr>
          <w:rFonts w:ascii="Arial" w:hAnsi="Arial" w:cs="Arial"/>
          <w:iCs/>
          <w:sz w:val="20"/>
          <w:szCs w:val="20"/>
        </w:rPr>
        <w:t xml:space="preserve"> and Miz</w:t>
      </w:r>
      <w:r w:rsidR="00D247CF">
        <w:rPr>
          <w:rFonts w:ascii="Arial" w:hAnsi="Arial" w:cs="Arial"/>
          <w:iCs/>
          <w:sz w:val="20"/>
          <w:szCs w:val="20"/>
        </w:rPr>
        <w:t>uh</w:t>
      </w:r>
      <w:r w:rsidRPr="00BA4220">
        <w:rPr>
          <w:rFonts w:ascii="Arial" w:hAnsi="Arial" w:cs="Arial"/>
          <w:iCs/>
          <w:sz w:val="20"/>
          <w:szCs w:val="20"/>
        </w:rPr>
        <w:t>o Securities USA, LLC</w:t>
      </w:r>
      <w:r>
        <w:rPr>
          <w:rFonts w:ascii="Arial" w:hAnsi="Arial" w:cs="Arial"/>
          <w:iCs/>
          <w:sz w:val="20"/>
          <w:szCs w:val="20"/>
        </w:rPr>
        <w:t xml:space="preserve"> (Mizuho)</w:t>
      </w:r>
      <w:r w:rsidRPr="00BA4220">
        <w:rPr>
          <w:rFonts w:ascii="Arial" w:hAnsi="Arial" w:cs="Arial"/>
          <w:iCs/>
          <w:sz w:val="20"/>
          <w:szCs w:val="20"/>
        </w:rPr>
        <w:t xml:space="preserve"> are registered futures commission merchants (FCM) with the Commodity Futures Trading Commission (CFTC) and members of the National Futures Association</w:t>
      </w:r>
      <w:r w:rsidR="00957145">
        <w:rPr>
          <w:rFonts w:ascii="Arial" w:hAnsi="Arial" w:cs="Arial"/>
          <w:iCs/>
          <w:sz w:val="20"/>
          <w:szCs w:val="20"/>
        </w:rPr>
        <w:t xml:space="preserve"> (NFA)</w:t>
      </w:r>
      <w:r w:rsidRPr="00BA4220">
        <w:rPr>
          <w:rFonts w:ascii="Arial" w:hAnsi="Arial" w:cs="Arial"/>
          <w:iCs/>
          <w:sz w:val="20"/>
          <w:szCs w:val="20"/>
        </w:rPr>
        <w:t xml:space="preserve">.  Avista transacts futures-based swaps for power and natural gas, through ICE (Intercontinental Exchange) Futures Europe, one of the derivative exchanges and Swap Execution Facilities </w:t>
      </w:r>
      <w:r w:rsidR="00466B5C">
        <w:rPr>
          <w:rFonts w:ascii="Arial" w:hAnsi="Arial" w:cs="Arial"/>
          <w:iCs/>
          <w:sz w:val="20"/>
          <w:szCs w:val="20"/>
        </w:rPr>
        <w:t>whom</w:t>
      </w:r>
      <w:r w:rsidRPr="00BA4220">
        <w:rPr>
          <w:rFonts w:ascii="Arial" w:hAnsi="Arial" w:cs="Arial"/>
          <w:iCs/>
          <w:sz w:val="20"/>
          <w:szCs w:val="20"/>
        </w:rPr>
        <w:t xml:space="preserve"> both Wells and Mizuho are</w:t>
      </w:r>
      <w:r w:rsidR="00466B5C">
        <w:rPr>
          <w:rFonts w:ascii="Arial" w:hAnsi="Arial" w:cs="Arial"/>
          <w:iCs/>
          <w:sz w:val="20"/>
          <w:szCs w:val="20"/>
        </w:rPr>
        <w:t xml:space="preserve"> clearing</w:t>
      </w:r>
      <w:r w:rsidRPr="00BA4220">
        <w:rPr>
          <w:rFonts w:ascii="Arial" w:hAnsi="Arial" w:cs="Arial"/>
          <w:iCs/>
          <w:sz w:val="20"/>
          <w:szCs w:val="20"/>
        </w:rPr>
        <w:t xml:space="preserve"> members.  </w:t>
      </w:r>
    </w:p>
    <w:p w:rsidR="00603723" w:rsidRDefault="00603723" w:rsidP="00BA4220">
      <w:pPr>
        <w:rPr>
          <w:rFonts w:ascii="Arial" w:hAnsi="Arial" w:cs="Arial"/>
          <w:iCs/>
          <w:sz w:val="20"/>
          <w:szCs w:val="20"/>
        </w:rPr>
      </w:pPr>
    </w:p>
    <w:p w:rsidR="00466B5C" w:rsidRPr="00BA4220" w:rsidRDefault="00466B5C" w:rsidP="00BA4220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Clearing members stand in the middle of each trade and become the central counterparty to the trade, thereby guaranteeing financial performance of the contract</w:t>
      </w:r>
      <w:r w:rsidR="00A6660F">
        <w:rPr>
          <w:rFonts w:ascii="Arial" w:hAnsi="Arial" w:cs="Arial"/>
          <w:iCs/>
          <w:sz w:val="20"/>
          <w:szCs w:val="20"/>
        </w:rPr>
        <w:t>,</w:t>
      </w:r>
      <w:r w:rsidR="00885F46">
        <w:rPr>
          <w:rFonts w:ascii="Arial" w:hAnsi="Arial" w:cs="Arial"/>
          <w:iCs/>
          <w:sz w:val="20"/>
          <w:szCs w:val="20"/>
        </w:rPr>
        <w:t xml:space="preserve"> mitigating counterparty risk for Avista</w:t>
      </w:r>
      <w:r w:rsidR="00A6660F">
        <w:rPr>
          <w:rFonts w:ascii="Arial" w:hAnsi="Arial" w:cs="Arial"/>
          <w:iCs/>
          <w:sz w:val="20"/>
          <w:szCs w:val="20"/>
        </w:rPr>
        <w:t>, and provid</w:t>
      </w:r>
      <w:r w:rsidR="004514B4">
        <w:rPr>
          <w:rFonts w:ascii="Arial" w:hAnsi="Arial" w:cs="Arial"/>
          <w:iCs/>
          <w:sz w:val="20"/>
          <w:szCs w:val="20"/>
        </w:rPr>
        <w:t>ing</w:t>
      </w:r>
      <w:r w:rsidR="00A6660F">
        <w:rPr>
          <w:rFonts w:ascii="Arial" w:hAnsi="Arial" w:cs="Arial"/>
          <w:iCs/>
          <w:sz w:val="20"/>
          <w:szCs w:val="20"/>
        </w:rPr>
        <w:t xml:space="preserve"> more liquid markets</w:t>
      </w:r>
      <w:r w:rsidR="00885F46">
        <w:rPr>
          <w:rFonts w:ascii="Arial" w:hAnsi="Arial" w:cs="Arial"/>
          <w:iCs/>
          <w:sz w:val="20"/>
          <w:szCs w:val="20"/>
        </w:rPr>
        <w:t xml:space="preserve">.  </w:t>
      </w:r>
      <w:r>
        <w:rPr>
          <w:rFonts w:ascii="Arial" w:hAnsi="Arial" w:cs="Arial"/>
          <w:iCs/>
          <w:sz w:val="20"/>
          <w:szCs w:val="20"/>
        </w:rPr>
        <w:t>T</w:t>
      </w:r>
      <w:r w:rsidRPr="00BA4220">
        <w:rPr>
          <w:rFonts w:ascii="Arial" w:hAnsi="Arial" w:cs="Arial"/>
          <w:iCs/>
          <w:sz w:val="20"/>
          <w:szCs w:val="20"/>
        </w:rPr>
        <w:t xml:space="preserve">ransactions </w:t>
      </w:r>
      <w:r>
        <w:rPr>
          <w:rFonts w:ascii="Arial" w:hAnsi="Arial" w:cs="Arial"/>
          <w:iCs/>
          <w:sz w:val="20"/>
          <w:szCs w:val="20"/>
        </w:rPr>
        <w:t xml:space="preserve">executed on these exchanges </w:t>
      </w:r>
      <w:r w:rsidRPr="00BA4220">
        <w:rPr>
          <w:rFonts w:ascii="Arial" w:hAnsi="Arial" w:cs="Arial"/>
          <w:iCs/>
          <w:sz w:val="20"/>
          <w:szCs w:val="20"/>
        </w:rPr>
        <w:t xml:space="preserve">are </w:t>
      </w:r>
      <w:r>
        <w:rPr>
          <w:rFonts w:ascii="Arial" w:hAnsi="Arial" w:cs="Arial"/>
          <w:iCs/>
          <w:sz w:val="20"/>
          <w:szCs w:val="20"/>
        </w:rPr>
        <w:t xml:space="preserve">financially </w:t>
      </w:r>
      <w:r w:rsidRPr="00BA4220">
        <w:rPr>
          <w:rFonts w:ascii="Arial" w:hAnsi="Arial" w:cs="Arial"/>
          <w:iCs/>
          <w:sz w:val="20"/>
          <w:szCs w:val="20"/>
        </w:rPr>
        <w:t>cleared through either Wells or Mizuho. </w:t>
      </w:r>
      <w:r w:rsidR="00885F46">
        <w:rPr>
          <w:rFonts w:ascii="Arial" w:hAnsi="Arial" w:cs="Arial"/>
          <w:iCs/>
          <w:sz w:val="20"/>
          <w:szCs w:val="20"/>
        </w:rPr>
        <w:t xml:space="preserve">There are stringent requirements including minimum capital levels, operational and technical abilities, and risk management competence that FCM’s must meet and maintain to be clearing members.  </w:t>
      </w:r>
    </w:p>
    <w:p w:rsidR="00BA4220" w:rsidRPr="00BA4220" w:rsidRDefault="00BA4220" w:rsidP="00BA4220">
      <w:pPr>
        <w:rPr>
          <w:rFonts w:ascii="Arial" w:hAnsi="Arial" w:cs="Arial"/>
          <w:iCs/>
          <w:sz w:val="20"/>
          <w:szCs w:val="20"/>
        </w:rPr>
      </w:pPr>
    </w:p>
    <w:p w:rsidR="00BA4220" w:rsidRDefault="00BA4220" w:rsidP="00BA4220">
      <w:pPr>
        <w:rPr>
          <w:rFonts w:ascii="Arial" w:hAnsi="Arial" w:cs="Arial"/>
          <w:iCs/>
          <w:sz w:val="20"/>
          <w:szCs w:val="20"/>
        </w:rPr>
      </w:pPr>
      <w:r w:rsidRPr="00BA4220">
        <w:rPr>
          <w:rFonts w:ascii="Arial" w:hAnsi="Arial" w:cs="Arial"/>
          <w:iCs/>
          <w:sz w:val="20"/>
          <w:szCs w:val="20"/>
        </w:rPr>
        <w:t xml:space="preserve">When Avista enters into a financial transaction, the transaction is assessed initial margin, based on published rates by the Exchange for each futures product (i.e. Mid C </w:t>
      </w:r>
      <w:proofErr w:type="spellStart"/>
      <w:r w:rsidRPr="00BA4220">
        <w:rPr>
          <w:rFonts w:ascii="Arial" w:hAnsi="Arial" w:cs="Arial"/>
          <w:iCs/>
          <w:sz w:val="20"/>
          <w:szCs w:val="20"/>
        </w:rPr>
        <w:t>Pwr</w:t>
      </w:r>
      <w:proofErr w:type="spellEnd"/>
      <w:r w:rsidRPr="00BA4220">
        <w:rPr>
          <w:rFonts w:ascii="Arial" w:hAnsi="Arial" w:cs="Arial"/>
          <w:iCs/>
          <w:sz w:val="20"/>
          <w:szCs w:val="20"/>
        </w:rPr>
        <w:t xml:space="preserve">, Mid C Peak, </w:t>
      </w:r>
      <w:proofErr w:type="spellStart"/>
      <w:r w:rsidRPr="00BA4220">
        <w:rPr>
          <w:rFonts w:ascii="Arial" w:hAnsi="Arial" w:cs="Arial"/>
          <w:iCs/>
          <w:sz w:val="20"/>
          <w:szCs w:val="20"/>
        </w:rPr>
        <w:t>Nymex</w:t>
      </w:r>
      <w:proofErr w:type="spellEnd"/>
      <w:r w:rsidRPr="00BA4220">
        <w:rPr>
          <w:rFonts w:ascii="Arial" w:hAnsi="Arial" w:cs="Arial"/>
          <w:iCs/>
          <w:sz w:val="20"/>
          <w:szCs w:val="20"/>
        </w:rPr>
        <w:t xml:space="preserve"> Alberta, </w:t>
      </w:r>
      <w:proofErr w:type="spellStart"/>
      <w:r w:rsidRPr="00BA4220">
        <w:rPr>
          <w:rFonts w:ascii="Arial" w:hAnsi="Arial" w:cs="Arial"/>
          <w:iCs/>
          <w:sz w:val="20"/>
          <w:szCs w:val="20"/>
        </w:rPr>
        <w:t>Nymex</w:t>
      </w:r>
      <w:proofErr w:type="spellEnd"/>
      <w:r w:rsidRPr="00BA4220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BA4220">
        <w:rPr>
          <w:rFonts w:ascii="Arial" w:hAnsi="Arial" w:cs="Arial"/>
          <w:iCs/>
          <w:sz w:val="20"/>
          <w:szCs w:val="20"/>
        </w:rPr>
        <w:t>Malin</w:t>
      </w:r>
      <w:proofErr w:type="spellEnd"/>
      <w:r w:rsidRPr="00BA4220">
        <w:rPr>
          <w:rFonts w:ascii="Arial" w:hAnsi="Arial" w:cs="Arial"/>
          <w:iCs/>
          <w:sz w:val="20"/>
          <w:szCs w:val="20"/>
        </w:rPr>
        <w:t xml:space="preserve">, etc.) and cash is posted to either Wells or Mizuho into Avista’s segregated accounts.  </w:t>
      </w:r>
      <w:r w:rsidR="00885F46">
        <w:rPr>
          <w:rFonts w:ascii="Arial" w:hAnsi="Arial" w:cs="Arial"/>
          <w:iCs/>
          <w:sz w:val="20"/>
          <w:szCs w:val="20"/>
        </w:rPr>
        <w:t xml:space="preserve">Initial margins represent a theoretical loss that could occur over a specified time based on historical price volatility.  </w:t>
      </w:r>
      <w:r w:rsidRPr="00BA4220">
        <w:rPr>
          <w:rFonts w:ascii="Arial" w:hAnsi="Arial" w:cs="Arial"/>
          <w:iCs/>
          <w:sz w:val="20"/>
          <w:szCs w:val="20"/>
        </w:rPr>
        <w:t>In addition, transaction</w:t>
      </w:r>
      <w:r w:rsidR="00885F46">
        <w:rPr>
          <w:rFonts w:ascii="Arial" w:hAnsi="Arial" w:cs="Arial"/>
          <w:iCs/>
          <w:sz w:val="20"/>
          <w:szCs w:val="20"/>
        </w:rPr>
        <w:t>s</w:t>
      </w:r>
      <w:r w:rsidRPr="00BA4220">
        <w:rPr>
          <w:rFonts w:ascii="Arial" w:hAnsi="Arial" w:cs="Arial"/>
          <w:iCs/>
          <w:sz w:val="20"/>
          <w:szCs w:val="20"/>
        </w:rPr>
        <w:t xml:space="preserve"> </w:t>
      </w:r>
      <w:r w:rsidR="00885F46">
        <w:rPr>
          <w:rFonts w:ascii="Arial" w:hAnsi="Arial" w:cs="Arial"/>
          <w:iCs/>
          <w:sz w:val="20"/>
          <w:szCs w:val="20"/>
        </w:rPr>
        <w:t>are</w:t>
      </w:r>
      <w:r w:rsidRPr="00BA4220">
        <w:rPr>
          <w:rFonts w:ascii="Arial" w:hAnsi="Arial" w:cs="Arial"/>
          <w:iCs/>
          <w:sz w:val="20"/>
          <w:szCs w:val="20"/>
        </w:rPr>
        <w:t xml:space="preserve"> marked to market (MTM) daily </w:t>
      </w:r>
      <w:r w:rsidR="00885F46">
        <w:rPr>
          <w:rFonts w:ascii="Arial" w:hAnsi="Arial" w:cs="Arial"/>
          <w:iCs/>
          <w:sz w:val="20"/>
          <w:szCs w:val="20"/>
        </w:rPr>
        <w:t xml:space="preserve">to ensure adequate margin which </w:t>
      </w:r>
      <w:r w:rsidRPr="00BA4220">
        <w:rPr>
          <w:rFonts w:ascii="Arial" w:hAnsi="Arial" w:cs="Arial"/>
          <w:iCs/>
          <w:sz w:val="20"/>
          <w:szCs w:val="20"/>
        </w:rPr>
        <w:t>may require an additional deposit to Wells or Mizuho</w:t>
      </w:r>
      <w:r>
        <w:rPr>
          <w:rFonts w:ascii="Arial" w:hAnsi="Arial" w:cs="Arial"/>
          <w:iCs/>
          <w:sz w:val="20"/>
          <w:szCs w:val="20"/>
        </w:rPr>
        <w:t xml:space="preserve">.  </w:t>
      </w:r>
      <w:r w:rsidRPr="00BA4220">
        <w:rPr>
          <w:rFonts w:ascii="Arial" w:hAnsi="Arial" w:cs="Arial"/>
          <w:iCs/>
          <w:sz w:val="20"/>
          <w:szCs w:val="20"/>
        </w:rPr>
        <w:t>Avista wires</w:t>
      </w:r>
      <w:r w:rsidR="00A619C5">
        <w:rPr>
          <w:rFonts w:ascii="Arial" w:hAnsi="Arial" w:cs="Arial"/>
          <w:iCs/>
          <w:sz w:val="20"/>
          <w:szCs w:val="20"/>
        </w:rPr>
        <w:t xml:space="preserve"> funds to</w:t>
      </w:r>
      <w:r w:rsidRPr="00BA4220">
        <w:rPr>
          <w:rFonts w:ascii="Arial" w:hAnsi="Arial" w:cs="Arial"/>
          <w:iCs/>
          <w:sz w:val="20"/>
          <w:szCs w:val="20"/>
        </w:rPr>
        <w:t xml:space="preserve"> or receives funds </w:t>
      </w:r>
      <w:r w:rsidR="00A619C5">
        <w:rPr>
          <w:rFonts w:ascii="Arial" w:hAnsi="Arial" w:cs="Arial"/>
          <w:iCs/>
          <w:sz w:val="20"/>
          <w:szCs w:val="20"/>
        </w:rPr>
        <w:t>from</w:t>
      </w:r>
      <w:r w:rsidRPr="00BA4220">
        <w:rPr>
          <w:rFonts w:ascii="Arial" w:hAnsi="Arial" w:cs="Arial"/>
          <w:iCs/>
          <w:sz w:val="20"/>
          <w:szCs w:val="20"/>
        </w:rPr>
        <w:t xml:space="preserve"> Wells and Mizuho daily.  The funds are cumulative of changes in initial margin, MTM changes, fees (commissions, clearing, NFA</w:t>
      </w:r>
      <w:r w:rsidR="004514B4">
        <w:rPr>
          <w:rFonts w:ascii="Arial" w:hAnsi="Arial" w:cs="Arial"/>
          <w:iCs/>
          <w:sz w:val="20"/>
          <w:szCs w:val="20"/>
        </w:rPr>
        <w:t>, etc.</w:t>
      </w:r>
      <w:r w:rsidRPr="00BA4220">
        <w:rPr>
          <w:rFonts w:ascii="Arial" w:hAnsi="Arial" w:cs="Arial"/>
          <w:iCs/>
          <w:sz w:val="20"/>
          <w:szCs w:val="20"/>
        </w:rPr>
        <w:t>), and profit or loss of settled transactions with the net deficit</w:t>
      </w:r>
      <w:r>
        <w:rPr>
          <w:rFonts w:ascii="Arial" w:hAnsi="Arial" w:cs="Arial"/>
          <w:iCs/>
          <w:sz w:val="20"/>
          <w:szCs w:val="20"/>
        </w:rPr>
        <w:t>/excess amount</w:t>
      </w:r>
      <w:r w:rsidRPr="00BA4220">
        <w:rPr>
          <w:rFonts w:ascii="Arial" w:hAnsi="Arial" w:cs="Arial"/>
          <w:iCs/>
          <w:sz w:val="20"/>
          <w:szCs w:val="20"/>
        </w:rPr>
        <w:t xml:space="preserve"> either</w:t>
      </w:r>
      <w:r>
        <w:rPr>
          <w:rFonts w:ascii="Arial" w:hAnsi="Arial" w:cs="Arial"/>
          <w:iCs/>
          <w:sz w:val="20"/>
          <w:szCs w:val="20"/>
        </w:rPr>
        <w:t xml:space="preserve"> being</w:t>
      </w:r>
      <w:r w:rsidRPr="00BA4220">
        <w:rPr>
          <w:rFonts w:ascii="Arial" w:hAnsi="Arial" w:cs="Arial"/>
          <w:iCs/>
          <w:sz w:val="20"/>
          <w:szCs w:val="20"/>
        </w:rPr>
        <w:t xml:space="preserve"> wired or received.  </w:t>
      </w:r>
    </w:p>
    <w:p w:rsidR="00BA4220" w:rsidRDefault="00BA4220" w:rsidP="00BA4220">
      <w:pPr>
        <w:rPr>
          <w:rFonts w:ascii="Arial" w:hAnsi="Arial" w:cs="Arial"/>
          <w:iCs/>
          <w:sz w:val="20"/>
          <w:szCs w:val="20"/>
        </w:rPr>
      </w:pPr>
    </w:p>
    <w:p w:rsidR="00BA4220" w:rsidRDefault="00D54162" w:rsidP="00BA4220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Minimal i</w:t>
      </w:r>
      <w:r w:rsidR="00BA4220">
        <w:rPr>
          <w:rFonts w:ascii="Arial" w:hAnsi="Arial" w:cs="Arial"/>
          <w:iCs/>
          <w:sz w:val="20"/>
          <w:szCs w:val="20"/>
        </w:rPr>
        <w:t>nterest</w:t>
      </w:r>
      <w:r w:rsidR="00BA4220" w:rsidRPr="00BA4220">
        <w:rPr>
          <w:rFonts w:ascii="Arial" w:hAnsi="Arial" w:cs="Arial"/>
          <w:iCs/>
          <w:sz w:val="20"/>
          <w:szCs w:val="20"/>
        </w:rPr>
        <w:t xml:space="preserve"> is calculated</w:t>
      </w:r>
      <w:r w:rsidR="00BA4220">
        <w:rPr>
          <w:rFonts w:ascii="Arial" w:hAnsi="Arial" w:cs="Arial"/>
          <w:iCs/>
          <w:sz w:val="20"/>
          <w:szCs w:val="20"/>
        </w:rPr>
        <w:t xml:space="preserve"> by Wells and Mizuho on a </w:t>
      </w:r>
      <w:r>
        <w:rPr>
          <w:rFonts w:ascii="Arial" w:hAnsi="Arial" w:cs="Arial"/>
          <w:iCs/>
          <w:sz w:val="20"/>
          <w:szCs w:val="20"/>
        </w:rPr>
        <w:t>minimal</w:t>
      </w:r>
      <w:r w:rsidR="004526F8">
        <w:rPr>
          <w:rFonts w:ascii="Arial" w:hAnsi="Arial" w:cs="Arial"/>
          <w:iCs/>
          <w:sz w:val="20"/>
          <w:szCs w:val="20"/>
        </w:rPr>
        <w:t xml:space="preserve"> </w:t>
      </w:r>
      <w:r w:rsidR="00BA4220">
        <w:rPr>
          <w:rFonts w:ascii="Arial" w:hAnsi="Arial" w:cs="Arial"/>
          <w:iCs/>
          <w:sz w:val="20"/>
          <w:szCs w:val="20"/>
        </w:rPr>
        <w:t>portion of Avista’s account in slightly different manner</w:t>
      </w:r>
      <w:r w:rsidR="00885F46">
        <w:rPr>
          <w:rFonts w:ascii="Arial" w:hAnsi="Arial" w:cs="Arial"/>
          <w:iCs/>
          <w:sz w:val="20"/>
          <w:szCs w:val="20"/>
        </w:rPr>
        <w:t>s</w:t>
      </w:r>
      <w:r w:rsidR="00BA4220">
        <w:rPr>
          <w:rFonts w:ascii="Arial" w:hAnsi="Arial" w:cs="Arial"/>
          <w:iCs/>
          <w:sz w:val="20"/>
          <w:szCs w:val="20"/>
        </w:rPr>
        <w:t xml:space="preserve">. </w:t>
      </w:r>
      <w:r w:rsidR="00BA4220" w:rsidRPr="00BA4220">
        <w:rPr>
          <w:rFonts w:ascii="Arial" w:hAnsi="Arial" w:cs="Arial"/>
          <w:iCs/>
          <w:sz w:val="20"/>
          <w:szCs w:val="20"/>
        </w:rPr>
        <w:t xml:space="preserve"> </w:t>
      </w:r>
      <w:r w:rsidR="00A619C5">
        <w:rPr>
          <w:rFonts w:ascii="Arial" w:hAnsi="Arial" w:cs="Arial"/>
          <w:iCs/>
          <w:sz w:val="20"/>
          <w:szCs w:val="20"/>
        </w:rPr>
        <w:t xml:space="preserve">Wells calculates interest </w:t>
      </w:r>
      <w:r w:rsidR="00BA4220" w:rsidRPr="00BA4220">
        <w:rPr>
          <w:rFonts w:ascii="Arial" w:hAnsi="Arial" w:cs="Arial"/>
          <w:iCs/>
          <w:sz w:val="20"/>
          <w:szCs w:val="20"/>
        </w:rPr>
        <w:t xml:space="preserve">daily using the margin excess or deficit amount, based on the 90 day T-Bill rate. </w:t>
      </w:r>
      <w:r w:rsidR="00A619C5">
        <w:rPr>
          <w:rFonts w:ascii="Arial" w:hAnsi="Arial" w:cs="Arial"/>
          <w:iCs/>
          <w:sz w:val="20"/>
          <w:szCs w:val="20"/>
        </w:rPr>
        <w:t xml:space="preserve">Mizuho calculates interest daily using the difference between the ending account balance and the open trade equity balance.  </w:t>
      </w:r>
      <w:r w:rsidR="00BA4220" w:rsidRPr="00BA4220">
        <w:rPr>
          <w:rFonts w:ascii="Arial" w:hAnsi="Arial" w:cs="Arial"/>
          <w:iCs/>
          <w:sz w:val="20"/>
          <w:szCs w:val="20"/>
        </w:rPr>
        <w:t xml:space="preserve">The interest </w:t>
      </w:r>
      <w:r w:rsidR="00C85DC6">
        <w:rPr>
          <w:rFonts w:ascii="Arial" w:hAnsi="Arial" w:cs="Arial"/>
          <w:iCs/>
          <w:sz w:val="20"/>
          <w:szCs w:val="20"/>
        </w:rPr>
        <w:t xml:space="preserve">income or interest expense </w:t>
      </w:r>
      <w:r w:rsidR="00BA4220" w:rsidRPr="00BA4220">
        <w:rPr>
          <w:rFonts w:ascii="Arial" w:hAnsi="Arial" w:cs="Arial"/>
          <w:iCs/>
          <w:sz w:val="20"/>
          <w:szCs w:val="20"/>
        </w:rPr>
        <w:t xml:space="preserve">is credited or debited </w:t>
      </w:r>
      <w:r w:rsidR="004514B4">
        <w:rPr>
          <w:rFonts w:ascii="Arial" w:hAnsi="Arial" w:cs="Arial"/>
          <w:iCs/>
          <w:sz w:val="20"/>
          <w:szCs w:val="20"/>
        </w:rPr>
        <w:t xml:space="preserve">to Avista’s accounts </w:t>
      </w:r>
      <w:r w:rsidR="00BA4220" w:rsidRPr="00BA4220">
        <w:rPr>
          <w:rFonts w:ascii="Arial" w:hAnsi="Arial" w:cs="Arial"/>
          <w:iCs/>
          <w:sz w:val="20"/>
          <w:szCs w:val="20"/>
        </w:rPr>
        <w:t>after month end by Wells and Mizuho.</w:t>
      </w:r>
    </w:p>
    <w:p w:rsidR="00C85DC6" w:rsidRDefault="00C85DC6" w:rsidP="00BA4220">
      <w:pPr>
        <w:rPr>
          <w:rFonts w:ascii="Arial" w:hAnsi="Arial" w:cs="Arial"/>
          <w:iCs/>
          <w:sz w:val="20"/>
          <w:szCs w:val="20"/>
        </w:rPr>
      </w:pPr>
    </w:p>
    <w:p w:rsidR="0059769E" w:rsidRDefault="004514B4" w:rsidP="00BA4220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As described above, for the deposits in FERC Accounts </w:t>
      </w:r>
      <w:r w:rsidR="00C85DC6" w:rsidRPr="004514B4">
        <w:rPr>
          <w:rFonts w:ascii="Arial" w:hAnsi="Arial" w:cs="Arial"/>
          <w:iCs/>
          <w:sz w:val="20"/>
          <w:szCs w:val="20"/>
        </w:rPr>
        <w:t>134122 and 134123</w:t>
      </w:r>
      <w:r>
        <w:rPr>
          <w:rFonts w:ascii="Arial" w:hAnsi="Arial" w:cs="Arial"/>
          <w:iCs/>
          <w:sz w:val="20"/>
          <w:szCs w:val="20"/>
        </w:rPr>
        <w:t>,</w:t>
      </w:r>
      <w:r w:rsidR="00C85DC6" w:rsidRPr="004514B4">
        <w:rPr>
          <w:rFonts w:ascii="Arial" w:hAnsi="Arial" w:cs="Arial"/>
          <w:iCs/>
          <w:sz w:val="20"/>
          <w:szCs w:val="20"/>
        </w:rPr>
        <w:t xml:space="preserve"> only a minimal portion of the balances earn minimal interest.  </w:t>
      </w:r>
      <w:r>
        <w:rPr>
          <w:rFonts w:ascii="Arial" w:hAnsi="Arial" w:cs="Arial"/>
          <w:iCs/>
          <w:sz w:val="20"/>
          <w:szCs w:val="20"/>
        </w:rPr>
        <w:t>Avista has determined that of the system AMA balances of $</w:t>
      </w:r>
      <w:r w:rsidR="00D56329">
        <w:rPr>
          <w:rFonts w:ascii="Arial" w:hAnsi="Arial" w:cs="Arial"/>
          <w:iCs/>
          <w:sz w:val="20"/>
          <w:szCs w:val="20"/>
        </w:rPr>
        <w:t>30.6</w:t>
      </w:r>
      <w:r>
        <w:rPr>
          <w:rFonts w:ascii="Arial" w:hAnsi="Arial" w:cs="Arial"/>
          <w:iCs/>
          <w:sz w:val="20"/>
          <w:szCs w:val="20"/>
        </w:rPr>
        <w:t xml:space="preserve"> million included in these two accounts, approximately $</w:t>
      </w:r>
      <w:r w:rsidR="00D56329">
        <w:rPr>
          <w:rFonts w:ascii="Arial" w:hAnsi="Arial" w:cs="Arial"/>
          <w:iCs/>
          <w:sz w:val="20"/>
          <w:szCs w:val="20"/>
        </w:rPr>
        <w:t>7.7</w:t>
      </w:r>
      <w:r>
        <w:rPr>
          <w:rFonts w:ascii="Arial" w:hAnsi="Arial" w:cs="Arial"/>
          <w:iCs/>
          <w:sz w:val="20"/>
          <w:szCs w:val="20"/>
        </w:rPr>
        <w:t xml:space="preserve"> million effectively earned interest.  </w:t>
      </w:r>
      <w:r w:rsidR="00170D2C">
        <w:rPr>
          <w:rFonts w:ascii="Arial" w:hAnsi="Arial" w:cs="Arial"/>
          <w:iCs/>
          <w:sz w:val="20"/>
          <w:szCs w:val="20"/>
        </w:rPr>
        <w:t xml:space="preserve">Therefore, the Company is proposing to </w:t>
      </w:r>
      <w:r w:rsidR="00C85DC6" w:rsidRPr="004514B4">
        <w:rPr>
          <w:rFonts w:ascii="Arial" w:hAnsi="Arial" w:cs="Arial"/>
          <w:iCs/>
          <w:sz w:val="20"/>
          <w:szCs w:val="20"/>
        </w:rPr>
        <w:t xml:space="preserve">remove </w:t>
      </w:r>
      <w:r w:rsidR="00170D2C">
        <w:rPr>
          <w:rFonts w:ascii="Arial" w:hAnsi="Arial" w:cs="Arial"/>
          <w:iCs/>
          <w:sz w:val="20"/>
          <w:szCs w:val="20"/>
        </w:rPr>
        <w:t>Washington’s share of these</w:t>
      </w:r>
      <w:r w:rsidR="00C85DC6" w:rsidRPr="004514B4">
        <w:rPr>
          <w:rFonts w:ascii="Arial" w:hAnsi="Arial" w:cs="Arial"/>
          <w:iCs/>
          <w:sz w:val="20"/>
          <w:szCs w:val="20"/>
        </w:rPr>
        <w:t xml:space="preserve"> balances that were “interest-bearing” </w:t>
      </w:r>
      <w:r w:rsidR="00AC64D7" w:rsidRPr="004514B4">
        <w:rPr>
          <w:rFonts w:ascii="Arial" w:hAnsi="Arial" w:cs="Arial"/>
          <w:iCs/>
          <w:sz w:val="20"/>
          <w:szCs w:val="20"/>
        </w:rPr>
        <w:t>from working capital</w:t>
      </w:r>
      <w:r w:rsidR="00B667A2" w:rsidRPr="004514B4">
        <w:rPr>
          <w:rFonts w:ascii="Arial" w:hAnsi="Arial" w:cs="Arial"/>
          <w:iCs/>
          <w:sz w:val="20"/>
          <w:szCs w:val="20"/>
        </w:rPr>
        <w:t>.</w:t>
      </w:r>
      <w:r w:rsidR="0009040D" w:rsidRPr="004514B4">
        <w:rPr>
          <w:rFonts w:ascii="Arial" w:hAnsi="Arial" w:cs="Arial"/>
          <w:iCs/>
          <w:sz w:val="20"/>
          <w:szCs w:val="20"/>
        </w:rPr>
        <w:t xml:space="preserve">  WA </w:t>
      </w:r>
      <w:r w:rsidR="00170D2C">
        <w:rPr>
          <w:rFonts w:ascii="Arial" w:hAnsi="Arial" w:cs="Arial"/>
          <w:iCs/>
          <w:sz w:val="20"/>
          <w:szCs w:val="20"/>
        </w:rPr>
        <w:t>electric share is $</w:t>
      </w:r>
      <w:r w:rsidR="00D56329">
        <w:rPr>
          <w:rFonts w:ascii="Arial" w:hAnsi="Arial" w:cs="Arial"/>
          <w:iCs/>
          <w:sz w:val="20"/>
          <w:szCs w:val="20"/>
        </w:rPr>
        <w:t>3.752</w:t>
      </w:r>
      <w:r w:rsidR="00170D2C">
        <w:rPr>
          <w:rFonts w:ascii="Arial" w:hAnsi="Arial" w:cs="Arial"/>
          <w:iCs/>
          <w:sz w:val="20"/>
          <w:szCs w:val="20"/>
        </w:rPr>
        <w:t xml:space="preserve"> million and WA natural gas share is $</w:t>
      </w:r>
      <w:r w:rsidR="00D56329">
        <w:rPr>
          <w:rFonts w:ascii="Arial" w:hAnsi="Arial" w:cs="Arial"/>
          <w:iCs/>
          <w:sz w:val="20"/>
          <w:szCs w:val="20"/>
        </w:rPr>
        <w:t>1.144 million</w:t>
      </w:r>
      <w:r w:rsidR="00170D2C">
        <w:rPr>
          <w:rFonts w:ascii="Arial" w:hAnsi="Arial" w:cs="Arial"/>
          <w:iCs/>
          <w:sz w:val="20"/>
          <w:szCs w:val="20"/>
        </w:rPr>
        <w:t xml:space="preserve"> that will be removed from working capital rate base</w:t>
      </w:r>
      <w:r w:rsidR="0009040D" w:rsidRPr="004514B4">
        <w:rPr>
          <w:rFonts w:ascii="Arial" w:hAnsi="Arial" w:cs="Arial"/>
          <w:iCs/>
          <w:sz w:val="20"/>
          <w:szCs w:val="20"/>
        </w:rPr>
        <w:t>.</w:t>
      </w:r>
      <w:r w:rsidR="00B667A2" w:rsidRPr="004514B4">
        <w:rPr>
          <w:rFonts w:ascii="Arial" w:hAnsi="Arial" w:cs="Arial"/>
          <w:iCs/>
          <w:sz w:val="20"/>
          <w:szCs w:val="20"/>
        </w:rPr>
        <w:t xml:space="preserve">  </w:t>
      </w:r>
      <w:r w:rsidR="0009040D" w:rsidRPr="004514B4">
        <w:rPr>
          <w:rFonts w:ascii="Arial" w:hAnsi="Arial" w:cs="Arial"/>
          <w:iCs/>
          <w:sz w:val="20"/>
          <w:szCs w:val="20"/>
        </w:rPr>
        <w:t>The remaining balances included in working capital in</w:t>
      </w:r>
      <w:r w:rsidR="00170D2C">
        <w:rPr>
          <w:rFonts w:ascii="Arial" w:hAnsi="Arial" w:cs="Arial"/>
          <w:iCs/>
          <w:sz w:val="20"/>
          <w:szCs w:val="20"/>
        </w:rPr>
        <w:t xml:space="preserve"> FERC A</w:t>
      </w:r>
      <w:r w:rsidR="0009040D" w:rsidRPr="004514B4">
        <w:rPr>
          <w:rFonts w:ascii="Arial" w:hAnsi="Arial" w:cs="Arial"/>
          <w:iCs/>
          <w:sz w:val="20"/>
          <w:szCs w:val="20"/>
        </w:rPr>
        <w:t xml:space="preserve">ccounts 134122 and 134123 represent the non-interest bearing portion of the </w:t>
      </w:r>
      <w:r w:rsidR="00170D2C">
        <w:rPr>
          <w:rFonts w:ascii="Arial" w:hAnsi="Arial" w:cs="Arial"/>
          <w:iCs/>
          <w:sz w:val="20"/>
          <w:szCs w:val="20"/>
        </w:rPr>
        <w:t xml:space="preserve">account </w:t>
      </w:r>
      <w:r w:rsidR="0009040D" w:rsidRPr="004514B4">
        <w:rPr>
          <w:rFonts w:ascii="Arial" w:hAnsi="Arial" w:cs="Arial"/>
          <w:iCs/>
          <w:sz w:val="20"/>
          <w:szCs w:val="20"/>
        </w:rPr>
        <w:t>balance</w:t>
      </w:r>
      <w:r w:rsidR="00170D2C">
        <w:rPr>
          <w:rFonts w:ascii="Arial" w:hAnsi="Arial" w:cs="Arial"/>
          <w:iCs/>
          <w:sz w:val="20"/>
          <w:szCs w:val="20"/>
        </w:rPr>
        <w:t>s</w:t>
      </w:r>
      <w:r w:rsidR="0009040D" w:rsidRPr="004514B4">
        <w:rPr>
          <w:rFonts w:ascii="Arial" w:hAnsi="Arial" w:cs="Arial"/>
          <w:iCs/>
          <w:sz w:val="20"/>
          <w:szCs w:val="20"/>
        </w:rPr>
        <w:t>.</w:t>
      </w:r>
      <w:r w:rsidR="00AC64D7" w:rsidRPr="004514B4">
        <w:rPr>
          <w:rFonts w:ascii="Arial" w:hAnsi="Arial" w:cs="Arial"/>
          <w:iCs/>
          <w:sz w:val="20"/>
          <w:szCs w:val="20"/>
        </w:rPr>
        <w:t xml:space="preserve"> </w:t>
      </w:r>
      <w:r w:rsidR="00B551CA">
        <w:rPr>
          <w:rFonts w:ascii="Arial" w:hAnsi="Arial" w:cs="Arial"/>
          <w:iCs/>
          <w:sz w:val="20"/>
          <w:szCs w:val="20"/>
        </w:rPr>
        <w:t xml:space="preserve"> Please see spreadsheet called “</w:t>
      </w:r>
      <w:proofErr w:type="spellStart"/>
      <w:r w:rsidR="00B551CA">
        <w:rPr>
          <w:rFonts w:ascii="Arial" w:hAnsi="Arial" w:cs="Arial"/>
          <w:iCs/>
          <w:sz w:val="20"/>
          <w:szCs w:val="20"/>
        </w:rPr>
        <w:t>WellsMizuho</w:t>
      </w:r>
      <w:proofErr w:type="spellEnd"/>
      <w:r w:rsidR="00B551CA">
        <w:rPr>
          <w:rFonts w:ascii="Arial" w:hAnsi="Arial" w:cs="Arial"/>
          <w:iCs/>
          <w:sz w:val="20"/>
          <w:szCs w:val="20"/>
        </w:rPr>
        <w:t>- Calculate Interest-Bearing Amount-201</w:t>
      </w:r>
      <w:r w:rsidR="00D56329">
        <w:rPr>
          <w:rFonts w:ascii="Arial" w:hAnsi="Arial" w:cs="Arial"/>
          <w:iCs/>
          <w:sz w:val="20"/>
          <w:szCs w:val="20"/>
        </w:rPr>
        <w:t>9</w:t>
      </w:r>
      <w:r w:rsidR="00B551CA">
        <w:rPr>
          <w:rFonts w:ascii="Arial" w:hAnsi="Arial" w:cs="Arial"/>
          <w:iCs/>
          <w:sz w:val="20"/>
          <w:szCs w:val="20"/>
        </w:rPr>
        <w:t>” for the calculation of the interest-bearing amounts.</w:t>
      </w:r>
      <w:r w:rsidR="00FA00B5">
        <w:rPr>
          <w:rFonts w:ascii="Arial" w:hAnsi="Arial" w:cs="Arial"/>
          <w:iCs/>
          <w:sz w:val="20"/>
          <w:szCs w:val="20"/>
        </w:rPr>
        <w:t xml:space="preserve">  </w:t>
      </w:r>
    </w:p>
    <w:p w:rsidR="0059769E" w:rsidRDefault="0059769E" w:rsidP="00BA4220">
      <w:pPr>
        <w:rPr>
          <w:rFonts w:ascii="Arial" w:hAnsi="Arial" w:cs="Arial"/>
          <w:iCs/>
          <w:sz w:val="20"/>
          <w:szCs w:val="20"/>
        </w:rPr>
      </w:pPr>
    </w:p>
    <w:p w:rsidR="00BA4220" w:rsidRPr="004514B4" w:rsidRDefault="00FA00B5" w:rsidP="00BA4220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This method of treatment is consistent with that discussed with WA Staff </w:t>
      </w:r>
      <w:bookmarkStart w:id="0" w:name="_GoBack"/>
      <w:bookmarkEnd w:id="0"/>
      <w:r>
        <w:rPr>
          <w:rFonts w:ascii="Arial" w:hAnsi="Arial" w:cs="Arial"/>
          <w:iCs/>
          <w:sz w:val="20"/>
          <w:szCs w:val="20"/>
        </w:rPr>
        <w:t xml:space="preserve">(B. </w:t>
      </w:r>
      <w:proofErr w:type="spellStart"/>
      <w:r>
        <w:rPr>
          <w:rFonts w:ascii="Arial" w:hAnsi="Arial" w:cs="Arial"/>
          <w:iCs/>
          <w:sz w:val="20"/>
          <w:szCs w:val="20"/>
        </w:rPr>
        <w:t>Erdahl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) and supported within </w:t>
      </w:r>
      <w:r w:rsidR="00274AB1">
        <w:rPr>
          <w:rFonts w:ascii="Arial" w:hAnsi="Arial" w:cs="Arial"/>
          <w:iCs/>
          <w:sz w:val="20"/>
          <w:szCs w:val="20"/>
        </w:rPr>
        <w:t xml:space="preserve">Ms. </w:t>
      </w:r>
      <w:proofErr w:type="spellStart"/>
      <w:r w:rsidR="00274AB1">
        <w:rPr>
          <w:rFonts w:ascii="Arial" w:hAnsi="Arial" w:cs="Arial"/>
          <w:iCs/>
          <w:sz w:val="20"/>
          <w:szCs w:val="20"/>
        </w:rPr>
        <w:t>Erdahl’s</w:t>
      </w:r>
      <w:proofErr w:type="spellEnd"/>
      <w:r w:rsidR="00274AB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Working Capital Direct testimony in Docket UE-190334 et al. </w:t>
      </w:r>
    </w:p>
    <w:p w:rsidR="00747EFE" w:rsidRDefault="00747EFE"/>
    <w:sectPr w:rsidR="00747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0"/>
    <w:rsid w:val="0009040D"/>
    <w:rsid w:val="00170D2C"/>
    <w:rsid w:val="00274AB1"/>
    <w:rsid w:val="002E32BA"/>
    <w:rsid w:val="004514B4"/>
    <w:rsid w:val="004526F8"/>
    <w:rsid w:val="00466B5C"/>
    <w:rsid w:val="0059769E"/>
    <w:rsid w:val="00603723"/>
    <w:rsid w:val="00747EFE"/>
    <w:rsid w:val="00885F46"/>
    <w:rsid w:val="008A1471"/>
    <w:rsid w:val="008E5E80"/>
    <w:rsid w:val="00957145"/>
    <w:rsid w:val="00A619C5"/>
    <w:rsid w:val="00A6660F"/>
    <w:rsid w:val="00AB5669"/>
    <w:rsid w:val="00AC64D7"/>
    <w:rsid w:val="00B551CA"/>
    <w:rsid w:val="00B667A2"/>
    <w:rsid w:val="00BA4220"/>
    <w:rsid w:val="00C85DC6"/>
    <w:rsid w:val="00D247CF"/>
    <w:rsid w:val="00D54162"/>
    <w:rsid w:val="00D56329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CB7CC-FE80-481B-8D0E-CA7DB628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22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E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A08A98646D534B82D0990F27BFBC3C" ma:contentTypeVersion="52" ma:contentTypeDescription="" ma:contentTypeScope="" ma:versionID="dd3c9ba9876fec2b89245930455a71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9af6b0a9aa2de783aac4f3d36dbacc3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IsConfidential xmlns="dc463f71-b30c-4ab2-9473-d307f9d35888">false</IsConfidential>
    <Date1 xmlns="dc463f71-b30c-4ab2-9473-d307f9d35888">2020-10-30T07:00:00+00:00</Date1>
    <DocumentSetType xmlns="dc463f71-b30c-4ab2-9473-d307f9d35888">Workpapers</DocumentSetType>
    <DocketNumber xmlns="dc463f71-b30c-4ab2-9473-d307f9d35888">200901</DocketNumber>
    <Prefix xmlns="dc463f71-b30c-4ab2-9473-d307f9d35888">UG</Prefix>
    <Visibility xmlns="dc463f71-b30c-4ab2-9473-d307f9d35888">Full Visibility</Visibility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Suspended</CaseStatus>
    <OpenedDate xmlns="dc463f71-b30c-4ab2-9473-d307f9d35888">2020-10-30T07:00:00+00:00</OpenedDate>
    <SignificantOrder xmlns="dc463f71-b30c-4ab2-9473-d307f9d35888">false</SignificantOrder>
    <Nickname xmlns="http://schemas.microsoft.com/sharepoint/v3" xsi:nil="true"/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ABE66695-A230-4D2D-8B94-96088B14F5D3}"/>
</file>

<file path=customXml/itemProps2.xml><?xml version="1.0" encoding="utf-8"?>
<ds:datastoreItem xmlns:ds="http://schemas.openxmlformats.org/officeDocument/2006/customXml" ds:itemID="{12DBA806-7A03-4DA7-A34F-F6335AB1646B}"/>
</file>

<file path=customXml/itemProps3.xml><?xml version="1.0" encoding="utf-8"?>
<ds:datastoreItem xmlns:ds="http://schemas.openxmlformats.org/officeDocument/2006/customXml" ds:itemID="{28C5026E-A698-47A5-8DF1-C0D9555FFF86}"/>
</file>

<file path=customXml/itemProps4.xml><?xml version="1.0" encoding="utf-8"?>
<ds:datastoreItem xmlns:ds="http://schemas.openxmlformats.org/officeDocument/2006/customXml" ds:itemID="{1048DAC6-A26D-40A7-8366-1D20EDF479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Pluth, Jeanne</dc:creator>
  <cp:keywords/>
  <dc:description/>
  <cp:lastModifiedBy>Andrews, Liz</cp:lastModifiedBy>
  <cp:revision>6</cp:revision>
  <cp:lastPrinted>2019-08-29T20:55:00Z</cp:lastPrinted>
  <dcterms:created xsi:type="dcterms:W3CDTF">2020-03-06T15:37:00Z</dcterms:created>
  <dcterms:modified xsi:type="dcterms:W3CDTF">2020-04-17T20:56:00Z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0x0101006E56B4D1795A2E4DB2F0B01679ED314A0027A08A98646D534B82D0990F27BFBC3C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