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E9" w:rsidRDefault="00DB4FE9" w:rsidP="0063726F">
      <w:pPr>
        <w:pStyle w:val="Header"/>
        <w:widowControl w:val="0"/>
        <w:tabs>
          <w:tab w:val="clear" w:pos="4320"/>
          <w:tab w:val="clear" w:pos="8640"/>
          <w:tab w:val="center" w:pos="4680"/>
        </w:tabs>
        <w:spacing w:line="480" w:lineRule="auto"/>
        <w:jc w:val="center"/>
        <w:rPr>
          <w:b/>
          <w:bCs/>
          <w:sz w:val="24"/>
        </w:rPr>
      </w:pPr>
      <w:r>
        <w:rPr>
          <w:b/>
          <w:bCs/>
          <w:sz w:val="24"/>
        </w:rPr>
        <w:t>BEFORE THE</w:t>
      </w:r>
    </w:p>
    <w:p w:rsidR="00DB4FE9" w:rsidRDefault="00DB4FE9" w:rsidP="00C3456E">
      <w:pPr>
        <w:pStyle w:val="Heading1"/>
        <w:jc w:val="center"/>
        <w:rPr>
          <w:sz w:val="24"/>
        </w:rPr>
      </w:pPr>
      <w:r>
        <w:rPr>
          <w:sz w:val="24"/>
        </w:rPr>
        <w:t>WASHINGTON UTILITIES AND TRANSPORTATION COMMISSION</w:t>
      </w:r>
    </w:p>
    <w:p w:rsidR="00DB4FE9" w:rsidRPr="00FE7B82" w:rsidRDefault="00DB4FE9" w:rsidP="00DB4FE9"/>
    <w:tbl>
      <w:tblPr>
        <w:tblW w:w="9624" w:type="dxa"/>
        <w:tblLayout w:type="fixed"/>
        <w:tblCellMar>
          <w:left w:w="0" w:type="dxa"/>
          <w:right w:w="0" w:type="dxa"/>
        </w:tblCellMar>
        <w:tblLook w:val="0000" w:firstRow="0" w:lastRow="0" w:firstColumn="0" w:lastColumn="0" w:noHBand="0" w:noVBand="0"/>
      </w:tblPr>
      <w:tblGrid>
        <w:gridCol w:w="4630"/>
        <w:gridCol w:w="454"/>
        <w:gridCol w:w="4540"/>
      </w:tblGrid>
      <w:tr w:rsidR="0037760A" w:rsidRPr="00BC19B8" w:rsidTr="00732464">
        <w:trPr>
          <w:trHeight w:val="1215"/>
        </w:trPr>
        <w:tc>
          <w:tcPr>
            <w:tcW w:w="4630" w:type="dxa"/>
          </w:tcPr>
          <w:p w:rsidR="0037760A" w:rsidRPr="00BC19B8" w:rsidRDefault="0037760A" w:rsidP="00CE0532">
            <w:pPr>
              <w:keepNext/>
              <w:tabs>
                <w:tab w:val="left" w:pos="2160"/>
              </w:tabs>
              <w:rPr>
                <w:szCs w:val="24"/>
              </w:rPr>
            </w:pPr>
            <w:r w:rsidRPr="00BC19B8">
              <w:rPr>
                <w:szCs w:val="24"/>
              </w:rPr>
              <w:t>WASHINGTON UTILITIES AND TRANSPORTATION COMMISSION,</w:t>
            </w:r>
          </w:p>
          <w:p w:rsidR="0037760A" w:rsidRPr="00BC19B8" w:rsidRDefault="0037760A" w:rsidP="00CE0532">
            <w:pPr>
              <w:keepNext/>
              <w:tabs>
                <w:tab w:val="left" w:pos="2160"/>
              </w:tabs>
              <w:rPr>
                <w:szCs w:val="24"/>
              </w:rPr>
            </w:pPr>
          </w:p>
          <w:p w:rsidR="0037760A" w:rsidRPr="00BC19B8" w:rsidRDefault="0037760A" w:rsidP="00CE0532">
            <w:pPr>
              <w:keepNext/>
              <w:tabs>
                <w:tab w:val="left" w:pos="2160"/>
              </w:tabs>
              <w:rPr>
                <w:szCs w:val="24"/>
              </w:rPr>
            </w:pPr>
            <w:r w:rsidRPr="00BC19B8">
              <w:rPr>
                <w:szCs w:val="24"/>
              </w:rPr>
              <w:tab/>
              <w:t>Complainant,</w:t>
            </w:r>
          </w:p>
          <w:p w:rsidR="0037760A" w:rsidRPr="00BC19B8" w:rsidRDefault="0037760A" w:rsidP="00CE0532">
            <w:pPr>
              <w:keepNext/>
              <w:tabs>
                <w:tab w:val="left" w:pos="2160"/>
              </w:tabs>
              <w:rPr>
                <w:szCs w:val="24"/>
              </w:rPr>
            </w:pPr>
          </w:p>
          <w:p w:rsidR="0037760A" w:rsidRPr="00BC19B8" w:rsidRDefault="0037760A" w:rsidP="00CE0532">
            <w:pPr>
              <w:keepNext/>
              <w:tabs>
                <w:tab w:val="left" w:pos="2168"/>
              </w:tabs>
              <w:rPr>
                <w:szCs w:val="24"/>
              </w:rPr>
            </w:pPr>
            <w:r w:rsidRPr="00BC19B8">
              <w:rPr>
                <w:szCs w:val="24"/>
              </w:rPr>
              <w:t>v.</w:t>
            </w:r>
          </w:p>
          <w:p w:rsidR="0037760A" w:rsidRPr="00BC19B8" w:rsidRDefault="0037760A" w:rsidP="00CE0532">
            <w:pPr>
              <w:keepNext/>
              <w:tabs>
                <w:tab w:val="left" w:pos="2168"/>
              </w:tabs>
              <w:rPr>
                <w:szCs w:val="24"/>
              </w:rPr>
            </w:pPr>
          </w:p>
          <w:p w:rsidR="0037760A" w:rsidRPr="00BC19B8" w:rsidRDefault="0037760A" w:rsidP="00CE0532">
            <w:pPr>
              <w:keepNext/>
              <w:tabs>
                <w:tab w:val="left" w:pos="2160"/>
              </w:tabs>
              <w:rPr>
                <w:szCs w:val="24"/>
              </w:rPr>
            </w:pPr>
            <w:r w:rsidRPr="00BC19B8">
              <w:rPr>
                <w:szCs w:val="24"/>
              </w:rPr>
              <w:t xml:space="preserve">PACIFIC POWER &amp; LIGHT COMPANY, </w:t>
            </w:r>
          </w:p>
          <w:p w:rsidR="0037760A" w:rsidRPr="00BC19B8" w:rsidRDefault="0037760A" w:rsidP="00CE0532">
            <w:pPr>
              <w:keepNext/>
              <w:tabs>
                <w:tab w:val="left" w:pos="2160"/>
              </w:tabs>
              <w:rPr>
                <w:szCs w:val="24"/>
              </w:rPr>
            </w:pPr>
          </w:p>
          <w:p w:rsidR="0037760A" w:rsidRPr="00BC19B8" w:rsidRDefault="0037760A" w:rsidP="00CE0532">
            <w:pPr>
              <w:keepNext/>
              <w:rPr>
                <w:szCs w:val="24"/>
              </w:rPr>
            </w:pPr>
            <w:r w:rsidRPr="00BC19B8">
              <w:rPr>
                <w:szCs w:val="24"/>
              </w:rPr>
              <w:tab/>
              <w:t xml:space="preserve">                        Respondent.</w:t>
            </w:r>
          </w:p>
          <w:p w:rsidR="0037760A" w:rsidRPr="00BC19B8" w:rsidRDefault="0037760A" w:rsidP="00CE0532">
            <w:pPr>
              <w:keepNext/>
              <w:rPr>
                <w:szCs w:val="24"/>
              </w:rPr>
            </w:pPr>
            <w:r w:rsidRPr="00BC19B8">
              <w:rPr>
                <w:szCs w:val="24"/>
              </w:rPr>
              <w:t>______________________________________</w:t>
            </w:r>
          </w:p>
          <w:p w:rsidR="0037760A" w:rsidRPr="00BC19B8" w:rsidRDefault="0037760A" w:rsidP="00CE0532">
            <w:pPr>
              <w:keepNext/>
              <w:rPr>
                <w:szCs w:val="24"/>
              </w:rPr>
            </w:pPr>
          </w:p>
          <w:p w:rsidR="0037760A" w:rsidRDefault="0037760A" w:rsidP="009D4610">
            <w:pPr>
              <w:keepNext/>
              <w:rPr>
                <w:szCs w:val="24"/>
              </w:rPr>
            </w:pPr>
          </w:p>
          <w:p w:rsidR="00732464" w:rsidRDefault="00732464" w:rsidP="009D4610">
            <w:pPr>
              <w:keepNext/>
              <w:rPr>
                <w:szCs w:val="24"/>
              </w:rPr>
            </w:pPr>
          </w:p>
          <w:p w:rsidR="00732464" w:rsidRDefault="00732464" w:rsidP="009D4610">
            <w:pPr>
              <w:keepNext/>
              <w:rPr>
                <w:szCs w:val="24"/>
              </w:rPr>
            </w:pPr>
          </w:p>
          <w:p w:rsidR="00732464" w:rsidRPr="00BC19B8" w:rsidRDefault="00732464" w:rsidP="009D4610">
            <w:pPr>
              <w:keepNext/>
              <w:rPr>
                <w:szCs w:val="24"/>
              </w:rPr>
            </w:pPr>
          </w:p>
        </w:tc>
        <w:tc>
          <w:tcPr>
            <w:tcW w:w="454" w:type="dxa"/>
          </w:tcPr>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CE0532">
            <w:pPr>
              <w:keepNext/>
              <w:ind w:left="72"/>
            </w:pPr>
            <w:r w:rsidRPr="00BC19B8">
              <w:t>)</w:t>
            </w:r>
          </w:p>
          <w:p w:rsidR="0037760A" w:rsidRPr="00BC19B8" w:rsidRDefault="0037760A" w:rsidP="009D4610">
            <w:pPr>
              <w:keepNext/>
              <w:ind w:left="72"/>
            </w:pPr>
          </w:p>
        </w:tc>
        <w:tc>
          <w:tcPr>
            <w:tcW w:w="4540" w:type="dxa"/>
          </w:tcPr>
          <w:p w:rsidR="001C7922" w:rsidRDefault="001C7922" w:rsidP="00CE0532">
            <w:pPr>
              <w:keepNext/>
            </w:pPr>
          </w:p>
          <w:p w:rsidR="001C7922" w:rsidRDefault="001C7922" w:rsidP="00CE0532">
            <w:pPr>
              <w:keepNext/>
            </w:pPr>
          </w:p>
          <w:p w:rsidR="001C7922" w:rsidRDefault="001C7922" w:rsidP="00CE0532">
            <w:pPr>
              <w:keepNext/>
            </w:pPr>
          </w:p>
          <w:p w:rsidR="0037760A" w:rsidRPr="00BC19B8" w:rsidRDefault="009D4610" w:rsidP="00CE0532">
            <w:pPr>
              <w:keepNext/>
            </w:pPr>
            <w:r>
              <w:t>DOCKET NOS. UE-140762,</w:t>
            </w:r>
            <w:r w:rsidR="0037760A" w:rsidRPr="00BC19B8">
              <w:t xml:space="preserve"> </w:t>
            </w:r>
          </w:p>
          <w:p w:rsidR="0037760A" w:rsidRPr="00BC19B8" w:rsidRDefault="0037760A" w:rsidP="00CE0532">
            <w:pPr>
              <w:keepNext/>
            </w:pPr>
            <w:r w:rsidRPr="00BC19B8">
              <w:t>UE-140617</w:t>
            </w:r>
            <w:r w:rsidR="009D4610">
              <w:t>, UE-131384, and UE-140094</w:t>
            </w:r>
            <w:r w:rsidRPr="00BC19B8">
              <w:t xml:space="preserve"> </w:t>
            </w:r>
            <w:r w:rsidRPr="00BC19B8">
              <w:rPr>
                <w:i/>
              </w:rPr>
              <w:t>(</w:t>
            </w:r>
            <w:r w:rsidRPr="009D4610">
              <w:t>consolidated</w:t>
            </w:r>
            <w:r w:rsidRPr="00BC19B8">
              <w:rPr>
                <w:i/>
              </w:rPr>
              <w:t>)</w:t>
            </w:r>
          </w:p>
          <w:p w:rsidR="0037760A" w:rsidRPr="00BC19B8" w:rsidRDefault="0037760A" w:rsidP="00CE0532">
            <w:pPr>
              <w:keepNext/>
            </w:pPr>
          </w:p>
          <w:p w:rsidR="0037760A" w:rsidRPr="00BC19B8" w:rsidRDefault="0037760A" w:rsidP="00CE0532">
            <w:pPr>
              <w:keepNext/>
            </w:pPr>
          </w:p>
          <w:p w:rsidR="0037760A" w:rsidRPr="00BC19B8" w:rsidRDefault="0037760A" w:rsidP="00CE0532">
            <w:pPr>
              <w:keepNext/>
            </w:pPr>
          </w:p>
          <w:p w:rsidR="0037760A" w:rsidRPr="00BC19B8" w:rsidRDefault="0037760A" w:rsidP="00CE0532">
            <w:pPr>
              <w:keepNext/>
            </w:pPr>
          </w:p>
          <w:p w:rsidR="0037760A" w:rsidRPr="00BC19B8" w:rsidRDefault="0037760A" w:rsidP="00CE0532">
            <w:pPr>
              <w:keepNext/>
            </w:pPr>
          </w:p>
          <w:p w:rsidR="0037760A" w:rsidRPr="00BC19B8" w:rsidRDefault="0037760A" w:rsidP="00CE0532">
            <w:pPr>
              <w:keepNext/>
            </w:pPr>
          </w:p>
          <w:p w:rsidR="0037760A" w:rsidRPr="00BC19B8" w:rsidRDefault="0037760A" w:rsidP="00CE0532">
            <w:pPr>
              <w:keepNext/>
            </w:pPr>
          </w:p>
          <w:p w:rsidR="0037760A" w:rsidRPr="00BC19B8" w:rsidRDefault="0037760A" w:rsidP="00CE0532">
            <w:pPr>
              <w:keepNext/>
            </w:pPr>
          </w:p>
          <w:p w:rsidR="0037760A" w:rsidRPr="00BC19B8" w:rsidRDefault="0037760A" w:rsidP="00CE0532">
            <w:pPr>
              <w:keepNext/>
              <w:ind w:left="410"/>
            </w:pPr>
          </w:p>
          <w:p w:rsidR="0037760A" w:rsidRPr="00BC19B8" w:rsidRDefault="0037760A" w:rsidP="00CE0532">
            <w:pPr>
              <w:keepNext/>
              <w:ind w:left="410"/>
            </w:pPr>
          </w:p>
        </w:tc>
      </w:tr>
    </w:tbl>
    <w:p w:rsidR="00DB4FE9" w:rsidRDefault="00DB4FE9" w:rsidP="001C7922">
      <w:pPr>
        <w:pStyle w:val="Header"/>
        <w:tabs>
          <w:tab w:val="clear" w:pos="4320"/>
          <w:tab w:val="clear" w:pos="8640"/>
          <w:tab w:val="center" w:pos="4680"/>
        </w:tabs>
        <w:rPr>
          <w:b/>
          <w:sz w:val="24"/>
          <w:szCs w:val="24"/>
        </w:rPr>
      </w:pPr>
    </w:p>
    <w:p w:rsidR="00DB4FE9" w:rsidRDefault="00DB4FE9" w:rsidP="00C3456E">
      <w:pPr>
        <w:pStyle w:val="Header"/>
        <w:tabs>
          <w:tab w:val="clear" w:pos="4320"/>
          <w:tab w:val="clear" w:pos="8640"/>
          <w:tab w:val="center" w:pos="4680"/>
        </w:tabs>
        <w:jc w:val="center"/>
        <w:rPr>
          <w:b/>
          <w:sz w:val="24"/>
          <w:szCs w:val="24"/>
        </w:rPr>
      </w:pPr>
    </w:p>
    <w:p w:rsidR="00DB4FE9" w:rsidRDefault="00DB4FE9" w:rsidP="00C3456E">
      <w:pPr>
        <w:pStyle w:val="Header"/>
        <w:tabs>
          <w:tab w:val="clear" w:pos="4320"/>
          <w:tab w:val="clear" w:pos="8640"/>
          <w:tab w:val="center" w:pos="4680"/>
        </w:tabs>
        <w:jc w:val="center"/>
        <w:rPr>
          <w:b/>
          <w:sz w:val="24"/>
          <w:szCs w:val="24"/>
        </w:rPr>
      </w:pPr>
    </w:p>
    <w:p w:rsidR="00DB4FE9" w:rsidRDefault="00DB4FE9" w:rsidP="00C3456E">
      <w:pPr>
        <w:pStyle w:val="Header"/>
        <w:tabs>
          <w:tab w:val="clear" w:pos="4320"/>
          <w:tab w:val="clear" w:pos="8640"/>
          <w:tab w:val="center" w:pos="4680"/>
        </w:tabs>
        <w:jc w:val="center"/>
        <w:rPr>
          <w:b/>
          <w:sz w:val="24"/>
          <w:szCs w:val="24"/>
        </w:rPr>
      </w:pPr>
    </w:p>
    <w:p w:rsidR="00DB4FE9" w:rsidRDefault="00DB4FE9" w:rsidP="00C3456E">
      <w:pPr>
        <w:pStyle w:val="Header"/>
        <w:tabs>
          <w:tab w:val="clear" w:pos="4320"/>
          <w:tab w:val="clear" w:pos="8640"/>
          <w:tab w:val="center" w:pos="4680"/>
        </w:tabs>
        <w:jc w:val="center"/>
        <w:rPr>
          <w:b/>
          <w:sz w:val="24"/>
          <w:szCs w:val="24"/>
        </w:rPr>
      </w:pPr>
      <w:r>
        <w:rPr>
          <w:b/>
          <w:sz w:val="24"/>
          <w:szCs w:val="24"/>
        </w:rPr>
        <w:t>REPLY</w:t>
      </w:r>
      <w:r w:rsidRPr="00AD56FC">
        <w:rPr>
          <w:b/>
          <w:sz w:val="24"/>
          <w:szCs w:val="24"/>
        </w:rPr>
        <w:t xml:space="preserve"> BRIEF</w:t>
      </w:r>
    </w:p>
    <w:p w:rsidR="00DB4FE9" w:rsidRDefault="00DB4FE9" w:rsidP="00C3456E">
      <w:pPr>
        <w:pStyle w:val="Header"/>
        <w:tabs>
          <w:tab w:val="clear" w:pos="4320"/>
          <w:tab w:val="clear" w:pos="8640"/>
          <w:tab w:val="center" w:pos="4680"/>
        </w:tabs>
        <w:jc w:val="center"/>
        <w:rPr>
          <w:b/>
          <w:sz w:val="24"/>
          <w:szCs w:val="24"/>
        </w:rPr>
      </w:pPr>
    </w:p>
    <w:p w:rsidR="009D4610" w:rsidRDefault="00DB4FE9" w:rsidP="00C3456E">
      <w:pPr>
        <w:pStyle w:val="Header"/>
        <w:tabs>
          <w:tab w:val="clear" w:pos="4320"/>
          <w:tab w:val="clear" w:pos="8640"/>
          <w:tab w:val="center" w:pos="4680"/>
        </w:tabs>
        <w:jc w:val="center"/>
        <w:rPr>
          <w:b/>
          <w:sz w:val="24"/>
          <w:szCs w:val="24"/>
        </w:rPr>
      </w:pPr>
      <w:r w:rsidRPr="00AD56FC">
        <w:rPr>
          <w:b/>
          <w:sz w:val="24"/>
          <w:szCs w:val="24"/>
        </w:rPr>
        <w:t>OF</w:t>
      </w:r>
    </w:p>
    <w:p w:rsidR="009D4610" w:rsidRDefault="00DB4FE9" w:rsidP="00C3456E">
      <w:pPr>
        <w:pStyle w:val="Header"/>
        <w:tabs>
          <w:tab w:val="clear" w:pos="4320"/>
          <w:tab w:val="clear" w:pos="8640"/>
          <w:tab w:val="center" w:pos="4680"/>
        </w:tabs>
        <w:jc w:val="center"/>
        <w:rPr>
          <w:b/>
          <w:sz w:val="24"/>
          <w:szCs w:val="24"/>
        </w:rPr>
      </w:pPr>
      <w:r>
        <w:rPr>
          <w:b/>
          <w:sz w:val="24"/>
          <w:szCs w:val="24"/>
        </w:rPr>
        <w:t xml:space="preserve"> </w:t>
      </w:r>
    </w:p>
    <w:p w:rsidR="00DB4FE9" w:rsidRPr="00AD56FC" w:rsidRDefault="00DB4FE9" w:rsidP="00C3456E">
      <w:pPr>
        <w:pStyle w:val="Header"/>
        <w:tabs>
          <w:tab w:val="clear" w:pos="4320"/>
          <w:tab w:val="clear" w:pos="8640"/>
          <w:tab w:val="center" w:pos="4680"/>
        </w:tabs>
        <w:jc w:val="center"/>
        <w:rPr>
          <w:b/>
          <w:sz w:val="24"/>
          <w:szCs w:val="24"/>
        </w:rPr>
      </w:pPr>
      <w:r>
        <w:rPr>
          <w:b/>
          <w:sz w:val="24"/>
          <w:szCs w:val="24"/>
        </w:rPr>
        <w:t>BOISE WHITE PAPER, L</w:t>
      </w:r>
      <w:r w:rsidR="009D4610">
        <w:rPr>
          <w:b/>
          <w:sz w:val="24"/>
          <w:szCs w:val="24"/>
        </w:rPr>
        <w:t>.</w:t>
      </w:r>
      <w:r>
        <w:rPr>
          <w:b/>
          <w:sz w:val="24"/>
          <w:szCs w:val="24"/>
        </w:rPr>
        <w:t>L</w:t>
      </w:r>
      <w:r w:rsidR="009D4610">
        <w:rPr>
          <w:b/>
          <w:sz w:val="24"/>
          <w:szCs w:val="24"/>
        </w:rPr>
        <w:t>.</w:t>
      </w:r>
      <w:r>
        <w:rPr>
          <w:b/>
          <w:sz w:val="24"/>
          <w:szCs w:val="24"/>
        </w:rPr>
        <w:t>C</w:t>
      </w:r>
      <w:r w:rsidR="009D4610">
        <w:rPr>
          <w:b/>
          <w:sz w:val="24"/>
          <w:szCs w:val="24"/>
        </w:rPr>
        <w:t>.</w:t>
      </w:r>
    </w:p>
    <w:p w:rsidR="00DB4FE9" w:rsidRPr="00AD56FC" w:rsidRDefault="00DB4FE9" w:rsidP="00C3456E">
      <w:pPr>
        <w:pStyle w:val="Header"/>
        <w:tabs>
          <w:tab w:val="clear" w:pos="4320"/>
          <w:tab w:val="clear" w:pos="8640"/>
          <w:tab w:val="center" w:pos="4680"/>
        </w:tabs>
        <w:jc w:val="center"/>
        <w:rPr>
          <w:sz w:val="24"/>
          <w:szCs w:val="24"/>
        </w:rPr>
      </w:pPr>
    </w:p>
    <w:p w:rsidR="00DB4FE9" w:rsidRDefault="00DB4FE9" w:rsidP="00C3456E">
      <w:pPr>
        <w:jc w:val="center"/>
      </w:pPr>
    </w:p>
    <w:p w:rsidR="00DB4FE9" w:rsidRDefault="00DB4FE9" w:rsidP="00C3456E">
      <w:pPr>
        <w:jc w:val="center"/>
      </w:pPr>
    </w:p>
    <w:p w:rsidR="00DB4FE9" w:rsidRDefault="009D4610" w:rsidP="00C3456E">
      <w:pPr>
        <w:jc w:val="center"/>
        <w:rPr>
          <w:b/>
        </w:rPr>
      </w:pPr>
      <w:r>
        <w:rPr>
          <w:b/>
        </w:rPr>
        <w:t>February 3</w:t>
      </w:r>
      <w:r w:rsidR="0037760A">
        <w:rPr>
          <w:b/>
        </w:rPr>
        <w:t>, 2015</w:t>
      </w:r>
    </w:p>
    <w:p w:rsidR="00DB4FE9" w:rsidRDefault="00DB4FE9" w:rsidP="005E2CFB">
      <w:pPr>
        <w:jc w:val="center"/>
      </w:pPr>
    </w:p>
    <w:p w:rsidR="00DB4FE9" w:rsidRDefault="00DB4FE9" w:rsidP="005E2CFB">
      <w:pPr>
        <w:pStyle w:val="WUTCParagraph"/>
        <w:numPr>
          <w:ilvl w:val="0"/>
          <w:numId w:val="0"/>
        </w:numPr>
        <w:tabs>
          <w:tab w:val="clear" w:pos="1440"/>
          <w:tab w:val="left" w:pos="0"/>
        </w:tabs>
        <w:spacing w:before="240" w:after="240" w:line="570" w:lineRule="exact"/>
        <w:jc w:val="center"/>
        <w:rPr>
          <w:b/>
        </w:rPr>
        <w:sectPr w:rsidR="00DB4FE9" w:rsidSect="00DB4FE9">
          <w:headerReference w:type="default" r:id="rId9"/>
          <w:footerReference w:type="default" r:id="rId10"/>
          <w:pgSz w:w="12240" w:h="15840" w:code="1"/>
          <w:pgMar w:top="1296" w:right="1440" w:bottom="360" w:left="2160" w:header="1440" w:footer="720" w:gutter="0"/>
          <w:cols w:space="720"/>
          <w:noEndnote/>
        </w:sectPr>
      </w:pPr>
    </w:p>
    <w:p w:rsidR="00FA365E" w:rsidRPr="0074692F" w:rsidRDefault="00FA365E" w:rsidP="00FA365E">
      <w:pPr>
        <w:pStyle w:val="BodyTextIndent"/>
        <w:spacing w:before="240" w:line="240" w:lineRule="auto"/>
        <w:ind w:firstLine="0"/>
        <w:jc w:val="center"/>
        <w:rPr>
          <w:b/>
          <w:bCs/>
          <w:sz w:val="28"/>
        </w:rPr>
      </w:pPr>
      <w:r w:rsidRPr="0074692F">
        <w:rPr>
          <w:b/>
          <w:bCs/>
          <w:sz w:val="28"/>
        </w:rPr>
        <w:lastRenderedPageBreak/>
        <w:t>TABLE OF CONTENTS</w:t>
      </w:r>
    </w:p>
    <w:p w:rsidR="00FA365E" w:rsidRPr="0074692F" w:rsidRDefault="00FA365E" w:rsidP="00FA365E">
      <w:pPr>
        <w:pStyle w:val="BodyTextIndent"/>
        <w:tabs>
          <w:tab w:val="right" w:pos="8640"/>
        </w:tabs>
        <w:spacing w:before="240" w:line="240" w:lineRule="auto"/>
        <w:ind w:firstLine="0"/>
        <w:rPr>
          <w:sz w:val="28"/>
          <w:u w:val="single"/>
        </w:rPr>
      </w:pPr>
      <w:r w:rsidRPr="0074692F">
        <w:rPr>
          <w:sz w:val="28"/>
        </w:rPr>
        <w:tab/>
      </w:r>
      <w:r w:rsidRPr="0074692F">
        <w:rPr>
          <w:sz w:val="28"/>
          <w:u w:val="single"/>
        </w:rPr>
        <w:t>Page</w:t>
      </w:r>
    </w:p>
    <w:p w:rsidR="00FA365E" w:rsidRPr="0074692F" w:rsidRDefault="00FA365E" w:rsidP="00FA365E">
      <w:pPr>
        <w:pStyle w:val="BodyTextIndent"/>
        <w:tabs>
          <w:tab w:val="right" w:leader="dot" w:pos="8640"/>
        </w:tabs>
        <w:spacing w:before="240" w:line="240" w:lineRule="auto"/>
        <w:ind w:firstLine="0"/>
        <w:rPr>
          <w:sz w:val="28"/>
        </w:rPr>
      </w:pPr>
      <w:r w:rsidRPr="0074692F">
        <w:rPr>
          <w:sz w:val="28"/>
        </w:rPr>
        <w:t>TABLE OF CONTENTS</w:t>
      </w:r>
      <w:r w:rsidRPr="0074692F">
        <w:rPr>
          <w:sz w:val="28"/>
        </w:rPr>
        <w:tab/>
        <w:t>i</w:t>
      </w:r>
    </w:p>
    <w:p w:rsidR="00FA365E" w:rsidRPr="0074692F" w:rsidRDefault="00FA365E" w:rsidP="00FA365E">
      <w:pPr>
        <w:pStyle w:val="BodyTextIndent"/>
        <w:tabs>
          <w:tab w:val="left" w:pos="1530"/>
          <w:tab w:val="right" w:leader="dot" w:pos="8640"/>
        </w:tabs>
        <w:spacing w:before="240" w:line="240" w:lineRule="auto"/>
        <w:ind w:firstLine="0"/>
        <w:rPr>
          <w:sz w:val="28"/>
          <w:lang w:val="en-US"/>
        </w:rPr>
      </w:pPr>
      <w:r w:rsidRPr="0074692F">
        <w:rPr>
          <w:sz w:val="28"/>
        </w:rPr>
        <w:t>TABLE OF AUTHORITIES</w:t>
      </w:r>
      <w:r w:rsidRPr="0074692F">
        <w:rPr>
          <w:sz w:val="28"/>
        </w:rPr>
        <w:tab/>
      </w:r>
      <w:r>
        <w:rPr>
          <w:sz w:val="28"/>
          <w:lang w:val="en-US"/>
        </w:rPr>
        <w:t>iv</w:t>
      </w:r>
    </w:p>
    <w:p w:rsidR="00FA365E" w:rsidRPr="0074692F" w:rsidRDefault="00FA365E" w:rsidP="00FA365E">
      <w:pPr>
        <w:pStyle w:val="BodyTextIndent"/>
        <w:tabs>
          <w:tab w:val="left" w:pos="720"/>
          <w:tab w:val="right" w:leader="dot" w:pos="8640"/>
        </w:tabs>
        <w:spacing w:before="240" w:line="240" w:lineRule="auto"/>
        <w:ind w:firstLine="0"/>
        <w:rPr>
          <w:sz w:val="28"/>
        </w:rPr>
      </w:pPr>
      <w:r w:rsidRPr="0074692F">
        <w:rPr>
          <w:sz w:val="28"/>
        </w:rPr>
        <w:t>I.</w:t>
      </w:r>
      <w:r w:rsidRPr="0074692F">
        <w:rPr>
          <w:sz w:val="28"/>
        </w:rPr>
        <w:tab/>
        <w:t>INTRODUCTION</w:t>
      </w:r>
      <w:r w:rsidRPr="0074692F">
        <w:rPr>
          <w:sz w:val="28"/>
        </w:rPr>
        <w:tab/>
        <w:t>1</w:t>
      </w:r>
    </w:p>
    <w:p w:rsidR="00FA365E" w:rsidRPr="00C70A36" w:rsidRDefault="00FA365E" w:rsidP="00FA365E">
      <w:pPr>
        <w:pStyle w:val="BodyTextIndent"/>
        <w:tabs>
          <w:tab w:val="left" w:pos="720"/>
          <w:tab w:val="right" w:leader="dot" w:pos="8640"/>
        </w:tabs>
        <w:spacing w:before="240" w:line="240" w:lineRule="auto"/>
        <w:ind w:firstLine="0"/>
        <w:rPr>
          <w:sz w:val="28"/>
          <w:highlight w:val="yellow"/>
          <w:lang w:val="en-US"/>
        </w:rPr>
      </w:pPr>
      <w:r w:rsidRPr="0074692F">
        <w:rPr>
          <w:sz w:val="28"/>
        </w:rPr>
        <w:t>II.</w:t>
      </w:r>
      <w:r w:rsidRPr="0074692F">
        <w:rPr>
          <w:sz w:val="28"/>
        </w:rPr>
        <w:tab/>
        <w:t>ARGUMENT</w:t>
      </w:r>
      <w:r w:rsidRPr="0074692F">
        <w:rPr>
          <w:sz w:val="28"/>
        </w:rPr>
        <w:tab/>
      </w:r>
      <w:r>
        <w:rPr>
          <w:sz w:val="28"/>
          <w:lang w:val="en-US"/>
        </w:rPr>
        <w:t>1</w:t>
      </w:r>
    </w:p>
    <w:p w:rsidR="00FA365E" w:rsidRPr="0074692F" w:rsidRDefault="00FA365E" w:rsidP="00FA365E">
      <w:pPr>
        <w:pStyle w:val="BodyTextIndent"/>
        <w:keepLines/>
        <w:numPr>
          <w:ilvl w:val="0"/>
          <w:numId w:val="23"/>
        </w:numPr>
        <w:tabs>
          <w:tab w:val="left" w:pos="1440"/>
          <w:tab w:val="right" w:leader="dot" w:pos="8640"/>
        </w:tabs>
        <w:spacing w:before="240" w:after="240" w:line="240" w:lineRule="auto"/>
        <w:ind w:right="720"/>
        <w:rPr>
          <w:bCs/>
          <w:sz w:val="28"/>
          <w:szCs w:val="28"/>
        </w:rPr>
      </w:pPr>
      <w:r w:rsidRPr="0074692F">
        <w:rPr>
          <w:bCs/>
          <w:sz w:val="28"/>
          <w:szCs w:val="28"/>
        </w:rPr>
        <w:t xml:space="preserve">Pacific Power’s </w:t>
      </w:r>
      <w:r>
        <w:rPr>
          <w:bCs/>
          <w:sz w:val="28"/>
          <w:szCs w:val="28"/>
          <w:lang w:val="en-US"/>
        </w:rPr>
        <w:t>Cost of Capital Arguments Are Unsupported and Misleading</w:t>
      </w:r>
      <w:r w:rsidRPr="0074692F">
        <w:rPr>
          <w:sz w:val="28"/>
        </w:rPr>
        <w:tab/>
      </w:r>
      <w:r>
        <w:rPr>
          <w:sz w:val="28"/>
          <w:lang w:val="en-US"/>
        </w:rPr>
        <w:t>1</w:t>
      </w:r>
    </w:p>
    <w:p w:rsidR="00FA365E" w:rsidRPr="003A7571" w:rsidRDefault="00FA365E" w:rsidP="00FA365E">
      <w:pPr>
        <w:pStyle w:val="BodyTextIndent"/>
        <w:keepLines/>
        <w:tabs>
          <w:tab w:val="left" w:pos="1980"/>
          <w:tab w:val="right" w:leader="dot" w:pos="8640"/>
        </w:tabs>
        <w:spacing w:line="240" w:lineRule="auto"/>
        <w:ind w:left="1987" w:right="720" w:hanging="547"/>
        <w:rPr>
          <w:sz w:val="28"/>
          <w:szCs w:val="28"/>
          <w:lang w:val="en-US"/>
        </w:rPr>
      </w:pPr>
      <w:r w:rsidRPr="003A7571">
        <w:rPr>
          <w:sz w:val="28"/>
          <w:szCs w:val="28"/>
          <w:lang w:val="en-US"/>
        </w:rPr>
        <w:t>1.</w:t>
      </w:r>
      <w:r w:rsidRPr="003A7571">
        <w:rPr>
          <w:sz w:val="28"/>
          <w:szCs w:val="28"/>
          <w:lang w:val="en-US"/>
        </w:rPr>
        <w:tab/>
        <w:t xml:space="preserve">Pacific Power’s Return on Equity (“ROE”) </w:t>
      </w:r>
      <w:r w:rsidR="00B10453">
        <w:rPr>
          <w:sz w:val="28"/>
          <w:szCs w:val="28"/>
          <w:lang w:val="en-US"/>
        </w:rPr>
        <w:t xml:space="preserve">Recommendation </w:t>
      </w:r>
      <w:r w:rsidRPr="003A7571">
        <w:rPr>
          <w:sz w:val="28"/>
          <w:szCs w:val="28"/>
          <w:lang w:val="en-US"/>
        </w:rPr>
        <w:t>is Based</w:t>
      </w:r>
      <w:r w:rsidR="00B10453">
        <w:rPr>
          <w:sz w:val="28"/>
          <w:szCs w:val="28"/>
          <w:lang w:val="en-US"/>
        </w:rPr>
        <w:t xml:space="preserve"> u</w:t>
      </w:r>
      <w:r w:rsidRPr="003A7571">
        <w:rPr>
          <w:sz w:val="28"/>
          <w:szCs w:val="28"/>
          <w:lang w:val="en-US"/>
        </w:rPr>
        <w:t>pon Improper Rationale and Unreliable Modeling</w:t>
      </w:r>
      <w:r w:rsidRPr="003A7571">
        <w:rPr>
          <w:sz w:val="28"/>
          <w:szCs w:val="28"/>
        </w:rPr>
        <w:tab/>
      </w:r>
      <w:r>
        <w:rPr>
          <w:sz w:val="28"/>
          <w:szCs w:val="28"/>
          <w:lang w:val="en-US"/>
        </w:rPr>
        <w:t>2</w:t>
      </w:r>
    </w:p>
    <w:p w:rsidR="00FA365E" w:rsidRPr="003A7571" w:rsidRDefault="00FA365E" w:rsidP="00FA365E">
      <w:pPr>
        <w:pStyle w:val="BodyTextIndent"/>
        <w:keepLines/>
        <w:tabs>
          <w:tab w:val="right" w:leader="dot" w:pos="8640"/>
        </w:tabs>
        <w:spacing w:before="240" w:line="240" w:lineRule="auto"/>
        <w:ind w:left="2700" w:right="720" w:hanging="540"/>
        <w:rPr>
          <w:sz w:val="28"/>
          <w:szCs w:val="28"/>
          <w:lang w:val="en-US"/>
        </w:rPr>
      </w:pPr>
      <w:r w:rsidRPr="003A7571">
        <w:rPr>
          <w:sz w:val="28"/>
          <w:lang w:val="en-US"/>
        </w:rPr>
        <w:t xml:space="preserve">a. </w:t>
      </w:r>
      <w:r w:rsidRPr="003A7571">
        <w:rPr>
          <w:sz w:val="28"/>
          <w:lang w:val="en-US"/>
        </w:rPr>
        <w:tab/>
        <w:t>The Company Ignored the Principle of Gradualism</w:t>
      </w:r>
      <w:r w:rsidRPr="003A7571">
        <w:rPr>
          <w:sz w:val="28"/>
          <w:szCs w:val="28"/>
        </w:rPr>
        <w:tab/>
      </w:r>
      <w:r>
        <w:rPr>
          <w:sz w:val="28"/>
          <w:szCs w:val="28"/>
          <w:lang w:val="en-US"/>
        </w:rPr>
        <w:t>2</w:t>
      </w:r>
    </w:p>
    <w:p w:rsidR="00FA365E" w:rsidRPr="003A7571" w:rsidRDefault="00FA365E" w:rsidP="00FA365E">
      <w:pPr>
        <w:pStyle w:val="BodyTextIndent"/>
        <w:keepLines/>
        <w:tabs>
          <w:tab w:val="left" w:pos="2340"/>
          <w:tab w:val="left" w:pos="2700"/>
          <w:tab w:val="right" w:leader="dot" w:pos="8640"/>
        </w:tabs>
        <w:spacing w:before="240" w:line="240" w:lineRule="auto"/>
        <w:ind w:left="2700" w:right="720" w:hanging="540"/>
        <w:rPr>
          <w:sz w:val="28"/>
          <w:lang w:val="en-US"/>
        </w:rPr>
      </w:pPr>
      <w:r w:rsidRPr="003A7571">
        <w:rPr>
          <w:sz w:val="28"/>
          <w:lang w:val="en-US"/>
        </w:rPr>
        <w:t xml:space="preserve">b. </w:t>
      </w:r>
      <w:r w:rsidRPr="003A7571">
        <w:rPr>
          <w:sz w:val="28"/>
          <w:lang w:val="en-US"/>
        </w:rPr>
        <w:tab/>
        <w:t>Mr. Gorman’s Positions Are Mischaracterized and Improperly Critiqued</w:t>
      </w:r>
      <w:r>
        <w:rPr>
          <w:sz w:val="28"/>
          <w:lang w:val="en-US"/>
        </w:rPr>
        <w:tab/>
        <w:t>3</w:t>
      </w:r>
    </w:p>
    <w:p w:rsidR="00FA365E" w:rsidRDefault="00FA365E" w:rsidP="00FA365E">
      <w:pPr>
        <w:pStyle w:val="BodyTextIndent"/>
        <w:keepLines/>
        <w:tabs>
          <w:tab w:val="left" w:pos="1980"/>
          <w:tab w:val="left" w:pos="2340"/>
          <w:tab w:val="right" w:leader="dot" w:pos="8640"/>
        </w:tabs>
        <w:spacing w:before="240" w:line="240" w:lineRule="auto"/>
        <w:ind w:left="1980" w:right="720" w:hanging="540"/>
        <w:rPr>
          <w:sz w:val="28"/>
          <w:szCs w:val="28"/>
          <w:lang w:val="en-US"/>
        </w:rPr>
      </w:pPr>
      <w:r w:rsidRPr="00B15DE4">
        <w:rPr>
          <w:sz w:val="28"/>
          <w:szCs w:val="28"/>
          <w:lang w:val="en-US"/>
        </w:rPr>
        <w:t>2.</w:t>
      </w:r>
      <w:r w:rsidRPr="00B15DE4">
        <w:rPr>
          <w:sz w:val="28"/>
          <w:szCs w:val="28"/>
          <w:lang w:val="en-US"/>
        </w:rPr>
        <w:tab/>
        <w:t>The Company’s Currently Authorized Capital Structure Should Be Maintained</w:t>
      </w:r>
      <w:r w:rsidRPr="00B15DE4">
        <w:rPr>
          <w:sz w:val="28"/>
          <w:szCs w:val="28"/>
        </w:rPr>
        <w:tab/>
      </w:r>
      <w:r w:rsidR="00F34A5F">
        <w:rPr>
          <w:sz w:val="28"/>
          <w:szCs w:val="28"/>
          <w:lang w:val="en-US"/>
        </w:rPr>
        <w:t>8</w:t>
      </w:r>
    </w:p>
    <w:p w:rsidR="00FA365E" w:rsidRPr="003A7571" w:rsidRDefault="00FA365E" w:rsidP="00FA365E">
      <w:pPr>
        <w:pStyle w:val="BodyTextIndent"/>
        <w:keepLines/>
        <w:tabs>
          <w:tab w:val="right" w:leader="dot" w:pos="8640"/>
        </w:tabs>
        <w:spacing w:before="240" w:line="240" w:lineRule="auto"/>
        <w:ind w:left="2700" w:right="720" w:hanging="540"/>
        <w:rPr>
          <w:sz w:val="28"/>
          <w:szCs w:val="28"/>
          <w:lang w:val="en-US"/>
        </w:rPr>
      </w:pPr>
      <w:r w:rsidRPr="003A7571">
        <w:rPr>
          <w:sz w:val="28"/>
          <w:lang w:val="en-US"/>
        </w:rPr>
        <w:t xml:space="preserve">a. </w:t>
      </w:r>
      <w:r w:rsidRPr="003A7571">
        <w:rPr>
          <w:sz w:val="28"/>
          <w:lang w:val="en-US"/>
        </w:rPr>
        <w:tab/>
      </w:r>
      <w:r>
        <w:rPr>
          <w:sz w:val="28"/>
          <w:lang w:val="en-US"/>
        </w:rPr>
        <w:t>PacifiCorp Equity Levels Will Continue to Decline</w:t>
      </w:r>
      <w:r w:rsidRPr="003A7571">
        <w:rPr>
          <w:sz w:val="28"/>
          <w:szCs w:val="28"/>
        </w:rPr>
        <w:tab/>
      </w:r>
      <w:r>
        <w:rPr>
          <w:sz w:val="28"/>
          <w:szCs w:val="28"/>
          <w:lang w:val="en-US"/>
        </w:rPr>
        <w:t>8</w:t>
      </w:r>
    </w:p>
    <w:p w:rsidR="00FA365E" w:rsidRPr="00B15DE4" w:rsidRDefault="00FA365E" w:rsidP="00FA365E">
      <w:pPr>
        <w:pStyle w:val="BodyTextIndent"/>
        <w:keepLines/>
        <w:tabs>
          <w:tab w:val="left" w:pos="2340"/>
          <w:tab w:val="left" w:pos="2700"/>
          <w:tab w:val="right" w:leader="dot" w:pos="8640"/>
        </w:tabs>
        <w:spacing w:before="240" w:line="240" w:lineRule="auto"/>
        <w:ind w:left="2700" w:right="720" w:hanging="540"/>
        <w:rPr>
          <w:sz w:val="28"/>
          <w:lang w:val="en-US"/>
        </w:rPr>
      </w:pPr>
      <w:r w:rsidRPr="003A7571">
        <w:rPr>
          <w:sz w:val="28"/>
          <w:lang w:val="en-US"/>
        </w:rPr>
        <w:t xml:space="preserve">b. </w:t>
      </w:r>
      <w:r w:rsidRPr="003A7571">
        <w:rPr>
          <w:sz w:val="28"/>
          <w:lang w:val="en-US"/>
        </w:rPr>
        <w:tab/>
      </w:r>
      <w:r>
        <w:rPr>
          <w:sz w:val="28"/>
          <w:lang w:val="en-US"/>
        </w:rPr>
        <w:t>Co</w:t>
      </w:r>
      <w:r w:rsidR="00B10453">
        <w:rPr>
          <w:sz w:val="28"/>
          <w:lang w:val="en-US"/>
        </w:rPr>
        <w:t xml:space="preserve">mpany Attempts to Discredit                   Mr. </w:t>
      </w:r>
      <w:r>
        <w:rPr>
          <w:sz w:val="28"/>
          <w:lang w:val="en-US"/>
        </w:rPr>
        <w:t>Gorman’s Testimony Are Unfounded</w:t>
      </w:r>
      <w:r>
        <w:rPr>
          <w:sz w:val="28"/>
          <w:lang w:val="en-US"/>
        </w:rPr>
        <w:tab/>
        <w:t>9</w:t>
      </w:r>
    </w:p>
    <w:p w:rsidR="00FA365E" w:rsidRPr="00C85342" w:rsidRDefault="00FA365E" w:rsidP="00FA365E">
      <w:pPr>
        <w:pStyle w:val="BodyTextIndent"/>
        <w:keepLines/>
        <w:tabs>
          <w:tab w:val="left" w:pos="1980"/>
          <w:tab w:val="left" w:pos="2340"/>
          <w:tab w:val="right" w:leader="dot" w:pos="8640"/>
        </w:tabs>
        <w:spacing w:before="240" w:line="240" w:lineRule="auto"/>
        <w:ind w:left="1980" w:right="720" w:hanging="540"/>
        <w:rPr>
          <w:sz w:val="28"/>
          <w:szCs w:val="28"/>
          <w:lang w:val="en-US"/>
        </w:rPr>
      </w:pPr>
      <w:r w:rsidRPr="00C85342">
        <w:rPr>
          <w:sz w:val="28"/>
          <w:szCs w:val="28"/>
          <w:lang w:val="en-US"/>
        </w:rPr>
        <w:t>3.</w:t>
      </w:r>
      <w:r w:rsidRPr="00C85342">
        <w:rPr>
          <w:sz w:val="28"/>
          <w:szCs w:val="28"/>
          <w:lang w:val="en-US"/>
        </w:rPr>
        <w:tab/>
        <w:t>A Washington Jur</w:t>
      </w:r>
      <w:r w:rsidR="00B10453">
        <w:rPr>
          <w:sz w:val="28"/>
          <w:szCs w:val="28"/>
          <w:lang w:val="en-US"/>
        </w:rPr>
        <w:t>isdictional Rate of Return (“ROR</w:t>
      </w:r>
      <w:r w:rsidRPr="00C85342">
        <w:rPr>
          <w:sz w:val="28"/>
          <w:szCs w:val="28"/>
          <w:lang w:val="en-US"/>
        </w:rPr>
        <w:t>”) of 7.20% Adequately Supports PacifiCorp’s Investment Bond Rating</w:t>
      </w:r>
      <w:r w:rsidRPr="00C85342">
        <w:rPr>
          <w:sz w:val="28"/>
          <w:szCs w:val="28"/>
        </w:rPr>
        <w:tab/>
      </w:r>
      <w:r w:rsidRPr="00C85342">
        <w:rPr>
          <w:sz w:val="28"/>
          <w:szCs w:val="28"/>
          <w:lang w:val="en-US"/>
        </w:rPr>
        <w:t>12</w:t>
      </w:r>
    </w:p>
    <w:p w:rsidR="00FA365E" w:rsidRDefault="00FA365E" w:rsidP="00FA365E">
      <w:pPr>
        <w:pStyle w:val="BodyTextIndent"/>
        <w:keepLines/>
        <w:tabs>
          <w:tab w:val="left" w:pos="1440"/>
          <w:tab w:val="right" w:leader="dot" w:pos="8640"/>
        </w:tabs>
        <w:spacing w:before="240" w:line="240" w:lineRule="auto"/>
        <w:ind w:left="1440" w:right="720" w:hanging="720"/>
        <w:rPr>
          <w:sz w:val="28"/>
          <w:lang w:val="en-US"/>
        </w:rPr>
      </w:pPr>
      <w:r w:rsidRPr="00C85342">
        <w:rPr>
          <w:sz w:val="28"/>
        </w:rPr>
        <w:t>B.</w:t>
      </w:r>
      <w:r w:rsidRPr="00C85342">
        <w:rPr>
          <w:sz w:val="28"/>
        </w:rPr>
        <w:tab/>
      </w:r>
      <w:r w:rsidRPr="00C85342">
        <w:rPr>
          <w:sz w:val="28"/>
          <w:szCs w:val="28"/>
          <w:lang w:val="en-US"/>
        </w:rPr>
        <w:t>The Commission Should Adopt Boise’s Recommended Adjustments to Revenue Requirement</w:t>
      </w:r>
      <w:r w:rsidRPr="00C85342">
        <w:rPr>
          <w:sz w:val="28"/>
        </w:rPr>
        <w:tab/>
      </w:r>
      <w:r w:rsidRPr="00C85342">
        <w:rPr>
          <w:sz w:val="28"/>
          <w:lang w:val="en-US"/>
        </w:rPr>
        <w:t>14</w:t>
      </w:r>
    </w:p>
    <w:p w:rsidR="00FA365E" w:rsidRDefault="00FA365E" w:rsidP="00FA365E">
      <w:pPr>
        <w:pStyle w:val="BodyTextIndent"/>
        <w:keepLines/>
        <w:tabs>
          <w:tab w:val="left" w:pos="1980"/>
          <w:tab w:val="left" w:pos="2340"/>
          <w:tab w:val="right" w:leader="dot" w:pos="8640"/>
        </w:tabs>
        <w:spacing w:before="240" w:line="240" w:lineRule="auto"/>
        <w:ind w:left="1980" w:right="720" w:hanging="540"/>
        <w:rPr>
          <w:sz w:val="28"/>
          <w:szCs w:val="28"/>
          <w:lang w:val="en-US"/>
        </w:rPr>
      </w:pPr>
      <w:r>
        <w:rPr>
          <w:sz w:val="28"/>
          <w:szCs w:val="28"/>
          <w:lang w:val="en-US"/>
        </w:rPr>
        <w:t>1</w:t>
      </w:r>
      <w:r w:rsidRPr="00B15DE4">
        <w:rPr>
          <w:sz w:val="28"/>
          <w:szCs w:val="28"/>
          <w:lang w:val="en-US"/>
        </w:rPr>
        <w:t>.</w:t>
      </w:r>
      <w:r w:rsidRPr="00B15DE4">
        <w:rPr>
          <w:sz w:val="28"/>
          <w:szCs w:val="28"/>
          <w:lang w:val="en-US"/>
        </w:rPr>
        <w:tab/>
      </w:r>
      <w:r>
        <w:rPr>
          <w:sz w:val="28"/>
          <w:szCs w:val="28"/>
          <w:lang w:val="en-US"/>
        </w:rPr>
        <w:t>Pacific Power Has Not Carried Its Burden in Justifying Pro-forma Capital Additions</w:t>
      </w:r>
      <w:r w:rsidRPr="00B15DE4">
        <w:rPr>
          <w:sz w:val="28"/>
          <w:szCs w:val="28"/>
        </w:rPr>
        <w:tab/>
      </w:r>
      <w:r>
        <w:rPr>
          <w:sz w:val="28"/>
          <w:szCs w:val="28"/>
          <w:lang w:val="en-US"/>
        </w:rPr>
        <w:t>14</w:t>
      </w:r>
    </w:p>
    <w:p w:rsidR="00FA365E" w:rsidRDefault="00FA365E" w:rsidP="00FA365E">
      <w:pPr>
        <w:pStyle w:val="BodyTextIndent"/>
        <w:keepLines/>
        <w:tabs>
          <w:tab w:val="left" w:pos="1980"/>
          <w:tab w:val="left" w:pos="2340"/>
          <w:tab w:val="right" w:leader="dot" w:pos="8640"/>
        </w:tabs>
        <w:spacing w:before="240" w:line="240" w:lineRule="auto"/>
        <w:ind w:left="1980" w:right="720" w:hanging="540"/>
        <w:rPr>
          <w:sz w:val="28"/>
          <w:szCs w:val="28"/>
          <w:lang w:val="en-US"/>
        </w:rPr>
      </w:pPr>
      <w:r>
        <w:rPr>
          <w:sz w:val="28"/>
          <w:szCs w:val="28"/>
          <w:lang w:val="en-US"/>
        </w:rPr>
        <w:lastRenderedPageBreak/>
        <w:t>2</w:t>
      </w:r>
      <w:r w:rsidRPr="00B15DE4">
        <w:rPr>
          <w:sz w:val="28"/>
          <w:szCs w:val="28"/>
          <w:lang w:val="en-US"/>
        </w:rPr>
        <w:t>.</w:t>
      </w:r>
      <w:r w:rsidRPr="00B15DE4">
        <w:rPr>
          <w:sz w:val="28"/>
          <w:szCs w:val="28"/>
          <w:lang w:val="en-US"/>
        </w:rPr>
        <w:tab/>
      </w:r>
      <w:r>
        <w:rPr>
          <w:sz w:val="28"/>
          <w:szCs w:val="28"/>
          <w:lang w:val="en-US"/>
        </w:rPr>
        <w:t>The Company Has Not Demonstrated Conditions Warranting Use of End of Period (“EOP”) Rate Base</w:t>
      </w:r>
      <w:r w:rsidRPr="00B15DE4">
        <w:rPr>
          <w:sz w:val="28"/>
          <w:szCs w:val="28"/>
        </w:rPr>
        <w:tab/>
      </w:r>
      <w:r>
        <w:rPr>
          <w:sz w:val="28"/>
          <w:szCs w:val="28"/>
          <w:lang w:val="en-US"/>
        </w:rPr>
        <w:t>16</w:t>
      </w:r>
    </w:p>
    <w:p w:rsidR="00FA365E" w:rsidRDefault="00FA365E" w:rsidP="00FA365E">
      <w:pPr>
        <w:pStyle w:val="BodyTextIndent"/>
        <w:keepLines/>
        <w:tabs>
          <w:tab w:val="left" w:pos="1980"/>
          <w:tab w:val="right" w:leader="dot" w:pos="8640"/>
        </w:tabs>
        <w:spacing w:before="240" w:line="240" w:lineRule="auto"/>
        <w:ind w:left="1980" w:right="720" w:hanging="540"/>
        <w:rPr>
          <w:sz w:val="28"/>
          <w:szCs w:val="28"/>
          <w:lang w:val="en-US"/>
        </w:rPr>
      </w:pPr>
      <w:r>
        <w:rPr>
          <w:sz w:val="28"/>
          <w:szCs w:val="28"/>
          <w:lang w:val="en-US"/>
        </w:rPr>
        <w:t>3</w:t>
      </w:r>
      <w:r w:rsidRPr="00B15DE4">
        <w:rPr>
          <w:sz w:val="28"/>
          <w:szCs w:val="28"/>
          <w:lang w:val="en-US"/>
        </w:rPr>
        <w:t>.</w:t>
      </w:r>
      <w:r w:rsidRPr="00B15DE4">
        <w:rPr>
          <w:sz w:val="28"/>
          <w:szCs w:val="28"/>
          <w:lang w:val="en-US"/>
        </w:rPr>
        <w:tab/>
      </w:r>
      <w:r>
        <w:rPr>
          <w:sz w:val="28"/>
          <w:szCs w:val="28"/>
          <w:lang w:val="en-US"/>
        </w:rPr>
        <w:t>The Commission Should Deny the Use of a Proposed Non-labor Operations and Maintenance (“O&amp;M”) Escalator</w:t>
      </w:r>
      <w:r w:rsidRPr="00B15DE4">
        <w:rPr>
          <w:sz w:val="28"/>
          <w:szCs w:val="28"/>
        </w:rPr>
        <w:tab/>
      </w:r>
      <w:r>
        <w:rPr>
          <w:sz w:val="28"/>
          <w:szCs w:val="28"/>
          <w:lang w:val="en-US"/>
        </w:rPr>
        <w:t>17</w:t>
      </w:r>
    </w:p>
    <w:p w:rsidR="00FA365E" w:rsidRPr="00E60D3E" w:rsidRDefault="00FA365E" w:rsidP="00FA365E">
      <w:pPr>
        <w:pStyle w:val="BodyTextIndent"/>
        <w:keepLines/>
        <w:tabs>
          <w:tab w:val="left" w:pos="1440"/>
          <w:tab w:val="right" w:leader="dot" w:pos="8640"/>
        </w:tabs>
        <w:spacing w:before="240" w:line="240" w:lineRule="auto"/>
        <w:ind w:left="1440" w:right="720" w:hanging="720"/>
        <w:rPr>
          <w:sz w:val="28"/>
          <w:lang w:val="en-US"/>
        </w:rPr>
      </w:pPr>
      <w:r w:rsidRPr="00E60D3E">
        <w:rPr>
          <w:sz w:val="28"/>
        </w:rPr>
        <w:t>C.</w:t>
      </w:r>
      <w:r w:rsidRPr="00E60D3E">
        <w:rPr>
          <w:sz w:val="28"/>
        </w:rPr>
        <w:tab/>
      </w:r>
      <w:r w:rsidRPr="00E60D3E">
        <w:rPr>
          <w:bCs/>
          <w:sz w:val="28"/>
          <w:lang w:val="en-US"/>
        </w:rPr>
        <w:t>The Commission Should Adopt Boise’s Recommended Adjustments to Net Power Costs</w:t>
      </w:r>
      <w:r w:rsidRPr="00E60D3E">
        <w:rPr>
          <w:sz w:val="28"/>
        </w:rPr>
        <w:tab/>
      </w:r>
      <w:r w:rsidRPr="00E60D3E">
        <w:rPr>
          <w:sz w:val="28"/>
          <w:lang w:val="en-US"/>
        </w:rPr>
        <w:t>18</w:t>
      </w:r>
    </w:p>
    <w:p w:rsidR="00FA365E" w:rsidRPr="00E60D3E" w:rsidRDefault="00FA365E" w:rsidP="00FA365E">
      <w:pPr>
        <w:pStyle w:val="BodyTextIndent"/>
        <w:tabs>
          <w:tab w:val="right" w:leader="dot" w:pos="8640"/>
        </w:tabs>
        <w:spacing w:before="240" w:line="240" w:lineRule="auto"/>
        <w:ind w:left="1987" w:right="720" w:hanging="547"/>
        <w:rPr>
          <w:sz w:val="28"/>
          <w:lang w:val="en-US"/>
        </w:rPr>
      </w:pPr>
      <w:r w:rsidRPr="00E60D3E">
        <w:rPr>
          <w:sz w:val="28"/>
        </w:rPr>
        <w:t>1.</w:t>
      </w:r>
      <w:r w:rsidRPr="00E60D3E">
        <w:rPr>
          <w:sz w:val="28"/>
        </w:rPr>
        <w:tab/>
      </w:r>
      <w:r w:rsidRPr="00E60D3E">
        <w:rPr>
          <w:sz w:val="28"/>
          <w:szCs w:val="28"/>
          <w:lang w:val="en-US"/>
        </w:rPr>
        <w:t>Pacific Power’s Misleading Arguments Do Not Justify Inclusion of the Full Costs of Oregon and California Qualifying Facilities (“QFs”) in Washington Rates</w:t>
      </w:r>
      <w:r w:rsidRPr="00E60D3E">
        <w:rPr>
          <w:sz w:val="28"/>
        </w:rPr>
        <w:tab/>
      </w:r>
      <w:r w:rsidRPr="00E60D3E">
        <w:rPr>
          <w:sz w:val="28"/>
          <w:lang w:val="en-US"/>
        </w:rPr>
        <w:t>18</w:t>
      </w:r>
    </w:p>
    <w:p w:rsidR="00FA365E" w:rsidRPr="00E60D3E" w:rsidRDefault="00FA365E" w:rsidP="00FA365E">
      <w:pPr>
        <w:pStyle w:val="BodyTextIndent"/>
        <w:tabs>
          <w:tab w:val="right" w:leader="dot" w:pos="8640"/>
        </w:tabs>
        <w:spacing w:before="240" w:line="240" w:lineRule="auto"/>
        <w:ind w:left="2700" w:right="720" w:hanging="540"/>
        <w:rPr>
          <w:sz w:val="28"/>
          <w:szCs w:val="28"/>
          <w:lang w:val="en-US"/>
        </w:rPr>
      </w:pPr>
      <w:r w:rsidRPr="00E60D3E">
        <w:rPr>
          <w:sz w:val="28"/>
          <w:lang w:val="en-US"/>
        </w:rPr>
        <w:t xml:space="preserve">a. </w:t>
      </w:r>
      <w:r w:rsidRPr="00E60D3E">
        <w:rPr>
          <w:sz w:val="28"/>
          <w:lang w:val="en-US"/>
        </w:rPr>
        <w:tab/>
        <w:t>The Company Misapplies Federal and State Authority Regarding QFs</w:t>
      </w:r>
      <w:r w:rsidRPr="00E60D3E">
        <w:rPr>
          <w:sz w:val="28"/>
          <w:szCs w:val="28"/>
        </w:rPr>
        <w:tab/>
      </w:r>
      <w:r w:rsidRPr="00E60D3E">
        <w:rPr>
          <w:sz w:val="28"/>
          <w:szCs w:val="28"/>
          <w:lang w:val="en-US"/>
        </w:rPr>
        <w:t>18</w:t>
      </w:r>
    </w:p>
    <w:p w:rsidR="00FA365E" w:rsidRDefault="00FA365E" w:rsidP="00FA365E">
      <w:pPr>
        <w:pStyle w:val="BodyTextIndent"/>
        <w:tabs>
          <w:tab w:val="right" w:leader="dot" w:pos="8640"/>
        </w:tabs>
        <w:spacing w:before="240" w:line="240" w:lineRule="auto"/>
        <w:ind w:left="2707" w:right="720" w:hanging="547"/>
        <w:rPr>
          <w:sz w:val="28"/>
          <w:szCs w:val="28"/>
          <w:lang w:val="en-US"/>
        </w:rPr>
      </w:pPr>
      <w:r w:rsidRPr="00E60D3E">
        <w:rPr>
          <w:sz w:val="28"/>
          <w:szCs w:val="28"/>
          <w:lang w:val="en-US"/>
        </w:rPr>
        <w:t>b.</w:t>
      </w:r>
      <w:r w:rsidRPr="00E60D3E">
        <w:rPr>
          <w:sz w:val="28"/>
          <w:szCs w:val="28"/>
          <w:lang w:val="en-US"/>
        </w:rPr>
        <w:tab/>
        <w:t>Situs Allocation and Market Pricing Are Legal and Fair</w:t>
      </w:r>
      <w:r w:rsidRPr="00E60D3E">
        <w:rPr>
          <w:sz w:val="28"/>
          <w:szCs w:val="28"/>
        </w:rPr>
        <w:tab/>
      </w:r>
      <w:r w:rsidRPr="00E60D3E">
        <w:rPr>
          <w:sz w:val="28"/>
          <w:szCs w:val="28"/>
          <w:lang w:val="en-US"/>
        </w:rPr>
        <w:t>20</w:t>
      </w:r>
    </w:p>
    <w:p w:rsidR="00FA365E" w:rsidRDefault="00FA365E" w:rsidP="00FA365E">
      <w:pPr>
        <w:pStyle w:val="BodyTextIndent"/>
        <w:tabs>
          <w:tab w:val="right" w:leader="dot" w:pos="8640"/>
        </w:tabs>
        <w:spacing w:before="240" w:line="240" w:lineRule="auto"/>
        <w:ind w:left="2707" w:right="720" w:hanging="547"/>
        <w:rPr>
          <w:sz w:val="28"/>
          <w:szCs w:val="28"/>
          <w:lang w:val="en-US"/>
        </w:rPr>
      </w:pPr>
      <w:r>
        <w:rPr>
          <w:sz w:val="28"/>
          <w:szCs w:val="28"/>
          <w:lang w:val="en-US"/>
        </w:rPr>
        <w:t>c</w:t>
      </w:r>
      <w:r w:rsidRPr="00E60D3E">
        <w:rPr>
          <w:sz w:val="28"/>
          <w:szCs w:val="28"/>
          <w:lang w:val="en-US"/>
        </w:rPr>
        <w:t>.</w:t>
      </w:r>
      <w:r w:rsidRPr="00E60D3E">
        <w:rPr>
          <w:sz w:val="28"/>
          <w:szCs w:val="28"/>
          <w:lang w:val="en-US"/>
        </w:rPr>
        <w:tab/>
      </w:r>
      <w:r>
        <w:rPr>
          <w:sz w:val="28"/>
          <w:szCs w:val="28"/>
          <w:lang w:val="en-US"/>
        </w:rPr>
        <w:t>WCA Methodology Does Not Violate the Dormant Commerce Clause</w:t>
      </w:r>
      <w:r w:rsidRPr="00E60D3E">
        <w:rPr>
          <w:sz w:val="28"/>
          <w:szCs w:val="28"/>
        </w:rPr>
        <w:tab/>
      </w:r>
      <w:r w:rsidRPr="00E60D3E">
        <w:rPr>
          <w:sz w:val="28"/>
          <w:szCs w:val="28"/>
          <w:lang w:val="en-US"/>
        </w:rPr>
        <w:t>20</w:t>
      </w:r>
    </w:p>
    <w:p w:rsidR="00FA365E" w:rsidRPr="00E60D3E" w:rsidRDefault="00FA365E" w:rsidP="00FA365E">
      <w:pPr>
        <w:pStyle w:val="BodyTextIndent"/>
        <w:tabs>
          <w:tab w:val="right" w:leader="dot" w:pos="8640"/>
        </w:tabs>
        <w:spacing w:before="240" w:line="240" w:lineRule="auto"/>
        <w:ind w:left="2707" w:right="720" w:hanging="547"/>
        <w:rPr>
          <w:sz w:val="28"/>
          <w:lang w:val="en-US"/>
        </w:rPr>
      </w:pPr>
      <w:r>
        <w:rPr>
          <w:sz w:val="28"/>
          <w:szCs w:val="28"/>
          <w:lang w:val="en-US"/>
        </w:rPr>
        <w:t>d</w:t>
      </w:r>
      <w:r w:rsidRPr="00E60D3E">
        <w:rPr>
          <w:sz w:val="28"/>
          <w:szCs w:val="28"/>
          <w:lang w:val="en-US"/>
        </w:rPr>
        <w:t>.</w:t>
      </w:r>
      <w:r w:rsidRPr="00E60D3E">
        <w:rPr>
          <w:sz w:val="28"/>
          <w:szCs w:val="28"/>
          <w:lang w:val="en-US"/>
        </w:rPr>
        <w:tab/>
      </w:r>
      <w:r>
        <w:rPr>
          <w:sz w:val="28"/>
          <w:szCs w:val="28"/>
          <w:lang w:val="en-US"/>
        </w:rPr>
        <w:t>The Commission Should Reject Pacific Power’s Alternative QF Proposals</w:t>
      </w:r>
      <w:r w:rsidRPr="00E60D3E">
        <w:rPr>
          <w:sz w:val="28"/>
          <w:szCs w:val="28"/>
        </w:rPr>
        <w:tab/>
      </w:r>
      <w:r>
        <w:rPr>
          <w:sz w:val="28"/>
          <w:szCs w:val="28"/>
          <w:lang w:val="en-US"/>
        </w:rPr>
        <w:t>21</w:t>
      </w:r>
    </w:p>
    <w:p w:rsidR="00FA365E" w:rsidRPr="007809F7" w:rsidRDefault="00FA365E" w:rsidP="00FA365E">
      <w:pPr>
        <w:pStyle w:val="BodyTextIndent"/>
        <w:tabs>
          <w:tab w:val="right" w:leader="dot" w:pos="8640"/>
        </w:tabs>
        <w:spacing w:before="240" w:line="240" w:lineRule="auto"/>
        <w:ind w:left="1987" w:right="720" w:hanging="547"/>
        <w:rPr>
          <w:sz w:val="28"/>
          <w:szCs w:val="28"/>
          <w:lang w:val="en-US"/>
        </w:rPr>
      </w:pPr>
      <w:r w:rsidRPr="007809F7">
        <w:rPr>
          <w:sz w:val="28"/>
        </w:rPr>
        <w:t>2.</w:t>
      </w:r>
      <w:r w:rsidRPr="007809F7">
        <w:rPr>
          <w:sz w:val="28"/>
        </w:rPr>
        <w:tab/>
      </w:r>
      <w:r w:rsidRPr="007809F7">
        <w:rPr>
          <w:sz w:val="28"/>
          <w:szCs w:val="28"/>
          <w:lang w:val="en-US"/>
        </w:rPr>
        <w:t xml:space="preserve">Boise’s </w:t>
      </w:r>
      <w:r w:rsidR="003A1699">
        <w:rPr>
          <w:sz w:val="28"/>
          <w:szCs w:val="28"/>
          <w:lang w:val="en-US"/>
        </w:rPr>
        <w:t>Energy Imbalance Market (“</w:t>
      </w:r>
      <w:r w:rsidRPr="007809F7">
        <w:rPr>
          <w:sz w:val="28"/>
          <w:szCs w:val="28"/>
          <w:lang w:val="en-US"/>
        </w:rPr>
        <w:t>EIM</w:t>
      </w:r>
      <w:r w:rsidR="003A1699">
        <w:rPr>
          <w:sz w:val="28"/>
          <w:szCs w:val="28"/>
          <w:lang w:val="en-US"/>
        </w:rPr>
        <w:t>”)</w:t>
      </w:r>
      <w:r w:rsidRPr="007809F7">
        <w:rPr>
          <w:sz w:val="28"/>
          <w:szCs w:val="28"/>
          <w:lang w:val="en-US"/>
        </w:rPr>
        <w:t xml:space="preserve"> Adjustments Are Appropriate and Satisfy Commission Standards</w:t>
      </w:r>
      <w:r w:rsidRPr="007809F7">
        <w:rPr>
          <w:sz w:val="28"/>
        </w:rPr>
        <w:tab/>
      </w:r>
      <w:r w:rsidRPr="007809F7">
        <w:rPr>
          <w:sz w:val="28"/>
          <w:lang w:val="en-US"/>
        </w:rPr>
        <w:t>23</w:t>
      </w:r>
    </w:p>
    <w:p w:rsidR="00FA365E" w:rsidRPr="00205F07" w:rsidRDefault="00FA365E" w:rsidP="00FA365E">
      <w:pPr>
        <w:pStyle w:val="BodyTextIndent"/>
        <w:tabs>
          <w:tab w:val="right" w:leader="dot" w:pos="8640"/>
        </w:tabs>
        <w:spacing w:before="240" w:line="240" w:lineRule="auto"/>
        <w:ind w:left="2700" w:right="720" w:hanging="540"/>
        <w:rPr>
          <w:sz w:val="28"/>
          <w:szCs w:val="28"/>
          <w:lang w:val="en-US"/>
        </w:rPr>
      </w:pPr>
      <w:r w:rsidRPr="00205F07">
        <w:rPr>
          <w:sz w:val="28"/>
          <w:lang w:val="en-US"/>
        </w:rPr>
        <w:t>a.</w:t>
      </w:r>
      <w:r w:rsidRPr="00205F07">
        <w:rPr>
          <w:sz w:val="28"/>
          <w:lang w:val="en-US"/>
        </w:rPr>
        <w:tab/>
      </w:r>
      <w:r w:rsidRPr="00205F07">
        <w:rPr>
          <w:sz w:val="28"/>
          <w:szCs w:val="28"/>
        </w:rPr>
        <w:t>Pacific Power’s Lack of Diligence Does Not Justify the Rejection of Customer Benefits in Rates</w:t>
      </w:r>
      <w:r w:rsidRPr="00205F07">
        <w:rPr>
          <w:sz w:val="28"/>
          <w:szCs w:val="28"/>
          <w:lang w:val="en-US"/>
        </w:rPr>
        <w:tab/>
        <w:t>24</w:t>
      </w:r>
    </w:p>
    <w:p w:rsidR="00FA365E" w:rsidRPr="00205F07" w:rsidRDefault="00FA365E" w:rsidP="00FA365E">
      <w:pPr>
        <w:pStyle w:val="BodyTextIndent"/>
        <w:tabs>
          <w:tab w:val="right" w:leader="dot" w:pos="8640"/>
        </w:tabs>
        <w:spacing w:before="240" w:line="240" w:lineRule="auto"/>
        <w:ind w:left="2700" w:right="720" w:hanging="540"/>
        <w:rPr>
          <w:sz w:val="28"/>
          <w:lang w:val="en-US"/>
        </w:rPr>
      </w:pPr>
      <w:r w:rsidRPr="00205F07">
        <w:rPr>
          <w:sz w:val="28"/>
          <w:lang w:val="en-US"/>
        </w:rPr>
        <w:t>b.</w:t>
      </w:r>
      <w:r w:rsidRPr="00205F07">
        <w:rPr>
          <w:sz w:val="28"/>
          <w:lang w:val="en-US"/>
        </w:rPr>
        <w:tab/>
      </w:r>
      <w:r w:rsidRPr="00205F07">
        <w:rPr>
          <w:sz w:val="28"/>
          <w:szCs w:val="28"/>
        </w:rPr>
        <w:t>Boise’s Interregional Dispatch Savings Adjustment Is Appropriate and Does Not Double Count Benefits</w:t>
      </w:r>
      <w:r>
        <w:rPr>
          <w:sz w:val="28"/>
          <w:lang w:val="en-US"/>
        </w:rPr>
        <w:tab/>
        <w:t>25</w:t>
      </w:r>
    </w:p>
    <w:p w:rsidR="00FA365E" w:rsidRPr="00881C64" w:rsidRDefault="00FA365E" w:rsidP="00FA365E">
      <w:pPr>
        <w:pStyle w:val="BodyTextIndent"/>
        <w:tabs>
          <w:tab w:val="right" w:leader="dot" w:pos="8640"/>
        </w:tabs>
        <w:spacing w:before="240" w:line="240" w:lineRule="auto"/>
        <w:ind w:left="2700" w:right="720" w:hanging="540"/>
        <w:rPr>
          <w:sz w:val="28"/>
          <w:szCs w:val="28"/>
          <w:lang w:val="en-US"/>
        </w:rPr>
      </w:pPr>
      <w:r w:rsidRPr="00881C64">
        <w:rPr>
          <w:sz w:val="28"/>
          <w:szCs w:val="28"/>
          <w:lang w:val="en-US"/>
        </w:rPr>
        <w:lastRenderedPageBreak/>
        <w:t>c.</w:t>
      </w:r>
      <w:r w:rsidRPr="00881C64">
        <w:rPr>
          <w:sz w:val="28"/>
          <w:szCs w:val="28"/>
          <w:lang w:val="en-US"/>
        </w:rPr>
        <w:tab/>
      </w:r>
      <w:r w:rsidRPr="00881C64">
        <w:rPr>
          <w:sz w:val="28"/>
          <w:szCs w:val="28"/>
        </w:rPr>
        <w:t>Boise’s Within-hour Dispatch Benefits Adjustment Is Not Undermined by the E3 Report</w:t>
      </w:r>
      <w:r w:rsidR="00F34A5F">
        <w:rPr>
          <w:sz w:val="28"/>
          <w:szCs w:val="28"/>
          <w:lang w:val="en-US"/>
        </w:rPr>
        <w:tab/>
        <w:t>25</w:t>
      </w:r>
    </w:p>
    <w:p w:rsidR="00FA365E" w:rsidRPr="00881C64" w:rsidRDefault="00FA365E" w:rsidP="00FA365E">
      <w:pPr>
        <w:pStyle w:val="BodyTextIndent"/>
        <w:tabs>
          <w:tab w:val="right" w:leader="dot" w:pos="8640"/>
        </w:tabs>
        <w:spacing w:before="240" w:line="240" w:lineRule="auto"/>
        <w:ind w:left="1980" w:right="720" w:hanging="630"/>
        <w:rPr>
          <w:sz w:val="28"/>
          <w:szCs w:val="28"/>
          <w:lang w:val="en-US"/>
        </w:rPr>
      </w:pPr>
      <w:r w:rsidRPr="00881C64">
        <w:rPr>
          <w:sz w:val="28"/>
          <w:szCs w:val="28"/>
        </w:rPr>
        <w:t>3.</w:t>
      </w:r>
      <w:r w:rsidRPr="00881C64">
        <w:rPr>
          <w:sz w:val="28"/>
          <w:szCs w:val="28"/>
        </w:rPr>
        <w:tab/>
        <w:t>Boise’s Network Integration and Transmission (“NT”) Service Adjustment Calculation Is Accurate</w:t>
      </w:r>
      <w:r w:rsidRPr="00881C64">
        <w:rPr>
          <w:sz w:val="28"/>
          <w:szCs w:val="28"/>
        </w:rPr>
        <w:tab/>
      </w:r>
      <w:r>
        <w:rPr>
          <w:sz w:val="28"/>
          <w:szCs w:val="28"/>
          <w:lang w:val="en-US"/>
        </w:rPr>
        <w:t>26</w:t>
      </w:r>
    </w:p>
    <w:p w:rsidR="00FA365E" w:rsidRDefault="00FA365E" w:rsidP="00FA365E">
      <w:pPr>
        <w:pStyle w:val="BodyTextIndent"/>
        <w:tabs>
          <w:tab w:val="right" w:leader="dot" w:pos="8640"/>
        </w:tabs>
        <w:spacing w:before="240" w:line="240" w:lineRule="auto"/>
        <w:ind w:left="1980" w:right="720" w:hanging="630"/>
        <w:rPr>
          <w:sz w:val="28"/>
          <w:szCs w:val="28"/>
          <w:lang w:val="en-US"/>
        </w:rPr>
      </w:pPr>
      <w:r>
        <w:rPr>
          <w:sz w:val="28"/>
          <w:szCs w:val="28"/>
          <w:lang w:val="en-US"/>
        </w:rPr>
        <w:t>4</w:t>
      </w:r>
      <w:r w:rsidRPr="00881C64">
        <w:rPr>
          <w:sz w:val="28"/>
          <w:szCs w:val="28"/>
        </w:rPr>
        <w:t>.</w:t>
      </w:r>
      <w:r w:rsidRPr="00881C64">
        <w:rPr>
          <w:sz w:val="28"/>
          <w:szCs w:val="28"/>
        </w:rPr>
        <w:tab/>
      </w:r>
      <w:r>
        <w:rPr>
          <w:sz w:val="28"/>
          <w:szCs w:val="28"/>
          <w:lang w:val="en-US"/>
        </w:rPr>
        <w:t>The Company Has Failed to De</w:t>
      </w:r>
      <w:r w:rsidR="00F34A5F">
        <w:rPr>
          <w:sz w:val="28"/>
          <w:szCs w:val="28"/>
          <w:lang w:val="en-US"/>
        </w:rPr>
        <w:t xml:space="preserve">monstrate that It Is Not Double </w:t>
      </w:r>
      <w:r>
        <w:rPr>
          <w:sz w:val="28"/>
          <w:szCs w:val="28"/>
          <w:lang w:val="en-US"/>
        </w:rPr>
        <w:t>Counting Inter-hour Integratio</w:t>
      </w:r>
      <w:r w:rsidRPr="00FA365E">
        <w:rPr>
          <w:sz w:val="28"/>
          <w:szCs w:val="28"/>
          <w:lang w:val="en-US"/>
        </w:rPr>
        <w:t>n</w:t>
      </w:r>
      <w:r>
        <w:rPr>
          <w:sz w:val="28"/>
          <w:szCs w:val="28"/>
          <w:lang w:val="en-US"/>
        </w:rPr>
        <w:t xml:space="preserve"> Costs</w:t>
      </w:r>
      <w:r w:rsidRPr="00881C64">
        <w:rPr>
          <w:sz w:val="28"/>
          <w:szCs w:val="28"/>
        </w:rPr>
        <w:tab/>
      </w:r>
      <w:r>
        <w:rPr>
          <w:sz w:val="28"/>
          <w:szCs w:val="28"/>
          <w:lang w:val="en-US"/>
        </w:rPr>
        <w:t>27</w:t>
      </w:r>
    </w:p>
    <w:p w:rsidR="00FA365E" w:rsidRPr="00881C64" w:rsidRDefault="00FA365E" w:rsidP="00FA365E">
      <w:pPr>
        <w:pStyle w:val="BodyTextIndent"/>
        <w:tabs>
          <w:tab w:val="right" w:leader="dot" w:pos="8640"/>
        </w:tabs>
        <w:spacing w:before="240" w:line="240" w:lineRule="auto"/>
        <w:ind w:left="1980" w:right="720" w:hanging="630"/>
        <w:rPr>
          <w:sz w:val="28"/>
          <w:szCs w:val="28"/>
          <w:lang w:val="en-US"/>
        </w:rPr>
      </w:pPr>
      <w:r w:rsidRPr="006A347E">
        <w:rPr>
          <w:sz w:val="28"/>
          <w:szCs w:val="28"/>
          <w:lang w:val="en-US"/>
        </w:rPr>
        <w:t>5</w:t>
      </w:r>
      <w:r w:rsidRPr="006A347E">
        <w:rPr>
          <w:sz w:val="28"/>
          <w:szCs w:val="28"/>
        </w:rPr>
        <w:t>.</w:t>
      </w:r>
      <w:r w:rsidRPr="006A347E">
        <w:rPr>
          <w:sz w:val="28"/>
          <w:szCs w:val="28"/>
        </w:rPr>
        <w:tab/>
        <w:t>The Record Provides Ample Proof to Merit Exclusion of the Chehalis Outage from Outage Rate Calculations</w:t>
      </w:r>
      <w:r w:rsidRPr="006A347E">
        <w:rPr>
          <w:sz w:val="28"/>
          <w:szCs w:val="28"/>
        </w:rPr>
        <w:tab/>
      </w:r>
      <w:r w:rsidRPr="006A347E">
        <w:rPr>
          <w:sz w:val="28"/>
          <w:szCs w:val="28"/>
          <w:lang w:val="en-US"/>
        </w:rPr>
        <w:t>2</w:t>
      </w:r>
      <w:r>
        <w:rPr>
          <w:sz w:val="28"/>
          <w:szCs w:val="28"/>
          <w:lang w:val="en-US"/>
        </w:rPr>
        <w:t>8</w:t>
      </w:r>
    </w:p>
    <w:p w:rsidR="00FA365E" w:rsidRPr="00524136" w:rsidRDefault="00FA365E" w:rsidP="00FA365E">
      <w:pPr>
        <w:pStyle w:val="BodyTextIndent"/>
        <w:keepLines/>
        <w:tabs>
          <w:tab w:val="left" w:pos="1440"/>
          <w:tab w:val="right" w:leader="dot" w:pos="8640"/>
        </w:tabs>
        <w:spacing w:before="240" w:line="240" w:lineRule="auto"/>
        <w:ind w:left="1440" w:right="720" w:hanging="720"/>
        <w:rPr>
          <w:sz w:val="28"/>
          <w:lang w:val="en-US"/>
        </w:rPr>
      </w:pPr>
      <w:r w:rsidRPr="00524136">
        <w:rPr>
          <w:sz w:val="28"/>
        </w:rPr>
        <w:t>D.</w:t>
      </w:r>
      <w:r w:rsidRPr="00524136">
        <w:rPr>
          <w:sz w:val="28"/>
        </w:rPr>
        <w:tab/>
      </w:r>
      <w:r w:rsidRPr="00524136">
        <w:rPr>
          <w:sz w:val="28"/>
          <w:szCs w:val="28"/>
        </w:rPr>
        <w:t>T</w:t>
      </w:r>
      <w:r w:rsidRPr="00524136">
        <w:rPr>
          <w:sz w:val="28"/>
          <w:szCs w:val="28"/>
          <w:lang w:val="en-US"/>
        </w:rPr>
        <w:t>he Commission Should Reject the Company’s Proposed Renewable Resource Tracking Mechanism (“RRTM”)</w:t>
      </w:r>
      <w:r w:rsidRPr="00524136">
        <w:rPr>
          <w:sz w:val="28"/>
        </w:rPr>
        <w:tab/>
      </w:r>
      <w:r w:rsidRPr="00524136">
        <w:rPr>
          <w:sz w:val="28"/>
          <w:lang w:val="en-US"/>
        </w:rPr>
        <w:t>28</w:t>
      </w:r>
    </w:p>
    <w:p w:rsidR="00FA365E" w:rsidRPr="00524136" w:rsidRDefault="00FA365E" w:rsidP="00FA365E">
      <w:pPr>
        <w:pStyle w:val="BodyTextIndent"/>
        <w:keepLines/>
        <w:tabs>
          <w:tab w:val="left" w:pos="1440"/>
          <w:tab w:val="right" w:leader="dot" w:pos="8640"/>
        </w:tabs>
        <w:spacing w:before="240" w:line="240" w:lineRule="auto"/>
        <w:ind w:left="1440" w:right="720" w:hanging="720"/>
        <w:rPr>
          <w:sz w:val="28"/>
          <w:szCs w:val="28"/>
          <w:lang w:val="en-US"/>
        </w:rPr>
      </w:pPr>
      <w:r w:rsidRPr="00524136">
        <w:rPr>
          <w:sz w:val="28"/>
          <w:szCs w:val="28"/>
        </w:rPr>
        <w:t>E.</w:t>
      </w:r>
      <w:r w:rsidRPr="00524136">
        <w:rPr>
          <w:sz w:val="28"/>
          <w:szCs w:val="28"/>
        </w:rPr>
        <w:tab/>
      </w:r>
      <w:r w:rsidRPr="00524136">
        <w:rPr>
          <w:rStyle w:val="LineNumber"/>
          <w:sz w:val="28"/>
          <w:szCs w:val="28"/>
          <w:lang w:val="en-US"/>
        </w:rPr>
        <w:t>The Company’s Deferral Petitions Do Not Meet Commission Standards and Should Be Rejected</w:t>
      </w:r>
      <w:r w:rsidRPr="00524136">
        <w:rPr>
          <w:sz w:val="28"/>
          <w:szCs w:val="28"/>
        </w:rPr>
        <w:tab/>
      </w:r>
      <w:r w:rsidRPr="00524136">
        <w:rPr>
          <w:sz w:val="28"/>
          <w:szCs w:val="28"/>
          <w:lang w:val="en-US"/>
        </w:rPr>
        <w:t>31</w:t>
      </w:r>
    </w:p>
    <w:p w:rsidR="00FA365E" w:rsidRPr="00524136" w:rsidRDefault="00FA365E" w:rsidP="00FA365E">
      <w:pPr>
        <w:pStyle w:val="BodyTextIndent"/>
        <w:tabs>
          <w:tab w:val="right" w:leader="dot" w:pos="8640"/>
        </w:tabs>
        <w:spacing w:before="240" w:line="240" w:lineRule="auto"/>
        <w:ind w:left="1980" w:right="720" w:hanging="540"/>
        <w:rPr>
          <w:sz w:val="28"/>
          <w:szCs w:val="28"/>
          <w:lang w:val="en-US"/>
        </w:rPr>
      </w:pPr>
      <w:r w:rsidRPr="00524136">
        <w:rPr>
          <w:sz w:val="28"/>
          <w:szCs w:val="28"/>
          <w:lang w:val="en-US"/>
        </w:rPr>
        <w:t>1.</w:t>
      </w:r>
      <w:r w:rsidRPr="00524136">
        <w:rPr>
          <w:sz w:val="28"/>
          <w:szCs w:val="28"/>
          <w:lang w:val="en-US"/>
        </w:rPr>
        <w:tab/>
      </w:r>
      <w:r w:rsidRPr="00524136">
        <w:rPr>
          <w:sz w:val="28"/>
          <w:szCs w:val="28"/>
        </w:rPr>
        <w:t>Pacific Power Has Not Demonstrated that the Colstrip Outage Resulted in Extraordinary Costs Beyond the Company’s Control</w:t>
      </w:r>
      <w:r w:rsidRPr="00524136">
        <w:rPr>
          <w:sz w:val="28"/>
          <w:szCs w:val="28"/>
          <w:lang w:val="en-US"/>
        </w:rPr>
        <w:tab/>
        <w:t>31</w:t>
      </w:r>
    </w:p>
    <w:p w:rsidR="00FA365E" w:rsidRPr="00524136" w:rsidRDefault="00FA365E" w:rsidP="00FA365E">
      <w:pPr>
        <w:pStyle w:val="BodyTextIndent"/>
        <w:keepLines/>
        <w:tabs>
          <w:tab w:val="left" w:pos="2160"/>
          <w:tab w:val="right" w:leader="dot" w:pos="8640"/>
        </w:tabs>
        <w:spacing w:before="240" w:line="240" w:lineRule="auto"/>
        <w:ind w:left="1980" w:right="720" w:hanging="540"/>
        <w:rPr>
          <w:sz w:val="28"/>
          <w:szCs w:val="28"/>
          <w:lang w:val="en-US"/>
        </w:rPr>
      </w:pPr>
      <w:r w:rsidRPr="00524136">
        <w:rPr>
          <w:sz w:val="28"/>
          <w:szCs w:val="28"/>
          <w:lang w:val="en-US"/>
        </w:rPr>
        <w:t>2.</w:t>
      </w:r>
      <w:r w:rsidRPr="00524136">
        <w:rPr>
          <w:sz w:val="28"/>
          <w:szCs w:val="28"/>
          <w:lang w:val="en-US"/>
        </w:rPr>
        <w:tab/>
      </w:r>
      <w:r w:rsidRPr="00524136">
        <w:rPr>
          <w:sz w:val="28"/>
          <w:szCs w:val="28"/>
        </w:rPr>
        <w:t>The Company’s Arguments Do Not Justify Approval of the Declining Hydro Deferral</w:t>
      </w:r>
      <w:r>
        <w:rPr>
          <w:sz w:val="28"/>
          <w:szCs w:val="28"/>
          <w:lang w:val="en-US"/>
        </w:rPr>
        <w:tab/>
        <w:t>32</w:t>
      </w:r>
    </w:p>
    <w:p w:rsidR="00FA365E" w:rsidRPr="00205786" w:rsidRDefault="00FA365E" w:rsidP="00FA365E">
      <w:pPr>
        <w:pStyle w:val="BodyTextIndent"/>
        <w:keepLines/>
        <w:tabs>
          <w:tab w:val="left" w:pos="2160"/>
          <w:tab w:val="right" w:leader="dot" w:pos="8640"/>
        </w:tabs>
        <w:spacing w:before="240" w:line="240" w:lineRule="auto"/>
        <w:ind w:left="1980" w:right="720" w:hanging="540"/>
        <w:rPr>
          <w:sz w:val="28"/>
          <w:lang w:val="en-US"/>
        </w:rPr>
      </w:pPr>
      <w:r w:rsidRPr="00205786">
        <w:rPr>
          <w:sz w:val="28"/>
          <w:lang w:val="en-US"/>
        </w:rPr>
        <w:t>3.</w:t>
      </w:r>
      <w:r w:rsidRPr="00205786">
        <w:rPr>
          <w:sz w:val="28"/>
          <w:lang w:val="en-US"/>
        </w:rPr>
        <w:tab/>
        <w:t>The Commission Should Not Allow Special Ratemaking Treatment for the Merwin Fish Collector</w:t>
      </w:r>
      <w:r>
        <w:rPr>
          <w:sz w:val="28"/>
          <w:lang w:val="en-US"/>
        </w:rPr>
        <w:tab/>
        <w:t>33</w:t>
      </w:r>
    </w:p>
    <w:p w:rsidR="00FA365E" w:rsidRPr="00205786" w:rsidRDefault="00FA365E" w:rsidP="00FA365E">
      <w:pPr>
        <w:pStyle w:val="BodyTextIndent"/>
        <w:tabs>
          <w:tab w:val="left" w:pos="720"/>
          <w:tab w:val="right" w:leader="dot" w:pos="8640"/>
        </w:tabs>
        <w:spacing w:before="240" w:line="240" w:lineRule="auto"/>
        <w:ind w:firstLine="0"/>
        <w:rPr>
          <w:sz w:val="28"/>
          <w:lang w:val="en-US"/>
        </w:rPr>
      </w:pPr>
      <w:r>
        <w:rPr>
          <w:sz w:val="28"/>
        </w:rPr>
        <w:t>I</w:t>
      </w:r>
      <w:r>
        <w:rPr>
          <w:sz w:val="28"/>
          <w:lang w:val="en-US"/>
        </w:rPr>
        <w:t>II</w:t>
      </w:r>
      <w:r w:rsidRPr="00205786">
        <w:rPr>
          <w:sz w:val="28"/>
        </w:rPr>
        <w:t>.</w:t>
      </w:r>
      <w:r w:rsidRPr="00205786">
        <w:rPr>
          <w:sz w:val="28"/>
        </w:rPr>
        <w:tab/>
        <w:t>CONCLUSION</w:t>
      </w:r>
      <w:r w:rsidRPr="00205786">
        <w:rPr>
          <w:sz w:val="28"/>
        </w:rPr>
        <w:tab/>
      </w:r>
      <w:r>
        <w:rPr>
          <w:sz w:val="28"/>
          <w:lang w:val="en-US"/>
        </w:rPr>
        <w:t>34</w:t>
      </w:r>
    </w:p>
    <w:p w:rsidR="00FA365E" w:rsidRPr="006479D7" w:rsidRDefault="00FA365E" w:rsidP="00FA365E">
      <w:pPr>
        <w:keepNext/>
        <w:spacing w:after="200"/>
        <w:jc w:val="center"/>
        <w:rPr>
          <w:b/>
          <w:bCs/>
          <w:sz w:val="28"/>
        </w:rPr>
      </w:pPr>
      <w:r w:rsidRPr="006479D7">
        <w:rPr>
          <w:b/>
          <w:bCs/>
          <w:sz w:val="28"/>
        </w:rPr>
        <w:lastRenderedPageBreak/>
        <w:t>TABLE OF AUTHORITIES</w:t>
      </w:r>
    </w:p>
    <w:p w:rsidR="00FA365E" w:rsidRPr="006479D7" w:rsidRDefault="00FA365E" w:rsidP="00FA365E">
      <w:pPr>
        <w:pStyle w:val="BodyTextIndent"/>
        <w:keepNext/>
        <w:tabs>
          <w:tab w:val="center" w:pos="4320"/>
          <w:tab w:val="right" w:pos="8640"/>
        </w:tabs>
        <w:spacing w:before="240" w:line="240" w:lineRule="auto"/>
        <w:ind w:firstLine="0"/>
        <w:jc w:val="center"/>
        <w:rPr>
          <w:sz w:val="28"/>
          <w:u w:val="single"/>
        </w:rPr>
      </w:pPr>
      <w:r w:rsidRPr="006479D7">
        <w:rPr>
          <w:sz w:val="28"/>
        </w:rPr>
        <w:tab/>
      </w:r>
      <w:r w:rsidRPr="006479D7">
        <w:rPr>
          <w:b/>
          <w:sz w:val="28"/>
          <w:u w:val="single"/>
        </w:rPr>
        <w:t>Cases</w:t>
      </w:r>
      <w:r w:rsidRPr="006479D7">
        <w:rPr>
          <w:sz w:val="28"/>
        </w:rPr>
        <w:tab/>
      </w:r>
      <w:r w:rsidRPr="006479D7">
        <w:rPr>
          <w:b/>
          <w:sz w:val="28"/>
          <w:u w:val="single"/>
        </w:rPr>
        <w:t>Page</w:t>
      </w:r>
    </w:p>
    <w:p w:rsidR="00FA365E" w:rsidRPr="00C70A36" w:rsidRDefault="00FA365E" w:rsidP="00FA365E">
      <w:pPr>
        <w:pStyle w:val="BodyTextIndent"/>
        <w:keepNext/>
        <w:tabs>
          <w:tab w:val="left" w:pos="720"/>
          <w:tab w:val="right" w:leader="dot" w:pos="8640"/>
        </w:tabs>
        <w:spacing w:line="240" w:lineRule="auto"/>
        <w:ind w:firstLine="0"/>
        <w:rPr>
          <w:highlight w:val="yellow"/>
          <w:lang w:val="en-US"/>
        </w:rPr>
      </w:pPr>
    </w:p>
    <w:p w:rsidR="00FA365E" w:rsidRPr="000A4043" w:rsidRDefault="00FA365E" w:rsidP="00FA365E">
      <w:pPr>
        <w:pStyle w:val="BodyTextIndent"/>
        <w:keepNext/>
        <w:tabs>
          <w:tab w:val="left" w:pos="720"/>
          <w:tab w:val="right" w:leader="dot" w:pos="8640"/>
        </w:tabs>
        <w:spacing w:line="240" w:lineRule="auto"/>
        <w:ind w:firstLine="0"/>
        <w:rPr>
          <w:lang w:val="en-US"/>
        </w:rPr>
      </w:pPr>
      <w:r w:rsidRPr="004D757A">
        <w:rPr>
          <w:sz w:val="28"/>
          <w:szCs w:val="28"/>
          <w:u w:val="single"/>
          <w:lang w:val="en-US"/>
        </w:rPr>
        <w:t xml:space="preserve">So. Cal. Edison Co., </w:t>
      </w:r>
      <w:r w:rsidRPr="004D757A">
        <w:rPr>
          <w:i/>
          <w:sz w:val="28"/>
          <w:szCs w:val="28"/>
          <w:u w:val="single"/>
          <w:lang w:val="en-US"/>
        </w:rPr>
        <w:t>et al.</w:t>
      </w:r>
      <w:r w:rsidRPr="004D757A">
        <w:rPr>
          <w:sz w:val="28"/>
          <w:szCs w:val="28"/>
          <w:lang w:val="en-US"/>
        </w:rPr>
        <w:t xml:space="preserve">, 71 F.E.R.C. </w:t>
      </w:r>
      <w:r w:rsidR="004D757A" w:rsidRPr="004D757A">
        <w:rPr>
          <w:sz w:val="28"/>
          <w:szCs w:val="28"/>
          <w:lang w:val="en-US"/>
        </w:rPr>
        <w:t>¶</w:t>
      </w:r>
      <w:r w:rsidR="004D757A">
        <w:rPr>
          <w:sz w:val="28"/>
          <w:szCs w:val="28"/>
          <w:lang w:val="en-US"/>
        </w:rPr>
        <w:t xml:space="preserve"> </w:t>
      </w:r>
      <w:r w:rsidR="004D757A" w:rsidRPr="004D757A">
        <w:rPr>
          <w:sz w:val="28"/>
          <w:szCs w:val="28"/>
          <w:lang w:val="en-US"/>
        </w:rPr>
        <w:t>61,269 (June 2, 1995)</w:t>
      </w:r>
      <w:r w:rsidRPr="004D757A">
        <w:rPr>
          <w:sz w:val="28"/>
        </w:rPr>
        <w:tab/>
      </w:r>
      <w:r w:rsidRPr="004D757A">
        <w:rPr>
          <w:sz w:val="28"/>
          <w:lang w:val="en-US"/>
        </w:rPr>
        <w:t>19</w:t>
      </w:r>
    </w:p>
    <w:p w:rsidR="00FA365E" w:rsidRPr="00C70A36" w:rsidRDefault="00FA365E" w:rsidP="00FA365E">
      <w:pPr>
        <w:pStyle w:val="BodyTextIndent"/>
        <w:keepNext/>
        <w:tabs>
          <w:tab w:val="left" w:pos="720"/>
          <w:tab w:val="right" w:leader="dot" w:pos="8640"/>
        </w:tabs>
        <w:spacing w:line="240" w:lineRule="auto"/>
        <w:ind w:firstLine="0"/>
        <w:rPr>
          <w:sz w:val="28"/>
          <w:highlight w:val="yellow"/>
          <w:u w:val="single"/>
          <w:lang w:val="en-US"/>
        </w:rPr>
      </w:pPr>
    </w:p>
    <w:p w:rsidR="00FA365E" w:rsidRPr="004D757A" w:rsidRDefault="00FA365E" w:rsidP="00FA365E">
      <w:pPr>
        <w:pStyle w:val="BodyTextIndent"/>
        <w:keepNext/>
        <w:tabs>
          <w:tab w:val="left" w:pos="720"/>
          <w:tab w:val="right" w:leader="dot" w:pos="8640"/>
        </w:tabs>
        <w:spacing w:line="240" w:lineRule="auto"/>
        <w:ind w:firstLine="0"/>
        <w:rPr>
          <w:sz w:val="28"/>
          <w:szCs w:val="28"/>
          <w:lang w:val="en-US"/>
        </w:rPr>
      </w:pPr>
      <w:r w:rsidRPr="004D757A">
        <w:rPr>
          <w:sz w:val="28"/>
          <w:szCs w:val="28"/>
          <w:u w:val="single"/>
          <w:lang w:val="en-US"/>
        </w:rPr>
        <w:t xml:space="preserve">Assoc. of Bus. Advocating Tariff Equity, </w:t>
      </w:r>
      <w:r w:rsidRPr="004D757A">
        <w:rPr>
          <w:i/>
          <w:sz w:val="28"/>
          <w:szCs w:val="28"/>
          <w:u w:val="single"/>
          <w:lang w:val="en-US"/>
        </w:rPr>
        <w:t>et al.</w:t>
      </w:r>
      <w:r w:rsidRPr="004D757A">
        <w:rPr>
          <w:sz w:val="28"/>
          <w:szCs w:val="28"/>
          <w:u w:val="single"/>
          <w:lang w:val="en-US"/>
        </w:rPr>
        <w:t xml:space="preserve"> v. Midcontinent Indep. Sys. Operator, Inc., </w:t>
      </w:r>
      <w:r w:rsidRPr="004D757A">
        <w:rPr>
          <w:i/>
          <w:sz w:val="28"/>
          <w:szCs w:val="28"/>
          <w:u w:val="single"/>
          <w:lang w:val="en-US"/>
        </w:rPr>
        <w:t>et al.</w:t>
      </w:r>
      <w:r w:rsidRPr="004D757A">
        <w:rPr>
          <w:sz w:val="28"/>
          <w:szCs w:val="28"/>
          <w:lang w:val="en-US"/>
        </w:rPr>
        <w:t>, 148 F.E.R.C</w:t>
      </w:r>
      <w:r w:rsidR="005074FC">
        <w:rPr>
          <w:sz w:val="28"/>
          <w:szCs w:val="28"/>
          <w:lang w:val="en-US"/>
        </w:rPr>
        <w:t>.</w:t>
      </w:r>
      <w:r w:rsidRPr="004D757A">
        <w:rPr>
          <w:sz w:val="28"/>
          <w:szCs w:val="28"/>
          <w:lang w:val="en-US"/>
        </w:rPr>
        <w:t xml:space="preserve"> ¶ 61,049 (Oct. 16, 2014)</w:t>
      </w:r>
      <w:r w:rsidRPr="004D757A">
        <w:rPr>
          <w:snapToGrid/>
          <w:sz w:val="28"/>
          <w:szCs w:val="28"/>
          <w:lang w:val="en-US" w:eastAsia="en-US"/>
        </w:rPr>
        <w:t>.</w:t>
      </w:r>
      <w:r w:rsidRPr="004D757A">
        <w:rPr>
          <w:sz w:val="28"/>
          <w:szCs w:val="28"/>
        </w:rPr>
        <w:tab/>
      </w:r>
      <w:r w:rsidRPr="004D757A">
        <w:rPr>
          <w:sz w:val="28"/>
          <w:szCs w:val="28"/>
          <w:lang w:val="en-US"/>
        </w:rPr>
        <w:t>11</w:t>
      </w:r>
    </w:p>
    <w:p w:rsidR="00FA365E" w:rsidRPr="00C70A36" w:rsidRDefault="00FA365E" w:rsidP="00FA365E">
      <w:pPr>
        <w:pStyle w:val="BodyTextIndent"/>
        <w:keepNext/>
        <w:tabs>
          <w:tab w:val="left" w:pos="720"/>
          <w:tab w:val="right" w:leader="dot" w:pos="8640"/>
        </w:tabs>
        <w:spacing w:line="240" w:lineRule="auto"/>
        <w:ind w:firstLine="0"/>
        <w:rPr>
          <w:sz w:val="28"/>
          <w:highlight w:val="yellow"/>
          <w:lang w:val="en-US"/>
        </w:rPr>
      </w:pPr>
    </w:p>
    <w:p w:rsidR="00FA365E" w:rsidRDefault="00FA365E" w:rsidP="00FA365E">
      <w:pPr>
        <w:pStyle w:val="BodyTextIndent"/>
        <w:keepNext/>
        <w:tabs>
          <w:tab w:val="left" w:pos="720"/>
          <w:tab w:val="right" w:leader="dot" w:pos="8640"/>
        </w:tabs>
        <w:spacing w:line="240" w:lineRule="auto"/>
        <w:ind w:firstLine="0"/>
        <w:rPr>
          <w:sz w:val="28"/>
          <w:szCs w:val="28"/>
          <w:lang w:val="en-US"/>
        </w:rPr>
      </w:pPr>
      <w:r w:rsidRPr="00BE4656">
        <w:rPr>
          <w:sz w:val="28"/>
          <w:szCs w:val="28"/>
          <w:u w:val="single"/>
          <w:lang w:val="en-US"/>
        </w:rPr>
        <w:t>Indep. Energy Producers Ass’n v. Cal. Pub. Utils. Comm’n</w:t>
      </w:r>
      <w:r>
        <w:rPr>
          <w:sz w:val="28"/>
          <w:szCs w:val="28"/>
          <w:lang w:val="en-US"/>
        </w:rPr>
        <w:t xml:space="preserve">, 36 F.3d 848    </w:t>
      </w:r>
      <w:r w:rsidRPr="00BE4656">
        <w:rPr>
          <w:sz w:val="28"/>
          <w:szCs w:val="28"/>
          <w:lang w:val="en-US"/>
        </w:rPr>
        <w:t>(9</w:t>
      </w:r>
      <w:r w:rsidRPr="00BE4656">
        <w:rPr>
          <w:sz w:val="28"/>
          <w:szCs w:val="28"/>
          <w:vertAlign w:val="superscript"/>
          <w:lang w:val="en-US"/>
        </w:rPr>
        <w:t>th</w:t>
      </w:r>
      <w:r w:rsidRPr="00BE4656">
        <w:rPr>
          <w:sz w:val="28"/>
          <w:szCs w:val="28"/>
          <w:lang w:val="en-US"/>
        </w:rPr>
        <w:t xml:space="preserve"> Cir. 1994)</w:t>
      </w:r>
      <w:r>
        <w:rPr>
          <w:sz w:val="28"/>
          <w:szCs w:val="28"/>
          <w:lang w:val="en-US"/>
        </w:rPr>
        <w:t>.</w:t>
      </w:r>
      <w:r w:rsidRPr="00BE4656">
        <w:rPr>
          <w:snapToGrid/>
          <w:sz w:val="28"/>
          <w:szCs w:val="28"/>
          <w:lang w:val="en-US" w:eastAsia="en-US"/>
        </w:rPr>
        <w:t>.</w:t>
      </w:r>
      <w:r w:rsidRPr="00BE4656">
        <w:rPr>
          <w:sz w:val="28"/>
          <w:szCs w:val="28"/>
        </w:rPr>
        <w:tab/>
      </w:r>
      <w:r w:rsidR="001F1121">
        <w:rPr>
          <w:sz w:val="28"/>
          <w:szCs w:val="28"/>
          <w:lang w:val="en-US"/>
        </w:rPr>
        <w:t>18</w:t>
      </w:r>
    </w:p>
    <w:p w:rsidR="00FA365E" w:rsidRDefault="00FA365E" w:rsidP="00FA365E">
      <w:pPr>
        <w:pStyle w:val="BodyTextIndent"/>
        <w:keepNext/>
        <w:tabs>
          <w:tab w:val="left" w:pos="720"/>
          <w:tab w:val="right" w:leader="dot" w:pos="8640"/>
        </w:tabs>
        <w:spacing w:line="240" w:lineRule="auto"/>
        <w:ind w:firstLine="0"/>
        <w:rPr>
          <w:sz w:val="28"/>
          <w:szCs w:val="28"/>
          <w:lang w:val="en-US"/>
        </w:rPr>
      </w:pPr>
    </w:p>
    <w:p w:rsidR="00FA365E" w:rsidRPr="004D757A" w:rsidRDefault="00FA365E" w:rsidP="00FA365E">
      <w:pPr>
        <w:pStyle w:val="BodyTextIndent"/>
        <w:keepNext/>
        <w:tabs>
          <w:tab w:val="left" w:pos="720"/>
          <w:tab w:val="right" w:leader="dot" w:pos="8640"/>
        </w:tabs>
        <w:spacing w:line="240" w:lineRule="auto"/>
        <w:ind w:firstLine="0"/>
        <w:rPr>
          <w:sz w:val="28"/>
          <w:szCs w:val="28"/>
          <w:lang w:val="en-US"/>
        </w:rPr>
      </w:pPr>
      <w:r w:rsidRPr="004D757A">
        <w:rPr>
          <w:sz w:val="28"/>
          <w:szCs w:val="28"/>
          <w:u w:val="single"/>
          <w:lang w:val="en-US"/>
        </w:rPr>
        <w:t>Pub. Utils. Comm’n of R.I. v. Attleboro Steam &amp; Elec. Co.</w:t>
      </w:r>
      <w:r w:rsidR="004D757A">
        <w:rPr>
          <w:sz w:val="28"/>
          <w:szCs w:val="28"/>
          <w:lang w:val="en-US"/>
        </w:rPr>
        <w:t xml:space="preserve">, 273 U.S. 83, </w:t>
      </w:r>
      <w:r w:rsidRPr="004D757A">
        <w:rPr>
          <w:sz w:val="28"/>
          <w:szCs w:val="28"/>
          <w:lang w:val="en-US"/>
        </w:rPr>
        <w:t>(1927)</w:t>
      </w:r>
      <w:r w:rsidRPr="004D757A">
        <w:rPr>
          <w:snapToGrid/>
          <w:sz w:val="28"/>
          <w:szCs w:val="28"/>
          <w:lang w:val="en-US" w:eastAsia="en-US"/>
        </w:rPr>
        <w:t>.</w:t>
      </w:r>
      <w:r w:rsidRPr="004D757A">
        <w:rPr>
          <w:sz w:val="28"/>
          <w:szCs w:val="28"/>
        </w:rPr>
        <w:tab/>
      </w:r>
      <w:r w:rsidR="0081303A">
        <w:rPr>
          <w:sz w:val="28"/>
          <w:szCs w:val="28"/>
          <w:lang w:val="en-US"/>
        </w:rPr>
        <w:t>22</w:t>
      </w:r>
    </w:p>
    <w:p w:rsidR="00FA365E" w:rsidRPr="00BE4656" w:rsidRDefault="00FA365E" w:rsidP="00FA365E">
      <w:pPr>
        <w:pStyle w:val="BodyTextIndent"/>
        <w:keepNext/>
        <w:tabs>
          <w:tab w:val="left" w:pos="720"/>
          <w:tab w:val="right" w:leader="dot" w:pos="8640"/>
        </w:tabs>
        <w:spacing w:line="240" w:lineRule="auto"/>
        <w:ind w:firstLine="0"/>
        <w:rPr>
          <w:sz w:val="28"/>
          <w:szCs w:val="28"/>
          <w:lang w:val="en-US"/>
        </w:rPr>
      </w:pPr>
    </w:p>
    <w:p w:rsidR="00FA365E" w:rsidRPr="00C70A36" w:rsidRDefault="00FA365E" w:rsidP="00FA365E">
      <w:pPr>
        <w:pStyle w:val="BodyTextIndent"/>
        <w:keepNext/>
        <w:tabs>
          <w:tab w:val="left" w:pos="720"/>
          <w:tab w:val="right" w:leader="dot" w:pos="8640"/>
        </w:tabs>
        <w:spacing w:line="240" w:lineRule="auto"/>
        <w:ind w:firstLine="0"/>
        <w:rPr>
          <w:sz w:val="28"/>
          <w:highlight w:val="yellow"/>
          <w:lang w:val="en-US"/>
        </w:rPr>
      </w:pPr>
    </w:p>
    <w:p w:rsidR="00FA365E" w:rsidRPr="000A4043" w:rsidRDefault="00FA365E" w:rsidP="00FA365E">
      <w:pPr>
        <w:pStyle w:val="BodyTextIndent"/>
        <w:keepNext/>
        <w:tabs>
          <w:tab w:val="left" w:pos="720"/>
          <w:tab w:val="right" w:leader="dot" w:pos="8640"/>
        </w:tabs>
        <w:spacing w:line="240" w:lineRule="auto"/>
        <w:ind w:firstLine="0"/>
        <w:jc w:val="center"/>
        <w:rPr>
          <w:sz w:val="28"/>
          <w:lang w:val="en-US"/>
        </w:rPr>
      </w:pPr>
      <w:r w:rsidRPr="000A4043">
        <w:rPr>
          <w:b/>
          <w:sz w:val="28"/>
          <w:u w:val="single"/>
          <w:lang w:val="en-US"/>
        </w:rPr>
        <w:t>Administrative Orders</w:t>
      </w:r>
    </w:p>
    <w:p w:rsidR="00FA365E" w:rsidRPr="00C70A36" w:rsidRDefault="00FA365E" w:rsidP="00FA365E">
      <w:pPr>
        <w:pStyle w:val="BodyTextIndent"/>
        <w:keepNext/>
        <w:tabs>
          <w:tab w:val="left" w:pos="720"/>
          <w:tab w:val="right" w:leader="dot" w:pos="8640"/>
        </w:tabs>
        <w:spacing w:line="240" w:lineRule="auto"/>
        <w:ind w:firstLine="0"/>
        <w:rPr>
          <w:sz w:val="28"/>
          <w:highlight w:val="yellow"/>
          <w:lang w:val="en-US"/>
        </w:rPr>
      </w:pPr>
    </w:p>
    <w:p w:rsidR="00FA365E" w:rsidRPr="001F04D3" w:rsidRDefault="00FA365E" w:rsidP="00FA365E">
      <w:pPr>
        <w:pStyle w:val="BodyTextIndent"/>
        <w:keepNext/>
        <w:tabs>
          <w:tab w:val="left" w:pos="720"/>
          <w:tab w:val="right" w:leader="dot" w:pos="8640"/>
        </w:tabs>
        <w:spacing w:line="240" w:lineRule="auto"/>
        <w:ind w:firstLine="0"/>
        <w:rPr>
          <w:sz w:val="28"/>
          <w:szCs w:val="28"/>
          <w:lang w:val="en-US"/>
        </w:rPr>
      </w:pPr>
      <w:r w:rsidRPr="001F04D3">
        <w:rPr>
          <w:sz w:val="28"/>
          <w:szCs w:val="28"/>
          <w:u w:val="single"/>
        </w:rPr>
        <w:t>WUTC v. PacifiCorp</w:t>
      </w:r>
      <w:r w:rsidRPr="001F04D3">
        <w:rPr>
          <w:sz w:val="28"/>
          <w:szCs w:val="28"/>
        </w:rPr>
        <w:t>, Docket No. UE-</w:t>
      </w:r>
      <w:r w:rsidRPr="001F04D3">
        <w:rPr>
          <w:sz w:val="28"/>
          <w:szCs w:val="28"/>
          <w:lang w:val="en-US"/>
        </w:rPr>
        <w:t>130043</w:t>
      </w:r>
      <w:r w:rsidRPr="001F04D3">
        <w:rPr>
          <w:sz w:val="28"/>
          <w:szCs w:val="28"/>
        </w:rPr>
        <w:t xml:space="preserve">, Order </w:t>
      </w:r>
      <w:r w:rsidRPr="001F04D3">
        <w:rPr>
          <w:sz w:val="28"/>
          <w:szCs w:val="28"/>
          <w:lang w:val="en-US"/>
        </w:rPr>
        <w:t xml:space="preserve">05 </w:t>
      </w:r>
    </w:p>
    <w:p w:rsidR="00FA365E" w:rsidRPr="001F04D3" w:rsidRDefault="00FA365E" w:rsidP="00FA365E">
      <w:pPr>
        <w:pStyle w:val="BodyTextIndent"/>
        <w:keepNext/>
        <w:tabs>
          <w:tab w:val="left" w:pos="720"/>
          <w:tab w:val="right" w:leader="dot" w:pos="8640"/>
        </w:tabs>
        <w:spacing w:line="240" w:lineRule="auto"/>
        <w:ind w:firstLine="0"/>
        <w:rPr>
          <w:sz w:val="28"/>
          <w:lang w:val="en-US"/>
        </w:rPr>
      </w:pPr>
      <w:r w:rsidRPr="001F04D3">
        <w:rPr>
          <w:sz w:val="28"/>
          <w:szCs w:val="28"/>
          <w:lang w:val="en-US"/>
        </w:rPr>
        <w:t>(Dec. 4, 2013)</w:t>
      </w:r>
      <w:r w:rsidRPr="001F04D3">
        <w:rPr>
          <w:sz w:val="28"/>
        </w:rPr>
        <w:tab/>
      </w:r>
      <w:r w:rsidRPr="00467887">
        <w:rPr>
          <w:sz w:val="28"/>
          <w:lang w:val="en-US"/>
        </w:rPr>
        <w:t>passim</w:t>
      </w:r>
    </w:p>
    <w:p w:rsidR="00FA365E" w:rsidRPr="00C70A36" w:rsidRDefault="00FA365E" w:rsidP="00FA365E">
      <w:pPr>
        <w:pStyle w:val="BodyTextIndent"/>
        <w:keepNext/>
        <w:spacing w:line="240" w:lineRule="auto"/>
        <w:ind w:firstLine="0"/>
        <w:rPr>
          <w:highlight w:val="yellow"/>
          <w:lang w:val="en-US"/>
        </w:rPr>
      </w:pPr>
    </w:p>
    <w:p w:rsidR="00FA365E" w:rsidRPr="000A4043"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0A4043">
        <w:rPr>
          <w:snapToGrid/>
          <w:sz w:val="28"/>
          <w:szCs w:val="28"/>
          <w:u w:val="single"/>
          <w:lang w:val="en-US" w:eastAsia="en-US"/>
        </w:rPr>
        <w:t>Re Application of Rocky Mountain Power for Approval of a General Rate Increase</w:t>
      </w:r>
      <w:r w:rsidRPr="000A4043">
        <w:rPr>
          <w:snapToGrid/>
          <w:sz w:val="28"/>
          <w:szCs w:val="28"/>
          <w:lang w:val="en-US" w:eastAsia="en-US"/>
        </w:rPr>
        <w:t>, Wyoming PSC Docket No. 20000-405-ER-11,</w:t>
      </w:r>
      <w:r w:rsidRPr="000A4043">
        <w:rPr>
          <w:i/>
          <w:snapToGrid/>
          <w:sz w:val="28"/>
          <w:szCs w:val="28"/>
          <w:lang w:val="en-US" w:eastAsia="en-US"/>
        </w:rPr>
        <w:t xml:space="preserve"> et al.</w:t>
      </w:r>
      <w:r w:rsidRPr="000A4043">
        <w:rPr>
          <w:snapToGrid/>
          <w:sz w:val="28"/>
          <w:szCs w:val="28"/>
          <w:lang w:val="en-US" w:eastAsia="en-US"/>
        </w:rPr>
        <w:t>, Order Approving Stipulation (Oct. 8, 2012).</w:t>
      </w:r>
      <w:r w:rsidRPr="000A4043">
        <w:rPr>
          <w:sz w:val="28"/>
        </w:rPr>
        <w:tab/>
      </w:r>
      <w:r w:rsidRPr="00467887">
        <w:rPr>
          <w:sz w:val="28"/>
          <w:lang w:val="en-US"/>
        </w:rPr>
        <w:t>12</w:t>
      </w:r>
    </w:p>
    <w:p w:rsidR="00FA365E" w:rsidRDefault="00FA365E" w:rsidP="00FA365E">
      <w:pPr>
        <w:pStyle w:val="BodyTextIndent"/>
        <w:keepNext/>
        <w:tabs>
          <w:tab w:val="left" w:pos="720"/>
          <w:tab w:val="right" w:leader="dot" w:pos="8640"/>
        </w:tabs>
        <w:spacing w:line="240" w:lineRule="auto"/>
        <w:ind w:firstLine="0"/>
        <w:rPr>
          <w:sz w:val="28"/>
          <w:highlight w:val="yellow"/>
          <w:lang w:val="en-US"/>
        </w:rPr>
      </w:pPr>
    </w:p>
    <w:p w:rsidR="00FA365E" w:rsidRPr="00467887"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0A4043">
        <w:rPr>
          <w:snapToGrid/>
          <w:sz w:val="28"/>
          <w:szCs w:val="28"/>
          <w:u w:val="single"/>
          <w:lang w:val="en-US" w:eastAsia="en-US"/>
        </w:rPr>
        <w:t>Re Application of Rocky Mountain Power for Approval of a General Rate Increase</w:t>
      </w:r>
      <w:r w:rsidRPr="000A4043">
        <w:rPr>
          <w:snapToGrid/>
          <w:sz w:val="28"/>
          <w:szCs w:val="28"/>
          <w:lang w:val="en-US" w:eastAsia="en-US"/>
        </w:rPr>
        <w:t>, Wyoming PSC Docket No. 20000-446-ER-14, Order</w:t>
      </w:r>
    </w:p>
    <w:p w:rsidR="00FA365E" w:rsidRPr="00467887" w:rsidRDefault="00FA365E" w:rsidP="00FA365E">
      <w:pPr>
        <w:pStyle w:val="BodyTextIndent"/>
        <w:keepNext/>
        <w:tabs>
          <w:tab w:val="left" w:pos="720"/>
          <w:tab w:val="right" w:leader="dot" w:pos="8640"/>
        </w:tabs>
        <w:spacing w:line="240" w:lineRule="auto"/>
        <w:ind w:firstLine="0"/>
        <w:rPr>
          <w:sz w:val="28"/>
          <w:lang w:val="en-US"/>
        </w:rPr>
      </w:pPr>
      <w:r w:rsidRPr="00467887">
        <w:rPr>
          <w:snapToGrid/>
          <w:sz w:val="28"/>
          <w:szCs w:val="28"/>
          <w:lang w:val="en-US" w:eastAsia="en-US"/>
        </w:rPr>
        <w:t>(Dec. 30, 2014).</w:t>
      </w:r>
      <w:r w:rsidRPr="00467887">
        <w:rPr>
          <w:sz w:val="28"/>
        </w:rPr>
        <w:tab/>
      </w:r>
      <w:r w:rsidRPr="00467887">
        <w:rPr>
          <w:sz w:val="28"/>
          <w:lang w:val="en-US"/>
        </w:rPr>
        <w:t>17, 23</w:t>
      </w:r>
    </w:p>
    <w:p w:rsidR="00FA365E" w:rsidRPr="00C70A36" w:rsidRDefault="00FA365E" w:rsidP="00FA365E">
      <w:pPr>
        <w:pStyle w:val="TableofAuthorities"/>
        <w:keepNext/>
        <w:ind w:left="0" w:firstLine="0"/>
        <w:rPr>
          <w:sz w:val="28"/>
          <w:szCs w:val="28"/>
          <w:highlight w:val="yellow"/>
        </w:rPr>
      </w:pPr>
    </w:p>
    <w:p w:rsidR="00FA365E" w:rsidRPr="000A4043" w:rsidRDefault="00FA365E" w:rsidP="00FA365E">
      <w:pPr>
        <w:pStyle w:val="BodyTextIndent"/>
        <w:keepNext/>
        <w:tabs>
          <w:tab w:val="left" w:pos="720"/>
          <w:tab w:val="right" w:leader="dot" w:pos="8640"/>
        </w:tabs>
        <w:spacing w:line="240" w:lineRule="auto"/>
        <w:ind w:firstLine="0"/>
        <w:rPr>
          <w:snapToGrid/>
          <w:sz w:val="28"/>
          <w:szCs w:val="28"/>
          <w:highlight w:val="yellow"/>
          <w:lang w:val="en-US" w:eastAsia="en-US"/>
        </w:rPr>
      </w:pPr>
      <w:r w:rsidRPr="000A4043">
        <w:rPr>
          <w:sz w:val="28"/>
          <w:szCs w:val="28"/>
          <w:u w:val="single"/>
          <w:lang w:val="en-US"/>
        </w:rPr>
        <w:t xml:space="preserve">Re Application of Rocky Mountain Power for </w:t>
      </w:r>
      <w:r w:rsidRPr="000A4043">
        <w:rPr>
          <w:sz w:val="28"/>
          <w:szCs w:val="28"/>
          <w:u w:val="single"/>
        </w:rPr>
        <w:t>Authority to Increase its</w:t>
      </w:r>
      <w:r w:rsidRPr="000A4043">
        <w:rPr>
          <w:sz w:val="28"/>
          <w:szCs w:val="28"/>
          <w:u w:val="single"/>
          <w:lang w:val="en-US"/>
        </w:rPr>
        <w:t xml:space="preserve"> Retail Electric Utility Service Rates</w:t>
      </w:r>
      <w:r w:rsidRPr="000A4043">
        <w:rPr>
          <w:sz w:val="28"/>
          <w:szCs w:val="28"/>
          <w:lang w:val="en-US"/>
        </w:rPr>
        <w:t xml:space="preserve">, Utah PSC Docket No. 11-035-200 </w:t>
      </w:r>
      <w:r w:rsidRPr="000A4043">
        <w:rPr>
          <w:i/>
          <w:sz w:val="28"/>
          <w:szCs w:val="28"/>
          <w:lang w:val="en-US"/>
        </w:rPr>
        <w:t>et al.</w:t>
      </w:r>
      <w:r w:rsidRPr="000A4043">
        <w:rPr>
          <w:sz w:val="28"/>
          <w:szCs w:val="28"/>
          <w:lang w:val="en-US"/>
        </w:rPr>
        <w:t>, Order (Sept. 19, 2012).</w:t>
      </w:r>
      <w:r w:rsidRPr="000A4043">
        <w:rPr>
          <w:snapToGrid/>
          <w:sz w:val="28"/>
          <w:szCs w:val="28"/>
          <w:lang w:val="en-US" w:eastAsia="en-US"/>
        </w:rPr>
        <w:tab/>
      </w:r>
      <w:r w:rsidRPr="00467887">
        <w:rPr>
          <w:snapToGrid/>
          <w:sz w:val="28"/>
          <w:szCs w:val="28"/>
          <w:lang w:val="en-US" w:eastAsia="en-US"/>
        </w:rPr>
        <w:t>12</w:t>
      </w:r>
    </w:p>
    <w:p w:rsidR="00FA365E" w:rsidRPr="00C70A36" w:rsidRDefault="00FA365E" w:rsidP="00FA365E">
      <w:pPr>
        <w:pStyle w:val="BodyTextIndent"/>
        <w:keepNext/>
        <w:tabs>
          <w:tab w:val="left" w:pos="720"/>
          <w:tab w:val="right" w:leader="dot" w:pos="8640"/>
        </w:tabs>
        <w:spacing w:line="240" w:lineRule="auto"/>
        <w:ind w:firstLine="0"/>
        <w:rPr>
          <w:snapToGrid/>
          <w:sz w:val="28"/>
          <w:szCs w:val="28"/>
          <w:highlight w:val="yellow"/>
          <w:lang w:val="en-US" w:eastAsia="en-US"/>
        </w:rPr>
      </w:pPr>
    </w:p>
    <w:p w:rsidR="00FA365E" w:rsidRPr="006479D7"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6479D7">
        <w:rPr>
          <w:snapToGrid/>
          <w:sz w:val="28"/>
          <w:szCs w:val="28"/>
          <w:u w:val="single"/>
          <w:lang w:val="en-US" w:eastAsia="en-US"/>
        </w:rPr>
        <w:t>Re PacifiCorp</w:t>
      </w:r>
      <w:r w:rsidRPr="00765DE2">
        <w:rPr>
          <w:snapToGrid/>
          <w:sz w:val="28"/>
          <w:szCs w:val="28"/>
          <w:lang w:val="en-US" w:eastAsia="en-US"/>
        </w:rPr>
        <w:t>,</w:t>
      </w:r>
      <w:r w:rsidRPr="006479D7">
        <w:rPr>
          <w:snapToGrid/>
          <w:sz w:val="28"/>
          <w:szCs w:val="28"/>
          <w:lang w:val="en-US" w:eastAsia="en-US"/>
        </w:rPr>
        <w:t xml:space="preserve"> Docket No. UE-020417, Third Suppl. Order </w:t>
      </w:r>
    </w:p>
    <w:p w:rsidR="00FA365E"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6479D7">
        <w:rPr>
          <w:snapToGrid/>
          <w:sz w:val="28"/>
          <w:szCs w:val="28"/>
          <w:lang w:val="en-US" w:eastAsia="en-US"/>
        </w:rPr>
        <w:t>(Sept. 27, 2002)</w:t>
      </w:r>
      <w:r w:rsidRPr="006479D7">
        <w:rPr>
          <w:snapToGrid/>
          <w:sz w:val="28"/>
          <w:szCs w:val="28"/>
          <w:lang w:val="en-US" w:eastAsia="en-US"/>
        </w:rPr>
        <w:tab/>
      </w:r>
      <w:r w:rsidRPr="00467887">
        <w:rPr>
          <w:snapToGrid/>
          <w:sz w:val="28"/>
          <w:szCs w:val="28"/>
          <w:lang w:val="en-US" w:eastAsia="en-US"/>
        </w:rPr>
        <w:t>31</w:t>
      </w:r>
    </w:p>
    <w:p w:rsidR="00FA365E" w:rsidRDefault="00FA365E" w:rsidP="00FA365E">
      <w:pPr>
        <w:pStyle w:val="BodyTextIndent"/>
        <w:keepNext/>
        <w:tabs>
          <w:tab w:val="left" w:pos="720"/>
          <w:tab w:val="right" w:leader="dot" w:pos="8640"/>
        </w:tabs>
        <w:spacing w:line="240" w:lineRule="auto"/>
        <w:ind w:firstLine="0"/>
        <w:rPr>
          <w:snapToGrid/>
          <w:sz w:val="28"/>
          <w:szCs w:val="28"/>
          <w:lang w:val="en-US" w:eastAsia="en-US"/>
        </w:rPr>
      </w:pPr>
    </w:p>
    <w:p w:rsidR="00FA365E"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E22909">
        <w:rPr>
          <w:snapToGrid/>
          <w:sz w:val="28"/>
          <w:szCs w:val="28"/>
          <w:u w:val="single"/>
          <w:lang w:val="en-US" w:eastAsia="en-US"/>
        </w:rPr>
        <w:t>Re PacifiCorp</w:t>
      </w:r>
      <w:r w:rsidRPr="00765DE2">
        <w:rPr>
          <w:snapToGrid/>
          <w:sz w:val="28"/>
          <w:szCs w:val="28"/>
          <w:lang w:val="en-US" w:eastAsia="en-US"/>
        </w:rPr>
        <w:t>,</w:t>
      </w:r>
      <w:r w:rsidRPr="00E22909">
        <w:rPr>
          <w:snapToGrid/>
          <w:sz w:val="28"/>
          <w:szCs w:val="28"/>
          <w:lang w:val="en-US" w:eastAsia="en-US"/>
        </w:rPr>
        <w:t xml:space="preserve"> Docket Nos. UE-020417 and UE-991832, Eighth/Sixth Suppl. Order </w:t>
      </w:r>
      <w:r>
        <w:rPr>
          <w:snapToGrid/>
          <w:sz w:val="28"/>
          <w:szCs w:val="28"/>
          <w:lang w:val="en-US" w:eastAsia="en-US"/>
        </w:rPr>
        <w:t>(July 15, 2003)</w:t>
      </w:r>
      <w:r>
        <w:rPr>
          <w:snapToGrid/>
          <w:sz w:val="28"/>
          <w:szCs w:val="28"/>
          <w:lang w:val="en-US" w:eastAsia="en-US"/>
        </w:rPr>
        <w:tab/>
      </w:r>
      <w:r w:rsidRPr="00467887">
        <w:rPr>
          <w:snapToGrid/>
          <w:sz w:val="28"/>
          <w:szCs w:val="28"/>
          <w:lang w:val="en-US" w:eastAsia="en-US"/>
        </w:rPr>
        <w:t>31</w:t>
      </w:r>
    </w:p>
    <w:p w:rsidR="00765DE2" w:rsidRPr="00E22909" w:rsidRDefault="00765DE2" w:rsidP="00FA365E">
      <w:pPr>
        <w:pStyle w:val="BodyTextIndent"/>
        <w:keepNext/>
        <w:tabs>
          <w:tab w:val="left" w:pos="720"/>
          <w:tab w:val="right" w:leader="dot" w:pos="8640"/>
        </w:tabs>
        <w:spacing w:line="240" w:lineRule="auto"/>
        <w:ind w:firstLine="0"/>
        <w:rPr>
          <w:snapToGrid/>
          <w:sz w:val="28"/>
          <w:szCs w:val="28"/>
          <w:lang w:val="en-US" w:eastAsia="en-US"/>
        </w:rPr>
      </w:pPr>
    </w:p>
    <w:p w:rsidR="00FA365E" w:rsidRPr="00C70A36" w:rsidRDefault="00FA365E" w:rsidP="00FA365E">
      <w:pPr>
        <w:pStyle w:val="BodyTextIndent"/>
        <w:keepNext/>
        <w:tabs>
          <w:tab w:val="left" w:pos="720"/>
          <w:tab w:val="right" w:leader="dot" w:pos="8640"/>
        </w:tabs>
        <w:spacing w:line="240" w:lineRule="auto"/>
        <w:ind w:firstLine="0"/>
        <w:rPr>
          <w:snapToGrid/>
          <w:sz w:val="28"/>
          <w:szCs w:val="28"/>
          <w:highlight w:val="yellow"/>
          <w:u w:val="single"/>
          <w:lang w:val="en-US" w:eastAsia="en-US"/>
        </w:rPr>
      </w:pPr>
    </w:p>
    <w:p w:rsidR="00FA365E" w:rsidRPr="006479D7"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6479D7">
        <w:rPr>
          <w:snapToGrid/>
          <w:sz w:val="28"/>
          <w:szCs w:val="28"/>
          <w:u w:val="single"/>
          <w:lang w:val="en-US" w:eastAsia="en-US"/>
        </w:rPr>
        <w:lastRenderedPageBreak/>
        <w:t>WUTC v. PacifiCorp</w:t>
      </w:r>
      <w:r w:rsidRPr="006479D7">
        <w:rPr>
          <w:snapToGrid/>
          <w:sz w:val="28"/>
          <w:szCs w:val="28"/>
          <w:lang w:val="en-US" w:eastAsia="en-US"/>
        </w:rPr>
        <w:t>, Docket Nos. UE-050684 and UE-050412,</w:t>
      </w:r>
    </w:p>
    <w:p w:rsidR="00FA365E" w:rsidRPr="006479D7" w:rsidRDefault="00FA365E" w:rsidP="00FA365E">
      <w:pPr>
        <w:pStyle w:val="BodyTextIndent"/>
        <w:keepNext/>
        <w:tabs>
          <w:tab w:val="left" w:pos="720"/>
          <w:tab w:val="right" w:leader="dot" w:pos="8640"/>
        </w:tabs>
        <w:spacing w:line="240" w:lineRule="auto"/>
        <w:ind w:firstLine="0"/>
        <w:rPr>
          <w:sz w:val="28"/>
          <w:lang w:val="en-US"/>
        </w:rPr>
      </w:pPr>
      <w:r w:rsidRPr="006479D7">
        <w:rPr>
          <w:snapToGrid/>
          <w:sz w:val="28"/>
          <w:szCs w:val="28"/>
          <w:lang w:val="en-US" w:eastAsia="en-US"/>
        </w:rPr>
        <w:t>Order 04/03 (April 17, 2006).</w:t>
      </w:r>
      <w:r w:rsidRPr="006479D7">
        <w:rPr>
          <w:sz w:val="28"/>
        </w:rPr>
        <w:tab/>
      </w:r>
      <w:r w:rsidRPr="006479D7">
        <w:rPr>
          <w:sz w:val="28"/>
          <w:lang w:val="en-US"/>
        </w:rPr>
        <w:t>3</w:t>
      </w:r>
      <w:r>
        <w:rPr>
          <w:sz w:val="28"/>
          <w:lang w:val="en-US"/>
        </w:rPr>
        <w:t>1</w:t>
      </w:r>
    </w:p>
    <w:p w:rsidR="00FA365E" w:rsidRPr="00C70A36" w:rsidRDefault="00FA365E" w:rsidP="00FA365E">
      <w:pPr>
        <w:pStyle w:val="BodyTextIndent"/>
        <w:keepNext/>
        <w:tabs>
          <w:tab w:val="left" w:pos="720"/>
          <w:tab w:val="right" w:leader="dot" w:pos="8640"/>
        </w:tabs>
        <w:spacing w:line="240" w:lineRule="auto"/>
        <w:ind w:firstLine="0"/>
        <w:rPr>
          <w:sz w:val="28"/>
          <w:highlight w:val="yellow"/>
          <w:lang w:val="en-US"/>
        </w:rPr>
      </w:pPr>
    </w:p>
    <w:p w:rsidR="00FA365E" w:rsidRPr="006479D7"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6479D7">
        <w:rPr>
          <w:snapToGrid/>
          <w:sz w:val="28"/>
          <w:szCs w:val="28"/>
          <w:u w:val="single"/>
          <w:lang w:val="en-US" w:eastAsia="en-US"/>
        </w:rPr>
        <w:t>WUTC v. PacifiCorp</w:t>
      </w:r>
      <w:r w:rsidRPr="006479D7">
        <w:rPr>
          <w:snapToGrid/>
          <w:sz w:val="28"/>
          <w:szCs w:val="28"/>
          <w:lang w:val="en-US" w:eastAsia="en-US"/>
        </w:rPr>
        <w:t xml:space="preserve">, Docket No. UE-100749, Order 10 </w:t>
      </w:r>
    </w:p>
    <w:p w:rsidR="00FA365E" w:rsidRPr="006479D7"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6479D7">
        <w:rPr>
          <w:snapToGrid/>
          <w:sz w:val="28"/>
          <w:szCs w:val="28"/>
          <w:lang w:val="en-US" w:eastAsia="en-US"/>
        </w:rPr>
        <w:t>(Aug. 23, 2012)</w:t>
      </w:r>
      <w:r w:rsidRPr="006479D7">
        <w:rPr>
          <w:sz w:val="28"/>
        </w:rPr>
        <w:tab/>
      </w:r>
      <w:r>
        <w:rPr>
          <w:sz w:val="28"/>
          <w:lang w:val="en-US"/>
        </w:rPr>
        <w:t>31</w:t>
      </w:r>
    </w:p>
    <w:p w:rsidR="00FA365E" w:rsidRPr="00C70A36" w:rsidRDefault="00FA365E" w:rsidP="00FA365E">
      <w:pPr>
        <w:keepNext/>
        <w:rPr>
          <w:highlight w:val="yellow"/>
        </w:rPr>
      </w:pPr>
    </w:p>
    <w:p w:rsidR="00FA365E" w:rsidRPr="006479D7" w:rsidRDefault="00FA365E" w:rsidP="00FA365E">
      <w:pPr>
        <w:pStyle w:val="BodyTextIndent"/>
        <w:keepNext/>
        <w:tabs>
          <w:tab w:val="left" w:pos="720"/>
          <w:tab w:val="right" w:leader="dot" w:pos="8640"/>
        </w:tabs>
        <w:spacing w:line="240" w:lineRule="auto"/>
        <w:ind w:firstLine="0"/>
        <w:rPr>
          <w:snapToGrid/>
          <w:sz w:val="28"/>
          <w:szCs w:val="28"/>
          <w:lang w:val="en-US" w:eastAsia="en-US"/>
        </w:rPr>
      </w:pPr>
      <w:r w:rsidRPr="006479D7">
        <w:rPr>
          <w:snapToGrid/>
          <w:sz w:val="28"/>
          <w:szCs w:val="28"/>
          <w:u w:val="single"/>
          <w:lang w:val="en-US" w:eastAsia="en-US"/>
        </w:rPr>
        <w:t>WUTC v. PSE</w:t>
      </w:r>
      <w:r w:rsidRPr="006479D7">
        <w:rPr>
          <w:snapToGrid/>
          <w:sz w:val="28"/>
          <w:szCs w:val="28"/>
          <w:lang w:val="en-US" w:eastAsia="en-US"/>
        </w:rPr>
        <w:t xml:space="preserve">, Docket Nos. UE-090704 and UG-090705, </w:t>
      </w:r>
    </w:p>
    <w:p w:rsidR="00FA365E" w:rsidRPr="006479D7" w:rsidRDefault="00FA365E" w:rsidP="00B20BB8">
      <w:pPr>
        <w:pStyle w:val="BodyTextIndent"/>
        <w:keepNext/>
        <w:tabs>
          <w:tab w:val="left" w:pos="720"/>
          <w:tab w:val="right" w:leader="dot" w:pos="8640"/>
        </w:tabs>
        <w:spacing w:line="240" w:lineRule="auto"/>
        <w:ind w:firstLine="0"/>
        <w:rPr>
          <w:snapToGrid/>
          <w:sz w:val="28"/>
          <w:szCs w:val="28"/>
          <w:lang w:val="en-US" w:eastAsia="en-US"/>
        </w:rPr>
      </w:pPr>
      <w:r w:rsidRPr="006479D7">
        <w:rPr>
          <w:snapToGrid/>
          <w:sz w:val="28"/>
          <w:szCs w:val="28"/>
          <w:lang w:val="en-US" w:eastAsia="en-US"/>
        </w:rPr>
        <w:t>Order No. 11 (Apr. 2, 2010)</w:t>
      </w:r>
      <w:r w:rsidRPr="006479D7">
        <w:rPr>
          <w:snapToGrid/>
          <w:sz w:val="28"/>
          <w:szCs w:val="28"/>
          <w:lang w:val="en-US" w:eastAsia="en-US"/>
        </w:rPr>
        <w:tab/>
        <w:t>24</w:t>
      </w:r>
    </w:p>
    <w:p w:rsidR="00FA365E" w:rsidRPr="00C70A36" w:rsidRDefault="00FA365E" w:rsidP="00FA365E">
      <w:pPr>
        <w:pStyle w:val="BodyTextIndent"/>
        <w:keepNext/>
        <w:tabs>
          <w:tab w:val="left" w:pos="720"/>
          <w:tab w:val="right" w:leader="dot" w:pos="8640"/>
        </w:tabs>
        <w:spacing w:line="240" w:lineRule="auto"/>
        <w:ind w:firstLine="0"/>
        <w:rPr>
          <w:snapToGrid/>
          <w:sz w:val="28"/>
          <w:szCs w:val="28"/>
          <w:highlight w:val="yellow"/>
          <w:lang w:val="en-US" w:eastAsia="en-US"/>
        </w:rPr>
      </w:pPr>
    </w:p>
    <w:p w:rsidR="00FA365E" w:rsidRPr="00567CDE" w:rsidRDefault="00FA365E" w:rsidP="00FA365E">
      <w:pPr>
        <w:pStyle w:val="BodyTextIndent"/>
        <w:keepNext/>
        <w:tabs>
          <w:tab w:val="left" w:pos="720"/>
          <w:tab w:val="right" w:leader="dot" w:pos="8640"/>
        </w:tabs>
        <w:spacing w:line="240" w:lineRule="auto"/>
        <w:ind w:firstLine="0"/>
        <w:rPr>
          <w:sz w:val="28"/>
          <w:szCs w:val="28"/>
          <w:lang w:val="en-US"/>
        </w:rPr>
      </w:pPr>
      <w:r w:rsidRPr="00567CDE">
        <w:rPr>
          <w:sz w:val="28"/>
          <w:szCs w:val="28"/>
          <w:u w:val="single"/>
          <w:lang w:val="en-US"/>
        </w:rPr>
        <w:t>WUTC v. Wash. Power Co.</w:t>
      </w:r>
      <w:r w:rsidRPr="00567CDE">
        <w:rPr>
          <w:sz w:val="28"/>
          <w:szCs w:val="28"/>
          <w:lang w:val="en-US"/>
        </w:rPr>
        <w:t xml:space="preserve">, Cause No. U-83-14, Second Suppl. Order, </w:t>
      </w:r>
      <w:r w:rsidR="002E532E">
        <w:rPr>
          <w:sz w:val="28"/>
          <w:szCs w:val="28"/>
          <w:lang w:val="en-US"/>
        </w:rPr>
        <w:t xml:space="preserve"> </w:t>
      </w:r>
      <w:r w:rsidRPr="00567CDE">
        <w:rPr>
          <w:sz w:val="28"/>
          <w:szCs w:val="28"/>
          <w:lang w:val="en-US"/>
        </w:rPr>
        <w:t>1983 Was. UTC LEXIS 11 (Nov. 9, 1983)</w:t>
      </w:r>
      <w:r w:rsidRPr="00567CDE">
        <w:rPr>
          <w:sz w:val="28"/>
          <w:szCs w:val="28"/>
        </w:rPr>
        <w:t>.</w:t>
      </w:r>
      <w:r w:rsidRPr="00567CDE">
        <w:rPr>
          <w:sz w:val="28"/>
          <w:szCs w:val="28"/>
          <w:lang w:val="en-US"/>
        </w:rPr>
        <w:tab/>
        <w:t>19</w:t>
      </w:r>
    </w:p>
    <w:p w:rsidR="00FA365E" w:rsidRPr="00521482" w:rsidRDefault="00FA365E" w:rsidP="00FA365E">
      <w:pPr>
        <w:pStyle w:val="TableofAuthorities"/>
        <w:keepNext/>
        <w:rPr>
          <w:b/>
          <w:sz w:val="28"/>
          <w:szCs w:val="28"/>
        </w:rPr>
      </w:pPr>
      <w:r w:rsidRPr="00521482">
        <w:rPr>
          <w:b/>
          <w:sz w:val="28"/>
          <w:szCs w:val="28"/>
        </w:rPr>
        <w:tab/>
      </w:r>
      <w:r w:rsidRPr="00521482">
        <w:rPr>
          <w:b/>
          <w:sz w:val="28"/>
          <w:szCs w:val="28"/>
        </w:rPr>
        <w:tab/>
      </w:r>
      <w:r w:rsidRPr="00521482">
        <w:rPr>
          <w:b/>
          <w:sz w:val="28"/>
          <w:szCs w:val="28"/>
        </w:rPr>
        <w:tab/>
      </w:r>
    </w:p>
    <w:p w:rsidR="00FA365E" w:rsidRPr="00C70A36" w:rsidRDefault="00FA365E" w:rsidP="00FA365E">
      <w:pPr>
        <w:pStyle w:val="TableofAuthorities"/>
        <w:keepNext/>
        <w:rPr>
          <w:b/>
          <w:sz w:val="28"/>
          <w:szCs w:val="28"/>
          <w:highlight w:val="yellow"/>
        </w:rPr>
      </w:pPr>
      <w:r w:rsidRPr="00521482">
        <w:rPr>
          <w:b/>
          <w:sz w:val="28"/>
          <w:szCs w:val="28"/>
        </w:rPr>
        <w:tab/>
      </w:r>
      <w:r w:rsidRPr="00521482">
        <w:rPr>
          <w:b/>
          <w:sz w:val="28"/>
          <w:szCs w:val="28"/>
        </w:rPr>
        <w:tab/>
      </w:r>
      <w:r w:rsidRPr="00521482">
        <w:rPr>
          <w:b/>
          <w:sz w:val="28"/>
          <w:szCs w:val="28"/>
        </w:rPr>
        <w:tab/>
      </w:r>
      <w:r w:rsidRPr="00521482">
        <w:rPr>
          <w:b/>
          <w:sz w:val="28"/>
          <w:szCs w:val="28"/>
        </w:rPr>
        <w:tab/>
      </w:r>
      <w:r w:rsidRPr="00521482">
        <w:rPr>
          <w:b/>
          <w:sz w:val="28"/>
          <w:szCs w:val="28"/>
        </w:rPr>
        <w:tab/>
      </w:r>
      <w:r w:rsidRPr="00521482">
        <w:rPr>
          <w:b/>
          <w:sz w:val="28"/>
          <w:szCs w:val="28"/>
          <w:u w:val="single"/>
        </w:rPr>
        <w:t>Statutes and Rules</w:t>
      </w:r>
      <w:r w:rsidRPr="00521482">
        <w:rPr>
          <w:sz w:val="28"/>
          <w:szCs w:val="28"/>
        </w:rPr>
        <w:tab/>
      </w:r>
      <w:r w:rsidRPr="00521482">
        <w:rPr>
          <w:sz w:val="28"/>
          <w:szCs w:val="28"/>
        </w:rPr>
        <w:tab/>
        <w:t xml:space="preserve">     </w:t>
      </w:r>
      <w:r w:rsidRPr="00C70A36">
        <w:rPr>
          <w:sz w:val="28"/>
          <w:szCs w:val="28"/>
          <w:highlight w:val="yellow"/>
        </w:rPr>
        <w:t xml:space="preserve">                 </w:t>
      </w:r>
    </w:p>
    <w:p w:rsidR="00FA365E" w:rsidRPr="00C70A36" w:rsidRDefault="00FA365E" w:rsidP="00FA365E">
      <w:pPr>
        <w:pStyle w:val="TableofAuthorities"/>
        <w:keepNext/>
        <w:rPr>
          <w:sz w:val="28"/>
          <w:szCs w:val="28"/>
          <w:highlight w:val="yellow"/>
        </w:rPr>
      </w:pPr>
    </w:p>
    <w:p w:rsidR="00FA365E" w:rsidRPr="00C70A36" w:rsidRDefault="00FA365E" w:rsidP="00FA365E">
      <w:pPr>
        <w:rPr>
          <w:sz w:val="28"/>
          <w:szCs w:val="28"/>
          <w:highlight w:val="yellow"/>
        </w:rPr>
      </w:pPr>
    </w:p>
    <w:p w:rsidR="00C30543" w:rsidRPr="006479D7" w:rsidRDefault="00C30543" w:rsidP="00C30543">
      <w:pPr>
        <w:pStyle w:val="BodyTextIndent"/>
        <w:keepNext/>
        <w:tabs>
          <w:tab w:val="left" w:pos="720"/>
          <w:tab w:val="right" w:leader="dot" w:pos="8640"/>
        </w:tabs>
        <w:spacing w:line="240" w:lineRule="auto"/>
        <w:ind w:firstLine="0"/>
        <w:rPr>
          <w:sz w:val="28"/>
          <w:lang w:val="en-US"/>
        </w:rPr>
      </w:pPr>
      <w:r>
        <w:rPr>
          <w:sz w:val="28"/>
          <w:szCs w:val="28"/>
        </w:rPr>
        <w:t>WAC § 480-07-3</w:t>
      </w:r>
      <w:r>
        <w:rPr>
          <w:sz w:val="28"/>
          <w:szCs w:val="28"/>
          <w:lang w:val="en-US"/>
        </w:rPr>
        <w:t>90</w:t>
      </w:r>
      <w:r w:rsidRPr="006479D7">
        <w:rPr>
          <w:sz w:val="28"/>
        </w:rPr>
        <w:tab/>
      </w:r>
      <w:r>
        <w:rPr>
          <w:sz w:val="28"/>
          <w:lang w:val="en-US"/>
        </w:rPr>
        <w:t>1</w:t>
      </w:r>
    </w:p>
    <w:p w:rsidR="00C30543" w:rsidRDefault="00C30543" w:rsidP="00B20BB8">
      <w:pPr>
        <w:tabs>
          <w:tab w:val="left" w:leader="dot" w:pos="8640"/>
        </w:tabs>
        <w:rPr>
          <w:sz w:val="28"/>
          <w:szCs w:val="28"/>
        </w:rPr>
      </w:pPr>
    </w:p>
    <w:p w:rsidR="00C30543" w:rsidRPr="006479D7" w:rsidRDefault="00C30543" w:rsidP="00C30543">
      <w:pPr>
        <w:pStyle w:val="BodyTextIndent"/>
        <w:keepNext/>
        <w:tabs>
          <w:tab w:val="left" w:pos="720"/>
          <w:tab w:val="right" w:leader="dot" w:pos="8640"/>
        </w:tabs>
        <w:spacing w:line="240" w:lineRule="auto"/>
        <w:ind w:firstLine="0"/>
        <w:rPr>
          <w:sz w:val="28"/>
          <w:lang w:val="en-US"/>
        </w:rPr>
      </w:pPr>
      <w:r>
        <w:rPr>
          <w:sz w:val="28"/>
          <w:szCs w:val="28"/>
        </w:rPr>
        <w:t>WAC § 480-07-3</w:t>
      </w:r>
      <w:r>
        <w:rPr>
          <w:sz w:val="28"/>
          <w:szCs w:val="28"/>
          <w:lang w:val="en-US"/>
        </w:rPr>
        <w:t>55(3)</w:t>
      </w:r>
      <w:r w:rsidRPr="006479D7">
        <w:rPr>
          <w:sz w:val="28"/>
        </w:rPr>
        <w:tab/>
      </w:r>
      <w:r>
        <w:rPr>
          <w:sz w:val="28"/>
          <w:lang w:val="en-US"/>
        </w:rPr>
        <w:t>29</w:t>
      </w:r>
    </w:p>
    <w:p w:rsidR="00C30543" w:rsidRDefault="00C30543" w:rsidP="00B20BB8">
      <w:pPr>
        <w:tabs>
          <w:tab w:val="left" w:leader="dot" w:pos="8640"/>
        </w:tabs>
        <w:rPr>
          <w:sz w:val="28"/>
          <w:szCs w:val="28"/>
        </w:rPr>
      </w:pPr>
    </w:p>
    <w:p w:rsidR="00C30543" w:rsidRPr="00521482" w:rsidRDefault="00C30543" w:rsidP="00B20BB8">
      <w:pPr>
        <w:tabs>
          <w:tab w:val="left" w:leader="dot" w:pos="8640"/>
        </w:tabs>
        <w:rPr>
          <w:sz w:val="28"/>
          <w:szCs w:val="28"/>
        </w:rPr>
      </w:pPr>
    </w:p>
    <w:p w:rsidR="00FA365E" w:rsidRPr="00C70A36" w:rsidRDefault="00FA365E" w:rsidP="00FA365E">
      <w:pPr>
        <w:rPr>
          <w:highlight w:val="yellow"/>
        </w:rPr>
      </w:pPr>
    </w:p>
    <w:p w:rsidR="00DB4FE9" w:rsidRPr="00B20BB8" w:rsidRDefault="00B20BB8" w:rsidP="00B20BB8">
      <w:pPr>
        <w:rPr>
          <w:sz w:val="28"/>
          <w:szCs w:val="28"/>
        </w:rPr>
        <w:sectPr w:rsidR="00DB4FE9" w:rsidRPr="00B20BB8" w:rsidSect="00DB4FE9">
          <w:footerReference w:type="default" r:id="rId11"/>
          <w:pgSz w:w="12240" w:h="15840" w:code="1"/>
          <w:pgMar w:top="1296" w:right="1440" w:bottom="360" w:left="2160" w:header="1440" w:footer="720" w:gutter="0"/>
          <w:pgNumType w:fmt="lowerRoman" w:start="1"/>
          <w:cols w:space="720"/>
          <w:noEndnote/>
        </w:sectPr>
      </w:pPr>
      <w:r>
        <w:rPr>
          <w:sz w:val="28"/>
          <w:szCs w:val="28"/>
        </w:rPr>
        <w:tab/>
      </w:r>
      <w:r>
        <w:rPr>
          <w:sz w:val="28"/>
          <w:szCs w:val="28"/>
        </w:rPr>
        <w:tab/>
      </w:r>
      <w:r>
        <w:rPr>
          <w:sz w:val="28"/>
          <w:szCs w:val="28"/>
        </w:rPr>
        <w:tab/>
      </w:r>
    </w:p>
    <w:p w:rsidR="00021E8D" w:rsidRPr="00021E8D" w:rsidRDefault="00DB4FE9" w:rsidP="00021E8D">
      <w:pPr>
        <w:pStyle w:val="WUTCParagraph"/>
        <w:keepNext/>
        <w:numPr>
          <w:ilvl w:val="0"/>
          <w:numId w:val="0"/>
        </w:numPr>
        <w:tabs>
          <w:tab w:val="clear" w:pos="1440"/>
          <w:tab w:val="left" w:pos="0"/>
        </w:tabs>
        <w:spacing w:after="240" w:line="540" w:lineRule="exact"/>
        <w:jc w:val="center"/>
        <w:rPr>
          <w:b/>
          <w:lang w:val="en-US"/>
        </w:rPr>
      </w:pPr>
      <w:r>
        <w:rPr>
          <w:b/>
        </w:rPr>
        <w:lastRenderedPageBreak/>
        <w:t>I.     INTRODUCTION</w:t>
      </w:r>
    </w:p>
    <w:p w:rsidR="00F73A5D" w:rsidRPr="00F73A5D" w:rsidRDefault="00DB4FE9" w:rsidP="00630434">
      <w:pPr>
        <w:pStyle w:val="WUTCParagraph"/>
      </w:pPr>
      <w:r>
        <w:tab/>
        <w:t>Pursuant to WAC § 480-07-390 an</w:t>
      </w:r>
      <w:r w:rsidR="00FC101D">
        <w:t>d Prehearing Conference Order 0</w:t>
      </w:r>
      <w:r w:rsidR="00FC101D">
        <w:rPr>
          <w:lang w:val="en-US"/>
        </w:rPr>
        <w:t>4</w:t>
      </w:r>
      <w:r w:rsidR="00EA3DFE">
        <w:rPr>
          <w:lang w:val="en-US"/>
        </w:rPr>
        <w:t xml:space="preserve"> of the </w:t>
      </w:r>
      <w:r w:rsidR="00EA3DFE">
        <w:t>Washington Utilities and Transportation Commission (“WUTC” or the “Commission”)</w:t>
      </w:r>
      <w:r w:rsidR="00EA3DFE">
        <w:rPr>
          <w:lang w:val="en-US"/>
        </w:rPr>
        <w:t xml:space="preserve"> in these consolidated dockets</w:t>
      </w:r>
      <w:r>
        <w:t>, Boise White Paper</w:t>
      </w:r>
      <w:r>
        <w:rPr>
          <w:lang w:val="en-US"/>
        </w:rPr>
        <w:t>, L</w:t>
      </w:r>
      <w:r w:rsidR="000537D5">
        <w:rPr>
          <w:lang w:val="en-US"/>
        </w:rPr>
        <w:t>.</w:t>
      </w:r>
      <w:r>
        <w:rPr>
          <w:lang w:val="en-US"/>
        </w:rPr>
        <w:t>L</w:t>
      </w:r>
      <w:r w:rsidR="000537D5">
        <w:rPr>
          <w:lang w:val="en-US"/>
        </w:rPr>
        <w:t>.</w:t>
      </w:r>
      <w:r>
        <w:rPr>
          <w:lang w:val="en-US"/>
        </w:rPr>
        <w:t>C</w:t>
      </w:r>
      <w:r w:rsidR="005015CC">
        <w:rPr>
          <w:lang w:val="en-US"/>
        </w:rPr>
        <w:t>.</w:t>
      </w:r>
      <w:r>
        <w:t xml:space="preserve"> (“Boise”) hereby submits this </w:t>
      </w:r>
      <w:r>
        <w:rPr>
          <w:lang w:val="en-US"/>
        </w:rPr>
        <w:t xml:space="preserve">reply </w:t>
      </w:r>
      <w:r>
        <w:t xml:space="preserve">brief </w:t>
      </w:r>
      <w:r w:rsidR="00375948">
        <w:rPr>
          <w:lang w:val="en-US"/>
        </w:rPr>
        <w:t xml:space="preserve">in response to </w:t>
      </w:r>
      <w:r w:rsidR="00FC101D">
        <w:rPr>
          <w:lang w:val="en-US"/>
        </w:rPr>
        <w:t xml:space="preserve">the initial post-hearing briefs filed by </w:t>
      </w:r>
      <w:r w:rsidR="00375948">
        <w:rPr>
          <w:lang w:val="en-US"/>
        </w:rPr>
        <w:t>Pacifi</w:t>
      </w:r>
      <w:r w:rsidR="000537D5">
        <w:rPr>
          <w:lang w:val="en-US"/>
        </w:rPr>
        <w:t>c Power &amp; Light Company</w:t>
      </w:r>
      <w:r w:rsidR="00FC101D">
        <w:rPr>
          <w:lang w:val="en-US"/>
        </w:rPr>
        <w:t xml:space="preserve"> (“Pacific Power,” “PacifiCorp,” or the </w:t>
      </w:r>
      <w:r w:rsidR="00375948">
        <w:rPr>
          <w:lang w:val="en-US"/>
        </w:rPr>
        <w:t>“</w:t>
      </w:r>
      <w:r w:rsidR="00A76C57">
        <w:rPr>
          <w:lang w:val="en-US"/>
        </w:rPr>
        <w:t>C</w:t>
      </w:r>
      <w:r w:rsidR="00375948">
        <w:rPr>
          <w:lang w:val="en-US"/>
        </w:rPr>
        <w:t>ompany”)</w:t>
      </w:r>
      <w:r w:rsidR="00FC101D" w:rsidRPr="00851324">
        <w:rPr>
          <w:rStyle w:val="FootnoteReference"/>
          <w:u w:val="single"/>
        </w:rPr>
        <w:footnoteReference w:id="2"/>
      </w:r>
      <w:r w:rsidR="00FC101D">
        <w:rPr>
          <w:vertAlign w:val="superscript"/>
        </w:rPr>
        <w:t>/</w:t>
      </w:r>
      <w:r w:rsidR="00FC101D">
        <w:rPr>
          <w:lang w:val="en-US"/>
        </w:rPr>
        <w:t xml:space="preserve"> and other parties to these proceedings</w:t>
      </w:r>
      <w:r>
        <w:rPr>
          <w:lang w:val="en-US"/>
        </w:rPr>
        <w:t>.</w:t>
      </w:r>
      <w:r w:rsidR="007D009E">
        <w:rPr>
          <w:lang w:val="en-US"/>
        </w:rPr>
        <w:t xml:space="preserve">  </w:t>
      </w:r>
      <w:r w:rsidR="007D009E">
        <w:t>Boise maintains</w:t>
      </w:r>
      <w:r>
        <w:t xml:space="preserve"> </w:t>
      </w:r>
      <w:r w:rsidR="007D009E">
        <w:t>that its recommended $35.4 million reduction to the Company’s overall rate increase requests</w:t>
      </w:r>
      <w:r w:rsidR="007D009E" w:rsidRPr="007D009E">
        <w:t xml:space="preserve"> </w:t>
      </w:r>
      <w:r w:rsidR="0016218F">
        <w:t xml:space="preserve">is appropriate, </w:t>
      </w:r>
      <w:r w:rsidR="007D009E">
        <w:t>including Pacific Power’s general rate request and three consolidated deferral petitions, based on the record in this case and the arguments contained in briefing.</w:t>
      </w:r>
      <w:r w:rsidR="00F73A5D" w:rsidRPr="00F73A5D">
        <w:rPr>
          <w:lang w:val="en-US"/>
        </w:rPr>
        <w:t xml:space="preserve">  </w:t>
      </w:r>
    </w:p>
    <w:p w:rsidR="00DB4FE9" w:rsidRDefault="00DB4FE9" w:rsidP="00D50A49">
      <w:pPr>
        <w:keepNext/>
        <w:spacing w:line="540" w:lineRule="exact"/>
        <w:jc w:val="center"/>
        <w:rPr>
          <w:b/>
          <w:bCs/>
        </w:rPr>
      </w:pPr>
      <w:r>
        <w:rPr>
          <w:b/>
          <w:bCs/>
        </w:rPr>
        <w:t>II.</w:t>
      </w:r>
      <w:r>
        <w:rPr>
          <w:b/>
          <w:bCs/>
        </w:rPr>
        <w:tab/>
        <w:t>ARGUMENT</w:t>
      </w:r>
    </w:p>
    <w:p w:rsidR="00DB4FE9" w:rsidRPr="005A37DE" w:rsidRDefault="007D009E" w:rsidP="00D50A49">
      <w:pPr>
        <w:keepNext/>
        <w:numPr>
          <w:ilvl w:val="0"/>
          <w:numId w:val="18"/>
        </w:numPr>
        <w:spacing w:line="540" w:lineRule="exact"/>
        <w:ind w:left="720"/>
        <w:rPr>
          <w:b/>
        </w:rPr>
      </w:pPr>
      <w:r>
        <w:rPr>
          <w:b/>
        </w:rPr>
        <w:t>Pacific Power</w:t>
      </w:r>
      <w:r w:rsidR="00DB4FE9" w:rsidRPr="005A37DE">
        <w:rPr>
          <w:b/>
        </w:rPr>
        <w:t xml:space="preserve">’s Cost of Capital Arguments are Unsupported and </w:t>
      </w:r>
      <w:r w:rsidR="00DB4FE9">
        <w:rPr>
          <w:b/>
        </w:rPr>
        <w:t>Misleading</w:t>
      </w:r>
    </w:p>
    <w:p w:rsidR="008778B9" w:rsidRPr="00C07088" w:rsidRDefault="00630434" w:rsidP="004E0D91">
      <w:pPr>
        <w:pStyle w:val="WUTCParagraph"/>
        <w:spacing w:after="240" w:line="540" w:lineRule="exact"/>
      </w:pPr>
      <w:r>
        <w:rPr>
          <w:lang w:val="en-US"/>
        </w:rPr>
        <w:tab/>
      </w:r>
      <w:r w:rsidR="00DB4FE9">
        <w:t>Pacifi</w:t>
      </w:r>
      <w:r w:rsidR="0063306B">
        <w:rPr>
          <w:lang w:val="en-US"/>
        </w:rPr>
        <w:t>c Power</w:t>
      </w:r>
      <w:r w:rsidR="00DB4FE9">
        <w:t xml:space="preserve"> </w:t>
      </w:r>
      <w:r w:rsidR="00DB4FE9">
        <w:rPr>
          <w:lang w:val="en-US"/>
        </w:rPr>
        <w:t xml:space="preserve">attempts to discredit Mr. Gorman’s careful analyses of the Company’s cost of equity and capital structure, but its claims </w:t>
      </w:r>
      <w:r w:rsidR="008778B9">
        <w:rPr>
          <w:lang w:val="en-US"/>
        </w:rPr>
        <w:t>mischaracterize</w:t>
      </w:r>
      <w:r w:rsidR="00DB4FE9">
        <w:rPr>
          <w:lang w:val="en-US"/>
        </w:rPr>
        <w:t xml:space="preserve"> the evidence presented by Mr. Gorman.</w:t>
      </w:r>
      <w:r w:rsidR="0069190F">
        <w:rPr>
          <w:lang w:val="en-US"/>
        </w:rPr>
        <w:t xml:space="preserve">  Moreover, the Company frames its cost of capital arguments by contending that “the Commission ‘should strive for equality of treatment’ and ‘may not treat similar situations in dissimilar ways’”</w:t>
      </w:r>
      <w:r w:rsidR="0069190F" w:rsidRPr="00851324">
        <w:rPr>
          <w:rStyle w:val="FootnoteReference"/>
          <w:u w:val="single"/>
        </w:rPr>
        <w:footnoteReference w:id="3"/>
      </w:r>
      <w:r w:rsidR="0069190F">
        <w:rPr>
          <w:vertAlign w:val="superscript"/>
        </w:rPr>
        <w:t>/</w:t>
      </w:r>
      <w:r w:rsidR="00C35F8C">
        <w:rPr>
          <w:lang w:val="en-US"/>
        </w:rPr>
        <w:t>—a principle which Pacific Power</w:t>
      </w:r>
      <w:r w:rsidR="0069190F">
        <w:rPr>
          <w:lang w:val="en-US"/>
        </w:rPr>
        <w:t xml:space="preserve"> continually contradicts in arguing for special </w:t>
      </w:r>
      <w:r w:rsidR="008262B2">
        <w:rPr>
          <w:lang w:val="en-US"/>
        </w:rPr>
        <w:t xml:space="preserve">cost of capital </w:t>
      </w:r>
      <w:r w:rsidR="0069190F">
        <w:rPr>
          <w:lang w:val="en-US"/>
        </w:rPr>
        <w:t xml:space="preserve">treatment. </w:t>
      </w:r>
      <w:r w:rsidR="001E70D8" w:rsidRPr="004E0D91">
        <w:rPr>
          <w:lang w:val="en-US"/>
        </w:rPr>
        <w:t xml:space="preserve"> </w:t>
      </w:r>
      <w:r w:rsidR="008778B9" w:rsidRPr="004E0D91">
        <w:rPr>
          <w:lang w:val="en-US"/>
        </w:rPr>
        <w:t xml:space="preserve"> </w:t>
      </w:r>
    </w:p>
    <w:p w:rsidR="00DB4FE9" w:rsidRDefault="004E0D91" w:rsidP="009E5581">
      <w:pPr>
        <w:keepNext/>
        <w:widowControl w:val="0"/>
        <w:ind w:left="1440" w:hanging="720"/>
        <w:rPr>
          <w:b/>
        </w:rPr>
      </w:pPr>
      <w:r>
        <w:rPr>
          <w:b/>
        </w:rPr>
        <w:lastRenderedPageBreak/>
        <w:t>1</w:t>
      </w:r>
      <w:r w:rsidR="00DB4FE9" w:rsidRPr="00E364DB">
        <w:rPr>
          <w:b/>
        </w:rPr>
        <w:t>.</w:t>
      </w:r>
      <w:r w:rsidR="00DB4FE9" w:rsidRPr="00E364DB">
        <w:rPr>
          <w:b/>
        </w:rPr>
        <w:tab/>
      </w:r>
      <w:r w:rsidR="007D009E">
        <w:rPr>
          <w:b/>
        </w:rPr>
        <w:t>Pacific Power</w:t>
      </w:r>
      <w:r w:rsidR="00DB4FE9">
        <w:rPr>
          <w:b/>
        </w:rPr>
        <w:t xml:space="preserve">’s </w:t>
      </w:r>
      <w:r w:rsidR="00431166">
        <w:rPr>
          <w:b/>
        </w:rPr>
        <w:t>Return o</w:t>
      </w:r>
      <w:r w:rsidR="00C20D71">
        <w:rPr>
          <w:b/>
        </w:rPr>
        <w:t xml:space="preserve">n Equity </w:t>
      </w:r>
      <w:r w:rsidR="00C35F8C">
        <w:rPr>
          <w:b/>
        </w:rPr>
        <w:t xml:space="preserve">(“ROE”) </w:t>
      </w:r>
      <w:r w:rsidR="00B10453">
        <w:rPr>
          <w:b/>
        </w:rPr>
        <w:t>Recommendation Is Based u</w:t>
      </w:r>
      <w:r w:rsidR="00C20D71">
        <w:rPr>
          <w:b/>
        </w:rPr>
        <w:t>pon Improper Rationale</w:t>
      </w:r>
      <w:r w:rsidR="0072401B">
        <w:rPr>
          <w:b/>
        </w:rPr>
        <w:t xml:space="preserve"> and Unreliable Modeling</w:t>
      </w:r>
    </w:p>
    <w:p w:rsidR="0072401B" w:rsidRPr="005B7E32" w:rsidRDefault="0072401B" w:rsidP="0072401B">
      <w:pPr>
        <w:keepNext/>
        <w:spacing w:before="240"/>
        <w:ind w:left="1440" w:hanging="720"/>
        <w:rPr>
          <w:b/>
        </w:rPr>
      </w:pPr>
      <w:r>
        <w:rPr>
          <w:b/>
        </w:rPr>
        <w:tab/>
        <w:t>a.</w:t>
      </w:r>
      <w:r>
        <w:rPr>
          <w:b/>
        </w:rPr>
        <w:tab/>
        <w:t>The Company Ignored the Principle of Gradualism</w:t>
      </w:r>
    </w:p>
    <w:p w:rsidR="00BD305D" w:rsidRPr="0063306B" w:rsidRDefault="005D536A" w:rsidP="0063306B">
      <w:pPr>
        <w:pStyle w:val="WUTCParagraph"/>
        <w:spacing w:line="520" w:lineRule="exact"/>
        <w:rPr>
          <w:szCs w:val="22"/>
        </w:rPr>
      </w:pPr>
      <w:r>
        <w:rPr>
          <w:lang w:val="en-US"/>
        </w:rPr>
        <w:tab/>
      </w:r>
      <w:r w:rsidR="0016218F">
        <w:rPr>
          <w:lang w:val="en-US"/>
        </w:rPr>
        <w:t>In seeking a 50 basis point increase to its currently aut</w:t>
      </w:r>
      <w:r w:rsidR="001E70D8">
        <w:rPr>
          <w:lang w:val="en-US"/>
        </w:rPr>
        <w:t>horized ROE</w:t>
      </w:r>
      <w:r w:rsidR="008262B2">
        <w:rPr>
          <w:lang w:val="en-US"/>
        </w:rPr>
        <w:t xml:space="preserve"> (</w:t>
      </w:r>
      <w:r w:rsidR="0016218F">
        <w:rPr>
          <w:lang w:val="en-US"/>
        </w:rPr>
        <w:t>from 9.5% to 10.0</w:t>
      </w:r>
      <w:r w:rsidR="0063306B">
        <w:rPr>
          <w:lang w:val="en-US"/>
        </w:rPr>
        <w:t>%</w:t>
      </w:r>
      <w:r w:rsidR="008262B2">
        <w:rPr>
          <w:lang w:val="en-US"/>
        </w:rPr>
        <w:t>)</w:t>
      </w:r>
      <w:r w:rsidR="0063306B">
        <w:rPr>
          <w:lang w:val="en-US"/>
        </w:rPr>
        <w:t xml:space="preserve">, the Company claims that its </w:t>
      </w:r>
      <w:r w:rsidR="0016218F">
        <w:rPr>
          <w:lang w:val="en-US"/>
        </w:rPr>
        <w:t xml:space="preserve">recommendation is based on </w:t>
      </w:r>
      <w:r w:rsidR="0063306B">
        <w:rPr>
          <w:lang w:val="en-US"/>
        </w:rPr>
        <w:t>several factors</w:t>
      </w:r>
      <w:r w:rsidR="0016218F">
        <w:rPr>
          <w:lang w:val="en-US"/>
        </w:rPr>
        <w:t>.</w:t>
      </w:r>
      <w:r w:rsidR="0016218F" w:rsidRPr="00851324">
        <w:rPr>
          <w:rStyle w:val="FootnoteReference"/>
          <w:u w:val="single"/>
        </w:rPr>
        <w:footnoteReference w:id="4"/>
      </w:r>
      <w:r w:rsidR="0016218F">
        <w:rPr>
          <w:vertAlign w:val="superscript"/>
        </w:rPr>
        <w:t>/</w:t>
      </w:r>
      <w:r w:rsidR="0016218F">
        <w:rPr>
          <w:lang w:val="en-US"/>
        </w:rPr>
        <w:t xml:space="preserve">  Conspicuously absent from the Company’s r</w:t>
      </w:r>
      <w:r w:rsidR="0025536A">
        <w:rPr>
          <w:lang w:val="en-US"/>
        </w:rPr>
        <w:t xml:space="preserve">ationale, however, is any indication that </w:t>
      </w:r>
      <w:r w:rsidR="00C575E7">
        <w:rPr>
          <w:lang w:val="en-US"/>
        </w:rPr>
        <w:t xml:space="preserve">it </w:t>
      </w:r>
      <w:r w:rsidR="00C35F8C">
        <w:rPr>
          <w:lang w:val="en-US"/>
        </w:rPr>
        <w:t>ever</w:t>
      </w:r>
      <w:r w:rsidR="0025536A">
        <w:rPr>
          <w:lang w:val="en-US"/>
        </w:rPr>
        <w:t xml:space="preserve"> consider</w:t>
      </w:r>
      <w:r w:rsidR="00C35F8C">
        <w:rPr>
          <w:lang w:val="en-US"/>
        </w:rPr>
        <w:t>ed</w:t>
      </w:r>
      <w:r w:rsidR="0016218F">
        <w:rPr>
          <w:lang w:val="en-US"/>
        </w:rPr>
        <w:t xml:space="preserve"> the </w:t>
      </w:r>
      <w:r w:rsidR="0025536A">
        <w:rPr>
          <w:lang w:val="en-US"/>
        </w:rPr>
        <w:t>“</w:t>
      </w:r>
      <w:r w:rsidR="0016218F">
        <w:rPr>
          <w:lang w:val="en-US"/>
        </w:rPr>
        <w:t>principle</w:t>
      </w:r>
      <w:r w:rsidR="0025536A">
        <w:rPr>
          <w:lang w:val="en-US"/>
        </w:rPr>
        <w:t xml:space="preserve"> of gradualism” in asking for such a significant </w:t>
      </w:r>
      <w:r w:rsidR="00C575E7">
        <w:rPr>
          <w:lang w:val="en-US"/>
        </w:rPr>
        <w:t xml:space="preserve">ROE </w:t>
      </w:r>
      <w:r w:rsidR="0025536A">
        <w:rPr>
          <w:lang w:val="en-US"/>
        </w:rPr>
        <w:t xml:space="preserve">increase, </w:t>
      </w:r>
      <w:r w:rsidR="00C35F8C">
        <w:rPr>
          <w:lang w:val="en-US"/>
        </w:rPr>
        <w:t>even though</w:t>
      </w:r>
      <w:r w:rsidR="0025536A">
        <w:rPr>
          <w:lang w:val="en-US"/>
        </w:rPr>
        <w:t xml:space="preserve"> the Commission stated in the Company’s most recent ge</w:t>
      </w:r>
      <w:r w:rsidR="00C35F8C">
        <w:rPr>
          <w:lang w:val="en-US"/>
        </w:rPr>
        <w:t>neral rate case (“GRC”) that this</w:t>
      </w:r>
      <w:r w:rsidR="0025536A">
        <w:rPr>
          <w:lang w:val="en-US"/>
        </w:rPr>
        <w:t xml:space="preserve"> principle should apply </w:t>
      </w:r>
      <w:r w:rsidR="00C575E7">
        <w:rPr>
          <w:lang w:val="en-US"/>
        </w:rPr>
        <w:t>and be considered in setting the</w:t>
      </w:r>
      <w:r w:rsidR="0025536A">
        <w:rPr>
          <w:lang w:val="en-US"/>
        </w:rPr>
        <w:t xml:space="preserve"> ROE.</w:t>
      </w:r>
      <w:r w:rsidR="0025536A" w:rsidRPr="00922AF3">
        <w:rPr>
          <w:rStyle w:val="FootnoteReference"/>
          <w:u w:val="single"/>
        </w:rPr>
        <w:footnoteReference w:id="5"/>
      </w:r>
      <w:r w:rsidR="0025536A" w:rsidRPr="00922AF3">
        <w:rPr>
          <w:vertAlign w:val="superscript"/>
        </w:rPr>
        <w:t>/</w:t>
      </w:r>
      <w:r w:rsidR="0025536A">
        <w:rPr>
          <w:lang w:val="en-US"/>
        </w:rPr>
        <w:t xml:space="preserve">  Indeed, Company witness Mr. Strunk acknowledges that </w:t>
      </w:r>
      <w:r w:rsidR="0063306B">
        <w:rPr>
          <w:lang w:val="en-US"/>
        </w:rPr>
        <w:t>the rationale behind his</w:t>
      </w:r>
      <w:r w:rsidR="0025536A">
        <w:rPr>
          <w:lang w:val="en-US"/>
        </w:rPr>
        <w:t xml:space="preserve"> recommended </w:t>
      </w:r>
      <w:r w:rsidR="0063306B">
        <w:rPr>
          <w:lang w:val="en-US"/>
        </w:rPr>
        <w:t xml:space="preserve">10.0% </w:t>
      </w:r>
      <w:r w:rsidR="0025536A">
        <w:rPr>
          <w:lang w:val="en-US"/>
        </w:rPr>
        <w:t>ROE “does not include</w:t>
      </w:r>
      <w:r w:rsidR="0063306B">
        <w:rPr>
          <w:lang w:val="en-US"/>
        </w:rPr>
        <w:t xml:space="preserve"> the principle of gradualism.”</w:t>
      </w:r>
      <w:r w:rsidR="0063306B" w:rsidRPr="00C820DB">
        <w:rPr>
          <w:rStyle w:val="FootnoteReference"/>
          <w:u w:val="single"/>
        </w:rPr>
        <w:footnoteReference w:id="6"/>
      </w:r>
      <w:r w:rsidR="0063306B" w:rsidRPr="00A240F3">
        <w:rPr>
          <w:vertAlign w:val="superscript"/>
        </w:rPr>
        <w:t>/</w:t>
      </w:r>
      <w:r w:rsidR="0063306B">
        <w:rPr>
          <w:lang w:val="en-US"/>
        </w:rPr>
        <w:t xml:space="preserve">  Thus, just as the Company has chosen to ignore Commission findings on </w:t>
      </w:r>
      <w:r w:rsidR="00EA3DFE">
        <w:rPr>
          <w:lang w:val="en-US"/>
        </w:rPr>
        <w:t>several other</w:t>
      </w:r>
      <w:r w:rsidR="0063306B">
        <w:rPr>
          <w:lang w:val="en-US"/>
        </w:rPr>
        <w:t xml:space="preserve"> issues decided against the Company in the 2013 GRC,</w:t>
      </w:r>
      <w:r w:rsidR="00EA3DFE" w:rsidRPr="00851324">
        <w:rPr>
          <w:rStyle w:val="FootnoteReference"/>
          <w:u w:val="single"/>
        </w:rPr>
        <w:footnoteReference w:id="7"/>
      </w:r>
      <w:r w:rsidR="00EA3DFE">
        <w:rPr>
          <w:vertAlign w:val="superscript"/>
        </w:rPr>
        <w:t>/</w:t>
      </w:r>
      <w:r w:rsidR="0063306B">
        <w:rPr>
          <w:lang w:val="en-US"/>
        </w:rPr>
        <w:t xml:space="preserve"> Pacific Power’s ROE recommendation </w:t>
      </w:r>
      <w:r w:rsidR="00EA3DFE">
        <w:rPr>
          <w:lang w:val="en-US"/>
        </w:rPr>
        <w:t xml:space="preserve">also </w:t>
      </w:r>
      <w:r w:rsidR="00C35F8C">
        <w:rPr>
          <w:lang w:val="en-US"/>
        </w:rPr>
        <w:t>fails to recognize</w:t>
      </w:r>
      <w:r w:rsidR="00EA3DFE">
        <w:rPr>
          <w:lang w:val="en-US"/>
        </w:rPr>
        <w:t xml:space="preserve"> </w:t>
      </w:r>
      <w:r w:rsidR="00C575E7">
        <w:rPr>
          <w:lang w:val="en-US"/>
        </w:rPr>
        <w:t xml:space="preserve">this </w:t>
      </w:r>
      <w:r w:rsidR="00EA3DFE">
        <w:rPr>
          <w:lang w:val="en-US"/>
        </w:rPr>
        <w:t xml:space="preserve">recent </w:t>
      </w:r>
      <w:r w:rsidR="00C575E7">
        <w:rPr>
          <w:lang w:val="en-US"/>
        </w:rPr>
        <w:t>and explicit Commission holding</w:t>
      </w:r>
      <w:r w:rsidR="00EA3DFE">
        <w:rPr>
          <w:lang w:val="en-US"/>
        </w:rPr>
        <w:t>.</w:t>
      </w:r>
    </w:p>
    <w:p w:rsidR="005C59D0" w:rsidRPr="005C59D0" w:rsidRDefault="005D536A" w:rsidP="00A72267">
      <w:pPr>
        <w:pStyle w:val="WUTCParagraph"/>
        <w:keepNext/>
        <w:spacing w:after="240" w:line="520" w:lineRule="exact"/>
        <w:rPr>
          <w:szCs w:val="22"/>
        </w:rPr>
      </w:pPr>
      <w:r>
        <w:rPr>
          <w:szCs w:val="22"/>
          <w:lang w:val="en-US"/>
        </w:rPr>
        <w:tab/>
      </w:r>
      <w:r w:rsidR="00EA3DFE">
        <w:rPr>
          <w:szCs w:val="22"/>
          <w:lang w:val="en-US"/>
        </w:rPr>
        <w:t>In the 2013 GRC, the Commission actually found sufficient justification for authorizing a 9.4% ROE for the Company.</w:t>
      </w:r>
      <w:r w:rsidR="00EA3DFE" w:rsidRPr="00922AF3">
        <w:rPr>
          <w:rStyle w:val="FootnoteReference"/>
          <w:u w:val="single"/>
        </w:rPr>
        <w:footnoteReference w:id="8"/>
      </w:r>
      <w:r w:rsidR="00EA3DFE" w:rsidRPr="00922AF3">
        <w:rPr>
          <w:vertAlign w:val="superscript"/>
        </w:rPr>
        <w:t>/</w:t>
      </w:r>
      <w:r w:rsidR="00EA3DFE">
        <w:rPr>
          <w:szCs w:val="22"/>
          <w:lang w:val="en-US"/>
        </w:rPr>
        <w:t xml:space="preserve">  </w:t>
      </w:r>
      <w:r w:rsidR="0095527A">
        <w:rPr>
          <w:szCs w:val="22"/>
          <w:lang w:val="en-US"/>
        </w:rPr>
        <w:t>Notwithstanding, t</w:t>
      </w:r>
      <w:r w:rsidR="00EA3DFE">
        <w:rPr>
          <w:szCs w:val="22"/>
          <w:lang w:val="en-US"/>
        </w:rPr>
        <w:t>he Commission ultimately authorized the current 9.5% ROE</w:t>
      </w:r>
      <w:r w:rsidR="0095527A">
        <w:rPr>
          <w:szCs w:val="22"/>
          <w:lang w:val="en-US"/>
        </w:rPr>
        <w:t xml:space="preserve"> due to a determination that the principle of gradualism militated against a 40 basis point reduction from the Company’s prior </w:t>
      </w:r>
      <w:r w:rsidR="00C575E7">
        <w:rPr>
          <w:szCs w:val="22"/>
          <w:lang w:val="en-US"/>
        </w:rPr>
        <w:t xml:space="preserve">ROE of </w:t>
      </w:r>
      <w:r w:rsidR="0095527A">
        <w:rPr>
          <w:szCs w:val="22"/>
          <w:lang w:val="en-US"/>
        </w:rPr>
        <w:t>9.8%.</w:t>
      </w:r>
      <w:r w:rsidR="0095527A" w:rsidRPr="004F7D4B">
        <w:rPr>
          <w:rStyle w:val="FootnoteReference"/>
          <w:szCs w:val="22"/>
          <w:u w:val="single"/>
        </w:rPr>
        <w:footnoteReference w:id="9"/>
      </w:r>
      <w:r w:rsidR="0095527A" w:rsidRPr="004F7D4B">
        <w:rPr>
          <w:vertAlign w:val="superscript"/>
        </w:rPr>
        <w:t>/</w:t>
      </w:r>
      <w:r w:rsidR="0095527A">
        <w:rPr>
          <w:szCs w:val="22"/>
          <w:lang w:val="en-US"/>
        </w:rPr>
        <w:t xml:space="preserve">  While Boise does not suggest that the Commission established a bright-line “gradualism” demarcation between 30 and 40 basis points when setting </w:t>
      </w:r>
      <w:r w:rsidR="00C575E7">
        <w:rPr>
          <w:szCs w:val="22"/>
          <w:lang w:val="en-US"/>
        </w:rPr>
        <w:t xml:space="preserve">this </w:t>
      </w:r>
      <w:r w:rsidR="0095527A">
        <w:rPr>
          <w:szCs w:val="22"/>
          <w:lang w:val="en-US"/>
        </w:rPr>
        <w:t xml:space="preserve">ROE, plainly Mr. Gorman’s recommendation </w:t>
      </w:r>
      <w:r w:rsidR="0095527A">
        <w:rPr>
          <w:szCs w:val="22"/>
          <w:lang w:val="en-US"/>
        </w:rPr>
        <w:lastRenderedPageBreak/>
        <w:t>for a 9.3% ROE, a 20 basis point reduction, is safely with</w:t>
      </w:r>
      <w:r w:rsidR="00335B81">
        <w:rPr>
          <w:szCs w:val="22"/>
          <w:lang w:val="en-US"/>
        </w:rPr>
        <w:t>in prior Commission parameters—</w:t>
      </w:r>
      <w:r w:rsidR="0095527A">
        <w:rPr>
          <w:szCs w:val="22"/>
          <w:lang w:val="en-US"/>
        </w:rPr>
        <w:t xml:space="preserve">while Mr. Strunk’s </w:t>
      </w:r>
      <w:r w:rsidR="00335B81">
        <w:rPr>
          <w:szCs w:val="22"/>
          <w:lang w:val="en-US"/>
        </w:rPr>
        <w:t xml:space="preserve">recommended </w:t>
      </w:r>
      <w:r w:rsidR="0095527A">
        <w:rPr>
          <w:szCs w:val="22"/>
          <w:lang w:val="en-US"/>
        </w:rPr>
        <w:t xml:space="preserve">50 basis point increase </w:t>
      </w:r>
      <w:r w:rsidR="00610652">
        <w:rPr>
          <w:szCs w:val="22"/>
          <w:lang w:val="en-US"/>
        </w:rPr>
        <w:t>seems</w:t>
      </w:r>
      <w:r w:rsidR="0095527A">
        <w:rPr>
          <w:szCs w:val="22"/>
          <w:lang w:val="en-US"/>
        </w:rPr>
        <w:t xml:space="preserve"> well outside.</w:t>
      </w:r>
      <w:r w:rsidR="00335B81" w:rsidRPr="00922AF3">
        <w:rPr>
          <w:rStyle w:val="FootnoteReference"/>
          <w:u w:val="single"/>
        </w:rPr>
        <w:footnoteReference w:id="10"/>
      </w:r>
      <w:r w:rsidR="00335B81" w:rsidRPr="00922AF3">
        <w:rPr>
          <w:vertAlign w:val="superscript"/>
        </w:rPr>
        <w:t>/</w:t>
      </w:r>
    </w:p>
    <w:p w:rsidR="0072401B" w:rsidRDefault="00D5516D" w:rsidP="007B0721">
      <w:pPr>
        <w:spacing w:after="240"/>
        <w:ind w:left="2160" w:hanging="720"/>
        <w:rPr>
          <w:b/>
        </w:rPr>
      </w:pPr>
      <w:r>
        <w:rPr>
          <w:b/>
        </w:rPr>
        <w:t>b</w:t>
      </w:r>
      <w:r w:rsidR="0072401B" w:rsidRPr="007B0721">
        <w:rPr>
          <w:b/>
        </w:rPr>
        <w:t>.</w:t>
      </w:r>
      <w:r w:rsidR="0072401B">
        <w:tab/>
      </w:r>
      <w:r w:rsidR="007B0721" w:rsidRPr="008778B9">
        <w:rPr>
          <w:b/>
        </w:rPr>
        <w:t xml:space="preserve">Mr. Gorman’s Positions Are </w:t>
      </w:r>
      <w:r w:rsidR="007B0721">
        <w:rPr>
          <w:b/>
        </w:rPr>
        <w:t>M</w:t>
      </w:r>
      <w:r w:rsidR="007B0721" w:rsidRPr="008778B9">
        <w:rPr>
          <w:b/>
        </w:rPr>
        <w:t xml:space="preserve">ischaracterized and </w:t>
      </w:r>
      <w:r>
        <w:rPr>
          <w:b/>
        </w:rPr>
        <w:t xml:space="preserve">Improperly </w:t>
      </w:r>
      <w:r w:rsidR="007B0721" w:rsidRPr="008778B9">
        <w:rPr>
          <w:b/>
        </w:rPr>
        <w:t>Critiqued</w:t>
      </w:r>
    </w:p>
    <w:p w:rsidR="004E0D91" w:rsidRPr="007B0721" w:rsidRDefault="005D536A" w:rsidP="00FA3D1B">
      <w:pPr>
        <w:pStyle w:val="130043Post-hearingBriefParagraph"/>
      </w:pPr>
      <w:r>
        <w:rPr>
          <w:lang w:val="en-US"/>
        </w:rPr>
        <w:tab/>
      </w:r>
      <w:r w:rsidR="009F0FE0">
        <w:rPr>
          <w:lang w:val="en-US"/>
        </w:rPr>
        <w:t xml:space="preserve">The Company levels numerous charges against the veracity and consistency of Mr. Gorman’s </w:t>
      </w:r>
      <w:r w:rsidR="00FA3D1B">
        <w:rPr>
          <w:lang w:val="en-US"/>
        </w:rPr>
        <w:t xml:space="preserve">ROE </w:t>
      </w:r>
      <w:r w:rsidR="009F0FE0">
        <w:rPr>
          <w:lang w:val="en-US"/>
        </w:rPr>
        <w:t xml:space="preserve">testimony, in addition to misrepresenting his </w:t>
      </w:r>
      <w:r w:rsidR="00FA3D1B">
        <w:rPr>
          <w:lang w:val="en-US"/>
        </w:rPr>
        <w:t xml:space="preserve">positions.  </w:t>
      </w:r>
      <w:r w:rsidR="00FA3D1B" w:rsidRPr="00FA3D1B">
        <w:rPr>
          <w:lang w:val="en-US"/>
        </w:rPr>
        <w:t>First, b</w:t>
      </w:r>
      <w:r w:rsidR="004E0D91" w:rsidRPr="00FA3D1B">
        <w:rPr>
          <w:lang w:val="en-US"/>
        </w:rPr>
        <w:t>y claiming that the differences are not material between the proxy groups used by witnesses in this case,</w:t>
      </w:r>
      <w:r w:rsidR="004E0D91" w:rsidRPr="00851324">
        <w:rPr>
          <w:rStyle w:val="FootnoteReference"/>
          <w:u w:val="single"/>
        </w:rPr>
        <w:footnoteReference w:id="11"/>
      </w:r>
      <w:r w:rsidR="004E0D91" w:rsidRPr="00FA3D1B">
        <w:rPr>
          <w:vertAlign w:val="superscript"/>
        </w:rPr>
        <w:t>/</w:t>
      </w:r>
      <w:r w:rsidR="004E0D91" w:rsidRPr="00FA3D1B">
        <w:rPr>
          <w:lang w:val="en-US"/>
        </w:rPr>
        <w:t xml:space="preserve"> the Company ignores an important difference betwe</w:t>
      </w:r>
      <w:r w:rsidR="00FA3D1B">
        <w:rPr>
          <w:lang w:val="en-US"/>
        </w:rPr>
        <w:t>en Mr. Gorman’s ROE</w:t>
      </w:r>
      <w:r w:rsidR="004E0D91" w:rsidRPr="00FA3D1B">
        <w:rPr>
          <w:lang w:val="en-US"/>
        </w:rPr>
        <w:t xml:space="preserve"> analysis and Mr. Strunk’s.  Specifically, Mr. Gorman excluded four different companies used in Mr. Strunk’s proxy group due to their involvement in significant merger and acquisition activity.</w:t>
      </w:r>
      <w:r w:rsidR="004E0D91" w:rsidRPr="00851324">
        <w:rPr>
          <w:rStyle w:val="FootnoteReference"/>
          <w:u w:val="single"/>
        </w:rPr>
        <w:footnoteReference w:id="12"/>
      </w:r>
      <w:r w:rsidR="004E0D91" w:rsidRPr="00FA3D1B">
        <w:rPr>
          <w:vertAlign w:val="superscript"/>
        </w:rPr>
        <w:t>/</w:t>
      </w:r>
      <w:r w:rsidR="004E0D91" w:rsidRPr="00FA3D1B">
        <w:rPr>
          <w:lang w:val="en-US"/>
        </w:rPr>
        <w:t xml:space="preserve">  This exclusion</w:t>
      </w:r>
      <w:r w:rsidR="00532157" w:rsidRPr="00FA3D1B">
        <w:rPr>
          <w:lang w:val="en-US"/>
        </w:rPr>
        <w:t>,</w:t>
      </w:r>
      <w:r w:rsidR="004E0D91" w:rsidRPr="00FA3D1B">
        <w:rPr>
          <w:lang w:val="en-US"/>
        </w:rPr>
        <w:t xml:space="preserve"> of one sixth of the Company’s original proxy group</w:t>
      </w:r>
      <w:r w:rsidR="00532157" w:rsidRPr="00FA3D1B">
        <w:rPr>
          <w:lang w:val="en-US"/>
        </w:rPr>
        <w:t>,</w:t>
      </w:r>
      <w:r w:rsidR="004E0D91" w:rsidRPr="00FA3D1B">
        <w:rPr>
          <w:lang w:val="en-US"/>
        </w:rPr>
        <w:t xml:space="preserve"> should not be glossed over as immaterial.</w:t>
      </w:r>
    </w:p>
    <w:p w:rsidR="002A598E" w:rsidRPr="002A598E" w:rsidRDefault="005D536A" w:rsidP="00A72267">
      <w:pPr>
        <w:pStyle w:val="130043Post-hearingBriefParagraph"/>
        <w:keepNext/>
        <w:widowControl w:val="0"/>
      </w:pPr>
      <w:r>
        <w:rPr>
          <w:lang w:val="en-US"/>
        </w:rPr>
        <w:tab/>
      </w:r>
      <w:r w:rsidR="004E0D91">
        <w:rPr>
          <w:lang w:val="en-US"/>
        </w:rPr>
        <w:t>Pacific Power also claims that Mr. Gorman’s current recommendation for a reduced ROE is undercut by his recommendation for a 9.2%</w:t>
      </w:r>
      <w:r w:rsidR="003D3977">
        <w:rPr>
          <w:lang w:val="en-US"/>
        </w:rPr>
        <w:t xml:space="preserve"> ROE</w:t>
      </w:r>
      <w:r w:rsidR="00FA3D1B">
        <w:rPr>
          <w:lang w:val="en-US"/>
        </w:rPr>
        <w:t xml:space="preserve"> in the 2013 GRC (since his</w:t>
      </w:r>
      <w:r w:rsidR="004E0D91">
        <w:rPr>
          <w:lang w:val="en-US"/>
        </w:rPr>
        <w:t xml:space="preserve"> presently recommended 9.3% ROE is ten basis points higher</w:t>
      </w:r>
      <w:r w:rsidR="00FA3D1B">
        <w:rPr>
          <w:lang w:val="en-US"/>
        </w:rPr>
        <w:t>)</w:t>
      </w:r>
      <w:r w:rsidR="004E0D91">
        <w:rPr>
          <w:lang w:val="en-US"/>
        </w:rPr>
        <w:t>.</w:t>
      </w:r>
      <w:r w:rsidR="004E0D91" w:rsidRPr="00851324">
        <w:rPr>
          <w:rStyle w:val="FootnoteReference"/>
          <w:u w:val="single"/>
        </w:rPr>
        <w:footnoteReference w:id="13"/>
      </w:r>
      <w:r w:rsidR="004E0D91">
        <w:rPr>
          <w:vertAlign w:val="superscript"/>
        </w:rPr>
        <w:t>/</w:t>
      </w:r>
      <w:r w:rsidR="004E0D91">
        <w:rPr>
          <w:lang w:val="en-US"/>
        </w:rPr>
        <w:t xml:space="preserve">  </w:t>
      </w:r>
      <w:r w:rsidR="00FA3D1B">
        <w:rPr>
          <w:lang w:val="en-US"/>
        </w:rPr>
        <w:t>Notwithstanding</w:t>
      </w:r>
      <w:r w:rsidR="004E0D91">
        <w:rPr>
          <w:lang w:val="en-US"/>
        </w:rPr>
        <w:t>, Mr. Gorman’s current recommendation for a 20 basis point reduction to the Company’s presently authorized ROE fully accords with the principle of gradualism</w:t>
      </w:r>
      <w:r w:rsidR="00FA3D1B">
        <w:rPr>
          <w:lang w:val="en-US"/>
        </w:rPr>
        <w:t>,</w:t>
      </w:r>
      <w:r w:rsidR="004E0D91">
        <w:rPr>
          <w:lang w:val="en-US"/>
        </w:rPr>
        <w:t xml:space="preserve"> and finds support as a </w:t>
      </w:r>
      <w:r w:rsidR="004E0D91">
        <w:rPr>
          <w:lang w:val="en-US"/>
        </w:rPr>
        <w:lastRenderedPageBreak/>
        <w:t>conservative proposal falling squarely within a range of reasonable returns.</w:t>
      </w:r>
      <w:r w:rsidR="004E0D91" w:rsidRPr="00851324">
        <w:rPr>
          <w:rStyle w:val="FootnoteReference"/>
          <w:u w:val="single"/>
        </w:rPr>
        <w:footnoteReference w:id="14"/>
      </w:r>
      <w:r w:rsidR="004E0D91" w:rsidRPr="00461D55">
        <w:rPr>
          <w:vertAlign w:val="superscript"/>
        </w:rPr>
        <w:t>/</w:t>
      </w:r>
      <w:r w:rsidR="004E0D91">
        <w:rPr>
          <w:lang w:val="en-US"/>
        </w:rPr>
        <w:t xml:space="preserve">  </w:t>
      </w:r>
      <w:r w:rsidR="002A598E">
        <w:rPr>
          <w:lang w:val="en-US"/>
        </w:rPr>
        <w:t xml:space="preserve"> </w:t>
      </w:r>
    </w:p>
    <w:p w:rsidR="004E0D91" w:rsidRPr="006A72BB" w:rsidRDefault="005D536A" w:rsidP="004E0D91">
      <w:pPr>
        <w:pStyle w:val="130043Post-hearingBriefParagraph"/>
      </w:pPr>
      <w:r>
        <w:rPr>
          <w:lang w:val="en-US"/>
        </w:rPr>
        <w:tab/>
      </w:r>
      <w:r w:rsidR="00FA3D1B">
        <w:rPr>
          <w:lang w:val="en-US"/>
        </w:rPr>
        <w:t xml:space="preserve">Moreover, the Company </w:t>
      </w:r>
      <w:r w:rsidR="00D5516D">
        <w:rPr>
          <w:lang w:val="en-US"/>
        </w:rPr>
        <w:t>improperly</w:t>
      </w:r>
      <w:r w:rsidR="002A598E">
        <w:rPr>
          <w:lang w:val="en-US"/>
        </w:rPr>
        <w:t xml:space="preserve"> critiques Mr. Gorman’s position that industry</w:t>
      </w:r>
      <w:r w:rsidR="004B2998">
        <w:rPr>
          <w:lang w:val="en-US"/>
        </w:rPr>
        <w:t>-</w:t>
      </w:r>
      <w:r w:rsidR="002A598E">
        <w:rPr>
          <w:lang w:val="en-US"/>
        </w:rPr>
        <w:t xml:space="preserve"> authorized ROEs are decreasing</w:t>
      </w:r>
      <w:r w:rsidR="00532157">
        <w:rPr>
          <w:lang w:val="en-US"/>
        </w:rPr>
        <w:t>,</w:t>
      </w:r>
      <w:r w:rsidR="002A598E">
        <w:rPr>
          <w:lang w:val="en-US"/>
        </w:rPr>
        <w:t xml:space="preserve"> </w:t>
      </w:r>
      <w:r w:rsidR="00FA3D1B">
        <w:rPr>
          <w:lang w:val="en-US"/>
        </w:rPr>
        <w:t>thereby justifying a reduction</w:t>
      </w:r>
      <w:r w:rsidR="002A598E">
        <w:rPr>
          <w:lang w:val="en-US"/>
        </w:rPr>
        <w:t xml:space="preserve"> </w:t>
      </w:r>
      <w:r w:rsidR="00FA3D1B">
        <w:rPr>
          <w:lang w:val="en-US"/>
        </w:rPr>
        <w:t xml:space="preserve">to </w:t>
      </w:r>
      <w:r w:rsidR="002A598E">
        <w:rPr>
          <w:lang w:val="en-US"/>
        </w:rPr>
        <w:t>Pacific Power’s ROE.</w:t>
      </w:r>
      <w:r w:rsidR="002A598E" w:rsidRPr="00851324">
        <w:rPr>
          <w:rStyle w:val="FootnoteReference"/>
          <w:u w:val="single"/>
        </w:rPr>
        <w:footnoteReference w:id="15"/>
      </w:r>
      <w:r w:rsidR="002A598E">
        <w:rPr>
          <w:vertAlign w:val="superscript"/>
        </w:rPr>
        <w:t>/</w:t>
      </w:r>
      <w:r w:rsidR="002A598E">
        <w:rPr>
          <w:lang w:val="en-US"/>
        </w:rPr>
        <w:t xml:space="preserve">  First, </w:t>
      </w:r>
      <w:r w:rsidR="00BE013B">
        <w:rPr>
          <w:lang w:val="en-US"/>
        </w:rPr>
        <w:t xml:space="preserve">even </w:t>
      </w:r>
      <w:r w:rsidR="002A598E">
        <w:rPr>
          <w:lang w:val="en-US"/>
        </w:rPr>
        <w:t>the Company concedes that “</w:t>
      </w:r>
      <w:r w:rsidR="00532157">
        <w:rPr>
          <w:lang w:val="en-US"/>
        </w:rPr>
        <w:t>[i]</w:t>
      </w:r>
      <w:r w:rsidR="002A598E">
        <w:rPr>
          <w:lang w:val="en-US"/>
        </w:rPr>
        <w:t>ndustry data indicates that the average authorized ROE for January through September 2014”—a period encompassing the majority of this GRC—</w:t>
      </w:r>
      <w:r w:rsidR="00BE013B">
        <w:rPr>
          <w:lang w:val="en-US"/>
        </w:rPr>
        <w:t>has decreased.</w:t>
      </w:r>
      <w:r w:rsidR="00BE013B" w:rsidRPr="00851324">
        <w:rPr>
          <w:rStyle w:val="FootnoteReference"/>
          <w:u w:val="single"/>
        </w:rPr>
        <w:footnoteReference w:id="16"/>
      </w:r>
      <w:r w:rsidR="00BE013B">
        <w:rPr>
          <w:vertAlign w:val="superscript"/>
        </w:rPr>
        <w:t>/</w:t>
      </w:r>
      <w:r w:rsidR="00BE013B">
        <w:rPr>
          <w:lang w:val="en-US"/>
        </w:rPr>
        <w:t xml:space="preserve">  Further, any argument by the Company that it should be afforded special treatment</w:t>
      </w:r>
      <w:r w:rsidR="00FA3D1B">
        <w:rPr>
          <w:lang w:val="en-US"/>
        </w:rPr>
        <w:t>,</w:t>
      </w:r>
      <w:r w:rsidR="00BE013B">
        <w:rPr>
          <w:lang w:val="en-US"/>
        </w:rPr>
        <w:t xml:space="preserve"> counter to this industry trend</w:t>
      </w:r>
      <w:r w:rsidR="00FA3D1B">
        <w:rPr>
          <w:lang w:val="en-US"/>
        </w:rPr>
        <w:t>,</w:t>
      </w:r>
      <w:r w:rsidR="00BE013B">
        <w:rPr>
          <w:lang w:val="en-US"/>
        </w:rPr>
        <w:t xml:space="preserve"> </w:t>
      </w:r>
      <w:r w:rsidR="003D3977">
        <w:rPr>
          <w:lang w:val="en-US"/>
        </w:rPr>
        <w:t>undermines Pacific Power’s over</w:t>
      </w:r>
      <w:r w:rsidR="00BE013B">
        <w:rPr>
          <w:lang w:val="en-US"/>
        </w:rPr>
        <w:t>arching contention that the Commission “may not treat similar situations in dissimilar ways.”</w:t>
      </w:r>
      <w:r w:rsidR="00BE013B" w:rsidRPr="00851324">
        <w:rPr>
          <w:rStyle w:val="FootnoteReference"/>
          <w:u w:val="single"/>
        </w:rPr>
        <w:footnoteReference w:id="17"/>
      </w:r>
      <w:r w:rsidR="00BE013B">
        <w:rPr>
          <w:vertAlign w:val="superscript"/>
        </w:rPr>
        <w:t>/</w:t>
      </w:r>
      <w:r w:rsidR="00BE013B">
        <w:rPr>
          <w:lang w:val="en-US"/>
        </w:rPr>
        <w:t xml:space="preserve">   </w:t>
      </w:r>
    </w:p>
    <w:p w:rsidR="00DB5595" w:rsidRPr="00DB5595" w:rsidRDefault="005D536A" w:rsidP="004E0D91">
      <w:pPr>
        <w:pStyle w:val="130043Post-hearingBriefParagraph"/>
      </w:pPr>
      <w:r>
        <w:rPr>
          <w:lang w:val="en-US"/>
        </w:rPr>
        <w:tab/>
      </w:r>
      <w:r w:rsidR="006A72BB">
        <w:rPr>
          <w:lang w:val="en-US"/>
        </w:rPr>
        <w:t xml:space="preserve">The Company supports its recommended </w:t>
      </w:r>
      <w:r w:rsidR="00FA3D1B">
        <w:rPr>
          <w:lang w:val="en-US"/>
        </w:rPr>
        <w:t xml:space="preserve">increase to </w:t>
      </w:r>
      <w:r w:rsidR="006A72BB">
        <w:rPr>
          <w:lang w:val="en-US"/>
        </w:rPr>
        <w:t>ROE by arguing that “the risk associated with the future interest rates has increased.”</w:t>
      </w:r>
      <w:r w:rsidR="006A72BB" w:rsidRPr="00851324">
        <w:rPr>
          <w:rStyle w:val="FootnoteReference"/>
          <w:u w:val="single"/>
        </w:rPr>
        <w:footnoteReference w:id="18"/>
      </w:r>
      <w:r w:rsidR="006A72BB">
        <w:rPr>
          <w:vertAlign w:val="superscript"/>
        </w:rPr>
        <w:t>/</w:t>
      </w:r>
      <w:r w:rsidR="006A72BB">
        <w:rPr>
          <w:lang w:val="en-US"/>
        </w:rPr>
        <w:t xml:space="preserve">  </w:t>
      </w:r>
      <w:r w:rsidR="00FA3D1B">
        <w:rPr>
          <w:lang w:val="en-US"/>
        </w:rPr>
        <w:t xml:space="preserve">Then, </w:t>
      </w:r>
      <w:r w:rsidR="006A72BB">
        <w:rPr>
          <w:lang w:val="en-US"/>
        </w:rPr>
        <w:t>Pacific Power inappropriately portrays Mr. Gorman as supporting the Company’s position by stating:  “Mr. Gorman acknowledges that ‘there is additional risk in long-term interest rate markets created by [the] Federal Reserve stimulus policy.’”</w:t>
      </w:r>
      <w:r w:rsidR="006A72BB" w:rsidRPr="00851324">
        <w:rPr>
          <w:rStyle w:val="FootnoteReference"/>
          <w:u w:val="single"/>
        </w:rPr>
        <w:footnoteReference w:id="19"/>
      </w:r>
      <w:r w:rsidR="006A72BB">
        <w:rPr>
          <w:vertAlign w:val="superscript"/>
        </w:rPr>
        <w:t>/</w:t>
      </w:r>
      <w:r w:rsidR="00C65503">
        <w:rPr>
          <w:lang w:val="en-US"/>
        </w:rPr>
        <w:t xml:space="preserve">  But, Mr. Gorman </w:t>
      </w:r>
      <w:r w:rsidR="00FA3D1B">
        <w:rPr>
          <w:lang w:val="en-US"/>
        </w:rPr>
        <w:t xml:space="preserve">specifically </w:t>
      </w:r>
      <w:r w:rsidR="00C65503">
        <w:rPr>
          <w:lang w:val="en-US"/>
        </w:rPr>
        <w:t>testified at hearing that he considered Federal Reserve policy in developing his recommendations.</w:t>
      </w:r>
      <w:r w:rsidR="00C65503" w:rsidRPr="00C820DB">
        <w:rPr>
          <w:rStyle w:val="FootnoteReference"/>
          <w:u w:val="single"/>
        </w:rPr>
        <w:footnoteReference w:id="20"/>
      </w:r>
      <w:r w:rsidR="00C65503" w:rsidRPr="00A240F3">
        <w:rPr>
          <w:vertAlign w:val="superscript"/>
        </w:rPr>
        <w:t>/</w:t>
      </w:r>
      <w:r w:rsidR="00C65503">
        <w:rPr>
          <w:lang w:val="en-US"/>
        </w:rPr>
        <w:t xml:space="preserve">  Thus, the Company’s reweighting of Mr. Gorman’s analyses to derive an ROE range exceeding 10% is completely improper;</w:t>
      </w:r>
      <w:r w:rsidR="00C65503" w:rsidRPr="00851324">
        <w:rPr>
          <w:rStyle w:val="FootnoteReference"/>
          <w:u w:val="single"/>
        </w:rPr>
        <w:footnoteReference w:id="21"/>
      </w:r>
      <w:r w:rsidR="00C65503">
        <w:rPr>
          <w:vertAlign w:val="superscript"/>
        </w:rPr>
        <w:t>/</w:t>
      </w:r>
      <w:r w:rsidR="00DB5595">
        <w:rPr>
          <w:lang w:val="en-US"/>
        </w:rPr>
        <w:t xml:space="preserve"> conversely, but for Mr. Gorman’s accounting for Federal Reserve policy</w:t>
      </w:r>
      <w:r w:rsidR="00532157">
        <w:rPr>
          <w:lang w:val="en-US"/>
        </w:rPr>
        <w:t xml:space="preserve"> in his </w:t>
      </w:r>
      <w:r w:rsidR="00FA3D1B">
        <w:rPr>
          <w:lang w:val="en-US"/>
        </w:rPr>
        <w:t xml:space="preserve">original </w:t>
      </w:r>
      <w:r w:rsidR="00532157">
        <w:rPr>
          <w:lang w:val="en-US"/>
        </w:rPr>
        <w:t>weighting</w:t>
      </w:r>
      <w:r w:rsidR="00DB5595">
        <w:rPr>
          <w:lang w:val="en-US"/>
        </w:rPr>
        <w:t>, the Company would merit a</w:t>
      </w:r>
      <w:r w:rsidR="00FA3D1B">
        <w:rPr>
          <w:lang w:val="en-US"/>
        </w:rPr>
        <w:t xml:space="preserve">n </w:t>
      </w:r>
      <w:r w:rsidR="00DB5595">
        <w:rPr>
          <w:lang w:val="en-US"/>
        </w:rPr>
        <w:t>ROE</w:t>
      </w:r>
      <w:r w:rsidR="00FA3D1B">
        <w:rPr>
          <w:lang w:val="en-US"/>
        </w:rPr>
        <w:t xml:space="preserve"> even below the 9.3% recommended by Mr. Gorman</w:t>
      </w:r>
      <w:r w:rsidR="00DB5595">
        <w:rPr>
          <w:lang w:val="en-US"/>
        </w:rPr>
        <w:t>.</w:t>
      </w:r>
    </w:p>
    <w:p w:rsidR="00A21045" w:rsidRPr="00A21045" w:rsidRDefault="005D536A" w:rsidP="004E0D91">
      <w:pPr>
        <w:pStyle w:val="130043Post-hearingBriefParagraph"/>
      </w:pPr>
      <w:r>
        <w:rPr>
          <w:lang w:val="en-US"/>
        </w:rPr>
        <w:lastRenderedPageBreak/>
        <w:tab/>
      </w:r>
      <w:r w:rsidR="00DB5595">
        <w:rPr>
          <w:lang w:val="en-US"/>
        </w:rPr>
        <w:t>Pacific Po</w:t>
      </w:r>
      <w:r w:rsidR="00420C04">
        <w:rPr>
          <w:lang w:val="en-US"/>
        </w:rPr>
        <w:t>wer also critiques an alleged party recommendation</w:t>
      </w:r>
      <w:r w:rsidR="00A21045">
        <w:rPr>
          <w:lang w:val="en-US"/>
        </w:rPr>
        <w:t>:  1)</w:t>
      </w:r>
      <w:r w:rsidR="00DB5595">
        <w:rPr>
          <w:lang w:val="en-US"/>
        </w:rPr>
        <w:t xml:space="preserve"> </w:t>
      </w:r>
      <w:r w:rsidR="00A21045">
        <w:rPr>
          <w:lang w:val="en-US"/>
        </w:rPr>
        <w:t xml:space="preserve">to </w:t>
      </w:r>
      <w:r w:rsidR="00DB5595">
        <w:rPr>
          <w:lang w:val="en-US"/>
        </w:rPr>
        <w:t>“mechanically” apply established methodology</w:t>
      </w:r>
      <w:r w:rsidR="00A21045">
        <w:rPr>
          <w:lang w:val="en-US"/>
        </w:rPr>
        <w:t>; 2)</w:t>
      </w:r>
      <w:r w:rsidR="00DB5595">
        <w:rPr>
          <w:lang w:val="en-US"/>
        </w:rPr>
        <w:t xml:space="preserve"> to reduce ROE</w:t>
      </w:r>
      <w:r w:rsidR="00A21045">
        <w:rPr>
          <w:lang w:val="en-US"/>
        </w:rPr>
        <w:t>; 3)</w:t>
      </w:r>
      <w:r w:rsidR="00C65503">
        <w:rPr>
          <w:lang w:val="en-US"/>
        </w:rPr>
        <w:t xml:space="preserve"> </w:t>
      </w:r>
      <w:r w:rsidR="00DB5595">
        <w:rPr>
          <w:lang w:val="en-US"/>
        </w:rPr>
        <w:t>in response to</w:t>
      </w:r>
      <w:r w:rsidR="00A21045">
        <w:rPr>
          <w:lang w:val="en-US"/>
        </w:rPr>
        <w:t xml:space="preserve"> current interest rate markets—while simultaneously </w:t>
      </w:r>
      <w:r w:rsidR="00DB5595">
        <w:rPr>
          <w:lang w:val="en-US"/>
        </w:rPr>
        <w:t xml:space="preserve">claiming that the Federal Energy Regulatory Commission (“FERC”) recently </w:t>
      </w:r>
      <w:r w:rsidR="0027423B">
        <w:rPr>
          <w:lang w:val="en-US"/>
        </w:rPr>
        <w:t>“</w:t>
      </w:r>
      <w:r w:rsidR="00DB5595">
        <w:rPr>
          <w:lang w:val="en-US"/>
        </w:rPr>
        <w:t>increased ROE</w:t>
      </w:r>
      <w:r w:rsidR="0027423B">
        <w:rPr>
          <w:lang w:val="en-US"/>
        </w:rPr>
        <w:t>”</w:t>
      </w:r>
      <w:r w:rsidR="00DB5595">
        <w:rPr>
          <w:lang w:val="en-US"/>
        </w:rPr>
        <w:t xml:space="preserve"> for ISO New England “to account for the increased risk associated with current interest rates.”</w:t>
      </w:r>
      <w:r w:rsidR="00DB5595" w:rsidRPr="00851324">
        <w:rPr>
          <w:rStyle w:val="FootnoteReference"/>
          <w:u w:val="single"/>
        </w:rPr>
        <w:footnoteReference w:id="22"/>
      </w:r>
      <w:r w:rsidR="00DB5595">
        <w:rPr>
          <w:vertAlign w:val="superscript"/>
        </w:rPr>
        <w:t>/</w:t>
      </w:r>
      <w:r w:rsidR="0027423B">
        <w:rPr>
          <w:lang w:val="en-US"/>
        </w:rPr>
        <w:t xml:space="preserve">  The Company not only mischaracterizes Mr. Gorman’s position on this point, but Pacific Power completely misrepresents the actual facts</w:t>
      </w:r>
      <w:r w:rsidR="00A21045">
        <w:rPr>
          <w:lang w:val="en-US"/>
        </w:rPr>
        <w:t xml:space="preserve"> of that case</w:t>
      </w:r>
      <w:r w:rsidR="0027423B">
        <w:rPr>
          <w:lang w:val="en-US"/>
        </w:rPr>
        <w:t xml:space="preserve">.  </w:t>
      </w:r>
    </w:p>
    <w:p w:rsidR="006A72BB" w:rsidRPr="009678A8" w:rsidRDefault="005D536A" w:rsidP="004E0D91">
      <w:pPr>
        <w:pStyle w:val="130043Post-hearingBriefParagraph"/>
      </w:pPr>
      <w:r>
        <w:rPr>
          <w:lang w:val="en-US"/>
        </w:rPr>
        <w:tab/>
      </w:r>
      <w:r w:rsidR="0027423B">
        <w:rPr>
          <w:lang w:val="en-US"/>
        </w:rPr>
        <w:t xml:space="preserve">As the Company conceded in the record, the 10.57% ROE authorized by FERC was a </w:t>
      </w:r>
      <w:r w:rsidR="0027423B" w:rsidRPr="0027423B">
        <w:rPr>
          <w:i/>
          <w:lang w:val="en-US"/>
        </w:rPr>
        <w:t>57 basis point reduction</w:t>
      </w:r>
      <w:r w:rsidR="0027423B">
        <w:rPr>
          <w:lang w:val="en-US"/>
        </w:rPr>
        <w:t xml:space="preserve"> from ISO New England’s previously approved ROE of 11.14%</w:t>
      </w:r>
      <w:r w:rsidR="009678A8">
        <w:rPr>
          <w:lang w:val="en-US"/>
        </w:rPr>
        <w:t>.</w:t>
      </w:r>
      <w:r w:rsidR="0027423B" w:rsidRPr="00C820DB">
        <w:rPr>
          <w:rStyle w:val="FootnoteReference"/>
          <w:u w:val="single"/>
        </w:rPr>
        <w:footnoteReference w:id="23"/>
      </w:r>
      <w:r w:rsidR="0027423B" w:rsidRPr="00A240F3">
        <w:rPr>
          <w:vertAlign w:val="superscript"/>
        </w:rPr>
        <w:t>/</w:t>
      </w:r>
      <w:r w:rsidR="0027423B">
        <w:rPr>
          <w:lang w:val="en-US"/>
        </w:rPr>
        <w:t xml:space="preserve">  The Company also acknowledged that FERC based this significant ROE reduction on dat</w:t>
      </w:r>
      <w:r w:rsidR="009678A8">
        <w:rPr>
          <w:lang w:val="en-US"/>
        </w:rPr>
        <w:t>a from an October 2012 through M</w:t>
      </w:r>
      <w:r w:rsidR="0027423B">
        <w:rPr>
          <w:lang w:val="en-US"/>
        </w:rPr>
        <w:t>arch 2013 time frame</w:t>
      </w:r>
      <w:r w:rsidR="009678A8" w:rsidRPr="00851324">
        <w:rPr>
          <w:rStyle w:val="FootnoteReference"/>
          <w:u w:val="single"/>
        </w:rPr>
        <w:footnoteReference w:id="24"/>
      </w:r>
      <w:r w:rsidR="009678A8">
        <w:rPr>
          <w:vertAlign w:val="superscript"/>
        </w:rPr>
        <w:t>/</w:t>
      </w:r>
      <w:r w:rsidR="009678A8">
        <w:rPr>
          <w:lang w:val="en-US"/>
        </w:rPr>
        <w:t xml:space="preserve">—a far cry from the Company’s claim that “FERC increased ROE to account for the increased risk </w:t>
      </w:r>
      <w:r w:rsidR="009678A8" w:rsidRPr="00A21045">
        <w:rPr>
          <w:lang w:val="en-US"/>
        </w:rPr>
        <w:t>associated with</w:t>
      </w:r>
      <w:r w:rsidR="009678A8" w:rsidRPr="009678A8">
        <w:rPr>
          <w:i/>
          <w:lang w:val="en-US"/>
        </w:rPr>
        <w:t xml:space="preserve"> current </w:t>
      </w:r>
      <w:r w:rsidR="009678A8" w:rsidRPr="00A21045">
        <w:rPr>
          <w:lang w:val="en-US"/>
        </w:rPr>
        <w:t>interest rates</w:t>
      </w:r>
      <w:r w:rsidR="009678A8">
        <w:rPr>
          <w:lang w:val="en-US"/>
        </w:rPr>
        <w:t>.”</w:t>
      </w:r>
      <w:r w:rsidR="009678A8" w:rsidRPr="00851324">
        <w:rPr>
          <w:rStyle w:val="FootnoteReference"/>
          <w:u w:val="single"/>
        </w:rPr>
        <w:footnoteReference w:id="25"/>
      </w:r>
      <w:r w:rsidR="009678A8">
        <w:rPr>
          <w:vertAlign w:val="superscript"/>
        </w:rPr>
        <w:t>/</w:t>
      </w:r>
      <w:r w:rsidR="009678A8">
        <w:rPr>
          <w:lang w:val="en-US"/>
        </w:rPr>
        <w:t xml:space="preserve">  Finally, </w:t>
      </w:r>
      <w:r w:rsidR="00A21045">
        <w:rPr>
          <w:lang w:val="en-US"/>
        </w:rPr>
        <w:t xml:space="preserve">even if it were true, </w:t>
      </w:r>
      <w:r w:rsidR="009678A8">
        <w:rPr>
          <w:lang w:val="en-US"/>
        </w:rPr>
        <w:t xml:space="preserve">the Company’s whole argument against </w:t>
      </w:r>
      <w:r w:rsidR="00A21045">
        <w:rPr>
          <w:lang w:val="en-US"/>
        </w:rPr>
        <w:t>allegedly “</w:t>
      </w:r>
      <w:r w:rsidR="009678A8">
        <w:rPr>
          <w:lang w:val="en-US"/>
        </w:rPr>
        <w:t>mechanistic</w:t>
      </w:r>
      <w:r w:rsidR="00A21045">
        <w:rPr>
          <w:lang w:val="en-US"/>
        </w:rPr>
        <w:t>”</w:t>
      </w:r>
      <w:r w:rsidR="009678A8">
        <w:rPr>
          <w:lang w:val="en-US"/>
        </w:rPr>
        <w:t xml:space="preserve"> recommendations by other parties</w:t>
      </w:r>
      <w:r w:rsidR="00A21045">
        <w:rPr>
          <w:lang w:val="en-US"/>
        </w:rPr>
        <w:t xml:space="preserve"> </w:t>
      </w:r>
      <w:r w:rsidR="005F28CD">
        <w:rPr>
          <w:lang w:val="en-US"/>
        </w:rPr>
        <w:t xml:space="preserve">would again undermine its </w:t>
      </w:r>
      <w:r w:rsidR="00A21045">
        <w:rPr>
          <w:lang w:val="en-US"/>
        </w:rPr>
        <w:t xml:space="preserve">own principle </w:t>
      </w:r>
      <w:r w:rsidR="005F28CD">
        <w:rPr>
          <w:lang w:val="en-US"/>
        </w:rPr>
        <w:t>that the Commission “should strive for equality of treatment” and “not treat similar situations in dissimilar ways.”</w:t>
      </w:r>
      <w:r w:rsidR="005F28CD" w:rsidRPr="00851324">
        <w:rPr>
          <w:rStyle w:val="FootnoteReference"/>
          <w:u w:val="single"/>
        </w:rPr>
        <w:footnoteReference w:id="26"/>
      </w:r>
      <w:r w:rsidR="005F28CD">
        <w:rPr>
          <w:vertAlign w:val="superscript"/>
        </w:rPr>
        <w:t>/</w:t>
      </w:r>
    </w:p>
    <w:p w:rsidR="009678A8" w:rsidRPr="002825F5" w:rsidRDefault="005D536A" w:rsidP="0063726F">
      <w:pPr>
        <w:pStyle w:val="130043Post-hearingBriefParagraph"/>
        <w:widowControl w:val="0"/>
      </w:pPr>
      <w:r>
        <w:rPr>
          <w:lang w:val="en-US"/>
        </w:rPr>
        <w:tab/>
      </w:r>
      <w:r w:rsidR="009678A8">
        <w:rPr>
          <w:lang w:val="en-US"/>
        </w:rPr>
        <w:t xml:space="preserve">Pacific Power </w:t>
      </w:r>
      <w:r w:rsidR="005F28CD">
        <w:rPr>
          <w:lang w:val="en-US"/>
        </w:rPr>
        <w:t xml:space="preserve">improperly lumps Mr. Gorman in with other parties </w:t>
      </w:r>
      <w:r w:rsidR="00CE6750">
        <w:rPr>
          <w:lang w:val="en-US"/>
        </w:rPr>
        <w:t xml:space="preserve">again </w:t>
      </w:r>
      <w:r w:rsidR="005F28CD">
        <w:rPr>
          <w:lang w:val="en-US"/>
        </w:rPr>
        <w:t>by making the blanket assertion:  “The parties recommend that the Commission authorize an ROE at the low end of the reasonable range.”</w:t>
      </w:r>
      <w:r w:rsidR="005F28CD" w:rsidRPr="00851324">
        <w:rPr>
          <w:rStyle w:val="FootnoteReference"/>
          <w:u w:val="single"/>
        </w:rPr>
        <w:footnoteReference w:id="27"/>
      </w:r>
      <w:r w:rsidR="005F28CD">
        <w:rPr>
          <w:vertAlign w:val="superscript"/>
        </w:rPr>
        <w:t>/</w:t>
      </w:r>
      <w:r w:rsidR="005F28CD">
        <w:rPr>
          <w:lang w:val="en-US"/>
        </w:rPr>
        <w:t xml:space="preserve">  Mr. Gorman’s recommended 9.3% ROE is exactly at </w:t>
      </w:r>
      <w:r w:rsidR="005F28CD">
        <w:rPr>
          <w:lang w:val="en-US"/>
        </w:rPr>
        <w:lastRenderedPageBreak/>
        <w:t>the midpoint of the reasonable range.</w:t>
      </w:r>
      <w:r w:rsidR="005F28CD" w:rsidRPr="00851324">
        <w:rPr>
          <w:rStyle w:val="FootnoteReference"/>
          <w:u w:val="single"/>
        </w:rPr>
        <w:footnoteReference w:id="28"/>
      </w:r>
      <w:r w:rsidR="005F28CD" w:rsidRPr="00461D55">
        <w:rPr>
          <w:vertAlign w:val="superscript"/>
        </w:rPr>
        <w:t>/</w:t>
      </w:r>
      <w:r w:rsidR="005F28CD">
        <w:rPr>
          <w:lang w:val="en-US"/>
        </w:rPr>
        <w:t xml:space="preserve">  Additionally, the Company’s failure to </w:t>
      </w:r>
      <w:r w:rsidR="002351D1">
        <w:rPr>
          <w:lang w:val="en-US"/>
        </w:rPr>
        <w:t>ever</w:t>
      </w:r>
      <w:r w:rsidR="005F28CD">
        <w:rPr>
          <w:lang w:val="en-US"/>
        </w:rPr>
        <w:t xml:space="preserve"> reference Mr. Gorman’s testimony</w:t>
      </w:r>
      <w:r w:rsidR="002351D1">
        <w:rPr>
          <w:lang w:val="en-US"/>
        </w:rPr>
        <w:t>,</w:t>
      </w:r>
      <w:r w:rsidR="005F28CD">
        <w:rPr>
          <w:lang w:val="en-US"/>
        </w:rPr>
        <w:t xml:space="preserve"> </w:t>
      </w:r>
      <w:r w:rsidR="002351D1">
        <w:rPr>
          <w:lang w:val="en-US"/>
        </w:rPr>
        <w:t>despite</w:t>
      </w:r>
      <w:r w:rsidR="005F28CD">
        <w:rPr>
          <w:lang w:val="en-US"/>
        </w:rPr>
        <w:t xml:space="preserve"> three paragraphs </w:t>
      </w:r>
      <w:r w:rsidR="002351D1">
        <w:rPr>
          <w:lang w:val="en-US"/>
        </w:rPr>
        <w:t xml:space="preserve">expressly </w:t>
      </w:r>
      <w:r w:rsidR="005F28CD">
        <w:rPr>
          <w:lang w:val="en-US"/>
        </w:rPr>
        <w:t>devoted to elaborating upon this charge</w:t>
      </w:r>
      <w:r w:rsidR="002351D1">
        <w:rPr>
          <w:lang w:val="en-US"/>
        </w:rPr>
        <w:t>,</w:t>
      </w:r>
      <w:r w:rsidR="005F28CD">
        <w:rPr>
          <w:lang w:val="en-US"/>
        </w:rPr>
        <w:t xml:space="preserve"> demonstra</w:t>
      </w:r>
      <w:r w:rsidR="00532157">
        <w:rPr>
          <w:lang w:val="en-US"/>
        </w:rPr>
        <w:t>tes the</w:t>
      </w:r>
      <w:r w:rsidR="00477849">
        <w:rPr>
          <w:lang w:val="en-US"/>
        </w:rPr>
        <w:t xml:space="preserve"> impropriety of such a blanket statement.</w:t>
      </w:r>
    </w:p>
    <w:p w:rsidR="00A71508" w:rsidRPr="00A71508" w:rsidRDefault="005D536A" w:rsidP="004E0D91">
      <w:pPr>
        <w:pStyle w:val="130043Post-hearingBriefParagraph"/>
      </w:pPr>
      <w:r>
        <w:rPr>
          <w:lang w:val="en-US"/>
        </w:rPr>
        <w:tab/>
      </w:r>
      <w:r w:rsidR="0058621D">
        <w:rPr>
          <w:lang w:val="en-US"/>
        </w:rPr>
        <w:t xml:space="preserve">A further </w:t>
      </w:r>
      <w:r w:rsidR="002825F5">
        <w:rPr>
          <w:lang w:val="en-US"/>
        </w:rPr>
        <w:t xml:space="preserve">allegation that Mr. Gorman’s credibility has been undermined by “inconsistent recommendations” is </w:t>
      </w:r>
      <w:r w:rsidR="0058621D">
        <w:rPr>
          <w:lang w:val="en-US"/>
        </w:rPr>
        <w:t xml:space="preserve">also </w:t>
      </w:r>
      <w:r w:rsidR="002825F5">
        <w:rPr>
          <w:lang w:val="en-US"/>
        </w:rPr>
        <w:t>without merit.</w:t>
      </w:r>
      <w:r w:rsidR="002825F5" w:rsidRPr="00851324">
        <w:rPr>
          <w:rStyle w:val="FootnoteReference"/>
          <w:u w:val="single"/>
        </w:rPr>
        <w:footnoteReference w:id="29"/>
      </w:r>
      <w:r w:rsidR="002825F5">
        <w:rPr>
          <w:vertAlign w:val="superscript"/>
        </w:rPr>
        <w:t>/</w:t>
      </w:r>
      <w:r w:rsidR="002825F5">
        <w:rPr>
          <w:lang w:val="en-US"/>
        </w:rPr>
        <w:t xml:space="preserve">  Pacific Power finds fault in Mr. Gorman’s </w:t>
      </w:r>
      <w:r w:rsidR="0058621D">
        <w:rPr>
          <w:lang w:val="en-US"/>
        </w:rPr>
        <w:t xml:space="preserve">recommendation for a 9.3% ROE in Washington because he recommended </w:t>
      </w:r>
      <w:r w:rsidR="002825F5">
        <w:rPr>
          <w:lang w:val="en-US"/>
        </w:rPr>
        <w:t>a 9.4% ROE in Utah</w:t>
      </w:r>
      <w:r w:rsidR="0058621D">
        <w:rPr>
          <w:lang w:val="en-US"/>
        </w:rPr>
        <w:t>.</w:t>
      </w:r>
      <w:r w:rsidR="002825F5" w:rsidRPr="00851324">
        <w:rPr>
          <w:rStyle w:val="FootnoteReference"/>
          <w:u w:val="single"/>
        </w:rPr>
        <w:footnoteReference w:id="30"/>
      </w:r>
      <w:r w:rsidR="002825F5">
        <w:rPr>
          <w:vertAlign w:val="superscript"/>
        </w:rPr>
        <w:t>/</w:t>
      </w:r>
      <w:r w:rsidR="002825F5">
        <w:rPr>
          <w:lang w:val="en-US"/>
        </w:rPr>
        <w:t xml:space="preserve">  As Mr. Gorman explained at hearing, “in setting a fair return on equity, there may be unique circumstances to that jurisdiction that would be taken into consideration.”</w:t>
      </w:r>
      <w:r w:rsidR="002825F5" w:rsidRPr="00C820DB">
        <w:rPr>
          <w:rStyle w:val="FootnoteReference"/>
          <w:u w:val="single"/>
        </w:rPr>
        <w:footnoteReference w:id="31"/>
      </w:r>
      <w:r w:rsidR="002825F5" w:rsidRPr="00A240F3">
        <w:rPr>
          <w:vertAlign w:val="superscript"/>
        </w:rPr>
        <w:t>/</w:t>
      </w:r>
      <w:r w:rsidR="002825F5">
        <w:rPr>
          <w:lang w:val="en-US"/>
        </w:rPr>
        <w:t xml:space="preserve">  </w:t>
      </w:r>
      <w:r w:rsidR="00A71508">
        <w:rPr>
          <w:lang w:val="en-US"/>
        </w:rPr>
        <w:t>Applying this principle, Mr. Gorman further explained that he recommended a slightly higher ROE in Utah because—unlike Washington—“they use an actual capital structure to set the overall rate of return.  So I didn’t make an adjustment to that capital structure because it’s inconsistent with the general practice of Utah.”</w:t>
      </w:r>
      <w:r w:rsidR="00A71508" w:rsidRPr="00C820DB">
        <w:rPr>
          <w:rStyle w:val="FootnoteReference"/>
          <w:u w:val="single"/>
        </w:rPr>
        <w:footnoteReference w:id="32"/>
      </w:r>
      <w:r w:rsidR="00A71508" w:rsidRPr="00A240F3">
        <w:rPr>
          <w:vertAlign w:val="superscript"/>
        </w:rPr>
        <w:t>/</w:t>
      </w:r>
      <w:r w:rsidR="00A71508">
        <w:rPr>
          <w:lang w:val="en-US"/>
        </w:rPr>
        <w:t xml:space="preserve"> </w:t>
      </w:r>
      <w:r w:rsidR="002D013B">
        <w:rPr>
          <w:lang w:val="en-US"/>
        </w:rPr>
        <w:t xml:space="preserve"> Mr. Gorman’s reasonable consideration of jurisdictional differences establishes that, contrary to the Company’s wrongful claim, he does not “mechanically” apply ROE recommendations.</w:t>
      </w:r>
      <w:r w:rsidR="002D013B" w:rsidRPr="00851324">
        <w:rPr>
          <w:rStyle w:val="FootnoteReference"/>
          <w:u w:val="single"/>
        </w:rPr>
        <w:footnoteReference w:id="33"/>
      </w:r>
      <w:r w:rsidR="002D013B">
        <w:rPr>
          <w:vertAlign w:val="superscript"/>
        </w:rPr>
        <w:t>/</w:t>
      </w:r>
      <w:r w:rsidR="002D013B">
        <w:rPr>
          <w:lang w:val="en-US"/>
        </w:rPr>
        <w:t xml:space="preserve">  </w:t>
      </w:r>
    </w:p>
    <w:p w:rsidR="002825F5" w:rsidRPr="00517A29" w:rsidRDefault="005D536A" w:rsidP="0063726F">
      <w:pPr>
        <w:pStyle w:val="130043Post-hearingBriefParagraph"/>
        <w:widowControl w:val="0"/>
      </w:pPr>
      <w:r>
        <w:rPr>
          <w:lang w:val="en-US"/>
        </w:rPr>
        <w:tab/>
      </w:r>
      <w:r w:rsidR="00A71508">
        <w:rPr>
          <w:lang w:val="en-US"/>
        </w:rPr>
        <w:t>Notwithstandin</w:t>
      </w:r>
      <w:r w:rsidR="00D170BE">
        <w:rPr>
          <w:lang w:val="en-US"/>
        </w:rPr>
        <w:t>g, the Company still critiques M</w:t>
      </w:r>
      <w:r w:rsidR="00A71508">
        <w:rPr>
          <w:lang w:val="en-US"/>
        </w:rPr>
        <w:t xml:space="preserve">r. Gorman </w:t>
      </w:r>
      <w:r w:rsidR="00532157">
        <w:rPr>
          <w:lang w:val="en-US"/>
        </w:rPr>
        <w:t>by</w:t>
      </w:r>
      <w:r w:rsidR="00D170BE">
        <w:rPr>
          <w:lang w:val="en-US"/>
        </w:rPr>
        <w:t xml:space="preserve"> alleging that there is “no principled basis for Mr. Gorman to recommend a lower ROE and ROR in Washington than in other PacifiCorp states.”</w:t>
      </w:r>
      <w:r w:rsidR="00D170BE" w:rsidRPr="00851324">
        <w:rPr>
          <w:rStyle w:val="FootnoteReference"/>
          <w:u w:val="single"/>
        </w:rPr>
        <w:footnoteReference w:id="34"/>
      </w:r>
      <w:r w:rsidR="00D170BE">
        <w:rPr>
          <w:vertAlign w:val="superscript"/>
        </w:rPr>
        <w:t>/</w:t>
      </w:r>
      <w:r w:rsidR="00D170BE">
        <w:rPr>
          <w:lang w:val="en-US"/>
        </w:rPr>
        <w:t xml:space="preserve">  Mr. Gorman explained at hearing, however, that while it “[g]enerally” follows that the Company’s risk is the same across all states, there is an important exception:  “if there are specific regulatory mechanisms or changes that are unique to a specific </w:t>
      </w:r>
      <w:r w:rsidR="00D170BE">
        <w:rPr>
          <w:lang w:val="en-US"/>
        </w:rPr>
        <w:lastRenderedPageBreak/>
        <w:t xml:space="preserve">jurisdiction, the risk impact of that regulatory mechanism could be considered in estimating a fair return </w:t>
      </w:r>
      <w:r w:rsidR="0098198A">
        <w:rPr>
          <w:lang w:val="en-US"/>
        </w:rPr>
        <w:t>for that jurisdiction.”</w:t>
      </w:r>
      <w:r w:rsidR="0098198A" w:rsidRPr="00C820DB">
        <w:rPr>
          <w:rStyle w:val="FootnoteReference"/>
          <w:u w:val="single"/>
        </w:rPr>
        <w:footnoteReference w:id="35"/>
      </w:r>
      <w:r w:rsidR="0098198A" w:rsidRPr="00A240F3">
        <w:rPr>
          <w:vertAlign w:val="superscript"/>
        </w:rPr>
        <w:t>/</w:t>
      </w:r>
      <w:r w:rsidR="0098198A">
        <w:rPr>
          <w:lang w:val="en-US"/>
        </w:rPr>
        <w:t xml:space="preserve">  In fact, the Company is fully aware of this exception, reasoning on brief that, “to the extent that the Company’s credit rating reflects risk, the risk is </w:t>
      </w:r>
      <w:r w:rsidR="0098198A" w:rsidRPr="0098198A">
        <w:rPr>
          <w:i/>
          <w:lang w:val="en-US"/>
        </w:rPr>
        <w:t>generally</w:t>
      </w:r>
      <w:r w:rsidR="0098198A">
        <w:rPr>
          <w:lang w:val="en-US"/>
        </w:rPr>
        <w:t xml:space="preserve"> the same in every state.”</w:t>
      </w:r>
      <w:r w:rsidR="0098198A" w:rsidRPr="00851324">
        <w:rPr>
          <w:rStyle w:val="FootnoteReference"/>
          <w:u w:val="single"/>
        </w:rPr>
        <w:footnoteReference w:id="36"/>
      </w:r>
      <w:r w:rsidR="0098198A">
        <w:rPr>
          <w:vertAlign w:val="superscript"/>
        </w:rPr>
        <w:t>/</w:t>
      </w:r>
      <w:r w:rsidR="0098198A">
        <w:rPr>
          <w:lang w:val="en-US"/>
        </w:rPr>
        <w:t xml:space="preserve">  Hence, it is disingenuous for the Company to a</w:t>
      </w:r>
      <w:r w:rsidR="002D013B">
        <w:rPr>
          <w:lang w:val="en-US"/>
        </w:rPr>
        <w:t>rgue that t</w:t>
      </w:r>
      <w:r w:rsidR="0098198A">
        <w:rPr>
          <w:lang w:val="en-US"/>
        </w:rPr>
        <w:t xml:space="preserve">here is </w:t>
      </w:r>
      <w:r w:rsidR="002D013B">
        <w:rPr>
          <w:lang w:val="en-US"/>
        </w:rPr>
        <w:t>“</w:t>
      </w:r>
      <w:r w:rsidR="0098198A">
        <w:rPr>
          <w:lang w:val="en-US"/>
        </w:rPr>
        <w:t>no</w:t>
      </w:r>
      <w:r w:rsidR="002D013B">
        <w:rPr>
          <w:lang w:val="en-US"/>
        </w:rPr>
        <w:t>”</w:t>
      </w:r>
      <w:r w:rsidR="0098198A">
        <w:rPr>
          <w:lang w:val="en-US"/>
        </w:rPr>
        <w:t xml:space="preserve"> principled basis</w:t>
      </w:r>
      <w:r w:rsidR="003D3977">
        <w:rPr>
          <w:lang w:val="en-US"/>
        </w:rPr>
        <w:t xml:space="preserve"> for Mr. Gorman’s</w:t>
      </w:r>
      <w:r w:rsidR="0098198A">
        <w:rPr>
          <w:lang w:val="en-US"/>
        </w:rPr>
        <w:t xml:space="preserve"> careful and nuanced treatment of unique factors affecting each state in </w:t>
      </w:r>
      <w:r w:rsidR="002D013B">
        <w:rPr>
          <w:lang w:val="en-US"/>
        </w:rPr>
        <w:t>which the Company does business</w:t>
      </w:r>
      <w:r w:rsidR="0098198A">
        <w:rPr>
          <w:lang w:val="en-US"/>
        </w:rPr>
        <w:t>.</w:t>
      </w:r>
    </w:p>
    <w:p w:rsidR="00517A29" w:rsidRPr="00782E02" w:rsidRDefault="005D536A" w:rsidP="004E0D91">
      <w:pPr>
        <w:pStyle w:val="130043Post-hearingBriefParagraph"/>
      </w:pPr>
      <w:r>
        <w:rPr>
          <w:lang w:val="en-US"/>
        </w:rPr>
        <w:tab/>
      </w:r>
      <w:r w:rsidR="00517A29">
        <w:rPr>
          <w:lang w:val="en-US"/>
        </w:rPr>
        <w:t>Finally, the Company misapplies Mr. Gorman’s tes</w:t>
      </w:r>
      <w:r w:rsidR="00FC343C">
        <w:rPr>
          <w:lang w:val="en-US"/>
        </w:rPr>
        <w:t>timony in the PSE remand case, improperly using it to</w:t>
      </w:r>
      <w:r w:rsidR="00517A29">
        <w:rPr>
          <w:lang w:val="en-US"/>
        </w:rPr>
        <w:t xml:space="preserve"> indicate support for Mr. Strunk’s recommendation for a 28 basis point equity adder.</w:t>
      </w:r>
      <w:r w:rsidR="00517A29" w:rsidRPr="00851324">
        <w:rPr>
          <w:rStyle w:val="FootnoteReference"/>
          <w:u w:val="single"/>
        </w:rPr>
        <w:footnoteReference w:id="37"/>
      </w:r>
      <w:r w:rsidR="00517A29">
        <w:rPr>
          <w:vertAlign w:val="superscript"/>
        </w:rPr>
        <w:t>/</w:t>
      </w:r>
      <w:r w:rsidR="00517A29">
        <w:rPr>
          <w:lang w:val="en-US"/>
        </w:rPr>
        <w:t xml:space="preserve">  The Company’s argument</w:t>
      </w:r>
      <w:r w:rsidR="00FE7A05">
        <w:rPr>
          <w:lang w:val="en-US"/>
        </w:rPr>
        <w:t xml:space="preserve">, however, presupposes “a credit downgrade of one to two notches” for </w:t>
      </w:r>
      <w:r w:rsidR="00532157">
        <w:rPr>
          <w:lang w:val="en-US"/>
        </w:rPr>
        <w:t xml:space="preserve">PacifiCorp </w:t>
      </w:r>
      <w:r w:rsidR="00FC343C">
        <w:rPr>
          <w:lang w:val="en-US"/>
        </w:rPr>
        <w:t>if the</w:t>
      </w:r>
      <w:r w:rsidR="00FE7A05">
        <w:rPr>
          <w:lang w:val="en-US"/>
        </w:rPr>
        <w:t xml:space="preserve"> hypothetical capital structure</w:t>
      </w:r>
      <w:r w:rsidR="00FC343C">
        <w:rPr>
          <w:lang w:val="en-US"/>
        </w:rPr>
        <w:t xml:space="preserve"> is maintained</w:t>
      </w:r>
      <w:r w:rsidR="00FE7A05">
        <w:rPr>
          <w:lang w:val="en-US"/>
        </w:rPr>
        <w:t>.</w:t>
      </w:r>
      <w:r w:rsidR="00FE7A05" w:rsidRPr="00851324">
        <w:rPr>
          <w:rStyle w:val="FootnoteReference"/>
          <w:u w:val="single"/>
        </w:rPr>
        <w:footnoteReference w:id="38"/>
      </w:r>
      <w:r w:rsidR="00FE7A05">
        <w:rPr>
          <w:vertAlign w:val="superscript"/>
        </w:rPr>
        <w:t>/</w:t>
      </w:r>
      <w:r w:rsidR="00FE7A05">
        <w:rPr>
          <w:lang w:val="en-US"/>
        </w:rPr>
        <w:t xml:space="preserve">  As noted by Mr. Gorman, the Company already enjoys an enviable position in comparison to comparably (or even better) rate</w:t>
      </w:r>
      <w:r w:rsidR="00532157">
        <w:rPr>
          <w:lang w:val="en-US"/>
        </w:rPr>
        <w:t>d utilities</w:t>
      </w:r>
      <w:r w:rsidR="00FE7A05">
        <w:rPr>
          <w:lang w:val="en-US"/>
        </w:rPr>
        <w:t>, thereby obviating the need for any equity adders.</w:t>
      </w:r>
      <w:r w:rsidR="00FE7A05" w:rsidRPr="00851324">
        <w:rPr>
          <w:rStyle w:val="FootnoteReference"/>
          <w:u w:val="single"/>
        </w:rPr>
        <w:footnoteReference w:id="39"/>
      </w:r>
      <w:r w:rsidR="00FE7A05">
        <w:rPr>
          <w:vertAlign w:val="superscript"/>
        </w:rPr>
        <w:t>/</w:t>
      </w:r>
      <w:r w:rsidR="00FE7A05">
        <w:rPr>
          <w:lang w:val="en-US"/>
        </w:rPr>
        <w:t xml:space="preserve">  Moreover, the comparison of Mr. Gorman’s PSE remand testimony to this case is an apples-to-oranges endeavor—</w:t>
      </w:r>
      <w:r w:rsidR="00FC343C" w:rsidRPr="00FC343C">
        <w:rPr>
          <w:u w:val="single"/>
          <w:lang w:val="en-US"/>
        </w:rPr>
        <w:t>e.g.</w:t>
      </w:r>
      <w:r w:rsidR="00FC343C">
        <w:rPr>
          <w:lang w:val="en-US"/>
        </w:rPr>
        <w:t xml:space="preserve">, </w:t>
      </w:r>
      <w:r w:rsidR="00FE7A05">
        <w:rPr>
          <w:lang w:val="en-US"/>
        </w:rPr>
        <w:t>the C</w:t>
      </w:r>
      <w:r w:rsidR="00BA2B89">
        <w:rPr>
          <w:lang w:val="en-US"/>
        </w:rPr>
        <w:t>ompany relegates to a footnote the</w:t>
      </w:r>
      <w:r w:rsidR="00FE7A05">
        <w:rPr>
          <w:lang w:val="en-US"/>
        </w:rPr>
        <w:t xml:space="preserve"> decoupling adjustment that was inextricably tied to Mr. Gorman’s analysis in th</w:t>
      </w:r>
      <w:r w:rsidR="00FC343C">
        <w:rPr>
          <w:lang w:val="en-US"/>
        </w:rPr>
        <w:t>e remand</w:t>
      </w:r>
      <w:r w:rsidR="00FE7A05">
        <w:rPr>
          <w:lang w:val="en-US"/>
        </w:rPr>
        <w:t>.</w:t>
      </w:r>
      <w:r w:rsidR="008E26B5" w:rsidRPr="00851324">
        <w:rPr>
          <w:rStyle w:val="FootnoteReference"/>
          <w:u w:val="single"/>
        </w:rPr>
        <w:footnoteReference w:id="40"/>
      </w:r>
      <w:r w:rsidR="008E26B5">
        <w:rPr>
          <w:vertAlign w:val="superscript"/>
        </w:rPr>
        <w:t>/</w:t>
      </w:r>
      <w:r w:rsidR="00BA2B89">
        <w:rPr>
          <w:lang w:val="en-US"/>
        </w:rPr>
        <w:t xml:space="preserve">  Lastly, c</w:t>
      </w:r>
      <w:r w:rsidR="008E26B5">
        <w:rPr>
          <w:lang w:val="en-US"/>
        </w:rPr>
        <w:t>onsidering the Company’s own guiding principle</w:t>
      </w:r>
      <w:r w:rsidR="00BA2B89">
        <w:rPr>
          <w:lang w:val="en-US"/>
        </w:rPr>
        <w:t>,</w:t>
      </w:r>
      <w:r w:rsidR="008E26B5">
        <w:rPr>
          <w:lang w:val="en-US"/>
        </w:rPr>
        <w:t xml:space="preserve"> that the Commission “may not treat similar situations in dissimilar ways,” the natural corollary </w:t>
      </w:r>
      <w:r w:rsidR="00532157">
        <w:rPr>
          <w:lang w:val="en-US"/>
        </w:rPr>
        <w:t xml:space="preserve">of this principle </w:t>
      </w:r>
      <w:r w:rsidR="008E26B5">
        <w:rPr>
          <w:lang w:val="en-US"/>
        </w:rPr>
        <w:t>would nullify Pacific Power’s argument</w:t>
      </w:r>
      <w:r w:rsidR="000238A5">
        <w:rPr>
          <w:lang w:val="en-US"/>
        </w:rPr>
        <w:t>; that is,</w:t>
      </w:r>
      <w:r w:rsidR="008E26B5">
        <w:rPr>
          <w:lang w:val="en-US"/>
        </w:rPr>
        <w:t xml:space="preserve"> the Commission “may not treat dissimilar situations in similar ways.”</w:t>
      </w:r>
      <w:r w:rsidR="008E26B5" w:rsidRPr="00851324">
        <w:rPr>
          <w:rStyle w:val="FootnoteReference"/>
          <w:u w:val="single"/>
        </w:rPr>
        <w:footnoteReference w:id="41"/>
      </w:r>
      <w:r w:rsidR="008E26B5">
        <w:rPr>
          <w:vertAlign w:val="superscript"/>
        </w:rPr>
        <w:t>/</w:t>
      </w:r>
    </w:p>
    <w:p w:rsidR="00782E02" w:rsidRDefault="00782E02" w:rsidP="00782E02">
      <w:pPr>
        <w:spacing w:after="240"/>
        <w:ind w:left="1440" w:hanging="720"/>
        <w:rPr>
          <w:b/>
        </w:rPr>
      </w:pPr>
      <w:r w:rsidRPr="00782E02">
        <w:rPr>
          <w:b/>
        </w:rPr>
        <w:lastRenderedPageBreak/>
        <w:t>2.</w:t>
      </w:r>
      <w:r w:rsidRPr="00782E02">
        <w:rPr>
          <w:b/>
        </w:rPr>
        <w:tab/>
        <w:t>The Company’s Currently Authorized Capital Structure Should Be Maintained</w:t>
      </w:r>
    </w:p>
    <w:p w:rsidR="000E3EC9" w:rsidRDefault="000E3EC9" w:rsidP="00782E02">
      <w:pPr>
        <w:spacing w:after="240"/>
        <w:ind w:left="1440" w:hanging="720"/>
        <w:rPr>
          <w:b/>
        </w:rPr>
      </w:pPr>
      <w:r>
        <w:rPr>
          <w:b/>
        </w:rPr>
        <w:tab/>
        <w:t>a.</w:t>
      </w:r>
      <w:r>
        <w:rPr>
          <w:b/>
        </w:rPr>
        <w:tab/>
        <w:t>PacifiCorp Equity Levels Will Continue to Decline</w:t>
      </w:r>
    </w:p>
    <w:p w:rsidR="00033854" w:rsidRPr="00033854" w:rsidRDefault="005D536A" w:rsidP="00782E02">
      <w:pPr>
        <w:pStyle w:val="130043Post-hearingBriefParagraph"/>
      </w:pPr>
      <w:r>
        <w:rPr>
          <w:lang w:val="en-US"/>
        </w:rPr>
        <w:tab/>
      </w:r>
      <w:r w:rsidR="00A7005D">
        <w:rPr>
          <w:lang w:val="en-US"/>
        </w:rPr>
        <w:t>Pacific Power claims that its proposed capital structure, including 51.73% common equity, “is consistent w</w:t>
      </w:r>
      <w:r w:rsidR="00900611">
        <w:rPr>
          <w:lang w:val="en-US"/>
        </w:rPr>
        <w:t>ith the equity levels that the C</w:t>
      </w:r>
      <w:r w:rsidR="00A7005D">
        <w:rPr>
          <w:lang w:val="en-US"/>
        </w:rPr>
        <w:t>ompany expects for the foreseeable future.”</w:t>
      </w:r>
      <w:r w:rsidR="00A7005D" w:rsidRPr="00851324">
        <w:rPr>
          <w:rStyle w:val="FootnoteReference"/>
          <w:u w:val="single"/>
        </w:rPr>
        <w:footnoteReference w:id="42"/>
      </w:r>
      <w:r w:rsidR="00A7005D">
        <w:rPr>
          <w:vertAlign w:val="superscript"/>
        </w:rPr>
        <w:t>/</w:t>
      </w:r>
      <w:r w:rsidR="00A7005D">
        <w:rPr>
          <w:lang w:val="en-US"/>
        </w:rPr>
        <w:t xml:space="preserve">  </w:t>
      </w:r>
      <w:r w:rsidR="00517A29">
        <w:rPr>
          <w:lang w:val="en-US"/>
        </w:rPr>
        <w:t xml:space="preserve">The record in this case does not support such a claim.  </w:t>
      </w:r>
      <w:r w:rsidR="008E26B5">
        <w:rPr>
          <w:lang w:val="en-US"/>
        </w:rPr>
        <w:t>The Company agreed at hear</w:t>
      </w:r>
      <w:r w:rsidR="000238A5">
        <w:rPr>
          <w:lang w:val="en-US"/>
        </w:rPr>
        <w:t>ing with Mr. Gorman’s testimony—</w:t>
      </w:r>
      <w:r w:rsidR="000238A5" w:rsidRPr="000238A5">
        <w:rPr>
          <w:u w:val="single"/>
          <w:lang w:val="en-US"/>
        </w:rPr>
        <w:t>i.e.</w:t>
      </w:r>
      <w:r w:rsidR="000238A5">
        <w:rPr>
          <w:lang w:val="en-US"/>
        </w:rPr>
        <w:t xml:space="preserve">, </w:t>
      </w:r>
      <w:r w:rsidR="008E26B5">
        <w:rPr>
          <w:lang w:val="en-US"/>
        </w:rPr>
        <w:t xml:space="preserve">that its equity ratio is being managed toward 50%, and the Company’s present and future dividend payment policy to parent </w:t>
      </w:r>
      <w:r w:rsidR="008E26B5">
        <w:t>Berkshire Hathaway Energy</w:t>
      </w:r>
      <w:r w:rsidR="008E26B5">
        <w:rPr>
          <w:lang w:val="en-US"/>
        </w:rPr>
        <w:t xml:space="preserve"> (</w:t>
      </w:r>
      <w:r w:rsidR="008E26B5">
        <w:t>“BHE”</w:t>
      </w:r>
      <w:r w:rsidR="008E26B5">
        <w:rPr>
          <w:lang w:val="en-US"/>
        </w:rPr>
        <w:t>) virtually guarantees that PacifiCorp will continue to lower its equity ratio</w:t>
      </w:r>
      <w:r w:rsidR="00517A29">
        <w:rPr>
          <w:lang w:val="en-US"/>
        </w:rPr>
        <w:t>.</w:t>
      </w:r>
      <w:r w:rsidR="00033854" w:rsidRPr="00851324">
        <w:rPr>
          <w:rStyle w:val="FootnoteReference"/>
          <w:u w:val="single"/>
        </w:rPr>
        <w:footnoteReference w:id="43"/>
      </w:r>
      <w:r w:rsidR="00033854">
        <w:rPr>
          <w:vertAlign w:val="superscript"/>
        </w:rPr>
        <w:t>/</w:t>
      </w:r>
      <w:r w:rsidR="00517A29">
        <w:rPr>
          <w:lang w:val="en-US"/>
        </w:rPr>
        <w:t xml:space="preserve"> </w:t>
      </w:r>
      <w:r w:rsidR="00033854">
        <w:rPr>
          <w:lang w:val="en-US"/>
        </w:rPr>
        <w:t xml:space="preserve"> </w:t>
      </w:r>
    </w:p>
    <w:p w:rsidR="00782E02" w:rsidRPr="006069B9" w:rsidRDefault="005D536A" w:rsidP="00782E02">
      <w:pPr>
        <w:pStyle w:val="130043Post-hearingBriefParagraph"/>
      </w:pPr>
      <w:r>
        <w:rPr>
          <w:lang w:val="en-US"/>
        </w:rPr>
        <w:tab/>
      </w:r>
      <w:r w:rsidR="00033854">
        <w:rPr>
          <w:lang w:val="en-US"/>
        </w:rPr>
        <w:t>Further, the Commission noted at hearing that rating agency reports</w:t>
      </w:r>
      <w:r w:rsidR="008C605B">
        <w:rPr>
          <w:lang w:val="en-US"/>
        </w:rPr>
        <w:t xml:space="preserve"> state</w:t>
      </w:r>
      <w:r w:rsidR="00033854">
        <w:rPr>
          <w:lang w:val="en-US"/>
        </w:rPr>
        <w:t xml:space="preserve"> that PacifiCorp </w:t>
      </w:r>
      <w:r w:rsidR="008C605B">
        <w:rPr>
          <w:lang w:val="en-US"/>
        </w:rPr>
        <w:t xml:space="preserve">is </w:t>
      </w:r>
      <w:r w:rsidR="00033854">
        <w:rPr>
          <w:lang w:val="en-US"/>
        </w:rPr>
        <w:t xml:space="preserve">expected to “manage the equity to around 50 percent after it had accreted,” </w:t>
      </w:r>
      <w:r w:rsidR="008C605B">
        <w:rPr>
          <w:lang w:val="en-US"/>
        </w:rPr>
        <w:t xml:space="preserve">and that in so doing these reports </w:t>
      </w:r>
      <w:r w:rsidR="00532157">
        <w:rPr>
          <w:lang w:val="en-US"/>
        </w:rPr>
        <w:t>use</w:t>
      </w:r>
      <w:r w:rsidR="00033854">
        <w:rPr>
          <w:lang w:val="en-US"/>
        </w:rPr>
        <w:t xml:space="preserve"> carefully chosen terms which should not be interpreted as “sloppy </w:t>
      </w:r>
      <w:r w:rsidR="000238A5">
        <w:rPr>
          <w:lang w:val="en-US"/>
        </w:rPr>
        <w:t>writing</w:t>
      </w:r>
      <w:r w:rsidR="00033854">
        <w:rPr>
          <w:lang w:val="en-US"/>
        </w:rPr>
        <w:t>.”</w:t>
      </w:r>
      <w:r w:rsidR="00033854" w:rsidRPr="00C820DB">
        <w:rPr>
          <w:rStyle w:val="FootnoteReference"/>
          <w:u w:val="single"/>
        </w:rPr>
        <w:footnoteReference w:id="44"/>
      </w:r>
      <w:r w:rsidR="00033854" w:rsidRPr="00A240F3">
        <w:rPr>
          <w:vertAlign w:val="superscript"/>
        </w:rPr>
        <w:t>/</w:t>
      </w:r>
      <w:r w:rsidR="00033854">
        <w:rPr>
          <w:lang w:val="en-US"/>
        </w:rPr>
        <w:t xml:space="preserve">  In other words, Company witness Mr. Williams’ </w:t>
      </w:r>
      <w:r w:rsidR="008C605B">
        <w:rPr>
          <w:lang w:val="en-US"/>
        </w:rPr>
        <w:t xml:space="preserve">shifting </w:t>
      </w:r>
      <w:r w:rsidR="00033854">
        <w:rPr>
          <w:lang w:val="en-US"/>
        </w:rPr>
        <w:t>rationalization</w:t>
      </w:r>
      <w:r w:rsidR="00607625">
        <w:rPr>
          <w:lang w:val="en-US"/>
        </w:rPr>
        <w:t xml:space="preserve"> is not credible</w:t>
      </w:r>
      <w:r w:rsidR="00033854">
        <w:rPr>
          <w:lang w:val="en-US"/>
        </w:rPr>
        <w:t xml:space="preserve"> that, “I think 51.4, 51.7, at least in my mind, is around 50 percent,”</w:t>
      </w:r>
      <w:r w:rsidR="008C605B" w:rsidRPr="00C820DB">
        <w:rPr>
          <w:rStyle w:val="FootnoteReference"/>
          <w:u w:val="single"/>
        </w:rPr>
        <w:footnoteReference w:id="45"/>
      </w:r>
      <w:r w:rsidR="008C605B" w:rsidRPr="00A240F3">
        <w:rPr>
          <w:vertAlign w:val="superscript"/>
        </w:rPr>
        <w:t>/</w:t>
      </w:r>
      <w:r w:rsidR="008C605B">
        <w:rPr>
          <w:lang w:val="en-US"/>
        </w:rPr>
        <w:t xml:space="preserve"> because it treats the estimate of “around 50 percent” in an overly expansive fashion.  In any event, if one were to treat the reports as sloppy writing in this manner, the Commission’s presently authorized equity ratio of 49.1% is significant</w:t>
      </w:r>
      <w:r w:rsidR="00900611">
        <w:rPr>
          <w:lang w:val="en-US"/>
        </w:rPr>
        <w:t>ly</w:t>
      </w:r>
      <w:r w:rsidR="008C605B">
        <w:rPr>
          <w:lang w:val="en-US"/>
        </w:rPr>
        <w:t xml:space="preserve"> closer to 50% than the figures proposed by Mr. Williams.</w:t>
      </w:r>
      <w:r w:rsidR="008C605B" w:rsidRPr="00C820DB">
        <w:rPr>
          <w:rStyle w:val="FootnoteReference"/>
          <w:u w:val="single"/>
        </w:rPr>
        <w:footnoteReference w:id="46"/>
      </w:r>
      <w:r w:rsidR="008C605B" w:rsidRPr="00A240F3">
        <w:rPr>
          <w:vertAlign w:val="superscript"/>
        </w:rPr>
        <w:t>/</w:t>
      </w:r>
    </w:p>
    <w:p w:rsidR="006069B9" w:rsidRPr="000E3EC9" w:rsidRDefault="006069B9" w:rsidP="006069B9">
      <w:pPr>
        <w:pStyle w:val="130043Post-hearingBriefParagraph"/>
        <w:numPr>
          <w:ilvl w:val="0"/>
          <w:numId w:val="0"/>
        </w:numPr>
      </w:pPr>
    </w:p>
    <w:p w:rsidR="000E3EC9" w:rsidRPr="000E3EC9" w:rsidRDefault="000E3EC9" w:rsidP="000E3EC9">
      <w:pPr>
        <w:spacing w:after="240"/>
        <w:ind w:left="2160" w:hanging="720"/>
        <w:rPr>
          <w:b/>
        </w:rPr>
      </w:pPr>
      <w:r w:rsidRPr="000E3EC9">
        <w:rPr>
          <w:b/>
        </w:rPr>
        <w:lastRenderedPageBreak/>
        <w:t>b.</w:t>
      </w:r>
      <w:r w:rsidRPr="000E3EC9">
        <w:rPr>
          <w:b/>
        </w:rPr>
        <w:tab/>
      </w:r>
      <w:r>
        <w:rPr>
          <w:b/>
        </w:rPr>
        <w:t xml:space="preserve">Company </w:t>
      </w:r>
      <w:r w:rsidRPr="000E3EC9">
        <w:rPr>
          <w:b/>
        </w:rPr>
        <w:t>Attempts to Discredit Mr. Gorman’s Testimony Are Unfounded</w:t>
      </w:r>
    </w:p>
    <w:p w:rsidR="007D6C18" w:rsidRPr="007D6C18" w:rsidRDefault="005D536A" w:rsidP="000E3EC9">
      <w:pPr>
        <w:pStyle w:val="130043Post-hearingBriefParagraph"/>
      </w:pPr>
      <w:r>
        <w:rPr>
          <w:lang w:val="en-US"/>
        </w:rPr>
        <w:tab/>
      </w:r>
      <w:r w:rsidR="000E3EC9">
        <w:rPr>
          <w:lang w:val="en-US"/>
        </w:rPr>
        <w:t xml:space="preserve">Pacific Power </w:t>
      </w:r>
      <w:r w:rsidR="00B66EE4">
        <w:rPr>
          <w:lang w:val="en-US"/>
        </w:rPr>
        <w:t xml:space="preserve">wrongly </w:t>
      </w:r>
      <w:r w:rsidR="000E3EC9">
        <w:rPr>
          <w:lang w:val="en-US"/>
        </w:rPr>
        <w:t>contends that, unlike the 2013 GRC, Mr. Gorman now concedes that the Company’s credit rating is based on actual capitalization, not hypothetical.</w:t>
      </w:r>
      <w:r w:rsidR="000E3EC9" w:rsidRPr="00851324">
        <w:rPr>
          <w:rStyle w:val="FootnoteReference"/>
          <w:u w:val="single"/>
        </w:rPr>
        <w:footnoteReference w:id="47"/>
      </w:r>
      <w:r w:rsidR="000E3EC9">
        <w:rPr>
          <w:vertAlign w:val="superscript"/>
        </w:rPr>
        <w:t>/</w:t>
      </w:r>
      <w:r w:rsidR="000E3EC9">
        <w:rPr>
          <w:lang w:val="en-US"/>
        </w:rPr>
        <w:t xml:space="preserve">  </w:t>
      </w:r>
      <w:r w:rsidR="005869C1">
        <w:rPr>
          <w:lang w:val="en-US"/>
        </w:rPr>
        <w:t>To begin, this allegation is completely inaccurate, given that Mr. Gorman testified at hearing that credit analysts know and understand that hypothetical capital structures are used by regulatory agencies.</w:t>
      </w:r>
      <w:r w:rsidR="005869C1" w:rsidRPr="00C820DB">
        <w:rPr>
          <w:rStyle w:val="FootnoteReference"/>
          <w:u w:val="single"/>
        </w:rPr>
        <w:footnoteReference w:id="48"/>
      </w:r>
      <w:r w:rsidR="005869C1" w:rsidRPr="00A240F3">
        <w:rPr>
          <w:vertAlign w:val="superscript"/>
        </w:rPr>
        <w:t>/</w:t>
      </w:r>
      <w:r w:rsidR="005869C1">
        <w:rPr>
          <w:lang w:val="en-US"/>
        </w:rPr>
        <w:t xml:space="preserve">  Nevertheless, i</w:t>
      </w:r>
      <w:r w:rsidR="000E3EC9">
        <w:rPr>
          <w:lang w:val="en-US"/>
        </w:rPr>
        <w:t>n support of this er</w:t>
      </w:r>
      <w:r w:rsidR="005869C1">
        <w:rPr>
          <w:lang w:val="en-US"/>
        </w:rPr>
        <w:t>roneous claim, the C</w:t>
      </w:r>
      <w:r w:rsidR="000E3EC9">
        <w:rPr>
          <w:lang w:val="en-US"/>
        </w:rPr>
        <w:t>ompany cites to a portion of Mr. Gorman’s testimony in the last Utah rate case.</w:t>
      </w:r>
      <w:r w:rsidR="000E3EC9" w:rsidRPr="00851324">
        <w:rPr>
          <w:rStyle w:val="FootnoteReference"/>
          <w:u w:val="single"/>
        </w:rPr>
        <w:footnoteReference w:id="49"/>
      </w:r>
      <w:r w:rsidR="000E3EC9">
        <w:rPr>
          <w:vertAlign w:val="superscript"/>
        </w:rPr>
        <w:t>/</w:t>
      </w:r>
      <w:r w:rsidR="000E3EC9">
        <w:rPr>
          <w:lang w:val="en-US"/>
        </w:rPr>
        <w:t xml:space="preserve"> </w:t>
      </w:r>
      <w:r w:rsidR="003710D0">
        <w:rPr>
          <w:lang w:val="en-US"/>
        </w:rPr>
        <w:t xml:space="preserve"> As Mr. Gorman testified at hearing—and as the Company is fully aware—Utah uses actual capital structure to set the overall rate of return, such that it was appropriate for Mr. Gorman to present his recommendations there consistent with the general practice of Utah.</w:t>
      </w:r>
      <w:r w:rsidR="003710D0" w:rsidRPr="00C820DB">
        <w:rPr>
          <w:rStyle w:val="FootnoteReference"/>
          <w:u w:val="single"/>
        </w:rPr>
        <w:footnoteReference w:id="50"/>
      </w:r>
      <w:r w:rsidR="003710D0" w:rsidRPr="00A240F3">
        <w:rPr>
          <w:vertAlign w:val="superscript"/>
        </w:rPr>
        <w:t>/</w:t>
      </w:r>
      <w:r w:rsidR="00B66EE4">
        <w:rPr>
          <w:lang w:val="en-US"/>
        </w:rPr>
        <w:t xml:space="preserve">  </w:t>
      </w:r>
    </w:p>
    <w:p w:rsidR="000E3EC9" w:rsidRPr="001C6401" w:rsidRDefault="005D536A" w:rsidP="000E3EC9">
      <w:pPr>
        <w:pStyle w:val="130043Post-hearingBriefParagraph"/>
      </w:pPr>
      <w:r>
        <w:rPr>
          <w:lang w:val="en-US"/>
        </w:rPr>
        <w:tab/>
      </w:r>
      <w:r w:rsidR="00B66EE4">
        <w:rPr>
          <w:lang w:val="en-US"/>
        </w:rPr>
        <w:t>No</w:t>
      </w:r>
      <w:r w:rsidR="00F20991">
        <w:rPr>
          <w:lang w:val="en-US"/>
        </w:rPr>
        <w:t>netheless</w:t>
      </w:r>
      <w:r w:rsidR="00B66EE4">
        <w:rPr>
          <w:lang w:val="en-US"/>
        </w:rPr>
        <w:t xml:space="preserve">, </w:t>
      </w:r>
      <w:r w:rsidR="00F20991">
        <w:rPr>
          <w:lang w:val="en-US"/>
        </w:rPr>
        <w:t>in Utah</w:t>
      </w:r>
      <w:r w:rsidR="005015CC">
        <w:rPr>
          <w:lang w:val="en-US"/>
        </w:rPr>
        <w:t>,</w:t>
      </w:r>
      <w:r w:rsidR="00F20991">
        <w:rPr>
          <w:lang w:val="en-US"/>
        </w:rPr>
        <w:t xml:space="preserve"> </w:t>
      </w:r>
      <w:r w:rsidR="00B66EE4">
        <w:rPr>
          <w:lang w:val="en-US"/>
        </w:rPr>
        <w:t>Mr. Gorman recommended a 9.4% ROE in conjunction with the Company’s proposed capital structure, an ROE which would “preserve the Company’s financial integrity and credit standing.”</w:t>
      </w:r>
      <w:r w:rsidR="00B66EE4" w:rsidRPr="00851324">
        <w:rPr>
          <w:rStyle w:val="FootnoteReference"/>
          <w:u w:val="single"/>
        </w:rPr>
        <w:footnoteReference w:id="51"/>
      </w:r>
      <w:r w:rsidR="00B66EE4" w:rsidRPr="00461D55">
        <w:rPr>
          <w:vertAlign w:val="superscript"/>
        </w:rPr>
        <w:t>/</w:t>
      </w:r>
      <w:r w:rsidR="00B66EE4">
        <w:rPr>
          <w:lang w:val="en-US"/>
        </w:rPr>
        <w:t xml:space="preserve">  Mr. Gorman did not testify that the Company’s credit rating is </w:t>
      </w:r>
      <w:r w:rsidR="00532157">
        <w:rPr>
          <w:lang w:val="en-US"/>
        </w:rPr>
        <w:t xml:space="preserve">based </w:t>
      </w:r>
      <w:r w:rsidR="00B66EE4">
        <w:rPr>
          <w:lang w:val="en-US"/>
        </w:rPr>
        <w:t>simply upon actual capital structure, as the Company wrongly implies.</w:t>
      </w:r>
      <w:r w:rsidR="007D6C18">
        <w:rPr>
          <w:lang w:val="en-US"/>
        </w:rPr>
        <w:t xml:space="preserve">  Similarly, it is misleading for the Company to argue that the Commission’s use of a hypothetical capital structure is met with disapprobation by the investment community.</w:t>
      </w:r>
      <w:r w:rsidR="007D6C18" w:rsidRPr="00851324">
        <w:rPr>
          <w:rStyle w:val="FootnoteReference"/>
          <w:u w:val="single"/>
        </w:rPr>
        <w:footnoteReference w:id="52"/>
      </w:r>
      <w:r w:rsidR="007D6C18">
        <w:rPr>
          <w:vertAlign w:val="superscript"/>
        </w:rPr>
        <w:t>/</w:t>
      </w:r>
      <w:r w:rsidR="007D6C18">
        <w:rPr>
          <w:lang w:val="en-US"/>
        </w:rPr>
        <w:t xml:space="preserve">  The Company itself acknowledges that PacifiCorp has maintained an A minus credit rating despite years of </w:t>
      </w:r>
      <w:r w:rsidR="000C549B">
        <w:rPr>
          <w:lang w:val="en-US"/>
        </w:rPr>
        <w:t xml:space="preserve">equity </w:t>
      </w:r>
      <w:r w:rsidR="007D6C18">
        <w:rPr>
          <w:lang w:val="en-US"/>
        </w:rPr>
        <w:t xml:space="preserve">variance, including periods in which the Commission has established </w:t>
      </w:r>
      <w:r w:rsidR="007D6C18" w:rsidRPr="005869C1">
        <w:rPr>
          <w:i/>
          <w:lang w:val="en-US"/>
        </w:rPr>
        <w:t>excess</w:t>
      </w:r>
      <w:r w:rsidR="007D6C18">
        <w:rPr>
          <w:lang w:val="en-US"/>
        </w:rPr>
        <w:t xml:space="preserve"> equity.</w:t>
      </w:r>
      <w:r w:rsidR="005869C1" w:rsidRPr="00851324">
        <w:rPr>
          <w:rStyle w:val="FootnoteReference"/>
          <w:u w:val="single"/>
        </w:rPr>
        <w:footnoteReference w:id="53"/>
      </w:r>
      <w:r w:rsidR="005869C1">
        <w:rPr>
          <w:vertAlign w:val="superscript"/>
        </w:rPr>
        <w:t>/</w:t>
      </w:r>
    </w:p>
    <w:p w:rsidR="000C549B" w:rsidRPr="000C549B" w:rsidRDefault="005D536A" w:rsidP="000E3EC9">
      <w:pPr>
        <w:pStyle w:val="130043Post-hearingBriefParagraph"/>
      </w:pPr>
      <w:r>
        <w:rPr>
          <w:lang w:val="en-US"/>
        </w:rPr>
        <w:lastRenderedPageBreak/>
        <w:tab/>
      </w:r>
      <w:r w:rsidR="001C6401">
        <w:rPr>
          <w:lang w:val="en-US"/>
        </w:rPr>
        <w:t>Pacific Power claims that it is “too simplistic” for Mr. Gorman to contend that PacifiCorp will not su</w:t>
      </w:r>
      <w:r w:rsidR="000C549B">
        <w:rPr>
          <w:lang w:val="en-US"/>
        </w:rPr>
        <w:t xml:space="preserve">ffer a ratings downgrade, with the Company arguing that </w:t>
      </w:r>
      <w:r w:rsidR="001C6401">
        <w:rPr>
          <w:lang w:val="en-US"/>
        </w:rPr>
        <w:t xml:space="preserve">its debt ratio is already lower than comparable utilities, </w:t>
      </w:r>
      <w:r w:rsidR="000C549B">
        <w:rPr>
          <w:lang w:val="en-US"/>
        </w:rPr>
        <w:t>and</w:t>
      </w:r>
      <w:r w:rsidR="001C6401">
        <w:rPr>
          <w:lang w:val="en-US"/>
        </w:rPr>
        <w:t xml:space="preserve"> reasoning that such comparisons “are not even used by S&amp;P.”</w:t>
      </w:r>
      <w:r w:rsidR="001C6401" w:rsidRPr="00851324">
        <w:rPr>
          <w:rStyle w:val="FootnoteReference"/>
          <w:u w:val="single"/>
        </w:rPr>
        <w:footnoteReference w:id="54"/>
      </w:r>
      <w:r w:rsidR="001C6401">
        <w:rPr>
          <w:vertAlign w:val="superscript"/>
        </w:rPr>
        <w:t>/</w:t>
      </w:r>
      <w:r w:rsidR="001C6401">
        <w:rPr>
          <w:lang w:val="en-US"/>
        </w:rPr>
        <w:t xml:space="preserve">  The record</w:t>
      </w:r>
      <w:r w:rsidR="001C6401" w:rsidRPr="001C6401">
        <w:rPr>
          <w:lang w:val="en-US"/>
        </w:rPr>
        <w:t xml:space="preserve"> </w:t>
      </w:r>
      <w:r w:rsidR="001C6401">
        <w:rPr>
          <w:lang w:val="en-US"/>
        </w:rPr>
        <w:t>refutes th</w:t>
      </w:r>
      <w:r w:rsidR="000C549B">
        <w:rPr>
          <w:lang w:val="en-US"/>
        </w:rPr>
        <w:t>ese claims, however</w:t>
      </w:r>
      <w:r w:rsidR="001C6401">
        <w:rPr>
          <w:lang w:val="en-US"/>
        </w:rPr>
        <w:t xml:space="preserve">, including material in the Company’s own filings.  </w:t>
      </w:r>
    </w:p>
    <w:p w:rsidR="001C6401" w:rsidRPr="00252109" w:rsidRDefault="005D536A" w:rsidP="000E3EC9">
      <w:pPr>
        <w:pStyle w:val="130043Post-hearingBriefParagraph"/>
      </w:pPr>
      <w:r>
        <w:rPr>
          <w:lang w:val="en-US"/>
        </w:rPr>
        <w:tab/>
      </w:r>
      <w:r w:rsidR="001C6401">
        <w:rPr>
          <w:lang w:val="en-US"/>
        </w:rPr>
        <w:t xml:space="preserve">Mr. Gorman noted both at hearing and in testimony that S&amp;P </w:t>
      </w:r>
      <w:r w:rsidR="00BD3BA3">
        <w:rPr>
          <w:lang w:val="en-US"/>
        </w:rPr>
        <w:t>credit reports have recognized the current and foreseeable decline in equity (and corresponding increase in debt) caused by PacifiCorp’s</w:t>
      </w:r>
      <w:r w:rsidR="000C549B">
        <w:rPr>
          <w:lang w:val="en-US"/>
        </w:rPr>
        <w:t xml:space="preserve"> dividend payment policy to BHE;</w:t>
      </w:r>
      <w:r w:rsidR="00BD3BA3">
        <w:rPr>
          <w:lang w:val="en-US"/>
        </w:rPr>
        <w:t xml:space="preserve"> and</w:t>
      </w:r>
      <w:r w:rsidR="000C549B">
        <w:rPr>
          <w:lang w:val="en-US"/>
        </w:rPr>
        <w:t>,</w:t>
      </w:r>
      <w:r w:rsidR="00BD3BA3">
        <w:rPr>
          <w:lang w:val="en-US"/>
        </w:rPr>
        <w:t xml:space="preserve"> that by maintaining a stable rating outlook for the Company</w:t>
      </w:r>
      <w:r w:rsidR="00D64F1E">
        <w:rPr>
          <w:lang w:val="en-US"/>
        </w:rPr>
        <w:t>,</w:t>
      </w:r>
      <w:r w:rsidR="00BD3BA3">
        <w:rPr>
          <w:lang w:val="en-US"/>
        </w:rPr>
        <w:t xml:space="preserve"> S&amp;P appears unconcerned by such increasing debt and the significant movement toward hypothetical levels in equity.</w:t>
      </w:r>
      <w:r w:rsidR="00BD3BA3" w:rsidRPr="00C820DB">
        <w:rPr>
          <w:rStyle w:val="FootnoteReference"/>
          <w:u w:val="single"/>
        </w:rPr>
        <w:footnoteReference w:id="55"/>
      </w:r>
      <w:r w:rsidR="00BD3BA3" w:rsidRPr="00A240F3">
        <w:rPr>
          <w:vertAlign w:val="superscript"/>
        </w:rPr>
        <w:t>/</w:t>
      </w:r>
      <w:r w:rsidR="00BD3BA3">
        <w:rPr>
          <w:lang w:val="en-US"/>
        </w:rPr>
        <w:t xml:space="preserve">  </w:t>
      </w:r>
      <w:r w:rsidR="001C6401">
        <w:rPr>
          <w:lang w:val="en-US"/>
        </w:rPr>
        <w:t>A</w:t>
      </w:r>
      <w:r w:rsidR="00BD3BA3">
        <w:rPr>
          <w:lang w:val="en-US"/>
        </w:rPr>
        <w:t>l</w:t>
      </w:r>
      <w:r w:rsidR="001C6401">
        <w:rPr>
          <w:lang w:val="en-US"/>
        </w:rPr>
        <w:t>s</w:t>
      </w:r>
      <w:r w:rsidR="00BD3BA3">
        <w:rPr>
          <w:lang w:val="en-US"/>
        </w:rPr>
        <w:t>o, as</w:t>
      </w:r>
      <w:r w:rsidR="001C6401">
        <w:rPr>
          <w:lang w:val="en-US"/>
        </w:rPr>
        <w:t xml:space="preserve"> noted by the Commission at hearing, Mr. Williams filed </w:t>
      </w:r>
      <w:r w:rsidR="00BD3BA3">
        <w:rPr>
          <w:lang w:val="en-US"/>
        </w:rPr>
        <w:t>a credit report from Moody’s</w:t>
      </w:r>
      <w:r w:rsidR="001C6401">
        <w:rPr>
          <w:lang w:val="en-US"/>
        </w:rPr>
        <w:t xml:space="preserve"> as an exhibit to his direct testimony, </w:t>
      </w:r>
      <w:r w:rsidR="00BD3BA3">
        <w:rPr>
          <w:lang w:val="en-US"/>
        </w:rPr>
        <w:t xml:space="preserve">in which carefully chosen wording </w:t>
      </w:r>
      <w:r w:rsidR="00E13A89">
        <w:rPr>
          <w:lang w:val="en-US"/>
        </w:rPr>
        <w:t xml:space="preserve">from the agency </w:t>
      </w:r>
      <w:r w:rsidR="00BD3BA3">
        <w:rPr>
          <w:lang w:val="en-US"/>
        </w:rPr>
        <w:t xml:space="preserve">signified that </w:t>
      </w:r>
      <w:r w:rsidR="00E13A89">
        <w:rPr>
          <w:lang w:val="en-US"/>
        </w:rPr>
        <w:t>PacifiCorp would be managing its equity to around 50% after it had accreted to a level that was “too high.”</w:t>
      </w:r>
      <w:r w:rsidR="00E13A89" w:rsidRPr="00C820DB">
        <w:rPr>
          <w:rStyle w:val="FootnoteReference"/>
          <w:u w:val="single"/>
        </w:rPr>
        <w:footnoteReference w:id="56"/>
      </w:r>
      <w:r w:rsidR="00E13A89" w:rsidRPr="00A240F3">
        <w:rPr>
          <w:vertAlign w:val="superscript"/>
        </w:rPr>
        <w:t>/</w:t>
      </w:r>
    </w:p>
    <w:p w:rsidR="00252109" w:rsidRPr="00901A17" w:rsidRDefault="005D536A" w:rsidP="000E3EC9">
      <w:pPr>
        <w:pStyle w:val="130043Post-hearingBriefParagraph"/>
      </w:pPr>
      <w:r>
        <w:rPr>
          <w:lang w:val="en-US"/>
        </w:rPr>
        <w:tab/>
      </w:r>
      <w:r w:rsidR="00252109">
        <w:rPr>
          <w:lang w:val="en-US"/>
        </w:rPr>
        <w:t>The Company’s attempt to discredit Mr. Gorman</w:t>
      </w:r>
      <w:r w:rsidR="00231F76">
        <w:rPr>
          <w:lang w:val="en-US"/>
        </w:rPr>
        <w:t>,</w:t>
      </w:r>
      <w:r w:rsidR="00252109">
        <w:rPr>
          <w:lang w:val="en-US"/>
        </w:rPr>
        <w:t xml:space="preserve"> based on a proposed 50% equity cap </w:t>
      </w:r>
      <w:r w:rsidR="005957AE">
        <w:rPr>
          <w:lang w:val="en-US"/>
        </w:rPr>
        <w:t>before</w:t>
      </w:r>
      <w:r w:rsidR="00D64F1E">
        <w:rPr>
          <w:lang w:val="en-US"/>
        </w:rPr>
        <w:t xml:space="preserve"> </w:t>
      </w:r>
      <w:r w:rsidR="00252109">
        <w:rPr>
          <w:lang w:val="en-US"/>
        </w:rPr>
        <w:t>FERC</w:t>
      </w:r>
      <w:r w:rsidR="00231F76">
        <w:rPr>
          <w:lang w:val="en-US"/>
        </w:rPr>
        <w:t>,</w:t>
      </w:r>
      <w:r w:rsidR="00252109">
        <w:rPr>
          <w:lang w:val="en-US"/>
        </w:rPr>
        <w:t xml:space="preserve"> is </w:t>
      </w:r>
      <w:r w:rsidR="00231F76">
        <w:rPr>
          <w:lang w:val="en-US"/>
        </w:rPr>
        <w:t xml:space="preserve">also </w:t>
      </w:r>
      <w:r w:rsidR="005957AE">
        <w:rPr>
          <w:lang w:val="en-US"/>
        </w:rPr>
        <w:t>unfounded.</w:t>
      </w:r>
      <w:r w:rsidR="005957AE" w:rsidRPr="00851324">
        <w:rPr>
          <w:rStyle w:val="FootnoteReference"/>
          <w:u w:val="single"/>
        </w:rPr>
        <w:footnoteReference w:id="57"/>
      </w:r>
      <w:r w:rsidR="005957AE">
        <w:rPr>
          <w:vertAlign w:val="superscript"/>
        </w:rPr>
        <w:t>/</w:t>
      </w:r>
      <w:r w:rsidR="005957AE">
        <w:rPr>
          <w:lang w:val="en-US"/>
        </w:rPr>
        <w:t xml:space="preserve">  First, the Company quotes FERC for a principle which undercuts Pacific Power’s own maxim that “the Commission should strive for equality of treatment</w:t>
      </w:r>
      <w:r w:rsidR="00E96F78">
        <w:rPr>
          <w:lang w:val="en-US"/>
        </w:rPr>
        <w:t>.</w:t>
      </w:r>
      <w:r w:rsidR="005957AE">
        <w:rPr>
          <w:lang w:val="en-US"/>
        </w:rPr>
        <w:t>”</w:t>
      </w:r>
      <w:r w:rsidR="005957AE" w:rsidRPr="00851324">
        <w:rPr>
          <w:rStyle w:val="FootnoteReference"/>
          <w:u w:val="single"/>
        </w:rPr>
        <w:footnoteReference w:id="58"/>
      </w:r>
      <w:r w:rsidR="005957AE">
        <w:rPr>
          <w:vertAlign w:val="superscript"/>
        </w:rPr>
        <w:t>/</w:t>
      </w:r>
      <w:r w:rsidR="005957AE">
        <w:rPr>
          <w:lang w:val="en-US"/>
        </w:rPr>
        <w:t xml:space="preserve">  </w:t>
      </w:r>
      <w:r w:rsidR="00231F76">
        <w:rPr>
          <w:lang w:val="en-US"/>
        </w:rPr>
        <w:t>Specifically</w:t>
      </w:r>
      <w:r w:rsidR="00E96F78">
        <w:rPr>
          <w:lang w:val="en-US"/>
        </w:rPr>
        <w:t xml:space="preserve">, FERC concluded:  “it is reasonable to assume that individual utilities are subject to different risk factors, have different investment needs, and may pursue different </w:t>
      </w:r>
      <w:r w:rsidR="00E96F78">
        <w:rPr>
          <w:lang w:val="en-US"/>
        </w:rPr>
        <w:lastRenderedPageBreak/>
        <w:t>business strategies, all of which could affect capitalization decisions.”</w:t>
      </w:r>
      <w:r w:rsidR="00E96F78" w:rsidRPr="00851324">
        <w:rPr>
          <w:rStyle w:val="FootnoteReference"/>
          <w:u w:val="single"/>
        </w:rPr>
        <w:footnoteReference w:id="59"/>
      </w:r>
      <w:r w:rsidR="00E96F78">
        <w:rPr>
          <w:vertAlign w:val="superscript"/>
        </w:rPr>
        <w:t>/</w:t>
      </w:r>
      <w:r w:rsidR="005957AE">
        <w:rPr>
          <w:lang w:val="en-US"/>
        </w:rPr>
        <w:t xml:space="preserve"> </w:t>
      </w:r>
      <w:r w:rsidR="00E96F78">
        <w:rPr>
          <w:lang w:val="en-US"/>
        </w:rPr>
        <w:t xml:space="preserve"> Moreover, the FERC principle also undercuts the Company’s argument for a high equity ratio</w:t>
      </w:r>
      <w:r w:rsidR="00D64F1E">
        <w:rPr>
          <w:lang w:val="en-US"/>
        </w:rPr>
        <w:t>,</w:t>
      </w:r>
      <w:r w:rsidR="00E96F78">
        <w:rPr>
          <w:lang w:val="en-US"/>
        </w:rPr>
        <w:t xml:space="preserve"> based upon repeated comparisons to other </w:t>
      </w:r>
      <w:r w:rsidR="00901A17">
        <w:rPr>
          <w:lang w:val="en-US"/>
        </w:rPr>
        <w:t>utilities with ratios above 49.1%.</w:t>
      </w:r>
      <w:r w:rsidR="00901A17" w:rsidRPr="00851324">
        <w:rPr>
          <w:rStyle w:val="FootnoteReference"/>
          <w:u w:val="single"/>
        </w:rPr>
        <w:footnoteReference w:id="60"/>
      </w:r>
      <w:r w:rsidR="00901A17">
        <w:rPr>
          <w:vertAlign w:val="superscript"/>
        </w:rPr>
        <w:t>/</w:t>
      </w:r>
    </w:p>
    <w:p w:rsidR="00901A17" w:rsidRPr="008D6611" w:rsidRDefault="005D536A" w:rsidP="000E3EC9">
      <w:pPr>
        <w:pStyle w:val="130043Post-hearingBriefParagraph"/>
      </w:pPr>
      <w:r>
        <w:rPr>
          <w:lang w:val="en-US"/>
        </w:rPr>
        <w:tab/>
      </w:r>
      <w:r w:rsidR="00901A17">
        <w:rPr>
          <w:lang w:val="en-US"/>
        </w:rPr>
        <w:t xml:space="preserve">In any event, </w:t>
      </w:r>
      <w:r w:rsidR="00634480">
        <w:rPr>
          <w:lang w:val="en-US"/>
        </w:rPr>
        <w:t xml:space="preserve">at hearing </w:t>
      </w:r>
      <w:r w:rsidR="005015CC">
        <w:rPr>
          <w:lang w:val="en-US"/>
        </w:rPr>
        <w:t xml:space="preserve">Public Counsel witness </w:t>
      </w:r>
      <w:r w:rsidR="00634480">
        <w:rPr>
          <w:lang w:val="en-US"/>
        </w:rPr>
        <w:t xml:space="preserve">Mr. Hill explained </w:t>
      </w:r>
      <w:r w:rsidR="00901A17">
        <w:rPr>
          <w:lang w:val="en-US"/>
        </w:rPr>
        <w:t xml:space="preserve">the Company’s misplaced reliance on FERC’s equity principles </w:t>
      </w:r>
      <w:r w:rsidR="004A7563">
        <w:rPr>
          <w:lang w:val="en-US"/>
        </w:rPr>
        <w:t xml:space="preserve">to discredit Mr. Gorman.  Mr. Hill pointed out that FERC has created a significant problem by failing to constrain equity ratios, allowing </w:t>
      </w:r>
      <w:r w:rsidR="00926415">
        <w:rPr>
          <w:lang w:val="en-US"/>
        </w:rPr>
        <w:t xml:space="preserve">ROEs of </w:t>
      </w:r>
      <w:r w:rsidR="004A7563">
        <w:rPr>
          <w:lang w:val="en-US"/>
        </w:rPr>
        <w:t>up to 60% and harming ratepayers considerably through inflated rates.</w:t>
      </w:r>
      <w:r w:rsidR="004A7563" w:rsidRPr="00C820DB">
        <w:rPr>
          <w:rStyle w:val="FootnoteReference"/>
          <w:u w:val="single"/>
        </w:rPr>
        <w:footnoteReference w:id="61"/>
      </w:r>
      <w:r w:rsidR="004A7563" w:rsidRPr="00A240F3">
        <w:rPr>
          <w:vertAlign w:val="superscript"/>
        </w:rPr>
        <w:t>/</w:t>
      </w:r>
      <w:r w:rsidR="004A7563">
        <w:rPr>
          <w:lang w:val="en-US"/>
        </w:rPr>
        <w:t xml:space="preserve">  More specifically, FERC has essentially allowed companies to set their own rates by simply relying on book value capital structures, rather than prescribing limits to the upper en</w:t>
      </w:r>
      <w:r w:rsidR="00D64F1E">
        <w:rPr>
          <w:lang w:val="en-US"/>
        </w:rPr>
        <w:t>d of capital structures as the C</w:t>
      </w:r>
      <w:r w:rsidR="004A7563">
        <w:rPr>
          <w:lang w:val="en-US"/>
        </w:rPr>
        <w:t>ommission does in Washington, and as Mr. Gorman advocated for with FERC.</w:t>
      </w:r>
      <w:r w:rsidR="004E6B13" w:rsidRPr="00C820DB">
        <w:rPr>
          <w:rStyle w:val="FootnoteReference"/>
          <w:u w:val="single"/>
        </w:rPr>
        <w:footnoteReference w:id="62"/>
      </w:r>
      <w:r w:rsidR="004E6B13" w:rsidRPr="00A240F3">
        <w:rPr>
          <w:vertAlign w:val="superscript"/>
        </w:rPr>
        <w:t>/</w:t>
      </w:r>
    </w:p>
    <w:p w:rsidR="008D6611" w:rsidRPr="00782E02" w:rsidRDefault="005D536A" w:rsidP="000E3EC9">
      <w:pPr>
        <w:pStyle w:val="130043Post-hearingBriefParagraph"/>
      </w:pPr>
      <w:r>
        <w:rPr>
          <w:lang w:val="en-US"/>
        </w:rPr>
        <w:tab/>
      </w:r>
      <w:r w:rsidR="008D6611">
        <w:rPr>
          <w:lang w:val="en-US"/>
        </w:rPr>
        <w:t xml:space="preserve">Finally, there is no basis for adoption of hypothetical debt costs in conjunction with a continuation of hypothetical capital structure.  The Company again bases </w:t>
      </w:r>
      <w:r w:rsidR="006C5598">
        <w:rPr>
          <w:lang w:val="en-US"/>
        </w:rPr>
        <w:t>such a request</w:t>
      </w:r>
      <w:r w:rsidR="008D6611">
        <w:rPr>
          <w:lang w:val="en-US"/>
        </w:rPr>
        <w:t xml:space="preserve"> on the unsubstantiated claim that credit agencies will downgrade PacifiCorp if the Commission maintains the hypothetical capital structure.</w:t>
      </w:r>
      <w:r w:rsidR="008D6611" w:rsidRPr="00851324">
        <w:rPr>
          <w:rStyle w:val="FootnoteReference"/>
          <w:u w:val="single"/>
        </w:rPr>
        <w:footnoteReference w:id="63"/>
      </w:r>
      <w:r w:rsidR="008D6611">
        <w:rPr>
          <w:vertAlign w:val="superscript"/>
        </w:rPr>
        <w:t>/</w:t>
      </w:r>
      <w:r w:rsidR="008D6611">
        <w:rPr>
          <w:lang w:val="en-US"/>
        </w:rPr>
        <w:t xml:space="preserve">  As Mr. Gorman testified at hearing, however, credit analysts know and understand about regulatory use of hypothetical capital structures,</w:t>
      </w:r>
      <w:r w:rsidR="008D6611" w:rsidRPr="00C820DB">
        <w:rPr>
          <w:rStyle w:val="FootnoteReference"/>
          <w:u w:val="single"/>
        </w:rPr>
        <w:footnoteReference w:id="64"/>
      </w:r>
      <w:r w:rsidR="008D6611" w:rsidRPr="00A240F3">
        <w:rPr>
          <w:vertAlign w:val="superscript"/>
        </w:rPr>
        <w:t>/</w:t>
      </w:r>
      <w:r w:rsidR="008D6611">
        <w:rPr>
          <w:lang w:val="en-US"/>
        </w:rPr>
        <w:t xml:space="preserve">  and the Company’s rating has been stable for years despite hypothetical equity ratios </w:t>
      </w:r>
      <w:r w:rsidR="006C5598">
        <w:rPr>
          <w:lang w:val="en-US"/>
        </w:rPr>
        <w:t xml:space="preserve">being </w:t>
      </w:r>
      <w:r w:rsidR="008D6611">
        <w:rPr>
          <w:lang w:val="en-US"/>
        </w:rPr>
        <w:t>set both over and below actual levels.</w:t>
      </w:r>
      <w:r w:rsidR="008D6611" w:rsidRPr="00851324">
        <w:rPr>
          <w:rStyle w:val="FootnoteReference"/>
          <w:u w:val="single"/>
        </w:rPr>
        <w:footnoteReference w:id="65"/>
      </w:r>
      <w:r w:rsidR="008D6611">
        <w:rPr>
          <w:vertAlign w:val="superscript"/>
        </w:rPr>
        <w:t>/</w:t>
      </w:r>
    </w:p>
    <w:p w:rsidR="00DB4FE9" w:rsidRPr="00EB433E" w:rsidRDefault="00B45281" w:rsidP="002016E8">
      <w:pPr>
        <w:keepNext/>
        <w:numPr>
          <w:ilvl w:val="1"/>
          <w:numId w:val="18"/>
        </w:numPr>
        <w:spacing w:after="240"/>
        <w:ind w:left="1440"/>
        <w:rPr>
          <w:b/>
        </w:rPr>
      </w:pPr>
      <w:r>
        <w:rPr>
          <w:b/>
        </w:rPr>
        <w:lastRenderedPageBreak/>
        <w:t xml:space="preserve">A Washington Jurisdictional Rate of Return </w:t>
      </w:r>
      <w:r w:rsidR="00D041D3">
        <w:rPr>
          <w:b/>
        </w:rPr>
        <w:t xml:space="preserve">(“ROR”) </w:t>
      </w:r>
      <w:r>
        <w:rPr>
          <w:b/>
        </w:rPr>
        <w:t>of 7.20</w:t>
      </w:r>
      <w:r w:rsidR="000A3E7C">
        <w:rPr>
          <w:b/>
        </w:rPr>
        <w:t>%</w:t>
      </w:r>
      <w:r w:rsidR="0016218F">
        <w:rPr>
          <w:b/>
        </w:rPr>
        <w:t xml:space="preserve"> Adequately Supports </w:t>
      </w:r>
      <w:r w:rsidR="00172649">
        <w:rPr>
          <w:b/>
        </w:rPr>
        <w:t>PacifiCorp</w:t>
      </w:r>
      <w:r w:rsidR="00DB4FE9">
        <w:rPr>
          <w:b/>
        </w:rPr>
        <w:t>’s Investment Bond Rating</w:t>
      </w:r>
    </w:p>
    <w:p w:rsidR="00B45281" w:rsidRPr="00B45281" w:rsidRDefault="005D536A" w:rsidP="002016E8">
      <w:pPr>
        <w:pStyle w:val="WUTCParagraph"/>
      </w:pPr>
      <w:r>
        <w:rPr>
          <w:lang w:val="en-US"/>
        </w:rPr>
        <w:tab/>
      </w:r>
      <w:r w:rsidR="00323295">
        <w:t>Mr. Gorman demonstrates that a</w:t>
      </w:r>
      <w:r w:rsidR="00D041D3">
        <w:rPr>
          <w:lang w:val="en-US"/>
        </w:rPr>
        <w:t xml:space="preserve">n </w:t>
      </w:r>
      <w:r w:rsidR="00DB4FE9">
        <w:t>ROR</w:t>
      </w:r>
      <w:r w:rsidR="00B45281">
        <w:t xml:space="preserve"> of approximately 7.2</w:t>
      </w:r>
      <w:r w:rsidR="00B45281">
        <w:rPr>
          <w:lang w:val="en-US"/>
        </w:rPr>
        <w:t>0</w:t>
      </w:r>
      <w:r w:rsidR="00B45281">
        <w:t xml:space="preserve">% will support </w:t>
      </w:r>
      <w:r w:rsidR="00172649">
        <w:rPr>
          <w:lang w:val="en-US"/>
        </w:rPr>
        <w:t>PacifiCorp</w:t>
      </w:r>
      <w:r w:rsidR="00DB4FE9">
        <w:t>’s credit rating</w:t>
      </w:r>
      <w:r w:rsidR="00D041D3">
        <w:rPr>
          <w:lang w:val="en-US"/>
        </w:rPr>
        <w:t>,</w:t>
      </w:r>
      <w:r w:rsidR="00DB4FE9">
        <w:t xml:space="preserve"> and ensure continued access to low cost capital.</w:t>
      </w:r>
      <w:r w:rsidR="00DB4FE9" w:rsidRPr="00851324">
        <w:rPr>
          <w:rStyle w:val="FootnoteReference"/>
          <w:u w:val="single"/>
        </w:rPr>
        <w:footnoteReference w:id="66"/>
      </w:r>
      <w:r w:rsidR="00DB4FE9">
        <w:rPr>
          <w:vertAlign w:val="superscript"/>
        </w:rPr>
        <w:t>/</w:t>
      </w:r>
      <w:r w:rsidR="00B45281">
        <w:rPr>
          <w:lang w:val="en-US"/>
        </w:rPr>
        <w:t xml:space="preserve">  </w:t>
      </w:r>
      <w:r w:rsidR="00172649">
        <w:rPr>
          <w:lang w:val="en-US"/>
        </w:rPr>
        <w:t>Although</w:t>
      </w:r>
      <w:r w:rsidR="00B45281">
        <w:rPr>
          <w:lang w:val="en-US"/>
        </w:rPr>
        <w:t xml:space="preserve"> </w:t>
      </w:r>
      <w:r w:rsidR="00172649">
        <w:rPr>
          <w:lang w:val="en-US"/>
        </w:rPr>
        <w:t>the Company</w:t>
      </w:r>
      <w:r w:rsidR="00B45281">
        <w:rPr>
          <w:lang w:val="en-US"/>
        </w:rPr>
        <w:t xml:space="preserve"> argues that a recently authorized </w:t>
      </w:r>
      <w:r w:rsidR="00172649">
        <w:rPr>
          <w:lang w:val="en-US"/>
        </w:rPr>
        <w:t>PacifiCorp ROR of 7.41% in Wyoming “supports an increase</w:t>
      </w:r>
      <w:r w:rsidR="00DB4FE9">
        <w:t xml:space="preserve"> </w:t>
      </w:r>
      <w:r w:rsidR="00172649">
        <w:rPr>
          <w:lang w:val="en-US"/>
        </w:rPr>
        <w:t>in Pacific Power’s Washington ROR,”</w:t>
      </w:r>
      <w:r w:rsidR="005015CC" w:rsidRPr="005015CC">
        <w:rPr>
          <w:rStyle w:val="FootnoteReference"/>
          <w:u w:val="single"/>
          <w:lang w:val="en-US"/>
        </w:rPr>
        <w:footnoteReference w:id="67"/>
      </w:r>
      <w:r w:rsidR="005015CC" w:rsidRPr="005015CC">
        <w:rPr>
          <w:vertAlign w:val="superscript"/>
          <w:lang w:val="en-US"/>
        </w:rPr>
        <w:t>/</w:t>
      </w:r>
      <w:r w:rsidR="00172649" w:rsidRPr="005015CC">
        <w:rPr>
          <w:vertAlign w:val="superscript"/>
          <w:lang w:val="en-US"/>
        </w:rPr>
        <w:t xml:space="preserve"> </w:t>
      </w:r>
      <w:r w:rsidR="00172649">
        <w:rPr>
          <w:lang w:val="en-US"/>
        </w:rPr>
        <w:t xml:space="preserve">the Company fails to mention that the Wyoming Public Service Commission (“Wyoming PSC”) actually </w:t>
      </w:r>
      <w:r w:rsidR="00172649" w:rsidRPr="00172649">
        <w:rPr>
          <w:i/>
          <w:lang w:val="en-US"/>
        </w:rPr>
        <w:t>reduced</w:t>
      </w:r>
      <w:r w:rsidR="00172649">
        <w:rPr>
          <w:lang w:val="en-US"/>
        </w:rPr>
        <w:t xml:space="preserve"> </w:t>
      </w:r>
      <w:r w:rsidR="00D64F1E">
        <w:rPr>
          <w:lang w:val="en-US"/>
        </w:rPr>
        <w:t xml:space="preserve">PacifiCorp’s authorized return </w:t>
      </w:r>
      <w:r w:rsidR="00172649">
        <w:rPr>
          <w:lang w:val="en-US"/>
        </w:rPr>
        <w:t xml:space="preserve">by 26 basis points </w:t>
      </w:r>
      <w:r w:rsidR="00540325">
        <w:rPr>
          <w:lang w:val="en-US"/>
        </w:rPr>
        <w:t>(</w:t>
      </w:r>
      <w:r w:rsidR="00172649">
        <w:rPr>
          <w:lang w:val="en-US"/>
        </w:rPr>
        <w:t>from the 7.67% ROR approved in the Company’s last GRC</w:t>
      </w:r>
      <w:r w:rsidR="00540325">
        <w:rPr>
          <w:lang w:val="en-US"/>
        </w:rPr>
        <w:t>)</w:t>
      </w:r>
      <w:r w:rsidR="00172649">
        <w:rPr>
          <w:lang w:val="en-US"/>
        </w:rPr>
        <w:t>.</w:t>
      </w:r>
      <w:r w:rsidR="00172649" w:rsidRPr="00634B39">
        <w:rPr>
          <w:rStyle w:val="FootnoteReference"/>
          <w:u w:val="single"/>
          <w:lang w:val="en-US"/>
        </w:rPr>
        <w:footnoteReference w:id="68"/>
      </w:r>
      <w:r w:rsidR="00172649" w:rsidRPr="00BF5C55">
        <w:rPr>
          <w:vertAlign w:val="superscript"/>
        </w:rPr>
        <w:t>/</w:t>
      </w:r>
      <w:r w:rsidR="00D33E65">
        <w:rPr>
          <w:lang w:val="en-US"/>
        </w:rPr>
        <w:t xml:space="preserve">  </w:t>
      </w:r>
      <w:r w:rsidR="001E6880">
        <w:rPr>
          <w:lang w:val="en-US"/>
        </w:rPr>
        <w:t xml:space="preserve">In comparison, Boise recommends a more modest reduction in Washington of just 16 basis points </w:t>
      </w:r>
      <w:r w:rsidR="00540325">
        <w:rPr>
          <w:lang w:val="en-US"/>
        </w:rPr>
        <w:t>(</w:t>
      </w:r>
      <w:r w:rsidR="001E6880">
        <w:rPr>
          <w:lang w:val="en-US"/>
        </w:rPr>
        <w:t>from the Company’s currently authorized ROR of 7.36%</w:t>
      </w:r>
      <w:r w:rsidR="00540325">
        <w:rPr>
          <w:lang w:val="en-US"/>
        </w:rPr>
        <w:t>)</w:t>
      </w:r>
      <w:r w:rsidR="001E6880">
        <w:rPr>
          <w:lang w:val="en-US"/>
        </w:rPr>
        <w:t xml:space="preserve">.  Likewise, the Company’s </w:t>
      </w:r>
      <w:r w:rsidR="00540325">
        <w:rPr>
          <w:lang w:val="en-US"/>
        </w:rPr>
        <w:t>announcement</w:t>
      </w:r>
      <w:r w:rsidR="001E6880">
        <w:rPr>
          <w:lang w:val="en-US"/>
        </w:rPr>
        <w:t xml:space="preserve"> of a recently authorized ROR in Utah </w:t>
      </w:r>
      <w:r w:rsidR="00540325">
        <w:rPr>
          <w:lang w:val="en-US"/>
        </w:rPr>
        <w:t xml:space="preserve">of 7.57% </w:t>
      </w:r>
      <w:r w:rsidR="001E6880">
        <w:rPr>
          <w:lang w:val="en-US"/>
        </w:rPr>
        <w:t xml:space="preserve">fails to mention that </w:t>
      </w:r>
      <w:r w:rsidR="00540325">
        <w:rPr>
          <w:lang w:val="en-US"/>
        </w:rPr>
        <w:t>the</w:t>
      </w:r>
      <w:r w:rsidR="001E6880">
        <w:rPr>
          <w:lang w:val="en-US"/>
        </w:rPr>
        <w:t xml:space="preserve"> previously approved ROR </w:t>
      </w:r>
      <w:r w:rsidR="00540325">
        <w:rPr>
          <w:lang w:val="en-US"/>
        </w:rPr>
        <w:t xml:space="preserve">in Utah </w:t>
      </w:r>
      <w:r w:rsidR="001E6880">
        <w:rPr>
          <w:lang w:val="en-US"/>
        </w:rPr>
        <w:t>was 7.68%</w:t>
      </w:r>
      <w:r w:rsidR="00533734" w:rsidRPr="00634B39">
        <w:rPr>
          <w:rStyle w:val="FootnoteReference"/>
          <w:u w:val="single"/>
          <w:lang w:val="en-US"/>
        </w:rPr>
        <w:footnoteReference w:id="69"/>
      </w:r>
      <w:r w:rsidR="00533734" w:rsidRPr="00BF5C55">
        <w:rPr>
          <w:vertAlign w:val="superscript"/>
        </w:rPr>
        <w:t>/</w:t>
      </w:r>
      <w:r w:rsidR="001E6880">
        <w:rPr>
          <w:lang w:val="en-US"/>
        </w:rPr>
        <w:t xml:space="preserve">  </w:t>
      </w:r>
    </w:p>
    <w:p w:rsidR="00D33E65" w:rsidRPr="00D33E65" w:rsidRDefault="005D536A" w:rsidP="002016E8">
      <w:pPr>
        <w:pStyle w:val="WUTCParagraph"/>
      </w:pPr>
      <w:r>
        <w:rPr>
          <w:lang w:val="en-US"/>
        </w:rPr>
        <w:tab/>
      </w:r>
      <w:r w:rsidR="00D33E65">
        <w:rPr>
          <w:lang w:val="en-US"/>
        </w:rPr>
        <w:t>Moreover, the Company inappropriately offers a block quote from Staff witness Mr. Twitchell</w:t>
      </w:r>
      <w:r w:rsidR="00110F97">
        <w:rPr>
          <w:lang w:val="en-US"/>
        </w:rPr>
        <w:t>,</w:t>
      </w:r>
      <w:r w:rsidR="00D33E65">
        <w:rPr>
          <w:lang w:val="en-US"/>
        </w:rPr>
        <w:t xml:space="preserve"> as if he spoke for all parties </w:t>
      </w:r>
      <w:r w:rsidR="002E11B5">
        <w:rPr>
          <w:lang w:val="en-US"/>
        </w:rPr>
        <w:t>on ROR</w:t>
      </w:r>
      <w:r w:rsidR="00D33E65">
        <w:rPr>
          <w:lang w:val="en-US"/>
        </w:rPr>
        <w:t>:  “I think it’s a general point of agreement that [the Company] hasn’t been earning that fair return.”</w:t>
      </w:r>
      <w:r w:rsidR="002E11B5" w:rsidRPr="00851324">
        <w:rPr>
          <w:rStyle w:val="FootnoteReference"/>
          <w:u w:val="single"/>
        </w:rPr>
        <w:footnoteReference w:id="70"/>
      </w:r>
      <w:r w:rsidR="002E11B5">
        <w:rPr>
          <w:vertAlign w:val="superscript"/>
        </w:rPr>
        <w:t>/</w:t>
      </w:r>
      <w:r w:rsidR="00D33E65">
        <w:rPr>
          <w:lang w:val="en-US"/>
        </w:rPr>
        <w:t xml:space="preserve"> </w:t>
      </w:r>
      <w:r w:rsidR="002E11B5">
        <w:rPr>
          <w:lang w:val="en-US"/>
        </w:rPr>
        <w:t xml:space="preserve"> </w:t>
      </w:r>
      <w:r w:rsidR="00110F97">
        <w:rPr>
          <w:lang w:val="en-US"/>
        </w:rPr>
        <w:t xml:space="preserve">To be clear, </w:t>
      </w:r>
      <w:r w:rsidR="002E11B5">
        <w:rPr>
          <w:lang w:val="en-US"/>
        </w:rPr>
        <w:t>Boise is no more in agreement with Mr. Twitchell</w:t>
      </w:r>
      <w:r w:rsidR="00D64F1E">
        <w:rPr>
          <w:lang w:val="en-US"/>
        </w:rPr>
        <w:t>’s</w:t>
      </w:r>
      <w:r w:rsidR="002E11B5">
        <w:rPr>
          <w:lang w:val="en-US"/>
        </w:rPr>
        <w:t xml:space="preserve"> judgment </w:t>
      </w:r>
      <w:r w:rsidR="00D64F1E">
        <w:rPr>
          <w:lang w:val="en-US"/>
        </w:rPr>
        <w:t>on</w:t>
      </w:r>
      <w:r w:rsidR="002E11B5">
        <w:rPr>
          <w:lang w:val="en-US"/>
        </w:rPr>
        <w:t xml:space="preserve"> Company</w:t>
      </w:r>
      <w:r w:rsidR="00110F97">
        <w:rPr>
          <w:lang w:val="en-US"/>
        </w:rPr>
        <w:t xml:space="preserve"> earnings</w:t>
      </w:r>
      <w:r w:rsidR="00900611">
        <w:rPr>
          <w:lang w:val="en-US"/>
        </w:rPr>
        <w:t xml:space="preserve"> than </w:t>
      </w:r>
      <w:r w:rsidR="00110F97">
        <w:rPr>
          <w:lang w:val="en-US"/>
        </w:rPr>
        <w:t xml:space="preserve">Boise is </w:t>
      </w:r>
      <w:r w:rsidR="00900611">
        <w:rPr>
          <w:lang w:val="en-US"/>
        </w:rPr>
        <w:t>with</w:t>
      </w:r>
      <w:r w:rsidR="002E11B5">
        <w:rPr>
          <w:lang w:val="en-US"/>
        </w:rPr>
        <w:t xml:space="preserve"> his assessment that a 150% rate allocation comports with the concept of gradualism.</w:t>
      </w:r>
      <w:r w:rsidR="002E11B5" w:rsidRPr="00C820DB">
        <w:rPr>
          <w:rStyle w:val="FootnoteReference"/>
          <w:u w:val="single"/>
        </w:rPr>
        <w:footnoteReference w:id="71"/>
      </w:r>
      <w:r w:rsidR="002E11B5" w:rsidRPr="00A240F3">
        <w:rPr>
          <w:vertAlign w:val="superscript"/>
        </w:rPr>
        <w:t>/</w:t>
      </w:r>
      <w:r w:rsidR="002E11B5">
        <w:rPr>
          <w:lang w:val="en-US"/>
        </w:rPr>
        <w:t xml:space="preserve">  Any allegation of “chronic” under-earning</w:t>
      </w:r>
      <w:r w:rsidR="002577DB">
        <w:rPr>
          <w:lang w:val="en-US"/>
        </w:rPr>
        <w:t>s experienced by the Company is</w:t>
      </w:r>
      <w:r w:rsidR="002E11B5">
        <w:rPr>
          <w:lang w:val="en-US"/>
        </w:rPr>
        <w:t xml:space="preserve"> attr</w:t>
      </w:r>
      <w:r w:rsidR="002577DB">
        <w:rPr>
          <w:lang w:val="en-US"/>
        </w:rPr>
        <w:t xml:space="preserve">ibutable to the </w:t>
      </w:r>
      <w:r w:rsidR="002577DB">
        <w:rPr>
          <w:lang w:val="en-US"/>
        </w:rPr>
        <w:lastRenderedPageBreak/>
        <w:t>Company itself,</w:t>
      </w:r>
      <w:r w:rsidR="002577DB" w:rsidRPr="00851324">
        <w:rPr>
          <w:rStyle w:val="FootnoteReference"/>
          <w:u w:val="single"/>
        </w:rPr>
        <w:footnoteReference w:id="72"/>
      </w:r>
      <w:r w:rsidR="002577DB">
        <w:rPr>
          <w:vertAlign w:val="superscript"/>
        </w:rPr>
        <w:t>/</w:t>
      </w:r>
      <w:r w:rsidR="00110F97">
        <w:rPr>
          <w:lang w:val="en-US"/>
        </w:rPr>
        <w:t xml:space="preserve"> </w:t>
      </w:r>
      <w:r w:rsidR="002577DB">
        <w:rPr>
          <w:lang w:val="en-US"/>
        </w:rPr>
        <w:t>such that Boise strongly disagrees with Mr. Twitchell’s “feel[ing] that there is a strong public interest in the Company being able to meet its costs.”</w:t>
      </w:r>
      <w:r w:rsidR="002577DB" w:rsidRPr="00851324">
        <w:rPr>
          <w:rStyle w:val="FootnoteReference"/>
          <w:u w:val="single"/>
        </w:rPr>
        <w:footnoteReference w:id="73"/>
      </w:r>
      <w:r w:rsidR="002577DB">
        <w:rPr>
          <w:vertAlign w:val="superscript"/>
        </w:rPr>
        <w:t>/</w:t>
      </w:r>
      <w:r w:rsidR="002577DB">
        <w:rPr>
          <w:lang w:val="en-US"/>
        </w:rPr>
        <w:t xml:space="preserve">  </w:t>
      </w:r>
    </w:p>
    <w:p w:rsidR="009A49E9" w:rsidRPr="006069B9" w:rsidRDefault="005D536A" w:rsidP="009A49E9">
      <w:pPr>
        <w:pStyle w:val="WUTCParagraph"/>
      </w:pPr>
      <w:r>
        <w:rPr>
          <w:lang w:val="en-US"/>
        </w:rPr>
        <w:tab/>
      </w:r>
      <w:r w:rsidR="00287FB1">
        <w:rPr>
          <w:lang w:val="en-US"/>
        </w:rPr>
        <w:t>Finally, the Company offers up a bullet point list of “evidence” purportedly demonstrating that PacifiCorp cannot maintain its current credit rating if party capital recommendations are adopted.</w:t>
      </w:r>
      <w:r w:rsidR="00287FB1" w:rsidRPr="00851324">
        <w:rPr>
          <w:rStyle w:val="FootnoteReference"/>
          <w:u w:val="single"/>
        </w:rPr>
        <w:footnoteReference w:id="74"/>
      </w:r>
      <w:r w:rsidR="00287FB1">
        <w:rPr>
          <w:vertAlign w:val="superscript"/>
        </w:rPr>
        <w:t>/</w:t>
      </w:r>
      <w:r w:rsidR="00287FB1">
        <w:rPr>
          <w:lang w:val="en-US"/>
        </w:rPr>
        <w:t xml:space="preserve">  First, the Company complains that Boise has recommended a rate decrease, which is no longer the case.</w:t>
      </w:r>
      <w:r w:rsidR="00287FB1" w:rsidRPr="00851324">
        <w:rPr>
          <w:rStyle w:val="FootnoteReference"/>
          <w:u w:val="single"/>
        </w:rPr>
        <w:footnoteReference w:id="75"/>
      </w:r>
      <w:r w:rsidR="00287FB1">
        <w:rPr>
          <w:vertAlign w:val="superscript"/>
        </w:rPr>
        <w:t>/</w:t>
      </w:r>
      <w:r w:rsidR="00287FB1">
        <w:rPr>
          <w:lang w:val="en-US"/>
        </w:rPr>
        <w:t xml:space="preserve">  Second, Pacific Power com</w:t>
      </w:r>
      <w:r w:rsidR="00D64F1E">
        <w:rPr>
          <w:lang w:val="en-US"/>
        </w:rPr>
        <w:t>plains that parties assume the C</w:t>
      </w:r>
      <w:r w:rsidR="00287FB1">
        <w:rPr>
          <w:lang w:val="en-US"/>
        </w:rPr>
        <w:t xml:space="preserve">ompany will earn its authorized ROR, which the Company alleges to be unsupported by historical earnings.  In light of Pacific Power’s failure to carry its burden of proof demonstrating that “chronic” under-earnings are not attributable to Company mismanagement, however, this complaint </w:t>
      </w:r>
      <w:r w:rsidR="008410F7">
        <w:rPr>
          <w:lang w:val="en-US"/>
        </w:rPr>
        <w:t>should hold</w:t>
      </w:r>
      <w:r w:rsidR="00287FB1">
        <w:rPr>
          <w:lang w:val="en-US"/>
        </w:rPr>
        <w:t xml:space="preserve"> no weight.</w:t>
      </w:r>
      <w:r w:rsidR="00287FB1" w:rsidRPr="00851324">
        <w:rPr>
          <w:rStyle w:val="FootnoteReference"/>
          <w:u w:val="single"/>
        </w:rPr>
        <w:footnoteReference w:id="76"/>
      </w:r>
      <w:r w:rsidR="00287FB1">
        <w:rPr>
          <w:vertAlign w:val="superscript"/>
        </w:rPr>
        <w:t>/</w:t>
      </w:r>
      <w:r w:rsidR="00287FB1">
        <w:rPr>
          <w:lang w:val="en-US"/>
        </w:rPr>
        <w:t xml:space="preserve"> </w:t>
      </w:r>
      <w:r w:rsidR="001E6880">
        <w:rPr>
          <w:lang w:val="en-US"/>
        </w:rPr>
        <w:t xml:space="preserve"> Lastly, the claim that Mr. Gorman has failed to use all the ratios used by S&amp;P to establish the Com</w:t>
      </w:r>
      <w:r w:rsidR="008410F7">
        <w:rPr>
          <w:lang w:val="en-US"/>
        </w:rPr>
        <w:t>pany’s credit rating ignores</w:t>
      </w:r>
      <w:r w:rsidR="001E6880">
        <w:rPr>
          <w:lang w:val="en-US"/>
        </w:rPr>
        <w:t xml:space="preserve"> probative testimony of Mr. Gorman concerning S&amp;P’s continued stable outlook for the Company.</w:t>
      </w:r>
      <w:r w:rsidR="001E6880" w:rsidRPr="00C820DB">
        <w:rPr>
          <w:rStyle w:val="FootnoteReference"/>
          <w:u w:val="single"/>
        </w:rPr>
        <w:footnoteReference w:id="77"/>
      </w:r>
      <w:r w:rsidR="001E6880" w:rsidRPr="00A240F3">
        <w:rPr>
          <w:vertAlign w:val="superscript"/>
        </w:rPr>
        <w:t>/</w:t>
      </w:r>
      <w:r w:rsidR="001E6880">
        <w:rPr>
          <w:lang w:val="en-US"/>
        </w:rPr>
        <w:t xml:space="preserve">  In sum, the Company does not sufficiently prove that </w:t>
      </w:r>
      <w:r w:rsidR="00B84E05">
        <w:rPr>
          <w:lang w:val="en-US"/>
        </w:rPr>
        <w:t xml:space="preserve">the </w:t>
      </w:r>
      <w:r w:rsidR="001E6880">
        <w:rPr>
          <w:lang w:val="en-US"/>
        </w:rPr>
        <w:t>adoption of Mr. Gorman’s capital recommendations will even threaten, never mind actually result</w:t>
      </w:r>
      <w:r w:rsidR="00B84E05">
        <w:rPr>
          <w:lang w:val="en-US"/>
        </w:rPr>
        <w:t>,</w:t>
      </w:r>
      <w:r w:rsidR="001E6880">
        <w:rPr>
          <w:lang w:val="en-US"/>
        </w:rPr>
        <w:t xml:space="preserve"> in a ratings downgrade.</w:t>
      </w:r>
    </w:p>
    <w:p w:rsidR="006069B9" w:rsidRPr="009A49E9" w:rsidRDefault="006069B9" w:rsidP="006069B9">
      <w:pPr>
        <w:pStyle w:val="WUTCParagraph"/>
        <w:numPr>
          <w:ilvl w:val="0"/>
          <w:numId w:val="0"/>
        </w:numPr>
      </w:pPr>
    </w:p>
    <w:p w:rsidR="00A11D75" w:rsidRDefault="00DB4FE9" w:rsidP="006069B9">
      <w:pPr>
        <w:keepNext/>
        <w:widowControl w:val="0"/>
        <w:numPr>
          <w:ilvl w:val="0"/>
          <w:numId w:val="20"/>
        </w:numPr>
        <w:spacing w:after="240"/>
        <w:ind w:left="720" w:hanging="720"/>
        <w:rPr>
          <w:b/>
        </w:rPr>
      </w:pPr>
      <w:r w:rsidRPr="00A43720">
        <w:rPr>
          <w:b/>
        </w:rPr>
        <w:lastRenderedPageBreak/>
        <w:t>The Commission</w:t>
      </w:r>
      <w:r>
        <w:rPr>
          <w:b/>
        </w:rPr>
        <w:t xml:space="preserve"> Should Adopt Boise’s Recommended Adjustments to </w:t>
      </w:r>
      <w:r w:rsidR="0037037B">
        <w:rPr>
          <w:b/>
        </w:rPr>
        <w:t>Revenue Requirement</w:t>
      </w:r>
    </w:p>
    <w:p w:rsidR="00087FE3" w:rsidRDefault="00087FE3" w:rsidP="00087FE3">
      <w:pPr>
        <w:keepNext/>
        <w:spacing w:after="240"/>
        <w:ind w:left="1440" w:hanging="720"/>
        <w:rPr>
          <w:b/>
        </w:rPr>
      </w:pPr>
      <w:r>
        <w:rPr>
          <w:b/>
        </w:rPr>
        <w:t>1.</w:t>
      </w:r>
      <w:r>
        <w:rPr>
          <w:b/>
        </w:rPr>
        <w:tab/>
        <w:t>Pacific Power Has Not Carried Its Burden in Justifying Pro-forma Capital Additions</w:t>
      </w:r>
    </w:p>
    <w:p w:rsidR="00087FE3" w:rsidRPr="00D34114" w:rsidRDefault="005D536A" w:rsidP="00087FE3">
      <w:pPr>
        <w:pStyle w:val="130043Post-hearingBriefParagraph"/>
      </w:pPr>
      <w:r>
        <w:rPr>
          <w:lang w:val="en-US"/>
        </w:rPr>
        <w:tab/>
      </w:r>
      <w:r w:rsidR="00087FE3">
        <w:rPr>
          <w:lang w:val="en-US"/>
        </w:rPr>
        <w:t>The Company improperly claims that</w:t>
      </w:r>
      <w:r w:rsidR="00390450">
        <w:rPr>
          <w:lang w:val="en-US"/>
        </w:rPr>
        <w:t>,</w:t>
      </w:r>
      <w:r w:rsidR="00390450" w:rsidRPr="00390450">
        <w:rPr>
          <w:lang w:val="en-US"/>
        </w:rPr>
        <w:t xml:space="preserve"> </w:t>
      </w:r>
      <w:r w:rsidR="00390450">
        <w:rPr>
          <w:lang w:val="en-US"/>
        </w:rPr>
        <w:t>in its direct case,</w:t>
      </w:r>
      <w:r w:rsidR="00087FE3">
        <w:rPr>
          <w:lang w:val="en-US"/>
        </w:rPr>
        <w:t xml:space="preserve"> it provided “detailed cost information” supporting proposed pro-forma capital additions.</w:t>
      </w:r>
      <w:r w:rsidR="00087FE3" w:rsidRPr="00851324">
        <w:rPr>
          <w:rStyle w:val="FootnoteReference"/>
          <w:u w:val="single"/>
        </w:rPr>
        <w:footnoteReference w:id="78"/>
      </w:r>
      <w:r w:rsidR="00087FE3">
        <w:rPr>
          <w:vertAlign w:val="superscript"/>
        </w:rPr>
        <w:t>/</w:t>
      </w:r>
      <w:r w:rsidR="00A77F17">
        <w:rPr>
          <w:vertAlign w:val="superscript"/>
          <w:lang w:val="en-US"/>
        </w:rPr>
        <w:t xml:space="preserve"> </w:t>
      </w:r>
      <w:r w:rsidR="00390450">
        <w:rPr>
          <w:vertAlign w:val="superscript"/>
          <w:lang w:val="en-US"/>
        </w:rPr>
        <w:t xml:space="preserve"> </w:t>
      </w:r>
      <w:r w:rsidR="00A77F17">
        <w:rPr>
          <w:lang w:val="en-US"/>
        </w:rPr>
        <w:t xml:space="preserve"> For 25 of the 30 additions </w:t>
      </w:r>
      <w:r w:rsidR="00315EAC">
        <w:rPr>
          <w:lang w:val="en-US"/>
        </w:rPr>
        <w:t xml:space="preserve">initially </w:t>
      </w:r>
      <w:r w:rsidR="00A77F17">
        <w:rPr>
          <w:lang w:val="en-US"/>
        </w:rPr>
        <w:t>proposed, however, this “detailed” information consisted merely of spread sheet line items on a single exhibit page.</w:t>
      </w:r>
      <w:r w:rsidR="00A77F17" w:rsidRPr="00851324">
        <w:rPr>
          <w:rStyle w:val="FootnoteReference"/>
          <w:u w:val="single"/>
        </w:rPr>
        <w:footnoteReference w:id="79"/>
      </w:r>
      <w:r w:rsidR="00A77F17">
        <w:rPr>
          <w:vertAlign w:val="superscript"/>
        </w:rPr>
        <w:t>/</w:t>
      </w:r>
      <w:r w:rsidR="00A77F17">
        <w:rPr>
          <w:lang w:val="en-US"/>
        </w:rPr>
        <w:t xml:space="preserve">  Moreover, although the Company states that it updated this information through discovery,</w:t>
      </w:r>
      <w:r w:rsidR="00A77F17" w:rsidRPr="00851324">
        <w:rPr>
          <w:rStyle w:val="FootnoteReference"/>
          <w:u w:val="single"/>
        </w:rPr>
        <w:footnoteReference w:id="80"/>
      </w:r>
      <w:r w:rsidR="00A77F17">
        <w:rPr>
          <w:vertAlign w:val="superscript"/>
        </w:rPr>
        <w:t>/</w:t>
      </w:r>
      <w:r w:rsidR="00A77F17">
        <w:rPr>
          <w:lang w:val="en-US"/>
        </w:rPr>
        <w:t xml:space="preserve"> the record actually contains a </w:t>
      </w:r>
      <w:r w:rsidR="00390450">
        <w:rPr>
          <w:lang w:val="en-US"/>
        </w:rPr>
        <w:t xml:space="preserve">mere </w:t>
      </w:r>
      <w:r w:rsidR="00A77F17">
        <w:rPr>
          <w:lang w:val="en-US"/>
        </w:rPr>
        <w:t>list of discovery attachments allegedly supporting these additions.</w:t>
      </w:r>
      <w:r w:rsidR="00A77F17" w:rsidRPr="00851324">
        <w:rPr>
          <w:rStyle w:val="FootnoteReference"/>
          <w:u w:val="single"/>
        </w:rPr>
        <w:footnoteReference w:id="81"/>
      </w:r>
      <w:r w:rsidR="00A77F17">
        <w:rPr>
          <w:vertAlign w:val="superscript"/>
        </w:rPr>
        <w:t>/</w:t>
      </w:r>
      <w:r w:rsidR="00315EAC">
        <w:rPr>
          <w:lang w:val="en-US"/>
        </w:rPr>
        <w:t xml:space="preserve">  But, the Company is correct in accurately stating that it included only “narrative descriptions” for </w:t>
      </w:r>
      <w:r w:rsidR="00390450">
        <w:rPr>
          <w:lang w:val="en-US"/>
        </w:rPr>
        <w:t>these proposed additions—</w:t>
      </w:r>
      <w:r w:rsidR="00390450" w:rsidRPr="00390450">
        <w:rPr>
          <w:u w:val="single"/>
          <w:lang w:val="en-US"/>
        </w:rPr>
        <w:t>i.e.</w:t>
      </w:r>
      <w:r w:rsidR="00390450">
        <w:rPr>
          <w:lang w:val="en-US"/>
        </w:rPr>
        <w:t>, consisting</w:t>
      </w:r>
      <w:r w:rsidR="00315EAC">
        <w:rPr>
          <w:lang w:val="en-US"/>
        </w:rPr>
        <w:t xml:space="preserve"> only of a single paragraph each</w:t>
      </w:r>
      <w:r w:rsidR="00D64F1E">
        <w:rPr>
          <w:lang w:val="en-US"/>
        </w:rPr>
        <w:t>,</w:t>
      </w:r>
      <w:r w:rsidR="00315EAC">
        <w:rPr>
          <w:lang w:val="en-US"/>
        </w:rPr>
        <w:t xml:space="preserve"> </w:t>
      </w:r>
      <w:r w:rsidR="00390450">
        <w:rPr>
          <w:lang w:val="en-US"/>
        </w:rPr>
        <w:t xml:space="preserve">and </w:t>
      </w:r>
      <w:r w:rsidR="00315EAC">
        <w:rPr>
          <w:lang w:val="en-US"/>
        </w:rPr>
        <w:t>never supplemented later in the record.</w:t>
      </w:r>
      <w:r w:rsidR="00315EAC" w:rsidRPr="00851324">
        <w:rPr>
          <w:rStyle w:val="FootnoteReference"/>
          <w:u w:val="single"/>
        </w:rPr>
        <w:footnoteReference w:id="82"/>
      </w:r>
      <w:r w:rsidR="00315EAC">
        <w:rPr>
          <w:vertAlign w:val="superscript"/>
        </w:rPr>
        <w:t>/</w:t>
      </w:r>
      <w:r w:rsidR="00315EAC">
        <w:rPr>
          <w:lang w:val="en-US"/>
        </w:rPr>
        <w:t xml:space="preserve">  Taken together, this level of support fails to satisfy the Commission’s used and useful and known and measurable standards</w:t>
      </w:r>
      <w:r w:rsidR="00D34114">
        <w:rPr>
          <w:lang w:val="en-US"/>
        </w:rPr>
        <w:t>.</w:t>
      </w:r>
    </w:p>
    <w:p w:rsidR="00D34114" w:rsidRPr="009C19E6" w:rsidRDefault="005D536A" w:rsidP="00087FE3">
      <w:pPr>
        <w:pStyle w:val="130043Post-hearingBriefParagraph"/>
      </w:pPr>
      <w:r>
        <w:rPr>
          <w:lang w:val="en-US"/>
        </w:rPr>
        <w:tab/>
      </w:r>
      <w:r w:rsidR="00D34114">
        <w:rPr>
          <w:lang w:val="en-US"/>
        </w:rPr>
        <w:t>Notwithstanding, for the 17 capital addition projects still proposed for inclusion in rates, the Company claims that “the final costs are known and measurable.”</w:t>
      </w:r>
      <w:r w:rsidR="00D34114" w:rsidRPr="00851324">
        <w:rPr>
          <w:rStyle w:val="FootnoteReference"/>
          <w:u w:val="single"/>
        </w:rPr>
        <w:footnoteReference w:id="83"/>
      </w:r>
      <w:r w:rsidR="00D34114">
        <w:rPr>
          <w:vertAlign w:val="superscript"/>
        </w:rPr>
        <w:t>/</w:t>
      </w:r>
      <w:r w:rsidR="00D34114">
        <w:rPr>
          <w:lang w:val="en-US"/>
        </w:rPr>
        <w:t xml:space="preserve">  To support this claim, the Company cites to a rebuttal exhibit.</w:t>
      </w:r>
      <w:r w:rsidR="00D34114" w:rsidRPr="00851324">
        <w:rPr>
          <w:rStyle w:val="FootnoteReference"/>
          <w:u w:val="single"/>
        </w:rPr>
        <w:footnoteReference w:id="84"/>
      </w:r>
      <w:r w:rsidR="00D34114">
        <w:rPr>
          <w:vertAlign w:val="superscript"/>
        </w:rPr>
        <w:t>/</w:t>
      </w:r>
      <w:r w:rsidR="00D34114">
        <w:rPr>
          <w:lang w:val="en-US"/>
        </w:rPr>
        <w:t xml:space="preserve">  The problem with this claim of “final” known and measurable costs is that the record plainly demonstrates that the Company continued to make numerous and significant adjustments to these “final” costs </w:t>
      </w:r>
      <w:r w:rsidR="00D34114" w:rsidRPr="00D34114">
        <w:rPr>
          <w:i/>
          <w:lang w:val="en-US"/>
        </w:rPr>
        <w:t>after</w:t>
      </w:r>
      <w:r w:rsidR="00D34114">
        <w:rPr>
          <w:lang w:val="en-US"/>
        </w:rPr>
        <w:t xml:space="preserve"> the rebuttal stage.</w:t>
      </w:r>
      <w:r w:rsidR="00D34114" w:rsidRPr="00851324">
        <w:rPr>
          <w:rStyle w:val="FootnoteReference"/>
          <w:u w:val="single"/>
        </w:rPr>
        <w:footnoteReference w:id="85"/>
      </w:r>
      <w:r w:rsidR="00D34114">
        <w:rPr>
          <w:vertAlign w:val="superscript"/>
        </w:rPr>
        <w:t>/</w:t>
      </w:r>
      <w:r w:rsidR="00D34114">
        <w:rPr>
          <w:lang w:val="en-US"/>
        </w:rPr>
        <w:t xml:space="preserve">  T</w:t>
      </w:r>
      <w:r w:rsidR="00541C53">
        <w:rPr>
          <w:lang w:val="en-US"/>
        </w:rPr>
        <w:t>hus, t</w:t>
      </w:r>
      <w:r w:rsidR="00D34114">
        <w:rPr>
          <w:lang w:val="en-US"/>
        </w:rPr>
        <w:t xml:space="preserve">he </w:t>
      </w:r>
      <w:r w:rsidR="00D34114">
        <w:rPr>
          <w:lang w:val="en-US"/>
        </w:rPr>
        <w:lastRenderedPageBreak/>
        <w:t xml:space="preserve">decided lack of analytical rigor displayed by </w:t>
      </w:r>
      <w:r w:rsidR="00541C53">
        <w:rPr>
          <w:lang w:val="en-US"/>
        </w:rPr>
        <w:t>the Company throughout these proceedings continues to justify Boise’s recommendation that the Company’s capital addition costs should be rejected.</w:t>
      </w:r>
      <w:r w:rsidR="00541C53" w:rsidRPr="00851324">
        <w:rPr>
          <w:rStyle w:val="FootnoteReference"/>
          <w:u w:val="single"/>
        </w:rPr>
        <w:footnoteReference w:id="86"/>
      </w:r>
      <w:r w:rsidR="00541C53">
        <w:rPr>
          <w:vertAlign w:val="superscript"/>
        </w:rPr>
        <w:t>/</w:t>
      </w:r>
    </w:p>
    <w:p w:rsidR="008659A0" w:rsidRPr="008659A0" w:rsidRDefault="005D536A" w:rsidP="00087FE3">
      <w:pPr>
        <w:pStyle w:val="130043Post-hearingBriefParagraph"/>
      </w:pPr>
      <w:r>
        <w:rPr>
          <w:lang w:val="en-US"/>
        </w:rPr>
        <w:tab/>
      </w:r>
      <w:r w:rsidR="009C19E6">
        <w:rPr>
          <w:lang w:val="en-US"/>
        </w:rPr>
        <w:t xml:space="preserve">Finally, Pacific Power makes specific arguments in defense of </w:t>
      </w:r>
      <w:r w:rsidR="008E6A35">
        <w:rPr>
          <w:lang w:val="en-US"/>
        </w:rPr>
        <w:t>the Jim Bridger Unit 1 cooling tower and the Union Gap Substation Upgrade.</w:t>
      </w:r>
      <w:r w:rsidR="008E6A35" w:rsidRPr="00851324">
        <w:rPr>
          <w:rStyle w:val="FootnoteReference"/>
          <w:u w:val="single"/>
        </w:rPr>
        <w:footnoteReference w:id="87"/>
      </w:r>
      <w:r w:rsidR="008E6A35">
        <w:rPr>
          <w:vertAlign w:val="superscript"/>
        </w:rPr>
        <w:t>/</w:t>
      </w:r>
      <w:r w:rsidR="008E6A35">
        <w:rPr>
          <w:lang w:val="en-US"/>
        </w:rPr>
        <w:t xml:space="preserve">  First, Boise does not accept the Company’s claim that “[t]here is no uncertainty regarding the final costs</w:t>
      </w:r>
      <w:r w:rsidR="00283E70">
        <w:rPr>
          <w:lang w:val="en-US"/>
        </w:rPr>
        <w:t>” of the</w:t>
      </w:r>
      <w:r w:rsidR="008E6A35">
        <w:rPr>
          <w:lang w:val="en-US"/>
        </w:rPr>
        <w:t xml:space="preserve"> Bridger cooling tower, given the state of continued cost fluctuations extending into September 2014.</w:t>
      </w:r>
      <w:r w:rsidR="008E6A35" w:rsidRPr="00851324">
        <w:rPr>
          <w:rStyle w:val="FootnoteReference"/>
          <w:u w:val="single"/>
        </w:rPr>
        <w:footnoteReference w:id="88"/>
      </w:r>
      <w:r w:rsidR="008E6A35">
        <w:rPr>
          <w:vertAlign w:val="superscript"/>
        </w:rPr>
        <w:t>/</w:t>
      </w:r>
      <w:r w:rsidR="005015CC">
        <w:rPr>
          <w:lang w:val="en-US"/>
        </w:rPr>
        <w:t xml:space="preserve">  </w:t>
      </w:r>
      <w:r w:rsidR="008E6A35">
        <w:rPr>
          <w:lang w:val="en-US"/>
        </w:rPr>
        <w:t>This period of cost uncertainty is especially troubling due to the Company’s statement that the project “went into service in May 2014.”</w:t>
      </w:r>
      <w:r w:rsidR="008E6A35" w:rsidRPr="00851324">
        <w:rPr>
          <w:rStyle w:val="FootnoteReference"/>
          <w:u w:val="single"/>
        </w:rPr>
        <w:footnoteReference w:id="89"/>
      </w:r>
      <w:r w:rsidR="008E6A35">
        <w:rPr>
          <w:vertAlign w:val="superscript"/>
        </w:rPr>
        <w:t>/</w:t>
      </w:r>
      <w:r w:rsidR="008E6A35">
        <w:rPr>
          <w:lang w:val="en-US"/>
        </w:rPr>
        <w:t xml:space="preserve">  </w:t>
      </w:r>
    </w:p>
    <w:p w:rsidR="009C19E6" w:rsidRPr="00294EA2" w:rsidRDefault="005D536A" w:rsidP="006069B9">
      <w:pPr>
        <w:pStyle w:val="130043Post-hearingBriefParagraph"/>
        <w:keepNext/>
        <w:widowControl w:val="0"/>
      </w:pPr>
      <w:r>
        <w:rPr>
          <w:lang w:val="en-US"/>
        </w:rPr>
        <w:tab/>
      </w:r>
      <w:r w:rsidR="008E6A35">
        <w:rPr>
          <w:lang w:val="en-US"/>
        </w:rPr>
        <w:t>Regarding the Union G</w:t>
      </w:r>
      <w:r w:rsidR="00283E70">
        <w:rPr>
          <w:lang w:val="en-US"/>
        </w:rPr>
        <w:t>ap project, Boise notes that Company</w:t>
      </w:r>
      <w:r w:rsidR="008E6A35">
        <w:rPr>
          <w:lang w:val="en-US"/>
        </w:rPr>
        <w:t xml:space="preserve"> testimony regarding the alleged need for the first sequence of work </w:t>
      </w:r>
      <w:r w:rsidR="008E6A35" w:rsidRPr="008E6A35">
        <w:rPr>
          <w:i/>
          <w:lang w:val="en-US"/>
        </w:rPr>
        <w:t>on an independent basis</w:t>
      </w:r>
      <w:r w:rsidR="008E6A35">
        <w:rPr>
          <w:lang w:val="en-US"/>
        </w:rPr>
        <w:t xml:space="preserve"> did not appear until Pacific Power’s rebuttal case; in the Company’s direct filing, a plain emphasis is placed </w:t>
      </w:r>
      <w:r w:rsidR="00283E70">
        <w:rPr>
          <w:lang w:val="en-US"/>
        </w:rPr>
        <w:t xml:space="preserve">only </w:t>
      </w:r>
      <w:r w:rsidR="008E6A35">
        <w:rPr>
          <w:lang w:val="en-US"/>
        </w:rPr>
        <w:t>upon the first sequence being completed to make room for the second and third sequences</w:t>
      </w:r>
      <w:r w:rsidR="00283E70">
        <w:rPr>
          <w:lang w:val="en-US"/>
        </w:rPr>
        <w:t>.</w:t>
      </w:r>
      <w:r w:rsidR="00283E70" w:rsidRPr="00851324">
        <w:rPr>
          <w:rStyle w:val="FootnoteReference"/>
          <w:u w:val="single"/>
        </w:rPr>
        <w:footnoteReference w:id="90"/>
      </w:r>
      <w:r w:rsidR="00283E70">
        <w:rPr>
          <w:vertAlign w:val="superscript"/>
        </w:rPr>
        <w:t>/</w:t>
      </w:r>
      <w:r w:rsidR="00283E70">
        <w:rPr>
          <w:lang w:val="en-US"/>
        </w:rPr>
        <w:t xml:space="preserve">  This suggests</w:t>
      </w:r>
      <w:r w:rsidR="002E7BB8">
        <w:rPr>
          <w:lang w:val="en-US"/>
        </w:rPr>
        <w:t xml:space="preserve"> that later company testimony was merely a post-hoc rationalization in response to Mr. Mullins’ critical analysis</w:t>
      </w:r>
      <w:r w:rsidR="008E6A35">
        <w:rPr>
          <w:lang w:val="en-US"/>
        </w:rPr>
        <w:t xml:space="preserve">.  </w:t>
      </w:r>
      <w:r w:rsidR="008659A0">
        <w:rPr>
          <w:lang w:val="en-US"/>
        </w:rPr>
        <w:t>As to the Company’s claim that it affirmed completion of the first sequence of work at hearing,</w:t>
      </w:r>
      <w:r w:rsidR="008659A0" w:rsidRPr="00851324">
        <w:rPr>
          <w:rStyle w:val="FootnoteReference"/>
          <w:u w:val="single"/>
        </w:rPr>
        <w:footnoteReference w:id="91"/>
      </w:r>
      <w:r w:rsidR="008659A0">
        <w:rPr>
          <w:vertAlign w:val="superscript"/>
        </w:rPr>
        <w:t>/</w:t>
      </w:r>
      <w:r w:rsidR="008659A0">
        <w:rPr>
          <w:lang w:val="en-US"/>
        </w:rPr>
        <w:t xml:space="preserve"> Pacific Power has </w:t>
      </w:r>
      <w:r w:rsidR="00D64F1E">
        <w:rPr>
          <w:lang w:val="en-US"/>
        </w:rPr>
        <w:t xml:space="preserve">still </w:t>
      </w:r>
      <w:r w:rsidR="008659A0">
        <w:rPr>
          <w:lang w:val="en-US"/>
        </w:rPr>
        <w:t xml:space="preserve">not demonstrated that this </w:t>
      </w:r>
      <w:r w:rsidR="00283E70">
        <w:rPr>
          <w:lang w:val="en-US"/>
        </w:rPr>
        <w:t>sequence</w:t>
      </w:r>
      <w:r w:rsidR="008659A0">
        <w:rPr>
          <w:lang w:val="en-US"/>
        </w:rPr>
        <w:t xml:space="preserve"> was used and useful</w:t>
      </w:r>
      <w:r w:rsidR="00D64F1E">
        <w:rPr>
          <w:lang w:val="en-US"/>
        </w:rPr>
        <w:t xml:space="preserve">; </w:t>
      </w:r>
      <w:r w:rsidR="00283E70">
        <w:rPr>
          <w:lang w:val="en-US"/>
        </w:rPr>
        <w:t xml:space="preserve">specifically, </w:t>
      </w:r>
      <w:r w:rsidR="008659A0">
        <w:rPr>
          <w:lang w:val="en-US"/>
        </w:rPr>
        <w:t xml:space="preserve">Company witness Mr. Vail testified in pre-filed rebuttal testimony that such work had not yet been completed by the November 14, 2014 cut-off date for used and </w:t>
      </w:r>
      <w:r w:rsidR="008659A0">
        <w:rPr>
          <w:lang w:val="en-US"/>
        </w:rPr>
        <w:lastRenderedPageBreak/>
        <w:t>useful service.</w:t>
      </w:r>
      <w:r w:rsidR="008659A0" w:rsidRPr="00851324">
        <w:rPr>
          <w:rStyle w:val="FootnoteReference"/>
          <w:u w:val="single"/>
        </w:rPr>
        <w:footnoteReference w:id="92"/>
      </w:r>
      <w:r w:rsidR="008659A0">
        <w:rPr>
          <w:vertAlign w:val="superscript"/>
        </w:rPr>
        <w:t>/</w:t>
      </w:r>
    </w:p>
    <w:p w:rsidR="00294EA2" w:rsidRDefault="000C1C1B" w:rsidP="000C1C1B">
      <w:pPr>
        <w:spacing w:after="240"/>
        <w:ind w:left="1440" w:hanging="720"/>
        <w:rPr>
          <w:b/>
        </w:rPr>
      </w:pPr>
      <w:r w:rsidRPr="000C1C1B">
        <w:rPr>
          <w:b/>
        </w:rPr>
        <w:t>2.</w:t>
      </w:r>
      <w:r w:rsidRPr="000C1C1B">
        <w:rPr>
          <w:b/>
        </w:rPr>
        <w:tab/>
        <w:t>The Company Has Not Demonstrated Conditions Warranting Use of End of Period (“EOP”) Rate Base</w:t>
      </w:r>
    </w:p>
    <w:p w:rsidR="000C1C1B" w:rsidRPr="000C1C1B" w:rsidRDefault="005D536A" w:rsidP="000C1C1B">
      <w:pPr>
        <w:pStyle w:val="130043Post-hearingBriefParagraph"/>
      </w:pPr>
      <w:r>
        <w:rPr>
          <w:lang w:val="en-US"/>
        </w:rPr>
        <w:tab/>
      </w:r>
      <w:r w:rsidR="000C1C1B">
        <w:rPr>
          <w:lang w:val="en-US"/>
        </w:rPr>
        <w:t>The Company alleges that use of EOP rate base is appropriate if one or mo</w:t>
      </w:r>
      <w:r w:rsidR="00D64F1E">
        <w:rPr>
          <w:lang w:val="en-US"/>
        </w:rPr>
        <w:t>re conditions discussed by the C</w:t>
      </w:r>
      <w:r w:rsidR="000C1C1B">
        <w:rPr>
          <w:lang w:val="en-US"/>
        </w:rPr>
        <w:t>ommission are satisfied</w:t>
      </w:r>
      <w:r w:rsidR="00D64F1E">
        <w:rPr>
          <w:lang w:val="en-US"/>
        </w:rPr>
        <w:t>, including</w:t>
      </w:r>
      <w:r w:rsidR="00BD7AC5">
        <w:rPr>
          <w:lang w:val="en-US"/>
        </w:rPr>
        <w:t>:  1)</w:t>
      </w:r>
      <w:r w:rsidR="00D64F1E">
        <w:rPr>
          <w:lang w:val="en-US"/>
        </w:rPr>
        <w:t xml:space="preserve"> usage</w:t>
      </w:r>
      <w:r w:rsidR="000C1C1B">
        <w:rPr>
          <w:lang w:val="en-US"/>
        </w:rPr>
        <w:t xml:space="preserve"> as a means to reduce regulatory lag</w:t>
      </w:r>
      <w:r w:rsidR="00BD7AC5">
        <w:rPr>
          <w:lang w:val="en-US"/>
        </w:rPr>
        <w:t>;</w:t>
      </w:r>
      <w:r w:rsidR="000C1C1B">
        <w:rPr>
          <w:lang w:val="en-US"/>
        </w:rPr>
        <w:t xml:space="preserve"> and </w:t>
      </w:r>
      <w:r w:rsidR="00BD7AC5">
        <w:rPr>
          <w:lang w:val="en-US"/>
        </w:rPr>
        <w:t xml:space="preserve">2) </w:t>
      </w:r>
      <w:r w:rsidR="000C1C1B">
        <w:rPr>
          <w:lang w:val="en-US"/>
        </w:rPr>
        <w:t>the failure of a utility to earn its authorized rate of return.</w:t>
      </w:r>
      <w:r w:rsidR="000C1C1B" w:rsidRPr="00851324">
        <w:rPr>
          <w:rStyle w:val="FootnoteReference"/>
          <w:u w:val="single"/>
        </w:rPr>
        <w:footnoteReference w:id="93"/>
      </w:r>
      <w:r w:rsidR="000C1C1B">
        <w:rPr>
          <w:vertAlign w:val="superscript"/>
        </w:rPr>
        <w:t>/</w:t>
      </w:r>
      <w:r w:rsidR="000C1C1B">
        <w:rPr>
          <w:lang w:val="en-US"/>
        </w:rPr>
        <w:t xml:space="preserve">  Boise maintains that neither of these conditions justifies a second authorization of EOP rate base for the Company’s upcoming rate year.  </w:t>
      </w:r>
    </w:p>
    <w:p w:rsidR="0032272B" w:rsidRPr="0032272B" w:rsidRDefault="005D536A" w:rsidP="000C1C1B">
      <w:pPr>
        <w:pStyle w:val="130043Post-hearingBriefParagraph"/>
      </w:pPr>
      <w:r>
        <w:rPr>
          <w:lang w:val="en-US"/>
        </w:rPr>
        <w:tab/>
      </w:r>
      <w:r w:rsidR="000C1C1B">
        <w:rPr>
          <w:lang w:val="en-US"/>
        </w:rPr>
        <w:t>As explained on brief, the Commission granted a special exception for EOP rate base in the 2013 GRC to address regulatory lag in an attempt to break the pattern of almost continuous rate cases being filed by Pacific Power.</w:t>
      </w:r>
      <w:r w:rsidR="000C1C1B" w:rsidRPr="00851324">
        <w:rPr>
          <w:rStyle w:val="FootnoteReference"/>
          <w:u w:val="single"/>
        </w:rPr>
        <w:footnoteReference w:id="94"/>
      </w:r>
      <w:r w:rsidR="000C1C1B">
        <w:rPr>
          <w:vertAlign w:val="superscript"/>
        </w:rPr>
        <w:t>/</w:t>
      </w:r>
      <w:r w:rsidR="000C1C1B">
        <w:rPr>
          <w:lang w:val="en-US"/>
        </w:rPr>
        <w:t xml:space="preserve">  The Company has not fulfilled its end of the bargain, however, in burdening ra</w:t>
      </w:r>
      <w:r w:rsidR="0032272B">
        <w:rPr>
          <w:lang w:val="en-US"/>
        </w:rPr>
        <w:t>tepayers with yet another annual</w:t>
      </w:r>
      <w:r w:rsidR="000C1C1B">
        <w:rPr>
          <w:lang w:val="en-US"/>
        </w:rPr>
        <w:t xml:space="preserve"> rate filing just months after</w:t>
      </w:r>
      <w:r w:rsidR="0032272B">
        <w:rPr>
          <w:lang w:val="en-US"/>
        </w:rPr>
        <w:t xml:space="preserve"> receiving this special EOP rate grant.  Accordingly, there is no need to continue to mitigate the effects of regulatory lag, given that the Company has shown no indication that it wil</w:t>
      </w:r>
      <w:r w:rsidR="00D64F1E">
        <w:rPr>
          <w:lang w:val="en-US"/>
        </w:rPr>
        <w:t>l not file another GRC in 2015.  N</w:t>
      </w:r>
      <w:r w:rsidR="0032272B">
        <w:rPr>
          <w:lang w:val="en-US"/>
        </w:rPr>
        <w:t xml:space="preserve">ext year’s rate filing will </w:t>
      </w:r>
      <w:r w:rsidR="00AF218E">
        <w:rPr>
          <w:lang w:val="en-US"/>
        </w:rPr>
        <w:t>ameliorate these concerns</w:t>
      </w:r>
      <w:r w:rsidR="0032272B">
        <w:rPr>
          <w:lang w:val="en-US"/>
        </w:rPr>
        <w:t>.</w:t>
      </w:r>
    </w:p>
    <w:p w:rsidR="000C1C1B" w:rsidRPr="008C0343" w:rsidRDefault="005D536A" w:rsidP="006069B9">
      <w:pPr>
        <w:pStyle w:val="130043Post-hearingBriefParagraph"/>
        <w:keepNext/>
        <w:widowControl w:val="0"/>
      </w:pPr>
      <w:r>
        <w:rPr>
          <w:lang w:val="en-US"/>
        </w:rPr>
        <w:tab/>
      </w:r>
      <w:r w:rsidR="0032272B">
        <w:rPr>
          <w:lang w:val="en-US"/>
        </w:rPr>
        <w:t>The Company also makes the claim:  “It is undisputed that the Company has historically under-earned in Washington.”</w:t>
      </w:r>
      <w:r w:rsidR="0032272B" w:rsidRPr="00851324">
        <w:rPr>
          <w:rStyle w:val="FootnoteReference"/>
          <w:u w:val="single"/>
        </w:rPr>
        <w:footnoteReference w:id="95"/>
      </w:r>
      <w:r w:rsidR="0032272B">
        <w:rPr>
          <w:vertAlign w:val="superscript"/>
        </w:rPr>
        <w:t>/</w:t>
      </w:r>
      <w:r w:rsidR="0032272B">
        <w:rPr>
          <w:lang w:val="en-US"/>
        </w:rPr>
        <w:t xml:space="preserve">  Contrary to the Company’s claim, however, Boise does dispute Pacific Power’s “chronic” under-</w:t>
      </w:r>
      <w:r w:rsidR="00AF218E">
        <w:rPr>
          <w:lang w:val="en-US"/>
        </w:rPr>
        <w:t>earning</w:t>
      </w:r>
      <w:r w:rsidR="0032272B">
        <w:rPr>
          <w:lang w:val="en-US"/>
        </w:rPr>
        <w:t xml:space="preserve"> claims.</w:t>
      </w:r>
      <w:r w:rsidR="0032272B" w:rsidRPr="00851324">
        <w:rPr>
          <w:rStyle w:val="FootnoteReference"/>
          <w:u w:val="single"/>
        </w:rPr>
        <w:footnoteReference w:id="96"/>
      </w:r>
      <w:r w:rsidR="0032272B">
        <w:rPr>
          <w:vertAlign w:val="superscript"/>
        </w:rPr>
        <w:t>/</w:t>
      </w:r>
      <w:r w:rsidR="0032272B">
        <w:rPr>
          <w:lang w:val="en-US"/>
        </w:rPr>
        <w:t xml:space="preserve">  Moreover, to the extent that the Company is under-earning, the Commission should not reward the Company for its own </w:t>
      </w:r>
      <w:r w:rsidR="0032272B">
        <w:rPr>
          <w:lang w:val="en-US"/>
        </w:rPr>
        <w:lastRenderedPageBreak/>
        <w:t>mismanagement.</w:t>
      </w:r>
      <w:r w:rsidR="0032272B" w:rsidRPr="00851324">
        <w:rPr>
          <w:rStyle w:val="FootnoteReference"/>
          <w:u w:val="single"/>
        </w:rPr>
        <w:footnoteReference w:id="97"/>
      </w:r>
      <w:r w:rsidR="0032272B">
        <w:rPr>
          <w:vertAlign w:val="superscript"/>
        </w:rPr>
        <w:t>/</w:t>
      </w:r>
    </w:p>
    <w:p w:rsidR="008C0343" w:rsidRDefault="008C0343" w:rsidP="008C0343">
      <w:pPr>
        <w:spacing w:after="240"/>
        <w:ind w:left="1440" w:hanging="720"/>
        <w:rPr>
          <w:b/>
        </w:rPr>
      </w:pPr>
      <w:r w:rsidRPr="008C0343">
        <w:rPr>
          <w:b/>
        </w:rPr>
        <w:t>3.</w:t>
      </w:r>
      <w:r w:rsidRPr="008C0343">
        <w:rPr>
          <w:b/>
        </w:rPr>
        <w:tab/>
        <w:t>The Commission Should Deny the Use of a Proposed Non-labor Operations and Maintenance (“O&amp;M”) Escalator</w:t>
      </w:r>
    </w:p>
    <w:p w:rsidR="008C0343" w:rsidRPr="008C0343" w:rsidRDefault="005D536A" w:rsidP="008C0343">
      <w:pPr>
        <w:pStyle w:val="130043Post-hearingBriefParagraph"/>
      </w:pPr>
      <w:r>
        <w:rPr>
          <w:lang w:val="en-US"/>
        </w:rPr>
        <w:tab/>
      </w:r>
      <w:r w:rsidR="008C0343">
        <w:rPr>
          <w:lang w:val="en-US"/>
        </w:rPr>
        <w:t>The Company has not demonstrated that its proposed O&amp;M escalator should be accepted by the Commission.  While Pacific Power claims that the IHS Global Insights indices upon which the escalator is based are “widely-used and reliable,”</w:t>
      </w:r>
      <w:r w:rsidR="008C0343" w:rsidRPr="00851324">
        <w:rPr>
          <w:rStyle w:val="FootnoteReference"/>
          <w:u w:val="single"/>
        </w:rPr>
        <w:footnoteReference w:id="98"/>
      </w:r>
      <w:r w:rsidR="008C0343">
        <w:rPr>
          <w:vertAlign w:val="superscript"/>
        </w:rPr>
        <w:t>/</w:t>
      </w:r>
      <w:r w:rsidR="008C0343">
        <w:rPr>
          <w:lang w:val="en-US"/>
        </w:rPr>
        <w:t xml:space="preserve"> the Wyoming PSC recently rejected their use due to explicit concerns with </w:t>
      </w:r>
      <w:r w:rsidR="002B0B4B">
        <w:rPr>
          <w:lang w:val="en-US"/>
        </w:rPr>
        <w:t xml:space="preserve">the escalation factor’s </w:t>
      </w:r>
      <w:r w:rsidR="008C0343">
        <w:rPr>
          <w:lang w:val="en-US"/>
        </w:rPr>
        <w:t>accuracy.</w:t>
      </w:r>
      <w:r w:rsidR="00FB7A20" w:rsidRPr="00922AF3">
        <w:rPr>
          <w:rStyle w:val="FootnoteReference"/>
          <w:u w:val="single"/>
        </w:rPr>
        <w:footnoteReference w:id="99"/>
      </w:r>
      <w:r w:rsidR="00FB7A20" w:rsidRPr="00922AF3">
        <w:rPr>
          <w:vertAlign w:val="superscript"/>
        </w:rPr>
        <w:t>/</w:t>
      </w:r>
      <w:r w:rsidR="008C0343">
        <w:rPr>
          <w:lang w:val="en-US"/>
        </w:rPr>
        <w:t xml:space="preserve">  </w:t>
      </w:r>
      <w:r w:rsidR="0088236E">
        <w:rPr>
          <w:lang w:val="en-US"/>
        </w:rPr>
        <w:t xml:space="preserve">This is especially noteworthy given testimony appearing to support the idea that such an escalator </w:t>
      </w:r>
      <w:r w:rsidR="0088236E" w:rsidRPr="00C23275">
        <w:rPr>
          <w:i/>
          <w:lang w:val="en-US"/>
        </w:rPr>
        <w:t>is</w:t>
      </w:r>
      <w:r w:rsidR="0088236E">
        <w:rPr>
          <w:lang w:val="en-US"/>
        </w:rPr>
        <w:t xml:space="preserve"> appropriate</w:t>
      </w:r>
      <w:r w:rsidR="00C23275">
        <w:rPr>
          <w:lang w:val="en-US"/>
        </w:rPr>
        <w:t>, at least</w:t>
      </w:r>
      <w:r w:rsidR="0088236E">
        <w:rPr>
          <w:lang w:val="en-US"/>
        </w:rPr>
        <w:t xml:space="preserve"> in states employing a future test year.</w:t>
      </w:r>
      <w:r w:rsidR="0088236E" w:rsidRPr="00851324">
        <w:rPr>
          <w:rStyle w:val="FootnoteReference"/>
          <w:u w:val="single"/>
        </w:rPr>
        <w:footnoteReference w:id="100"/>
      </w:r>
      <w:r w:rsidR="0088236E">
        <w:rPr>
          <w:vertAlign w:val="superscript"/>
        </w:rPr>
        <w:t>/</w:t>
      </w:r>
      <w:r w:rsidR="0088236E">
        <w:rPr>
          <w:lang w:val="en-US"/>
        </w:rPr>
        <w:t xml:space="preserve">  B</w:t>
      </w:r>
      <w:r w:rsidR="00D64F1E">
        <w:rPr>
          <w:lang w:val="en-US"/>
        </w:rPr>
        <w:t>ut, b</w:t>
      </w:r>
      <w:r w:rsidR="0088236E">
        <w:rPr>
          <w:lang w:val="en-US"/>
        </w:rPr>
        <w:t>ased upon the determination of the Wyoming PSC, which uses a future test year for the Company</w:t>
      </w:r>
      <w:r w:rsidR="004C459F">
        <w:rPr>
          <w:lang w:val="en-US"/>
        </w:rPr>
        <w:t>,</w:t>
      </w:r>
      <w:r w:rsidR="00966EC9">
        <w:rPr>
          <w:lang w:val="en-US"/>
        </w:rPr>
        <w:t xml:space="preserve"> </w:t>
      </w:r>
      <w:r w:rsidR="00B10453">
        <w:rPr>
          <w:lang w:val="en-US"/>
        </w:rPr>
        <w:t xml:space="preserve">  </w:t>
      </w:r>
      <w:r w:rsidR="0088236E" w:rsidRPr="00922AF3">
        <w:rPr>
          <w:rStyle w:val="FootnoteReference"/>
          <w:u w:val="single"/>
        </w:rPr>
        <w:footnoteReference w:id="101"/>
      </w:r>
      <w:r w:rsidR="0088236E" w:rsidRPr="00922AF3">
        <w:rPr>
          <w:vertAlign w:val="superscript"/>
        </w:rPr>
        <w:t>/</w:t>
      </w:r>
      <w:r w:rsidR="0088236E">
        <w:rPr>
          <w:lang w:val="en-US"/>
        </w:rPr>
        <w:t xml:space="preserve"> there is now additional weig</w:t>
      </w:r>
      <w:r w:rsidR="00036785">
        <w:rPr>
          <w:lang w:val="en-US"/>
        </w:rPr>
        <w:t>ht to the argument against the C</w:t>
      </w:r>
      <w:r w:rsidR="0088236E">
        <w:rPr>
          <w:lang w:val="en-US"/>
        </w:rPr>
        <w:t>ompany’s propo</w:t>
      </w:r>
      <w:r w:rsidR="00C23275">
        <w:rPr>
          <w:lang w:val="en-US"/>
        </w:rPr>
        <w:t>sed escalator, regardless of</w:t>
      </w:r>
      <w:r w:rsidR="0088236E">
        <w:rPr>
          <w:lang w:val="en-US"/>
        </w:rPr>
        <w:t xml:space="preserve"> test year methodology.  Finally, the Company’s claim that Boise has relied on a similar escalation factor to support its recommended EIM adjustment is inaccurate,</w:t>
      </w:r>
      <w:r w:rsidR="0088236E" w:rsidRPr="00851324">
        <w:rPr>
          <w:rStyle w:val="FootnoteReference"/>
          <w:u w:val="single"/>
        </w:rPr>
        <w:footnoteReference w:id="102"/>
      </w:r>
      <w:r w:rsidR="0088236E">
        <w:rPr>
          <w:vertAlign w:val="superscript"/>
        </w:rPr>
        <w:t>/</w:t>
      </w:r>
      <w:r w:rsidR="0088236E">
        <w:rPr>
          <w:lang w:val="en-US"/>
        </w:rPr>
        <w:t xml:space="preserve"> as explained by Mr. Mullins at hearing</w:t>
      </w:r>
      <w:r w:rsidR="00921C88">
        <w:rPr>
          <w:lang w:val="en-US"/>
        </w:rPr>
        <w:t xml:space="preserve"> when</w:t>
      </w:r>
      <w:r w:rsidR="00036785">
        <w:rPr>
          <w:lang w:val="en-US"/>
        </w:rPr>
        <w:t xml:space="preserve"> differentiating pro-forma power cost statements and historical accounting data</w:t>
      </w:r>
      <w:r w:rsidR="0088236E">
        <w:rPr>
          <w:lang w:val="en-US"/>
        </w:rPr>
        <w:t>.</w:t>
      </w:r>
      <w:r w:rsidR="0088236E" w:rsidRPr="00851324">
        <w:rPr>
          <w:rStyle w:val="FootnoteReference"/>
          <w:u w:val="single"/>
        </w:rPr>
        <w:footnoteReference w:id="103"/>
      </w:r>
      <w:r w:rsidR="0088236E">
        <w:rPr>
          <w:vertAlign w:val="superscript"/>
        </w:rPr>
        <w:t>/</w:t>
      </w:r>
    </w:p>
    <w:p w:rsidR="00717A87" w:rsidRPr="00976768" w:rsidRDefault="009E5581" w:rsidP="009E5581">
      <w:pPr>
        <w:keepNext/>
        <w:spacing w:after="240"/>
        <w:ind w:left="720" w:hanging="720"/>
        <w:rPr>
          <w:b/>
        </w:rPr>
      </w:pPr>
      <w:r>
        <w:rPr>
          <w:b/>
        </w:rPr>
        <w:lastRenderedPageBreak/>
        <w:t>C.</w:t>
      </w:r>
      <w:r>
        <w:rPr>
          <w:b/>
        </w:rPr>
        <w:tab/>
      </w:r>
      <w:r w:rsidR="00976768" w:rsidRPr="00A43720">
        <w:rPr>
          <w:b/>
        </w:rPr>
        <w:t>The Commission</w:t>
      </w:r>
      <w:r w:rsidR="00976768">
        <w:rPr>
          <w:b/>
        </w:rPr>
        <w:t xml:space="preserve"> Should Adopt Boise’s Recommended Adjustments to Net Power Costs</w:t>
      </w:r>
    </w:p>
    <w:p w:rsidR="000866EF" w:rsidRPr="000866EF" w:rsidRDefault="00087FE3" w:rsidP="00087FE3">
      <w:pPr>
        <w:keepNext/>
        <w:spacing w:after="240"/>
        <w:ind w:left="1440" w:hanging="720"/>
        <w:rPr>
          <w:b/>
        </w:rPr>
      </w:pPr>
      <w:r>
        <w:rPr>
          <w:b/>
        </w:rPr>
        <w:t>1.</w:t>
      </w:r>
      <w:r>
        <w:rPr>
          <w:b/>
        </w:rPr>
        <w:tab/>
      </w:r>
      <w:r w:rsidR="0037037B">
        <w:rPr>
          <w:b/>
        </w:rPr>
        <w:t>Pacific Power</w:t>
      </w:r>
      <w:r w:rsidR="00DB4FE9">
        <w:rPr>
          <w:b/>
        </w:rPr>
        <w:t xml:space="preserve">’s Misleading Arguments </w:t>
      </w:r>
      <w:r w:rsidR="008022B1">
        <w:rPr>
          <w:b/>
        </w:rPr>
        <w:t>D</w:t>
      </w:r>
      <w:r w:rsidR="00DB4FE9">
        <w:rPr>
          <w:b/>
        </w:rPr>
        <w:t>o Not Justify In</w:t>
      </w:r>
      <w:r w:rsidR="0037037B">
        <w:rPr>
          <w:b/>
        </w:rPr>
        <w:t xml:space="preserve">clusion of the </w:t>
      </w:r>
      <w:r w:rsidR="004F187F">
        <w:rPr>
          <w:b/>
        </w:rPr>
        <w:t xml:space="preserve">Full </w:t>
      </w:r>
      <w:r w:rsidR="00DB4FE9">
        <w:rPr>
          <w:b/>
        </w:rPr>
        <w:t>Costs of Oregon and California Q</w:t>
      </w:r>
      <w:r w:rsidR="00921C88">
        <w:rPr>
          <w:b/>
        </w:rPr>
        <w:t xml:space="preserve">ualifying </w:t>
      </w:r>
      <w:r w:rsidR="00DB4FE9">
        <w:rPr>
          <w:b/>
        </w:rPr>
        <w:t>F</w:t>
      </w:r>
      <w:r w:rsidR="00921C88">
        <w:rPr>
          <w:b/>
        </w:rPr>
        <w:t>acilities (“QFs”)</w:t>
      </w:r>
      <w:r w:rsidR="00DB4FE9">
        <w:rPr>
          <w:b/>
        </w:rPr>
        <w:t xml:space="preserve"> in Washington Rates</w:t>
      </w:r>
    </w:p>
    <w:p w:rsidR="00D608BE" w:rsidRPr="008F7658" w:rsidRDefault="005D536A" w:rsidP="00E06A6C">
      <w:pPr>
        <w:pStyle w:val="WUTCParagraph"/>
      </w:pPr>
      <w:r>
        <w:rPr>
          <w:lang w:val="en-US"/>
        </w:rPr>
        <w:tab/>
      </w:r>
      <w:r w:rsidR="009A48F6">
        <w:rPr>
          <w:lang w:val="en-US"/>
        </w:rPr>
        <w:t>As an initial matter, the Company’s arguments concerning QF allocation are presently</w:t>
      </w:r>
      <w:r w:rsidR="00D608BE">
        <w:rPr>
          <w:lang w:val="en-US"/>
        </w:rPr>
        <w:t xml:space="preserve"> being considered on appeal of </w:t>
      </w:r>
      <w:r w:rsidR="009A48F6">
        <w:rPr>
          <w:lang w:val="en-US"/>
        </w:rPr>
        <w:t xml:space="preserve">the 2013 GRC.  Hence, </w:t>
      </w:r>
      <w:r w:rsidR="00D608BE">
        <w:rPr>
          <w:lang w:val="en-US"/>
        </w:rPr>
        <w:t>the legal propriety and practical wisdom of reconsidering largely recycled appeal arguments in the present proceeding is doubtful.  Similarly, Boise and Staff have cited authority indicating that the Commission need not determine QF allocation issues</w:t>
      </w:r>
      <w:r w:rsidR="00921C88">
        <w:rPr>
          <w:lang w:val="en-US"/>
        </w:rPr>
        <w:t>,</w:t>
      </w:r>
      <w:r w:rsidR="00D608BE">
        <w:rPr>
          <w:lang w:val="en-US"/>
        </w:rPr>
        <w:t xml:space="preserve"> given the comprehensive findings reached in the 2013 GRC.</w:t>
      </w:r>
      <w:r w:rsidR="00D608BE" w:rsidRPr="00851324">
        <w:rPr>
          <w:rStyle w:val="FootnoteReference"/>
          <w:u w:val="single"/>
        </w:rPr>
        <w:footnoteReference w:id="104"/>
      </w:r>
      <w:r w:rsidR="00D608BE">
        <w:rPr>
          <w:vertAlign w:val="superscript"/>
        </w:rPr>
        <w:t>/</w:t>
      </w:r>
      <w:r w:rsidR="00EE5473">
        <w:rPr>
          <w:lang w:val="en-US"/>
        </w:rPr>
        <w:t xml:space="preserve">  To this end, the Company’s insistence on relitigating failed arguments</w:t>
      </w:r>
      <w:r w:rsidR="00446C59">
        <w:rPr>
          <w:lang w:val="en-US"/>
        </w:rPr>
        <w:t xml:space="preserve"> (including “[t]he single most significant NPC issue in” the 2013 GRC),</w:t>
      </w:r>
      <w:r w:rsidR="00446C59" w:rsidRPr="00922AF3">
        <w:rPr>
          <w:rStyle w:val="FootnoteReference"/>
          <w:u w:val="single"/>
        </w:rPr>
        <w:footnoteReference w:id="105"/>
      </w:r>
      <w:r w:rsidR="00446C59" w:rsidRPr="00922AF3">
        <w:rPr>
          <w:vertAlign w:val="superscript"/>
        </w:rPr>
        <w:t>/</w:t>
      </w:r>
      <w:r w:rsidR="00446C59">
        <w:rPr>
          <w:lang w:val="en-US"/>
        </w:rPr>
        <w:t xml:space="preserve"> </w:t>
      </w:r>
      <w:r w:rsidR="00EE5473">
        <w:rPr>
          <w:lang w:val="en-US"/>
        </w:rPr>
        <w:t>puts an unnecessary strain on Commission and pa</w:t>
      </w:r>
      <w:r w:rsidR="00390B70">
        <w:rPr>
          <w:lang w:val="en-US"/>
        </w:rPr>
        <w:t>rty resources (not to mention</w:t>
      </w:r>
      <w:r w:rsidR="00EE5473">
        <w:rPr>
          <w:lang w:val="en-US"/>
        </w:rPr>
        <w:t xml:space="preserve"> added ratepayer burden, once Company legal exp</w:t>
      </w:r>
      <w:r w:rsidR="00390B70">
        <w:rPr>
          <w:lang w:val="en-US"/>
        </w:rPr>
        <w:t xml:space="preserve">enses are charged to the public) </w:t>
      </w:r>
      <w:r w:rsidR="00EE5473">
        <w:rPr>
          <w:lang w:val="en-US"/>
        </w:rPr>
        <w:t xml:space="preserve">that would justify </w:t>
      </w:r>
      <w:r w:rsidR="00921C88">
        <w:rPr>
          <w:lang w:val="en-US"/>
        </w:rPr>
        <w:t>Commission</w:t>
      </w:r>
      <w:r w:rsidR="00EE5473">
        <w:rPr>
          <w:lang w:val="en-US"/>
        </w:rPr>
        <w:t xml:space="preserve"> exercise of such authority.</w:t>
      </w:r>
      <w:r w:rsidR="00EE5473" w:rsidRPr="00851324">
        <w:rPr>
          <w:rStyle w:val="FootnoteReference"/>
          <w:u w:val="single"/>
        </w:rPr>
        <w:footnoteReference w:id="106"/>
      </w:r>
      <w:r w:rsidR="00EE5473">
        <w:rPr>
          <w:vertAlign w:val="superscript"/>
        </w:rPr>
        <w:t>/</w:t>
      </w:r>
    </w:p>
    <w:p w:rsidR="00A81D33" w:rsidRPr="00A81D33" w:rsidRDefault="00D5516D" w:rsidP="00A81D33">
      <w:pPr>
        <w:spacing w:after="240"/>
        <w:ind w:left="2160" w:hanging="720"/>
        <w:rPr>
          <w:b/>
        </w:rPr>
      </w:pPr>
      <w:r>
        <w:rPr>
          <w:b/>
        </w:rPr>
        <w:t>a</w:t>
      </w:r>
      <w:r w:rsidR="00A81D33" w:rsidRPr="00A81D33">
        <w:rPr>
          <w:b/>
        </w:rPr>
        <w:t>.</w:t>
      </w:r>
      <w:r w:rsidR="00A81D33" w:rsidRPr="00A81D33">
        <w:rPr>
          <w:b/>
        </w:rPr>
        <w:tab/>
        <w:t xml:space="preserve">The Company </w:t>
      </w:r>
      <w:r w:rsidR="00A81D33">
        <w:rPr>
          <w:b/>
        </w:rPr>
        <w:t>Misapplies</w:t>
      </w:r>
      <w:r w:rsidR="00A81D33" w:rsidRPr="00A81D33">
        <w:rPr>
          <w:b/>
        </w:rPr>
        <w:t xml:space="preserve"> Federal </w:t>
      </w:r>
      <w:r w:rsidR="00A81D33">
        <w:rPr>
          <w:b/>
        </w:rPr>
        <w:t xml:space="preserve">and State </w:t>
      </w:r>
      <w:r w:rsidR="00A81D33" w:rsidRPr="00A81D33">
        <w:rPr>
          <w:b/>
        </w:rPr>
        <w:t>Authority</w:t>
      </w:r>
      <w:r w:rsidR="00A81D33">
        <w:rPr>
          <w:b/>
        </w:rPr>
        <w:t xml:space="preserve"> Regarding QFs</w:t>
      </w:r>
    </w:p>
    <w:p w:rsidR="00C16AB2" w:rsidRPr="00FD3610" w:rsidRDefault="005D536A" w:rsidP="0037037B">
      <w:pPr>
        <w:pStyle w:val="WUTCParagraph"/>
      </w:pPr>
      <w:r>
        <w:rPr>
          <w:lang w:val="en-US"/>
        </w:rPr>
        <w:tab/>
      </w:r>
      <w:r w:rsidR="00C16AB2">
        <w:rPr>
          <w:lang w:val="en-US"/>
        </w:rPr>
        <w:t>Pacific Power quotes federal authority to assert that QF pricing must ensure that consumers are paying the same amount as if a utility had “purchased energy elsewhere.”</w:t>
      </w:r>
      <w:r w:rsidR="00C16AB2" w:rsidRPr="00851324">
        <w:rPr>
          <w:rStyle w:val="FootnoteReference"/>
          <w:u w:val="single"/>
        </w:rPr>
        <w:footnoteReference w:id="107"/>
      </w:r>
      <w:r w:rsidR="00C16AB2">
        <w:rPr>
          <w:vertAlign w:val="superscript"/>
        </w:rPr>
        <w:t>/</w:t>
      </w:r>
      <w:r w:rsidR="00C16AB2">
        <w:rPr>
          <w:lang w:val="en-US"/>
        </w:rPr>
        <w:t xml:space="preserve">  By definition, market rate pricing for out-of-state QF power under WCA situs allocation satisfies </w:t>
      </w:r>
      <w:r w:rsidR="00C16AB2">
        <w:rPr>
          <w:lang w:val="en-US"/>
        </w:rPr>
        <w:lastRenderedPageBreak/>
        <w:t xml:space="preserve">that requirement.  </w:t>
      </w:r>
      <w:r w:rsidR="00FD3610">
        <w:rPr>
          <w:lang w:val="en-US"/>
        </w:rPr>
        <w:t>Conversely, all of the Company’s proposals to increase Washington rates by attributing some or all of the above-market</w:t>
      </w:r>
      <w:r w:rsidR="00921C88">
        <w:rPr>
          <w:lang w:val="en-US"/>
        </w:rPr>
        <w:t xml:space="preserve"> costs for out-of-state QFs do</w:t>
      </w:r>
      <w:r w:rsidR="00FD3610">
        <w:rPr>
          <w:lang w:val="en-US"/>
        </w:rPr>
        <w:t xml:space="preserve"> not.</w:t>
      </w:r>
    </w:p>
    <w:p w:rsidR="008B6885" w:rsidRPr="007202D7" w:rsidRDefault="005D536A" w:rsidP="0037037B">
      <w:pPr>
        <w:pStyle w:val="WUTCParagraph"/>
      </w:pPr>
      <w:r>
        <w:rPr>
          <w:lang w:val="en-US"/>
        </w:rPr>
        <w:tab/>
      </w:r>
      <w:r w:rsidR="00D5516D">
        <w:rPr>
          <w:lang w:val="en-US"/>
        </w:rPr>
        <w:t>T</w:t>
      </w:r>
      <w:r w:rsidR="00890E03">
        <w:rPr>
          <w:lang w:val="en-US"/>
        </w:rPr>
        <w:t xml:space="preserve">he Company’s </w:t>
      </w:r>
      <w:r w:rsidR="00FD2B80">
        <w:rPr>
          <w:lang w:val="en-US"/>
        </w:rPr>
        <w:t>reliance on a 1983 Commission decision does not further the argument that all out-of-state QF costs should be included in Washington rates.</w:t>
      </w:r>
      <w:r w:rsidR="00FD2B80" w:rsidRPr="00922AF3">
        <w:rPr>
          <w:rStyle w:val="FootnoteReference"/>
          <w:u w:val="single"/>
        </w:rPr>
        <w:footnoteReference w:id="108"/>
      </w:r>
      <w:r w:rsidR="00FD2B80" w:rsidRPr="00922AF3">
        <w:rPr>
          <w:vertAlign w:val="superscript"/>
        </w:rPr>
        <w:t>/</w:t>
      </w:r>
      <w:r w:rsidR="00FD2B80">
        <w:rPr>
          <w:lang w:val="en-US"/>
        </w:rPr>
        <w:t xml:space="preserve">   The Com</w:t>
      </w:r>
      <w:r w:rsidR="00176EE4">
        <w:rPr>
          <w:lang w:val="en-US"/>
        </w:rPr>
        <w:t>pany frames the relevance of this</w:t>
      </w:r>
      <w:r w:rsidR="00FD2B80">
        <w:rPr>
          <w:lang w:val="en-US"/>
        </w:rPr>
        <w:t xml:space="preserve"> case </w:t>
      </w:r>
      <w:r w:rsidR="00176EE4">
        <w:rPr>
          <w:lang w:val="en-US"/>
        </w:rPr>
        <w:t>as including:  1)</w:t>
      </w:r>
      <w:r w:rsidR="00FD2B80">
        <w:rPr>
          <w:lang w:val="en-US"/>
        </w:rPr>
        <w:t xml:space="preserve"> an Idaho QF</w:t>
      </w:r>
      <w:r w:rsidR="00176EE4">
        <w:rPr>
          <w:lang w:val="en-US"/>
        </w:rPr>
        <w:t>;</w:t>
      </w:r>
      <w:r w:rsidR="00FD2B80">
        <w:rPr>
          <w:lang w:val="en-US"/>
        </w:rPr>
        <w:t xml:space="preserve"> and </w:t>
      </w:r>
      <w:r w:rsidR="00176EE4">
        <w:rPr>
          <w:lang w:val="en-US"/>
        </w:rPr>
        <w:t xml:space="preserve">2) </w:t>
      </w:r>
      <w:r w:rsidR="00FD2B80">
        <w:rPr>
          <w:lang w:val="en-US"/>
        </w:rPr>
        <w:t>a determination by the Commission to disallow recovery of amounts exceeding the avoided cost price.</w:t>
      </w:r>
      <w:r w:rsidR="00FD2B80" w:rsidRPr="00922AF3">
        <w:rPr>
          <w:rStyle w:val="FootnoteReference"/>
          <w:u w:val="single"/>
        </w:rPr>
        <w:footnoteReference w:id="109"/>
      </w:r>
      <w:r w:rsidR="00FD2B80" w:rsidRPr="00922AF3">
        <w:rPr>
          <w:vertAlign w:val="superscript"/>
        </w:rPr>
        <w:t>/</w:t>
      </w:r>
      <w:r w:rsidR="00FD2B80">
        <w:rPr>
          <w:lang w:val="en-US"/>
        </w:rPr>
        <w:t xml:space="preserve"> </w:t>
      </w:r>
      <w:r w:rsidR="007202D7">
        <w:rPr>
          <w:lang w:val="en-US"/>
        </w:rPr>
        <w:t xml:space="preserve"> </w:t>
      </w:r>
      <w:r w:rsidR="00FD2B80">
        <w:rPr>
          <w:lang w:val="en-US"/>
        </w:rPr>
        <w:t xml:space="preserve">What the Company does not mention, however, is </w:t>
      </w:r>
      <w:r w:rsidR="00176EE4">
        <w:rPr>
          <w:lang w:val="en-US"/>
        </w:rPr>
        <w:t xml:space="preserve">that </w:t>
      </w:r>
      <w:r w:rsidR="00FD2B80">
        <w:rPr>
          <w:lang w:val="en-US"/>
        </w:rPr>
        <w:t xml:space="preserve">the Commission established the </w:t>
      </w:r>
      <w:r w:rsidR="007202D7">
        <w:rPr>
          <w:lang w:val="en-US"/>
        </w:rPr>
        <w:t xml:space="preserve">appropriate </w:t>
      </w:r>
      <w:r w:rsidR="00FD2B80">
        <w:rPr>
          <w:lang w:val="en-US"/>
        </w:rPr>
        <w:t xml:space="preserve">avoided cost price for the Idaho QF </w:t>
      </w:r>
      <w:r w:rsidR="007202D7">
        <w:rPr>
          <w:lang w:val="en-US"/>
        </w:rPr>
        <w:t>as “the purchase of power from the Bonneville Power Administration.”</w:t>
      </w:r>
      <w:r w:rsidR="007202D7" w:rsidRPr="00922AF3">
        <w:rPr>
          <w:rStyle w:val="FootnoteReference"/>
          <w:u w:val="single"/>
        </w:rPr>
        <w:footnoteReference w:id="110"/>
      </w:r>
      <w:r w:rsidR="007202D7" w:rsidRPr="00922AF3">
        <w:rPr>
          <w:vertAlign w:val="superscript"/>
        </w:rPr>
        <w:t>/</w:t>
      </w:r>
      <w:r w:rsidR="007202D7">
        <w:rPr>
          <w:lang w:val="en-US"/>
        </w:rPr>
        <w:t xml:space="preserve">  In other words, the cost Washington ratepayers were responsible to pay for out-of-state QF power in 1983 is the same as </w:t>
      </w:r>
      <w:r w:rsidR="00D5516D">
        <w:rPr>
          <w:lang w:val="en-US"/>
        </w:rPr>
        <w:t xml:space="preserve">in </w:t>
      </w:r>
      <w:r w:rsidR="007202D7">
        <w:rPr>
          <w:lang w:val="en-US"/>
        </w:rPr>
        <w:t>2014—market priced power.</w:t>
      </w:r>
    </w:p>
    <w:p w:rsidR="007202D7" w:rsidRPr="00A81D33" w:rsidRDefault="005D536A" w:rsidP="0037037B">
      <w:pPr>
        <w:pStyle w:val="WUTCParagraph"/>
      </w:pPr>
      <w:r>
        <w:rPr>
          <w:lang w:val="en-US"/>
        </w:rPr>
        <w:tab/>
      </w:r>
      <w:r w:rsidR="007202D7">
        <w:rPr>
          <w:lang w:val="en-US"/>
        </w:rPr>
        <w:t>The Company is wrong to assert that no party has challenged the avoided cost prices of Oregon or California QFs in this case, or “claimed that they are excessive or illegal.”</w:t>
      </w:r>
      <w:r w:rsidR="007202D7" w:rsidRPr="00922AF3">
        <w:rPr>
          <w:rStyle w:val="FootnoteReference"/>
          <w:u w:val="single"/>
        </w:rPr>
        <w:footnoteReference w:id="111"/>
      </w:r>
      <w:r w:rsidR="007202D7" w:rsidRPr="00922AF3">
        <w:rPr>
          <w:vertAlign w:val="superscript"/>
        </w:rPr>
        <w:t>/</w:t>
      </w:r>
      <w:r w:rsidR="007202D7">
        <w:rPr>
          <w:lang w:val="en-US"/>
        </w:rPr>
        <w:t xml:space="preserve"> To begin, no party has made such challenges or claims for the obvious reason that they do not concern the Commission or any other party to this proceeding.  As the Commission explained in the 2013 GRC, avoided cost pricing is determined by the policy makers in those states, </w:t>
      </w:r>
      <w:r w:rsidR="00DA36B1">
        <w:rPr>
          <w:lang w:val="en-US"/>
        </w:rPr>
        <w:t>and should be borne by the ratepayers in those states.</w:t>
      </w:r>
      <w:r w:rsidR="00DA36B1" w:rsidRPr="00922AF3">
        <w:rPr>
          <w:rStyle w:val="FootnoteReference"/>
          <w:u w:val="single"/>
        </w:rPr>
        <w:footnoteReference w:id="112"/>
      </w:r>
      <w:r w:rsidR="00DA36B1" w:rsidRPr="00922AF3">
        <w:rPr>
          <w:vertAlign w:val="superscript"/>
        </w:rPr>
        <w:t>/</w:t>
      </w:r>
      <w:r w:rsidR="003F564D">
        <w:rPr>
          <w:lang w:val="en-US"/>
        </w:rPr>
        <w:t xml:space="preserve">  Next, this argument misses the point clarified in </w:t>
      </w:r>
      <w:r w:rsidR="003F564D">
        <w:rPr>
          <w:u w:val="single"/>
          <w:lang w:val="en-US"/>
        </w:rPr>
        <w:t>So. Cal. Edison</w:t>
      </w:r>
      <w:r w:rsidR="003F564D">
        <w:rPr>
          <w:lang w:val="en-US"/>
        </w:rPr>
        <w:t xml:space="preserve"> that “[a] state may, </w:t>
      </w:r>
      <w:r w:rsidR="003F564D" w:rsidRPr="003F564D">
        <w:rPr>
          <w:i/>
          <w:lang w:val="en-US"/>
        </w:rPr>
        <w:t>through state action</w:t>
      </w:r>
      <w:r w:rsidR="003F564D">
        <w:rPr>
          <w:lang w:val="en-US"/>
        </w:rPr>
        <w:t>, influence what costs are incurred by the utility.”</w:t>
      </w:r>
      <w:r w:rsidR="00611B8B" w:rsidRPr="00922AF3">
        <w:rPr>
          <w:rStyle w:val="FootnoteReference"/>
          <w:u w:val="single"/>
        </w:rPr>
        <w:footnoteReference w:id="113"/>
      </w:r>
      <w:r w:rsidR="00611B8B" w:rsidRPr="00922AF3">
        <w:rPr>
          <w:vertAlign w:val="superscript"/>
        </w:rPr>
        <w:t>/</w:t>
      </w:r>
      <w:r w:rsidR="00B51E15">
        <w:rPr>
          <w:lang w:val="en-US"/>
        </w:rPr>
        <w:t xml:space="preserve">  No one contends, simply because Oregon and California QF costs are higher than in Washington, that these costs are excessive or illegal.  The point is that “through </w:t>
      </w:r>
      <w:r w:rsidR="00B51E15">
        <w:rPr>
          <w:lang w:val="en-US"/>
        </w:rPr>
        <w:lastRenderedPageBreak/>
        <w:t>state action” each state has leeway to implement its own environmental policy.  Again, this completely agrees with the Commission’s own explanation of how states implement the</w:t>
      </w:r>
      <w:r w:rsidR="00B51E15">
        <w:t xml:space="preserve"> Public Utility Regulatory Policy Act of 1978 (“PURPA”)</w:t>
      </w:r>
      <w:r w:rsidR="00B51E15">
        <w:rPr>
          <w:lang w:val="en-US"/>
        </w:rPr>
        <w:t>.</w:t>
      </w:r>
      <w:r w:rsidR="00B51E15" w:rsidRPr="00922AF3">
        <w:rPr>
          <w:rStyle w:val="FootnoteReference"/>
          <w:u w:val="single"/>
        </w:rPr>
        <w:footnoteReference w:id="114"/>
      </w:r>
      <w:r w:rsidR="00B51E15" w:rsidRPr="00922AF3">
        <w:rPr>
          <w:vertAlign w:val="superscript"/>
        </w:rPr>
        <w:t>/</w:t>
      </w:r>
    </w:p>
    <w:p w:rsidR="00A81D33" w:rsidRPr="00A81D33" w:rsidRDefault="00D5516D" w:rsidP="00A81D33">
      <w:pPr>
        <w:ind w:left="2160" w:hanging="720"/>
        <w:rPr>
          <w:b/>
        </w:rPr>
      </w:pPr>
      <w:r>
        <w:rPr>
          <w:b/>
        </w:rPr>
        <w:t>b</w:t>
      </w:r>
      <w:r w:rsidR="00A81D33" w:rsidRPr="00A81D33">
        <w:rPr>
          <w:b/>
        </w:rPr>
        <w:t>.</w:t>
      </w:r>
      <w:r w:rsidR="00A81D33" w:rsidRPr="00A81D33">
        <w:rPr>
          <w:b/>
        </w:rPr>
        <w:tab/>
      </w:r>
      <w:r w:rsidR="00222EE5">
        <w:rPr>
          <w:b/>
        </w:rPr>
        <w:t>Situs Allocation</w:t>
      </w:r>
      <w:r w:rsidR="00A81D33">
        <w:rPr>
          <w:b/>
        </w:rPr>
        <w:t xml:space="preserve"> and Market Pricing Are</w:t>
      </w:r>
      <w:r w:rsidR="00A81D33" w:rsidRPr="00A81D33">
        <w:rPr>
          <w:b/>
        </w:rPr>
        <w:t xml:space="preserve"> Legal and Fair</w:t>
      </w:r>
    </w:p>
    <w:p w:rsidR="00A81D33" w:rsidRPr="003F564D" w:rsidRDefault="00A81D33" w:rsidP="00A81D33">
      <w:pPr>
        <w:ind w:left="1440"/>
      </w:pPr>
    </w:p>
    <w:p w:rsidR="00AA7C54" w:rsidRPr="00AA7C54" w:rsidRDefault="005D536A" w:rsidP="00AA7C54">
      <w:pPr>
        <w:pStyle w:val="WUTCParagraph"/>
      </w:pPr>
      <w:r>
        <w:rPr>
          <w:lang w:val="en-US"/>
        </w:rPr>
        <w:tab/>
      </w:r>
      <w:r w:rsidR="00BF146E">
        <w:rPr>
          <w:lang w:val="en-US"/>
        </w:rPr>
        <w:t>The Company complains that “situs assignment results in Washington customers receiving QF power-related benefits for which they do not pay.”</w:t>
      </w:r>
      <w:r w:rsidR="00BF146E" w:rsidRPr="00922AF3">
        <w:rPr>
          <w:rStyle w:val="FootnoteReference"/>
          <w:u w:val="single"/>
        </w:rPr>
        <w:footnoteReference w:id="115"/>
      </w:r>
      <w:r w:rsidR="00BF146E" w:rsidRPr="00922AF3">
        <w:rPr>
          <w:vertAlign w:val="superscript"/>
        </w:rPr>
        <w:t>/</w:t>
      </w:r>
      <w:r w:rsidR="00BF146E">
        <w:rPr>
          <w:lang w:val="en-US"/>
        </w:rPr>
        <w:t xml:space="preserve">  </w:t>
      </w:r>
      <w:r w:rsidR="00CE6DAB">
        <w:rPr>
          <w:lang w:val="en-US"/>
        </w:rPr>
        <w:t xml:space="preserve">This </w:t>
      </w:r>
      <w:r w:rsidR="00AA7C54">
        <w:rPr>
          <w:lang w:val="en-US"/>
        </w:rPr>
        <w:t>claim</w:t>
      </w:r>
      <w:r w:rsidR="00CE6DAB">
        <w:rPr>
          <w:lang w:val="en-US"/>
        </w:rPr>
        <w:t xml:space="preserve"> is patently false, as demonst</w:t>
      </w:r>
      <w:r w:rsidR="0060013A">
        <w:rPr>
          <w:lang w:val="en-US"/>
        </w:rPr>
        <w:t xml:space="preserve">rated by the Commission’s </w:t>
      </w:r>
      <w:r w:rsidR="00AA7C54">
        <w:rPr>
          <w:lang w:val="en-US"/>
        </w:rPr>
        <w:t>plain statement that, under WCA situs allocation, “Washington ratepayers remain responsible for paying for all the power they use, but any power attributed to an Oregon o</w:t>
      </w:r>
      <w:r w:rsidR="00222EE5">
        <w:rPr>
          <w:lang w:val="en-US"/>
        </w:rPr>
        <w:t>r California QF []</w:t>
      </w:r>
      <w:r w:rsidR="00AA7C54">
        <w:rPr>
          <w:lang w:val="en-US"/>
        </w:rPr>
        <w:t xml:space="preserve"> is priced at market rates.”</w:t>
      </w:r>
      <w:r w:rsidR="00AA7C54" w:rsidRPr="00922AF3">
        <w:rPr>
          <w:rStyle w:val="FootnoteReference"/>
          <w:u w:val="single"/>
        </w:rPr>
        <w:footnoteReference w:id="116"/>
      </w:r>
      <w:r w:rsidR="00AA7C54" w:rsidRPr="00922AF3">
        <w:rPr>
          <w:vertAlign w:val="superscript"/>
        </w:rPr>
        <w:t>/</w:t>
      </w:r>
      <w:r w:rsidR="00AA7C54">
        <w:rPr>
          <w:lang w:val="en-US"/>
        </w:rPr>
        <w:t xml:space="preserve">  To this end, there is no basis for Pacific Power’s contention that, to be consistent with PURPA, situs allocation “requires that each state consume only the QF electricity generated in that state.”</w:t>
      </w:r>
      <w:r w:rsidR="00AA7C54" w:rsidRPr="00922AF3">
        <w:rPr>
          <w:rStyle w:val="FootnoteReference"/>
          <w:u w:val="single"/>
        </w:rPr>
        <w:footnoteReference w:id="117"/>
      </w:r>
      <w:r w:rsidR="00AA7C54" w:rsidRPr="00922AF3">
        <w:rPr>
          <w:vertAlign w:val="superscript"/>
        </w:rPr>
        <w:t>/</w:t>
      </w:r>
      <w:r w:rsidR="00AA7C54">
        <w:rPr>
          <w:lang w:val="en-US"/>
        </w:rPr>
        <w:t xml:space="preserve">  Such a conclusion only follows from the erroneous premise that Washington ratepayers do not pay for out-of-state QF power used.</w:t>
      </w:r>
    </w:p>
    <w:p w:rsidR="00A43A68" w:rsidRPr="00A43A68" w:rsidRDefault="00D5516D" w:rsidP="00A43A68">
      <w:pPr>
        <w:spacing w:after="240"/>
        <w:ind w:left="1440"/>
        <w:rPr>
          <w:b/>
        </w:rPr>
      </w:pPr>
      <w:r>
        <w:rPr>
          <w:b/>
        </w:rPr>
        <w:t>c</w:t>
      </w:r>
      <w:r w:rsidR="00921C88">
        <w:rPr>
          <w:b/>
        </w:rPr>
        <w:t>.</w:t>
      </w:r>
      <w:r w:rsidR="00921C88">
        <w:rPr>
          <w:b/>
        </w:rPr>
        <w:tab/>
        <w:t>WCA Methodology Does Not V</w:t>
      </w:r>
      <w:r w:rsidR="00A43A68" w:rsidRPr="00A43A68">
        <w:rPr>
          <w:b/>
        </w:rPr>
        <w:t>iolate the Dormant Commerce Clause</w:t>
      </w:r>
    </w:p>
    <w:p w:rsidR="0027146E" w:rsidRPr="007605DE" w:rsidRDefault="005D536A" w:rsidP="0037037B">
      <w:pPr>
        <w:pStyle w:val="WUTCParagraph"/>
      </w:pPr>
      <w:r>
        <w:rPr>
          <w:lang w:val="en-US"/>
        </w:rPr>
        <w:tab/>
      </w:r>
      <w:r w:rsidR="0027146E">
        <w:rPr>
          <w:lang w:val="en-US"/>
        </w:rPr>
        <w:t>The Company’s dormant Commerce Clause arguments are unfounded.</w:t>
      </w:r>
      <w:r w:rsidR="0027146E" w:rsidRPr="00922AF3">
        <w:rPr>
          <w:rStyle w:val="FootnoteReference"/>
          <w:u w:val="single"/>
        </w:rPr>
        <w:footnoteReference w:id="118"/>
      </w:r>
      <w:r w:rsidR="0027146E" w:rsidRPr="00922AF3">
        <w:rPr>
          <w:vertAlign w:val="superscript"/>
        </w:rPr>
        <w:t>/</w:t>
      </w:r>
      <w:r w:rsidR="0027146E">
        <w:rPr>
          <w:lang w:val="en-US"/>
        </w:rPr>
        <w:t xml:space="preserve">  WCA situs allocation does not discriminate or unduly burden interstate commerce because it “has </w:t>
      </w:r>
      <w:r w:rsidR="0027146E" w:rsidRPr="0027146E">
        <w:rPr>
          <w:lang w:val="en-US"/>
        </w:rPr>
        <w:t xml:space="preserve">nothing to do </w:t>
      </w:r>
      <w:r w:rsidR="0027146E">
        <w:rPr>
          <w:lang w:val="en-US"/>
        </w:rPr>
        <w:t>with the physical flow of power across state boundaries.”</w:t>
      </w:r>
      <w:r w:rsidR="0027146E" w:rsidRPr="00922AF3">
        <w:rPr>
          <w:rStyle w:val="FootnoteReference"/>
          <w:u w:val="single"/>
        </w:rPr>
        <w:footnoteReference w:id="119"/>
      </w:r>
      <w:r w:rsidR="0027146E" w:rsidRPr="00922AF3">
        <w:rPr>
          <w:vertAlign w:val="superscript"/>
        </w:rPr>
        <w:t>/</w:t>
      </w:r>
      <w:r w:rsidR="0027146E">
        <w:rPr>
          <w:lang w:val="en-US"/>
        </w:rPr>
        <w:t xml:space="preserve">  Mo</w:t>
      </w:r>
      <w:r w:rsidR="002B2E3B">
        <w:rPr>
          <w:lang w:val="en-US"/>
        </w:rPr>
        <w:t>r</w:t>
      </w:r>
      <w:r w:rsidR="0027146E">
        <w:rPr>
          <w:lang w:val="en-US"/>
        </w:rPr>
        <w:t>eo</w:t>
      </w:r>
      <w:r w:rsidR="002B2E3B">
        <w:rPr>
          <w:lang w:val="en-US"/>
        </w:rPr>
        <w:t>ver, the Commission is not in an</w:t>
      </w:r>
      <w:r w:rsidR="0027146E">
        <w:rPr>
          <w:lang w:val="en-US"/>
        </w:rPr>
        <w:t>y wa</w:t>
      </w:r>
      <w:r w:rsidR="002B2E3B">
        <w:rPr>
          <w:lang w:val="en-US"/>
        </w:rPr>
        <w:t xml:space="preserve">y differentiating between in-state and out-of-state economic interests in a discriminatory manner.  Quite the contrary, WCA methodology is premised on the </w:t>
      </w:r>
      <w:r w:rsidR="002B2E3B">
        <w:rPr>
          <w:lang w:val="en-US"/>
        </w:rPr>
        <w:lastRenderedPageBreak/>
        <w:t>notion that Oregon and California policy makers should be free to determine renewable energy polices</w:t>
      </w:r>
      <w:r w:rsidR="009B121C">
        <w:rPr>
          <w:lang w:val="en-US"/>
        </w:rPr>
        <w:t>,</w:t>
      </w:r>
      <w:r w:rsidR="002B2E3B">
        <w:rPr>
          <w:lang w:val="en-US"/>
        </w:rPr>
        <w:t xml:space="preserve"> and implement PURPA in their respective states, just like Washington.</w:t>
      </w:r>
      <w:r w:rsidR="002B2E3B" w:rsidRPr="00922AF3">
        <w:rPr>
          <w:rStyle w:val="FootnoteReference"/>
          <w:u w:val="single"/>
        </w:rPr>
        <w:footnoteReference w:id="120"/>
      </w:r>
      <w:r w:rsidR="002B2E3B" w:rsidRPr="00922AF3">
        <w:rPr>
          <w:vertAlign w:val="superscript"/>
        </w:rPr>
        <w:t>/</w:t>
      </w:r>
      <w:r w:rsidR="009B121C">
        <w:rPr>
          <w:lang w:val="en-US"/>
        </w:rPr>
        <w:t xml:space="preserve">  Hence, in practice, t</w:t>
      </w:r>
      <w:r w:rsidR="002B2E3B">
        <w:rPr>
          <w:lang w:val="en-US"/>
        </w:rPr>
        <w:t xml:space="preserve">he WCA methodology </w:t>
      </w:r>
      <w:r w:rsidR="009B121C">
        <w:rPr>
          <w:lang w:val="en-US"/>
        </w:rPr>
        <w:t>allows</w:t>
      </w:r>
      <w:r w:rsidR="002B2E3B">
        <w:rPr>
          <w:lang w:val="en-US"/>
        </w:rPr>
        <w:t xml:space="preserve"> these other states to impose “significantly higher” QF costs upon customers in those states</w:t>
      </w:r>
      <w:r w:rsidR="009B121C">
        <w:rPr>
          <w:lang w:val="en-US"/>
        </w:rPr>
        <w:t>, all</w:t>
      </w:r>
      <w:r w:rsidR="002B2E3B">
        <w:rPr>
          <w:lang w:val="en-US"/>
        </w:rPr>
        <w:t xml:space="preserve"> without Washington interference.</w:t>
      </w:r>
      <w:r w:rsidR="002B2E3B" w:rsidRPr="00922AF3">
        <w:rPr>
          <w:rStyle w:val="FootnoteReference"/>
          <w:u w:val="single"/>
        </w:rPr>
        <w:footnoteReference w:id="121"/>
      </w:r>
      <w:r w:rsidR="002B2E3B" w:rsidRPr="00922AF3">
        <w:rPr>
          <w:vertAlign w:val="superscript"/>
        </w:rPr>
        <w:t>/</w:t>
      </w:r>
    </w:p>
    <w:p w:rsidR="00A43A68" w:rsidRPr="00454298" w:rsidRDefault="00D5516D" w:rsidP="00454298">
      <w:pPr>
        <w:spacing w:after="240"/>
        <w:ind w:left="2160" w:hanging="720"/>
        <w:rPr>
          <w:b/>
        </w:rPr>
      </w:pPr>
      <w:r>
        <w:rPr>
          <w:b/>
        </w:rPr>
        <w:t>d</w:t>
      </w:r>
      <w:r w:rsidR="00A43A68" w:rsidRPr="00454298">
        <w:rPr>
          <w:b/>
        </w:rPr>
        <w:t>.</w:t>
      </w:r>
      <w:r w:rsidR="00A43A68" w:rsidRPr="00454298">
        <w:rPr>
          <w:b/>
        </w:rPr>
        <w:tab/>
      </w:r>
      <w:r w:rsidR="00454298">
        <w:rPr>
          <w:b/>
        </w:rPr>
        <w:t>The C</w:t>
      </w:r>
      <w:r w:rsidR="00454298" w:rsidRPr="00454298">
        <w:rPr>
          <w:b/>
        </w:rPr>
        <w:t>ommission Should Reject Pacific Power’s Alternative QF Proposals</w:t>
      </w:r>
    </w:p>
    <w:p w:rsidR="0005371A" w:rsidRPr="0005371A" w:rsidRDefault="005D536A" w:rsidP="0037037B">
      <w:pPr>
        <w:pStyle w:val="WUTCParagraph"/>
      </w:pPr>
      <w:r>
        <w:rPr>
          <w:lang w:val="en-US"/>
        </w:rPr>
        <w:tab/>
      </w:r>
      <w:r w:rsidR="00BC5433">
        <w:rPr>
          <w:lang w:val="en-US"/>
        </w:rPr>
        <w:t>The Company argues that “re-pricing the out-of-state QF PPAs at Washington avoided cost prices will also result in customer indifference.”</w:t>
      </w:r>
      <w:r w:rsidR="00BC5433" w:rsidRPr="00922AF3">
        <w:rPr>
          <w:rStyle w:val="FootnoteReference"/>
          <w:u w:val="single"/>
        </w:rPr>
        <w:footnoteReference w:id="122"/>
      </w:r>
      <w:r w:rsidR="00BC5433" w:rsidRPr="00922AF3">
        <w:rPr>
          <w:vertAlign w:val="superscript"/>
        </w:rPr>
        <w:t>/</w:t>
      </w:r>
      <w:r w:rsidR="00BC5433">
        <w:rPr>
          <w:lang w:val="en-US"/>
        </w:rPr>
        <w:t xml:space="preserve">  Pacific Power does not even attempt to explain the glaring problems raised by such a claim.  For starters, raising Washington rates by about $8 million without any additional customer benefits will not “result in customer indifference.”  Washington ratepayers already pay for out-of-state QF power used</w:t>
      </w:r>
      <w:r w:rsidR="001C2135">
        <w:rPr>
          <w:lang w:val="en-US"/>
        </w:rPr>
        <w:t>,</w:t>
      </w:r>
      <w:r w:rsidR="00BC5433">
        <w:rPr>
          <w:lang w:val="en-US"/>
        </w:rPr>
        <w:t xml:space="preserve"> and to </w:t>
      </w:r>
      <w:r w:rsidR="003A1156">
        <w:rPr>
          <w:lang w:val="en-US"/>
        </w:rPr>
        <w:t xml:space="preserve">simply add cost to that same power </w:t>
      </w:r>
      <w:r w:rsidR="00C63E6E">
        <w:rPr>
          <w:lang w:val="en-US"/>
        </w:rPr>
        <w:t xml:space="preserve">consumption </w:t>
      </w:r>
      <w:r w:rsidR="001C2135">
        <w:rPr>
          <w:lang w:val="en-US"/>
        </w:rPr>
        <w:t>does not benefit</w:t>
      </w:r>
      <w:r w:rsidR="003A1156">
        <w:rPr>
          <w:lang w:val="en-US"/>
        </w:rPr>
        <w:t xml:space="preserve"> </w:t>
      </w:r>
      <w:r w:rsidR="001C2135">
        <w:rPr>
          <w:lang w:val="en-US"/>
        </w:rPr>
        <w:t>anyone</w:t>
      </w:r>
      <w:r w:rsidR="003A1156">
        <w:rPr>
          <w:lang w:val="en-US"/>
        </w:rPr>
        <w:t xml:space="preserve"> but shareholders.  </w:t>
      </w:r>
    </w:p>
    <w:p w:rsidR="003A1156" w:rsidRPr="00C6014B" w:rsidRDefault="009E5581" w:rsidP="0005371A">
      <w:pPr>
        <w:pStyle w:val="WUTCParagraph"/>
      </w:pPr>
      <w:r>
        <w:rPr>
          <w:lang w:val="en-US"/>
        </w:rPr>
        <w:tab/>
      </w:r>
      <w:r w:rsidR="003A1156">
        <w:rPr>
          <w:lang w:val="en-US"/>
        </w:rPr>
        <w:t xml:space="preserve">Additionally, the Company’s alternative proposal to “re-price” out-of-state QF contracts at rates </w:t>
      </w:r>
      <w:r w:rsidR="003A1156" w:rsidRPr="003A1156">
        <w:rPr>
          <w:i/>
          <w:lang w:val="en-US"/>
        </w:rPr>
        <w:t>lower</w:t>
      </w:r>
      <w:r w:rsidR="003A1156">
        <w:rPr>
          <w:lang w:val="en-US"/>
        </w:rPr>
        <w:t xml:space="preserve"> than approved in Oregon and California would implicate the same Commerce Clause arguments </w:t>
      </w:r>
      <w:r w:rsidR="00C63E6E">
        <w:rPr>
          <w:lang w:val="en-US"/>
        </w:rPr>
        <w:t xml:space="preserve">that </w:t>
      </w:r>
      <w:r w:rsidR="003A1156">
        <w:rPr>
          <w:lang w:val="en-US"/>
        </w:rPr>
        <w:t>the Comp</w:t>
      </w:r>
      <w:r w:rsidR="001C2135">
        <w:rPr>
          <w:lang w:val="en-US"/>
        </w:rPr>
        <w:t>any levels toward</w:t>
      </w:r>
      <w:r w:rsidR="003A1156">
        <w:rPr>
          <w:lang w:val="en-US"/>
        </w:rPr>
        <w:t xml:space="preserve"> the Commission—</w:t>
      </w:r>
      <w:r w:rsidR="001C2135">
        <w:rPr>
          <w:u w:val="single"/>
          <w:lang w:val="en-US"/>
        </w:rPr>
        <w:t>e.g</w:t>
      </w:r>
      <w:r w:rsidR="003A1156" w:rsidRPr="003A1156">
        <w:rPr>
          <w:u w:val="single"/>
          <w:lang w:val="en-US"/>
        </w:rPr>
        <w:t>.</w:t>
      </w:r>
      <w:r w:rsidR="003A1156">
        <w:rPr>
          <w:lang w:val="en-US"/>
        </w:rPr>
        <w:t>, the unconstitutional interference with utility contracts in other states.</w:t>
      </w:r>
      <w:r w:rsidR="003A1156" w:rsidRPr="00922AF3">
        <w:rPr>
          <w:rStyle w:val="FootnoteReference"/>
          <w:u w:val="single"/>
        </w:rPr>
        <w:footnoteReference w:id="123"/>
      </w:r>
      <w:r w:rsidR="003A1156" w:rsidRPr="00922AF3">
        <w:rPr>
          <w:vertAlign w:val="superscript"/>
        </w:rPr>
        <w:t>/</w:t>
      </w:r>
      <w:r w:rsidR="003A1156">
        <w:rPr>
          <w:lang w:val="en-US"/>
        </w:rPr>
        <w:t xml:space="preserve">  </w:t>
      </w:r>
      <w:r w:rsidR="0005371A">
        <w:rPr>
          <w:lang w:val="en-US"/>
        </w:rPr>
        <w:t>Even further</w:t>
      </w:r>
      <w:r w:rsidR="003A1156" w:rsidRPr="0005371A">
        <w:rPr>
          <w:lang w:val="en-US"/>
        </w:rPr>
        <w:t xml:space="preserve">, Mr. Mullins testified to the impropriety of merely re-pricing out-of-state QF </w:t>
      </w:r>
      <w:r w:rsidR="0005371A" w:rsidRPr="0005371A">
        <w:rPr>
          <w:lang w:val="en-US"/>
        </w:rPr>
        <w:t>contracts</w:t>
      </w:r>
      <w:r w:rsidR="001C2135">
        <w:rPr>
          <w:lang w:val="en-US"/>
        </w:rPr>
        <w:t>, since</w:t>
      </w:r>
      <w:r w:rsidR="0005371A" w:rsidRPr="0005371A">
        <w:rPr>
          <w:lang w:val="en-US"/>
        </w:rPr>
        <w:t xml:space="preserve"> doing so unjustifiably presumes that all </w:t>
      </w:r>
      <w:r w:rsidR="0005371A">
        <w:rPr>
          <w:lang w:val="en-US"/>
        </w:rPr>
        <w:t>such</w:t>
      </w:r>
      <w:r w:rsidR="0005371A" w:rsidRPr="0005371A">
        <w:rPr>
          <w:lang w:val="en-US"/>
        </w:rPr>
        <w:t xml:space="preserve"> contracts would</w:t>
      </w:r>
      <w:r w:rsidR="0005371A">
        <w:rPr>
          <w:lang w:val="en-US"/>
        </w:rPr>
        <w:t xml:space="preserve"> have been entered into under Washington avoided cost pricing in the first place.</w:t>
      </w:r>
      <w:r w:rsidR="0005371A" w:rsidRPr="00851324">
        <w:rPr>
          <w:rStyle w:val="FootnoteReference"/>
          <w:u w:val="single"/>
        </w:rPr>
        <w:footnoteReference w:id="124"/>
      </w:r>
      <w:r w:rsidR="0005371A">
        <w:rPr>
          <w:vertAlign w:val="superscript"/>
        </w:rPr>
        <w:t>/</w:t>
      </w:r>
      <w:r w:rsidR="0005371A">
        <w:rPr>
          <w:lang w:val="en-US"/>
        </w:rPr>
        <w:t xml:space="preserve">  In other words, many of these QF contracts may never have been executed under Washington jurisdiction </w:t>
      </w:r>
      <w:r w:rsidR="001C2135">
        <w:rPr>
          <w:lang w:val="en-US"/>
        </w:rPr>
        <w:t xml:space="preserve">at all </w:t>
      </w:r>
      <w:r w:rsidR="0005371A">
        <w:rPr>
          <w:lang w:val="en-US"/>
        </w:rPr>
        <w:t>due to lower avoided cost rates</w:t>
      </w:r>
      <w:r w:rsidR="001C2135">
        <w:rPr>
          <w:lang w:val="en-US"/>
        </w:rPr>
        <w:t xml:space="preserve"> here</w:t>
      </w:r>
      <w:r w:rsidR="0005371A">
        <w:rPr>
          <w:lang w:val="en-US"/>
        </w:rPr>
        <w:t xml:space="preserve">; </w:t>
      </w:r>
      <w:r w:rsidR="0005371A">
        <w:rPr>
          <w:lang w:val="en-US"/>
        </w:rPr>
        <w:lastRenderedPageBreak/>
        <w:t xml:space="preserve">accordingly, it would be improper for the Commission to </w:t>
      </w:r>
      <w:r w:rsidR="001C2135">
        <w:rPr>
          <w:lang w:val="en-US"/>
        </w:rPr>
        <w:t xml:space="preserve">back </w:t>
      </w:r>
      <w:r w:rsidR="00C6014B">
        <w:rPr>
          <w:lang w:val="en-US"/>
        </w:rPr>
        <w:t>into these contracts now</w:t>
      </w:r>
      <w:r w:rsidR="001C2135">
        <w:rPr>
          <w:lang w:val="en-US"/>
        </w:rPr>
        <w:t>,</w:t>
      </w:r>
      <w:r w:rsidR="00C6014B">
        <w:rPr>
          <w:lang w:val="en-US"/>
        </w:rPr>
        <w:t xml:space="preserve"> and </w:t>
      </w:r>
      <w:r w:rsidR="0005371A">
        <w:rPr>
          <w:lang w:val="en-US"/>
        </w:rPr>
        <w:t>ess</w:t>
      </w:r>
      <w:r w:rsidR="00C63E6E">
        <w:rPr>
          <w:lang w:val="en-US"/>
        </w:rPr>
        <w:t>entially assert jurisdiction</w:t>
      </w:r>
      <w:r w:rsidR="001C2135">
        <w:rPr>
          <w:lang w:val="en-US"/>
        </w:rPr>
        <w:t xml:space="preserve"> by “re-pricing” them.  Moreover, t</w:t>
      </w:r>
      <w:r w:rsidR="00C6014B">
        <w:rPr>
          <w:lang w:val="en-US"/>
        </w:rPr>
        <w:t>he numerical disparity between three Washington QFs and a dozen California QFs,</w:t>
      </w:r>
      <w:r w:rsidR="00C6014B" w:rsidRPr="00C820DB">
        <w:rPr>
          <w:rStyle w:val="FootnoteReference"/>
          <w:u w:val="single"/>
        </w:rPr>
        <w:footnoteReference w:id="125"/>
      </w:r>
      <w:r w:rsidR="00C6014B" w:rsidRPr="00A240F3">
        <w:rPr>
          <w:vertAlign w:val="superscript"/>
        </w:rPr>
        <w:t>/</w:t>
      </w:r>
      <w:r w:rsidR="00C6014B">
        <w:rPr>
          <w:lang w:val="en-US"/>
        </w:rPr>
        <w:t xml:space="preserve"> despite Washington comprising a much larger percentage of the Company’s service territory</w:t>
      </w:r>
      <w:r w:rsidR="001C2135">
        <w:rPr>
          <w:lang w:val="en-US"/>
        </w:rPr>
        <w:t>, gives ample witness to this</w:t>
      </w:r>
      <w:r w:rsidR="00C6014B">
        <w:rPr>
          <w:lang w:val="en-US"/>
        </w:rPr>
        <w:t xml:space="preserve"> point.</w:t>
      </w:r>
    </w:p>
    <w:p w:rsidR="00C6014B" w:rsidRPr="00887F84" w:rsidRDefault="005D536A" w:rsidP="0005371A">
      <w:pPr>
        <w:pStyle w:val="WUTCParagraph"/>
      </w:pPr>
      <w:r>
        <w:rPr>
          <w:lang w:val="en-US"/>
        </w:rPr>
        <w:tab/>
      </w:r>
      <w:r w:rsidR="00266AA3">
        <w:rPr>
          <w:lang w:val="en-US"/>
        </w:rPr>
        <w:t>Pacific Power’s claim</w:t>
      </w:r>
      <w:r w:rsidR="001C2135">
        <w:rPr>
          <w:lang w:val="en-US"/>
        </w:rPr>
        <w:t>,</w:t>
      </w:r>
      <w:r w:rsidR="00266AA3">
        <w:rPr>
          <w:lang w:val="en-US"/>
        </w:rPr>
        <w:t xml:space="preserve"> that no party challenged its Washington re-pricing “methodology</w:t>
      </w:r>
      <w:r w:rsidR="001C2135">
        <w:rPr>
          <w:lang w:val="en-US"/>
        </w:rPr>
        <w:t>,</w:t>
      </w:r>
      <w:r w:rsidR="00266AA3">
        <w:rPr>
          <w:lang w:val="en-US"/>
        </w:rPr>
        <w:t>”</w:t>
      </w:r>
      <w:r w:rsidR="001C2135" w:rsidRPr="00922AF3">
        <w:rPr>
          <w:rStyle w:val="FootnoteReference"/>
          <w:u w:val="single"/>
        </w:rPr>
        <w:footnoteReference w:id="126"/>
      </w:r>
      <w:r w:rsidR="001C2135" w:rsidRPr="00922AF3">
        <w:rPr>
          <w:vertAlign w:val="superscript"/>
        </w:rPr>
        <w:t>/</w:t>
      </w:r>
      <w:r w:rsidR="00266AA3">
        <w:rPr>
          <w:lang w:val="en-US"/>
        </w:rPr>
        <w:t xml:space="preserve"> is both misplaced and inaccurate.  It is misplaced because it ignores the universal opposition to the re-pricing approach in this case, such that no party </w:t>
      </w:r>
      <w:r w:rsidR="00887F84">
        <w:rPr>
          <w:lang w:val="en-US"/>
        </w:rPr>
        <w:t xml:space="preserve">(especially Boise, who is not funded by the state) </w:t>
      </w:r>
      <w:r w:rsidR="00266AA3">
        <w:rPr>
          <w:lang w:val="en-US"/>
        </w:rPr>
        <w:t xml:space="preserve">needed to </w:t>
      </w:r>
      <w:r w:rsidR="00887F84">
        <w:rPr>
          <w:lang w:val="en-US"/>
        </w:rPr>
        <w:t>spend additional resources parsing</w:t>
      </w:r>
      <w:r w:rsidR="00C63E6E">
        <w:rPr>
          <w:lang w:val="en-US"/>
        </w:rPr>
        <w:t xml:space="preserve"> the fine details of it.</w:t>
      </w:r>
      <w:r w:rsidR="00266AA3">
        <w:rPr>
          <w:lang w:val="en-US"/>
        </w:rPr>
        <w:t xml:space="preserve">  It is inaccurate because Boise, Staff, and</w:t>
      </w:r>
      <w:r w:rsidR="004B2998">
        <w:rPr>
          <w:lang w:val="en-US"/>
        </w:rPr>
        <w:t xml:space="preserve"> Public Counsel all oppose the C</w:t>
      </w:r>
      <w:r w:rsidR="00266AA3">
        <w:rPr>
          <w:lang w:val="en-US"/>
        </w:rPr>
        <w:t>ompany’s IHS escalator adjustment, and this escalator is incorporated into the re-pricing “methodology.”</w:t>
      </w:r>
      <w:r w:rsidR="00887F84" w:rsidRPr="00851324">
        <w:rPr>
          <w:rStyle w:val="FootnoteReference"/>
          <w:u w:val="single"/>
        </w:rPr>
        <w:footnoteReference w:id="127"/>
      </w:r>
      <w:r w:rsidR="00887F84">
        <w:rPr>
          <w:vertAlign w:val="superscript"/>
        </w:rPr>
        <w:t>/</w:t>
      </w:r>
      <w:r w:rsidR="00887F84">
        <w:rPr>
          <w:lang w:val="en-US"/>
        </w:rPr>
        <w:t xml:space="preserve">  Indeed, the Company’s insertion of an escalator into out-of-state QF contracts is, in the Company’s own words, “inconsistent with PURPA, which prohibits a utility from re-opening QF PPA prices.”</w:t>
      </w:r>
      <w:r w:rsidR="00887F84" w:rsidRPr="00922AF3">
        <w:rPr>
          <w:rStyle w:val="FootnoteReference"/>
          <w:u w:val="single"/>
        </w:rPr>
        <w:footnoteReference w:id="128"/>
      </w:r>
      <w:r w:rsidR="00887F84" w:rsidRPr="00922AF3">
        <w:rPr>
          <w:vertAlign w:val="superscript"/>
        </w:rPr>
        <w:t>/</w:t>
      </w:r>
      <w:r w:rsidR="00887F84">
        <w:rPr>
          <w:lang w:val="en-US"/>
        </w:rPr>
        <w:t xml:space="preserve">  </w:t>
      </w:r>
    </w:p>
    <w:p w:rsidR="00887F84" w:rsidRPr="004514C9" w:rsidRDefault="005D536A" w:rsidP="0005371A">
      <w:pPr>
        <w:pStyle w:val="WUTCParagraph"/>
      </w:pPr>
      <w:r>
        <w:rPr>
          <w:lang w:val="en-US"/>
        </w:rPr>
        <w:tab/>
      </w:r>
      <w:r w:rsidR="004514C9">
        <w:rPr>
          <w:lang w:val="en-US"/>
        </w:rPr>
        <w:t>Pacific Power is also inconsistent in proposing a “load decrement” approach in which the retail load of Oregon and California “is reduced to account for load served by the native QF.”</w:t>
      </w:r>
      <w:r w:rsidR="004514C9" w:rsidRPr="00922AF3">
        <w:rPr>
          <w:rStyle w:val="FootnoteReference"/>
          <w:u w:val="single"/>
        </w:rPr>
        <w:footnoteReference w:id="129"/>
      </w:r>
      <w:r w:rsidR="004514C9" w:rsidRPr="00922AF3">
        <w:rPr>
          <w:vertAlign w:val="superscript"/>
        </w:rPr>
        <w:t>/</w:t>
      </w:r>
      <w:r w:rsidR="004514C9">
        <w:rPr>
          <w:lang w:val="en-US"/>
        </w:rPr>
        <w:t xml:space="preserve">  Reducing load according to state boundaries would implicate the same Commerce Clause issues the Company decries</w:t>
      </w:r>
      <w:r w:rsidR="00AF4C90">
        <w:rPr>
          <w:lang w:val="en-US"/>
        </w:rPr>
        <w:t>, as when</w:t>
      </w:r>
      <w:r w:rsidR="004514C9">
        <w:rPr>
          <w:lang w:val="en-US"/>
        </w:rPr>
        <w:t xml:space="preserve"> pointing out </w:t>
      </w:r>
      <w:r w:rsidR="00C63E6E">
        <w:rPr>
          <w:lang w:val="en-US"/>
        </w:rPr>
        <w:t>that a c</w:t>
      </w:r>
      <w:r w:rsidR="004514C9">
        <w:rPr>
          <w:lang w:val="en-US"/>
        </w:rPr>
        <w:t>ommission cannot preclude a generator from selling power outside of state boundaries</w:t>
      </w:r>
      <w:r w:rsidR="00AF4C90">
        <w:rPr>
          <w:lang w:val="en-US"/>
        </w:rPr>
        <w:t>,</w:t>
      </w:r>
      <w:r w:rsidR="004514C9">
        <w:rPr>
          <w:lang w:val="en-US"/>
        </w:rPr>
        <w:t xml:space="preserve"> or place burdens on transactions in interstate commerce, since electric transmission “is interstate commerce.”</w:t>
      </w:r>
      <w:r w:rsidR="004514C9" w:rsidRPr="00922AF3">
        <w:rPr>
          <w:rStyle w:val="FootnoteReference"/>
          <w:u w:val="single"/>
        </w:rPr>
        <w:footnoteReference w:id="130"/>
      </w:r>
      <w:r w:rsidR="004514C9" w:rsidRPr="00922AF3">
        <w:rPr>
          <w:vertAlign w:val="superscript"/>
        </w:rPr>
        <w:t>/</w:t>
      </w:r>
      <w:r w:rsidR="004514C9">
        <w:rPr>
          <w:lang w:val="en-US"/>
        </w:rPr>
        <w:t xml:space="preserve">  </w:t>
      </w:r>
    </w:p>
    <w:p w:rsidR="006F4C75" w:rsidRPr="00A26830" w:rsidRDefault="005D536A" w:rsidP="00A26830">
      <w:pPr>
        <w:pStyle w:val="WUTCParagraph"/>
      </w:pPr>
      <w:r>
        <w:rPr>
          <w:lang w:val="en-US"/>
        </w:rPr>
        <w:lastRenderedPageBreak/>
        <w:tab/>
      </w:r>
      <w:r w:rsidR="00C63E6E">
        <w:rPr>
          <w:lang w:val="en-US"/>
        </w:rPr>
        <w:t>Moreover, Pacific Power</w:t>
      </w:r>
      <w:r w:rsidR="00E925F5">
        <w:rPr>
          <w:lang w:val="en-US"/>
        </w:rPr>
        <w:t xml:space="preserve"> makes an incorrect claim </w:t>
      </w:r>
      <w:r w:rsidR="004514C9">
        <w:rPr>
          <w:lang w:val="en-US"/>
        </w:rPr>
        <w:t xml:space="preserve">that the load decrement approach “ensures that the full impact of treating QF PPAs </w:t>
      </w:r>
      <w:r w:rsidR="00E925F5">
        <w:rPr>
          <w:lang w:val="en-US"/>
        </w:rPr>
        <w:t>as situs resources is reflected in Washington revenue requirement.”</w:t>
      </w:r>
      <w:r w:rsidR="00E925F5" w:rsidRPr="00922AF3">
        <w:rPr>
          <w:rStyle w:val="FootnoteReference"/>
          <w:u w:val="single"/>
        </w:rPr>
        <w:footnoteReference w:id="131"/>
      </w:r>
      <w:r w:rsidR="00E925F5" w:rsidRPr="00922AF3">
        <w:rPr>
          <w:vertAlign w:val="superscript"/>
        </w:rPr>
        <w:t>/</w:t>
      </w:r>
      <w:r w:rsidR="00E925F5">
        <w:rPr>
          <w:lang w:val="en-US"/>
        </w:rPr>
        <w:t xml:space="preserve"> </w:t>
      </w:r>
      <w:r w:rsidR="004514C9">
        <w:rPr>
          <w:lang w:val="en-US"/>
        </w:rPr>
        <w:t xml:space="preserve"> </w:t>
      </w:r>
      <w:r w:rsidR="00E925F5">
        <w:rPr>
          <w:lang w:val="en-US"/>
        </w:rPr>
        <w:t>This statement is based on a premise that is either false or which demonstrates significant utility mismanagement—</w:t>
      </w:r>
      <w:r w:rsidR="00E925F5" w:rsidRPr="00E925F5">
        <w:rPr>
          <w:u w:val="single"/>
          <w:lang w:val="en-US"/>
        </w:rPr>
        <w:t>i.e.</w:t>
      </w:r>
      <w:r w:rsidR="00E925F5">
        <w:rPr>
          <w:lang w:val="en-US"/>
        </w:rPr>
        <w:t xml:space="preserve">, </w:t>
      </w:r>
      <w:r w:rsidR="00FB33A5">
        <w:rPr>
          <w:lang w:val="en-US"/>
        </w:rPr>
        <w:t xml:space="preserve">the Company’s claim </w:t>
      </w:r>
      <w:r w:rsidR="00E925F5">
        <w:rPr>
          <w:lang w:val="en-US"/>
        </w:rPr>
        <w:t>that “Washington pays for less QF power than it consumes.”</w:t>
      </w:r>
      <w:r w:rsidR="00E925F5" w:rsidRPr="00922AF3">
        <w:rPr>
          <w:rStyle w:val="FootnoteReference"/>
          <w:u w:val="single"/>
        </w:rPr>
        <w:footnoteReference w:id="132"/>
      </w:r>
      <w:r w:rsidR="00E925F5" w:rsidRPr="00922AF3">
        <w:rPr>
          <w:vertAlign w:val="superscript"/>
        </w:rPr>
        <w:t>/</w:t>
      </w:r>
      <w:r w:rsidR="00E925F5">
        <w:rPr>
          <w:lang w:val="en-US"/>
        </w:rPr>
        <w:t xml:space="preserve">  The Commission has plainly stated that Washington ratepayers are responsible for all out-of-state QF </w:t>
      </w:r>
      <w:r w:rsidR="00FB33A5">
        <w:rPr>
          <w:lang w:val="en-US"/>
        </w:rPr>
        <w:t xml:space="preserve">power </w:t>
      </w:r>
      <w:r w:rsidR="00E925F5">
        <w:rPr>
          <w:lang w:val="en-US"/>
        </w:rPr>
        <w:t>used.</w:t>
      </w:r>
      <w:r w:rsidR="00E925F5" w:rsidRPr="00922AF3">
        <w:rPr>
          <w:rStyle w:val="FootnoteReference"/>
          <w:u w:val="single"/>
        </w:rPr>
        <w:footnoteReference w:id="133"/>
      </w:r>
      <w:r w:rsidR="00E925F5" w:rsidRPr="00922AF3">
        <w:rPr>
          <w:vertAlign w:val="superscript"/>
        </w:rPr>
        <w:t>/</w:t>
      </w:r>
      <w:r w:rsidR="00E925F5">
        <w:rPr>
          <w:lang w:val="en-US"/>
        </w:rPr>
        <w:t xml:space="preserve">  Thus, if Washington truly is paying for less QF power than is being consumed, then only the Company is responsible fo</w:t>
      </w:r>
      <w:r w:rsidR="00FB33A5">
        <w:rPr>
          <w:lang w:val="en-US"/>
        </w:rPr>
        <w:t xml:space="preserve">r failing to collect payment </w:t>
      </w:r>
      <w:r w:rsidR="00E925F5">
        <w:rPr>
          <w:lang w:val="en-US"/>
        </w:rPr>
        <w:t xml:space="preserve">which the Commission has </w:t>
      </w:r>
      <w:r w:rsidR="00FB33A5">
        <w:rPr>
          <w:lang w:val="en-US"/>
        </w:rPr>
        <w:t>allowed</w:t>
      </w:r>
      <w:r w:rsidR="00E925F5">
        <w:rPr>
          <w:lang w:val="en-US"/>
        </w:rPr>
        <w:t>.</w:t>
      </w:r>
    </w:p>
    <w:p w:rsidR="00A11D75" w:rsidRDefault="006B0D66" w:rsidP="006B0D66">
      <w:pPr>
        <w:keepNext/>
        <w:numPr>
          <w:ilvl w:val="0"/>
          <w:numId w:val="22"/>
        </w:numPr>
        <w:spacing w:after="240"/>
        <w:ind w:left="1440"/>
        <w:rPr>
          <w:b/>
        </w:rPr>
      </w:pPr>
      <w:r>
        <w:rPr>
          <w:b/>
        </w:rPr>
        <w:t xml:space="preserve">Boise’s </w:t>
      </w:r>
      <w:r w:rsidR="00CB76EC">
        <w:rPr>
          <w:b/>
        </w:rPr>
        <w:t>Energy Imbalance Market (“</w:t>
      </w:r>
      <w:r>
        <w:rPr>
          <w:b/>
        </w:rPr>
        <w:t>EIM</w:t>
      </w:r>
      <w:r w:rsidR="00CB76EC">
        <w:rPr>
          <w:b/>
        </w:rPr>
        <w:t>”)</w:t>
      </w:r>
      <w:r>
        <w:rPr>
          <w:b/>
        </w:rPr>
        <w:t xml:space="preserve"> Adjustments Are Appropriate and Satisfy Commission Standards</w:t>
      </w:r>
    </w:p>
    <w:p w:rsidR="005D536A" w:rsidRPr="006069B9" w:rsidRDefault="005D536A" w:rsidP="006069B9">
      <w:pPr>
        <w:pStyle w:val="130043Post-hearingBriefParagraph"/>
      </w:pPr>
      <w:r>
        <w:rPr>
          <w:lang w:val="en-US"/>
        </w:rPr>
        <w:tab/>
      </w:r>
      <w:r w:rsidR="006B0D66">
        <w:rPr>
          <w:lang w:val="en-US"/>
        </w:rPr>
        <w:t>The Company characterizes Mr. Mullins’ EIM adjustments as “[s]peculative,” requesting that the Commission reject the imputation of any and all EIM customer benefits for an indefinite period.</w:t>
      </w:r>
      <w:r w:rsidR="006B0D66" w:rsidRPr="00922AF3">
        <w:rPr>
          <w:rStyle w:val="FootnoteReference"/>
          <w:u w:val="single"/>
        </w:rPr>
        <w:footnoteReference w:id="134"/>
      </w:r>
      <w:r w:rsidR="006B0D66" w:rsidRPr="00922AF3">
        <w:rPr>
          <w:vertAlign w:val="superscript"/>
        </w:rPr>
        <w:t>/</w:t>
      </w:r>
      <w:r w:rsidR="006B0D66">
        <w:rPr>
          <w:lang w:val="en-US"/>
        </w:rPr>
        <w:t xml:space="preserve">  As Mr. Mullins testified at hearing, however, his EIM proposals are formula</w:t>
      </w:r>
      <w:r w:rsidR="0017475E">
        <w:rPr>
          <w:lang w:val="en-US"/>
        </w:rPr>
        <w:t>ted in express consideration of</w:t>
      </w:r>
      <w:r w:rsidR="006B0D66">
        <w:rPr>
          <w:lang w:val="en-US"/>
        </w:rPr>
        <w:t xml:space="preserve"> the Commission’s high standard for analytic</w:t>
      </w:r>
      <w:r w:rsidR="0017475E">
        <w:rPr>
          <w:lang w:val="en-US"/>
        </w:rPr>
        <w:t>al</w:t>
      </w:r>
      <w:r w:rsidR="006B0D66">
        <w:rPr>
          <w:lang w:val="en-US"/>
        </w:rPr>
        <w:t xml:space="preserve"> rigor</w:t>
      </w:r>
      <w:r w:rsidR="0017475E">
        <w:rPr>
          <w:lang w:val="en-US"/>
        </w:rPr>
        <w:t>.</w:t>
      </w:r>
      <w:r w:rsidR="0017475E" w:rsidRPr="00C820DB">
        <w:rPr>
          <w:rStyle w:val="FootnoteReference"/>
          <w:u w:val="single"/>
        </w:rPr>
        <w:footnoteReference w:id="135"/>
      </w:r>
      <w:r w:rsidR="0017475E" w:rsidRPr="00A240F3">
        <w:rPr>
          <w:vertAlign w:val="superscript"/>
        </w:rPr>
        <w:t>/</w:t>
      </w:r>
      <w:r w:rsidR="0017475E">
        <w:rPr>
          <w:lang w:val="en-US"/>
        </w:rPr>
        <w:t xml:space="preserve">  Moreover, given the Company’s complete failure to so much as attempt a calculation of EIM benefits—benefits which were decisively acknowledged by the Wyoming PSC</w:t>
      </w:r>
      <w:r w:rsidR="00AF38F1">
        <w:rPr>
          <w:lang w:val="en-US"/>
        </w:rPr>
        <w:t>,</w:t>
      </w:r>
      <w:r w:rsidR="0017475E">
        <w:rPr>
          <w:lang w:val="en-US"/>
        </w:rPr>
        <w:t xml:space="preserve"> little more than a month ago—Boise has been left to bear the full burden of analysis in this case</w:t>
      </w:r>
      <w:r w:rsidR="006B0D66">
        <w:rPr>
          <w:lang w:val="en-US"/>
        </w:rPr>
        <w:t>.</w:t>
      </w:r>
      <w:r w:rsidR="0017475E" w:rsidRPr="00922AF3">
        <w:rPr>
          <w:rStyle w:val="FootnoteReference"/>
          <w:u w:val="single"/>
        </w:rPr>
        <w:footnoteReference w:id="136"/>
      </w:r>
      <w:r w:rsidR="0017475E" w:rsidRPr="00922AF3">
        <w:rPr>
          <w:vertAlign w:val="superscript"/>
        </w:rPr>
        <w:t>/</w:t>
      </w:r>
    </w:p>
    <w:p w:rsidR="00046C2E" w:rsidRDefault="00046C2E" w:rsidP="006069B9">
      <w:pPr>
        <w:keepNext/>
        <w:widowControl w:val="0"/>
        <w:spacing w:after="240"/>
        <w:ind w:left="2160" w:hanging="720"/>
        <w:rPr>
          <w:b/>
        </w:rPr>
      </w:pPr>
      <w:r w:rsidRPr="00046C2E">
        <w:rPr>
          <w:b/>
        </w:rPr>
        <w:lastRenderedPageBreak/>
        <w:t>a.</w:t>
      </w:r>
      <w:r w:rsidRPr="00046C2E">
        <w:rPr>
          <w:b/>
        </w:rPr>
        <w:tab/>
        <w:t xml:space="preserve">Pacific Power’s Lack of Diligence Does Not Justify the Rejection of Customer Benefits in Rates </w:t>
      </w:r>
    </w:p>
    <w:p w:rsidR="00046C2E" w:rsidRPr="0038234C" w:rsidRDefault="005D536A" w:rsidP="00046C2E">
      <w:pPr>
        <w:pStyle w:val="130043Post-hearingBriefParagraph"/>
      </w:pPr>
      <w:r>
        <w:rPr>
          <w:lang w:val="en-US"/>
        </w:rPr>
        <w:tab/>
      </w:r>
      <w:r w:rsidR="00046C2E">
        <w:rPr>
          <w:lang w:val="en-US"/>
        </w:rPr>
        <w:t>The Company complains that customer benefits are “highly uncertain” because the EIM “is the first market of its kind in the West.”</w:t>
      </w:r>
      <w:r w:rsidR="00046C2E" w:rsidRPr="00922AF3">
        <w:rPr>
          <w:rStyle w:val="FootnoteReference"/>
          <w:u w:val="single"/>
        </w:rPr>
        <w:footnoteReference w:id="137"/>
      </w:r>
      <w:r w:rsidR="00046C2E" w:rsidRPr="00922AF3">
        <w:rPr>
          <w:vertAlign w:val="superscript"/>
        </w:rPr>
        <w:t>/</w:t>
      </w:r>
      <w:r w:rsidR="00046C2E">
        <w:rPr>
          <w:lang w:val="en-US"/>
        </w:rPr>
        <w:t xml:space="preserve">  At hearing, A</w:t>
      </w:r>
      <w:r w:rsidR="0038234C">
        <w:rPr>
          <w:lang w:val="en-US"/>
        </w:rPr>
        <w:t>LJ</w:t>
      </w:r>
      <w:r w:rsidR="00046C2E">
        <w:rPr>
          <w:lang w:val="en-US"/>
        </w:rPr>
        <w:t xml:space="preserve"> Moss </w:t>
      </w:r>
      <w:r w:rsidR="0038234C">
        <w:rPr>
          <w:lang w:val="en-US"/>
        </w:rPr>
        <w:t>indeed noted</w:t>
      </w:r>
      <w:r w:rsidR="00046C2E">
        <w:rPr>
          <w:lang w:val="en-US"/>
        </w:rPr>
        <w:t xml:space="preserve"> that, “with respect to the EIM, we’re getting into some relatively uncharte</w:t>
      </w:r>
      <w:r w:rsidR="00C77EB7">
        <w:rPr>
          <w:lang w:val="en-US"/>
        </w:rPr>
        <w:t xml:space="preserve">d </w:t>
      </w:r>
      <w:r w:rsidR="00046C2E">
        <w:rPr>
          <w:lang w:val="en-US"/>
        </w:rPr>
        <w:t>territory.”</w:t>
      </w:r>
      <w:r w:rsidR="0038234C" w:rsidRPr="00851324">
        <w:rPr>
          <w:rStyle w:val="FootnoteReference"/>
          <w:u w:val="single"/>
        </w:rPr>
        <w:footnoteReference w:id="138"/>
      </w:r>
      <w:r w:rsidR="0038234C">
        <w:rPr>
          <w:vertAlign w:val="superscript"/>
        </w:rPr>
        <w:t>/</w:t>
      </w:r>
      <w:r w:rsidR="00046C2E">
        <w:rPr>
          <w:lang w:val="en-US"/>
        </w:rPr>
        <w:t xml:space="preserve"> </w:t>
      </w:r>
      <w:r w:rsidR="0038234C">
        <w:rPr>
          <w:lang w:val="en-US"/>
        </w:rPr>
        <w:t xml:space="preserve"> But, such novelty does not excuse the Company’s utter lack of effort in assessing EIM benefits during the rate period.  In accord with </w:t>
      </w:r>
      <w:r w:rsidR="00C77EB7">
        <w:rPr>
          <w:lang w:val="en-US"/>
        </w:rPr>
        <w:t>ALJ Moss’s analogy to “uncharte</w:t>
      </w:r>
      <w:r w:rsidR="0038234C">
        <w:rPr>
          <w:lang w:val="en-US"/>
        </w:rPr>
        <w:t>d territory,” Boise demonstrated on brief that Mr. Duvall has irresponsibly approached the EIM as a ship captain testing unfamiliar straits</w:t>
      </w:r>
      <w:r w:rsidR="00023A5E">
        <w:rPr>
          <w:lang w:val="en-US"/>
        </w:rPr>
        <w:t>, yet</w:t>
      </w:r>
      <w:r w:rsidR="0038234C">
        <w:rPr>
          <w:lang w:val="en-US"/>
        </w:rPr>
        <w:t xml:space="preserve"> without the help of available navigational aids.</w:t>
      </w:r>
      <w:r w:rsidR="0038234C" w:rsidRPr="00C820DB">
        <w:rPr>
          <w:rStyle w:val="FootnoteReference"/>
          <w:u w:val="single"/>
        </w:rPr>
        <w:footnoteReference w:id="139"/>
      </w:r>
      <w:r w:rsidR="0038234C" w:rsidRPr="00A240F3">
        <w:rPr>
          <w:vertAlign w:val="superscript"/>
        </w:rPr>
        <w:t>/</w:t>
      </w:r>
    </w:p>
    <w:p w:rsidR="00CE2F03" w:rsidRPr="005D536A" w:rsidRDefault="005D536A" w:rsidP="00473E76">
      <w:pPr>
        <w:pStyle w:val="130043Post-hearingBriefParagraph"/>
      </w:pPr>
      <w:r>
        <w:rPr>
          <w:lang w:val="en-US"/>
        </w:rPr>
        <w:tab/>
      </w:r>
      <w:r w:rsidR="0038234C">
        <w:rPr>
          <w:lang w:val="en-US"/>
        </w:rPr>
        <w:t>In this light, the natural corollary of the Commission’s “known and measurable test” should apply against the Company</w:t>
      </w:r>
      <w:r w:rsidR="00023A5E">
        <w:rPr>
          <w:lang w:val="en-US"/>
        </w:rPr>
        <w:t xml:space="preserve"> due to its</w:t>
      </w:r>
      <w:r w:rsidR="00007FE8">
        <w:rPr>
          <w:lang w:val="en-US"/>
        </w:rPr>
        <w:t xml:space="preserve"> lack of diligence</w:t>
      </w:r>
      <w:r w:rsidR="0038234C">
        <w:rPr>
          <w:lang w:val="en-US"/>
        </w:rPr>
        <w:t xml:space="preserve">.  </w:t>
      </w:r>
      <w:r w:rsidR="002275CD">
        <w:rPr>
          <w:lang w:val="en-US"/>
        </w:rPr>
        <w:t>In order for</w:t>
      </w:r>
      <w:r w:rsidR="0038234C">
        <w:rPr>
          <w:lang w:val="en-US"/>
        </w:rPr>
        <w:t xml:space="preserve"> estimate</w:t>
      </w:r>
      <w:r w:rsidR="002275CD">
        <w:rPr>
          <w:lang w:val="en-US"/>
        </w:rPr>
        <w:t>d</w:t>
      </w:r>
      <w:r w:rsidR="0038234C">
        <w:rPr>
          <w:lang w:val="en-US"/>
        </w:rPr>
        <w:t xml:space="preserve"> cost projections</w:t>
      </w:r>
      <w:r w:rsidR="002275CD">
        <w:rPr>
          <w:lang w:val="en-US"/>
        </w:rPr>
        <w:t xml:space="preserve"> to be</w:t>
      </w:r>
      <w:r w:rsidR="0038234C">
        <w:rPr>
          <w:lang w:val="en-US"/>
        </w:rPr>
        <w:t xml:space="preserve"> included in rates, the Commission requires </w:t>
      </w:r>
      <w:r w:rsidR="002275CD">
        <w:rPr>
          <w:lang w:val="en-US"/>
        </w:rPr>
        <w:t>“a high degree of analytical rigor.”</w:t>
      </w:r>
      <w:r w:rsidR="002275CD" w:rsidRPr="00922AF3">
        <w:rPr>
          <w:rStyle w:val="FootnoteReference"/>
          <w:u w:val="single"/>
        </w:rPr>
        <w:footnoteReference w:id="140"/>
      </w:r>
      <w:r w:rsidR="002275CD" w:rsidRPr="00922AF3">
        <w:rPr>
          <w:vertAlign w:val="superscript"/>
        </w:rPr>
        <w:t>/</w:t>
      </w:r>
      <w:r w:rsidR="00007FE8">
        <w:rPr>
          <w:lang w:val="en-US"/>
        </w:rPr>
        <w:t xml:space="preserve">  The corollary here is that, for the Company to justifiably contend that estimated benefits are unreasonable, there should at least be some showing</w:t>
      </w:r>
      <w:r w:rsidR="00023A5E">
        <w:rPr>
          <w:lang w:val="en-US"/>
        </w:rPr>
        <w:t xml:space="preserve"> of rigorous analysis attempted; that is, </w:t>
      </w:r>
      <w:r w:rsidR="00007FE8">
        <w:rPr>
          <w:lang w:val="en-US"/>
        </w:rPr>
        <w:t xml:space="preserve">before </w:t>
      </w:r>
      <w:r w:rsidR="00023A5E">
        <w:rPr>
          <w:lang w:val="en-US"/>
        </w:rPr>
        <w:t>the Company arrives</w:t>
      </w:r>
      <w:r w:rsidR="00007FE8">
        <w:rPr>
          <w:lang w:val="en-US"/>
        </w:rPr>
        <w:t xml:space="preserve"> at the shareholder-friendly, customer-hostile conclusion that an estimate of benefits is “impossible.”</w:t>
      </w:r>
      <w:r w:rsidR="0044599C" w:rsidRPr="00851324">
        <w:rPr>
          <w:rStyle w:val="FootnoteReference"/>
          <w:u w:val="single"/>
        </w:rPr>
        <w:footnoteReference w:id="141"/>
      </w:r>
      <w:r w:rsidR="0044599C">
        <w:rPr>
          <w:vertAlign w:val="superscript"/>
        </w:rPr>
        <w:t>/</w:t>
      </w:r>
      <w:r w:rsidR="00007FE8">
        <w:rPr>
          <w:lang w:val="en-US"/>
        </w:rPr>
        <w:t xml:space="preserve">  Mr. Mullins has demonstrated that such analytic rigor </w:t>
      </w:r>
      <w:r w:rsidR="00007FE8" w:rsidRPr="0044599C">
        <w:rPr>
          <w:i/>
          <w:lang w:val="en-US"/>
        </w:rPr>
        <w:t>is</w:t>
      </w:r>
      <w:r w:rsidR="00007FE8">
        <w:rPr>
          <w:lang w:val="en-US"/>
        </w:rPr>
        <w:t xml:space="preserve"> possible in </w:t>
      </w:r>
      <w:r w:rsidR="00023A5E">
        <w:rPr>
          <w:lang w:val="en-US"/>
        </w:rPr>
        <w:t>his</w:t>
      </w:r>
      <w:r w:rsidR="00007FE8">
        <w:rPr>
          <w:lang w:val="en-US"/>
        </w:rPr>
        <w:t xml:space="preserve"> detailed and careful testimony filed in this case</w:t>
      </w:r>
      <w:r w:rsidR="0044599C">
        <w:rPr>
          <w:lang w:val="en-US"/>
        </w:rPr>
        <w:t>, and Mr. Mullins did so without the sure guarantee of ratepayer funding that Mr. Duvall and other Company analysts enjoy.</w:t>
      </w:r>
    </w:p>
    <w:p w:rsidR="005D536A" w:rsidRPr="00473E76" w:rsidRDefault="005D536A" w:rsidP="005D536A">
      <w:pPr>
        <w:pStyle w:val="130043Post-hearingBriefParagraph"/>
        <w:numPr>
          <w:ilvl w:val="0"/>
          <w:numId w:val="0"/>
        </w:numPr>
      </w:pPr>
    </w:p>
    <w:p w:rsidR="00582746" w:rsidRPr="00582746" w:rsidRDefault="00CE2F03" w:rsidP="00582746">
      <w:pPr>
        <w:spacing w:after="240"/>
        <w:ind w:left="2160" w:hanging="720"/>
        <w:rPr>
          <w:b/>
        </w:rPr>
      </w:pPr>
      <w:r>
        <w:rPr>
          <w:b/>
        </w:rPr>
        <w:lastRenderedPageBreak/>
        <w:t>b</w:t>
      </w:r>
      <w:r w:rsidR="00582746" w:rsidRPr="00582746">
        <w:rPr>
          <w:b/>
        </w:rPr>
        <w:t>.</w:t>
      </w:r>
      <w:r w:rsidR="00582746" w:rsidRPr="00582746">
        <w:rPr>
          <w:b/>
        </w:rPr>
        <w:tab/>
        <w:t xml:space="preserve">Boise’s </w:t>
      </w:r>
      <w:r w:rsidR="00582746">
        <w:rPr>
          <w:b/>
        </w:rPr>
        <w:t xml:space="preserve">Interregional </w:t>
      </w:r>
      <w:r w:rsidR="00D369C5">
        <w:rPr>
          <w:b/>
        </w:rPr>
        <w:t>Dispatch Savings</w:t>
      </w:r>
      <w:r w:rsidR="00582746">
        <w:rPr>
          <w:b/>
        </w:rPr>
        <w:t xml:space="preserve"> Adjustment </w:t>
      </w:r>
      <w:r w:rsidR="004679E6">
        <w:rPr>
          <w:b/>
        </w:rPr>
        <w:t xml:space="preserve">Is Appropriate and </w:t>
      </w:r>
      <w:r w:rsidR="00582746">
        <w:rPr>
          <w:b/>
        </w:rPr>
        <w:t>Does Not Double Count Benefits</w:t>
      </w:r>
    </w:p>
    <w:p w:rsidR="00AD603C" w:rsidRPr="00AD603C" w:rsidRDefault="005D536A" w:rsidP="00582746">
      <w:pPr>
        <w:pStyle w:val="130043Post-hearingBriefParagraph"/>
      </w:pPr>
      <w:r>
        <w:rPr>
          <w:lang w:val="en-US"/>
        </w:rPr>
        <w:tab/>
      </w:r>
      <w:r w:rsidR="00D369C5">
        <w:rPr>
          <w:lang w:val="en-US"/>
        </w:rPr>
        <w:t>The Company contends that, concerning the interregional dispatch savings adjustment proposed by Mr. Mullins:  “The benefits Boise seeks to impute are already captured in GRID.”</w:t>
      </w:r>
      <w:r w:rsidR="00D369C5" w:rsidRPr="00922AF3">
        <w:rPr>
          <w:rStyle w:val="FootnoteReference"/>
          <w:u w:val="single"/>
        </w:rPr>
        <w:footnoteReference w:id="142"/>
      </w:r>
      <w:r w:rsidR="00D369C5" w:rsidRPr="00922AF3">
        <w:rPr>
          <w:vertAlign w:val="superscript"/>
        </w:rPr>
        <w:t>/</w:t>
      </w:r>
      <w:r w:rsidR="00D369C5">
        <w:rPr>
          <w:lang w:val="en-US"/>
        </w:rPr>
        <w:t xml:space="preserve">  This claim is demonstrably false, given the Company’s unambiguous statement that it “excluded both the costs and potential benefits of the EIM.”</w:t>
      </w:r>
      <w:r w:rsidR="00D369C5" w:rsidRPr="00922AF3">
        <w:rPr>
          <w:rStyle w:val="FootnoteReference"/>
          <w:u w:val="single"/>
        </w:rPr>
        <w:footnoteReference w:id="143"/>
      </w:r>
      <w:r w:rsidR="00D369C5" w:rsidRPr="00922AF3">
        <w:rPr>
          <w:vertAlign w:val="superscript"/>
        </w:rPr>
        <w:t>/</w:t>
      </w:r>
      <w:r w:rsidR="00D369C5">
        <w:rPr>
          <w:lang w:val="en-US"/>
        </w:rPr>
        <w:t xml:space="preserve">  The Company cannot have it both ways</w:t>
      </w:r>
      <w:r w:rsidR="009368E9">
        <w:rPr>
          <w:lang w:val="en-US"/>
        </w:rPr>
        <w:t>—</w:t>
      </w:r>
      <w:r w:rsidR="00D369C5">
        <w:rPr>
          <w:lang w:val="en-US"/>
        </w:rPr>
        <w:t xml:space="preserve">maintaining that it has excluded EIM benefits </w:t>
      </w:r>
      <w:r w:rsidR="00AD603C">
        <w:rPr>
          <w:lang w:val="en-US"/>
        </w:rPr>
        <w:t xml:space="preserve">due to uncertainty, then claiming that benefits should not be imputed because they are already included in the Company’s system.  </w:t>
      </w:r>
    </w:p>
    <w:p w:rsidR="0087266C" w:rsidRPr="0087266C" w:rsidRDefault="005D536A" w:rsidP="00582746">
      <w:pPr>
        <w:pStyle w:val="130043Post-hearingBriefParagraph"/>
      </w:pPr>
      <w:r>
        <w:rPr>
          <w:lang w:val="en-US"/>
        </w:rPr>
        <w:tab/>
      </w:r>
      <w:r w:rsidR="00AD603C">
        <w:rPr>
          <w:lang w:val="en-US"/>
        </w:rPr>
        <w:t>In any event, Pacific Power’s claim that Boise’s adjustment relies upon assumptions that have not yet materialized is also unsupportable.</w:t>
      </w:r>
      <w:r w:rsidR="00AD603C" w:rsidRPr="00922AF3">
        <w:rPr>
          <w:rStyle w:val="FootnoteReference"/>
          <w:u w:val="single"/>
        </w:rPr>
        <w:footnoteReference w:id="144"/>
      </w:r>
      <w:r w:rsidR="00AD603C" w:rsidRPr="00922AF3">
        <w:rPr>
          <w:vertAlign w:val="superscript"/>
        </w:rPr>
        <w:t>/</w:t>
      </w:r>
      <w:r w:rsidR="00AD603C">
        <w:rPr>
          <w:lang w:val="en-US"/>
        </w:rPr>
        <w:t xml:space="preserve">  The Company alleges that </w:t>
      </w:r>
      <w:r w:rsidR="0087266C">
        <w:rPr>
          <w:lang w:val="en-US"/>
        </w:rPr>
        <w:t>the</w:t>
      </w:r>
      <w:r w:rsidR="00AD603C">
        <w:rPr>
          <w:lang w:val="en-US"/>
        </w:rPr>
        <w:t xml:space="preserve"> transfer capability between the California Independent System Operator (“CAISO” or “Cal-ISO”) and PacifiCorp at the California-Oregon Intert</w:t>
      </w:r>
      <w:r w:rsidR="00C77EB7">
        <w:rPr>
          <w:lang w:val="en-US"/>
        </w:rPr>
        <w:t>ie (“COI”) does not allow for 5-</w:t>
      </w:r>
      <w:r w:rsidR="00AD603C">
        <w:rPr>
          <w:lang w:val="en-US"/>
        </w:rPr>
        <w:t xml:space="preserve">minute </w:t>
      </w:r>
      <w:r w:rsidR="0087266C">
        <w:rPr>
          <w:lang w:val="en-US"/>
        </w:rPr>
        <w:t xml:space="preserve">dynamic </w:t>
      </w:r>
      <w:r w:rsidR="00AD603C">
        <w:rPr>
          <w:lang w:val="en-US"/>
        </w:rPr>
        <w:t>transfers</w:t>
      </w:r>
      <w:r w:rsidR="0087266C">
        <w:rPr>
          <w:lang w:val="en-US"/>
        </w:rPr>
        <w:t>,</w:t>
      </w:r>
      <w:r w:rsidR="00AD603C">
        <w:rPr>
          <w:lang w:val="en-US"/>
        </w:rPr>
        <w:t xml:space="preserve"> as envisioned in the E3 report</w:t>
      </w:r>
      <w:r w:rsidR="00C77EB7">
        <w:rPr>
          <w:lang w:val="en-US"/>
        </w:rPr>
        <w:t>, but only 15-</w:t>
      </w:r>
      <w:r w:rsidR="0087266C">
        <w:rPr>
          <w:lang w:val="en-US"/>
        </w:rPr>
        <w:t>minute static transfers</w:t>
      </w:r>
      <w:r w:rsidR="00AD603C">
        <w:rPr>
          <w:lang w:val="en-US"/>
        </w:rPr>
        <w:t>.</w:t>
      </w:r>
      <w:r w:rsidR="00AD603C" w:rsidRPr="00922AF3">
        <w:rPr>
          <w:rStyle w:val="FootnoteReference"/>
          <w:u w:val="single"/>
        </w:rPr>
        <w:footnoteReference w:id="145"/>
      </w:r>
      <w:r w:rsidR="00AD603C" w:rsidRPr="00922AF3">
        <w:rPr>
          <w:vertAlign w:val="superscript"/>
        </w:rPr>
        <w:t>/</w:t>
      </w:r>
      <w:r w:rsidR="00AD603C">
        <w:rPr>
          <w:lang w:val="en-US"/>
        </w:rPr>
        <w:t xml:space="preserve">  But, as Boise demonstrated on brief, Mr. Duvall admitted at hearing th</w:t>
      </w:r>
      <w:r w:rsidR="00356D3A">
        <w:rPr>
          <w:lang w:val="en-US"/>
        </w:rPr>
        <w:t>at he actually had no knowledge of how CAISO treats transfer capability on the COI.</w:t>
      </w:r>
      <w:r w:rsidR="00356D3A" w:rsidRPr="00C820DB">
        <w:rPr>
          <w:rStyle w:val="FootnoteReference"/>
          <w:u w:val="single"/>
        </w:rPr>
        <w:footnoteReference w:id="146"/>
      </w:r>
      <w:r w:rsidR="00356D3A" w:rsidRPr="00A240F3">
        <w:rPr>
          <w:vertAlign w:val="superscript"/>
        </w:rPr>
        <w:t>/</w:t>
      </w:r>
      <w:r w:rsidR="00356D3A">
        <w:rPr>
          <w:lang w:val="en-US"/>
        </w:rPr>
        <w:t xml:space="preserve">  </w:t>
      </w:r>
    </w:p>
    <w:p w:rsidR="00970852" w:rsidRDefault="00CE2F03" w:rsidP="00192068">
      <w:pPr>
        <w:spacing w:after="240"/>
        <w:ind w:left="2160" w:hanging="720"/>
        <w:rPr>
          <w:b/>
        </w:rPr>
      </w:pPr>
      <w:r>
        <w:rPr>
          <w:b/>
        </w:rPr>
        <w:t>c</w:t>
      </w:r>
      <w:r w:rsidR="00AA3673" w:rsidRPr="00192068">
        <w:rPr>
          <w:b/>
        </w:rPr>
        <w:t>.</w:t>
      </w:r>
      <w:r w:rsidR="00AA3673" w:rsidRPr="00192068">
        <w:rPr>
          <w:b/>
        </w:rPr>
        <w:tab/>
      </w:r>
      <w:r w:rsidR="004070A7" w:rsidRPr="00192068">
        <w:rPr>
          <w:b/>
        </w:rPr>
        <w:t>Boise’s Within-hour Dispatch Benefits Adjustment Is Not Undermined by the E3 Report</w:t>
      </w:r>
    </w:p>
    <w:p w:rsidR="00192068" w:rsidRPr="003B4A4D" w:rsidRDefault="005D536A" w:rsidP="00192068">
      <w:pPr>
        <w:pStyle w:val="130043Post-hearingBriefParagraph"/>
      </w:pPr>
      <w:r>
        <w:rPr>
          <w:lang w:val="en-US"/>
        </w:rPr>
        <w:tab/>
      </w:r>
      <w:r w:rsidR="00192068">
        <w:rPr>
          <w:lang w:val="en-US"/>
        </w:rPr>
        <w:t>Ironically, after attacking Boise for alleged</w:t>
      </w:r>
      <w:r w:rsidR="00B875D2">
        <w:rPr>
          <w:lang w:val="en-US"/>
        </w:rPr>
        <w:t xml:space="preserve"> reliance upon the E3 report in</w:t>
      </w:r>
      <w:r w:rsidR="00192068">
        <w:rPr>
          <w:lang w:val="en-US"/>
        </w:rPr>
        <w:t xml:space="preserve"> all its other adjustments, the Company argues that the only Boise adjustment “not based explicitly on the E3 report is” undermined by the E3 Report.</w:t>
      </w:r>
      <w:r w:rsidR="00192068" w:rsidRPr="00922AF3">
        <w:rPr>
          <w:rStyle w:val="FootnoteReference"/>
          <w:u w:val="single"/>
        </w:rPr>
        <w:footnoteReference w:id="147"/>
      </w:r>
      <w:r w:rsidR="00192068" w:rsidRPr="00922AF3">
        <w:rPr>
          <w:vertAlign w:val="superscript"/>
        </w:rPr>
        <w:t>/</w:t>
      </w:r>
      <w:r w:rsidR="00192068">
        <w:rPr>
          <w:lang w:val="en-US"/>
        </w:rPr>
        <w:t xml:space="preserve">  Boise maintains that Mr. Mullins</w:t>
      </w:r>
      <w:r w:rsidR="00296FE4">
        <w:rPr>
          <w:lang w:val="en-US"/>
        </w:rPr>
        <w:t>’</w:t>
      </w:r>
      <w:r w:rsidR="00192068">
        <w:rPr>
          <w:lang w:val="en-US"/>
        </w:rPr>
        <w:t xml:space="preserve"> within-</w:t>
      </w:r>
      <w:r w:rsidR="00192068">
        <w:rPr>
          <w:lang w:val="en-US"/>
        </w:rPr>
        <w:lastRenderedPageBreak/>
        <w:t xml:space="preserve">hour dispatch benefits adjustment is appropriate, despite </w:t>
      </w:r>
      <w:r w:rsidR="00296FE4">
        <w:rPr>
          <w:lang w:val="en-US"/>
        </w:rPr>
        <w:t xml:space="preserve">the Company’s sudden reliance </w:t>
      </w:r>
      <w:r w:rsidR="00192068">
        <w:rPr>
          <w:lang w:val="en-US"/>
        </w:rPr>
        <w:t>on potential offsets noted in the E3 report</w:t>
      </w:r>
      <w:r w:rsidR="0017179B">
        <w:rPr>
          <w:lang w:val="en-US"/>
        </w:rPr>
        <w:t xml:space="preserve"> (and in place of any actual Company analysis even attempting to verify these potentials)</w:t>
      </w:r>
      <w:r w:rsidR="00192068">
        <w:rPr>
          <w:lang w:val="en-US"/>
        </w:rPr>
        <w:t xml:space="preserve">.  </w:t>
      </w:r>
      <w:r w:rsidR="0017179B">
        <w:rPr>
          <w:lang w:val="en-US"/>
        </w:rPr>
        <w:t>In fact, Mr.</w:t>
      </w:r>
      <w:r w:rsidR="00B875D2">
        <w:rPr>
          <w:lang w:val="en-US"/>
        </w:rPr>
        <w:t xml:space="preserve"> Mullins explicitly calculated </w:t>
      </w:r>
      <w:r w:rsidR="0017179B">
        <w:rPr>
          <w:lang w:val="en-US"/>
        </w:rPr>
        <w:t>his adjustment on the “conservative” side, which should allay any concerns over potential offsets.</w:t>
      </w:r>
      <w:r w:rsidR="0017179B" w:rsidRPr="00851324">
        <w:rPr>
          <w:rStyle w:val="FootnoteReference"/>
          <w:u w:val="single"/>
        </w:rPr>
        <w:footnoteReference w:id="148"/>
      </w:r>
      <w:r w:rsidR="0017179B">
        <w:rPr>
          <w:vertAlign w:val="superscript"/>
        </w:rPr>
        <w:t>/</w:t>
      </w:r>
      <w:r w:rsidR="0017179B">
        <w:rPr>
          <w:lang w:val="en-US"/>
        </w:rPr>
        <w:t xml:space="preserve"> </w:t>
      </w:r>
    </w:p>
    <w:p w:rsidR="00864465" w:rsidRPr="00C70A36" w:rsidRDefault="00864465" w:rsidP="00864465">
      <w:pPr>
        <w:ind w:left="1440" w:hanging="720"/>
        <w:rPr>
          <w:b/>
        </w:rPr>
      </w:pPr>
      <w:r w:rsidRPr="00C70A36">
        <w:rPr>
          <w:b/>
        </w:rPr>
        <w:t>3.</w:t>
      </w:r>
      <w:r w:rsidRPr="00C70A36">
        <w:rPr>
          <w:b/>
        </w:rPr>
        <w:tab/>
        <w:t>Boise’s Network Integration and Transmission (“NT”) Service Adjustment Calculation Is Accurate</w:t>
      </w:r>
    </w:p>
    <w:p w:rsidR="00864465" w:rsidRPr="00C70A36" w:rsidRDefault="00864465" w:rsidP="00864465">
      <w:pPr>
        <w:ind w:left="720"/>
      </w:pPr>
    </w:p>
    <w:p w:rsidR="00CE2F03" w:rsidRPr="005D536A" w:rsidRDefault="005D536A" w:rsidP="00473E76">
      <w:pPr>
        <w:pStyle w:val="130043Post-hearingBriefParagraph"/>
      </w:pPr>
      <w:r>
        <w:rPr>
          <w:lang w:val="en-US"/>
        </w:rPr>
        <w:tab/>
      </w:r>
      <w:r w:rsidR="00864465" w:rsidRPr="00C70A36">
        <w:rPr>
          <w:lang w:val="en-US"/>
        </w:rPr>
        <w:t>Boise and Pacific Power agree that Mr. Mullins’ proposed NT Service adjustment is appropriate, but disagree as to its calculation.</w:t>
      </w:r>
      <w:r w:rsidR="00864465" w:rsidRPr="00C70A36">
        <w:rPr>
          <w:rStyle w:val="FootnoteReference"/>
          <w:u w:val="single"/>
        </w:rPr>
        <w:footnoteReference w:id="149"/>
      </w:r>
      <w:r w:rsidR="00864465" w:rsidRPr="00C70A36">
        <w:rPr>
          <w:vertAlign w:val="superscript"/>
        </w:rPr>
        <w:t>/</w:t>
      </w:r>
      <w:r w:rsidR="00864465" w:rsidRPr="00C70A36">
        <w:rPr>
          <w:lang w:val="en-US"/>
        </w:rPr>
        <w:t xml:space="preserve">  As explained on brief, </w:t>
      </w:r>
      <w:r w:rsidR="00296FE4" w:rsidRPr="00C70A36">
        <w:rPr>
          <w:lang w:val="en-US"/>
        </w:rPr>
        <w:t xml:space="preserve">Mr. Mullins </w:t>
      </w:r>
      <w:r w:rsidR="00864465" w:rsidRPr="00C70A36">
        <w:rPr>
          <w:lang w:val="en-US"/>
        </w:rPr>
        <w:t xml:space="preserve">addressed Pacific Power concerns </w:t>
      </w:r>
      <w:r w:rsidR="00242526" w:rsidRPr="00C70A36">
        <w:rPr>
          <w:lang w:val="en-US"/>
        </w:rPr>
        <w:t>by reducing his proposed adjustment to $294,513 on a Washington basis.</w:t>
      </w:r>
      <w:r w:rsidR="00242526" w:rsidRPr="00C70A36">
        <w:rPr>
          <w:rStyle w:val="FootnoteReference"/>
          <w:u w:val="single"/>
        </w:rPr>
        <w:footnoteReference w:id="150"/>
      </w:r>
      <w:r w:rsidR="00242526" w:rsidRPr="00C70A36">
        <w:rPr>
          <w:vertAlign w:val="superscript"/>
        </w:rPr>
        <w:t>/</w:t>
      </w:r>
      <w:r w:rsidR="00242526" w:rsidRPr="00C70A36">
        <w:rPr>
          <w:lang w:val="en-US"/>
        </w:rPr>
        <w:t xml:space="preserve">  </w:t>
      </w:r>
      <w:r w:rsidR="00864465" w:rsidRPr="00C70A36">
        <w:rPr>
          <w:lang w:val="en-US"/>
        </w:rPr>
        <w:t xml:space="preserve">Given the treatment of </w:t>
      </w:r>
      <w:r w:rsidR="00242526" w:rsidRPr="00C70A36">
        <w:rPr>
          <w:lang w:val="en-US"/>
        </w:rPr>
        <w:t>Company</w:t>
      </w:r>
      <w:r w:rsidR="00864465" w:rsidRPr="00C70A36">
        <w:rPr>
          <w:lang w:val="en-US"/>
        </w:rPr>
        <w:t xml:space="preserve"> concerns by Mr. Mullins, there should be no further disagreement by the Company on the appropriate adjustment figure.  The Company has already agreed that Boise’s understanding is correct, regarding the appropriate billing factor for NT Service provided by </w:t>
      </w:r>
      <w:r w:rsidR="00242526" w:rsidRPr="00C70A36">
        <w:rPr>
          <w:lang w:val="en-US"/>
        </w:rPr>
        <w:t xml:space="preserve">the </w:t>
      </w:r>
      <w:r w:rsidR="00864465" w:rsidRPr="00C70A36">
        <w:rPr>
          <w:lang w:val="en-US"/>
        </w:rPr>
        <w:t>B</w:t>
      </w:r>
      <w:r w:rsidR="00242526" w:rsidRPr="00C70A36">
        <w:rPr>
          <w:lang w:val="en-US"/>
        </w:rPr>
        <w:t xml:space="preserve">onneville </w:t>
      </w:r>
      <w:r w:rsidR="00864465" w:rsidRPr="00C70A36">
        <w:rPr>
          <w:lang w:val="en-US"/>
        </w:rPr>
        <w:t>P</w:t>
      </w:r>
      <w:r w:rsidR="00242526" w:rsidRPr="00C70A36">
        <w:rPr>
          <w:lang w:val="en-US"/>
        </w:rPr>
        <w:t xml:space="preserve">ower </w:t>
      </w:r>
      <w:r w:rsidR="00864465" w:rsidRPr="00C70A36">
        <w:rPr>
          <w:lang w:val="en-US"/>
        </w:rPr>
        <w:t>A</w:t>
      </w:r>
      <w:r w:rsidR="00242526" w:rsidRPr="00C70A36">
        <w:rPr>
          <w:lang w:val="en-US"/>
        </w:rPr>
        <w:t>dministration (“BPA”)</w:t>
      </w:r>
      <w:r w:rsidR="00864465" w:rsidRPr="00C70A36">
        <w:rPr>
          <w:lang w:val="en-US"/>
        </w:rPr>
        <w:t xml:space="preserve"> in its Open Access Transmission Tariff (“OATT”).</w:t>
      </w:r>
      <w:r w:rsidR="00864465" w:rsidRPr="00C70A36">
        <w:rPr>
          <w:rStyle w:val="FootnoteReference"/>
          <w:u w:val="single"/>
        </w:rPr>
        <w:footnoteReference w:id="151"/>
      </w:r>
      <w:r w:rsidR="00864465" w:rsidRPr="00C70A36">
        <w:rPr>
          <w:vertAlign w:val="superscript"/>
        </w:rPr>
        <w:t>/</w:t>
      </w:r>
      <w:r w:rsidR="00864465" w:rsidRPr="00C70A36">
        <w:rPr>
          <w:lang w:val="en-US"/>
        </w:rPr>
        <w:t xml:space="preserve">  Thus, with the Company conceding such a fundamental point, </w:t>
      </w:r>
      <w:r w:rsidR="00242526" w:rsidRPr="00C70A36">
        <w:rPr>
          <w:lang w:val="en-US"/>
        </w:rPr>
        <w:t xml:space="preserve">Pacific Power cannot </w:t>
      </w:r>
      <w:r w:rsidR="00864465" w:rsidRPr="00C70A36">
        <w:rPr>
          <w:lang w:val="en-US"/>
        </w:rPr>
        <w:t>credibly object that Boise’s adjustment calculations are “particularly unreasonable” in light of BPA rates.</w:t>
      </w:r>
      <w:r w:rsidR="00864465" w:rsidRPr="00C70A36">
        <w:rPr>
          <w:rStyle w:val="FootnoteReference"/>
          <w:u w:val="single"/>
        </w:rPr>
        <w:footnoteReference w:id="152"/>
      </w:r>
      <w:r w:rsidR="00864465" w:rsidRPr="00C70A36">
        <w:rPr>
          <w:vertAlign w:val="superscript"/>
        </w:rPr>
        <w:t>/</w:t>
      </w:r>
      <w:r w:rsidR="00864465" w:rsidRPr="00C70A36">
        <w:rPr>
          <w:lang w:val="en-US"/>
        </w:rPr>
        <w:t xml:space="preserve">  In other words, the Company cannot at the same time agree that Boise’s calculations are appropriately based upon BPA billing factors under the OATT, yet also allege that the results of these calculations are unreasonable.</w:t>
      </w:r>
    </w:p>
    <w:p w:rsidR="005D536A" w:rsidRPr="00473E76" w:rsidRDefault="005D536A" w:rsidP="005D536A">
      <w:pPr>
        <w:pStyle w:val="130043Post-hearingBriefParagraph"/>
        <w:numPr>
          <w:ilvl w:val="0"/>
          <w:numId w:val="0"/>
        </w:numPr>
      </w:pPr>
    </w:p>
    <w:p w:rsidR="00A76F4E" w:rsidRPr="00C70A36" w:rsidRDefault="00A76F4E" w:rsidP="00A76F4E">
      <w:pPr>
        <w:spacing w:after="240"/>
        <w:ind w:left="1440" w:hanging="720"/>
        <w:rPr>
          <w:b/>
        </w:rPr>
      </w:pPr>
      <w:r w:rsidRPr="00C70A36">
        <w:rPr>
          <w:b/>
        </w:rPr>
        <w:lastRenderedPageBreak/>
        <w:t>4.</w:t>
      </w:r>
      <w:r w:rsidRPr="00C70A36">
        <w:rPr>
          <w:b/>
        </w:rPr>
        <w:tab/>
        <w:t>The Company Has Failed to De</w:t>
      </w:r>
      <w:r w:rsidR="009967FB">
        <w:rPr>
          <w:b/>
        </w:rPr>
        <w:t xml:space="preserve">monstrate that It Is Not Double </w:t>
      </w:r>
      <w:r w:rsidR="00FA365E">
        <w:rPr>
          <w:b/>
        </w:rPr>
        <w:t>Counting Inter-hour Integration</w:t>
      </w:r>
      <w:r w:rsidRPr="00C70A36">
        <w:rPr>
          <w:b/>
        </w:rPr>
        <w:t xml:space="preserve"> Costs</w:t>
      </w:r>
    </w:p>
    <w:p w:rsidR="00A76F4E" w:rsidRPr="00C70A36" w:rsidRDefault="005D536A" w:rsidP="00A76F4E">
      <w:pPr>
        <w:pStyle w:val="130043Post-hearingBriefParagraph"/>
      </w:pPr>
      <w:r>
        <w:rPr>
          <w:lang w:val="en-US"/>
        </w:rPr>
        <w:tab/>
      </w:r>
      <w:r w:rsidR="00296FE4" w:rsidRPr="00C70A36">
        <w:rPr>
          <w:lang w:val="en-US"/>
        </w:rPr>
        <w:t>Rather than concede</w:t>
      </w:r>
      <w:r w:rsidR="00A76F4E" w:rsidRPr="00C70A36">
        <w:rPr>
          <w:lang w:val="en-US"/>
        </w:rPr>
        <w:t xml:space="preserve"> duplicative wind integration costs, the Company contends that its costs are now effectively doubled </w:t>
      </w:r>
      <w:r w:rsidR="00E704FC" w:rsidRPr="00C70A36">
        <w:rPr>
          <w:lang w:val="en-US"/>
        </w:rPr>
        <w:t>because</w:t>
      </w:r>
      <w:r w:rsidR="00A76F4E" w:rsidRPr="00C70A36">
        <w:rPr>
          <w:lang w:val="en-US"/>
        </w:rPr>
        <w:t xml:space="preserve"> it accounts for difference</w:t>
      </w:r>
      <w:r w:rsidR="00BB5B43">
        <w:rPr>
          <w:lang w:val="en-US"/>
        </w:rPr>
        <w:t>s</w:t>
      </w:r>
      <w:r w:rsidR="00A76F4E" w:rsidRPr="00C70A36">
        <w:rPr>
          <w:lang w:val="en-US"/>
        </w:rPr>
        <w:t xml:space="preserve"> between </w:t>
      </w:r>
      <w:r w:rsidR="00F84DFC" w:rsidRPr="00C70A36">
        <w:rPr>
          <w:lang w:val="en-US"/>
        </w:rPr>
        <w:t>forecasting and actual dispatch.</w:t>
      </w:r>
      <w:r w:rsidR="00F84DFC" w:rsidRPr="00C70A36">
        <w:rPr>
          <w:rStyle w:val="FootnoteReference"/>
          <w:u w:val="single"/>
        </w:rPr>
        <w:footnoteReference w:id="153"/>
      </w:r>
      <w:r w:rsidR="00F84DFC" w:rsidRPr="00C70A36">
        <w:rPr>
          <w:vertAlign w:val="superscript"/>
        </w:rPr>
        <w:t>/</w:t>
      </w:r>
      <w:r w:rsidR="00F84DFC" w:rsidRPr="00C70A36">
        <w:rPr>
          <w:lang w:val="en-US"/>
        </w:rPr>
        <w:t xml:space="preserve">  Yet, as demonstrated by Mr. Mullins, the Company has now included virtually the same integration costs </w:t>
      </w:r>
      <w:r w:rsidR="00F84DFC" w:rsidRPr="00C70A36">
        <w:rPr>
          <w:i/>
          <w:lang w:val="en-US"/>
        </w:rPr>
        <w:t>within</w:t>
      </w:r>
      <w:r w:rsidR="00F84DFC" w:rsidRPr="00C70A36">
        <w:rPr>
          <w:lang w:val="en-US"/>
        </w:rPr>
        <w:t xml:space="preserve"> its Generation Regulation Initiative Decision (“GRID”)</w:t>
      </w:r>
      <w:r w:rsidR="00BB5B43">
        <w:rPr>
          <w:lang w:val="en-US"/>
        </w:rPr>
        <w:t xml:space="preserve"> model</w:t>
      </w:r>
      <w:r w:rsidR="00F84DFC" w:rsidRPr="00C70A36">
        <w:rPr>
          <w:lang w:val="en-US"/>
        </w:rPr>
        <w:t xml:space="preserve"> that </w:t>
      </w:r>
      <w:r w:rsidR="00E704FC" w:rsidRPr="00C70A36">
        <w:rPr>
          <w:lang w:val="en-US"/>
        </w:rPr>
        <w:t xml:space="preserve">had </w:t>
      </w:r>
      <w:r w:rsidR="00F84DFC" w:rsidRPr="00C70A36">
        <w:rPr>
          <w:lang w:val="en-US"/>
        </w:rPr>
        <w:t xml:space="preserve">tradionally existed </w:t>
      </w:r>
      <w:r w:rsidR="00F84DFC" w:rsidRPr="00C70A36">
        <w:rPr>
          <w:i/>
          <w:lang w:val="en-US"/>
        </w:rPr>
        <w:t>outside</w:t>
      </w:r>
      <w:r w:rsidR="00F84DFC" w:rsidRPr="00C70A36">
        <w:rPr>
          <w:lang w:val="en-US"/>
        </w:rPr>
        <w:t xml:space="preserve"> of the GRID model—only </w:t>
      </w:r>
      <w:r w:rsidR="00E704FC" w:rsidRPr="00C70A36">
        <w:rPr>
          <w:lang w:val="en-US"/>
        </w:rPr>
        <w:t>the Company has not removed</w:t>
      </w:r>
      <w:r w:rsidR="00F84DFC" w:rsidRPr="00C70A36">
        <w:rPr>
          <w:lang w:val="en-US"/>
        </w:rPr>
        <w:t xml:space="preserve"> the</w:t>
      </w:r>
      <w:r w:rsidR="00E704FC" w:rsidRPr="00C70A36">
        <w:rPr>
          <w:lang w:val="en-US"/>
        </w:rPr>
        <w:t>se</w:t>
      </w:r>
      <w:r w:rsidR="00F84DFC" w:rsidRPr="00C70A36">
        <w:rPr>
          <w:lang w:val="en-US"/>
        </w:rPr>
        <w:t xml:space="preserve"> outside GRID costs</w:t>
      </w:r>
      <w:r w:rsidR="00E704FC" w:rsidRPr="00C70A36">
        <w:rPr>
          <w:lang w:val="en-US"/>
        </w:rPr>
        <w:t xml:space="preserve"> as a consequence of this change</w:t>
      </w:r>
      <w:r w:rsidR="00F84DFC" w:rsidRPr="00C70A36">
        <w:rPr>
          <w:lang w:val="en-US"/>
        </w:rPr>
        <w:t>.</w:t>
      </w:r>
      <w:r w:rsidR="00F84DFC" w:rsidRPr="00C70A36">
        <w:rPr>
          <w:rStyle w:val="FootnoteReference"/>
          <w:u w:val="single"/>
        </w:rPr>
        <w:footnoteReference w:id="154"/>
      </w:r>
      <w:r w:rsidR="00F84DFC" w:rsidRPr="00C70A36">
        <w:rPr>
          <w:vertAlign w:val="superscript"/>
        </w:rPr>
        <w:t>/</w:t>
      </w:r>
      <w:r w:rsidR="00F84DFC" w:rsidRPr="00C70A36">
        <w:rPr>
          <w:lang w:val="en-US"/>
        </w:rPr>
        <w:t xml:space="preserve">  The fact that the Company has not demonstrated any legitimate customer benefits corresponding to a near doubling of its wind integration charges cannot be deemed </w:t>
      </w:r>
      <w:r w:rsidR="00E704FC" w:rsidRPr="00C70A36">
        <w:rPr>
          <w:lang w:val="en-US"/>
        </w:rPr>
        <w:t xml:space="preserve">as </w:t>
      </w:r>
      <w:r w:rsidR="00F84DFC" w:rsidRPr="00C70A36">
        <w:rPr>
          <w:lang w:val="en-US"/>
        </w:rPr>
        <w:t>anything but improper double-counting.</w:t>
      </w:r>
    </w:p>
    <w:p w:rsidR="005C59D0" w:rsidRPr="005D536A" w:rsidRDefault="005D536A" w:rsidP="00311706">
      <w:pPr>
        <w:pStyle w:val="130043Post-hearingBriefParagraph"/>
      </w:pPr>
      <w:r>
        <w:rPr>
          <w:lang w:val="en-US"/>
        </w:rPr>
        <w:tab/>
      </w:r>
      <w:r w:rsidR="00F84DFC" w:rsidRPr="00C70A36">
        <w:rPr>
          <w:lang w:val="en-US"/>
        </w:rPr>
        <w:t>Likewise, the Company claims that it has included new inter-hour costs for load integration “in the last two cases.”</w:t>
      </w:r>
      <w:r w:rsidR="00F84DFC" w:rsidRPr="00C70A36">
        <w:rPr>
          <w:rStyle w:val="FootnoteReference"/>
          <w:u w:val="single"/>
        </w:rPr>
        <w:footnoteReference w:id="155"/>
      </w:r>
      <w:r w:rsidR="00F84DFC" w:rsidRPr="00C70A36">
        <w:rPr>
          <w:vertAlign w:val="superscript"/>
        </w:rPr>
        <w:t>/</w:t>
      </w:r>
      <w:r w:rsidR="00AF2D2C" w:rsidRPr="00C70A36">
        <w:rPr>
          <w:lang w:val="en-US"/>
        </w:rPr>
        <w:t xml:space="preserve">  This claim is demonstrably false, relying only on a single paragraph with</w:t>
      </w:r>
      <w:r w:rsidR="00BB5B43">
        <w:rPr>
          <w:lang w:val="en-US"/>
        </w:rPr>
        <w:t>in</w:t>
      </w:r>
      <w:r w:rsidR="00AF2D2C" w:rsidRPr="00C70A36">
        <w:rPr>
          <w:lang w:val="en-US"/>
        </w:rPr>
        <w:t xml:space="preserve"> Mr. Duvall’s testimony which alleges only that the Company included the same charge in 2011.</w:t>
      </w:r>
      <w:r w:rsidR="00AF2D2C" w:rsidRPr="00C70A36">
        <w:rPr>
          <w:rStyle w:val="FootnoteReference"/>
          <w:u w:val="single"/>
        </w:rPr>
        <w:footnoteReference w:id="156"/>
      </w:r>
      <w:r w:rsidR="00AF2D2C" w:rsidRPr="00C70A36">
        <w:rPr>
          <w:vertAlign w:val="superscript"/>
        </w:rPr>
        <w:t>/</w:t>
      </w:r>
      <w:r w:rsidR="00AF2D2C" w:rsidRPr="00C70A36">
        <w:rPr>
          <w:lang w:val="en-US"/>
        </w:rPr>
        <w:t xml:space="preserve">  As explained by Mr. Mullins, however, </w:t>
      </w:r>
      <w:r w:rsidR="006C3542" w:rsidRPr="00C70A36">
        <w:rPr>
          <w:lang w:val="en-US"/>
        </w:rPr>
        <w:t>the Company’s failure to include this charge in the 2013 GRC not only invalidates the Company’s argument</w:t>
      </w:r>
      <w:r w:rsidR="00296FE4" w:rsidRPr="00C70A36">
        <w:rPr>
          <w:lang w:val="en-US"/>
        </w:rPr>
        <w:t xml:space="preserve"> on brief</w:t>
      </w:r>
      <w:r w:rsidR="006C3542" w:rsidRPr="00C70A36">
        <w:rPr>
          <w:lang w:val="en-US"/>
        </w:rPr>
        <w:t>, but it also r</w:t>
      </w:r>
      <w:r w:rsidR="00296FE4" w:rsidRPr="00C70A36">
        <w:rPr>
          <w:lang w:val="en-US"/>
        </w:rPr>
        <w:t>enders the new charge invalid, since it is</w:t>
      </w:r>
      <w:r w:rsidR="006C3542" w:rsidRPr="00C70A36">
        <w:rPr>
          <w:lang w:val="en-US"/>
        </w:rPr>
        <w:t xml:space="preserve"> unsupported </w:t>
      </w:r>
      <w:r w:rsidR="00296FE4" w:rsidRPr="00C70A36">
        <w:rPr>
          <w:lang w:val="en-US"/>
        </w:rPr>
        <w:t xml:space="preserve">in violation of </w:t>
      </w:r>
      <w:r w:rsidR="006C3542" w:rsidRPr="00C70A36">
        <w:rPr>
          <w:lang w:val="en-US"/>
        </w:rPr>
        <w:t>Commission rule.</w:t>
      </w:r>
      <w:r w:rsidR="006C3542" w:rsidRPr="00C70A36">
        <w:rPr>
          <w:rStyle w:val="FootnoteReference"/>
          <w:u w:val="single"/>
        </w:rPr>
        <w:footnoteReference w:id="157"/>
      </w:r>
      <w:r w:rsidR="006C3542" w:rsidRPr="00C70A36">
        <w:rPr>
          <w:vertAlign w:val="superscript"/>
        </w:rPr>
        <w:t>/</w:t>
      </w:r>
    </w:p>
    <w:p w:rsidR="006C3542" w:rsidRPr="00C70A36" w:rsidRDefault="006C3542" w:rsidP="006069B9">
      <w:pPr>
        <w:keepNext/>
        <w:widowControl w:val="0"/>
        <w:spacing w:after="240"/>
        <w:ind w:left="1440" w:hanging="720"/>
        <w:rPr>
          <w:b/>
        </w:rPr>
      </w:pPr>
      <w:r w:rsidRPr="00C70A36">
        <w:rPr>
          <w:b/>
        </w:rPr>
        <w:lastRenderedPageBreak/>
        <w:t>5.</w:t>
      </w:r>
      <w:r w:rsidRPr="00C70A36">
        <w:rPr>
          <w:b/>
        </w:rPr>
        <w:tab/>
        <w:t>The Record Provides Ample Proof to Merit Exclusion of the Chehalis Outage from Outage Rate Calculations</w:t>
      </w:r>
    </w:p>
    <w:p w:rsidR="006C3542" w:rsidRPr="00C70A36" w:rsidRDefault="005D536A" w:rsidP="006C3542">
      <w:pPr>
        <w:pStyle w:val="130043Post-hearingBriefParagraph"/>
      </w:pPr>
      <w:r>
        <w:rPr>
          <w:lang w:val="en-US"/>
        </w:rPr>
        <w:tab/>
      </w:r>
      <w:r w:rsidR="008B69D2" w:rsidRPr="00C70A36">
        <w:rPr>
          <w:lang w:val="en-US"/>
        </w:rPr>
        <w:t>The Company’s first argument for inclusion o</w:t>
      </w:r>
      <w:r w:rsidR="00E345CF" w:rsidRPr="00C70A36">
        <w:rPr>
          <w:lang w:val="en-US"/>
        </w:rPr>
        <w:t>f the Chehalis o</w:t>
      </w:r>
      <w:r w:rsidR="00C27B7D" w:rsidRPr="00C70A36">
        <w:rPr>
          <w:lang w:val="en-US"/>
        </w:rPr>
        <w:t>utage in outage rates is based upon witness testimony from the Company’s 2010 GRC, recommending that an outage be excluded as anomalous only if it exceeds 28 days</w:t>
      </w:r>
      <w:r w:rsidR="00E345CF" w:rsidRPr="00C70A36">
        <w:rPr>
          <w:lang w:val="en-US"/>
        </w:rPr>
        <w:t xml:space="preserve"> </w:t>
      </w:r>
      <w:r w:rsidR="00296FE4" w:rsidRPr="00C70A36">
        <w:rPr>
          <w:lang w:val="en-US"/>
        </w:rPr>
        <w:t>(</w:t>
      </w:r>
      <w:r w:rsidR="00B120E8" w:rsidRPr="00C70A36">
        <w:rPr>
          <w:lang w:val="en-US"/>
        </w:rPr>
        <w:t>the Company makes this argument because</w:t>
      </w:r>
      <w:r w:rsidR="00E345CF" w:rsidRPr="00C70A36">
        <w:rPr>
          <w:lang w:val="en-US"/>
        </w:rPr>
        <w:t xml:space="preserve"> the 2013 Chehalis outage lasted for a shorter period</w:t>
      </w:r>
      <w:r w:rsidR="00296FE4" w:rsidRPr="00C70A36">
        <w:rPr>
          <w:lang w:val="en-US"/>
        </w:rPr>
        <w:t>).</w:t>
      </w:r>
      <w:r w:rsidR="00C27B7D" w:rsidRPr="00C70A36">
        <w:rPr>
          <w:rStyle w:val="FootnoteReference"/>
          <w:u w:val="single"/>
        </w:rPr>
        <w:footnoteReference w:id="158"/>
      </w:r>
      <w:r w:rsidR="00C27B7D" w:rsidRPr="00C70A36">
        <w:rPr>
          <w:vertAlign w:val="superscript"/>
        </w:rPr>
        <w:t>/</w:t>
      </w:r>
      <w:r w:rsidR="00E345CF" w:rsidRPr="00C70A36">
        <w:rPr>
          <w:lang w:val="en-US"/>
        </w:rPr>
        <w:t xml:space="preserve">  The problem with this argument is that Boise is recommending the exclusion of the 2013 Chehalis outage on the basis </w:t>
      </w:r>
      <w:r w:rsidR="00296FE4" w:rsidRPr="00C70A36">
        <w:rPr>
          <w:lang w:val="en-US"/>
        </w:rPr>
        <w:t>that it was</w:t>
      </w:r>
      <w:r w:rsidR="00E345CF" w:rsidRPr="00C70A36">
        <w:rPr>
          <w:lang w:val="en-US"/>
        </w:rPr>
        <w:t xml:space="preserve"> the third catastrophic outage within a decade, all due to </w:t>
      </w:r>
      <w:r w:rsidR="00B120E8" w:rsidRPr="00C70A36">
        <w:rPr>
          <w:lang w:val="en-US"/>
        </w:rPr>
        <w:t>the same transformer</w:t>
      </w:r>
      <w:r w:rsidR="00E345CF" w:rsidRPr="00C70A36">
        <w:rPr>
          <w:lang w:val="en-US"/>
        </w:rPr>
        <w:t xml:space="preserve"> bushing design failure.</w:t>
      </w:r>
      <w:r w:rsidR="00E345CF" w:rsidRPr="00C70A36">
        <w:rPr>
          <w:rStyle w:val="FootnoteReference"/>
          <w:u w:val="single"/>
        </w:rPr>
        <w:footnoteReference w:id="159"/>
      </w:r>
      <w:r w:rsidR="00E345CF" w:rsidRPr="00C70A36">
        <w:rPr>
          <w:vertAlign w:val="superscript"/>
        </w:rPr>
        <w:t>/</w:t>
      </w:r>
      <w:r w:rsidR="00E345CF" w:rsidRPr="00C70A36">
        <w:rPr>
          <w:lang w:val="en-US"/>
        </w:rPr>
        <w:t xml:space="preserve">  The ultimate duration of the outage is immaterial.</w:t>
      </w:r>
    </w:p>
    <w:p w:rsidR="00E345CF" w:rsidRPr="00C70A36" w:rsidRDefault="005D536A" w:rsidP="006C3542">
      <w:pPr>
        <w:pStyle w:val="130043Post-hearingBriefParagraph"/>
      </w:pPr>
      <w:r>
        <w:rPr>
          <w:lang w:val="en-US"/>
        </w:rPr>
        <w:tab/>
      </w:r>
      <w:r w:rsidR="00A32C40" w:rsidRPr="00C70A36">
        <w:rPr>
          <w:lang w:val="en-US"/>
        </w:rPr>
        <w:t>Pacific Power</w:t>
      </w:r>
      <w:r w:rsidR="00E345CF" w:rsidRPr="00C70A36">
        <w:rPr>
          <w:lang w:val="en-US"/>
        </w:rPr>
        <w:t xml:space="preserve"> next critiques Mr. Mullins for </w:t>
      </w:r>
      <w:r w:rsidR="00A32C40" w:rsidRPr="00C70A36">
        <w:rPr>
          <w:lang w:val="en-US"/>
        </w:rPr>
        <w:t>drawing conclusions without the same experience or training in plant operation and maintenance as Company witness Mr. Ralston.</w:t>
      </w:r>
      <w:r w:rsidR="00A32C40" w:rsidRPr="00C70A36">
        <w:rPr>
          <w:rStyle w:val="FootnoteReference"/>
          <w:u w:val="single"/>
        </w:rPr>
        <w:footnoteReference w:id="160"/>
      </w:r>
      <w:r w:rsidR="00A32C40" w:rsidRPr="00C70A36">
        <w:rPr>
          <w:vertAlign w:val="superscript"/>
        </w:rPr>
        <w:t>/</w:t>
      </w:r>
      <w:r w:rsidR="00A32C40" w:rsidRPr="00C70A36">
        <w:rPr>
          <w:vertAlign w:val="superscript"/>
          <w:lang w:val="en-US"/>
        </w:rPr>
        <w:t xml:space="preserve">  </w:t>
      </w:r>
      <w:r w:rsidR="00A32C40" w:rsidRPr="00C70A36">
        <w:rPr>
          <w:lang w:val="en-US"/>
        </w:rPr>
        <w:t>As even the Company concedes, however, Mr. Mullins based his opinions upon the findings of engineering experts contained with</w:t>
      </w:r>
      <w:r w:rsidR="00296FE4" w:rsidRPr="00C70A36">
        <w:rPr>
          <w:lang w:val="en-US"/>
        </w:rPr>
        <w:t>in</w:t>
      </w:r>
      <w:r w:rsidR="00A32C40" w:rsidRPr="00C70A36">
        <w:rPr>
          <w:lang w:val="en-US"/>
        </w:rPr>
        <w:t xml:space="preserve"> the 2013 Chehalis outage root cause analysis.</w:t>
      </w:r>
      <w:r w:rsidR="00A32C40" w:rsidRPr="00C70A36">
        <w:rPr>
          <w:rStyle w:val="FootnoteReference"/>
          <w:u w:val="single"/>
        </w:rPr>
        <w:footnoteReference w:id="161"/>
      </w:r>
      <w:r w:rsidR="00A32C40" w:rsidRPr="00C70A36">
        <w:rPr>
          <w:vertAlign w:val="superscript"/>
        </w:rPr>
        <w:t>/</w:t>
      </w:r>
      <w:r w:rsidR="00A32C40" w:rsidRPr="00C70A36">
        <w:rPr>
          <w:lang w:val="en-US"/>
        </w:rPr>
        <w:t xml:space="preserve">  Accordingly, Mr. Mullins has drawn his conclusions in a reasonable manner</w:t>
      </w:r>
      <w:r w:rsidR="00B41749" w:rsidRPr="00C70A36">
        <w:rPr>
          <w:lang w:val="en-US"/>
        </w:rPr>
        <w:t>,</w:t>
      </w:r>
      <w:r w:rsidR="00A32C40" w:rsidRPr="00C70A36">
        <w:rPr>
          <w:lang w:val="en-US"/>
        </w:rPr>
        <w:t xml:space="preserve"> just as all other parties and the Commission itself will do.</w:t>
      </w:r>
    </w:p>
    <w:p w:rsidR="004B21D6" w:rsidRDefault="004B21D6" w:rsidP="004B21D6">
      <w:pPr>
        <w:spacing w:after="240"/>
        <w:ind w:left="720" w:hanging="720"/>
        <w:rPr>
          <w:b/>
        </w:rPr>
      </w:pPr>
      <w:r w:rsidRPr="00976768">
        <w:rPr>
          <w:b/>
        </w:rPr>
        <w:t>D.</w:t>
      </w:r>
      <w:r w:rsidRPr="00976768">
        <w:rPr>
          <w:b/>
        </w:rPr>
        <w:tab/>
      </w:r>
      <w:r>
        <w:rPr>
          <w:b/>
        </w:rPr>
        <w:t>The Commission Should Reject the Company’s Proposed Renewable Resource Tracking Mechanism (“</w:t>
      </w:r>
      <w:r w:rsidRPr="00976768">
        <w:rPr>
          <w:b/>
        </w:rPr>
        <w:t>RRTM</w:t>
      </w:r>
      <w:r>
        <w:rPr>
          <w:b/>
        </w:rPr>
        <w:t>”)</w:t>
      </w:r>
    </w:p>
    <w:p w:rsidR="00B636DD" w:rsidRPr="00B636DD" w:rsidRDefault="005D536A" w:rsidP="004B21D6">
      <w:pPr>
        <w:pStyle w:val="130043Post-hearingBriefParagraph"/>
      </w:pPr>
      <w:r>
        <w:rPr>
          <w:lang w:val="en-US"/>
        </w:rPr>
        <w:tab/>
      </w:r>
      <w:r w:rsidR="004B21D6">
        <w:rPr>
          <w:lang w:val="en-US"/>
        </w:rPr>
        <w:t>The Company argues that its proposed “RRTM is narrowly focused on resources that are eligible for compliance with Washington state energy policy.”</w:t>
      </w:r>
      <w:r w:rsidR="004B21D6" w:rsidRPr="00922AF3">
        <w:rPr>
          <w:rStyle w:val="FootnoteReference"/>
          <w:u w:val="single"/>
        </w:rPr>
        <w:footnoteReference w:id="162"/>
      </w:r>
      <w:r w:rsidR="004B21D6" w:rsidRPr="00922AF3">
        <w:rPr>
          <w:vertAlign w:val="superscript"/>
        </w:rPr>
        <w:t>/</w:t>
      </w:r>
      <w:r w:rsidR="004B21D6">
        <w:rPr>
          <w:lang w:val="en-US"/>
        </w:rPr>
        <w:t xml:space="preserve">  The record contradicts this characterization, specifically in regard to the inclusion of market price changes unrelated to </w:t>
      </w:r>
      <w:r w:rsidR="004B21D6">
        <w:rPr>
          <w:lang w:val="en-US"/>
        </w:rPr>
        <w:lastRenderedPageBreak/>
        <w:t>renewable portfolio standard (“RPS”) compliance.</w:t>
      </w:r>
      <w:r w:rsidR="004B21D6" w:rsidRPr="00922AF3">
        <w:rPr>
          <w:rStyle w:val="FootnoteReference"/>
          <w:u w:val="single"/>
        </w:rPr>
        <w:footnoteReference w:id="163"/>
      </w:r>
      <w:r w:rsidR="004B21D6" w:rsidRPr="00922AF3">
        <w:rPr>
          <w:vertAlign w:val="superscript"/>
        </w:rPr>
        <w:t>/</w:t>
      </w:r>
      <w:r w:rsidR="00755920">
        <w:rPr>
          <w:lang w:val="en-US"/>
        </w:rPr>
        <w:t xml:space="preserve">  </w:t>
      </w:r>
      <w:r w:rsidR="006774A0">
        <w:rPr>
          <w:lang w:val="en-US"/>
        </w:rPr>
        <w:t xml:space="preserve">The Company </w:t>
      </w:r>
      <w:r w:rsidR="00CC450E">
        <w:rPr>
          <w:lang w:val="en-US"/>
        </w:rPr>
        <w:t>argues</w:t>
      </w:r>
      <w:r w:rsidR="00FE1DE0">
        <w:rPr>
          <w:lang w:val="en-US"/>
        </w:rPr>
        <w:t>:</w:t>
      </w:r>
      <w:r w:rsidR="006774A0">
        <w:rPr>
          <w:lang w:val="en-US"/>
        </w:rPr>
        <w:t xml:space="preserve">  “Market variability must be accounted for in the RRTM</w:t>
      </w:r>
      <w:r w:rsidR="009C745E">
        <w:rPr>
          <w:lang w:val="en-US"/>
        </w:rPr>
        <w:t>,</w:t>
      </w:r>
      <w:r w:rsidR="006774A0">
        <w:rPr>
          <w:lang w:val="en-US"/>
        </w:rPr>
        <w:t>”</w:t>
      </w:r>
      <w:r w:rsidR="00CC450E">
        <w:rPr>
          <w:lang w:val="en-US"/>
        </w:rPr>
        <w:t xml:space="preserve"> due to a contention</w:t>
      </w:r>
      <w:r w:rsidR="006774A0">
        <w:rPr>
          <w:lang w:val="en-US"/>
        </w:rPr>
        <w:t xml:space="preserve"> that it is an integral component of variability associated with wind resources.</w:t>
      </w:r>
      <w:r w:rsidR="006774A0" w:rsidRPr="00922AF3">
        <w:rPr>
          <w:rStyle w:val="FootnoteReference"/>
          <w:u w:val="single"/>
        </w:rPr>
        <w:footnoteReference w:id="164"/>
      </w:r>
      <w:r w:rsidR="006774A0" w:rsidRPr="00922AF3">
        <w:rPr>
          <w:vertAlign w:val="superscript"/>
        </w:rPr>
        <w:t>/</w:t>
      </w:r>
      <w:r w:rsidR="00CC450E">
        <w:rPr>
          <w:lang w:val="en-US"/>
        </w:rPr>
        <w:t xml:space="preserve">  But, this sort of reasoning only exemplifies one of the </w:t>
      </w:r>
      <w:r w:rsidR="002A54BD">
        <w:rPr>
          <w:lang w:val="en-US"/>
        </w:rPr>
        <w:t xml:space="preserve">critical </w:t>
      </w:r>
      <w:r w:rsidR="00CC450E">
        <w:rPr>
          <w:lang w:val="en-US"/>
        </w:rPr>
        <w:t xml:space="preserve">flaws identified by Mr. Mullins within the RRTM, namely, the impossibility of accurately carving-out </w:t>
      </w:r>
      <w:r w:rsidR="002A54BD">
        <w:rPr>
          <w:lang w:val="en-US"/>
        </w:rPr>
        <w:t>RPS power costs, given that they are the product of complex and offsetting interactions within the Company’s portfolio.</w:t>
      </w:r>
      <w:r w:rsidR="002A54BD" w:rsidRPr="00922AF3">
        <w:rPr>
          <w:rStyle w:val="FootnoteReference"/>
          <w:u w:val="single"/>
        </w:rPr>
        <w:footnoteReference w:id="165"/>
      </w:r>
      <w:r w:rsidR="002A54BD" w:rsidRPr="00922AF3">
        <w:rPr>
          <w:vertAlign w:val="superscript"/>
        </w:rPr>
        <w:t>/</w:t>
      </w:r>
      <w:r w:rsidR="002A54BD">
        <w:rPr>
          <w:lang w:val="en-US"/>
        </w:rPr>
        <w:t xml:space="preserve">  </w:t>
      </w:r>
    </w:p>
    <w:p w:rsidR="00755920" w:rsidRPr="00755920" w:rsidRDefault="005D536A" w:rsidP="004B21D6">
      <w:pPr>
        <w:pStyle w:val="130043Post-hearingBriefParagraph"/>
      </w:pPr>
      <w:r>
        <w:rPr>
          <w:lang w:val="en-US"/>
        </w:rPr>
        <w:tab/>
      </w:r>
      <w:r w:rsidR="002A54BD">
        <w:rPr>
          <w:lang w:val="en-US"/>
        </w:rPr>
        <w:t>The appropriate solution to this “ripple effect” dilemma is not to draw an arbitrary line at market prices o</w:t>
      </w:r>
      <w:r w:rsidR="00296FE4">
        <w:rPr>
          <w:lang w:val="en-US"/>
        </w:rPr>
        <w:t>r even</w:t>
      </w:r>
      <w:r w:rsidR="002A54BD">
        <w:rPr>
          <w:lang w:val="en-US"/>
        </w:rPr>
        <w:t xml:space="preserve"> wind resources; rather, a fully integrated </w:t>
      </w:r>
      <w:r w:rsidR="002A54BD">
        <w:t xml:space="preserve">power cost </w:t>
      </w:r>
      <w:r w:rsidR="002A54BD">
        <w:rPr>
          <w:lang w:val="en-US"/>
        </w:rPr>
        <w:t>adjustment</w:t>
      </w:r>
      <w:r w:rsidR="002A54BD">
        <w:t xml:space="preserve"> mechanism (“PCAM”)</w:t>
      </w:r>
      <w:r w:rsidR="002A54BD">
        <w:rPr>
          <w:lang w:val="en-US"/>
        </w:rPr>
        <w:t xml:space="preserve"> is the only potential solution to the RRTM’s carve-out problem.</w:t>
      </w:r>
      <w:r w:rsidR="009C745E">
        <w:rPr>
          <w:lang w:val="en-US"/>
        </w:rPr>
        <w:t xml:space="preserve">  Further, t</w:t>
      </w:r>
      <w:r w:rsidR="00B636DD">
        <w:rPr>
          <w:lang w:val="en-US"/>
        </w:rPr>
        <w:t xml:space="preserve">he past “support” </w:t>
      </w:r>
      <w:r w:rsidR="00296FE4">
        <w:rPr>
          <w:lang w:val="en-US"/>
        </w:rPr>
        <w:t xml:space="preserve">alleged by the Company </w:t>
      </w:r>
      <w:r w:rsidR="00B636DD">
        <w:rPr>
          <w:lang w:val="en-US"/>
        </w:rPr>
        <w:t>from other parties</w:t>
      </w:r>
      <w:r w:rsidR="009C745E">
        <w:rPr>
          <w:lang w:val="en-US"/>
        </w:rPr>
        <w:t>,</w:t>
      </w:r>
      <w:r w:rsidR="00B636DD">
        <w:rPr>
          <w:lang w:val="en-US"/>
        </w:rPr>
        <w:t xml:space="preserve"> for “narrowly tailored cost-recovery mechanisms” like the RRTM</w:t>
      </w:r>
      <w:r w:rsidR="009C745E">
        <w:rPr>
          <w:lang w:val="en-US"/>
        </w:rPr>
        <w:t>,</w:t>
      </w:r>
      <w:r w:rsidR="00B636DD">
        <w:rPr>
          <w:lang w:val="en-US"/>
        </w:rPr>
        <w:t xml:space="preserve"> consists solely of a 2007 citation </w:t>
      </w:r>
      <w:r w:rsidR="009C745E">
        <w:rPr>
          <w:lang w:val="en-US"/>
        </w:rPr>
        <w:t>concerning</w:t>
      </w:r>
      <w:r w:rsidR="00B636DD">
        <w:rPr>
          <w:lang w:val="en-US"/>
        </w:rPr>
        <w:t xml:space="preserve"> a party not involved in this case, </w:t>
      </w:r>
      <w:r w:rsidR="009C745E">
        <w:rPr>
          <w:lang w:val="en-US"/>
        </w:rPr>
        <w:t>regarding</w:t>
      </w:r>
      <w:r w:rsidR="00B636DD">
        <w:rPr>
          <w:lang w:val="en-US"/>
        </w:rPr>
        <w:t xml:space="preserve"> an “alternative” recommendation </w:t>
      </w:r>
      <w:r w:rsidR="009C745E">
        <w:rPr>
          <w:lang w:val="en-US"/>
        </w:rPr>
        <w:t>which also supported</w:t>
      </w:r>
      <w:r w:rsidR="00296FE4">
        <w:rPr>
          <w:lang w:val="en-US"/>
        </w:rPr>
        <w:t xml:space="preserve"> a significant  ROE decrease</w:t>
      </w:r>
      <w:r w:rsidR="009C745E">
        <w:rPr>
          <w:lang w:val="en-US"/>
        </w:rPr>
        <w:t xml:space="preserve">, and </w:t>
      </w:r>
      <w:r w:rsidR="00B636DD">
        <w:rPr>
          <w:lang w:val="en-US"/>
        </w:rPr>
        <w:t xml:space="preserve">accompanying testimony </w:t>
      </w:r>
      <w:r w:rsidR="009C745E">
        <w:rPr>
          <w:lang w:val="en-US"/>
        </w:rPr>
        <w:t xml:space="preserve">primarily </w:t>
      </w:r>
      <w:r w:rsidR="00B636DD">
        <w:rPr>
          <w:lang w:val="en-US"/>
        </w:rPr>
        <w:t xml:space="preserve">seeking </w:t>
      </w:r>
      <w:r w:rsidR="00B636DD" w:rsidRPr="009C745E">
        <w:rPr>
          <w:i/>
          <w:lang w:val="en-US"/>
        </w:rPr>
        <w:t>rejection</w:t>
      </w:r>
      <w:r w:rsidR="00B636DD">
        <w:rPr>
          <w:lang w:val="en-US"/>
        </w:rPr>
        <w:t xml:space="preserve"> of a Company proposal comparable to the RRTM.</w:t>
      </w:r>
      <w:r w:rsidR="005D3E80" w:rsidRPr="00922AF3">
        <w:rPr>
          <w:rStyle w:val="FootnoteReference"/>
          <w:u w:val="single"/>
        </w:rPr>
        <w:footnoteReference w:id="166"/>
      </w:r>
      <w:r w:rsidR="005D3E80" w:rsidRPr="00922AF3">
        <w:rPr>
          <w:vertAlign w:val="superscript"/>
        </w:rPr>
        <w:t>/</w:t>
      </w:r>
    </w:p>
    <w:p w:rsidR="00BB48A1" w:rsidRPr="00BB48A1" w:rsidRDefault="005D536A" w:rsidP="00BB48A1">
      <w:pPr>
        <w:pStyle w:val="130043Post-hearingBriefParagraph"/>
      </w:pPr>
      <w:r>
        <w:rPr>
          <w:lang w:val="en-US"/>
        </w:rPr>
        <w:tab/>
      </w:r>
      <w:r w:rsidR="002A54BD">
        <w:rPr>
          <w:lang w:val="en-US"/>
        </w:rPr>
        <w:t>The Company’s assertion</w:t>
      </w:r>
      <w:r w:rsidR="00755920">
        <w:rPr>
          <w:lang w:val="en-US"/>
        </w:rPr>
        <w:t xml:space="preserve"> that the RRTM will mitigate cost-recovery concerns, “due to the inherent variability of many renewable resources,”</w:t>
      </w:r>
      <w:r w:rsidR="00755920" w:rsidRPr="00922AF3">
        <w:rPr>
          <w:rStyle w:val="FootnoteReference"/>
          <w:u w:val="single"/>
        </w:rPr>
        <w:footnoteReference w:id="167"/>
      </w:r>
      <w:r w:rsidR="00755920" w:rsidRPr="00922AF3">
        <w:rPr>
          <w:vertAlign w:val="superscript"/>
        </w:rPr>
        <w:t>/</w:t>
      </w:r>
      <w:r w:rsidR="00755920">
        <w:rPr>
          <w:lang w:val="en-US"/>
        </w:rPr>
        <w:t xml:space="preserve"> was challenged at hearing by the Commission.  Specifically, Mr. Duvall was asked why renewables merited special treatment, given the assumption under Washington law that the Company is entitled to recover all prudently </w:t>
      </w:r>
      <w:r w:rsidR="00755920">
        <w:rPr>
          <w:lang w:val="en-US"/>
        </w:rPr>
        <w:lastRenderedPageBreak/>
        <w:t>incurred costs associated with any prudently incurred investment.</w:t>
      </w:r>
      <w:r w:rsidR="00755920" w:rsidRPr="00851324">
        <w:rPr>
          <w:rStyle w:val="FootnoteReference"/>
          <w:u w:val="single"/>
        </w:rPr>
        <w:footnoteReference w:id="168"/>
      </w:r>
      <w:r w:rsidR="00755920">
        <w:rPr>
          <w:vertAlign w:val="superscript"/>
        </w:rPr>
        <w:t>/</w:t>
      </w:r>
      <w:r w:rsidR="00755920">
        <w:rPr>
          <w:lang w:val="en-US"/>
        </w:rPr>
        <w:t xml:space="preserve">  Mr. Duvall’s response—“I guess we don’t recover all of our prudently incurred costs under the current regulatory scheme in Washington</w:t>
      </w:r>
      <w:r w:rsidR="00E82A50">
        <w:rPr>
          <w:lang w:val="en-US"/>
        </w:rPr>
        <w:t>”</w:t>
      </w:r>
      <w:r w:rsidR="00E82A50" w:rsidRPr="00922AF3">
        <w:rPr>
          <w:rStyle w:val="FootnoteReference"/>
          <w:u w:val="single"/>
        </w:rPr>
        <w:footnoteReference w:id="169"/>
      </w:r>
      <w:r w:rsidR="00E82A50" w:rsidRPr="00922AF3">
        <w:rPr>
          <w:vertAlign w:val="superscript"/>
        </w:rPr>
        <w:t>/</w:t>
      </w:r>
      <w:r w:rsidR="00755920">
        <w:rPr>
          <w:lang w:val="en-US"/>
        </w:rPr>
        <w:t>—suggest</w:t>
      </w:r>
      <w:r w:rsidR="00296FE4">
        <w:rPr>
          <w:lang w:val="en-US"/>
        </w:rPr>
        <w:t>s</w:t>
      </w:r>
      <w:r w:rsidR="00755920">
        <w:rPr>
          <w:lang w:val="en-US"/>
        </w:rPr>
        <w:t xml:space="preserve"> only a failure in </w:t>
      </w:r>
      <w:r w:rsidR="00E82A50">
        <w:rPr>
          <w:lang w:val="en-US"/>
        </w:rPr>
        <w:t>Company management, not a need for special renewable resource treatment.</w:t>
      </w:r>
      <w:r w:rsidR="00FD4D21">
        <w:rPr>
          <w:lang w:val="en-US"/>
        </w:rPr>
        <w:t xml:space="preserve">  </w:t>
      </w:r>
    </w:p>
    <w:p w:rsidR="00BB48A1" w:rsidRPr="00E82A50" w:rsidRDefault="005D536A" w:rsidP="00BB48A1">
      <w:pPr>
        <w:pStyle w:val="130043Post-hearingBriefParagraph"/>
      </w:pPr>
      <w:r>
        <w:rPr>
          <w:lang w:val="en-US"/>
        </w:rPr>
        <w:tab/>
      </w:r>
      <w:r w:rsidR="00FD4D21">
        <w:rPr>
          <w:lang w:val="en-US"/>
        </w:rPr>
        <w:t>To this point, the Company’s argument that its need for an RRTM is suppor</w:t>
      </w:r>
      <w:r w:rsidR="00041173">
        <w:rPr>
          <w:lang w:val="en-US"/>
        </w:rPr>
        <w:t>ted by excess wind forecasting—</w:t>
      </w:r>
      <w:r w:rsidR="00FD4D21">
        <w:rPr>
          <w:lang w:val="en-US"/>
        </w:rPr>
        <w:t>allegedly resulting in NPC under-recovery of $34.8 million since 2007</w:t>
      </w:r>
      <w:r w:rsidR="00FD4D21" w:rsidRPr="00922AF3">
        <w:rPr>
          <w:rStyle w:val="FootnoteReference"/>
          <w:u w:val="single"/>
        </w:rPr>
        <w:footnoteReference w:id="170"/>
      </w:r>
      <w:r w:rsidR="00FD4D21" w:rsidRPr="00922AF3">
        <w:rPr>
          <w:vertAlign w:val="superscript"/>
        </w:rPr>
        <w:t>/</w:t>
      </w:r>
      <w:r w:rsidR="00041173">
        <w:rPr>
          <w:lang w:val="en-US"/>
        </w:rPr>
        <w:t>—</w:t>
      </w:r>
      <w:r w:rsidR="00BB48A1">
        <w:rPr>
          <w:lang w:val="en-US"/>
        </w:rPr>
        <w:t xml:space="preserve">also </w:t>
      </w:r>
      <w:r w:rsidR="00FD4D21">
        <w:rPr>
          <w:lang w:val="en-US"/>
        </w:rPr>
        <w:t>suggests gross mismanagement.</w:t>
      </w:r>
      <w:r w:rsidR="00BB48A1">
        <w:rPr>
          <w:lang w:val="en-US"/>
        </w:rPr>
        <w:t xml:space="preserve">  Mr. Mullins demonstrates that the standard deviation of wind output in recent years ha</w:t>
      </w:r>
      <w:r w:rsidR="00041173">
        <w:rPr>
          <w:lang w:val="en-US"/>
        </w:rPr>
        <w:t>s been modest, or</w:t>
      </w:r>
      <w:r w:rsidR="00BB48A1">
        <w:rPr>
          <w:lang w:val="en-US"/>
        </w:rPr>
        <w:t xml:space="preserve"> less than half the standard deviation of hydro output.</w:t>
      </w:r>
      <w:r w:rsidR="00BB48A1" w:rsidRPr="00922AF3">
        <w:rPr>
          <w:rStyle w:val="FootnoteReference"/>
          <w:u w:val="single"/>
        </w:rPr>
        <w:footnoteReference w:id="171"/>
      </w:r>
      <w:r w:rsidR="00BB48A1" w:rsidRPr="00922AF3">
        <w:rPr>
          <w:vertAlign w:val="superscript"/>
        </w:rPr>
        <w:t>/</w:t>
      </w:r>
      <w:r w:rsidR="00BB48A1">
        <w:rPr>
          <w:lang w:val="en-US"/>
        </w:rPr>
        <w:t xml:space="preserve">  While the Company seeks to justify its forecas</w:t>
      </w:r>
      <w:r w:rsidR="006774A0">
        <w:rPr>
          <w:lang w:val="en-US"/>
        </w:rPr>
        <w:t>ting track record by quoting testimony from a</w:t>
      </w:r>
      <w:r w:rsidR="00041173">
        <w:rPr>
          <w:lang w:val="en-US"/>
        </w:rPr>
        <w:t xml:space="preserve"> Boise witness in the 2013 GRC (</w:t>
      </w:r>
      <w:r w:rsidR="006774A0">
        <w:rPr>
          <w:lang w:val="en-US"/>
        </w:rPr>
        <w:t xml:space="preserve">who noted that wind “resources </w:t>
      </w:r>
      <w:r w:rsidR="006774A0" w:rsidRPr="006774A0">
        <w:rPr>
          <w:i/>
          <w:lang w:val="en-US"/>
        </w:rPr>
        <w:t>can</w:t>
      </w:r>
      <w:r w:rsidR="006774A0">
        <w:rPr>
          <w:lang w:val="en-US"/>
        </w:rPr>
        <w:t xml:space="preserve"> disp</w:t>
      </w:r>
      <w:r w:rsidR="00296FE4">
        <w:rPr>
          <w:lang w:val="en-US"/>
        </w:rPr>
        <w:t>lay a high level of variability</w:t>
      </w:r>
      <w:r w:rsidR="006774A0">
        <w:rPr>
          <w:lang w:val="en-US"/>
        </w:rPr>
        <w:t>”</w:t>
      </w:r>
      <w:r w:rsidR="00041173">
        <w:rPr>
          <w:lang w:val="en-US"/>
        </w:rPr>
        <w:t>),</w:t>
      </w:r>
      <w:r w:rsidR="006774A0" w:rsidRPr="00922AF3">
        <w:rPr>
          <w:rStyle w:val="FootnoteReference"/>
          <w:u w:val="single"/>
        </w:rPr>
        <w:footnoteReference w:id="172"/>
      </w:r>
      <w:r w:rsidR="006774A0" w:rsidRPr="00922AF3">
        <w:rPr>
          <w:vertAlign w:val="superscript"/>
        </w:rPr>
        <w:t>/</w:t>
      </w:r>
      <w:r w:rsidR="00041173">
        <w:rPr>
          <w:vertAlign w:val="superscript"/>
          <w:lang w:val="en-US"/>
        </w:rPr>
        <w:t xml:space="preserve"> </w:t>
      </w:r>
      <w:r w:rsidR="006774A0">
        <w:rPr>
          <w:lang w:val="en-US"/>
        </w:rPr>
        <w:t>the analysis presented by Mr. Mullins shows plainly that</w:t>
      </w:r>
      <w:r w:rsidR="00041173">
        <w:rPr>
          <w:lang w:val="en-US"/>
        </w:rPr>
        <w:t xml:space="preserve"> wind output has</w:t>
      </w:r>
      <w:r w:rsidR="006774A0">
        <w:rPr>
          <w:lang w:val="en-US"/>
        </w:rPr>
        <w:t xml:space="preserve"> not varied significantly for a considerable period.</w:t>
      </w:r>
    </w:p>
    <w:p w:rsidR="008D450D" w:rsidRPr="008D450D" w:rsidRDefault="005D536A" w:rsidP="004B21D6">
      <w:pPr>
        <w:pStyle w:val="130043Post-hearingBriefParagraph"/>
      </w:pPr>
      <w:r>
        <w:rPr>
          <w:lang w:val="en-US"/>
        </w:rPr>
        <w:tab/>
      </w:r>
      <w:r w:rsidR="00E82A50">
        <w:rPr>
          <w:lang w:val="en-US"/>
        </w:rPr>
        <w:t>The Company contends that the RRTM will address “significant variability outside the Company’s control,”</w:t>
      </w:r>
      <w:r w:rsidR="00E82A50" w:rsidRPr="00922AF3">
        <w:rPr>
          <w:rStyle w:val="FootnoteReference"/>
          <w:u w:val="single"/>
        </w:rPr>
        <w:footnoteReference w:id="173"/>
      </w:r>
      <w:r w:rsidR="00E82A50" w:rsidRPr="00922AF3">
        <w:rPr>
          <w:vertAlign w:val="superscript"/>
        </w:rPr>
        <w:t>/</w:t>
      </w:r>
      <w:r w:rsidR="00612D82">
        <w:rPr>
          <w:lang w:val="en-US"/>
        </w:rPr>
        <w:t xml:space="preserve"> but</w:t>
      </w:r>
      <w:r w:rsidR="00E82A50">
        <w:rPr>
          <w:lang w:val="en-US"/>
        </w:rPr>
        <w:t xml:space="preserve"> the Commission clarified in the 2013 GRC that a “</w:t>
      </w:r>
      <w:r w:rsidR="002A54BD">
        <w:rPr>
          <w:lang w:val="en-US"/>
        </w:rPr>
        <w:t xml:space="preserve">PCAM </w:t>
      </w:r>
      <w:r w:rsidR="00E82A50">
        <w:rPr>
          <w:lang w:val="en-US"/>
        </w:rPr>
        <w:t>that would protect the Company from any risk of under-recovery, even that due to ordinary variability,” is not appropriate.</w:t>
      </w:r>
      <w:r w:rsidR="00E82A50" w:rsidRPr="00922AF3">
        <w:rPr>
          <w:rStyle w:val="FootnoteReference"/>
          <w:u w:val="single"/>
        </w:rPr>
        <w:footnoteReference w:id="174"/>
      </w:r>
      <w:r w:rsidR="00E82A50" w:rsidRPr="00922AF3">
        <w:rPr>
          <w:vertAlign w:val="superscript"/>
        </w:rPr>
        <w:t>/</w:t>
      </w:r>
      <w:r w:rsidR="00E82A50">
        <w:rPr>
          <w:lang w:val="en-US"/>
        </w:rPr>
        <w:t xml:space="preserve">  </w:t>
      </w:r>
      <w:r w:rsidR="00612D82">
        <w:rPr>
          <w:lang w:val="en-US"/>
        </w:rPr>
        <w:t>While the Company styles the RRTM as “complementary to a properly designed PCAM,”</w:t>
      </w:r>
      <w:r w:rsidR="00612D82" w:rsidRPr="00922AF3">
        <w:rPr>
          <w:rStyle w:val="FootnoteReference"/>
          <w:u w:val="single"/>
        </w:rPr>
        <w:footnoteReference w:id="175"/>
      </w:r>
      <w:r w:rsidR="00612D82" w:rsidRPr="00922AF3">
        <w:rPr>
          <w:vertAlign w:val="superscript"/>
        </w:rPr>
        <w:t>/</w:t>
      </w:r>
      <w:r w:rsidR="00D92FC1">
        <w:rPr>
          <w:lang w:val="en-US"/>
        </w:rPr>
        <w:t xml:space="preserve"> </w:t>
      </w:r>
      <w:r w:rsidR="00612D82">
        <w:rPr>
          <w:lang w:val="en-US"/>
        </w:rPr>
        <w:t>Pacific Power’s attempt to mitigate costs purportedly “outside the Company’s control” means that it cannot sidestep the “</w:t>
      </w:r>
      <w:r w:rsidR="00612D82" w:rsidRPr="00A27FD6">
        <w:rPr>
          <w:lang w:val="en-US"/>
        </w:rPr>
        <w:t xml:space="preserve">critically </w:t>
      </w:r>
      <w:r w:rsidR="00612D82" w:rsidRPr="00A27FD6">
        <w:rPr>
          <w:lang w:val="en-US"/>
        </w:rPr>
        <w:lastRenderedPageBreak/>
        <w:t xml:space="preserve">important elements that provide an incentive for the Company to manage carefully its power costs and that protect ratepayers in the event of extraordinary power cost excursions that are </w:t>
      </w:r>
      <w:r w:rsidR="00612D82" w:rsidRPr="00612D82">
        <w:rPr>
          <w:i/>
          <w:lang w:val="en-US"/>
        </w:rPr>
        <w:t>beyond the Company’s ability to control</w:t>
      </w:r>
      <w:r w:rsidR="00612D82" w:rsidRPr="00A27FD6">
        <w:rPr>
          <w:lang w:val="en-US"/>
        </w:rPr>
        <w:t>.”</w:t>
      </w:r>
      <w:r w:rsidR="00612D82" w:rsidRPr="00922AF3">
        <w:rPr>
          <w:rStyle w:val="FootnoteReference"/>
          <w:u w:val="single"/>
        </w:rPr>
        <w:footnoteReference w:id="176"/>
      </w:r>
      <w:r w:rsidR="00612D82" w:rsidRPr="00A27FD6">
        <w:rPr>
          <w:vertAlign w:val="superscript"/>
        </w:rPr>
        <w:t>/</w:t>
      </w:r>
      <w:r w:rsidR="00612D82">
        <w:rPr>
          <w:lang w:val="en-US"/>
        </w:rPr>
        <w:t xml:space="preserve">  </w:t>
      </w:r>
    </w:p>
    <w:p w:rsidR="00087FE3" w:rsidRDefault="00087FE3" w:rsidP="00087FE3">
      <w:pPr>
        <w:spacing w:after="240"/>
        <w:ind w:left="720" w:hanging="720"/>
        <w:rPr>
          <w:b/>
        </w:rPr>
      </w:pPr>
      <w:r w:rsidRPr="00087FE3">
        <w:rPr>
          <w:b/>
        </w:rPr>
        <w:t>E.</w:t>
      </w:r>
      <w:r w:rsidRPr="00087FE3">
        <w:rPr>
          <w:b/>
        </w:rPr>
        <w:tab/>
        <w:t>The Company’s Deferral Petitions Do Not Meet Commission Standards and Should Be Rejected</w:t>
      </w:r>
    </w:p>
    <w:p w:rsidR="00A95B91" w:rsidRDefault="005D536A" w:rsidP="00A95B91">
      <w:pPr>
        <w:pStyle w:val="130043Post-hearingBriefParagraph"/>
      </w:pPr>
      <w:r>
        <w:rPr>
          <w:lang w:val="en-US"/>
        </w:rPr>
        <w:tab/>
      </w:r>
      <w:r w:rsidR="00A95B91">
        <w:t xml:space="preserve">Nothing presented </w:t>
      </w:r>
      <w:r w:rsidR="00A95B91">
        <w:rPr>
          <w:lang w:val="en-US"/>
        </w:rPr>
        <w:t>by the Company on brief establishes that the Company’s deferral requests satisfy Commission standards necessary to justify deferred accounting—</w:t>
      </w:r>
      <w:r w:rsidR="00A95B91" w:rsidRPr="006C3367">
        <w:rPr>
          <w:u w:val="single"/>
          <w:lang w:val="en-US"/>
        </w:rPr>
        <w:t>i.e.</w:t>
      </w:r>
      <w:r w:rsidR="00A95B91">
        <w:rPr>
          <w:lang w:val="en-US"/>
        </w:rPr>
        <w:t>, the demonstration that costs are both “extraordinary” and “due to factors beyond the Company’s control.”</w:t>
      </w:r>
      <w:r w:rsidR="00A95B91" w:rsidRPr="006C3367">
        <w:rPr>
          <w:u w:val="single"/>
          <w:vertAlign w:val="superscript"/>
          <w:lang w:val="en-US"/>
        </w:rPr>
        <w:footnoteReference w:id="177"/>
      </w:r>
      <w:r w:rsidR="00A95B91" w:rsidRPr="006C3367">
        <w:rPr>
          <w:vertAlign w:val="superscript"/>
          <w:lang w:val="en-US"/>
        </w:rPr>
        <w:t>/</w:t>
      </w:r>
      <w:r w:rsidR="00A95B91">
        <w:rPr>
          <w:lang w:val="en-US"/>
        </w:rPr>
        <w:t xml:space="preserve">  Accordingly, Boise continues to recommend that t</w:t>
      </w:r>
      <w:r w:rsidR="00296FE4">
        <w:rPr>
          <w:lang w:val="en-US"/>
        </w:rPr>
        <w:t>he Commission reject all three P</w:t>
      </w:r>
      <w:r w:rsidR="00A95B91">
        <w:rPr>
          <w:lang w:val="en-US"/>
        </w:rPr>
        <w:t>acific Power deferral requests.</w:t>
      </w:r>
    </w:p>
    <w:p w:rsidR="000023F5" w:rsidRDefault="000023F5" w:rsidP="000023F5">
      <w:pPr>
        <w:spacing w:after="240"/>
        <w:ind w:left="1440" w:hanging="720"/>
        <w:rPr>
          <w:b/>
        </w:rPr>
      </w:pPr>
      <w:r>
        <w:rPr>
          <w:b/>
        </w:rPr>
        <w:t>1.</w:t>
      </w:r>
      <w:r>
        <w:rPr>
          <w:b/>
        </w:rPr>
        <w:tab/>
        <w:t>Pacific Power Has Not Demonstrated that the Colstrip Outage Resulted in Extraordinary Costs Beyond the Company’s Control</w:t>
      </w:r>
    </w:p>
    <w:p w:rsidR="006631A3" w:rsidRPr="006631A3" w:rsidRDefault="005D536A" w:rsidP="009E5581">
      <w:pPr>
        <w:pStyle w:val="130043Post-hearingBriefParagraph"/>
        <w:keepNext/>
        <w:widowControl w:val="0"/>
      </w:pPr>
      <w:r>
        <w:rPr>
          <w:lang w:val="en-US"/>
        </w:rPr>
        <w:tab/>
      </w:r>
      <w:r w:rsidR="000023F5">
        <w:rPr>
          <w:lang w:val="en-US"/>
        </w:rPr>
        <w:t xml:space="preserve">The Company has made </w:t>
      </w:r>
      <w:r w:rsidR="00296FE4">
        <w:rPr>
          <w:lang w:val="en-US"/>
        </w:rPr>
        <w:t>unsubstantiated</w:t>
      </w:r>
      <w:r w:rsidR="000023F5">
        <w:rPr>
          <w:lang w:val="en-US"/>
        </w:rPr>
        <w:t xml:space="preserve"> claims as to the demonstration of measurable and extraordinary replacement power costs related to the Colstrip outage.  According to Pacific Power, “Boise ignores the </w:t>
      </w:r>
      <w:r w:rsidR="000023F5" w:rsidRPr="000023F5">
        <w:rPr>
          <w:i/>
          <w:lang w:val="en-US"/>
        </w:rPr>
        <w:t>extensive</w:t>
      </w:r>
      <w:r w:rsidR="000023F5">
        <w:rPr>
          <w:lang w:val="en-US"/>
        </w:rPr>
        <w:t xml:space="preserve"> evidence presented in the Company’s direct case detailing the actual replacement power costs incurred by the Company.”</w:t>
      </w:r>
      <w:r w:rsidR="000023F5" w:rsidRPr="00922AF3">
        <w:rPr>
          <w:rStyle w:val="FootnoteReference"/>
          <w:u w:val="single"/>
        </w:rPr>
        <w:footnoteReference w:id="178"/>
      </w:r>
      <w:r w:rsidR="000023F5" w:rsidRPr="00922AF3">
        <w:rPr>
          <w:vertAlign w:val="superscript"/>
        </w:rPr>
        <w:t>/</w:t>
      </w:r>
      <w:r w:rsidR="006631A3">
        <w:rPr>
          <w:lang w:val="en-US"/>
        </w:rPr>
        <w:t xml:space="preserve">  To be clear, the “extensive” evidence cited by the Company consists of a single exhibit page—one page, printed </w:t>
      </w:r>
      <w:r w:rsidR="006631A3">
        <w:rPr>
          <w:lang w:val="en-US"/>
        </w:rPr>
        <w:lastRenderedPageBreak/>
        <w:t>from a spreadsheet, with no more granularity than the declaration of summary monthly totals.</w:t>
      </w:r>
      <w:r w:rsidR="006631A3" w:rsidRPr="00922AF3">
        <w:rPr>
          <w:rStyle w:val="FootnoteReference"/>
          <w:u w:val="single"/>
        </w:rPr>
        <w:footnoteReference w:id="179"/>
      </w:r>
      <w:r w:rsidR="006631A3" w:rsidRPr="00922AF3">
        <w:rPr>
          <w:vertAlign w:val="superscript"/>
        </w:rPr>
        <w:t>/</w:t>
      </w:r>
      <w:r w:rsidR="006631A3">
        <w:rPr>
          <w:lang w:val="en-US"/>
        </w:rPr>
        <w:t xml:space="preserve"> </w:t>
      </w:r>
    </w:p>
    <w:p w:rsidR="002114E2" w:rsidRPr="00FF60F2" w:rsidRDefault="00FF60F2" w:rsidP="00FF60F2">
      <w:pPr>
        <w:spacing w:after="240"/>
        <w:ind w:left="1440" w:hanging="720"/>
        <w:rPr>
          <w:b/>
        </w:rPr>
      </w:pPr>
      <w:r w:rsidRPr="00FF60F2">
        <w:rPr>
          <w:b/>
        </w:rPr>
        <w:t>2.</w:t>
      </w:r>
      <w:r w:rsidRPr="00FF60F2">
        <w:rPr>
          <w:b/>
        </w:rPr>
        <w:tab/>
        <w:t>The Company’s Arguments Do</w:t>
      </w:r>
      <w:r>
        <w:rPr>
          <w:b/>
        </w:rPr>
        <w:t xml:space="preserve"> Not Justify Approval of the Declining</w:t>
      </w:r>
      <w:r w:rsidRPr="00FF60F2">
        <w:rPr>
          <w:b/>
        </w:rPr>
        <w:t xml:space="preserve"> Hydro Deferral</w:t>
      </w:r>
    </w:p>
    <w:p w:rsidR="00FF60F2" w:rsidRPr="003D0C83" w:rsidRDefault="005D536A" w:rsidP="00FF60F2">
      <w:pPr>
        <w:pStyle w:val="130043Post-hearingBriefParagraph"/>
      </w:pPr>
      <w:r>
        <w:rPr>
          <w:lang w:val="en-US"/>
        </w:rPr>
        <w:tab/>
      </w:r>
      <w:r w:rsidR="00FF60F2">
        <w:rPr>
          <w:lang w:val="en-US"/>
        </w:rPr>
        <w:t xml:space="preserve">The Company’s attempted justification for the Declining Hydro deferral request is flawed in at least two primary respects.  First, the Company’s continuing claims of declining hydro conditions are </w:t>
      </w:r>
      <w:r w:rsidR="00EC2507">
        <w:rPr>
          <w:lang w:val="en-US"/>
        </w:rPr>
        <w:t xml:space="preserve">inaccurate and </w:t>
      </w:r>
      <w:r w:rsidR="00FF60F2">
        <w:rPr>
          <w:lang w:val="en-US"/>
        </w:rPr>
        <w:t xml:space="preserve">misleading.  </w:t>
      </w:r>
      <w:r w:rsidR="00296FE4">
        <w:rPr>
          <w:lang w:val="en-US"/>
        </w:rPr>
        <w:t>T</w:t>
      </w:r>
      <w:r w:rsidR="00FF60F2">
        <w:rPr>
          <w:lang w:val="en-US"/>
        </w:rPr>
        <w:t xml:space="preserve">he Company claims that </w:t>
      </w:r>
      <w:r w:rsidR="00EC2507">
        <w:rPr>
          <w:lang w:val="en-US"/>
        </w:rPr>
        <w:t>“variance had more than doubled” in the 35 days between the filing of the parties</w:t>
      </w:r>
      <w:r w:rsidR="00736E22">
        <w:rPr>
          <w:lang w:val="en-US"/>
        </w:rPr>
        <w:t>’ responsive testimony and the C</w:t>
      </w:r>
      <w:r w:rsidR="00EC2507">
        <w:rPr>
          <w:lang w:val="en-US"/>
        </w:rPr>
        <w:t>ompany’s rebuttal case.</w:t>
      </w:r>
      <w:r w:rsidR="00EC2507" w:rsidRPr="00922AF3">
        <w:rPr>
          <w:rStyle w:val="FootnoteReference"/>
          <w:u w:val="single"/>
        </w:rPr>
        <w:footnoteReference w:id="180"/>
      </w:r>
      <w:r w:rsidR="00EC2507" w:rsidRPr="00922AF3">
        <w:rPr>
          <w:vertAlign w:val="superscript"/>
        </w:rPr>
        <w:t>/</w:t>
      </w:r>
      <w:r w:rsidR="00EC2507">
        <w:rPr>
          <w:lang w:val="en-US"/>
        </w:rPr>
        <w:t xml:space="preserve">  The Company does not cite to any authority that would substantiate this statement or specify in which direction this “variance” went, but Mr. Mullins’ </w:t>
      </w:r>
      <w:r w:rsidR="00296FE4">
        <w:rPr>
          <w:lang w:val="en-US"/>
        </w:rPr>
        <w:t xml:space="preserve">cross-answering </w:t>
      </w:r>
      <w:r w:rsidR="00EC2507">
        <w:rPr>
          <w:lang w:val="en-US"/>
        </w:rPr>
        <w:t xml:space="preserve">testimony demonstrates that in October 2014 variance had increased, significantly—only in the direction of </w:t>
      </w:r>
      <w:r w:rsidR="00EC2507" w:rsidRPr="00EC2507">
        <w:rPr>
          <w:i/>
          <w:lang w:val="en-US"/>
        </w:rPr>
        <w:t>further exceeding</w:t>
      </w:r>
      <w:r w:rsidR="00EC2507">
        <w:rPr>
          <w:lang w:val="en-US"/>
        </w:rPr>
        <w:t xml:space="preserve"> normal levels.</w:t>
      </w:r>
      <w:r w:rsidR="00EC2507" w:rsidRPr="00922AF3">
        <w:rPr>
          <w:rStyle w:val="FootnoteReference"/>
          <w:u w:val="single"/>
        </w:rPr>
        <w:footnoteReference w:id="181"/>
      </w:r>
      <w:r w:rsidR="00EC2507" w:rsidRPr="00922AF3">
        <w:rPr>
          <w:vertAlign w:val="superscript"/>
        </w:rPr>
        <w:t>/</w:t>
      </w:r>
      <w:r w:rsidR="00EC2507">
        <w:rPr>
          <w:lang w:val="en-US"/>
        </w:rPr>
        <w:t xml:space="preserve"> </w:t>
      </w:r>
    </w:p>
    <w:p w:rsidR="005C59D0" w:rsidRPr="005D536A" w:rsidRDefault="005D536A" w:rsidP="00311706">
      <w:pPr>
        <w:pStyle w:val="130043Post-hearingBriefParagraph"/>
      </w:pPr>
      <w:r>
        <w:rPr>
          <w:lang w:val="en-US"/>
        </w:rPr>
        <w:tab/>
      </w:r>
      <w:r w:rsidR="003D0C83">
        <w:rPr>
          <w:lang w:val="en-US"/>
        </w:rPr>
        <w:t>Second, the Company complains that it “would have no way to recover the costs associated with low hydro generation” without the deferral.</w:t>
      </w:r>
      <w:r w:rsidR="001523D2" w:rsidRPr="001523D2">
        <w:rPr>
          <w:rStyle w:val="FootnoteReference"/>
          <w:u w:val="single"/>
          <w:lang w:val="en-US"/>
        </w:rPr>
        <w:footnoteReference w:id="182"/>
      </w:r>
      <w:r w:rsidR="001523D2" w:rsidRPr="001523D2">
        <w:rPr>
          <w:vertAlign w:val="superscript"/>
          <w:lang w:val="en-US"/>
        </w:rPr>
        <w:t>/</w:t>
      </w:r>
      <w:r w:rsidR="001523D2">
        <w:rPr>
          <w:vertAlign w:val="superscript"/>
          <w:lang w:val="en-US"/>
        </w:rPr>
        <w:t xml:space="preserve"> </w:t>
      </w:r>
      <w:r w:rsidR="001523D2">
        <w:rPr>
          <w:lang w:val="en-US"/>
        </w:rPr>
        <w:t xml:space="preserve"> </w:t>
      </w:r>
      <w:r w:rsidR="003D0C83">
        <w:rPr>
          <w:lang w:val="en-US"/>
        </w:rPr>
        <w:t>Even assuming the Company had prov</w:t>
      </w:r>
      <w:r w:rsidR="00E31D5D">
        <w:rPr>
          <w:lang w:val="en-US"/>
        </w:rPr>
        <w:t>en declining hydro conditions</w:t>
      </w:r>
      <w:r w:rsidR="003D0C83">
        <w:rPr>
          <w:lang w:val="en-US"/>
        </w:rPr>
        <w:t xml:space="preserve"> exist, </w:t>
      </w:r>
      <w:r w:rsidR="00CE2F03">
        <w:rPr>
          <w:lang w:val="en-US"/>
        </w:rPr>
        <w:t xml:space="preserve">which it did not, </w:t>
      </w:r>
      <w:r w:rsidR="003D0C83">
        <w:rPr>
          <w:lang w:val="en-US"/>
        </w:rPr>
        <w:t>the fact that it has no viable cost recovery mechanism in place is due only to Pacifi</w:t>
      </w:r>
      <w:r w:rsidR="00296FE4">
        <w:rPr>
          <w:lang w:val="en-US"/>
        </w:rPr>
        <w:t xml:space="preserve">c Power’s </w:t>
      </w:r>
      <w:r w:rsidR="00E31D5D">
        <w:rPr>
          <w:lang w:val="en-US"/>
        </w:rPr>
        <w:t xml:space="preserve">own </w:t>
      </w:r>
      <w:r w:rsidR="00296FE4">
        <w:rPr>
          <w:lang w:val="en-US"/>
        </w:rPr>
        <w:t>refusal to accept</w:t>
      </w:r>
      <w:r w:rsidR="003D0C83">
        <w:rPr>
          <w:lang w:val="en-US"/>
        </w:rPr>
        <w:t xml:space="preserve"> a mechanism with appropriate ratepayer safeguards.</w:t>
      </w:r>
      <w:r w:rsidR="003D0C83" w:rsidRPr="00922AF3">
        <w:rPr>
          <w:rStyle w:val="FootnoteReference"/>
          <w:u w:val="single"/>
        </w:rPr>
        <w:footnoteReference w:id="183"/>
      </w:r>
      <w:r w:rsidR="003D0C83" w:rsidRPr="00922AF3">
        <w:rPr>
          <w:vertAlign w:val="superscript"/>
        </w:rPr>
        <w:t>/</w:t>
      </w:r>
      <w:r w:rsidR="003D0C83">
        <w:rPr>
          <w:lang w:val="en-US"/>
        </w:rPr>
        <w:t xml:space="preserve">  The Commission sho</w:t>
      </w:r>
      <w:r w:rsidR="00296FE4">
        <w:rPr>
          <w:lang w:val="en-US"/>
        </w:rPr>
        <w:t>uld reject the Declining Hydro p</w:t>
      </w:r>
      <w:r w:rsidR="003D0C83">
        <w:rPr>
          <w:lang w:val="en-US"/>
        </w:rPr>
        <w:t>etition as an improper attempt to bypass Commission standards.</w:t>
      </w:r>
    </w:p>
    <w:p w:rsidR="005D536A" w:rsidRDefault="005D536A" w:rsidP="005D536A">
      <w:pPr>
        <w:pStyle w:val="130043Post-hearingBriefParagraph"/>
        <w:numPr>
          <w:ilvl w:val="0"/>
          <w:numId w:val="0"/>
        </w:numPr>
        <w:rPr>
          <w:lang w:val="en-US"/>
        </w:rPr>
      </w:pPr>
    </w:p>
    <w:p w:rsidR="005D536A" w:rsidRPr="00311706" w:rsidRDefault="005D536A" w:rsidP="005D536A">
      <w:pPr>
        <w:pStyle w:val="130043Post-hearingBriefParagraph"/>
        <w:numPr>
          <w:ilvl w:val="0"/>
          <w:numId w:val="0"/>
        </w:numPr>
      </w:pPr>
    </w:p>
    <w:p w:rsidR="00724143" w:rsidRDefault="00724143" w:rsidP="00724143">
      <w:pPr>
        <w:spacing w:after="240"/>
        <w:ind w:left="1440" w:hanging="720"/>
        <w:rPr>
          <w:b/>
        </w:rPr>
      </w:pPr>
      <w:r w:rsidRPr="00724143">
        <w:rPr>
          <w:b/>
        </w:rPr>
        <w:lastRenderedPageBreak/>
        <w:t>3.</w:t>
      </w:r>
      <w:r w:rsidRPr="00724143">
        <w:rPr>
          <w:b/>
        </w:rPr>
        <w:tab/>
        <w:t>The Commission Should Not Allow Special Ratemaking Treatment for the Merwin Fish Collector</w:t>
      </w:r>
    </w:p>
    <w:p w:rsidR="00724143" w:rsidRPr="00F27C76" w:rsidRDefault="005D536A" w:rsidP="00724143">
      <w:pPr>
        <w:pStyle w:val="130043Post-hearingBriefParagraph"/>
      </w:pPr>
      <w:r>
        <w:rPr>
          <w:lang w:val="en-US"/>
        </w:rPr>
        <w:tab/>
      </w:r>
      <w:r w:rsidR="00724143">
        <w:rPr>
          <w:lang w:val="en-US"/>
        </w:rPr>
        <w:t>The Company states that the Merwin Fish Collector (“Merwin”) went into service in March 2014, just two months before the Company filed the present GRC.</w:t>
      </w:r>
      <w:r w:rsidR="00724143" w:rsidRPr="00922AF3">
        <w:rPr>
          <w:rStyle w:val="FootnoteReference"/>
          <w:u w:val="single"/>
        </w:rPr>
        <w:footnoteReference w:id="184"/>
      </w:r>
      <w:r w:rsidR="00724143" w:rsidRPr="00922AF3">
        <w:rPr>
          <w:vertAlign w:val="superscript"/>
        </w:rPr>
        <w:t>/</w:t>
      </w:r>
      <w:r w:rsidR="00724143">
        <w:rPr>
          <w:lang w:val="en-US"/>
        </w:rPr>
        <w:t xml:space="preserve">  Boise continues to maintain that special deferred accounting rate treatment is not appropriate for Merwin, given the benefits already afforded the Company if the project is found prudent and included in rate base.</w:t>
      </w:r>
      <w:r w:rsidR="00F66251" w:rsidRPr="00922AF3">
        <w:rPr>
          <w:rStyle w:val="FootnoteReference"/>
          <w:u w:val="single"/>
        </w:rPr>
        <w:footnoteReference w:id="185"/>
      </w:r>
      <w:r w:rsidR="00F66251" w:rsidRPr="00922AF3">
        <w:rPr>
          <w:vertAlign w:val="superscript"/>
        </w:rPr>
        <w:t>/</w:t>
      </w:r>
      <w:r w:rsidR="00F66251">
        <w:rPr>
          <w:lang w:val="en-US"/>
        </w:rPr>
        <w:t xml:space="preserve"> </w:t>
      </w:r>
      <w:r w:rsidR="00724143">
        <w:rPr>
          <w:lang w:val="en-US"/>
        </w:rPr>
        <w:t xml:space="preserve">  The</w:t>
      </w:r>
      <w:r w:rsidR="00F27C76">
        <w:rPr>
          <w:lang w:val="en-US"/>
        </w:rPr>
        <w:t xml:space="preserve"> short</w:t>
      </w:r>
      <w:r w:rsidR="00724143">
        <w:rPr>
          <w:lang w:val="en-US"/>
        </w:rPr>
        <w:t xml:space="preserve"> interim period betw</w:t>
      </w:r>
      <w:r w:rsidR="00F27C76">
        <w:rPr>
          <w:lang w:val="en-US"/>
        </w:rPr>
        <w:t>een Pacific Power rate cases (less than five months) does not justify an expansion of the traditionally limited use of deferred accounting before the Commission.</w:t>
      </w:r>
      <w:r w:rsidR="00F27C76" w:rsidRPr="00922AF3">
        <w:rPr>
          <w:rStyle w:val="FootnoteReference"/>
          <w:u w:val="single"/>
        </w:rPr>
        <w:footnoteReference w:id="186"/>
      </w:r>
      <w:r w:rsidR="00F27C76" w:rsidRPr="00922AF3">
        <w:rPr>
          <w:vertAlign w:val="superscript"/>
        </w:rPr>
        <w:t>/</w:t>
      </w:r>
    </w:p>
    <w:p w:rsidR="005C59D0" w:rsidRPr="00473E76" w:rsidRDefault="005D536A" w:rsidP="00473E76">
      <w:pPr>
        <w:pStyle w:val="130043Post-hearingBriefParagraph"/>
      </w:pPr>
      <w:r>
        <w:rPr>
          <w:lang w:val="en-US"/>
        </w:rPr>
        <w:tab/>
      </w:r>
      <w:r w:rsidR="00F27C76">
        <w:rPr>
          <w:lang w:val="en-US"/>
        </w:rPr>
        <w:t>Further, Boise does not agree with the Company’s claim that “[t]he Commission regularly allows recovery of a reasonable carrying charge on deferred amount</w:t>
      </w:r>
      <w:r w:rsidR="00DD2C88">
        <w:rPr>
          <w:lang w:val="en-US"/>
        </w:rPr>
        <w:t>s</w:t>
      </w:r>
      <w:r w:rsidR="00F27C76">
        <w:rPr>
          <w:lang w:val="en-US"/>
        </w:rPr>
        <w:t>, either for the benefit of customers or the utility.”</w:t>
      </w:r>
      <w:r w:rsidR="00F27C76" w:rsidRPr="00922AF3">
        <w:rPr>
          <w:rStyle w:val="FootnoteReference"/>
          <w:u w:val="single"/>
        </w:rPr>
        <w:footnoteReference w:id="187"/>
      </w:r>
      <w:r w:rsidR="00F27C76" w:rsidRPr="00922AF3">
        <w:rPr>
          <w:vertAlign w:val="superscript"/>
        </w:rPr>
        <w:t>/</w:t>
      </w:r>
      <w:r w:rsidR="00F27C76">
        <w:rPr>
          <w:lang w:val="en-US"/>
        </w:rPr>
        <w:t xml:space="preserve">  Customers do not “regularly” see the benefits of deferrals between rate cases because, as noted by Mr. Mullins in testimony, customers simply do not have the information or resources to file deferred accounting petitions</w:t>
      </w:r>
      <w:r w:rsidR="00D65683">
        <w:rPr>
          <w:lang w:val="en-US"/>
        </w:rPr>
        <w:t xml:space="preserve"> seeking benefits.</w:t>
      </w:r>
      <w:r w:rsidR="00D65683" w:rsidRPr="00922AF3">
        <w:rPr>
          <w:rStyle w:val="FootnoteReference"/>
          <w:u w:val="single"/>
        </w:rPr>
        <w:footnoteReference w:id="188"/>
      </w:r>
      <w:r w:rsidR="00D65683" w:rsidRPr="00922AF3">
        <w:rPr>
          <w:vertAlign w:val="superscript"/>
        </w:rPr>
        <w:t>/</w:t>
      </w:r>
      <w:r w:rsidR="00D65683">
        <w:rPr>
          <w:lang w:val="en-US"/>
        </w:rPr>
        <w:t xml:space="preserve">  The Commission rightly shares a concern with parties “about limiting the use of deferred accounting petitions between rate cases.”</w:t>
      </w:r>
      <w:r w:rsidR="00D65683" w:rsidRPr="00345589">
        <w:rPr>
          <w:u w:val="single"/>
          <w:vertAlign w:val="superscript"/>
          <w:lang w:val="en-US"/>
        </w:rPr>
        <w:footnoteReference w:id="189"/>
      </w:r>
      <w:r w:rsidR="00D65683" w:rsidRPr="00345589">
        <w:rPr>
          <w:vertAlign w:val="superscript"/>
          <w:lang w:val="en-US"/>
        </w:rPr>
        <w:t>/</w:t>
      </w:r>
      <w:r w:rsidR="00D65683">
        <w:rPr>
          <w:lang w:val="en-US"/>
        </w:rPr>
        <w:t xml:space="preserve">  The Commission should act upon that concern by rejecting </w:t>
      </w:r>
      <w:r w:rsidR="001523D2">
        <w:rPr>
          <w:lang w:val="en-US"/>
        </w:rPr>
        <w:t xml:space="preserve">the </w:t>
      </w:r>
      <w:r w:rsidR="00D65683">
        <w:rPr>
          <w:lang w:val="en-US"/>
        </w:rPr>
        <w:t xml:space="preserve">Company’s request for special accounting treatment for a project placed into service a mere two months before a rate filing. </w:t>
      </w:r>
    </w:p>
    <w:p w:rsidR="00930DD6" w:rsidRDefault="00C726A4" w:rsidP="00820DEF">
      <w:pPr>
        <w:pStyle w:val="LightGrid-Accent31"/>
        <w:keepNext/>
        <w:spacing w:line="520" w:lineRule="exact"/>
        <w:ind w:left="0"/>
        <w:jc w:val="center"/>
        <w:rPr>
          <w:b/>
          <w:szCs w:val="24"/>
        </w:rPr>
      </w:pPr>
      <w:r>
        <w:rPr>
          <w:b/>
          <w:szCs w:val="24"/>
        </w:rPr>
        <w:lastRenderedPageBreak/>
        <w:t>III</w:t>
      </w:r>
      <w:r w:rsidR="00DB4FE9">
        <w:rPr>
          <w:b/>
          <w:szCs w:val="24"/>
        </w:rPr>
        <w:t>.</w:t>
      </w:r>
      <w:r w:rsidR="00DB4FE9">
        <w:rPr>
          <w:b/>
          <w:szCs w:val="24"/>
        </w:rPr>
        <w:tab/>
        <w:t>CONCLUSION</w:t>
      </w:r>
    </w:p>
    <w:p w:rsidR="00DB4FE9" w:rsidRPr="004B21D6" w:rsidRDefault="005D536A" w:rsidP="004B21D6">
      <w:pPr>
        <w:pStyle w:val="WUTCParagraph"/>
        <w:spacing w:after="240" w:line="520" w:lineRule="exact"/>
      </w:pPr>
      <w:r>
        <w:rPr>
          <w:lang w:val="en-US"/>
        </w:rPr>
        <w:tab/>
      </w:r>
      <w:r w:rsidR="0017475E">
        <w:t>Pacifi</w:t>
      </w:r>
      <w:r w:rsidR="0017475E">
        <w:rPr>
          <w:lang w:val="en-US"/>
        </w:rPr>
        <w:t>c Power</w:t>
      </w:r>
      <w:r w:rsidR="00930DD6" w:rsidRPr="00CD6E5A">
        <w:t xml:space="preserve"> has not demonstrated that its </w:t>
      </w:r>
      <w:r w:rsidR="008731DA" w:rsidRPr="00CD6E5A">
        <w:t>proposed rate increase is</w:t>
      </w:r>
      <w:r w:rsidR="00930DD6" w:rsidRPr="00CD6E5A">
        <w:t xml:space="preserve"> just or reasonable in this case.  The Commission should adopt Mr. Gorman’s reasonable and well</w:t>
      </w:r>
      <w:r w:rsidR="008731DA" w:rsidRPr="00CD6E5A">
        <w:t>-</w:t>
      </w:r>
      <w:r w:rsidR="00930DD6" w:rsidRPr="00CD6E5A">
        <w:t xml:space="preserve"> supported cost of capital and capital structure recommendations, as well as Mr.</w:t>
      </w:r>
      <w:r w:rsidR="0017475E">
        <w:rPr>
          <w:lang w:val="en-US"/>
        </w:rPr>
        <w:t xml:space="preserve"> Mullins</w:t>
      </w:r>
      <w:r w:rsidR="0017475E">
        <w:t>’</w:t>
      </w:r>
      <w:r w:rsidR="00D65683">
        <w:rPr>
          <w:lang w:val="en-US"/>
        </w:rPr>
        <w:t xml:space="preserve"> carefully analyzed revenue requirement, power cost, and deferral recommendations</w:t>
      </w:r>
      <w:r w:rsidR="00930DD6" w:rsidRPr="00CD6E5A">
        <w:t>.</w:t>
      </w:r>
      <w:r w:rsidR="00203034">
        <w:rPr>
          <w:lang w:val="en-US"/>
        </w:rPr>
        <w:t xml:space="preserve">  Boise also recommends the adoption of Mr. Stephens’ cost of service and rate spread proposals in this case.  Overall, Boise respectfully requests that the Commission reduce the Company’s overall rate increase requests by $35.4 million</w:t>
      </w:r>
      <w:r w:rsidR="00F66251">
        <w:rPr>
          <w:lang w:val="en-US"/>
        </w:rPr>
        <w:t>.</w:t>
      </w:r>
    </w:p>
    <w:p w:rsidR="00DB4FE9" w:rsidRDefault="00C726A4" w:rsidP="005B7E32">
      <w:pPr>
        <w:keepNext/>
        <w:spacing w:line="480" w:lineRule="auto"/>
        <w:ind w:firstLine="1440"/>
      </w:pPr>
      <w:r>
        <w:t>Dated this 3rd day of February, 2015</w:t>
      </w:r>
      <w:r w:rsidR="00DB4FE9">
        <w:t>.</w:t>
      </w:r>
    </w:p>
    <w:p w:rsidR="00DB4FE9" w:rsidRDefault="00DB4FE9" w:rsidP="005B7E32">
      <w:pPr>
        <w:keepNext/>
        <w:spacing w:line="480" w:lineRule="auto"/>
        <w:ind w:left="2880" w:firstLine="720"/>
      </w:pPr>
      <w:r>
        <w:t>Respectfully submitted,</w:t>
      </w:r>
    </w:p>
    <w:p w:rsidR="00DB4FE9" w:rsidRDefault="00DB4FE9" w:rsidP="005B7E32">
      <w:pPr>
        <w:keepNext/>
        <w:spacing w:line="480" w:lineRule="auto"/>
        <w:ind w:firstLine="3600"/>
      </w:pPr>
      <w:r>
        <w:t>DAVISON VAN CLEVE, P.C.</w:t>
      </w:r>
    </w:p>
    <w:p w:rsidR="00DB4FE9" w:rsidRDefault="00DB4FE9" w:rsidP="005B7E32">
      <w:pPr>
        <w:keepNext/>
        <w:spacing w:line="480" w:lineRule="auto"/>
        <w:ind w:firstLine="3600"/>
      </w:pPr>
    </w:p>
    <w:p w:rsidR="00DB4FE9" w:rsidRPr="00200EE5" w:rsidRDefault="00DB4FE9" w:rsidP="001731CA">
      <w:pPr>
        <w:keepNext/>
        <w:ind w:firstLine="3600"/>
        <w:contextualSpacing/>
        <w:rPr>
          <w:u w:val="single"/>
        </w:rPr>
      </w:pPr>
      <w:r>
        <w:rPr>
          <w:i/>
          <w:u w:val="single"/>
        </w:rPr>
        <w:t xml:space="preserve">/s/ </w:t>
      </w:r>
      <w:r w:rsidR="00985538">
        <w:rPr>
          <w:i/>
          <w:u w:val="single"/>
        </w:rPr>
        <w:t>Melinda J. Davison</w:t>
      </w:r>
      <w:bookmarkStart w:id="0" w:name="_GoBack"/>
      <w:bookmarkEnd w:id="0"/>
    </w:p>
    <w:p w:rsidR="00DB4FE9" w:rsidRDefault="00DB4FE9" w:rsidP="001731CA">
      <w:pPr>
        <w:keepNext/>
        <w:ind w:firstLine="3600"/>
        <w:contextualSpacing/>
      </w:pPr>
      <w:r>
        <w:t>Melinda J. Davison</w:t>
      </w:r>
    </w:p>
    <w:p w:rsidR="00DB4FE9" w:rsidRDefault="0037760A" w:rsidP="005B7E32">
      <w:pPr>
        <w:keepNext/>
        <w:ind w:firstLine="3600"/>
      </w:pPr>
      <w:r>
        <w:t>Jesse E. Cowell</w:t>
      </w:r>
    </w:p>
    <w:p w:rsidR="00DB4FE9" w:rsidRDefault="00DB4FE9" w:rsidP="005B7E32">
      <w:pPr>
        <w:keepNext/>
        <w:ind w:firstLine="3600"/>
      </w:pPr>
      <w:r>
        <w:t>333 S.W. Taylor, Suite 400</w:t>
      </w:r>
    </w:p>
    <w:p w:rsidR="00DB4FE9" w:rsidRDefault="00DB4FE9" w:rsidP="005B7E32">
      <w:pPr>
        <w:keepNext/>
        <w:ind w:firstLine="3600"/>
      </w:pPr>
      <w:r>
        <w:t>Portland, Oregon 97204</w:t>
      </w:r>
    </w:p>
    <w:p w:rsidR="00DB4FE9" w:rsidRDefault="00DB4FE9" w:rsidP="005B7E32">
      <w:pPr>
        <w:keepNext/>
        <w:ind w:firstLine="3600"/>
      </w:pPr>
      <w:r>
        <w:t>(503) 241-7242 telephone</w:t>
      </w:r>
    </w:p>
    <w:p w:rsidR="00DB4FE9" w:rsidRDefault="00DB4FE9" w:rsidP="005B7E32">
      <w:pPr>
        <w:keepNext/>
        <w:ind w:firstLine="3600"/>
      </w:pPr>
      <w:r>
        <w:t>(503) 241-8160 facsimile</w:t>
      </w:r>
    </w:p>
    <w:p w:rsidR="00DB4FE9" w:rsidRDefault="00DB4FE9" w:rsidP="005B7E32">
      <w:pPr>
        <w:ind w:left="2912" w:firstLine="688"/>
      </w:pPr>
      <w:r>
        <w:t>mjd</w:t>
      </w:r>
      <w:r w:rsidRPr="002E1995">
        <w:t>@dvclaw.com</w:t>
      </w:r>
    </w:p>
    <w:p w:rsidR="00DB4FE9" w:rsidRDefault="0037760A" w:rsidP="005B7E32">
      <w:pPr>
        <w:ind w:left="2912" w:firstLine="688"/>
      </w:pPr>
      <w:r>
        <w:t>jec</w:t>
      </w:r>
      <w:r w:rsidR="00DB4FE9">
        <w:t>@dvclaw.com</w:t>
      </w:r>
    </w:p>
    <w:p w:rsidR="00DB4FE9" w:rsidRDefault="00DB4FE9" w:rsidP="005B7E32">
      <w:pPr>
        <w:ind w:left="3600"/>
      </w:pPr>
      <w:r>
        <w:t>Of Attorneys for Boise White Paper, L.L.C.</w:t>
      </w:r>
    </w:p>
    <w:p w:rsidR="00DB4FE9" w:rsidRPr="00D3570F" w:rsidRDefault="00DB4FE9" w:rsidP="00DB4FE9"/>
    <w:sectPr w:rsidR="00DB4FE9" w:rsidRPr="00D3570F" w:rsidSect="00DB4FE9">
      <w:footerReference w:type="default" r:id="rId12"/>
      <w:footerReference w:type="first" r:id="rId13"/>
      <w:pgSz w:w="12240" w:h="15840" w:code="1"/>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CC" w:rsidRDefault="005015CC">
      <w:r>
        <w:separator/>
      </w:r>
    </w:p>
  </w:endnote>
  <w:endnote w:type="continuationSeparator" w:id="0">
    <w:p w:rsidR="005015CC" w:rsidRDefault="005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C" w:rsidRDefault="005015CC">
    <w:pPr>
      <w:pStyle w:val="Footer"/>
    </w:pPr>
  </w:p>
  <w:p w:rsidR="005015CC" w:rsidRDefault="005015CC" w:rsidP="00DB4FE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C" w:rsidRDefault="005015CC" w:rsidP="00DB4FE9">
    <w:pPr>
      <w:pStyle w:val="Footer"/>
      <w:jc w:val="center"/>
    </w:pPr>
    <w:r>
      <w:fldChar w:fldCharType="begin"/>
    </w:r>
    <w:r>
      <w:instrText xml:space="preserve"> PAGE   \* MERGEFORMAT </w:instrText>
    </w:r>
    <w:r>
      <w:fldChar w:fldCharType="separate"/>
    </w:r>
    <w:r w:rsidR="00985538">
      <w:rPr>
        <w:noProof/>
      </w:rPr>
      <w:t>i</w:t>
    </w:r>
    <w:r>
      <w:fldChar w:fldCharType="end"/>
    </w:r>
  </w:p>
  <w:p w:rsidR="005015CC" w:rsidRDefault="005015CC" w:rsidP="00DB4FE9">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C" w:rsidRPr="00C726A4" w:rsidRDefault="005015CC">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985538">
      <w:rPr>
        <w:rStyle w:val="PageNumber"/>
        <w:noProof/>
      </w:rPr>
      <w:t>2</w:t>
    </w:r>
    <w:r>
      <w:rPr>
        <w:rStyle w:val="PageNumber"/>
      </w:rPr>
      <w:fldChar w:fldCharType="end"/>
    </w:r>
    <w:r>
      <w:rPr>
        <w:rStyle w:val="PageNumber"/>
      </w:rPr>
      <w:t xml:space="preserve"> –</w:t>
    </w:r>
    <w:r>
      <w:rPr>
        <w:rStyle w:val="PageNumber"/>
        <w:lang w:val="en-US"/>
      </w:rPr>
      <w:t xml:space="preserve"> REPLY </w:t>
    </w:r>
    <w:r>
      <w:rPr>
        <w:rStyle w:val="PageNumber"/>
      </w:rPr>
      <w:t xml:space="preserve">BRIEF OF </w:t>
    </w:r>
    <w:r>
      <w:t>BOISE WHITE PAPER, L</w:t>
    </w:r>
    <w:r>
      <w:rPr>
        <w:lang w:val="en-US"/>
      </w:rPr>
      <w:t>.</w:t>
    </w:r>
    <w:r>
      <w:t>L</w:t>
    </w:r>
    <w:r>
      <w:rPr>
        <w:lang w:val="en-US"/>
      </w:rPr>
      <w:t>.</w:t>
    </w:r>
    <w:r>
      <w:t>C</w:t>
    </w:r>
    <w:r>
      <w:rPr>
        <w:lang w:val="en-US"/>
      </w:rPr>
      <w:t>.</w:t>
    </w:r>
  </w:p>
  <w:p w:rsidR="005015CC" w:rsidRDefault="005015CC">
    <w:pPr>
      <w:pStyle w:val="Footer"/>
      <w:rPr>
        <w:rStyle w:val="PageNumber"/>
      </w:rPr>
    </w:pPr>
  </w:p>
  <w:p w:rsidR="005015CC" w:rsidRPr="005D536A" w:rsidRDefault="005015CC">
    <w:pPr>
      <w:jc w:val="center"/>
      <w:rPr>
        <w:sz w:val="16"/>
      </w:rPr>
    </w:pPr>
    <w:r w:rsidRPr="005D536A">
      <w:rPr>
        <w:sz w:val="16"/>
      </w:rPr>
      <w:t>DAVISON VAN CLEVE, P.C.</w:t>
    </w:r>
  </w:p>
  <w:p w:rsidR="005015CC" w:rsidRPr="005D536A" w:rsidRDefault="005015CC">
    <w:pPr>
      <w:tabs>
        <w:tab w:val="center" w:pos="4680"/>
      </w:tabs>
      <w:jc w:val="center"/>
      <w:rPr>
        <w:sz w:val="16"/>
      </w:rPr>
    </w:pPr>
    <w:r w:rsidRPr="005D536A">
      <w:rPr>
        <w:sz w:val="16"/>
      </w:rPr>
      <w:t>333 SW Taylor, Suite 400</w:t>
    </w:r>
  </w:p>
  <w:p w:rsidR="005015CC" w:rsidRPr="005D536A" w:rsidRDefault="005015CC">
    <w:pPr>
      <w:tabs>
        <w:tab w:val="center" w:pos="4680"/>
      </w:tabs>
      <w:jc w:val="center"/>
      <w:rPr>
        <w:sz w:val="16"/>
      </w:rPr>
    </w:pPr>
    <w:r w:rsidRPr="005D536A">
      <w:rPr>
        <w:sz w:val="16"/>
      </w:rPr>
      <w:t>Portland, OR 97204</w:t>
    </w:r>
  </w:p>
  <w:p w:rsidR="005015CC" w:rsidRPr="005D536A" w:rsidRDefault="005015CC">
    <w:pPr>
      <w:pStyle w:val="Footer"/>
      <w:jc w:val="center"/>
    </w:pPr>
    <w:r w:rsidRPr="005D536A">
      <w:rPr>
        <w:sz w:val="16"/>
      </w:rPr>
      <w:t>Telephone (503) 241-7242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C" w:rsidRPr="00C726A4" w:rsidRDefault="005015CC" w:rsidP="00DB4FE9">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985538">
      <w:rPr>
        <w:rStyle w:val="PageNumber"/>
        <w:noProof/>
      </w:rPr>
      <w:t>1</w:t>
    </w:r>
    <w:r>
      <w:rPr>
        <w:rStyle w:val="PageNumber"/>
      </w:rPr>
      <w:fldChar w:fldCharType="end"/>
    </w:r>
    <w:r>
      <w:rPr>
        <w:rStyle w:val="PageNumber"/>
      </w:rPr>
      <w:t xml:space="preserve"> –</w:t>
    </w:r>
    <w:r>
      <w:rPr>
        <w:rStyle w:val="PageNumber"/>
        <w:lang w:val="en-US"/>
      </w:rPr>
      <w:t xml:space="preserve"> REPLY </w:t>
    </w:r>
    <w:r>
      <w:rPr>
        <w:rStyle w:val="PageNumber"/>
      </w:rPr>
      <w:t xml:space="preserve">BRIEF OF </w:t>
    </w:r>
    <w:r>
      <w:t>BOISE WHITE PAPER, L</w:t>
    </w:r>
    <w:r>
      <w:rPr>
        <w:lang w:val="en-US"/>
      </w:rPr>
      <w:t>.</w:t>
    </w:r>
    <w:r>
      <w:t>L</w:t>
    </w:r>
    <w:r>
      <w:rPr>
        <w:lang w:val="en-US"/>
      </w:rPr>
      <w:t>.</w:t>
    </w:r>
    <w:r>
      <w:t>C</w:t>
    </w:r>
    <w:r>
      <w:rPr>
        <w:lang w:val="en-US"/>
      </w:rPr>
      <w:t>.</w:t>
    </w:r>
  </w:p>
  <w:p w:rsidR="005015CC" w:rsidRDefault="005015CC" w:rsidP="00DB4FE9">
    <w:pPr>
      <w:jc w:val="center"/>
      <w:rPr>
        <w:rFonts w:ascii="EngraversGothic BT" w:hAnsi="EngraversGothic BT"/>
        <w:sz w:val="16"/>
      </w:rPr>
    </w:pPr>
  </w:p>
  <w:p w:rsidR="005015CC" w:rsidRDefault="005015CC" w:rsidP="00DB4FE9">
    <w:pPr>
      <w:jc w:val="center"/>
      <w:rPr>
        <w:rFonts w:ascii="EngraversGothic BT" w:hAnsi="EngraversGothic BT"/>
        <w:sz w:val="16"/>
      </w:rPr>
    </w:pPr>
    <w:r>
      <w:rPr>
        <w:rFonts w:ascii="EngraversGothic BT" w:hAnsi="EngraversGothic BT"/>
        <w:sz w:val="16"/>
      </w:rPr>
      <w:t>DAVISON VAN CLEVE, P.C.</w:t>
    </w:r>
  </w:p>
  <w:p w:rsidR="005015CC" w:rsidRDefault="005015CC" w:rsidP="00DB4FE9">
    <w:pPr>
      <w:tabs>
        <w:tab w:val="center" w:pos="4680"/>
      </w:tabs>
      <w:jc w:val="center"/>
      <w:rPr>
        <w:rFonts w:ascii="EngraversGothic BT" w:hAnsi="EngraversGothic BT"/>
        <w:sz w:val="16"/>
      </w:rPr>
    </w:pPr>
    <w:r>
      <w:rPr>
        <w:rFonts w:ascii="EngraversGothic BT" w:hAnsi="EngraversGothic BT"/>
        <w:sz w:val="16"/>
      </w:rPr>
      <w:t>333 SW Taylor, Suite 400</w:t>
    </w:r>
  </w:p>
  <w:p w:rsidR="005015CC" w:rsidRDefault="005015CC" w:rsidP="00DB4FE9">
    <w:pPr>
      <w:tabs>
        <w:tab w:val="center" w:pos="4680"/>
      </w:tabs>
      <w:jc w:val="center"/>
      <w:rPr>
        <w:rFonts w:ascii="EngraversGothic BT" w:hAnsi="EngraversGothic BT"/>
        <w:sz w:val="16"/>
      </w:rPr>
    </w:pPr>
    <w:r>
      <w:rPr>
        <w:rFonts w:ascii="EngraversGothic BT" w:hAnsi="EngraversGothic BT"/>
        <w:sz w:val="16"/>
      </w:rPr>
      <w:t>Portland, OR 97204</w:t>
    </w:r>
  </w:p>
  <w:p w:rsidR="005015CC" w:rsidRDefault="005015CC" w:rsidP="00DB4FE9">
    <w:pPr>
      <w:pStyle w:val="Footer"/>
      <w:jc w:val="center"/>
    </w:pPr>
    <w:r>
      <w:rPr>
        <w:rFonts w:ascii="EngraversGothic BT" w:hAnsi="EngraversGothic BT"/>
        <w:sz w:val="16"/>
      </w:rPr>
      <w:t>Telephone (503) 241-7242</w:t>
    </w:r>
  </w:p>
  <w:p w:rsidR="005015CC" w:rsidRDefault="00501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CC" w:rsidRDefault="005015CC">
      <w:r>
        <w:separator/>
      </w:r>
    </w:p>
  </w:footnote>
  <w:footnote w:type="continuationSeparator" w:id="0">
    <w:p w:rsidR="005015CC" w:rsidRPr="001A6AC7" w:rsidRDefault="005015CC" w:rsidP="00DB4FE9">
      <w:r>
        <w:separator/>
      </w:r>
    </w:p>
  </w:footnote>
  <w:footnote w:type="continuationNotice" w:id="1">
    <w:p w:rsidR="005015CC" w:rsidRDefault="005015CC"/>
  </w:footnote>
  <w:footnote w:id="2">
    <w:p w:rsidR="005015CC" w:rsidRPr="00851324" w:rsidRDefault="005015CC" w:rsidP="00FC101D">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Pr>
          <w:u w:val="single"/>
          <w:lang w:val="en-US"/>
        </w:rPr>
        <w:t>See</w:t>
      </w:r>
      <w:r>
        <w:rPr>
          <w:lang w:val="en-US"/>
        </w:rPr>
        <w:t xml:space="preserve"> Post-Hearing Brief of Boise (“Boise Brief”) at n.1.  </w:t>
      </w:r>
    </w:p>
  </w:footnote>
  <w:footnote w:id="3">
    <w:p w:rsidR="005015CC" w:rsidRPr="00851324" w:rsidRDefault="005015CC" w:rsidP="0069190F">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Power’s Opening Brief (“Pacific Power Brief”) at ¶ 12 (citations omitted).  </w:t>
      </w:r>
    </w:p>
  </w:footnote>
  <w:footnote w:id="4">
    <w:p w:rsidR="005015CC" w:rsidRPr="00851324" w:rsidRDefault="005015CC" w:rsidP="0016218F">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3.  </w:t>
      </w:r>
    </w:p>
  </w:footnote>
  <w:footnote w:id="5">
    <w:p w:rsidR="005015CC" w:rsidRPr="003C3C16" w:rsidRDefault="005015CC" w:rsidP="0025536A">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u w:val="single"/>
        </w:rPr>
        <w:t>WUTC v. PacifiCorp</w:t>
      </w:r>
      <w:r w:rsidRPr="003C3C16">
        <w:t>, Docket No. UE-</w:t>
      </w:r>
      <w:r w:rsidRPr="003C3C16">
        <w:rPr>
          <w:lang w:val="en-US"/>
        </w:rPr>
        <w:t>130043</w:t>
      </w:r>
      <w:r w:rsidRPr="003C3C16">
        <w:t xml:space="preserve">, Order </w:t>
      </w:r>
      <w:r w:rsidRPr="003C3C16">
        <w:rPr>
          <w:lang w:val="en-US"/>
        </w:rPr>
        <w:t>05</w:t>
      </w:r>
      <w:r w:rsidRPr="003C3C16">
        <w:t xml:space="preserve"> </w:t>
      </w:r>
      <w:r>
        <w:rPr>
          <w:lang w:val="en-US"/>
        </w:rPr>
        <w:t>at ¶¶ 63, 70</w:t>
      </w:r>
      <w:r w:rsidRPr="003C3C16">
        <w:t xml:space="preserve"> (</w:t>
      </w:r>
      <w:r w:rsidRPr="003C3C16">
        <w:rPr>
          <w:lang w:val="en-US"/>
        </w:rPr>
        <w:t>Dec</w:t>
      </w:r>
      <w:r w:rsidRPr="003C3C16">
        <w:t xml:space="preserve">. </w:t>
      </w:r>
      <w:r w:rsidRPr="003C3C16">
        <w:rPr>
          <w:lang w:val="en-US"/>
        </w:rPr>
        <w:t>4</w:t>
      </w:r>
      <w:r w:rsidRPr="003C3C16">
        <w:t>, 20</w:t>
      </w:r>
      <w:r w:rsidRPr="003C3C16">
        <w:rPr>
          <w:lang w:val="en-US"/>
        </w:rPr>
        <w:t>13</w:t>
      </w:r>
      <w:r w:rsidRPr="003C3C16">
        <w:t>)</w:t>
      </w:r>
      <w:r w:rsidRPr="003C3C16">
        <w:rPr>
          <w:lang w:val="en-US"/>
        </w:rPr>
        <w:t xml:space="preserve"> (“2013 GRC Order 05”).</w:t>
      </w:r>
    </w:p>
  </w:footnote>
  <w:footnote w:id="6">
    <w:p w:rsidR="005015CC" w:rsidRPr="003C3C16" w:rsidRDefault="005015CC" w:rsidP="0063306B">
      <w:pPr>
        <w:pStyle w:val="FootnoteText"/>
        <w:ind w:left="720" w:right="-180" w:hanging="720"/>
        <w:rPr>
          <w:lang w:val="en-US"/>
        </w:rPr>
      </w:pPr>
      <w:r w:rsidRPr="003C3C16">
        <w:rPr>
          <w:rStyle w:val="FootnoteReference"/>
          <w:u w:val="single"/>
        </w:rPr>
        <w:footnoteRef/>
      </w:r>
      <w:r w:rsidRPr="007E4CB2">
        <w:rPr>
          <w:vertAlign w:val="superscript"/>
        </w:rPr>
        <w:t>/</w:t>
      </w:r>
      <w:r w:rsidRPr="003C3C16">
        <w:tab/>
      </w:r>
      <w:r w:rsidRPr="003C3C16">
        <w:rPr>
          <w:lang w:val="en-US"/>
        </w:rPr>
        <w:t xml:space="preserve">Strunk, Exh. No. </w:t>
      </w:r>
      <w:r>
        <w:rPr>
          <w:lang w:val="en-US"/>
        </w:rPr>
        <w:t>KGS-37CX (Company Response</w:t>
      </w:r>
      <w:r w:rsidRPr="003C3C16">
        <w:rPr>
          <w:lang w:val="en-US"/>
        </w:rPr>
        <w:t xml:space="preserve"> to Boise D</w:t>
      </w:r>
      <w:r>
        <w:rPr>
          <w:lang w:val="en-US"/>
        </w:rPr>
        <w:t>ata Request (“DR”) 2.3</w:t>
      </w:r>
      <w:r w:rsidRPr="003C3C16">
        <w:rPr>
          <w:lang w:val="en-US"/>
        </w:rPr>
        <w:t>).</w:t>
      </w:r>
    </w:p>
  </w:footnote>
  <w:footnote w:id="7">
    <w:p w:rsidR="005015CC" w:rsidRPr="00851324" w:rsidRDefault="005015CC" w:rsidP="00EA3DFE">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Boise Brief at ¶¶ 3-9.  </w:t>
      </w:r>
    </w:p>
  </w:footnote>
  <w:footnote w:id="8">
    <w:p w:rsidR="005015CC" w:rsidRPr="003C3C16" w:rsidRDefault="005015CC" w:rsidP="00EA3DFE">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70</w:t>
      </w:r>
      <w:r w:rsidRPr="003C3C16">
        <w:rPr>
          <w:lang w:val="en-US"/>
        </w:rPr>
        <w:t>.</w:t>
      </w:r>
    </w:p>
  </w:footnote>
  <w:footnote w:id="9">
    <w:p w:rsidR="005015CC" w:rsidRPr="004F7D4B" w:rsidRDefault="005015CC" w:rsidP="0095527A">
      <w:pPr>
        <w:pStyle w:val="FootnoteText"/>
        <w:rPr>
          <w:lang w:val="en-US"/>
        </w:rPr>
      </w:pPr>
      <w:r w:rsidRPr="004F7D4B">
        <w:rPr>
          <w:rStyle w:val="FootnoteReference"/>
          <w:u w:val="single"/>
        </w:rPr>
        <w:footnoteRef/>
      </w:r>
      <w:r w:rsidRPr="004F7D4B">
        <w:rPr>
          <w:vertAlign w:val="superscript"/>
          <w:lang w:val="en-US"/>
        </w:rPr>
        <w:t>/</w:t>
      </w:r>
      <w:r w:rsidRPr="004F7D4B">
        <w:t xml:space="preserve"> </w:t>
      </w:r>
      <w:r>
        <w:rPr>
          <w:lang w:val="en-US"/>
        </w:rPr>
        <w:tab/>
      </w:r>
      <w:r w:rsidRPr="005015CC">
        <w:rPr>
          <w:u w:val="single"/>
          <w:lang w:val="en-US"/>
        </w:rPr>
        <w:t>Id.</w:t>
      </w:r>
      <w:r w:rsidRPr="009010E3">
        <w:rPr>
          <w:lang w:val="en-US"/>
        </w:rPr>
        <w:t xml:space="preserve"> </w:t>
      </w:r>
    </w:p>
  </w:footnote>
  <w:footnote w:id="10">
    <w:p w:rsidR="005015CC" w:rsidRPr="003C3C16" w:rsidRDefault="005015CC" w:rsidP="00335B81">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Boise supports Staff’s recommended 9.0% ROE as within Mr. Gorman’s recommended range</w:t>
      </w:r>
      <w:r w:rsidRPr="003C3C16">
        <w:rPr>
          <w:lang w:val="en-US"/>
        </w:rPr>
        <w:t>.</w:t>
      </w:r>
      <w:r>
        <w:rPr>
          <w:lang w:val="en-US"/>
        </w:rPr>
        <w:t xml:space="preserve">  Gorman, Exh. No. MPG-1T at 46:1-2.  Staff states that a 50 basis point reduction would uphold the principle of gradualism.  Initial Brief on Behalf of Commission Staff (“Staff Brief”) at ¶ 23.  In keeping with the Commission’s 2013 GRC Order, however, adopting Mr. Gorman’s conservative ROE recommendation of a 20 basis point reduction to ROE would seem more in keeping with principles of gradualism than either Staff’s or Pacific Power’s recommendation for a 50 basis point swing. </w:t>
      </w:r>
    </w:p>
  </w:footnote>
  <w:footnote w:id="11">
    <w:p w:rsidR="005015CC" w:rsidRPr="00851324" w:rsidRDefault="005015CC" w:rsidP="004E0D91">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15.  </w:t>
      </w:r>
    </w:p>
  </w:footnote>
  <w:footnote w:id="12">
    <w:p w:rsidR="005015CC" w:rsidRPr="00851324" w:rsidRDefault="005015CC" w:rsidP="004E0D91">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Gorman, Exh. No. MPG-1Tr at 22:8-12.</w:t>
      </w:r>
    </w:p>
  </w:footnote>
  <w:footnote w:id="13">
    <w:p w:rsidR="005015CC" w:rsidRPr="00851324" w:rsidRDefault="005015CC" w:rsidP="004E0D91">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23.  </w:t>
      </w:r>
    </w:p>
  </w:footnote>
  <w:footnote w:id="14">
    <w:p w:rsidR="005015CC" w:rsidRPr="00851324" w:rsidRDefault="005015CC" w:rsidP="004E0D91">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Gorman, Exh. No. MPG-1Tr at 46:1-2.</w:t>
      </w:r>
    </w:p>
  </w:footnote>
  <w:footnote w:id="15">
    <w:p w:rsidR="005015CC" w:rsidRPr="00851324" w:rsidRDefault="005015CC" w:rsidP="002A598E">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23.  </w:t>
      </w:r>
    </w:p>
  </w:footnote>
  <w:footnote w:id="16">
    <w:p w:rsidR="005015CC" w:rsidRPr="00851324" w:rsidRDefault="005015CC" w:rsidP="00BE013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BE013B">
        <w:rPr>
          <w:u w:val="single"/>
          <w:lang w:val="en-US"/>
        </w:rPr>
        <w:t>Id.</w:t>
      </w:r>
      <w:r>
        <w:rPr>
          <w:lang w:val="en-US"/>
        </w:rPr>
        <w:t xml:space="preserve"> at ¶ 25.  </w:t>
      </w:r>
    </w:p>
  </w:footnote>
  <w:footnote w:id="17">
    <w:p w:rsidR="005015CC" w:rsidRPr="00851324" w:rsidRDefault="005015CC" w:rsidP="00BE013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BE013B">
        <w:rPr>
          <w:u w:val="single"/>
          <w:lang w:val="en-US"/>
        </w:rPr>
        <w:t>Id.</w:t>
      </w:r>
      <w:r>
        <w:rPr>
          <w:lang w:val="en-US"/>
        </w:rPr>
        <w:t xml:space="preserve"> at ¶ 12.  </w:t>
      </w:r>
    </w:p>
  </w:footnote>
  <w:footnote w:id="18">
    <w:p w:rsidR="005015CC" w:rsidRPr="00851324" w:rsidRDefault="005015CC" w:rsidP="006A72B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BE013B">
        <w:rPr>
          <w:u w:val="single"/>
          <w:lang w:val="en-US"/>
        </w:rPr>
        <w:t>Id.</w:t>
      </w:r>
      <w:r>
        <w:rPr>
          <w:lang w:val="en-US"/>
        </w:rPr>
        <w:t xml:space="preserve"> at ¶ 26.  </w:t>
      </w:r>
    </w:p>
  </w:footnote>
  <w:footnote w:id="19">
    <w:p w:rsidR="005015CC" w:rsidRPr="00851324" w:rsidRDefault="005015CC" w:rsidP="006A72B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BE013B">
        <w:rPr>
          <w:u w:val="single"/>
          <w:lang w:val="en-US"/>
        </w:rPr>
        <w:t>Id.</w:t>
      </w:r>
      <w:r>
        <w:rPr>
          <w:lang w:val="en-US"/>
        </w:rPr>
        <w:t xml:space="preserve"> at ¶ 29 (</w:t>
      </w:r>
      <w:r w:rsidRPr="006A72BB">
        <w:rPr>
          <w:u w:val="single"/>
          <w:lang w:val="en-US"/>
        </w:rPr>
        <w:t>quoting</w:t>
      </w:r>
      <w:r>
        <w:rPr>
          <w:lang w:val="en-US"/>
        </w:rPr>
        <w:t xml:space="preserve"> Gorman, Exh. No. MPG-1Tr at 39:17-18).  </w:t>
      </w:r>
    </w:p>
  </w:footnote>
  <w:footnote w:id="20">
    <w:p w:rsidR="005015CC" w:rsidRPr="003C3C16" w:rsidRDefault="005015CC" w:rsidP="00C65503">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346:23-347:6</w:t>
      </w:r>
      <w:r w:rsidRPr="003C3C16">
        <w:t>.</w:t>
      </w:r>
    </w:p>
  </w:footnote>
  <w:footnote w:id="21">
    <w:p w:rsidR="005015CC" w:rsidRPr="00851324" w:rsidRDefault="005015CC" w:rsidP="00C65503">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29.  </w:t>
      </w:r>
    </w:p>
  </w:footnote>
  <w:footnote w:id="22">
    <w:p w:rsidR="005015CC" w:rsidRPr="00851324" w:rsidRDefault="005015CC" w:rsidP="00DB559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30.  </w:t>
      </w:r>
    </w:p>
  </w:footnote>
  <w:footnote w:id="23">
    <w:p w:rsidR="005015CC" w:rsidRPr="003C3C16" w:rsidRDefault="005015CC" w:rsidP="0027423B">
      <w:pPr>
        <w:pStyle w:val="FootnoteText"/>
        <w:ind w:left="720" w:right="-180" w:hanging="720"/>
        <w:rPr>
          <w:lang w:val="en-US"/>
        </w:rPr>
      </w:pPr>
      <w:r w:rsidRPr="003C3C16">
        <w:rPr>
          <w:rStyle w:val="FootnoteReference"/>
          <w:u w:val="single"/>
        </w:rPr>
        <w:footnoteRef/>
      </w:r>
      <w:r w:rsidRPr="007E4CB2">
        <w:rPr>
          <w:vertAlign w:val="superscript"/>
        </w:rPr>
        <w:t>/</w:t>
      </w:r>
      <w:r w:rsidRPr="003C3C16">
        <w:tab/>
      </w:r>
      <w:r w:rsidRPr="003C3C16">
        <w:rPr>
          <w:lang w:val="en-US"/>
        </w:rPr>
        <w:t xml:space="preserve">Strunk, Exh. No. </w:t>
      </w:r>
      <w:r>
        <w:rPr>
          <w:lang w:val="en-US"/>
        </w:rPr>
        <w:t>KGS-38CX (Company Response to Boise DR 17.1(a)</w:t>
      </w:r>
      <w:r w:rsidRPr="003C3C16">
        <w:rPr>
          <w:lang w:val="en-US"/>
        </w:rPr>
        <w:t>).</w:t>
      </w:r>
    </w:p>
  </w:footnote>
  <w:footnote w:id="24">
    <w:p w:rsidR="005015CC" w:rsidRPr="00851324" w:rsidRDefault="005015CC" w:rsidP="009678A8">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(Company Response to Boise DR 17.1(b)</w:t>
      </w:r>
      <w:r w:rsidRPr="003C3C16">
        <w:rPr>
          <w:lang w:val="en-US"/>
        </w:rPr>
        <w:t>)</w:t>
      </w:r>
      <w:r>
        <w:rPr>
          <w:lang w:val="en-US"/>
        </w:rPr>
        <w:t xml:space="preserve">.  </w:t>
      </w:r>
    </w:p>
  </w:footnote>
  <w:footnote w:id="25">
    <w:p w:rsidR="005015CC" w:rsidRPr="00851324" w:rsidRDefault="005015CC" w:rsidP="009678A8">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30 (emphasis added).  </w:t>
      </w:r>
    </w:p>
  </w:footnote>
  <w:footnote w:id="26">
    <w:p w:rsidR="005015CC" w:rsidRPr="00851324" w:rsidRDefault="005015CC" w:rsidP="005F28CD">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12.  </w:t>
      </w:r>
    </w:p>
  </w:footnote>
  <w:footnote w:id="27">
    <w:p w:rsidR="005015CC" w:rsidRPr="00851324" w:rsidRDefault="005015CC" w:rsidP="005F28CD">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31.  </w:t>
      </w:r>
    </w:p>
  </w:footnote>
  <w:footnote w:id="28">
    <w:p w:rsidR="005015CC" w:rsidRPr="00851324" w:rsidRDefault="005015CC" w:rsidP="005F28CD">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Gorman, Exh. No. MPG-1Tr at 46:1-2.</w:t>
      </w:r>
    </w:p>
  </w:footnote>
  <w:footnote w:id="29">
    <w:p w:rsidR="005015CC" w:rsidRPr="00851324" w:rsidRDefault="005015CC" w:rsidP="002825F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p. 15, ¶ 42.  </w:t>
      </w:r>
    </w:p>
  </w:footnote>
  <w:footnote w:id="30">
    <w:p w:rsidR="005015CC" w:rsidRPr="00851324" w:rsidRDefault="005015CC" w:rsidP="002825F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12.  </w:t>
      </w:r>
    </w:p>
  </w:footnote>
  <w:footnote w:id="31">
    <w:p w:rsidR="005015CC" w:rsidRPr="003C3C16" w:rsidRDefault="005015CC" w:rsidP="002825F5">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230:13-15</w:t>
      </w:r>
      <w:r w:rsidRPr="003C3C16">
        <w:t>.</w:t>
      </w:r>
    </w:p>
  </w:footnote>
  <w:footnote w:id="32">
    <w:p w:rsidR="005015CC" w:rsidRPr="003C3C16" w:rsidRDefault="005015CC" w:rsidP="00A71508">
      <w:pPr>
        <w:pStyle w:val="FootnoteText"/>
        <w:ind w:left="720" w:right="-180" w:hanging="720"/>
      </w:pPr>
      <w:r w:rsidRPr="003C3C16">
        <w:rPr>
          <w:rStyle w:val="FootnoteReference"/>
          <w:u w:val="single"/>
        </w:rPr>
        <w:footnoteRef/>
      </w:r>
      <w:r w:rsidRPr="003C3C16">
        <w:rPr>
          <w:vertAlign w:val="superscript"/>
        </w:rPr>
        <w:t>/</w:t>
      </w:r>
      <w:r w:rsidRPr="003C3C16">
        <w:tab/>
      </w:r>
      <w:r w:rsidRPr="00A71508">
        <w:rPr>
          <w:u w:val="single"/>
          <w:lang w:val="en-US"/>
        </w:rPr>
        <w:t>Id.</w:t>
      </w:r>
      <w:r>
        <w:rPr>
          <w:lang w:val="en-US"/>
        </w:rPr>
        <w:t xml:space="preserve"> at 230:22-231:3</w:t>
      </w:r>
      <w:r w:rsidRPr="003C3C16">
        <w:t>.</w:t>
      </w:r>
    </w:p>
  </w:footnote>
  <w:footnote w:id="33">
    <w:p w:rsidR="005015CC" w:rsidRPr="00851324" w:rsidRDefault="005015CC" w:rsidP="002D013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30.  </w:t>
      </w:r>
    </w:p>
  </w:footnote>
  <w:footnote w:id="34">
    <w:p w:rsidR="005015CC" w:rsidRPr="00851324" w:rsidRDefault="005015CC" w:rsidP="00D170BE">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42.  </w:t>
      </w:r>
    </w:p>
  </w:footnote>
  <w:footnote w:id="35">
    <w:p w:rsidR="005015CC" w:rsidRPr="003C3C16" w:rsidRDefault="005015CC" w:rsidP="0098198A">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228:8-16</w:t>
      </w:r>
      <w:r w:rsidRPr="003C3C16">
        <w:t>.</w:t>
      </w:r>
    </w:p>
  </w:footnote>
  <w:footnote w:id="36">
    <w:p w:rsidR="005015CC" w:rsidRPr="00851324" w:rsidRDefault="005015CC" w:rsidP="0098198A">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42 (emphasis added).  </w:t>
      </w:r>
    </w:p>
  </w:footnote>
  <w:footnote w:id="37">
    <w:p w:rsidR="005015CC" w:rsidRPr="00851324" w:rsidRDefault="005015CC" w:rsidP="00517A29">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42.  </w:t>
      </w:r>
    </w:p>
  </w:footnote>
  <w:footnote w:id="38">
    <w:p w:rsidR="005015CC" w:rsidRPr="00851324" w:rsidRDefault="005015CC" w:rsidP="00FE7A0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44.  </w:t>
      </w:r>
    </w:p>
  </w:footnote>
  <w:footnote w:id="39">
    <w:p w:rsidR="005015CC" w:rsidRPr="00851324" w:rsidRDefault="005015CC" w:rsidP="00FE7A0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Boise Brief at ¶¶ 49-50.  </w:t>
      </w:r>
    </w:p>
  </w:footnote>
  <w:footnote w:id="40">
    <w:p w:rsidR="005015CC" w:rsidRPr="00851324" w:rsidRDefault="005015CC" w:rsidP="008E26B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44 </w:t>
      </w:r>
      <w:r w:rsidR="00BC6E9C">
        <w:rPr>
          <w:lang w:val="en-US"/>
        </w:rPr>
        <w:t xml:space="preserve">&amp; </w:t>
      </w:r>
      <w:r>
        <w:rPr>
          <w:lang w:val="en-US"/>
        </w:rPr>
        <w:t xml:space="preserve">n.103.  </w:t>
      </w:r>
    </w:p>
  </w:footnote>
  <w:footnote w:id="41">
    <w:p w:rsidR="005015CC" w:rsidRPr="00851324" w:rsidRDefault="005015CC" w:rsidP="008E26B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12.  </w:t>
      </w:r>
    </w:p>
  </w:footnote>
  <w:footnote w:id="42">
    <w:p w:rsidR="005015CC" w:rsidRPr="00851324" w:rsidRDefault="005015CC" w:rsidP="00A7005D">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DB5595">
        <w:rPr>
          <w:u w:val="single"/>
          <w:lang w:val="en-US"/>
        </w:rPr>
        <w:t>Id.</w:t>
      </w:r>
      <w:r>
        <w:rPr>
          <w:lang w:val="en-US"/>
        </w:rPr>
        <w:t xml:space="preserve"> at ¶ 46.  </w:t>
      </w:r>
    </w:p>
  </w:footnote>
  <w:footnote w:id="43">
    <w:p w:rsidR="005015CC" w:rsidRPr="00851324" w:rsidRDefault="005015CC" w:rsidP="00033854">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Boise Brief at ¶¶ 47-48.  </w:t>
      </w:r>
    </w:p>
  </w:footnote>
  <w:footnote w:id="44">
    <w:p w:rsidR="005015CC" w:rsidRPr="003C3C16" w:rsidRDefault="005015CC" w:rsidP="00033854">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Commissioner Goltz, TR. 328:17-329:3</w:t>
      </w:r>
      <w:r w:rsidRPr="003C3C16">
        <w:t>.</w:t>
      </w:r>
    </w:p>
  </w:footnote>
  <w:footnote w:id="45">
    <w:p w:rsidR="005015CC" w:rsidRPr="003C3C16" w:rsidRDefault="005015CC" w:rsidP="008C605B">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Williams, TR. 328:1-2</w:t>
      </w:r>
      <w:r w:rsidRPr="003C3C16">
        <w:t>.</w:t>
      </w:r>
    </w:p>
  </w:footnote>
  <w:footnote w:id="46">
    <w:p w:rsidR="005015CC" w:rsidRPr="003C3C16" w:rsidRDefault="005015CC" w:rsidP="008C605B">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Commissioner Goltz, TR. 328:3-4</w:t>
      </w:r>
      <w:r w:rsidRPr="003C3C16">
        <w:t>.</w:t>
      </w:r>
    </w:p>
  </w:footnote>
  <w:footnote w:id="47">
    <w:p w:rsidR="005015CC" w:rsidRPr="00851324" w:rsidRDefault="005015CC" w:rsidP="000E3EC9">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52.  </w:t>
      </w:r>
    </w:p>
  </w:footnote>
  <w:footnote w:id="48">
    <w:p w:rsidR="005015CC" w:rsidRPr="003C3C16" w:rsidRDefault="005015CC" w:rsidP="005869C1">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312:19-24</w:t>
      </w:r>
      <w:r w:rsidRPr="003C3C16">
        <w:t>.</w:t>
      </w:r>
    </w:p>
  </w:footnote>
  <w:footnote w:id="49">
    <w:p w:rsidR="005015CC" w:rsidRPr="00851324" w:rsidRDefault="005015CC" w:rsidP="000E3EC9">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52, n.124.  </w:t>
      </w:r>
    </w:p>
  </w:footnote>
  <w:footnote w:id="50">
    <w:p w:rsidR="005015CC" w:rsidRPr="003C3C16" w:rsidRDefault="005015CC" w:rsidP="003710D0">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230:22-231:3</w:t>
      </w:r>
      <w:r w:rsidRPr="003C3C16">
        <w:t>.</w:t>
      </w:r>
    </w:p>
  </w:footnote>
  <w:footnote w:id="51">
    <w:p w:rsidR="005015CC" w:rsidRPr="00851324" w:rsidRDefault="005015CC" w:rsidP="00B66EE4">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Gorman, Exh. No. MPG-24CX at 2:29-31.</w:t>
      </w:r>
    </w:p>
  </w:footnote>
  <w:footnote w:id="52">
    <w:p w:rsidR="005015CC" w:rsidRPr="00851324" w:rsidRDefault="005015CC" w:rsidP="007D6C18">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52.  </w:t>
      </w:r>
    </w:p>
  </w:footnote>
  <w:footnote w:id="53">
    <w:p w:rsidR="005015CC" w:rsidRPr="00851324" w:rsidRDefault="005015CC" w:rsidP="005869C1">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 48-49.</w:t>
      </w:r>
    </w:p>
  </w:footnote>
  <w:footnote w:id="54">
    <w:p w:rsidR="005015CC" w:rsidRPr="00851324" w:rsidRDefault="005015CC" w:rsidP="001C6401">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53.  </w:t>
      </w:r>
    </w:p>
  </w:footnote>
  <w:footnote w:id="55">
    <w:p w:rsidR="005015CC" w:rsidRPr="003C3C16" w:rsidRDefault="005015CC" w:rsidP="00BD3BA3">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312:3-13; Boise Brief at ¶ 47</w:t>
      </w:r>
      <w:r w:rsidRPr="003C3C16">
        <w:t>.</w:t>
      </w:r>
    </w:p>
  </w:footnote>
  <w:footnote w:id="56">
    <w:p w:rsidR="005015CC" w:rsidRPr="003C3C16" w:rsidRDefault="005015CC" w:rsidP="00E13A89">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Commissioner Goltz &amp; Williams, TR. 326:24- 329:3; Williams, Exh. No. BNW-6 at 3</w:t>
      </w:r>
      <w:r w:rsidRPr="003C3C16">
        <w:t>.</w:t>
      </w:r>
    </w:p>
  </w:footnote>
  <w:footnote w:id="57">
    <w:p w:rsidR="005015CC" w:rsidRPr="00851324" w:rsidRDefault="005015CC" w:rsidP="005957AE">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54.  As to the accusation that the FERC decision was one “which Mr. Gorman failed to produce in discovery,” Mr. Gorman explained at hearing that he did not file testimony in support of his adjustment in that case, and did not produce it in discovery because it concerned a complaint that had not yet been set for hearing.  Gorman, TR. 211:11-17.  </w:t>
      </w:r>
    </w:p>
  </w:footnote>
  <w:footnote w:id="58">
    <w:p w:rsidR="005015CC" w:rsidRPr="00851324" w:rsidRDefault="005015CC" w:rsidP="005957AE">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Pacific Power Brief at ¶ 12 (</w:t>
      </w:r>
      <w:r w:rsidRPr="005957AE">
        <w:rPr>
          <w:lang w:val="en-US"/>
        </w:rPr>
        <w:t>i</w:t>
      </w:r>
      <w:r>
        <w:rPr>
          <w:lang w:val="en-US"/>
        </w:rPr>
        <w:t>nternal quotations and citation</w:t>
      </w:r>
      <w:r w:rsidRPr="005957AE">
        <w:rPr>
          <w:lang w:val="en-US"/>
        </w:rPr>
        <w:t xml:space="preserve"> omitted</w:t>
      </w:r>
      <w:r>
        <w:rPr>
          <w:lang w:val="en-US"/>
        </w:rPr>
        <w:t xml:space="preserve">).  </w:t>
      </w:r>
    </w:p>
  </w:footnote>
  <w:footnote w:id="59">
    <w:p w:rsidR="005015CC" w:rsidRPr="00851324" w:rsidRDefault="005015CC" w:rsidP="00E96F78">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E96F78">
        <w:rPr>
          <w:u w:val="single"/>
          <w:lang w:val="en-US"/>
        </w:rPr>
        <w:t>Id.</w:t>
      </w:r>
      <w:r>
        <w:rPr>
          <w:lang w:val="en-US"/>
        </w:rPr>
        <w:t xml:space="preserve"> at ¶ 54 (</w:t>
      </w:r>
      <w:r w:rsidRPr="00E96F78">
        <w:rPr>
          <w:u w:val="single"/>
          <w:lang w:val="en-US"/>
        </w:rPr>
        <w:t>quoting</w:t>
      </w:r>
      <w:r>
        <w:rPr>
          <w:lang w:val="en-US"/>
        </w:rPr>
        <w:t xml:space="preserve"> </w:t>
      </w:r>
      <w:r>
        <w:rPr>
          <w:u w:val="single"/>
          <w:lang w:val="en-US"/>
        </w:rPr>
        <w:t xml:space="preserve">Assoc. of Bus. Advocating Tariff Equity, </w:t>
      </w:r>
      <w:r w:rsidRPr="009C1900">
        <w:rPr>
          <w:i/>
          <w:u w:val="single"/>
          <w:lang w:val="en-US"/>
        </w:rPr>
        <w:t>et al.</w:t>
      </w:r>
      <w:r>
        <w:rPr>
          <w:u w:val="single"/>
          <w:lang w:val="en-US"/>
        </w:rPr>
        <w:t xml:space="preserve"> v. Midcontinent Indep. Sys. Operator, Inc., </w:t>
      </w:r>
      <w:r w:rsidRPr="009C1900">
        <w:rPr>
          <w:i/>
          <w:u w:val="single"/>
          <w:lang w:val="en-US"/>
        </w:rPr>
        <w:t>et al.</w:t>
      </w:r>
      <w:r>
        <w:rPr>
          <w:lang w:val="en-US"/>
        </w:rPr>
        <w:t>, 148 F.E.R.C</w:t>
      </w:r>
      <w:r w:rsidR="005074FC">
        <w:rPr>
          <w:lang w:val="en-US"/>
        </w:rPr>
        <w:t>.</w:t>
      </w:r>
      <w:r>
        <w:rPr>
          <w:lang w:val="en-US"/>
        </w:rPr>
        <w:t xml:space="preserve"> ¶ 61,049, ¶ 194 (Oct. 16, 2014)).  </w:t>
      </w:r>
    </w:p>
  </w:footnote>
  <w:footnote w:id="60">
    <w:p w:rsidR="005015CC" w:rsidRPr="00851324" w:rsidRDefault="005015CC" w:rsidP="00901A17">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E96F78">
        <w:rPr>
          <w:u w:val="single"/>
          <w:lang w:val="en-US"/>
        </w:rPr>
        <w:t>Id.</w:t>
      </w:r>
      <w:r>
        <w:rPr>
          <w:lang w:val="en-US"/>
        </w:rPr>
        <w:t xml:space="preserve"> at ¶ 50.  </w:t>
      </w:r>
    </w:p>
  </w:footnote>
  <w:footnote w:id="61">
    <w:p w:rsidR="005015CC" w:rsidRPr="003C3C16" w:rsidRDefault="005015CC" w:rsidP="004A7563">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Hill, TR. 324:1-7</w:t>
      </w:r>
      <w:r w:rsidRPr="003C3C16">
        <w:t>.</w:t>
      </w:r>
    </w:p>
  </w:footnote>
  <w:footnote w:id="62">
    <w:p w:rsidR="005015CC" w:rsidRPr="003C3C16" w:rsidRDefault="005015CC" w:rsidP="004E6B13">
      <w:pPr>
        <w:pStyle w:val="FootnoteText"/>
        <w:ind w:left="720" w:right="-180" w:hanging="720"/>
      </w:pPr>
      <w:r w:rsidRPr="003C3C16">
        <w:rPr>
          <w:rStyle w:val="FootnoteReference"/>
          <w:u w:val="single"/>
        </w:rPr>
        <w:footnoteRef/>
      </w:r>
      <w:r w:rsidRPr="003C3C16">
        <w:rPr>
          <w:vertAlign w:val="superscript"/>
        </w:rPr>
        <w:t>/</w:t>
      </w:r>
      <w:r w:rsidRPr="003C3C16">
        <w:tab/>
      </w:r>
      <w:r w:rsidRPr="004E6B13">
        <w:rPr>
          <w:u w:val="single"/>
          <w:lang w:val="en-US"/>
        </w:rPr>
        <w:t>Id.</w:t>
      </w:r>
      <w:r>
        <w:rPr>
          <w:lang w:val="en-US"/>
        </w:rPr>
        <w:t xml:space="preserve"> at 324:11-17</w:t>
      </w:r>
      <w:r w:rsidRPr="003C3C16">
        <w:t>.</w:t>
      </w:r>
    </w:p>
  </w:footnote>
  <w:footnote w:id="63">
    <w:p w:rsidR="005015CC" w:rsidRPr="00851324" w:rsidRDefault="005015CC" w:rsidP="008D6611">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55.  </w:t>
      </w:r>
    </w:p>
  </w:footnote>
  <w:footnote w:id="64">
    <w:p w:rsidR="005015CC" w:rsidRPr="003C3C16" w:rsidRDefault="005015CC" w:rsidP="008D6611">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312:19-24</w:t>
      </w:r>
      <w:r w:rsidRPr="003C3C16">
        <w:t>.</w:t>
      </w:r>
    </w:p>
  </w:footnote>
  <w:footnote w:id="65">
    <w:p w:rsidR="005015CC" w:rsidRPr="00851324" w:rsidRDefault="005015CC" w:rsidP="008D6611">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 48-49.</w:t>
      </w:r>
    </w:p>
  </w:footnote>
  <w:footnote w:id="66">
    <w:p w:rsidR="005015CC" w:rsidRPr="00851324" w:rsidRDefault="005015CC" w:rsidP="00DB4FE9">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5015CC">
        <w:rPr>
          <w:u w:val="single"/>
          <w:lang w:val="en-US"/>
        </w:rPr>
        <w:t>Id.</w:t>
      </w:r>
      <w:r>
        <w:rPr>
          <w:lang w:val="en-US"/>
        </w:rPr>
        <w:t xml:space="preserve"> at ¶ 51.</w:t>
      </w:r>
    </w:p>
  </w:footnote>
  <w:footnote w:id="67">
    <w:p w:rsidR="005015CC" w:rsidRPr="005015CC" w:rsidRDefault="005015CC">
      <w:pPr>
        <w:pStyle w:val="FootnoteText"/>
        <w:rPr>
          <w:u w:val="single"/>
          <w:lang w:val="en-US"/>
        </w:rPr>
      </w:pPr>
      <w:r w:rsidRPr="005015CC">
        <w:rPr>
          <w:rStyle w:val="FootnoteReference"/>
          <w:u w:val="single"/>
        </w:rPr>
        <w:footnoteRef/>
      </w:r>
      <w:r w:rsidRPr="005015CC">
        <w:rPr>
          <w:vertAlign w:val="superscript"/>
          <w:lang w:val="en-US"/>
        </w:rPr>
        <w:t>/</w:t>
      </w:r>
      <w:r w:rsidRPr="005015CC">
        <w:rPr>
          <w:vertAlign w:val="superscript"/>
        </w:rPr>
        <w:t xml:space="preserve"> </w:t>
      </w:r>
      <w:r>
        <w:rPr>
          <w:vertAlign w:val="superscript"/>
          <w:lang w:val="en-US"/>
        </w:rPr>
        <w:tab/>
      </w:r>
      <w:r>
        <w:rPr>
          <w:lang w:val="en-US"/>
        </w:rPr>
        <w:t>Pacific Power Brief at ¶ 9.</w:t>
      </w:r>
    </w:p>
  </w:footnote>
  <w:footnote w:id="68">
    <w:p w:rsidR="005015CC" w:rsidRPr="003C3C16" w:rsidRDefault="005015CC" w:rsidP="00172649">
      <w:pPr>
        <w:pStyle w:val="FootnoteText"/>
        <w:ind w:left="720" w:hanging="720"/>
        <w:rPr>
          <w:lang w:val="en-US"/>
        </w:rPr>
      </w:pPr>
      <w:r w:rsidRPr="003C3C16">
        <w:rPr>
          <w:rStyle w:val="FootnoteReference"/>
          <w:u w:val="single"/>
        </w:rPr>
        <w:footnoteRef/>
      </w:r>
      <w:r w:rsidRPr="007E4CB2">
        <w:rPr>
          <w:vertAlign w:val="superscript"/>
        </w:rPr>
        <w:t>/</w:t>
      </w:r>
      <w:r w:rsidRPr="003C3C16">
        <w:t xml:space="preserve"> </w:t>
      </w:r>
      <w:r w:rsidRPr="003C3C16">
        <w:rPr>
          <w:lang w:val="en-US"/>
        </w:rPr>
        <w:tab/>
      </w:r>
      <w:r w:rsidRPr="003C3C16">
        <w:rPr>
          <w:u w:val="single"/>
          <w:lang w:val="en-US"/>
        </w:rPr>
        <w:t>Re Application of Rocky Mountain P</w:t>
      </w:r>
      <w:r>
        <w:rPr>
          <w:u w:val="single"/>
          <w:lang w:val="en-US"/>
        </w:rPr>
        <w:t>ower for Approval of a General R</w:t>
      </w:r>
      <w:r w:rsidRPr="003C3C16">
        <w:rPr>
          <w:u w:val="single"/>
          <w:lang w:val="en-US"/>
        </w:rPr>
        <w:t>ate Increase</w:t>
      </w:r>
      <w:r w:rsidRPr="003C3C16">
        <w:rPr>
          <w:lang w:val="en-US"/>
        </w:rPr>
        <w:t xml:space="preserve">, </w:t>
      </w:r>
      <w:r>
        <w:rPr>
          <w:lang w:val="en-US"/>
        </w:rPr>
        <w:t xml:space="preserve">Wyoming PSC Docket No. 20000-405-ER-11 </w:t>
      </w:r>
      <w:r>
        <w:rPr>
          <w:i/>
          <w:lang w:val="en-US"/>
        </w:rPr>
        <w:t>et al.</w:t>
      </w:r>
      <w:r w:rsidRPr="003C3C16">
        <w:rPr>
          <w:lang w:val="en-US"/>
        </w:rPr>
        <w:t xml:space="preserve">, Order </w:t>
      </w:r>
      <w:r>
        <w:rPr>
          <w:lang w:val="en-US"/>
        </w:rPr>
        <w:t xml:space="preserve">Approving Stipulation </w:t>
      </w:r>
      <w:r w:rsidRPr="003C3C16">
        <w:rPr>
          <w:lang w:val="en-US"/>
        </w:rPr>
        <w:t xml:space="preserve">at </w:t>
      </w:r>
      <w:r>
        <w:rPr>
          <w:lang w:val="en-US"/>
        </w:rPr>
        <w:t>App. A, ¶ 14 (Oct. 8, 2012</w:t>
      </w:r>
      <w:r w:rsidRPr="003C3C16">
        <w:rPr>
          <w:lang w:val="en-US"/>
        </w:rPr>
        <w:t>).</w:t>
      </w:r>
    </w:p>
  </w:footnote>
  <w:footnote w:id="69">
    <w:p w:rsidR="005015CC" w:rsidRPr="00533734" w:rsidRDefault="005015CC" w:rsidP="00533734">
      <w:pPr>
        <w:pStyle w:val="FootnoteText"/>
        <w:ind w:left="720" w:hanging="720"/>
        <w:rPr>
          <w:u w:val="single"/>
        </w:rPr>
      </w:pPr>
      <w:r w:rsidRPr="003C3C16">
        <w:rPr>
          <w:rStyle w:val="FootnoteReference"/>
          <w:u w:val="single"/>
        </w:rPr>
        <w:footnoteRef/>
      </w:r>
      <w:r w:rsidRPr="007E4CB2">
        <w:rPr>
          <w:vertAlign w:val="superscript"/>
        </w:rPr>
        <w:t>/</w:t>
      </w:r>
      <w:r w:rsidRPr="003C3C16">
        <w:t xml:space="preserve"> </w:t>
      </w:r>
      <w:r w:rsidRPr="003C3C16">
        <w:rPr>
          <w:lang w:val="en-US"/>
        </w:rPr>
        <w:tab/>
      </w:r>
      <w:r w:rsidRPr="005015CC">
        <w:rPr>
          <w:u w:val="single"/>
          <w:lang w:val="en-US"/>
        </w:rPr>
        <w:t>Compare</w:t>
      </w:r>
      <w:r>
        <w:rPr>
          <w:lang w:val="en-US"/>
        </w:rPr>
        <w:t xml:space="preserve"> Pacific Power Brief at ¶ 9</w:t>
      </w:r>
      <w:r w:rsidR="00B10453">
        <w:rPr>
          <w:lang w:val="en-US"/>
        </w:rPr>
        <w:t>,</w:t>
      </w:r>
      <w:r>
        <w:rPr>
          <w:lang w:val="en-US"/>
        </w:rPr>
        <w:t xml:space="preserve"> </w:t>
      </w:r>
      <w:r w:rsidRPr="005015CC">
        <w:rPr>
          <w:u w:val="single"/>
          <w:lang w:val="en-US"/>
        </w:rPr>
        <w:t>with</w:t>
      </w:r>
      <w:r>
        <w:rPr>
          <w:lang w:val="en-US"/>
        </w:rPr>
        <w:t xml:space="preserve"> </w:t>
      </w:r>
      <w:r w:rsidRPr="003C3C16">
        <w:rPr>
          <w:u w:val="single"/>
          <w:lang w:val="en-US"/>
        </w:rPr>
        <w:t>Re Application of Rocky Mountain P</w:t>
      </w:r>
      <w:r>
        <w:rPr>
          <w:u w:val="single"/>
          <w:lang w:val="en-US"/>
        </w:rPr>
        <w:t xml:space="preserve">ower for </w:t>
      </w:r>
      <w:r>
        <w:rPr>
          <w:u w:val="single"/>
        </w:rPr>
        <w:t>for Authority to Increase its</w:t>
      </w:r>
      <w:r>
        <w:rPr>
          <w:u w:val="single"/>
          <w:lang w:val="en-US"/>
        </w:rPr>
        <w:t xml:space="preserve"> </w:t>
      </w:r>
      <w:r w:rsidRPr="00533734">
        <w:rPr>
          <w:u w:val="single"/>
          <w:lang w:val="en-US"/>
        </w:rPr>
        <w:t>Retail Electric Utility Service Rates</w:t>
      </w:r>
      <w:r w:rsidRPr="003C3C16">
        <w:rPr>
          <w:lang w:val="en-US"/>
        </w:rPr>
        <w:t xml:space="preserve">, </w:t>
      </w:r>
      <w:r>
        <w:rPr>
          <w:lang w:val="en-US"/>
        </w:rPr>
        <w:t xml:space="preserve">Utah PSC Docket No. 11-035-200 </w:t>
      </w:r>
      <w:r>
        <w:rPr>
          <w:i/>
          <w:lang w:val="en-US"/>
        </w:rPr>
        <w:t>et al.</w:t>
      </w:r>
      <w:r w:rsidRPr="003C3C16">
        <w:rPr>
          <w:lang w:val="en-US"/>
        </w:rPr>
        <w:t xml:space="preserve">, Order at </w:t>
      </w:r>
      <w:r>
        <w:rPr>
          <w:lang w:val="en-US"/>
        </w:rPr>
        <w:t>p. 10 (Sept. 19, 2012</w:t>
      </w:r>
      <w:r w:rsidRPr="003C3C16">
        <w:rPr>
          <w:lang w:val="en-US"/>
        </w:rPr>
        <w:t>).</w:t>
      </w:r>
    </w:p>
  </w:footnote>
  <w:footnote w:id="70">
    <w:p w:rsidR="005015CC" w:rsidRPr="00851324" w:rsidRDefault="005015CC" w:rsidP="002E11B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Pacific Power Brief at ¶ 11 (</w:t>
      </w:r>
      <w:r w:rsidRPr="002E11B5">
        <w:rPr>
          <w:u w:val="single"/>
          <w:lang w:val="en-US"/>
        </w:rPr>
        <w:t>quoting</w:t>
      </w:r>
      <w:r>
        <w:rPr>
          <w:lang w:val="en-US"/>
        </w:rPr>
        <w:t xml:space="preserve"> Twitchell, TR. 642:2-8).  </w:t>
      </w:r>
    </w:p>
  </w:footnote>
  <w:footnote w:id="71">
    <w:p w:rsidR="005015CC" w:rsidRPr="003C3C16" w:rsidRDefault="005015CC" w:rsidP="002E11B5">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Twitchell, TR. 635:8-19</w:t>
      </w:r>
      <w:r w:rsidRPr="003C3C16">
        <w:t>.</w:t>
      </w:r>
    </w:p>
  </w:footnote>
  <w:footnote w:id="72">
    <w:p w:rsidR="005015CC" w:rsidRPr="00851324" w:rsidRDefault="005015CC" w:rsidP="002577DB">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 11-17.</w:t>
      </w:r>
    </w:p>
  </w:footnote>
  <w:footnote w:id="73">
    <w:p w:rsidR="005015CC" w:rsidRPr="00851324" w:rsidRDefault="005015CC" w:rsidP="002577D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Pacific Power Brief at ¶ 11 (</w:t>
      </w:r>
      <w:r w:rsidRPr="002E11B5">
        <w:rPr>
          <w:u w:val="single"/>
          <w:lang w:val="en-US"/>
        </w:rPr>
        <w:t>quoting</w:t>
      </w:r>
      <w:r>
        <w:rPr>
          <w:lang w:val="en-US"/>
        </w:rPr>
        <w:t xml:space="preserve"> Twitchell, TR. 642:2-8).  </w:t>
      </w:r>
    </w:p>
  </w:footnote>
  <w:footnote w:id="74">
    <w:p w:rsidR="005015CC" w:rsidRPr="00851324" w:rsidRDefault="005015CC" w:rsidP="00287FB1">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287FB1">
        <w:rPr>
          <w:u w:val="single"/>
          <w:lang w:val="en-US"/>
        </w:rPr>
        <w:t>Id.</w:t>
      </w:r>
      <w:r>
        <w:rPr>
          <w:lang w:val="en-US"/>
        </w:rPr>
        <w:t xml:space="preserve"> at ¶ 56.  </w:t>
      </w:r>
    </w:p>
  </w:footnote>
  <w:footnote w:id="75">
    <w:p w:rsidR="005015CC" w:rsidRPr="00851324" w:rsidRDefault="005015CC" w:rsidP="00287FB1">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p. 11.</w:t>
      </w:r>
    </w:p>
  </w:footnote>
  <w:footnote w:id="76">
    <w:p w:rsidR="005015CC" w:rsidRPr="00851324" w:rsidRDefault="005015CC" w:rsidP="00287FB1">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287FB1">
        <w:rPr>
          <w:u w:val="single"/>
          <w:lang w:val="en-US"/>
        </w:rPr>
        <w:t>Id.</w:t>
      </w:r>
      <w:r>
        <w:rPr>
          <w:lang w:val="en-US"/>
        </w:rPr>
        <w:t xml:space="preserve"> at ¶¶ 11-17.  </w:t>
      </w:r>
    </w:p>
  </w:footnote>
  <w:footnote w:id="77">
    <w:p w:rsidR="005015CC" w:rsidRPr="003C3C16" w:rsidRDefault="005015CC" w:rsidP="001E6880">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Gorman, TR. 312:3-13</w:t>
      </w:r>
      <w:r w:rsidRPr="003C3C16">
        <w:t>.</w:t>
      </w:r>
    </w:p>
  </w:footnote>
  <w:footnote w:id="78">
    <w:p w:rsidR="005015CC" w:rsidRPr="00851324" w:rsidRDefault="005015CC" w:rsidP="00087FE3">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123.  </w:t>
      </w:r>
    </w:p>
  </w:footnote>
  <w:footnote w:id="79">
    <w:p w:rsidR="005015CC" w:rsidRPr="00851324" w:rsidRDefault="005015CC" w:rsidP="00A77F17">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Siores, Exh. No. NCS-3 </w:t>
      </w:r>
      <w:r w:rsidR="00B10453">
        <w:rPr>
          <w:lang w:val="en-US"/>
        </w:rPr>
        <w:t xml:space="preserve">at </w:t>
      </w:r>
      <w:r>
        <w:rPr>
          <w:lang w:val="en-US"/>
        </w:rPr>
        <w:t>p. 8.4.2.</w:t>
      </w:r>
    </w:p>
  </w:footnote>
  <w:footnote w:id="80">
    <w:p w:rsidR="005015CC" w:rsidRPr="00851324" w:rsidRDefault="005015CC" w:rsidP="00A77F17">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123.  </w:t>
      </w:r>
    </w:p>
  </w:footnote>
  <w:footnote w:id="81">
    <w:p w:rsidR="005015CC" w:rsidRPr="00851324" w:rsidRDefault="005015CC" w:rsidP="00A77F17">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n.117.</w:t>
      </w:r>
    </w:p>
  </w:footnote>
  <w:footnote w:id="82">
    <w:p w:rsidR="005015CC" w:rsidRPr="00851324" w:rsidRDefault="005015CC" w:rsidP="00315EAC">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287FB1">
        <w:rPr>
          <w:u w:val="single"/>
          <w:lang w:val="en-US"/>
        </w:rPr>
        <w:t>Id.</w:t>
      </w:r>
      <w:r>
        <w:rPr>
          <w:lang w:val="en-US"/>
        </w:rPr>
        <w:t xml:space="preserve"> at ¶ 54.  </w:t>
      </w:r>
    </w:p>
  </w:footnote>
  <w:footnote w:id="83">
    <w:p w:rsidR="005015CC" w:rsidRPr="00851324" w:rsidRDefault="005015CC" w:rsidP="00D34114">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123.  </w:t>
      </w:r>
    </w:p>
  </w:footnote>
  <w:footnote w:id="84">
    <w:p w:rsidR="005015CC" w:rsidRPr="00851324" w:rsidRDefault="005015CC" w:rsidP="00D34114">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287FB1">
        <w:rPr>
          <w:u w:val="single"/>
          <w:lang w:val="en-US"/>
        </w:rPr>
        <w:t>Id.</w:t>
      </w:r>
      <w:r>
        <w:rPr>
          <w:lang w:val="en-US"/>
        </w:rPr>
        <w:t xml:space="preserve"> at ¶ 123 &amp; n.326.  </w:t>
      </w:r>
    </w:p>
  </w:footnote>
  <w:footnote w:id="85">
    <w:p w:rsidR="005015CC" w:rsidRPr="00851324" w:rsidRDefault="005015CC" w:rsidP="00D34114">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 55; Initial Brief of Public Counsel (“PC”) at ¶ 48.</w:t>
      </w:r>
    </w:p>
  </w:footnote>
  <w:footnote w:id="86">
    <w:p w:rsidR="005015CC" w:rsidRPr="00851324" w:rsidRDefault="005015CC" w:rsidP="00541C53">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Boise Brief at ¶¶ 53-58 (excepting the Merwin Fish Collector, which Boise does not oppose).  </w:t>
      </w:r>
    </w:p>
  </w:footnote>
  <w:footnote w:id="87">
    <w:p w:rsidR="005015CC" w:rsidRPr="00851324" w:rsidRDefault="005015CC" w:rsidP="008E6A3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126-27.  </w:t>
      </w:r>
    </w:p>
  </w:footnote>
  <w:footnote w:id="88">
    <w:p w:rsidR="005015CC" w:rsidRPr="00851324" w:rsidRDefault="005015CC" w:rsidP="008E6A3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5015CC">
        <w:rPr>
          <w:u w:val="single"/>
          <w:lang w:val="en-US"/>
        </w:rPr>
        <w:t>Id.</w:t>
      </w:r>
      <w:r>
        <w:rPr>
          <w:lang w:val="en-US"/>
        </w:rPr>
        <w:t xml:space="preserve"> at ¶ 126; </w:t>
      </w:r>
      <w:r w:rsidRPr="009C19E6">
        <w:rPr>
          <w:u w:val="single"/>
          <w:lang w:val="en-US"/>
        </w:rPr>
        <w:t>See</w:t>
      </w:r>
      <w:r>
        <w:rPr>
          <w:lang w:val="en-US"/>
        </w:rPr>
        <w:t xml:space="preserve"> Mullins, Exh. No. BGM-4C (Company Responses to PC DRs 54 and 54 1</w:t>
      </w:r>
      <w:r w:rsidRPr="009C19E6">
        <w:rPr>
          <w:vertAlign w:val="superscript"/>
          <w:lang w:val="en-US"/>
        </w:rPr>
        <w:t>st</w:t>
      </w:r>
      <w:r>
        <w:rPr>
          <w:lang w:val="en-US"/>
        </w:rPr>
        <w:t xml:space="preserve"> Revised, and Attachments PC 54-1 and 54-1 1</w:t>
      </w:r>
      <w:r w:rsidRPr="009C19E6">
        <w:rPr>
          <w:vertAlign w:val="superscript"/>
          <w:lang w:val="en-US"/>
        </w:rPr>
        <w:t>st</w:t>
      </w:r>
      <w:r>
        <w:rPr>
          <w:lang w:val="en-US"/>
        </w:rPr>
        <w:t xml:space="preserve"> Revised). </w:t>
      </w:r>
    </w:p>
  </w:footnote>
  <w:footnote w:id="89">
    <w:p w:rsidR="005015CC" w:rsidRPr="00851324" w:rsidRDefault="005015CC" w:rsidP="008E6A35">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126.  </w:t>
      </w:r>
    </w:p>
  </w:footnote>
  <w:footnote w:id="90">
    <w:p w:rsidR="005015CC" w:rsidRPr="00851324" w:rsidRDefault="005015CC" w:rsidP="00283E70">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Pr>
          <w:u w:val="single"/>
          <w:lang w:val="en-US"/>
        </w:rPr>
        <w:t>Compare</w:t>
      </w:r>
      <w:r>
        <w:rPr>
          <w:lang w:val="en-US"/>
        </w:rPr>
        <w:t xml:space="preserve"> Vail, Exh. No. RAV-1T at 3:1-6:18, </w:t>
      </w:r>
      <w:r w:rsidRPr="002E7BB8">
        <w:rPr>
          <w:u w:val="single"/>
          <w:lang w:val="en-US"/>
        </w:rPr>
        <w:t>with</w:t>
      </w:r>
      <w:r>
        <w:rPr>
          <w:lang w:val="en-US"/>
        </w:rPr>
        <w:t xml:space="preserve"> Vail, Exh. No. RAV-2T at 1:16-5:19.  </w:t>
      </w:r>
    </w:p>
  </w:footnote>
  <w:footnote w:id="91">
    <w:p w:rsidR="005015CC" w:rsidRPr="00851324" w:rsidRDefault="005015CC" w:rsidP="008659A0">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126.  </w:t>
      </w:r>
    </w:p>
  </w:footnote>
  <w:footnote w:id="92">
    <w:p w:rsidR="005015CC" w:rsidRPr="00851324" w:rsidRDefault="005015CC" w:rsidP="008659A0">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 57.</w:t>
      </w:r>
    </w:p>
  </w:footnote>
  <w:footnote w:id="93">
    <w:p w:rsidR="005015CC" w:rsidRPr="00851324" w:rsidRDefault="005015CC" w:rsidP="000C1C1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145.  </w:t>
      </w:r>
    </w:p>
  </w:footnote>
  <w:footnote w:id="94">
    <w:p w:rsidR="005015CC" w:rsidRPr="00851324" w:rsidRDefault="005015CC" w:rsidP="000C1C1B">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 59-60.</w:t>
      </w:r>
    </w:p>
  </w:footnote>
  <w:footnote w:id="95">
    <w:p w:rsidR="005015CC" w:rsidRPr="00851324" w:rsidRDefault="005015CC" w:rsidP="0032272B">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145.  </w:t>
      </w:r>
    </w:p>
  </w:footnote>
  <w:footnote w:id="96">
    <w:p w:rsidR="005015CC" w:rsidRPr="00851324" w:rsidRDefault="005015CC" w:rsidP="0032272B">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Boise Brief at ¶¶ 11-17.</w:t>
      </w:r>
    </w:p>
  </w:footnote>
  <w:footnote w:id="97">
    <w:p w:rsidR="005015CC" w:rsidRPr="00851324" w:rsidRDefault="005015CC" w:rsidP="0032272B">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F14926">
        <w:rPr>
          <w:u w:val="single"/>
          <w:lang w:val="en-US"/>
        </w:rPr>
        <w:t>Id.</w:t>
      </w:r>
    </w:p>
  </w:footnote>
  <w:footnote w:id="98">
    <w:p w:rsidR="005015CC" w:rsidRPr="00851324" w:rsidRDefault="005015CC" w:rsidP="008C0343">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135.  </w:t>
      </w:r>
    </w:p>
  </w:footnote>
  <w:footnote w:id="99">
    <w:p w:rsidR="005015CC" w:rsidRPr="003C3C16" w:rsidRDefault="005015CC" w:rsidP="00FB7A2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u w:val="single"/>
          <w:lang w:val="en-US"/>
        </w:rPr>
        <w:t>Re Application of Rocky Mountain Power for Approval of a General rate Increase</w:t>
      </w:r>
      <w:r w:rsidRPr="003C3C16">
        <w:rPr>
          <w:lang w:val="en-US"/>
        </w:rPr>
        <w:t>, Wyoming PSC Docket No. 200</w:t>
      </w:r>
      <w:r>
        <w:rPr>
          <w:lang w:val="en-US"/>
        </w:rPr>
        <w:t>00-446-ER-14, Order at ¶ 174</w:t>
      </w:r>
      <w:r w:rsidRPr="003C3C16">
        <w:rPr>
          <w:lang w:val="en-US"/>
        </w:rPr>
        <w:t xml:space="preserve"> (Dec. 30, 2014)</w:t>
      </w:r>
      <w:r>
        <w:rPr>
          <w:lang w:val="en-US"/>
        </w:rPr>
        <w:t xml:space="preserve"> (“Wyoming PSC Order”).</w:t>
      </w:r>
    </w:p>
  </w:footnote>
  <w:footnote w:id="100">
    <w:p w:rsidR="005015CC" w:rsidRPr="00851324" w:rsidRDefault="005015CC" w:rsidP="0088236E">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136.  </w:t>
      </w:r>
    </w:p>
  </w:footnote>
  <w:footnote w:id="101">
    <w:p w:rsidR="005015CC" w:rsidRPr="003C3C16" w:rsidRDefault="005015CC" w:rsidP="0088236E">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Wyoming PSC Order at ¶ 45.</w:t>
      </w:r>
    </w:p>
  </w:footnote>
  <w:footnote w:id="102">
    <w:p w:rsidR="005015CC" w:rsidRPr="00851324" w:rsidRDefault="005015CC" w:rsidP="0088236E">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Pacific Power Brief at ¶ 136.  </w:t>
      </w:r>
    </w:p>
  </w:footnote>
  <w:footnote w:id="103">
    <w:p w:rsidR="005015CC" w:rsidRPr="0088236E" w:rsidRDefault="005015CC" w:rsidP="0088236E">
      <w:pPr>
        <w:pStyle w:val="FootnoteText"/>
        <w:rPr>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Mullins, TR. 720:1-7. </w:t>
      </w:r>
    </w:p>
  </w:footnote>
  <w:footnote w:id="104">
    <w:p w:rsidR="005015CC" w:rsidRPr="00851324" w:rsidRDefault="005015CC" w:rsidP="00D608BE">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Boise Brief at ¶ 18 </w:t>
      </w:r>
      <w:r w:rsidR="00CB76EC">
        <w:rPr>
          <w:lang w:val="en-US"/>
        </w:rPr>
        <w:t xml:space="preserve">&amp; </w:t>
      </w:r>
      <w:r>
        <w:rPr>
          <w:lang w:val="en-US"/>
        </w:rPr>
        <w:t>n.27; Staff Brief at ¶¶ 65-70.</w:t>
      </w:r>
    </w:p>
  </w:footnote>
  <w:footnote w:id="105">
    <w:p w:rsidR="005015CC" w:rsidRPr="003C3C16" w:rsidRDefault="005015CC" w:rsidP="00446C59">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97</w:t>
      </w:r>
      <w:r w:rsidRPr="003C3C16">
        <w:rPr>
          <w:lang w:val="en-US"/>
        </w:rPr>
        <w:t>.</w:t>
      </w:r>
    </w:p>
  </w:footnote>
  <w:footnote w:id="106">
    <w:p w:rsidR="005015CC" w:rsidRPr="00851324" w:rsidRDefault="005015CC" w:rsidP="00E06A6C">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r>
      <w:r w:rsidRPr="00EE5473">
        <w:rPr>
          <w:u w:val="single"/>
          <w:lang w:val="en-US"/>
        </w:rPr>
        <w:t>Cf.</w:t>
      </w:r>
      <w:r>
        <w:rPr>
          <w:lang w:val="en-US"/>
        </w:rPr>
        <w:t xml:space="preserve"> Administrative Law Judge (“ALJ”) Moss,</w:t>
      </w:r>
      <w:r w:rsidRPr="00EE5473">
        <w:rPr>
          <w:lang w:val="en-US"/>
        </w:rPr>
        <w:t xml:space="preserve"> </w:t>
      </w:r>
      <w:r>
        <w:rPr>
          <w:lang w:val="en-US"/>
        </w:rPr>
        <w:t xml:space="preserve">TR. 672:2-5 (addressing Public Counsel:  “counsel never hesitates to file papers with us”).  Any burden implicated by non-Company parties filing responsive motions and other “papers” with the Commission pales in comparison to the time, money, and human resources expended on relitigating numerous issues determined against the Company in the 2013 GRC.  </w:t>
      </w:r>
    </w:p>
  </w:footnote>
  <w:footnote w:id="107">
    <w:p w:rsidR="005015CC" w:rsidRPr="00851324" w:rsidRDefault="005015CC" w:rsidP="00C16AB2">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Pacific Power Brief at ¶ 68 (</w:t>
      </w:r>
      <w:r w:rsidRPr="00C16AB2">
        <w:rPr>
          <w:u w:val="single"/>
          <w:lang w:val="en-US"/>
        </w:rPr>
        <w:t>quoting</w:t>
      </w:r>
      <w:r>
        <w:rPr>
          <w:lang w:val="en-US"/>
        </w:rPr>
        <w:t xml:space="preserve"> </w:t>
      </w:r>
      <w:r>
        <w:rPr>
          <w:u w:val="single"/>
          <w:lang w:val="en-US"/>
        </w:rPr>
        <w:t>Indep. Energy Producers Ass’n v. Cal. Pub. Utils. Comm’n</w:t>
      </w:r>
      <w:r>
        <w:rPr>
          <w:lang w:val="en-US"/>
        </w:rPr>
        <w:t>, 36 F.3d 848, 858 (9</w:t>
      </w:r>
      <w:r w:rsidRPr="009C1900">
        <w:rPr>
          <w:vertAlign w:val="superscript"/>
          <w:lang w:val="en-US"/>
        </w:rPr>
        <w:t>th</w:t>
      </w:r>
      <w:r>
        <w:rPr>
          <w:lang w:val="en-US"/>
        </w:rPr>
        <w:t xml:space="preserve"> Cir. 1994)).  </w:t>
      </w:r>
    </w:p>
  </w:footnote>
  <w:footnote w:id="108">
    <w:p w:rsidR="005015CC" w:rsidRPr="003C3C16" w:rsidRDefault="005015CC" w:rsidP="00FD2B8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00CB76EC" w:rsidRPr="00CB76EC">
        <w:rPr>
          <w:u w:val="single"/>
          <w:lang w:val="en-US"/>
        </w:rPr>
        <w:t>Id.</w:t>
      </w:r>
      <w:r>
        <w:rPr>
          <w:lang w:val="en-US"/>
        </w:rPr>
        <w:t xml:space="preserve"> at ¶ 70 (</w:t>
      </w:r>
      <w:r w:rsidRPr="00FD2B80">
        <w:rPr>
          <w:u w:val="single"/>
          <w:lang w:val="en-US"/>
        </w:rPr>
        <w:t>citing</w:t>
      </w:r>
      <w:r>
        <w:rPr>
          <w:lang w:val="en-US"/>
        </w:rPr>
        <w:t xml:space="preserve"> </w:t>
      </w:r>
      <w:r w:rsidRPr="00F2554A">
        <w:rPr>
          <w:u w:val="single"/>
          <w:lang w:val="en-US"/>
        </w:rPr>
        <w:t>WUTC v. Wash. Power Co.</w:t>
      </w:r>
      <w:r>
        <w:rPr>
          <w:lang w:val="en-US"/>
        </w:rPr>
        <w:t>, Cause No. U-83-14, Second Suppl. Order, 1983 Was. UTC LEXIS 11 (Nov. 9, 1983))</w:t>
      </w:r>
      <w:r w:rsidRPr="003C3C16">
        <w:rPr>
          <w:lang w:val="en-US"/>
        </w:rPr>
        <w:t>.</w:t>
      </w:r>
    </w:p>
  </w:footnote>
  <w:footnote w:id="109">
    <w:p w:rsidR="005015CC" w:rsidRPr="003C3C16" w:rsidRDefault="005015CC" w:rsidP="00FD2B8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446C59">
        <w:rPr>
          <w:u w:val="single"/>
          <w:lang w:val="en-US"/>
        </w:rPr>
        <w:t>Id.</w:t>
      </w:r>
      <w:r>
        <w:rPr>
          <w:lang w:val="en-US"/>
        </w:rPr>
        <w:t xml:space="preserve"> </w:t>
      </w:r>
    </w:p>
  </w:footnote>
  <w:footnote w:id="110">
    <w:p w:rsidR="005015CC" w:rsidRPr="003C3C16" w:rsidRDefault="005015CC" w:rsidP="007202D7">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Cause No. U-83-14, Second Suppl. Order, 1983 Was. UTC LEXIS 11 at *25</w:t>
      </w:r>
      <w:r w:rsidRPr="003C3C16">
        <w:rPr>
          <w:lang w:val="en-US"/>
        </w:rPr>
        <w:t>.</w:t>
      </w:r>
    </w:p>
  </w:footnote>
  <w:footnote w:id="111">
    <w:p w:rsidR="005015CC" w:rsidRPr="003C3C16" w:rsidRDefault="005015CC" w:rsidP="007202D7">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71</w:t>
      </w:r>
      <w:r w:rsidRPr="003C3C16">
        <w:rPr>
          <w:lang w:val="en-US"/>
        </w:rPr>
        <w:t>.</w:t>
      </w:r>
    </w:p>
  </w:footnote>
  <w:footnote w:id="112">
    <w:p w:rsidR="005015CC" w:rsidRPr="003C3C16" w:rsidRDefault="005015CC" w:rsidP="00DA36B1">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111, 113</w:t>
      </w:r>
      <w:r w:rsidRPr="003C3C16">
        <w:rPr>
          <w:lang w:val="en-US"/>
        </w:rPr>
        <w:t>.</w:t>
      </w:r>
    </w:p>
  </w:footnote>
  <w:footnote w:id="113">
    <w:p w:rsidR="005015CC" w:rsidRPr="003C3C16" w:rsidRDefault="005015CC" w:rsidP="00611B8B">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u w:val="single"/>
          <w:lang w:val="en-US"/>
        </w:rPr>
        <w:t xml:space="preserve">So. Cal. Edison Co., </w:t>
      </w:r>
      <w:r w:rsidRPr="00D4649A">
        <w:rPr>
          <w:i/>
          <w:u w:val="single"/>
          <w:lang w:val="en-US"/>
        </w:rPr>
        <w:t>et al.</w:t>
      </w:r>
      <w:r>
        <w:rPr>
          <w:lang w:val="en-US"/>
        </w:rPr>
        <w:t xml:space="preserve">, 71 F.E.R.C. </w:t>
      </w:r>
      <w:r w:rsidR="00CB76EC">
        <w:rPr>
          <w:lang w:val="en-US"/>
        </w:rPr>
        <w:t xml:space="preserve">¶ 61,269, </w:t>
      </w:r>
      <w:r>
        <w:rPr>
          <w:lang w:val="en-US"/>
        </w:rPr>
        <w:t xml:space="preserve">62,080 </w:t>
      </w:r>
      <w:r w:rsidR="00CB76EC">
        <w:rPr>
          <w:lang w:val="en-US"/>
        </w:rPr>
        <w:t xml:space="preserve">(June 2, 1995) </w:t>
      </w:r>
      <w:r>
        <w:rPr>
          <w:lang w:val="en-US"/>
        </w:rPr>
        <w:t>(emphasis added)</w:t>
      </w:r>
      <w:r w:rsidRPr="003C3C16">
        <w:rPr>
          <w:lang w:val="en-US"/>
        </w:rPr>
        <w:t>.</w:t>
      </w:r>
    </w:p>
  </w:footnote>
  <w:footnote w:id="114">
    <w:p w:rsidR="005015CC" w:rsidRPr="003C3C16" w:rsidRDefault="005015CC" w:rsidP="00B51E1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102</w:t>
      </w:r>
      <w:r w:rsidRPr="003C3C16">
        <w:rPr>
          <w:lang w:val="en-US"/>
        </w:rPr>
        <w:t>.</w:t>
      </w:r>
    </w:p>
  </w:footnote>
  <w:footnote w:id="115">
    <w:p w:rsidR="005015CC" w:rsidRPr="003C3C16" w:rsidRDefault="005015CC" w:rsidP="00BF146E">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72</w:t>
      </w:r>
      <w:r w:rsidRPr="003C3C16">
        <w:rPr>
          <w:lang w:val="en-US"/>
        </w:rPr>
        <w:t>.</w:t>
      </w:r>
    </w:p>
  </w:footnote>
  <w:footnote w:id="116">
    <w:p w:rsidR="005015CC" w:rsidRPr="003C3C16" w:rsidRDefault="005015CC" w:rsidP="00AA7C54">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98</w:t>
      </w:r>
      <w:r w:rsidRPr="003C3C16">
        <w:rPr>
          <w:lang w:val="en-US"/>
        </w:rPr>
        <w:t>.</w:t>
      </w:r>
    </w:p>
  </w:footnote>
  <w:footnote w:id="117">
    <w:p w:rsidR="005015CC" w:rsidRPr="003C3C16" w:rsidRDefault="005015CC" w:rsidP="00AA7C54">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72</w:t>
      </w:r>
      <w:r w:rsidRPr="003C3C16">
        <w:rPr>
          <w:lang w:val="en-US"/>
        </w:rPr>
        <w:t>.</w:t>
      </w:r>
      <w:r>
        <w:rPr>
          <w:lang w:val="en-US"/>
        </w:rPr>
        <w:t xml:space="preserve">  Pacific Power’s argument here is also in tension with the dormant Commerce Clause arguments presented in briefing.  </w:t>
      </w:r>
      <w:r w:rsidRPr="00C85D0D">
        <w:rPr>
          <w:u w:val="single"/>
          <w:lang w:val="en-US"/>
        </w:rPr>
        <w:t>Id.</w:t>
      </w:r>
      <w:r>
        <w:rPr>
          <w:lang w:val="en-US"/>
        </w:rPr>
        <w:t xml:space="preserve"> at ¶¶ 78-82.</w:t>
      </w:r>
    </w:p>
  </w:footnote>
  <w:footnote w:id="118">
    <w:p w:rsidR="005015CC" w:rsidRPr="003C3C16" w:rsidRDefault="005015CC" w:rsidP="0027146E">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00CB76EC" w:rsidRPr="00CB76EC">
        <w:rPr>
          <w:u w:val="single"/>
          <w:lang w:val="en-US"/>
        </w:rPr>
        <w:t>Id.</w:t>
      </w:r>
      <w:r>
        <w:rPr>
          <w:lang w:val="en-US"/>
        </w:rPr>
        <w:t xml:space="preserve"> at ¶¶ 78-82</w:t>
      </w:r>
      <w:r w:rsidRPr="003C3C16">
        <w:rPr>
          <w:lang w:val="en-US"/>
        </w:rPr>
        <w:t>.</w:t>
      </w:r>
    </w:p>
  </w:footnote>
  <w:footnote w:id="119">
    <w:p w:rsidR="005015CC" w:rsidRPr="003C3C16" w:rsidRDefault="005015CC" w:rsidP="0027146E">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98</w:t>
      </w:r>
      <w:r w:rsidRPr="003C3C16">
        <w:rPr>
          <w:lang w:val="en-US"/>
        </w:rPr>
        <w:t>.</w:t>
      </w:r>
    </w:p>
  </w:footnote>
  <w:footnote w:id="120">
    <w:p w:rsidR="005015CC" w:rsidRPr="003C3C16" w:rsidRDefault="005015CC" w:rsidP="002B2E3B">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111-112</w:t>
      </w:r>
      <w:r w:rsidRPr="003C3C16">
        <w:rPr>
          <w:lang w:val="en-US"/>
        </w:rPr>
        <w:t>.</w:t>
      </w:r>
    </w:p>
  </w:footnote>
  <w:footnote w:id="121">
    <w:p w:rsidR="005015CC" w:rsidRPr="003C3C16" w:rsidRDefault="005015CC" w:rsidP="002B2E3B">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113</w:t>
      </w:r>
      <w:r w:rsidRPr="003C3C16">
        <w:rPr>
          <w:lang w:val="en-US"/>
        </w:rPr>
        <w:t>.</w:t>
      </w:r>
    </w:p>
  </w:footnote>
  <w:footnote w:id="122">
    <w:p w:rsidR="005015CC" w:rsidRPr="003C3C16" w:rsidRDefault="005015CC" w:rsidP="00BC5433">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83</w:t>
      </w:r>
      <w:r w:rsidRPr="003C3C16">
        <w:rPr>
          <w:lang w:val="en-US"/>
        </w:rPr>
        <w:t>.</w:t>
      </w:r>
    </w:p>
  </w:footnote>
  <w:footnote w:id="123">
    <w:p w:rsidR="005015CC" w:rsidRPr="003C3C16" w:rsidRDefault="005015CC" w:rsidP="003A1156">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80</w:t>
      </w:r>
      <w:r w:rsidRPr="003C3C16">
        <w:rPr>
          <w:lang w:val="en-US"/>
        </w:rPr>
        <w:t>.</w:t>
      </w:r>
    </w:p>
  </w:footnote>
  <w:footnote w:id="124">
    <w:p w:rsidR="005015CC" w:rsidRPr="00851324" w:rsidRDefault="005015CC" w:rsidP="0005371A">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Mullins, Exh. No. BGM-1CTr at 30:6-12.</w:t>
      </w:r>
    </w:p>
  </w:footnote>
  <w:footnote w:id="125">
    <w:p w:rsidR="005015CC" w:rsidRPr="003C3C16" w:rsidRDefault="005015CC" w:rsidP="00C6014B">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Duvall, TR. 440:16-17</w:t>
      </w:r>
      <w:r w:rsidRPr="003C3C16">
        <w:t>.</w:t>
      </w:r>
    </w:p>
  </w:footnote>
  <w:footnote w:id="126">
    <w:p w:rsidR="005015CC" w:rsidRPr="003C3C16" w:rsidRDefault="005015CC" w:rsidP="001C213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84</w:t>
      </w:r>
      <w:r w:rsidRPr="003C3C16">
        <w:rPr>
          <w:lang w:val="en-US"/>
        </w:rPr>
        <w:t>.</w:t>
      </w:r>
    </w:p>
  </w:footnote>
  <w:footnote w:id="127">
    <w:p w:rsidR="005015CC" w:rsidRPr="00851324" w:rsidRDefault="005015CC" w:rsidP="00887F84">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Duvall, Exh. No. BR-3 at 2.  </w:t>
      </w:r>
    </w:p>
  </w:footnote>
  <w:footnote w:id="128">
    <w:p w:rsidR="005015CC" w:rsidRPr="003C3C16" w:rsidRDefault="005015CC" w:rsidP="00887F84">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85</w:t>
      </w:r>
      <w:r w:rsidRPr="003C3C16">
        <w:rPr>
          <w:lang w:val="en-US"/>
        </w:rPr>
        <w:t>.</w:t>
      </w:r>
    </w:p>
  </w:footnote>
  <w:footnote w:id="129">
    <w:p w:rsidR="005015CC" w:rsidRPr="003C3C16" w:rsidRDefault="005015CC" w:rsidP="004514C9">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86</w:t>
      </w:r>
      <w:r w:rsidRPr="003C3C16">
        <w:rPr>
          <w:lang w:val="en-US"/>
        </w:rPr>
        <w:t>.</w:t>
      </w:r>
    </w:p>
  </w:footnote>
  <w:footnote w:id="130">
    <w:p w:rsidR="005015CC" w:rsidRPr="003C3C16" w:rsidRDefault="005015CC" w:rsidP="004514C9">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79 (</w:t>
      </w:r>
      <w:r w:rsidRPr="00E925F5">
        <w:rPr>
          <w:u w:val="single"/>
          <w:lang w:val="en-US"/>
        </w:rPr>
        <w:t>quoting</w:t>
      </w:r>
      <w:r>
        <w:rPr>
          <w:lang w:val="en-US"/>
        </w:rPr>
        <w:t xml:space="preserve"> </w:t>
      </w:r>
      <w:r w:rsidRPr="00473E76">
        <w:rPr>
          <w:u w:val="single"/>
          <w:lang w:val="en-US"/>
        </w:rPr>
        <w:t>Pub. Utils. Comm’n of R.I. v. Attleboro Steam &amp; Elec. Co.</w:t>
      </w:r>
      <w:r>
        <w:rPr>
          <w:lang w:val="en-US"/>
        </w:rPr>
        <w:t xml:space="preserve">, 273 U.S. 83, 86 (1927), </w:t>
      </w:r>
      <w:r w:rsidRPr="00473E76">
        <w:rPr>
          <w:i/>
          <w:lang w:val="en-US"/>
        </w:rPr>
        <w:t>abrg’d on other grounds by</w:t>
      </w:r>
      <w:r>
        <w:rPr>
          <w:lang w:val="en-US"/>
        </w:rPr>
        <w:t xml:space="preserve"> </w:t>
      </w:r>
      <w:r w:rsidRPr="00473E76">
        <w:rPr>
          <w:u w:val="single"/>
          <w:lang w:val="en-US"/>
        </w:rPr>
        <w:t>Quill Corp.</w:t>
      </w:r>
      <w:r>
        <w:rPr>
          <w:lang w:val="en-US"/>
        </w:rPr>
        <w:t>, 504 U.S. 298))</w:t>
      </w:r>
      <w:r w:rsidRPr="003C3C16">
        <w:rPr>
          <w:lang w:val="en-US"/>
        </w:rPr>
        <w:t>.</w:t>
      </w:r>
    </w:p>
  </w:footnote>
  <w:footnote w:id="131">
    <w:p w:rsidR="005015CC" w:rsidRPr="003C3C16" w:rsidRDefault="005015CC" w:rsidP="00E925F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86</w:t>
      </w:r>
      <w:r w:rsidRPr="003C3C16">
        <w:rPr>
          <w:lang w:val="en-US"/>
        </w:rPr>
        <w:t>.</w:t>
      </w:r>
    </w:p>
  </w:footnote>
  <w:footnote w:id="132">
    <w:p w:rsidR="005015CC" w:rsidRPr="003C3C16" w:rsidRDefault="005015CC" w:rsidP="00E925F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w:t>
      </w:r>
    </w:p>
  </w:footnote>
  <w:footnote w:id="133">
    <w:p w:rsidR="005015CC" w:rsidRPr="003C3C16" w:rsidRDefault="005015CC" w:rsidP="00E925F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98</w:t>
      </w:r>
      <w:r w:rsidRPr="003C3C16">
        <w:rPr>
          <w:lang w:val="en-US"/>
        </w:rPr>
        <w:t>.</w:t>
      </w:r>
    </w:p>
  </w:footnote>
  <w:footnote w:id="134">
    <w:p w:rsidR="005015CC" w:rsidRPr="003C3C16" w:rsidRDefault="005015CC" w:rsidP="006B0D66">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87-88.</w:t>
      </w:r>
    </w:p>
  </w:footnote>
  <w:footnote w:id="135">
    <w:p w:rsidR="005015CC" w:rsidRPr="003C3C16" w:rsidRDefault="005015CC" w:rsidP="0017475E">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Mullins, TR. 742:17-24</w:t>
      </w:r>
      <w:r w:rsidRPr="003C3C16">
        <w:t>.</w:t>
      </w:r>
    </w:p>
  </w:footnote>
  <w:footnote w:id="136">
    <w:p w:rsidR="005015CC" w:rsidRPr="003C3C16" w:rsidRDefault="005015CC" w:rsidP="0017475E">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Wyoming </w:t>
      </w:r>
      <w:r w:rsidRPr="003C3C16">
        <w:rPr>
          <w:lang w:val="en-US"/>
        </w:rPr>
        <w:t xml:space="preserve">PSC Order at ¶ </w:t>
      </w:r>
      <w:r>
        <w:rPr>
          <w:lang w:val="en-US"/>
        </w:rPr>
        <w:t>184.</w:t>
      </w:r>
    </w:p>
  </w:footnote>
  <w:footnote w:id="137">
    <w:p w:rsidR="005015CC" w:rsidRPr="003C3C16" w:rsidRDefault="005015CC" w:rsidP="00046C2E">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003A1699">
        <w:rPr>
          <w:lang w:val="en-US"/>
        </w:rPr>
        <w:t xml:space="preserve">Pacific Power Brief at ¶ </w:t>
      </w:r>
      <w:r>
        <w:rPr>
          <w:lang w:val="en-US"/>
        </w:rPr>
        <w:t>88.</w:t>
      </w:r>
    </w:p>
  </w:footnote>
  <w:footnote w:id="138">
    <w:p w:rsidR="005015CC" w:rsidRPr="00851324" w:rsidRDefault="005015CC" w:rsidP="0038234C">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ALJ Moss,</w:t>
      </w:r>
      <w:r w:rsidRPr="00EE5473">
        <w:rPr>
          <w:lang w:val="en-US"/>
        </w:rPr>
        <w:t xml:space="preserve"> </w:t>
      </w:r>
      <w:r>
        <w:rPr>
          <w:lang w:val="en-US"/>
        </w:rPr>
        <w:t xml:space="preserve">TR. 367:1-2. </w:t>
      </w:r>
    </w:p>
  </w:footnote>
  <w:footnote w:id="139">
    <w:p w:rsidR="005015CC" w:rsidRPr="003C3C16" w:rsidRDefault="005015CC" w:rsidP="0038234C">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Boise Brief at ¶ 80.</w:t>
      </w:r>
    </w:p>
  </w:footnote>
  <w:footnote w:id="140">
    <w:p w:rsidR="005015CC" w:rsidRPr="003C3C16" w:rsidRDefault="005015CC" w:rsidP="002275CD">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205 (</w:t>
      </w:r>
      <w:r w:rsidRPr="002275CD">
        <w:rPr>
          <w:u w:val="single"/>
          <w:lang w:val="en-US"/>
        </w:rPr>
        <w:t>quoting</w:t>
      </w:r>
      <w:r>
        <w:rPr>
          <w:lang w:val="en-US"/>
        </w:rPr>
        <w:t xml:space="preserve"> </w:t>
      </w:r>
      <w:r w:rsidR="003A1699" w:rsidRPr="003A1699">
        <w:rPr>
          <w:u w:val="single"/>
          <w:lang w:val="en-US"/>
        </w:rPr>
        <w:t>WUTC v. PacifiCorp</w:t>
      </w:r>
      <w:r w:rsidR="003A1699">
        <w:rPr>
          <w:lang w:val="en-US"/>
        </w:rPr>
        <w:t xml:space="preserve">, </w:t>
      </w:r>
      <w:r w:rsidRPr="003C3C16">
        <w:rPr>
          <w:lang w:val="en-US"/>
        </w:rPr>
        <w:t>Docket</w:t>
      </w:r>
      <w:r>
        <w:rPr>
          <w:lang w:val="en-US"/>
        </w:rPr>
        <w:t xml:space="preserve"> No</w:t>
      </w:r>
      <w:r w:rsidRPr="003C3C16">
        <w:rPr>
          <w:lang w:val="en-US"/>
        </w:rPr>
        <w:t>s</w:t>
      </w:r>
      <w:r>
        <w:rPr>
          <w:lang w:val="en-US"/>
        </w:rPr>
        <w:t>.</w:t>
      </w:r>
      <w:r w:rsidRPr="003C3C16">
        <w:rPr>
          <w:lang w:val="en-US"/>
        </w:rPr>
        <w:t xml:space="preserve"> UE-090704 </w:t>
      </w:r>
      <w:r>
        <w:rPr>
          <w:lang w:val="en-US"/>
        </w:rPr>
        <w:t xml:space="preserve">and UG-090705 (consolidated), </w:t>
      </w:r>
      <w:r w:rsidRPr="003C3C16">
        <w:rPr>
          <w:lang w:val="en-US"/>
        </w:rPr>
        <w:t>Order 11</w:t>
      </w:r>
      <w:r>
        <w:rPr>
          <w:lang w:val="en-US"/>
        </w:rPr>
        <w:t xml:space="preserve"> at ¶ 26</w:t>
      </w:r>
      <w:r w:rsidRPr="003C3C16">
        <w:rPr>
          <w:lang w:val="en-US"/>
        </w:rPr>
        <w:t>)</w:t>
      </w:r>
      <w:r w:rsidR="003A1699">
        <w:rPr>
          <w:lang w:val="en-US"/>
        </w:rPr>
        <w:t xml:space="preserve"> (April 17, 2006)</w:t>
      </w:r>
      <w:r w:rsidR="00B10453">
        <w:rPr>
          <w:lang w:val="en-US"/>
        </w:rPr>
        <w:t>)</w:t>
      </w:r>
      <w:r w:rsidRPr="003C3C16">
        <w:rPr>
          <w:lang w:val="en-US"/>
        </w:rPr>
        <w:t>.</w:t>
      </w:r>
    </w:p>
  </w:footnote>
  <w:footnote w:id="141">
    <w:p w:rsidR="005015CC" w:rsidRPr="00851324" w:rsidRDefault="005015CC" w:rsidP="0044599C">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 xml:space="preserve">Duvall, Exh. No. GND-4T at 30:22-23.  </w:t>
      </w:r>
    </w:p>
  </w:footnote>
  <w:footnote w:id="142">
    <w:p w:rsidR="005015CC" w:rsidRPr="003C3C16" w:rsidRDefault="005015CC" w:rsidP="00D369C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93</w:t>
      </w:r>
      <w:r w:rsidRPr="003C3C16">
        <w:rPr>
          <w:lang w:val="en-US"/>
        </w:rPr>
        <w:t>.</w:t>
      </w:r>
    </w:p>
  </w:footnote>
  <w:footnote w:id="143">
    <w:p w:rsidR="005015CC" w:rsidRPr="004805CF" w:rsidRDefault="005015CC" w:rsidP="00D369C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88.</w:t>
      </w:r>
    </w:p>
  </w:footnote>
  <w:footnote w:id="144">
    <w:p w:rsidR="005015CC" w:rsidRPr="004805CF" w:rsidRDefault="005015CC" w:rsidP="00AD603C">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r>
        <w:rPr>
          <w:lang w:val="en-US"/>
        </w:rPr>
        <w:t xml:space="preserve"> at ¶ 94.</w:t>
      </w:r>
    </w:p>
  </w:footnote>
  <w:footnote w:id="145">
    <w:p w:rsidR="005015CC" w:rsidRPr="004805CF" w:rsidRDefault="005015CC" w:rsidP="00AD603C">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5A0FE8">
        <w:rPr>
          <w:u w:val="single"/>
          <w:lang w:val="en-US"/>
        </w:rPr>
        <w:t>Id.</w:t>
      </w:r>
    </w:p>
  </w:footnote>
  <w:footnote w:id="146">
    <w:p w:rsidR="005015CC" w:rsidRPr="003C3C16" w:rsidRDefault="005015CC" w:rsidP="00356D3A">
      <w:pPr>
        <w:pStyle w:val="FootnoteText"/>
        <w:ind w:left="720" w:right="-180" w:hanging="720"/>
      </w:pPr>
      <w:r w:rsidRPr="003C3C16">
        <w:rPr>
          <w:rStyle w:val="FootnoteReference"/>
          <w:u w:val="single"/>
        </w:rPr>
        <w:footnoteRef/>
      </w:r>
      <w:r w:rsidRPr="003C3C16">
        <w:rPr>
          <w:vertAlign w:val="superscript"/>
        </w:rPr>
        <w:t>/</w:t>
      </w:r>
      <w:r w:rsidRPr="003C3C16">
        <w:tab/>
      </w:r>
      <w:r>
        <w:rPr>
          <w:lang w:val="en-US"/>
        </w:rPr>
        <w:t>Boise Brief at ¶ 80</w:t>
      </w:r>
      <w:r w:rsidRPr="003C3C16">
        <w:t>.</w:t>
      </w:r>
    </w:p>
  </w:footnote>
  <w:footnote w:id="147">
    <w:p w:rsidR="005015CC" w:rsidRPr="003C3C16" w:rsidRDefault="005015CC" w:rsidP="00192068">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003A1699" w:rsidRPr="003A1699">
        <w:rPr>
          <w:lang w:val="en-US"/>
        </w:rPr>
        <w:t>Pacific Power Brief</w:t>
      </w:r>
      <w:r>
        <w:rPr>
          <w:lang w:val="en-US"/>
        </w:rPr>
        <w:t xml:space="preserve"> at p. 37, ¶ 99</w:t>
      </w:r>
      <w:r w:rsidRPr="003C3C16">
        <w:rPr>
          <w:lang w:val="en-US"/>
        </w:rPr>
        <w:t>.</w:t>
      </w:r>
    </w:p>
  </w:footnote>
  <w:footnote w:id="148">
    <w:p w:rsidR="005015CC" w:rsidRPr="00851324" w:rsidRDefault="005015CC" w:rsidP="0017179B">
      <w:pPr>
        <w:pStyle w:val="FootnoteText"/>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Mullins, Exh. No. BGM-1CTr at 43:21.</w:t>
      </w:r>
    </w:p>
  </w:footnote>
  <w:footnote w:id="149">
    <w:p w:rsidR="005015CC" w:rsidRPr="003C3C16" w:rsidRDefault="005015CC" w:rsidP="0086446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p. 46</w:t>
      </w:r>
      <w:r w:rsidRPr="003C3C16">
        <w:rPr>
          <w:lang w:val="en-US"/>
        </w:rPr>
        <w:t>.</w:t>
      </w:r>
    </w:p>
  </w:footnote>
  <w:footnote w:id="150">
    <w:p w:rsidR="005015CC" w:rsidRPr="00E27718" w:rsidRDefault="005015CC" w:rsidP="00242526">
      <w:pPr>
        <w:pStyle w:val="FootnoteText"/>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 xml:space="preserve">Boise Brief at ¶ 82 </w:t>
      </w:r>
      <w:r w:rsidR="003A1699">
        <w:rPr>
          <w:lang w:val="en-US"/>
        </w:rPr>
        <w:t xml:space="preserve">&amp; </w:t>
      </w:r>
      <w:r>
        <w:rPr>
          <w:lang w:val="en-US"/>
        </w:rPr>
        <w:t>n.184</w:t>
      </w:r>
      <w:r w:rsidRPr="003C3C16">
        <w:t>.</w:t>
      </w:r>
      <w:r>
        <w:rPr>
          <w:lang w:val="en-US"/>
        </w:rPr>
        <w:t xml:space="preserve">  </w:t>
      </w:r>
    </w:p>
  </w:footnote>
  <w:footnote w:id="151">
    <w:p w:rsidR="005015CC" w:rsidRPr="00DF1451" w:rsidRDefault="005015CC" w:rsidP="00864465">
      <w:pPr>
        <w:pStyle w:val="FootnoteText"/>
        <w:tabs>
          <w:tab w:val="left" w:pos="810"/>
        </w:tabs>
        <w:ind w:left="720" w:hanging="720"/>
        <w:rPr>
          <w:sz w:val="22"/>
          <w:szCs w:val="22"/>
        </w:rPr>
      </w:pPr>
      <w:r w:rsidRPr="00DF1451">
        <w:rPr>
          <w:rStyle w:val="FootnoteReference"/>
          <w:sz w:val="22"/>
          <w:szCs w:val="22"/>
          <w:u w:val="single"/>
        </w:rPr>
        <w:footnoteRef/>
      </w:r>
      <w:r w:rsidRPr="00DF1451">
        <w:rPr>
          <w:sz w:val="22"/>
          <w:szCs w:val="22"/>
          <w:vertAlign w:val="superscript"/>
        </w:rPr>
        <w:t>/</w:t>
      </w:r>
      <w:r w:rsidRPr="00DF1451">
        <w:rPr>
          <w:sz w:val="22"/>
          <w:szCs w:val="22"/>
        </w:rPr>
        <w:tab/>
      </w:r>
      <w:r w:rsidRPr="0061154C">
        <w:rPr>
          <w:lang w:val="en-US"/>
        </w:rPr>
        <w:t>Mullins</w:t>
      </w:r>
      <w:r w:rsidRPr="0061154C">
        <w:t>, Exh. No.</w:t>
      </w:r>
      <w:r w:rsidRPr="0061154C">
        <w:rPr>
          <w:lang w:val="en-US"/>
        </w:rPr>
        <w:t xml:space="preserve"> </w:t>
      </w:r>
      <w:r w:rsidRPr="0061154C">
        <w:t>B</w:t>
      </w:r>
      <w:r w:rsidRPr="0061154C">
        <w:rPr>
          <w:lang w:val="en-US"/>
        </w:rPr>
        <w:t>GM</w:t>
      </w:r>
      <w:r w:rsidRPr="0061154C">
        <w:t>-</w:t>
      </w:r>
      <w:r w:rsidRPr="0061154C">
        <w:rPr>
          <w:lang w:val="en-US"/>
        </w:rPr>
        <w:t>1CT</w:t>
      </w:r>
      <w:r w:rsidR="004B2998">
        <w:rPr>
          <w:lang w:val="en-US"/>
        </w:rPr>
        <w:t>r</w:t>
      </w:r>
      <w:r w:rsidRPr="0061154C">
        <w:rPr>
          <w:lang w:val="en-US"/>
        </w:rPr>
        <w:t xml:space="preserve"> at 45:1-9 (</w:t>
      </w:r>
      <w:r w:rsidRPr="0061154C">
        <w:rPr>
          <w:u w:val="single"/>
          <w:lang w:val="en-US"/>
        </w:rPr>
        <w:t>citing</w:t>
      </w:r>
      <w:r w:rsidRPr="0061154C">
        <w:rPr>
          <w:lang w:val="en-US"/>
        </w:rPr>
        <w:t xml:space="preserve"> Exh. No. BGM-4C at 57 (Company Response to Boise DR 10.5)).</w:t>
      </w:r>
      <w:r w:rsidRPr="0061154C">
        <w:t xml:space="preserve">   </w:t>
      </w:r>
    </w:p>
  </w:footnote>
  <w:footnote w:id="152">
    <w:p w:rsidR="005015CC" w:rsidRPr="00DF1451" w:rsidRDefault="005015CC" w:rsidP="00864465">
      <w:pPr>
        <w:pStyle w:val="FootnoteText"/>
        <w:tabs>
          <w:tab w:val="left" w:pos="810"/>
        </w:tabs>
        <w:ind w:left="720" w:hanging="720"/>
        <w:rPr>
          <w:sz w:val="22"/>
          <w:szCs w:val="22"/>
          <w:lang w:val="en-US"/>
        </w:rPr>
      </w:pPr>
      <w:r w:rsidRPr="00DF1451">
        <w:rPr>
          <w:rStyle w:val="FootnoteReference"/>
          <w:sz w:val="22"/>
          <w:szCs w:val="22"/>
          <w:u w:val="single"/>
        </w:rPr>
        <w:footnoteRef/>
      </w:r>
      <w:r w:rsidRPr="00DF1451">
        <w:rPr>
          <w:sz w:val="22"/>
          <w:szCs w:val="22"/>
          <w:vertAlign w:val="superscript"/>
        </w:rPr>
        <w:t>/</w:t>
      </w:r>
      <w:r w:rsidRPr="00DF1451">
        <w:rPr>
          <w:sz w:val="22"/>
          <w:szCs w:val="22"/>
        </w:rPr>
        <w:tab/>
      </w:r>
      <w:r w:rsidRPr="0061154C">
        <w:t>Duvall, Exh</w:t>
      </w:r>
      <w:r w:rsidRPr="0061154C">
        <w:rPr>
          <w:lang w:val="en-US"/>
        </w:rPr>
        <w:t>.</w:t>
      </w:r>
      <w:r w:rsidRPr="0061154C">
        <w:t xml:space="preserve"> No.</w:t>
      </w:r>
      <w:r w:rsidRPr="0061154C">
        <w:rPr>
          <w:lang w:val="en-US"/>
        </w:rPr>
        <w:t xml:space="preserve"> </w:t>
      </w:r>
      <w:r w:rsidRPr="0061154C">
        <w:t>GND-</w:t>
      </w:r>
      <w:r w:rsidRPr="0061154C">
        <w:rPr>
          <w:lang w:val="en-US"/>
        </w:rPr>
        <w:t>4</w:t>
      </w:r>
      <w:r w:rsidRPr="0061154C">
        <w:t xml:space="preserve">T at </w:t>
      </w:r>
      <w:r w:rsidRPr="0061154C">
        <w:rPr>
          <w:lang w:val="en-US"/>
        </w:rPr>
        <w:t>65:18-21.</w:t>
      </w:r>
      <w:r w:rsidRPr="0061154C">
        <w:t xml:space="preserve">    </w:t>
      </w:r>
    </w:p>
  </w:footnote>
  <w:footnote w:id="153">
    <w:p w:rsidR="005015CC" w:rsidRPr="003C3C16" w:rsidRDefault="005015CC" w:rsidP="00F84DFC">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122</w:t>
      </w:r>
      <w:r w:rsidRPr="003C3C16">
        <w:rPr>
          <w:lang w:val="en-US"/>
        </w:rPr>
        <w:t>.</w:t>
      </w:r>
    </w:p>
  </w:footnote>
  <w:footnote w:id="154">
    <w:p w:rsidR="005015CC" w:rsidRPr="00E27718" w:rsidRDefault="005015CC" w:rsidP="00F84DFC">
      <w:pPr>
        <w:pStyle w:val="FootnoteText"/>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Boise Brief at ¶ 86</w:t>
      </w:r>
      <w:r w:rsidRPr="003C3C16">
        <w:t>.</w:t>
      </w:r>
      <w:r>
        <w:rPr>
          <w:lang w:val="en-US"/>
        </w:rPr>
        <w:t xml:space="preserve">  </w:t>
      </w:r>
    </w:p>
  </w:footnote>
  <w:footnote w:id="155">
    <w:p w:rsidR="005015CC" w:rsidRPr="003C3C16" w:rsidRDefault="005015CC" w:rsidP="00F84DFC">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122</w:t>
      </w:r>
      <w:r w:rsidRPr="003C3C16">
        <w:rPr>
          <w:lang w:val="en-US"/>
        </w:rPr>
        <w:t>.</w:t>
      </w:r>
    </w:p>
  </w:footnote>
  <w:footnote w:id="156">
    <w:p w:rsidR="005015CC" w:rsidRPr="003C3C16" w:rsidRDefault="005015CC" w:rsidP="00AF2D2C">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AF2D2C">
        <w:rPr>
          <w:u w:val="single"/>
          <w:lang w:val="en-US"/>
        </w:rPr>
        <w:t>Id.</w:t>
      </w:r>
      <w:r>
        <w:rPr>
          <w:lang w:val="en-US"/>
        </w:rPr>
        <w:t xml:space="preserve"> at ¶ 122, n.320</w:t>
      </w:r>
      <w:r w:rsidRPr="003C3C16">
        <w:rPr>
          <w:lang w:val="en-US"/>
        </w:rPr>
        <w:t>.</w:t>
      </w:r>
    </w:p>
  </w:footnote>
  <w:footnote w:id="157">
    <w:p w:rsidR="005015CC" w:rsidRPr="003C3C16" w:rsidRDefault="005015CC" w:rsidP="006C3542">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Boise Brief at ¶ 87</w:t>
      </w:r>
      <w:r w:rsidRPr="003C3C16">
        <w:rPr>
          <w:lang w:val="en-US"/>
        </w:rPr>
        <w:t>.</w:t>
      </w:r>
    </w:p>
  </w:footnote>
  <w:footnote w:id="158">
    <w:p w:rsidR="005015CC" w:rsidRPr="003C3C16" w:rsidRDefault="005015CC" w:rsidP="00C27B7D">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114</w:t>
      </w:r>
      <w:r w:rsidRPr="003C3C16">
        <w:rPr>
          <w:lang w:val="en-US"/>
        </w:rPr>
        <w:t>.</w:t>
      </w:r>
      <w:r>
        <w:rPr>
          <w:lang w:val="en-US"/>
        </w:rPr>
        <w:t xml:space="preserve">  Pacific Power cites to the testimony of a witness for the Ind</w:t>
      </w:r>
      <w:r w:rsidR="00BB5B43">
        <w:rPr>
          <w:lang w:val="en-US"/>
        </w:rPr>
        <w:t>ustrial Customers of Northwest U</w:t>
      </w:r>
      <w:r>
        <w:rPr>
          <w:lang w:val="en-US"/>
        </w:rPr>
        <w:t>tilities</w:t>
      </w:r>
      <w:r w:rsidR="00BB5B43">
        <w:rPr>
          <w:lang w:val="en-US"/>
        </w:rPr>
        <w:t xml:space="preserve"> (“ICNU”)</w:t>
      </w:r>
      <w:r>
        <w:rPr>
          <w:lang w:val="en-US"/>
        </w:rPr>
        <w:t xml:space="preserve">, which is not a party to this case.  </w:t>
      </w:r>
      <w:r>
        <w:rPr>
          <w:u w:val="single"/>
          <w:lang w:val="en-US"/>
        </w:rPr>
        <w:t>See i</w:t>
      </w:r>
      <w:r w:rsidRPr="00C27B7D">
        <w:rPr>
          <w:u w:val="single"/>
          <w:lang w:val="en-US"/>
        </w:rPr>
        <w:t>nfra</w:t>
      </w:r>
      <w:r>
        <w:rPr>
          <w:lang w:val="en-US"/>
        </w:rPr>
        <w:t xml:space="preserve"> n</w:t>
      </w:r>
      <w:r w:rsidRPr="009E5581">
        <w:rPr>
          <w:lang w:val="en-US"/>
        </w:rPr>
        <w:t>.</w:t>
      </w:r>
      <w:r w:rsidR="00BB5B43" w:rsidRPr="009E5581">
        <w:rPr>
          <w:lang w:val="en-US"/>
        </w:rPr>
        <w:t>165</w:t>
      </w:r>
      <w:r w:rsidRPr="009E5581">
        <w:rPr>
          <w:lang w:val="en-US"/>
        </w:rPr>
        <w:t>.</w:t>
      </w:r>
    </w:p>
  </w:footnote>
  <w:footnote w:id="159">
    <w:p w:rsidR="005015CC" w:rsidRPr="003C3C16" w:rsidRDefault="005015CC" w:rsidP="00E345CF">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Boise Brief at ¶ 89</w:t>
      </w:r>
      <w:r w:rsidRPr="003C3C16">
        <w:rPr>
          <w:lang w:val="en-US"/>
        </w:rPr>
        <w:t>.</w:t>
      </w:r>
    </w:p>
  </w:footnote>
  <w:footnote w:id="160">
    <w:p w:rsidR="005015CC" w:rsidRPr="003C3C16" w:rsidRDefault="005015CC" w:rsidP="00A32C4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115-116</w:t>
      </w:r>
      <w:r w:rsidRPr="003C3C16">
        <w:rPr>
          <w:lang w:val="en-US"/>
        </w:rPr>
        <w:t>.</w:t>
      </w:r>
    </w:p>
  </w:footnote>
  <w:footnote w:id="161">
    <w:p w:rsidR="005015CC" w:rsidRPr="003C3C16" w:rsidRDefault="005015CC" w:rsidP="00A32C4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AF2D2C">
        <w:rPr>
          <w:u w:val="single"/>
          <w:lang w:val="en-US"/>
        </w:rPr>
        <w:t>Id.</w:t>
      </w:r>
      <w:r>
        <w:rPr>
          <w:lang w:val="en-US"/>
        </w:rPr>
        <w:t xml:space="preserve"> at ¶ 115; Mullins, TR. 749:14-17</w:t>
      </w:r>
      <w:r w:rsidRPr="003C3C16">
        <w:rPr>
          <w:lang w:val="en-US"/>
        </w:rPr>
        <w:t>.</w:t>
      </w:r>
    </w:p>
  </w:footnote>
  <w:footnote w:id="162">
    <w:p w:rsidR="005015CC" w:rsidRPr="003C3C16" w:rsidRDefault="005015CC" w:rsidP="004B21D6">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00BB5B43" w:rsidRPr="00BB5B43">
        <w:rPr>
          <w:lang w:val="en-US"/>
        </w:rPr>
        <w:t>Pacific Power Brief</w:t>
      </w:r>
      <w:r>
        <w:rPr>
          <w:lang w:val="en-US"/>
        </w:rPr>
        <w:t xml:space="preserve"> at ¶ 105</w:t>
      </w:r>
      <w:r w:rsidRPr="003C3C16">
        <w:rPr>
          <w:lang w:val="en-US"/>
        </w:rPr>
        <w:t>.</w:t>
      </w:r>
    </w:p>
  </w:footnote>
  <w:footnote w:id="163">
    <w:p w:rsidR="005015CC" w:rsidRPr="003C3C16" w:rsidRDefault="005015CC" w:rsidP="004B21D6">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Boise Brief at ¶¶ 91, 95</w:t>
      </w:r>
      <w:r w:rsidRPr="003C3C16">
        <w:rPr>
          <w:lang w:val="en-US"/>
        </w:rPr>
        <w:t>.</w:t>
      </w:r>
    </w:p>
  </w:footnote>
  <w:footnote w:id="164">
    <w:p w:rsidR="005015CC" w:rsidRPr="003C3C16" w:rsidRDefault="005015CC" w:rsidP="006774A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108</w:t>
      </w:r>
      <w:r w:rsidRPr="003C3C16">
        <w:rPr>
          <w:lang w:val="en-US"/>
        </w:rPr>
        <w:t>.</w:t>
      </w:r>
    </w:p>
  </w:footnote>
  <w:footnote w:id="165">
    <w:p w:rsidR="005015CC" w:rsidRPr="003C3C16" w:rsidRDefault="005015CC" w:rsidP="002A54BD">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Boise Brief at ¶¶ 91, 94</w:t>
      </w:r>
      <w:r w:rsidRPr="003C3C16">
        <w:rPr>
          <w:lang w:val="en-US"/>
        </w:rPr>
        <w:t>.</w:t>
      </w:r>
    </w:p>
  </w:footnote>
  <w:footnote w:id="166">
    <w:p w:rsidR="005015CC" w:rsidRPr="003C3C16" w:rsidRDefault="005015CC" w:rsidP="005D3E8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 xml:space="preserve">Pacific Power Brief at ¶ 109 </w:t>
      </w:r>
      <w:r w:rsidR="00385969">
        <w:rPr>
          <w:lang w:val="en-US"/>
        </w:rPr>
        <w:t xml:space="preserve">&amp; </w:t>
      </w:r>
      <w:r>
        <w:rPr>
          <w:lang w:val="en-US"/>
        </w:rPr>
        <w:t>n.284</w:t>
      </w:r>
      <w:r w:rsidRPr="003C3C16">
        <w:rPr>
          <w:lang w:val="en-US"/>
        </w:rPr>
        <w:t>.</w:t>
      </w:r>
      <w:r>
        <w:rPr>
          <w:lang w:val="en-US"/>
        </w:rPr>
        <w:t xml:space="preserve">  ICNU is not a party to these proceedings, having never been granted a petition to intervene in any of the four consolidated dockets.  </w:t>
      </w:r>
      <w:r w:rsidRPr="005D3E80">
        <w:rPr>
          <w:u w:val="single"/>
          <w:lang w:val="en-US"/>
        </w:rPr>
        <w:t>See</w:t>
      </w:r>
      <w:r>
        <w:rPr>
          <w:lang w:val="en-US"/>
        </w:rPr>
        <w:t xml:space="preserve"> WAC § 480-07-355(3).  Company counsel’s cross examination statement that, “in fact … they are a party to this proceeding because they filed to intervene in one of the deferral dockets” is a gross misstatement of law and implicates questionable practices in asking a witness to agree to an improperly stated legal proposition.  Mullins, TR. 710:12-14. </w:t>
      </w:r>
    </w:p>
  </w:footnote>
  <w:footnote w:id="167">
    <w:p w:rsidR="005015CC" w:rsidRPr="003C3C16" w:rsidRDefault="005015CC" w:rsidP="0075592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105</w:t>
      </w:r>
      <w:r w:rsidRPr="003C3C16">
        <w:rPr>
          <w:lang w:val="en-US"/>
        </w:rPr>
        <w:t>.</w:t>
      </w:r>
    </w:p>
  </w:footnote>
  <w:footnote w:id="168">
    <w:p w:rsidR="005015CC" w:rsidRPr="00851324" w:rsidRDefault="005015CC" w:rsidP="00755920">
      <w:pPr>
        <w:pStyle w:val="FootnoteText"/>
        <w:ind w:left="720" w:hanging="720"/>
        <w:rPr>
          <w:u w:val="single"/>
          <w:lang w:val="en-US"/>
        </w:rPr>
      </w:pPr>
      <w:r w:rsidRPr="00851324">
        <w:rPr>
          <w:rStyle w:val="FootnoteReference"/>
          <w:u w:val="single"/>
        </w:rPr>
        <w:footnoteRef/>
      </w:r>
      <w:r w:rsidRPr="00851324">
        <w:rPr>
          <w:vertAlign w:val="superscript"/>
          <w:lang w:val="en-US"/>
        </w:rPr>
        <w:t>/</w:t>
      </w:r>
      <w:r w:rsidRPr="00851324">
        <w:t xml:space="preserve"> </w:t>
      </w:r>
      <w:r>
        <w:rPr>
          <w:lang w:val="en-US"/>
        </w:rPr>
        <w:tab/>
        <w:t>Commissioner Danner,</w:t>
      </w:r>
      <w:r w:rsidRPr="00EE5473">
        <w:rPr>
          <w:lang w:val="en-US"/>
        </w:rPr>
        <w:t xml:space="preserve"> </w:t>
      </w:r>
      <w:r>
        <w:rPr>
          <w:lang w:val="en-US"/>
        </w:rPr>
        <w:t>TR. 445:9-13.</w:t>
      </w:r>
    </w:p>
  </w:footnote>
  <w:footnote w:id="169">
    <w:p w:rsidR="005015CC" w:rsidRPr="003C3C16" w:rsidRDefault="005015CC" w:rsidP="00E82A5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Duvall,</w:t>
      </w:r>
      <w:r w:rsidRPr="00EE5473">
        <w:rPr>
          <w:lang w:val="en-US"/>
        </w:rPr>
        <w:t xml:space="preserve"> </w:t>
      </w:r>
      <w:r>
        <w:rPr>
          <w:lang w:val="en-US"/>
        </w:rPr>
        <w:t>TR. 445:14-16</w:t>
      </w:r>
      <w:r w:rsidRPr="003C3C16">
        <w:rPr>
          <w:lang w:val="en-US"/>
        </w:rPr>
        <w:t>.</w:t>
      </w:r>
    </w:p>
  </w:footnote>
  <w:footnote w:id="170">
    <w:p w:rsidR="005015CC" w:rsidRPr="003C3C16" w:rsidRDefault="005015CC" w:rsidP="00FD4D21">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 xml:space="preserve">Pacific Power Brief at ¶ 106.  </w:t>
      </w:r>
    </w:p>
  </w:footnote>
  <w:footnote w:id="171">
    <w:p w:rsidR="005015CC" w:rsidRPr="003C3C16" w:rsidRDefault="005015CC" w:rsidP="00BB48A1">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Boise Brief at ¶ 93</w:t>
      </w:r>
      <w:r w:rsidRPr="003C3C16">
        <w:rPr>
          <w:lang w:val="en-US"/>
        </w:rPr>
        <w:t>.</w:t>
      </w:r>
    </w:p>
  </w:footnote>
  <w:footnote w:id="172">
    <w:p w:rsidR="005015CC" w:rsidRPr="003C3C16" w:rsidRDefault="005015CC" w:rsidP="006774A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107 (</w:t>
      </w:r>
      <w:r w:rsidRPr="006774A0">
        <w:rPr>
          <w:u w:val="single"/>
          <w:lang w:val="en-US"/>
        </w:rPr>
        <w:t>quoting</w:t>
      </w:r>
      <w:r>
        <w:rPr>
          <w:lang w:val="en-US"/>
        </w:rPr>
        <w:t xml:space="preserve"> Duvall, Exh. No. GND-4T 57:12-16) (emphasis added).  </w:t>
      </w:r>
    </w:p>
  </w:footnote>
  <w:footnote w:id="173">
    <w:p w:rsidR="005015CC" w:rsidRPr="003C3C16" w:rsidRDefault="005015CC" w:rsidP="00E82A5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00385969" w:rsidRPr="00385969">
        <w:rPr>
          <w:u w:val="single"/>
          <w:lang w:val="en-US"/>
        </w:rPr>
        <w:t>Id.</w:t>
      </w:r>
      <w:r>
        <w:rPr>
          <w:lang w:val="en-US"/>
        </w:rPr>
        <w:t xml:space="preserve"> at ¶ 105</w:t>
      </w:r>
      <w:r w:rsidRPr="003C3C16">
        <w:rPr>
          <w:lang w:val="en-US"/>
        </w:rPr>
        <w:t>.</w:t>
      </w:r>
    </w:p>
  </w:footnote>
  <w:footnote w:id="174">
    <w:p w:rsidR="005015CC" w:rsidRPr="003C3C16" w:rsidRDefault="005015CC" w:rsidP="00E82A50">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13 GRC Order 05 at ¶ 172.</w:t>
      </w:r>
    </w:p>
  </w:footnote>
  <w:footnote w:id="175">
    <w:p w:rsidR="005015CC" w:rsidRPr="003C3C16" w:rsidRDefault="005015CC" w:rsidP="00612D82">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104</w:t>
      </w:r>
      <w:r w:rsidRPr="003C3C16">
        <w:rPr>
          <w:lang w:val="en-US"/>
        </w:rPr>
        <w:t>.</w:t>
      </w:r>
    </w:p>
  </w:footnote>
  <w:footnote w:id="176">
    <w:p w:rsidR="005015CC" w:rsidRPr="003C3C16" w:rsidRDefault="005015CC" w:rsidP="00612D82">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3C3C16">
        <w:rPr>
          <w:lang w:val="en-US"/>
        </w:rPr>
        <w:t>20</w:t>
      </w:r>
      <w:r>
        <w:rPr>
          <w:lang w:val="en-US"/>
        </w:rPr>
        <w:t xml:space="preserve">13 GRC Order 05 </w:t>
      </w:r>
      <w:r w:rsidRPr="003C3C16">
        <w:rPr>
          <w:lang w:val="en-US"/>
        </w:rPr>
        <w:t>at ¶ 170</w:t>
      </w:r>
      <w:r>
        <w:rPr>
          <w:lang w:val="en-US"/>
        </w:rPr>
        <w:t xml:space="preserve"> (emphasis added)</w:t>
      </w:r>
      <w:r w:rsidRPr="003C3C16">
        <w:rPr>
          <w:lang w:val="en-US"/>
        </w:rPr>
        <w:t>.</w:t>
      </w:r>
    </w:p>
  </w:footnote>
  <w:footnote w:id="177">
    <w:p w:rsidR="005015CC" w:rsidRPr="003C3C16" w:rsidRDefault="005015CC" w:rsidP="00A95B91">
      <w:pPr>
        <w:pStyle w:val="FootnoteText"/>
        <w:ind w:left="720" w:hanging="720"/>
        <w:rPr>
          <w:lang w:val="en-US"/>
        </w:rPr>
      </w:pPr>
      <w:r w:rsidRPr="003C3C16">
        <w:rPr>
          <w:rStyle w:val="FootnoteReference"/>
          <w:u w:val="single"/>
        </w:rPr>
        <w:footnoteRef/>
      </w:r>
      <w:r w:rsidRPr="003C3C16">
        <w:rPr>
          <w:vertAlign w:val="superscript"/>
        </w:rPr>
        <w:t>/</w:t>
      </w:r>
      <w:r w:rsidRPr="003C3C16">
        <w:tab/>
      </w:r>
      <w:r w:rsidRPr="003C3C16">
        <w:rPr>
          <w:u w:val="single"/>
        </w:rPr>
        <w:t>E.g.</w:t>
      </w:r>
      <w:r w:rsidRPr="003C3C16">
        <w:rPr>
          <w:lang w:val="en-US"/>
        </w:rPr>
        <w:t>,</w:t>
      </w:r>
      <w:r w:rsidRPr="003C3C16">
        <w:t xml:space="preserve"> </w:t>
      </w:r>
      <w:r w:rsidR="00385969" w:rsidRPr="00385969">
        <w:rPr>
          <w:u w:val="single"/>
          <w:lang w:val="en-US"/>
        </w:rPr>
        <w:t>Re PacifiCorp</w:t>
      </w:r>
      <w:r w:rsidR="00385969">
        <w:rPr>
          <w:lang w:val="en-US"/>
        </w:rPr>
        <w:t xml:space="preserve">, </w:t>
      </w:r>
      <w:r w:rsidRPr="003C3C16">
        <w:t xml:space="preserve">Docket No. UE-020417, </w:t>
      </w:r>
      <w:r>
        <w:rPr>
          <w:lang w:val="en-US"/>
        </w:rPr>
        <w:t>Third</w:t>
      </w:r>
      <w:r w:rsidRPr="003C3C16">
        <w:t xml:space="preserve"> Suppl. Order at ¶</w:t>
      </w:r>
      <w:r>
        <w:t xml:space="preserve"> 5</w:t>
      </w:r>
      <w:r w:rsidR="00385969">
        <w:rPr>
          <w:lang w:val="en-US"/>
        </w:rPr>
        <w:t xml:space="preserve"> (Sept. 27, 2002)</w:t>
      </w:r>
      <w:r w:rsidRPr="003C3C16">
        <w:t xml:space="preserve">; </w:t>
      </w:r>
      <w:r w:rsidR="00385969" w:rsidRPr="00385969">
        <w:rPr>
          <w:u w:val="single"/>
          <w:lang w:val="en-US"/>
        </w:rPr>
        <w:t>WUTC v. PacifiCorp</w:t>
      </w:r>
      <w:r w:rsidR="00385969">
        <w:rPr>
          <w:lang w:val="en-US"/>
        </w:rPr>
        <w:t xml:space="preserve">, </w:t>
      </w:r>
      <w:r w:rsidRPr="003C3C16">
        <w:t>Docket No</w:t>
      </w:r>
      <w:r>
        <w:rPr>
          <w:lang w:val="en-US"/>
        </w:rPr>
        <w:t>s</w:t>
      </w:r>
      <w:r w:rsidRPr="003C3C16">
        <w:t>. UE-050684</w:t>
      </w:r>
      <w:r>
        <w:rPr>
          <w:lang w:val="en-US"/>
        </w:rPr>
        <w:t xml:space="preserve"> </w:t>
      </w:r>
      <w:r w:rsidRPr="003C3C16">
        <w:rPr>
          <w:lang w:val="en-US"/>
        </w:rPr>
        <w:t>and UE-050412</w:t>
      </w:r>
      <w:r w:rsidRPr="003C3C16">
        <w:t>, Or</w:t>
      </w:r>
      <w:r>
        <w:t>der 04</w:t>
      </w:r>
      <w:r>
        <w:rPr>
          <w:lang w:val="en-US"/>
        </w:rPr>
        <w:t>/03</w:t>
      </w:r>
      <w:r>
        <w:t xml:space="preserve"> at ¶ 305</w:t>
      </w:r>
      <w:r>
        <w:rPr>
          <w:lang w:val="en-US"/>
        </w:rPr>
        <w:t xml:space="preserve"> </w:t>
      </w:r>
      <w:r w:rsidR="001523D2">
        <w:rPr>
          <w:lang w:val="en-US"/>
        </w:rPr>
        <w:t xml:space="preserve">(April 17, 2006) </w:t>
      </w:r>
      <w:r w:rsidRPr="003C3C16">
        <w:t xml:space="preserve">(combining both standards in affirming that deferred accounting is “warranted in extraordinary </w:t>
      </w:r>
      <w:r w:rsidRPr="003C3C16">
        <w:rPr>
          <w:i/>
        </w:rPr>
        <w:t>circumstances</w:t>
      </w:r>
      <w:r w:rsidRPr="003C3C16">
        <w:t xml:space="preserve">”) (emphasis added); </w:t>
      </w:r>
      <w:r w:rsidRPr="003C3C16">
        <w:rPr>
          <w:u w:val="single"/>
        </w:rPr>
        <w:t>see also</w:t>
      </w:r>
      <w:r w:rsidRPr="003C3C16">
        <w:t xml:space="preserve"> </w:t>
      </w:r>
      <w:r w:rsidR="001523D2" w:rsidRPr="001523D2">
        <w:rPr>
          <w:u w:val="single"/>
          <w:lang w:val="en-US"/>
        </w:rPr>
        <w:t>WUTC v. PacifiCorp</w:t>
      </w:r>
      <w:r w:rsidR="001523D2">
        <w:rPr>
          <w:lang w:val="en-US"/>
        </w:rPr>
        <w:t xml:space="preserve">, </w:t>
      </w:r>
      <w:r w:rsidRPr="003C3C16">
        <w:t>Docket No. UE-100749, Order 1</w:t>
      </w:r>
      <w:r>
        <w:t>0 at ¶ 21 &amp; n.19</w:t>
      </w:r>
      <w:r w:rsidRPr="003C3C16">
        <w:t xml:space="preserve"> </w:t>
      </w:r>
      <w:r w:rsidR="001523D2">
        <w:rPr>
          <w:lang w:val="en-US"/>
        </w:rPr>
        <w:t xml:space="preserve">(Aug. 23, 2012) </w:t>
      </w:r>
      <w:r w:rsidRPr="003C3C16">
        <w:t>(quoting the 2002 order to explain the purpose of deferred accounting);</w:t>
      </w:r>
      <w:r w:rsidR="001523D2">
        <w:rPr>
          <w:lang w:val="en-US"/>
        </w:rPr>
        <w:t xml:space="preserve"> </w:t>
      </w:r>
      <w:r w:rsidR="001523D2" w:rsidRPr="001523D2">
        <w:rPr>
          <w:u w:val="single"/>
          <w:lang w:val="en-US"/>
        </w:rPr>
        <w:t>Re PacifiCorp</w:t>
      </w:r>
      <w:r w:rsidR="001523D2">
        <w:rPr>
          <w:lang w:val="en-US"/>
        </w:rPr>
        <w:t>,</w:t>
      </w:r>
      <w:r w:rsidRPr="003C3C16">
        <w:t xml:space="preserve"> Docket No</w:t>
      </w:r>
      <w:r>
        <w:rPr>
          <w:lang w:val="en-US"/>
        </w:rPr>
        <w:t>s</w:t>
      </w:r>
      <w:r w:rsidRPr="003C3C16">
        <w:t>. UE-020417</w:t>
      </w:r>
      <w:r w:rsidRPr="00717515">
        <w:rPr>
          <w:lang w:val="en-US"/>
        </w:rPr>
        <w:t xml:space="preserve"> </w:t>
      </w:r>
      <w:r>
        <w:rPr>
          <w:lang w:val="en-US"/>
        </w:rPr>
        <w:t xml:space="preserve">and </w:t>
      </w:r>
      <w:r>
        <w:t>UE-991832</w:t>
      </w:r>
      <w:r w:rsidRPr="003C3C16">
        <w:t xml:space="preserve">, </w:t>
      </w:r>
      <w:r>
        <w:rPr>
          <w:lang w:val="en-US"/>
        </w:rPr>
        <w:t>Sixth/Eighth</w:t>
      </w:r>
      <w:r w:rsidRPr="003C3C16">
        <w:t xml:space="preserve"> Supp</w:t>
      </w:r>
      <w:r>
        <w:t>l. Order at ¶ 29</w:t>
      </w:r>
      <w:r>
        <w:rPr>
          <w:lang w:val="en-US"/>
        </w:rPr>
        <w:t xml:space="preserve"> </w:t>
      </w:r>
      <w:r w:rsidR="001523D2">
        <w:rPr>
          <w:lang w:val="en-US"/>
        </w:rPr>
        <w:t xml:space="preserve">(July 15, 2003) </w:t>
      </w:r>
      <w:r w:rsidRPr="003C3C16">
        <w:t>(finding insufficient nexus between causation and cost to justify deferred accounting, even if the “extraordinary” nature of costs might “arguably” provide a rationale for deferral)</w:t>
      </w:r>
      <w:r w:rsidRPr="003C3C16">
        <w:rPr>
          <w:lang w:val="en-US"/>
        </w:rPr>
        <w:t>.</w:t>
      </w:r>
    </w:p>
  </w:footnote>
  <w:footnote w:id="178">
    <w:p w:rsidR="005015CC" w:rsidRPr="003C3C16" w:rsidRDefault="005015CC" w:rsidP="000023F5">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119 (emphasis added)</w:t>
      </w:r>
      <w:r w:rsidRPr="003C3C16">
        <w:rPr>
          <w:lang w:val="en-US"/>
        </w:rPr>
        <w:t>.</w:t>
      </w:r>
    </w:p>
  </w:footnote>
  <w:footnote w:id="179">
    <w:p w:rsidR="005015CC" w:rsidRPr="003C3C16" w:rsidRDefault="005015CC" w:rsidP="006631A3">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0023F5">
        <w:rPr>
          <w:u w:val="single"/>
          <w:lang w:val="en-US"/>
        </w:rPr>
        <w:t>Id.</w:t>
      </w:r>
      <w:r>
        <w:rPr>
          <w:lang w:val="en-US"/>
        </w:rPr>
        <w:t xml:space="preserve"> at </w:t>
      </w:r>
      <w:r w:rsidR="001523D2">
        <w:rPr>
          <w:lang w:val="en-US"/>
        </w:rPr>
        <w:t xml:space="preserve">¶ 119 &amp; </w:t>
      </w:r>
      <w:r>
        <w:rPr>
          <w:lang w:val="en-US"/>
        </w:rPr>
        <w:t>n.310</w:t>
      </w:r>
      <w:r w:rsidRPr="003C3C16">
        <w:rPr>
          <w:lang w:val="en-US"/>
        </w:rPr>
        <w:t>.</w:t>
      </w:r>
      <w:r>
        <w:rPr>
          <w:lang w:val="en-US"/>
        </w:rPr>
        <w:t xml:space="preserve">  Additionally, this single page of “extensive” evidence cited is labeled “UE-131389,” a non-existent docket—providing further proof of the Company’s disregard for careful accounting detail in making this deferral request. </w:t>
      </w:r>
    </w:p>
  </w:footnote>
  <w:footnote w:id="180">
    <w:p w:rsidR="005015CC" w:rsidRPr="003C3C16" w:rsidRDefault="005015CC" w:rsidP="00EC2507">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F66251">
        <w:rPr>
          <w:u w:val="single"/>
          <w:lang w:val="en-US"/>
        </w:rPr>
        <w:t>Id.</w:t>
      </w:r>
      <w:r>
        <w:rPr>
          <w:lang w:val="en-US"/>
        </w:rPr>
        <w:t xml:space="preserve"> at ¶ 121</w:t>
      </w:r>
      <w:r w:rsidRPr="003C3C16">
        <w:rPr>
          <w:lang w:val="en-US"/>
        </w:rPr>
        <w:t>.</w:t>
      </w:r>
    </w:p>
  </w:footnote>
  <w:footnote w:id="181">
    <w:p w:rsidR="005015CC" w:rsidRPr="003C3C16" w:rsidRDefault="005015CC" w:rsidP="00EC2507">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Mullins, Exh. No. BGM-8T at 23, Figure 1</w:t>
      </w:r>
      <w:r w:rsidRPr="003C3C16">
        <w:rPr>
          <w:lang w:val="en-US"/>
        </w:rPr>
        <w:t>.</w:t>
      </w:r>
      <w:r>
        <w:rPr>
          <w:lang w:val="en-US"/>
        </w:rPr>
        <w:t xml:space="preserve">  </w:t>
      </w:r>
    </w:p>
  </w:footnote>
  <w:footnote w:id="182">
    <w:p w:rsidR="001523D2" w:rsidRPr="001523D2" w:rsidRDefault="001523D2">
      <w:pPr>
        <w:pStyle w:val="FootnoteText"/>
        <w:rPr>
          <w:u w:val="single"/>
          <w:lang w:val="en-US"/>
        </w:rPr>
      </w:pPr>
      <w:r w:rsidRPr="001523D2">
        <w:rPr>
          <w:rStyle w:val="FootnoteReference"/>
          <w:u w:val="single"/>
        </w:rPr>
        <w:footnoteRef/>
      </w:r>
      <w:r w:rsidRPr="001523D2">
        <w:rPr>
          <w:vertAlign w:val="superscript"/>
          <w:lang w:val="en-US"/>
        </w:rPr>
        <w:t>/</w:t>
      </w:r>
      <w:r w:rsidRPr="001523D2">
        <w:rPr>
          <w:vertAlign w:val="superscript"/>
        </w:rPr>
        <w:t xml:space="preserve"> </w:t>
      </w:r>
      <w:r>
        <w:rPr>
          <w:vertAlign w:val="superscript"/>
          <w:lang w:val="en-US"/>
        </w:rPr>
        <w:tab/>
      </w:r>
      <w:r>
        <w:rPr>
          <w:lang w:val="en-US"/>
        </w:rPr>
        <w:t>Pacific Power Brief at ¶ 121.</w:t>
      </w:r>
    </w:p>
  </w:footnote>
  <w:footnote w:id="183">
    <w:p w:rsidR="005015CC" w:rsidRPr="003C3C16" w:rsidRDefault="005015CC" w:rsidP="003D0C83">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FF6799">
        <w:rPr>
          <w:lang w:val="en-US"/>
        </w:rPr>
        <w:t>Boise Brief</w:t>
      </w:r>
      <w:r>
        <w:rPr>
          <w:lang w:val="en-US"/>
        </w:rPr>
        <w:t xml:space="preserve"> at ¶¶ 7-9, 14, 99</w:t>
      </w:r>
      <w:r w:rsidRPr="003C3C16">
        <w:rPr>
          <w:lang w:val="en-US"/>
        </w:rPr>
        <w:t>.</w:t>
      </w:r>
      <w:r>
        <w:rPr>
          <w:lang w:val="en-US"/>
        </w:rPr>
        <w:t xml:space="preserve">  </w:t>
      </w:r>
    </w:p>
  </w:footnote>
  <w:footnote w:id="184">
    <w:p w:rsidR="005015CC" w:rsidRPr="003C3C16" w:rsidRDefault="005015CC" w:rsidP="00724143">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121</w:t>
      </w:r>
      <w:r w:rsidRPr="003C3C16">
        <w:rPr>
          <w:lang w:val="en-US"/>
        </w:rPr>
        <w:t>.</w:t>
      </w:r>
    </w:p>
  </w:footnote>
  <w:footnote w:id="185">
    <w:p w:rsidR="005015CC" w:rsidRPr="003C3C16" w:rsidRDefault="005015CC" w:rsidP="00F66251">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FF6799">
        <w:rPr>
          <w:lang w:val="en-US"/>
        </w:rPr>
        <w:t>Boise Brief</w:t>
      </w:r>
      <w:r>
        <w:rPr>
          <w:lang w:val="en-US"/>
        </w:rPr>
        <w:t xml:space="preserve"> at ¶ 104</w:t>
      </w:r>
      <w:r w:rsidRPr="003C3C16">
        <w:rPr>
          <w:lang w:val="en-US"/>
        </w:rPr>
        <w:t>.</w:t>
      </w:r>
      <w:r>
        <w:rPr>
          <w:lang w:val="en-US"/>
        </w:rPr>
        <w:t xml:space="preserve">  </w:t>
      </w:r>
    </w:p>
  </w:footnote>
  <w:footnote w:id="186">
    <w:p w:rsidR="005015CC" w:rsidRPr="003C3C16" w:rsidRDefault="005015CC" w:rsidP="00F27C76">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001523D2" w:rsidRPr="001523D2">
        <w:rPr>
          <w:u w:val="single"/>
          <w:lang w:val="en-US"/>
        </w:rPr>
        <w:t>Id.</w:t>
      </w:r>
      <w:r>
        <w:rPr>
          <w:lang w:val="en-US"/>
        </w:rPr>
        <w:t xml:space="preserve"> at ¶ 98</w:t>
      </w:r>
      <w:r w:rsidRPr="003C3C16">
        <w:rPr>
          <w:lang w:val="en-US"/>
        </w:rPr>
        <w:t>.</w:t>
      </w:r>
      <w:r>
        <w:rPr>
          <w:lang w:val="en-US"/>
        </w:rPr>
        <w:t xml:space="preserve">  </w:t>
      </w:r>
    </w:p>
  </w:footnote>
  <w:footnote w:id="187">
    <w:p w:rsidR="005015CC" w:rsidRPr="003C3C16" w:rsidRDefault="005015CC" w:rsidP="00F27C76">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Pr>
          <w:lang w:val="en-US"/>
        </w:rPr>
        <w:t>Pacific Power Brief at ¶ 143</w:t>
      </w:r>
      <w:r w:rsidRPr="003C3C16">
        <w:rPr>
          <w:lang w:val="en-US"/>
        </w:rPr>
        <w:t>.</w:t>
      </w:r>
    </w:p>
  </w:footnote>
  <w:footnote w:id="188">
    <w:p w:rsidR="005015CC" w:rsidRPr="003C3C16" w:rsidRDefault="005015CC" w:rsidP="00D65683">
      <w:pPr>
        <w:pStyle w:val="FootnoteText"/>
        <w:tabs>
          <w:tab w:val="left" w:pos="810"/>
        </w:tabs>
        <w:ind w:left="720" w:right="-180" w:hanging="720"/>
        <w:rPr>
          <w:lang w:val="en-US"/>
        </w:rPr>
      </w:pPr>
      <w:r w:rsidRPr="003C3C16">
        <w:rPr>
          <w:rStyle w:val="FootnoteReference"/>
          <w:u w:val="single"/>
        </w:rPr>
        <w:footnoteRef/>
      </w:r>
      <w:r w:rsidRPr="003C3C16">
        <w:rPr>
          <w:vertAlign w:val="superscript"/>
        </w:rPr>
        <w:t>/</w:t>
      </w:r>
      <w:r w:rsidRPr="003C3C16">
        <w:tab/>
      </w:r>
      <w:r w:rsidRPr="00FF6799">
        <w:rPr>
          <w:lang w:val="en-US"/>
        </w:rPr>
        <w:t>Boise Brief</w:t>
      </w:r>
      <w:r>
        <w:rPr>
          <w:lang w:val="en-US"/>
        </w:rPr>
        <w:t xml:space="preserve"> at ¶ 105</w:t>
      </w:r>
      <w:r w:rsidRPr="003C3C16">
        <w:rPr>
          <w:lang w:val="en-US"/>
        </w:rPr>
        <w:t>.</w:t>
      </w:r>
      <w:r>
        <w:rPr>
          <w:lang w:val="en-US"/>
        </w:rPr>
        <w:t xml:space="preserve">  </w:t>
      </w:r>
    </w:p>
  </w:footnote>
  <w:footnote w:id="189">
    <w:p w:rsidR="005015CC" w:rsidRPr="003C3C16" w:rsidRDefault="005015CC" w:rsidP="00D65683">
      <w:pPr>
        <w:pStyle w:val="FootnoteText"/>
      </w:pPr>
      <w:r w:rsidRPr="003C3C16">
        <w:rPr>
          <w:rStyle w:val="FootnoteReference"/>
          <w:u w:val="single"/>
        </w:rPr>
        <w:footnoteRef/>
      </w:r>
      <w:r w:rsidRPr="003C3C16">
        <w:rPr>
          <w:vertAlign w:val="superscript"/>
        </w:rPr>
        <w:t>/</w:t>
      </w:r>
      <w:r w:rsidRPr="003C3C16">
        <w:tab/>
        <w:t>Docket Nos. UE-140762 and UE-140617</w:t>
      </w:r>
      <w:r w:rsidRPr="003C3C16">
        <w:rPr>
          <w:lang w:val="en-US"/>
        </w:rPr>
        <w:t xml:space="preserve">, </w:t>
      </w:r>
      <w:r w:rsidRPr="003C3C16">
        <w:t>Order 03/01 at ¶ 10 (May 29,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C" w:rsidRPr="005158CC" w:rsidRDefault="005015CC">
    <w:pPr>
      <w:pStyle w:val="Header"/>
      <w:rPr>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AC177E"/>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FC0C6C"/>
    <w:multiLevelType w:val="hybridMultilevel"/>
    <w:tmpl w:val="763E9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C7765"/>
    <w:multiLevelType w:val="hybridMultilevel"/>
    <w:tmpl w:val="392E2A9E"/>
    <w:lvl w:ilvl="0" w:tplc="F3CC7CE8">
      <w:start w:val="2"/>
      <w:numFmt w:val="upperLetter"/>
      <w:lvlText w:val="%1."/>
      <w:lvlJc w:val="left"/>
      <w:pPr>
        <w:ind w:left="-360" w:hanging="360"/>
      </w:pPr>
      <w:rPr>
        <w:rFonts w:hint="default"/>
      </w:rPr>
    </w:lvl>
    <w:lvl w:ilvl="1" w:tplc="55C6F8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8">
    <w:nsid w:val="267D329F"/>
    <w:multiLevelType w:val="hybridMultilevel"/>
    <w:tmpl w:val="78A27754"/>
    <w:lvl w:ilvl="0" w:tplc="19BCC4C4">
      <w:start w:val="2"/>
      <w:numFmt w:val="decimal"/>
      <w:lvlText w:val="%1."/>
      <w:lvlJc w:val="left"/>
      <w:pPr>
        <w:ind w:left="396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3216EB"/>
    <w:multiLevelType w:val="hybridMultilevel"/>
    <w:tmpl w:val="E46EFBDC"/>
    <w:lvl w:ilvl="0" w:tplc="F3CC7CE8">
      <w:start w:val="2"/>
      <w:numFmt w:val="upp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434AAC"/>
    <w:multiLevelType w:val="hybridMultilevel"/>
    <w:tmpl w:val="C512E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6D344A8"/>
    <w:multiLevelType w:val="hybridMultilevel"/>
    <w:tmpl w:val="D332CE26"/>
    <w:lvl w:ilvl="0" w:tplc="2458C1AC">
      <w:start w:val="1"/>
      <w:numFmt w:val="upperLetter"/>
      <w:lvlText w:val="%1."/>
      <w:lvlJc w:val="left"/>
      <w:pPr>
        <w:ind w:left="1440" w:hanging="720"/>
      </w:pPr>
      <w:rPr>
        <w:rFonts w:hint="default"/>
      </w:rPr>
    </w:lvl>
    <w:lvl w:ilvl="1" w:tplc="18C816F4">
      <w:start w:val="3"/>
      <w:numFmt w:val="decimal"/>
      <w:lvlText w:val="%2."/>
      <w:lvlJc w:val="left"/>
      <w:pPr>
        <w:ind w:left="171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0B72A7C"/>
    <w:multiLevelType w:val="hybridMultilevel"/>
    <w:tmpl w:val="1AAA5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7"/>
  </w:num>
  <w:num w:numId="4">
    <w:abstractNumId w:val="18"/>
  </w:num>
  <w:num w:numId="5">
    <w:abstractNumId w:val="7"/>
  </w:num>
  <w:num w:numId="6">
    <w:abstractNumId w:val="0"/>
  </w:num>
  <w:num w:numId="7">
    <w:abstractNumId w:val="20"/>
  </w:num>
  <w:num w:numId="8">
    <w:abstractNumId w:val="19"/>
  </w:num>
  <w:num w:numId="9">
    <w:abstractNumId w:val="2"/>
  </w:num>
  <w:num w:numId="10">
    <w:abstractNumId w:val="9"/>
  </w:num>
  <w:num w:numId="11">
    <w:abstractNumId w:val="1"/>
  </w:num>
  <w:num w:numId="12">
    <w:abstractNumId w:val="16"/>
  </w:num>
  <w:num w:numId="13">
    <w:abstractNumId w:val="15"/>
  </w:num>
  <w:num w:numId="14">
    <w:abstractNumId w:val="6"/>
  </w:num>
  <w:num w:numId="15">
    <w:abstractNumId w:val="14"/>
  </w:num>
  <w:num w:numId="16">
    <w:abstractNumId w:val="11"/>
  </w:num>
  <w:num w:numId="17">
    <w:abstractNumId w:val="4"/>
  </w:num>
  <w:num w:numId="18">
    <w:abstractNumId w:val="13"/>
  </w:num>
  <w:num w:numId="19">
    <w:abstractNumId w:val="17"/>
  </w:num>
  <w:num w:numId="20">
    <w:abstractNumId w:val="5"/>
  </w:num>
  <w:num w:numId="21">
    <w:abstractNumId w:val="1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536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FA"/>
    <w:rsid w:val="000023F5"/>
    <w:rsid w:val="00007FE8"/>
    <w:rsid w:val="00021E8D"/>
    <w:rsid w:val="000238A5"/>
    <w:rsid w:val="00023A5E"/>
    <w:rsid w:val="00031495"/>
    <w:rsid w:val="00033854"/>
    <w:rsid w:val="00036785"/>
    <w:rsid w:val="00041173"/>
    <w:rsid w:val="00046C2E"/>
    <w:rsid w:val="00053399"/>
    <w:rsid w:val="0005371A"/>
    <w:rsid w:val="000537D5"/>
    <w:rsid w:val="00054D62"/>
    <w:rsid w:val="0007426C"/>
    <w:rsid w:val="000866EF"/>
    <w:rsid w:val="00087FE3"/>
    <w:rsid w:val="000928F4"/>
    <w:rsid w:val="000943C4"/>
    <w:rsid w:val="000949B3"/>
    <w:rsid w:val="000972AD"/>
    <w:rsid w:val="000A3E7C"/>
    <w:rsid w:val="000B5572"/>
    <w:rsid w:val="000B77E8"/>
    <w:rsid w:val="000C1977"/>
    <w:rsid w:val="000C1C1B"/>
    <w:rsid w:val="000C549B"/>
    <w:rsid w:val="000D215D"/>
    <w:rsid w:val="000E3EC9"/>
    <w:rsid w:val="000F2160"/>
    <w:rsid w:val="000F5DC2"/>
    <w:rsid w:val="0010375F"/>
    <w:rsid w:val="00110F97"/>
    <w:rsid w:val="001212FE"/>
    <w:rsid w:val="00123318"/>
    <w:rsid w:val="00124255"/>
    <w:rsid w:val="00126888"/>
    <w:rsid w:val="001305CE"/>
    <w:rsid w:val="001357CB"/>
    <w:rsid w:val="0014504F"/>
    <w:rsid w:val="00145B06"/>
    <w:rsid w:val="001523D2"/>
    <w:rsid w:val="00152E4E"/>
    <w:rsid w:val="00153007"/>
    <w:rsid w:val="00156746"/>
    <w:rsid w:val="00160099"/>
    <w:rsid w:val="0016218F"/>
    <w:rsid w:val="00167148"/>
    <w:rsid w:val="0017179B"/>
    <w:rsid w:val="00172649"/>
    <w:rsid w:val="001731CA"/>
    <w:rsid w:val="0017475E"/>
    <w:rsid w:val="00176EE4"/>
    <w:rsid w:val="001777E5"/>
    <w:rsid w:val="00190248"/>
    <w:rsid w:val="00192068"/>
    <w:rsid w:val="001C2038"/>
    <w:rsid w:val="001C2135"/>
    <w:rsid w:val="001C4B96"/>
    <w:rsid w:val="001C526E"/>
    <w:rsid w:val="001C6401"/>
    <w:rsid w:val="001C7922"/>
    <w:rsid w:val="001D5524"/>
    <w:rsid w:val="001E1EF0"/>
    <w:rsid w:val="001E6880"/>
    <w:rsid w:val="001E68B9"/>
    <w:rsid w:val="001E70D8"/>
    <w:rsid w:val="001F1121"/>
    <w:rsid w:val="001F4EA1"/>
    <w:rsid w:val="001F6780"/>
    <w:rsid w:val="002016E8"/>
    <w:rsid w:val="00203034"/>
    <w:rsid w:val="002114E2"/>
    <w:rsid w:val="002176A5"/>
    <w:rsid w:val="00222D63"/>
    <w:rsid w:val="00222EE5"/>
    <w:rsid w:val="00225F97"/>
    <w:rsid w:val="002275CD"/>
    <w:rsid w:val="002306FF"/>
    <w:rsid w:val="00231F76"/>
    <w:rsid w:val="002351D1"/>
    <w:rsid w:val="00242526"/>
    <w:rsid w:val="00245989"/>
    <w:rsid w:val="00251DC7"/>
    <w:rsid w:val="00252109"/>
    <w:rsid w:val="00252DE4"/>
    <w:rsid w:val="0025536A"/>
    <w:rsid w:val="002577DB"/>
    <w:rsid w:val="002633FC"/>
    <w:rsid w:val="00263623"/>
    <w:rsid w:val="00266AA3"/>
    <w:rsid w:val="00266AC2"/>
    <w:rsid w:val="0027146E"/>
    <w:rsid w:val="0027423B"/>
    <w:rsid w:val="00277318"/>
    <w:rsid w:val="0028171F"/>
    <w:rsid w:val="002819F4"/>
    <w:rsid w:val="002825F5"/>
    <w:rsid w:val="00283E70"/>
    <w:rsid w:val="002845A3"/>
    <w:rsid w:val="00284839"/>
    <w:rsid w:val="00287FB1"/>
    <w:rsid w:val="00294EA2"/>
    <w:rsid w:val="00296FE4"/>
    <w:rsid w:val="002970BB"/>
    <w:rsid w:val="002A54BD"/>
    <w:rsid w:val="002A598E"/>
    <w:rsid w:val="002B0B4B"/>
    <w:rsid w:val="002B2E3B"/>
    <w:rsid w:val="002D013B"/>
    <w:rsid w:val="002D2821"/>
    <w:rsid w:val="002D46A4"/>
    <w:rsid w:val="002E0C99"/>
    <w:rsid w:val="002E11B5"/>
    <w:rsid w:val="002E3BB5"/>
    <w:rsid w:val="002E532E"/>
    <w:rsid w:val="002E7BB8"/>
    <w:rsid w:val="002F331B"/>
    <w:rsid w:val="003056EE"/>
    <w:rsid w:val="00311706"/>
    <w:rsid w:val="00315EAC"/>
    <w:rsid w:val="00316B29"/>
    <w:rsid w:val="003226A2"/>
    <w:rsid w:val="0032272B"/>
    <w:rsid w:val="00323295"/>
    <w:rsid w:val="00335B81"/>
    <w:rsid w:val="0035520A"/>
    <w:rsid w:val="00356D3A"/>
    <w:rsid w:val="00360232"/>
    <w:rsid w:val="00360B58"/>
    <w:rsid w:val="0037037B"/>
    <w:rsid w:val="00370C6F"/>
    <w:rsid w:val="003710D0"/>
    <w:rsid w:val="00374ABA"/>
    <w:rsid w:val="00375948"/>
    <w:rsid w:val="0037760A"/>
    <w:rsid w:val="00381E00"/>
    <w:rsid w:val="0038234C"/>
    <w:rsid w:val="00385969"/>
    <w:rsid w:val="00390450"/>
    <w:rsid w:val="00390B70"/>
    <w:rsid w:val="003A1156"/>
    <w:rsid w:val="003A1699"/>
    <w:rsid w:val="003B0ACA"/>
    <w:rsid w:val="003B4A4D"/>
    <w:rsid w:val="003C1E27"/>
    <w:rsid w:val="003D0C83"/>
    <w:rsid w:val="003D3977"/>
    <w:rsid w:val="003E433D"/>
    <w:rsid w:val="003E4F56"/>
    <w:rsid w:val="003E72FA"/>
    <w:rsid w:val="003E7A4D"/>
    <w:rsid w:val="003F3DED"/>
    <w:rsid w:val="003F564D"/>
    <w:rsid w:val="004070A7"/>
    <w:rsid w:val="00407D0B"/>
    <w:rsid w:val="00420C04"/>
    <w:rsid w:val="00426F9C"/>
    <w:rsid w:val="004304C5"/>
    <w:rsid w:val="00431166"/>
    <w:rsid w:val="00431DF0"/>
    <w:rsid w:val="00440ED2"/>
    <w:rsid w:val="00443965"/>
    <w:rsid w:val="0044599C"/>
    <w:rsid w:val="00446C59"/>
    <w:rsid w:val="004514C9"/>
    <w:rsid w:val="004535DC"/>
    <w:rsid w:val="00454298"/>
    <w:rsid w:val="00457584"/>
    <w:rsid w:val="0045760B"/>
    <w:rsid w:val="00461D55"/>
    <w:rsid w:val="00464119"/>
    <w:rsid w:val="004679E6"/>
    <w:rsid w:val="004708C2"/>
    <w:rsid w:val="00473E76"/>
    <w:rsid w:val="00477849"/>
    <w:rsid w:val="004805CF"/>
    <w:rsid w:val="00481BBA"/>
    <w:rsid w:val="004A471D"/>
    <w:rsid w:val="004A7563"/>
    <w:rsid w:val="004B1BBA"/>
    <w:rsid w:val="004B21D6"/>
    <w:rsid w:val="004B2998"/>
    <w:rsid w:val="004C459F"/>
    <w:rsid w:val="004D2643"/>
    <w:rsid w:val="004D757A"/>
    <w:rsid w:val="004E0D91"/>
    <w:rsid w:val="004E2719"/>
    <w:rsid w:val="004E6B13"/>
    <w:rsid w:val="004F035D"/>
    <w:rsid w:val="004F187F"/>
    <w:rsid w:val="004F7D4B"/>
    <w:rsid w:val="005015CC"/>
    <w:rsid w:val="005074FC"/>
    <w:rsid w:val="00514738"/>
    <w:rsid w:val="005158CC"/>
    <w:rsid w:val="00516CF5"/>
    <w:rsid w:val="00517A29"/>
    <w:rsid w:val="00526EA5"/>
    <w:rsid w:val="005270A1"/>
    <w:rsid w:val="00532157"/>
    <w:rsid w:val="00533734"/>
    <w:rsid w:val="005347BA"/>
    <w:rsid w:val="00540325"/>
    <w:rsid w:val="00541C53"/>
    <w:rsid w:val="0054295A"/>
    <w:rsid w:val="00543B30"/>
    <w:rsid w:val="00544C95"/>
    <w:rsid w:val="005525E7"/>
    <w:rsid w:val="005744B9"/>
    <w:rsid w:val="00582746"/>
    <w:rsid w:val="0058621D"/>
    <w:rsid w:val="005869C1"/>
    <w:rsid w:val="0058750E"/>
    <w:rsid w:val="00590557"/>
    <w:rsid w:val="005957AE"/>
    <w:rsid w:val="005A0FE8"/>
    <w:rsid w:val="005B398B"/>
    <w:rsid w:val="005B3C01"/>
    <w:rsid w:val="005B7E32"/>
    <w:rsid w:val="005C59D0"/>
    <w:rsid w:val="005D3E80"/>
    <w:rsid w:val="005D536A"/>
    <w:rsid w:val="005D6A99"/>
    <w:rsid w:val="005E0DF8"/>
    <w:rsid w:val="005E2CFB"/>
    <w:rsid w:val="005F28CD"/>
    <w:rsid w:val="0060013A"/>
    <w:rsid w:val="00600CCA"/>
    <w:rsid w:val="00601FB9"/>
    <w:rsid w:val="00604F05"/>
    <w:rsid w:val="006069B9"/>
    <w:rsid w:val="00607625"/>
    <w:rsid w:val="00610652"/>
    <w:rsid w:val="0061154C"/>
    <w:rsid w:val="00611B8B"/>
    <w:rsid w:val="00611FE6"/>
    <w:rsid w:val="00612D82"/>
    <w:rsid w:val="006158E7"/>
    <w:rsid w:val="00630434"/>
    <w:rsid w:val="0063306B"/>
    <w:rsid w:val="00634480"/>
    <w:rsid w:val="00635A7F"/>
    <w:rsid w:val="0063726F"/>
    <w:rsid w:val="0064048E"/>
    <w:rsid w:val="0064639B"/>
    <w:rsid w:val="00661638"/>
    <w:rsid w:val="006631A3"/>
    <w:rsid w:val="00671668"/>
    <w:rsid w:val="006726FB"/>
    <w:rsid w:val="006774A0"/>
    <w:rsid w:val="0068164D"/>
    <w:rsid w:val="00683AEC"/>
    <w:rsid w:val="0069190F"/>
    <w:rsid w:val="006A15F3"/>
    <w:rsid w:val="006A72BB"/>
    <w:rsid w:val="006B0D66"/>
    <w:rsid w:val="006C3542"/>
    <w:rsid w:val="006C465F"/>
    <w:rsid w:val="006C5598"/>
    <w:rsid w:val="006D304B"/>
    <w:rsid w:val="006D63A6"/>
    <w:rsid w:val="006E6FC2"/>
    <w:rsid w:val="006F268F"/>
    <w:rsid w:val="006F4C75"/>
    <w:rsid w:val="006F63A2"/>
    <w:rsid w:val="00701A70"/>
    <w:rsid w:val="007023EA"/>
    <w:rsid w:val="00702E1C"/>
    <w:rsid w:val="007103A1"/>
    <w:rsid w:val="007171A5"/>
    <w:rsid w:val="00717A87"/>
    <w:rsid w:val="007202D7"/>
    <w:rsid w:val="0072401B"/>
    <w:rsid w:val="00724143"/>
    <w:rsid w:val="00732464"/>
    <w:rsid w:val="00736E22"/>
    <w:rsid w:val="00745FCE"/>
    <w:rsid w:val="0075207C"/>
    <w:rsid w:val="00755920"/>
    <w:rsid w:val="007605DE"/>
    <w:rsid w:val="00765DE2"/>
    <w:rsid w:val="00771B86"/>
    <w:rsid w:val="00771EA5"/>
    <w:rsid w:val="00775B15"/>
    <w:rsid w:val="00782E02"/>
    <w:rsid w:val="007A3B9E"/>
    <w:rsid w:val="007A5447"/>
    <w:rsid w:val="007B0721"/>
    <w:rsid w:val="007B29DF"/>
    <w:rsid w:val="007B5501"/>
    <w:rsid w:val="007B6B3B"/>
    <w:rsid w:val="007B7ADA"/>
    <w:rsid w:val="007C1D03"/>
    <w:rsid w:val="007C7517"/>
    <w:rsid w:val="007D009E"/>
    <w:rsid w:val="007D3EEC"/>
    <w:rsid w:val="007D6C18"/>
    <w:rsid w:val="007D7084"/>
    <w:rsid w:val="007F7DF9"/>
    <w:rsid w:val="008022B1"/>
    <w:rsid w:val="00807D54"/>
    <w:rsid w:val="0081303A"/>
    <w:rsid w:val="008131BF"/>
    <w:rsid w:val="00816299"/>
    <w:rsid w:val="00820DEF"/>
    <w:rsid w:val="008262B2"/>
    <w:rsid w:val="0083451E"/>
    <w:rsid w:val="00836CF3"/>
    <w:rsid w:val="008410F7"/>
    <w:rsid w:val="008428D7"/>
    <w:rsid w:val="00850AEF"/>
    <w:rsid w:val="00851678"/>
    <w:rsid w:val="00853C4F"/>
    <w:rsid w:val="00863A1B"/>
    <w:rsid w:val="00864465"/>
    <w:rsid w:val="008659A0"/>
    <w:rsid w:val="0087266C"/>
    <w:rsid w:val="008731DA"/>
    <w:rsid w:val="0087400C"/>
    <w:rsid w:val="008778B9"/>
    <w:rsid w:val="00881A15"/>
    <w:rsid w:val="0088236E"/>
    <w:rsid w:val="0088588C"/>
    <w:rsid w:val="00887F84"/>
    <w:rsid w:val="00890E03"/>
    <w:rsid w:val="00894E1D"/>
    <w:rsid w:val="008A2264"/>
    <w:rsid w:val="008B3E02"/>
    <w:rsid w:val="008B6885"/>
    <w:rsid w:val="008B69D2"/>
    <w:rsid w:val="008C0343"/>
    <w:rsid w:val="008C0965"/>
    <w:rsid w:val="008C605B"/>
    <w:rsid w:val="008D430A"/>
    <w:rsid w:val="008D450D"/>
    <w:rsid w:val="008D6611"/>
    <w:rsid w:val="008D6822"/>
    <w:rsid w:val="008D6B4D"/>
    <w:rsid w:val="008E26B5"/>
    <w:rsid w:val="008E6A35"/>
    <w:rsid w:val="008F3A96"/>
    <w:rsid w:val="008F7658"/>
    <w:rsid w:val="00900611"/>
    <w:rsid w:val="009010E3"/>
    <w:rsid w:val="00901A17"/>
    <w:rsid w:val="00921C88"/>
    <w:rsid w:val="00926415"/>
    <w:rsid w:val="009271BD"/>
    <w:rsid w:val="00930DD6"/>
    <w:rsid w:val="009368E9"/>
    <w:rsid w:val="00946116"/>
    <w:rsid w:val="00950D15"/>
    <w:rsid w:val="009510BE"/>
    <w:rsid w:val="00954243"/>
    <w:rsid w:val="00954513"/>
    <w:rsid w:val="0095527A"/>
    <w:rsid w:val="00966EC9"/>
    <w:rsid w:val="009678A8"/>
    <w:rsid w:val="00970852"/>
    <w:rsid w:val="00976768"/>
    <w:rsid w:val="00976B32"/>
    <w:rsid w:val="0098198A"/>
    <w:rsid w:val="00981D4F"/>
    <w:rsid w:val="00983147"/>
    <w:rsid w:val="00985538"/>
    <w:rsid w:val="00994456"/>
    <w:rsid w:val="009967FB"/>
    <w:rsid w:val="009A48F6"/>
    <w:rsid w:val="009A49E9"/>
    <w:rsid w:val="009B121C"/>
    <w:rsid w:val="009C1900"/>
    <w:rsid w:val="009C19E6"/>
    <w:rsid w:val="009C4A2C"/>
    <w:rsid w:val="009C70A9"/>
    <w:rsid w:val="009C745E"/>
    <w:rsid w:val="009D1712"/>
    <w:rsid w:val="009D4610"/>
    <w:rsid w:val="009E5581"/>
    <w:rsid w:val="009F0FE0"/>
    <w:rsid w:val="009F5146"/>
    <w:rsid w:val="00A04604"/>
    <w:rsid w:val="00A11D75"/>
    <w:rsid w:val="00A132C1"/>
    <w:rsid w:val="00A21045"/>
    <w:rsid w:val="00A26830"/>
    <w:rsid w:val="00A27D5F"/>
    <w:rsid w:val="00A32C40"/>
    <w:rsid w:val="00A43720"/>
    <w:rsid w:val="00A43A68"/>
    <w:rsid w:val="00A50773"/>
    <w:rsid w:val="00A53303"/>
    <w:rsid w:val="00A610D6"/>
    <w:rsid w:val="00A7005D"/>
    <w:rsid w:val="00A71508"/>
    <w:rsid w:val="00A72267"/>
    <w:rsid w:val="00A76C57"/>
    <w:rsid w:val="00A76F4E"/>
    <w:rsid w:val="00A77F17"/>
    <w:rsid w:val="00A80B23"/>
    <w:rsid w:val="00A80B8B"/>
    <w:rsid w:val="00A81D33"/>
    <w:rsid w:val="00A83FF9"/>
    <w:rsid w:val="00A95B91"/>
    <w:rsid w:val="00AA3673"/>
    <w:rsid w:val="00AA7C54"/>
    <w:rsid w:val="00AB6894"/>
    <w:rsid w:val="00AB7C55"/>
    <w:rsid w:val="00AD603C"/>
    <w:rsid w:val="00AE761B"/>
    <w:rsid w:val="00AF218E"/>
    <w:rsid w:val="00AF2D2C"/>
    <w:rsid w:val="00AF38F1"/>
    <w:rsid w:val="00AF4C90"/>
    <w:rsid w:val="00AF67F3"/>
    <w:rsid w:val="00B01802"/>
    <w:rsid w:val="00B10453"/>
    <w:rsid w:val="00B120E8"/>
    <w:rsid w:val="00B171FF"/>
    <w:rsid w:val="00B20BB8"/>
    <w:rsid w:val="00B24325"/>
    <w:rsid w:val="00B41749"/>
    <w:rsid w:val="00B45281"/>
    <w:rsid w:val="00B47FD3"/>
    <w:rsid w:val="00B51E15"/>
    <w:rsid w:val="00B636DD"/>
    <w:rsid w:val="00B638BE"/>
    <w:rsid w:val="00B66EE4"/>
    <w:rsid w:val="00B84E05"/>
    <w:rsid w:val="00B875D2"/>
    <w:rsid w:val="00B936B1"/>
    <w:rsid w:val="00BA2B89"/>
    <w:rsid w:val="00BB48A1"/>
    <w:rsid w:val="00BB5B43"/>
    <w:rsid w:val="00BB730E"/>
    <w:rsid w:val="00BC2E18"/>
    <w:rsid w:val="00BC5433"/>
    <w:rsid w:val="00BC6E9C"/>
    <w:rsid w:val="00BD305D"/>
    <w:rsid w:val="00BD3BA3"/>
    <w:rsid w:val="00BD7AC5"/>
    <w:rsid w:val="00BE013B"/>
    <w:rsid w:val="00BE4792"/>
    <w:rsid w:val="00BE5274"/>
    <w:rsid w:val="00BE62C0"/>
    <w:rsid w:val="00BF146E"/>
    <w:rsid w:val="00C03038"/>
    <w:rsid w:val="00C14C04"/>
    <w:rsid w:val="00C16AB2"/>
    <w:rsid w:val="00C20D71"/>
    <w:rsid w:val="00C23275"/>
    <w:rsid w:val="00C27B7D"/>
    <w:rsid w:val="00C30543"/>
    <w:rsid w:val="00C3456E"/>
    <w:rsid w:val="00C35F8C"/>
    <w:rsid w:val="00C4029E"/>
    <w:rsid w:val="00C53BC8"/>
    <w:rsid w:val="00C55DDC"/>
    <w:rsid w:val="00C575E7"/>
    <w:rsid w:val="00C6014B"/>
    <w:rsid w:val="00C63E6E"/>
    <w:rsid w:val="00C6475A"/>
    <w:rsid w:val="00C64B93"/>
    <w:rsid w:val="00C65031"/>
    <w:rsid w:val="00C65503"/>
    <w:rsid w:val="00C701C7"/>
    <w:rsid w:val="00C70A36"/>
    <w:rsid w:val="00C726A4"/>
    <w:rsid w:val="00C77EB7"/>
    <w:rsid w:val="00C85D0D"/>
    <w:rsid w:val="00C9560F"/>
    <w:rsid w:val="00C95A9F"/>
    <w:rsid w:val="00C969E1"/>
    <w:rsid w:val="00CB76EC"/>
    <w:rsid w:val="00CC450E"/>
    <w:rsid w:val="00CD1943"/>
    <w:rsid w:val="00CD6498"/>
    <w:rsid w:val="00CD6E5A"/>
    <w:rsid w:val="00CE0532"/>
    <w:rsid w:val="00CE1C16"/>
    <w:rsid w:val="00CE2F03"/>
    <w:rsid w:val="00CE6750"/>
    <w:rsid w:val="00CE6DAB"/>
    <w:rsid w:val="00D00D1C"/>
    <w:rsid w:val="00D0230A"/>
    <w:rsid w:val="00D041D3"/>
    <w:rsid w:val="00D170BE"/>
    <w:rsid w:val="00D17D02"/>
    <w:rsid w:val="00D27CCE"/>
    <w:rsid w:val="00D31594"/>
    <w:rsid w:val="00D33E65"/>
    <w:rsid w:val="00D34114"/>
    <w:rsid w:val="00D369C5"/>
    <w:rsid w:val="00D36F37"/>
    <w:rsid w:val="00D4477D"/>
    <w:rsid w:val="00D4649A"/>
    <w:rsid w:val="00D50A49"/>
    <w:rsid w:val="00D53ED7"/>
    <w:rsid w:val="00D5516D"/>
    <w:rsid w:val="00D608BE"/>
    <w:rsid w:val="00D639F4"/>
    <w:rsid w:val="00D64F1E"/>
    <w:rsid w:val="00D65683"/>
    <w:rsid w:val="00D67DB2"/>
    <w:rsid w:val="00D81272"/>
    <w:rsid w:val="00D92C4D"/>
    <w:rsid w:val="00D92FC1"/>
    <w:rsid w:val="00D954DE"/>
    <w:rsid w:val="00DA36B1"/>
    <w:rsid w:val="00DA4A98"/>
    <w:rsid w:val="00DB4FE9"/>
    <w:rsid w:val="00DB5595"/>
    <w:rsid w:val="00DC4532"/>
    <w:rsid w:val="00DC7DE9"/>
    <w:rsid w:val="00DD2C88"/>
    <w:rsid w:val="00DD4719"/>
    <w:rsid w:val="00DD5578"/>
    <w:rsid w:val="00DD71D1"/>
    <w:rsid w:val="00DE3581"/>
    <w:rsid w:val="00DE661C"/>
    <w:rsid w:val="00DE6E7F"/>
    <w:rsid w:val="00DF228F"/>
    <w:rsid w:val="00DF6B65"/>
    <w:rsid w:val="00E054DB"/>
    <w:rsid w:val="00E06A6C"/>
    <w:rsid w:val="00E13A89"/>
    <w:rsid w:val="00E23363"/>
    <w:rsid w:val="00E2471F"/>
    <w:rsid w:val="00E24F18"/>
    <w:rsid w:val="00E27718"/>
    <w:rsid w:val="00E31D5D"/>
    <w:rsid w:val="00E345CF"/>
    <w:rsid w:val="00E452A7"/>
    <w:rsid w:val="00E46C56"/>
    <w:rsid w:val="00E54ADC"/>
    <w:rsid w:val="00E629F8"/>
    <w:rsid w:val="00E704FC"/>
    <w:rsid w:val="00E75438"/>
    <w:rsid w:val="00E82A50"/>
    <w:rsid w:val="00E83037"/>
    <w:rsid w:val="00E8666A"/>
    <w:rsid w:val="00E9137C"/>
    <w:rsid w:val="00E925F5"/>
    <w:rsid w:val="00E95E75"/>
    <w:rsid w:val="00E96CEB"/>
    <w:rsid w:val="00E96F78"/>
    <w:rsid w:val="00EA3DFE"/>
    <w:rsid w:val="00EB11CF"/>
    <w:rsid w:val="00EC1032"/>
    <w:rsid w:val="00EC2507"/>
    <w:rsid w:val="00EC2B99"/>
    <w:rsid w:val="00ED0A17"/>
    <w:rsid w:val="00ED5F15"/>
    <w:rsid w:val="00EE13B4"/>
    <w:rsid w:val="00EE5473"/>
    <w:rsid w:val="00EE671C"/>
    <w:rsid w:val="00EF3DF6"/>
    <w:rsid w:val="00F14926"/>
    <w:rsid w:val="00F20991"/>
    <w:rsid w:val="00F2554A"/>
    <w:rsid w:val="00F27C76"/>
    <w:rsid w:val="00F34A5F"/>
    <w:rsid w:val="00F432E9"/>
    <w:rsid w:val="00F43FB0"/>
    <w:rsid w:val="00F5446E"/>
    <w:rsid w:val="00F62654"/>
    <w:rsid w:val="00F66233"/>
    <w:rsid w:val="00F66251"/>
    <w:rsid w:val="00F73A5D"/>
    <w:rsid w:val="00F76436"/>
    <w:rsid w:val="00F84DFC"/>
    <w:rsid w:val="00F95578"/>
    <w:rsid w:val="00FA06D5"/>
    <w:rsid w:val="00FA365E"/>
    <w:rsid w:val="00FA3D1B"/>
    <w:rsid w:val="00FB33A5"/>
    <w:rsid w:val="00FB7A20"/>
    <w:rsid w:val="00FC101D"/>
    <w:rsid w:val="00FC343C"/>
    <w:rsid w:val="00FC6CEE"/>
    <w:rsid w:val="00FD2B80"/>
    <w:rsid w:val="00FD3610"/>
    <w:rsid w:val="00FD4D21"/>
    <w:rsid w:val="00FD7A3D"/>
    <w:rsid w:val="00FE03A7"/>
    <w:rsid w:val="00FE1DE0"/>
    <w:rsid w:val="00FE7A05"/>
    <w:rsid w:val="00FF60F2"/>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BB8"/>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LightGrid-Accent31">
    <w:name w:val="Light Grid - Accent 31"/>
    <w:basedOn w:val="Normal"/>
    <w:uiPriority w:val="34"/>
    <w:qFormat/>
    <w:rsid w:val="00826BB4"/>
    <w:pPr>
      <w:ind w:left="720"/>
    </w:pPr>
  </w:style>
  <w:style w:type="paragraph" w:customStyle="1" w:styleId="MediumGrid1-Accent21">
    <w:name w:val="Medium Grid 1 - Accent 2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MediumList2-Accent21">
    <w:name w:val="Medium List 2 - Accent 21"/>
    <w:hidden/>
    <w:uiPriority w:val="99"/>
    <w:semiHidden/>
    <w:rsid w:val="003A0E22"/>
    <w:rPr>
      <w:color w:val="000000"/>
      <w:sz w:val="24"/>
    </w:rPr>
  </w:style>
  <w:style w:type="paragraph" w:styleId="ListParagraph">
    <w:name w:val="List Paragraph"/>
    <w:basedOn w:val="Normal"/>
    <w:uiPriority w:val="34"/>
    <w:qFormat/>
    <w:rsid w:val="00A11D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BB8"/>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LightGrid-Accent31">
    <w:name w:val="Light Grid - Accent 31"/>
    <w:basedOn w:val="Normal"/>
    <w:uiPriority w:val="34"/>
    <w:qFormat/>
    <w:rsid w:val="00826BB4"/>
    <w:pPr>
      <w:ind w:left="720"/>
    </w:pPr>
  </w:style>
  <w:style w:type="paragraph" w:customStyle="1" w:styleId="MediumGrid1-Accent21">
    <w:name w:val="Medium Grid 1 - Accent 2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MediumList2-Accent21">
    <w:name w:val="Medium List 2 - Accent 21"/>
    <w:hidden/>
    <w:uiPriority w:val="99"/>
    <w:semiHidden/>
    <w:rsid w:val="003A0E22"/>
    <w:rPr>
      <w:color w:val="000000"/>
      <w:sz w:val="24"/>
    </w:rPr>
  </w:style>
  <w:style w:type="paragraph" w:styleId="ListParagraph">
    <w:name w:val="List Paragraph"/>
    <w:basedOn w:val="Normal"/>
    <w:uiPriority w:val="34"/>
    <w:qFormat/>
    <w:rsid w:val="00A11D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2015-02-03T08:00:00+00:00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0B954C-07A4-46E3-A391-D2F79FAACC9B}"/>
</file>

<file path=customXml/itemProps2.xml><?xml version="1.0" encoding="utf-8"?>
<ds:datastoreItem xmlns:ds="http://schemas.openxmlformats.org/officeDocument/2006/customXml" ds:itemID="{387A0B09-D681-4C65-B4A0-EFD0DC9F137E}"/>
</file>

<file path=customXml/itemProps3.xml><?xml version="1.0" encoding="utf-8"?>
<ds:datastoreItem xmlns:ds="http://schemas.openxmlformats.org/officeDocument/2006/customXml" ds:itemID="{4007899E-DFDD-4EF5-9B28-22DCEE517DC1}"/>
</file>

<file path=customXml/itemProps4.xml><?xml version="1.0" encoding="utf-8"?>
<ds:datastoreItem xmlns:ds="http://schemas.openxmlformats.org/officeDocument/2006/customXml" ds:itemID="{5576F0F1-DE47-47CA-95B1-82882BE79CB8}"/>
</file>

<file path=customXml/itemProps5.xml><?xml version="1.0" encoding="utf-8"?>
<ds:datastoreItem xmlns:ds="http://schemas.openxmlformats.org/officeDocument/2006/customXml" ds:itemID="{0AB5ACF8-34FF-46C8-94DB-F237BDEBA24D}"/>
</file>

<file path=docProps/app.xml><?xml version="1.0" encoding="utf-8"?>
<Properties xmlns="http://schemas.openxmlformats.org/officeDocument/2006/extended-properties" xmlns:vt="http://schemas.openxmlformats.org/officeDocument/2006/docPropsVTypes">
  <Template>Normal</Template>
  <TotalTime>0</TotalTime>
  <Pages>40</Pages>
  <Words>8531</Words>
  <Characters>46644</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2015-02-02T21:00:00Z</dcterms:created>
  <dcterms:modified xsi:type="dcterms:W3CDTF">2015-02-03T17:12:00Z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