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21" w:rsidRPr="00831348" w:rsidRDefault="00586021">
      <w:pPr>
        <w:pStyle w:val="Header"/>
        <w:suppressLineNumbers/>
        <w:tabs>
          <w:tab w:val="clear" w:pos="4320"/>
          <w:tab w:val="clear" w:pos="8640"/>
        </w:tabs>
        <w:rPr>
          <w:rStyle w:val="LineNumber"/>
        </w:rPr>
      </w:pPr>
      <w:bookmarkStart w:id="0" w:name="_Toc455330007"/>
      <w:bookmarkStart w:id="1" w:name="_Toc473452460"/>
      <w:bookmarkStart w:id="2" w:name="_Toc49155041"/>
    </w:p>
    <w:p w:rsidR="00586021" w:rsidRPr="00831348" w:rsidRDefault="00586021" w:rsidP="001C4333">
      <w:pPr>
        <w:pStyle w:val="Heading1"/>
        <w:ind w:left="0" w:firstLine="0"/>
        <w:rPr>
          <w:rFonts w:ascii="Times New Roman" w:hAnsi="Times New Roman"/>
        </w:rPr>
      </w:pPr>
      <w:r w:rsidRPr="00831348">
        <w:rPr>
          <w:rFonts w:ascii="Times New Roman" w:hAnsi="Times New Roman"/>
        </w:rPr>
        <w:t>DESCRIPTION OF QUANTITATIVE ANALYSES</w:t>
      </w:r>
    </w:p>
    <w:p w:rsidR="00586021" w:rsidRPr="00831348" w:rsidRDefault="00586021">
      <w:pPr>
        <w:suppressLineNumbers/>
      </w:pPr>
    </w:p>
    <w:bookmarkEnd w:id="0"/>
    <w:bookmarkEnd w:id="1"/>
    <w:bookmarkEnd w:id="2"/>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What is the purpose of this </w:t>
      </w:r>
      <w:r w:rsidR="000431C4" w:rsidRPr="00831348">
        <w:rPr>
          <w:rFonts w:ascii="Times New Roman" w:hAnsi="Times New Roman"/>
        </w:rPr>
        <w:t>exhibit</w:t>
      </w:r>
      <w:r w:rsidRPr="00831348">
        <w:rPr>
          <w:rFonts w:ascii="Times New Roman" w:hAnsi="Times New Roman"/>
        </w:rPr>
        <w:t>?</w:t>
      </w:r>
    </w:p>
    <w:p w:rsidR="00586021" w:rsidRPr="00831348" w:rsidRDefault="00586021">
      <w:pPr>
        <w:pStyle w:val="Answer"/>
      </w:pPr>
      <w:r w:rsidRPr="00831348">
        <w:t>A.</w:t>
      </w:r>
      <w:r w:rsidRPr="00831348">
        <w:tab/>
      </w:r>
      <w:proofErr w:type="spellStart"/>
      <w:r w:rsidR="00A4213C">
        <w:t>Exh</w:t>
      </w:r>
      <w:proofErr w:type="spellEnd"/>
      <w:r w:rsidR="00A4213C">
        <w:t xml:space="preserve">. </w:t>
      </w:r>
      <w:r w:rsidR="000431C4" w:rsidRPr="00831348">
        <w:t>AMM</w:t>
      </w:r>
      <w:r w:rsidRPr="00831348">
        <w:t>-3 presents capital market estimates of the cost of equity</w:t>
      </w:r>
      <w:r w:rsidR="00FC0F2E" w:rsidRPr="00FC0F2E">
        <w:t xml:space="preserve"> </w:t>
      </w:r>
      <w:r w:rsidR="00FC0F2E" w:rsidRPr="00536CAE">
        <w:t xml:space="preserve">for the jurisdictional electric and </w:t>
      </w:r>
      <w:r w:rsidR="00FC0F2E">
        <w:t xml:space="preserve">natural </w:t>
      </w:r>
      <w:r w:rsidR="00FC0F2E" w:rsidRPr="00536CAE">
        <w:t>gas utility operations of Avista Corp. (“Avista” or “the Company”)</w:t>
      </w:r>
      <w:r w:rsidRPr="00831348">
        <w:t xml:space="preserve">.  First, I </w:t>
      </w:r>
      <w:r w:rsidR="00A4213C">
        <w:t>will briefly summarize</w:t>
      </w:r>
      <w:r w:rsidRPr="00831348">
        <w:t xml:space="preserve"> the con</w:t>
      </w:r>
      <w:bookmarkStart w:id="3" w:name="_GoBack"/>
      <w:bookmarkEnd w:id="3"/>
      <w:r w:rsidRPr="00831348">
        <w:t xml:space="preserve">cept of the cost of equity, along with the risk-return tradeoff principle fundamental to capital markets.  Next, I describe </w:t>
      </w:r>
      <w:r w:rsidR="00120C2A">
        <w:t xml:space="preserve">my applications of the </w:t>
      </w:r>
      <w:r w:rsidR="007C6B9E">
        <w:t>Discounted Cash Flow (</w:t>
      </w:r>
      <w:r w:rsidR="00BE3477">
        <w:t>“</w:t>
      </w:r>
      <w:r w:rsidRPr="00831348">
        <w:t>DCF</w:t>
      </w:r>
      <w:r w:rsidR="00BE3477">
        <w:t>”</w:t>
      </w:r>
      <w:r w:rsidR="007C6B9E">
        <w:t>)</w:t>
      </w:r>
      <w:r w:rsidRPr="00831348">
        <w:t xml:space="preserve">, </w:t>
      </w:r>
      <w:r w:rsidR="006B1A8D">
        <w:t xml:space="preserve">the </w:t>
      </w:r>
      <w:r w:rsidR="007C6B9E">
        <w:t>Capital Asset Pricing Model (</w:t>
      </w:r>
      <w:r w:rsidR="00BE3477">
        <w:t>“</w:t>
      </w:r>
      <w:r w:rsidRPr="00831348">
        <w:t>CAPM</w:t>
      </w:r>
      <w:r w:rsidR="00BE3477">
        <w:t>”</w:t>
      </w:r>
      <w:r w:rsidR="007C6B9E">
        <w:t>)</w:t>
      </w:r>
      <w:r w:rsidRPr="00831348">
        <w:t xml:space="preserve">, </w:t>
      </w:r>
      <w:r w:rsidR="00120C2A">
        <w:t xml:space="preserve">the </w:t>
      </w:r>
      <w:r w:rsidR="006B1A8D">
        <w:t xml:space="preserve">empirical form of the </w:t>
      </w:r>
      <w:r w:rsidR="00120C2A">
        <w:t xml:space="preserve">CAPM, </w:t>
      </w:r>
      <w:r w:rsidR="000431C4" w:rsidRPr="00831348">
        <w:t xml:space="preserve">a </w:t>
      </w:r>
      <w:r w:rsidRPr="00831348">
        <w:t>risk premium</w:t>
      </w:r>
      <w:r w:rsidR="000431C4" w:rsidRPr="00831348">
        <w:t xml:space="preserve"> </w:t>
      </w:r>
      <w:r w:rsidRPr="00831348">
        <w:t xml:space="preserve">analyses </w:t>
      </w:r>
      <w:r w:rsidR="00BE3477" w:rsidRPr="00BE3477">
        <w:t>based on allowed ROEs for electric utilities, and reference to expected rates of</w:t>
      </w:r>
      <w:r w:rsidR="00BE3477">
        <w:t xml:space="preserve"> return for electric utilities.  </w:t>
      </w:r>
      <w:r w:rsidR="000431C4" w:rsidRPr="00831348">
        <w:t xml:space="preserve">This exhibit also presents </w:t>
      </w:r>
      <w:r w:rsidR="00BE3477">
        <w:t>a</w:t>
      </w:r>
      <w:r w:rsidR="00A4213C">
        <w:t xml:space="preserve"> market-based</w:t>
      </w:r>
      <w:r w:rsidR="000431C4" w:rsidRPr="00831348">
        <w:t xml:space="preserve"> test</w:t>
      </w:r>
      <w:r w:rsidR="00BE3477">
        <w:t xml:space="preserve"> </w:t>
      </w:r>
      <w:r w:rsidR="000431C4" w:rsidRPr="00831348">
        <w:t xml:space="preserve">to </w:t>
      </w:r>
      <w:r w:rsidR="00BE3477" w:rsidRPr="00BE3477">
        <w:t xml:space="preserve">my utility quantitative analyses by applying the DCF model to a group of low risk non-utility firms.  </w:t>
      </w:r>
    </w:p>
    <w:p w:rsidR="00586021" w:rsidRPr="00831348" w:rsidRDefault="00586021">
      <w:pPr>
        <w:pStyle w:val="Heading2"/>
        <w:rPr>
          <w:rFonts w:ascii="Times New Roman" w:hAnsi="Times New Roman"/>
        </w:rPr>
      </w:pPr>
      <w:bookmarkStart w:id="4" w:name="_Toc535689229"/>
      <w:bookmarkStart w:id="5" w:name="_Toc50231732"/>
      <w:bookmarkStart w:id="6" w:name="_Toc161404696"/>
      <w:r w:rsidRPr="00831348">
        <w:rPr>
          <w:rFonts w:ascii="Times New Roman" w:hAnsi="Times New Roman"/>
        </w:rPr>
        <w:t>Overview</w:t>
      </w:r>
      <w:bookmarkEnd w:id="4"/>
      <w:bookmarkEnd w:id="5"/>
      <w:bookmarkEnd w:id="6"/>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fundamental economic principle underlies any evaluation of investors’ required return on equity</w:t>
      </w:r>
      <w:r w:rsidR="00BE3477">
        <w:rPr>
          <w:rFonts w:ascii="Times New Roman" w:hAnsi="Times New Roman"/>
        </w:rPr>
        <w:t xml:space="preserve"> (“ROE”)</w:t>
      </w:r>
      <w:r w:rsidRPr="00831348">
        <w:rPr>
          <w:rFonts w:ascii="Times New Roman" w:hAnsi="Times New Roman"/>
        </w:rPr>
        <w:t>?</w:t>
      </w:r>
    </w:p>
    <w:p w:rsidR="00586021" w:rsidRPr="00831348" w:rsidRDefault="00586021">
      <w:pPr>
        <w:pStyle w:val="Answer"/>
      </w:pPr>
      <w:r w:rsidRPr="00831348">
        <w:t>A.</w:t>
      </w:r>
      <w:r w:rsidRPr="00831348">
        <w:tab/>
        <w:t>The fundamental economic principle underlying the cost of equity concept is the notion that investors are risk averse.  In capital markets where relatively risk</w:t>
      </w:r>
      <w:r w:rsidRPr="00831348">
        <w:noBreakHyphen/>
        <w:t>free assets are available (</w:t>
      </w:r>
      <w:r w:rsidRPr="00831348">
        <w:rPr>
          <w:i/>
        </w:rPr>
        <w:t>e.g.</w:t>
      </w:r>
      <w:r w:rsidRPr="00831348">
        <w:t>, U.S. Treasury securities), investors can be induced to hold riskier assets only if they are offered a premium, or additional return, above the rate of return on a risk</w:t>
      </w:r>
      <w:r w:rsidRPr="00831348">
        <w:noBreakHyphen/>
        <w:t xml:space="preserve">free asset.  Since all assets compete with each other for investor funds, riskier assets must yield a higher expected rate of return than safer assets to induce investors to hold them. </w:t>
      </w:r>
    </w:p>
    <w:p w:rsidR="00586021" w:rsidRPr="00831348" w:rsidRDefault="00586021">
      <w:pPr>
        <w:pStyle w:val="Answer"/>
        <w:rPr>
          <w:szCs w:val="26"/>
        </w:rPr>
      </w:pPr>
      <w:r w:rsidRPr="00831348">
        <w:rPr>
          <w:szCs w:val="26"/>
        </w:rPr>
        <w:t xml:space="preserve">Given this risk-return tradeoff, the </w:t>
      </w:r>
      <w:r w:rsidRPr="00831348">
        <w:t>required</w:t>
      </w:r>
      <w:r w:rsidRPr="00831348">
        <w:rPr>
          <w:szCs w:val="26"/>
        </w:rPr>
        <w:t xml:space="preserve"> rate of return (k) from an asset (i) can be generally expressed as:</w:t>
      </w:r>
    </w:p>
    <w:p w:rsidR="00586021" w:rsidRPr="00831348" w:rsidRDefault="00586021" w:rsidP="00376B53">
      <w:pPr>
        <w:keepNext/>
        <w:spacing w:before="120" w:after="240" w:line="240" w:lineRule="exact"/>
        <w:jc w:val="both"/>
        <w:rPr>
          <w:sz w:val="22"/>
          <w:vertAlign w:val="subscript"/>
        </w:rPr>
      </w:pPr>
      <w:r w:rsidRPr="00831348">
        <w:rPr>
          <w:sz w:val="22"/>
        </w:rPr>
        <w:lastRenderedPageBreak/>
        <w:tab/>
      </w:r>
      <w:r w:rsidRPr="00831348">
        <w:rPr>
          <w:sz w:val="22"/>
        </w:rPr>
        <w:tab/>
      </w:r>
      <w:r w:rsidRPr="00831348">
        <w:rPr>
          <w:sz w:val="22"/>
        </w:rPr>
        <w:tab/>
        <w:t xml:space="preserve">  </w:t>
      </w:r>
      <w:proofErr w:type="gramStart"/>
      <w:r w:rsidRPr="00831348">
        <w:rPr>
          <w:i/>
          <w:sz w:val="22"/>
        </w:rPr>
        <w:t>k</w:t>
      </w:r>
      <w:r w:rsidRPr="00831348">
        <w:rPr>
          <w:sz w:val="22"/>
          <w:vertAlign w:val="subscript"/>
        </w:rPr>
        <w:t>i</w:t>
      </w:r>
      <w:proofErr w:type="gramEnd"/>
      <w:r w:rsidRPr="00831348">
        <w:rPr>
          <w:sz w:val="22"/>
        </w:rPr>
        <w:t xml:space="preserve">   = </w:t>
      </w:r>
      <w:r w:rsidRPr="00831348">
        <w:rPr>
          <w:i/>
          <w:sz w:val="22"/>
        </w:rPr>
        <w:t>R</w:t>
      </w:r>
      <w:r w:rsidRPr="00831348">
        <w:rPr>
          <w:sz w:val="22"/>
          <w:vertAlign w:val="subscript"/>
        </w:rPr>
        <w:t>f</w:t>
      </w:r>
      <w:r w:rsidRPr="00831348">
        <w:rPr>
          <w:sz w:val="22"/>
        </w:rPr>
        <w:t xml:space="preserve"> +</w:t>
      </w:r>
      <w:r w:rsidRPr="00831348">
        <w:rPr>
          <w:i/>
          <w:sz w:val="22"/>
        </w:rPr>
        <w:t>RP</w:t>
      </w:r>
      <w:r w:rsidRPr="00831348">
        <w:rPr>
          <w:sz w:val="22"/>
          <w:vertAlign w:val="subscript"/>
        </w:rPr>
        <w:t>i</w:t>
      </w:r>
    </w:p>
    <w:p w:rsidR="00586021" w:rsidRPr="00831348" w:rsidRDefault="00586021">
      <w:pPr>
        <w:pStyle w:val="SingleSpaced"/>
        <w:keepNext/>
        <w:jc w:val="both"/>
        <w:rPr>
          <w:rFonts w:ascii="Times New Roman" w:hAnsi="Times New Roman"/>
        </w:rPr>
      </w:pPr>
      <w:r w:rsidRPr="00831348">
        <w:rPr>
          <w:rFonts w:ascii="Times New Roman" w:hAnsi="Times New Roman"/>
        </w:rPr>
        <w:t xml:space="preserve">      </w:t>
      </w:r>
      <w:proofErr w:type="gramStart"/>
      <w:r w:rsidRPr="00831348">
        <w:rPr>
          <w:rFonts w:ascii="Times New Roman" w:hAnsi="Times New Roman"/>
        </w:rPr>
        <w:t>where</w:t>
      </w:r>
      <w:proofErr w:type="gramEnd"/>
      <w:r w:rsidRPr="00831348">
        <w:rPr>
          <w:rFonts w:ascii="Times New Roman" w:hAnsi="Times New Roman"/>
        </w:rPr>
        <w:t>:</w:t>
      </w:r>
      <w:r w:rsidRPr="00831348">
        <w:rPr>
          <w:rFonts w:ascii="Times New Roman" w:hAnsi="Times New Roman"/>
        </w:rPr>
        <w:tab/>
      </w:r>
      <w:r w:rsidRPr="00831348">
        <w:rPr>
          <w:rFonts w:ascii="Times New Roman" w:hAnsi="Times New Roman"/>
          <w:i/>
        </w:rPr>
        <w:t>R</w:t>
      </w:r>
      <w:r w:rsidRPr="00831348">
        <w:rPr>
          <w:rFonts w:ascii="Times New Roman" w:hAnsi="Times New Roman"/>
          <w:vertAlign w:val="subscript"/>
        </w:rPr>
        <w:t xml:space="preserve">f </w:t>
      </w:r>
      <w:r w:rsidRPr="00831348">
        <w:rPr>
          <w:rFonts w:ascii="Times New Roman" w:hAnsi="Times New Roman"/>
        </w:rPr>
        <w:t xml:space="preserve">  = Risk-free rate of return, and</w:t>
      </w:r>
    </w:p>
    <w:p w:rsidR="00586021" w:rsidRPr="00831348" w:rsidRDefault="00586021">
      <w:pPr>
        <w:pStyle w:val="SingleSpaced"/>
        <w:keepNext/>
        <w:spacing w:after="240"/>
        <w:ind w:left="1440" w:firstLine="720"/>
        <w:jc w:val="both"/>
        <w:rPr>
          <w:rFonts w:ascii="Times New Roman" w:hAnsi="Times New Roman"/>
        </w:rPr>
      </w:pPr>
      <w:r w:rsidRPr="00831348">
        <w:rPr>
          <w:rFonts w:ascii="Times New Roman" w:hAnsi="Times New Roman"/>
          <w:i/>
        </w:rPr>
        <w:t>RP</w:t>
      </w:r>
      <w:r w:rsidRPr="00831348">
        <w:rPr>
          <w:rFonts w:ascii="Times New Roman" w:hAnsi="Times New Roman"/>
          <w:vertAlign w:val="subscript"/>
        </w:rPr>
        <w:t>i</w:t>
      </w:r>
      <w:r w:rsidRPr="00831348">
        <w:rPr>
          <w:rFonts w:ascii="Times New Roman" w:hAnsi="Times New Roman"/>
        </w:rPr>
        <w:t xml:space="preserve"> = Risk premium required to hold riskier asset i.</w:t>
      </w:r>
    </w:p>
    <w:p w:rsidR="00586021" w:rsidRPr="00831348" w:rsidRDefault="00586021">
      <w:pPr>
        <w:pStyle w:val="Answer"/>
        <w:ind w:firstLine="0"/>
        <w:rPr>
          <w:szCs w:val="26"/>
        </w:rPr>
      </w:pPr>
      <w:r w:rsidRPr="00831348">
        <w:rPr>
          <w:szCs w:val="26"/>
        </w:rPr>
        <w:t>Thus, the required rate of return for a particular asset at any point in time is a function of: 1) the yield on risk-free assets, and 2) its relative risk, with investors demanding correspondingly larger risk premiums for assets bearing greater risk.</w:t>
      </w:r>
    </w:p>
    <w:p w:rsidR="007E4DA1" w:rsidRPr="00831348" w:rsidRDefault="007E4DA1" w:rsidP="007E4DA1">
      <w:pPr>
        <w:pStyle w:val="Answer"/>
        <w:rPr>
          <w:b/>
          <w:szCs w:val="26"/>
        </w:rPr>
      </w:pPr>
      <w:r w:rsidRPr="00831348">
        <w:rPr>
          <w:b/>
          <w:szCs w:val="26"/>
        </w:rPr>
        <w:t>Q.</w:t>
      </w:r>
      <w:r w:rsidRPr="00831348">
        <w:rPr>
          <w:b/>
          <w:szCs w:val="26"/>
        </w:rPr>
        <w:tab/>
      </w:r>
      <w:r w:rsidR="008D1F79" w:rsidRPr="00831348">
        <w:rPr>
          <w:b/>
          <w:szCs w:val="26"/>
        </w:rPr>
        <w:t>Is there evidence that the risk-return tradeoff principle actually operates in the capital markets</w:t>
      </w:r>
      <w:r w:rsidRPr="00831348">
        <w:rPr>
          <w:b/>
          <w:szCs w:val="26"/>
        </w:rPr>
        <w:t>?</w:t>
      </w:r>
    </w:p>
    <w:p w:rsidR="007E4DA1" w:rsidRPr="00831348" w:rsidRDefault="007E4DA1" w:rsidP="007E4DA1">
      <w:pPr>
        <w:pStyle w:val="Answer"/>
        <w:rPr>
          <w:szCs w:val="26"/>
        </w:rPr>
      </w:pPr>
      <w:r w:rsidRPr="00831348">
        <w:rPr>
          <w:szCs w:val="26"/>
        </w:rPr>
        <w:t>A.</w:t>
      </w:r>
      <w:r w:rsidRPr="00831348">
        <w:rPr>
          <w:szCs w:val="26"/>
        </w:rPr>
        <w:tab/>
        <w:t>Yes.  The risk-return tradeoff can be readily documented in segments of the capital markets where required rates of return can be directly inferred from market data and where generally accepted measures of risk exist.  Bond yields, for example, reflect investors’ expected rates of return, and bond ratings measure the risk of individual bond issues.  Comparing the observed yields on government securities, which are considered free of default risk, to the yields on bonds of various rating categories demonstrates that the risk-return tradeoff does, in fact, exist.</w:t>
      </w:r>
    </w:p>
    <w:p w:rsidR="007E4DA1" w:rsidRPr="00831348" w:rsidRDefault="007E4DA1" w:rsidP="007E4DA1">
      <w:pPr>
        <w:pStyle w:val="Answer"/>
        <w:rPr>
          <w:b/>
          <w:szCs w:val="26"/>
        </w:rPr>
      </w:pPr>
      <w:r w:rsidRPr="00831348">
        <w:rPr>
          <w:b/>
          <w:szCs w:val="26"/>
        </w:rPr>
        <w:t>Q.</w:t>
      </w:r>
      <w:r w:rsidRPr="00831348">
        <w:rPr>
          <w:b/>
          <w:szCs w:val="26"/>
        </w:rPr>
        <w:tab/>
      </w:r>
      <w:r w:rsidR="008D1F79" w:rsidRPr="00831348">
        <w:rPr>
          <w:b/>
          <w:szCs w:val="26"/>
        </w:rPr>
        <w:t>Does the risk-return tradeoff observed with fixed income securities extend to common stocks and other assets</w:t>
      </w:r>
      <w:r w:rsidRPr="00831348">
        <w:rPr>
          <w:b/>
          <w:szCs w:val="26"/>
        </w:rPr>
        <w:t>?</w:t>
      </w:r>
    </w:p>
    <w:p w:rsidR="007E4DA1" w:rsidRPr="00831348" w:rsidRDefault="007E4DA1" w:rsidP="007E4DA1">
      <w:pPr>
        <w:pStyle w:val="Answer"/>
        <w:rPr>
          <w:szCs w:val="26"/>
        </w:rPr>
      </w:pPr>
      <w:r w:rsidRPr="00831348">
        <w:rPr>
          <w:szCs w:val="26"/>
        </w:rPr>
        <w:t xml:space="preserve">A. </w:t>
      </w:r>
      <w:r w:rsidRPr="00831348">
        <w:rPr>
          <w:szCs w:val="26"/>
        </w:rPr>
        <w:tab/>
        <w:t>It is widely accepted that the risk-return tradeoff evidenced with long-term debt extends to all assets.  Documenting the risk-return tradeoff for assets other than fixed income securities, however, is complicated by two factors.  First, there is no standard measure of risk applicable to all assets.  Second, for most assets – including common stock – required rates of return cannot be directly observed.  Yet there is every reason to believe that investors exhibit risk aversion in deciding whether or not to hold common stocks and other assets, just as when choosing among fixed-income securities.</w:t>
      </w:r>
    </w:p>
    <w:p w:rsidR="007E4DA1" w:rsidRPr="00831348" w:rsidRDefault="007E4DA1" w:rsidP="007E4DA1">
      <w:pPr>
        <w:pStyle w:val="Answer"/>
        <w:rPr>
          <w:b/>
          <w:szCs w:val="26"/>
        </w:rPr>
      </w:pPr>
      <w:r w:rsidRPr="00831348">
        <w:rPr>
          <w:b/>
          <w:szCs w:val="26"/>
        </w:rPr>
        <w:lastRenderedPageBreak/>
        <w:t>Q.</w:t>
      </w:r>
      <w:r w:rsidRPr="00831348">
        <w:rPr>
          <w:b/>
          <w:szCs w:val="26"/>
        </w:rPr>
        <w:tab/>
      </w:r>
      <w:r w:rsidR="008D1F79" w:rsidRPr="00831348">
        <w:rPr>
          <w:b/>
          <w:szCs w:val="26"/>
        </w:rPr>
        <w:t>Is this risk-return tradeoff limited to differences between firms</w:t>
      </w:r>
      <w:r w:rsidRPr="00831348">
        <w:rPr>
          <w:b/>
          <w:szCs w:val="26"/>
        </w:rPr>
        <w:t>?</w:t>
      </w:r>
    </w:p>
    <w:p w:rsidR="007E4DA1" w:rsidRPr="00E57C57" w:rsidRDefault="007E4DA1" w:rsidP="00D06FA4">
      <w:pPr>
        <w:pStyle w:val="Answer"/>
      </w:pPr>
      <w:r w:rsidRPr="00D06FA4">
        <w:t>A.</w:t>
      </w:r>
      <w:r w:rsidRPr="00D06FA4">
        <w:tab/>
        <w:t xml:space="preserve">No. The </w:t>
      </w:r>
      <w:r w:rsidRPr="008C5895">
        <w:t>risk</w:t>
      </w:r>
      <w:r w:rsidRPr="00D06FA4">
        <w:t>-return tradeoff principle applies not only to investments in different firms, but also to different securities issued by the same firm.  The securities issued by a utility vary considerably in risk because they have different characteristics and priorities.  As noted earlier, long-term debt is senior among all capi</w:t>
      </w:r>
      <w:r w:rsidRPr="00E57C57">
        <w:t>tal in its claim on a utility’s net revenues and is, therefore, the least risky.  The last investors in line are common shareholders.  They receive only the net revenues, if any, remaining after all other claimants have been paid.  As a result, the rate of return that investors require from a utility’s common stock, the most junior and riskiest of its securities, must be considerably higher than the yield offered by the utility’s senior, long-term debt.</w:t>
      </w:r>
    </w:p>
    <w:p w:rsidR="00586021" w:rsidRPr="00831348" w:rsidRDefault="00586021" w:rsidP="00376B53">
      <w:pPr>
        <w:pStyle w:val="Question0"/>
      </w:pPr>
      <w:r w:rsidRPr="00831348">
        <w:t>Q.</w:t>
      </w:r>
      <w:r w:rsidRPr="00831348">
        <w:tab/>
      </w:r>
      <w:r w:rsidR="00B86E8C" w:rsidRPr="00831348">
        <w:t>What does the above discussion imply with respect to estimating the cost of common equity for a utility?</w:t>
      </w:r>
    </w:p>
    <w:p w:rsidR="00586021" w:rsidRPr="00831348" w:rsidRDefault="00586021" w:rsidP="00376B53">
      <w:pPr>
        <w:pStyle w:val="Answer"/>
      </w:pPr>
      <w:r w:rsidRPr="00831348">
        <w:t>A.</w:t>
      </w:r>
      <w:r w:rsidRPr="00831348">
        <w:tab/>
      </w:r>
      <w:r w:rsidR="00B86E8C" w:rsidRPr="00831348">
        <w:t xml:space="preserve">Although the cost of common </w:t>
      </w:r>
      <w:r w:rsidR="00B86E8C" w:rsidRPr="00376B53">
        <w:t>equity</w:t>
      </w:r>
      <w:r w:rsidR="00B86E8C" w:rsidRPr="00831348">
        <w:t xml:space="preserve"> cannot be observed directly, it is a function of the returns available from other investment alternatives and the risks to which the equity capital is exposed.</w:t>
      </w:r>
      <w:r w:rsidRPr="00831348">
        <w:t xml:space="preserve">  Because it is unobservable, the cost of equity for a particular utility must be estimated by analyzing information about capital market conditions generally, assessing the relative risks of the company specifically, and employing various quantitative methods that focus on investors’ current required rates of return.  These various quantitative methods typically attempt to infer investors’ required rates of return from stock prices, interest rates, or other capital market data.</w:t>
      </w:r>
    </w:p>
    <w:p w:rsidR="00586021" w:rsidRPr="00831348" w:rsidRDefault="00586021">
      <w:pPr>
        <w:pStyle w:val="Heading2"/>
        <w:rPr>
          <w:rFonts w:ascii="Times New Roman" w:hAnsi="Times New Roman"/>
        </w:rPr>
      </w:pPr>
      <w:bookmarkStart w:id="7" w:name="_Toc205223779"/>
      <w:bookmarkStart w:id="8" w:name="_Toc211877847"/>
      <w:r w:rsidRPr="00831348">
        <w:rPr>
          <w:rFonts w:ascii="Times New Roman" w:hAnsi="Times New Roman"/>
        </w:rPr>
        <w:lastRenderedPageBreak/>
        <w:t>Comparable Risk Proxy Group</w:t>
      </w:r>
      <w:bookmarkEnd w:id="7"/>
      <w:bookmarkEnd w:id="8"/>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did you implement quantitative methods to estimate the cost of common equity for Avista?</w:t>
      </w:r>
    </w:p>
    <w:p w:rsidR="00586021" w:rsidRPr="00831348" w:rsidRDefault="00586021">
      <w:pPr>
        <w:pStyle w:val="Answer"/>
      </w:pPr>
      <w:r w:rsidRPr="00831348">
        <w:t>A.</w:t>
      </w:r>
      <w:r w:rsidRPr="00831348">
        <w:tab/>
        <w:t xml:space="preserve">Application of quantitative methods to estimate the cost of equity requires observable capital market data, such as stock prices.  Moreover, even for a firm with publicly traded stock, the cost of equity can only be estimated.  As a result, applying quantitative models using observable market data produces an estimate that inherently includes some degree of observation error.  Thus, the accepted approach to increase confidence in the results is to apply </w:t>
      </w:r>
      <w:r w:rsidR="002D5B08">
        <w:t>multiple</w:t>
      </w:r>
      <w:r w:rsidRPr="00831348">
        <w:t xml:space="preserve"> quantitative methods </w:t>
      </w:r>
      <w:r w:rsidR="000431C4" w:rsidRPr="00831348">
        <w:t xml:space="preserve">such as the DCF and ECAPM </w:t>
      </w:r>
      <w:r w:rsidRPr="00831348">
        <w:t xml:space="preserve">to a proxy group of publicly traded </w:t>
      </w:r>
      <w:r w:rsidR="002D5B08">
        <w:t xml:space="preserve">utility </w:t>
      </w:r>
      <w:r w:rsidRPr="00831348">
        <w:t>companies that investors regard as risk</w:t>
      </w:r>
      <w:r w:rsidR="000431C4" w:rsidRPr="00831348">
        <w:t>-</w:t>
      </w:r>
      <w:r w:rsidRPr="00831348">
        <w:t xml:space="preserve">comparable.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What specific proxy group </w:t>
      </w:r>
      <w:r w:rsidR="000431C4" w:rsidRPr="00831348">
        <w:rPr>
          <w:rFonts w:ascii="Times New Roman" w:hAnsi="Times New Roman"/>
        </w:rPr>
        <w:t xml:space="preserve">of utilities </w:t>
      </w:r>
      <w:r w:rsidRPr="00831348">
        <w:rPr>
          <w:rFonts w:ascii="Times New Roman" w:hAnsi="Times New Roman"/>
        </w:rPr>
        <w:t>did you rely on for your analys</w:t>
      </w:r>
      <w:r w:rsidR="002D5B08">
        <w:rPr>
          <w:rFonts w:ascii="Times New Roman" w:hAnsi="Times New Roman"/>
        </w:rPr>
        <w:t>e</w:t>
      </w:r>
      <w:r w:rsidRPr="00831348">
        <w:rPr>
          <w:rFonts w:ascii="Times New Roman" w:hAnsi="Times New Roman"/>
        </w:rPr>
        <w:t>s?</w:t>
      </w:r>
    </w:p>
    <w:p w:rsidR="000431C4" w:rsidRPr="00831348" w:rsidRDefault="000431C4" w:rsidP="000431C4">
      <w:pPr>
        <w:pStyle w:val="Answer"/>
      </w:pPr>
      <w:r w:rsidRPr="00831348">
        <w:t>A.</w:t>
      </w:r>
      <w:r w:rsidRPr="00831348">
        <w:tab/>
      </w:r>
      <w:r w:rsidR="00586021" w:rsidRPr="00831348">
        <w:t>In order to reflect the risks and prospects associated with Avista’s jurisdictional utility operations, my DCF analyses focused on a reference group of other utilities composed of those companies included by The Value Line Investment Survey (“Value Line”) in its Electric Utilities Industry groups with:</w:t>
      </w:r>
    </w:p>
    <w:p w:rsidR="000431C4" w:rsidRPr="00831348" w:rsidRDefault="006B1A8D" w:rsidP="00FC0F2E">
      <w:pPr>
        <w:pStyle w:val="Answer"/>
        <w:numPr>
          <w:ilvl w:val="0"/>
          <w:numId w:val="23"/>
        </w:numPr>
        <w:spacing w:after="240" w:line="240" w:lineRule="auto"/>
      </w:pPr>
      <w:r w:rsidRPr="006B1A8D">
        <w:t xml:space="preserve">Corporate </w:t>
      </w:r>
      <w:proofErr w:type="gramStart"/>
      <w:r w:rsidRPr="006B1A8D">
        <w:t>credit ratings from S&amp;P and Moody’s</w:t>
      </w:r>
      <w:proofErr w:type="gramEnd"/>
      <w:r w:rsidRPr="006B1A8D">
        <w:t xml:space="preserve"> corresponding to one notch above and below the Company’s current ratings.  For S&amp;P, this resulted in a ratings range of </w:t>
      </w:r>
      <w:r>
        <w:t xml:space="preserve">BBB-, BBB, and </w:t>
      </w:r>
      <w:r w:rsidRPr="006B1A8D">
        <w:t>BBB+; for Moody’s the range was Baa</w:t>
      </w:r>
      <w:r>
        <w:t>2</w:t>
      </w:r>
      <w:r w:rsidRPr="006B1A8D">
        <w:t>, Baa</w:t>
      </w:r>
      <w:r>
        <w:t>1</w:t>
      </w:r>
      <w:r w:rsidRPr="006B1A8D">
        <w:t xml:space="preserve">, </w:t>
      </w:r>
      <w:r>
        <w:t>or A3.</w:t>
      </w:r>
      <w:r w:rsidR="00586021" w:rsidRPr="00831348">
        <w:t xml:space="preserve"> </w:t>
      </w:r>
    </w:p>
    <w:p w:rsidR="000431C4" w:rsidRPr="00831348" w:rsidRDefault="00586021" w:rsidP="000431C4">
      <w:pPr>
        <w:pStyle w:val="Answer"/>
        <w:numPr>
          <w:ilvl w:val="0"/>
          <w:numId w:val="23"/>
        </w:numPr>
      </w:pPr>
      <w:r w:rsidRPr="00831348">
        <w:t>Value Line Safety Rank of “2” or “3”</w:t>
      </w:r>
      <w:r w:rsidR="006B1A8D">
        <w:t>.</w:t>
      </w:r>
    </w:p>
    <w:p w:rsidR="00DC6300" w:rsidRPr="00831348" w:rsidRDefault="00DC6300" w:rsidP="000431C4">
      <w:pPr>
        <w:pStyle w:val="Answer"/>
        <w:numPr>
          <w:ilvl w:val="0"/>
          <w:numId w:val="23"/>
        </w:numPr>
      </w:pPr>
      <w:r w:rsidRPr="00831348">
        <w:t xml:space="preserve">No </w:t>
      </w:r>
      <w:r w:rsidR="006B1A8D">
        <w:t xml:space="preserve">ongoing </w:t>
      </w:r>
      <w:r w:rsidRPr="00831348">
        <w:t>involvement in a major merger or acquisition</w:t>
      </w:r>
      <w:r w:rsidR="006B1A8D">
        <w:t>.</w:t>
      </w:r>
    </w:p>
    <w:p w:rsidR="00DC6300" w:rsidRPr="00831348" w:rsidRDefault="006B1A8D" w:rsidP="006B1A8D">
      <w:pPr>
        <w:pStyle w:val="Answer"/>
        <w:numPr>
          <w:ilvl w:val="0"/>
          <w:numId w:val="23"/>
        </w:numPr>
        <w:spacing w:after="240" w:line="240" w:lineRule="auto"/>
      </w:pPr>
      <w:r w:rsidRPr="006B1A8D">
        <w:t>No cuts in dividend payments during the past six months and no announcement of a dividend cut since that time.</w:t>
      </w:r>
    </w:p>
    <w:p w:rsidR="00586021" w:rsidRPr="00831348" w:rsidRDefault="00DC6300" w:rsidP="00DC6300">
      <w:pPr>
        <w:pStyle w:val="Answer"/>
        <w:ind w:firstLine="0"/>
      </w:pPr>
      <w:r w:rsidRPr="00831348">
        <w:t xml:space="preserve">These criteria resulted in a proxy group composed of </w:t>
      </w:r>
      <w:r w:rsidR="003C7D11">
        <w:t>1</w:t>
      </w:r>
      <w:r w:rsidR="00B075FF">
        <w:t>8</w:t>
      </w:r>
      <w:r w:rsidR="008C5895" w:rsidRPr="00831348">
        <w:t xml:space="preserve"> </w:t>
      </w:r>
      <w:r w:rsidRPr="00831348">
        <w:t xml:space="preserve">companies, which </w:t>
      </w:r>
      <w:r w:rsidR="00586021" w:rsidRPr="00831348">
        <w:t>I refer to as the “Utility Group.”</w:t>
      </w:r>
    </w:p>
    <w:p w:rsidR="00586021" w:rsidRPr="00831348" w:rsidRDefault="00586021">
      <w:pPr>
        <w:pStyle w:val="Question0"/>
        <w:rPr>
          <w:rFonts w:ascii="Times New Roman" w:hAnsi="Times New Roman"/>
        </w:rPr>
      </w:pPr>
      <w:r w:rsidRPr="00831348">
        <w:rPr>
          <w:rFonts w:ascii="Times New Roman" w:hAnsi="Times New Roman"/>
        </w:rPr>
        <w:lastRenderedPageBreak/>
        <w:t>Q.</w:t>
      </w:r>
      <w:r w:rsidRPr="00831348">
        <w:rPr>
          <w:rFonts w:ascii="Times New Roman" w:hAnsi="Times New Roman"/>
        </w:rPr>
        <w:tab/>
      </w:r>
      <w:r w:rsidR="00DC6300" w:rsidRPr="00831348">
        <w:rPr>
          <w:rFonts w:ascii="Times New Roman" w:hAnsi="Times New Roman"/>
        </w:rPr>
        <w:t>How did you evaluate the risks of the Utility Group relative to Avista?</w:t>
      </w:r>
    </w:p>
    <w:p w:rsidR="00586021" w:rsidRPr="00831348" w:rsidRDefault="00586021">
      <w:pPr>
        <w:pStyle w:val="Answer"/>
      </w:pPr>
      <w:r w:rsidRPr="00831348">
        <w:rPr>
          <w:szCs w:val="26"/>
        </w:rPr>
        <w:t>A.</w:t>
      </w:r>
      <w:r w:rsidRPr="00831348">
        <w:rPr>
          <w:szCs w:val="26"/>
        </w:rPr>
        <w:tab/>
      </w:r>
      <w:r w:rsidR="00DC6300" w:rsidRPr="00831348">
        <w:rPr>
          <w:szCs w:val="26"/>
        </w:rPr>
        <w:t xml:space="preserve">My evaluation of relative risk considered </w:t>
      </w:r>
      <w:r w:rsidR="008438C5">
        <w:rPr>
          <w:szCs w:val="26"/>
        </w:rPr>
        <w:t>four</w:t>
      </w:r>
      <w:r w:rsidR="00DC6300" w:rsidRPr="00831348">
        <w:rPr>
          <w:szCs w:val="26"/>
        </w:rPr>
        <w:t xml:space="preserve"> objective, published benchmarks that are widely relied on in the investment community.  </w:t>
      </w:r>
      <w:r w:rsidRPr="00831348">
        <w:t>Credit ratings are assigned by independent rating agencies for the purpose of providing investors with a broad assessment of the creditworthiness of a firm.  Ratings generally extend from triple-A (the highest) to D (in default).  Other symbols (</w:t>
      </w:r>
      <w:r w:rsidRPr="00831348">
        <w:rPr>
          <w:i/>
        </w:rPr>
        <w:t>e.g.</w:t>
      </w:r>
      <w:r w:rsidRPr="00831348">
        <w:t>, "</w:t>
      </w:r>
      <w:r w:rsidR="00DC6300" w:rsidRPr="00831348">
        <w:t>BBB</w:t>
      </w:r>
      <w:r w:rsidRPr="00831348">
        <w:t>+") are used to show relative standing within a category.  Because the rating agencies’ evaluation includes virtually all of the factors normally considered important in assessing a firm’s relative credit standing, corporate credit ratings provide a broad, objective measure of overall investment risk that is readily available to investors.  Although the credit rating agencies are not immune to criticism, their rankings and analyses are widely cited in the investment community and referenced by investors.  Investment restrictions tied to credit ratings continue to influence capital flows, and credit ratings are also frequently used as a primary risk indicator in establishing proxy groups to estimate the cost of common equity.</w:t>
      </w:r>
    </w:p>
    <w:p w:rsidR="00586021" w:rsidRPr="00831348" w:rsidRDefault="00586021">
      <w:pPr>
        <w:pStyle w:val="Answer2"/>
      </w:pPr>
      <w:r w:rsidRPr="00831348">
        <w:t xml:space="preserve">While credit ratings provide the most widely referenced benchmark for investment risks, other quality rankings published by investment advisory services also provide relative assessments of risks that are considered by investors in forming their expectations for common stocks.  Value Line’s primary risk indicator is its Safety Rank, which ranges from “1” (Safest) to “5” (Riskiest).  This overall risk measure is intended to capture the total risk of a stock, and incorporates elements of stock price stability and financial strength.  Given that Value Line is perhaps the most widely available source of investment advisory information, its Safety Rank provides useful guidance regarding the risk perceptions of investors.  </w:t>
      </w:r>
    </w:p>
    <w:p w:rsidR="00DC6300" w:rsidRPr="00831348" w:rsidRDefault="00586021" w:rsidP="00DC6300">
      <w:pPr>
        <w:pStyle w:val="Answer2"/>
        <w:rPr>
          <w:color w:val="000000"/>
        </w:rPr>
      </w:pPr>
      <w:r w:rsidRPr="00831348">
        <w:lastRenderedPageBreak/>
        <w:t xml:space="preserve">The Financial Strength Rating is designed as a guide to overall financial strength and creditworthiness, with the key inputs including financial leverage, business volatility measures, and company size.  Value Line’s Financial Strength Ratings range from “A++” (strongest) down to “C” (weakest) in nine steps.  Finally, Value Line’s beta measures </w:t>
      </w:r>
      <w:r w:rsidR="00DC6300" w:rsidRPr="00831348">
        <w:t xml:space="preserve">a utility’s stock price </w:t>
      </w:r>
      <w:r w:rsidRPr="00831348">
        <w:t xml:space="preserve">volatility relative to the market as a whole.  A stock that tends to respond less to market movements has a beta less than 1.00, while stocks that tend to move more than the market have betas greater than 1.00.  </w:t>
      </w:r>
      <w:r w:rsidR="00DC6300" w:rsidRPr="00831348">
        <w:t xml:space="preserve">Beta is the only relevant measure of investment risk under modern capital market theory, and is widely cited in academics and in the investment industry as a guide to investors’ risk perceptions.  Moreover, </w:t>
      </w:r>
      <w:r w:rsidR="00DC6300" w:rsidRPr="00831348">
        <w:rPr>
          <w:color w:val="000000"/>
        </w:rPr>
        <w:t xml:space="preserve">in my experience Value Line is the most widely referenced source for beta in regulatory proceedings.  As noted in </w:t>
      </w:r>
      <w:r w:rsidR="00DC6300" w:rsidRPr="00831348">
        <w:rPr>
          <w:i/>
          <w:iCs/>
          <w:color w:val="000000"/>
        </w:rPr>
        <w:t>New Regulatory Finance</w:t>
      </w:r>
      <w:r w:rsidR="00DC6300" w:rsidRPr="00831348">
        <w:rPr>
          <w:color w:val="000000"/>
        </w:rPr>
        <w:t>:</w:t>
      </w:r>
    </w:p>
    <w:p w:rsidR="00DC6300" w:rsidRPr="00831348" w:rsidRDefault="00DC6300" w:rsidP="006B45AA">
      <w:pPr>
        <w:pStyle w:val="Quote1"/>
      </w:pPr>
      <w:r w:rsidRPr="00831348">
        <w:t>Value Line is the largest and most widely circulated independent investment advisory service, and influences the expectations of a large number of institutional and individual investors. … Value Line betas are computed on a theoretically sound basis using a broadly based market index, and they are adjusted for the regression tendency of betas to converge to 1.00.</w:t>
      </w:r>
      <w:r w:rsidRPr="00831348">
        <w:rPr>
          <w:rStyle w:val="FootnoteReference"/>
          <w:color w:val="000000"/>
        </w:rPr>
        <w:footnoteReference w:id="1"/>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do the overall risks of your proxy group compare with Avista?</w:t>
      </w:r>
    </w:p>
    <w:p w:rsidR="00586021" w:rsidRPr="00831348" w:rsidRDefault="00586021">
      <w:pPr>
        <w:pStyle w:val="Answer"/>
      </w:pPr>
      <w:r w:rsidRPr="00831348">
        <w:t>A.</w:t>
      </w:r>
      <w:r w:rsidRPr="00831348">
        <w:tab/>
        <w:t xml:space="preserve">Table </w:t>
      </w:r>
      <w:r w:rsidR="00906B5C">
        <w:t>1</w:t>
      </w:r>
      <w:r w:rsidR="00906B5C" w:rsidRPr="00831348">
        <w:t xml:space="preserve"> </w:t>
      </w:r>
      <w:r w:rsidRPr="00831348">
        <w:t xml:space="preserve">compares the Utility Group with Avista across </w:t>
      </w:r>
      <w:r w:rsidR="00545837" w:rsidRPr="00831348">
        <w:t>five</w:t>
      </w:r>
      <w:r w:rsidRPr="00831348">
        <w:t xml:space="preserve"> key indicators of investment risk:</w:t>
      </w:r>
    </w:p>
    <w:p w:rsidR="00586021" w:rsidRDefault="00586021" w:rsidP="009F29FB">
      <w:pPr>
        <w:pStyle w:val="TableCaption"/>
      </w:pPr>
      <w:r w:rsidRPr="00831348">
        <w:lastRenderedPageBreak/>
        <w:t xml:space="preserve">table </w:t>
      </w:r>
      <w:r w:rsidR="00906B5C">
        <w:t>1</w:t>
      </w:r>
      <w:r w:rsidRPr="00831348">
        <w:br/>
        <w:t>COMPARISON OF RISK INDICATORS</w:t>
      </w:r>
    </w:p>
    <w:p w:rsidR="00272906" w:rsidRPr="00272906" w:rsidRDefault="00BF3DB6" w:rsidP="009F29FB">
      <w:pPr>
        <w:pStyle w:val="Table"/>
      </w:pPr>
      <w:r>
        <w:rPr>
          <w:noProof/>
        </w:rPr>
        <w:drawing>
          <wp:inline distT="0" distB="0" distL="0" distR="0" wp14:anchorId="62C4E61E" wp14:editId="36BD0529">
            <wp:extent cx="4083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050" cy="1016000"/>
                    </a:xfrm>
                    <a:prstGeom prst="rect">
                      <a:avLst/>
                    </a:prstGeom>
                    <a:noFill/>
                    <a:ln>
                      <a:noFill/>
                    </a:ln>
                  </pic:spPr>
                </pic:pic>
              </a:graphicData>
            </a:graphic>
          </wp:inline>
        </w:drawing>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What does this comparison indicate regarding investors’ assessment of the relative risk </w:t>
      </w:r>
      <w:r w:rsidR="003A3D79" w:rsidRPr="00831348">
        <w:rPr>
          <w:rFonts w:ascii="Times New Roman" w:hAnsi="Times New Roman"/>
        </w:rPr>
        <w:t>associated with your Utility Group</w:t>
      </w:r>
      <w:r w:rsidRPr="00831348">
        <w:rPr>
          <w:rFonts w:ascii="Times New Roman" w:hAnsi="Times New Roman"/>
        </w:rPr>
        <w:t>?</w:t>
      </w:r>
    </w:p>
    <w:p w:rsidR="00586021" w:rsidRPr="00831348" w:rsidRDefault="00586021">
      <w:pPr>
        <w:pStyle w:val="Answer"/>
      </w:pPr>
      <w:r w:rsidRPr="00831348">
        <w:t>A.</w:t>
      </w:r>
      <w:r w:rsidRPr="00831348">
        <w:tab/>
      </w:r>
      <w:r w:rsidR="003A3D79" w:rsidRPr="00831348">
        <w:t>As shown above</w:t>
      </w:r>
      <w:r w:rsidR="008C5895">
        <w:t>,</w:t>
      </w:r>
      <w:r w:rsidR="003A3D79" w:rsidRPr="00831348">
        <w:t xml:space="preserve"> the BBB </w:t>
      </w:r>
      <w:r w:rsidR="00B954E9" w:rsidRPr="00831348">
        <w:t xml:space="preserve">and Baa1 credit </w:t>
      </w:r>
      <w:r w:rsidR="003A3D79" w:rsidRPr="00831348">
        <w:t>rating</w:t>
      </w:r>
      <w:r w:rsidR="00B954E9" w:rsidRPr="00831348">
        <w:t>s</w:t>
      </w:r>
      <w:r w:rsidR="003A3D79" w:rsidRPr="00831348">
        <w:t xml:space="preserve"> corresponding to Avista </w:t>
      </w:r>
      <w:r w:rsidR="00B954E9" w:rsidRPr="00831348">
        <w:t>are</w:t>
      </w:r>
      <w:r w:rsidR="003A3D79" w:rsidRPr="00831348">
        <w:t xml:space="preserve"> identical to the average credit rating</w:t>
      </w:r>
      <w:r w:rsidR="00B954E9" w:rsidRPr="00831348">
        <w:t>s</w:t>
      </w:r>
      <w:r w:rsidR="003A3D79" w:rsidRPr="00831348">
        <w:t xml:space="preserve"> for the Utility Group.  Similarly, the average Value Line Safety Rank for the Utility Group is the same as that assigned to the Company.  With respect to Value Line’s Financial Strength</w:t>
      </w:r>
      <w:r w:rsidR="00272906">
        <w:t xml:space="preserve"> and beta</w:t>
      </w:r>
      <w:r w:rsidR="003A3D79" w:rsidRPr="00831348">
        <w:t>, the average value</w:t>
      </w:r>
      <w:r w:rsidR="00272906">
        <w:t>s</w:t>
      </w:r>
      <w:r w:rsidR="003A3D79" w:rsidRPr="00831348">
        <w:t xml:space="preserve"> for the Utility Group indicate slightly </w:t>
      </w:r>
      <w:r w:rsidR="00B954E9" w:rsidRPr="00831348">
        <w:t>more</w:t>
      </w:r>
      <w:r w:rsidR="003A3D79" w:rsidRPr="00831348">
        <w:t xml:space="preserve"> risk than for Avista.  </w:t>
      </w:r>
      <w:r w:rsidRPr="00831348">
        <w:t xml:space="preserve">Considered together, </w:t>
      </w:r>
      <w:r w:rsidR="003A3D79" w:rsidRPr="00831348">
        <w:t xml:space="preserve">this </w:t>
      </w:r>
      <w:r w:rsidRPr="00831348">
        <w:t xml:space="preserve">comparison of objective measures, which consider a broad spectrum of risks, including financial and business position, and exposure to firm-specific factors, indicates that investors would likely conclude that the overall investment risks for Avista are generally comparable to those of the firms in the Utility Group.  </w:t>
      </w:r>
    </w:p>
    <w:p w:rsidR="00586021" w:rsidRPr="00831348" w:rsidRDefault="00586021">
      <w:pPr>
        <w:pStyle w:val="Heading2"/>
        <w:rPr>
          <w:rFonts w:ascii="Times New Roman" w:hAnsi="Times New Roman"/>
        </w:rPr>
      </w:pPr>
      <w:bookmarkStart w:id="9" w:name="_Toc456609835"/>
      <w:bookmarkStart w:id="10" w:name="_Toc159816085"/>
      <w:bookmarkStart w:id="11" w:name="_Toc161404697"/>
      <w:r w:rsidRPr="00831348">
        <w:rPr>
          <w:rFonts w:ascii="Times New Roman" w:hAnsi="Times New Roman"/>
        </w:rPr>
        <w:t xml:space="preserve">Discounted Cash Flow </w:t>
      </w:r>
      <w:bookmarkEnd w:id="9"/>
      <w:r w:rsidRPr="00831348">
        <w:rPr>
          <w:rFonts w:ascii="Times New Roman" w:hAnsi="Times New Roman"/>
        </w:rPr>
        <w:t>Analyses</w:t>
      </w:r>
      <w:bookmarkEnd w:id="10"/>
      <w:bookmarkEnd w:id="11"/>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are DCF models used to estimate the cost of equity?</w:t>
      </w:r>
    </w:p>
    <w:p w:rsidR="00B5435B" w:rsidRPr="00831348" w:rsidRDefault="00586021" w:rsidP="00B5435B">
      <w:pPr>
        <w:pStyle w:val="Answer"/>
      </w:pPr>
      <w:r w:rsidRPr="00831348">
        <w:t>A.</w:t>
      </w:r>
      <w:r w:rsidRPr="00831348">
        <w:tab/>
        <w:t xml:space="preserve">DCF models attempt to replicate the market valuation process that sets the price investors are willing to pay for a share of a company’s stock.  The model rests on the assumption that investors evaluate the risks and expected rates of return from all securities in the capital markets.  Given these expectations, the price of each stock is adjusted by the market until investors are adequately compensated for the risks they bear.  Therefore, we can look to the market to determine what investors believe a share of common stock is worth.  </w:t>
      </w:r>
      <w:r w:rsidRPr="00831348">
        <w:lastRenderedPageBreak/>
        <w:t xml:space="preserve">By estimating the cash flows investors expect to receive from the stock in the way of future dividends and capital gains, we can calculate their required rate of return.  </w:t>
      </w:r>
      <w:r w:rsidR="00B5435B" w:rsidRPr="00831348">
        <w:t>That is, the cost of equity is the discount rate that equates the current price of a share of stock with the present value of all expected cash flows from the stock.  The formula for the general form of the DCF model is as follows:</w:t>
      </w:r>
    </w:p>
    <w:p w:rsidR="00B5435B" w:rsidRPr="00831348" w:rsidRDefault="00B5435B" w:rsidP="00B5435B">
      <w:pPr>
        <w:pStyle w:val="Answer"/>
      </w:pPr>
      <w:r w:rsidRPr="00831348">
        <w:t xml:space="preserve"> </w:t>
      </w:r>
      <w:r w:rsidR="00BF3DB6">
        <w:rPr>
          <w:noProof/>
        </w:rPr>
        <w:drawing>
          <wp:inline distT="0" distB="0" distL="0" distR="0" wp14:anchorId="0C7BBDD4" wp14:editId="022E2FE2">
            <wp:extent cx="325120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0" cy="431800"/>
                    </a:xfrm>
                    <a:prstGeom prst="rect">
                      <a:avLst/>
                    </a:prstGeom>
                    <a:noFill/>
                    <a:ln>
                      <a:noFill/>
                    </a:ln>
                  </pic:spPr>
                </pic:pic>
              </a:graphicData>
            </a:graphic>
          </wp:inline>
        </w:drawing>
      </w:r>
    </w:p>
    <w:p w:rsidR="00B5435B" w:rsidRPr="00831348" w:rsidRDefault="00B5435B" w:rsidP="006B45AA">
      <w:pPr>
        <w:pStyle w:val="Answer"/>
        <w:spacing w:line="240" w:lineRule="auto"/>
      </w:pPr>
      <w:proofErr w:type="gramStart"/>
      <w:r w:rsidRPr="00831348">
        <w:t>where</w:t>
      </w:r>
      <w:proofErr w:type="gramEnd"/>
      <w:r w:rsidRPr="00831348">
        <w:t>:</w:t>
      </w:r>
      <w:r w:rsidRPr="00831348">
        <w:tab/>
      </w:r>
      <w:r w:rsidR="00831348">
        <w:tab/>
      </w:r>
      <w:r w:rsidRPr="00831348">
        <w:t>P</w:t>
      </w:r>
      <w:r w:rsidRPr="000D50FE">
        <w:rPr>
          <w:vertAlign w:val="subscript"/>
        </w:rPr>
        <w:t>0</w:t>
      </w:r>
      <w:r w:rsidRPr="00831348">
        <w:tab/>
        <w:t>=  Current price per share;</w:t>
      </w:r>
    </w:p>
    <w:p w:rsidR="00B5435B" w:rsidRPr="00831348" w:rsidRDefault="00B5435B" w:rsidP="006B45AA">
      <w:pPr>
        <w:pStyle w:val="Answer"/>
        <w:spacing w:line="240" w:lineRule="auto"/>
      </w:pPr>
      <w:r w:rsidRPr="00831348">
        <w:tab/>
      </w:r>
      <w:r w:rsidRPr="00831348">
        <w:tab/>
        <w:t>P</w:t>
      </w:r>
      <w:r w:rsidRPr="000D50FE">
        <w:rPr>
          <w:vertAlign w:val="subscript"/>
        </w:rPr>
        <w:t>t</w:t>
      </w:r>
      <w:r w:rsidRPr="00831348">
        <w:tab/>
      </w:r>
      <w:proofErr w:type="gramStart"/>
      <w:r w:rsidRPr="00831348">
        <w:t>=  Expected</w:t>
      </w:r>
      <w:proofErr w:type="gramEnd"/>
      <w:r w:rsidRPr="00831348">
        <w:t xml:space="preserve"> future price per share in period t;</w:t>
      </w:r>
    </w:p>
    <w:p w:rsidR="00B5435B" w:rsidRPr="00831348" w:rsidRDefault="00B5435B" w:rsidP="006B45AA">
      <w:pPr>
        <w:pStyle w:val="Answer"/>
        <w:spacing w:line="240" w:lineRule="auto"/>
      </w:pPr>
      <w:r w:rsidRPr="00831348">
        <w:tab/>
      </w:r>
      <w:r w:rsidRPr="00831348">
        <w:tab/>
        <w:t>D</w:t>
      </w:r>
      <w:r w:rsidRPr="000D50FE">
        <w:rPr>
          <w:vertAlign w:val="subscript"/>
        </w:rPr>
        <w:t>t</w:t>
      </w:r>
      <w:r w:rsidRPr="00831348">
        <w:tab/>
      </w:r>
      <w:proofErr w:type="gramStart"/>
      <w:r w:rsidRPr="00831348">
        <w:t>=  Expected</w:t>
      </w:r>
      <w:proofErr w:type="gramEnd"/>
      <w:r w:rsidRPr="00831348">
        <w:t xml:space="preserve"> dividend per share in period t;</w:t>
      </w:r>
    </w:p>
    <w:p w:rsidR="00B5435B" w:rsidRPr="00831348" w:rsidRDefault="00B5435B" w:rsidP="006B45AA">
      <w:pPr>
        <w:pStyle w:val="Answer"/>
        <w:spacing w:line="240" w:lineRule="auto"/>
      </w:pPr>
      <w:r w:rsidRPr="00831348">
        <w:tab/>
      </w:r>
      <w:r w:rsidRPr="00831348">
        <w:tab/>
      </w:r>
      <w:proofErr w:type="gramStart"/>
      <w:r w:rsidRPr="00831348">
        <w:t>k</w:t>
      </w:r>
      <w:r w:rsidRPr="000D50FE">
        <w:rPr>
          <w:vertAlign w:val="subscript"/>
        </w:rPr>
        <w:t>e</w:t>
      </w:r>
      <w:proofErr w:type="gramEnd"/>
      <w:r w:rsidRPr="00831348">
        <w:tab/>
        <w:t>=  Cost of common equity.</w:t>
      </w:r>
    </w:p>
    <w:p w:rsidR="00586021" w:rsidRPr="00831348" w:rsidRDefault="00586021" w:rsidP="00426AE5">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form of the DCF model is customarily used to estimate the cost of equity in rate cases?</w:t>
      </w:r>
    </w:p>
    <w:p w:rsidR="00586021" w:rsidRPr="00831348" w:rsidRDefault="00586021">
      <w:pPr>
        <w:pStyle w:val="Answer"/>
        <w:rPr>
          <w:szCs w:val="26"/>
        </w:rPr>
      </w:pPr>
      <w:r w:rsidRPr="00831348">
        <w:rPr>
          <w:szCs w:val="26"/>
        </w:rPr>
        <w:t>A.</w:t>
      </w:r>
      <w:r w:rsidRPr="00831348">
        <w:rPr>
          <w:szCs w:val="26"/>
        </w:rPr>
        <w:tab/>
        <w:t>Rather than developing annual estimates of cash flows into perpetuity, the DCF model can be simplified to a “constant growth” form:</w:t>
      </w:r>
      <w:r w:rsidRPr="00831348">
        <w:rPr>
          <w:rStyle w:val="FootnoteReference"/>
        </w:rPr>
        <w:t xml:space="preserve"> </w:t>
      </w:r>
      <w:r w:rsidRPr="00831348">
        <w:rPr>
          <w:rStyle w:val="FootnoteReference"/>
        </w:rPr>
        <w:footnoteReference w:id="2"/>
      </w:r>
    </w:p>
    <w:p w:rsidR="00586021" w:rsidRPr="00831348" w:rsidRDefault="00BF3DB6">
      <w:pPr>
        <w:pStyle w:val="SingleSpaced"/>
        <w:keepNext/>
        <w:spacing w:after="240"/>
        <w:ind w:left="2160" w:firstLine="720"/>
        <w:rPr>
          <w:rFonts w:ascii="Times New Roman" w:hAnsi="Times New Roman"/>
        </w:rPr>
      </w:pPr>
      <w:r>
        <w:rPr>
          <w:rFonts w:ascii="Times New Roman" w:hAnsi="Times New Roman"/>
          <w:noProof/>
        </w:rPr>
        <w:drawing>
          <wp:inline distT="0" distB="0" distL="0" distR="0" wp14:anchorId="40EF979D" wp14:editId="429849D0">
            <wp:extent cx="774700" cy="431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431800"/>
                    </a:xfrm>
                    <a:prstGeom prst="rect">
                      <a:avLst/>
                    </a:prstGeom>
                    <a:noFill/>
                    <a:ln>
                      <a:noFill/>
                    </a:ln>
                  </pic:spPr>
                </pic:pic>
              </a:graphicData>
            </a:graphic>
          </wp:inline>
        </w:drawing>
      </w:r>
    </w:p>
    <w:p w:rsidR="00586021" w:rsidRPr="00831348" w:rsidRDefault="00586021">
      <w:pPr>
        <w:pStyle w:val="Quote1"/>
        <w:keepNext/>
        <w:keepLines/>
        <w:spacing w:after="0"/>
        <w:ind w:left="0" w:firstLine="720"/>
      </w:pPr>
      <w:proofErr w:type="gramStart"/>
      <w:r w:rsidRPr="00831348">
        <w:t>where</w:t>
      </w:r>
      <w:proofErr w:type="gramEnd"/>
      <w:r w:rsidRPr="00831348">
        <w:t>:</w:t>
      </w:r>
      <w:r w:rsidRPr="00831348">
        <w:tab/>
      </w:r>
      <w:r w:rsidR="00831348">
        <w:tab/>
      </w:r>
      <w:r w:rsidRPr="00831348">
        <w:t>P</w:t>
      </w:r>
      <w:r w:rsidRPr="00831348">
        <w:rPr>
          <w:vertAlign w:val="subscript"/>
        </w:rPr>
        <w:t>0</w:t>
      </w:r>
      <w:r w:rsidRPr="00831348">
        <w:t xml:space="preserve"> = Current price per share;</w:t>
      </w:r>
    </w:p>
    <w:p w:rsidR="00586021" w:rsidRPr="00831348" w:rsidRDefault="00586021" w:rsidP="003A3D79">
      <w:pPr>
        <w:pStyle w:val="Quote1"/>
        <w:keepNext/>
        <w:keepLines/>
        <w:tabs>
          <w:tab w:val="left" w:pos="2160"/>
          <w:tab w:val="left" w:pos="2880"/>
        </w:tabs>
        <w:spacing w:after="0"/>
        <w:ind w:left="2736" w:hanging="1296"/>
      </w:pPr>
      <w:r w:rsidRPr="00831348">
        <w:tab/>
        <w:t>D</w:t>
      </w:r>
      <w:r w:rsidRPr="00831348">
        <w:rPr>
          <w:vertAlign w:val="subscript"/>
        </w:rPr>
        <w:t>1</w:t>
      </w:r>
      <w:r w:rsidRPr="00831348">
        <w:t xml:space="preserve"> = Expected dividend per share in the coming year;</w:t>
      </w:r>
    </w:p>
    <w:p w:rsidR="00586021" w:rsidRPr="00831348" w:rsidRDefault="00586021">
      <w:pPr>
        <w:pStyle w:val="Quote1"/>
        <w:keepNext/>
        <w:keepLines/>
        <w:tabs>
          <w:tab w:val="left" w:pos="2160"/>
          <w:tab w:val="left" w:pos="2880"/>
        </w:tabs>
        <w:spacing w:after="0"/>
      </w:pPr>
      <w:r w:rsidRPr="00831348">
        <w:tab/>
      </w:r>
      <w:proofErr w:type="gramStart"/>
      <w:r w:rsidRPr="00831348">
        <w:t>k</w:t>
      </w:r>
      <w:r w:rsidRPr="00831348">
        <w:rPr>
          <w:vertAlign w:val="subscript"/>
        </w:rPr>
        <w:t>e</w:t>
      </w:r>
      <w:proofErr w:type="gramEnd"/>
      <w:r w:rsidRPr="00831348">
        <w:t xml:space="preserve"> = Cost of equity;</w:t>
      </w:r>
    </w:p>
    <w:p w:rsidR="00586021" w:rsidRPr="00831348" w:rsidRDefault="00586021">
      <w:pPr>
        <w:pStyle w:val="Quote1"/>
        <w:keepNext/>
        <w:keepLines/>
        <w:tabs>
          <w:tab w:val="left" w:pos="2160"/>
          <w:tab w:val="left" w:pos="2880"/>
        </w:tabs>
        <w:spacing w:after="0"/>
        <w:ind w:left="2880" w:hanging="1440"/>
      </w:pPr>
      <w:r w:rsidRPr="00831348">
        <w:tab/>
        <w:t xml:space="preserve"> g = Investors’ long-term growth expectations.</w:t>
      </w:r>
    </w:p>
    <w:p w:rsidR="00586021" w:rsidRPr="00831348" w:rsidRDefault="00586021">
      <w:pPr>
        <w:pStyle w:val="Quote1"/>
        <w:suppressLineNumbers/>
        <w:spacing w:after="0"/>
      </w:pPr>
    </w:p>
    <w:p w:rsidR="00586021" w:rsidRPr="00831348" w:rsidRDefault="00586021">
      <w:pPr>
        <w:pStyle w:val="Answer"/>
        <w:ind w:firstLine="0"/>
      </w:pPr>
      <w:r w:rsidRPr="00831348">
        <w:t>The cost of equity (K</w:t>
      </w:r>
      <w:r w:rsidRPr="00831348">
        <w:rPr>
          <w:vertAlign w:val="subscript"/>
        </w:rPr>
        <w:t>e</w:t>
      </w:r>
      <w:r w:rsidRPr="00831348">
        <w:t>) can be isolated by rearranging terms:</w:t>
      </w:r>
    </w:p>
    <w:p w:rsidR="00586021" w:rsidRPr="00831348" w:rsidRDefault="00BF3DB6">
      <w:pPr>
        <w:spacing w:after="240"/>
        <w:ind w:left="2160" w:firstLine="720"/>
      </w:pPr>
      <w:r>
        <w:rPr>
          <w:noProof/>
        </w:rPr>
        <w:drawing>
          <wp:inline distT="0" distB="0" distL="0" distR="0" wp14:anchorId="675490FE" wp14:editId="324B57B6">
            <wp:extent cx="800100" cy="431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431800"/>
                    </a:xfrm>
                    <a:prstGeom prst="rect">
                      <a:avLst/>
                    </a:prstGeom>
                    <a:noFill/>
                    <a:ln>
                      <a:noFill/>
                    </a:ln>
                  </pic:spPr>
                </pic:pic>
              </a:graphicData>
            </a:graphic>
          </wp:inline>
        </w:drawing>
      </w:r>
    </w:p>
    <w:p w:rsidR="00586021" w:rsidRPr="00831348" w:rsidRDefault="00586021">
      <w:pPr>
        <w:pStyle w:val="Answer"/>
        <w:ind w:firstLine="0"/>
      </w:pPr>
      <w:r w:rsidRPr="00831348">
        <w:lastRenderedPageBreak/>
        <w:t>This constant growth form of the DCF model recognizes that the rate of return to stockholders consists of two parts: 1) dividend yield (D</w:t>
      </w:r>
      <w:r w:rsidRPr="00831348">
        <w:rPr>
          <w:vertAlign w:val="subscript"/>
        </w:rPr>
        <w:t>1</w:t>
      </w:r>
      <w:r w:rsidRPr="00831348">
        <w:t>/P</w:t>
      </w:r>
      <w:r w:rsidRPr="00831348">
        <w:rPr>
          <w:vertAlign w:val="subscript"/>
        </w:rPr>
        <w:t>0</w:t>
      </w:r>
      <w:r w:rsidRPr="00831348">
        <w:t>), and 2) growth (</w:t>
      </w:r>
      <w:r w:rsidRPr="00831348">
        <w:rPr>
          <w:i/>
        </w:rPr>
        <w:t>g</w:t>
      </w:r>
      <w:r w:rsidRPr="00831348">
        <w:t>).  In other words, investors expect to receive a portion of their total return in the form of current dividends and the remainder through price appreciation.</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steps are required to apply the DCF model?</w:t>
      </w:r>
    </w:p>
    <w:p w:rsidR="00586021" w:rsidRPr="00831348" w:rsidRDefault="00586021">
      <w:pPr>
        <w:pStyle w:val="Answer"/>
        <w:rPr>
          <w:szCs w:val="26"/>
        </w:rPr>
      </w:pPr>
      <w:r w:rsidRPr="00831348">
        <w:rPr>
          <w:szCs w:val="26"/>
        </w:rPr>
        <w:t>A.</w:t>
      </w:r>
      <w:r w:rsidRPr="00831348">
        <w:rPr>
          <w:szCs w:val="26"/>
        </w:rPr>
        <w:tab/>
        <w:t>The first step in implementing the constant growth DCF model is to determine the expected dividend yield (D</w:t>
      </w:r>
      <w:r w:rsidRPr="00831348">
        <w:rPr>
          <w:szCs w:val="26"/>
          <w:vertAlign w:val="subscript"/>
        </w:rPr>
        <w:t>1</w:t>
      </w:r>
      <w:r w:rsidRPr="00831348">
        <w:rPr>
          <w:szCs w:val="26"/>
        </w:rPr>
        <w:t>/P</w:t>
      </w:r>
      <w:r w:rsidRPr="00831348">
        <w:rPr>
          <w:szCs w:val="26"/>
          <w:vertAlign w:val="subscript"/>
        </w:rPr>
        <w:t>0</w:t>
      </w:r>
      <w:r w:rsidRPr="00831348">
        <w:rPr>
          <w:szCs w:val="26"/>
        </w:rPr>
        <w:t>) for the firm in question.  This is usually calculated based on an estimate of dividends to be paid in the coming year divided by the current price of the stock.  The second</w:t>
      </w:r>
      <w:r w:rsidR="003A3D79" w:rsidRPr="00831348">
        <w:rPr>
          <w:szCs w:val="26"/>
        </w:rPr>
        <w:t xml:space="preserve"> </w:t>
      </w:r>
      <w:r w:rsidRPr="00831348">
        <w:rPr>
          <w:szCs w:val="26"/>
        </w:rPr>
        <w:t>step is to estimate investors' long-term growth expectations (</w:t>
      </w:r>
      <w:r w:rsidRPr="00831348">
        <w:rPr>
          <w:i/>
          <w:szCs w:val="26"/>
        </w:rPr>
        <w:t>g</w:t>
      </w:r>
      <w:r w:rsidRPr="00831348">
        <w:rPr>
          <w:szCs w:val="26"/>
        </w:rPr>
        <w:t>) for the firm.  The final step is to sum the firm's dividend yield and estimated growth rate to arrive at an estimate of its cost of equity.</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was the dividend yield for the Utility Group determined?</w:t>
      </w:r>
    </w:p>
    <w:p w:rsidR="00586021" w:rsidRPr="00831348" w:rsidRDefault="00586021">
      <w:pPr>
        <w:pStyle w:val="Answer"/>
        <w:rPr>
          <w:szCs w:val="26"/>
        </w:rPr>
      </w:pPr>
      <w:r w:rsidRPr="00831348">
        <w:rPr>
          <w:szCs w:val="26"/>
        </w:rPr>
        <w:t>A.</w:t>
      </w:r>
      <w:r w:rsidRPr="00831348">
        <w:rPr>
          <w:szCs w:val="26"/>
        </w:rPr>
        <w:tab/>
        <w:t xml:space="preserve">Estimates of dividends to be paid by each of these utilities over the next twelve months, obtained from </w:t>
      </w:r>
      <w:r w:rsidRPr="00831348">
        <w:rPr>
          <w:iCs/>
          <w:szCs w:val="26"/>
        </w:rPr>
        <w:t>Value Line</w:t>
      </w:r>
      <w:r w:rsidRPr="00831348">
        <w:rPr>
          <w:szCs w:val="26"/>
        </w:rPr>
        <w:t>, served as D</w:t>
      </w:r>
      <w:r w:rsidRPr="00831348">
        <w:rPr>
          <w:szCs w:val="26"/>
          <w:vertAlign w:val="subscript"/>
        </w:rPr>
        <w:t>1</w:t>
      </w:r>
      <w:r w:rsidRPr="00831348">
        <w:rPr>
          <w:szCs w:val="26"/>
        </w:rPr>
        <w:t xml:space="preserve">.  This annual </w:t>
      </w:r>
      <w:r w:rsidRPr="00831348">
        <w:t>dividend</w:t>
      </w:r>
      <w:r w:rsidRPr="00831348">
        <w:rPr>
          <w:szCs w:val="26"/>
        </w:rPr>
        <w:t xml:space="preserve"> was then divided by </w:t>
      </w:r>
      <w:r w:rsidR="003A3D79" w:rsidRPr="00831348">
        <w:rPr>
          <w:szCs w:val="26"/>
        </w:rPr>
        <w:t xml:space="preserve">a 30-day average stock </w:t>
      </w:r>
      <w:r w:rsidRPr="00831348">
        <w:rPr>
          <w:szCs w:val="26"/>
        </w:rPr>
        <w:t xml:space="preserve">price for each utility to arrive at the expected dividend yield.  The expected dividends, stock prices, and resulting dividend yields for the firms in the Utility Group are presented on page 1 of </w:t>
      </w:r>
      <w:proofErr w:type="spellStart"/>
      <w:r w:rsidR="00A4213C">
        <w:rPr>
          <w:szCs w:val="26"/>
        </w:rPr>
        <w:t>Exh</w:t>
      </w:r>
      <w:proofErr w:type="spellEnd"/>
      <w:r w:rsidR="00A4213C">
        <w:rPr>
          <w:szCs w:val="26"/>
        </w:rPr>
        <w:t xml:space="preserve">. </w:t>
      </w:r>
      <w:proofErr w:type="gramStart"/>
      <w:r w:rsidR="003A3D79" w:rsidRPr="00831348">
        <w:rPr>
          <w:szCs w:val="26"/>
        </w:rPr>
        <w:t>AMM</w:t>
      </w:r>
      <w:r w:rsidRPr="00831348">
        <w:rPr>
          <w:szCs w:val="26"/>
        </w:rPr>
        <w:t>-</w:t>
      </w:r>
      <w:r w:rsidR="003A3D79" w:rsidRPr="00831348">
        <w:rPr>
          <w:szCs w:val="26"/>
        </w:rPr>
        <w:t>6</w:t>
      </w:r>
      <w:r w:rsidRPr="00831348">
        <w:rPr>
          <w:szCs w:val="26"/>
        </w:rPr>
        <w:t>.</w:t>
      </w:r>
      <w:proofErr w:type="gramEnd"/>
      <w:r w:rsidRPr="00831348">
        <w:rPr>
          <w:szCs w:val="26"/>
        </w:rPr>
        <w:t xml:space="preserve">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is the next step in applying the constant growth DCF model?</w:t>
      </w:r>
    </w:p>
    <w:p w:rsidR="00586021" w:rsidRPr="00831348" w:rsidRDefault="00586021">
      <w:pPr>
        <w:pStyle w:val="Answer"/>
      </w:pPr>
      <w:r w:rsidRPr="00831348">
        <w:t>A.</w:t>
      </w:r>
      <w:r w:rsidRPr="00831348">
        <w:tab/>
        <w:t>The next step is to evaluate long-term growth expectations, or “</w:t>
      </w:r>
      <w:r w:rsidRPr="00831348">
        <w:rPr>
          <w:i/>
          <w:iCs/>
        </w:rPr>
        <w:t>g</w:t>
      </w:r>
      <w:r w:rsidRPr="00831348">
        <w:t xml:space="preserve">”, for the firm in question.  In constant growth DCF theory, earnings, dividends, book value, and market price are all assumed to grow in lockstep, and the growth horizon of the DCF model is infinite.  But implementation of the DCF model is more than just a theoretical exercise; it is an attempt to replicate the mechanism investors used to arrive at observable stock prices.  </w:t>
      </w:r>
      <w:r w:rsidRPr="00831348">
        <w:lastRenderedPageBreak/>
        <w:t>A wide variety of techniques can be used to derive growth rates, but the only “</w:t>
      </w:r>
      <w:r w:rsidRPr="00831348">
        <w:rPr>
          <w:i/>
          <w:iCs/>
        </w:rPr>
        <w:t>g</w:t>
      </w:r>
      <w:r w:rsidRPr="00831348">
        <w:t xml:space="preserve">” that matters in applying the DCF model is the value that investors expect. </w:t>
      </w:r>
    </w:p>
    <w:p w:rsidR="00344BF9" w:rsidRPr="00831348" w:rsidRDefault="00344BF9" w:rsidP="00941DA7">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are investors most likely to consider in developing their long-term growth expectations?</w:t>
      </w:r>
    </w:p>
    <w:p w:rsidR="00344BF9" w:rsidRPr="00831348" w:rsidRDefault="00344BF9" w:rsidP="006B45AA">
      <w:pPr>
        <w:pStyle w:val="Answer"/>
      </w:pPr>
      <w:r w:rsidRPr="00831348">
        <w:t>A.</w:t>
      </w:r>
      <w:r w:rsidRPr="00831348">
        <w:tab/>
      </w:r>
      <w:r w:rsidR="00BE3477">
        <w:t xml:space="preserve">Implementation of the </w:t>
      </w:r>
      <w:r w:rsidRPr="00831348">
        <w:t>DCF model is solely concerned with replicating the forward-looking evaluation of real-world investors</w:t>
      </w:r>
      <w:r w:rsidR="00BE3477">
        <w:t>.  I</w:t>
      </w:r>
      <w:r w:rsidRPr="00831348">
        <w:t>n the case of utilities, dividend growth rates are not likely to provide a meaningful guide to investors’ current growth expectations.  This is because utilities have significantly altered their dividend policies in response to more accentuated business risks in the industry, with the payout ratios falling significantly</w:t>
      </w:r>
      <w:r w:rsidR="00BE3477">
        <w:t xml:space="preserve"> from historical levels</w:t>
      </w:r>
      <w:r w:rsidRPr="00831348">
        <w:t>.  As a result</w:t>
      </w:r>
      <w:r w:rsidR="00BE3477">
        <w:t xml:space="preserve">, </w:t>
      </w:r>
      <w:r w:rsidRPr="00831348">
        <w:t xml:space="preserve">dividend growth in the utility industry has </w:t>
      </w:r>
      <w:r w:rsidR="00333BB7">
        <w:t xml:space="preserve">lagged </w:t>
      </w:r>
      <w:r w:rsidR="00FF51B1">
        <w:t xml:space="preserve">growth in </w:t>
      </w:r>
      <w:r w:rsidR="00FF51B1" w:rsidRPr="00FF51B1">
        <w:t xml:space="preserve">earnings </w:t>
      </w:r>
      <w:r w:rsidRPr="00426AE5">
        <w:t>as utilities conserve financial resources to provide a hedge</w:t>
      </w:r>
      <w:r w:rsidRPr="00831348">
        <w:t xml:space="preserve"> against heightened uncertainties.  </w:t>
      </w:r>
    </w:p>
    <w:p w:rsidR="00344BF9" w:rsidRPr="00831348" w:rsidRDefault="00344BF9" w:rsidP="006B45AA">
      <w:pPr>
        <w:pStyle w:val="Answer"/>
      </w:pPr>
      <w:r w:rsidRPr="00831348">
        <w:t xml:space="preserve">A measure that plays a pivotal role in determining investors’ long-term growth expectations are future trends in earnings per share (“EPS”), which provide the source for future dividends and ultimately support share prices.  The importance of earnings in evaluating investors’ expectations and requirements is well accepted in the investment community, and surveys of analytical techniques relied on by professional analysts indicate that growth in earnings is far more influential than trends in dividends per share (“DPS”).  </w:t>
      </w:r>
    </w:p>
    <w:p w:rsidR="00586021" w:rsidRPr="00831348" w:rsidRDefault="00344BF9">
      <w:pPr>
        <w:pStyle w:val="Answer"/>
      </w:pPr>
      <w:r w:rsidRPr="00831348">
        <w:t xml:space="preserve">The availability of projected EPS growth rates also is key to investors relying on this measure as compared to future trends in DPS.  Apart from Value Line, investment advisory services do not generally publish comprehensive DPS growth projections, and this scarcity of dividend growth rates relative to the abundance of earnings forecasts attests to their relative influence.  The fact that securities analysts focus on EPS growth, and that DPS </w:t>
      </w:r>
      <w:r w:rsidRPr="00831348">
        <w:lastRenderedPageBreak/>
        <w:t>growth rates are not routinely published, indicates that projected EPS growth rates are likely to provide a superior indicator of the future long-term growth expected by investors.</w:t>
      </w:r>
      <w:r w:rsidR="00586021" w:rsidRPr="00831348">
        <w:t xml:space="preserve">  </w:t>
      </w:r>
    </w:p>
    <w:p w:rsidR="001814AB" w:rsidRPr="00831348" w:rsidRDefault="001814AB" w:rsidP="001814AB">
      <w:pPr>
        <w:pStyle w:val="Question0"/>
        <w:rPr>
          <w:rFonts w:ascii="Times New Roman" w:hAnsi="Times New Roman"/>
        </w:rPr>
      </w:pPr>
      <w:r w:rsidRPr="00831348">
        <w:rPr>
          <w:rFonts w:ascii="Times New Roman" w:hAnsi="Times New Roman"/>
        </w:rPr>
        <w:t>Q.</w:t>
      </w:r>
      <w:r w:rsidRPr="00831348">
        <w:rPr>
          <w:rFonts w:ascii="Times New Roman" w:hAnsi="Times New Roman"/>
        </w:rPr>
        <w:tab/>
        <w:t>Do the growth rate projections of security analysts consider historical trends?</w:t>
      </w:r>
    </w:p>
    <w:p w:rsidR="001814AB" w:rsidRPr="00831348" w:rsidRDefault="001814AB" w:rsidP="001814AB">
      <w:pPr>
        <w:pStyle w:val="Answer"/>
      </w:pPr>
      <w:r w:rsidRPr="00831348">
        <w:t>A.</w:t>
      </w:r>
      <w:r w:rsidRPr="00831348">
        <w:tab/>
        <w:t>Yes.  Professional security analysts study historical trends extensively in developing their projections of future earnings.  Hence, to the extent there is any useful information in historical patterns, that information is incorporated into analysts’ growth forecasts.</w:t>
      </w:r>
    </w:p>
    <w:p w:rsidR="001814AB" w:rsidRPr="00831348" w:rsidRDefault="001814AB" w:rsidP="001814AB">
      <w:pPr>
        <w:pStyle w:val="Question0"/>
        <w:rPr>
          <w:rFonts w:ascii="Times New Roman" w:hAnsi="Times New Roman"/>
        </w:rPr>
      </w:pPr>
      <w:r w:rsidRPr="00831348">
        <w:rPr>
          <w:rFonts w:ascii="Times New Roman" w:hAnsi="Times New Roman"/>
        </w:rPr>
        <w:t>Q.</w:t>
      </w:r>
      <w:r w:rsidRPr="00831348">
        <w:rPr>
          <w:rFonts w:ascii="Times New Roman" w:hAnsi="Times New Roman"/>
        </w:rPr>
        <w:tab/>
        <w:t>Did Professor Myron J. Gordon, who originated the DCF approach, recognize the pivotal role that earnings play in forming investors’ expectations?</w:t>
      </w:r>
    </w:p>
    <w:p w:rsidR="001814AB" w:rsidRPr="00831348" w:rsidRDefault="001814AB" w:rsidP="001814AB">
      <w:pPr>
        <w:pStyle w:val="Answer"/>
      </w:pPr>
      <w:r w:rsidRPr="00831348">
        <w:t>A.</w:t>
      </w:r>
      <w:r w:rsidRPr="00831348">
        <w:tab/>
        <w:t>Yes.  Dr. Gordon specifically recognized that “it is the growth that investors expect that should be used” in applying the DCF model and he concluded:</w:t>
      </w:r>
    </w:p>
    <w:p w:rsidR="001814AB" w:rsidRPr="00831348" w:rsidRDefault="001814AB" w:rsidP="006B45AA">
      <w:pPr>
        <w:pStyle w:val="Quote1"/>
      </w:pPr>
      <w:r w:rsidRPr="00831348">
        <w:t>A number of considerations suggest that investors may, in fact, use earnings growth as a measure of expected future growth.”</w:t>
      </w:r>
      <w:r w:rsidRPr="00831348">
        <w:rPr>
          <w:rStyle w:val="FootnoteReference"/>
        </w:rPr>
        <w:footnoteReference w:id="3"/>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r>
      <w:r w:rsidR="006A0DA2" w:rsidRPr="00831348">
        <w:rPr>
          <w:rFonts w:ascii="Times New Roman" w:hAnsi="Times New Roman"/>
        </w:rPr>
        <w:t>Are analysts’ assessments of growth rates</w:t>
      </w:r>
      <w:r w:rsidRPr="00831348">
        <w:rPr>
          <w:rFonts w:ascii="Times New Roman" w:hAnsi="Times New Roman"/>
        </w:rPr>
        <w:t xml:space="preserve"> appropriate for estimating investors’ required return using the DCF model?</w:t>
      </w:r>
    </w:p>
    <w:p w:rsidR="00586021" w:rsidRPr="00831348" w:rsidRDefault="00586021">
      <w:pPr>
        <w:pStyle w:val="Answer"/>
      </w:pPr>
      <w:r w:rsidRPr="00831348">
        <w:t>A.</w:t>
      </w:r>
      <w:r w:rsidRPr="00831348">
        <w:tab/>
      </w:r>
      <w:r w:rsidR="001814AB" w:rsidRPr="00831348">
        <w:t>Yes.</w:t>
      </w:r>
      <w:r w:rsidRPr="00831348">
        <w:t xml:space="preserve">  In applying the DCF model to estimate the cost of common equity, the only relevant growth rate is the forward-looking expectations of investors that are captured in current stock prices.  Investors, just like securities analysts and others in the investment community, do not know how the future will actually turn out.  They can only make investment decisions based on their best estimate of what the future holds in the way of long-term growth for a particular stock, and securities prices are constantly adjusting to reflect their assessment of available information.</w:t>
      </w:r>
    </w:p>
    <w:p w:rsidR="00586021" w:rsidRPr="00831348" w:rsidRDefault="00586021">
      <w:pPr>
        <w:pStyle w:val="Answer"/>
      </w:pPr>
      <w:r w:rsidRPr="00831348">
        <w:lastRenderedPageBreak/>
        <w:t>Any claims that analysts’ estimates are not relied upon by investors are illogical given the reality of a competitive market for investment advice.  The market for investment advice is intensely competitive, and securities analysts are personally and professionally motivated to provide the most accurate assessment possible of future growth trends.  If financial analysts’ forecasts do not add value to investors’ decision making, then it is irrational for investors to pay for these estimates.  Those financial analysts who fail to provide reliable forecasts will lose out in competitive markets relative to those analysts whose forecasts investors find more credible.  The reality that analyst estimates are routinely referenced in the financial media and in investment advisory publications (</w:t>
      </w:r>
      <w:r w:rsidRPr="00831348">
        <w:rPr>
          <w:i/>
        </w:rPr>
        <w:t>e.g.</w:t>
      </w:r>
      <w:r w:rsidRPr="00831348">
        <w:t>, Value Line) implies that investors use them as a basis for their expectations.</w:t>
      </w:r>
    </w:p>
    <w:p w:rsidR="00586021" w:rsidRPr="00831348" w:rsidRDefault="00586021">
      <w:pPr>
        <w:pStyle w:val="Answer2"/>
      </w:pPr>
      <w:r w:rsidRPr="00831348">
        <w:t xml:space="preserve">While the projections of securities analysts may be proven optimistic or pessimistic in hindsight, this is irrelevant in assessing the expected growth that investors have incorporated into current stock prices, and any bias in analysts’ forecasts – whether pessimistic or optimistic – is irrelevant if investors share analysts’ views.  Earnings growth projections of security analysts provide the most frequently referenced guide to investors’ views and are widely accepted in applying the DCF model.  As explained in </w:t>
      </w:r>
      <w:r w:rsidRPr="00831348">
        <w:rPr>
          <w:i/>
          <w:iCs/>
        </w:rPr>
        <w:t xml:space="preserve">New </w:t>
      </w:r>
      <w:r w:rsidRPr="00831348">
        <w:rPr>
          <w:i/>
        </w:rPr>
        <w:t>Regulatory Finance</w:t>
      </w:r>
      <w:r w:rsidRPr="00831348">
        <w:t>:</w:t>
      </w:r>
    </w:p>
    <w:p w:rsidR="00586021" w:rsidRPr="00831348" w:rsidRDefault="00586021" w:rsidP="000D50FE">
      <w:pPr>
        <w:pStyle w:val="Quote1"/>
      </w:pPr>
      <w:r w:rsidRPr="00831348">
        <w:t xml:space="preserve">Because of the dominance of institutional investors and their influence on individual investors, analysts’ forecasts of long-run growth rates provide a sound basis for </w:t>
      </w:r>
      <w:r w:rsidRPr="000D50FE">
        <w:t>estimating</w:t>
      </w:r>
      <w:r w:rsidRPr="00831348">
        <w:t xml:space="preserve"> required returns.  Financial analysts exert a strong influence on the expectations of many investors who do not possess the resources to make their own forecasts, that is, they are a cause of </w:t>
      </w:r>
      <w:r w:rsidRPr="00831348">
        <w:rPr>
          <w:i/>
        </w:rPr>
        <w:t xml:space="preserve">g </w:t>
      </w:r>
      <w:r w:rsidRPr="00831348">
        <w:rPr>
          <w:iCs/>
        </w:rPr>
        <w:t>[growth]</w:t>
      </w:r>
      <w:r w:rsidRPr="00831348">
        <w:t xml:space="preserve">.  </w:t>
      </w:r>
      <w:r w:rsidRPr="00831348">
        <w:rPr>
          <w:u w:val="single"/>
        </w:rPr>
        <w:t>The accuracy of these forecasts in the sense of whether they turn out to be correct is not an issue here, as long as they reflect widely held expectations</w:t>
      </w:r>
      <w:r w:rsidRPr="00831348">
        <w:t>.</w:t>
      </w:r>
      <w:r w:rsidRPr="00831348">
        <w:rPr>
          <w:rStyle w:val="FootnoteReference"/>
        </w:rPr>
        <w:footnoteReference w:id="4"/>
      </w:r>
    </w:p>
    <w:p w:rsidR="000D50FE" w:rsidRPr="007D25EA" w:rsidRDefault="006A0DA2" w:rsidP="000D50FE">
      <w:pPr>
        <w:pStyle w:val="Question0"/>
      </w:pPr>
      <w:r w:rsidRPr="00831348">
        <w:rPr>
          <w:rFonts w:ascii="Times New Roman" w:hAnsi="Times New Roman"/>
        </w:rPr>
        <w:lastRenderedPageBreak/>
        <w:t>Q.</w:t>
      </w:r>
      <w:r w:rsidRPr="00831348">
        <w:rPr>
          <w:rFonts w:ascii="Times New Roman" w:hAnsi="Times New Roman"/>
        </w:rPr>
        <w:tab/>
      </w:r>
      <w:r w:rsidR="000D50FE" w:rsidRPr="007D25EA">
        <w:t>Ha</w:t>
      </w:r>
      <w:r w:rsidR="000D50FE">
        <w:t xml:space="preserve">ve </w:t>
      </w:r>
      <w:r w:rsidR="000D50FE" w:rsidRPr="000D50FE">
        <w:t>regulators</w:t>
      </w:r>
      <w:r w:rsidR="000D50FE" w:rsidRPr="007D25EA">
        <w:t xml:space="preserve"> also recognized that analysts’ </w:t>
      </w:r>
      <w:r w:rsidR="000D50FE" w:rsidRPr="00082E91">
        <w:rPr>
          <w:rFonts w:cs="Arial"/>
        </w:rPr>
        <w:t>growth</w:t>
      </w:r>
      <w:r w:rsidR="000D50FE" w:rsidRPr="007D25EA">
        <w:t xml:space="preserve"> rate estimates are an important and meaningful guide to investors’ expectations?</w:t>
      </w:r>
    </w:p>
    <w:p w:rsidR="000D50FE" w:rsidRPr="007D25EA" w:rsidRDefault="000D50FE" w:rsidP="000D50FE">
      <w:pPr>
        <w:pStyle w:val="Answer"/>
      </w:pPr>
      <w:r>
        <w:rPr>
          <w:szCs w:val="24"/>
        </w:rPr>
        <w:t>A.</w:t>
      </w:r>
      <w:r>
        <w:rPr>
          <w:szCs w:val="24"/>
        </w:rPr>
        <w:tab/>
      </w:r>
      <w:r w:rsidRPr="007D25EA">
        <w:rPr>
          <w:szCs w:val="24"/>
        </w:rPr>
        <w:t xml:space="preserve">Yes.  </w:t>
      </w:r>
      <w:r>
        <w:rPr>
          <w:szCs w:val="24"/>
        </w:rPr>
        <w:t xml:space="preserve">The Kentucky Public Service </w:t>
      </w:r>
      <w:r w:rsidRPr="000D50FE">
        <w:t>Commission</w:t>
      </w:r>
      <w:r w:rsidRPr="007D25EA">
        <w:t xml:space="preserve"> has indicated its preference for relying on analysts’ projections in establishing investors’ expectations:</w:t>
      </w:r>
    </w:p>
    <w:p w:rsidR="000D50FE" w:rsidRDefault="000D50FE" w:rsidP="000D50FE">
      <w:pPr>
        <w:pStyle w:val="Quote1"/>
      </w:pPr>
      <w:proofErr w:type="spellStart"/>
      <w:r>
        <w:t>KU’s</w:t>
      </w:r>
      <w:proofErr w:type="spellEnd"/>
      <w:r>
        <w:t xml:space="preserve"> </w:t>
      </w:r>
      <w:r w:rsidRPr="000D50FE">
        <w:t>argument</w:t>
      </w:r>
      <w:r>
        <w:t xml:space="preserve"> concerning the appropriateness of using investors’ expectations in performing a DCF analysis is more persuasive than the AG’s argument that analysts’ projections should be rejected in favor of historical results.  The Commission agrees </w:t>
      </w:r>
      <w:r w:rsidRPr="000D50FE">
        <w:t>that</w:t>
      </w:r>
      <w:r>
        <w:t xml:space="preserve"> </w:t>
      </w:r>
      <w:r w:rsidRPr="000D50FE">
        <w:t>analysts’</w:t>
      </w:r>
      <w:r>
        <w:t xml:space="preserve"> projections of growth will be relatively more compelling in forming investors’ forward-looking expectations than relying on historical performance, especially given the current state of the economy.</w:t>
      </w:r>
      <w:r>
        <w:rPr>
          <w:rStyle w:val="FootnoteReference"/>
        </w:rPr>
        <w:footnoteReference w:id="5"/>
      </w:r>
    </w:p>
    <w:p w:rsidR="000D50FE" w:rsidRPr="007D25EA" w:rsidRDefault="000D50FE" w:rsidP="000D50FE">
      <w:pPr>
        <w:pStyle w:val="Answer"/>
        <w:ind w:firstLine="0"/>
      </w:pPr>
      <w:r>
        <w:t xml:space="preserve">Similarly, </w:t>
      </w:r>
      <w:r w:rsidR="00271369">
        <w:t>the Federal Energy Regulatory Commission (“</w:t>
      </w:r>
      <w:r w:rsidRPr="007D25EA">
        <w:t>FERC</w:t>
      </w:r>
      <w:r w:rsidR="00271369">
        <w:t>”)</w:t>
      </w:r>
      <w:r w:rsidRPr="007D25EA">
        <w:t xml:space="preserve"> has expressed a clear preference for projected EPS growth rates in applying the DCF model to estimate the cost of equity for both electric and natural gas pipeline utilities</w:t>
      </w:r>
      <w:r>
        <w:t>:</w:t>
      </w:r>
    </w:p>
    <w:p w:rsidR="000D50FE" w:rsidRPr="007D25EA" w:rsidRDefault="000D50FE" w:rsidP="000D50FE">
      <w:pPr>
        <w:pStyle w:val="Quote1"/>
      </w:pPr>
      <w:r w:rsidRPr="007D25EA">
        <w:t>Opinion No. 414-A held that the IBES five-year growth forecasts for each company in the proxy group are the best available evidence of the short-term growth rates expected by the investment community. It cited evidence that (1) those forecasts are provided to IBES by professional security analysts, (2) IBES reports the forecast for each firm as a service to investors, and (3) the IBES reports are well known in the investment community and used by investors. The Commission has also rejected the suggestion that the IBES analysts are biased and stated that “in fact the analysts have a significant incentive to make their analyses as accurate as possible to meet the needs of their clients since those investors will not utilize brokerage firms whose analysts repeatedly overstate the growth potential of companies.”</w:t>
      </w:r>
      <w:r w:rsidRPr="007D25EA">
        <w:rPr>
          <w:rStyle w:val="FootnoteReference"/>
          <w:szCs w:val="24"/>
        </w:rPr>
        <w:footnoteReference w:id="6"/>
      </w:r>
    </w:p>
    <w:p w:rsidR="000D50FE" w:rsidRDefault="000D50FE" w:rsidP="000D50FE">
      <w:pPr>
        <w:pStyle w:val="Answer"/>
        <w:ind w:firstLine="0"/>
      </w:pPr>
      <w:r>
        <w:t>T</w:t>
      </w:r>
      <w:r w:rsidRPr="003F050E">
        <w:t xml:space="preserve">he Public Utility Regulatory Authority of Connecticut </w:t>
      </w:r>
      <w:r>
        <w:t xml:space="preserve">has also </w:t>
      </w:r>
      <w:r w:rsidRPr="003F050E">
        <w:t>noted that “there is not growth in DPS without growth in EPS,” and concluded that securities analysts’ growth projections have a greater influence over investors’ expectations and stock prices.</w:t>
      </w:r>
      <w:r w:rsidRPr="003F050E">
        <w:rPr>
          <w:rStyle w:val="FootnoteReference"/>
        </w:rPr>
        <w:footnoteReference w:id="7"/>
      </w:r>
    </w:p>
    <w:p w:rsidR="006A0DA2" w:rsidRPr="00831348" w:rsidRDefault="000D50FE" w:rsidP="000D50FE">
      <w:pPr>
        <w:pStyle w:val="Question0"/>
      </w:pPr>
      <w:r>
        <w:lastRenderedPageBreak/>
        <w:t>Q.</w:t>
      </w:r>
      <w:r>
        <w:tab/>
      </w:r>
      <w:r w:rsidR="006A0DA2" w:rsidRPr="00831348">
        <w:t xml:space="preserve">What </w:t>
      </w:r>
      <w:r w:rsidR="006A0DA2" w:rsidRPr="000D50FE">
        <w:t>are</w:t>
      </w:r>
      <w:r w:rsidR="006A0DA2" w:rsidRPr="00831348">
        <w:t xml:space="preserve"> security analysts currently projecting in the way of growth for the firms in the Utility Proxy Group?</w:t>
      </w:r>
    </w:p>
    <w:p w:rsidR="006A0DA2" w:rsidRPr="00831348" w:rsidRDefault="006A0DA2" w:rsidP="00941DA7">
      <w:pPr>
        <w:pStyle w:val="Answer"/>
      </w:pPr>
      <w:r w:rsidRPr="00831348">
        <w:t>A.</w:t>
      </w:r>
      <w:r w:rsidRPr="00831348">
        <w:tab/>
        <w:t>The projected EPS growth rates for each of the firms in the Utility Group reported by Value Line, IBES,</w:t>
      </w:r>
      <w:r w:rsidR="000D50FE" w:rsidRPr="00831348">
        <w:rPr>
          <w:rStyle w:val="FootnoteReference"/>
        </w:rPr>
        <w:footnoteReference w:id="8"/>
      </w:r>
      <w:r w:rsidRPr="00831348">
        <w:t xml:space="preserve"> </w:t>
      </w:r>
      <w:r w:rsidRPr="00831348">
        <w:rPr>
          <w:iCs/>
        </w:rPr>
        <w:t>Zacks Investment Research (“Zacks”)</w:t>
      </w:r>
      <w:r w:rsidR="000D50FE">
        <w:rPr>
          <w:iCs/>
        </w:rPr>
        <w:t>, and S&amp;P Capital IQ</w:t>
      </w:r>
      <w:r w:rsidRPr="00831348">
        <w:rPr>
          <w:iCs/>
        </w:rPr>
        <w:t xml:space="preserve"> </w:t>
      </w:r>
      <w:r w:rsidRPr="00831348">
        <w:t xml:space="preserve">are displayed on page 2 of </w:t>
      </w:r>
      <w:proofErr w:type="spellStart"/>
      <w:r w:rsidR="00A4213C">
        <w:t>Exh</w:t>
      </w:r>
      <w:proofErr w:type="spellEnd"/>
      <w:r w:rsidR="00A4213C">
        <w:t xml:space="preserve">. </w:t>
      </w:r>
      <w:proofErr w:type="gramStart"/>
      <w:r w:rsidRPr="00831348">
        <w:t>AMM-6.</w:t>
      </w:r>
      <w:proofErr w:type="gramEnd"/>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else are investors’ expectations of future long-term growth prospects often estimated for use in the constant growth DCF model?</w:t>
      </w:r>
    </w:p>
    <w:p w:rsidR="00586021" w:rsidRPr="00831348" w:rsidRDefault="00586021">
      <w:pPr>
        <w:pStyle w:val="Answer"/>
        <w:rPr>
          <w:szCs w:val="26"/>
        </w:rPr>
      </w:pPr>
      <w:r w:rsidRPr="00831348">
        <w:rPr>
          <w:szCs w:val="26"/>
        </w:rPr>
        <w:t>A.</w:t>
      </w:r>
      <w:r w:rsidRPr="00831348">
        <w:rPr>
          <w:szCs w:val="26"/>
        </w:rPr>
        <w:tab/>
      </w:r>
      <w:r w:rsidRPr="00831348">
        <w:t xml:space="preserve">In constant growth theory, growth in book equity will be equal to the product of the earnings retention ratio (one minus the dividend payout ratio) and the earned rate of return on book </w:t>
      </w:r>
      <w:r w:rsidRPr="00D06FA4">
        <w:t>equity.  Furthermore, if the earned rate of return and the payout ratio are constant over time, growth in earnings and dividends will be equal to growth in book va</w:t>
      </w:r>
      <w:r w:rsidRPr="00E57C57">
        <w:t>lue.</w:t>
      </w:r>
      <w:r w:rsidRPr="00FF51B1">
        <w:t xml:space="preserve">  Despite the</w:t>
      </w:r>
      <w:r w:rsidRPr="00831348">
        <w:t xml:space="preserve"> fact that these conditions are seldom, if ever, met in practice, this “sustainable growth” approach may provide a rough guide for evaluating a firm’s growth prospects and is frequently proposed in regulatory proceedings.  </w:t>
      </w:r>
    </w:p>
    <w:p w:rsidR="00586021" w:rsidRPr="00831348" w:rsidRDefault="00586021">
      <w:pPr>
        <w:pStyle w:val="Answer"/>
      </w:pPr>
      <w:r w:rsidRPr="00831348">
        <w:t xml:space="preserve">The sustainable growth rate is calculated by the formula, </w:t>
      </w:r>
      <w:r w:rsidRPr="00831348">
        <w:rPr>
          <w:i/>
          <w:iCs/>
        </w:rPr>
        <w:t>g</w:t>
      </w:r>
      <w:r w:rsidRPr="00831348">
        <w:t xml:space="preserve"> = br+sv, where “b” is the expected retention ratio, “r” is the expected earned return on equity, “s” is the percent of common equity expected to be issued annually as new common stock, and “v” is the equity accretion rate.  </w:t>
      </w:r>
      <w:r w:rsidR="00941DA7" w:rsidRPr="00831348">
        <w:t xml:space="preserve">Under DCF theory, the “sv” factor is a component of the growth rate designed to capture the impact of issuing new common stock at a price above, or below, book value.  The sustainable, “br+sv” growth rates for each firm in the Utility Group are </w:t>
      </w:r>
      <w:r w:rsidR="00941DA7" w:rsidRPr="00831348">
        <w:lastRenderedPageBreak/>
        <w:t xml:space="preserve">summarized on page 2 of </w:t>
      </w:r>
      <w:proofErr w:type="spellStart"/>
      <w:r w:rsidR="00A4213C">
        <w:t>Exh</w:t>
      </w:r>
      <w:proofErr w:type="spellEnd"/>
      <w:r w:rsidR="00A4213C">
        <w:t xml:space="preserve">. </w:t>
      </w:r>
      <w:proofErr w:type="gramStart"/>
      <w:r w:rsidR="00941DA7" w:rsidRPr="00831348">
        <w:t xml:space="preserve">AMM-6, with the underlying details being presented on </w:t>
      </w:r>
      <w:proofErr w:type="spellStart"/>
      <w:r w:rsidR="00A4213C">
        <w:t>Exh</w:t>
      </w:r>
      <w:proofErr w:type="spellEnd"/>
      <w:r w:rsidR="00A4213C">
        <w:t>.</w:t>
      </w:r>
      <w:proofErr w:type="gramEnd"/>
      <w:r w:rsidR="00A4213C">
        <w:t xml:space="preserve"> </w:t>
      </w:r>
      <w:proofErr w:type="gramStart"/>
      <w:r w:rsidR="00941DA7" w:rsidRPr="00831348">
        <w:t>AMM-7.</w:t>
      </w:r>
      <w:proofErr w:type="gramEnd"/>
      <w:r w:rsidR="00941DA7" w:rsidRPr="00831348">
        <w:rPr>
          <w:rStyle w:val="FootnoteReference"/>
        </w:rPr>
        <w:footnoteReference w:id="9"/>
      </w:r>
      <w:r w:rsidR="00941DA7" w:rsidRPr="00831348">
        <w:t xml:space="preserve">  </w:t>
      </w:r>
    </w:p>
    <w:p w:rsidR="00457B72" w:rsidRPr="00831348" w:rsidRDefault="00457B72" w:rsidP="00457B72">
      <w:pPr>
        <w:pStyle w:val="Question0"/>
        <w:rPr>
          <w:rFonts w:ascii="Times New Roman" w:hAnsi="Times New Roman"/>
        </w:rPr>
      </w:pPr>
      <w:r w:rsidRPr="00831348">
        <w:rPr>
          <w:rFonts w:ascii="Times New Roman" w:hAnsi="Times New Roman"/>
        </w:rPr>
        <w:t>Q.</w:t>
      </w:r>
      <w:r w:rsidRPr="00831348">
        <w:rPr>
          <w:rFonts w:ascii="Times New Roman" w:hAnsi="Times New Roman"/>
        </w:rPr>
        <w:tab/>
        <w:t>Are there significant shortcomings associated with the “br+sv” growth rate?</w:t>
      </w:r>
    </w:p>
    <w:p w:rsidR="00457B72" w:rsidRPr="00831348" w:rsidRDefault="00457B72" w:rsidP="00E57C57">
      <w:pPr>
        <w:pStyle w:val="Answer"/>
      </w:pPr>
      <w:r w:rsidRPr="00831348">
        <w:t>A.</w:t>
      </w:r>
      <w:r w:rsidRPr="00831348">
        <w:tab/>
        <w:t>Yes.  First, in order to calculate the sustainable growth rate, it is necessary to develop estimates of investors’ expectations for four separate variables; namely, “b”, “r”, “s”, and “v.”  Given the inherent difficulty in forecasting each parameter and the difficulty of estimating the expectations of investors, the potential for measurement error is significantly increased when using four variables, as opposed to referencing a direct projection for EPS growth.  Second, empirical research in the finance literature indicates that sustainable growth rates are not as significantly correlated to measures of value, such as share prices, as are analysts’ EPS growth forecasts.</w:t>
      </w:r>
      <w:r w:rsidRPr="00831348">
        <w:rPr>
          <w:rStyle w:val="FootnoteReference"/>
        </w:rPr>
        <w:footnoteReference w:id="10"/>
      </w:r>
      <w:r w:rsidRPr="00831348">
        <w:t xml:space="preserve"> </w:t>
      </w:r>
      <w:r w:rsidR="00BE3477">
        <w:t xml:space="preserve">  </w:t>
      </w:r>
      <w:r w:rsidRPr="00831348">
        <w:t xml:space="preserve">The “sustainable growth” approach was included for completeness, but evidence indicates that analysts’ forecasts provide a </w:t>
      </w:r>
      <w:r w:rsidRPr="00E57C57">
        <w:t>superior</w:t>
      </w:r>
      <w:r w:rsidRPr="00831348">
        <w:t xml:space="preserve"> and more direct guide to investors’ growth expectations.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cost of equity estimates were implied for the Utility Group using the DCF model?</w:t>
      </w:r>
    </w:p>
    <w:p w:rsidR="00586021" w:rsidRPr="00831348" w:rsidRDefault="00586021">
      <w:pPr>
        <w:pStyle w:val="Answer"/>
      </w:pPr>
      <w:r w:rsidRPr="00831348">
        <w:t>A.</w:t>
      </w:r>
      <w:r w:rsidRPr="00831348">
        <w:tab/>
        <w:t xml:space="preserve">After combining the dividend yields and respective growth projections for each utility, the resulting cost of equity estimates are shown on page 3 of </w:t>
      </w:r>
      <w:proofErr w:type="spellStart"/>
      <w:r w:rsidR="00A4213C">
        <w:t>Exh</w:t>
      </w:r>
      <w:proofErr w:type="spellEnd"/>
      <w:r w:rsidR="00A4213C">
        <w:t xml:space="preserve">. </w:t>
      </w:r>
      <w:proofErr w:type="gramStart"/>
      <w:r w:rsidR="00457B72" w:rsidRPr="00831348">
        <w:t>AMM-6</w:t>
      </w:r>
      <w:r w:rsidRPr="00831348">
        <w:t>.</w:t>
      </w:r>
      <w:proofErr w:type="gramEnd"/>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In evaluating the results of the constant growth DCF model, is it appropriate to eliminate </w:t>
      </w:r>
      <w:r w:rsidR="000D50FE">
        <w:rPr>
          <w:rFonts w:ascii="Times New Roman" w:hAnsi="Times New Roman"/>
        </w:rPr>
        <w:t>illogical</w:t>
      </w:r>
      <w:r w:rsidR="00271369">
        <w:rPr>
          <w:rFonts w:ascii="Times New Roman" w:hAnsi="Times New Roman"/>
        </w:rPr>
        <w:t xml:space="preserve"> low or high-end values</w:t>
      </w:r>
      <w:r w:rsidRPr="00831348">
        <w:rPr>
          <w:rFonts w:ascii="Times New Roman" w:hAnsi="Times New Roman"/>
        </w:rPr>
        <w:t>?</w:t>
      </w:r>
    </w:p>
    <w:p w:rsidR="00586021" w:rsidRPr="00831348" w:rsidRDefault="00586021">
      <w:pPr>
        <w:pStyle w:val="Answer"/>
        <w:rPr>
          <w:szCs w:val="24"/>
        </w:rPr>
      </w:pPr>
      <w:r w:rsidRPr="00831348">
        <w:t>A.</w:t>
      </w:r>
      <w:r w:rsidRPr="00831348">
        <w:tab/>
        <w:t xml:space="preserve">Yes.  In applying quantitative methods to </w:t>
      </w:r>
      <w:r w:rsidRPr="00831348">
        <w:rPr>
          <w:szCs w:val="24"/>
        </w:rPr>
        <w:t xml:space="preserve">estimate the cost of equity, it is essential that the resulting values pass fundamental tests of reasonableness and economic </w:t>
      </w:r>
      <w:r w:rsidRPr="00831348">
        <w:rPr>
          <w:szCs w:val="24"/>
        </w:rPr>
        <w:lastRenderedPageBreak/>
        <w:t xml:space="preserve">logic.  Accordingly, DCF estimates that are implausibly low or high should be eliminated when evaluating the results of this method.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did you evaluate DCF estimates at the low end of the range?</w:t>
      </w:r>
    </w:p>
    <w:p w:rsidR="00586021" w:rsidRPr="00831348" w:rsidRDefault="00586021">
      <w:pPr>
        <w:pStyle w:val="Answer"/>
      </w:pPr>
      <w:r w:rsidRPr="00831348">
        <w:t>A.</w:t>
      </w:r>
      <w:r w:rsidRPr="00831348">
        <w:tab/>
      </w:r>
      <w:r w:rsidR="00457B72" w:rsidRPr="00831348">
        <w:t xml:space="preserve">I based my evaluation of DCF estimates at the low end of the range on the fundamental risk-return tradeoff, which holds that investors will only take on more risk if </w:t>
      </w:r>
      <w:r w:rsidRPr="00831348">
        <w:t xml:space="preserve">they expect to earn a return to compensate them for </w:t>
      </w:r>
      <w:r w:rsidR="00457B72" w:rsidRPr="00831348">
        <w:t xml:space="preserve">the greater uncertainty.  Because common stocks lack the protections associated with an investment in long-term bonds, a utility’s common stock imposes far greater risks on investors.  As a result, the rate of return that investors require from a utility’s common stock is considerably higher than the yield offered by senior, long-term debt.  </w:t>
      </w:r>
      <w:r w:rsidRPr="00831348">
        <w:t xml:space="preserve">Consistent with this principle, DCF results </w:t>
      </w:r>
      <w:r w:rsidR="00457B72" w:rsidRPr="00831348">
        <w:t>that are not sufficiently higher than the yields available on less risky utility bonds must be eliminated.</w:t>
      </w:r>
      <w:r w:rsidRPr="00831348">
        <w:t xml:space="preserve"> </w:t>
      </w:r>
    </w:p>
    <w:p w:rsidR="00457B72" w:rsidRPr="00831348" w:rsidRDefault="00457B72" w:rsidP="00457B72">
      <w:pPr>
        <w:pStyle w:val="Question0"/>
        <w:rPr>
          <w:rFonts w:ascii="Times New Roman" w:hAnsi="Times New Roman"/>
        </w:rPr>
      </w:pPr>
      <w:r w:rsidRPr="00831348">
        <w:rPr>
          <w:rFonts w:ascii="Times New Roman" w:hAnsi="Times New Roman"/>
        </w:rPr>
        <w:t>Q.</w:t>
      </w:r>
      <w:r w:rsidRPr="00831348">
        <w:rPr>
          <w:rFonts w:ascii="Times New Roman" w:hAnsi="Times New Roman"/>
        </w:rPr>
        <w:tab/>
        <w:t>Have similar tests been applied by regulators?</w:t>
      </w:r>
    </w:p>
    <w:p w:rsidR="00911362" w:rsidRPr="00831348" w:rsidRDefault="00457B72" w:rsidP="00911362">
      <w:pPr>
        <w:pStyle w:val="Answer"/>
      </w:pPr>
      <w:r w:rsidRPr="00831348">
        <w:t>A.</w:t>
      </w:r>
      <w:r w:rsidRPr="00831348">
        <w:tab/>
        <w:t>Yes.  FERC has noted that adjustments are justified where applications of the DCF approach produce illogical results.  FERC evaluates DCF results against observable yields on long-term public utility debt and has recognized that it is appropriate to eliminate estimates that do not sufficiently exceed this threshold.</w:t>
      </w:r>
      <w:r w:rsidR="005F1BDB" w:rsidRPr="00831348">
        <w:rPr>
          <w:rStyle w:val="FootnoteReference"/>
        </w:rPr>
        <w:footnoteReference w:id="11"/>
      </w:r>
      <w:r w:rsidR="00911362" w:rsidRPr="00831348">
        <w:t xml:space="preserve">  FERC affirmed that:</w:t>
      </w:r>
    </w:p>
    <w:p w:rsidR="00457B72" w:rsidRPr="00831348" w:rsidRDefault="00911362" w:rsidP="006B45AA">
      <w:pPr>
        <w:pStyle w:val="Quote1"/>
        <w:rPr>
          <w:szCs w:val="26"/>
        </w:rPr>
      </w:pPr>
      <w:r w:rsidRPr="00831348">
        <w:t>The purpose of the low-end outlier test is to exclude from the proxy group those companies whose ROE estimates are below the average bond yield or are above the average bond yield but are sufficiently low that an investor would consider the stock to yield essentially the same return as debt.  In public utility ROE cases, the Commission has used 100 basis points above the cost of debt as an approximation of this threshold, but has also considered the distribution of proxy group companies to inform its decision on which companies are outliers.  As the Presiding Judge explained, this is a flexible test.</w:t>
      </w:r>
      <w:r w:rsidR="005F1BDB" w:rsidRPr="00831348">
        <w:rPr>
          <w:rStyle w:val="FootnoteReference"/>
        </w:rPr>
        <w:footnoteReference w:id="12"/>
      </w:r>
      <w:r w:rsidR="00457B72" w:rsidRPr="00831348">
        <w:t xml:space="preserve">  </w:t>
      </w:r>
    </w:p>
    <w:p w:rsidR="00457B72" w:rsidRPr="00831348" w:rsidRDefault="00457B72" w:rsidP="00457B72">
      <w:pPr>
        <w:pStyle w:val="Question0"/>
        <w:rPr>
          <w:rFonts w:ascii="Times New Roman" w:hAnsi="Times New Roman"/>
        </w:rPr>
      </w:pPr>
      <w:r w:rsidRPr="00831348">
        <w:rPr>
          <w:rFonts w:ascii="Times New Roman" w:hAnsi="Times New Roman"/>
        </w:rPr>
        <w:lastRenderedPageBreak/>
        <w:t>Q.</w:t>
      </w:r>
      <w:r w:rsidRPr="00831348">
        <w:rPr>
          <w:rFonts w:ascii="Times New Roman" w:hAnsi="Times New Roman"/>
        </w:rPr>
        <w:tab/>
        <w:t>What interest rate benchmark did you consider in evaluating the DCF results for Avista?</w:t>
      </w:r>
    </w:p>
    <w:p w:rsidR="00457B72" w:rsidRPr="00831348" w:rsidRDefault="00065089" w:rsidP="00065089">
      <w:pPr>
        <w:pStyle w:val="Answer"/>
      </w:pPr>
      <w:r>
        <w:t>A.</w:t>
      </w:r>
      <w:r>
        <w:tab/>
      </w:r>
      <w:r w:rsidR="00457B72" w:rsidRPr="00831348">
        <w:t xml:space="preserve">As noted earlier, </w:t>
      </w:r>
      <w:r w:rsidR="00941DA7" w:rsidRPr="00831348">
        <w:t xml:space="preserve">the S&amp;P and Moody’s ratings for </w:t>
      </w:r>
      <w:r w:rsidR="00457B72" w:rsidRPr="00831348">
        <w:t>Avista</w:t>
      </w:r>
      <w:r w:rsidR="00A565C3" w:rsidRPr="00831348">
        <w:t xml:space="preserve"> are BBB and Baa1, respectively, which fall in the </w:t>
      </w:r>
      <w:r w:rsidR="00457B72" w:rsidRPr="00831348">
        <w:t>triple</w:t>
      </w:r>
      <w:r w:rsidR="00457B72" w:rsidRPr="00831348">
        <w:noBreakHyphen/>
        <w:t>B rating category</w:t>
      </w:r>
      <w:r w:rsidR="00A565C3" w:rsidRPr="00831348">
        <w:t>.  Accordingly, I referenced average yields on triple-B utility bonds as my benchmark in evaluating low-end results.  M</w:t>
      </w:r>
      <w:r w:rsidR="00457B72" w:rsidRPr="00831348">
        <w:t>onthly yields on B</w:t>
      </w:r>
      <w:r w:rsidR="00BE3477">
        <w:t>aa</w:t>
      </w:r>
      <w:r w:rsidR="00457B72" w:rsidRPr="00831348">
        <w:t xml:space="preserve"> bonds </w:t>
      </w:r>
      <w:r w:rsidR="00A565C3" w:rsidRPr="00831348">
        <w:t xml:space="preserve">reported by Moody’s averaged </w:t>
      </w:r>
      <w:r w:rsidR="00272906">
        <w:t>4.6</w:t>
      </w:r>
      <w:r w:rsidR="00FC0F2E">
        <w:t xml:space="preserve"> percent</w:t>
      </w:r>
      <w:r w:rsidR="00457B72" w:rsidRPr="00831348">
        <w:t xml:space="preserve"> </w:t>
      </w:r>
      <w:r w:rsidR="00CB19F8" w:rsidRPr="00831348">
        <w:t>over the six months ending</w:t>
      </w:r>
      <w:r w:rsidR="00457B72" w:rsidRPr="00831348">
        <w:t xml:space="preserve"> </w:t>
      </w:r>
      <w:r w:rsidR="00272906">
        <w:t>March</w:t>
      </w:r>
      <w:r w:rsidR="00457B72" w:rsidRPr="00831348">
        <w:t xml:space="preserve"> 201</w:t>
      </w:r>
      <w:r w:rsidR="00272906">
        <w:t>7</w:t>
      </w:r>
      <w:r w:rsidR="00BE3477">
        <w:t>.</w:t>
      </w:r>
      <w:r w:rsidR="00457B72" w:rsidRPr="00831348">
        <w:rPr>
          <w:rStyle w:val="FootnoteReference"/>
        </w:rPr>
        <w:footnoteReference w:id="13"/>
      </w:r>
      <w:r w:rsidR="00457B72" w:rsidRPr="00831348">
        <w:t xml:space="preserve"> </w:t>
      </w:r>
    </w:p>
    <w:p w:rsidR="000B6114" w:rsidRPr="00831348" w:rsidRDefault="000B6114" w:rsidP="000B6114">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else should be considered in evaluating DCF estimates at the low end of the range?</w:t>
      </w:r>
    </w:p>
    <w:p w:rsidR="000B6114" w:rsidRPr="00831348" w:rsidRDefault="000B6114" w:rsidP="000B6114">
      <w:pPr>
        <w:pStyle w:val="Answer"/>
      </w:pPr>
      <w:r w:rsidRPr="00831348">
        <w:t>A.</w:t>
      </w:r>
      <w:r w:rsidRPr="00831348">
        <w:tab/>
      </w:r>
      <w:r w:rsidR="00271369" w:rsidRPr="00271369">
        <w:t>As indicated earlier, it is generally expected that long-term interest rates will rise as the Federal Reserve normalizes monetary policies.</w:t>
      </w:r>
      <w:r w:rsidRPr="00831348">
        <w:t xml:space="preserve">  As shown in Table 2 below, forecasts of IHS Global Insight and the EIA imply an average triple-B bond yield of approximately </w:t>
      </w:r>
      <w:r w:rsidR="00271369">
        <w:t>6.1</w:t>
      </w:r>
      <w:r w:rsidRPr="00831348">
        <w:t xml:space="preserve"> percent over the period 201</w:t>
      </w:r>
      <w:r w:rsidR="00271369">
        <w:t>8</w:t>
      </w:r>
      <w:r w:rsidRPr="00831348">
        <w:t>-20</w:t>
      </w:r>
      <w:r w:rsidR="003C7D11">
        <w:t>2</w:t>
      </w:r>
      <w:r w:rsidR="00271369">
        <w:t>2</w:t>
      </w:r>
      <w:r w:rsidRPr="00831348">
        <w:t>:</w:t>
      </w:r>
    </w:p>
    <w:p w:rsidR="000B6114" w:rsidRDefault="000B6114" w:rsidP="00376B53">
      <w:pPr>
        <w:pStyle w:val="TableCaption"/>
      </w:pPr>
      <w:r w:rsidRPr="00831348">
        <w:lastRenderedPageBreak/>
        <w:t>table 2</w:t>
      </w:r>
      <w:r w:rsidRPr="00831348">
        <w:br/>
        <w:t>IMPLIED BBB BOND YIELD</w:t>
      </w:r>
    </w:p>
    <w:p w:rsidR="00906B5C" w:rsidRDefault="00BF3DB6" w:rsidP="00376B53">
      <w:pPr>
        <w:pStyle w:val="Answer2"/>
        <w:suppressLineNumbers/>
        <w:spacing w:after="240" w:line="240" w:lineRule="auto"/>
        <w:ind w:firstLine="0"/>
        <w:jc w:val="center"/>
      </w:pPr>
      <w:r>
        <w:rPr>
          <w:noProof/>
        </w:rPr>
        <w:drawing>
          <wp:inline distT="0" distB="0" distL="0" distR="0" wp14:anchorId="3B325AE6" wp14:editId="15D5EB6B">
            <wp:extent cx="3613150" cy="315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3150" cy="3155950"/>
                    </a:xfrm>
                    <a:prstGeom prst="rect">
                      <a:avLst/>
                    </a:prstGeom>
                    <a:noFill/>
                    <a:ln>
                      <a:noFill/>
                    </a:ln>
                  </pic:spPr>
                </pic:pic>
              </a:graphicData>
            </a:graphic>
          </wp:inline>
        </w:drawing>
      </w:r>
    </w:p>
    <w:p w:rsidR="000B6114" w:rsidRPr="00831348" w:rsidRDefault="000B6114" w:rsidP="00271369">
      <w:pPr>
        <w:pStyle w:val="Answer"/>
        <w:ind w:firstLine="0"/>
      </w:pPr>
      <w:r w:rsidRPr="00831348">
        <w:t>The increase in debt yields anticipated by IHS Global Insight and EIA is also supported by the widely-referenced Blue Chip Financial Forecasts, which projects that yields on corporate bonds will climb</w:t>
      </w:r>
      <w:r w:rsidR="00CB19F8" w:rsidRPr="00831348">
        <w:t xml:space="preserve"> on the order of</w:t>
      </w:r>
      <w:r w:rsidRPr="00831348">
        <w:t xml:space="preserve"> </w:t>
      </w:r>
      <w:r w:rsidR="00507F6B">
        <w:t>150</w:t>
      </w:r>
      <w:r w:rsidRPr="00831348">
        <w:t xml:space="preserve"> basis points through </w:t>
      </w:r>
      <w:r w:rsidR="001A6B4D" w:rsidRPr="00831348">
        <w:t>20</w:t>
      </w:r>
      <w:r w:rsidR="001A6B4D">
        <w:t>2</w:t>
      </w:r>
      <w:r w:rsidR="00271369">
        <w:t>2</w:t>
      </w:r>
      <w:r w:rsidRPr="00831348">
        <w:t>.</w:t>
      </w:r>
      <w:r w:rsidRPr="00831348">
        <w:rPr>
          <w:rStyle w:val="FootnoteReference"/>
        </w:rPr>
        <w:footnoteReference w:id="14"/>
      </w:r>
      <w:r w:rsidRPr="00831348">
        <w:t xml:space="preserve">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does this test of logic imply with respect to the DCF estimates for the Utility Group?</w:t>
      </w:r>
    </w:p>
    <w:p w:rsidR="00271369" w:rsidRPr="00831348" w:rsidRDefault="00586021" w:rsidP="00271369">
      <w:pPr>
        <w:pStyle w:val="Answer"/>
      </w:pPr>
      <w:r w:rsidRPr="00831348">
        <w:t>A.</w:t>
      </w:r>
      <w:r w:rsidRPr="00831348">
        <w:tab/>
      </w:r>
      <w:r w:rsidR="00686B98" w:rsidRPr="00831348">
        <w:t xml:space="preserve">Adding FERC’s 100 basis-point premium to the historical and projected average utility bond yields implies a low-end threshold on the order of </w:t>
      </w:r>
      <w:r w:rsidR="00272320">
        <w:t>5.6</w:t>
      </w:r>
      <w:r w:rsidR="00FC0F2E">
        <w:t xml:space="preserve"> percent</w:t>
      </w:r>
      <w:r w:rsidR="00686B98" w:rsidRPr="00831348">
        <w:t xml:space="preserve"> to </w:t>
      </w:r>
      <w:r w:rsidR="00271369">
        <w:t>7.1</w:t>
      </w:r>
      <w:r w:rsidR="00FC0F2E">
        <w:t xml:space="preserve"> percent</w:t>
      </w:r>
      <w:r w:rsidR="00686B98" w:rsidRPr="00831348">
        <w:t>.</w:t>
      </w:r>
      <w:r w:rsidR="00271369">
        <w:t xml:space="preserve">  </w:t>
      </w:r>
      <w:r w:rsidR="00271369" w:rsidRPr="00831348">
        <w:t xml:space="preserve">As highlighted on page 3 of </w:t>
      </w:r>
      <w:proofErr w:type="spellStart"/>
      <w:r w:rsidR="00A4213C">
        <w:t>Exh</w:t>
      </w:r>
      <w:proofErr w:type="spellEnd"/>
      <w:r w:rsidR="00A4213C">
        <w:t xml:space="preserve">. </w:t>
      </w:r>
      <w:r w:rsidR="00271369" w:rsidRPr="00831348">
        <w:t>AMM-6, after considering th</w:t>
      </w:r>
      <w:r w:rsidR="00271369">
        <w:t>e</w:t>
      </w:r>
      <w:r w:rsidR="00271369" w:rsidRPr="00831348">
        <w:t>s</w:t>
      </w:r>
      <w:r w:rsidR="00271369">
        <w:t>e</w:t>
      </w:r>
      <w:r w:rsidR="00271369" w:rsidRPr="00831348">
        <w:t xml:space="preserve"> test</w:t>
      </w:r>
      <w:r w:rsidR="00271369">
        <w:t>s</w:t>
      </w:r>
      <w:r w:rsidR="00271369" w:rsidRPr="00831348">
        <w:t xml:space="preserve"> and the distribution of individual estimates, I eliminated low-end DCF estimates ranging from </w:t>
      </w:r>
      <w:r w:rsidR="00271369">
        <w:t>4.1 percent</w:t>
      </w:r>
      <w:r w:rsidR="00271369" w:rsidRPr="00831348">
        <w:t xml:space="preserve"> to 6.9</w:t>
      </w:r>
      <w:r w:rsidR="00271369">
        <w:t xml:space="preserve"> percent</w:t>
      </w:r>
      <w:r w:rsidR="00271369" w:rsidRPr="00831348">
        <w:t xml:space="preserve">.  Based on my professional experience and the risk-return tradeoff principle that is fundamental to finance, it is inconceivable that investors are not requiring a substantially higher rate of return for holding common stock.  As a result, consistent with the </w:t>
      </w:r>
      <w:r w:rsidR="00271369" w:rsidRPr="00831348">
        <w:lastRenderedPageBreak/>
        <w:t>threshold established by historical and projected utility bond yields, these values provide little guidance as to the returns investors require from utility common stocks and should be excluded.</w:t>
      </w:r>
    </w:p>
    <w:p w:rsidR="00272320" w:rsidRPr="00272320" w:rsidRDefault="00272320" w:rsidP="00272320">
      <w:pPr>
        <w:pStyle w:val="Question0"/>
      </w:pPr>
      <w:r>
        <w:t>Q.</w:t>
      </w:r>
      <w:r>
        <w:tab/>
      </w:r>
      <w:r w:rsidRPr="00272320">
        <w:t>What else should be considered in evaluating DCF estimates at the low end of the range?</w:t>
      </w:r>
    </w:p>
    <w:p w:rsidR="00272320" w:rsidRPr="00272320" w:rsidRDefault="00272320" w:rsidP="00272320">
      <w:pPr>
        <w:pStyle w:val="Answer"/>
      </w:pPr>
      <w:r w:rsidRPr="00272320">
        <w:t>A.</w:t>
      </w:r>
      <w:r w:rsidRPr="00272320">
        <w:tab/>
        <w:t>While FERC has historically relied on a 100 basis point spread over public utility bond yields as a starting place in evaluating low-end values, reference to a static test ignores the implications of current low bond yields.  Specifically, the premium that investors demand to bear the higher risks of common stock is not constant.  As I demonstrate later in my testimony, equity risk premiums expand when interest rates fall, and vice versa.  Given that bond yields have remained uncharacteristically low, this inverse relationship implies a significant increase in the equity risk premium that investors require to accept the higher uncertainties associated with an investment in utility common stocks versus bonds.  As a result, using a fixed premium of 100 basis points over public utility bond yields will vastly understate the threshold for investors’ minimum required return on utility stocks.</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Do you also recommend excluding estimates at the high end of the range of DCF results?</w:t>
      </w:r>
    </w:p>
    <w:p w:rsidR="00586021" w:rsidRPr="00831348" w:rsidRDefault="00586021">
      <w:pPr>
        <w:pStyle w:val="Answer"/>
      </w:pPr>
      <w:r w:rsidRPr="00831348">
        <w:t>A.</w:t>
      </w:r>
      <w:r w:rsidRPr="00831348">
        <w:tab/>
      </w:r>
      <w:r w:rsidR="001A6B4D">
        <w:t>While I typically recommend the exclusion of high end estimates that are clearly implausible, in this case, no such values existed</w:t>
      </w:r>
      <w:r w:rsidRPr="00831348">
        <w:t xml:space="preserve">.  The upper end of the cost of common equity range produced by the DCF analysis presented on page 3 of </w:t>
      </w:r>
      <w:proofErr w:type="spellStart"/>
      <w:r w:rsidR="00A4213C">
        <w:t>Exh</w:t>
      </w:r>
      <w:proofErr w:type="spellEnd"/>
      <w:r w:rsidR="00A4213C">
        <w:t xml:space="preserve">. </w:t>
      </w:r>
      <w:r w:rsidR="00457B72" w:rsidRPr="00831348">
        <w:t>AMM-</w:t>
      </w:r>
      <w:r w:rsidR="003E2B2F" w:rsidRPr="00831348">
        <w:t>6</w:t>
      </w:r>
      <w:r w:rsidRPr="00831348">
        <w:t xml:space="preserve"> was set by a cost of equity estimate of </w:t>
      </w:r>
      <w:r w:rsidR="00E06B56" w:rsidRPr="00831348">
        <w:t>1</w:t>
      </w:r>
      <w:r w:rsidR="00271369">
        <w:t>3.1</w:t>
      </w:r>
      <w:r w:rsidRPr="00831348">
        <w:t xml:space="preserve"> percent.  When compared with the balance of the remaining estimates, this value is </w:t>
      </w:r>
      <w:r w:rsidR="001A6B4D">
        <w:t>reasonable</w:t>
      </w:r>
      <w:r w:rsidRPr="00831348">
        <w:t xml:space="preserve"> and should </w:t>
      </w:r>
      <w:r w:rsidR="001A6B4D">
        <w:t xml:space="preserve">not </w:t>
      </w:r>
      <w:r w:rsidRPr="00831348">
        <w:t xml:space="preserve">be excluded in evaluating the results of the DCF model for the Utility Group.  </w:t>
      </w:r>
    </w:p>
    <w:p w:rsidR="00586021" w:rsidRPr="00831348" w:rsidRDefault="00586021">
      <w:pPr>
        <w:pStyle w:val="Question0"/>
        <w:rPr>
          <w:rFonts w:ascii="Times New Roman" w:hAnsi="Times New Roman"/>
        </w:rPr>
      </w:pPr>
      <w:r w:rsidRPr="00831348">
        <w:rPr>
          <w:rFonts w:ascii="Times New Roman" w:hAnsi="Times New Roman"/>
        </w:rPr>
        <w:lastRenderedPageBreak/>
        <w:t>Q.</w:t>
      </w:r>
      <w:r w:rsidRPr="00831348">
        <w:rPr>
          <w:rFonts w:ascii="Times New Roman" w:hAnsi="Times New Roman"/>
        </w:rPr>
        <w:tab/>
        <w:t>What cost of equity is implied by your DCF results for the Utility Group?</w:t>
      </w:r>
    </w:p>
    <w:p w:rsidR="00586021" w:rsidRPr="00831348" w:rsidRDefault="00586021">
      <w:pPr>
        <w:pStyle w:val="Answer"/>
      </w:pPr>
      <w:r w:rsidRPr="00831348">
        <w:rPr>
          <w:bCs/>
          <w:iCs/>
        </w:rPr>
        <w:t>A.</w:t>
      </w:r>
      <w:r w:rsidRPr="00831348">
        <w:rPr>
          <w:bCs/>
          <w:iCs/>
        </w:rPr>
        <w:tab/>
      </w:r>
      <w:r w:rsidRPr="00831348">
        <w:rPr>
          <w:bCs/>
        </w:rPr>
        <w:t xml:space="preserve">As shown on page 3 of </w:t>
      </w:r>
      <w:proofErr w:type="spellStart"/>
      <w:r w:rsidR="00A4213C">
        <w:rPr>
          <w:bCs/>
        </w:rPr>
        <w:t>Exh</w:t>
      </w:r>
      <w:proofErr w:type="spellEnd"/>
      <w:r w:rsidR="00A4213C">
        <w:rPr>
          <w:bCs/>
        </w:rPr>
        <w:t xml:space="preserve">. </w:t>
      </w:r>
      <w:r w:rsidR="00457B72" w:rsidRPr="00831348">
        <w:rPr>
          <w:bCs/>
        </w:rPr>
        <w:t>AMM-</w:t>
      </w:r>
      <w:r w:rsidR="003E2B2F" w:rsidRPr="00831348">
        <w:rPr>
          <w:bCs/>
        </w:rPr>
        <w:t>6</w:t>
      </w:r>
      <w:r w:rsidRPr="00831348">
        <w:rPr>
          <w:bCs/>
        </w:rPr>
        <w:t xml:space="preserve"> and summarized in</w:t>
      </w:r>
      <w:r w:rsidRPr="00831348">
        <w:t xml:space="preserve"> Table </w:t>
      </w:r>
      <w:r w:rsidR="00FC0F2E">
        <w:t>4</w:t>
      </w:r>
      <w:r w:rsidRPr="00831348">
        <w:t>, below, after eliminating illogical low-end values, application of the constant growth DCF model resulted in the following cost of equity estimates:</w:t>
      </w:r>
    </w:p>
    <w:p w:rsidR="00586021" w:rsidRPr="00831348" w:rsidRDefault="00586021" w:rsidP="00376B53">
      <w:pPr>
        <w:pStyle w:val="TableCaption"/>
      </w:pPr>
      <w:r w:rsidRPr="00831348">
        <w:t xml:space="preserve">table </w:t>
      </w:r>
      <w:r w:rsidR="00FC0F2E">
        <w:t>4</w:t>
      </w:r>
      <w:r w:rsidRPr="00831348">
        <w:br/>
        <w:t>DCF RESULTS – UTILITY GROUP</w:t>
      </w:r>
    </w:p>
    <w:p w:rsidR="00906B5C" w:rsidRDefault="00BF3DB6" w:rsidP="00376B53">
      <w:pPr>
        <w:pStyle w:val="Table"/>
        <w:rPr>
          <w:rFonts w:ascii="Times New Roman" w:hAnsi="Times New Roman"/>
        </w:rPr>
      </w:pPr>
      <w:r>
        <w:rPr>
          <w:noProof/>
        </w:rPr>
        <w:drawing>
          <wp:inline distT="0" distB="0" distL="0" distR="0" wp14:anchorId="2681A895" wp14:editId="572D2D46">
            <wp:extent cx="2628900" cy="139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397000"/>
                    </a:xfrm>
                    <a:prstGeom prst="rect">
                      <a:avLst/>
                    </a:prstGeom>
                    <a:noFill/>
                    <a:ln>
                      <a:noFill/>
                    </a:ln>
                  </pic:spPr>
                </pic:pic>
              </a:graphicData>
            </a:graphic>
          </wp:inline>
        </w:drawing>
      </w:r>
    </w:p>
    <w:p w:rsidR="00586021" w:rsidRPr="00426AE5" w:rsidRDefault="00586021" w:rsidP="0035664F">
      <w:pPr>
        <w:pStyle w:val="Heading2"/>
        <w:spacing w:before="240"/>
        <w:rPr>
          <w:rFonts w:ascii="Times New Roman" w:hAnsi="Times New Roman"/>
        </w:rPr>
      </w:pPr>
      <w:bookmarkStart w:id="12" w:name="_Toc506378817"/>
      <w:bookmarkStart w:id="13" w:name="_Toc159816086"/>
      <w:bookmarkStart w:id="14" w:name="_Toc161404698"/>
      <w:r w:rsidRPr="00426AE5">
        <w:rPr>
          <w:rFonts w:ascii="Times New Roman" w:hAnsi="Times New Roman"/>
        </w:rPr>
        <w:t>Capital Asset Pricing Model</w:t>
      </w:r>
      <w:bookmarkEnd w:id="12"/>
      <w:bookmarkEnd w:id="13"/>
      <w:bookmarkEnd w:id="14"/>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Please describe the CAPM.</w:t>
      </w:r>
    </w:p>
    <w:p w:rsidR="00586021" w:rsidRPr="00831348" w:rsidRDefault="00586021">
      <w:pPr>
        <w:pStyle w:val="Answer"/>
      </w:pPr>
      <w:r w:rsidRPr="00831348">
        <w:t>A.</w:t>
      </w:r>
      <w:r w:rsidRPr="00831348">
        <w:tab/>
      </w:r>
      <w:r w:rsidR="003E2B2F" w:rsidRPr="00831348">
        <w:t xml:space="preserve">The CAPM </w:t>
      </w:r>
      <w:r w:rsidRPr="00831348">
        <w:t>is a theory of market equilibrium that measures risk using the beta coefficient.  Assuming investors are fully diversified, the relevant risk of an individual asset (</w:t>
      </w:r>
      <w:r w:rsidRPr="00831348">
        <w:rPr>
          <w:i/>
        </w:rPr>
        <w:t>e.g.</w:t>
      </w:r>
      <w:r w:rsidRPr="00831348">
        <w:t xml:space="preserve">, common stock) is its volatility relative to the market as a whole, with beta reflecting the tendency of a stock’s price to follow changes in the market.  </w:t>
      </w:r>
      <w:r w:rsidR="003E2B2F" w:rsidRPr="00831348">
        <w:t xml:space="preserve">A stock that tends to respond less to market movements has a beta less than 1.00, while stocks that tend to move more than the market have betas greater than 1.00.  </w:t>
      </w:r>
      <w:r w:rsidRPr="00831348">
        <w:t>The CAPM is mathematically expressed as:</w:t>
      </w:r>
    </w:p>
    <w:p w:rsidR="00586021" w:rsidRPr="00831348" w:rsidRDefault="00586021">
      <w:pPr>
        <w:pStyle w:val="SingleSpaced"/>
        <w:keepNext/>
        <w:spacing w:before="240" w:line="480" w:lineRule="auto"/>
        <w:ind w:left="1440" w:firstLine="720"/>
        <w:rPr>
          <w:rFonts w:ascii="Times New Roman" w:hAnsi="Times New Roman"/>
        </w:rPr>
      </w:pPr>
      <w:proofErr w:type="gramStart"/>
      <w:r w:rsidRPr="00831348">
        <w:rPr>
          <w:rFonts w:ascii="Times New Roman" w:hAnsi="Times New Roman"/>
        </w:rPr>
        <w:lastRenderedPageBreak/>
        <w:t>R</w:t>
      </w:r>
      <w:r w:rsidRPr="00831348">
        <w:rPr>
          <w:rFonts w:ascii="Times New Roman" w:hAnsi="Times New Roman"/>
          <w:vertAlign w:val="subscript"/>
        </w:rPr>
        <w:t>j</w:t>
      </w:r>
      <w:r w:rsidRPr="00831348">
        <w:rPr>
          <w:rFonts w:ascii="Times New Roman" w:hAnsi="Times New Roman"/>
        </w:rPr>
        <w:t xml:space="preserve">  =</w:t>
      </w:r>
      <w:proofErr w:type="gramEnd"/>
      <w:r w:rsidRPr="00831348">
        <w:rPr>
          <w:rFonts w:ascii="Times New Roman" w:hAnsi="Times New Roman"/>
        </w:rPr>
        <w:t xml:space="preserve">  R</w:t>
      </w:r>
      <w:r w:rsidRPr="00831348">
        <w:rPr>
          <w:rFonts w:ascii="Times New Roman" w:hAnsi="Times New Roman"/>
          <w:vertAlign w:val="subscript"/>
        </w:rPr>
        <w:t>f</w:t>
      </w:r>
      <w:r w:rsidRPr="00831348">
        <w:rPr>
          <w:rFonts w:ascii="Times New Roman" w:hAnsi="Times New Roman"/>
        </w:rPr>
        <w:t xml:space="preserve"> +β</w:t>
      </w:r>
      <w:r w:rsidRPr="00831348">
        <w:rPr>
          <w:rFonts w:ascii="Times New Roman" w:hAnsi="Times New Roman"/>
          <w:vertAlign w:val="subscript"/>
        </w:rPr>
        <w:t>j</w:t>
      </w:r>
      <w:r w:rsidRPr="00831348">
        <w:rPr>
          <w:rFonts w:ascii="Times New Roman" w:hAnsi="Times New Roman"/>
        </w:rPr>
        <w:t>(R</w:t>
      </w:r>
      <w:r w:rsidRPr="00831348">
        <w:rPr>
          <w:rFonts w:ascii="Times New Roman" w:hAnsi="Times New Roman"/>
          <w:vertAlign w:val="subscript"/>
        </w:rPr>
        <w:t>m</w:t>
      </w:r>
      <w:r w:rsidRPr="00831348">
        <w:rPr>
          <w:rFonts w:ascii="Times New Roman" w:hAnsi="Times New Roman"/>
        </w:rPr>
        <w:t xml:space="preserve"> - R</w:t>
      </w:r>
      <w:r w:rsidRPr="00831348">
        <w:rPr>
          <w:rFonts w:ascii="Times New Roman" w:hAnsi="Times New Roman"/>
          <w:vertAlign w:val="subscript"/>
        </w:rPr>
        <w:t>f</w:t>
      </w:r>
      <w:r w:rsidRPr="00831348">
        <w:rPr>
          <w:rFonts w:ascii="Times New Roman" w:hAnsi="Times New Roman"/>
        </w:rPr>
        <w:t>)</w:t>
      </w:r>
    </w:p>
    <w:p w:rsidR="00586021" w:rsidRPr="00831348" w:rsidRDefault="00586021">
      <w:pPr>
        <w:pStyle w:val="SingleSpaced"/>
        <w:keepNext/>
        <w:ind w:left="1008" w:firstLine="144"/>
        <w:rPr>
          <w:rFonts w:ascii="Times New Roman" w:hAnsi="Times New Roman"/>
        </w:rPr>
      </w:pPr>
      <w:proofErr w:type="gramStart"/>
      <w:r w:rsidRPr="00831348">
        <w:rPr>
          <w:rFonts w:ascii="Times New Roman" w:hAnsi="Times New Roman"/>
        </w:rPr>
        <w:t>where</w:t>
      </w:r>
      <w:proofErr w:type="gramEnd"/>
      <w:r w:rsidRPr="00831348">
        <w:rPr>
          <w:rFonts w:ascii="Times New Roman" w:hAnsi="Times New Roman"/>
        </w:rPr>
        <w:t>:</w:t>
      </w:r>
      <w:r w:rsidRPr="00831348">
        <w:rPr>
          <w:rFonts w:ascii="Times New Roman" w:hAnsi="Times New Roman"/>
        </w:rPr>
        <w:tab/>
        <w:t>R</w:t>
      </w:r>
      <w:r w:rsidRPr="00831348">
        <w:rPr>
          <w:rFonts w:ascii="Times New Roman" w:hAnsi="Times New Roman"/>
          <w:vertAlign w:val="subscript"/>
        </w:rPr>
        <w:t>j</w:t>
      </w:r>
      <w:r w:rsidRPr="00831348">
        <w:rPr>
          <w:rFonts w:ascii="Times New Roman" w:hAnsi="Times New Roman"/>
        </w:rPr>
        <w:t xml:space="preserve">  =  required rate of return for stock j;</w:t>
      </w:r>
    </w:p>
    <w:p w:rsidR="00586021" w:rsidRPr="00831348" w:rsidRDefault="00586021">
      <w:pPr>
        <w:pStyle w:val="SingleSpaced"/>
        <w:keepNext/>
        <w:ind w:left="1512" w:firstLine="216"/>
        <w:rPr>
          <w:rFonts w:ascii="Times New Roman" w:hAnsi="Times New Roman"/>
        </w:rPr>
      </w:pPr>
      <w:r w:rsidRPr="00831348">
        <w:rPr>
          <w:rFonts w:ascii="Times New Roman" w:hAnsi="Times New Roman"/>
        </w:rPr>
        <w:tab/>
      </w:r>
      <w:proofErr w:type="gramStart"/>
      <w:r w:rsidRPr="00831348">
        <w:rPr>
          <w:rFonts w:ascii="Times New Roman" w:hAnsi="Times New Roman"/>
        </w:rPr>
        <w:t>R</w:t>
      </w:r>
      <w:r w:rsidRPr="00831348">
        <w:rPr>
          <w:rFonts w:ascii="Times New Roman" w:hAnsi="Times New Roman"/>
          <w:vertAlign w:val="subscript"/>
        </w:rPr>
        <w:t>f</w:t>
      </w:r>
      <w:r w:rsidRPr="00831348">
        <w:rPr>
          <w:rFonts w:ascii="Times New Roman" w:hAnsi="Times New Roman"/>
        </w:rPr>
        <w:t xml:space="preserve">  =</w:t>
      </w:r>
      <w:proofErr w:type="gramEnd"/>
      <w:r w:rsidRPr="00831348">
        <w:rPr>
          <w:rFonts w:ascii="Times New Roman" w:hAnsi="Times New Roman"/>
        </w:rPr>
        <w:t xml:space="preserve">  risk-free rate;</w:t>
      </w:r>
    </w:p>
    <w:p w:rsidR="00586021" w:rsidRPr="00831348" w:rsidRDefault="00586021">
      <w:pPr>
        <w:pStyle w:val="SingleSpaced"/>
        <w:keepNext/>
        <w:ind w:left="1800" w:firstLine="216"/>
        <w:rPr>
          <w:rFonts w:ascii="Times New Roman" w:hAnsi="Times New Roman"/>
        </w:rPr>
      </w:pPr>
      <w:r w:rsidRPr="00831348">
        <w:rPr>
          <w:rFonts w:ascii="Times New Roman" w:hAnsi="Times New Roman"/>
        </w:rPr>
        <w:tab/>
        <w:t>R</w:t>
      </w:r>
      <w:r w:rsidRPr="00831348">
        <w:rPr>
          <w:rFonts w:ascii="Times New Roman" w:hAnsi="Times New Roman"/>
          <w:vertAlign w:val="subscript"/>
        </w:rPr>
        <w:t>m</w:t>
      </w:r>
      <w:r w:rsidRPr="00831348">
        <w:rPr>
          <w:rFonts w:ascii="Times New Roman" w:hAnsi="Times New Roman"/>
        </w:rPr>
        <w:t xml:space="preserve"> </w:t>
      </w:r>
      <w:proofErr w:type="gramStart"/>
      <w:r w:rsidRPr="00831348">
        <w:rPr>
          <w:rFonts w:ascii="Times New Roman" w:hAnsi="Times New Roman"/>
        </w:rPr>
        <w:t>=  expected</w:t>
      </w:r>
      <w:proofErr w:type="gramEnd"/>
      <w:r w:rsidRPr="00831348">
        <w:rPr>
          <w:rFonts w:ascii="Times New Roman" w:hAnsi="Times New Roman"/>
        </w:rPr>
        <w:t xml:space="preserve"> return on the market portfolio; and,</w:t>
      </w:r>
    </w:p>
    <w:p w:rsidR="00586021" w:rsidRPr="00831348" w:rsidRDefault="00586021">
      <w:pPr>
        <w:pStyle w:val="SingleSpaced"/>
        <w:keepNext/>
        <w:spacing w:after="240"/>
        <w:ind w:left="1800" w:firstLine="216"/>
        <w:rPr>
          <w:rFonts w:ascii="Times New Roman" w:hAnsi="Times New Roman"/>
        </w:rPr>
      </w:pPr>
      <w:r w:rsidRPr="00831348">
        <w:rPr>
          <w:rFonts w:ascii="Times New Roman" w:hAnsi="Times New Roman"/>
        </w:rPr>
        <w:tab/>
      </w:r>
      <w:proofErr w:type="gramStart"/>
      <w:r w:rsidRPr="00831348">
        <w:rPr>
          <w:rFonts w:ascii="Times New Roman" w:hAnsi="Times New Roman"/>
        </w:rPr>
        <w:t>β</w:t>
      </w:r>
      <w:r w:rsidRPr="00831348">
        <w:rPr>
          <w:rFonts w:ascii="Times New Roman" w:hAnsi="Times New Roman"/>
          <w:vertAlign w:val="subscript"/>
        </w:rPr>
        <w:t>j</w:t>
      </w:r>
      <w:proofErr w:type="gramEnd"/>
      <w:r w:rsidRPr="00831348">
        <w:rPr>
          <w:rFonts w:ascii="Times New Roman" w:hAnsi="Times New Roman"/>
        </w:rPr>
        <w:t xml:space="preserve">   =  beta, or systematic risk, for stock j.</w:t>
      </w:r>
    </w:p>
    <w:p w:rsidR="00586021" w:rsidRPr="00831348" w:rsidRDefault="00586021">
      <w:pPr>
        <w:pStyle w:val="Answer"/>
        <w:ind w:firstLine="0"/>
      </w:pPr>
      <w:r w:rsidRPr="00831348">
        <w:t xml:space="preserve">Like the DCF model, the CAPM is an </w:t>
      </w:r>
      <w:r w:rsidRPr="00831348">
        <w:rPr>
          <w:i/>
          <w:iCs/>
        </w:rPr>
        <w:t xml:space="preserve">ex-ante, </w:t>
      </w:r>
      <w:r w:rsidRPr="00831348">
        <w:t>or forward-looking model based on expectations of the future.  As a result, in order to produce a meaningful estimate of investors’ required rate of return, the</w:t>
      </w:r>
      <w:r w:rsidR="003E2B2F" w:rsidRPr="00831348">
        <w:t xml:space="preserve"> </w:t>
      </w:r>
      <w:r w:rsidRPr="00831348">
        <w:t>CAPM must be applied using estimates that reflect the expectations of actual investors in the market, not with backward-looking, historical data.</w:t>
      </w:r>
    </w:p>
    <w:p w:rsidR="003E2B2F" w:rsidRPr="00831348" w:rsidRDefault="003E2B2F" w:rsidP="003E2B2F">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Why is the CAPM approach an appropriate component of evaluating the cost of equity for Avista? </w:t>
      </w:r>
    </w:p>
    <w:p w:rsidR="003E2B2F" w:rsidRPr="00831348" w:rsidRDefault="003E2B2F" w:rsidP="003E2B2F">
      <w:pPr>
        <w:pStyle w:val="Answer"/>
        <w:rPr>
          <w:rFonts w:eastAsia="SimSun"/>
        </w:rPr>
      </w:pPr>
      <w:r w:rsidRPr="00831348">
        <w:t>A.</w:t>
      </w:r>
      <w:r w:rsidRPr="00831348">
        <w:tab/>
        <w:t>The CAPM approach generally is considered to be the most widely referenced method for estimating the cost of equity among academicians and professional practitioners, with the pioneering researchers of this method receiving the Nobel Prize in 1990.  Because this is the dominant model for estimating the cost of equity outside the regulatory sphere,</w:t>
      </w:r>
      <w:r w:rsidRPr="00831348">
        <w:rPr>
          <w:szCs w:val="26"/>
        </w:rPr>
        <w:t xml:space="preserve"> the CAPM </w:t>
      </w:r>
      <w:r w:rsidRPr="00831348">
        <w:rPr>
          <w:rFonts w:eastAsia="SimSun"/>
        </w:rPr>
        <w:t>provides important insight into investors’ required rate of return for utility stocks, including Avista.</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did you apply the CAPM to estimate the cost of common equity?</w:t>
      </w:r>
    </w:p>
    <w:p w:rsidR="00586021" w:rsidRPr="00831348" w:rsidRDefault="00586021">
      <w:pPr>
        <w:pStyle w:val="Answer"/>
      </w:pPr>
      <w:r w:rsidRPr="00831348">
        <w:t>A.</w:t>
      </w:r>
      <w:r w:rsidRPr="00831348">
        <w:tab/>
        <w:t xml:space="preserve">Application of the CAPM to the Utility Group based on a forward-looking estimate for investors’ required rate of return from common stocks is presented on </w:t>
      </w:r>
      <w:proofErr w:type="spellStart"/>
      <w:r w:rsidR="00A4213C">
        <w:t>Exh</w:t>
      </w:r>
      <w:proofErr w:type="spellEnd"/>
      <w:r w:rsidR="00A4213C">
        <w:t xml:space="preserve">. </w:t>
      </w:r>
      <w:proofErr w:type="gramStart"/>
      <w:r w:rsidR="00457B72" w:rsidRPr="00831348">
        <w:t>AMM-</w:t>
      </w:r>
      <w:r w:rsidR="003E2B2F" w:rsidRPr="00831348">
        <w:t>8</w:t>
      </w:r>
      <w:r w:rsidRPr="00831348">
        <w:t>.</w:t>
      </w:r>
      <w:proofErr w:type="gramEnd"/>
      <w:r w:rsidRPr="00831348">
        <w:t xml:space="preserve">  In order to capture the expectations of today’s investors in current capital markets, the expected market rate of return was estimated by conducting a DCF analysis on the dividend paying firms in the S&amp;P 500.  </w:t>
      </w:r>
    </w:p>
    <w:p w:rsidR="00586021" w:rsidRPr="00831348" w:rsidRDefault="00586021">
      <w:pPr>
        <w:pStyle w:val="Answer"/>
      </w:pPr>
      <w:r w:rsidRPr="00831348">
        <w:t xml:space="preserve">The dividend yield for each firm was obtained from </w:t>
      </w:r>
      <w:r w:rsidR="00C34B38">
        <w:t>Zacks</w:t>
      </w:r>
      <w:r w:rsidRPr="00831348">
        <w:t xml:space="preserve">, and the growth rate was equal to the </w:t>
      </w:r>
      <w:r w:rsidR="00E92121">
        <w:t xml:space="preserve">average of the </w:t>
      </w:r>
      <w:r w:rsidRPr="00831348">
        <w:t>earnings growth projection</w:t>
      </w:r>
      <w:r w:rsidR="00E92121">
        <w:t>s</w:t>
      </w:r>
      <w:r w:rsidRPr="00831348">
        <w:t xml:space="preserve"> for each firm published by </w:t>
      </w:r>
      <w:r w:rsidR="00E92121">
        <w:t xml:space="preserve">Value </w:t>
      </w:r>
      <w:r w:rsidR="00E92121">
        <w:lastRenderedPageBreak/>
        <w:t>Line</w:t>
      </w:r>
      <w:r w:rsidRPr="00831348">
        <w:t>,</w:t>
      </w:r>
      <w:r w:rsidR="00C34B38">
        <w:t xml:space="preserve"> IBES, and Zacks</w:t>
      </w:r>
      <w:r w:rsidRPr="00831348">
        <w:t xml:space="preserve"> with each firm’s dividend yield and growth rate being weighted by its proportionate share of total market value.  Based on the weighted average of the projections for the individual firms, current estimates imply an average growth rate over the next five years of </w:t>
      </w:r>
      <w:r w:rsidR="00C34B38">
        <w:t>9.2</w:t>
      </w:r>
      <w:r w:rsidR="00FC0F2E">
        <w:t xml:space="preserve"> percent</w:t>
      </w:r>
      <w:r w:rsidRPr="00831348">
        <w:t>.  Combining this average growth rate with a year-ahead dividend yield of 2.</w:t>
      </w:r>
      <w:r w:rsidR="008D2252">
        <w:t>4</w:t>
      </w:r>
      <w:r w:rsidR="00FC0F2E">
        <w:t xml:space="preserve"> percent</w:t>
      </w:r>
      <w:r w:rsidRPr="00831348">
        <w:t xml:space="preserve"> results in a current cost of common equity estimate for the market as a whole (R</w:t>
      </w:r>
      <w:r w:rsidRPr="00831348">
        <w:rPr>
          <w:vertAlign w:val="subscript"/>
        </w:rPr>
        <w:t>m</w:t>
      </w:r>
      <w:r w:rsidRPr="00831348">
        <w:t xml:space="preserve">) of </w:t>
      </w:r>
      <w:r w:rsidR="0035664F">
        <w:t>11.</w:t>
      </w:r>
      <w:r w:rsidR="008D2252">
        <w:t>6</w:t>
      </w:r>
      <w:r w:rsidR="00FC0F2E">
        <w:t xml:space="preserve"> percent</w:t>
      </w:r>
      <w:r w:rsidRPr="00831348">
        <w:t xml:space="preserve">.  Subtracting a </w:t>
      </w:r>
      <w:r w:rsidR="008D2252">
        <w:t>2.9</w:t>
      </w:r>
      <w:r w:rsidR="00FC0F2E">
        <w:t xml:space="preserve"> percent</w:t>
      </w:r>
      <w:r w:rsidRPr="00831348">
        <w:t xml:space="preserve"> risk-free rate based on the average yield on 30</w:t>
      </w:r>
      <w:r w:rsidRPr="00831348">
        <w:noBreakHyphen/>
        <w:t xml:space="preserve">year Treasury bonds </w:t>
      </w:r>
      <w:r w:rsidR="00E118DF" w:rsidRPr="00831348">
        <w:t xml:space="preserve">for </w:t>
      </w:r>
      <w:r w:rsidR="00E06B56" w:rsidRPr="00831348">
        <w:t xml:space="preserve">the six months ending </w:t>
      </w:r>
      <w:r w:rsidR="008D2252">
        <w:t>March</w:t>
      </w:r>
      <w:r w:rsidR="00E118DF" w:rsidRPr="00831348">
        <w:t xml:space="preserve"> 201</w:t>
      </w:r>
      <w:r w:rsidR="008D2252">
        <w:t>7</w:t>
      </w:r>
      <w:r w:rsidR="00E118DF" w:rsidRPr="00831348">
        <w:t xml:space="preserve"> </w:t>
      </w:r>
      <w:r w:rsidRPr="00831348">
        <w:t xml:space="preserve">produced a market equity risk premium of </w:t>
      </w:r>
      <w:r w:rsidR="00E118DF" w:rsidRPr="00831348">
        <w:t>8.</w:t>
      </w:r>
      <w:r w:rsidR="008D2252">
        <w:t>7</w:t>
      </w:r>
      <w:r w:rsidR="00FC0F2E">
        <w:t xml:space="preserve"> percent</w:t>
      </w:r>
      <w:r w:rsidRPr="00831348">
        <w:t xml:space="preserve">.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was the source of the beta values you used to apply the CAPM?</w:t>
      </w:r>
    </w:p>
    <w:p w:rsidR="00586021" w:rsidRPr="00831348" w:rsidRDefault="00586021" w:rsidP="008C19AA">
      <w:pPr>
        <w:pStyle w:val="Answer"/>
      </w:pPr>
      <w:r w:rsidRPr="00831348">
        <w:t>A.</w:t>
      </w:r>
      <w:r w:rsidRPr="00831348">
        <w:tab/>
      </w:r>
      <w:r w:rsidR="008C19AA">
        <w:t xml:space="preserve">As I did in the development of my proxy group discussed above, </w:t>
      </w:r>
      <w:r w:rsidRPr="00831348">
        <w:t>I relied on the beta values reported by Value Line, which in my experience is the most widely referenced source for beta in regulatory proceedings</w:t>
      </w:r>
      <w:r w:rsidR="008C19AA">
        <w:t>.</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else should be considered in applying the CAPM?</w:t>
      </w:r>
    </w:p>
    <w:p w:rsidR="00586021" w:rsidRPr="00831348" w:rsidRDefault="00586021">
      <w:pPr>
        <w:pStyle w:val="Answer"/>
      </w:pPr>
      <w:r w:rsidRPr="00831348">
        <w:t>A.</w:t>
      </w:r>
      <w:r w:rsidRPr="00831348">
        <w:tab/>
      </w:r>
      <w:r w:rsidR="00852A36" w:rsidRPr="00852A36">
        <w:t xml:space="preserve">Financial research indicates that the CAPM does not fully account for observed differences in rates of return attributable to firm size.  Accordingly, a modification is required to account for this size effect.  </w:t>
      </w:r>
      <w:r w:rsidRPr="00831348">
        <w:t xml:space="preserve">As explained by </w:t>
      </w:r>
      <w:r w:rsidRPr="00852A36">
        <w:rPr>
          <w:iCs/>
        </w:rPr>
        <w:t>Morningstar</w:t>
      </w:r>
      <w:r w:rsidRPr="00831348">
        <w:rPr>
          <w:iCs/>
        </w:rPr>
        <w:t>:</w:t>
      </w:r>
    </w:p>
    <w:p w:rsidR="00586021" w:rsidRPr="00831348" w:rsidRDefault="00586021">
      <w:pPr>
        <w:pStyle w:val="Quote1"/>
      </w:pPr>
      <w:r w:rsidRPr="00831348">
        <w:t xml:space="preserve">One of the most remarkable discoveries of modern finance is </w:t>
      </w:r>
      <w:r w:rsidR="00CC250F">
        <w:t xml:space="preserve">the finding </w:t>
      </w:r>
      <w:r w:rsidRPr="00831348">
        <w:t xml:space="preserve">of a relationship between firm size and return.  </w:t>
      </w:r>
      <w:r w:rsidR="00CC250F">
        <w:t xml:space="preserve">On average, small companies have higher returns than larger ones. . . . </w:t>
      </w:r>
      <w:r w:rsidRPr="00831348">
        <w:t xml:space="preserve">The </w:t>
      </w:r>
      <w:r w:rsidR="00CC250F">
        <w:t xml:space="preserve">relationship between firm size and return </w:t>
      </w:r>
      <w:r w:rsidRPr="00831348">
        <w:t>cuts across the entire size spectrum</w:t>
      </w:r>
      <w:r w:rsidR="00CC250F">
        <w:t>;</w:t>
      </w:r>
      <w:r w:rsidRPr="00831348">
        <w:t xml:space="preserve"> </w:t>
      </w:r>
      <w:r w:rsidR="00CC250F">
        <w:t>it is not restricted to the smallest stocks</w:t>
      </w:r>
      <w:r w:rsidRPr="00831348">
        <w:t>.</w:t>
      </w:r>
      <w:r w:rsidRPr="00831348">
        <w:rPr>
          <w:rStyle w:val="FootnoteReference"/>
        </w:rPr>
        <w:footnoteReference w:id="15"/>
      </w:r>
      <w:r w:rsidRPr="00831348">
        <w:t xml:space="preserve">  </w:t>
      </w:r>
    </w:p>
    <w:p w:rsidR="00586021" w:rsidRPr="00831348" w:rsidRDefault="00586021">
      <w:pPr>
        <w:pStyle w:val="Answer2"/>
      </w:pPr>
      <w:r w:rsidRPr="00831348">
        <w:t xml:space="preserve">According to the CAPM, the expected return on a security should consist of the riskless rate, plus a premium to compensate for the systematic risk of the particular security.  The degree of systematic risk is represented by the beta coefficient.  The need for the size adjustment arises because differences in investors’ required rates of return that are related to </w:t>
      </w:r>
      <w:r w:rsidRPr="00831348">
        <w:lastRenderedPageBreak/>
        <w:t xml:space="preserve">firm size are not fully captured by beta.  To account for this, </w:t>
      </w:r>
      <w:r w:rsidR="00852A36">
        <w:t xml:space="preserve">researchers </w:t>
      </w:r>
      <w:r w:rsidRPr="00831348">
        <w:t>ha</w:t>
      </w:r>
      <w:r w:rsidR="00852A36">
        <w:t>ve</w:t>
      </w:r>
      <w:r w:rsidRPr="00831348">
        <w:t xml:space="preserve"> developed size premiums that need to be added to CAPM cost of equity estimates to account for the level of a firm’s market capitalization in determining the CAPM cost of equity.</w:t>
      </w:r>
      <w:r w:rsidR="00852A36">
        <w:rPr>
          <w:rStyle w:val="FootnoteReference"/>
          <w:color w:val="000000"/>
        </w:rPr>
        <w:footnoteReference w:id="16"/>
      </w:r>
      <w:r w:rsidRPr="00831348">
        <w:t xml:space="preserve">  Accordingly, my CAPM analyses incorporated an adjustment to recognize the impact of size distinctions, as measured by the average market capitalization for the </w:t>
      </w:r>
      <w:r w:rsidR="00852A36">
        <w:t>firms in the Utility Group</w:t>
      </w:r>
      <w:r w:rsidRPr="00831348">
        <w:t>.</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What cost of equity </w:t>
      </w:r>
      <w:r w:rsidR="00C76778" w:rsidRPr="00831348">
        <w:rPr>
          <w:rFonts w:ascii="Times New Roman" w:hAnsi="Times New Roman"/>
        </w:rPr>
        <w:t xml:space="preserve">is </w:t>
      </w:r>
      <w:r w:rsidRPr="00831348">
        <w:rPr>
          <w:rFonts w:ascii="Times New Roman" w:hAnsi="Times New Roman"/>
        </w:rPr>
        <w:t xml:space="preserve">indicated for the Utility Group </w:t>
      </w:r>
      <w:r w:rsidR="00C76778" w:rsidRPr="00831348">
        <w:rPr>
          <w:rFonts w:ascii="Times New Roman" w:hAnsi="Times New Roman"/>
        </w:rPr>
        <w:t>using the CAPM approach</w:t>
      </w:r>
      <w:r w:rsidRPr="00831348">
        <w:rPr>
          <w:rFonts w:ascii="Times New Roman" w:hAnsi="Times New Roman"/>
        </w:rPr>
        <w:t>?</w:t>
      </w:r>
    </w:p>
    <w:p w:rsidR="00C76778" w:rsidRPr="00831348" w:rsidRDefault="00586021" w:rsidP="00C76778">
      <w:pPr>
        <w:pStyle w:val="Answer"/>
      </w:pPr>
      <w:r w:rsidRPr="00831348">
        <w:t>A.</w:t>
      </w:r>
      <w:r w:rsidRPr="00831348">
        <w:tab/>
      </w:r>
      <w:r w:rsidR="00C76778" w:rsidRPr="00831348">
        <w:t xml:space="preserve">As shown on page 1 of </w:t>
      </w:r>
      <w:proofErr w:type="spellStart"/>
      <w:r w:rsidR="00A4213C">
        <w:t>Exh</w:t>
      </w:r>
      <w:proofErr w:type="spellEnd"/>
      <w:r w:rsidR="00A4213C">
        <w:t xml:space="preserve">. </w:t>
      </w:r>
      <w:r w:rsidR="00C76778" w:rsidRPr="00831348">
        <w:t xml:space="preserve">AMM-8, </w:t>
      </w:r>
      <w:r w:rsidR="00852A36" w:rsidRPr="00852A36">
        <w:t>after adjusting for the impact of firm size the CAPM approach implied an average and midpoint cost of equity estimates of 9.</w:t>
      </w:r>
      <w:r w:rsidR="00852A36">
        <w:t>9</w:t>
      </w:r>
      <w:r w:rsidR="00852A36" w:rsidRPr="00852A36">
        <w:t xml:space="preserve">% for the Utility Group.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r>
      <w:r w:rsidR="00C76778" w:rsidRPr="00831348">
        <w:rPr>
          <w:rFonts w:ascii="Times New Roman" w:hAnsi="Times New Roman"/>
        </w:rPr>
        <w:t>Did you also apply the CAPM using forecasted bond yields</w:t>
      </w:r>
      <w:r w:rsidRPr="00831348">
        <w:rPr>
          <w:rFonts w:ascii="Times New Roman" w:hAnsi="Times New Roman"/>
        </w:rPr>
        <w:t>?</w:t>
      </w:r>
    </w:p>
    <w:p w:rsidR="00586021" w:rsidRDefault="00586021">
      <w:pPr>
        <w:pStyle w:val="Answer"/>
      </w:pPr>
      <w:r w:rsidRPr="00831348">
        <w:t>A.</w:t>
      </w:r>
      <w:r w:rsidRPr="00831348">
        <w:tab/>
        <w:t>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w:t>
      </w:r>
      <w:r w:rsidR="00C76778" w:rsidRPr="00831348">
        <w:t xml:space="preserve">  As shown on page 2 of </w:t>
      </w:r>
      <w:proofErr w:type="spellStart"/>
      <w:r w:rsidR="00A4213C">
        <w:t>Exh</w:t>
      </w:r>
      <w:proofErr w:type="spellEnd"/>
      <w:r w:rsidR="00A4213C">
        <w:t xml:space="preserve">. </w:t>
      </w:r>
      <w:r w:rsidR="00C76778" w:rsidRPr="00831348">
        <w:t>AMM-8, incorporating a forecasted Treasury bond yield for 201</w:t>
      </w:r>
      <w:r w:rsidR="00852A36">
        <w:t>8</w:t>
      </w:r>
      <w:r w:rsidR="00C76778" w:rsidRPr="00831348">
        <w:t>-20</w:t>
      </w:r>
      <w:r w:rsidR="006B28FC">
        <w:t>2</w:t>
      </w:r>
      <w:r w:rsidR="00852A36">
        <w:t>2</w:t>
      </w:r>
      <w:r w:rsidR="00C76778" w:rsidRPr="00831348">
        <w:t xml:space="preserve"> implied a</w:t>
      </w:r>
      <w:r w:rsidR="006B28FC">
        <w:t>n average</w:t>
      </w:r>
      <w:r w:rsidR="00C76778" w:rsidRPr="00831348">
        <w:t xml:space="preserve"> cost of equity of 1</w:t>
      </w:r>
      <w:r w:rsidR="008C5A17" w:rsidRPr="00831348">
        <w:t>0.</w:t>
      </w:r>
      <w:r w:rsidR="00852A36">
        <w:t>2</w:t>
      </w:r>
      <w:r w:rsidR="00FC0F2E">
        <w:t xml:space="preserve"> percent</w:t>
      </w:r>
      <w:r w:rsidR="00C76778" w:rsidRPr="00831348">
        <w:t xml:space="preserve"> for the Utility Group</w:t>
      </w:r>
      <w:r w:rsidR="00852A36">
        <w:t xml:space="preserve"> </w:t>
      </w:r>
      <w:r w:rsidR="00C76778" w:rsidRPr="00831348">
        <w:t>after adjusting for the impact of relative size.</w:t>
      </w:r>
      <w:r w:rsidR="00065089">
        <w:rPr>
          <w:rStyle w:val="FootnoteReference"/>
        </w:rPr>
        <w:footnoteReference w:id="17"/>
      </w:r>
      <w:r w:rsidR="00C76778" w:rsidRPr="00831348">
        <w:t xml:space="preserve">  </w:t>
      </w:r>
    </w:p>
    <w:p w:rsidR="00120C2A" w:rsidRPr="00831348" w:rsidRDefault="00852A36" w:rsidP="00120C2A">
      <w:pPr>
        <w:pStyle w:val="Heading2"/>
        <w:rPr>
          <w:rFonts w:ascii="Times New Roman" w:hAnsi="Times New Roman"/>
        </w:rPr>
      </w:pPr>
      <w:r>
        <w:rPr>
          <w:rFonts w:ascii="Times New Roman" w:hAnsi="Times New Roman"/>
        </w:rPr>
        <w:lastRenderedPageBreak/>
        <w:t xml:space="preserve">Empirical </w:t>
      </w:r>
      <w:r w:rsidR="00120C2A">
        <w:rPr>
          <w:rFonts w:ascii="Times New Roman" w:hAnsi="Times New Roman"/>
        </w:rPr>
        <w:t>Capital Asset Pricing Model</w:t>
      </w:r>
    </w:p>
    <w:p w:rsidR="00852A36" w:rsidRPr="00831348" w:rsidRDefault="00852A36" w:rsidP="00852A36">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does the ECAPM approach differ from traditional applications of the CAPM?</w:t>
      </w:r>
    </w:p>
    <w:p w:rsidR="00852A36" w:rsidRDefault="00852A36" w:rsidP="00852A36">
      <w:pPr>
        <w:pStyle w:val="Answer"/>
      </w:pPr>
      <w:r w:rsidRPr="00831348">
        <w:t>A.</w:t>
      </w:r>
      <w:r w:rsidRPr="00831348">
        <w:tab/>
        <w:t xml:space="preserve">Empirical tests of the CAPM have shown that low-beta securities earn returns </w:t>
      </w:r>
      <w:r w:rsidRPr="00852A36">
        <w:t>somewhat</w:t>
      </w:r>
      <w:r w:rsidRPr="00831348">
        <w:t xml:space="preserve"> higher than the CAPM would predict, and high-beta securities earn less than predicted.  </w:t>
      </w:r>
      <w:r w:rsidRPr="00831348">
        <w:rPr>
          <w:spacing w:val="4"/>
        </w:rPr>
        <w:t xml:space="preserve">In other words, the CAPM tends to overstate the actual sensitivity of the cost of capital to beta, with low-beta </w:t>
      </w:r>
      <w:r w:rsidRPr="00831348">
        <w:t>stocks</w:t>
      </w:r>
      <w:r w:rsidRPr="00831348">
        <w:rPr>
          <w:spacing w:val="4"/>
        </w:rPr>
        <w:t xml:space="preserve"> tending to have higher returns and high-beta stocks tending to have lower risk returns than </w:t>
      </w:r>
      <w:r w:rsidRPr="00831348">
        <w:rPr>
          <w:spacing w:val="2"/>
        </w:rPr>
        <w:t>predicted by the CAPM.</w:t>
      </w:r>
      <w:r>
        <w:rPr>
          <w:rStyle w:val="FootnoteReference"/>
          <w:spacing w:val="2"/>
        </w:rPr>
        <w:footnoteReference w:id="18"/>
      </w:r>
      <w:r w:rsidRPr="00831348">
        <w:rPr>
          <w:spacing w:val="2"/>
        </w:rPr>
        <w:t xml:space="preserve">  </w:t>
      </w:r>
      <w:r>
        <w:rPr>
          <w:spacing w:val="2"/>
        </w:rPr>
        <w:t>This is illustrated graphically in the figure below:</w:t>
      </w:r>
    </w:p>
    <w:p w:rsidR="00852A36" w:rsidRDefault="00852A36" w:rsidP="009F29FB">
      <w:pPr>
        <w:pStyle w:val="TableCaption"/>
      </w:pPr>
      <w:r>
        <w:t>figure 1</w:t>
      </w:r>
      <w:r>
        <w:br/>
        <w:t>CAPM – Predicted vs. Observed Returns</w:t>
      </w:r>
    </w:p>
    <w:p w:rsidR="00852A36" w:rsidRPr="00260DE0" w:rsidRDefault="00BF3DB6" w:rsidP="009F29FB">
      <w:pPr>
        <w:pStyle w:val="Table"/>
      </w:pPr>
      <w:r>
        <w:rPr>
          <w:noProof/>
        </w:rPr>
        <w:drawing>
          <wp:inline distT="0" distB="0" distL="0" distR="0" wp14:anchorId="192C7C2A" wp14:editId="5AA41F30">
            <wp:extent cx="4127500" cy="2139950"/>
            <wp:effectExtent l="0" t="0" r="635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00" cy="2139950"/>
                    </a:xfrm>
                    <a:prstGeom prst="rect">
                      <a:avLst/>
                    </a:prstGeom>
                    <a:noFill/>
                    <a:ln>
                      <a:noFill/>
                    </a:ln>
                  </pic:spPr>
                </pic:pic>
              </a:graphicData>
            </a:graphic>
          </wp:inline>
        </w:drawing>
      </w:r>
    </w:p>
    <w:p w:rsidR="00852A36" w:rsidRPr="00831348" w:rsidRDefault="00852A36" w:rsidP="00852A36">
      <w:pPr>
        <w:pStyle w:val="Answer"/>
      </w:pPr>
      <w:r w:rsidRPr="00C6268B">
        <w:t xml:space="preserve">Because the betas of utility stocks, including those in the </w:t>
      </w:r>
      <w:r>
        <w:t>Utility</w:t>
      </w:r>
      <w:r w:rsidRPr="00C6268B">
        <w:t xml:space="preserve"> Group, are generally less than 1.0, this implies that cost of equity estimates based on the traditional CAPM would understate the cost of equity.  </w:t>
      </w:r>
      <w:r w:rsidRPr="00831348">
        <w:t xml:space="preserve">This empirical finding is widely reported in the finance literature, as summarized in </w:t>
      </w:r>
      <w:r w:rsidRPr="00831348">
        <w:rPr>
          <w:i/>
          <w:iCs/>
        </w:rPr>
        <w:t>New Regulatory Finance</w:t>
      </w:r>
      <w:r w:rsidRPr="00831348">
        <w:t>:</w:t>
      </w:r>
    </w:p>
    <w:p w:rsidR="00852A36" w:rsidRDefault="00852A36" w:rsidP="00852A36">
      <w:pPr>
        <w:pStyle w:val="Quote1"/>
      </w:pPr>
      <w:r>
        <w:t xml:space="preserve">As discussed in the previous section, several finance scholars have developed refined and expanded versions of the standard CAPM by relaxing the </w:t>
      </w:r>
      <w:r>
        <w:lastRenderedPageBreak/>
        <w:t xml:space="preserve">constraints imposed on the CAPM, such as dividend yield, size, and skewness effects.  These enhanced </w:t>
      </w:r>
      <w:proofErr w:type="spellStart"/>
      <w:r>
        <w:t>CAPMs</w:t>
      </w:r>
      <w:proofErr w:type="spellEnd"/>
      <w:r>
        <w:t xml:space="preserve"> typically produce a risk-return relationship that is flatter than the CAPM prediction in keeping with the actual observed risk-return relationship.  The ECAPM makes use of these empirical relationships.</w:t>
      </w:r>
      <w:r>
        <w:rPr>
          <w:rStyle w:val="FootnoteReference"/>
        </w:rPr>
        <w:footnoteReference w:id="19"/>
      </w:r>
    </w:p>
    <w:p w:rsidR="00852A36" w:rsidRDefault="00852A36" w:rsidP="00852A36">
      <w:pPr>
        <w:pStyle w:val="Answer"/>
        <w:ind w:firstLine="0"/>
      </w:pPr>
      <w:r>
        <w:t xml:space="preserve">As discussed in </w:t>
      </w:r>
      <w:r>
        <w:rPr>
          <w:i/>
          <w:iCs/>
        </w:rPr>
        <w:t>New Regulatory Finance</w:t>
      </w:r>
      <w:r>
        <w:t xml:space="preserve">, based on a review of the empirical evidence, the </w:t>
      </w:r>
      <w:r w:rsidRPr="00260DE0">
        <w:t>expected</w:t>
      </w:r>
      <w:r>
        <w:t xml:space="preserve"> return on a security is related to its risk by the ECAPM, which is represented by the following formula:</w:t>
      </w:r>
    </w:p>
    <w:p w:rsidR="00852A36" w:rsidRDefault="00852A36" w:rsidP="00852A36">
      <w:pPr>
        <w:pStyle w:val="SingleSpaced"/>
        <w:spacing w:before="240" w:after="180"/>
        <w:ind w:left="1440" w:firstLine="720"/>
      </w:pPr>
      <w:r>
        <w:t>R</w:t>
      </w:r>
      <w:r>
        <w:rPr>
          <w:vertAlign w:val="subscript"/>
        </w:rPr>
        <w:t>j</w:t>
      </w:r>
      <w:r>
        <w:t xml:space="preserve"> </w:t>
      </w:r>
      <w:proofErr w:type="gramStart"/>
      <w:r>
        <w:t>=  R</w:t>
      </w:r>
      <w:r>
        <w:rPr>
          <w:vertAlign w:val="subscript"/>
        </w:rPr>
        <w:t>f</w:t>
      </w:r>
      <w:proofErr w:type="gramEnd"/>
      <w:r>
        <w:t xml:space="preserve"> + 0.25(R</w:t>
      </w:r>
      <w:r>
        <w:rPr>
          <w:vertAlign w:val="subscript"/>
        </w:rPr>
        <w:t>m</w:t>
      </w:r>
      <w:r>
        <w:t xml:space="preserve"> - R</w:t>
      </w:r>
      <w:r>
        <w:rPr>
          <w:vertAlign w:val="subscript"/>
        </w:rPr>
        <w:t>f</w:t>
      </w:r>
      <w:r>
        <w:t>) + 0.75[β</w:t>
      </w:r>
      <w:r>
        <w:rPr>
          <w:vertAlign w:val="subscript"/>
        </w:rPr>
        <w:t>j</w:t>
      </w:r>
      <w:r>
        <w:t>(R</w:t>
      </w:r>
      <w:r>
        <w:rPr>
          <w:vertAlign w:val="subscript"/>
        </w:rPr>
        <w:t>m</w:t>
      </w:r>
      <w:r>
        <w:t xml:space="preserve"> - R</w:t>
      </w:r>
      <w:r>
        <w:rPr>
          <w:vertAlign w:val="subscript"/>
        </w:rPr>
        <w:t>f</w:t>
      </w:r>
      <w:r>
        <w:t>)]</w:t>
      </w:r>
    </w:p>
    <w:p w:rsidR="00852A36" w:rsidRDefault="00852A36" w:rsidP="00852A36">
      <w:pPr>
        <w:pStyle w:val="Answer"/>
      </w:pPr>
      <w:r>
        <w:t>Like the CAPM formula presented earlier, the ECAPM represents a stock’s required return as a function of the risk-free rate (</w:t>
      </w:r>
      <w:proofErr w:type="gramStart"/>
      <w:r>
        <w:t>R</w:t>
      </w:r>
      <w:r>
        <w:rPr>
          <w:vertAlign w:val="subscript"/>
        </w:rPr>
        <w:t>f</w:t>
      </w:r>
      <w:proofErr w:type="gramEnd"/>
      <w:r>
        <w:t>), plus a risk premium.  In the formula above, this risk premium is composed of two parts: (1) the market risk premium (R</w:t>
      </w:r>
      <w:r>
        <w:rPr>
          <w:vertAlign w:val="subscript"/>
        </w:rPr>
        <w:t>m</w:t>
      </w:r>
      <w:r>
        <w:t xml:space="preserve"> - R</w:t>
      </w:r>
      <w:r>
        <w:rPr>
          <w:vertAlign w:val="subscript"/>
        </w:rPr>
        <w:t>f</w:t>
      </w:r>
      <w:r>
        <w:t>) weighted by a factor of 25%, and (2) a company-specific risk premium based on the stocks relative volatility [(β)(R</w:t>
      </w:r>
      <w:r>
        <w:rPr>
          <w:vertAlign w:val="subscript"/>
        </w:rPr>
        <w:t>m</w:t>
      </w:r>
      <w:r>
        <w:t xml:space="preserve"> - R</w:t>
      </w:r>
      <w:r>
        <w:rPr>
          <w:vertAlign w:val="subscript"/>
        </w:rPr>
        <w:t>f</w:t>
      </w:r>
      <w:r>
        <w:t>)] weighted by 75%.  This ECAPM equation, and its associated weighting factors, recognizes the observed relationship between standard CAPM estimates and the cost of capital documented in the financial research, and corrects for the understated returns that would otherwise be produced for low beta stocks.</w:t>
      </w:r>
    </w:p>
    <w:p w:rsidR="00120C2A" w:rsidRPr="00120C2A" w:rsidRDefault="00120C2A" w:rsidP="00C501C7">
      <w:pPr>
        <w:pStyle w:val="Question0"/>
      </w:pPr>
      <w:r w:rsidRPr="00120C2A">
        <w:t>Q.</w:t>
      </w:r>
      <w:r w:rsidRPr="00120C2A">
        <w:tab/>
        <w:t xml:space="preserve">What cost of equity estimates were indicated by the </w:t>
      </w:r>
      <w:r w:rsidR="00852A36">
        <w:t>E</w:t>
      </w:r>
      <w:r w:rsidRPr="00120C2A">
        <w:t>CAPM?</w:t>
      </w:r>
    </w:p>
    <w:p w:rsidR="00120C2A" w:rsidRPr="00120C2A" w:rsidRDefault="00120C2A" w:rsidP="00C501C7">
      <w:pPr>
        <w:pStyle w:val="Answer"/>
      </w:pPr>
      <w:r w:rsidRPr="00120C2A">
        <w:t>A.</w:t>
      </w:r>
      <w:r w:rsidRPr="00120C2A">
        <w:tab/>
        <w:t xml:space="preserve">My applications of the traditional </w:t>
      </w:r>
      <w:r w:rsidR="00852A36">
        <w:t>E</w:t>
      </w:r>
      <w:r w:rsidRPr="00120C2A">
        <w:t xml:space="preserve">CAPM were based on the same forward-looking market rate of return, risk-free rates, and beta values discussed earlier in connections with the CAPM.  As shown on page 1 of </w:t>
      </w:r>
      <w:proofErr w:type="spellStart"/>
      <w:r w:rsidR="00A4213C">
        <w:t>Exh</w:t>
      </w:r>
      <w:proofErr w:type="spellEnd"/>
      <w:r w:rsidR="00A4213C">
        <w:t xml:space="preserve">. </w:t>
      </w:r>
      <w:r w:rsidRPr="00120C2A">
        <w:t>AMM-</w:t>
      </w:r>
      <w:r>
        <w:t>9</w:t>
      </w:r>
      <w:r w:rsidRPr="00120C2A">
        <w:t xml:space="preserve">, applying the forward-looking </w:t>
      </w:r>
      <w:r w:rsidR="00852A36">
        <w:t>E</w:t>
      </w:r>
      <w:r w:rsidRPr="00120C2A">
        <w:t xml:space="preserve">CAPM approach to the firms in the Utility Group results in an average </w:t>
      </w:r>
      <w:r w:rsidR="00852A36">
        <w:t>of 10.5</w:t>
      </w:r>
      <w:r w:rsidRPr="00120C2A">
        <w:t xml:space="preserve"> percent after incorporating the size adjustment corresponding to the market capitalization of the individual utilities.  </w:t>
      </w:r>
    </w:p>
    <w:p w:rsidR="00120C2A" w:rsidRPr="00831348" w:rsidRDefault="00120C2A" w:rsidP="00120C2A">
      <w:pPr>
        <w:pStyle w:val="Answer"/>
      </w:pPr>
      <w:r w:rsidRPr="00120C2A">
        <w:lastRenderedPageBreak/>
        <w:t xml:space="preserve">As shown on page 2 of </w:t>
      </w:r>
      <w:proofErr w:type="spellStart"/>
      <w:r w:rsidR="00A4213C">
        <w:t>Exh</w:t>
      </w:r>
      <w:proofErr w:type="spellEnd"/>
      <w:r w:rsidR="00A4213C">
        <w:t xml:space="preserve">. </w:t>
      </w:r>
      <w:r w:rsidRPr="00120C2A">
        <w:t>AMM-</w:t>
      </w:r>
      <w:r>
        <w:t>9</w:t>
      </w:r>
      <w:r w:rsidRPr="00120C2A">
        <w:t>, incorporating a forecasted Treasury bond yield for 201</w:t>
      </w:r>
      <w:r w:rsidR="007659A8">
        <w:t>8</w:t>
      </w:r>
      <w:r w:rsidRPr="00120C2A">
        <w:t>-202</w:t>
      </w:r>
      <w:r w:rsidR="007659A8">
        <w:t>2</w:t>
      </w:r>
      <w:r w:rsidRPr="00120C2A">
        <w:t xml:space="preserve"> implied a</w:t>
      </w:r>
      <w:r w:rsidR="007659A8">
        <w:t>n ECAPM</w:t>
      </w:r>
      <w:r w:rsidRPr="00120C2A">
        <w:t xml:space="preserve"> cost of equity of </w:t>
      </w:r>
      <w:r w:rsidR="007659A8">
        <w:t xml:space="preserve">10.7% </w:t>
      </w:r>
      <w:r w:rsidRPr="00120C2A">
        <w:t xml:space="preserve">for the Utility Group after adjusting for the impact of relative size.  </w:t>
      </w:r>
    </w:p>
    <w:p w:rsidR="00586021" w:rsidRPr="00831348" w:rsidRDefault="00586021">
      <w:pPr>
        <w:pStyle w:val="Heading2"/>
        <w:rPr>
          <w:rFonts w:ascii="Times New Roman" w:hAnsi="Times New Roman"/>
        </w:rPr>
      </w:pPr>
      <w:r w:rsidRPr="00831348">
        <w:rPr>
          <w:rFonts w:ascii="Times New Roman" w:hAnsi="Times New Roman"/>
        </w:rPr>
        <w:t>Risk Premium Approach</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r>
      <w:r w:rsidR="009C4CD0" w:rsidRPr="00831348">
        <w:rPr>
          <w:rFonts w:ascii="Times New Roman" w:hAnsi="Times New Roman"/>
        </w:rPr>
        <w:t xml:space="preserve">Please briefly </w:t>
      </w:r>
      <w:r w:rsidRPr="00831348">
        <w:rPr>
          <w:rFonts w:ascii="Times New Roman" w:hAnsi="Times New Roman"/>
        </w:rPr>
        <w:t>describe the risk premium method.</w:t>
      </w:r>
    </w:p>
    <w:p w:rsidR="00586021" w:rsidRPr="00831348" w:rsidRDefault="00586021">
      <w:pPr>
        <w:pStyle w:val="Answer"/>
      </w:pPr>
      <w:r w:rsidRPr="00831348">
        <w:t>A.</w:t>
      </w:r>
      <w:r w:rsidRPr="00831348">
        <w:tab/>
        <w:t xml:space="preserve">The risk premium method of estimating investors’ required rate of return extends to common stocks the risk-return tradeoff observed with bonds.  The cost of equity is estimated by first determining the additional return investors require to forgo the relative safety of bonds and to bear the greater risks associated with common stock, and by then adding this equity risk premium to the current yield on bonds.  Like the DCF model, the risk premium method is capital market oriented.  However, unlike DCF models, which indirectly impute the cost of equity, risk premium methods directly estimate investors’ required rate of return by adding an equity risk premium to observable bond yields.  </w:t>
      </w:r>
    </w:p>
    <w:p w:rsidR="00580F7C" w:rsidRPr="00831348" w:rsidRDefault="00580F7C" w:rsidP="006B45AA">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Is the risk premium approach a widely accepted method for estimating the cost of equity? </w:t>
      </w:r>
    </w:p>
    <w:p w:rsidR="00580F7C" w:rsidRPr="00831348" w:rsidRDefault="00580F7C" w:rsidP="006B45AA">
      <w:pPr>
        <w:pStyle w:val="Answer"/>
      </w:pPr>
      <w:r w:rsidRPr="00831348">
        <w:t>A.</w:t>
      </w:r>
      <w:r w:rsidRPr="00831348">
        <w:tab/>
        <w:t>Yes.  The risk premium approach is based on the fundamental risk-return principle that is central to finance, which holds that investors will require a premium in the form of a higher return in order to assume additional risk.  This method is routinely referenced by the investment community and in academia and regulatory proceedings, and provides an important tool in estimating a fair ROE for Avista.</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did you implement the risk premium method?</w:t>
      </w:r>
    </w:p>
    <w:p w:rsidR="00586021" w:rsidRPr="00831348" w:rsidRDefault="00586021">
      <w:pPr>
        <w:pStyle w:val="Answer"/>
      </w:pPr>
      <w:r w:rsidRPr="00831348">
        <w:t>A.</w:t>
      </w:r>
      <w:r w:rsidRPr="00831348">
        <w:tab/>
        <w:t xml:space="preserve">I based my estimates of equity risk premiums for electric utilities on surveys of previously authorized </w:t>
      </w:r>
      <w:r w:rsidR="004C441E" w:rsidRPr="00831348">
        <w:t>ROEs</w:t>
      </w:r>
      <w:r w:rsidRPr="00831348">
        <w:t xml:space="preserve">.  Authorized </w:t>
      </w:r>
      <w:r w:rsidR="004C441E" w:rsidRPr="00831348">
        <w:t xml:space="preserve">ROEs </w:t>
      </w:r>
      <w:r w:rsidRPr="00831348">
        <w:t xml:space="preserve">presumably reflect regulatory commissions’ best estimates of the cost of equity, however determined, at the time they </w:t>
      </w:r>
      <w:r w:rsidRPr="00831348">
        <w:lastRenderedPageBreak/>
        <w:t xml:space="preserve">issued their final order.  Moreover, allowed </w:t>
      </w:r>
      <w:r w:rsidR="004C441E" w:rsidRPr="00831348">
        <w:t xml:space="preserve">ROEs </w:t>
      </w:r>
      <w:r w:rsidRPr="00831348">
        <w:t>are an important consideration for investors and have the potential to influence other observable investment parameters, including credit ratings and borrowing costs.  Thus, this data provides a logical and frequently referenced basis for estimating equity risk premiums for regulated utilities.</w:t>
      </w:r>
    </w:p>
    <w:p w:rsidR="004C441E" w:rsidRPr="00831348" w:rsidRDefault="004C441E" w:rsidP="004C441E">
      <w:pPr>
        <w:pStyle w:val="Question0"/>
        <w:rPr>
          <w:rFonts w:ascii="Times New Roman" w:hAnsi="Times New Roman"/>
        </w:rPr>
      </w:pPr>
      <w:r w:rsidRPr="00831348">
        <w:rPr>
          <w:rFonts w:ascii="Times New Roman" w:hAnsi="Times New Roman"/>
        </w:rPr>
        <w:t>Q.</w:t>
      </w:r>
      <w:r w:rsidRPr="00831348">
        <w:rPr>
          <w:rFonts w:ascii="Times New Roman" w:hAnsi="Times New Roman"/>
        </w:rPr>
        <w:tab/>
        <w:t>Is it circular to consider risk premiums based on authorized returns in assessing a fair ROE for Avista?</w:t>
      </w:r>
    </w:p>
    <w:p w:rsidR="004C441E" w:rsidRPr="00831348" w:rsidRDefault="004C441E" w:rsidP="004C441E">
      <w:pPr>
        <w:pStyle w:val="Answer"/>
      </w:pPr>
      <w:r w:rsidRPr="00831348">
        <w:t>A.</w:t>
      </w:r>
      <w:r w:rsidRPr="00831348">
        <w:tab/>
        <w:t>No.  In establishing authorized ROEs, regulators typically consider the results of alternative market-based approaches, including the DCF model.  Because allowed risk premiums consider objective market data (</w:t>
      </w:r>
      <w:r w:rsidRPr="00831348">
        <w:rPr>
          <w:i/>
          <w:iCs/>
        </w:rPr>
        <w:t>e.g.</w:t>
      </w:r>
      <w:r w:rsidRPr="00831348">
        <w:t>, stock prices</w:t>
      </w:r>
      <w:r w:rsidR="009C4CD0" w:rsidRPr="00831348">
        <w:t>,</w:t>
      </w:r>
      <w:r w:rsidRPr="00831348">
        <w:t xml:space="preserve"> dividends, beta, and interest rates), and are not based strictly on past actions of other regulators, this mitigates concerns over any potential for circularity. </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How did you implement the risk premium approach using surveys of allowed rates of return?</w:t>
      </w:r>
    </w:p>
    <w:p w:rsidR="00586021" w:rsidRPr="00831348" w:rsidRDefault="00586021">
      <w:pPr>
        <w:pStyle w:val="Answer"/>
      </w:pPr>
      <w:r w:rsidRPr="00831348">
        <w:t>A.</w:t>
      </w:r>
      <w:r w:rsidRPr="00831348">
        <w:tab/>
      </w:r>
      <w:r w:rsidR="00580F7C" w:rsidRPr="00831348">
        <w:t xml:space="preserve">The ROEs authorized for electric utilities by regulatory commissions across the U.S. are compiled by Regulatory Research Associates and published in its Regulatory Focus report.  </w:t>
      </w:r>
      <w:proofErr w:type="gramStart"/>
      <w:r w:rsidR="004C441E" w:rsidRPr="00831348">
        <w:t xml:space="preserve">On page 3 of </w:t>
      </w:r>
      <w:proofErr w:type="spellStart"/>
      <w:r w:rsidR="00A4213C">
        <w:t>Exh</w:t>
      </w:r>
      <w:proofErr w:type="spellEnd"/>
      <w:r w:rsidR="00A4213C">
        <w:t>.</w:t>
      </w:r>
      <w:proofErr w:type="gramEnd"/>
      <w:r w:rsidR="00A4213C">
        <w:t xml:space="preserve"> </w:t>
      </w:r>
      <w:r w:rsidR="00457B72" w:rsidRPr="00831348">
        <w:t>AMM-</w:t>
      </w:r>
      <w:r w:rsidR="00120C2A">
        <w:t>10</w:t>
      </w:r>
      <w:r w:rsidRPr="00831348">
        <w:t xml:space="preserve">, the average yield on </w:t>
      </w:r>
      <w:r w:rsidR="00A4213C">
        <w:t xml:space="preserve">long-term </w:t>
      </w:r>
      <w:r w:rsidRPr="00831348">
        <w:t>public utility bonds is subtracted from the average allowed rate of return on common equity for electric utilities to calculate equity risk premiums for each year between 1974 and 20</w:t>
      </w:r>
      <w:r w:rsidR="004C441E" w:rsidRPr="00831348">
        <w:t>1</w:t>
      </w:r>
      <w:r w:rsidR="0090722E">
        <w:t>6</w:t>
      </w:r>
      <w:r w:rsidRPr="00831348">
        <w:t>.</w:t>
      </w:r>
      <w:r w:rsidR="00A4213C">
        <w:rPr>
          <w:rStyle w:val="FootnoteReference"/>
        </w:rPr>
        <w:footnoteReference w:id="20"/>
      </w:r>
      <w:r w:rsidRPr="00831348">
        <w:t xml:space="preserve">  Over this </w:t>
      </w:r>
      <w:r w:rsidR="00E92121">
        <w:t>4</w:t>
      </w:r>
      <w:r w:rsidR="0090722E">
        <w:t>3</w:t>
      </w:r>
      <w:r w:rsidRPr="00831348">
        <w:t>-year period, these equity risk premiums for electric utilities averaged 3.</w:t>
      </w:r>
      <w:r w:rsidR="002470B7">
        <w:t>6</w:t>
      </w:r>
      <w:r w:rsidR="0090722E">
        <w:t>7</w:t>
      </w:r>
      <w:r w:rsidR="002470B7" w:rsidRPr="00831348">
        <w:t xml:space="preserve"> </w:t>
      </w:r>
      <w:r w:rsidRPr="00831348">
        <w:t>percent, and the yield on public utility bonds averaged 8.</w:t>
      </w:r>
      <w:r w:rsidR="0090722E">
        <w:t>3</w:t>
      </w:r>
      <w:r w:rsidR="00CC20B6" w:rsidRPr="00831348">
        <w:t>8</w:t>
      </w:r>
      <w:r w:rsidRPr="00831348">
        <w:t xml:space="preserve"> percent.</w:t>
      </w:r>
    </w:p>
    <w:p w:rsidR="00586021" w:rsidRPr="00831348" w:rsidRDefault="00586021">
      <w:pPr>
        <w:pStyle w:val="Question0"/>
        <w:rPr>
          <w:rFonts w:ascii="Times New Roman" w:hAnsi="Times New Roman"/>
        </w:rPr>
      </w:pPr>
      <w:r w:rsidRPr="00831348">
        <w:rPr>
          <w:rFonts w:ascii="Times New Roman" w:hAnsi="Times New Roman"/>
        </w:rPr>
        <w:lastRenderedPageBreak/>
        <w:t>Q.</w:t>
      </w:r>
      <w:r w:rsidRPr="00831348">
        <w:rPr>
          <w:rFonts w:ascii="Times New Roman" w:hAnsi="Times New Roman"/>
        </w:rPr>
        <w:tab/>
        <w:t>Is there any capital market relationship that must be considered when implementing the risk premium method?</w:t>
      </w:r>
    </w:p>
    <w:p w:rsidR="00586021" w:rsidRPr="00831348" w:rsidRDefault="00586021">
      <w:pPr>
        <w:pStyle w:val="Answer"/>
      </w:pPr>
      <w:r w:rsidRPr="00831348">
        <w:t>A.</w:t>
      </w:r>
      <w:r w:rsidRPr="00831348">
        <w:tab/>
        <w:t>Yes.  There is considerable evidence that the magnitude of equity risk premiums is not constant and that equity risk premiums tend to move inversely with interest rates.  In other words, when interest rate levels are relatively high, equity risk premiums narrow, and when interest rates are relatively low, equity risk premiums widen.</w:t>
      </w:r>
      <w:r w:rsidRPr="00831348">
        <w:rPr>
          <w:spacing w:val="-2"/>
        </w:rPr>
        <w:t xml:space="preserve">  </w:t>
      </w:r>
      <w:r w:rsidRPr="00831348">
        <w:t xml:space="preserve">The implication of this inverse relationship is that the cost of equity does not move as much as, or in lockstep with, interest rates.  Accordingly, for a 1 percent increase or decrease in interest rates, the cost of equity may only rise or fall, say, 50 basis points.  Therefore, when implementing the risk </w:t>
      </w:r>
      <w:r w:rsidRPr="00831348">
        <w:rPr>
          <w:spacing w:val="-2"/>
        </w:rPr>
        <w:t>premium</w:t>
      </w:r>
      <w:r w:rsidRPr="00831348">
        <w:t xml:space="preserve"> method, adjustments may be required to incorporate this inverse relationship if current interest rate levels </w:t>
      </w:r>
      <w:r w:rsidR="004C441E" w:rsidRPr="00831348">
        <w:t>diverge from the average interest rate level represented in the data set.</w:t>
      </w:r>
      <w:r w:rsidRPr="00831348">
        <w:t xml:space="preserve"> </w:t>
      </w:r>
    </w:p>
    <w:p w:rsidR="00F81EF1" w:rsidRPr="00831348" w:rsidRDefault="00F81EF1" w:rsidP="006B45AA">
      <w:pPr>
        <w:pStyle w:val="Question0"/>
        <w:rPr>
          <w:rFonts w:ascii="Times New Roman" w:hAnsi="Times New Roman"/>
        </w:rPr>
      </w:pPr>
      <w:r w:rsidRPr="00831348">
        <w:rPr>
          <w:rFonts w:ascii="Times New Roman" w:hAnsi="Times New Roman"/>
        </w:rPr>
        <w:t>Q.</w:t>
      </w:r>
      <w:r w:rsidRPr="00831348">
        <w:rPr>
          <w:rFonts w:ascii="Times New Roman" w:hAnsi="Times New Roman"/>
        </w:rPr>
        <w:tab/>
        <w:t>Has this inverse relationship been documented in the financial research?</w:t>
      </w:r>
    </w:p>
    <w:p w:rsidR="00F81EF1" w:rsidRPr="00831348" w:rsidRDefault="00F81EF1" w:rsidP="00F81EF1">
      <w:pPr>
        <w:pStyle w:val="Answer"/>
      </w:pPr>
      <w:r w:rsidRPr="00831348">
        <w:t>A.</w:t>
      </w:r>
      <w:r w:rsidRPr="00831348">
        <w:tab/>
        <w:t xml:space="preserve">Yes. </w:t>
      </w:r>
      <w:r w:rsidR="00CB2892" w:rsidRPr="00831348">
        <w:t xml:space="preserve"> </w:t>
      </w:r>
      <w:r w:rsidRPr="00831348">
        <w:t>This inverse relationship between equity risk premiums and interest rates has been widely reported in the financial literature.</w:t>
      </w:r>
      <w:r w:rsidR="00CB2892" w:rsidRPr="00831348">
        <w:rPr>
          <w:rStyle w:val="FootnoteReference"/>
        </w:rPr>
        <w:footnoteReference w:id="21"/>
      </w:r>
      <w:r w:rsidRPr="00831348">
        <w:t xml:space="preserve">  For example, New Regulatory Finance documented this inverse relationship:</w:t>
      </w:r>
    </w:p>
    <w:p w:rsidR="00F81EF1" w:rsidRPr="00831348" w:rsidRDefault="00F81EF1" w:rsidP="006B45AA">
      <w:pPr>
        <w:pStyle w:val="Quote1"/>
      </w:pPr>
      <w:r w:rsidRPr="00831348">
        <w:t>Published studies by Brigham, Shome, and Vinson (1985), Harris (1986), Harris and Marston (1992, 1993), Carelton, Chambers, and Lakonishok (1983), Morin (2005), and McShane (2005), and others demonstrate that, beginning in 1980, risk premiums varied inversely with the level of interest rates – rising when rates fell and declining when rates rose.</w:t>
      </w:r>
      <w:r w:rsidRPr="00831348">
        <w:rPr>
          <w:rStyle w:val="FootnoteReference"/>
        </w:rPr>
        <w:footnoteReference w:id="22"/>
      </w:r>
      <w:r w:rsidRPr="00831348">
        <w:t xml:space="preserve">   </w:t>
      </w:r>
    </w:p>
    <w:p w:rsidR="00F81EF1" w:rsidRPr="00831348" w:rsidRDefault="00F81EF1" w:rsidP="006B45AA">
      <w:pPr>
        <w:pStyle w:val="Answer"/>
        <w:ind w:firstLine="0"/>
      </w:pPr>
      <w:r w:rsidRPr="00831348">
        <w:lastRenderedPageBreak/>
        <w:t>Other regulators have also recognized that the cost of equity does not move in tandem with interest rates.</w:t>
      </w:r>
      <w:r w:rsidRPr="00831348">
        <w:rPr>
          <w:rStyle w:val="FootnoteReference"/>
        </w:rPr>
        <w:footnoteReference w:id="23"/>
      </w:r>
      <w:r w:rsidRPr="00831348">
        <w:t xml:space="preserve"> </w:t>
      </w:r>
    </w:p>
    <w:p w:rsidR="00F81EF1" w:rsidRPr="00831348" w:rsidRDefault="00F81EF1" w:rsidP="00F81EF1">
      <w:pPr>
        <w:pStyle w:val="Answer"/>
        <w:rPr>
          <w:b/>
        </w:rPr>
      </w:pPr>
      <w:r w:rsidRPr="00831348">
        <w:rPr>
          <w:b/>
        </w:rPr>
        <w:t>Q.</w:t>
      </w:r>
      <w:r w:rsidRPr="00831348">
        <w:rPr>
          <w:b/>
        </w:rPr>
        <w:tab/>
      </w:r>
      <w:r w:rsidR="00B03122" w:rsidRPr="00831348">
        <w:rPr>
          <w:b/>
        </w:rPr>
        <w:t>What are the implications of this relationship under current capital market conditions</w:t>
      </w:r>
      <w:r w:rsidRPr="00831348">
        <w:rPr>
          <w:b/>
        </w:rPr>
        <w:t>?</w:t>
      </w:r>
    </w:p>
    <w:p w:rsidR="00F81EF1" w:rsidRDefault="00F81EF1" w:rsidP="00F81EF1">
      <w:pPr>
        <w:pStyle w:val="Answer"/>
      </w:pPr>
      <w:r w:rsidRPr="00831348">
        <w:t>A.</w:t>
      </w:r>
      <w:r w:rsidRPr="00831348">
        <w:tab/>
        <w:t>As noted earlier, bond yields are at unprecedented lows.  Given that equity risk premiums move inversely with interest rates, these uncharacteristically low bond yields also imply a sharp increase in the equity risk premium that investors require to accept the higher uncertainties associated with an investment in utility common stocks versus bonds.  In other words, higher required equity risk premiums offset the impact of declining interest rates on the ROE.</w:t>
      </w:r>
      <w:r w:rsidR="009F29FB">
        <w:t xml:space="preserve">  This relationship is illustrated in the figure below, which is based on three-year rolling averages for the utility bond yields and risk premiums shown on page 3 of </w:t>
      </w:r>
      <w:proofErr w:type="spellStart"/>
      <w:r w:rsidR="009F29FB">
        <w:t>Exh</w:t>
      </w:r>
      <w:proofErr w:type="spellEnd"/>
      <w:r w:rsidR="009F29FB">
        <w:t xml:space="preserve">. </w:t>
      </w:r>
      <w:proofErr w:type="gramStart"/>
      <w:r w:rsidR="009F29FB">
        <w:t>AMM-10.</w:t>
      </w:r>
      <w:proofErr w:type="gramEnd"/>
    </w:p>
    <w:p w:rsidR="009F29FB" w:rsidRDefault="009F29FB" w:rsidP="00376B53">
      <w:pPr>
        <w:pStyle w:val="TableCaption"/>
      </w:pPr>
      <w:r>
        <w:lastRenderedPageBreak/>
        <w:t xml:space="preserve">figure </w:t>
      </w:r>
      <w:proofErr w:type="gramStart"/>
      <w:r>
        <w:t>2</w:t>
      </w:r>
      <w:r>
        <w:br/>
        <w:t>inverse relationship</w:t>
      </w:r>
      <w:proofErr w:type="gramEnd"/>
    </w:p>
    <w:p w:rsidR="009F29FB" w:rsidRPr="009F29FB" w:rsidRDefault="009F29FB" w:rsidP="00376B53">
      <w:pPr>
        <w:pStyle w:val="Table"/>
      </w:pPr>
      <w:r>
        <w:rPr>
          <w:noProof/>
        </w:rPr>
        <w:drawing>
          <wp:inline distT="0" distB="0" distL="0" distR="0" wp14:anchorId="240A8A31" wp14:editId="43644747">
            <wp:extent cx="5022850" cy="353056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6626" cy="3533219"/>
                    </a:xfrm>
                    <a:prstGeom prst="rect">
                      <a:avLst/>
                    </a:prstGeom>
                    <a:noFill/>
                  </pic:spPr>
                </pic:pic>
              </a:graphicData>
            </a:graphic>
          </wp:inline>
        </w:drawing>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What cost of equity is implied by </w:t>
      </w:r>
      <w:r w:rsidR="004C441E" w:rsidRPr="00831348">
        <w:rPr>
          <w:rFonts w:ascii="Times New Roman" w:hAnsi="Times New Roman"/>
        </w:rPr>
        <w:t xml:space="preserve">the risk premium method using </w:t>
      </w:r>
      <w:r w:rsidRPr="00831348">
        <w:rPr>
          <w:rFonts w:ascii="Times New Roman" w:hAnsi="Times New Roman"/>
        </w:rPr>
        <w:t xml:space="preserve">surveys of allowed </w:t>
      </w:r>
      <w:r w:rsidR="004C441E" w:rsidRPr="00831348">
        <w:rPr>
          <w:rFonts w:ascii="Times New Roman" w:hAnsi="Times New Roman"/>
        </w:rPr>
        <w:t>ROEs</w:t>
      </w:r>
      <w:r w:rsidRPr="00831348">
        <w:rPr>
          <w:rFonts w:ascii="Times New Roman" w:hAnsi="Times New Roman"/>
        </w:rPr>
        <w:t>?</w:t>
      </w:r>
    </w:p>
    <w:p w:rsidR="00586021" w:rsidRPr="00831348" w:rsidRDefault="00586021">
      <w:pPr>
        <w:pStyle w:val="Answer"/>
      </w:pPr>
      <w:r w:rsidRPr="00831348">
        <w:t>A.</w:t>
      </w:r>
      <w:r w:rsidRPr="00831348">
        <w:tab/>
      </w:r>
      <w:r w:rsidR="00720FA8" w:rsidRPr="00831348">
        <w:t xml:space="preserve">Because risk premiums move inversely with interest rates and current bond yields are significantly lower than the average over the study period, it is necessary to adjust the average equity risk premium over the study period to reflect the impact of changes in bond yields.  </w:t>
      </w:r>
      <w:proofErr w:type="gramStart"/>
      <w:r w:rsidRPr="00831348">
        <w:t xml:space="preserve">Based on the regression output between the interest rates and equity risk premiums displayed on page 4 of </w:t>
      </w:r>
      <w:proofErr w:type="spellStart"/>
      <w:r w:rsidR="00A4213C">
        <w:t>Exh</w:t>
      </w:r>
      <w:proofErr w:type="spellEnd"/>
      <w:r w:rsidR="00A4213C">
        <w:t>.</w:t>
      </w:r>
      <w:proofErr w:type="gramEnd"/>
      <w:r w:rsidR="00A4213C">
        <w:t xml:space="preserve"> </w:t>
      </w:r>
      <w:r w:rsidR="00457B72" w:rsidRPr="00831348">
        <w:t>AMM-</w:t>
      </w:r>
      <w:r w:rsidR="00120C2A">
        <w:t>10</w:t>
      </w:r>
      <w:r w:rsidRPr="00831348">
        <w:t>, the equity risk premium for electric utilities increased approximately 4</w:t>
      </w:r>
      <w:r w:rsidR="00CC20B6" w:rsidRPr="00831348">
        <w:t>3</w:t>
      </w:r>
      <w:r w:rsidRPr="00831348">
        <w:t xml:space="preserve"> basis points for each percentage point drop in the yield on average public utility bonds.  As illustrated on page 1 of </w:t>
      </w:r>
      <w:proofErr w:type="spellStart"/>
      <w:r w:rsidR="00A4213C">
        <w:t>Exh</w:t>
      </w:r>
      <w:proofErr w:type="spellEnd"/>
      <w:r w:rsidR="00A4213C">
        <w:t xml:space="preserve">. </w:t>
      </w:r>
      <w:r w:rsidR="00457B72" w:rsidRPr="00831348">
        <w:t>AMM-</w:t>
      </w:r>
      <w:r w:rsidR="00120C2A">
        <w:t>10</w:t>
      </w:r>
      <w:r w:rsidRPr="00831348">
        <w:t xml:space="preserve">, with the yield on average public utility bonds </w:t>
      </w:r>
      <w:r w:rsidR="00CC20B6" w:rsidRPr="00831348">
        <w:t>for the six months ending</w:t>
      </w:r>
      <w:r w:rsidRPr="00831348">
        <w:t xml:space="preserve"> </w:t>
      </w:r>
      <w:r w:rsidR="0025178D">
        <w:t>March</w:t>
      </w:r>
      <w:r w:rsidR="005F5298" w:rsidRPr="00831348">
        <w:t xml:space="preserve"> </w:t>
      </w:r>
      <w:r w:rsidRPr="00831348">
        <w:t>201</w:t>
      </w:r>
      <w:r w:rsidR="0025178D">
        <w:t>7</w:t>
      </w:r>
      <w:r w:rsidRPr="00831348">
        <w:t xml:space="preserve"> being 4.</w:t>
      </w:r>
      <w:r w:rsidR="00C60F3A">
        <w:t>21</w:t>
      </w:r>
      <w:r w:rsidR="002470B7" w:rsidRPr="00831348">
        <w:t xml:space="preserve"> </w:t>
      </w:r>
      <w:proofErr w:type="gramStart"/>
      <w:r w:rsidRPr="00831348">
        <w:t>percent,</w:t>
      </w:r>
      <w:proofErr w:type="gramEnd"/>
      <w:r w:rsidRPr="00831348">
        <w:t xml:space="preserve"> this implied a current equity risk premium of 5.</w:t>
      </w:r>
      <w:r w:rsidR="0025178D">
        <w:t>4</w:t>
      </w:r>
      <w:r w:rsidR="00C60F3A">
        <w:t>6</w:t>
      </w:r>
      <w:r w:rsidR="002470B7" w:rsidRPr="00831348">
        <w:t xml:space="preserve"> </w:t>
      </w:r>
      <w:r w:rsidRPr="00831348">
        <w:t xml:space="preserve">percent for electric utilities.  Adding this </w:t>
      </w:r>
      <w:r w:rsidRPr="00831348">
        <w:lastRenderedPageBreak/>
        <w:t xml:space="preserve">equity risk premium to the yield on </w:t>
      </w:r>
      <w:r w:rsidR="005D54C5">
        <w:t>Baa</w:t>
      </w:r>
      <w:r w:rsidRPr="00831348">
        <w:t xml:space="preserve"> utility bonds of </w:t>
      </w:r>
      <w:r w:rsidR="0025178D">
        <w:t>4.6</w:t>
      </w:r>
      <w:r w:rsidR="00C60F3A">
        <w:t>0</w:t>
      </w:r>
      <w:r w:rsidRPr="00831348">
        <w:t xml:space="preserve"> percent produces a current cost of equity of 10.</w:t>
      </w:r>
      <w:r w:rsidR="0025178D">
        <w:t>0</w:t>
      </w:r>
      <w:r w:rsidR="00C60F3A">
        <w:t>6</w:t>
      </w:r>
      <w:r w:rsidRPr="00831348">
        <w:t xml:space="preserve"> percent.</w:t>
      </w:r>
    </w:p>
    <w:p w:rsidR="00586021" w:rsidRPr="00831348" w:rsidRDefault="00586021">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cost of equity was produced by the risk premium approach after incorporating forecasted bond yields?</w:t>
      </w:r>
    </w:p>
    <w:p w:rsidR="00586021" w:rsidRDefault="00586021">
      <w:pPr>
        <w:pStyle w:val="Answer"/>
      </w:pPr>
      <w:r w:rsidRPr="00831348">
        <w:t>A.</w:t>
      </w:r>
      <w:r w:rsidRPr="00831348">
        <w:tab/>
        <w:t xml:space="preserve">As shown on page 2 of </w:t>
      </w:r>
      <w:proofErr w:type="spellStart"/>
      <w:r w:rsidR="00A4213C">
        <w:t>Exh</w:t>
      </w:r>
      <w:proofErr w:type="spellEnd"/>
      <w:r w:rsidR="00A4213C">
        <w:t xml:space="preserve">. </w:t>
      </w:r>
      <w:r w:rsidR="00457B72" w:rsidRPr="00831348">
        <w:t>AMM-</w:t>
      </w:r>
      <w:r w:rsidR="00120C2A">
        <w:t>10</w:t>
      </w:r>
      <w:r w:rsidRPr="00831348">
        <w:t>, incorporating a forecasted yield for 201</w:t>
      </w:r>
      <w:r w:rsidR="007659A8">
        <w:t>8</w:t>
      </w:r>
      <w:r w:rsidRPr="00831348">
        <w:t>-20</w:t>
      </w:r>
      <w:r w:rsidR="002470B7">
        <w:t>2</w:t>
      </w:r>
      <w:r w:rsidR="007659A8">
        <w:t>2</w:t>
      </w:r>
      <w:r w:rsidRPr="00831348">
        <w:t xml:space="preserve"> and adjusting for changes in interest rates since the study period implied </w:t>
      </w:r>
      <w:proofErr w:type="gramStart"/>
      <w:r w:rsidRPr="00831348">
        <w:t>an equity</w:t>
      </w:r>
      <w:proofErr w:type="gramEnd"/>
      <w:r w:rsidRPr="00831348">
        <w:t xml:space="preserve"> risk premium of 4.</w:t>
      </w:r>
      <w:r w:rsidR="007659A8">
        <w:t>81</w:t>
      </w:r>
      <w:r w:rsidRPr="00831348">
        <w:t xml:space="preserve"> percent for electric utilities. </w:t>
      </w:r>
      <w:bookmarkStart w:id="15" w:name="_Toc117662443"/>
      <w:bookmarkStart w:id="16" w:name="_Toc159816087"/>
      <w:bookmarkStart w:id="17" w:name="_Toc161404699"/>
      <w:r w:rsidRPr="00831348">
        <w:t xml:space="preserve"> Adding this equity risk premium to the average implied yield on </w:t>
      </w:r>
      <w:r w:rsidR="00A4213C">
        <w:t xml:space="preserve">long-term </w:t>
      </w:r>
      <w:r w:rsidR="005D54C5">
        <w:t>Baa</w:t>
      </w:r>
      <w:r w:rsidRPr="00831348">
        <w:t xml:space="preserve"> public utility bonds for 201</w:t>
      </w:r>
      <w:r w:rsidR="007659A8">
        <w:t>8</w:t>
      </w:r>
      <w:r w:rsidRPr="00831348">
        <w:t>-20</w:t>
      </w:r>
      <w:r w:rsidR="002470B7">
        <w:t>2</w:t>
      </w:r>
      <w:r w:rsidR="007659A8">
        <w:t>2</w:t>
      </w:r>
      <w:r w:rsidRPr="00831348">
        <w:t xml:space="preserve"> of </w:t>
      </w:r>
      <w:r w:rsidR="007659A8">
        <w:t>6.12</w:t>
      </w:r>
      <w:r w:rsidRPr="00831348">
        <w:t xml:space="preserve"> percent resulted in an implied cost of equity of approximately 1</w:t>
      </w:r>
      <w:r w:rsidR="0082367E">
        <w:t>0.</w:t>
      </w:r>
      <w:r w:rsidR="007659A8">
        <w:t>9</w:t>
      </w:r>
      <w:r w:rsidRPr="00831348">
        <w:t xml:space="preserve"> percent.</w:t>
      </w:r>
    </w:p>
    <w:p w:rsidR="005D54C5" w:rsidRPr="00831348" w:rsidRDefault="005D54C5" w:rsidP="005D54C5">
      <w:pPr>
        <w:pStyle w:val="Heading2"/>
        <w:rPr>
          <w:rFonts w:ascii="Times New Roman" w:hAnsi="Times New Roman"/>
        </w:rPr>
      </w:pPr>
      <w:bookmarkStart w:id="18" w:name="_Toc251621123"/>
      <w:bookmarkStart w:id="19" w:name="_Toc355571790"/>
      <w:bookmarkStart w:id="20" w:name="_Toc357459400"/>
      <w:bookmarkStart w:id="21" w:name="_Toc377474882"/>
      <w:r w:rsidRPr="00831348">
        <w:rPr>
          <w:rFonts w:ascii="Times New Roman" w:hAnsi="Times New Roman"/>
        </w:rPr>
        <w:t>Expected Earnings Approach</w:t>
      </w:r>
      <w:bookmarkEnd w:id="18"/>
      <w:bookmarkEnd w:id="19"/>
      <w:bookmarkEnd w:id="20"/>
      <w:bookmarkEnd w:id="21"/>
    </w:p>
    <w:p w:rsidR="005D54C5" w:rsidRPr="00831348" w:rsidRDefault="005D54C5" w:rsidP="005D54C5">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other analyses did you conduct to estimate the cost of common equity?</w:t>
      </w:r>
    </w:p>
    <w:p w:rsidR="005D54C5" w:rsidRPr="00831348" w:rsidRDefault="005D54C5" w:rsidP="005D54C5">
      <w:pPr>
        <w:pStyle w:val="Answer"/>
        <w:rPr>
          <w:szCs w:val="26"/>
        </w:rPr>
      </w:pPr>
      <w:r w:rsidRPr="00831348">
        <w:rPr>
          <w:szCs w:val="26"/>
        </w:rPr>
        <w:t>A.</w:t>
      </w:r>
      <w:r w:rsidRPr="00831348">
        <w:rPr>
          <w:szCs w:val="26"/>
        </w:rPr>
        <w:tab/>
        <w:t xml:space="preserve">As noted earlier, I also evaluated the cost of common equity using the expected earnings method.  Reference to rates of return available from alternative investments of </w:t>
      </w:r>
      <w:r w:rsidRPr="00831348">
        <w:t>comparable</w:t>
      </w:r>
      <w:r w:rsidRPr="00831348">
        <w:rPr>
          <w:szCs w:val="26"/>
        </w:rPr>
        <w:t xml:space="preserve"> risk can provide an important benchmark in assessing the return necessary to assure confidence in the financial integrity of a firm and its ability to attract capital.  This expected earnings approach is consistent with the economic underpinnings for a fair rate of return established by the U.S. Supreme Court in </w:t>
      </w:r>
      <w:r w:rsidRPr="00831348">
        <w:rPr>
          <w:i/>
          <w:iCs/>
          <w:szCs w:val="26"/>
        </w:rPr>
        <w:t xml:space="preserve">Bluefield </w:t>
      </w:r>
      <w:r w:rsidRPr="00831348">
        <w:rPr>
          <w:szCs w:val="26"/>
        </w:rPr>
        <w:t xml:space="preserve">and </w:t>
      </w:r>
      <w:r w:rsidRPr="00831348">
        <w:rPr>
          <w:i/>
          <w:iCs/>
          <w:szCs w:val="26"/>
        </w:rPr>
        <w:t>Hope</w:t>
      </w:r>
      <w:r w:rsidRPr="00831348">
        <w:rPr>
          <w:szCs w:val="26"/>
        </w:rPr>
        <w:t xml:space="preserve">.  Moreover, it avoids the complexities and limitations of capital market methods and instead focuses on the returns earned on book equity, which are readily available to investors.  </w:t>
      </w:r>
    </w:p>
    <w:p w:rsidR="005D54C5" w:rsidRPr="00831348" w:rsidRDefault="005D54C5" w:rsidP="005D54C5">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economic premise underlies the expected earnings approach?</w:t>
      </w:r>
    </w:p>
    <w:p w:rsidR="005D54C5" w:rsidRPr="00831348" w:rsidRDefault="005D54C5" w:rsidP="005D54C5">
      <w:pPr>
        <w:pStyle w:val="Answer"/>
      </w:pPr>
      <w:r w:rsidRPr="00831348">
        <w:t>A.</w:t>
      </w:r>
      <w:r w:rsidRPr="00831348">
        <w:tab/>
        <w:t xml:space="preserve">The simple, but powerful concept underlying the expected earnings approach is that investors compare each investment alternative with the next best opportunity.  If the utility is unable to offer a return similar to that available from other opportunities of </w:t>
      </w:r>
      <w:r w:rsidRPr="00831348">
        <w:lastRenderedPageBreak/>
        <w:t xml:space="preserve">comparable risk, investors will become unwilling to supply the capital on reasonable terms.  For existing investors, denying the utility an opportunity to earn what is available from other similar risk alternatives prevents them from earning their opportunity cost of capital.  In this situation the government is effectively taking the value of investors’ capital without adequate compensation.  The expected earnings approach is consistent with the economic rationale underpinning established regulatory standards, which specifies a methodology to determine an ROE benchmark based on earned rates of return for a peer group of other utilities.  </w:t>
      </w:r>
    </w:p>
    <w:p w:rsidR="005D54C5" w:rsidRPr="00831348" w:rsidRDefault="005D54C5" w:rsidP="005D54C5">
      <w:pPr>
        <w:pStyle w:val="Question0"/>
        <w:rPr>
          <w:rFonts w:ascii="Times New Roman" w:hAnsi="Times New Roman"/>
        </w:rPr>
      </w:pPr>
      <w:proofErr w:type="gramStart"/>
      <w:r w:rsidRPr="00831348">
        <w:rPr>
          <w:rFonts w:ascii="Times New Roman" w:hAnsi="Times New Roman"/>
        </w:rPr>
        <w:t>Q.</w:t>
      </w:r>
      <w:r w:rsidRPr="00831348">
        <w:rPr>
          <w:rFonts w:ascii="Times New Roman" w:hAnsi="Times New Roman"/>
        </w:rPr>
        <w:tab/>
        <w:t>How is the expected earnings approach typically</w:t>
      </w:r>
      <w:proofErr w:type="gramEnd"/>
      <w:r w:rsidRPr="00831348">
        <w:rPr>
          <w:rFonts w:ascii="Times New Roman" w:hAnsi="Times New Roman"/>
        </w:rPr>
        <w:t xml:space="preserve"> implemented?</w:t>
      </w:r>
    </w:p>
    <w:p w:rsidR="005D54C5" w:rsidRPr="00831348" w:rsidRDefault="005D54C5" w:rsidP="005D54C5">
      <w:pPr>
        <w:pStyle w:val="Answer"/>
      </w:pPr>
      <w:r w:rsidRPr="00831348">
        <w:t>A.</w:t>
      </w:r>
      <w:r w:rsidRPr="00831348">
        <w:tab/>
        <w:t>The traditional comparable earnings test identifies a group of companies that are believed to be comparable in risk to the utility.  The actual earnings of those companies on the book value of their investment are then compared to the allowed return of the utility.  While the traditional comparable earnings test is implemented using historical data taken from the accounting records, it is also common to use projections of returns on book investment, such as those published by recognized investment advisory publications (</w:t>
      </w:r>
      <w:r w:rsidRPr="00831348">
        <w:rPr>
          <w:i/>
          <w:iCs/>
        </w:rPr>
        <w:t>e.g.</w:t>
      </w:r>
      <w:r w:rsidRPr="00831348">
        <w:t xml:space="preserve">, Value Line).  Because these returns on book value equity are analogous to the allowed return on a utility’s rate base, this measure of opportunity costs results in a direct, “apples to apples” comparison.  </w:t>
      </w:r>
    </w:p>
    <w:p w:rsidR="005D54C5" w:rsidRPr="00831348" w:rsidRDefault="005D54C5" w:rsidP="005D54C5">
      <w:pPr>
        <w:pStyle w:val="Answer"/>
      </w:pPr>
      <w:r w:rsidRPr="00831348">
        <w:t>Moreover, regulators do not set the returns that investors earn in the capital markets, which are a function of dividend payments and fluctuations in common stock prices</w:t>
      </w:r>
      <w:r w:rsidR="00D47E4B">
        <w:t xml:space="preserve">, </w:t>
      </w:r>
      <w:r w:rsidRPr="00831348">
        <w:t xml:space="preserve">both of which are outside their control.  Regulators can only establish the allowed ROE, which is applied to the book value of a utility’s investment in rate base, as determined from its accounting records.  This is directly analogous to the expected earnings approach, which </w:t>
      </w:r>
      <w:r w:rsidRPr="00831348">
        <w:lastRenderedPageBreak/>
        <w:t>measures the return that investors expect the utility to earn on book value.  As a result, the expected earnings approach provides a meaningful guide to ensure that the allowed ROE is similar to what other utilities of comparable risk will earn on invested capital.  This expected earnings test does not require theoretical models to indirectly infer investors’ perceptions from stock prices or other market data.  As long as the proxy companies are similar in risk, their expected earned returns on invested capital provide a direct benchmark for investors’ opportunity costs that is independent of fluctuating stock prices, market-to-book ratios, debates over DCF growth rates, or the limitations inherent in any theoretical model of investor behavior.</w:t>
      </w:r>
    </w:p>
    <w:p w:rsidR="005D54C5" w:rsidRPr="00831348" w:rsidRDefault="005D54C5" w:rsidP="005D54C5">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rates of return on equity are indicated for utilities based on the expected earnings approach?</w:t>
      </w:r>
    </w:p>
    <w:p w:rsidR="005D54C5" w:rsidRPr="00831348" w:rsidRDefault="005D54C5" w:rsidP="005D54C5">
      <w:pPr>
        <w:pStyle w:val="Answer"/>
      </w:pPr>
      <w:r w:rsidRPr="00831348">
        <w:t>A.</w:t>
      </w:r>
      <w:r w:rsidRPr="00831348">
        <w:tab/>
        <w:t>Value Line’s projections imply an average rate of return on common equity for the electric utility industry of 10.</w:t>
      </w:r>
      <w:r>
        <w:t>7</w:t>
      </w:r>
      <w:r w:rsidRPr="00831348">
        <w:t xml:space="preserve"> percent over its </w:t>
      </w:r>
      <w:r w:rsidR="0082367E">
        <w:t>three- to five-year</w:t>
      </w:r>
      <w:r w:rsidRPr="00831348">
        <w:t xml:space="preserve"> forecast horizon.</w:t>
      </w:r>
      <w:r w:rsidRPr="00831348">
        <w:rPr>
          <w:rStyle w:val="FootnoteReference"/>
        </w:rPr>
        <w:footnoteReference w:id="24"/>
      </w:r>
      <w:r w:rsidRPr="00831348">
        <w:t xml:space="preserve">  Meanwhile, for the firms in the Utility Group specifically, the year</w:t>
      </w:r>
      <w:r w:rsidRPr="00831348">
        <w:noBreakHyphen/>
        <w:t xml:space="preserve">end returns on common equity projected by Value Line over its forecast horizon are shown on </w:t>
      </w:r>
      <w:proofErr w:type="spellStart"/>
      <w:r w:rsidR="00A4213C">
        <w:t>Exh</w:t>
      </w:r>
      <w:proofErr w:type="spellEnd"/>
      <w:r w:rsidR="00A4213C">
        <w:t xml:space="preserve">. </w:t>
      </w:r>
      <w:proofErr w:type="gramStart"/>
      <w:r w:rsidRPr="00831348">
        <w:t>AMM-</w:t>
      </w:r>
      <w:r>
        <w:t>1</w:t>
      </w:r>
      <w:r w:rsidR="00120C2A">
        <w:t>1</w:t>
      </w:r>
      <w:r w:rsidRPr="00831348">
        <w:t>.</w:t>
      </w:r>
      <w:proofErr w:type="gramEnd"/>
      <w:r w:rsidRPr="00831348">
        <w:t xml:space="preserve">  Consistent with the rationale underlying the development of the br+sv growth rates, these year</w:t>
      </w:r>
      <w:r w:rsidRPr="00831348">
        <w:noBreakHyphen/>
        <w:t xml:space="preserve">end values were converted to average returns using the same adjustment factor discussed earlier and developed on Exhibit No.__(AMM-7).  As shown on </w:t>
      </w:r>
      <w:proofErr w:type="spellStart"/>
      <w:r w:rsidR="00A4213C">
        <w:t>Exh</w:t>
      </w:r>
      <w:proofErr w:type="spellEnd"/>
      <w:r w:rsidR="00A4213C">
        <w:t xml:space="preserve">. </w:t>
      </w:r>
      <w:r w:rsidRPr="00831348">
        <w:t>AMM-1</w:t>
      </w:r>
      <w:r w:rsidR="00120C2A">
        <w:t>1</w:t>
      </w:r>
      <w:r w:rsidRPr="00831348">
        <w:t xml:space="preserve">, Value Line’s projections for the Utility Group </w:t>
      </w:r>
      <w:proofErr w:type="gramStart"/>
      <w:r w:rsidRPr="00831348">
        <w:t>suggest</w:t>
      </w:r>
      <w:proofErr w:type="gramEnd"/>
      <w:r w:rsidRPr="00831348">
        <w:t xml:space="preserve"> an average ROE of approximately </w:t>
      </w:r>
      <w:r>
        <w:t>10.</w:t>
      </w:r>
      <w:r w:rsidR="00E253A0">
        <w:t>3</w:t>
      </w:r>
      <w:r w:rsidRPr="00831348">
        <w:t xml:space="preserve"> percent, with a midpoint value of </w:t>
      </w:r>
      <w:r w:rsidR="0082367E">
        <w:t>11.1</w:t>
      </w:r>
      <w:r w:rsidRPr="00831348">
        <w:t xml:space="preserve"> percent.  </w:t>
      </w:r>
    </w:p>
    <w:p w:rsidR="005F5298" w:rsidRPr="00426AE5" w:rsidRDefault="005D54C5" w:rsidP="005F5298">
      <w:pPr>
        <w:pStyle w:val="Heading1"/>
        <w:rPr>
          <w:rFonts w:ascii="Times New Roman" w:hAnsi="Times New Roman"/>
        </w:rPr>
      </w:pPr>
      <w:bookmarkStart w:id="22" w:name="_Toc355571788"/>
      <w:bookmarkStart w:id="23" w:name="_Toc357459398"/>
      <w:bookmarkStart w:id="24" w:name="_Toc377474880"/>
      <w:r>
        <w:rPr>
          <w:rFonts w:ascii="Times New Roman" w:hAnsi="Times New Roman"/>
        </w:rPr>
        <w:lastRenderedPageBreak/>
        <w:t>LOW RISK NON-UTILITY DCF</w:t>
      </w:r>
      <w:bookmarkEnd w:id="22"/>
      <w:bookmarkEnd w:id="23"/>
      <w:bookmarkEnd w:id="24"/>
    </w:p>
    <w:p w:rsidR="005F5298" w:rsidRPr="00831348" w:rsidRDefault="005F5298" w:rsidP="005F5298">
      <w:pPr>
        <w:pStyle w:val="Question0"/>
        <w:rPr>
          <w:rFonts w:ascii="Times New Roman" w:hAnsi="Times New Roman"/>
        </w:rPr>
      </w:pPr>
      <w:bookmarkStart w:id="25" w:name="_Toc251621124"/>
      <w:r w:rsidRPr="00831348">
        <w:rPr>
          <w:rFonts w:ascii="Times New Roman" w:hAnsi="Times New Roman"/>
        </w:rPr>
        <w:t>Q.</w:t>
      </w:r>
      <w:r w:rsidRPr="00831348">
        <w:rPr>
          <w:rFonts w:ascii="Times New Roman" w:hAnsi="Times New Roman"/>
        </w:rPr>
        <w:tab/>
        <w:t xml:space="preserve">What other proxy group did you consider in evaluating a fair ROE for </w:t>
      </w:r>
      <w:r w:rsidR="00F33FDC" w:rsidRPr="00831348">
        <w:rPr>
          <w:rFonts w:ascii="Times New Roman" w:hAnsi="Times New Roman"/>
        </w:rPr>
        <w:t>Avista</w:t>
      </w:r>
      <w:r w:rsidRPr="00831348">
        <w:rPr>
          <w:rFonts w:ascii="Times New Roman" w:hAnsi="Times New Roman"/>
        </w:rPr>
        <w:t>?</w:t>
      </w:r>
    </w:p>
    <w:p w:rsidR="005F5298" w:rsidRPr="00831348" w:rsidRDefault="005F5298" w:rsidP="005F5298">
      <w:pPr>
        <w:pStyle w:val="Answer"/>
      </w:pPr>
      <w:r w:rsidRPr="00831348">
        <w:t>A.</w:t>
      </w:r>
      <w:r w:rsidRPr="00831348">
        <w:tab/>
        <w:t>Consistent with underlying economic and regulatory standards, I also applied the DCF model to a reference group of low-risk companies in the non-utility sectors of the economy.  I refer to this group as the “Non-Utility Group”.</w:t>
      </w:r>
    </w:p>
    <w:p w:rsidR="005F5298" w:rsidRPr="00831348" w:rsidRDefault="005F5298" w:rsidP="005F5298">
      <w:pPr>
        <w:pStyle w:val="Question0"/>
        <w:rPr>
          <w:rFonts w:ascii="Times New Roman" w:hAnsi="Times New Roman"/>
        </w:rPr>
      </w:pPr>
      <w:r w:rsidRPr="00831348">
        <w:rPr>
          <w:rFonts w:ascii="Times New Roman" w:hAnsi="Times New Roman"/>
        </w:rPr>
        <w:t>Q.</w:t>
      </w:r>
      <w:r w:rsidRPr="00831348">
        <w:rPr>
          <w:rFonts w:ascii="Times New Roman" w:hAnsi="Times New Roman"/>
        </w:rPr>
        <w:tab/>
        <w:t>Do utilities have to compete with non-regulated firms for capital?</w:t>
      </w:r>
    </w:p>
    <w:p w:rsidR="005F5298" w:rsidRPr="00831348" w:rsidRDefault="005F5298" w:rsidP="005F5298">
      <w:pPr>
        <w:pStyle w:val="Answer"/>
      </w:pPr>
      <w:r w:rsidRPr="00831348">
        <w:t>A.</w:t>
      </w:r>
      <w:r w:rsidRPr="00831348">
        <w:tab/>
        <w:t>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with other investment opportunities of comparable risk.</w:t>
      </w:r>
    </w:p>
    <w:p w:rsidR="005F5298" w:rsidRPr="00831348" w:rsidRDefault="005F5298" w:rsidP="005F5298">
      <w:pPr>
        <w:pStyle w:val="Question0"/>
        <w:rPr>
          <w:rFonts w:ascii="Times New Roman" w:hAnsi="Times New Roman"/>
        </w:rPr>
      </w:pPr>
      <w:r w:rsidRPr="00831348">
        <w:rPr>
          <w:rFonts w:ascii="Times New Roman" w:hAnsi="Times New Roman"/>
        </w:rPr>
        <w:t>Q.</w:t>
      </w:r>
      <w:r w:rsidRPr="00831348">
        <w:rPr>
          <w:rFonts w:ascii="Times New Roman" w:hAnsi="Times New Roman"/>
        </w:rPr>
        <w:tab/>
        <w:t>Does consideration of the results for the Non-Utility Group make the estimation of the cost of equity using the DCF model more reliable</w:t>
      </w:r>
      <w:r w:rsidR="009F29FB">
        <w:rPr>
          <w:rFonts w:ascii="Times New Roman" w:hAnsi="Times New Roman"/>
        </w:rPr>
        <w:t xml:space="preserve"> for Avista</w:t>
      </w:r>
      <w:r w:rsidRPr="00831348">
        <w:rPr>
          <w:rFonts w:ascii="Times New Roman" w:hAnsi="Times New Roman"/>
        </w:rPr>
        <w:t>?</w:t>
      </w:r>
    </w:p>
    <w:p w:rsidR="005F5298" w:rsidRPr="00831348" w:rsidRDefault="005F5298" w:rsidP="005F5298">
      <w:pPr>
        <w:pStyle w:val="Answer"/>
      </w:pPr>
      <w:r w:rsidRPr="00831348">
        <w:t>A.</w:t>
      </w:r>
      <w:r w:rsidRPr="00831348">
        <w:tab/>
        <w:t xml:space="preserve">Yes.  The estimates of growth from the DCF model depend on analysts’ forecasts.  It is possible for utility growth rates to be distorted by short-term trends in the industry, or by the industry falling into favor or disfavor by analysts.  The result of such distortions would be to bias the DCF estimates for utilities.  Because the Non-Utility Group includes low risk companies from many industries, it diversifies away any distortion that may be caused by the ebb and flow of enthusiasm for a particular sector.  </w:t>
      </w:r>
    </w:p>
    <w:p w:rsidR="005F5298" w:rsidRPr="00831348" w:rsidRDefault="005F5298" w:rsidP="005F5298">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criteria did you apply to develop the Non-Utility Group?</w:t>
      </w:r>
    </w:p>
    <w:p w:rsidR="005F5298" w:rsidRPr="00831348" w:rsidRDefault="005F5298" w:rsidP="005F5298">
      <w:pPr>
        <w:pStyle w:val="Answer"/>
        <w:rPr>
          <w:szCs w:val="26"/>
        </w:rPr>
      </w:pPr>
      <w:r w:rsidRPr="00831348">
        <w:t>A.</w:t>
      </w:r>
      <w:r w:rsidRPr="00831348">
        <w:tab/>
        <w:t>The comparable risk proxy group was composed of those U</w:t>
      </w:r>
      <w:r w:rsidR="00ED08CB" w:rsidRPr="00831348">
        <w:t xml:space="preserve">.S. </w:t>
      </w:r>
      <w:r w:rsidRPr="00831348">
        <w:t xml:space="preserve">companies followed by Value Line that: </w:t>
      </w:r>
    </w:p>
    <w:p w:rsidR="005F5298" w:rsidRPr="00831348" w:rsidRDefault="005F5298" w:rsidP="0097154B">
      <w:pPr>
        <w:spacing w:line="360" w:lineRule="auto"/>
        <w:ind w:left="1440"/>
        <w:jc w:val="both"/>
      </w:pPr>
      <w:r w:rsidRPr="00831348">
        <w:lastRenderedPageBreak/>
        <w:t xml:space="preserve">1) </w:t>
      </w:r>
      <w:proofErr w:type="gramStart"/>
      <w:r w:rsidRPr="00831348">
        <w:t>pay</w:t>
      </w:r>
      <w:proofErr w:type="gramEnd"/>
      <w:r w:rsidRPr="00831348">
        <w:t xml:space="preserve"> common dividends; </w:t>
      </w:r>
    </w:p>
    <w:p w:rsidR="005F5298" w:rsidRPr="00831348" w:rsidRDefault="005F5298" w:rsidP="005F5298">
      <w:pPr>
        <w:spacing w:line="360" w:lineRule="auto"/>
        <w:ind w:left="1440"/>
        <w:jc w:val="both"/>
      </w:pPr>
      <w:r w:rsidRPr="00831348">
        <w:t xml:space="preserve">2) have a Safety Rank of “1”; </w:t>
      </w:r>
    </w:p>
    <w:p w:rsidR="005F5298" w:rsidRPr="00831348" w:rsidRDefault="005F5298" w:rsidP="005F5298">
      <w:pPr>
        <w:spacing w:line="360" w:lineRule="auto"/>
        <w:ind w:left="1440"/>
      </w:pPr>
      <w:r w:rsidRPr="00831348">
        <w:t xml:space="preserve">3) </w:t>
      </w:r>
      <w:proofErr w:type="gramStart"/>
      <w:r w:rsidRPr="00831348">
        <w:t>have</w:t>
      </w:r>
      <w:proofErr w:type="gramEnd"/>
      <w:r w:rsidRPr="00831348">
        <w:t xml:space="preserve"> a Financial Strength Rating of “</w:t>
      </w:r>
      <w:r w:rsidR="00E849F5">
        <w:t>A</w:t>
      </w:r>
      <w:r w:rsidRPr="00831348">
        <w:t xml:space="preserve">” or greater; </w:t>
      </w:r>
    </w:p>
    <w:p w:rsidR="005F5298" w:rsidRPr="00831348" w:rsidRDefault="005F5298" w:rsidP="005F5298">
      <w:pPr>
        <w:spacing w:line="360" w:lineRule="auto"/>
        <w:ind w:left="1440"/>
      </w:pPr>
      <w:r w:rsidRPr="00831348">
        <w:t xml:space="preserve">4) </w:t>
      </w:r>
      <w:proofErr w:type="gramStart"/>
      <w:r w:rsidRPr="00831348">
        <w:t>have</w:t>
      </w:r>
      <w:proofErr w:type="gramEnd"/>
      <w:r w:rsidRPr="00831348">
        <w:t xml:space="preserve"> a beta of 0.</w:t>
      </w:r>
      <w:r w:rsidR="00743B94" w:rsidRPr="00831348">
        <w:t>7</w:t>
      </w:r>
      <w:r w:rsidR="00AE1F06">
        <w:t>5</w:t>
      </w:r>
      <w:r w:rsidR="00743B94" w:rsidRPr="00831348">
        <w:t xml:space="preserve"> </w:t>
      </w:r>
      <w:r w:rsidRPr="00831348">
        <w:t xml:space="preserve">or less; and </w:t>
      </w:r>
    </w:p>
    <w:p w:rsidR="005F5298" w:rsidRPr="00831348" w:rsidRDefault="005F5298" w:rsidP="005F5298">
      <w:pPr>
        <w:spacing w:line="360" w:lineRule="auto"/>
        <w:ind w:left="1440"/>
      </w:pPr>
      <w:r w:rsidRPr="00831348">
        <w:t xml:space="preserve">5) </w:t>
      </w:r>
      <w:proofErr w:type="gramStart"/>
      <w:r w:rsidRPr="00831348">
        <w:t>have</w:t>
      </w:r>
      <w:proofErr w:type="gramEnd"/>
      <w:r w:rsidRPr="00831348">
        <w:t xml:space="preserve"> investment grade credit ratings from S&amp;P</w:t>
      </w:r>
      <w:r w:rsidR="00AE1F06">
        <w:t xml:space="preserve"> and Moody’s</w:t>
      </w:r>
      <w:r w:rsidRPr="00831348">
        <w:t xml:space="preserve">.  </w:t>
      </w:r>
    </w:p>
    <w:p w:rsidR="005F5298" w:rsidRPr="00831348" w:rsidRDefault="005F5298" w:rsidP="005F5298">
      <w:pPr>
        <w:pStyle w:val="Question0"/>
        <w:rPr>
          <w:rFonts w:ascii="Times New Roman" w:hAnsi="Times New Roman"/>
        </w:rPr>
      </w:pPr>
      <w:r w:rsidRPr="00831348">
        <w:rPr>
          <w:rFonts w:ascii="Times New Roman" w:hAnsi="Times New Roman"/>
        </w:rPr>
        <w:t>Q.</w:t>
      </w:r>
      <w:r w:rsidRPr="00831348">
        <w:rPr>
          <w:rFonts w:ascii="Times New Roman" w:hAnsi="Times New Roman"/>
        </w:rPr>
        <w:tab/>
        <w:t xml:space="preserve">How do the overall risks of this Non-Utility Group compare with the </w:t>
      </w:r>
      <w:r w:rsidR="00C60AE1" w:rsidRPr="00831348">
        <w:rPr>
          <w:rFonts w:ascii="Times New Roman" w:hAnsi="Times New Roman"/>
        </w:rPr>
        <w:t xml:space="preserve">Utility </w:t>
      </w:r>
      <w:r w:rsidRPr="00831348">
        <w:rPr>
          <w:rFonts w:ascii="Times New Roman" w:hAnsi="Times New Roman"/>
        </w:rPr>
        <w:t>Group</w:t>
      </w:r>
      <w:r w:rsidR="00C60AE1" w:rsidRPr="00831348">
        <w:rPr>
          <w:rFonts w:ascii="Times New Roman" w:hAnsi="Times New Roman"/>
        </w:rPr>
        <w:t xml:space="preserve"> and Avista</w:t>
      </w:r>
      <w:r w:rsidRPr="00831348">
        <w:rPr>
          <w:rFonts w:ascii="Times New Roman" w:hAnsi="Times New Roman"/>
        </w:rPr>
        <w:t>?</w:t>
      </w:r>
    </w:p>
    <w:p w:rsidR="00D47E4B" w:rsidRDefault="005F5298" w:rsidP="00D06FA4">
      <w:pPr>
        <w:pStyle w:val="Answer"/>
      </w:pPr>
      <w:r w:rsidRPr="00831348">
        <w:t>A.</w:t>
      </w:r>
      <w:r w:rsidRPr="00831348">
        <w:tab/>
      </w:r>
      <w:r w:rsidR="008139F4">
        <w:t xml:space="preserve">As illustrated in </w:t>
      </w:r>
      <w:r w:rsidRPr="00831348">
        <w:t xml:space="preserve">Table </w:t>
      </w:r>
      <w:r w:rsidR="00FC0F2E">
        <w:t>5</w:t>
      </w:r>
      <w:r w:rsidR="00C60AE1" w:rsidRPr="00831348">
        <w:t xml:space="preserve"> </w:t>
      </w:r>
      <w:r w:rsidR="00D47E4B">
        <w:t>below</w:t>
      </w:r>
      <w:r w:rsidR="008139F4">
        <w:t>,</w:t>
      </w:r>
      <w:r w:rsidRPr="00831348">
        <w:t xml:space="preserve"> </w:t>
      </w:r>
      <w:r w:rsidR="008139F4">
        <w:t xml:space="preserve">the </w:t>
      </w:r>
      <w:r w:rsidRPr="00831348">
        <w:t>average credit rating</w:t>
      </w:r>
      <w:r w:rsidR="00743B94" w:rsidRPr="00831348">
        <w:t>s</w:t>
      </w:r>
      <w:r w:rsidRPr="00831348">
        <w:t xml:space="preserve">, Safety Rank, </w:t>
      </w:r>
      <w:r w:rsidR="004B5D42">
        <w:t xml:space="preserve">and </w:t>
      </w:r>
      <w:r w:rsidRPr="00831348">
        <w:t>Financial Strength Rating for the Non</w:t>
      </w:r>
      <w:r w:rsidRPr="00831348">
        <w:noBreakHyphen/>
        <w:t xml:space="preserve">Utility Group suggest less risk than for </w:t>
      </w:r>
      <w:r w:rsidR="00C60AE1" w:rsidRPr="00831348">
        <w:t xml:space="preserve">Avista </w:t>
      </w:r>
      <w:r w:rsidRPr="00831348">
        <w:t xml:space="preserve">and the proxy group of utilities.  </w:t>
      </w:r>
    </w:p>
    <w:p w:rsidR="00D47E4B" w:rsidRPr="00D47E4B" w:rsidRDefault="00D47E4B" w:rsidP="00D47E4B">
      <w:pPr>
        <w:keepNext/>
        <w:keepLines/>
        <w:spacing w:before="240" w:line="240" w:lineRule="atLeast"/>
        <w:jc w:val="center"/>
        <w:rPr>
          <w:b/>
          <w:caps/>
        </w:rPr>
      </w:pPr>
      <w:r w:rsidRPr="00D47E4B">
        <w:rPr>
          <w:b/>
          <w:caps/>
        </w:rPr>
        <w:t xml:space="preserve">table </w:t>
      </w:r>
      <w:r w:rsidR="00FC0F2E">
        <w:rPr>
          <w:b/>
          <w:caps/>
        </w:rPr>
        <w:t>5</w:t>
      </w:r>
    </w:p>
    <w:p w:rsidR="00D47E4B" w:rsidRPr="00D47E4B" w:rsidRDefault="00D47E4B" w:rsidP="00D47E4B">
      <w:pPr>
        <w:keepNext/>
        <w:keepLines/>
        <w:spacing w:after="120" w:line="240" w:lineRule="atLeast"/>
        <w:jc w:val="center"/>
        <w:rPr>
          <w:b/>
          <w:caps/>
        </w:rPr>
      </w:pPr>
      <w:r w:rsidRPr="00D47E4B">
        <w:rPr>
          <w:b/>
          <w:caps/>
        </w:rPr>
        <w:t>COMPARISON OF RISK INDICATORS</w:t>
      </w:r>
    </w:p>
    <w:p w:rsidR="00AE1F06" w:rsidRDefault="00BF3DB6" w:rsidP="00376B53">
      <w:pPr>
        <w:pStyle w:val="Table"/>
      </w:pPr>
      <w:r>
        <w:rPr>
          <w:noProof/>
        </w:rPr>
        <w:drawing>
          <wp:inline distT="0" distB="0" distL="0" distR="0" wp14:anchorId="74131F01" wp14:editId="1C995DCE">
            <wp:extent cx="408305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3050" cy="1219200"/>
                    </a:xfrm>
                    <a:prstGeom prst="rect">
                      <a:avLst/>
                    </a:prstGeom>
                    <a:noFill/>
                    <a:ln>
                      <a:noFill/>
                    </a:ln>
                  </pic:spPr>
                </pic:pic>
              </a:graphicData>
            </a:graphic>
          </wp:inline>
        </w:drawing>
      </w:r>
    </w:p>
    <w:p w:rsidR="005F5298" w:rsidRPr="00831348" w:rsidRDefault="005F5298" w:rsidP="00D47E4B">
      <w:pPr>
        <w:pStyle w:val="Answer"/>
        <w:ind w:firstLine="0"/>
      </w:pPr>
      <w:r w:rsidRPr="00831348">
        <w:t xml:space="preserve">When considered together, a comparison of these objective measures, which consider a broad spectrum of risks, including financial and business position, relative size, and exposure to company-specific factors, indicates that investors would likely conclude that the overall investment risks for the </w:t>
      </w:r>
      <w:r w:rsidR="00C60AE1" w:rsidRPr="00831348">
        <w:t xml:space="preserve">Utility </w:t>
      </w:r>
      <w:r w:rsidRPr="00831348">
        <w:t xml:space="preserve">Group and </w:t>
      </w:r>
      <w:r w:rsidR="00C60AE1" w:rsidRPr="00831348">
        <w:t xml:space="preserve">Avista </w:t>
      </w:r>
      <w:r w:rsidRPr="00831348">
        <w:t>are greater than those of the firms in the Non-Utility Group.</w:t>
      </w:r>
    </w:p>
    <w:p w:rsidR="005F5298" w:rsidRPr="00831348" w:rsidRDefault="005F5298" w:rsidP="005F5298">
      <w:pPr>
        <w:pStyle w:val="Answer"/>
      </w:pPr>
      <w:r w:rsidRPr="00831348">
        <w:t xml:space="preserve">The </w:t>
      </w:r>
      <w:r w:rsidR="00AE1F06">
        <w:t>19</w:t>
      </w:r>
      <w:r w:rsidR="00E849F5" w:rsidRPr="00831348">
        <w:t xml:space="preserve"> </w:t>
      </w:r>
      <w:r w:rsidRPr="00831348">
        <w:t xml:space="preserve">companies that make up the Non-Utility Group are representative of the pinnacle of corporate America.  These firms, which include household names such as </w:t>
      </w:r>
      <w:r w:rsidR="00E849F5">
        <w:t>Coca-Cola</w:t>
      </w:r>
      <w:r w:rsidRPr="00831348">
        <w:t xml:space="preserve">, McDonalds, and Wal-Mart, have long corporate histories, well-established track records, and exceedingly conservative risk profiles.  Many of these companies pay dividends </w:t>
      </w:r>
      <w:r w:rsidRPr="00831348">
        <w:lastRenderedPageBreak/>
        <w:t>on a par with utilities, with the average dividend yield for the group approaching 3</w:t>
      </w:r>
      <w:r w:rsidR="00C60AE1" w:rsidRPr="00831348">
        <w:t> percent</w:t>
      </w:r>
      <w:r w:rsidRPr="00831348">
        <w:t>.  Moreover, because of their significance and name recognition, these companies receive intense scrutiny by the investment community, which increases confidence that published growth estimates are representative of the consensus expectations reflected in common stock prices.</w:t>
      </w:r>
    </w:p>
    <w:p w:rsidR="005F5298" w:rsidRPr="00831348" w:rsidRDefault="005F5298" w:rsidP="005F5298">
      <w:pPr>
        <w:pStyle w:val="Question0"/>
        <w:rPr>
          <w:rFonts w:ascii="Times New Roman" w:hAnsi="Times New Roman"/>
        </w:rPr>
      </w:pPr>
      <w:r w:rsidRPr="00831348">
        <w:rPr>
          <w:rFonts w:ascii="Times New Roman" w:hAnsi="Times New Roman"/>
        </w:rPr>
        <w:t>Q.</w:t>
      </w:r>
      <w:r w:rsidRPr="00831348">
        <w:rPr>
          <w:rFonts w:ascii="Times New Roman" w:hAnsi="Times New Roman"/>
        </w:rPr>
        <w:tab/>
        <w:t>What were the results of your DCF analysis for the Non-Utility Group?</w:t>
      </w:r>
    </w:p>
    <w:p w:rsidR="005F5298" w:rsidRPr="00831348" w:rsidRDefault="005F5298" w:rsidP="005F5298">
      <w:pPr>
        <w:pStyle w:val="Answer"/>
      </w:pPr>
      <w:r w:rsidRPr="00831348">
        <w:t>A.</w:t>
      </w:r>
      <w:r w:rsidRPr="00831348">
        <w:tab/>
        <w:t>I applied the DCF model to the Non-Utility Group using analysts EPS growth projections</w:t>
      </w:r>
      <w:r w:rsidR="00E253A0">
        <w:t>, as</w:t>
      </w:r>
      <w:r w:rsidRPr="00831348">
        <w:t xml:space="preserve"> described earlier for the </w:t>
      </w:r>
      <w:r w:rsidR="00C60AE1" w:rsidRPr="00831348">
        <w:t xml:space="preserve">Utility </w:t>
      </w:r>
      <w:r w:rsidRPr="00831348">
        <w:t xml:space="preserve">Group, with the results being presented in </w:t>
      </w:r>
      <w:proofErr w:type="spellStart"/>
      <w:r w:rsidR="00A4213C">
        <w:t>Exh</w:t>
      </w:r>
      <w:proofErr w:type="spellEnd"/>
      <w:r w:rsidR="00A4213C">
        <w:t xml:space="preserve">. </w:t>
      </w:r>
      <w:proofErr w:type="gramStart"/>
      <w:r w:rsidR="00C60AE1" w:rsidRPr="00831348">
        <w:t>AMM-12</w:t>
      </w:r>
      <w:r w:rsidRPr="00831348">
        <w:t>.</w:t>
      </w:r>
      <w:proofErr w:type="gramEnd"/>
      <w:r w:rsidRPr="00831348">
        <w:t xml:space="preserve">  As summarized in Table </w:t>
      </w:r>
      <w:r w:rsidR="00FC0F2E">
        <w:t>6</w:t>
      </w:r>
      <w:r w:rsidRPr="00831348">
        <w:t xml:space="preserve">, below, application of the constant growth DCF model resulted in the following cost of equity estimates: </w:t>
      </w:r>
    </w:p>
    <w:p w:rsidR="005F5298" w:rsidRPr="00831348" w:rsidRDefault="005F5298" w:rsidP="009F29FB">
      <w:pPr>
        <w:pStyle w:val="TableCaption"/>
      </w:pPr>
      <w:r w:rsidRPr="00831348">
        <w:t xml:space="preserve">table </w:t>
      </w:r>
      <w:r w:rsidR="00FC0F2E">
        <w:t>6</w:t>
      </w:r>
      <w:r w:rsidRPr="00831348">
        <w:br/>
        <w:t>DCF RESULTS – NON-UTILITY GROUP</w:t>
      </w:r>
    </w:p>
    <w:p w:rsidR="00906B5C" w:rsidRDefault="00BF3DB6" w:rsidP="00376B53">
      <w:pPr>
        <w:pStyle w:val="Table"/>
      </w:pPr>
      <w:r>
        <w:rPr>
          <w:noProof/>
        </w:rPr>
        <w:drawing>
          <wp:inline distT="0" distB="0" distL="0" distR="0" wp14:anchorId="42B065A7" wp14:editId="04388BE4">
            <wp:extent cx="2628900" cy="99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996950"/>
                    </a:xfrm>
                    <a:prstGeom prst="rect">
                      <a:avLst/>
                    </a:prstGeom>
                    <a:noFill/>
                    <a:ln>
                      <a:noFill/>
                    </a:ln>
                  </pic:spPr>
                </pic:pic>
              </a:graphicData>
            </a:graphic>
          </wp:inline>
        </w:drawing>
      </w:r>
    </w:p>
    <w:p w:rsidR="005F5298" w:rsidRPr="00831348" w:rsidRDefault="005F5298" w:rsidP="00C60AE1">
      <w:pPr>
        <w:pStyle w:val="Answer"/>
        <w:ind w:firstLine="0"/>
      </w:pPr>
      <w:r w:rsidRPr="00831348">
        <w:t>As discussed earlier, reference to the Non-Utility Group is consistent with established regulatory principles.  Required returns for utilities should be in line with those of non</w:t>
      </w:r>
      <w:r w:rsidRPr="00831348">
        <w:noBreakHyphen/>
        <w:t xml:space="preserve">utility firms of comparable risk operating under the constraints of free competition.  </w:t>
      </w:r>
    </w:p>
    <w:p w:rsidR="005F5298" w:rsidRPr="00831348" w:rsidRDefault="005F5298" w:rsidP="005F5298">
      <w:pPr>
        <w:pStyle w:val="Question0"/>
        <w:rPr>
          <w:rFonts w:ascii="Times New Roman" w:hAnsi="Times New Roman"/>
        </w:rPr>
      </w:pPr>
      <w:r w:rsidRPr="00831348">
        <w:rPr>
          <w:rFonts w:ascii="Times New Roman" w:hAnsi="Times New Roman"/>
        </w:rPr>
        <w:t>Q.</w:t>
      </w:r>
      <w:r w:rsidRPr="00831348">
        <w:rPr>
          <w:rFonts w:ascii="Times New Roman" w:hAnsi="Times New Roman"/>
        </w:rPr>
        <w:tab/>
        <w:t>How can you reconcile these DCF results for the Non-Utility Group against the lower estimates produced for your group of utilities?</w:t>
      </w:r>
    </w:p>
    <w:p w:rsidR="005F5298" w:rsidRPr="00831348" w:rsidRDefault="005F5298" w:rsidP="005F5298">
      <w:pPr>
        <w:pStyle w:val="Answer"/>
      </w:pPr>
      <w:r w:rsidRPr="00831348">
        <w:t>A.</w:t>
      </w:r>
      <w:r w:rsidRPr="00831348">
        <w:tab/>
        <w:t xml:space="preserve">First, it is important to be clear that the higher DCF results for the Non-Utility Group cannot be attributed to risk differences.  As documented earlier, the risks that investors associate with the group of non-utility firms - as measured by S&amp;P’s credit ratings, Value Line’s Safety Rank, Financial Strength, and beta – are lower than the risks investors </w:t>
      </w:r>
      <w:r w:rsidRPr="00831348">
        <w:lastRenderedPageBreak/>
        <w:t xml:space="preserve">associate with the </w:t>
      </w:r>
      <w:r w:rsidR="006B45AA" w:rsidRPr="00831348">
        <w:t xml:space="preserve">Utility </w:t>
      </w:r>
      <w:r w:rsidRPr="00831348">
        <w:t xml:space="preserve">Group and </w:t>
      </w:r>
      <w:r w:rsidR="00C60AE1" w:rsidRPr="00831348">
        <w:t>Avista</w:t>
      </w:r>
      <w:r w:rsidRPr="00831348">
        <w:t>.  The objective evidence provided by these observable risk measures rules out a conclusion that the higher non-utility DCF estimates are associated with higher investment risk.</w:t>
      </w:r>
    </w:p>
    <w:p w:rsidR="005F5298" w:rsidRPr="00831348" w:rsidRDefault="005F5298" w:rsidP="005F5298">
      <w:pPr>
        <w:pStyle w:val="Answer"/>
      </w:pPr>
      <w:r w:rsidRPr="00831348">
        <w:t xml:space="preserve">Rather, the divergence between the DCF results for these groups of utility and non-utility firms can be attributed to the fact that 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cost of equity estimates for the Non-Utility Group provide an important benchmark in evaluating a fair ROE for </w:t>
      </w:r>
      <w:r w:rsidR="00C60AE1" w:rsidRPr="00831348">
        <w:t>Avista</w:t>
      </w:r>
      <w:r w:rsidRPr="00831348">
        <w:t xml:space="preserve">.  There is no basis to conclude that DCF results for a group of utilities would be inherently more reliable than those for firms in the competitive sector, and the divergence between the DCF estimates for the group of utilities and the Non-Utility Group suggests that both should be considered to ensure a balanced end-result.  The DCF results for the Non-Utility Group suggests that the </w:t>
      </w:r>
      <w:r w:rsidR="008175BD" w:rsidRPr="00831348">
        <w:t>9.9</w:t>
      </w:r>
      <w:r w:rsidR="00C60AE1" w:rsidRPr="00831348">
        <w:t xml:space="preserve"> percent</w:t>
      </w:r>
      <w:r w:rsidRPr="00831348">
        <w:t xml:space="preserve"> requested ROE for </w:t>
      </w:r>
      <w:r w:rsidR="00C60AE1" w:rsidRPr="00831348">
        <w:t xml:space="preserve">Avista’s </w:t>
      </w:r>
      <w:r w:rsidRPr="00831348">
        <w:t>utility operations is a conservative estimate of a fair return.</w:t>
      </w:r>
      <w:bookmarkEnd w:id="15"/>
      <w:bookmarkEnd w:id="16"/>
      <w:bookmarkEnd w:id="17"/>
      <w:bookmarkEnd w:id="25"/>
    </w:p>
    <w:sectPr w:rsidR="005F5298" w:rsidRPr="00831348" w:rsidSect="00CF5055">
      <w:headerReference w:type="default" r:id="rId19"/>
      <w:pgSz w:w="12240" w:h="15840" w:code="1"/>
      <w:pgMar w:top="1440" w:right="1440" w:bottom="1440" w:left="1872" w:header="720" w:footer="432" w:gutter="0"/>
      <w:lnNumType w:countBy="1" w:distance="5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66" w:rsidRDefault="00935766">
      <w:r>
        <w:separator/>
      </w:r>
    </w:p>
  </w:endnote>
  <w:endnote w:type="continuationSeparator" w:id="0">
    <w:p w:rsidR="00935766" w:rsidRDefault="0093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66" w:rsidRDefault="00935766">
      <w:r>
        <w:separator/>
      </w:r>
    </w:p>
  </w:footnote>
  <w:footnote w:type="continuationSeparator" w:id="0">
    <w:p w:rsidR="00935766" w:rsidRDefault="00935766">
      <w:r>
        <w:continuationSeparator/>
      </w:r>
    </w:p>
  </w:footnote>
  <w:footnote w:id="1">
    <w:p w:rsidR="00DC6300" w:rsidRDefault="00DC6300" w:rsidP="00DC6300">
      <w:pPr>
        <w:pStyle w:val="FootnoteText"/>
      </w:pPr>
      <w:r>
        <w:rPr>
          <w:rStyle w:val="FootnoteReference"/>
          <w:color w:val="000000"/>
        </w:rPr>
        <w:footnoteRef/>
      </w:r>
      <w:r>
        <w:rPr>
          <w:color w:val="000000"/>
        </w:rPr>
        <w:t xml:space="preserve"> </w:t>
      </w:r>
      <w:r w:rsidR="001D1F67">
        <w:rPr>
          <w:color w:val="000000"/>
          <w:lang w:val="en-US"/>
        </w:rPr>
        <w:t xml:space="preserve">Roger A. </w:t>
      </w:r>
      <w:proofErr w:type="spellStart"/>
      <w:r>
        <w:rPr>
          <w:color w:val="000000"/>
        </w:rPr>
        <w:t>Morin</w:t>
      </w:r>
      <w:proofErr w:type="gramStart"/>
      <w:r>
        <w:rPr>
          <w:color w:val="000000"/>
        </w:rPr>
        <w:t>,“</w:t>
      </w:r>
      <w:proofErr w:type="gramEnd"/>
      <w:r>
        <w:rPr>
          <w:color w:val="000000"/>
        </w:rPr>
        <w:t>New</w:t>
      </w:r>
      <w:proofErr w:type="spellEnd"/>
      <w:r>
        <w:rPr>
          <w:color w:val="000000"/>
        </w:rPr>
        <w:t xml:space="preserve"> Regulatory Finance,” </w:t>
      </w:r>
      <w:r>
        <w:rPr>
          <w:i/>
          <w:iCs/>
          <w:color w:val="000000"/>
        </w:rPr>
        <w:t xml:space="preserve">Public Utilities Reports </w:t>
      </w:r>
      <w:r w:rsidR="001D1F67" w:rsidRPr="00376B53">
        <w:rPr>
          <w:iCs/>
          <w:color w:val="000000"/>
          <w:lang w:val="en-US"/>
        </w:rPr>
        <w:t>(2006)</w:t>
      </w:r>
      <w:r w:rsidR="001D1F67">
        <w:rPr>
          <w:i/>
          <w:iCs/>
          <w:color w:val="000000"/>
          <w:lang w:val="en-US"/>
        </w:rPr>
        <w:t xml:space="preserve"> </w:t>
      </w:r>
      <w:r>
        <w:rPr>
          <w:color w:val="000000"/>
        </w:rPr>
        <w:t>at 71.</w:t>
      </w:r>
    </w:p>
  </w:footnote>
  <w:footnote w:id="2">
    <w:p w:rsidR="00586021" w:rsidRDefault="00586021">
      <w:pPr>
        <w:pStyle w:val="FootnoteText"/>
      </w:pPr>
      <w:r>
        <w:rPr>
          <w:rStyle w:val="FootnoteReference"/>
        </w:rPr>
        <w:footnoteRef/>
      </w:r>
      <w:r>
        <w:t xml:space="preserve"> The constant growth DCF model is dependent on a number of assumptions, which in practice are never strictly met.  These include a constant growth rate for both dividends and earnings; a stable dividend payout ratio; the discount rate exceeds the growth rate; a</w:t>
      </w:r>
      <w:r>
        <w:rPr>
          <w:rFonts w:cs="Arial"/>
          <w:iCs/>
        </w:rPr>
        <w:t xml:space="preserve"> constant growth rate for book value and price; a constant earned rate of return on book value; no sales of stock at a price above or below book value; a constant price-earnings ratio; a constant discount rate (</w:t>
      </w:r>
      <w:r>
        <w:rPr>
          <w:rFonts w:cs="Arial"/>
          <w:i/>
          <w:iCs/>
        </w:rPr>
        <w:t>i.e.</w:t>
      </w:r>
      <w:r>
        <w:rPr>
          <w:rFonts w:cs="Arial"/>
          <w:iCs/>
        </w:rPr>
        <w:t>, no changes in risk or interest rate levels and a flat yield curve); and a</w:t>
      </w:r>
      <w:r>
        <w:t>ll of the above extend to infinity.</w:t>
      </w:r>
    </w:p>
  </w:footnote>
  <w:footnote w:id="3">
    <w:p w:rsidR="001814AB" w:rsidRDefault="001814AB" w:rsidP="001814AB">
      <w:pPr>
        <w:pStyle w:val="FootnoteText"/>
        <w:jc w:val="both"/>
      </w:pPr>
      <w:r>
        <w:rPr>
          <w:rStyle w:val="FootnoteReference"/>
        </w:rPr>
        <w:footnoteRef/>
      </w:r>
      <w:r>
        <w:t xml:space="preserve"> </w:t>
      </w:r>
      <w:r w:rsidR="001D1F67">
        <w:rPr>
          <w:lang w:val="en-US"/>
        </w:rPr>
        <w:t xml:space="preserve">Myron J. </w:t>
      </w:r>
      <w:proofErr w:type="spellStart"/>
      <w:r>
        <w:t>Gordon</w:t>
      </w:r>
      <w:proofErr w:type="gramStart"/>
      <w:r>
        <w:t>,“</w:t>
      </w:r>
      <w:proofErr w:type="gramEnd"/>
      <w:r>
        <w:t>The</w:t>
      </w:r>
      <w:proofErr w:type="spellEnd"/>
      <w:r>
        <w:t xml:space="preserve"> Cost of Capital to a Public Utility,” </w:t>
      </w:r>
      <w:r>
        <w:rPr>
          <w:i/>
          <w:iCs/>
        </w:rPr>
        <w:t xml:space="preserve">MSU Public Utilities Studies </w:t>
      </w:r>
      <w:r>
        <w:t>at 89 (1974).</w:t>
      </w:r>
    </w:p>
  </w:footnote>
  <w:footnote w:id="4">
    <w:p w:rsidR="00586021" w:rsidRDefault="00586021">
      <w:pPr>
        <w:pStyle w:val="FootnoteText"/>
      </w:pPr>
      <w:r>
        <w:rPr>
          <w:rStyle w:val="FootnoteReference"/>
        </w:rPr>
        <w:footnoteRef/>
      </w:r>
      <w:r>
        <w:t xml:space="preserve"> </w:t>
      </w:r>
      <w:r w:rsidR="001D1F67">
        <w:rPr>
          <w:lang w:val="en-US"/>
        </w:rPr>
        <w:t xml:space="preserve">Roger A. </w:t>
      </w:r>
      <w:proofErr w:type="spellStart"/>
      <w:r>
        <w:t>Morin</w:t>
      </w:r>
      <w:proofErr w:type="gramStart"/>
      <w:r>
        <w:t>,“</w:t>
      </w:r>
      <w:proofErr w:type="gramEnd"/>
      <w:r>
        <w:t>New</w:t>
      </w:r>
      <w:proofErr w:type="spellEnd"/>
      <w:r>
        <w:t xml:space="preserve"> Regulatory Finance,” </w:t>
      </w:r>
      <w:r>
        <w:rPr>
          <w:i/>
          <w:iCs/>
        </w:rPr>
        <w:t>Public Utilities Reports, Inc.</w:t>
      </w:r>
      <w:r>
        <w:t xml:space="preserve"> </w:t>
      </w:r>
      <w:r w:rsidR="001D1F67">
        <w:rPr>
          <w:lang w:val="en-US"/>
        </w:rPr>
        <w:t xml:space="preserve">(2006) </w:t>
      </w:r>
      <w:r>
        <w:t>at 298 (emphasis added).</w:t>
      </w:r>
    </w:p>
  </w:footnote>
  <w:footnote w:id="5">
    <w:p w:rsidR="000D50FE" w:rsidRDefault="000D50FE" w:rsidP="000D50FE">
      <w:pPr>
        <w:pStyle w:val="FootnoteText"/>
      </w:pPr>
      <w:r>
        <w:rPr>
          <w:rStyle w:val="FootnoteReference"/>
        </w:rPr>
        <w:footnoteRef/>
      </w:r>
      <w:r>
        <w:t xml:space="preserve"> </w:t>
      </w:r>
      <w:r>
        <w:rPr>
          <w:i/>
        </w:rPr>
        <w:t>Kentucky Utilities Co.</w:t>
      </w:r>
      <w:r>
        <w:t xml:space="preserve">, </w:t>
      </w:r>
      <w:r w:rsidRPr="001C4ADB">
        <w:rPr>
          <w:iCs/>
        </w:rPr>
        <w:t>Case No. 2009-00548</w:t>
      </w:r>
      <w:r>
        <w:t xml:space="preserve"> (</w:t>
      </w:r>
      <w:proofErr w:type="spellStart"/>
      <w:r>
        <w:t>Ky</w:t>
      </w:r>
      <w:proofErr w:type="spellEnd"/>
      <w:r>
        <w:t xml:space="preserve"> PSC Jul. 30, 2010) at 30-31.</w:t>
      </w:r>
    </w:p>
  </w:footnote>
  <w:footnote w:id="6">
    <w:p w:rsidR="000D50FE" w:rsidRDefault="000D50FE" w:rsidP="000D50FE">
      <w:pPr>
        <w:pStyle w:val="FootnoteText"/>
      </w:pPr>
      <w:r>
        <w:rPr>
          <w:rStyle w:val="FootnoteReference"/>
        </w:rPr>
        <w:footnoteRef/>
      </w:r>
      <w:r>
        <w:t xml:space="preserve"> </w:t>
      </w:r>
      <w:r>
        <w:rPr>
          <w:i/>
          <w:iCs/>
        </w:rPr>
        <w:t>Kern River Gas Transmission Co.</w:t>
      </w:r>
      <w:r>
        <w:t xml:space="preserve">, </w:t>
      </w:r>
      <w:r>
        <w:rPr>
          <w:szCs w:val="26"/>
        </w:rPr>
        <w:t>126 FERC ¶ 61,034</w:t>
      </w:r>
      <w:r>
        <w:t>at P 121 (2009) (footnote omitted).</w:t>
      </w:r>
    </w:p>
  </w:footnote>
  <w:footnote w:id="7">
    <w:p w:rsidR="000D50FE" w:rsidRDefault="000D50FE" w:rsidP="000D50FE">
      <w:pPr>
        <w:pStyle w:val="FootnoteText"/>
      </w:pPr>
      <w:r>
        <w:rPr>
          <w:rStyle w:val="FootnoteReference"/>
        </w:rPr>
        <w:footnoteRef/>
      </w:r>
      <w:r>
        <w:t xml:space="preserve"> </w:t>
      </w:r>
      <w:r>
        <w:rPr>
          <w:i/>
          <w:iCs/>
        </w:rPr>
        <w:t>Decision</w:t>
      </w:r>
      <w:r>
        <w:t>, Docket No. 13-02-20 (Sept. 24, 2013).</w:t>
      </w:r>
    </w:p>
  </w:footnote>
  <w:footnote w:id="8">
    <w:p w:rsidR="000D50FE" w:rsidRDefault="000D50FE" w:rsidP="000D50FE">
      <w:pPr>
        <w:pStyle w:val="FootnoteText"/>
      </w:pPr>
      <w:r>
        <w:rPr>
          <w:rStyle w:val="FootnoteReference"/>
        </w:rPr>
        <w:footnoteRef/>
      </w:r>
      <w:r>
        <w:t xml:space="preserve"> Formerly I/B/E/S International, Inc., IBES growth rates are now compiled and published by Thomson Reuters.</w:t>
      </w:r>
    </w:p>
  </w:footnote>
  <w:footnote w:id="9">
    <w:p w:rsidR="00941DA7" w:rsidRDefault="00941DA7" w:rsidP="00941DA7">
      <w:pPr>
        <w:pStyle w:val="FootnoteText"/>
      </w:pPr>
      <w:r>
        <w:rPr>
          <w:rStyle w:val="FootnoteReference"/>
        </w:rPr>
        <w:footnoteRef/>
      </w:r>
      <w:r>
        <w:t xml:space="preserve"> Because Value Line reports end-of-year book values, an adjustment factor was incorporated to compute an average rate of return over the year, which is consistent with the theory underlying this approach. </w:t>
      </w:r>
    </w:p>
  </w:footnote>
  <w:footnote w:id="10">
    <w:p w:rsidR="00457B72" w:rsidRDefault="00457B72" w:rsidP="00457B72">
      <w:pPr>
        <w:pStyle w:val="FootnoteText"/>
      </w:pPr>
      <w:r>
        <w:rPr>
          <w:rStyle w:val="FootnoteReference"/>
        </w:rPr>
        <w:footnoteRef/>
      </w:r>
      <w:r>
        <w:t xml:space="preserve"> </w:t>
      </w:r>
      <w:r w:rsidR="001D1F67">
        <w:rPr>
          <w:lang w:val="en-US"/>
        </w:rPr>
        <w:t xml:space="preserve">Roger A. </w:t>
      </w:r>
      <w:r>
        <w:t>Morin,</w:t>
      </w:r>
      <w:r w:rsidR="00CB537A">
        <w:rPr>
          <w:lang w:val="en-US"/>
        </w:rPr>
        <w:t xml:space="preserve"> </w:t>
      </w:r>
      <w:r>
        <w:t xml:space="preserve">“New Regulatory Finance,” </w:t>
      </w:r>
      <w:r>
        <w:rPr>
          <w:i/>
          <w:iCs/>
        </w:rPr>
        <w:t>Public Utilities Reports, Inc.</w:t>
      </w:r>
      <w:r>
        <w:t xml:space="preserve">, </w:t>
      </w:r>
      <w:r w:rsidR="001D1F67">
        <w:rPr>
          <w:lang w:val="en-US"/>
        </w:rPr>
        <w:t xml:space="preserve">(2006) </w:t>
      </w:r>
      <w:r>
        <w:t>at 307.</w:t>
      </w:r>
      <w:r>
        <w:rPr>
          <w:i/>
          <w:iCs/>
        </w:rPr>
        <w:t xml:space="preserve"> </w:t>
      </w:r>
    </w:p>
  </w:footnote>
  <w:footnote w:id="11">
    <w:p w:rsidR="005F1BDB" w:rsidRPr="006B45AA" w:rsidRDefault="005F1BDB">
      <w:pPr>
        <w:pStyle w:val="FootnoteText"/>
        <w:rPr>
          <w:lang w:val="en-US"/>
        </w:rPr>
      </w:pPr>
      <w:r>
        <w:rPr>
          <w:rStyle w:val="FootnoteReference"/>
        </w:rPr>
        <w:footnoteRef/>
      </w:r>
      <w:r>
        <w:t xml:space="preserve"> </w:t>
      </w:r>
      <w:r w:rsidRPr="005F1BDB">
        <w:t>See, e.g., Southern California Edison Co., 131 FERC ¶ 61,020 at P 55 (2010) (“SoCal Edison”).</w:t>
      </w:r>
    </w:p>
  </w:footnote>
  <w:footnote w:id="12">
    <w:p w:rsidR="005F1BDB" w:rsidRPr="006B45AA" w:rsidRDefault="005F1BDB">
      <w:pPr>
        <w:pStyle w:val="FootnoteText"/>
        <w:rPr>
          <w:lang w:val="en-US"/>
        </w:rPr>
      </w:pPr>
      <w:r>
        <w:rPr>
          <w:rStyle w:val="FootnoteReference"/>
        </w:rPr>
        <w:footnoteRef/>
      </w:r>
      <w:r>
        <w:t xml:space="preserve"> </w:t>
      </w:r>
      <w:r w:rsidRPr="005F1BDB">
        <w:t>Martha Coakley et al., v. Bangor Hydro-Electric Company, et al., Opinion No. 531, 147 FERC ¶ 61,234 at P 122 (2014).</w:t>
      </w:r>
    </w:p>
  </w:footnote>
  <w:footnote w:id="13">
    <w:p w:rsidR="00457B72" w:rsidRDefault="008438C5" w:rsidP="00457B72">
      <w:pPr>
        <w:pStyle w:val="FootnoteText"/>
      </w:pPr>
      <w:r>
        <w:rPr>
          <w:rStyle w:val="FootnoteReference"/>
        </w:rPr>
        <w:footnoteRef/>
      </w:r>
      <w:r w:rsidR="00457B72">
        <w:t xml:space="preserve"> Moody’s Investors Service, http://credittrends.moodys.com/chartroom.asp?c=3.</w:t>
      </w:r>
    </w:p>
  </w:footnote>
  <w:footnote w:id="14">
    <w:p w:rsidR="000B6114" w:rsidRDefault="000B6114" w:rsidP="000B6114">
      <w:pPr>
        <w:pStyle w:val="FootnoteText"/>
      </w:pPr>
      <w:r>
        <w:rPr>
          <w:rStyle w:val="FootnoteReference"/>
        </w:rPr>
        <w:footnoteRef/>
      </w:r>
      <w:r>
        <w:t xml:space="preserve"> </w:t>
      </w:r>
      <w:r>
        <w:rPr>
          <w:i/>
          <w:iCs/>
        </w:rPr>
        <w:t>Blue Chip Financial Forecasts</w:t>
      </w:r>
      <w:r>
        <w:t>, Vol. 3</w:t>
      </w:r>
      <w:r w:rsidR="00AC673F">
        <w:rPr>
          <w:lang w:val="en-US"/>
        </w:rPr>
        <w:t>5</w:t>
      </w:r>
      <w:r>
        <w:t xml:space="preserve">, No. </w:t>
      </w:r>
      <w:r w:rsidR="00AC673F">
        <w:rPr>
          <w:lang w:val="en-US"/>
        </w:rPr>
        <w:t>12</w:t>
      </w:r>
      <w:r>
        <w:t xml:space="preserve"> (</w:t>
      </w:r>
      <w:r w:rsidR="001A6B4D">
        <w:rPr>
          <w:lang w:val="en-US"/>
        </w:rPr>
        <w:t>Dec</w:t>
      </w:r>
      <w:r>
        <w:t>. 1, 201</w:t>
      </w:r>
      <w:r w:rsidR="00AC673F">
        <w:rPr>
          <w:lang w:val="en-US"/>
        </w:rPr>
        <w:t>6</w:t>
      </w:r>
      <w:r>
        <w:t>).</w:t>
      </w:r>
    </w:p>
  </w:footnote>
  <w:footnote w:id="15">
    <w:p w:rsidR="00586021" w:rsidRPr="008C19AA" w:rsidRDefault="00586021">
      <w:pPr>
        <w:pStyle w:val="FootnoteText"/>
        <w:rPr>
          <w:lang w:val="en-US"/>
        </w:rPr>
      </w:pPr>
      <w:r>
        <w:rPr>
          <w:rStyle w:val="FootnoteReference"/>
        </w:rPr>
        <w:footnoteRef/>
      </w:r>
      <w:r>
        <w:t xml:space="preserve"> </w:t>
      </w:r>
      <w:r>
        <w:rPr>
          <w:i/>
          <w:iCs/>
        </w:rPr>
        <w:t>Morningstar</w:t>
      </w:r>
      <w:r>
        <w:t xml:space="preserve">, “Ibbotson </w:t>
      </w:r>
      <w:proofErr w:type="spellStart"/>
      <w:r>
        <w:t>SBBI</w:t>
      </w:r>
      <w:proofErr w:type="spellEnd"/>
      <w:r>
        <w:t xml:space="preserve"> </w:t>
      </w:r>
      <w:r w:rsidR="00CB2892">
        <w:t>201</w:t>
      </w:r>
      <w:r w:rsidR="00CC250F">
        <w:rPr>
          <w:lang w:val="en-US"/>
        </w:rPr>
        <w:t>4</w:t>
      </w:r>
      <w:r w:rsidR="00CB2892">
        <w:t xml:space="preserve"> </w:t>
      </w:r>
      <w:r w:rsidR="00CC250F">
        <w:rPr>
          <w:lang w:val="en-US"/>
        </w:rPr>
        <w:t>Classic Yearbook</w:t>
      </w:r>
      <w:r>
        <w:t xml:space="preserve">,” at p. </w:t>
      </w:r>
      <w:r w:rsidR="00CC250F">
        <w:rPr>
          <w:lang w:val="en-US"/>
        </w:rPr>
        <w:t>99</w:t>
      </w:r>
      <w:r>
        <w:t xml:space="preserve"> (footnote omitted).</w:t>
      </w:r>
    </w:p>
  </w:footnote>
  <w:footnote w:id="16">
    <w:p w:rsidR="00852A36" w:rsidRDefault="00852A36" w:rsidP="00852A36">
      <w:pPr>
        <w:pStyle w:val="FootnoteText"/>
      </w:pPr>
      <w:r>
        <w:rPr>
          <w:rStyle w:val="FootnoteReference"/>
          <w:color w:val="000000"/>
        </w:rPr>
        <w:footnoteRef/>
      </w:r>
      <w:r>
        <w:rPr>
          <w:color w:val="000000"/>
        </w:rPr>
        <w:t xml:space="preserve"> Originally compiled by Ibbotson Associates and published in their annual yearbook entitled, “Stocks, Bonds, Bills and Inflation,” these size premia </w:t>
      </w:r>
      <w:r w:rsidRPr="00036E11">
        <w:rPr>
          <w:iCs/>
          <w:color w:val="000000"/>
        </w:rPr>
        <w:t>are</w:t>
      </w:r>
      <w:r>
        <w:rPr>
          <w:i/>
          <w:iCs/>
          <w:color w:val="000000"/>
        </w:rPr>
        <w:t xml:space="preserve"> </w:t>
      </w:r>
      <w:r>
        <w:rPr>
          <w:color w:val="000000"/>
        </w:rPr>
        <w:t>now developed by Duff &amp; Phelps and presented in its “Valuation Handbook – Guide to Cost of Capital.”</w:t>
      </w:r>
    </w:p>
  </w:footnote>
  <w:footnote w:id="17">
    <w:p w:rsidR="00065089" w:rsidRPr="00065089" w:rsidRDefault="00065089">
      <w:pPr>
        <w:pStyle w:val="FootnoteText"/>
      </w:pPr>
      <w:r>
        <w:rPr>
          <w:rStyle w:val="FootnoteReference"/>
        </w:rPr>
        <w:footnoteRef/>
      </w:r>
      <w:r>
        <w:t xml:space="preserve"> </w:t>
      </w:r>
      <w:r w:rsidR="00852A36">
        <w:rPr>
          <w:lang w:val="en-US"/>
        </w:rPr>
        <w:t>T</w:t>
      </w:r>
      <w:r w:rsidRPr="00065089">
        <w:rPr>
          <w:lang w:val="en-US"/>
        </w:rPr>
        <w:t xml:space="preserve">he midpoint of the unadjusted and size adjusted </w:t>
      </w:r>
      <w:r>
        <w:rPr>
          <w:lang w:val="en-US"/>
        </w:rPr>
        <w:t xml:space="preserve">CAPM </w:t>
      </w:r>
      <w:r w:rsidRPr="00065089">
        <w:rPr>
          <w:lang w:val="en-US"/>
        </w:rPr>
        <w:t xml:space="preserve">cost of equity range </w:t>
      </w:r>
      <w:r w:rsidR="00D47E4B">
        <w:rPr>
          <w:lang w:val="en-US"/>
        </w:rPr>
        <w:t xml:space="preserve">based on projected bond yields </w:t>
      </w:r>
      <w:r w:rsidRPr="00065089">
        <w:rPr>
          <w:lang w:val="en-US"/>
        </w:rPr>
        <w:t>w</w:t>
      </w:r>
      <w:r w:rsidR="00852A36">
        <w:rPr>
          <w:lang w:val="en-US"/>
        </w:rPr>
        <w:t xml:space="preserve">as </w:t>
      </w:r>
      <w:r w:rsidRPr="00065089">
        <w:rPr>
          <w:lang w:val="en-US"/>
        </w:rPr>
        <w:t>10.</w:t>
      </w:r>
      <w:r w:rsidR="0079762F">
        <w:rPr>
          <w:lang w:val="en-US"/>
        </w:rPr>
        <w:t>3</w:t>
      </w:r>
      <w:r w:rsidR="00FC0F2E">
        <w:rPr>
          <w:lang w:val="en-US"/>
        </w:rPr>
        <w:t xml:space="preserve"> percent</w:t>
      </w:r>
      <w:r w:rsidRPr="00065089">
        <w:rPr>
          <w:lang w:val="en-US"/>
        </w:rPr>
        <w:t>.</w:t>
      </w:r>
    </w:p>
  </w:footnote>
  <w:footnote w:id="18">
    <w:p w:rsidR="00852A36" w:rsidRPr="00065089" w:rsidRDefault="00852A36" w:rsidP="00852A36">
      <w:pPr>
        <w:pStyle w:val="FootnoteText"/>
        <w:rPr>
          <w:lang w:val="en-US"/>
        </w:rPr>
      </w:pPr>
      <w:r>
        <w:rPr>
          <w:rStyle w:val="FootnoteReference"/>
        </w:rPr>
        <w:footnoteRef/>
      </w:r>
      <w:r>
        <w:t xml:space="preserve"> </w:t>
      </w:r>
      <w:r>
        <w:rPr>
          <w:lang w:val="en-US"/>
        </w:rPr>
        <w:t>Because the betas of utility stocks, including Avista, are generally less than 1.0, this implies that cost of equity estimates based on the traditional CAPM would understate the cost of equity.</w:t>
      </w:r>
    </w:p>
  </w:footnote>
  <w:footnote w:id="19">
    <w:p w:rsidR="00852A36" w:rsidRDefault="00852A36" w:rsidP="00852A36">
      <w:pPr>
        <w:pStyle w:val="FootnoteText"/>
      </w:pPr>
      <w:r>
        <w:rPr>
          <w:rStyle w:val="FootnoteReference"/>
        </w:rPr>
        <w:footnoteRef/>
      </w:r>
      <w:r>
        <w:t xml:space="preserve"> Roger A. </w:t>
      </w:r>
      <w:r>
        <w:t>Morin, “New Regulatory Finance,”</w:t>
      </w:r>
      <w:r>
        <w:rPr>
          <w:iCs/>
        </w:rPr>
        <w:t xml:space="preserve"> </w:t>
      </w:r>
      <w:r>
        <w:rPr>
          <w:i/>
        </w:rPr>
        <w:t xml:space="preserve">Public Utilities Reports </w:t>
      </w:r>
      <w:r w:rsidR="001D1F67">
        <w:rPr>
          <w:lang w:val="en-US"/>
        </w:rPr>
        <w:t xml:space="preserve">(2006) </w:t>
      </w:r>
      <w:r>
        <w:rPr>
          <w:iCs/>
        </w:rPr>
        <w:t>at 189.</w:t>
      </w:r>
    </w:p>
  </w:footnote>
  <w:footnote w:id="20">
    <w:p w:rsidR="00A4213C" w:rsidRPr="00376B53" w:rsidRDefault="00A4213C">
      <w:pPr>
        <w:pStyle w:val="FootnoteText"/>
        <w:rPr>
          <w:lang w:val="en-US"/>
        </w:rPr>
      </w:pPr>
      <w:r>
        <w:rPr>
          <w:rStyle w:val="FootnoteReference"/>
        </w:rPr>
        <w:footnoteRef/>
      </w:r>
      <w:r>
        <w:t xml:space="preserve"> </w:t>
      </w:r>
      <w:r>
        <w:rPr>
          <w:lang w:val="en-US"/>
        </w:rPr>
        <w:t>Yield averages reported by Moody’s are for seasoned bonds with a remaining maturity of 20 years or more.</w:t>
      </w:r>
    </w:p>
  </w:footnote>
  <w:footnote w:id="21">
    <w:p w:rsidR="00CB2892" w:rsidRDefault="00CB2892" w:rsidP="00CB2892">
      <w:pPr>
        <w:pStyle w:val="FootnoteText"/>
        <w:jc w:val="both"/>
      </w:pPr>
      <w:r>
        <w:rPr>
          <w:rStyle w:val="FootnoteReference"/>
        </w:rPr>
        <w:footnoteRef/>
      </w:r>
      <w:r>
        <w:t xml:space="preserve"> </w:t>
      </w:r>
      <w:r>
        <w:rPr>
          <w:i/>
          <w:iCs/>
        </w:rPr>
        <w:t xml:space="preserve">See, e.g., </w:t>
      </w:r>
      <w:proofErr w:type="spellStart"/>
      <w:r w:rsidR="001D1F67">
        <w:rPr>
          <w:iCs/>
          <w:lang w:val="en-US"/>
        </w:rPr>
        <w:t>E.F</w:t>
      </w:r>
      <w:proofErr w:type="spellEnd"/>
      <w:r w:rsidR="001D1F67">
        <w:rPr>
          <w:iCs/>
          <w:lang w:val="en-US"/>
        </w:rPr>
        <w:t xml:space="preserve">. </w:t>
      </w:r>
      <w:r>
        <w:t xml:space="preserve">Brigham, </w:t>
      </w:r>
      <w:proofErr w:type="spellStart"/>
      <w:r w:rsidR="001D1F67">
        <w:rPr>
          <w:lang w:val="en-US"/>
        </w:rPr>
        <w:t>D.K</w:t>
      </w:r>
      <w:proofErr w:type="spellEnd"/>
      <w:r w:rsidR="001D1F67">
        <w:rPr>
          <w:lang w:val="en-US"/>
        </w:rPr>
        <w:t xml:space="preserve">. </w:t>
      </w:r>
      <w:proofErr w:type="spellStart"/>
      <w:r>
        <w:t>Shome</w:t>
      </w:r>
      <w:proofErr w:type="spellEnd"/>
      <w:r>
        <w:t xml:space="preserve">, and </w:t>
      </w:r>
      <w:r w:rsidR="001D1F67">
        <w:rPr>
          <w:lang w:val="en-US"/>
        </w:rPr>
        <w:t xml:space="preserve">S.R. </w:t>
      </w:r>
      <w:proofErr w:type="spellStart"/>
      <w:r>
        <w:t>Vinson,“The</w:t>
      </w:r>
      <w:proofErr w:type="spellEnd"/>
      <w:r>
        <w:t xml:space="preserve"> Risk Premium Approach to Measuring a Utility’s Cost of Equity,” </w:t>
      </w:r>
      <w:r>
        <w:rPr>
          <w:i/>
          <w:iCs/>
        </w:rPr>
        <w:t xml:space="preserve">Financial Management </w:t>
      </w:r>
      <w:r>
        <w:t xml:space="preserve">(Spring 1985); </w:t>
      </w:r>
      <w:proofErr w:type="spellStart"/>
      <w:r w:rsidR="001D1F67">
        <w:rPr>
          <w:lang w:val="en-US"/>
        </w:rPr>
        <w:t>R.S</w:t>
      </w:r>
      <w:proofErr w:type="spellEnd"/>
      <w:r w:rsidR="001D1F67">
        <w:rPr>
          <w:lang w:val="en-US"/>
        </w:rPr>
        <w:t xml:space="preserve">. </w:t>
      </w:r>
      <w:r>
        <w:t xml:space="preserve">Harris and </w:t>
      </w:r>
      <w:proofErr w:type="spellStart"/>
      <w:r w:rsidR="001D1F67">
        <w:rPr>
          <w:lang w:val="en-US"/>
        </w:rPr>
        <w:t>F.C</w:t>
      </w:r>
      <w:proofErr w:type="spellEnd"/>
      <w:r w:rsidR="001D1F67">
        <w:rPr>
          <w:lang w:val="en-US"/>
        </w:rPr>
        <w:t xml:space="preserve">. </w:t>
      </w:r>
      <w:proofErr w:type="spellStart"/>
      <w:r>
        <w:t>Marston,“Estimating</w:t>
      </w:r>
      <w:proofErr w:type="spellEnd"/>
      <w:r>
        <w:t xml:space="preserve"> Shareholder Risk Premia Using Analysts’ Growth Forecasts,” </w:t>
      </w:r>
      <w:r>
        <w:rPr>
          <w:i/>
          <w:iCs/>
        </w:rPr>
        <w:t xml:space="preserve">Financial Management </w:t>
      </w:r>
      <w:r>
        <w:t>(Summer 1992).</w:t>
      </w:r>
    </w:p>
  </w:footnote>
  <w:footnote w:id="22">
    <w:p w:rsidR="00F81EF1" w:rsidRPr="006B45AA" w:rsidRDefault="00F81EF1">
      <w:pPr>
        <w:pStyle w:val="FootnoteText"/>
        <w:rPr>
          <w:lang w:val="en-US"/>
        </w:rPr>
      </w:pPr>
      <w:r>
        <w:rPr>
          <w:rStyle w:val="FootnoteReference"/>
        </w:rPr>
        <w:footnoteRef/>
      </w:r>
      <w:r>
        <w:t xml:space="preserve"> </w:t>
      </w:r>
      <w:r w:rsidR="001D1F67">
        <w:rPr>
          <w:lang w:val="en-US"/>
        </w:rPr>
        <w:t xml:space="preserve">Roger A. </w:t>
      </w:r>
      <w:proofErr w:type="spellStart"/>
      <w:r w:rsidRPr="00F81EF1">
        <w:t>Morin</w:t>
      </w:r>
      <w:proofErr w:type="gramStart"/>
      <w:r w:rsidRPr="00F81EF1">
        <w:t>,“</w:t>
      </w:r>
      <w:proofErr w:type="gramEnd"/>
      <w:r w:rsidRPr="00F81EF1">
        <w:t>New</w:t>
      </w:r>
      <w:proofErr w:type="spellEnd"/>
      <w:r w:rsidRPr="00F81EF1">
        <w:t xml:space="preserve"> Regulatory Finance,” Public Utilities Reports, </w:t>
      </w:r>
      <w:r w:rsidR="001D1F67">
        <w:rPr>
          <w:lang w:val="en-US"/>
        </w:rPr>
        <w:t xml:space="preserve">(2006) </w:t>
      </w:r>
      <w:r w:rsidRPr="00F81EF1">
        <w:t>at 128.</w:t>
      </w:r>
    </w:p>
  </w:footnote>
  <w:footnote w:id="23">
    <w:p w:rsidR="00F81EF1" w:rsidRPr="006B45AA" w:rsidRDefault="00F81EF1">
      <w:pPr>
        <w:pStyle w:val="FootnoteText"/>
        <w:rPr>
          <w:lang w:val="en-US"/>
        </w:rPr>
      </w:pPr>
      <w:r>
        <w:rPr>
          <w:rStyle w:val="FootnoteReference"/>
        </w:rPr>
        <w:footnoteRef/>
      </w:r>
      <w:r>
        <w:t xml:space="preserve"> </w:t>
      </w:r>
      <w:r w:rsidRPr="00F81EF1">
        <w:t xml:space="preserve">See, e.g., </w:t>
      </w:r>
      <w:r w:rsidRPr="00376B53">
        <w:rPr>
          <w:i/>
        </w:rPr>
        <w:t>California Public Utilities Commission</w:t>
      </w:r>
      <w:r w:rsidRPr="00F81EF1">
        <w:t xml:space="preserve">, Decision 08-05-035 (May 29, 2008); </w:t>
      </w:r>
      <w:r w:rsidRPr="00376B53">
        <w:rPr>
          <w:i/>
        </w:rPr>
        <w:t>Entergy Mississippi Formula Rate Plan FRP-5</w:t>
      </w:r>
      <w:r w:rsidRPr="00F81EF1">
        <w:t xml:space="preserve">, http://www.entergy-mississippi.com/content/price/tariffs/emi_frp.pdf; </w:t>
      </w:r>
      <w:r w:rsidRPr="006B45AA">
        <w:rPr>
          <w:i/>
        </w:rPr>
        <w:t>Martha Coakley et al</w:t>
      </w:r>
      <w:r w:rsidRPr="00F81EF1">
        <w:t>., 147 FERC ¶ 61,234 at P 147 (2014).</w:t>
      </w:r>
    </w:p>
  </w:footnote>
  <w:footnote w:id="24">
    <w:p w:rsidR="005D54C5" w:rsidRDefault="005D54C5" w:rsidP="005D54C5">
      <w:pPr>
        <w:pStyle w:val="FootnoteText"/>
      </w:pPr>
      <w:r>
        <w:rPr>
          <w:rStyle w:val="FootnoteReference"/>
        </w:rPr>
        <w:footnoteRef/>
      </w:r>
      <w:r>
        <w:t xml:space="preserve"> The Value Line Investment Survey (</w:t>
      </w:r>
      <w:r w:rsidR="0082367E">
        <w:rPr>
          <w:lang w:val="en-US"/>
        </w:rPr>
        <w:t>Feb. 17</w:t>
      </w:r>
      <w:r w:rsidR="0082367E">
        <w:t xml:space="preserve">, </w:t>
      </w:r>
      <w:r w:rsidR="0082367E">
        <w:rPr>
          <w:lang w:val="en-US"/>
        </w:rPr>
        <w:t>Mar</w:t>
      </w:r>
      <w:r>
        <w:rPr>
          <w:lang w:val="en-US"/>
        </w:rPr>
        <w:t xml:space="preserve">. </w:t>
      </w:r>
      <w:r w:rsidR="0082367E">
        <w:rPr>
          <w:lang w:val="en-US"/>
        </w:rPr>
        <w:t>17</w:t>
      </w:r>
      <w:r>
        <w:rPr>
          <w:lang w:val="en-US"/>
        </w:rPr>
        <w:t xml:space="preserve">, </w:t>
      </w:r>
      <w:r w:rsidR="00E253A0">
        <w:rPr>
          <w:lang w:val="en-US"/>
        </w:rPr>
        <w:t xml:space="preserve">&amp; Apr. 28, </w:t>
      </w:r>
      <w:r>
        <w:rPr>
          <w:lang w:val="en-US"/>
        </w:rPr>
        <w:t>201</w:t>
      </w:r>
      <w:r w:rsidR="0082367E">
        <w:rPr>
          <w:lang w:val="en-US"/>
        </w:rPr>
        <w:t>7</w:t>
      </w:r>
      <w:r>
        <w:t>).  Recall that Value Line reports return on year-end equity so the equivalent return on average equity would be higher.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21" w:rsidRPr="00831348" w:rsidRDefault="00586021">
    <w:pPr>
      <w:pStyle w:val="Header"/>
      <w:tabs>
        <w:tab w:val="left" w:pos="6480"/>
      </w:tabs>
      <w:jc w:val="right"/>
      <w:rPr>
        <w:bCs/>
        <w:iCs/>
      </w:rPr>
    </w:pPr>
    <w:proofErr w:type="spellStart"/>
    <w:r w:rsidRPr="00831348">
      <w:rPr>
        <w:bCs/>
        <w:iCs/>
      </w:rPr>
      <w:t>Exh</w:t>
    </w:r>
    <w:proofErr w:type="spellEnd"/>
    <w:r w:rsidRPr="00831348">
      <w:rPr>
        <w:bCs/>
        <w:iCs/>
      </w:rPr>
      <w:t>.</w:t>
    </w:r>
    <w:r w:rsidR="00BF3DB6">
      <w:rPr>
        <w:bCs/>
        <w:iCs/>
      </w:rPr>
      <w:t xml:space="preserve"> </w:t>
    </w:r>
    <w:r w:rsidR="000431C4" w:rsidRPr="00831348">
      <w:rPr>
        <w:bCs/>
        <w:iCs/>
      </w:rPr>
      <w:t>AMM</w:t>
    </w:r>
    <w:r w:rsidRPr="00831348">
      <w:rPr>
        <w:bCs/>
        <w:iCs/>
      </w:rPr>
      <w:t>-3</w:t>
    </w:r>
  </w:p>
  <w:p w:rsidR="00586021" w:rsidRPr="00831348" w:rsidRDefault="00586021">
    <w:pPr>
      <w:pStyle w:val="Header"/>
      <w:tabs>
        <w:tab w:val="left" w:pos="6480"/>
      </w:tabs>
      <w:jc w:val="right"/>
      <w:rPr>
        <w:bCs/>
        <w:iCs/>
      </w:rPr>
    </w:pPr>
    <w:r w:rsidRPr="00831348">
      <w:rPr>
        <w:bCs/>
        <w:iCs/>
      </w:rPr>
      <w:t xml:space="preserve">Page </w:t>
    </w:r>
    <w:r w:rsidRPr="00831348">
      <w:rPr>
        <w:bCs/>
        <w:iCs/>
      </w:rPr>
      <w:fldChar w:fldCharType="begin"/>
    </w:r>
    <w:r w:rsidRPr="00831348">
      <w:rPr>
        <w:bCs/>
        <w:iCs/>
      </w:rPr>
      <w:instrText xml:space="preserve"> PAGE </w:instrText>
    </w:r>
    <w:r w:rsidRPr="00831348">
      <w:rPr>
        <w:bCs/>
        <w:iCs/>
      </w:rPr>
      <w:fldChar w:fldCharType="separate"/>
    </w:r>
    <w:r w:rsidR="00CF5055">
      <w:rPr>
        <w:bCs/>
        <w:iCs/>
        <w:noProof/>
      </w:rPr>
      <w:t>1</w:t>
    </w:r>
    <w:r w:rsidRPr="00831348">
      <w:rPr>
        <w:bCs/>
        <w:iCs/>
      </w:rPr>
      <w:fldChar w:fldCharType="end"/>
    </w:r>
    <w:r w:rsidRPr="00831348">
      <w:rPr>
        <w:bCs/>
        <w:iCs/>
      </w:rPr>
      <w:t xml:space="preserve"> of </w:t>
    </w:r>
    <w:r w:rsidRPr="00831348">
      <w:rPr>
        <w:bCs/>
        <w:iCs/>
      </w:rPr>
      <w:fldChar w:fldCharType="begin"/>
    </w:r>
    <w:r w:rsidRPr="00831348">
      <w:rPr>
        <w:bCs/>
        <w:iCs/>
      </w:rPr>
      <w:instrText xml:space="preserve"> NUMPAGES </w:instrText>
    </w:r>
    <w:r w:rsidRPr="00831348">
      <w:rPr>
        <w:bCs/>
        <w:iCs/>
      </w:rPr>
      <w:fldChar w:fldCharType="separate"/>
    </w:r>
    <w:r w:rsidR="00CF5055">
      <w:rPr>
        <w:bCs/>
        <w:iCs/>
        <w:noProof/>
      </w:rPr>
      <w:t>37</w:t>
    </w:r>
    <w:r w:rsidRPr="00831348">
      <w:rPr>
        <w:bCs/>
        <w:iCs/>
      </w:rPr>
      <w:fldChar w:fldCharType="end"/>
    </w:r>
  </w:p>
  <w:p w:rsidR="00586021" w:rsidRPr="00831348" w:rsidRDefault="00586021">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760694"/>
    <w:lvl w:ilvl="0">
      <w:start w:val="1"/>
      <w:numFmt w:val="decimal"/>
      <w:pStyle w:val="ListNumber"/>
      <w:lvlText w:val="%1."/>
      <w:lvlJc w:val="left"/>
      <w:pPr>
        <w:tabs>
          <w:tab w:val="num" w:pos="360"/>
        </w:tabs>
        <w:ind w:left="360" w:hanging="360"/>
      </w:pPr>
    </w:lvl>
  </w:abstractNum>
  <w:abstractNum w:abstractNumId="1">
    <w:nsid w:val="FFFFFF89"/>
    <w:multiLevelType w:val="singleLevel"/>
    <w:tmpl w:val="7E6A0FF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76919"/>
    <w:multiLevelType w:val="hybridMultilevel"/>
    <w:tmpl w:val="FBDA65EE"/>
    <w:lvl w:ilvl="0" w:tplc="717ADEFA">
      <w:start w:val="1"/>
      <w:numFmt w:val="upperLetter"/>
      <w:lvlText w:val="%1."/>
      <w:lvlJc w:val="left"/>
      <w:pPr>
        <w:tabs>
          <w:tab w:val="num" w:pos="720"/>
        </w:tabs>
        <w:ind w:left="720" w:hanging="72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5">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6">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F7A7B"/>
    <w:multiLevelType w:val="singleLevel"/>
    <w:tmpl w:val="929855C8"/>
    <w:lvl w:ilvl="0">
      <w:start w:val="1"/>
      <w:numFmt w:val="upperLetter"/>
      <w:lvlText w:val="%1."/>
      <w:lvlJc w:val="left"/>
      <w:pPr>
        <w:tabs>
          <w:tab w:val="num" w:pos="720"/>
        </w:tabs>
        <w:ind w:left="720" w:hanging="720"/>
      </w:pPr>
      <w:rPr>
        <w:rFonts w:hint="default"/>
      </w:rPr>
    </w:lvl>
  </w:abstractNum>
  <w:abstractNum w:abstractNumId="9">
    <w:nsid w:val="28865C0D"/>
    <w:multiLevelType w:val="hybridMultilevel"/>
    <w:tmpl w:val="6A76C780"/>
    <w:lvl w:ilvl="0" w:tplc="7ECCE042">
      <w:start w:val="1"/>
      <w:numFmt w:val="none"/>
      <w:lvlText w:val="A."/>
      <w:lvlJc w:val="left"/>
      <w:pPr>
        <w:tabs>
          <w:tab w:val="num" w:pos="720"/>
        </w:tabs>
        <w:ind w:left="720" w:hanging="720"/>
      </w:pPr>
      <w:rPr>
        <w:rFonts w:ascii="Times New Roman" w:hAnsi="Times New Roman" w:hint="default"/>
        <w:b w:val="0"/>
        <w:i w:val="0"/>
        <w:sz w:val="2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5C6BFF"/>
    <w:multiLevelType w:val="singleLevel"/>
    <w:tmpl w:val="60029CA8"/>
    <w:lvl w:ilvl="0">
      <w:start w:val="1"/>
      <w:numFmt w:val="upperRoman"/>
      <w:pStyle w:val="Heading1"/>
      <w:lvlText w:val="%1."/>
      <w:lvlJc w:val="left"/>
      <w:pPr>
        <w:tabs>
          <w:tab w:val="num" w:pos="720"/>
        </w:tabs>
        <w:ind w:left="360" w:hanging="360"/>
      </w:pPr>
    </w:lvl>
  </w:abstractNum>
  <w:abstractNum w:abstractNumId="11">
    <w:nsid w:val="314D087D"/>
    <w:multiLevelType w:val="hybridMultilevel"/>
    <w:tmpl w:val="A68CF86E"/>
    <w:lvl w:ilvl="0" w:tplc="E7C03E48">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316349"/>
    <w:multiLevelType w:val="singleLevel"/>
    <w:tmpl w:val="C5EC7F56"/>
    <w:lvl w:ilvl="0">
      <w:start w:val="1"/>
      <w:numFmt w:val="bullet"/>
      <w:lvlText w:val=""/>
      <w:lvlJc w:val="left"/>
      <w:pPr>
        <w:tabs>
          <w:tab w:val="num" w:pos="360"/>
        </w:tabs>
        <w:ind w:left="360" w:hanging="360"/>
      </w:pPr>
      <w:rPr>
        <w:rFonts w:ascii="Symbol" w:hAnsi="Symbol" w:hint="default"/>
      </w:rPr>
    </w:lvl>
  </w:abstractNum>
  <w:abstractNum w:abstractNumId="13">
    <w:nsid w:val="3B2C4410"/>
    <w:multiLevelType w:val="hybridMultilevel"/>
    <w:tmpl w:val="753A9938"/>
    <w:name w:val="CTW"/>
    <w:lvl w:ilvl="0" w:tplc="97B8016E">
      <w:start w:val="1"/>
      <w:numFmt w:val="decimal"/>
      <w:lvlText w:val="A%1."/>
      <w:lvlJc w:val="left"/>
      <w:pPr>
        <w:ind w:left="6750" w:hanging="360"/>
      </w:pPr>
      <w:rPr>
        <w:rFonts w:ascii="Times New Roman" w:hAnsi="Times New Roman" w:hint="default"/>
        <w:b w:val="0"/>
        <w:i w:val="0"/>
        <w:sz w:val="24"/>
      </w:rPr>
    </w:lvl>
    <w:lvl w:ilvl="1" w:tplc="EFFAFD2C">
      <w:start w:val="17"/>
      <w:numFmt w:val="upperLetter"/>
      <w:lvlText w:val="%2."/>
      <w:lvlJc w:val="left"/>
      <w:pPr>
        <w:tabs>
          <w:tab w:val="num" w:pos="1440"/>
        </w:tabs>
        <w:ind w:left="1440" w:hanging="360"/>
      </w:pPr>
      <w:rPr>
        <w:rFonts w:hint="default"/>
      </w:rPr>
    </w:lvl>
    <w:lvl w:ilvl="2" w:tplc="3D0EC07C" w:tentative="1">
      <w:start w:val="1"/>
      <w:numFmt w:val="lowerRoman"/>
      <w:lvlText w:val="%3."/>
      <w:lvlJc w:val="right"/>
      <w:pPr>
        <w:tabs>
          <w:tab w:val="num" w:pos="2160"/>
        </w:tabs>
        <w:ind w:left="2160" w:hanging="180"/>
      </w:pPr>
    </w:lvl>
    <w:lvl w:ilvl="3" w:tplc="075A874C" w:tentative="1">
      <w:start w:val="1"/>
      <w:numFmt w:val="decimal"/>
      <w:lvlText w:val="%4."/>
      <w:lvlJc w:val="left"/>
      <w:pPr>
        <w:tabs>
          <w:tab w:val="num" w:pos="2880"/>
        </w:tabs>
        <w:ind w:left="2880" w:hanging="360"/>
      </w:pPr>
    </w:lvl>
    <w:lvl w:ilvl="4" w:tplc="019AD5C8" w:tentative="1">
      <w:start w:val="1"/>
      <w:numFmt w:val="lowerLetter"/>
      <w:lvlText w:val="%5."/>
      <w:lvlJc w:val="left"/>
      <w:pPr>
        <w:tabs>
          <w:tab w:val="num" w:pos="3600"/>
        </w:tabs>
        <w:ind w:left="3600" w:hanging="360"/>
      </w:pPr>
    </w:lvl>
    <w:lvl w:ilvl="5" w:tplc="F77CEFA8" w:tentative="1">
      <w:start w:val="1"/>
      <w:numFmt w:val="lowerRoman"/>
      <w:lvlText w:val="%6."/>
      <w:lvlJc w:val="right"/>
      <w:pPr>
        <w:tabs>
          <w:tab w:val="num" w:pos="4320"/>
        </w:tabs>
        <w:ind w:left="4320" w:hanging="180"/>
      </w:pPr>
    </w:lvl>
    <w:lvl w:ilvl="6" w:tplc="C58E73F4" w:tentative="1">
      <w:start w:val="1"/>
      <w:numFmt w:val="decimal"/>
      <w:lvlText w:val="%7."/>
      <w:lvlJc w:val="left"/>
      <w:pPr>
        <w:tabs>
          <w:tab w:val="num" w:pos="5040"/>
        </w:tabs>
        <w:ind w:left="5040" w:hanging="360"/>
      </w:pPr>
    </w:lvl>
    <w:lvl w:ilvl="7" w:tplc="B51A1FC2" w:tentative="1">
      <w:start w:val="1"/>
      <w:numFmt w:val="lowerLetter"/>
      <w:lvlText w:val="%8."/>
      <w:lvlJc w:val="left"/>
      <w:pPr>
        <w:tabs>
          <w:tab w:val="num" w:pos="5760"/>
        </w:tabs>
        <w:ind w:left="5760" w:hanging="360"/>
      </w:pPr>
    </w:lvl>
    <w:lvl w:ilvl="8" w:tplc="BE52D158" w:tentative="1">
      <w:start w:val="1"/>
      <w:numFmt w:val="lowerRoman"/>
      <w:lvlText w:val="%9."/>
      <w:lvlJc w:val="right"/>
      <w:pPr>
        <w:tabs>
          <w:tab w:val="num" w:pos="6480"/>
        </w:tabs>
        <w:ind w:left="6480" w:hanging="180"/>
      </w:pPr>
    </w:lvl>
  </w:abstractNum>
  <w:abstractNum w:abstractNumId="14">
    <w:nsid w:val="3E3079F4"/>
    <w:multiLevelType w:val="hybridMultilevel"/>
    <w:tmpl w:val="50AE9B46"/>
    <w:lvl w:ilvl="0" w:tplc="68F2AA00">
      <w:start w:val="1"/>
      <w:numFmt w:val="decimal"/>
      <w:lvlText w:val="A%1."/>
      <w:lvlJc w:val="left"/>
      <w:pPr>
        <w:ind w:left="108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6">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18">
    <w:nsid w:val="57EA000C"/>
    <w:multiLevelType w:val="hybridMultilevel"/>
    <w:tmpl w:val="39641276"/>
    <w:lvl w:ilvl="0" w:tplc="86283D7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59A67CB4"/>
    <w:multiLevelType w:val="hybridMultilevel"/>
    <w:tmpl w:val="4D4A958A"/>
    <w:lvl w:ilvl="0" w:tplc="3FC26DA0">
      <w:start w:val="1"/>
      <w:numFmt w:val="decimal"/>
      <w:lvlText w:val="Q%1."/>
      <w:lvlJc w:val="left"/>
      <w:pPr>
        <w:ind w:left="360" w:hanging="360"/>
      </w:pPr>
      <w:rPr>
        <w:rFonts w:ascii="Times New Roman Bold" w:hAnsi="Times New Roman Bold" w:hint="default"/>
        <w:b/>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7D5"/>
    <w:multiLevelType w:val="hybridMultilevel"/>
    <w:tmpl w:val="5A084AFE"/>
    <w:lvl w:ilvl="0" w:tplc="B5DE75FA">
      <w:start w:val="1"/>
      <w:numFmt w:val="none"/>
      <w:lvlText w:val="Q."/>
      <w:lvlJc w:val="left"/>
      <w:pPr>
        <w:tabs>
          <w:tab w:val="num" w:pos="720"/>
        </w:tabs>
        <w:ind w:left="720" w:hanging="720"/>
      </w:pPr>
      <w:rPr>
        <w:rFonts w:ascii="Times New Roman Bold" w:hAnsi="Times New Roman Bold"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922B81"/>
    <w:multiLevelType w:val="hybridMultilevel"/>
    <w:tmpl w:val="8B2A35D4"/>
    <w:lvl w:ilvl="0" w:tplc="5B7C3E32">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abstractNum w:abstractNumId="25">
    <w:nsid w:val="7AB120D4"/>
    <w:multiLevelType w:val="hybridMultilevel"/>
    <w:tmpl w:val="AC82A2C4"/>
    <w:lvl w:ilvl="0" w:tplc="9B8A86F8">
      <w:start w:val="1"/>
      <w:numFmt w:val="upperLetter"/>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4"/>
  </w:num>
  <w:num w:numId="4">
    <w:abstractNumId w:val="24"/>
  </w:num>
  <w:num w:numId="5">
    <w:abstractNumId w:val="5"/>
  </w:num>
  <w:num w:numId="6">
    <w:abstractNumId w:val="10"/>
  </w:num>
  <w:num w:numId="7">
    <w:abstractNumId w:val="16"/>
  </w:num>
  <w:num w:numId="8">
    <w:abstractNumId w:val="19"/>
  </w:num>
  <w:num w:numId="9">
    <w:abstractNumId w:val="25"/>
  </w:num>
  <w:num w:numId="10">
    <w:abstractNumId w:val="25"/>
    <w:lvlOverride w:ilvl="0">
      <w:startOverride w:val="1"/>
    </w:lvlOverride>
  </w:num>
  <w:num w:numId="11">
    <w:abstractNumId w:val="0"/>
  </w:num>
  <w:num w:numId="12">
    <w:abstractNumId w:val="8"/>
  </w:num>
  <w:num w:numId="13">
    <w:abstractNumId w:val="21"/>
  </w:num>
  <w:num w:numId="14">
    <w:abstractNumId w:val="9"/>
  </w:num>
  <w:num w:numId="15">
    <w:abstractNumId w:val="25"/>
  </w:num>
  <w:num w:numId="16">
    <w:abstractNumId w:val="25"/>
  </w:num>
  <w:num w:numId="17">
    <w:abstractNumId w:val="25"/>
  </w:num>
  <w:num w:numId="18">
    <w:abstractNumId w:val="17"/>
    <w:lvlOverride w:ilvl="0">
      <w:startOverride w:val="1"/>
    </w:lvlOverride>
  </w:num>
  <w:num w:numId="19">
    <w:abstractNumId w:val="12"/>
  </w:num>
  <w:num w:numId="20">
    <w:abstractNumId w:val="3"/>
    <w:lvlOverride w:ilvl="0">
      <w:startOverride w:val="1"/>
    </w:lvlOverride>
  </w:num>
  <w:num w:numId="21">
    <w:abstractNumId w:val="11"/>
  </w:num>
  <w:num w:numId="22">
    <w:abstractNumId w:val="2"/>
  </w:num>
  <w:num w:numId="23">
    <w:abstractNumId w:val="6"/>
  </w:num>
  <w:num w:numId="24">
    <w:abstractNumId w:val="22"/>
  </w:num>
  <w:num w:numId="25">
    <w:abstractNumId w:val="7"/>
  </w:num>
  <w:num w:numId="26">
    <w:abstractNumId w:val="23"/>
  </w:num>
  <w:num w:numId="27">
    <w:abstractNumId w:val="3"/>
  </w:num>
  <w:num w:numId="28">
    <w:abstractNumId w:val="25"/>
  </w:num>
  <w:num w:numId="29">
    <w:abstractNumId w:val="25"/>
  </w:num>
  <w:num w:numId="30">
    <w:abstractNumId w:val="25"/>
  </w:num>
  <w:num w:numId="31">
    <w:abstractNumId w:val="25"/>
    <w:lvlOverride w:ilvl="0">
      <w:startOverride w:val="1"/>
    </w:lvlOverride>
  </w:num>
  <w:num w:numId="32">
    <w:abstractNumId w:val="25"/>
  </w:num>
  <w:num w:numId="33">
    <w:abstractNumId w:val="25"/>
  </w:num>
  <w:num w:numId="34">
    <w:abstractNumId w:val="25"/>
  </w:num>
  <w:num w:numId="35">
    <w:abstractNumId w:val="25"/>
  </w:num>
  <w:num w:numId="36">
    <w:abstractNumId w:val="13"/>
  </w:num>
  <w:num w:numId="37">
    <w:abstractNumId w:val="18"/>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C4"/>
    <w:rsid w:val="0003615E"/>
    <w:rsid w:val="00037E31"/>
    <w:rsid w:val="000431C4"/>
    <w:rsid w:val="00062E79"/>
    <w:rsid w:val="00065089"/>
    <w:rsid w:val="00065981"/>
    <w:rsid w:val="00067398"/>
    <w:rsid w:val="000735E5"/>
    <w:rsid w:val="000B6114"/>
    <w:rsid w:val="000D50FE"/>
    <w:rsid w:val="000F7D7C"/>
    <w:rsid w:val="00104C43"/>
    <w:rsid w:val="00120C2A"/>
    <w:rsid w:val="001814AB"/>
    <w:rsid w:val="001A42C9"/>
    <w:rsid w:val="001A6B4D"/>
    <w:rsid w:val="001C38DE"/>
    <w:rsid w:val="001C4333"/>
    <w:rsid w:val="001D1F67"/>
    <w:rsid w:val="001E6CDE"/>
    <w:rsid w:val="0023441C"/>
    <w:rsid w:val="002470B7"/>
    <w:rsid w:val="00250DEF"/>
    <w:rsid w:val="0025178D"/>
    <w:rsid w:val="00271369"/>
    <w:rsid w:val="00272320"/>
    <w:rsid w:val="00272906"/>
    <w:rsid w:val="0028691D"/>
    <w:rsid w:val="00290624"/>
    <w:rsid w:val="002A4A51"/>
    <w:rsid w:val="002B0B88"/>
    <w:rsid w:val="002C09AC"/>
    <w:rsid w:val="002D5B08"/>
    <w:rsid w:val="00333BB7"/>
    <w:rsid w:val="003356CC"/>
    <w:rsid w:val="00344B02"/>
    <w:rsid w:val="00344BF9"/>
    <w:rsid w:val="0035664F"/>
    <w:rsid w:val="003633D8"/>
    <w:rsid w:val="00376B53"/>
    <w:rsid w:val="00382DB6"/>
    <w:rsid w:val="003A3D79"/>
    <w:rsid w:val="003C7D11"/>
    <w:rsid w:val="003E2B2F"/>
    <w:rsid w:val="003F504D"/>
    <w:rsid w:val="003F7BB6"/>
    <w:rsid w:val="004024BE"/>
    <w:rsid w:val="00407028"/>
    <w:rsid w:val="00426AE5"/>
    <w:rsid w:val="00456C07"/>
    <w:rsid w:val="00457B72"/>
    <w:rsid w:val="0047290B"/>
    <w:rsid w:val="00484F54"/>
    <w:rsid w:val="004A6A17"/>
    <w:rsid w:val="004B367C"/>
    <w:rsid w:val="004B5D42"/>
    <w:rsid w:val="004C441E"/>
    <w:rsid w:val="005025D5"/>
    <w:rsid w:val="00507F6B"/>
    <w:rsid w:val="00523C68"/>
    <w:rsid w:val="00545837"/>
    <w:rsid w:val="00555624"/>
    <w:rsid w:val="00561AA4"/>
    <w:rsid w:val="00576C40"/>
    <w:rsid w:val="00580F7C"/>
    <w:rsid w:val="00586021"/>
    <w:rsid w:val="005C45B0"/>
    <w:rsid w:val="005D54C5"/>
    <w:rsid w:val="005E75F6"/>
    <w:rsid w:val="005F1AB3"/>
    <w:rsid w:val="005F1BDB"/>
    <w:rsid w:val="005F5298"/>
    <w:rsid w:val="006604B2"/>
    <w:rsid w:val="00672810"/>
    <w:rsid w:val="006762B9"/>
    <w:rsid w:val="00686B98"/>
    <w:rsid w:val="00690600"/>
    <w:rsid w:val="006A0DA2"/>
    <w:rsid w:val="006B1A8D"/>
    <w:rsid w:val="006B28FC"/>
    <w:rsid w:val="006B45AA"/>
    <w:rsid w:val="00720FA8"/>
    <w:rsid w:val="00743B94"/>
    <w:rsid w:val="00757A5F"/>
    <w:rsid w:val="007659A8"/>
    <w:rsid w:val="007700E6"/>
    <w:rsid w:val="00796893"/>
    <w:rsid w:val="0079762F"/>
    <w:rsid w:val="007B0E5C"/>
    <w:rsid w:val="007C6B9E"/>
    <w:rsid w:val="007E4DA1"/>
    <w:rsid w:val="007E7729"/>
    <w:rsid w:val="007F3D4B"/>
    <w:rsid w:val="007F427A"/>
    <w:rsid w:val="007F55F9"/>
    <w:rsid w:val="008139F4"/>
    <w:rsid w:val="008175BD"/>
    <w:rsid w:val="0082367E"/>
    <w:rsid w:val="00831348"/>
    <w:rsid w:val="008438C5"/>
    <w:rsid w:val="00852A36"/>
    <w:rsid w:val="00854623"/>
    <w:rsid w:val="00862353"/>
    <w:rsid w:val="00877BA5"/>
    <w:rsid w:val="00884947"/>
    <w:rsid w:val="00890F25"/>
    <w:rsid w:val="008C19AA"/>
    <w:rsid w:val="008C2AB5"/>
    <w:rsid w:val="008C5895"/>
    <w:rsid w:val="008C5A17"/>
    <w:rsid w:val="008D1F79"/>
    <w:rsid w:val="008D208F"/>
    <w:rsid w:val="008D2252"/>
    <w:rsid w:val="00906B5C"/>
    <w:rsid w:val="0090722E"/>
    <w:rsid w:val="00911362"/>
    <w:rsid w:val="00933BA4"/>
    <w:rsid w:val="00935766"/>
    <w:rsid w:val="00941DA7"/>
    <w:rsid w:val="00951650"/>
    <w:rsid w:val="009648B1"/>
    <w:rsid w:val="0097154B"/>
    <w:rsid w:val="009731E6"/>
    <w:rsid w:val="0098459E"/>
    <w:rsid w:val="009858D1"/>
    <w:rsid w:val="009A3022"/>
    <w:rsid w:val="009B0A92"/>
    <w:rsid w:val="009C4CD0"/>
    <w:rsid w:val="009F29FB"/>
    <w:rsid w:val="00A4213C"/>
    <w:rsid w:val="00A565C3"/>
    <w:rsid w:val="00A60575"/>
    <w:rsid w:val="00A863FE"/>
    <w:rsid w:val="00A9731A"/>
    <w:rsid w:val="00AB7AEF"/>
    <w:rsid w:val="00AC673F"/>
    <w:rsid w:val="00AD071F"/>
    <w:rsid w:val="00AE0E17"/>
    <w:rsid w:val="00AE1F06"/>
    <w:rsid w:val="00AE5B01"/>
    <w:rsid w:val="00B03122"/>
    <w:rsid w:val="00B075FF"/>
    <w:rsid w:val="00B402CD"/>
    <w:rsid w:val="00B41BE4"/>
    <w:rsid w:val="00B5435B"/>
    <w:rsid w:val="00B86E8C"/>
    <w:rsid w:val="00B954E9"/>
    <w:rsid w:val="00BB3B54"/>
    <w:rsid w:val="00BE3477"/>
    <w:rsid w:val="00BF2838"/>
    <w:rsid w:val="00BF3DB6"/>
    <w:rsid w:val="00BF6F77"/>
    <w:rsid w:val="00C34B38"/>
    <w:rsid w:val="00C501C7"/>
    <w:rsid w:val="00C60AE1"/>
    <w:rsid w:val="00C60F3A"/>
    <w:rsid w:val="00C76778"/>
    <w:rsid w:val="00C767E7"/>
    <w:rsid w:val="00CA5437"/>
    <w:rsid w:val="00CB19F8"/>
    <w:rsid w:val="00CB2346"/>
    <w:rsid w:val="00CB2892"/>
    <w:rsid w:val="00CB537A"/>
    <w:rsid w:val="00CC20B6"/>
    <w:rsid w:val="00CC250F"/>
    <w:rsid w:val="00CD41D8"/>
    <w:rsid w:val="00CE556B"/>
    <w:rsid w:val="00CF2AF1"/>
    <w:rsid w:val="00CF5055"/>
    <w:rsid w:val="00D06FA4"/>
    <w:rsid w:val="00D22DEF"/>
    <w:rsid w:val="00D47E4B"/>
    <w:rsid w:val="00D5034E"/>
    <w:rsid w:val="00D779E3"/>
    <w:rsid w:val="00D85B9F"/>
    <w:rsid w:val="00DA4B24"/>
    <w:rsid w:val="00DC6300"/>
    <w:rsid w:val="00DD075B"/>
    <w:rsid w:val="00E06B56"/>
    <w:rsid w:val="00E118DF"/>
    <w:rsid w:val="00E152F3"/>
    <w:rsid w:val="00E253A0"/>
    <w:rsid w:val="00E36845"/>
    <w:rsid w:val="00E57C57"/>
    <w:rsid w:val="00E76BE0"/>
    <w:rsid w:val="00E77B96"/>
    <w:rsid w:val="00E849F5"/>
    <w:rsid w:val="00E92121"/>
    <w:rsid w:val="00EA6859"/>
    <w:rsid w:val="00EB7A72"/>
    <w:rsid w:val="00ED08CB"/>
    <w:rsid w:val="00ED63C3"/>
    <w:rsid w:val="00EF6461"/>
    <w:rsid w:val="00F037FA"/>
    <w:rsid w:val="00F33FDC"/>
    <w:rsid w:val="00F62A1B"/>
    <w:rsid w:val="00F75D9D"/>
    <w:rsid w:val="00F81EF1"/>
    <w:rsid w:val="00F92AA4"/>
    <w:rsid w:val="00FC0F2E"/>
    <w:rsid w:val="00FE7C49"/>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0F"/>
    <w:rPr>
      <w:sz w:val="24"/>
      <w:szCs w:val="24"/>
    </w:rPr>
  </w:style>
  <w:style w:type="paragraph" w:styleId="Heading1">
    <w:name w:val="heading 1"/>
    <w:basedOn w:val="Normal"/>
    <w:next w:val="Normal"/>
    <w:qFormat/>
    <w:rsid w:val="009A3022"/>
    <w:pPr>
      <w:keepNext/>
      <w:numPr>
        <w:numId w:val="6"/>
      </w:numPr>
      <w:suppressLineNumbers/>
      <w:tabs>
        <w:tab w:val="center" w:pos="5040"/>
        <w:tab w:val="center" w:pos="6480"/>
        <w:tab w:val="center" w:pos="7920"/>
      </w:tabs>
      <w:spacing w:before="240" w:after="120"/>
      <w:jc w:val="center"/>
      <w:outlineLvl w:val="0"/>
    </w:pPr>
    <w:rPr>
      <w:rFonts w:ascii="Palatino Linotype" w:hAnsi="Palatino Linotype"/>
      <w:b/>
      <w:szCs w:val="20"/>
    </w:rPr>
  </w:style>
  <w:style w:type="paragraph" w:styleId="Heading2">
    <w:name w:val="heading 2"/>
    <w:aliases w:val="Style 14"/>
    <w:basedOn w:val="Normal"/>
    <w:next w:val="Normal"/>
    <w:qFormat/>
    <w:rsid w:val="009858D1"/>
    <w:pPr>
      <w:keepNext/>
      <w:numPr>
        <w:numId w:val="9"/>
      </w:numPr>
      <w:suppressLineNumbers/>
      <w:spacing w:before="120" w:after="120"/>
      <w:jc w:val="center"/>
      <w:outlineLvl w:val="1"/>
    </w:pPr>
    <w:rPr>
      <w:rFonts w:ascii="Palatino Linotype" w:hAnsi="Palatino Linotype"/>
      <w:b/>
      <w:szCs w:val="20"/>
      <w:u w:val="single"/>
    </w:rPr>
  </w:style>
  <w:style w:type="paragraph" w:styleId="Heading3">
    <w:name w:val="heading 3"/>
    <w:basedOn w:val="Normal"/>
    <w:next w:val="Normal"/>
    <w:qFormat/>
    <w:pPr>
      <w:keepNext/>
      <w:widowControl w:val="0"/>
      <w:outlineLvl w:val="2"/>
    </w:pPr>
    <w:rPr>
      <w:rFonts w:ascii="Palatino Linotype" w:hAnsi="Palatino Linotype"/>
      <w:b/>
      <w:szCs w:val="26"/>
      <w:u w:val="single"/>
    </w:rPr>
  </w:style>
  <w:style w:type="paragraph" w:styleId="Heading5">
    <w:name w:val="heading 5"/>
    <w:basedOn w:val="Normal"/>
    <w:next w:val="Normal"/>
    <w:qFormat/>
    <w:pPr>
      <w:keepNext/>
      <w:spacing w:line="480" w:lineRule="auto"/>
      <w:jc w:val="center"/>
      <w:outlineLvl w:val="4"/>
    </w:pPr>
    <w:rPr>
      <w:rFonts w:ascii="Palatino Linotype" w:hAnsi="Palatino Linotype"/>
      <w:b/>
      <w:szCs w:val="20"/>
    </w:rPr>
  </w:style>
  <w:style w:type="paragraph" w:styleId="Heading6">
    <w:name w:val="heading 6"/>
    <w:basedOn w:val="Normal"/>
    <w:next w:val="Normal"/>
    <w:qFormat/>
    <w:pPr>
      <w:keepNext/>
      <w:tabs>
        <w:tab w:val="left" w:pos="1260"/>
      </w:tabs>
      <w:spacing w:line="480" w:lineRule="auto"/>
      <w:jc w:val="center"/>
      <w:outlineLvl w:val="5"/>
    </w:pPr>
    <w:rPr>
      <w:rFonts w:ascii="Palatino Linotype" w:hAnsi="Palatino Linotype"/>
      <w:b/>
      <w:sz w:val="20"/>
      <w:szCs w:val="20"/>
    </w:rPr>
  </w:style>
  <w:style w:type="paragraph" w:styleId="Heading8">
    <w:name w:val="heading 8"/>
    <w:basedOn w:val="Normal"/>
    <w:next w:val="Normal"/>
    <w:qFormat/>
    <w:pPr>
      <w:keepNext/>
      <w:tabs>
        <w:tab w:val="left" w:pos="1260"/>
      </w:tabs>
      <w:spacing w:line="480" w:lineRule="auto"/>
      <w:jc w:val="both"/>
      <w:outlineLvl w:val="7"/>
    </w:pPr>
    <w:rPr>
      <w:rFonts w:ascii="Palatino Linotype" w:hAnsi="Palatino Linotype"/>
      <w:b/>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Bullets">
    <w:name w:val="Answer_Bullets"/>
    <w:basedOn w:val="Normal"/>
    <w:pPr>
      <w:numPr>
        <w:numId w:val="2"/>
      </w:numPr>
    </w:pPr>
    <w:rPr>
      <w:rFonts w:ascii="Palatino Linotype" w:hAnsi="Palatino Linotype"/>
      <w:szCs w:val="20"/>
    </w:rPr>
  </w:style>
  <w:style w:type="paragraph" w:styleId="ListBullet">
    <w:name w:val="List Bullet"/>
    <w:basedOn w:val="Normal"/>
    <w:autoRedefine/>
    <w:semiHidden/>
    <w:pPr>
      <w:numPr>
        <w:numId w:val="1"/>
      </w:numPr>
      <w:spacing w:after="120" w:line="360" w:lineRule="auto"/>
    </w:pPr>
    <w:rPr>
      <w:rFonts w:ascii="Palatino Linotype" w:hAnsi="Palatino Linotype"/>
      <w:kern w:val="16"/>
      <w:szCs w:val="20"/>
    </w:rPr>
  </w:style>
  <w:style w:type="paragraph" w:customStyle="1" w:styleId="BulletPoint">
    <w:name w:val="Bullet Point"/>
    <w:basedOn w:val="Normal"/>
    <w:pPr>
      <w:widowControl w:val="0"/>
      <w:numPr>
        <w:numId w:val="3"/>
      </w:numPr>
      <w:spacing w:line="480" w:lineRule="auto"/>
      <w:ind w:right="360"/>
    </w:pPr>
    <w:rPr>
      <w:rFonts w:ascii="Palatino Linotype" w:hAnsi="Palatino Linotype"/>
      <w:i/>
      <w:snapToGrid w:val="0"/>
      <w:szCs w:val="20"/>
    </w:rPr>
  </w:style>
  <w:style w:type="paragraph" w:customStyle="1" w:styleId="IndentBulletPoint">
    <w:name w:val="Indent Bullet Point"/>
    <w:basedOn w:val="Normal"/>
    <w:pPr>
      <w:numPr>
        <w:numId w:val="5"/>
      </w:numPr>
      <w:spacing w:before="120"/>
      <w:ind w:left="1800" w:right="720"/>
      <w:jc w:val="both"/>
    </w:pPr>
    <w:rPr>
      <w:rFonts w:ascii="Palatino Linotype" w:hAnsi="Palatino Linotype"/>
      <w:szCs w:val="20"/>
    </w:rPr>
  </w:style>
  <w:style w:type="paragraph" w:customStyle="1" w:styleId="Outline1">
    <w:name w:val="Outline 1"/>
    <w:basedOn w:val="Question0"/>
    <w:pPr>
      <w:numPr>
        <w:numId w:val="7"/>
      </w:numPr>
      <w:tabs>
        <w:tab w:val="clear" w:pos="1440"/>
      </w:tabs>
    </w:pPr>
  </w:style>
  <w:style w:type="paragraph" w:customStyle="1" w:styleId="Question0">
    <w:name w:val="Question"/>
    <w:basedOn w:val="Normal"/>
    <w:next w:val="Answer"/>
    <w:qFormat/>
    <w:rsid w:val="00120C2A"/>
    <w:pPr>
      <w:keepNext/>
      <w:tabs>
        <w:tab w:val="left" w:pos="1440"/>
      </w:tabs>
      <w:suppressAutoHyphens/>
      <w:spacing w:before="120" w:line="360" w:lineRule="auto"/>
      <w:ind w:firstLine="720"/>
    </w:pPr>
    <w:rPr>
      <w:rFonts w:ascii="Times New Roman Bold" w:hAnsi="Times New Roman Bold"/>
      <w:b/>
      <w:kern w:val="16"/>
      <w:szCs w:val="20"/>
    </w:rPr>
  </w:style>
  <w:style w:type="paragraph" w:customStyle="1" w:styleId="Answer">
    <w:name w:val="Answer"/>
    <w:basedOn w:val="Normal"/>
    <w:link w:val="AnswerCharChar"/>
    <w:qFormat/>
    <w:rsid w:val="00906B5C"/>
    <w:pPr>
      <w:tabs>
        <w:tab w:val="left" w:pos="720"/>
        <w:tab w:val="left" w:pos="1440"/>
      </w:tabs>
      <w:suppressAutoHyphens/>
      <w:spacing w:line="480" w:lineRule="auto"/>
      <w:ind w:firstLine="720"/>
    </w:pPr>
    <w:rPr>
      <w:kern w:val="16"/>
      <w:szCs w:val="20"/>
    </w:rPr>
  </w:style>
  <w:style w:type="paragraph" w:customStyle="1" w:styleId="Outline3">
    <w:name w:val="Outline3"/>
    <w:basedOn w:val="BulletPoint"/>
    <w:pPr>
      <w:widowControl/>
      <w:numPr>
        <w:numId w:val="4"/>
      </w:numPr>
      <w:spacing w:after="240" w:line="240" w:lineRule="auto"/>
    </w:pPr>
    <w:rPr>
      <w:i w:val="0"/>
    </w:rPr>
  </w:style>
  <w:style w:type="paragraph" w:customStyle="1" w:styleId="QUESTION">
    <w:name w:val="QUESTION"/>
    <w:basedOn w:val="Normal"/>
    <w:next w:val="Normal"/>
    <w:pPr>
      <w:keepNext/>
      <w:keepLines/>
      <w:numPr>
        <w:numId w:val="8"/>
      </w:numPr>
      <w:spacing w:before="120" w:line="480" w:lineRule="auto"/>
      <w:ind w:left="720" w:hanging="720"/>
      <w:jc w:val="both"/>
    </w:pPr>
    <w:rPr>
      <w:rFonts w:ascii="Times New Roman Bold" w:hAnsi="Times New Roman Bold"/>
      <w:b/>
      <w:szCs w:val="20"/>
    </w:rPr>
  </w:style>
  <w:style w:type="paragraph" w:customStyle="1" w:styleId="Quote1">
    <w:name w:val="Quote1"/>
    <w:aliases w:val="q"/>
    <w:basedOn w:val="Normal"/>
    <w:qFormat/>
    <w:rsid w:val="000D50FE"/>
    <w:pPr>
      <w:spacing w:after="240"/>
      <w:ind w:left="720" w:right="720"/>
    </w:pPr>
    <w:rPr>
      <w:kern w:val="16"/>
      <w:szCs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qFormat/>
    <w:rPr>
      <w:dstrike w:val="0"/>
      <w:color w:val="auto"/>
      <w:vertAlign w:val="superscript"/>
    </w:rPr>
  </w:style>
  <w:style w:type="paragraph" w:customStyle="1" w:styleId="Answer2">
    <w:name w:val="Answer2"/>
    <w:basedOn w:val="Answer"/>
  </w:style>
  <w:style w:type="paragraph" w:customStyle="1" w:styleId="SingleSpaced">
    <w:name w:val="Single Spaced"/>
    <w:basedOn w:val="Normal"/>
    <w:pPr>
      <w:ind w:left="720"/>
    </w:pPr>
    <w:rPr>
      <w:rFonts w:ascii="Palatino Linotype" w:hAnsi="Palatino Linotype"/>
      <w:kern w:val="16"/>
      <w:szCs w:val="20"/>
    </w:rPr>
  </w:style>
  <w:style w:type="paragraph" w:customStyle="1" w:styleId="TableCaption">
    <w:name w:val="Table Caption"/>
    <w:basedOn w:val="Normal"/>
    <w:next w:val="Table"/>
    <w:qFormat/>
    <w:rsid w:val="009F29FB"/>
    <w:pPr>
      <w:keepNext/>
      <w:keepLines/>
      <w:spacing w:before="240" w:after="240"/>
      <w:jc w:val="center"/>
    </w:pPr>
    <w:rPr>
      <w:rFonts w:ascii="Times New Roman Bold" w:hAnsi="Times New Roman Bold"/>
      <w:b/>
      <w:caps/>
      <w:szCs w:val="20"/>
    </w:rPr>
  </w:style>
  <w:style w:type="paragraph" w:customStyle="1" w:styleId="Table">
    <w:name w:val="Table"/>
    <w:basedOn w:val="Normal"/>
    <w:qFormat/>
    <w:rsid w:val="009F29FB"/>
    <w:pPr>
      <w:keepNext/>
      <w:keepLines/>
      <w:suppressLineNumbers/>
      <w:spacing w:after="240"/>
      <w:jc w:val="center"/>
    </w:pPr>
    <w:rPr>
      <w:rFonts w:ascii="Arial" w:hAnsi="Arial"/>
      <w:sz w:val="20"/>
      <w:szCs w:val="20"/>
    </w:rPr>
  </w:style>
  <w:style w:type="paragraph" w:customStyle="1" w:styleId="Table-FirstRow">
    <w:name w:val="Table - First Row"/>
    <w:basedOn w:val="Table"/>
    <w:pPr>
      <w:spacing w:before="120"/>
    </w:pPr>
  </w:style>
  <w:style w:type="paragraph" w:customStyle="1" w:styleId="Table-LastRow">
    <w:name w:val="Table - Last Row"/>
    <w:basedOn w:val="Table"/>
    <w:pPr>
      <w:keepNext w:val="0"/>
      <w:spacing w:before="120"/>
    </w:pPr>
  </w:style>
  <w:style w:type="paragraph" w:customStyle="1" w:styleId="TableFootnote">
    <w:name w:val="Table Footnote"/>
    <w:basedOn w:val="FootnoteText"/>
    <w:pPr>
      <w:keepNext w:val="0"/>
      <w:suppressLineNumbers/>
      <w:spacing w:after="60"/>
      <w:ind w:left="432" w:hanging="432"/>
    </w:pPr>
    <w:rPr>
      <w:rFonts w:ascii="Arial" w:hAnsi="Arial"/>
      <w:color w:val="000000"/>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qFormat/>
    <w:rsid w:val="00831348"/>
    <w:pPr>
      <w:keepNext/>
      <w:keepLines/>
    </w:pPr>
    <w:rPr>
      <w:sz w:val="20"/>
      <w:szCs w:val="20"/>
      <w:lang w:val="x-none" w:eastAsia="x-none"/>
    </w:rPr>
  </w:style>
  <w:style w:type="paragraph" w:customStyle="1" w:styleId="Body2-noindent">
    <w:name w:val="Body 2 - no indent"/>
    <w:basedOn w:val="Normal"/>
    <w:pPr>
      <w:spacing w:line="400" w:lineRule="exact"/>
      <w:ind w:left="864"/>
    </w:pPr>
    <w:rPr>
      <w:rFonts w:ascii="Arial" w:hAnsi="Arial"/>
      <w:color w:val="00000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noteText2">
    <w:name w:val="Footnote Text2"/>
    <w:basedOn w:val="Normal"/>
    <w:semiHidden/>
    <w:pPr>
      <w:spacing w:after="60"/>
      <w:ind w:left="360" w:hanging="360"/>
      <w:jc w:val="both"/>
    </w:pPr>
    <w:rPr>
      <w:kern w:val="16"/>
      <w:sz w:val="20"/>
      <w:szCs w:val="20"/>
      <w:lang w:bidi="he-IL"/>
    </w:rPr>
  </w:style>
  <w:style w:type="character" w:styleId="LineNumber">
    <w:name w:val="line number"/>
    <w:semiHidden/>
    <w:rsid w:val="00CC250F"/>
    <w:rPr>
      <w:rFonts w:ascii="Times New Roman" w:hAnsi="Times New Roman"/>
      <w:sz w:val="24"/>
    </w:rPr>
  </w:style>
  <w:style w:type="character" w:styleId="PageNumber">
    <w:name w:val="page number"/>
    <w:basedOn w:val="DefaultParagraphFont"/>
    <w:semiHidden/>
  </w:style>
  <w:style w:type="paragraph" w:styleId="ListNumber">
    <w:name w:val="List Number"/>
    <w:basedOn w:val="Normal"/>
    <w:semiHidden/>
    <w:pPr>
      <w:numPr>
        <w:numId w:val="11"/>
      </w:numPr>
      <w:tabs>
        <w:tab w:val="clear" w:pos="360"/>
      </w:tabs>
      <w:spacing w:after="240"/>
      <w:ind w:left="720" w:hanging="720"/>
    </w:pPr>
    <w:rPr>
      <w:rFonts w:cs="Arial"/>
    </w:rPr>
  </w:style>
  <w:style w:type="paragraph" w:customStyle="1" w:styleId="Quotation2">
    <w:name w:val="Quotation 2"/>
    <w:basedOn w:val="Normal"/>
    <w:pPr>
      <w:spacing w:before="240" w:after="240" w:line="240" w:lineRule="exact"/>
      <w:ind w:left="1296" w:right="432"/>
    </w:pPr>
    <w:rPr>
      <w:rFonts w:ascii="Arial" w:hAnsi="Arial"/>
      <w:szCs w:val="20"/>
    </w:rPr>
  </w:style>
  <w:style w:type="paragraph" w:styleId="BodyTextIndent2">
    <w:name w:val="Body Text Indent 2"/>
    <w:basedOn w:val="Normal"/>
    <w:semiHidden/>
    <w:pPr>
      <w:spacing w:after="120" w:line="480" w:lineRule="auto"/>
      <w:ind w:firstLine="720"/>
    </w:pPr>
    <w:rPr>
      <w:rFonts w:ascii="Arial" w:hAnsi="Arial"/>
      <w:szCs w:val="20"/>
    </w:rPr>
  </w:style>
  <w:style w:type="paragraph" w:customStyle="1" w:styleId="Body6">
    <w:name w:val="Body 6"/>
    <w:basedOn w:val="Normal"/>
    <w:pPr>
      <w:spacing w:line="400" w:lineRule="exact"/>
      <w:ind w:left="2592" w:firstLine="432"/>
    </w:pPr>
    <w:rPr>
      <w:rFonts w:ascii="Arial" w:hAnsi="Arial"/>
      <w:szCs w:val="20"/>
    </w:rPr>
  </w:style>
  <w:style w:type="paragraph" w:customStyle="1" w:styleId="QNum">
    <w:name w:val="QNum"/>
    <w:basedOn w:val="Normal"/>
    <w:pPr>
      <w:tabs>
        <w:tab w:val="left" w:pos="1440"/>
        <w:tab w:val="left" w:pos="2160"/>
        <w:tab w:val="left" w:pos="2880"/>
      </w:tabs>
      <w:spacing w:line="400" w:lineRule="exact"/>
      <w:ind w:left="864" w:hanging="864"/>
    </w:pPr>
    <w:rPr>
      <w:rFonts w:ascii="Arial" w:hAnsi="Arial"/>
      <w:szCs w:val="20"/>
    </w:rPr>
  </w:style>
  <w:style w:type="paragraph" w:customStyle="1" w:styleId="ANum">
    <w:name w:val="ANum"/>
    <w:basedOn w:val="Normal"/>
    <w:pPr>
      <w:tabs>
        <w:tab w:val="left" w:pos="1440"/>
        <w:tab w:val="left" w:pos="2160"/>
        <w:tab w:val="left" w:pos="2880"/>
      </w:tabs>
      <w:spacing w:line="400" w:lineRule="exact"/>
      <w:ind w:left="864" w:hanging="864"/>
    </w:pPr>
    <w:rPr>
      <w:rFonts w:ascii="Arial" w:hAnsi="Arial"/>
      <w:szCs w:val="20"/>
    </w:rPr>
  </w:style>
  <w:style w:type="paragraph" w:styleId="EndnoteText">
    <w:name w:val="endnote text"/>
    <w:basedOn w:val="Normal"/>
    <w:semiHidden/>
    <w:pPr>
      <w:keepLines/>
      <w:widowControl w:val="0"/>
      <w:tabs>
        <w:tab w:val="left" w:pos="1037"/>
        <w:tab w:val="left" w:pos="2006"/>
      </w:tabs>
      <w:autoSpaceDE w:val="0"/>
      <w:autoSpaceDN w:val="0"/>
      <w:adjustRightInd w:val="0"/>
      <w:spacing w:after="60"/>
    </w:pPr>
    <w:rPr>
      <w:kern w:val="16"/>
      <w:szCs w:val="20"/>
    </w:rPr>
  </w:style>
  <w:style w:type="character" w:styleId="EndnoteReference">
    <w:name w:val="endnote reference"/>
    <w:semiHidden/>
    <w:rPr>
      <w:vertAlign w:val="superscript"/>
    </w:rPr>
  </w:style>
  <w:style w:type="paragraph" w:customStyle="1" w:styleId="QA-text">
    <w:name w:val="QA-text"/>
    <w:basedOn w:val="Normal"/>
    <w:pPr>
      <w:overflowPunct w:val="0"/>
      <w:autoSpaceDE w:val="0"/>
      <w:autoSpaceDN w:val="0"/>
      <w:adjustRightInd w:val="0"/>
      <w:spacing w:line="400" w:lineRule="exact"/>
      <w:ind w:left="864" w:firstLine="432"/>
      <w:textAlignment w:val="baseline"/>
    </w:pPr>
    <w:rPr>
      <w:rFonts w:ascii="Arial" w:hAnsi="Arial"/>
      <w:szCs w:val="20"/>
    </w:rPr>
  </w:style>
  <w:style w:type="paragraph" w:customStyle="1" w:styleId="Answer20">
    <w:name w:val="Answer 2"/>
    <w:basedOn w:val="Answer"/>
    <w:qFormat/>
    <w:rsid w:val="00DC6300"/>
    <w:pPr>
      <w:widowControl w:val="0"/>
      <w:tabs>
        <w:tab w:val="clear" w:pos="720"/>
        <w:tab w:val="clear" w:pos="1440"/>
      </w:tabs>
      <w:suppressAutoHyphens w:val="0"/>
      <w:autoSpaceDE w:val="0"/>
      <w:autoSpaceDN w:val="0"/>
      <w:adjustRightInd w:val="0"/>
      <w:spacing w:line="480" w:lineRule="exact"/>
      <w:ind w:left="720"/>
    </w:pPr>
    <w:rPr>
      <w:kern w:val="0"/>
      <w:sz w:val="26"/>
      <w:szCs w:val="24"/>
    </w:rPr>
  </w:style>
  <w:style w:type="paragraph" w:customStyle="1" w:styleId="Quotation">
    <w:name w:val="Quotation"/>
    <w:basedOn w:val="Normal"/>
    <w:qFormat/>
    <w:rsid w:val="00DC6300"/>
    <w:pPr>
      <w:spacing w:before="240" w:after="120"/>
      <w:ind w:left="1296" w:right="720"/>
    </w:pPr>
    <w:rPr>
      <w:sz w:val="26"/>
      <w:szCs w:val="20"/>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link w:val="FootnoteText"/>
    <w:rsid w:val="00831348"/>
    <w:rPr>
      <w:lang w:val="x-none" w:eastAsia="x-none"/>
    </w:rPr>
  </w:style>
  <w:style w:type="paragraph" w:styleId="BalloonText">
    <w:name w:val="Balloon Text"/>
    <w:basedOn w:val="Normal"/>
    <w:link w:val="BalloonTextChar"/>
    <w:uiPriority w:val="99"/>
    <w:semiHidden/>
    <w:unhideWhenUsed/>
    <w:rsid w:val="005C45B0"/>
    <w:rPr>
      <w:rFonts w:ascii="Tahoma" w:hAnsi="Tahoma"/>
      <w:sz w:val="16"/>
      <w:szCs w:val="16"/>
      <w:lang w:val="x-none" w:eastAsia="x-none"/>
    </w:rPr>
  </w:style>
  <w:style w:type="character" w:customStyle="1" w:styleId="BalloonTextChar">
    <w:name w:val="Balloon Text Char"/>
    <w:link w:val="BalloonText"/>
    <w:uiPriority w:val="99"/>
    <w:semiHidden/>
    <w:rsid w:val="005C45B0"/>
    <w:rPr>
      <w:rFonts w:ascii="Tahoma" w:hAnsi="Tahoma" w:cs="Tahoma"/>
      <w:sz w:val="16"/>
      <w:szCs w:val="16"/>
    </w:rPr>
  </w:style>
  <w:style w:type="paragraph" w:customStyle="1" w:styleId="Bullet1">
    <w:name w:val="Bullet 1"/>
    <w:basedOn w:val="Normal"/>
    <w:link w:val="Bullet1Char"/>
    <w:qFormat/>
    <w:rsid w:val="00272320"/>
    <w:pPr>
      <w:numPr>
        <w:numId w:val="37"/>
      </w:numPr>
      <w:spacing w:after="120"/>
      <w:ind w:right="720"/>
      <w:jc w:val="both"/>
    </w:pPr>
    <w:rPr>
      <w:szCs w:val="20"/>
    </w:rPr>
  </w:style>
  <w:style w:type="character" w:customStyle="1" w:styleId="Bullet1Char">
    <w:name w:val="Bullet 1 Char"/>
    <w:link w:val="Bullet1"/>
    <w:rsid w:val="00272320"/>
    <w:rPr>
      <w:sz w:val="24"/>
    </w:rPr>
  </w:style>
  <w:style w:type="character" w:customStyle="1" w:styleId="AnswerCharChar">
    <w:name w:val="Answer Char Char"/>
    <w:link w:val="Answer"/>
    <w:locked/>
    <w:rsid w:val="00272320"/>
    <w:rPr>
      <w:kern w:val="16"/>
      <w:sz w:val="24"/>
    </w:rPr>
  </w:style>
  <w:style w:type="paragraph" w:customStyle="1" w:styleId="TableTitle">
    <w:name w:val="Table Title"/>
    <w:basedOn w:val="Normal"/>
    <w:link w:val="TableTitleChar"/>
    <w:qFormat/>
    <w:rsid w:val="00272320"/>
    <w:pPr>
      <w:keepNext/>
      <w:spacing w:before="240" w:after="120"/>
      <w:ind w:left="720"/>
      <w:jc w:val="center"/>
    </w:pPr>
    <w:rPr>
      <w:rFonts w:ascii="Times New Roman Bold" w:hAnsi="Times New Roman Bold"/>
      <w:b/>
      <w:caps/>
      <w:lang w:val="x-none" w:eastAsia="x-none"/>
    </w:rPr>
  </w:style>
  <w:style w:type="character" w:customStyle="1" w:styleId="TableTitleChar">
    <w:name w:val="Table Title Char"/>
    <w:link w:val="TableTitle"/>
    <w:rsid w:val="00272320"/>
    <w:rPr>
      <w:rFonts w:ascii="Times New Roman Bold" w:hAnsi="Times New Roman Bold"/>
      <w:b/>
      <w:caps/>
      <w:sz w:val="24"/>
      <w:szCs w:val="24"/>
      <w:lang w:val="x-none" w:eastAsia="x-none"/>
    </w:rPr>
  </w:style>
  <w:style w:type="character" w:customStyle="1" w:styleId="AnswerChar">
    <w:name w:val="Answer Char"/>
    <w:locked/>
    <w:rsid w:val="000D50FE"/>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0F"/>
    <w:rPr>
      <w:sz w:val="24"/>
      <w:szCs w:val="24"/>
    </w:rPr>
  </w:style>
  <w:style w:type="paragraph" w:styleId="Heading1">
    <w:name w:val="heading 1"/>
    <w:basedOn w:val="Normal"/>
    <w:next w:val="Normal"/>
    <w:qFormat/>
    <w:rsid w:val="009A3022"/>
    <w:pPr>
      <w:keepNext/>
      <w:numPr>
        <w:numId w:val="6"/>
      </w:numPr>
      <w:suppressLineNumbers/>
      <w:tabs>
        <w:tab w:val="center" w:pos="5040"/>
        <w:tab w:val="center" w:pos="6480"/>
        <w:tab w:val="center" w:pos="7920"/>
      </w:tabs>
      <w:spacing w:before="240" w:after="120"/>
      <w:jc w:val="center"/>
      <w:outlineLvl w:val="0"/>
    </w:pPr>
    <w:rPr>
      <w:rFonts w:ascii="Palatino Linotype" w:hAnsi="Palatino Linotype"/>
      <w:b/>
      <w:szCs w:val="20"/>
    </w:rPr>
  </w:style>
  <w:style w:type="paragraph" w:styleId="Heading2">
    <w:name w:val="heading 2"/>
    <w:aliases w:val="Style 14"/>
    <w:basedOn w:val="Normal"/>
    <w:next w:val="Normal"/>
    <w:qFormat/>
    <w:rsid w:val="009858D1"/>
    <w:pPr>
      <w:keepNext/>
      <w:numPr>
        <w:numId w:val="9"/>
      </w:numPr>
      <w:suppressLineNumbers/>
      <w:spacing w:before="120" w:after="120"/>
      <w:jc w:val="center"/>
      <w:outlineLvl w:val="1"/>
    </w:pPr>
    <w:rPr>
      <w:rFonts w:ascii="Palatino Linotype" w:hAnsi="Palatino Linotype"/>
      <w:b/>
      <w:szCs w:val="20"/>
      <w:u w:val="single"/>
    </w:rPr>
  </w:style>
  <w:style w:type="paragraph" w:styleId="Heading3">
    <w:name w:val="heading 3"/>
    <w:basedOn w:val="Normal"/>
    <w:next w:val="Normal"/>
    <w:qFormat/>
    <w:pPr>
      <w:keepNext/>
      <w:widowControl w:val="0"/>
      <w:outlineLvl w:val="2"/>
    </w:pPr>
    <w:rPr>
      <w:rFonts w:ascii="Palatino Linotype" w:hAnsi="Palatino Linotype"/>
      <w:b/>
      <w:szCs w:val="26"/>
      <w:u w:val="single"/>
    </w:rPr>
  </w:style>
  <w:style w:type="paragraph" w:styleId="Heading5">
    <w:name w:val="heading 5"/>
    <w:basedOn w:val="Normal"/>
    <w:next w:val="Normal"/>
    <w:qFormat/>
    <w:pPr>
      <w:keepNext/>
      <w:spacing w:line="480" w:lineRule="auto"/>
      <w:jc w:val="center"/>
      <w:outlineLvl w:val="4"/>
    </w:pPr>
    <w:rPr>
      <w:rFonts w:ascii="Palatino Linotype" w:hAnsi="Palatino Linotype"/>
      <w:b/>
      <w:szCs w:val="20"/>
    </w:rPr>
  </w:style>
  <w:style w:type="paragraph" w:styleId="Heading6">
    <w:name w:val="heading 6"/>
    <w:basedOn w:val="Normal"/>
    <w:next w:val="Normal"/>
    <w:qFormat/>
    <w:pPr>
      <w:keepNext/>
      <w:tabs>
        <w:tab w:val="left" w:pos="1260"/>
      </w:tabs>
      <w:spacing w:line="480" w:lineRule="auto"/>
      <w:jc w:val="center"/>
      <w:outlineLvl w:val="5"/>
    </w:pPr>
    <w:rPr>
      <w:rFonts w:ascii="Palatino Linotype" w:hAnsi="Palatino Linotype"/>
      <w:b/>
      <w:sz w:val="20"/>
      <w:szCs w:val="20"/>
    </w:rPr>
  </w:style>
  <w:style w:type="paragraph" w:styleId="Heading8">
    <w:name w:val="heading 8"/>
    <w:basedOn w:val="Normal"/>
    <w:next w:val="Normal"/>
    <w:qFormat/>
    <w:pPr>
      <w:keepNext/>
      <w:tabs>
        <w:tab w:val="left" w:pos="1260"/>
      </w:tabs>
      <w:spacing w:line="480" w:lineRule="auto"/>
      <w:jc w:val="both"/>
      <w:outlineLvl w:val="7"/>
    </w:pPr>
    <w:rPr>
      <w:rFonts w:ascii="Palatino Linotype" w:hAnsi="Palatino Linotype"/>
      <w:b/>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Bullets">
    <w:name w:val="Answer_Bullets"/>
    <w:basedOn w:val="Normal"/>
    <w:pPr>
      <w:numPr>
        <w:numId w:val="2"/>
      </w:numPr>
    </w:pPr>
    <w:rPr>
      <w:rFonts w:ascii="Palatino Linotype" w:hAnsi="Palatino Linotype"/>
      <w:szCs w:val="20"/>
    </w:rPr>
  </w:style>
  <w:style w:type="paragraph" w:styleId="ListBullet">
    <w:name w:val="List Bullet"/>
    <w:basedOn w:val="Normal"/>
    <w:autoRedefine/>
    <w:semiHidden/>
    <w:pPr>
      <w:numPr>
        <w:numId w:val="1"/>
      </w:numPr>
      <w:spacing w:after="120" w:line="360" w:lineRule="auto"/>
    </w:pPr>
    <w:rPr>
      <w:rFonts w:ascii="Palatino Linotype" w:hAnsi="Palatino Linotype"/>
      <w:kern w:val="16"/>
      <w:szCs w:val="20"/>
    </w:rPr>
  </w:style>
  <w:style w:type="paragraph" w:customStyle="1" w:styleId="BulletPoint">
    <w:name w:val="Bullet Point"/>
    <w:basedOn w:val="Normal"/>
    <w:pPr>
      <w:widowControl w:val="0"/>
      <w:numPr>
        <w:numId w:val="3"/>
      </w:numPr>
      <w:spacing w:line="480" w:lineRule="auto"/>
      <w:ind w:right="360"/>
    </w:pPr>
    <w:rPr>
      <w:rFonts w:ascii="Palatino Linotype" w:hAnsi="Palatino Linotype"/>
      <w:i/>
      <w:snapToGrid w:val="0"/>
      <w:szCs w:val="20"/>
    </w:rPr>
  </w:style>
  <w:style w:type="paragraph" w:customStyle="1" w:styleId="IndentBulletPoint">
    <w:name w:val="Indent Bullet Point"/>
    <w:basedOn w:val="Normal"/>
    <w:pPr>
      <w:numPr>
        <w:numId w:val="5"/>
      </w:numPr>
      <w:spacing w:before="120"/>
      <w:ind w:left="1800" w:right="720"/>
      <w:jc w:val="both"/>
    </w:pPr>
    <w:rPr>
      <w:rFonts w:ascii="Palatino Linotype" w:hAnsi="Palatino Linotype"/>
      <w:szCs w:val="20"/>
    </w:rPr>
  </w:style>
  <w:style w:type="paragraph" w:customStyle="1" w:styleId="Outline1">
    <w:name w:val="Outline 1"/>
    <w:basedOn w:val="Question0"/>
    <w:pPr>
      <w:numPr>
        <w:numId w:val="7"/>
      </w:numPr>
      <w:tabs>
        <w:tab w:val="clear" w:pos="1440"/>
      </w:tabs>
    </w:pPr>
  </w:style>
  <w:style w:type="paragraph" w:customStyle="1" w:styleId="Question0">
    <w:name w:val="Question"/>
    <w:basedOn w:val="Normal"/>
    <w:next w:val="Answer"/>
    <w:qFormat/>
    <w:rsid w:val="00120C2A"/>
    <w:pPr>
      <w:keepNext/>
      <w:tabs>
        <w:tab w:val="left" w:pos="1440"/>
      </w:tabs>
      <w:suppressAutoHyphens/>
      <w:spacing w:before="120" w:line="360" w:lineRule="auto"/>
      <w:ind w:firstLine="720"/>
    </w:pPr>
    <w:rPr>
      <w:rFonts w:ascii="Times New Roman Bold" w:hAnsi="Times New Roman Bold"/>
      <w:b/>
      <w:kern w:val="16"/>
      <w:szCs w:val="20"/>
    </w:rPr>
  </w:style>
  <w:style w:type="paragraph" w:customStyle="1" w:styleId="Answer">
    <w:name w:val="Answer"/>
    <w:basedOn w:val="Normal"/>
    <w:link w:val="AnswerCharChar"/>
    <w:qFormat/>
    <w:rsid w:val="00906B5C"/>
    <w:pPr>
      <w:tabs>
        <w:tab w:val="left" w:pos="720"/>
        <w:tab w:val="left" w:pos="1440"/>
      </w:tabs>
      <w:suppressAutoHyphens/>
      <w:spacing w:line="480" w:lineRule="auto"/>
      <w:ind w:firstLine="720"/>
    </w:pPr>
    <w:rPr>
      <w:kern w:val="16"/>
      <w:szCs w:val="20"/>
    </w:rPr>
  </w:style>
  <w:style w:type="paragraph" w:customStyle="1" w:styleId="Outline3">
    <w:name w:val="Outline3"/>
    <w:basedOn w:val="BulletPoint"/>
    <w:pPr>
      <w:widowControl/>
      <w:numPr>
        <w:numId w:val="4"/>
      </w:numPr>
      <w:spacing w:after="240" w:line="240" w:lineRule="auto"/>
    </w:pPr>
    <w:rPr>
      <w:i w:val="0"/>
    </w:rPr>
  </w:style>
  <w:style w:type="paragraph" w:customStyle="1" w:styleId="QUESTION">
    <w:name w:val="QUESTION"/>
    <w:basedOn w:val="Normal"/>
    <w:next w:val="Normal"/>
    <w:pPr>
      <w:keepNext/>
      <w:keepLines/>
      <w:numPr>
        <w:numId w:val="8"/>
      </w:numPr>
      <w:spacing w:before="120" w:line="480" w:lineRule="auto"/>
      <w:ind w:left="720" w:hanging="720"/>
      <w:jc w:val="both"/>
    </w:pPr>
    <w:rPr>
      <w:rFonts w:ascii="Times New Roman Bold" w:hAnsi="Times New Roman Bold"/>
      <w:b/>
      <w:szCs w:val="20"/>
    </w:rPr>
  </w:style>
  <w:style w:type="paragraph" w:customStyle="1" w:styleId="Quote1">
    <w:name w:val="Quote1"/>
    <w:aliases w:val="q"/>
    <w:basedOn w:val="Normal"/>
    <w:qFormat/>
    <w:rsid w:val="000D50FE"/>
    <w:pPr>
      <w:spacing w:after="240"/>
      <w:ind w:left="720" w:right="720"/>
    </w:pPr>
    <w:rPr>
      <w:kern w:val="16"/>
      <w:szCs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qFormat/>
    <w:rPr>
      <w:dstrike w:val="0"/>
      <w:color w:val="auto"/>
      <w:vertAlign w:val="superscript"/>
    </w:rPr>
  </w:style>
  <w:style w:type="paragraph" w:customStyle="1" w:styleId="Answer2">
    <w:name w:val="Answer2"/>
    <w:basedOn w:val="Answer"/>
  </w:style>
  <w:style w:type="paragraph" w:customStyle="1" w:styleId="SingleSpaced">
    <w:name w:val="Single Spaced"/>
    <w:basedOn w:val="Normal"/>
    <w:pPr>
      <w:ind w:left="720"/>
    </w:pPr>
    <w:rPr>
      <w:rFonts w:ascii="Palatino Linotype" w:hAnsi="Palatino Linotype"/>
      <w:kern w:val="16"/>
      <w:szCs w:val="20"/>
    </w:rPr>
  </w:style>
  <w:style w:type="paragraph" w:customStyle="1" w:styleId="TableCaption">
    <w:name w:val="Table Caption"/>
    <w:basedOn w:val="Normal"/>
    <w:next w:val="Table"/>
    <w:qFormat/>
    <w:rsid w:val="009F29FB"/>
    <w:pPr>
      <w:keepNext/>
      <w:keepLines/>
      <w:spacing w:before="240" w:after="240"/>
      <w:jc w:val="center"/>
    </w:pPr>
    <w:rPr>
      <w:rFonts w:ascii="Times New Roman Bold" w:hAnsi="Times New Roman Bold"/>
      <w:b/>
      <w:caps/>
      <w:szCs w:val="20"/>
    </w:rPr>
  </w:style>
  <w:style w:type="paragraph" w:customStyle="1" w:styleId="Table">
    <w:name w:val="Table"/>
    <w:basedOn w:val="Normal"/>
    <w:qFormat/>
    <w:rsid w:val="009F29FB"/>
    <w:pPr>
      <w:keepNext/>
      <w:keepLines/>
      <w:suppressLineNumbers/>
      <w:spacing w:after="240"/>
      <w:jc w:val="center"/>
    </w:pPr>
    <w:rPr>
      <w:rFonts w:ascii="Arial" w:hAnsi="Arial"/>
      <w:sz w:val="20"/>
      <w:szCs w:val="20"/>
    </w:rPr>
  </w:style>
  <w:style w:type="paragraph" w:customStyle="1" w:styleId="Table-FirstRow">
    <w:name w:val="Table - First Row"/>
    <w:basedOn w:val="Table"/>
    <w:pPr>
      <w:spacing w:before="120"/>
    </w:pPr>
  </w:style>
  <w:style w:type="paragraph" w:customStyle="1" w:styleId="Table-LastRow">
    <w:name w:val="Table - Last Row"/>
    <w:basedOn w:val="Table"/>
    <w:pPr>
      <w:keepNext w:val="0"/>
      <w:spacing w:before="120"/>
    </w:pPr>
  </w:style>
  <w:style w:type="paragraph" w:customStyle="1" w:styleId="TableFootnote">
    <w:name w:val="Table Footnote"/>
    <w:basedOn w:val="FootnoteText"/>
    <w:pPr>
      <w:keepNext w:val="0"/>
      <w:suppressLineNumbers/>
      <w:spacing w:after="60"/>
      <w:ind w:left="432" w:hanging="432"/>
    </w:pPr>
    <w:rPr>
      <w:rFonts w:ascii="Arial" w:hAnsi="Arial"/>
      <w:color w:val="000000"/>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qFormat/>
    <w:rsid w:val="00831348"/>
    <w:pPr>
      <w:keepNext/>
      <w:keepLines/>
    </w:pPr>
    <w:rPr>
      <w:sz w:val="20"/>
      <w:szCs w:val="20"/>
      <w:lang w:val="x-none" w:eastAsia="x-none"/>
    </w:rPr>
  </w:style>
  <w:style w:type="paragraph" w:customStyle="1" w:styleId="Body2-noindent">
    <w:name w:val="Body 2 - no indent"/>
    <w:basedOn w:val="Normal"/>
    <w:pPr>
      <w:spacing w:line="400" w:lineRule="exact"/>
      <w:ind w:left="864"/>
    </w:pPr>
    <w:rPr>
      <w:rFonts w:ascii="Arial" w:hAnsi="Arial"/>
      <w:color w:val="00000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noteText2">
    <w:name w:val="Footnote Text2"/>
    <w:basedOn w:val="Normal"/>
    <w:semiHidden/>
    <w:pPr>
      <w:spacing w:after="60"/>
      <w:ind w:left="360" w:hanging="360"/>
      <w:jc w:val="both"/>
    </w:pPr>
    <w:rPr>
      <w:kern w:val="16"/>
      <w:sz w:val="20"/>
      <w:szCs w:val="20"/>
      <w:lang w:bidi="he-IL"/>
    </w:rPr>
  </w:style>
  <w:style w:type="character" w:styleId="LineNumber">
    <w:name w:val="line number"/>
    <w:semiHidden/>
    <w:rsid w:val="00CC250F"/>
    <w:rPr>
      <w:rFonts w:ascii="Times New Roman" w:hAnsi="Times New Roman"/>
      <w:sz w:val="24"/>
    </w:rPr>
  </w:style>
  <w:style w:type="character" w:styleId="PageNumber">
    <w:name w:val="page number"/>
    <w:basedOn w:val="DefaultParagraphFont"/>
    <w:semiHidden/>
  </w:style>
  <w:style w:type="paragraph" w:styleId="ListNumber">
    <w:name w:val="List Number"/>
    <w:basedOn w:val="Normal"/>
    <w:semiHidden/>
    <w:pPr>
      <w:numPr>
        <w:numId w:val="11"/>
      </w:numPr>
      <w:tabs>
        <w:tab w:val="clear" w:pos="360"/>
      </w:tabs>
      <w:spacing w:after="240"/>
      <w:ind w:left="720" w:hanging="720"/>
    </w:pPr>
    <w:rPr>
      <w:rFonts w:cs="Arial"/>
    </w:rPr>
  </w:style>
  <w:style w:type="paragraph" w:customStyle="1" w:styleId="Quotation2">
    <w:name w:val="Quotation 2"/>
    <w:basedOn w:val="Normal"/>
    <w:pPr>
      <w:spacing w:before="240" w:after="240" w:line="240" w:lineRule="exact"/>
      <w:ind w:left="1296" w:right="432"/>
    </w:pPr>
    <w:rPr>
      <w:rFonts w:ascii="Arial" w:hAnsi="Arial"/>
      <w:szCs w:val="20"/>
    </w:rPr>
  </w:style>
  <w:style w:type="paragraph" w:styleId="BodyTextIndent2">
    <w:name w:val="Body Text Indent 2"/>
    <w:basedOn w:val="Normal"/>
    <w:semiHidden/>
    <w:pPr>
      <w:spacing w:after="120" w:line="480" w:lineRule="auto"/>
      <w:ind w:firstLine="720"/>
    </w:pPr>
    <w:rPr>
      <w:rFonts w:ascii="Arial" w:hAnsi="Arial"/>
      <w:szCs w:val="20"/>
    </w:rPr>
  </w:style>
  <w:style w:type="paragraph" w:customStyle="1" w:styleId="Body6">
    <w:name w:val="Body 6"/>
    <w:basedOn w:val="Normal"/>
    <w:pPr>
      <w:spacing w:line="400" w:lineRule="exact"/>
      <w:ind w:left="2592" w:firstLine="432"/>
    </w:pPr>
    <w:rPr>
      <w:rFonts w:ascii="Arial" w:hAnsi="Arial"/>
      <w:szCs w:val="20"/>
    </w:rPr>
  </w:style>
  <w:style w:type="paragraph" w:customStyle="1" w:styleId="QNum">
    <w:name w:val="QNum"/>
    <w:basedOn w:val="Normal"/>
    <w:pPr>
      <w:tabs>
        <w:tab w:val="left" w:pos="1440"/>
        <w:tab w:val="left" w:pos="2160"/>
        <w:tab w:val="left" w:pos="2880"/>
      </w:tabs>
      <w:spacing w:line="400" w:lineRule="exact"/>
      <w:ind w:left="864" w:hanging="864"/>
    </w:pPr>
    <w:rPr>
      <w:rFonts w:ascii="Arial" w:hAnsi="Arial"/>
      <w:szCs w:val="20"/>
    </w:rPr>
  </w:style>
  <w:style w:type="paragraph" w:customStyle="1" w:styleId="ANum">
    <w:name w:val="ANum"/>
    <w:basedOn w:val="Normal"/>
    <w:pPr>
      <w:tabs>
        <w:tab w:val="left" w:pos="1440"/>
        <w:tab w:val="left" w:pos="2160"/>
        <w:tab w:val="left" w:pos="2880"/>
      </w:tabs>
      <w:spacing w:line="400" w:lineRule="exact"/>
      <w:ind w:left="864" w:hanging="864"/>
    </w:pPr>
    <w:rPr>
      <w:rFonts w:ascii="Arial" w:hAnsi="Arial"/>
      <w:szCs w:val="20"/>
    </w:rPr>
  </w:style>
  <w:style w:type="paragraph" w:styleId="EndnoteText">
    <w:name w:val="endnote text"/>
    <w:basedOn w:val="Normal"/>
    <w:semiHidden/>
    <w:pPr>
      <w:keepLines/>
      <w:widowControl w:val="0"/>
      <w:tabs>
        <w:tab w:val="left" w:pos="1037"/>
        <w:tab w:val="left" w:pos="2006"/>
      </w:tabs>
      <w:autoSpaceDE w:val="0"/>
      <w:autoSpaceDN w:val="0"/>
      <w:adjustRightInd w:val="0"/>
      <w:spacing w:after="60"/>
    </w:pPr>
    <w:rPr>
      <w:kern w:val="16"/>
      <w:szCs w:val="20"/>
    </w:rPr>
  </w:style>
  <w:style w:type="character" w:styleId="EndnoteReference">
    <w:name w:val="endnote reference"/>
    <w:semiHidden/>
    <w:rPr>
      <w:vertAlign w:val="superscript"/>
    </w:rPr>
  </w:style>
  <w:style w:type="paragraph" w:customStyle="1" w:styleId="QA-text">
    <w:name w:val="QA-text"/>
    <w:basedOn w:val="Normal"/>
    <w:pPr>
      <w:overflowPunct w:val="0"/>
      <w:autoSpaceDE w:val="0"/>
      <w:autoSpaceDN w:val="0"/>
      <w:adjustRightInd w:val="0"/>
      <w:spacing w:line="400" w:lineRule="exact"/>
      <w:ind w:left="864" w:firstLine="432"/>
      <w:textAlignment w:val="baseline"/>
    </w:pPr>
    <w:rPr>
      <w:rFonts w:ascii="Arial" w:hAnsi="Arial"/>
      <w:szCs w:val="20"/>
    </w:rPr>
  </w:style>
  <w:style w:type="paragraph" w:customStyle="1" w:styleId="Answer20">
    <w:name w:val="Answer 2"/>
    <w:basedOn w:val="Answer"/>
    <w:qFormat/>
    <w:rsid w:val="00DC6300"/>
    <w:pPr>
      <w:widowControl w:val="0"/>
      <w:tabs>
        <w:tab w:val="clear" w:pos="720"/>
        <w:tab w:val="clear" w:pos="1440"/>
      </w:tabs>
      <w:suppressAutoHyphens w:val="0"/>
      <w:autoSpaceDE w:val="0"/>
      <w:autoSpaceDN w:val="0"/>
      <w:adjustRightInd w:val="0"/>
      <w:spacing w:line="480" w:lineRule="exact"/>
      <w:ind w:left="720"/>
    </w:pPr>
    <w:rPr>
      <w:kern w:val="0"/>
      <w:sz w:val="26"/>
      <w:szCs w:val="24"/>
    </w:rPr>
  </w:style>
  <w:style w:type="paragraph" w:customStyle="1" w:styleId="Quotation">
    <w:name w:val="Quotation"/>
    <w:basedOn w:val="Normal"/>
    <w:qFormat/>
    <w:rsid w:val="00DC6300"/>
    <w:pPr>
      <w:spacing w:before="240" w:after="120"/>
      <w:ind w:left="1296" w:right="720"/>
    </w:pPr>
    <w:rPr>
      <w:sz w:val="26"/>
      <w:szCs w:val="20"/>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link w:val="FootnoteText"/>
    <w:rsid w:val="00831348"/>
    <w:rPr>
      <w:lang w:val="x-none" w:eastAsia="x-none"/>
    </w:rPr>
  </w:style>
  <w:style w:type="paragraph" w:styleId="BalloonText">
    <w:name w:val="Balloon Text"/>
    <w:basedOn w:val="Normal"/>
    <w:link w:val="BalloonTextChar"/>
    <w:uiPriority w:val="99"/>
    <w:semiHidden/>
    <w:unhideWhenUsed/>
    <w:rsid w:val="005C45B0"/>
    <w:rPr>
      <w:rFonts w:ascii="Tahoma" w:hAnsi="Tahoma"/>
      <w:sz w:val="16"/>
      <w:szCs w:val="16"/>
      <w:lang w:val="x-none" w:eastAsia="x-none"/>
    </w:rPr>
  </w:style>
  <w:style w:type="character" w:customStyle="1" w:styleId="BalloonTextChar">
    <w:name w:val="Balloon Text Char"/>
    <w:link w:val="BalloonText"/>
    <w:uiPriority w:val="99"/>
    <w:semiHidden/>
    <w:rsid w:val="005C45B0"/>
    <w:rPr>
      <w:rFonts w:ascii="Tahoma" w:hAnsi="Tahoma" w:cs="Tahoma"/>
      <w:sz w:val="16"/>
      <w:szCs w:val="16"/>
    </w:rPr>
  </w:style>
  <w:style w:type="paragraph" w:customStyle="1" w:styleId="Bullet1">
    <w:name w:val="Bullet 1"/>
    <w:basedOn w:val="Normal"/>
    <w:link w:val="Bullet1Char"/>
    <w:qFormat/>
    <w:rsid w:val="00272320"/>
    <w:pPr>
      <w:numPr>
        <w:numId w:val="37"/>
      </w:numPr>
      <w:spacing w:after="120"/>
      <w:ind w:right="720"/>
      <w:jc w:val="both"/>
    </w:pPr>
    <w:rPr>
      <w:szCs w:val="20"/>
    </w:rPr>
  </w:style>
  <w:style w:type="character" w:customStyle="1" w:styleId="Bullet1Char">
    <w:name w:val="Bullet 1 Char"/>
    <w:link w:val="Bullet1"/>
    <w:rsid w:val="00272320"/>
    <w:rPr>
      <w:sz w:val="24"/>
    </w:rPr>
  </w:style>
  <w:style w:type="character" w:customStyle="1" w:styleId="AnswerCharChar">
    <w:name w:val="Answer Char Char"/>
    <w:link w:val="Answer"/>
    <w:locked/>
    <w:rsid w:val="00272320"/>
    <w:rPr>
      <w:kern w:val="16"/>
      <w:sz w:val="24"/>
    </w:rPr>
  </w:style>
  <w:style w:type="paragraph" w:customStyle="1" w:styleId="TableTitle">
    <w:name w:val="Table Title"/>
    <w:basedOn w:val="Normal"/>
    <w:link w:val="TableTitleChar"/>
    <w:qFormat/>
    <w:rsid w:val="00272320"/>
    <w:pPr>
      <w:keepNext/>
      <w:spacing w:before="240" w:after="120"/>
      <w:ind w:left="720"/>
      <w:jc w:val="center"/>
    </w:pPr>
    <w:rPr>
      <w:rFonts w:ascii="Times New Roman Bold" w:hAnsi="Times New Roman Bold"/>
      <w:b/>
      <w:caps/>
      <w:lang w:val="x-none" w:eastAsia="x-none"/>
    </w:rPr>
  </w:style>
  <w:style w:type="character" w:customStyle="1" w:styleId="TableTitleChar">
    <w:name w:val="Table Title Char"/>
    <w:link w:val="TableTitle"/>
    <w:rsid w:val="00272320"/>
    <w:rPr>
      <w:rFonts w:ascii="Times New Roman Bold" w:hAnsi="Times New Roman Bold"/>
      <w:b/>
      <w:caps/>
      <w:sz w:val="24"/>
      <w:szCs w:val="24"/>
      <w:lang w:val="x-none" w:eastAsia="x-none"/>
    </w:rPr>
  </w:style>
  <w:style w:type="character" w:customStyle="1" w:styleId="AnswerChar">
    <w:name w:val="Answer Char"/>
    <w:locked/>
    <w:rsid w:val="000D50FE"/>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D2B0FF4-DF8F-4FCD-AE22-51D913068A1A}">
  <ds:schemaRefs>
    <ds:schemaRef ds:uri="http://schemas.openxmlformats.org/officeDocument/2006/bibliography"/>
  </ds:schemaRefs>
</ds:datastoreItem>
</file>

<file path=customXml/itemProps2.xml><?xml version="1.0" encoding="utf-8"?>
<ds:datastoreItem xmlns:ds="http://schemas.openxmlformats.org/officeDocument/2006/customXml" ds:itemID="{5954DFE2-83EC-4DA2-91CF-0B9E38626265}"/>
</file>

<file path=customXml/itemProps3.xml><?xml version="1.0" encoding="utf-8"?>
<ds:datastoreItem xmlns:ds="http://schemas.openxmlformats.org/officeDocument/2006/customXml" ds:itemID="{412E17CA-F1FC-45E8-B941-B4EADF4A5795}"/>
</file>

<file path=customXml/itemProps4.xml><?xml version="1.0" encoding="utf-8"?>
<ds:datastoreItem xmlns:ds="http://schemas.openxmlformats.org/officeDocument/2006/customXml" ds:itemID="{20C58E3F-5241-4180-A52D-B3A514C0B23C}"/>
</file>

<file path=customXml/itemProps5.xml><?xml version="1.0" encoding="utf-8"?>
<ds:datastoreItem xmlns:ds="http://schemas.openxmlformats.org/officeDocument/2006/customXml" ds:itemID="{C0E6E804-9288-423F-8A7F-4E6F08892A29}"/>
</file>

<file path=docProps/app.xml><?xml version="1.0" encoding="utf-8"?>
<Properties xmlns="http://schemas.openxmlformats.org/officeDocument/2006/extended-properties" xmlns:vt="http://schemas.openxmlformats.org/officeDocument/2006/docPropsVTypes">
  <Template>Normal.dotm</Template>
  <TotalTime>2</TotalTime>
  <Pages>37</Pages>
  <Words>8588</Words>
  <Characters>48956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APPENDIX B</vt:lpstr>
    </vt:vector>
  </TitlesOfParts>
  <Company>Home</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AMM</dc:creator>
  <cp:lastModifiedBy>Adrien McKenzie</cp:lastModifiedBy>
  <cp:revision>4</cp:revision>
  <cp:lastPrinted>2017-05-16T16:48:00Z</cp:lastPrinted>
  <dcterms:created xsi:type="dcterms:W3CDTF">2017-05-18T18:44:00Z</dcterms:created>
  <dcterms:modified xsi:type="dcterms:W3CDTF">2017-05-18T18:46:00Z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