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C9" w:rsidRDefault="00A715C9" w:rsidP="00A715C9">
      <w:pPr>
        <w:pStyle w:val="Question"/>
        <w:jc w:val="center"/>
      </w:pPr>
      <w:bookmarkStart w:id="0" w:name="_GoBack"/>
      <w:bookmarkEnd w:id="0"/>
      <w:r>
        <w:t>TABLE OF CONTENTS</w:t>
      </w:r>
    </w:p>
    <w:sdt>
      <w:sdtPr>
        <w:id w:val="-739555400"/>
        <w:docPartObj>
          <w:docPartGallery w:val="Table of Contents"/>
          <w:docPartUnique/>
        </w:docPartObj>
      </w:sdtPr>
      <w:sdtEndPr>
        <w:rPr>
          <w:b/>
          <w:bCs/>
          <w:noProof/>
        </w:rPr>
      </w:sdtEndPr>
      <w:sdtContent>
        <w:p w:rsidR="001749D5" w:rsidRDefault="00F97F5F">
          <w:pPr>
            <w:pStyle w:val="TOC1"/>
            <w:tabs>
              <w:tab w:val="right" w:leader="dot" w:pos="89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6630083" w:history="1">
            <w:r w:rsidR="001749D5" w:rsidRPr="00565F6C">
              <w:rPr>
                <w:rStyle w:val="Hyperlink"/>
                <w:noProof/>
              </w:rPr>
              <w:t>QUALIFICATIONS</w:t>
            </w:r>
            <w:r w:rsidR="001749D5">
              <w:rPr>
                <w:noProof/>
                <w:webHidden/>
              </w:rPr>
              <w:tab/>
            </w:r>
            <w:r w:rsidR="001749D5">
              <w:rPr>
                <w:noProof/>
                <w:webHidden/>
              </w:rPr>
              <w:fldChar w:fldCharType="begin"/>
            </w:r>
            <w:r w:rsidR="001749D5">
              <w:rPr>
                <w:noProof/>
                <w:webHidden/>
              </w:rPr>
              <w:instrText xml:space="preserve"> PAGEREF _Toc386630083 \h </w:instrText>
            </w:r>
            <w:r w:rsidR="001749D5">
              <w:rPr>
                <w:noProof/>
                <w:webHidden/>
              </w:rPr>
            </w:r>
            <w:r w:rsidR="001749D5">
              <w:rPr>
                <w:noProof/>
                <w:webHidden/>
              </w:rPr>
              <w:fldChar w:fldCharType="separate"/>
            </w:r>
            <w:r w:rsidR="001749D5">
              <w:rPr>
                <w:noProof/>
                <w:webHidden/>
              </w:rPr>
              <w:t>1</w:t>
            </w:r>
            <w:r w:rsidR="001749D5">
              <w:rPr>
                <w:noProof/>
                <w:webHidden/>
              </w:rPr>
              <w:fldChar w:fldCharType="end"/>
            </w:r>
          </w:hyperlink>
        </w:p>
        <w:p w:rsidR="001749D5" w:rsidRDefault="00935610">
          <w:pPr>
            <w:pStyle w:val="TOC1"/>
            <w:tabs>
              <w:tab w:val="right" w:leader="dot" w:pos="8990"/>
            </w:tabs>
            <w:rPr>
              <w:rFonts w:asciiTheme="minorHAnsi" w:eastAsiaTheme="minorEastAsia" w:hAnsiTheme="minorHAnsi" w:cstheme="minorBidi"/>
              <w:noProof/>
              <w:sz w:val="22"/>
              <w:szCs w:val="22"/>
            </w:rPr>
          </w:pPr>
          <w:hyperlink w:anchor="_Toc386630084" w:history="1">
            <w:r w:rsidR="001749D5" w:rsidRPr="00565F6C">
              <w:rPr>
                <w:rStyle w:val="Hyperlink"/>
                <w:noProof/>
              </w:rPr>
              <w:t>PURPOSE OF TESTIMONY</w:t>
            </w:r>
            <w:r w:rsidR="001749D5">
              <w:rPr>
                <w:noProof/>
                <w:webHidden/>
              </w:rPr>
              <w:tab/>
            </w:r>
            <w:r w:rsidR="001749D5">
              <w:rPr>
                <w:noProof/>
                <w:webHidden/>
              </w:rPr>
              <w:fldChar w:fldCharType="begin"/>
            </w:r>
            <w:r w:rsidR="001749D5">
              <w:rPr>
                <w:noProof/>
                <w:webHidden/>
              </w:rPr>
              <w:instrText xml:space="preserve"> PAGEREF _Toc386630084 \h </w:instrText>
            </w:r>
            <w:r w:rsidR="001749D5">
              <w:rPr>
                <w:noProof/>
                <w:webHidden/>
              </w:rPr>
            </w:r>
            <w:r w:rsidR="001749D5">
              <w:rPr>
                <w:noProof/>
                <w:webHidden/>
              </w:rPr>
              <w:fldChar w:fldCharType="separate"/>
            </w:r>
            <w:r w:rsidR="001749D5">
              <w:rPr>
                <w:noProof/>
                <w:webHidden/>
              </w:rPr>
              <w:t>1</w:t>
            </w:r>
            <w:r w:rsidR="001749D5">
              <w:rPr>
                <w:noProof/>
                <w:webHidden/>
              </w:rPr>
              <w:fldChar w:fldCharType="end"/>
            </w:r>
          </w:hyperlink>
        </w:p>
        <w:p w:rsidR="001749D5" w:rsidRDefault="00935610">
          <w:pPr>
            <w:pStyle w:val="TOC1"/>
            <w:tabs>
              <w:tab w:val="right" w:leader="dot" w:pos="8990"/>
            </w:tabs>
            <w:rPr>
              <w:rFonts w:asciiTheme="minorHAnsi" w:eastAsiaTheme="minorEastAsia" w:hAnsiTheme="minorHAnsi" w:cstheme="minorBidi"/>
              <w:noProof/>
              <w:sz w:val="22"/>
              <w:szCs w:val="22"/>
            </w:rPr>
          </w:pPr>
          <w:hyperlink w:anchor="_Toc386630085" w:history="1">
            <w:r w:rsidR="001749D5" w:rsidRPr="00565F6C">
              <w:rPr>
                <w:rStyle w:val="Hyperlink"/>
                <w:noProof/>
              </w:rPr>
              <w:t>REASONS FOR THE PROPOSED RATE CHANGE</w:t>
            </w:r>
            <w:r w:rsidR="001749D5">
              <w:rPr>
                <w:noProof/>
                <w:webHidden/>
              </w:rPr>
              <w:tab/>
            </w:r>
            <w:r w:rsidR="001749D5">
              <w:rPr>
                <w:noProof/>
                <w:webHidden/>
              </w:rPr>
              <w:fldChar w:fldCharType="begin"/>
            </w:r>
            <w:r w:rsidR="001749D5">
              <w:rPr>
                <w:noProof/>
                <w:webHidden/>
              </w:rPr>
              <w:instrText xml:space="preserve"> PAGEREF _Toc386630085 \h </w:instrText>
            </w:r>
            <w:r w:rsidR="001749D5">
              <w:rPr>
                <w:noProof/>
                <w:webHidden/>
              </w:rPr>
            </w:r>
            <w:r w:rsidR="001749D5">
              <w:rPr>
                <w:noProof/>
                <w:webHidden/>
              </w:rPr>
              <w:fldChar w:fldCharType="separate"/>
            </w:r>
            <w:r w:rsidR="001749D5">
              <w:rPr>
                <w:noProof/>
                <w:webHidden/>
              </w:rPr>
              <w:t>2</w:t>
            </w:r>
            <w:r w:rsidR="001749D5">
              <w:rPr>
                <w:noProof/>
                <w:webHidden/>
              </w:rPr>
              <w:fldChar w:fldCharType="end"/>
            </w:r>
          </w:hyperlink>
        </w:p>
        <w:p w:rsidR="001749D5" w:rsidRDefault="00935610">
          <w:pPr>
            <w:pStyle w:val="TOC1"/>
            <w:tabs>
              <w:tab w:val="right" w:leader="dot" w:pos="8990"/>
            </w:tabs>
            <w:rPr>
              <w:rFonts w:asciiTheme="minorHAnsi" w:eastAsiaTheme="minorEastAsia" w:hAnsiTheme="minorHAnsi" w:cstheme="minorBidi"/>
              <w:noProof/>
              <w:sz w:val="22"/>
              <w:szCs w:val="22"/>
            </w:rPr>
          </w:pPr>
          <w:hyperlink w:anchor="_Toc386630086" w:history="1">
            <w:r w:rsidR="001749D5" w:rsidRPr="00565F6C">
              <w:rPr>
                <w:rStyle w:val="Hyperlink"/>
                <w:noProof/>
              </w:rPr>
              <w:t>COST CONTROL MEASURES</w:t>
            </w:r>
            <w:r w:rsidR="001749D5">
              <w:rPr>
                <w:noProof/>
                <w:webHidden/>
              </w:rPr>
              <w:tab/>
            </w:r>
            <w:r w:rsidR="001749D5">
              <w:rPr>
                <w:noProof/>
                <w:webHidden/>
              </w:rPr>
              <w:fldChar w:fldCharType="begin"/>
            </w:r>
            <w:r w:rsidR="001749D5">
              <w:rPr>
                <w:noProof/>
                <w:webHidden/>
              </w:rPr>
              <w:instrText xml:space="preserve"> PAGEREF _Toc386630086 \h </w:instrText>
            </w:r>
            <w:r w:rsidR="001749D5">
              <w:rPr>
                <w:noProof/>
                <w:webHidden/>
              </w:rPr>
            </w:r>
            <w:r w:rsidR="001749D5">
              <w:rPr>
                <w:noProof/>
                <w:webHidden/>
              </w:rPr>
              <w:fldChar w:fldCharType="separate"/>
            </w:r>
            <w:r w:rsidR="001749D5">
              <w:rPr>
                <w:noProof/>
                <w:webHidden/>
              </w:rPr>
              <w:t>4</w:t>
            </w:r>
            <w:r w:rsidR="001749D5">
              <w:rPr>
                <w:noProof/>
                <w:webHidden/>
              </w:rPr>
              <w:fldChar w:fldCharType="end"/>
            </w:r>
          </w:hyperlink>
        </w:p>
        <w:p w:rsidR="001749D5" w:rsidRDefault="00935610">
          <w:pPr>
            <w:pStyle w:val="TOC1"/>
            <w:tabs>
              <w:tab w:val="right" w:leader="dot" w:pos="8990"/>
            </w:tabs>
            <w:rPr>
              <w:rFonts w:asciiTheme="minorHAnsi" w:eastAsiaTheme="minorEastAsia" w:hAnsiTheme="minorHAnsi" w:cstheme="minorBidi"/>
              <w:noProof/>
              <w:sz w:val="22"/>
              <w:szCs w:val="22"/>
            </w:rPr>
          </w:pPr>
          <w:hyperlink w:anchor="_Toc386630087" w:history="1">
            <w:r w:rsidR="001749D5" w:rsidRPr="00565F6C">
              <w:rPr>
                <w:rStyle w:val="Hyperlink"/>
                <w:noProof/>
              </w:rPr>
              <w:t>PROPOSALS TO ADDRESS CHRONIC UNDER-RECOVERY</w:t>
            </w:r>
            <w:r w:rsidR="001749D5">
              <w:rPr>
                <w:noProof/>
                <w:webHidden/>
              </w:rPr>
              <w:tab/>
            </w:r>
            <w:r w:rsidR="001749D5">
              <w:rPr>
                <w:noProof/>
                <w:webHidden/>
              </w:rPr>
              <w:fldChar w:fldCharType="begin"/>
            </w:r>
            <w:r w:rsidR="001749D5">
              <w:rPr>
                <w:noProof/>
                <w:webHidden/>
              </w:rPr>
              <w:instrText xml:space="preserve"> PAGEREF _Toc386630087 \h </w:instrText>
            </w:r>
            <w:r w:rsidR="001749D5">
              <w:rPr>
                <w:noProof/>
                <w:webHidden/>
              </w:rPr>
            </w:r>
            <w:r w:rsidR="001749D5">
              <w:rPr>
                <w:noProof/>
                <w:webHidden/>
              </w:rPr>
              <w:fldChar w:fldCharType="separate"/>
            </w:r>
            <w:r w:rsidR="001749D5">
              <w:rPr>
                <w:noProof/>
                <w:webHidden/>
              </w:rPr>
              <w:t>9</w:t>
            </w:r>
            <w:r w:rsidR="001749D5">
              <w:rPr>
                <w:noProof/>
                <w:webHidden/>
              </w:rPr>
              <w:fldChar w:fldCharType="end"/>
            </w:r>
          </w:hyperlink>
        </w:p>
        <w:p w:rsidR="001749D5" w:rsidRDefault="00935610">
          <w:pPr>
            <w:pStyle w:val="TOC2"/>
            <w:rPr>
              <w:rFonts w:asciiTheme="minorHAnsi" w:eastAsiaTheme="minorEastAsia" w:hAnsiTheme="minorHAnsi" w:cstheme="minorBidi"/>
              <w:sz w:val="22"/>
              <w:szCs w:val="22"/>
            </w:rPr>
          </w:pPr>
          <w:hyperlink w:anchor="_Toc386630088" w:history="1">
            <w:r w:rsidR="001749D5" w:rsidRPr="00565F6C">
              <w:rPr>
                <w:rStyle w:val="Hyperlink"/>
              </w:rPr>
              <w:t>End-of-Period Rate Base Balances</w:t>
            </w:r>
            <w:r w:rsidR="001749D5">
              <w:rPr>
                <w:webHidden/>
              </w:rPr>
              <w:tab/>
            </w:r>
            <w:r w:rsidR="001749D5">
              <w:rPr>
                <w:webHidden/>
              </w:rPr>
              <w:fldChar w:fldCharType="begin"/>
            </w:r>
            <w:r w:rsidR="001749D5">
              <w:rPr>
                <w:webHidden/>
              </w:rPr>
              <w:instrText xml:space="preserve"> PAGEREF _Toc386630088 \h </w:instrText>
            </w:r>
            <w:r w:rsidR="001749D5">
              <w:rPr>
                <w:webHidden/>
              </w:rPr>
            </w:r>
            <w:r w:rsidR="001749D5">
              <w:rPr>
                <w:webHidden/>
              </w:rPr>
              <w:fldChar w:fldCharType="separate"/>
            </w:r>
            <w:r w:rsidR="001749D5">
              <w:rPr>
                <w:webHidden/>
              </w:rPr>
              <w:t>9</w:t>
            </w:r>
            <w:r w:rsidR="001749D5">
              <w:rPr>
                <w:webHidden/>
              </w:rPr>
              <w:fldChar w:fldCharType="end"/>
            </w:r>
          </w:hyperlink>
        </w:p>
        <w:p w:rsidR="001749D5" w:rsidRDefault="00935610">
          <w:pPr>
            <w:pStyle w:val="TOC2"/>
            <w:rPr>
              <w:rFonts w:asciiTheme="minorHAnsi" w:eastAsiaTheme="minorEastAsia" w:hAnsiTheme="minorHAnsi" w:cstheme="minorBidi"/>
              <w:sz w:val="22"/>
              <w:szCs w:val="22"/>
            </w:rPr>
          </w:pPr>
          <w:hyperlink w:anchor="_Toc386630089" w:history="1">
            <w:r w:rsidR="001749D5" w:rsidRPr="00565F6C">
              <w:rPr>
                <w:rStyle w:val="Hyperlink"/>
              </w:rPr>
              <w:t>IHS Global Insights Indices</w:t>
            </w:r>
            <w:r w:rsidR="001749D5">
              <w:rPr>
                <w:webHidden/>
              </w:rPr>
              <w:tab/>
            </w:r>
            <w:r w:rsidR="001749D5">
              <w:rPr>
                <w:webHidden/>
              </w:rPr>
              <w:fldChar w:fldCharType="begin"/>
            </w:r>
            <w:r w:rsidR="001749D5">
              <w:rPr>
                <w:webHidden/>
              </w:rPr>
              <w:instrText xml:space="preserve"> PAGEREF _Toc386630089 \h </w:instrText>
            </w:r>
            <w:r w:rsidR="001749D5">
              <w:rPr>
                <w:webHidden/>
              </w:rPr>
            </w:r>
            <w:r w:rsidR="001749D5">
              <w:rPr>
                <w:webHidden/>
              </w:rPr>
              <w:fldChar w:fldCharType="separate"/>
            </w:r>
            <w:r w:rsidR="001749D5">
              <w:rPr>
                <w:webHidden/>
              </w:rPr>
              <w:t>10</w:t>
            </w:r>
            <w:r w:rsidR="001749D5">
              <w:rPr>
                <w:webHidden/>
              </w:rPr>
              <w:fldChar w:fldCharType="end"/>
            </w:r>
          </w:hyperlink>
        </w:p>
        <w:p w:rsidR="001749D5" w:rsidRDefault="00935610">
          <w:pPr>
            <w:pStyle w:val="TOC2"/>
            <w:rPr>
              <w:rFonts w:asciiTheme="minorHAnsi" w:eastAsiaTheme="minorEastAsia" w:hAnsiTheme="minorHAnsi" w:cstheme="minorBidi"/>
              <w:sz w:val="22"/>
              <w:szCs w:val="22"/>
            </w:rPr>
          </w:pPr>
          <w:hyperlink w:anchor="_Toc386630090" w:history="1">
            <w:r w:rsidR="001749D5" w:rsidRPr="00565F6C">
              <w:rPr>
                <w:rStyle w:val="Hyperlink"/>
              </w:rPr>
              <w:t>Labor Expenses</w:t>
            </w:r>
            <w:r w:rsidR="001749D5">
              <w:rPr>
                <w:webHidden/>
              </w:rPr>
              <w:tab/>
            </w:r>
            <w:r w:rsidR="001749D5">
              <w:rPr>
                <w:webHidden/>
              </w:rPr>
              <w:fldChar w:fldCharType="begin"/>
            </w:r>
            <w:r w:rsidR="001749D5">
              <w:rPr>
                <w:webHidden/>
              </w:rPr>
              <w:instrText xml:space="preserve"> PAGEREF _Toc386630090 \h </w:instrText>
            </w:r>
            <w:r w:rsidR="001749D5">
              <w:rPr>
                <w:webHidden/>
              </w:rPr>
            </w:r>
            <w:r w:rsidR="001749D5">
              <w:rPr>
                <w:webHidden/>
              </w:rPr>
              <w:fldChar w:fldCharType="separate"/>
            </w:r>
            <w:r w:rsidR="001749D5">
              <w:rPr>
                <w:webHidden/>
              </w:rPr>
              <w:t>11</w:t>
            </w:r>
            <w:r w:rsidR="001749D5">
              <w:rPr>
                <w:webHidden/>
              </w:rPr>
              <w:fldChar w:fldCharType="end"/>
            </w:r>
          </w:hyperlink>
        </w:p>
        <w:p w:rsidR="001749D5" w:rsidRDefault="00935610">
          <w:pPr>
            <w:pStyle w:val="TOC2"/>
            <w:rPr>
              <w:rFonts w:asciiTheme="minorHAnsi" w:eastAsiaTheme="minorEastAsia" w:hAnsiTheme="minorHAnsi" w:cstheme="minorBidi"/>
              <w:sz w:val="22"/>
              <w:szCs w:val="22"/>
            </w:rPr>
          </w:pPr>
          <w:hyperlink w:anchor="_Toc386630091" w:history="1">
            <w:r w:rsidR="001749D5" w:rsidRPr="00565F6C">
              <w:rPr>
                <w:rStyle w:val="Hyperlink"/>
              </w:rPr>
              <w:t>Pro Forma Capital Additions</w:t>
            </w:r>
            <w:r w:rsidR="001749D5">
              <w:rPr>
                <w:webHidden/>
              </w:rPr>
              <w:tab/>
            </w:r>
            <w:r w:rsidR="001749D5">
              <w:rPr>
                <w:webHidden/>
              </w:rPr>
              <w:fldChar w:fldCharType="begin"/>
            </w:r>
            <w:r w:rsidR="001749D5">
              <w:rPr>
                <w:webHidden/>
              </w:rPr>
              <w:instrText xml:space="preserve"> PAGEREF _Toc386630091 \h </w:instrText>
            </w:r>
            <w:r w:rsidR="001749D5">
              <w:rPr>
                <w:webHidden/>
              </w:rPr>
            </w:r>
            <w:r w:rsidR="001749D5">
              <w:rPr>
                <w:webHidden/>
              </w:rPr>
              <w:fldChar w:fldCharType="separate"/>
            </w:r>
            <w:r w:rsidR="001749D5">
              <w:rPr>
                <w:webHidden/>
              </w:rPr>
              <w:t>12</w:t>
            </w:r>
            <w:r w:rsidR="001749D5">
              <w:rPr>
                <w:webHidden/>
              </w:rPr>
              <w:fldChar w:fldCharType="end"/>
            </w:r>
          </w:hyperlink>
        </w:p>
        <w:p w:rsidR="001749D5" w:rsidRDefault="00935610">
          <w:pPr>
            <w:pStyle w:val="TOC2"/>
            <w:rPr>
              <w:rFonts w:asciiTheme="minorHAnsi" w:eastAsiaTheme="minorEastAsia" w:hAnsiTheme="minorHAnsi" w:cstheme="minorBidi"/>
              <w:sz w:val="22"/>
              <w:szCs w:val="22"/>
            </w:rPr>
          </w:pPr>
          <w:hyperlink w:anchor="_Toc386630092" w:history="1">
            <w:r w:rsidR="001749D5" w:rsidRPr="00565F6C">
              <w:rPr>
                <w:rStyle w:val="Hyperlink"/>
              </w:rPr>
              <w:t>Renewable Resource Tracking Mechanism (RRTM)</w:t>
            </w:r>
            <w:r w:rsidR="001749D5">
              <w:rPr>
                <w:webHidden/>
              </w:rPr>
              <w:tab/>
            </w:r>
            <w:r w:rsidR="001749D5">
              <w:rPr>
                <w:webHidden/>
              </w:rPr>
              <w:fldChar w:fldCharType="begin"/>
            </w:r>
            <w:r w:rsidR="001749D5">
              <w:rPr>
                <w:webHidden/>
              </w:rPr>
              <w:instrText xml:space="preserve"> PAGEREF _Toc386630092 \h </w:instrText>
            </w:r>
            <w:r w:rsidR="001749D5">
              <w:rPr>
                <w:webHidden/>
              </w:rPr>
            </w:r>
            <w:r w:rsidR="001749D5">
              <w:rPr>
                <w:webHidden/>
              </w:rPr>
              <w:fldChar w:fldCharType="separate"/>
            </w:r>
            <w:r w:rsidR="001749D5">
              <w:rPr>
                <w:webHidden/>
              </w:rPr>
              <w:t>13</w:t>
            </w:r>
            <w:r w:rsidR="001749D5">
              <w:rPr>
                <w:webHidden/>
              </w:rPr>
              <w:fldChar w:fldCharType="end"/>
            </w:r>
          </w:hyperlink>
        </w:p>
        <w:p w:rsidR="001749D5" w:rsidRDefault="00935610">
          <w:pPr>
            <w:pStyle w:val="TOC1"/>
            <w:tabs>
              <w:tab w:val="right" w:leader="dot" w:pos="8990"/>
            </w:tabs>
            <w:rPr>
              <w:rFonts w:asciiTheme="minorHAnsi" w:eastAsiaTheme="minorEastAsia" w:hAnsiTheme="minorHAnsi" w:cstheme="minorBidi"/>
              <w:noProof/>
              <w:sz w:val="22"/>
              <w:szCs w:val="22"/>
            </w:rPr>
          </w:pPr>
          <w:hyperlink w:anchor="_Toc386630093" w:history="1">
            <w:r w:rsidR="001749D5" w:rsidRPr="00565F6C">
              <w:rPr>
                <w:rStyle w:val="Hyperlink"/>
                <w:noProof/>
              </w:rPr>
              <w:t>CONCLUSION</w:t>
            </w:r>
            <w:r w:rsidR="001749D5">
              <w:rPr>
                <w:noProof/>
                <w:webHidden/>
              </w:rPr>
              <w:tab/>
            </w:r>
            <w:r w:rsidR="001749D5">
              <w:rPr>
                <w:noProof/>
                <w:webHidden/>
              </w:rPr>
              <w:fldChar w:fldCharType="begin"/>
            </w:r>
            <w:r w:rsidR="001749D5">
              <w:rPr>
                <w:noProof/>
                <w:webHidden/>
              </w:rPr>
              <w:instrText xml:space="preserve"> PAGEREF _Toc386630093 \h </w:instrText>
            </w:r>
            <w:r w:rsidR="001749D5">
              <w:rPr>
                <w:noProof/>
                <w:webHidden/>
              </w:rPr>
            </w:r>
            <w:r w:rsidR="001749D5">
              <w:rPr>
                <w:noProof/>
                <w:webHidden/>
              </w:rPr>
              <w:fldChar w:fldCharType="separate"/>
            </w:r>
            <w:r w:rsidR="001749D5">
              <w:rPr>
                <w:noProof/>
                <w:webHidden/>
              </w:rPr>
              <w:t>13</w:t>
            </w:r>
            <w:r w:rsidR="001749D5">
              <w:rPr>
                <w:noProof/>
                <w:webHidden/>
              </w:rPr>
              <w:fldChar w:fldCharType="end"/>
            </w:r>
          </w:hyperlink>
        </w:p>
        <w:p w:rsidR="008E085A" w:rsidRDefault="00F97F5F">
          <w:pPr>
            <w:rPr>
              <w:b/>
              <w:bCs/>
              <w:noProof/>
            </w:rPr>
          </w:pPr>
          <w:r>
            <w:rPr>
              <w:b/>
              <w:bCs/>
              <w:noProof/>
            </w:rPr>
            <w:fldChar w:fldCharType="end"/>
          </w:r>
        </w:p>
      </w:sdtContent>
    </w:sdt>
    <w:p w:rsidR="008E085A" w:rsidRDefault="008E085A"/>
    <w:p w:rsidR="00A715C9" w:rsidRDefault="008E085A" w:rsidP="00A715C9">
      <w:pPr>
        <w:pStyle w:val="Question"/>
        <w:jc w:val="center"/>
      </w:pPr>
      <w:r>
        <w:t>ATTACHED EXHIBIT</w:t>
      </w:r>
    </w:p>
    <w:p w:rsidR="00A715C9" w:rsidRPr="00A715C9" w:rsidRDefault="00A715C9" w:rsidP="00064531">
      <w:pPr>
        <w:pStyle w:val="Question"/>
        <w:tabs>
          <w:tab w:val="left" w:pos="2610"/>
        </w:tabs>
        <w:spacing w:line="240" w:lineRule="auto"/>
        <w:ind w:left="0" w:firstLine="0"/>
        <w:jc w:val="left"/>
        <w:rPr>
          <w:b w:val="0"/>
        </w:rPr>
      </w:pPr>
      <w:r w:rsidRPr="00A715C9">
        <w:rPr>
          <w:b w:val="0"/>
        </w:rPr>
        <w:t>Exhibit No.__</w:t>
      </w:r>
      <w:proofErr w:type="gramStart"/>
      <w:r w:rsidRPr="00A715C9">
        <w:rPr>
          <w:b w:val="0"/>
        </w:rPr>
        <w:t>_(</w:t>
      </w:r>
      <w:proofErr w:type="gramEnd"/>
      <w:r w:rsidRPr="00A715C9">
        <w:rPr>
          <w:b w:val="0"/>
        </w:rPr>
        <w:t xml:space="preserve">RBD-2)—Summary Sheets from Commission Basis Reports from 2006 </w:t>
      </w:r>
      <w:r>
        <w:rPr>
          <w:b w:val="0"/>
        </w:rPr>
        <w:tab/>
      </w:r>
      <w:r w:rsidRPr="00A715C9">
        <w:rPr>
          <w:b w:val="0"/>
        </w:rPr>
        <w:t>through 2012</w:t>
      </w:r>
    </w:p>
    <w:p w:rsidR="00A715C9" w:rsidRDefault="00A715C9" w:rsidP="00D30E52">
      <w:pPr>
        <w:pStyle w:val="Question"/>
        <w:jc w:val="left"/>
      </w:pPr>
    </w:p>
    <w:p w:rsidR="00A715C9" w:rsidRDefault="00A715C9" w:rsidP="00D30E52">
      <w:pPr>
        <w:pStyle w:val="Question"/>
        <w:jc w:val="left"/>
      </w:pPr>
    </w:p>
    <w:p w:rsidR="00A715C9" w:rsidRDefault="00A715C9" w:rsidP="00D30E52">
      <w:pPr>
        <w:pStyle w:val="Question"/>
        <w:jc w:val="left"/>
      </w:pPr>
    </w:p>
    <w:p w:rsidR="00A715C9" w:rsidRDefault="00A715C9" w:rsidP="00D30E52">
      <w:pPr>
        <w:pStyle w:val="Question"/>
        <w:jc w:val="left"/>
      </w:pPr>
    </w:p>
    <w:p w:rsidR="00A715C9" w:rsidRDefault="00A715C9" w:rsidP="00D30E52">
      <w:pPr>
        <w:pStyle w:val="Question"/>
        <w:jc w:val="left"/>
        <w:sectPr w:rsidR="00A715C9" w:rsidSect="008E08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docGrid w:linePitch="360"/>
        </w:sectPr>
      </w:pPr>
    </w:p>
    <w:p w:rsidR="00143AE5" w:rsidRPr="00BF20EE" w:rsidRDefault="00143AE5" w:rsidP="00D30E52">
      <w:pPr>
        <w:pStyle w:val="Question"/>
        <w:jc w:val="left"/>
      </w:pPr>
      <w:r w:rsidRPr="00BF20EE">
        <w:lastRenderedPageBreak/>
        <w:t>Q.</w:t>
      </w:r>
      <w:r w:rsidRPr="00BF20EE">
        <w:tab/>
        <w:t>Please</w:t>
      </w:r>
      <w:r w:rsidR="00A22AEC">
        <w:t xml:space="preserve"> </w:t>
      </w:r>
      <w:r w:rsidRPr="00BF20EE">
        <w:t>state</w:t>
      </w:r>
      <w:r w:rsidR="00A22AEC">
        <w:t xml:space="preserve"> </w:t>
      </w:r>
      <w:r w:rsidRPr="00BF20EE">
        <w:t>your</w:t>
      </w:r>
      <w:r w:rsidR="00A22AEC">
        <w:t xml:space="preserve"> </w:t>
      </w:r>
      <w:r w:rsidRPr="00BF20EE">
        <w:t>name,</w:t>
      </w:r>
      <w:r w:rsidR="00A22AEC">
        <w:t xml:space="preserve"> </w:t>
      </w:r>
      <w:r w:rsidRPr="00BF20EE">
        <w:t>business</w:t>
      </w:r>
      <w:r w:rsidR="00A22AEC">
        <w:t xml:space="preserve"> </w:t>
      </w:r>
      <w:r w:rsidRPr="00BF20EE">
        <w:t>address</w:t>
      </w:r>
      <w:r w:rsidR="00532974">
        <w:t>,</w:t>
      </w:r>
      <w:r w:rsidR="00A22AEC">
        <w:t xml:space="preserve"> </w:t>
      </w:r>
      <w:r w:rsidRPr="00BF20EE">
        <w:t>and</w:t>
      </w:r>
      <w:r w:rsidR="00A22AEC">
        <w:t xml:space="preserve"> </w:t>
      </w:r>
      <w:r w:rsidRPr="00BF20EE">
        <w:t>present</w:t>
      </w:r>
      <w:r w:rsidR="00A22AEC">
        <w:t xml:space="preserve"> </w:t>
      </w:r>
      <w:r w:rsidRPr="00BF20EE">
        <w:t>position</w:t>
      </w:r>
      <w:r w:rsidR="00A22AEC">
        <w:t xml:space="preserve"> </w:t>
      </w:r>
      <w:r w:rsidRPr="00BF20EE">
        <w:t>with</w:t>
      </w:r>
      <w:r w:rsidR="00A22AEC">
        <w:t xml:space="preserve"> Pacific Power &amp; Light Company </w:t>
      </w:r>
      <w:r w:rsidRPr="00BF20EE">
        <w:t>(</w:t>
      </w:r>
      <w:r w:rsidR="00D824FA">
        <w:t>Pacifi</w:t>
      </w:r>
      <w:r w:rsidR="002551FE">
        <w:t>c Power</w:t>
      </w:r>
      <w:r w:rsidR="00D824FA">
        <w:t xml:space="preserve"> or</w:t>
      </w:r>
      <w:r w:rsidR="00A22AEC">
        <w:t xml:space="preserve"> </w:t>
      </w:r>
      <w:r w:rsidR="002551FE">
        <w:t>Company), a division of PacifiCorp.</w:t>
      </w:r>
    </w:p>
    <w:p w:rsidR="00143AE5" w:rsidRPr="00BF20EE" w:rsidRDefault="00143AE5" w:rsidP="00D30E52">
      <w:pPr>
        <w:pStyle w:val="Answer"/>
        <w:jc w:val="left"/>
      </w:pPr>
      <w:r w:rsidRPr="00BF20EE">
        <w:t>A.</w:t>
      </w:r>
      <w:r w:rsidRPr="00BF20EE">
        <w:tab/>
        <w:t>My</w:t>
      </w:r>
      <w:r w:rsidR="00A22AEC">
        <w:t xml:space="preserve"> </w:t>
      </w:r>
      <w:r w:rsidRPr="00BF20EE">
        <w:t>name</w:t>
      </w:r>
      <w:r w:rsidR="00A22AEC">
        <w:t xml:space="preserve"> </w:t>
      </w:r>
      <w:r w:rsidRPr="00BF20EE">
        <w:t>is</w:t>
      </w:r>
      <w:r w:rsidR="00A22AEC">
        <w:t xml:space="preserve"> </w:t>
      </w:r>
      <w:r w:rsidRPr="00BF20EE">
        <w:t>R</w:t>
      </w:r>
      <w:r w:rsidR="00A22AEC">
        <w:t xml:space="preserve">. </w:t>
      </w:r>
      <w:r w:rsidRPr="00BF20EE">
        <w:t>Bryce</w:t>
      </w:r>
      <w:r w:rsidR="00A22AEC">
        <w:t xml:space="preserve"> </w:t>
      </w:r>
      <w:r w:rsidRPr="00BF20EE">
        <w:t>Dalley</w:t>
      </w:r>
      <w:r w:rsidR="00A22AEC">
        <w:t xml:space="preserve"> </w:t>
      </w:r>
      <w:r w:rsidRPr="00BF20EE">
        <w:t>and</w:t>
      </w:r>
      <w:r w:rsidR="00A22AEC">
        <w:t xml:space="preserve"> </w:t>
      </w:r>
      <w:r w:rsidRPr="00BF20EE">
        <w:t>my</w:t>
      </w:r>
      <w:r w:rsidR="00A22AEC">
        <w:t xml:space="preserve"> </w:t>
      </w:r>
      <w:r w:rsidRPr="00BF20EE">
        <w:t>business</w:t>
      </w:r>
      <w:r w:rsidR="00A22AEC">
        <w:t xml:space="preserve"> </w:t>
      </w:r>
      <w:r w:rsidRPr="00BF20EE">
        <w:t>address</w:t>
      </w:r>
      <w:r w:rsidR="00A22AEC">
        <w:t xml:space="preserve"> </w:t>
      </w:r>
      <w:r w:rsidRPr="00BF20EE">
        <w:t>is</w:t>
      </w:r>
      <w:r w:rsidR="00A22AEC">
        <w:t xml:space="preserve"> </w:t>
      </w:r>
      <w:r w:rsidRPr="00BF20EE">
        <w:t>825</w:t>
      </w:r>
      <w:r w:rsidR="00A22AEC">
        <w:t xml:space="preserve"> </w:t>
      </w:r>
      <w:r w:rsidRPr="00BF20EE">
        <w:t>NE</w:t>
      </w:r>
      <w:r w:rsidR="00A22AEC">
        <w:t xml:space="preserve"> </w:t>
      </w:r>
      <w:r w:rsidRPr="00BF20EE">
        <w:t>Multnomah</w:t>
      </w:r>
      <w:r w:rsidR="008C151F">
        <w:t xml:space="preserve"> Street</w:t>
      </w:r>
      <w:r w:rsidRPr="00BF20EE">
        <w:t>,</w:t>
      </w:r>
      <w:r w:rsidR="00A22AEC">
        <w:t xml:space="preserve"> </w:t>
      </w:r>
      <w:r w:rsidRPr="00BF20EE">
        <w:t>Suite</w:t>
      </w:r>
      <w:r w:rsidR="00A22AEC">
        <w:t xml:space="preserve"> </w:t>
      </w:r>
      <w:r w:rsidRPr="00BF20EE">
        <w:t>2000,</w:t>
      </w:r>
      <w:r w:rsidR="00A22AEC">
        <w:t xml:space="preserve"> </w:t>
      </w:r>
      <w:r w:rsidRPr="00BF20EE">
        <w:t>Portland,</w:t>
      </w:r>
      <w:r w:rsidR="00A22AEC">
        <w:t xml:space="preserve"> </w:t>
      </w:r>
      <w:r w:rsidR="00363B7A">
        <w:t>Oregon</w:t>
      </w:r>
      <w:r w:rsidR="00A22AEC">
        <w:t xml:space="preserve"> </w:t>
      </w:r>
      <w:r w:rsidRPr="00BF20EE">
        <w:t>97232</w:t>
      </w:r>
      <w:r w:rsidR="00A22AEC">
        <w:t xml:space="preserve">.  </w:t>
      </w:r>
      <w:r w:rsidRPr="00BF20EE">
        <w:t>I</w:t>
      </w:r>
      <w:r w:rsidR="00A22AEC">
        <w:t xml:space="preserve"> </w:t>
      </w:r>
      <w:r w:rsidRPr="00BF20EE">
        <w:t>am</w:t>
      </w:r>
      <w:r w:rsidR="00A22AEC">
        <w:t xml:space="preserve"> </w:t>
      </w:r>
      <w:r w:rsidRPr="00BF20EE">
        <w:t>currently</w:t>
      </w:r>
      <w:r w:rsidR="00A22AEC">
        <w:t xml:space="preserve"> </w:t>
      </w:r>
      <w:r w:rsidRPr="00BF20EE">
        <w:t>employed</w:t>
      </w:r>
      <w:r w:rsidR="00A22AEC">
        <w:t xml:space="preserve"> </w:t>
      </w:r>
      <w:r w:rsidRPr="00BF20EE">
        <w:t>as</w:t>
      </w:r>
      <w:r w:rsidR="00A22AEC">
        <w:t xml:space="preserve"> </w:t>
      </w:r>
      <w:r w:rsidR="002551FE">
        <w:t>Vice President</w:t>
      </w:r>
      <w:r w:rsidR="007477E6">
        <w:t>,</w:t>
      </w:r>
      <w:r w:rsidR="00A22AEC">
        <w:t xml:space="preserve"> </w:t>
      </w:r>
      <w:r w:rsidR="007477E6">
        <w:t>Regulat</w:t>
      </w:r>
      <w:r w:rsidR="002551FE">
        <w:t>ion</w:t>
      </w:r>
      <w:r w:rsidRPr="00BF20EE">
        <w:t>.</w:t>
      </w:r>
    </w:p>
    <w:p w:rsidR="00143AE5" w:rsidRPr="00BF20EE" w:rsidRDefault="002551FE" w:rsidP="00F97F5F">
      <w:pPr>
        <w:pStyle w:val="Heading1"/>
      </w:pPr>
      <w:bookmarkStart w:id="1" w:name="_Toc386630083"/>
      <w:r w:rsidRPr="00F97F5F">
        <w:t>QUALIFICATIONS</w:t>
      </w:r>
      <w:bookmarkEnd w:id="1"/>
    </w:p>
    <w:p w:rsidR="00143AE5" w:rsidRPr="00BF20EE" w:rsidRDefault="00CB5EBA" w:rsidP="00D30E52">
      <w:pPr>
        <w:pStyle w:val="Question"/>
        <w:jc w:val="left"/>
      </w:pPr>
      <w:r>
        <w:t>Q.</w:t>
      </w:r>
      <w:r>
        <w:tab/>
        <w:t>Please</w:t>
      </w:r>
      <w:r w:rsidR="00A22AEC">
        <w:t xml:space="preserve"> </w:t>
      </w:r>
      <w:r w:rsidR="00143AE5" w:rsidRPr="00BF20EE">
        <w:t>describe</w:t>
      </w:r>
      <w:r w:rsidR="00A22AEC">
        <w:t xml:space="preserve"> </w:t>
      </w:r>
      <w:r w:rsidR="00143AE5" w:rsidRPr="00BF20EE">
        <w:t>your</w:t>
      </w:r>
      <w:r w:rsidR="00A22AEC">
        <w:t xml:space="preserve"> </w:t>
      </w:r>
      <w:r w:rsidR="00016109">
        <w:t>education</w:t>
      </w:r>
      <w:r w:rsidR="00A22AEC">
        <w:t xml:space="preserve"> </w:t>
      </w:r>
      <w:r w:rsidR="00143AE5" w:rsidRPr="00BF20EE">
        <w:t>and</w:t>
      </w:r>
      <w:r w:rsidR="00A22AEC">
        <w:t xml:space="preserve"> </w:t>
      </w:r>
      <w:r w:rsidR="00143AE5" w:rsidRPr="00BF20EE">
        <w:t>professional</w:t>
      </w:r>
      <w:r w:rsidR="00A22AEC">
        <w:t xml:space="preserve"> </w:t>
      </w:r>
      <w:r w:rsidR="00410A71">
        <w:t>experience</w:t>
      </w:r>
      <w:r w:rsidR="00143AE5" w:rsidRPr="00BF20EE">
        <w:t>.</w:t>
      </w:r>
    </w:p>
    <w:p w:rsidR="00532974" w:rsidRDefault="00143AE5" w:rsidP="0055671E">
      <w:pPr>
        <w:pStyle w:val="Answer"/>
        <w:widowControl w:val="0"/>
        <w:jc w:val="left"/>
      </w:pPr>
      <w:r w:rsidRPr="00BF20EE">
        <w:t>A.</w:t>
      </w:r>
      <w:r w:rsidRPr="00BF20EE">
        <w:tab/>
      </w:r>
      <w:r w:rsidR="007477E6" w:rsidRPr="00C11338">
        <w:t>I</w:t>
      </w:r>
      <w:r w:rsidR="00A22AEC">
        <w:t xml:space="preserve"> </w:t>
      </w:r>
      <w:r w:rsidR="007477E6" w:rsidRPr="00C11338">
        <w:t>received</w:t>
      </w:r>
      <w:r w:rsidR="00A22AEC">
        <w:t xml:space="preserve"> </w:t>
      </w:r>
      <w:r w:rsidR="007477E6" w:rsidRPr="00C11338">
        <w:t>a</w:t>
      </w:r>
      <w:r w:rsidR="00A22AEC">
        <w:t xml:space="preserve"> </w:t>
      </w:r>
      <w:r w:rsidR="007477E6" w:rsidRPr="00C11338">
        <w:t>B</w:t>
      </w:r>
      <w:r w:rsidR="008A2F36">
        <w:t>achelor</w:t>
      </w:r>
      <w:r w:rsidR="00A22AEC">
        <w:t xml:space="preserve"> </w:t>
      </w:r>
      <w:r w:rsidR="008A2F36">
        <w:t>of</w:t>
      </w:r>
      <w:r w:rsidR="00A22AEC">
        <w:t xml:space="preserve"> </w:t>
      </w:r>
      <w:r w:rsidR="008A2F36">
        <w:t>Science</w:t>
      </w:r>
      <w:r w:rsidR="00A22AEC">
        <w:t xml:space="preserve"> </w:t>
      </w:r>
      <w:r w:rsidR="007477E6" w:rsidRPr="00C11338">
        <w:t>degree</w:t>
      </w:r>
      <w:r w:rsidR="00A22AEC">
        <w:t xml:space="preserve"> </w:t>
      </w:r>
      <w:r w:rsidR="007477E6" w:rsidRPr="00C11338">
        <w:t>in</w:t>
      </w:r>
      <w:r w:rsidR="00A22AEC">
        <w:t xml:space="preserve"> </w:t>
      </w:r>
      <w:r w:rsidR="007477E6">
        <w:t>Business</w:t>
      </w:r>
      <w:r w:rsidR="00A22AEC">
        <w:t xml:space="preserve"> </w:t>
      </w:r>
      <w:r w:rsidR="007477E6">
        <w:t>Management</w:t>
      </w:r>
      <w:r w:rsidR="00A22AEC">
        <w:t xml:space="preserve"> </w:t>
      </w:r>
      <w:r w:rsidR="007477E6">
        <w:t>with</w:t>
      </w:r>
      <w:r w:rsidR="00A22AEC">
        <w:t xml:space="preserve"> </w:t>
      </w:r>
      <w:r w:rsidR="007477E6">
        <w:t>an</w:t>
      </w:r>
      <w:r w:rsidR="00A22AEC">
        <w:t xml:space="preserve"> </w:t>
      </w:r>
      <w:r w:rsidR="007477E6">
        <w:t>emphasis</w:t>
      </w:r>
      <w:r w:rsidR="00A22AEC">
        <w:t xml:space="preserve"> </w:t>
      </w:r>
      <w:r w:rsidR="007477E6">
        <w:t>in</w:t>
      </w:r>
      <w:r w:rsidR="00B808EE">
        <w:t> </w:t>
      </w:r>
      <w:r w:rsidR="007477E6">
        <w:t>finance</w:t>
      </w:r>
      <w:r w:rsidR="00A22AEC">
        <w:t xml:space="preserve"> </w:t>
      </w:r>
      <w:r w:rsidR="007477E6" w:rsidRPr="00C11338">
        <w:t>from</w:t>
      </w:r>
      <w:r w:rsidR="00A22AEC">
        <w:t xml:space="preserve"> </w:t>
      </w:r>
      <w:r w:rsidR="007477E6" w:rsidRPr="00C11338">
        <w:t>Brigham</w:t>
      </w:r>
      <w:r w:rsidR="00A22AEC">
        <w:t xml:space="preserve"> </w:t>
      </w:r>
      <w:r w:rsidR="007477E6" w:rsidRPr="00C11338">
        <w:t>Young</w:t>
      </w:r>
      <w:r w:rsidR="00A22AEC">
        <w:t xml:space="preserve"> </w:t>
      </w:r>
      <w:r w:rsidR="007477E6" w:rsidRPr="00C11338">
        <w:t>University</w:t>
      </w:r>
      <w:r w:rsidR="00A22AEC">
        <w:t xml:space="preserve"> </w:t>
      </w:r>
      <w:r w:rsidR="007477E6">
        <w:t>in</w:t>
      </w:r>
      <w:r w:rsidR="00A22AEC">
        <w:t xml:space="preserve"> </w:t>
      </w:r>
      <w:r w:rsidR="007477E6">
        <w:t>2003</w:t>
      </w:r>
      <w:r w:rsidR="00A22AEC">
        <w:t xml:space="preserve">.  </w:t>
      </w:r>
      <w:r w:rsidR="007477E6" w:rsidRPr="0057051B">
        <w:t>I</w:t>
      </w:r>
      <w:r w:rsidR="00A22AEC">
        <w:t xml:space="preserve"> </w:t>
      </w:r>
      <w:r w:rsidR="007477E6" w:rsidRPr="0057051B">
        <w:t>completed</w:t>
      </w:r>
      <w:r w:rsidR="00A22AEC">
        <w:t xml:space="preserve"> </w:t>
      </w:r>
      <w:r w:rsidR="007477E6" w:rsidRPr="0057051B">
        <w:t>the</w:t>
      </w:r>
      <w:r w:rsidR="00A22AEC">
        <w:t xml:space="preserve"> </w:t>
      </w:r>
      <w:r w:rsidR="007477E6" w:rsidRPr="0057051B">
        <w:t>Utility</w:t>
      </w:r>
      <w:r w:rsidR="00A22AEC">
        <w:t xml:space="preserve"> </w:t>
      </w:r>
      <w:r w:rsidR="007477E6" w:rsidRPr="0057051B">
        <w:t>Management</w:t>
      </w:r>
      <w:r w:rsidR="00A22AEC">
        <w:t xml:space="preserve"> </w:t>
      </w:r>
      <w:r w:rsidR="007477E6" w:rsidRPr="0057051B">
        <w:t>Certificate</w:t>
      </w:r>
      <w:r w:rsidR="00A22AEC">
        <w:t xml:space="preserve"> </w:t>
      </w:r>
      <w:r w:rsidR="007477E6" w:rsidRPr="0057051B">
        <w:t>Program</w:t>
      </w:r>
      <w:r w:rsidR="00A22AEC">
        <w:t xml:space="preserve"> </w:t>
      </w:r>
      <w:r w:rsidR="007477E6" w:rsidRPr="0057051B">
        <w:t>at</w:t>
      </w:r>
      <w:r w:rsidR="00A22AEC">
        <w:t xml:space="preserve"> </w:t>
      </w:r>
      <w:r w:rsidR="007477E6" w:rsidRPr="0057051B">
        <w:t>Willamette</w:t>
      </w:r>
      <w:r w:rsidR="00A22AEC">
        <w:t xml:space="preserve"> </w:t>
      </w:r>
      <w:r w:rsidR="007477E6" w:rsidRPr="0057051B">
        <w:t>University</w:t>
      </w:r>
      <w:r w:rsidR="00A22AEC">
        <w:t xml:space="preserve"> </w:t>
      </w:r>
      <w:r w:rsidR="005E5651">
        <w:t>in</w:t>
      </w:r>
      <w:r w:rsidR="00A22AEC">
        <w:t xml:space="preserve"> </w:t>
      </w:r>
      <w:r w:rsidR="005E5651">
        <w:t>2009</w:t>
      </w:r>
      <w:r w:rsidR="00532974">
        <w:t>,</w:t>
      </w:r>
      <w:r w:rsidR="00A22AEC">
        <w:t xml:space="preserve"> </w:t>
      </w:r>
      <w:r w:rsidR="007477E6" w:rsidRPr="0057051B">
        <w:t>and</w:t>
      </w:r>
      <w:r w:rsidR="00A22AEC">
        <w:t xml:space="preserve"> </w:t>
      </w:r>
      <w:r w:rsidR="00D43D05">
        <w:t>I</w:t>
      </w:r>
      <w:r w:rsidR="002551FE">
        <w:t> </w:t>
      </w:r>
      <w:r w:rsidR="007477E6" w:rsidRPr="0057051B">
        <w:t>have</w:t>
      </w:r>
      <w:r w:rsidR="00A22AEC">
        <w:t xml:space="preserve"> </w:t>
      </w:r>
      <w:r w:rsidR="007477E6" w:rsidRPr="0057051B">
        <w:t>also</w:t>
      </w:r>
      <w:r w:rsidR="00A22AEC">
        <w:t xml:space="preserve"> </w:t>
      </w:r>
      <w:r w:rsidR="007477E6" w:rsidRPr="0057051B">
        <w:t>attended</w:t>
      </w:r>
      <w:r w:rsidR="00A22AEC">
        <w:t xml:space="preserve"> </w:t>
      </w:r>
      <w:r w:rsidR="007477E6" w:rsidRPr="0057051B">
        <w:t>various</w:t>
      </w:r>
      <w:r w:rsidR="00A22AEC">
        <w:t xml:space="preserve"> </w:t>
      </w:r>
      <w:r w:rsidR="007477E6" w:rsidRPr="0057051B">
        <w:t>educational,</w:t>
      </w:r>
      <w:r w:rsidR="00A22AEC">
        <w:t xml:space="preserve"> </w:t>
      </w:r>
      <w:r w:rsidR="007477E6" w:rsidRPr="0057051B">
        <w:t>professional</w:t>
      </w:r>
      <w:r w:rsidR="00532974">
        <w:t>,</w:t>
      </w:r>
      <w:r w:rsidR="00A22AEC">
        <w:t xml:space="preserve"> </w:t>
      </w:r>
      <w:r w:rsidR="005E5651">
        <w:t>and</w:t>
      </w:r>
      <w:r w:rsidR="00A22AEC">
        <w:t xml:space="preserve"> </w:t>
      </w:r>
      <w:r w:rsidR="005E5651">
        <w:t>electric-</w:t>
      </w:r>
      <w:r w:rsidR="007477E6" w:rsidRPr="0057051B">
        <w:t>industry-related</w:t>
      </w:r>
      <w:r w:rsidR="00A22AEC">
        <w:t xml:space="preserve"> </w:t>
      </w:r>
      <w:r w:rsidR="007477E6" w:rsidRPr="0057051B">
        <w:t>seminars</w:t>
      </w:r>
      <w:r w:rsidR="00A22AEC">
        <w:t xml:space="preserve">.  </w:t>
      </w:r>
      <w:r w:rsidR="007477E6" w:rsidRPr="00C11338">
        <w:t>I</w:t>
      </w:r>
      <w:r w:rsidR="00B808EE">
        <w:t> </w:t>
      </w:r>
      <w:r w:rsidR="007477E6" w:rsidRPr="00C11338">
        <w:t>have</w:t>
      </w:r>
      <w:r w:rsidR="00A22AEC">
        <w:t xml:space="preserve"> </w:t>
      </w:r>
      <w:r w:rsidR="007477E6" w:rsidRPr="00C11338">
        <w:t>been</w:t>
      </w:r>
      <w:r w:rsidR="00A22AEC">
        <w:t xml:space="preserve"> </w:t>
      </w:r>
      <w:r w:rsidR="007477E6" w:rsidRPr="00C11338">
        <w:t>employed</w:t>
      </w:r>
      <w:r w:rsidR="00A22AEC">
        <w:t xml:space="preserve"> </w:t>
      </w:r>
      <w:r w:rsidR="007477E6" w:rsidRPr="00C11338">
        <w:t>by</w:t>
      </w:r>
      <w:r w:rsidR="00A22AEC">
        <w:t xml:space="preserve"> </w:t>
      </w:r>
      <w:r w:rsidR="007477E6">
        <w:t>PacifiCorp</w:t>
      </w:r>
      <w:r w:rsidR="00A22AEC">
        <w:t xml:space="preserve"> </w:t>
      </w:r>
      <w:r w:rsidR="007477E6">
        <w:t>since</w:t>
      </w:r>
      <w:r w:rsidR="00A22AEC">
        <w:t xml:space="preserve"> </w:t>
      </w:r>
      <w:r w:rsidR="007477E6">
        <w:t>2002</w:t>
      </w:r>
      <w:r w:rsidR="00A22AEC">
        <w:t xml:space="preserve"> </w:t>
      </w:r>
      <w:r w:rsidR="007477E6">
        <w:t>in</w:t>
      </w:r>
      <w:r w:rsidR="00A22AEC">
        <w:t xml:space="preserve"> </w:t>
      </w:r>
      <w:r w:rsidR="007477E6" w:rsidRPr="00C11338">
        <w:t>various</w:t>
      </w:r>
      <w:r w:rsidR="00A22AEC">
        <w:t xml:space="preserve"> </w:t>
      </w:r>
      <w:r w:rsidR="007477E6" w:rsidRPr="00C11338">
        <w:t>pos</w:t>
      </w:r>
      <w:r w:rsidR="007477E6">
        <w:t>itions</w:t>
      </w:r>
      <w:r w:rsidR="00A22AEC">
        <w:t xml:space="preserve"> </w:t>
      </w:r>
      <w:r w:rsidR="007477E6">
        <w:t>within</w:t>
      </w:r>
      <w:r w:rsidR="00A22AEC">
        <w:t xml:space="preserve"> </w:t>
      </w:r>
      <w:r w:rsidR="007477E6">
        <w:t>the</w:t>
      </w:r>
      <w:r w:rsidR="00A22AEC">
        <w:t xml:space="preserve"> </w:t>
      </w:r>
      <w:r w:rsidR="007477E6">
        <w:t>regulation</w:t>
      </w:r>
      <w:r w:rsidR="00A22AEC">
        <w:t xml:space="preserve"> </w:t>
      </w:r>
      <w:r w:rsidR="007477E6">
        <w:t>and</w:t>
      </w:r>
      <w:r w:rsidR="00A22AEC">
        <w:t xml:space="preserve"> </w:t>
      </w:r>
      <w:r w:rsidR="007477E6" w:rsidRPr="00C11338">
        <w:t>finance</w:t>
      </w:r>
      <w:r w:rsidR="00A22AEC">
        <w:t xml:space="preserve"> </w:t>
      </w:r>
      <w:r w:rsidR="007477E6">
        <w:t>organizations</w:t>
      </w:r>
      <w:r w:rsidR="00A22AEC">
        <w:t xml:space="preserve">.  </w:t>
      </w:r>
      <w:r w:rsidR="004132EB">
        <w:t>I</w:t>
      </w:r>
      <w:r w:rsidR="00A22AEC">
        <w:t xml:space="preserve"> </w:t>
      </w:r>
      <w:r w:rsidR="004132EB">
        <w:t>was</w:t>
      </w:r>
      <w:r w:rsidR="00A22AEC">
        <w:t xml:space="preserve"> </w:t>
      </w:r>
      <w:r w:rsidR="004132EB">
        <w:t>appointed</w:t>
      </w:r>
      <w:r w:rsidR="00A22AEC">
        <w:t xml:space="preserve"> </w:t>
      </w:r>
      <w:r w:rsidR="004132EB">
        <w:t>Manager</w:t>
      </w:r>
      <w:r w:rsidR="00A22AEC">
        <w:t xml:space="preserve"> </w:t>
      </w:r>
      <w:r w:rsidR="004132EB">
        <w:t>of</w:t>
      </w:r>
      <w:r w:rsidR="00A22AEC">
        <w:t xml:space="preserve"> </w:t>
      </w:r>
      <w:r w:rsidR="004132EB">
        <w:t>Revenue</w:t>
      </w:r>
      <w:r w:rsidR="00A22AEC">
        <w:t xml:space="preserve"> </w:t>
      </w:r>
      <w:r w:rsidR="004132EB">
        <w:t>Requirement</w:t>
      </w:r>
      <w:r w:rsidR="00A22AEC">
        <w:t xml:space="preserve"> </w:t>
      </w:r>
      <w:r w:rsidR="004132EB">
        <w:t>in</w:t>
      </w:r>
      <w:r w:rsidR="00A22AEC">
        <w:t xml:space="preserve"> </w:t>
      </w:r>
      <w:r w:rsidR="004132EB">
        <w:t>2008</w:t>
      </w:r>
      <w:r w:rsidR="002551FE">
        <w:t xml:space="preserve"> and was promoted to Director, Regulatory Affairs and Revenue Requirement in 2012.  I </w:t>
      </w:r>
      <w:r w:rsidR="004132EB">
        <w:t>assumed</w:t>
      </w:r>
      <w:r w:rsidR="00A22AEC">
        <w:t xml:space="preserve"> </w:t>
      </w:r>
      <w:r w:rsidR="004132EB">
        <w:t>my</w:t>
      </w:r>
      <w:r w:rsidR="00A22AEC">
        <w:t xml:space="preserve"> </w:t>
      </w:r>
      <w:r w:rsidR="004132EB">
        <w:t>current</w:t>
      </w:r>
      <w:r w:rsidR="00A22AEC">
        <w:t xml:space="preserve"> </w:t>
      </w:r>
      <w:r w:rsidR="004132EB">
        <w:t>position</w:t>
      </w:r>
      <w:r w:rsidR="00A22AEC">
        <w:t xml:space="preserve"> </w:t>
      </w:r>
      <w:r w:rsidR="004132EB">
        <w:t>in</w:t>
      </w:r>
      <w:r w:rsidR="00A22AEC">
        <w:t xml:space="preserve"> </w:t>
      </w:r>
      <w:r w:rsidR="002551FE">
        <w:t>January 2014</w:t>
      </w:r>
      <w:r w:rsidR="00A22AEC">
        <w:t xml:space="preserve">.  </w:t>
      </w:r>
      <w:r w:rsidR="002551FE">
        <w:t xml:space="preserve">I am responsible for all regulatory activities </w:t>
      </w:r>
      <w:r w:rsidR="00D82925">
        <w:t>in</w:t>
      </w:r>
      <w:r w:rsidR="00A22AEC">
        <w:t xml:space="preserve"> </w:t>
      </w:r>
      <w:r w:rsidR="009D7C9D">
        <w:t>Washington,</w:t>
      </w:r>
      <w:r w:rsidR="00A22AEC">
        <w:t xml:space="preserve"> </w:t>
      </w:r>
      <w:r w:rsidR="007477E6">
        <w:t>California,</w:t>
      </w:r>
      <w:r w:rsidR="00A22AEC">
        <w:t xml:space="preserve"> </w:t>
      </w:r>
      <w:r w:rsidR="009D7C9D">
        <w:t>and</w:t>
      </w:r>
      <w:r w:rsidR="00A22AEC">
        <w:t xml:space="preserve"> </w:t>
      </w:r>
      <w:r w:rsidR="00D43D05">
        <w:t>Oregon.</w:t>
      </w:r>
    </w:p>
    <w:p w:rsidR="00F21BD7" w:rsidRDefault="002551FE" w:rsidP="002551FE">
      <w:pPr>
        <w:pStyle w:val="Heading1"/>
      </w:pPr>
      <w:bookmarkStart w:id="2" w:name="_Toc386630084"/>
      <w:r>
        <w:t>PURPOSE O</w:t>
      </w:r>
      <w:r w:rsidRPr="00BF20EE">
        <w:t>F</w:t>
      </w:r>
      <w:r>
        <w:t xml:space="preserve"> </w:t>
      </w:r>
      <w:r w:rsidRPr="00BF20EE">
        <w:t>TESTIMONY</w:t>
      </w:r>
      <w:bookmarkEnd w:id="2"/>
    </w:p>
    <w:p w:rsidR="00143AE5" w:rsidRPr="00BF20EE" w:rsidRDefault="00143AE5" w:rsidP="005347AF">
      <w:pPr>
        <w:pStyle w:val="Question"/>
        <w:widowControl w:val="0"/>
        <w:jc w:val="left"/>
      </w:pPr>
      <w:r w:rsidRPr="00BF20EE">
        <w:t>Q.</w:t>
      </w:r>
      <w:r w:rsidRPr="00BF20EE">
        <w:tab/>
        <w:t>What</w:t>
      </w:r>
      <w:r w:rsidR="00A22AEC">
        <w:t xml:space="preserve"> </w:t>
      </w:r>
      <w:r w:rsidRPr="00BF20EE">
        <w:t>is</w:t>
      </w:r>
      <w:r w:rsidR="00A22AEC">
        <w:t xml:space="preserve"> </w:t>
      </w:r>
      <w:r w:rsidRPr="00BF20EE">
        <w:t>the</w:t>
      </w:r>
      <w:r w:rsidR="00A22AEC">
        <w:t xml:space="preserve"> </w:t>
      </w:r>
      <w:r w:rsidRPr="00BF20EE">
        <w:t>purpose</w:t>
      </w:r>
      <w:r w:rsidR="00A22AEC">
        <w:t xml:space="preserve"> </w:t>
      </w:r>
      <w:r w:rsidRPr="00BF20EE">
        <w:t>of</w:t>
      </w:r>
      <w:r w:rsidR="00A22AEC">
        <w:t xml:space="preserve"> </w:t>
      </w:r>
      <w:r w:rsidRPr="00BF20EE">
        <w:t>your</w:t>
      </w:r>
      <w:r w:rsidR="00A22AEC">
        <w:t xml:space="preserve"> </w:t>
      </w:r>
      <w:r w:rsidRPr="00BF20EE">
        <w:t>testimony</w:t>
      </w:r>
      <w:r w:rsidR="00A22AEC">
        <w:t xml:space="preserve"> </w:t>
      </w:r>
      <w:r w:rsidRPr="00BF20EE">
        <w:t>in</w:t>
      </w:r>
      <w:r w:rsidR="00A22AEC">
        <w:t xml:space="preserve"> </w:t>
      </w:r>
      <w:r w:rsidR="00EC3F55">
        <w:t>this</w:t>
      </w:r>
      <w:r w:rsidR="00A22AEC">
        <w:t xml:space="preserve"> </w:t>
      </w:r>
      <w:r w:rsidR="00EC3F55">
        <w:t>case</w:t>
      </w:r>
      <w:r w:rsidRPr="00BF20EE">
        <w:t>?</w:t>
      </w:r>
    </w:p>
    <w:p w:rsidR="00410A71" w:rsidRDefault="00143AE5" w:rsidP="00410A71">
      <w:pPr>
        <w:pStyle w:val="Answer"/>
        <w:widowControl w:val="0"/>
        <w:jc w:val="left"/>
      </w:pPr>
      <w:r w:rsidRPr="00BF20EE">
        <w:t>A.</w:t>
      </w:r>
      <w:r w:rsidRPr="00BF20EE">
        <w:tab/>
      </w:r>
      <w:r w:rsidR="00A715C9">
        <w:t xml:space="preserve">My testimony discusses </w:t>
      </w:r>
      <w:r w:rsidR="007C0943">
        <w:t xml:space="preserve">the primary reasons a rate increase is necessary at this time and the challenges facing Pacific Power in the current </w:t>
      </w:r>
      <w:r w:rsidR="00A715C9">
        <w:t>Washington regulatory environment</w:t>
      </w:r>
      <w:r w:rsidR="00064531">
        <w:t>.  I also present an overview of the new proposals</w:t>
      </w:r>
      <w:r w:rsidR="007C0943">
        <w:t xml:space="preserve"> presented in this case </w:t>
      </w:r>
      <w:r w:rsidR="00064531">
        <w:t xml:space="preserve">to address the fact that the Company has not been able to recover the costs to serve its Washington customers or </w:t>
      </w:r>
      <w:r w:rsidR="008B163B">
        <w:t xml:space="preserve">earn </w:t>
      </w:r>
      <w:r w:rsidR="007C0943">
        <w:t xml:space="preserve">its authorized rate of return since 2006.  Finally, </w:t>
      </w:r>
      <w:r w:rsidR="007C0943">
        <w:lastRenderedPageBreak/>
        <w:t>I address the Company’s ongoing efforts to control its costs and minimize rate pressure on customers.</w:t>
      </w:r>
    </w:p>
    <w:p w:rsidR="007C0943" w:rsidRPr="007C0943" w:rsidRDefault="007C0943" w:rsidP="00F97F5F">
      <w:pPr>
        <w:pStyle w:val="Heading1"/>
      </w:pPr>
      <w:bookmarkStart w:id="3" w:name="_Toc386630085"/>
      <w:r>
        <w:t>REASONS FOR THE PROPOSED RATE CHANGE</w:t>
      </w:r>
      <w:bookmarkEnd w:id="3"/>
    </w:p>
    <w:p w:rsidR="007C0943" w:rsidRPr="007C0943" w:rsidRDefault="007C0943" w:rsidP="007C0943">
      <w:pPr>
        <w:pStyle w:val="Answer"/>
        <w:widowControl w:val="0"/>
        <w:jc w:val="left"/>
        <w:rPr>
          <w:b/>
        </w:rPr>
      </w:pPr>
      <w:r w:rsidRPr="007C0943">
        <w:rPr>
          <w:b/>
        </w:rPr>
        <w:t>Q.</w:t>
      </w:r>
      <w:r w:rsidRPr="007C0943">
        <w:rPr>
          <w:b/>
        </w:rPr>
        <w:tab/>
        <w:t xml:space="preserve">What </w:t>
      </w:r>
      <w:r w:rsidR="008A5D17">
        <w:rPr>
          <w:b/>
        </w:rPr>
        <w:t>is driving the need for a rate increase in this case</w:t>
      </w:r>
      <w:r w:rsidRPr="007C0943">
        <w:rPr>
          <w:b/>
        </w:rPr>
        <w:t>?</w:t>
      </w:r>
    </w:p>
    <w:p w:rsidR="007C0943" w:rsidRDefault="007C0943" w:rsidP="007C0943">
      <w:pPr>
        <w:pStyle w:val="Answer"/>
        <w:widowControl w:val="0"/>
        <w:jc w:val="left"/>
      </w:pPr>
      <w:r>
        <w:t>A.</w:t>
      </w:r>
      <w:r>
        <w:tab/>
      </w:r>
      <w:r w:rsidR="00B45DEF">
        <w:t>The need for a rate increase is primarily</w:t>
      </w:r>
      <w:r w:rsidR="008A5D17">
        <w:t xml:space="preserve"> driven by three factors.  First, since the </w:t>
      </w:r>
      <w:r w:rsidR="007708AB">
        <w:t xml:space="preserve">Company’s last general rate case in </w:t>
      </w:r>
      <w:r w:rsidR="00B45DEF">
        <w:t>D</w:t>
      </w:r>
      <w:r w:rsidR="00EE1E66">
        <w:t>ocket UE-130043 (the 2013 Rate Case)</w:t>
      </w:r>
      <w:r w:rsidR="008A5D17">
        <w:t>, the Company has been adding significant capital additions to its generation, transmission, and distribution infrastructure.  Washington’s gross electric-plant-in-service balances have increased by $114.3 million</w:t>
      </w:r>
      <w:r w:rsidR="008A5D17" w:rsidRPr="008A5D17">
        <w:t xml:space="preserve"> </w:t>
      </w:r>
      <w:r w:rsidR="008A5D17">
        <w:t>from the level approved in the 2013 Rate Case.  The capital additions include investments necessary to maintain safe, reliable, and efficient electric service to the Company’s Washington customers.</w:t>
      </w:r>
    </w:p>
    <w:p w:rsidR="008A5D17" w:rsidRDefault="008A5D17" w:rsidP="007C0943">
      <w:pPr>
        <w:pStyle w:val="Answer"/>
        <w:widowControl w:val="0"/>
        <w:jc w:val="left"/>
      </w:pPr>
      <w:r>
        <w:tab/>
      </w:r>
      <w:r>
        <w:tab/>
        <w:t>Second, Washington-allocated net power costs (NPC) are $12.0 million higher in this case compared to the level of NPC approved in the 2013 Rate Case.  NPC in this case include the costs of power p</w:t>
      </w:r>
      <w:r w:rsidR="00B45DEF">
        <w:t>urchase agreements (PPAs) with qualifying f</w:t>
      </w:r>
      <w:r>
        <w:t xml:space="preserve">acilities (QFs) in California and Oregon, despite the </w:t>
      </w:r>
      <w:r w:rsidR="00E0634B">
        <w:t xml:space="preserve">final order issued by the Washington Utilities and Transportation </w:t>
      </w:r>
      <w:r>
        <w:t>Commission</w:t>
      </w:r>
      <w:r w:rsidR="00E0634B">
        <w:t xml:space="preserve"> (Commission) </w:t>
      </w:r>
      <w:r>
        <w:t>in the 2013 Rate Case</w:t>
      </w:r>
      <w:r w:rsidR="00E0634B">
        <w:t xml:space="preserve"> (Order 05)</w:t>
      </w:r>
      <w:r>
        <w:t>, which only allowed recovery of the costs of PPAs with Washington QFs and disallowed the costs of California and Oregon QF PPAs.</w:t>
      </w:r>
      <w:r w:rsidR="00EE1E66">
        <w:rPr>
          <w:rStyle w:val="FootnoteReference"/>
        </w:rPr>
        <w:footnoteReference w:id="1"/>
      </w:r>
      <w:r>
        <w:t xml:space="preserve">  </w:t>
      </w:r>
      <w:r w:rsidR="006336F3">
        <w:t>As discussed in more detail in the direct testimony of Mr. Gregory N. Duvall, t</w:t>
      </w:r>
      <w:r>
        <w:t>he Company is re-presenting this proposal in this case for several reasons:</w:t>
      </w:r>
    </w:p>
    <w:p w:rsidR="006336F3" w:rsidRDefault="006336F3" w:rsidP="003B681D">
      <w:pPr>
        <w:pStyle w:val="Answer"/>
        <w:numPr>
          <w:ilvl w:val="0"/>
          <w:numId w:val="18"/>
        </w:numPr>
        <w:spacing w:after="240" w:line="240" w:lineRule="auto"/>
        <w:ind w:left="1800"/>
        <w:jc w:val="left"/>
      </w:pPr>
      <w:r>
        <w:t xml:space="preserve">The energy generated by the QFs in California and Oregon is physically delivered to meet Washington load in the same manner as any other west control area generating resource.  These QFs provide direct benefits to </w:t>
      </w:r>
      <w:r>
        <w:lastRenderedPageBreak/>
        <w:t>Washington customers, yet those customers do not pay for any portion of the co</w:t>
      </w:r>
      <w:r w:rsidR="00691917">
        <w:t>sts of providing that benefit.</w:t>
      </w:r>
    </w:p>
    <w:p w:rsidR="006336F3" w:rsidRDefault="006336F3" w:rsidP="006336F3">
      <w:pPr>
        <w:pStyle w:val="Answer"/>
        <w:widowControl w:val="0"/>
        <w:numPr>
          <w:ilvl w:val="0"/>
          <w:numId w:val="18"/>
        </w:numPr>
        <w:spacing w:after="240" w:line="240" w:lineRule="auto"/>
        <w:ind w:left="1800"/>
        <w:jc w:val="left"/>
      </w:pPr>
      <w:r>
        <w:t>Including all PPAs with QFs located in the west control area is consistent with the West Control Area inter-jurisdictional allocation methodology (WCA).  The Company’s proposal allocates west control area QF PPAs in the same manner as all other west control area generating resources.  Treating QF PPAs in this manner increases the accuracy of the NPC forecast for the west control area.</w:t>
      </w:r>
    </w:p>
    <w:p w:rsidR="006336F3" w:rsidRDefault="006336F3" w:rsidP="006336F3">
      <w:pPr>
        <w:pStyle w:val="Answer"/>
        <w:widowControl w:val="0"/>
        <w:numPr>
          <w:ilvl w:val="0"/>
          <w:numId w:val="18"/>
        </w:numPr>
        <w:spacing w:after="240" w:line="240" w:lineRule="auto"/>
        <w:ind w:left="1800"/>
        <w:jc w:val="left"/>
      </w:pPr>
      <w:r>
        <w:t>All of the California and Oregon PPAs are with QFs that are eligible to meet the renewable portfolio standard</w:t>
      </w:r>
      <w:r w:rsidR="00222355">
        <w:t xml:space="preserve"> (RPS)</w:t>
      </w:r>
      <w:r>
        <w:t xml:space="preserve"> in Washin</w:t>
      </w:r>
      <w:r w:rsidR="00691917">
        <w:t>gton’s Energy Independence Act</w:t>
      </w:r>
      <w:r w:rsidR="008E085A">
        <w:t xml:space="preserve"> (EIA)</w:t>
      </w:r>
      <w:r w:rsidR="00691917">
        <w:t>.</w:t>
      </w:r>
      <w:r w:rsidR="008E085A">
        <w:rPr>
          <w:rStyle w:val="FootnoteReference"/>
          <w:rFonts w:cs="Arial"/>
        </w:rPr>
        <w:footnoteReference w:id="2"/>
      </w:r>
    </w:p>
    <w:p w:rsidR="00960D44" w:rsidRDefault="006336F3" w:rsidP="006336F3">
      <w:pPr>
        <w:pStyle w:val="Answer"/>
        <w:widowControl w:val="0"/>
        <w:numPr>
          <w:ilvl w:val="0"/>
          <w:numId w:val="18"/>
        </w:numPr>
        <w:spacing w:after="240" w:line="240" w:lineRule="auto"/>
        <w:ind w:left="1800"/>
        <w:jc w:val="left"/>
      </w:pPr>
      <w:r>
        <w:t xml:space="preserve">The Company’s proposal in this case is consistent with its position in its </w:t>
      </w:r>
      <w:r w:rsidR="008A5D17">
        <w:t xml:space="preserve">petition for judicial review of </w:t>
      </w:r>
      <w:r>
        <w:t>Order 05 in the 2013 Rate Case.</w:t>
      </w:r>
    </w:p>
    <w:p w:rsidR="006336F3" w:rsidRDefault="006336F3" w:rsidP="008F28BD">
      <w:pPr>
        <w:pStyle w:val="Answer"/>
        <w:widowControl w:val="0"/>
        <w:ind w:firstLine="0"/>
        <w:jc w:val="left"/>
      </w:pPr>
      <w:r>
        <w:t xml:space="preserve">In recognition of the Commission’s order, however, </w:t>
      </w:r>
      <w:r w:rsidR="00074DDD">
        <w:t>the Company also presents two alternative approaches to addressing the Company’s PPAs with California and Oregon QFs.  These approaches are presented in Mr. Duvall’s testimony.</w:t>
      </w:r>
    </w:p>
    <w:p w:rsidR="00074DDD" w:rsidRDefault="00074DDD" w:rsidP="003B681D">
      <w:pPr>
        <w:pStyle w:val="Answer"/>
        <w:ind w:firstLine="0"/>
        <w:jc w:val="left"/>
      </w:pPr>
      <w:r>
        <w:tab/>
        <w:t xml:space="preserve">Third, consistent with the Company’s petition for judicial review of Order 05, the Company proposes to use its actual capital structure in development of the revenue requirement.  The actual capital structure provides benefits to Washington customers through higher credit ratings that allow the Company to obtain low-cost debt.  As discussed in greater detail in the direct testimony of Mr. Bruce N. Williams, use of the Company’s actual capital structure appropriately balances safety and economy.  The Company is also proposing a </w:t>
      </w:r>
      <w:r w:rsidR="00335BF8">
        <w:t>return on equity (</w:t>
      </w:r>
      <w:r>
        <w:t>ROE</w:t>
      </w:r>
      <w:r w:rsidR="00335BF8">
        <w:t>)</w:t>
      </w:r>
      <w:r>
        <w:t xml:space="preserve"> of 10.0 percent, as presented in the direct testimony of Mr. Kurt G. </w:t>
      </w:r>
      <w:proofErr w:type="spellStart"/>
      <w:r>
        <w:t>Strunk</w:t>
      </w:r>
      <w:proofErr w:type="spellEnd"/>
      <w:r>
        <w:t xml:space="preserve">.  As with the California and Oregon QF PPAs, however, the </w:t>
      </w:r>
      <w:r w:rsidR="00897DDD">
        <w:t>C</w:t>
      </w:r>
      <w:r>
        <w:t xml:space="preserve">ompany also presents an alternative cost of capital using a hypothetical capital structure that includes a 49.1 percent equity </w:t>
      </w:r>
      <w:r>
        <w:lastRenderedPageBreak/>
        <w:t>component, which is consistent with the Commission’s decision in the 2013 Rate Case.</w:t>
      </w:r>
      <w:r w:rsidR="00335BF8">
        <w:rPr>
          <w:rStyle w:val="FootnoteReference"/>
        </w:rPr>
        <w:footnoteReference w:id="3"/>
      </w:r>
    </w:p>
    <w:p w:rsidR="00D123E3" w:rsidRDefault="00D123E3" w:rsidP="00CD0EB1">
      <w:pPr>
        <w:pStyle w:val="Answer"/>
        <w:keepNext/>
        <w:widowControl w:val="0"/>
        <w:jc w:val="left"/>
        <w:rPr>
          <w:b/>
        </w:rPr>
      </w:pPr>
      <w:r>
        <w:rPr>
          <w:b/>
        </w:rPr>
        <w:t>Q.</w:t>
      </w:r>
      <w:r>
        <w:rPr>
          <w:b/>
        </w:rPr>
        <w:tab/>
        <w:t xml:space="preserve">At current rates, including the rate increase approved in the 2013 </w:t>
      </w:r>
      <w:r w:rsidR="00335BF8">
        <w:rPr>
          <w:b/>
        </w:rPr>
        <w:t xml:space="preserve">Rate Case, </w:t>
      </w:r>
      <w:r>
        <w:rPr>
          <w:b/>
        </w:rPr>
        <w:t>would the Company be able to earn its authorized rate of return during the test period?</w:t>
      </w:r>
    </w:p>
    <w:p w:rsidR="00D123E3" w:rsidRDefault="00D123E3" w:rsidP="00D123E3">
      <w:pPr>
        <w:pStyle w:val="Answer"/>
        <w:widowControl w:val="0"/>
        <w:jc w:val="left"/>
      </w:pPr>
      <w:r w:rsidRPr="007C0943">
        <w:t>A.</w:t>
      </w:r>
      <w:r w:rsidRPr="007C0943">
        <w:tab/>
        <w:t xml:space="preserve">No.  </w:t>
      </w:r>
      <w:r>
        <w:t>As described in the direct testimony of Ms. Natasha C. Siores, at current rates, the Company will earn a</w:t>
      </w:r>
      <w:r w:rsidR="00335BF8">
        <w:t xml:space="preserve">n </w:t>
      </w:r>
      <w:r>
        <w:t>ROE of 6.</w:t>
      </w:r>
      <w:r w:rsidR="00A915C1">
        <w:t>16</w:t>
      </w:r>
      <w:r>
        <w:t xml:space="preserve"> percent during the test period.  A revenue increase of $27.2 million, or 8.5 percent, is necessary to give the Company the opportunity to recover its prudent costs and earn a reasonable ROE.</w:t>
      </w:r>
    </w:p>
    <w:p w:rsidR="00BE1D6C" w:rsidRPr="00BE1D6C" w:rsidRDefault="00BE1D6C" w:rsidP="00F97F5F">
      <w:pPr>
        <w:pStyle w:val="Heading1"/>
      </w:pPr>
      <w:bookmarkStart w:id="4" w:name="_Toc386630086"/>
      <w:r w:rsidRPr="00BE1D6C">
        <w:t>COST CONTROL MEASURES</w:t>
      </w:r>
      <w:bookmarkEnd w:id="4"/>
    </w:p>
    <w:p w:rsidR="00074DDD" w:rsidRPr="008F28BD" w:rsidRDefault="008F28BD" w:rsidP="00074DDD">
      <w:pPr>
        <w:pStyle w:val="Answer"/>
        <w:widowControl w:val="0"/>
        <w:ind w:left="0" w:firstLine="0"/>
        <w:jc w:val="left"/>
        <w:rPr>
          <w:b/>
        </w:rPr>
      </w:pPr>
      <w:r w:rsidRPr="008F28BD">
        <w:rPr>
          <w:b/>
        </w:rPr>
        <w:t>Q.</w:t>
      </w:r>
      <w:r w:rsidRPr="008F28BD">
        <w:rPr>
          <w:b/>
        </w:rPr>
        <w:tab/>
        <w:t>What has the Company done to control costs and minimize rate increase</w:t>
      </w:r>
      <w:r w:rsidR="008E085A">
        <w:rPr>
          <w:b/>
        </w:rPr>
        <w:t>s</w:t>
      </w:r>
      <w:r w:rsidRPr="008F28BD">
        <w:rPr>
          <w:b/>
        </w:rPr>
        <w:t>?</w:t>
      </w:r>
    </w:p>
    <w:p w:rsidR="009D57F2" w:rsidRDefault="008F28BD" w:rsidP="00E11AA5">
      <w:pPr>
        <w:pStyle w:val="Answer"/>
        <w:widowControl w:val="0"/>
        <w:jc w:val="left"/>
      </w:pPr>
      <w:r>
        <w:t>A.</w:t>
      </w:r>
      <w:r>
        <w:tab/>
        <w:t>The Company continues to proa</w:t>
      </w:r>
      <w:r w:rsidR="00C81222">
        <w:t>cti</w:t>
      </w:r>
      <w:r w:rsidR="00E11AA5">
        <w:t>vely and aggressively control its</w:t>
      </w:r>
      <w:r w:rsidR="00C81222">
        <w:t xml:space="preserve"> costs.  These efforts have successfully allowed PacifiCorp to minimize the frequency of general rate cases in its other five jurisdictions.  </w:t>
      </w:r>
      <w:r w:rsidR="00B45DEF">
        <w:t>S</w:t>
      </w:r>
      <w:r w:rsidR="00E11AA5">
        <w:t xml:space="preserve">enior management from all of </w:t>
      </w:r>
      <w:r w:rsidR="00B45DEF">
        <w:t>PacifiCorp’s</w:t>
      </w:r>
      <w:r w:rsidR="00E11AA5">
        <w:t xml:space="preserve"> business units</w:t>
      </w:r>
      <w:r w:rsidR="008B163B">
        <w:t xml:space="preserve"> regularly</w:t>
      </w:r>
      <w:r w:rsidR="00E11AA5">
        <w:t xml:space="preserve"> review</w:t>
      </w:r>
      <w:r w:rsidR="008B163B">
        <w:t>s</w:t>
      </w:r>
      <w:r w:rsidR="00E11AA5">
        <w:t xml:space="preserve"> cost-control measures and discuss</w:t>
      </w:r>
      <w:r w:rsidR="008B163B">
        <w:t>es</w:t>
      </w:r>
      <w:r w:rsidR="00E11AA5">
        <w:t xml:space="preserve"> methods to minimize rate increases for customers.  These efforts have allowed PacifiCorp to minimize the frequency and magnitude of rate increases in all of its six state jurisdictions.</w:t>
      </w:r>
    </w:p>
    <w:p w:rsidR="009D57F2" w:rsidRDefault="009D57F2" w:rsidP="00E11AA5">
      <w:pPr>
        <w:pStyle w:val="Answer"/>
        <w:widowControl w:val="0"/>
        <w:jc w:val="left"/>
      </w:pPr>
      <w:r>
        <w:rPr>
          <w:b/>
        </w:rPr>
        <w:t>Q.</w:t>
      </w:r>
      <w:r>
        <w:rPr>
          <w:b/>
        </w:rPr>
        <w:tab/>
      </w:r>
      <w:r w:rsidR="008F17D3">
        <w:rPr>
          <w:b/>
        </w:rPr>
        <w:t>As a result of these efforts, h</w:t>
      </w:r>
      <w:r>
        <w:rPr>
          <w:b/>
        </w:rPr>
        <w:t>as the Company been able to provide periods of rate stability and certainty in its other five states?</w:t>
      </w:r>
    </w:p>
    <w:p w:rsidR="008F17D3" w:rsidRDefault="009D57F2" w:rsidP="009D57F2">
      <w:pPr>
        <w:pStyle w:val="Answer"/>
        <w:jc w:val="left"/>
      </w:pPr>
      <w:r>
        <w:t>A.</w:t>
      </w:r>
      <w:r>
        <w:tab/>
        <w:t>Yes.  The Company</w:t>
      </w:r>
      <w:r w:rsidR="008F17D3">
        <w:t xml:space="preserve"> was able to </w:t>
      </w:r>
      <w:r>
        <w:t>enter</w:t>
      </w:r>
      <w:r w:rsidR="008F17D3">
        <w:t xml:space="preserve"> </w:t>
      </w:r>
      <w:r>
        <w:t xml:space="preserve">into multi-year rate plans in all of the other states in which it operates.  Although there </w:t>
      </w:r>
      <w:r w:rsidR="004840CB">
        <w:t xml:space="preserve">were </w:t>
      </w:r>
      <w:r>
        <w:t xml:space="preserve">other </w:t>
      </w:r>
      <w:r w:rsidR="004840CB">
        <w:t>considerations in assessing t</w:t>
      </w:r>
      <w:r>
        <w:t xml:space="preserve">he </w:t>
      </w:r>
      <w:r w:rsidR="004840CB">
        <w:t>reasonableness of the overall settlement</w:t>
      </w:r>
      <w:r>
        <w:t xml:space="preserve">s, these </w:t>
      </w:r>
      <w:r w:rsidR="004840CB">
        <w:t xml:space="preserve">settlements </w:t>
      </w:r>
      <w:r>
        <w:t xml:space="preserve">provide examples of the </w:t>
      </w:r>
      <w:r w:rsidR="008F17D3">
        <w:lastRenderedPageBreak/>
        <w:t xml:space="preserve">beneficial effect of the Company’s cost control measures.  Most recently, in December 2013, the Public Utility Commission of Oregon approved a stipulation in which the Company agreed not to file its next general rate </w:t>
      </w:r>
      <w:r w:rsidR="004840CB">
        <w:t>case</w:t>
      </w:r>
      <w:r w:rsidR="008F17D3">
        <w:t xml:space="preserve"> until 2015.</w:t>
      </w:r>
      <w:r w:rsidR="008F17D3">
        <w:rPr>
          <w:rStyle w:val="FootnoteReference"/>
        </w:rPr>
        <w:footnoteReference w:id="4"/>
      </w:r>
      <w:r w:rsidR="008F17D3">
        <w:t xml:space="preserve">  </w:t>
      </w:r>
    </w:p>
    <w:p w:rsidR="008F28BD" w:rsidRDefault="00BE1D6C" w:rsidP="00BE1D6C">
      <w:pPr>
        <w:pStyle w:val="Answer"/>
        <w:keepNext/>
        <w:jc w:val="left"/>
        <w:rPr>
          <w:b/>
        </w:rPr>
      </w:pPr>
      <w:r>
        <w:rPr>
          <w:b/>
        </w:rPr>
        <w:t>Q.</w:t>
      </w:r>
      <w:r>
        <w:rPr>
          <w:b/>
        </w:rPr>
        <w:tab/>
        <w:t>Why hasn’t the Company been able to reduce the frequency of general rate case</w:t>
      </w:r>
      <w:r w:rsidR="00971E74">
        <w:rPr>
          <w:b/>
        </w:rPr>
        <w:t>s</w:t>
      </w:r>
      <w:r>
        <w:rPr>
          <w:b/>
        </w:rPr>
        <w:t xml:space="preserve"> in Washington?</w:t>
      </w:r>
    </w:p>
    <w:p w:rsidR="00BE1D6C" w:rsidRPr="00BE1D6C" w:rsidRDefault="00BE1D6C" w:rsidP="00BE1D6C">
      <w:pPr>
        <w:pStyle w:val="Answer"/>
        <w:widowControl w:val="0"/>
        <w:jc w:val="left"/>
        <w:rPr>
          <w:u w:val="words"/>
        </w:rPr>
      </w:pPr>
      <w:r w:rsidRPr="00BE1D6C">
        <w:t>A.</w:t>
      </w:r>
      <w:r w:rsidRPr="00BE1D6C">
        <w:tab/>
      </w:r>
      <w:r>
        <w:t>In PacifiCorp’s other jurisdictions, the Company’s cost control measures</w:t>
      </w:r>
      <w:r w:rsidR="004840CB">
        <w:t xml:space="preserve"> and </w:t>
      </w:r>
      <w:r>
        <w:t>the availability of alternative ratemaking mechanisms have allowed the Company to recover the costs to serve its customers and earn ROEs that are closer to its authorized ROEs.  In Washington, however, despite nearly annual rate increases and aggressive cost control measures, the Company has not been able to recover its cost to serve</w:t>
      </w:r>
      <w:r w:rsidR="00335BF8">
        <w:t xml:space="preserve"> customers</w:t>
      </w:r>
      <w:r>
        <w:t xml:space="preserve"> or earn a reasonable ROE since at least 2006.  As </w:t>
      </w:r>
      <w:r w:rsidR="004840CB">
        <w:t xml:space="preserve">shown in </w:t>
      </w:r>
      <w:r>
        <w:t xml:space="preserve">Table 1, the Company on average has earned at a level more than 600 basis points below its authorized ROE. </w:t>
      </w:r>
    </w:p>
    <w:p w:rsidR="00960D44" w:rsidRPr="00960D44" w:rsidRDefault="00960D44" w:rsidP="00960D44">
      <w:pPr>
        <w:pStyle w:val="Answer"/>
        <w:keepNext/>
        <w:widowControl w:val="0"/>
        <w:suppressLineNumbers/>
        <w:spacing w:line="240" w:lineRule="auto"/>
        <w:jc w:val="center"/>
        <w:rPr>
          <w:b/>
        </w:rPr>
      </w:pPr>
      <w:r>
        <w:rPr>
          <w:b/>
        </w:rPr>
        <w:t>Table 1</w:t>
      </w:r>
      <w:r w:rsidR="00FA4598">
        <w:rPr>
          <w:rStyle w:val="FootnoteReference"/>
          <w:b/>
        </w:rPr>
        <w:footnoteReference w:id="5"/>
      </w:r>
    </w:p>
    <w:p w:rsidR="005D2B0B" w:rsidRDefault="00064531" w:rsidP="00A715C9">
      <w:pPr>
        <w:pStyle w:val="Answer"/>
        <w:widowControl w:val="0"/>
        <w:suppressLineNumbers/>
        <w:jc w:val="left"/>
      </w:pPr>
      <w:r w:rsidRPr="00064531">
        <w:rPr>
          <w:noProof/>
        </w:rPr>
        <w:drawing>
          <wp:inline distT="0" distB="0" distL="0" distR="0" wp14:anchorId="28CD1979" wp14:editId="5F56F512">
            <wp:extent cx="5734050" cy="15679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1567904"/>
                    </a:xfrm>
                    <a:prstGeom prst="rect">
                      <a:avLst/>
                    </a:prstGeom>
                    <a:noFill/>
                    <a:ln>
                      <a:noFill/>
                    </a:ln>
                  </pic:spPr>
                </pic:pic>
              </a:graphicData>
            </a:graphic>
          </wp:inline>
        </w:drawing>
      </w:r>
    </w:p>
    <w:p w:rsidR="00971E74" w:rsidRDefault="00142195" w:rsidP="00971E74">
      <w:pPr>
        <w:pStyle w:val="Answer"/>
        <w:ind w:firstLine="0"/>
        <w:jc w:val="left"/>
      </w:pPr>
      <w:r>
        <w:tab/>
        <w:t>It is important to note that the Company filed general rate cases in 2006, 2008, 2009, 2010, 2011, and 2013.  But in each of tho</w:t>
      </w:r>
      <w:r w:rsidR="009E4853">
        <w:t>se cases, the authorized price increase</w:t>
      </w:r>
      <w:r>
        <w:t xml:space="preserve"> </w:t>
      </w:r>
      <w:r w:rsidR="00C611A7">
        <w:lastRenderedPageBreak/>
        <w:t xml:space="preserve">was less than the Company’s requested revenue requirement, in some instances </w:t>
      </w:r>
      <w:r>
        <w:t>significantly less.</w:t>
      </w:r>
      <w:r>
        <w:rPr>
          <w:rStyle w:val="FootnoteReference"/>
        </w:rPr>
        <w:footnoteReference w:id="6"/>
      </w:r>
      <w:r>
        <w:t xml:space="preserve">  </w:t>
      </w:r>
      <w:r w:rsidR="00C611A7">
        <w:t xml:space="preserve">Half of these cases were fully litigated and half were settled.  </w:t>
      </w:r>
      <w:r>
        <w:t xml:space="preserve">In some cases, the Company settled for less than its request to reduce the </w:t>
      </w:r>
      <w:r w:rsidR="00C611A7">
        <w:t xml:space="preserve">risk and </w:t>
      </w:r>
      <w:r>
        <w:t>burden</w:t>
      </w:r>
      <w:r w:rsidR="00C611A7">
        <w:t>s</w:t>
      </w:r>
      <w:r>
        <w:t xml:space="preserve"> of litigation</w:t>
      </w:r>
      <w:r w:rsidR="00971E74">
        <w:t>.</w:t>
      </w:r>
    </w:p>
    <w:p w:rsidR="006F14FB" w:rsidRPr="00E66062" w:rsidRDefault="0075405B" w:rsidP="00E66062">
      <w:pPr>
        <w:pStyle w:val="Answer"/>
        <w:jc w:val="left"/>
        <w:rPr>
          <w:b/>
        </w:rPr>
      </w:pPr>
      <w:r w:rsidRPr="00E66062">
        <w:rPr>
          <w:b/>
        </w:rPr>
        <w:t>Q.</w:t>
      </w:r>
      <w:r w:rsidRPr="00E66062">
        <w:rPr>
          <w:b/>
        </w:rPr>
        <w:tab/>
      </w:r>
      <w:r w:rsidR="006F14FB" w:rsidRPr="00E66062">
        <w:rPr>
          <w:b/>
        </w:rPr>
        <w:t>Are there other factors affecting the Company’s chronic under-recovery?</w:t>
      </w:r>
    </w:p>
    <w:p w:rsidR="0075405B" w:rsidRDefault="006F14FB" w:rsidP="00E66062">
      <w:pPr>
        <w:pStyle w:val="Answer"/>
        <w:jc w:val="left"/>
      </w:pPr>
      <w:r>
        <w:t>A.</w:t>
      </w:r>
      <w:r>
        <w:tab/>
        <w:t>Yes.  Rates in Washington are set using a different inter-jurisdictional allocation methodology than used in PacifiCorp’s other five jurisdictions.  Washington is the only state that uses the West Control Area inter-jurisdictional allocation methodology (WCA).  The use of a different inter-jurisdictional allocation methodology in Washington versus the Company’s other five states creates allocation gaps that exacerbate the Company’s under-recovery.</w:t>
      </w:r>
      <w:r w:rsidR="00AE445B">
        <w:t xml:space="preserve">  For example, in the 2013 Rate Case, the Company demonstrated that use of the Commission-approved WCA created an allocation gap (compared to the 2010 Protocol) of nearly $30 million</w:t>
      </w:r>
      <w:r w:rsidR="00D123E3">
        <w:t>, or over 400 basis points on ROE</w:t>
      </w:r>
      <w:r w:rsidR="00AE445B">
        <w:t>.</w:t>
      </w:r>
      <w:r w:rsidR="00AE445B">
        <w:rPr>
          <w:rStyle w:val="FootnoteReference"/>
        </w:rPr>
        <w:footnoteReference w:id="7"/>
      </w:r>
      <w:r w:rsidR="00AE445B">
        <w:t xml:space="preserve">  </w:t>
      </w:r>
    </w:p>
    <w:p w:rsidR="00C611A7" w:rsidRPr="00C611A7" w:rsidRDefault="00C611A7" w:rsidP="00C611A7">
      <w:pPr>
        <w:pStyle w:val="Answer"/>
        <w:widowControl w:val="0"/>
        <w:jc w:val="left"/>
        <w:rPr>
          <w:b/>
        </w:rPr>
      </w:pPr>
      <w:r w:rsidRPr="00C611A7">
        <w:rPr>
          <w:b/>
        </w:rPr>
        <w:t>Q.</w:t>
      </w:r>
      <w:r w:rsidRPr="00C611A7">
        <w:rPr>
          <w:b/>
        </w:rPr>
        <w:tab/>
        <w:t xml:space="preserve">Has the Company proactively tried to address its </w:t>
      </w:r>
      <w:r w:rsidR="004361E5">
        <w:rPr>
          <w:b/>
        </w:rPr>
        <w:t>chronic</w:t>
      </w:r>
      <w:r w:rsidR="00213FFC">
        <w:rPr>
          <w:b/>
        </w:rPr>
        <w:t xml:space="preserve"> under-recovery</w:t>
      </w:r>
      <w:r w:rsidRPr="00C611A7">
        <w:rPr>
          <w:b/>
        </w:rPr>
        <w:t xml:space="preserve"> in Washington?</w:t>
      </w:r>
    </w:p>
    <w:p w:rsidR="00C611A7" w:rsidRDefault="00C611A7" w:rsidP="00C611A7">
      <w:pPr>
        <w:pStyle w:val="Answer"/>
        <w:widowControl w:val="0"/>
        <w:jc w:val="left"/>
      </w:pPr>
      <w:r>
        <w:t>A.</w:t>
      </w:r>
      <w:r>
        <w:tab/>
        <w:t xml:space="preserve">Yes.  For example, a key element of the settlement in the Company’s 2011 general rate case, Docket UE-111190, was the parties’ agreement to engage in a collaborative process to address the regulatory challenges facing the Company in Washington.  In exchange for this agreement, the Company agreed not to file a general rate case in </w:t>
      </w:r>
      <w:r>
        <w:lastRenderedPageBreak/>
        <w:t xml:space="preserve">2012.  </w:t>
      </w:r>
      <w:r w:rsidR="00213FFC">
        <w:t xml:space="preserve">As discussed in the Company’s 2013 Rate Case, the parties were unable to agree to any </w:t>
      </w:r>
      <w:r w:rsidR="003B681D">
        <w:t>reforms</w:t>
      </w:r>
      <w:r w:rsidR="00213FFC">
        <w:t xml:space="preserve"> to the regulatory environment, and the Company’s challenges persist.  </w:t>
      </w:r>
    </w:p>
    <w:p w:rsidR="008B163B" w:rsidRDefault="00213FFC" w:rsidP="004839E1">
      <w:pPr>
        <w:pStyle w:val="Answer"/>
        <w:jc w:val="left"/>
      </w:pPr>
      <w:r>
        <w:tab/>
      </w:r>
      <w:r>
        <w:tab/>
        <w:t>In addition, after issuance of Order 05 in the 2013 Rate Case, the Compan</w:t>
      </w:r>
      <w:r w:rsidR="004839E1">
        <w:t xml:space="preserve">y has taken steps to address under-recovery and reduce </w:t>
      </w:r>
      <w:r>
        <w:t xml:space="preserve">regulatory lag.  First, the Company filed two petitions for accounting orders related to increased costs due to </w:t>
      </w:r>
      <w:r w:rsidR="00B45DEF">
        <w:t>an</w:t>
      </w:r>
      <w:r>
        <w:t xml:space="preserve"> extended outage at the Colstrip Unit 4 generating plant</w:t>
      </w:r>
      <w:r w:rsidR="004839E1">
        <w:rPr>
          <w:rStyle w:val="FootnoteReference"/>
        </w:rPr>
        <w:footnoteReference w:id="8"/>
      </w:r>
      <w:r>
        <w:t xml:space="preserve"> and </w:t>
      </w:r>
      <w:r w:rsidR="004839E1">
        <w:t>unusually</w:t>
      </w:r>
      <w:r>
        <w:t xml:space="preserve"> low</w:t>
      </w:r>
      <w:r w:rsidR="004839E1">
        <w:t xml:space="preserve"> </w:t>
      </w:r>
      <w:r>
        <w:t>hydro conditions.</w:t>
      </w:r>
      <w:r w:rsidR="004839E1">
        <w:rPr>
          <w:rStyle w:val="FootnoteReference"/>
        </w:rPr>
        <w:footnoteReference w:id="9"/>
      </w:r>
      <w:r>
        <w:t xml:space="preserve"> </w:t>
      </w:r>
      <w:r w:rsidR="004839E1">
        <w:t xml:space="preserve"> </w:t>
      </w:r>
      <w:r w:rsidR="008B163B">
        <w:t xml:space="preserve">The requested Colstrip outage deferral is consistent with </w:t>
      </w:r>
      <w:r w:rsidR="00C2279B">
        <w:t xml:space="preserve">the </w:t>
      </w:r>
      <w:r w:rsidR="0095486F">
        <w:t xml:space="preserve">Staff </w:t>
      </w:r>
      <w:r w:rsidR="008B163B">
        <w:t>recommendation in the Company’s 201</w:t>
      </w:r>
      <w:r w:rsidR="0095486F">
        <w:t>0</w:t>
      </w:r>
      <w:r w:rsidR="008B163B">
        <w:t xml:space="preserve"> general rate case</w:t>
      </w:r>
      <w:r w:rsidR="0095486F">
        <w:t>, Docket UE-100749</w:t>
      </w:r>
      <w:r w:rsidR="008B163B">
        <w:t>.</w:t>
      </w:r>
      <w:r w:rsidR="0095486F">
        <w:rPr>
          <w:rStyle w:val="FootnoteReference"/>
        </w:rPr>
        <w:footnoteReference w:id="10"/>
      </w:r>
      <w:r w:rsidR="008B163B">
        <w:t xml:space="preserve">  The</w:t>
      </w:r>
      <w:r w:rsidR="00C2279B">
        <w:t> </w:t>
      </w:r>
      <w:r w:rsidR="008B163B">
        <w:t xml:space="preserve">hydro deferral request is consistent with Commission precedent in Docket </w:t>
      </w:r>
      <w:r w:rsidR="00B45DEF">
        <w:br/>
      </w:r>
      <w:r w:rsidR="0095486F">
        <w:t>UE-080220</w:t>
      </w:r>
      <w:r w:rsidR="008B163B">
        <w:t>.</w:t>
      </w:r>
      <w:r w:rsidR="0095486F">
        <w:rPr>
          <w:rStyle w:val="FootnoteReference"/>
        </w:rPr>
        <w:footnoteReference w:id="11"/>
      </w:r>
    </w:p>
    <w:p w:rsidR="00213FFC" w:rsidRDefault="004839E1" w:rsidP="0095486F">
      <w:pPr>
        <w:pStyle w:val="Answer"/>
        <w:ind w:firstLine="720"/>
        <w:jc w:val="left"/>
      </w:pPr>
      <w:r>
        <w:t xml:space="preserve">Second, the Company also filed a separate tariff rider to include in rates the revenue requirement associated with the </w:t>
      </w:r>
      <w:proofErr w:type="spellStart"/>
      <w:r>
        <w:t>Merwin</w:t>
      </w:r>
      <w:proofErr w:type="spellEnd"/>
      <w:r>
        <w:t xml:space="preserve"> Fish Collector after the project was placed in service in March 2014.  The </w:t>
      </w:r>
      <w:proofErr w:type="spellStart"/>
      <w:r>
        <w:t>Merwin</w:t>
      </w:r>
      <w:proofErr w:type="spellEnd"/>
      <w:r>
        <w:t xml:space="preserve"> Fish Collector is a fish passage project mandated by the Federal Energy Regulatory Commission</w:t>
      </w:r>
      <w:r w:rsidR="004840CB">
        <w:t xml:space="preserve"> (FERC)</w:t>
      </w:r>
      <w:r>
        <w:t xml:space="preserve"> license for the Lewis River hydroelectric project.</w:t>
      </w:r>
      <w:r>
        <w:rPr>
          <w:rStyle w:val="FootnoteReference"/>
        </w:rPr>
        <w:footnoteReference w:id="12"/>
      </w:r>
      <w:r>
        <w:t xml:space="preserve">  The Company sought to include the </w:t>
      </w:r>
      <w:proofErr w:type="spellStart"/>
      <w:r>
        <w:t>Merwin</w:t>
      </w:r>
      <w:proofErr w:type="spellEnd"/>
      <w:r>
        <w:t xml:space="preserve"> Fish Collector as a pro forma capital addition in the 2013 Rate Case, but the </w:t>
      </w:r>
      <w:r>
        <w:lastRenderedPageBreak/>
        <w:t>Commission did not approve the Company’s proposal</w:t>
      </w:r>
      <w:r w:rsidR="00B45DEF">
        <w:t xml:space="preserve">, stating that the </w:t>
      </w:r>
      <w:r>
        <w:t>project was not yet used and useful and the costs were not known and measurable.</w:t>
      </w:r>
      <w:r w:rsidR="00B45DEF">
        <w:rPr>
          <w:rStyle w:val="FootnoteReference"/>
        </w:rPr>
        <w:footnoteReference w:id="13"/>
      </w:r>
    </w:p>
    <w:p w:rsidR="00FA313B" w:rsidRPr="00FA313B" w:rsidRDefault="00FA313B" w:rsidP="003B681D">
      <w:pPr>
        <w:pStyle w:val="Answer"/>
        <w:keepNext/>
        <w:jc w:val="left"/>
        <w:rPr>
          <w:b/>
        </w:rPr>
      </w:pPr>
      <w:r w:rsidRPr="00FA313B">
        <w:rPr>
          <w:b/>
        </w:rPr>
        <w:t>Q.</w:t>
      </w:r>
      <w:r w:rsidRPr="00FA313B">
        <w:rPr>
          <w:b/>
        </w:rPr>
        <w:tab/>
        <w:t>If capital additions are a driver of the need for a rate increase, why didn’t the Company file an expedited rate filing (ERF) as Staff recommended in the 2013 Rate Case?</w:t>
      </w:r>
    </w:p>
    <w:p w:rsidR="00FA313B" w:rsidRDefault="00FA313B" w:rsidP="00FA313B">
      <w:pPr>
        <w:pStyle w:val="Answer"/>
        <w:jc w:val="left"/>
      </w:pPr>
      <w:r>
        <w:t>A.</w:t>
      </w:r>
      <w:r>
        <w:tab/>
        <w:t>Although the Company appreciates Staff considering alternative rate mechanisms such as the ERF, the parameters of an ERF filing are too limited to address the challenges facing Pacific Power</w:t>
      </w:r>
      <w:r w:rsidR="004840CB">
        <w:t xml:space="preserve"> at this time</w:t>
      </w:r>
      <w:r>
        <w:t>.  First, the Company could not propose a change to its ROE or capital structure as part of an ERF, but the Company needs to address these issues because the ROE and capital structure adopted in its 2013 Rate Case are significant contributors</w:t>
      </w:r>
      <w:r w:rsidR="00971E74">
        <w:t xml:space="preserve"> to the Company’s inability to recover</w:t>
      </w:r>
      <w:r>
        <w:t xml:space="preserve"> the cost to serve Washington customers or to earn a reasonable return.  </w:t>
      </w:r>
      <w:r w:rsidR="00E0634B">
        <w:t>As discussed further in Mr. Williams’s direct testimony, t</w:t>
      </w:r>
      <w:r>
        <w:t xml:space="preserve">he </w:t>
      </w:r>
      <w:r w:rsidR="00800117">
        <w:t>overall rate of return</w:t>
      </w:r>
      <w:r>
        <w:t xml:space="preserve"> authorized in the 2013 Rate Case (</w:t>
      </w:r>
      <w:r w:rsidR="00E0634B">
        <w:t>7.</w:t>
      </w:r>
      <w:r w:rsidR="00800117">
        <w:t>36</w:t>
      </w:r>
      <w:r w:rsidR="00E0634B">
        <w:t xml:space="preserve"> percent) is well below the other investor-owned utilities in Washington, as well as the national average for regulated electric utilities.  In addition, the Company’s proposed capital structure and overall rate of return in this case are consistent with the Company’s position in its </w:t>
      </w:r>
      <w:r w:rsidR="00800117">
        <w:t>petition for judicial review</w:t>
      </w:r>
      <w:r w:rsidR="00E0634B">
        <w:t xml:space="preserve"> of Order 05.</w:t>
      </w:r>
    </w:p>
    <w:p w:rsidR="00E0634B" w:rsidRDefault="00E0634B" w:rsidP="00FA313B">
      <w:pPr>
        <w:pStyle w:val="Answer"/>
        <w:jc w:val="left"/>
      </w:pPr>
      <w:r>
        <w:tab/>
      </w:r>
      <w:r>
        <w:tab/>
      </w:r>
      <w:r w:rsidR="00800117">
        <w:t>Second</w:t>
      </w:r>
      <w:r>
        <w:t>, an ERF is limited to an increase of less than three percent.  A filing proposing a rate increase of over three percent is defined as a general rate case under the Commission’s administrative rules.</w:t>
      </w:r>
      <w:r w:rsidR="00B45DEF">
        <w:rPr>
          <w:rStyle w:val="FootnoteReference"/>
        </w:rPr>
        <w:footnoteReference w:id="14"/>
      </w:r>
      <w:r>
        <w:t xml:space="preserve">  Given the Company’s chronic under-recovery, an ERF is not a viable option at this time.</w:t>
      </w:r>
    </w:p>
    <w:p w:rsidR="00800117" w:rsidRDefault="00800117" w:rsidP="00FA313B">
      <w:pPr>
        <w:pStyle w:val="Answer"/>
        <w:jc w:val="left"/>
      </w:pPr>
      <w:r>
        <w:lastRenderedPageBreak/>
        <w:tab/>
      </w:r>
      <w:r>
        <w:tab/>
        <w:t>Finally, the Commission</w:t>
      </w:r>
      <w:r w:rsidR="00BF7DA2">
        <w:t xml:space="preserve"> has a pending docket to review its procedural rules.</w:t>
      </w:r>
      <w:r w:rsidR="00B45DEF">
        <w:rPr>
          <w:rStyle w:val="FootnoteReference"/>
        </w:rPr>
        <w:footnoteReference w:id="15"/>
      </w:r>
      <w:r w:rsidR="00BF7DA2">
        <w:t xml:space="preserve">  One of the proposed topics for discussion in this docket is the ERF.  The Company is actively participating in the rulemaking and looks forward to exploring potential use of the ERF in the future.</w:t>
      </w:r>
    </w:p>
    <w:p w:rsidR="004361E5" w:rsidRPr="004361E5" w:rsidRDefault="004361E5" w:rsidP="00F97F5F">
      <w:pPr>
        <w:pStyle w:val="Heading1"/>
      </w:pPr>
      <w:bookmarkStart w:id="5" w:name="_Toc386630087"/>
      <w:r>
        <w:t>PROPOSALS TO ADDRESS CHRONIC UNDER-</w:t>
      </w:r>
      <w:r w:rsidRPr="00F97F5F">
        <w:t>RECOVERY</w:t>
      </w:r>
      <w:bookmarkEnd w:id="5"/>
    </w:p>
    <w:p w:rsidR="004361E5" w:rsidRPr="00F97F5F" w:rsidRDefault="004361E5" w:rsidP="00F97F5F">
      <w:pPr>
        <w:pStyle w:val="Answer"/>
        <w:jc w:val="left"/>
        <w:rPr>
          <w:b/>
        </w:rPr>
      </w:pPr>
      <w:bookmarkStart w:id="6" w:name="_Toc362852650"/>
      <w:r w:rsidRPr="00F97F5F">
        <w:rPr>
          <w:b/>
        </w:rPr>
        <w:t>Q.</w:t>
      </w:r>
      <w:r w:rsidRPr="00F97F5F">
        <w:rPr>
          <w:b/>
        </w:rPr>
        <w:tab/>
      </w:r>
      <w:r w:rsidR="00D123E3">
        <w:rPr>
          <w:b/>
        </w:rPr>
        <w:t>What is</w:t>
      </w:r>
      <w:r w:rsidRPr="00F97F5F">
        <w:rPr>
          <w:b/>
        </w:rPr>
        <w:t xml:space="preserve"> the Company proposing in this case to address its chronic under-recovery?</w:t>
      </w:r>
    </w:p>
    <w:p w:rsidR="00222355" w:rsidRDefault="004361E5" w:rsidP="004361E5">
      <w:pPr>
        <w:pStyle w:val="Answer"/>
        <w:jc w:val="left"/>
      </w:pPr>
      <w:r>
        <w:t>A.</w:t>
      </w:r>
      <w:r>
        <w:tab/>
        <w:t>The Company has included a variety of proposals to better align the cost levels reflected in the test period with cost levels expected d</w:t>
      </w:r>
      <w:r w:rsidR="00222355">
        <w:t xml:space="preserve">uring the rate effective period, including: (1) use of end-of-period </w:t>
      </w:r>
      <w:r w:rsidR="00971E74">
        <w:t>balances</w:t>
      </w:r>
      <w:r w:rsidR="00222355">
        <w:t xml:space="preserve"> (</w:t>
      </w:r>
      <w:r w:rsidR="00B45DEF">
        <w:t xml:space="preserve">December 31, 2013) rather than </w:t>
      </w:r>
      <w:r w:rsidR="00222355">
        <w:t>average-of-monthly-averages</w:t>
      </w:r>
      <w:r>
        <w:t xml:space="preserve"> </w:t>
      </w:r>
      <w:r w:rsidR="00971E74">
        <w:t xml:space="preserve">balances </w:t>
      </w:r>
      <w:r w:rsidR="00B45DEF">
        <w:t xml:space="preserve">to reflect electric plant in </w:t>
      </w:r>
      <w:r w:rsidR="00222355">
        <w:t xml:space="preserve">service; (2) use of IHS Global Insight factors to </w:t>
      </w:r>
      <w:r w:rsidR="00D123E3">
        <w:t xml:space="preserve">better reflect </w:t>
      </w:r>
      <w:r w:rsidR="00B808EE">
        <w:t xml:space="preserve">non-labor </w:t>
      </w:r>
      <w:r w:rsidR="00222355">
        <w:t xml:space="preserve">O&amp;M expenses </w:t>
      </w:r>
      <w:r w:rsidR="00D123E3">
        <w:t xml:space="preserve">in </w:t>
      </w:r>
      <w:r w:rsidR="00222355">
        <w:t>the rate effective period; (3) an adjustment to reflect labor expenses at levels expected during the rate effective period; (4) pro forma capital additions for projects over $250,000 on a Washington-allocated basis; and (5) a renewable resource tracking mechanism to better reflect the costs to comply with the RPS.  Each of these proposals is discussed briefly below.</w:t>
      </w:r>
    </w:p>
    <w:p w:rsidR="00222355" w:rsidRPr="00222355" w:rsidRDefault="00222355" w:rsidP="00F97F5F">
      <w:pPr>
        <w:pStyle w:val="Heading2"/>
      </w:pPr>
      <w:bookmarkStart w:id="7" w:name="_Toc386630088"/>
      <w:r w:rsidRPr="00222355">
        <w:t>End-of-Period Rate Base Balances</w:t>
      </w:r>
      <w:bookmarkEnd w:id="7"/>
    </w:p>
    <w:p w:rsidR="00222355" w:rsidRPr="00222355" w:rsidRDefault="00222355" w:rsidP="004361E5">
      <w:pPr>
        <w:pStyle w:val="Answer"/>
        <w:jc w:val="left"/>
        <w:rPr>
          <w:b/>
        </w:rPr>
      </w:pPr>
      <w:r w:rsidRPr="00222355">
        <w:rPr>
          <w:b/>
        </w:rPr>
        <w:t>Q.</w:t>
      </w:r>
      <w:r w:rsidRPr="00222355">
        <w:rPr>
          <w:b/>
        </w:rPr>
        <w:tab/>
        <w:t>Please describe the Company’s proposal for the use of end-of-period rate base balances?</w:t>
      </w:r>
    </w:p>
    <w:p w:rsidR="004361E5" w:rsidRDefault="00222355" w:rsidP="004361E5">
      <w:pPr>
        <w:pStyle w:val="Answer"/>
        <w:jc w:val="left"/>
      </w:pPr>
      <w:r w:rsidRPr="00222355">
        <w:t>A.</w:t>
      </w:r>
      <w:r w:rsidRPr="00222355">
        <w:tab/>
        <w:t>C</w:t>
      </w:r>
      <w:r w:rsidR="004361E5" w:rsidRPr="00222355">
        <w:t>onsistent with the 2013 Rate Case, the</w:t>
      </w:r>
      <w:r w:rsidR="004361E5">
        <w:t xml:space="preserve"> Company </w:t>
      </w:r>
      <w:r>
        <w:t xml:space="preserve">proposes to </w:t>
      </w:r>
      <w:r w:rsidR="004361E5">
        <w:t>reflect electric-plant-in-service b</w:t>
      </w:r>
      <w:r>
        <w:t>alances at end-of-period levels</w:t>
      </w:r>
      <w:r w:rsidR="004361E5">
        <w:t xml:space="preserve"> rather than on an average-of-monthly-averages basis.  </w:t>
      </w:r>
      <w:r>
        <w:t>As discussed in more detail in the direct testimony of Ms. Siores, t</w:t>
      </w:r>
      <w:r w:rsidR="004361E5">
        <w:t xml:space="preserve">he </w:t>
      </w:r>
      <w:r>
        <w:lastRenderedPageBreak/>
        <w:t xml:space="preserve">Commission has recognized in multiple proceedings that </w:t>
      </w:r>
      <w:r w:rsidR="004361E5">
        <w:t xml:space="preserve">use of end-of-period rate base </w:t>
      </w:r>
      <w:r>
        <w:t xml:space="preserve">mitigates regulatory lag.  For example, </w:t>
      </w:r>
      <w:r w:rsidR="00691917">
        <w:t>in the 2013 Rate Case, the Commission concluded:  “In this case, there is a need to address at least some of the impacts of regulatory lag on PacifiCorp.  We determine that an appropriate response to address these impacts in this case is approval of PacifiCorp’s use of [end-of-period] rate base.”</w:t>
      </w:r>
      <w:r w:rsidR="00691917">
        <w:rPr>
          <w:rStyle w:val="FootnoteReference"/>
        </w:rPr>
        <w:footnoteReference w:id="16"/>
      </w:r>
    </w:p>
    <w:p w:rsidR="00BF7DA2" w:rsidRPr="00BF7DA2" w:rsidRDefault="00BF7DA2" w:rsidP="004361E5">
      <w:pPr>
        <w:pStyle w:val="Answer"/>
        <w:jc w:val="left"/>
        <w:rPr>
          <w:b/>
        </w:rPr>
      </w:pPr>
      <w:r w:rsidRPr="00BF7DA2">
        <w:rPr>
          <w:b/>
        </w:rPr>
        <w:t>Q.</w:t>
      </w:r>
      <w:r w:rsidRPr="00BF7DA2">
        <w:rPr>
          <w:b/>
        </w:rPr>
        <w:tab/>
        <w:t>Did the Company consider proposing a future test period in this case?</w:t>
      </w:r>
    </w:p>
    <w:p w:rsidR="00BF7DA2" w:rsidRDefault="00BF7DA2" w:rsidP="004361E5">
      <w:pPr>
        <w:pStyle w:val="Answer"/>
        <w:jc w:val="left"/>
      </w:pPr>
      <w:r>
        <w:t>A.</w:t>
      </w:r>
      <w:r>
        <w:tab/>
        <w:t>Yes.  Future test periods are used in many of PacifiCorp’s other state jurisdictions.  The Company has informally discussed this option with Staff and other parties on several occasions, including during the collaborative process mentioned above.  Based on those discussions, the Company chose not to propose a future test period but to instead make discrete adjustments to the historical test period to reduce controversy and facilitate ease of review and auditing of the Company’s filing.</w:t>
      </w:r>
      <w:r w:rsidR="003B7486">
        <w:t xml:space="preserve">  Many of the Company’s adjustments are designed to reflect costs anticipated in the rate effective period while using the Commission’s preferred approach of using a historical test period with known and measurable adjustments.</w:t>
      </w:r>
    </w:p>
    <w:p w:rsidR="00D123E3" w:rsidRPr="00D123E3" w:rsidRDefault="00222355" w:rsidP="00D123E3">
      <w:pPr>
        <w:pStyle w:val="Heading2"/>
      </w:pPr>
      <w:bookmarkStart w:id="8" w:name="_Toc386630089"/>
      <w:r>
        <w:t xml:space="preserve">IHS Global Insights </w:t>
      </w:r>
      <w:r w:rsidR="00D123E3">
        <w:t>Indices</w:t>
      </w:r>
      <w:bookmarkEnd w:id="8"/>
    </w:p>
    <w:p w:rsidR="00222355" w:rsidRDefault="00691917" w:rsidP="004361E5">
      <w:pPr>
        <w:pStyle w:val="Answer"/>
        <w:jc w:val="left"/>
        <w:rPr>
          <w:b/>
        </w:rPr>
      </w:pPr>
      <w:r>
        <w:rPr>
          <w:b/>
        </w:rPr>
        <w:t>Q.</w:t>
      </w:r>
      <w:r>
        <w:rPr>
          <w:b/>
        </w:rPr>
        <w:tab/>
        <w:t xml:space="preserve">Please describe the Company’s proposal to </w:t>
      </w:r>
      <w:r w:rsidR="00D123E3">
        <w:rPr>
          <w:b/>
        </w:rPr>
        <w:t>adjust</w:t>
      </w:r>
      <w:r>
        <w:rPr>
          <w:b/>
        </w:rPr>
        <w:t xml:space="preserve"> </w:t>
      </w:r>
      <w:r w:rsidR="003B7486">
        <w:rPr>
          <w:b/>
        </w:rPr>
        <w:t xml:space="preserve">non-labor </w:t>
      </w:r>
      <w:r>
        <w:rPr>
          <w:b/>
        </w:rPr>
        <w:t xml:space="preserve">O&amp;M expense using </w:t>
      </w:r>
      <w:r w:rsidR="003B7486">
        <w:rPr>
          <w:b/>
        </w:rPr>
        <w:t>indices</w:t>
      </w:r>
      <w:r>
        <w:rPr>
          <w:b/>
        </w:rPr>
        <w:t xml:space="preserve"> developed by I</w:t>
      </w:r>
      <w:r w:rsidR="003B7486">
        <w:rPr>
          <w:b/>
        </w:rPr>
        <w:t>H</w:t>
      </w:r>
      <w:r>
        <w:rPr>
          <w:b/>
        </w:rPr>
        <w:t>S Global Insights.</w:t>
      </w:r>
    </w:p>
    <w:p w:rsidR="00691917" w:rsidRDefault="00691917" w:rsidP="004361E5">
      <w:pPr>
        <w:pStyle w:val="Answer"/>
        <w:jc w:val="left"/>
      </w:pPr>
      <w:r>
        <w:t>A.</w:t>
      </w:r>
      <w:r>
        <w:tab/>
      </w:r>
      <w:r w:rsidR="00B808EE">
        <w:t>As discussed in the direct testimony of Ms. Siores, i</w:t>
      </w:r>
      <w:r w:rsidR="003B7486">
        <w:t xml:space="preserve">n developing the revenue requirement in this case, the Company included an adjustment </w:t>
      </w:r>
      <w:r w:rsidR="00D123E3">
        <w:t>to better reflect</w:t>
      </w:r>
      <w:r w:rsidR="003B7486">
        <w:t xml:space="preserve"> non-labor O&amp;M expense </w:t>
      </w:r>
      <w:r w:rsidR="00D123E3">
        <w:t xml:space="preserve">in </w:t>
      </w:r>
      <w:r w:rsidR="003B7486">
        <w:t>the rate effective period.  This is calculated by applying IHS Global Insight indices by FERC function to historical non-labor O&amp;M expense levels.</w:t>
      </w:r>
      <w:r w:rsidR="00B808EE">
        <w:t xml:space="preserve">  </w:t>
      </w:r>
    </w:p>
    <w:p w:rsidR="003B7486" w:rsidRPr="003B7486" w:rsidRDefault="004A0DAE" w:rsidP="004A0DAE">
      <w:pPr>
        <w:pStyle w:val="Answer"/>
        <w:keepNext/>
        <w:jc w:val="left"/>
        <w:rPr>
          <w:b/>
        </w:rPr>
      </w:pPr>
      <w:r>
        <w:rPr>
          <w:b/>
        </w:rPr>
        <w:lastRenderedPageBreak/>
        <w:t>Q.</w:t>
      </w:r>
      <w:r>
        <w:rPr>
          <w:b/>
        </w:rPr>
        <w:tab/>
        <w:t>What is</w:t>
      </w:r>
      <w:r w:rsidR="003B7486" w:rsidRPr="003B7486">
        <w:rPr>
          <w:b/>
        </w:rPr>
        <w:t xml:space="preserve"> IHS Global Insight?</w:t>
      </w:r>
    </w:p>
    <w:p w:rsidR="003B7486" w:rsidRDefault="003B7486" w:rsidP="004361E5">
      <w:pPr>
        <w:pStyle w:val="Answer"/>
        <w:jc w:val="left"/>
      </w:pPr>
      <w:r>
        <w:t>A.</w:t>
      </w:r>
      <w:r>
        <w:tab/>
      </w:r>
      <w:r w:rsidR="004A0DAE">
        <w:t xml:space="preserve">IHS Global Insights is a third-party provider of utility-specific inflation indices at the FERC functional level.  </w:t>
      </w:r>
    </w:p>
    <w:p w:rsidR="004A0DAE" w:rsidRPr="004A0DAE" w:rsidRDefault="004A0DAE" w:rsidP="003B681D">
      <w:pPr>
        <w:pStyle w:val="Answer"/>
        <w:keepNext/>
        <w:jc w:val="left"/>
        <w:rPr>
          <w:b/>
        </w:rPr>
      </w:pPr>
      <w:r w:rsidRPr="004A0DAE">
        <w:rPr>
          <w:b/>
        </w:rPr>
        <w:t>Q.</w:t>
      </w:r>
      <w:r w:rsidRPr="004A0DAE">
        <w:rPr>
          <w:b/>
        </w:rPr>
        <w:tab/>
        <w:t>Has the Company proposed similar adjustments in other jurisdictions?</w:t>
      </w:r>
    </w:p>
    <w:p w:rsidR="004A0DAE" w:rsidRDefault="004A0DAE" w:rsidP="004361E5">
      <w:pPr>
        <w:pStyle w:val="Answer"/>
        <w:jc w:val="left"/>
      </w:pPr>
      <w:r>
        <w:t>A.</w:t>
      </w:r>
      <w:r>
        <w:tab/>
        <w:t xml:space="preserve">Yes.  The Company uses the same approach in its California, Oregon, Utah, and Wyoming cases as a method to better reflect cost levels expected during the rate effective period.  </w:t>
      </w:r>
    </w:p>
    <w:p w:rsidR="00BF7DA2" w:rsidRPr="00BF7DA2" w:rsidRDefault="00BF7DA2" w:rsidP="00C2279B">
      <w:pPr>
        <w:pStyle w:val="Answer"/>
        <w:keepNext/>
        <w:jc w:val="left"/>
        <w:rPr>
          <w:b/>
        </w:rPr>
      </w:pPr>
      <w:r w:rsidRPr="00BF7DA2">
        <w:rPr>
          <w:b/>
        </w:rPr>
        <w:t>Q.</w:t>
      </w:r>
      <w:r w:rsidRPr="00BF7DA2">
        <w:rPr>
          <w:b/>
        </w:rPr>
        <w:tab/>
        <w:t>Did the Company consider proposing an attrition adjustment in this case?</w:t>
      </w:r>
    </w:p>
    <w:p w:rsidR="00BF7DA2" w:rsidRPr="00691917" w:rsidRDefault="00BF7DA2" w:rsidP="004361E5">
      <w:pPr>
        <w:pStyle w:val="Answer"/>
        <w:jc w:val="left"/>
      </w:pPr>
      <w:r>
        <w:t>A.</w:t>
      </w:r>
      <w:r>
        <w:tab/>
      </w:r>
      <w:r w:rsidR="00B808EE">
        <w:t xml:space="preserve">Yes.  The Company evaluated </w:t>
      </w:r>
      <w:proofErr w:type="spellStart"/>
      <w:r w:rsidR="00B808EE">
        <w:t>Avista’s</w:t>
      </w:r>
      <w:proofErr w:type="spellEnd"/>
      <w:r w:rsidR="00B808EE">
        <w:t xml:space="preserve"> proposed attrition mechanism and Puget Sound Energy’s approve</w:t>
      </w:r>
      <w:r w:rsidR="00971E74">
        <w:t>d</w:t>
      </w:r>
      <w:r w:rsidR="00B808EE">
        <w:t xml:space="preserve"> mechanism.  The Company determined that use of an attrition mechanism would not adequately mitigate future under-recovery for Pacific Power because: (1) the mechanisms do not address NPC, which is over one-third of Pacific Power’s revenue requirement; and (2) the existing mechanisms assume a consistent level of growth in the co</w:t>
      </w:r>
      <w:r w:rsidR="00CD0EB1">
        <w:t>sts that PacifiCorp is actively manag</w:t>
      </w:r>
      <w:r w:rsidR="00B808EE">
        <w:t xml:space="preserve">ing to control, as discussed above.  While the Company </w:t>
      </w:r>
      <w:r w:rsidR="00971E74">
        <w:t>does not propose</w:t>
      </w:r>
      <w:r w:rsidR="00B808EE">
        <w:t xml:space="preserve"> an attrition mechanism in this case, the Company remains open to considering this type of mechanism in the future.</w:t>
      </w:r>
    </w:p>
    <w:p w:rsidR="00222355" w:rsidRDefault="00222355" w:rsidP="00F97F5F">
      <w:pPr>
        <w:pStyle w:val="Heading2"/>
      </w:pPr>
      <w:bookmarkStart w:id="9" w:name="_Toc386630090"/>
      <w:r>
        <w:t>Labor Expenses</w:t>
      </w:r>
      <w:bookmarkEnd w:id="9"/>
    </w:p>
    <w:p w:rsidR="00222355" w:rsidRDefault="00BF7DA2" w:rsidP="004361E5">
      <w:pPr>
        <w:pStyle w:val="Answer"/>
        <w:jc w:val="left"/>
        <w:rPr>
          <w:b/>
        </w:rPr>
      </w:pPr>
      <w:r>
        <w:rPr>
          <w:b/>
        </w:rPr>
        <w:t>Q.</w:t>
      </w:r>
      <w:r>
        <w:rPr>
          <w:b/>
        </w:rPr>
        <w:tab/>
      </w:r>
      <w:r w:rsidR="00E11F75">
        <w:rPr>
          <w:b/>
        </w:rPr>
        <w:t>How does the Company reflect salary and wage expenses in the revenue requirement in this case?</w:t>
      </w:r>
    </w:p>
    <w:p w:rsidR="00E11F75" w:rsidRPr="00E11F75" w:rsidRDefault="00E11F75" w:rsidP="004361E5">
      <w:pPr>
        <w:pStyle w:val="Answer"/>
        <w:jc w:val="left"/>
      </w:pPr>
      <w:r>
        <w:t>A.</w:t>
      </w:r>
      <w:r>
        <w:tab/>
      </w:r>
      <w:r w:rsidR="00FA4598">
        <w:t xml:space="preserve">The Company reflects salary and wage expenses in the revenue requirement at the levels expected for the rate effective period based upon known increases under union contracts and known or anticipated increases for the non-union workforce.  </w:t>
      </w:r>
      <w:r w:rsidR="00897DDD">
        <w:t xml:space="preserve">This is </w:t>
      </w:r>
      <w:r w:rsidR="00897DDD">
        <w:lastRenderedPageBreak/>
        <w:t xml:space="preserve">similar to </w:t>
      </w:r>
      <w:r w:rsidR="00FA4598">
        <w:t>the Company</w:t>
      </w:r>
      <w:r w:rsidR="00897DDD">
        <w:t>’s approach in its previous rate cases, including the 2013 Rate Case.  In this case, however, the Company adjusts salaries and wages through the rate effective period.  In previous cases, the Company adjusted salaries and wages forward one year past the historical test period.  The Company’s approach in this case is consistent with the approach used by other utilities in Washington to reflect salaries and wages at the level anticipated during the rate effective period.</w:t>
      </w:r>
    </w:p>
    <w:p w:rsidR="00B808EE" w:rsidRDefault="00B808EE" w:rsidP="00F97F5F">
      <w:pPr>
        <w:pStyle w:val="Heading2"/>
      </w:pPr>
      <w:bookmarkStart w:id="10" w:name="_Toc386630091"/>
      <w:r>
        <w:t>Pro Forma Capital Additions</w:t>
      </w:r>
      <w:bookmarkEnd w:id="10"/>
    </w:p>
    <w:p w:rsidR="00B808EE" w:rsidRDefault="00E11F75" w:rsidP="004361E5">
      <w:pPr>
        <w:pStyle w:val="Answer"/>
        <w:jc w:val="left"/>
        <w:rPr>
          <w:b/>
        </w:rPr>
      </w:pPr>
      <w:r>
        <w:rPr>
          <w:b/>
        </w:rPr>
        <w:t>Q.</w:t>
      </w:r>
      <w:r>
        <w:rPr>
          <w:b/>
        </w:rPr>
        <w:tab/>
        <w:t>Please describe the Company’s proposal to include pro forma capital additions in this case.</w:t>
      </w:r>
    </w:p>
    <w:p w:rsidR="00E11F75" w:rsidRDefault="00E11F75" w:rsidP="004361E5">
      <w:pPr>
        <w:pStyle w:val="Answer"/>
        <w:jc w:val="left"/>
      </w:pPr>
      <w:r>
        <w:t>A.</w:t>
      </w:r>
      <w:r>
        <w:tab/>
        <w:t xml:space="preserve">In the Company’s 2013 Rate Case, the Company proposed five pro forma capital additions to </w:t>
      </w:r>
      <w:r w:rsidR="00FA4598">
        <w:t>address</w:t>
      </w:r>
      <w:r>
        <w:t xml:space="preserve"> regulatory lag.  The Commission approved the four pro forma capital additions that were in service before the beginning of the rate effective period.</w:t>
      </w:r>
      <w:r>
        <w:rPr>
          <w:rStyle w:val="FootnoteReference"/>
        </w:rPr>
        <w:footnoteReference w:id="17"/>
      </w:r>
      <w:r>
        <w:t xml:space="preserve">  In this case, the Company propos</w:t>
      </w:r>
      <w:r w:rsidR="00FA4598">
        <w:t>es</w:t>
      </w:r>
      <w:r>
        <w:t xml:space="preserve"> to include all pro forma capital additions greater than $250,000 on a Washington-allocated basis to mitigate regulatory lag.  All of these capital additions will be operational and serving customers before the beginning of the rate effective period.  </w:t>
      </w:r>
    </w:p>
    <w:p w:rsidR="00B808EE" w:rsidRDefault="00E11F75" w:rsidP="004361E5">
      <w:pPr>
        <w:pStyle w:val="Answer"/>
        <w:jc w:val="left"/>
        <w:rPr>
          <w:b/>
        </w:rPr>
      </w:pPr>
      <w:r>
        <w:tab/>
      </w:r>
      <w:r>
        <w:tab/>
      </w:r>
      <w:r w:rsidR="00FA4598">
        <w:t>For those</w:t>
      </w:r>
      <w:r>
        <w:t xml:space="preserve"> pro forma capital additions greater than $1.0 million on a Washington-allocated basis, </w:t>
      </w:r>
      <w:r w:rsidR="00B45DEF">
        <w:t>the Company</w:t>
      </w:r>
      <w:r w:rsidR="00FA4598">
        <w:t xml:space="preserve"> provides the following </w:t>
      </w:r>
      <w:r>
        <w:t>testimony</w:t>
      </w:r>
      <w:r w:rsidR="00B45DEF">
        <w:t xml:space="preserve">: </w:t>
      </w:r>
      <w:r w:rsidR="00B45DEF">
        <w:br/>
        <w:t>Mr. Richard</w:t>
      </w:r>
      <w:r>
        <w:t xml:space="preserve"> A. Vail </w:t>
      </w:r>
      <w:r w:rsidR="00FA4598">
        <w:t>testifies about</w:t>
      </w:r>
      <w:r>
        <w:t xml:space="preserve"> upgrades to the Company’s distribution and transmission facilities</w:t>
      </w:r>
      <w:r w:rsidR="00FA4598">
        <w:t>;</w:t>
      </w:r>
      <w:r>
        <w:t xml:space="preserve"> Mr. Mark R. Tallman </w:t>
      </w:r>
      <w:r w:rsidR="00FA4598">
        <w:t xml:space="preserve">testifies about </w:t>
      </w:r>
      <w:r>
        <w:t xml:space="preserve">the </w:t>
      </w:r>
      <w:proofErr w:type="spellStart"/>
      <w:r>
        <w:t>Merwin</w:t>
      </w:r>
      <w:proofErr w:type="spellEnd"/>
      <w:r>
        <w:t xml:space="preserve"> Fish Collector</w:t>
      </w:r>
      <w:r w:rsidR="00FA4598">
        <w:t xml:space="preserve">; </w:t>
      </w:r>
      <w:r>
        <w:t>and Mr. Dana A. Ralston</w:t>
      </w:r>
      <w:r w:rsidR="00FA4598">
        <w:t xml:space="preserve"> testifies about </w:t>
      </w:r>
      <w:r>
        <w:t>a cooling tower replacement at Unit 1 of the Jim Bridger generating plant.</w:t>
      </w:r>
      <w:r w:rsidR="00FA4598">
        <w:t xml:space="preserve">  The other pro forma capital additions are addressed in Ms. </w:t>
      </w:r>
      <w:proofErr w:type="spellStart"/>
      <w:r w:rsidR="00FA4598">
        <w:t>Siores’s</w:t>
      </w:r>
      <w:proofErr w:type="spellEnd"/>
      <w:r w:rsidR="00FA4598">
        <w:t xml:space="preserve"> direct testimony.</w:t>
      </w:r>
    </w:p>
    <w:p w:rsidR="00222355" w:rsidRPr="00222355" w:rsidRDefault="00222355" w:rsidP="00CD0EB1">
      <w:pPr>
        <w:pStyle w:val="Heading2"/>
      </w:pPr>
      <w:bookmarkStart w:id="11" w:name="_Toc386630092"/>
      <w:r>
        <w:lastRenderedPageBreak/>
        <w:t>Renewable Resource Tracking Mechanism (RRTM)</w:t>
      </w:r>
      <w:bookmarkEnd w:id="11"/>
    </w:p>
    <w:p w:rsidR="004361E5" w:rsidRPr="00F97F5F" w:rsidRDefault="00BF7DA2" w:rsidP="00CD0EB1">
      <w:pPr>
        <w:keepNext/>
        <w:tabs>
          <w:tab w:val="left" w:pos="720"/>
        </w:tabs>
        <w:spacing w:line="480" w:lineRule="auto"/>
        <w:ind w:left="720" w:hanging="720"/>
        <w:jc w:val="left"/>
        <w:rPr>
          <w:b/>
        </w:rPr>
      </w:pPr>
      <w:r w:rsidRPr="00F97F5F">
        <w:rPr>
          <w:b/>
        </w:rPr>
        <w:t>Q.</w:t>
      </w:r>
      <w:r w:rsidRPr="00F97F5F">
        <w:rPr>
          <w:b/>
        </w:rPr>
        <w:tab/>
      </w:r>
      <w:r w:rsidR="00897DDD" w:rsidRPr="00F97F5F">
        <w:rPr>
          <w:b/>
        </w:rPr>
        <w:t>Please describe the Company’s proposal for a</w:t>
      </w:r>
      <w:r w:rsidR="00B45DEF">
        <w:rPr>
          <w:b/>
        </w:rPr>
        <w:t>n</w:t>
      </w:r>
      <w:r w:rsidR="00897DDD" w:rsidRPr="00F97F5F">
        <w:rPr>
          <w:b/>
        </w:rPr>
        <w:t xml:space="preserve"> RRTM.</w:t>
      </w:r>
    </w:p>
    <w:p w:rsidR="00BF7DA2" w:rsidRDefault="00FA4598" w:rsidP="00897DDD">
      <w:pPr>
        <w:spacing w:line="480" w:lineRule="auto"/>
        <w:ind w:left="720" w:hanging="720"/>
        <w:jc w:val="left"/>
      </w:pPr>
      <w:r>
        <w:t>A.</w:t>
      </w:r>
      <w:r>
        <w:tab/>
      </w:r>
      <w:r w:rsidR="00897DDD">
        <w:t>The Company proposes to establish an RRTM to allow the Company to collect or credit the differences between the value of wind resources included in Washington rates and the actual value of wind resources used to serve Washington customers.  The RRTM is discussed in further detail in Mr. Duvall’s direct testimony.</w:t>
      </w:r>
    </w:p>
    <w:p w:rsidR="00897DDD" w:rsidRPr="00897DDD" w:rsidRDefault="00897DDD" w:rsidP="00897DDD">
      <w:pPr>
        <w:tabs>
          <w:tab w:val="left" w:pos="720"/>
        </w:tabs>
        <w:spacing w:line="480" w:lineRule="auto"/>
        <w:ind w:left="720" w:hanging="720"/>
        <w:jc w:val="left"/>
        <w:rPr>
          <w:b/>
        </w:rPr>
      </w:pPr>
      <w:r w:rsidRPr="00897DDD">
        <w:rPr>
          <w:b/>
        </w:rPr>
        <w:t>Q.</w:t>
      </w:r>
      <w:r w:rsidRPr="00897DDD">
        <w:rPr>
          <w:b/>
        </w:rPr>
        <w:tab/>
        <w:t>Why is the RRTM necessary?</w:t>
      </w:r>
    </w:p>
    <w:p w:rsidR="00897DDD" w:rsidRDefault="00897DDD" w:rsidP="00897DDD">
      <w:pPr>
        <w:tabs>
          <w:tab w:val="left" w:pos="720"/>
        </w:tabs>
        <w:spacing w:line="480" w:lineRule="auto"/>
        <w:ind w:left="720" w:hanging="720"/>
        <w:jc w:val="left"/>
      </w:pPr>
      <w:r>
        <w:t>A.</w:t>
      </w:r>
      <w:r>
        <w:tab/>
        <w:t xml:space="preserve">The Company’s NPC is highly variable due to factors largely outside of the Company’s control, including variations in generation from wind resources used to comply with </w:t>
      </w:r>
      <w:r>
        <w:rPr>
          <w:rFonts w:cs="Arial"/>
        </w:rPr>
        <w:t>Washington’s RPS, established in the EIA.</w:t>
      </w:r>
      <w:r>
        <w:t xml:space="preserve">  The passage of the EIA in 2006 removed a significant part of the Company’s discretion in selecting the power supply used to serve Washington customers, mandating procurement of certain levels of renewable generation resources.  At the same time, the EIA requires customers to bear the costs of prudent compliance. </w:t>
      </w:r>
    </w:p>
    <w:p w:rsidR="00897DDD" w:rsidRDefault="00897DDD" w:rsidP="00F97F5F">
      <w:pPr>
        <w:pStyle w:val="Heading1"/>
      </w:pPr>
      <w:bookmarkStart w:id="12" w:name="_Toc386630093"/>
      <w:bookmarkEnd w:id="6"/>
      <w:r>
        <w:t>CONCLUSION</w:t>
      </w:r>
      <w:bookmarkEnd w:id="12"/>
    </w:p>
    <w:p w:rsidR="00897DDD" w:rsidRDefault="00897DDD" w:rsidP="00897DDD">
      <w:pPr>
        <w:pStyle w:val="Answer"/>
        <w:keepNext/>
        <w:widowControl w:val="0"/>
        <w:rPr>
          <w:b/>
        </w:rPr>
      </w:pPr>
      <w:r>
        <w:rPr>
          <w:b/>
        </w:rPr>
        <w:t>Q.</w:t>
      </w:r>
      <w:r>
        <w:rPr>
          <w:b/>
        </w:rPr>
        <w:tab/>
      </w:r>
      <w:r w:rsidR="00F97F5F">
        <w:rPr>
          <w:b/>
        </w:rPr>
        <w:t>Please summarize your testimony.</w:t>
      </w:r>
    </w:p>
    <w:p w:rsidR="00F97F5F" w:rsidRPr="00F97F5F" w:rsidRDefault="00F97F5F" w:rsidP="00F97F5F">
      <w:pPr>
        <w:pStyle w:val="Answer"/>
        <w:widowControl w:val="0"/>
        <w:jc w:val="left"/>
      </w:pPr>
      <w:r>
        <w:t>A.</w:t>
      </w:r>
      <w:r>
        <w:tab/>
        <w:t>The Company is sensitive to the impact that rate increases have on customers and, as discussed above, actively works to minimize the frequency and magnitude of these increases.  But despite the recent outcome in the Company’s 2013 Rate Case and the Company’s ongoing cost control efforts, a rate increase of $2</w:t>
      </w:r>
      <w:r w:rsidR="000734BE">
        <w:t>7</w:t>
      </w:r>
      <w:r>
        <w:t>.</w:t>
      </w:r>
      <w:r w:rsidR="000734BE">
        <w:t>2</w:t>
      </w:r>
      <w:r>
        <w:t xml:space="preserve"> million is necessary to recover the costs to continue providing safe, reliable, and efficient electric service to Washington customers and to earn a reasonable return.</w:t>
      </w:r>
    </w:p>
    <w:p w:rsidR="004839E1" w:rsidRPr="002B505A" w:rsidRDefault="004839E1" w:rsidP="00FA4598">
      <w:pPr>
        <w:pStyle w:val="Answer"/>
        <w:keepNext/>
        <w:widowControl w:val="0"/>
        <w:jc w:val="left"/>
        <w:rPr>
          <w:b/>
        </w:rPr>
      </w:pPr>
      <w:r w:rsidRPr="002B505A">
        <w:rPr>
          <w:b/>
        </w:rPr>
        <w:lastRenderedPageBreak/>
        <w:t>Q.</w:t>
      </w:r>
      <w:r w:rsidRPr="002B505A">
        <w:rPr>
          <w:b/>
        </w:rPr>
        <w:tab/>
        <w:t xml:space="preserve">Does this conclude your </w:t>
      </w:r>
      <w:r w:rsidR="004361E5">
        <w:rPr>
          <w:b/>
        </w:rPr>
        <w:t xml:space="preserve">direct </w:t>
      </w:r>
      <w:r w:rsidRPr="002B505A">
        <w:rPr>
          <w:b/>
        </w:rPr>
        <w:t>testimony?</w:t>
      </w:r>
    </w:p>
    <w:p w:rsidR="004839E1" w:rsidRPr="00410A71" w:rsidRDefault="004839E1" w:rsidP="00FA4598">
      <w:pPr>
        <w:pStyle w:val="Answer"/>
        <w:widowControl w:val="0"/>
        <w:jc w:val="left"/>
      </w:pPr>
      <w:r>
        <w:t>A.</w:t>
      </w:r>
      <w:r>
        <w:tab/>
        <w:t>Yes.</w:t>
      </w:r>
    </w:p>
    <w:sectPr w:rsidR="004839E1" w:rsidRPr="00410A71" w:rsidSect="00E11AA5">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27" w:rsidRDefault="00762F27">
      <w:r>
        <w:separator/>
      </w:r>
    </w:p>
  </w:endnote>
  <w:endnote w:type="continuationSeparator" w:id="0">
    <w:p w:rsidR="00762F27" w:rsidRDefault="0076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1003A87" w:usb1="00000000" w:usb2="00000000" w:usb3="00420000" w:csb0="006F006F" w:csb1="006D006B"/>
  </w:font>
  <w:font w:name="Cambria">
    <w:panose1 w:val="02040503050406030204"/>
    <w:charset w:val="00"/>
    <w:family w:val="roman"/>
    <w:pitch w:val="variable"/>
    <w:sig w:usb0="E00002FF" w:usb1="400004FF" w:usb2="00000000"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10" w:rsidRDefault="009356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5F" w:rsidRDefault="00F97F5F" w:rsidP="008E085A">
    <w:pPr>
      <w:pStyle w:val="Footer"/>
      <w:tabs>
        <w:tab w:val="clear" w:pos="8640"/>
        <w:tab w:val="right" w:pos="9000"/>
      </w:tabs>
    </w:pPr>
    <w:r>
      <w:t>Direct Testimony of R. Bryce Dalley</w:t>
    </w:r>
    <w:r>
      <w:tab/>
    </w:r>
    <w:r>
      <w:tab/>
      <w:t>Exhibit No.</w:t>
    </w:r>
    <w:r w:rsidRPr="007B3542">
      <w:t>__</w:t>
    </w:r>
    <w:proofErr w:type="gramStart"/>
    <w:r w:rsidRPr="007B3542">
      <w:t>_(</w:t>
    </w:r>
    <w:proofErr w:type="gramEnd"/>
    <w:r w:rsidRPr="007B3542">
      <w:t>RBD-1T)</w:t>
    </w:r>
  </w:p>
  <w:p w:rsidR="00F97F5F" w:rsidRPr="007B3542" w:rsidRDefault="00F97F5F" w:rsidP="007B3542">
    <w:pPr>
      <w:pStyle w:val="Footer"/>
      <w:jc w:val="right"/>
    </w:pPr>
    <w:r>
      <w:t xml:space="preserve">Page </w:t>
    </w:r>
    <w:r>
      <w:fldChar w:fldCharType="begin"/>
    </w:r>
    <w:r>
      <w:instrText xml:space="preserve"> PAGE   \* MERGEFORMAT </w:instrText>
    </w:r>
    <w:r>
      <w:fldChar w:fldCharType="separate"/>
    </w:r>
    <w:r w:rsidR="00935610">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10" w:rsidRDefault="00935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27" w:rsidRDefault="00762F27">
      <w:r>
        <w:separator/>
      </w:r>
    </w:p>
  </w:footnote>
  <w:footnote w:type="continuationSeparator" w:id="0">
    <w:p w:rsidR="00762F27" w:rsidRDefault="00762F27">
      <w:r>
        <w:continuationSeparator/>
      </w:r>
    </w:p>
  </w:footnote>
  <w:footnote w:id="1">
    <w:p w:rsidR="00EE1E66" w:rsidRPr="00335BF8" w:rsidRDefault="00EE1E66" w:rsidP="00363B7A">
      <w:pPr>
        <w:pStyle w:val="FootnoteText"/>
        <w:jc w:val="left"/>
      </w:pPr>
      <w:r>
        <w:rPr>
          <w:rStyle w:val="FootnoteReference"/>
        </w:rPr>
        <w:footnoteRef/>
      </w:r>
      <w:r>
        <w:t xml:space="preserve"> </w:t>
      </w:r>
      <w:r w:rsidR="00335BF8">
        <w:rPr>
          <w:i/>
        </w:rPr>
        <w:t xml:space="preserve">Wash. Util. </w:t>
      </w:r>
      <w:r w:rsidR="001C6B87">
        <w:rPr>
          <w:i/>
        </w:rPr>
        <w:t>&amp;</w:t>
      </w:r>
      <w:r w:rsidR="00335BF8">
        <w:rPr>
          <w:i/>
        </w:rPr>
        <w:t xml:space="preserve"> Trans. </w:t>
      </w:r>
      <w:proofErr w:type="spellStart"/>
      <w:r w:rsidR="00335BF8">
        <w:rPr>
          <w:i/>
        </w:rPr>
        <w:t>Comm’n</w:t>
      </w:r>
      <w:proofErr w:type="spellEnd"/>
      <w:r w:rsidR="00335BF8">
        <w:rPr>
          <w:i/>
        </w:rPr>
        <w:t xml:space="preserve"> v. PacifiCorp d/b/a Pacific Power &amp; Light Co</w:t>
      </w:r>
      <w:r w:rsidR="00335BF8">
        <w:t>., Docket UE-130043, Order 05</w:t>
      </w:r>
      <w:r w:rsidR="00B45DEF">
        <w:t>, ¶¶110-114</w:t>
      </w:r>
      <w:r w:rsidR="00335BF8">
        <w:t xml:space="preserve"> (Dec. 4, 2013).  </w:t>
      </w:r>
    </w:p>
  </w:footnote>
  <w:footnote w:id="2">
    <w:p w:rsidR="008E085A" w:rsidRDefault="008E085A" w:rsidP="00363B7A">
      <w:pPr>
        <w:jc w:val="left"/>
        <w:rPr>
          <w:i/>
          <w:sz w:val="20"/>
          <w:szCs w:val="20"/>
        </w:rPr>
      </w:pPr>
      <w:r>
        <w:rPr>
          <w:rStyle w:val="FootnoteReference"/>
          <w:sz w:val="20"/>
          <w:szCs w:val="20"/>
        </w:rPr>
        <w:footnoteRef/>
      </w:r>
      <w:r>
        <w:rPr>
          <w:sz w:val="20"/>
          <w:szCs w:val="20"/>
        </w:rPr>
        <w:t xml:space="preserve"> The EIA is codified at RCW 19.285.</w:t>
      </w:r>
    </w:p>
  </w:footnote>
  <w:footnote w:id="3">
    <w:p w:rsidR="00335BF8" w:rsidRDefault="00335BF8" w:rsidP="00363B7A">
      <w:pPr>
        <w:pStyle w:val="FootnoteText"/>
        <w:jc w:val="left"/>
      </w:pPr>
      <w:r>
        <w:rPr>
          <w:rStyle w:val="FootnoteReference"/>
        </w:rPr>
        <w:footnoteRef/>
      </w:r>
      <w:r>
        <w:t xml:space="preserve"> Order 05</w:t>
      </w:r>
      <w:r w:rsidR="003B681D">
        <w:t xml:space="preserve">, </w:t>
      </w:r>
      <w:r w:rsidR="00020550">
        <w:t>¶42.</w:t>
      </w:r>
    </w:p>
  </w:footnote>
  <w:footnote w:id="4">
    <w:p w:rsidR="00F97F5F" w:rsidRPr="008F17D3" w:rsidRDefault="00F97F5F" w:rsidP="008F17D3">
      <w:pPr>
        <w:autoSpaceDE w:val="0"/>
        <w:autoSpaceDN w:val="0"/>
        <w:adjustRightInd w:val="0"/>
        <w:jc w:val="left"/>
        <w:rPr>
          <w:sz w:val="20"/>
          <w:szCs w:val="20"/>
        </w:rPr>
      </w:pPr>
      <w:r w:rsidRPr="008F17D3">
        <w:rPr>
          <w:rStyle w:val="FootnoteReference"/>
          <w:sz w:val="20"/>
          <w:szCs w:val="20"/>
        </w:rPr>
        <w:footnoteRef/>
      </w:r>
      <w:r w:rsidRPr="008F17D3">
        <w:rPr>
          <w:sz w:val="20"/>
          <w:szCs w:val="20"/>
        </w:rPr>
        <w:t xml:space="preserve"> The stipulation provides that “the earliest proposed rate </w:t>
      </w:r>
      <w:r w:rsidR="00B45DEF">
        <w:rPr>
          <w:sz w:val="20"/>
          <w:szCs w:val="20"/>
        </w:rPr>
        <w:t>effective date for the Company’s</w:t>
      </w:r>
      <w:r w:rsidRPr="008F17D3">
        <w:rPr>
          <w:sz w:val="20"/>
          <w:szCs w:val="20"/>
        </w:rPr>
        <w:t xml:space="preserve"> next general rate case filing will be January 1, 2016.</w:t>
      </w:r>
      <w:r>
        <w:rPr>
          <w:sz w:val="20"/>
          <w:szCs w:val="20"/>
        </w:rPr>
        <w:t xml:space="preserve">”  </w:t>
      </w:r>
      <w:r>
        <w:rPr>
          <w:i/>
          <w:sz w:val="20"/>
          <w:szCs w:val="20"/>
        </w:rPr>
        <w:t>In the Matter of PacifiCorp d/b/a Pacific Power Request for a General Rate Revision</w:t>
      </w:r>
      <w:r>
        <w:rPr>
          <w:sz w:val="20"/>
          <w:szCs w:val="20"/>
        </w:rPr>
        <w:t xml:space="preserve">, Docket No. </w:t>
      </w:r>
      <w:proofErr w:type="gramStart"/>
      <w:r>
        <w:rPr>
          <w:sz w:val="20"/>
          <w:szCs w:val="20"/>
        </w:rPr>
        <w:t>UE 263, Order No. 13-474, Appendix A at 6 (Dec.18, 2013).</w:t>
      </w:r>
      <w:proofErr w:type="gramEnd"/>
    </w:p>
  </w:footnote>
  <w:footnote w:id="5">
    <w:p w:rsidR="00F97F5F" w:rsidRDefault="00F97F5F" w:rsidP="00C2279B">
      <w:pPr>
        <w:pStyle w:val="FootnoteText"/>
        <w:jc w:val="left"/>
      </w:pPr>
      <w:r>
        <w:rPr>
          <w:rStyle w:val="FootnoteReference"/>
        </w:rPr>
        <w:footnoteRef/>
      </w:r>
      <w:r>
        <w:t xml:space="preserve"> The cover letters and summary sheets from each of the Company’s Commission basis reports for the years 2006 through 2012 are attached as Exhibit No.__</w:t>
      </w:r>
      <w:proofErr w:type="gramStart"/>
      <w:r>
        <w:t>_(</w:t>
      </w:r>
      <w:proofErr w:type="gramEnd"/>
      <w:r>
        <w:t>RBD-2).</w:t>
      </w:r>
    </w:p>
  </w:footnote>
  <w:footnote w:id="6">
    <w:p w:rsidR="00F97F5F" w:rsidRPr="00C611A7" w:rsidRDefault="00F97F5F" w:rsidP="009E4853">
      <w:pPr>
        <w:pStyle w:val="FootnoteText"/>
        <w:jc w:val="left"/>
      </w:pPr>
      <w:r>
        <w:rPr>
          <w:rStyle w:val="FootnoteReference"/>
        </w:rPr>
        <w:footnoteRef/>
      </w:r>
      <w:r>
        <w:t xml:space="preserve"> Docket UE-061546, Order 08 (requested $23.2 million; </w:t>
      </w:r>
      <w:r w:rsidR="004840CB">
        <w:t>Commission authorized a</w:t>
      </w:r>
      <w:r>
        <w:t xml:space="preserve"> </w:t>
      </w:r>
      <w:r w:rsidR="004840CB">
        <w:t>$14.2 million</w:t>
      </w:r>
      <w:r>
        <w:t>); Docket UE-080220, Order 05 (requested $34.9 million; Company settled for $20.4 million); Docket UE-090205 (requested $38.5 million; Company settled for $13.5 million); Docket UE-100749, Order 06 (requested $56.7 million; Commission authorized a</w:t>
      </w:r>
      <w:r w:rsidR="004840CB">
        <w:t xml:space="preserve"> $33.5 million</w:t>
      </w:r>
      <w:r>
        <w:t xml:space="preserve"> increase minus a $4.8 million rate credit for revenues from the sale of renewable energy credits); Docket UE-111190, Order 07 (requested $12.9 million; </w:t>
      </w:r>
      <w:r w:rsidR="004840CB">
        <w:t>Company settled for $4.5 </w:t>
      </w:r>
      <w:r>
        <w:t>million); Docket UE-130043, Order 05 (requested $42.8 million; Commission authorized an increase of $17.0 million).</w:t>
      </w:r>
    </w:p>
  </w:footnote>
  <w:footnote w:id="7">
    <w:p w:rsidR="00AE445B" w:rsidRDefault="00AE445B" w:rsidP="00363B7A">
      <w:pPr>
        <w:pStyle w:val="FootnoteText"/>
        <w:jc w:val="left"/>
      </w:pPr>
      <w:r>
        <w:rPr>
          <w:rStyle w:val="FootnoteReference"/>
        </w:rPr>
        <w:footnoteRef/>
      </w:r>
      <w:r>
        <w:t xml:space="preserve"> Docket UE-130043, Rebuttal Testimony of R. Bryce Dalley, Exhibit No.__</w:t>
      </w:r>
      <w:proofErr w:type="gramStart"/>
      <w:r>
        <w:t>_(</w:t>
      </w:r>
      <w:proofErr w:type="gramEnd"/>
      <w:r>
        <w:t>RBD-3T) at 12 (Aug. 2, 2013).</w:t>
      </w:r>
    </w:p>
  </w:footnote>
  <w:footnote w:id="8">
    <w:p w:rsidR="00F97F5F" w:rsidRDefault="00F97F5F" w:rsidP="00C2279B">
      <w:pPr>
        <w:pStyle w:val="FootnoteText"/>
        <w:jc w:val="left"/>
      </w:pPr>
      <w:r>
        <w:rPr>
          <w:rStyle w:val="FootnoteReference"/>
        </w:rPr>
        <w:footnoteRef/>
      </w:r>
      <w:r>
        <w:t xml:space="preserve"> Doc</w:t>
      </w:r>
      <w:r w:rsidR="00CB5EBA">
        <w:t>ket</w:t>
      </w:r>
      <w:r>
        <w:t xml:space="preserve"> UE-131384.</w:t>
      </w:r>
    </w:p>
  </w:footnote>
  <w:footnote w:id="9">
    <w:p w:rsidR="00F97F5F" w:rsidRDefault="00F97F5F" w:rsidP="00C2279B">
      <w:pPr>
        <w:pStyle w:val="FootnoteText"/>
        <w:jc w:val="left"/>
      </w:pPr>
      <w:r>
        <w:rPr>
          <w:rStyle w:val="FootnoteReference"/>
        </w:rPr>
        <w:footnoteRef/>
      </w:r>
      <w:r w:rsidR="00CB5EBA">
        <w:t xml:space="preserve"> Docket</w:t>
      </w:r>
      <w:r>
        <w:t xml:space="preserve"> UE-140094.</w:t>
      </w:r>
      <w:r w:rsidR="003624D9">
        <w:t xml:space="preserve">  The Company proposes to amortize both of these deferrals as part of this case.  This is discussed further in the direct testimonies of Ms. Siores and Ms. Joelle R. Steward.</w:t>
      </w:r>
    </w:p>
  </w:footnote>
  <w:footnote w:id="10">
    <w:p w:rsidR="0095486F" w:rsidRPr="0095486F" w:rsidRDefault="0095486F" w:rsidP="00C2279B">
      <w:pPr>
        <w:pStyle w:val="FootnoteText"/>
        <w:jc w:val="left"/>
      </w:pPr>
      <w:r>
        <w:rPr>
          <w:rStyle w:val="FootnoteReference"/>
        </w:rPr>
        <w:footnoteRef/>
      </w:r>
      <w:r>
        <w:t xml:space="preserve"> </w:t>
      </w:r>
      <w:r>
        <w:rPr>
          <w:i/>
        </w:rPr>
        <w:t>See</w:t>
      </w:r>
      <w:r w:rsidR="00C2279B">
        <w:rPr>
          <w:i/>
        </w:rPr>
        <w:t xml:space="preserve"> Wash. </w:t>
      </w:r>
      <w:proofErr w:type="spellStart"/>
      <w:r w:rsidR="00C2279B">
        <w:rPr>
          <w:i/>
        </w:rPr>
        <w:t>Utils</w:t>
      </w:r>
      <w:proofErr w:type="spellEnd"/>
      <w:r w:rsidR="00C2279B">
        <w:rPr>
          <w:i/>
        </w:rPr>
        <w:t xml:space="preserve">. &amp; Transp. </w:t>
      </w:r>
      <w:proofErr w:type="spellStart"/>
      <w:r w:rsidR="00C2279B">
        <w:rPr>
          <w:i/>
        </w:rPr>
        <w:t>Comm’n</w:t>
      </w:r>
      <w:proofErr w:type="spellEnd"/>
      <w:r w:rsidR="00C2279B">
        <w:rPr>
          <w:i/>
        </w:rPr>
        <w:t xml:space="preserve"> v. </w:t>
      </w:r>
      <w:r w:rsidR="00B45DEF">
        <w:rPr>
          <w:i/>
        </w:rPr>
        <w:t xml:space="preserve">PacifiCorp d/b/a </w:t>
      </w:r>
      <w:r w:rsidR="00C2279B">
        <w:rPr>
          <w:i/>
        </w:rPr>
        <w:t xml:space="preserve">Pacific Power &amp; Light Co., </w:t>
      </w:r>
      <w:r w:rsidR="00C2279B">
        <w:t xml:space="preserve">Docket UE-100749, </w:t>
      </w:r>
      <w:r>
        <w:t>Redacted Testimony of Alan C. Buckley, Exhibit No.___(APB-1T)</w:t>
      </w:r>
      <w:r w:rsidR="00C2279B">
        <w:t xml:space="preserve"> at 16 (Oct. 5, 2010) </w:t>
      </w:r>
      <w:r>
        <w:t>(“it is up to the Company to file an accounting petition with the Commission requesting deferral and possible recovery” of excess costs resulting for an extended forced outage).</w:t>
      </w:r>
    </w:p>
  </w:footnote>
  <w:footnote w:id="11">
    <w:p w:rsidR="0095486F" w:rsidRDefault="0095486F" w:rsidP="00C2279B">
      <w:pPr>
        <w:pStyle w:val="FootnoteText"/>
        <w:jc w:val="left"/>
      </w:pPr>
      <w:r>
        <w:rPr>
          <w:rStyle w:val="FootnoteReference"/>
        </w:rPr>
        <w:footnoteRef/>
      </w:r>
      <w:r>
        <w:t xml:space="preserve"> </w:t>
      </w:r>
      <w:proofErr w:type="gramStart"/>
      <w:r w:rsidR="00C2279B">
        <w:rPr>
          <w:i/>
          <w:iCs/>
        </w:rPr>
        <w:t xml:space="preserve">Wash. </w:t>
      </w:r>
      <w:proofErr w:type="spellStart"/>
      <w:r w:rsidR="00C2279B">
        <w:rPr>
          <w:i/>
          <w:iCs/>
        </w:rPr>
        <w:t>Utils</w:t>
      </w:r>
      <w:proofErr w:type="spellEnd"/>
      <w:r w:rsidR="00C2279B">
        <w:rPr>
          <w:i/>
          <w:iCs/>
        </w:rPr>
        <w:t>.</w:t>
      </w:r>
      <w:proofErr w:type="gramEnd"/>
      <w:r w:rsidR="00C2279B">
        <w:rPr>
          <w:i/>
          <w:iCs/>
        </w:rPr>
        <w:t xml:space="preserve"> &amp; Transp. </w:t>
      </w:r>
      <w:proofErr w:type="spellStart"/>
      <w:r w:rsidR="00C2279B">
        <w:rPr>
          <w:i/>
          <w:iCs/>
        </w:rPr>
        <w:t>Comm’</w:t>
      </w:r>
      <w:r w:rsidRPr="00C10632">
        <w:rPr>
          <w:i/>
          <w:iCs/>
        </w:rPr>
        <w:t>n</w:t>
      </w:r>
      <w:proofErr w:type="spellEnd"/>
      <w:r w:rsidRPr="00C10632">
        <w:rPr>
          <w:i/>
          <w:iCs/>
        </w:rPr>
        <w:t xml:space="preserve"> v. Pacifi</w:t>
      </w:r>
      <w:r w:rsidR="00C2279B">
        <w:rPr>
          <w:i/>
          <w:iCs/>
        </w:rPr>
        <w:t>c Power &amp; Light Co.</w:t>
      </w:r>
      <w:r w:rsidRPr="00C10632">
        <w:t xml:space="preserve">, </w:t>
      </w:r>
      <w:r>
        <w:t xml:space="preserve">Docket </w:t>
      </w:r>
      <w:r w:rsidRPr="00C10632">
        <w:t>UE-08</w:t>
      </w:r>
      <w:r>
        <w:t>0220, Order 05 (Oct. 8, 2008) (approving a settlement allowing amortization of a portion of the Company’s 2005 hydro deferral).</w:t>
      </w:r>
    </w:p>
  </w:footnote>
  <w:footnote w:id="12">
    <w:p w:rsidR="00F97F5F" w:rsidRDefault="00F97F5F" w:rsidP="00C2279B">
      <w:pPr>
        <w:pStyle w:val="FootnoteText"/>
        <w:jc w:val="left"/>
      </w:pPr>
      <w:r>
        <w:rPr>
          <w:rStyle w:val="FootnoteReference"/>
        </w:rPr>
        <w:footnoteRef/>
      </w:r>
      <w:r w:rsidR="00CB5EBA">
        <w:t xml:space="preserve"> Docket </w:t>
      </w:r>
      <w:r>
        <w:t>UE-140617.</w:t>
      </w:r>
      <w:r w:rsidR="003624D9">
        <w:t xml:space="preserve">  If the Commission approves the separate tariff rider, the revenue requirement in this case would be reduced by approximately $1.7 million.</w:t>
      </w:r>
    </w:p>
  </w:footnote>
  <w:footnote w:id="13">
    <w:p w:rsidR="00B45DEF" w:rsidRPr="00B45DEF" w:rsidRDefault="00B45DEF">
      <w:pPr>
        <w:pStyle w:val="FootnoteText"/>
      </w:pPr>
      <w:r w:rsidRPr="00B45DEF">
        <w:rPr>
          <w:rStyle w:val="FootnoteReference"/>
        </w:rPr>
        <w:footnoteRef/>
      </w:r>
      <w:r w:rsidRPr="00B45DEF">
        <w:t xml:space="preserve"> Order 05, ¶203.</w:t>
      </w:r>
    </w:p>
  </w:footnote>
  <w:footnote w:id="14">
    <w:p w:rsidR="00B45DEF" w:rsidRDefault="00B45DEF">
      <w:pPr>
        <w:pStyle w:val="FootnoteText"/>
      </w:pPr>
      <w:r w:rsidRPr="00B45DEF">
        <w:rPr>
          <w:rStyle w:val="FootnoteReference"/>
        </w:rPr>
        <w:footnoteRef/>
      </w:r>
      <w:r w:rsidRPr="00B45DEF">
        <w:t xml:space="preserve"> WAC 480-07-505(1</w:t>
      </w:r>
      <w:proofErr w:type="gramStart"/>
      <w:r w:rsidRPr="00B45DEF">
        <w:t>)(</w:t>
      </w:r>
      <w:proofErr w:type="gramEnd"/>
      <w:r w:rsidRPr="00B45DEF">
        <w:t>a).</w:t>
      </w:r>
    </w:p>
  </w:footnote>
  <w:footnote w:id="15">
    <w:p w:rsidR="00B45DEF" w:rsidRDefault="00B45DEF">
      <w:pPr>
        <w:pStyle w:val="FootnoteText"/>
      </w:pPr>
      <w:r>
        <w:rPr>
          <w:rStyle w:val="FootnoteReference"/>
        </w:rPr>
        <w:footnoteRef/>
      </w:r>
      <w:r>
        <w:t xml:space="preserve"> Docket A-130355.</w:t>
      </w:r>
    </w:p>
  </w:footnote>
  <w:footnote w:id="16">
    <w:p w:rsidR="00F97F5F" w:rsidRDefault="00F97F5F" w:rsidP="00363B7A">
      <w:pPr>
        <w:pStyle w:val="FootnoteText"/>
        <w:jc w:val="left"/>
      </w:pPr>
      <w:r>
        <w:rPr>
          <w:rStyle w:val="FootnoteReference"/>
        </w:rPr>
        <w:footnoteRef/>
      </w:r>
      <w:r>
        <w:t xml:space="preserve"> Order 05, ¶184.</w:t>
      </w:r>
    </w:p>
  </w:footnote>
  <w:footnote w:id="17">
    <w:p w:rsidR="00F97F5F" w:rsidRDefault="00F97F5F" w:rsidP="00363B7A">
      <w:pPr>
        <w:pStyle w:val="FootnoteText"/>
        <w:jc w:val="left"/>
      </w:pPr>
      <w:r>
        <w:rPr>
          <w:rStyle w:val="FootnoteReference"/>
        </w:rPr>
        <w:footnoteRef/>
      </w:r>
      <w:r>
        <w:t xml:space="preserve"> Order 05, ¶¶200-201.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10" w:rsidRDefault="00935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10" w:rsidRDefault="009356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10" w:rsidRDefault="0093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071F4F6B"/>
    <w:multiLevelType w:val="hybridMultilevel"/>
    <w:tmpl w:val="26D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75B3B"/>
    <w:multiLevelType w:val="hybridMultilevel"/>
    <w:tmpl w:val="FAEE0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5">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17">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B663E51"/>
    <w:multiLevelType w:val="hybridMultilevel"/>
    <w:tmpl w:val="581240D2"/>
    <w:lvl w:ilvl="0" w:tplc="1B8622EE">
      <w:start w:val="1"/>
      <w:numFmt w:val="bullet"/>
      <w:pStyle w:val="AutoNumBodyCharCharCharCha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6"/>
  </w:num>
  <w:num w:numId="3">
    <w:abstractNumId w:val="17"/>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5"/>
  </w:num>
  <w:num w:numId="18">
    <w:abstractNumId w:val="10"/>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ED"/>
    <w:rsid w:val="00000F08"/>
    <w:rsid w:val="00001311"/>
    <w:rsid w:val="00001380"/>
    <w:rsid w:val="00003FAC"/>
    <w:rsid w:val="000045C5"/>
    <w:rsid w:val="000051B8"/>
    <w:rsid w:val="00006CE5"/>
    <w:rsid w:val="00010042"/>
    <w:rsid w:val="00011270"/>
    <w:rsid w:val="000133C4"/>
    <w:rsid w:val="000137A9"/>
    <w:rsid w:val="00014C14"/>
    <w:rsid w:val="00016109"/>
    <w:rsid w:val="000167A1"/>
    <w:rsid w:val="00017D99"/>
    <w:rsid w:val="00020550"/>
    <w:rsid w:val="00020B67"/>
    <w:rsid w:val="0002138A"/>
    <w:rsid w:val="00021457"/>
    <w:rsid w:val="00024672"/>
    <w:rsid w:val="00026137"/>
    <w:rsid w:val="0002642B"/>
    <w:rsid w:val="0002692B"/>
    <w:rsid w:val="00026EE2"/>
    <w:rsid w:val="00026FA1"/>
    <w:rsid w:val="000275B7"/>
    <w:rsid w:val="0003006A"/>
    <w:rsid w:val="0003142F"/>
    <w:rsid w:val="000339D1"/>
    <w:rsid w:val="00034979"/>
    <w:rsid w:val="00044931"/>
    <w:rsid w:val="00052601"/>
    <w:rsid w:val="00052F07"/>
    <w:rsid w:val="00053E88"/>
    <w:rsid w:val="00056EC9"/>
    <w:rsid w:val="000576E2"/>
    <w:rsid w:val="000579A1"/>
    <w:rsid w:val="000604C1"/>
    <w:rsid w:val="00060F01"/>
    <w:rsid w:val="000612FD"/>
    <w:rsid w:val="00062303"/>
    <w:rsid w:val="00063D8B"/>
    <w:rsid w:val="000641A2"/>
    <w:rsid w:val="00064289"/>
    <w:rsid w:val="00064531"/>
    <w:rsid w:val="000647DF"/>
    <w:rsid w:val="00067C4E"/>
    <w:rsid w:val="0007097D"/>
    <w:rsid w:val="000734BE"/>
    <w:rsid w:val="00073FF0"/>
    <w:rsid w:val="00074DDD"/>
    <w:rsid w:val="00077537"/>
    <w:rsid w:val="00077EA3"/>
    <w:rsid w:val="000817CE"/>
    <w:rsid w:val="000831F1"/>
    <w:rsid w:val="00084F13"/>
    <w:rsid w:val="000858D3"/>
    <w:rsid w:val="0008721E"/>
    <w:rsid w:val="00087EAF"/>
    <w:rsid w:val="0009005F"/>
    <w:rsid w:val="0009140F"/>
    <w:rsid w:val="00091B09"/>
    <w:rsid w:val="00091EF7"/>
    <w:rsid w:val="00093B5B"/>
    <w:rsid w:val="00093C59"/>
    <w:rsid w:val="000951CD"/>
    <w:rsid w:val="000978BB"/>
    <w:rsid w:val="000A059F"/>
    <w:rsid w:val="000A49D1"/>
    <w:rsid w:val="000A4B4F"/>
    <w:rsid w:val="000A4BD9"/>
    <w:rsid w:val="000A5264"/>
    <w:rsid w:val="000A6377"/>
    <w:rsid w:val="000A7191"/>
    <w:rsid w:val="000B0A23"/>
    <w:rsid w:val="000B1623"/>
    <w:rsid w:val="000B2679"/>
    <w:rsid w:val="000B5CDD"/>
    <w:rsid w:val="000B7A65"/>
    <w:rsid w:val="000C08C0"/>
    <w:rsid w:val="000C08CA"/>
    <w:rsid w:val="000C4959"/>
    <w:rsid w:val="000C597B"/>
    <w:rsid w:val="000C73A5"/>
    <w:rsid w:val="000D058F"/>
    <w:rsid w:val="000D3C05"/>
    <w:rsid w:val="000D49B6"/>
    <w:rsid w:val="000D7282"/>
    <w:rsid w:val="000D733D"/>
    <w:rsid w:val="000E4224"/>
    <w:rsid w:val="000E6DE0"/>
    <w:rsid w:val="000F0F56"/>
    <w:rsid w:val="000F1107"/>
    <w:rsid w:val="000F1156"/>
    <w:rsid w:val="000F59EA"/>
    <w:rsid w:val="001004B6"/>
    <w:rsid w:val="00104615"/>
    <w:rsid w:val="00105EBF"/>
    <w:rsid w:val="0010676F"/>
    <w:rsid w:val="00107C02"/>
    <w:rsid w:val="00111679"/>
    <w:rsid w:val="00115383"/>
    <w:rsid w:val="0011579F"/>
    <w:rsid w:val="00116594"/>
    <w:rsid w:val="00116686"/>
    <w:rsid w:val="00116A61"/>
    <w:rsid w:val="00120AE8"/>
    <w:rsid w:val="00120F8A"/>
    <w:rsid w:val="001229D5"/>
    <w:rsid w:val="00124669"/>
    <w:rsid w:val="00125B0C"/>
    <w:rsid w:val="00126E87"/>
    <w:rsid w:val="00127A42"/>
    <w:rsid w:val="001301B0"/>
    <w:rsid w:val="0013033E"/>
    <w:rsid w:val="001316F2"/>
    <w:rsid w:val="00131D77"/>
    <w:rsid w:val="00133C14"/>
    <w:rsid w:val="001350A8"/>
    <w:rsid w:val="00135851"/>
    <w:rsid w:val="00137ED4"/>
    <w:rsid w:val="00141071"/>
    <w:rsid w:val="00142195"/>
    <w:rsid w:val="00143AE5"/>
    <w:rsid w:val="00144108"/>
    <w:rsid w:val="00144D82"/>
    <w:rsid w:val="0015007D"/>
    <w:rsid w:val="00152B79"/>
    <w:rsid w:val="001533E1"/>
    <w:rsid w:val="00153BB5"/>
    <w:rsid w:val="001604CE"/>
    <w:rsid w:val="0016090F"/>
    <w:rsid w:val="00160A98"/>
    <w:rsid w:val="0016195B"/>
    <w:rsid w:val="00161BB2"/>
    <w:rsid w:val="0016334B"/>
    <w:rsid w:val="00164FB3"/>
    <w:rsid w:val="001652DD"/>
    <w:rsid w:val="001653DD"/>
    <w:rsid w:val="001701E5"/>
    <w:rsid w:val="001734C3"/>
    <w:rsid w:val="001749D5"/>
    <w:rsid w:val="001759AC"/>
    <w:rsid w:val="001759CC"/>
    <w:rsid w:val="00176215"/>
    <w:rsid w:val="00176F45"/>
    <w:rsid w:val="00176F46"/>
    <w:rsid w:val="00181ADD"/>
    <w:rsid w:val="00183A00"/>
    <w:rsid w:val="001854A6"/>
    <w:rsid w:val="001913B3"/>
    <w:rsid w:val="00193774"/>
    <w:rsid w:val="00194042"/>
    <w:rsid w:val="00194DD9"/>
    <w:rsid w:val="001A29AC"/>
    <w:rsid w:val="001A354F"/>
    <w:rsid w:val="001A3907"/>
    <w:rsid w:val="001A506B"/>
    <w:rsid w:val="001A5D0F"/>
    <w:rsid w:val="001B0484"/>
    <w:rsid w:val="001B1CB3"/>
    <w:rsid w:val="001B286B"/>
    <w:rsid w:val="001B5FFD"/>
    <w:rsid w:val="001B707E"/>
    <w:rsid w:val="001C4E25"/>
    <w:rsid w:val="001C5028"/>
    <w:rsid w:val="001C547E"/>
    <w:rsid w:val="001C6B87"/>
    <w:rsid w:val="001D06B6"/>
    <w:rsid w:val="001D45E2"/>
    <w:rsid w:val="001D5443"/>
    <w:rsid w:val="001E379A"/>
    <w:rsid w:val="001E37E1"/>
    <w:rsid w:val="001E5A2D"/>
    <w:rsid w:val="001E709B"/>
    <w:rsid w:val="001F0DB7"/>
    <w:rsid w:val="002005A9"/>
    <w:rsid w:val="00200EB7"/>
    <w:rsid w:val="00202386"/>
    <w:rsid w:val="00203ABB"/>
    <w:rsid w:val="002054DD"/>
    <w:rsid w:val="00205C76"/>
    <w:rsid w:val="002079BD"/>
    <w:rsid w:val="00210050"/>
    <w:rsid w:val="002128A6"/>
    <w:rsid w:val="00213FFC"/>
    <w:rsid w:val="00215FD3"/>
    <w:rsid w:val="00217819"/>
    <w:rsid w:val="00217A7B"/>
    <w:rsid w:val="002216C4"/>
    <w:rsid w:val="00222355"/>
    <w:rsid w:val="002225BA"/>
    <w:rsid w:val="00224D16"/>
    <w:rsid w:val="00230765"/>
    <w:rsid w:val="00230782"/>
    <w:rsid w:val="002307E4"/>
    <w:rsid w:val="00230B44"/>
    <w:rsid w:val="0023147E"/>
    <w:rsid w:val="0023233B"/>
    <w:rsid w:val="00232E26"/>
    <w:rsid w:val="00234B0D"/>
    <w:rsid w:val="00234E26"/>
    <w:rsid w:val="00235E1F"/>
    <w:rsid w:val="00236375"/>
    <w:rsid w:val="00237866"/>
    <w:rsid w:val="00237FBC"/>
    <w:rsid w:val="00242E2F"/>
    <w:rsid w:val="00243149"/>
    <w:rsid w:val="00250D66"/>
    <w:rsid w:val="00251A3C"/>
    <w:rsid w:val="00253521"/>
    <w:rsid w:val="00253D21"/>
    <w:rsid w:val="002551FE"/>
    <w:rsid w:val="002557D9"/>
    <w:rsid w:val="00255D8C"/>
    <w:rsid w:val="00256405"/>
    <w:rsid w:val="002566EE"/>
    <w:rsid w:val="00256C4D"/>
    <w:rsid w:val="0026092C"/>
    <w:rsid w:val="00260BBA"/>
    <w:rsid w:val="00261A6D"/>
    <w:rsid w:val="002656B0"/>
    <w:rsid w:val="00265710"/>
    <w:rsid w:val="00265ABF"/>
    <w:rsid w:val="00265DEA"/>
    <w:rsid w:val="002723E4"/>
    <w:rsid w:val="002732BE"/>
    <w:rsid w:val="00274739"/>
    <w:rsid w:val="00274EAF"/>
    <w:rsid w:val="002755A6"/>
    <w:rsid w:val="00276792"/>
    <w:rsid w:val="00280E0E"/>
    <w:rsid w:val="0028408C"/>
    <w:rsid w:val="00284C4A"/>
    <w:rsid w:val="00284D42"/>
    <w:rsid w:val="00285A58"/>
    <w:rsid w:val="00285F78"/>
    <w:rsid w:val="002865EA"/>
    <w:rsid w:val="00291CE6"/>
    <w:rsid w:val="002947F0"/>
    <w:rsid w:val="00294E60"/>
    <w:rsid w:val="00295B5F"/>
    <w:rsid w:val="002A1165"/>
    <w:rsid w:val="002A1E06"/>
    <w:rsid w:val="002A2104"/>
    <w:rsid w:val="002A371C"/>
    <w:rsid w:val="002A3BB1"/>
    <w:rsid w:val="002A4CD8"/>
    <w:rsid w:val="002B1E51"/>
    <w:rsid w:val="002B2D84"/>
    <w:rsid w:val="002B499C"/>
    <w:rsid w:val="002B50A0"/>
    <w:rsid w:val="002B53CA"/>
    <w:rsid w:val="002B5650"/>
    <w:rsid w:val="002B79FC"/>
    <w:rsid w:val="002B7A77"/>
    <w:rsid w:val="002C2269"/>
    <w:rsid w:val="002C28E6"/>
    <w:rsid w:val="002C304C"/>
    <w:rsid w:val="002C46CE"/>
    <w:rsid w:val="002C4970"/>
    <w:rsid w:val="002C4EF6"/>
    <w:rsid w:val="002C53EC"/>
    <w:rsid w:val="002C7638"/>
    <w:rsid w:val="002D3F4F"/>
    <w:rsid w:val="002D420E"/>
    <w:rsid w:val="002E0911"/>
    <w:rsid w:val="002E0ED6"/>
    <w:rsid w:val="002E152F"/>
    <w:rsid w:val="002E3322"/>
    <w:rsid w:val="002E3D2C"/>
    <w:rsid w:val="002E3DB1"/>
    <w:rsid w:val="002E55FC"/>
    <w:rsid w:val="002E5966"/>
    <w:rsid w:val="002E5A27"/>
    <w:rsid w:val="002E7D3D"/>
    <w:rsid w:val="002F022A"/>
    <w:rsid w:val="002F1479"/>
    <w:rsid w:val="002F1FF5"/>
    <w:rsid w:val="002F305D"/>
    <w:rsid w:val="002F3A67"/>
    <w:rsid w:val="002F3DF0"/>
    <w:rsid w:val="002F4B1C"/>
    <w:rsid w:val="002F668B"/>
    <w:rsid w:val="00301393"/>
    <w:rsid w:val="00302A23"/>
    <w:rsid w:val="00304887"/>
    <w:rsid w:val="00305CCF"/>
    <w:rsid w:val="0030634F"/>
    <w:rsid w:val="00307B8B"/>
    <w:rsid w:val="00311692"/>
    <w:rsid w:val="00313BFD"/>
    <w:rsid w:val="00314277"/>
    <w:rsid w:val="00315543"/>
    <w:rsid w:val="003177A3"/>
    <w:rsid w:val="003219E5"/>
    <w:rsid w:val="003228A3"/>
    <w:rsid w:val="003231D0"/>
    <w:rsid w:val="003256E7"/>
    <w:rsid w:val="003258BF"/>
    <w:rsid w:val="00325D6B"/>
    <w:rsid w:val="003267CD"/>
    <w:rsid w:val="00326A03"/>
    <w:rsid w:val="003314FB"/>
    <w:rsid w:val="00334533"/>
    <w:rsid w:val="0033456E"/>
    <w:rsid w:val="00335BF8"/>
    <w:rsid w:val="00337AF5"/>
    <w:rsid w:val="00340AAA"/>
    <w:rsid w:val="00340CAA"/>
    <w:rsid w:val="003414F4"/>
    <w:rsid w:val="00342C9A"/>
    <w:rsid w:val="00343793"/>
    <w:rsid w:val="0034432B"/>
    <w:rsid w:val="00344AB9"/>
    <w:rsid w:val="00350162"/>
    <w:rsid w:val="00352074"/>
    <w:rsid w:val="00355B1F"/>
    <w:rsid w:val="003608FF"/>
    <w:rsid w:val="00360A87"/>
    <w:rsid w:val="003624D9"/>
    <w:rsid w:val="00363366"/>
    <w:rsid w:val="00363AC7"/>
    <w:rsid w:val="00363B7A"/>
    <w:rsid w:val="00363D50"/>
    <w:rsid w:val="003644A6"/>
    <w:rsid w:val="00367764"/>
    <w:rsid w:val="00373C60"/>
    <w:rsid w:val="00376287"/>
    <w:rsid w:val="00376FFA"/>
    <w:rsid w:val="0037737D"/>
    <w:rsid w:val="003779C9"/>
    <w:rsid w:val="00383F84"/>
    <w:rsid w:val="00386B2E"/>
    <w:rsid w:val="00387CBA"/>
    <w:rsid w:val="003903DF"/>
    <w:rsid w:val="00390699"/>
    <w:rsid w:val="003916B2"/>
    <w:rsid w:val="00391E6A"/>
    <w:rsid w:val="0039333F"/>
    <w:rsid w:val="00393526"/>
    <w:rsid w:val="00394A03"/>
    <w:rsid w:val="00394F3B"/>
    <w:rsid w:val="003965CB"/>
    <w:rsid w:val="003971E5"/>
    <w:rsid w:val="003A006C"/>
    <w:rsid w:val="003A10C4"/>
    <w:rsid w:val="003A1B53"/>
    <w:rsid w:val="003A1D86"/>
    <w:rsid w:val="003A215A"/>
    <w:rsid w:val="003A27ED"/>
    <w:rsid w:val="003A3A99"/>
    <w:rsid w:val="003A61A6"/>
    <w:rsid w:val="003A67F6"/>
    <w:rsid w:val="003B0C80"/>
    <w:rsid w:val="003B133A"/>
    <w:rsid w:val="003B2249"/>
    <w:rsid w:val="003B253A"/>
    <w:rsid w:val="003B2B11"/>
    <w:rsid w:val="003B37C8"/>
    <w:rsid w:val="003B456E"/>
    <w:rsid w:val="003B49E3"/>
    <w:rsid w:val="003B558F"/>
    <w:rsid w:val="003B681D"/>
    <w:rsid w:val="003B7486"/>
    <w:rsid w:val="003C0B33"/>
    <w:rsid w:val="003C203D"/>
    <w:rsid w:val="003C2F98"/>
    <w:rsid w:val="003C2FB3"/>
    <w:rsid w:val="003C415D"/>
    <w:rsid w:val="003C4B10"/>
    <w:rsid w:val="003C4B4B"/>
    <w:rsid w:val="003C530C"/>
    <w:rsid w:val="003C5A24"/>
    <w:rsid w:val="003D0827"/>
    <w:rsid w:val="003D17E5"/>
    <w:rsid w:val="003D334B"/>
    <w:rsid w:val="003D3608"/>
    <w:rsid w:val="003D3AF1"/>
    <w:rsid w:val="003E14B8"/>
    <w:rsid w:val="003E2005"/>
    <w:rsid w:val="003E259A"/>
    <w:rsid w:val="003E3A16"/>
    <w:rsid w:val="003E4535"/>
    <w:rsid w:val="003E4F6A"/>
    <w:rsid w:val="003F03D4"/>
    <w:rsid w:val="003F484E"/>
    <w:rsid w:val="003F5EF3"/>
    <w:rsid w:val="003F6192"/>
    <w:rsid w:val="004002A9"/>
    <w:rsid w:val="00400B2C"/>
    <w:rsid w:val="004057CE"/>
    <w:rsid w:val="00405B31"/>
    <w:rsid w:val="0040619F"/>
    <w:rsid w:val="004066BD"/>
    <w:rsid w:val="00410A71"/>
    <w:rsid w:val="004132EB"/>
    <w:rsid w:val="004148B3"/>
    <w:rsid w:val="00417DDE"/>
    <w:rsid w:val="0042103E"/>
    <w:rsid w:val="004213C1"/>
    <w:rsid w:val="00421F2E"/>
    <w:rsid w:val="00422C1E"/>
    <w:rsid w:val="00423399"/>
    <w:rsid w:val="004267A5"/>
    <w:rsid w:val="00427402"/>
    <w:rsid w:val="0043013D"/>
    <w:rsid w:val="00430148"/>
    <w:rsid w:val="00431206"/>
    <w:rsid w:val="00433A9E"/>
    <w:rsid w:val="0043593A"/>
    <w:rsid w:val="004361E5"/>
    <w:rsid w:val="00437853"/>
    <w:rsid w:val="00442406"/>
    <w:rsid w:val="00443C88"/>
    <w:rsid w:val="0044464C"/>
    <w:rsid w:val="004475AA"/>
    <w:rsid w:val="00447AEF"/>
    <w:rsid w:val="00447D89"/>
    <w:rsid w:val="0045122B"/>
    <w:rsid w:val="0045149E"/>
    <w:rsid w:val="00452712"/>
    <w:rsid w:val="00453A85"/>
    <w:rsid w:val="004558B0"/>
    <w:rsid w:val="00456BE6"/>
    <w:rsid w:val="00456FEF"/>
    <w:rsid w:val="00457228"/>
    <w:rsid w:val="0046281C"/>
    <w:rsid w:val="00465C1D"/>
    <w:rsid w:val="004669FF"/>
    <w:rsid w:val="004678CF"/>
    <w:rsid w:val="004709EA"/>
    <w:rsid w:val="00471086"/>
    <w:rsid w:val="0047125C"/>
    <w:rsid w:val="0047309C"/>
    <w:rsid w:val="00473FFC"/>
    <w:rsid w:val="0047417A"/>
    <w:rsid w:val="004757CC"/>
    <w:rsid w:val="0048153F"/>
    <w:rsid w:val="00481E04"/>
    <w:rsid w:val="00482567"/>
    <w:rsid w:val="004839E1"/>
    <w:rsid w:val="00483F0B"/>
    <w:rsid w:val="004840CB"/>
    <w:rsid w:val="00484EBA"/>
    <w:rsid w:val="0048578C"/>
    <w:rsid w:val="0048613A"/>
    <w:rsid w:val="004903AE"/>
    <w:rsid w:val="00491368"/>
    <w:rsid w:val="00491C17"/>
    <w:rsid w:val="00495C36"/>
    <w:rsid w:val="00495EBF"/>
    <w:rsid w:val="0049666E"/>
    <w:rsid w:val="00496954"/>
    <w:rsid w:val="004A058C"/>
    <w:rsid w:val="004A0DAE"/>
    <w:rsid w:val="004A3CB0"/>
    <w:rsid w:val="004A698D"/>
    <w:rsid w:val="004A6CE2"/>
    <w:rsid w:val="004A7243"/>
    <w:rsid w:val="004A7748"/>
    <w:rsid w:val="004A7858"/>
    <w:rsid w:val="004B39F3"/>
    <w:rsid w:val="004B5C0B"/>
    <w:rsid w:val="004B6199"/>
    <w:rsid w:val="004B69CE"/>
    <w:rsid w:val="004B6F88"/>
    <w:rsid w:val="004B78BE"/>
    <w:rsid w:val="004B7B16"/>
    <w:rsid w:val="004B7D52"/>
    <w:rsid w:val="004C29BF"/>
    <w:rsid w:val="004C6534"/>
    <w:rsid w:val="004C6866"/>
    <w:rsid w:val="004C719D"/>
    <w:rsid w:val="004C7731"/>
    <w:rsid w:val="004D012E"/>
    <w:rsid w:val="004D3B8B"/>
    <w:rsid w:val="004D43E0"/>
    <w:rsid w:val="004D567A"/>
    <w:rsid w:val="004D60F2"/>
    <w:rsid w:val="004D70B8"/>
    <w:rsid w:val="004D747A"/>
    <w:rsid w:val="004D77EA"/>
    <w:rsid w:val="004E0857"/>
    <w:rsid w:val="004E2C77"/>
    <w:rsid w:val="004E370C"/>
    <w:rsid w:val="004E395C"/>
    <w:rsid w:val="004E5750"/>
    <w:rsid w:val="004E58B0"/>
    <w:rsid w:val="004E5B50"/>
    <w:rsid w:val="004F4847"/>
    <w:rsid w:val="004F5149"/>
    <w:rsid w:val="004F5259"/>
    <w:rsid w:val="004F74A6"/>
    <w:rsid w:val="004F78BB"/>
    <w:rsid w:val="004F7B30"/>
    <w:rsid w:val="00500C92"/>
    <w:rsid w:val="00503D92"/>
    <w:rsid w:val="00504BCC"/>
    <w:rsid w:val="00506F66"/>
    <w:rsid w:val="005073D7"/>
    <w:rsid w:val="00510835"/>
    <w:rsid w:val="00510E31"/>
    <w:rsid w:val="00512531"/>
    <w:rsid w:val="00512FCB"/>
    <w:rsid w:val="00513614"/>
    <w:rsid w:val="00514B24"/>
    <w:rsid w:val="005246B9"/>
    <w:rsid w:val="0052484B"/>
    <w:rsid w:val="00525966"/>
    <w:rsid w:val="00526670"/>
    <w:rsid w:val="00527311"/>
    <w:rsid w:val="00527743"/>
    <w:rsid w:val="00527DAE"/>
    <w:rsid w:val="005308EA"/>
    <w:rsid w:val="00532885"/>
    <w:rsid w:val="00532974"/>
    <w:rsid w:val="00533548"/>
    <w:rsid w:val="00533E3D"/>
    <w:rsid w:val="005347AF"/>
    <w:rsid w:val="005359D3"/>
    <w:rsid w:val="005366FB"/>
    <w:rsid w:val="00536D87"/>
    <w:rsid w:val="00540FE6"/>
    <w:rsid w:val="00541C46"/>
    <w:rsid w:val="00543D37"/>
    <w:rsid w:val="0055067B"/>
    <w:rsid w:val="005509A8"/>
    <w:rsid w:val="0055139D"/>
    <w:rsid w:val="0055169C"/>
    <w:rsid w:val="0055194E"/>
    <w:rsid w:val="0055320C"/>
    <w:rsid w:val="0055385B"/>
    <w:rsid w:val="005558A3"/>
    <w:rsid w:val="0055671E"/>
    <w:rsid w:val="0055698B"/>
    <w:rsid w:val="00556BEE"/>
    <w:rsid w:val="0055785E"/>
    <w:rsid w:val="005578EC"/>
    <w:rsid w:val="0056145D"/>
    <w:rsid w:val="00561F65"/>
    <w:rsid w:val="0056317C"/>
    <w:rsid w:val="005637E9"/>
    <w:rsid w:val="00563F9E"/>
    <w:rsid w:val="00565489"/>
    <w:rsid w:val="005664BB"/>
    <w:rsid w:val="00572776"/>
    <w:rsid w:val="0057662D"/>
    <w:rsid w:val="00577B04"/>
    <w:rsid w:val="00577DE9"/>
    <w:rsid w:val="00580520"/>
    <w:rsid w:val="005808C7"/>
    <w:rsid w:val="005841B2"/>
    <w:rsid w:val="005844BC"/>
    <w:rsid w:val="00584769"/>
    <w:rsid w:val="0058744F"/>
    <w:rsid w:val="00592FD6"/>
    <w:rsid w:val="005932AA"/>
    <w:rsid w:val="0059377C"/>
    <w:rsid w:val="0059424E"/>
    <w:rsid w:val="005943B2"/>
    <w:rsid w:val="00594E9E"/>
    <w:rsid w:val="00597DA2"/>
    <w:rsid w:val="005A2288"/>
    <w:rsid w:val="005A246D"/>
    <w:rsid w:val="005A28D5"/>
    <w:rsid w:val="005A30BA"/>
    <w:rsid w:val="005A31DC"/>
    <w:rsid w:val="005A4CAF"/>
    <w:rsid w:val="005A7126"/>
    <w:rsid w:val="005A723B"/>
    <w:rsid w:val="005A735C"/>
    <w:rsid w:val="005A7F30"/>
    <w:rsid w:val="005B35C0"/>
    <w:rsid w:val="005C02EF"/>
    <w:rsid w:val="005C394F"/>
    <w:rsid w:val="005C4463"/>
    <w:rsid w:val="005C597A"/>
    <w:rsid w:val="005C6B32"/>
    <w:rsid w:val="005C71E6"/>
    <w:rsid w:val="005D0960"/>
    <w:rsid w:val="005D2B0B"/>
    <w:rsid w:val="005D3759"/>
    <w:rsid w:val="005D39D0"/>
    <w:rsid w:val="005D747F"/>
    <w:rsid w:val="005D769E"/>
    <w:rsid w:val="005E0C1C"/>
    <w:rsid w:val="005E26B4"/>
    <w:rsid w:val="005E297C"/>
    <w:rsid w:val="005E2BA9"/>
    <w:rsid w:val="005E33DD"/>
    <w:rsid w:val="005E4259"/>
    <w:rsid w:val="005E4B68"/>
    <w:rsid w:val="005E5651"/>
    <w:rsid w:val="005E5B3A"/>
    <w:rsid w:val="005E6146"/>
    <w:rsid w:val="005F0920"/>
    <w:rsid w:val="005F0A75"/>
    <w:rsid w:val="005F0DB9"/>
    <w:rsid w:val="005F0EED"/>
    <w:rsid w:val="005F1D7D"/>
    <w:rsid w:val="005F434A"/>
    <w:rsid w:val="005F4B42"/>
    <w:rsid w:val="006032DF"/>
    <w:rsid w:val="00606FB1"/>
    <w:rsid w:val="006121D6"/>
    <w:rsid w:val="00616C58"/>
    <w:rsid w:val="00617B34"/>
    <w:rsid w:val="00620424"/>
    <w:rsid w:val="00624B04"/>
    <w:rsid w:val="00625166"/>
    <w:rsid w:val="00625AA7"/>
    <w:rsid w:val="006314EA"/>
    <w:rsid w:val="00631808"/>
    <w:rsid w:val="006336F3"/>
    <w:rsid w:val="00636412"/>
    <w:rsid w:val="006365E9"/>
    <w:rsid w:val="00640CF1"/>
    <w:rsid w:val="00640E35"/>
    <w:rsid w:val="00641841"/>
    <w:rsid w:val="00641C04"/>
    <w:rsid w:val="006429E3"/>
    <w:rsid w:val="00643255"/>
    <w:rsid w:val="00647491"/>
    <w:rsid w:val="006478BB"/>
    <w:rsid w:val="00650017"/>
    <w:rsid w:val="006514FE"/>
    <w:rsid w:val="00654FA2"/>
    <w:rsid w:val="006553BE"/>
    <w:rsid w:val="00660C91"/>
    <w:rsid w:val="006632E8"/>
    <w:rsid w:val="006654BC"/>
    <w:rsid w:val="006678F2"/>
    <w:rsid w:val="00670506"/>
    <w:rsid w:val="006732A9"/>
    <w:rsid w:val="00673621"/>
    <w:rsid w:val="00673684"/>
    <w:rsid w:val="00673AD8"/>
    <w:rsid w:val="006745B4"/>
    <w:rsid w:val="00674E05"/>
    <w:rsid w:val="00680AA6"/>
    <w:rsid w:val="00680F57"/>
    <w:rsid w:val="00683134"/>
    <w:rsid w:val="006844B6"/>
    <w:rsid w:val="006849F8"/>
    <w:rsid w:val="00686194"/>
    <w:rsid w:val="00687C84"/>
    <w:rsid w:val="00690BCC"/>
    <w:rsid w:val="00691917"/>
    <w:rsid w:val="00691A81"/>
    <w:rsid w:val="00692517"/>
    <w:rsid w:val="00692AF5"/>
    <w:rsid w:val="006936A9"/>
    <w:rsid w:val="00694ACB"/>
    <w:rsid w:val="006A0F03"/>
    <w:rsid w:val="006A1776"/>
    <w:rsid w:val="006A1B5E"/>
    <w:rsid w:val="006A4324"/>
    <w:rsid w:val="006A5F0C"/>
    <w:rsid w:val="006B0BE6"/>
    <w:rsid w:val="006B3996"/>
    <w:rsid w:val="006B7462"/>
    <w:rsid w:val="006B77BF"/>
    <w:rsid w:val="006C2575"/>
    <w:rsid w:val="006C2815"/>
    <w:rsid w:val="006C4429"/>
    <w:rsid w:val="006C6C52"/>
    <w:rsid w:val="006C6DB0"/>
    <w:rsid w:val="006C7C7B"/>
    <w:rsid w:val="006C7D9D"/>
    <w:rsid w:val="006D03ED"/>
    <w:rsid w:val="006D13B7"/>
    <w:rsid w:val="006D36E5"/>
    <w:rsid w:val="006D46B6"/>
    <w:rsid w:val="006D5E03"/>
    <w:rsid w:val="006D64F6"/>
    <w:rsid w:val="006D79B7"/>
    <w:rsid w:val="006D7D82"/>
    <w:rsid w:val="006E0F94"/>
    <w:rsid w:val="006E1072"/>
    <w:rsid w:val="006E11CE"/>
    <w:rsid w:val="006E11DF"/>
    <w:rsid w:val="006E3893"/>
    <w:rsid w:val="006E7CDB"/>
    <w:rsid w:val="006F14FB"/>
    <w:rsid w:val="006F1A90"/>
    <w:rsid w:val="006F3BA2"/>
    <w:rsid w:val="006F45B1"/>
    <w:rsid w:val="006F6375"/>
    <w:rsid w:val="00700542"/>
    <w:rsid w:val="0070176F"/>
    <w:rsid w:val="007018A5"/>
    <w:rsid w:val="00702C78"/>
    <w:rsid w:val="00703667"/>
    <w:rsid w:val="007055AC"/>
    <w:rsid w:val="007061A1"/>
    <w:rsid w:val="00706D42"/>
    <w:rsid w:val="0071158C"/>
    <w:rsid w:val="00711D2F"/>
    <w:rsid w:val="007126D1"/>
    <w:rsid w:val="00712D5E"/>
    <w:rsid w:val="007138C1"/>
    <w:rsid w:val="00717955"/>
    <w:rsid w:val="00732036"/>
    <w:rsid w:val="0073318E"/>
    <w:rsid w:val="00733862"/>
    <w:rsid w:val="00734AE9"/>
    <w:rsid w:val="0073713D"/>
    <w:rsid w:val="007400E2"/>
    <w:rsid w:val="007411C6"/>
    <w:rsid w:val="007450F9"/>
    <w:rsid w:val="007477E6"/>
    <w:rsid w:val="007502A6"/>
    <w:rsid w:val="00750948"/>
    <w:rsid w:val="007517BF"/>
    <w:rsid w:val="00751AC1"/>
    <w:rsid w:val="0075405B"/>
    <w:rsid w:val="00757988"/>
    <w:rsid w:val="00757B70"/>
    <w:rsid w:val="007600D1"/>
    <w:rsid w:val="00760FE7"/>
    <w:rsid w:val="007611FB"/>
    <w:rsid w:val="00761FAB"/>
    <w:rsid w:val="00762F27"/>
    <w:rsid w:val="00763769"/>
    <w:rsid w:val="00763E92"/>
    <w:rsid w:val="007650A7"/>
    <w:rsid w:val="00765784"/>
    <w:rsid w:val="00765AA4"/>
    <w:rsid w:val="00766B5A"/>
    <w:rsid w:val="00766E34"/>
    <w:rsid w:val="00766FDD"/>
    <w:rsid w:val="007679A0"/>
    <w:rsid w:val="00770000"/>
    <w:rsid w:val="007703C8"/>
    <w:rsid w:val="00770578"/>
    <w:rsid w:val="007708AB"/>
    <w:rsid w:val="00770DA4"/>
    <w:rsid w:val="00770DBF"/>
    <w:rsid w:val="00772415"/>
    <w:rsid w:val="007734A5"/>
    <w:rsid w:val="007749AC"/>
    <w:rsid w:val="00774EAC"/>
    <w:rsid w:val="00775BD0"/>
    <w:rsid w:val="00775D27"/>
    <w:rsid w:val="00775D6B"/>
    <w:rsid w:val="007771F3"/>
    <w:rsid w:val="00777CF3"/>
    <w:rsid w:val="007804ED"/>
    <w:rsid w:val="007820AC"/>
    <w:rsid w:val="0078449D"/>
    <w:rsid w:val="00785C32"/>
    <w:rsid w:val="00787C84"/>
    <w:rsid w:val="00793AA7"/>
    <w:rsid w:val="0079408F"/>
    <w:rsid w:val="00794C81"/>
    <w:rsid w:val="0079683B"/>
    <w:rsid w:val="007A21DB"/>
    <w:rsid w:val="007A369B"/>
    <w:rsid w:val="007A7136"/>
    <w:rsid w:val="007A72E4"/>
    <w:rsid w:val="007A76E8"/>
    <w:rsid w:val="007A7CAC"/>
    <w:rsid w:val="007B046A"/>
    <w:rsid w:val="007B115C"/>
    <w:rsid w:val="007B3542"/>
    <w:rsid w:val="007B5CF8"/>
    <w:rsid w:val="007B6416"/>
    <w:rsid w:val="007B7B37"/>
    <w:rsid w:val="007C0943"/>
    <w:rsid w:val="007C101E"/>
    <w:rsid w:val="007C1311"/>
    <w:rsid w:val="007C170A"/>
    <w:rsid w:val="007C1DBE"/>
    <w:rsid w:val="007C2E15"/>
    <w:rsid w:val="007C4ECC"/>
    <w:rsid w:val="007C612F"/>
    <w:rsid w:val="007C62B3"/>
    <w:rsid w:val="007C7ECA"/>
    <w:rsid w:val="007C7FF0"/>
    <w:rsid w:val="007D210E"/>
    <w:rsid w:val="007D488C"/>
    <w:rsid w:val="007D5379"/>
    <w:rsid w:val="007E4217"/>
    <w:rsid w:val="007E6D72"/>
    <w:rsid w:val="007E73CD"/>
    <w:rsid w:val="007F2A00"/>
    <w:rsid w:val="007F5582"/>
    <w:rsid w:val="007F6181"/>
    <w:rsid w:val="007F6FEE"/>
    <w:rsid w:val="007F7980"/>
    <w:rsid w:val="007F7BAB"/>
    <w:rsid w:val="00800117"/>
    <w:rsid w:val="0080061E"/>
    <w:rsid w:val="00800C10"/>
    <w:rsid w:val="008020CB"/>
    <w:rsid w:val="00802237"/>
    <w:rsid w:val="00802508"/>
    <w:rsid w:val="00802775"/>
    <w:rsid w:val="00802FDA"/>
    <w:rsid w:val="00804216"/>
    <w:rsid w:val="00804632"/>
    <w:rsid w:val="00804B9A"/>
    <w:rsid w:val="00804C22"/>
    <w:rsid w:val="00804D22"/>
    <w:rsid w:val="00807631"/>
    <w:rsid w:val="008077B3"/>
    <w:rsid w:val="0081012C"/>
    <w:rsid w:val="00810B3F"/>
    <w:rsid w:val="0081339B"/>
    <w:rsid w:val="00813C83"/>
    <w:rsid w:val="00815C53"/>
    <w:rsid w:val="00817F63"/>
    <w:rsid w:val="0082029B"/>
    <w:rsid w:val="00820906"/>
    <w:rsid w:val="00821661"/>
    <w:rsid w:val="00821713"/>
    <w:rsid w:val="00823EDD"/>
    <w:rsid w:val="00831D77"/>
    <w:rsid w:val="00832E4D"/>
    <w:rsid w:val="00835215"/>
    <w:rsid w:val="00837DBA"/>
    <w:rsid w:val="00840FC4"/>
    <w:rsid w:val="00841928"/>
    <w:rsid w:val="0084452C"/>
    <w:rsid w:val="0084710E"/>
    <w:rsid w:val="00847649"/>
    <w:rsid w:val="00850F50"/>
    <w:rsid w:val="00852047"/>
    <w:rsid w:val="008532B9"/>
    <w:rsid w:val="00856031"/>
    <w:rsid w:val="00856A2B"/>
    <w:rsid w:val="0085757D"/>
    <w:rsid w:val="00860056"/>
    <w:rsid w:val="0086165B"/>
    <w:rsid w:val="00861936"/>
    <w:rsid w:val="00862C4D"/>
    <w:rsid w:val="008631E9"/>
    <w:rsid w:val="00863375"/>
    <w:rsid w:val="00863CBF"/>
    <w:rsid w:val="00863D08"/>
    <w:rsid w:val="008725AE"/>
    <w:rsid w:val="008747E5"/>
    <w:rsid w:val="00874A52"/>
    <w:rsid w:val="00877092"/>
    <w:rsid w:val="00880788"/>
    <w:rsid w:val="00881E49"/>
    <w:rsid w:val="008832A4"/>
    <w:rsid w:val="0088428E"/>
    <w:rsid w:val="00885F3E"/>
    <w:rsid w:val="00892FB6"/>
    <w:rsid w:val="008930F0"/>
    <w:rsid w:val="008942A5"/>
    <w:rsid w:val="00894F15"/>
    <w:rsid w:val="00895C40"/>
    <w:rsid w:val="00896BFA"/>
    <w:rsid w:val="00897166"/>
    <w:rsid w:val="00897DDD"/>
    <w:rsid w:val="008A101F"/>
    <w:rsid w:val="008A2F36"/>
    <w:rsid w:val="008A3161"/>
    <w:rsid w:val="008A344B"/>
    <w:rsid w:val="008A4ABF"/>
    <w:rsid w:val="008A5D17"/>
    <w:rsid w:val="008B0EA6"/>
    <w:rsid w:val="008B163B"/>
    <w:rsid w:val="008B2A52"/>
    <w:rsid w:val="008B2FB9"/>
    <w:rsid w:val="008B4FD1"/>
    <w:rsid w:val="008B5FF1"/>
    <w:rsid w:val="008B7847"/>
    <w:rsid w:val="008C151F"/>
    <w:rsid w:val="008C259C"/>
    <w:rsid w:val="008C2BE2"/>
    <w:rsid w:val="008C3D02"/>
    <w:rsid w:val="008C4E45"/>
    <w:rsid w:val="008C73CD"/>
    <w:rsid w:val="008D00BA"/>
    <w:rsid w:val="008D0409"/>
    <w:rsid w:val="008D1DB2"/>
    <w:rsid w:val="008D520E"/>
    <w:rsid w:val="008D5A0F"/>
    <w:rsid w:val="008D6874"/>
    <w:rsid w:val="008D72B2"/>
    <w:rsid w:val="008D72ED"/>
    <w:rsid w:val="008E085A"/>
    <w:rsid w:val="008E3BAC"/>
    <w:rsid w:val="008E41EB"/>
    <w:rsid w:val="008E5512"/>
    <w:rsid w:val="008E55E5"/>
    <w:rsid w:val="008E5EA0"/>
    <w:rsid w:val="008E72DC"/>
    <w:rsid w:val="008F031E"/>
    <w:rsid w:val="008F14E6"/>
    <w:rsid w:val="008F17D3"/>
    <w:rsid w:val="008F28BD"/>
    <w:rsid w:val="008F4183"/>
    <w:rsid w:val="008F5DB6"/>
    <w:rsid w:val="008F6BC1"/>
    <w:rsid w:val="0090047B"/>
    <w:rsid w:val="00902F83"/>
    <w:rsid w:val="0090339E"/>
    <w:rsid w:val="009051CF"/>
    <w:rsid w:val="00905B24"/>
    <w:rsid w:val="00907491"/>
    <w:rsid w:val="00907607"/>
    <w:rsid w:val="00907E46"/>
    <w:rsid w:val="00911C10"/>
    <w:rsid w:val="009120EF"/>
    <w:rsid w:val="00912A14"/>
    <w:rsid w:val="00912B9F"/>
    <w:rsid w:val="00915190"/>
    <w:rsid w:val="00916400"/>
    <w:rsid w:val="00920952"/>
    <w:rsid w:val="0092139A"/>
    <w:rsid w:val="009233A8"/>
    <w:rsid w:val="00925E2B"/>
    <w:rsid w:val="00926798"/>
    <w:rsid w:val="009313DC"/>
    <w:rsid w:val="00932485"/>
    <w:rsid w:val="00932DAF"/>
    <w:rsid w:val="00935305"/>
    <w:rsid w:val="00935610"/>
    <w:rsid w:val="0093789A"/>
    <w:rsid w:val="00937B03"/>
    <w:rsid w:val="00943B6D"/>
    <w:rsid w:val="00944C93"/>
    <w:rsid w:val="00944CF5"/>
    <w:rsid w:val="00945286"/>
    <w:rsid w:val="009475DC"/>
    <w:rsid w:val="00951B11"/>
    <w:rsid w:val="0095440D"/>
    <w:rsid w:val="0095486F"/>
    <w:rsid w:val="00955E1E"/>
    <w:rsid w:val="00956570"/>
    <w:rsid w:val="00960D44"/>
    <w:rsid w:val="00961CF4"/>
    <w:rsid w:val="009623C8"/>
    <w:rsid w:val="00962DF8"/>
    <w:rsid w:val="00967D90"/>
    <w:rsid w:val="00970CB5"/>
    <w:rsid w:val="00970DD8"/>
    <w:rsid w:val="00971E74"/>
    <w:rsid w:val="009724DD"/>
    <w:rsid w:val="00976AF0"/>
    <w:rsid w:val="00977026"/>
    <w:rsid w:val="009772D3"/>
    <w:rsid w:val="00977736"/>
    <w:rsid w:val="009821FA"/>
    <w:rsid w:val="009844E5"/>
    <w:rsid w:val="009858AC"/>
    <w:rsid w:val="0098599D"/>
    <w:rsid w:val="00986136"/>
    <w:rsid w:val="009901BB"/>
    <w:rsid w:val="00991804"/>
    <w:rsid w:val="0099260A"/>
    <w:rsid w:val="00994706"/>
    <w:rsid w:val="009950C9"/>
    <w:rsid w:val="00995D74"/>
    <w:rsid w:val="009A03C0"/>
    <w:rsid w:val="009A045F"/>
    <w:rsid w:val="009A156C"/>
    <w:rsid w:val="009B03E6"/>
    <w:rsid w:val="009B1EBF"/>
    <w:rsid w:val="009B2B16"/>
    <w:rsid w:val="009B2D3A"/>
    <w:rsid w:val="009B47ED"/>
    <w:rsid w:val="009B4AB2"/>
    <w:rsid w:val="009B4DD6"/>
    <w:rsid w:val="009B60EC"/>
    <w:rsid w:val="009B7167"/>
    <w:rsid w:val="009C1C7E"/>
    <w:rsid w:val="009C4F0D"/>
    <w:rsid w:val="009C776C"/>
    <w:rsid w:val="009D0482"/>
    <w:rsid w:val="009D1226"/>
    <w:rsid w:val="009D3F2D"/>
    <w:rsid w:val="009D4141"/>
    <w:rsid w:val="009D42CE"/>
    <w:rsid w:val="009D4B6F"/>
    <w:rsid w:val="009D5718"/>
    <w:rsid w:val="009D57F2"/>
    <w:rsid w:val="009D67C2"/>
    <w:rsid w:val="009D7C9D"/>
    <w:rsid w:val="009E069D"/>
    <w:rsid w:val="009E1C9F"/>
    <w:rsid w:val="009E39AB"/>
    <w:rsid w:val="009E3C8A"/>
    <w:rsid w:val="009E4853"/>
    <w:rsid w:val="009E78A8"/>
    <w:rsid w:val="009F32CA"/>
    <w:rsid w:val="009F3DF3"/>
    <w:rsid w:val="009F476E"/>
    <w:rsid w:val="009F7887"/>
    <w:rsid w:val="00A01B62"/>
    <w:rsid w:val="00A0239C"/>
    <w:rsid w:val="00A027B7"/>
    <w:rsid w:val="00A02D32"/>
    <w:rsid w:val="00A03F2D"/>
    <w:rsid w:val="00A1175C"/>
    <w:rsid w:val="00A12CCA"/>
    <w:rsid w:val="00A1546B"/>
    <w:rsid w:val="00A20417"/>
    <w:rsid w:val="00A20D22"/>
    <w:rsid w:val="00A21D77"/>
    <w:rsid w:val="00A22758"/>
    <w:rsid w:val="00A22AEC"/>
    <w:rsid w:val="00A22C3C"/>
    <w:rsid w:val="00A237DD"/>
    <w:rsid w:val="00A23E53"/>
    <w:rsid w:val="00A251D9"/>
    <w:rsid w:val="00A26473"/>
    <w:rsid w:val="00A2653A"/>
    <w:rsid w:val="00A26F72"/>
    <w:rsid w:val="00A27F7A"/>
    <w:rsid w:val="00A30D03"/>
    <w:rsid w:val="00A31EA9"/>
    <w:rsid w:val="00A324A6"/>
    <w:rsid w:val="00A32DBA"/>
    <w:rsid w:val="00A35139"/>
    <w:rsid w:val="00A36676"/>
    <w:rsid w:val="00A37A56"/>
    <w:rsid w:val="00A40C1E"/>
    <w:rsid w:val="00A41674"/>
    <w:rsid w:val="00A421E4"/>
    <w:rsid w:val="00A4343D"/>
    <w:rsid w:val="00A459C8"/>
    <w:rsid w:val="00A46FCB"/>
    <w:rsid w:val="00A52A6D"/>
    <w:rsid w:val="00A53BCB"/>
    <w:rsid w:val="00A56C31"/>
    <w:rsid w:val="00A60994"/>
    <w:rsid w:val="00A61AEB"/>
    <w:rsid w:val="00A61CBD"/>
    <w:rsid w:val="00A61F3A"/>
    <w:rsid w:val="00A63062"/>
    <w:rsid w:val="00A63914"/>
    <w:rsid w:val="00A63D5E"/>
    <w:rsid w:val="00A664D8"/>
    <w:rsid w:val="00A66893"/>
    <w:rsid w:val="00A66A80"/>
    <w:rsid w:val="00A67403"/>
    <w:rsid w:val="00A707D5"/>
    <w:rsid w:val="00A714BD"/>
    <w:rsid w:val="00A715C9"/>
    <w:rsid w:val="00A716B4"/>
    <w:rsid w:val="00A732B5"/>
    <w:rsid w:val="00A74111"/>
    <w:rsid w:val="00A75BA7"/>
    <w:rsid w:val="00A760E5"/>
    <w:rsid w:val="00A7769E"/>
    <w:rsid w:val="00A81375"/>
    <w:rsid w:val="00A8297D"/>
    <w:rsid w:val="00A82C6F"/>
    <w:rsid w:val="00A8445B"/>
    <w:rsid w:val="00A86F4D"/>
    <w:rsid w:val="00A905DF"/>
    <w:rsid w:val="00A913F6"/>
    <w:rsid w:val="00A915C1"/>
    <w:rsid w:val="00A92753"/>
    <w:rsid w:val="00AA0007"/>
    <w:rsid w:val="00AA0288"/>
    <w:rsid w:val="00AA0A75"/>
    <w:rsid w:val="00AA0C7E"/>
    <w:rsid w:val="00AA2961"/>
    <w:rsid w:val="00AA2D38"/>
    <w:rsid w:val="00AA3669"/>
    <w:rsid w:val="00AA63A0"/>
    <w:rsid w:val="00AA6998"/>
    <w:rsid w:val="00AB2CA4"/>
    <w:rsid w:val="00AB31E7"/>
    <w:rsid w:val="00AB491C"/>
    <w:rsid w:val="00AB5550"/>
    <w:rsid w:val="00AB6D9E"/>
    <w:rsid w:val="00AC0172"/>
    <w:rsid w:val="00AC0C1F"/>
    <w:rsid w:val="00AC539F"/>
    <w:rsid w:val="00AC6AD2"/>
    <w:rsid w:val="00AD28DF"/>
    <w:rsid w:val="00AD318B"/>
    <w:rsid w:val="00AD4456"/>
    <w:rsid w:val="00AD5F6C"/>
    <w:rsid w:val="00AD60D4"/>
    <w:rsid w:val="00AD7783"/>
    <w:rsid w:val="00AD7F28"/>
    <w:rsid w:val="00AE0A50"/>
    <w:rsid w:val="00AE2EBC"/>
    <w:rsid w:val="00AE3C65"/>
    <w:rsid w:val="00AE445B"/>
    <w:rsid w:val="00AE7042"/>
    <w:rsid w:val="00AE731B"/>
    <w:rsid w:val="00AE73BA"/>
    <w:rsid w:val="00AF31BD"/>
    <w:rsid w:val="00AF506C"/>
    <w:rsid w:val="00AF6767"/>
    <w:rsid w:val="00AF7F61"/>
    <w:rsid w:val="00B02446"/>
    <w:rsid w:val="00B02B50"/>
    <w:rsid w:val="00B03466"/>
    <w:rsid w:val="00B0431B"/>
    <w:rsid w:val="00B044DD"/>
    <w:rsid w:val="00B106B8"/>
    <w:rsid w:val="00B1110D"/>
    <w:rsid w:val="00B11DBE"/>
    <w:rsid w:val="00B130AF"/>
    <w:rsid w:val="00B14ED0"/>
    <w:rsid w:val="00B14FFC"/>
    <w:rsid w:val="00B16AC7"/>
    <w:rsid w:val="00B2422C"/>
    <w:rsid w:val="00B24680"/>
    <w:rsid w:val="00B24DB8"/>
    <w:rsid w:val="00B24EEF"/>
    <w:rsid w:val="00B256B7"/>
    <w:rsid w:val="00B3255D"/>
    <w:rsid w:val="00B32EBC"/>
    <w:rsid w:val="00B33A97"/>
    <w:rsid w:val="00B34D63"/>
    <w:rsid w:val="00B41287"/>
    <w:rsid w:val="00B42F38"/>
    <w:rsid w:val="00B436B7"/>
    <w:rsid w:val="00B445A4"/>
    <w:rsid w:val="00B44EFB"/>
    <w:rsid w:val="00B45DEF"/>
    <w:rsid w:val="00B467AA"/>
    <w:rsid w:val="00B47656"/>
    <w:rsid w:val="00B47B11"/>
    <w:rsid w:val="00B5048A"/>
    <w:rsid w:val="00B50A35"/>
    <w:rsid w:val="00B5112C"/>
    <w:rsid w:val="00B51196"/>
    <w:rsid w:val="00B51987"/>
    <w:rsid w:val="00B51B40"/>
    <w:rsid w:val="00B526F0"/>
    <w:rsid w:val="00B52E58"/>
    <w:rsid w:val="00B53B35"/>
    <w:rsid w:val="00B53D05"/>
    <w:rsid w:val="00B543D0"/>
    <w:rsid w:val="00B57DEE"/>
    <w:rsid w:val="00B61584"/>
    <w:rsid w:val="00B6217B"/>
    <w:rsid w:val="00B63B78"/>
    <w:rsid w:val="00B63FCE"/>
    <w:rsid w:val="00B658C9"/>
    <w:rsid w:val="00B66088"/>
    <w:rsid w:val="00B67461"/>
    <w:rsid w:val="00B677FE"/>
    <w:rsid w:val="00B71040"/>
    <w:rsid w:val="00B71610"/>
    <w:rsid w:val="00B7360E"/>
    <w:rsid w:val="00B74219"/>
    <w:rsid w:val="00B808EE"/>
    <w:rsid w:val="00B82211"/>
    <w:rsid w:val="00B83FE5"/>
    <w:rsid w:val="00B91138"/>
    <w:rsid w:val="00B94A26"/>
    <w:rsid w:val="00B96B8B"/>
    <w:rsid w:val="00B974CF"/>
    <w:rsid w:val="00BA00DF"/>
    <w:rsid w:val="00BA01C3"/>
    <w:rsid w:val="00BA0A1B"/>
    <w:rsid w:val="00BA189C"/>
    <w:rsid w:val="00BA2BF0"/>
    <w:rsid w:val="00BA3EDA"/>
    <w:rsid w:val="00BA4B9B"/>
    <w:rsid w:val="00BA572B"/>
    <w:rsid w:val="00BA5EDE"/>
    <w:rsid w:val="00BA6931"/>
    <w:rsid w:val="00BA6CAF"/>
    <w:rsid w:val="00BB0E0B"/>
    <w:rsid w:val="00BB1360"/>
    <w:rsid w:val="00BB13C5"/>
    <w:rsid w:val="00BB1ADC"/>
    <w:rsid w:val="00BB22CE"/>
    <w:rsid w:val="00BB4772"/>
    <w:rsid w:val="00BB49A2"/>
    <w:rsid w:val="00BB4AB0"/>
    <w:rsid w:val="00BB557D"/>
    <w:rsid w:val="00BB60DE"/>
    <w:rsid w:val="00BB7183"/>
    <w:rsid w:val="00BC0EA2"/>
    <w:rsid w:val="00BC3866"/>
    <w:rsid w:val="00BC53EC"/>
    <w:rsid w:val="00BC6638"/>
    <w:rsid w:val="00BD49BE"/>
    <w:rsid w:val="00BD5148"/>
    <w:rsid w:val="00BD6099"/>
    <w:rsid w:val="00BD655B"/>
    <w:rsid w:val="00BE0A63"/>
    <w:rsid w:val="00BE1D6C"/>
    <w:rsid w:val="00BE3BF6"/>
    <w:rsid w:val="00BE7F52"/>
    <w:rsid w:val="00BF20EE"/>
    <w:rsid w:val="00BF7DA2"/>
    <w:rsid w:val="00C00078"/>
    <w:rsid w:val="00C01D31"/>
    <w:rsid w:val="00C03BF2"/>
    <w:rsid w:val="00C04239"/>
    <w:rsid w:val="00C06F43"/>
    <w:rsid w:val="00C11338"/>
    <w:rsid w:val="00C11806"/>
    <w:rsid w:val="00C11F1B"/>
    <w:rsid w:val="00C1268F"/>
    <w:rsid w:val="00C13E98"/>
    <w:rsid w:val="00C13FA0"/>
    <w:rsid w:val="00C212B3"/>
    <w:rsid w:val="00C2209D"/>
    <w:rsid w:val="00C2279B"/>
    <w:rsid w:val="00C24017"/>
    <w:rsid w:val="00C270DC"/>
    <w:rsid w:val="00C3080F"/>
    <w:rsid w:val="00C30A5E"/>
    <w:rsid w:val="00C31D22"/>
    <w:rsid w:val="00C402C6"/>
    <w:rsid w:val="00C40B29"/>
    <w:rsid w:val="00C413C1"/>
    <w:rsid w:val="00C47713"/>
    <w:rsid w:val="00C50D82"/>
    <w:rsid w:val="00C51198"/>
    <w:rsid w:val="00C55511"/>
    <w:rsid w:val="00C56CCC"/>
    <w:rsid w:val="00C611A7"/>
    <w:rsid w:val="00C618F9"/>
    <w:rsid w:val="00C625E0"/>
    <w:rsid w:val="00C644EC"/>
    <w:rsid w:val="00C6499D"/>
    <w:rsid w:val="00C67CEF"/>
    <w:rsid w:val="00C701FC"/>
    <w:rsid w:val="00C72BA5"/>
    <w:rsid w:val="00C72D82"/>
    <w:rsid w:val="00C733B6"/>
    <w:rsid w:val="00C73A06"/>
    <w:rsid w:val="00C74C2F"/>
    <w:rsid w:val="00C74C72"/>
    <w:rsid w:val="00C77AAF"/>
    <w:rsid w:val="00C8088A"/>
    <w:rsid w:val="00C81222"/>
    <w:rsid w:val="00C82408"/>
    <w:rsid w:val="00C82BC4"/>
    <w:rsid w:val="00C835AF"/>
    <w:rsid w:val="00C86737"/>
    <w:rsid w:val="00C86C40"/>
    <w:rsid w:val="00C87562"/>
    <w:rsid w:val="00C87983"/>
    <w:rsid w:val="00C91D65"/>
    <w:rsid w:val="00C92AD3"/>
    <w:rsid w:val="00C949DA"/>
    <w:rsid w:val="00C95224"/>
    <w:rsid w:val="00C97527"/>
    <w:rsid w:val="00CA4180"/>
    <w:rsid w:val="00CA5D9A"/>
    <w:rsid w:val="00CA6660"/>
    <w:rsid w:val="00CA68D7"/>
    <w:rsid w:val="00CA6E5C"/>
    <w:rsid w:val="00CA72CC"/>
    <w:rsid w:val="00CA7697"/>
    <w:rsid w:val="00CA7BF0"/>
    <w:rsid w:val="00CA7DDE"/>
    <w:rsid w:val="00CB0136"/>
    <w:rsid w:val="00CB0B63"/>
    <w:rsid w:val="00CB1A31"/>
    <w:rsid w:val="00CB3005"/>
    <w:rsid w:val="00CB3AD9"/>
    <w:rsid w:val="00CB3E3A"/>
    <w:rsid w:val="00CB5EBA"/>
    <w:rsid w:val="00CB7218"/>
    <w:rsid w:val="00CC17B2"/>
    <w:rsid w:val="00CC2293"/>
    <w:rsid w:val="00CC2E90"/>
    <w:rsid w:val="00CC43E4"/>
    <w:rsid w:val="00CC649D"/>
    <w:rsid w:val="00CC68B5"/>
    <w:rsid w:val="00CD0CBE"/>
    <w:rsid w:val="00CD0EB1"/>
    <w:rsid w:val="00CD106E"/>
    <w:rsid w:val="00CD3750"/>
    <w:rsid w:val="00CD465F"/>
    <w:rsid w:val="00CD643F"/>
    <w:rsid w:val="00CD6C4E"/>
    <w:rsid w:val="00CD7390"/>
    <w:rsid w:val="00CE05F2"/>
    <w:rsid w:val="00CE25D8"/>
    <w:rsid w:val="00CE67DE"/>
    <w:rsid w:val="00CF0C9D"/>
    <w:rsid w:val="00CF15B9"/>
    <w:rsid w:val="00CF1C9D"/>
    <w:rsid w:val="00CF38F2"/>
    <w:rsid w:val="00CF5A45"/>
    <w:rsid w:val="00CF74A7"/>
    <w:rsid w:val="00D02961"/>
    <w:rsid w:val="00D02B6F"/>
    <w:rsid w:val="00D03729"/>
    <w:rsid w:val="00D03BB7"/>
    <w:rsid w:val="00D05A75"/>
    <w:rsid w:val="00D07FE3"/>
    <w:rsid w:val="00D123E3"/>
    <w:rsid w:val="00D14107"/>
    <w:rsid w:val="00D14E95"/>
    <w:rsid w:val="00D16FE4"/>
    <w:rsid w:val="00D2064C"/>
    <w:rsid w:val="00D208EB"/>
    <w:rsid w:val="00D21B75"/>
    <w:rsid w:val="00D24A29"/>
    <w:rsid w:val="00D25832"/>
    <w:rsid w:val="00D27923"/>
    <w:rsid w:val="00D27E75"/>
    <w:rsid w:val="00D30E52"/>
    <w:rsid w:val="00D3310F"/>
    <w:rsid w:val="00D4018E"/>
    <w:rsid w:val="00D4104C"/>
    <w:rsid w:val="00D41D6C"/>
    <w:rsid w:val="00D42C78"/>
    <w:rsid w:val="00D43D05"/>
    <w:rsid w:val="00D44127"/>
    <w:rsid w:val="00D448BA"/>
    <w:rsid w:val="00D451DA"/>
    <w:rsid w:val="00D47B7A"/>
    <w:rsid w:val="00D504A9"/>
    <w:rsid w:val="00D51362"/>
    <w:rsid w:val="00D51CCC"/>
    <w:rsid w:val="00D5297E"/>
    <w:rsid w:val="00D5553D"/>
    <w:rsid w:val="00D557FC"/>
    <w:rsid w:val="00D56F00"/>
    <w:rsid w:val="00D574DA"/>
    <w:rsid w:val="00D62F87"/>
    <w:rsid w:val="00D63653"/>
    <w:rsid w:val="00D63EF9"/>
    <w:rsid w:val="00D6420A"/>
    <w:rsid w:val="00D67D00"/>
    <w:rsid w:val="00D702CC"/>
    <w:rsid w:val="00D713CD"/>
    <w:rsid w:val="00D71638"/>
    <w:rsid w:val="00D71E76"/>
    <w:rsid w:val="00D72041"/>
    <w:rsid w:val="00D72953"/>
    <w:rsid w:val="00D7457C"/>
    <w:rsid w:val="00D752F3"/>
    <w:rsid w:val="00D778FA"/>
    <w:rsid w:val="00D8070E"/>
    <w:rsid w:val="00D824FA"/>
    <w:rsid w:val="00D82574"/>
    <w:rsid w:val="00D82925"/>
    <w:rsid w:val="00D83F6A"/>
    <w:rsid w:val="00D843FF"/>
    <w:rsid w:val="00D8463F"/>
    <w:rsid w:val="00D91DDF"/>
    <w:rsid w:val="00D92FAF"/>
    <w:rsid w:val="00D93DAA"/>
    <w:rsid w:val="00D9410B"/>
    <w:rsid w:val="00D96EEE"/>
    <w:rsid w:val="00D97BED"/>
    <w:rsid w:val="00DA2A37"/>
    <w:rsid w:val="00DA6741"/>
    <w:rsid w:val="00DA6907"/>
    <w:rsid w:val="00DA6FA6"/>
    <w:rsid w:val="00DA7691"/>
    <w:rsid w:val="00DB2048"/>
    <w:rsid w:val="00DB4315"/>
    <w:rsid w:val="00DB748B"/>
    <w:rsid w:val="00DC15C6"/>
    <w:rsid w:val="00DC73A6"/>
    <w:rsid w:val="00DD57D3"/>
    <w:rsid w:val="00DD58EC"/>
    <w:rsid w:val="00DD6DA3"/>
    <w:rsid w:val="00DD700A"/>
    <w:rsid w:val="00DD7766"/>
    <w:rsid w:val="00DE07A3"/>
    <w:rsid w:val="00DE0FB4"/>
    <w:rsid w:val="00DE24ED"/>
    <w:rsid w:val="00DE36D3"/>
    <w:rsid w:val="00DE3E47"/>
    <w:rsid w:val="00DE4D45"/>
    <w:rsid w:val="00DE55E5"/>
    <w:rsid w:val="00DE563A"/>
    <w:rsid w:val="00DE6FE5"/>
    <w:rsid w:val="00DE7422"/>
    <w:rsid w:val="00DE787A"/>
    <w:rsid w:val="00DE7BBA"/>
    <w:rsid w:val="00DF02A6"/>
    <w:rsid w:val="00DF093D"/>
    <w:rsid w:val="00DF2E5A"/>
    <w:rsid w:val="00DF2E8E"/>
    <w:rsid w:val="00DF52ED"/>
    <w:rsid w:val="00DF597C"/>
    <w:rsid w:val="00DF6519"/>
    <w:rsid w:val="00DF6BA6"/>
    <w:rsid w:val="00E017F5"/>
    <w:rsid w:val="00E01876"/>
    <w:rsid w:val="00E02CDB"/>
    <w:rsid w:val="00E05661"/>
    <w:rsid w:val="00E058F2"/>
    <w:rsid w:val="00E0634B"/>
    <w:rsid w:val="00E079D7"/>
    <w:rsid w:val="00E11AA5"/>
    <w:rsid w:val="00E11F75"/>
    <w:rsid w:val="00E14669"/>
    <w:rsid w:val="00E14718"/>
    <w:rsid w:val="00E15D27"/>
    <w:rsid w:val="00E1702A"/>
    <w:rsid w:val="00E238B5"/>
    <w:rsid w:val="00E25ACF"/>
    <w:rsid w:val="00E25DDD"/>
    <w:rsid w:val="00E26CA7"/>
    <w:rsid w:val="00E277A1"/>
    <w:rsid w:val="00E306C6"/>
    <w:rsid w:val="00E31F37"/>
    <w:rsid w:val="00E33A2D"/>
    <w:rsid w:val="00E344FF"/>
    <w:rsid w:val="00E36237"/>
    <w:rsid w:val="00E3698C"/>
    <w:rsid w:val="00E409FE"/>
    <w:rsid w:val="00E40CD6"/>
    <w:rsid w:val="00E42E61"/>
    <w:rsid w:val="00E438ED"/>
    <w:rsid w:val="00E45B3E"/>
    <w:rsid w:val="00E501E3"/>
    <w:rsid w:val="00E51479"/>
    <w:rsid w:val="00E52122"/>
    <w:rsid w:val="00E5295D"/>
    <w:rsid w:val="00E5384E"/>
    <w:rsid w:val="00E540C3"/>
    <w:rsid w:val="00E54E5D"/>
    <w:rsid w:val="00E60065"/>
    <w:rsid w:val="00E614C7"/>
    <w:rsid w:val="00E61CD0"/>
    <w:rsid w:val="00E61ED6"/>
    <w:rsid w:val="00E62A24"/>
    <w:rsid w:val="00E635C8"/>
    <w:rsid w:val="00E66062"/>
    <w:rsid w:val="00E6770F"/>
    <w:rsid w:val="00E708D8"/>
    <w:rsid w:val="00E710F7"/>
    <w:rsid w:val="00E730AB"/>
    <w:rsid w:val="00E73166"/>
    <w:rsid w:val="00E73A49"/>
    <w:rsid w:val="00E8036A"/>
    <w:rsid w:val="00E81627"/>
    <w:rsid w:val="00E81637"/>
    <w:rsid w:val="00E8228F"/>
    <w:rsid w:val="00E8297D"/>
    <w:rsid w:val="00E831FC"/>
    <w:rsid w:val="00E91F03"/>
    <w:rsid w:val="00E92086"/>
    <w:rsid w:val="00E94E64"/>
    <w:rsid w:val="00E952A0"/>
    <w:rsid w:val="00E9732D"/>
    <w:rsid w:val="00E976AF"/>
    <w:rsid w:val="00EA1465"/>
    <w:rsid w:val="00EA2E44"/>
    <w:rsid w:val="00EA2F9C"/>
    <w:rsid w:val="00EA3474"/>
    <w:rsid w:val="00EA4AD0"/>
    <w:rsid w:val="00EA65BC"/>
    <w:rsid w:val="00EA748C"/>
    <w:rsid w:val="00EB01C9"/>
    <w:rsid w:val="00EB04B7"/>
    <w:rsid w:val="00EB5DC7"/>
    <w:rsid w:val="00EB6E27"/>
    <w:rsid w:val="00EC13B0"/>
    <w:rsid w:val="00EC30A8"/>
    <w:rsid w:val="00EC3F55"/>
    <w:rsid w:val="00EC4808"/>
    <w:rsid w:val="00EC5F9B"/>
    <w:rsid w:val="00EC7685"/>
    <w:rsid w:val="00EC7D16"/>
    <w:rsid w:val="00ED0366"/>
    <w:rsid w:val="00ED3D08"/>
    <w:rsid w:val="00ED428D"/>
    <w:rsid w:val="00ED4B56"/>
    <w:rsid w:val="00ED4D4A"/>
    <w:rsid w:val="00ED6ACC"/>
    <w:rsid w:val="00ED6D70"/>
    <w:rsid w:val="00EE09A7"/>
    <w:rsid w:val="00EE108C"/>
    <w:rsid w:val="00EE1E66"/>
    <w:rsid w:val="00EE49CD"/>
    <w:rsid w:val="00EE5A99"/>
    <w:rsid w:val="00EE62B3"/>
    <w:rsid w:val="00EE7852"/>
    <w:rsid w:val="00EF0A02"/>
    <w:rsid w:val="00EF0E3D"/>
    <w:rsid w:val="00EF1289"/>
    <w:rsid w:val="00EF16B1"/>
    <w:rsid w:val="00EF1B55"/>
    <w:rsid w:val="00EF3DE7"/>
    <w:rsid w:val="00EF49E2"/>
    <w:rsid w:val="00EF6520"/>
    <w:rsid w:val="00EF72D0"/>
    <w:rsid w:val="00F002E6"/>
    <w:rsid w:val="00F004A3"/>
    <w:rsid w:val="00F0286D"/>
    <w:rsid w:val="00F03B32"/>
    <w:rsid w:val="00F04CA2"/>
    <w:rsid w:val="00F061BD"/>
    <w:rsid w:val="00F07420"/>
    <w:rsid w:val="00F11CF3"/>
    <w:rsid w:val="00F16EA2"/>
    <w:rsid w:val="00F17D66"/>
    <w:rsid w:val="00F2036E"/>
    <w:rsid w:val="00F20D28"/>
    <w:rsid w:val="00F2170E"/>
    <w:rsid w:val="00F21BD7"/>
    <w:rsid w:val="00F22D01"/>
    <w:rsid w:val="00F30876"/>
    <w:rsid w:val="00F31004"/>
    <w:rsid w:val="00F311C6"/>
    <w:rsid w:val="00F31CCD"/>
    <w:rsid w:val="00F3670B"/>
    <w:rsid w:val="00F367C2"/>
    <w:rsid w:val="00F3717E"/>
    <w:rsid w:val="00F3731B"/>
    <w:rsid w:val="00F37865"/>
    <w:rsid w:val="00F40183"/>
    <w:rsid w:val="00F41F48"/>
    <w:rsid w:val="00F42E9F"/>
    <w:rsid w:val="00F441A8"/>
    <w:rsid w:val="00F4543A"/>
    <w:rsid w:val="00F4615E"/>
    <w:rsid w:val="00F47466"/>
    <w:rsid w:val="00F5012F"/>
    <w:rsid w:val="00F5047E"/>
    <w:rsid w:val="00F509D2"/>
    <w:rsid w:val="00F52169"/>
    <w:rsid w:val="00F5250C"/>
    <w:rsid w:val="00F53CAD"/>
    <w:rsid w:val="00F55948"/>
    <w:rsid w:val="00F61834"/>
    <w:rsid w:val="00F66819"/>
    <w:rsid w:val="00F6759B"/>
    <w:rsid w:val="00F70898"/>
    <w:rsid w:val="00F70BAD"/>
    <w:rsid w:val="00F71EA6"/>
    <w:rsid w:val="00F750FC"/>
    <w:rsid w:val="00F7520C"/>
    <w:rsid w:val="00F75756"/>
    <w:rsid w:val="00F75B16"/>
    <w:rsid w:val="00F75D09"/>
    <w:rsid w:val="00F76544"/>
    <w:rsid w:val="00F80C68"/>
    <w:rsid w:val="00F80F9F"/>
    <w:rsid w:val="00F8295B"/>
    <w:rsid w:val="00F83D1F"/>
    <w:rsid w:val="00F8509C"/>
    <w:rsid w:val="00F854B9"/>
    <w:rsid w:val="00F86209"/>
    <w:rsid w:val="00F86DA4"/>
    <w:rsid w:val="00F90199"/>
    <w:rsid w:val="00F915E2"/>
    <w:rsid w:val="00F92D1A"/>
    <w:rsid w:val="00F93455"/>
    <w:rsid w:val="00F934C9"/>
    <w:rsid w:val="00F935EA"/>
    <w:rsid w:val="00F93F21"/>
    <w:rsid w:val="00F94B81"/>
    <w:rsid w:val="00F955D1"/>
    <w:rsid w:val="00F9738A"/>
    <w:rsid w:val="00F97F5F"/>
    <w:rsid w:val="00FA04D7"/>
    <w:rsid w:val="00FA08DC"/>
    <w:rsid w:val="00FA0BB6"/>
    <w:rsid w:val="00FA0C65"/>
    <w:rsid w:val="00FA13E5"/>
    <w:rsid w:val="00FA192E"/>
    <w:rsid w:val="00FA2383"/>
    <w:rsid w:val="00FA2FA7"/>
    <w:rsid w:val="00FA313B"/>
    <w:rsid w:val="00FA4598"/>
    <w:rsid w:val="00FA661F"/>
    <w:rsid w:val="00FA76CB"/>
    <w:rsid w:val="00FB203E"/>
    <w:rsid w:val="00FB27FA"/>
    <w:rsid w:val="00FB2FCD"/>
    <w:rsid w:val="00FB71CA"/>
    <w:rsid w:val="00FC2733"/>
    <w:rsid w:val="00FC2D5B"/>
    <w:rsid w:val="00FC348B"/>
    <w:rsid w:val="00FC59ED"/>
    <w:rsid w:val="00FC68D8"/>
    <w:rsid w:val="00FD07CA"/>
    <w:rsid w:val="00FD38BC"/>
    <w:rsid w:val="00FD3EE9"/>
    <w:rsid w:val="00FD42EE"/>
    <w:rsid w:val="00FD69F1"/>
    <w:rsid w:val="00FD6BAD"/>
    <w:rsid w:val="00FD6BBF"/>
    <w:rsid w:val="00FD6EB5"/>
    <w:rsid w:val="00FE0246"/>
    <w:rsid w:val="00FE0D5C"/>
    <w:rsid w:val="00FE1824"/>
    <w:rsid w:val="00FE1CED"/>
    <w:rsid w:val="00FE30D8"/>
    <w:rsid w:val="00FE5D9F"/>
    <w:rsid w:val="00FE6484"/>
    <w:rsid w:val="00FE69CC"/>
    <w:rsid w:val="00FE74E3"/>
    <w:rsid w:val="00FF1DC9"/>
    <w:rsid w:val="00FF4D0C"/>
    <w:rsid w:val="00FF67A1"/>
    <w:rsid w:val="00FF747D"/>
    <w:rsid w:val="00FF7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iPriority="0"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semiHidden/>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
    <w:basedOn w:val="DefaultParagraphFont"/>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iPriority="0"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semiHidden/>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
    <w:basedOn w:val="DefaultParagraphFont"/>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283482">
      <w:bodyDiv w:val="1"/>
      <w:marLeft w:val="0"/>
      <w:marRight w:val="0"/>
      <w:marTop w:val="0"/>
      <w:marBottom w:val="0"/>
      <w:divBdr>
        <w:top w:val="none" w:sz="0" w:space="0" w:color="auto"/>
        <w:left w:val="none" w:sz="0" w:space="0" w:color="auto"/>
        <w:bottom w:val="none" w:sz="0" w:space="0" w:color="auto"/>
        <w:right w:val="none" w:sz="0" w:space="0" w:color="auto"/>
      </w:divBdr>
    </w:div>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A19DB-FC3D-4868-A240-02E870025B98}"/>
</file>

<file path=customXml/itemProps2.xml><?xml version="1.0" encoding="utf-8"?>
<ds:datastoreItem xmlns:ds="http://schemas.openxmlformats.org/officeDocument/2006/customXml" ds:itemID="{839B9EB3-52BE-4817-91B9-EFD96638390D}"/>
</file>

<file path=customXml/itemProps3.xml><?xml version="1.0" encoding="utf-8"?>
<ds:datastoreItem xmlns:ds="http://schemas.openxmlformats.org/officeDocument/2006/customXml" ds:itemID="{65551ADD-0476-4100-9115-7D327C0C9EE4}"/>
</file>

<file path=customXml/itemProps4.xml><?xml version="1.0" encoding="utf-8"?>
<ds:datastoreItem xmlns:ds="http://schemas.openxmlformats.org/officeDocument/2006/customXml" ds:itemID="{23B12691-FB31-4EAF-9A36-F37020A36333}"/>
</file>

<file path=docProps/app.xml><?xml version="1.0" encoding="utf-8"?>
<Properties xmlns="http://schemas.openxmlformats.org/officeDocument/2006/extended-properties" xmlns:vt="http://schemas.openxmlformats.org/officeDocument/2006/docPropsVTypes">
  <Template>Normal</Template>
  <TotalTime>0</TotalTime>
  <Pages>15</Pages>
  <Words>3215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2014-04-29T20:26:00Z</dcterms:created>
  <dcterms:modified xsi:type="dcterms:W3CDTF">2014-05-01T13:55:00Z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