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330" w:type="dxa"/>
        <w:tblCellSpacing w:w="0" w:type="dxa"/>
        <w:tblCellMar>
          <w:left w:w="0" w:type="dxa"/>
          <w:right w:w="0" w:type="dxa"/>
        </w:tblCellMar>
        <w:tblLook w:val="04A0"/>
      </w:tblPr>
      <w:tblGrid>
        <w:gridCol w:w="6330"/>
      </w:tblGrid>
      <w:tr w:rsidR="001C68D0" w:rsidRPr="00CD4B36" w:rsidTr="001C68D0">
        <w:trPr>
          <w:tblCellSpacing w:w="0" w:type="dxa"/>
        </w:trPr>
        <w:tc>
          <w:tcPr>
            <w:tcW w:w="5000" w:type="pct"/>
            <w:tcBorders>
              <w:top w:val="nil"/>
              <w:left w:val="nil"/>
              <w:bottom w:val="nil"/>
              <w:right w:val="nil"/>
            </w:tcBorders>
            <w:vAlign w:val="center"/>
            <w:hideMark/>
          </w:tcPr>
          <w:p w:rsidR="001C68D0" w:rsidRPr="00CD4B36" w:rsidRDefault="001C68D0" w:rsidP="001C68D0">
            <w:pPr>
              <w:pStyle w:val="NoSpacing"/>
            </w:pPr>
            <w:r w:rsidRPr="00CD4B36">
              <w:t>Fuel Surcharge</w:t>
            </w:r>
          </w:p>
        </w:tc>
      </w:tr>
      <w:tr w:rsidR="001C68D0" w:rsidRPr="00CD4B36" w:rsidTr="001C68D0">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Pr>
                <w:noProof/>
              </w:rPr>
              <w:drawing>
                <wp:inline distT="0" distB="0" distL="0" distR="0">
                  <wp:extent cx="9525" cy="142875"/>
                  <wp:effectExtent l="0" t="0" r="0" b="0"/>
                  <wp:docPr id="1" name="Picture 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s.com/img/1.gif"/>
                          <pic:cNvPicPr>
                            <a:picLocks noChangeAspect="1" noChangeArrowheads="1"/>
                          </pic:cNvPicPr>
                        </pic:nvPicPr>
                        <pic:blipFill>
                          <a:blip r:embed="rId4" cstate="print"/>
                          <a:srcRect/>
                          <a:stretch>
                            <a:fillRect/>
                          </a:stretch>
                        </pic:blipFill>
                        <pic:spPr bwMode="auto">
                          <a:xfrm>
                            <a:off x="0" y="0"/>
                            <a:ext cx="9525" cy="142875"/>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bl>
      <w:tblPr>
        <w:tblW w:w="8490" w:type="dxa"/>
        <w:tblCellSpacing w:w="0" w:type="dxa"/>
        <w:tblCellMar>
          <w:left w:w="0" w:type="dxa"/>
          <w:right w:w="0" w:type="dxa"/>
        </w:tblCellMar>
        <w:tblLook w:val="04A0"/>
      </w:tblPr>
      <w:tblGrid>
        <w:gridCol w:w="8490"/>
      </w:tblGrid>
      <w:tr w:rsidR="001C68D0" w:rsidRPr="00CD4B36" w:rsidTr="001C68D0">
        <w:trPr>
          <w:tblCellSpacing w:w="0" w:type="dxa"/>
        </w:trPr>
        <w:tc>
          <w:tcPr>
            <w:tcW w:w="6330" w:type="dxa"/>
            <w:tcBorders>
              <w:top w:val="nil"/>
              <w:left w:val="nil"/>
              <w:bottom w:val="nil"/>
              <w:right w:val="nil"/>
            </w:tcBorders>
            <w:hideMark/>
          </w:tcPr>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sidRPr="00CD4B36">
                    <w:t>Current Fuel Surcharge Rate for Package Services</w:t>
                  </w:r>
                  <w:proofErr w:type="gramStart"/>
                  <w:r w:rsidRPr="00CD4B36">
                    <w:t>:</w:t>
                  </w:r>
                  <w:proofErr w:type="gramEnd"/>
                  <w:r w:rsidRPr="00CD4B36">
                    <w:br/>
                  </w:r>
                  <w:r w:rsidRPr="00CD4B36">
                    <w:br/>
                    <w:t>Ground</w:t>
                  </w:r>
                  <w:r w:rsidRPr="00CD4B36">
                    <w:br/>
                    <w:t>Through December 5, 2010: 5.50%</w:t>
                  </w:r>
                  <w:r w:rsidRPr="00CD4B36">
                    <w:br/>
                    <w:t>Effective December 6, 2010: 6.00%</w:t>
                  </w:r>
                  <w:r w:rsidRPr="00CD4B36">
                    <w:br/>
                  </w:r>
                  <w:r w:rsidRPr="00CD4B36">
                    <w:br/>
                    <w:t>Air and International</w:t>
                  </w:r>
                  <w:r w:rsidRPr="00CD4B36">
                    <w:br/>
                    <w:t>Through December 5, 2010: 8.50%</w:t>
                  </w:r>
                  <w:r w:rsidRPr="00CD4B36">
                    <w:br/>
                    <w:t>Effective December 6, 2010: 10.00%</w:t>
                  </w:r>
                  <w:r w:rsidRPr="00CD4B36">
                    <w:br/>
                  </w:r>
                  <w:r w:rsidRPr="00CD4B36">
                    <w:br/>
                    <w:t>Note: Information about Air Freight Fuel Surcharges can be found at the bottom of this page.</w:t>
                  </w: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2696"/>
              <w:gridCol w:w="201"/>
              <w:gridCol w:w="2696"/>
              <w:gridCol w:w="201"/>
              <w:gridCol w:w="2696"/>
            </w:tblGrid>
            <w:tr w:rsidR="001C68D0" w:rsidRPr="00CD4B36">
              <w:trPr>
                <w:tblCellSpacing w:w="0" w:type="dxa"/>
              </w:trPr>
              <w:tc>
                <w:tcPr>
                  <w:tcW w:w="2010" w:type="dxa"/>
                  <w:tcBorders>
                    <w:top w:val="nil"/>
                    <w:left w:val="nil"/>
                    <w:bottom w:val="nil"/>
                    <w:right w:val="nil"/>
                  </w:tcBorders>
                  <w:hideMark/>
                </w:tcPr>
                <w:p w:rsidR="001C68D0" w:rsidRPr="00CD4B36" w:rsidRDefault="001C68D0" w:rsidP="001C68D0">
                  <w:pPr>
                    <w:pStyle w:val="NoSpacing"/>
                  </w:pPr>
                  <w:r w:rsidRPr="00CD4B36">
                    <w:t> </w:t>
                  </w:r>
                  <w:hyperlink r:id="rId5" w:anchor="Ground+Fuel+Surcharge" w:history="1">
                    <w:r>
                      <w:rPr>
                        <w:noProof/>
                      </w:rPr>
                      <w:drawing>
                        <wp:inline distT="0" distB="0" distL="0" distR="0">
                          <wp:extent cx="95250" cy="95250"/>
                          <wp:effectExtent l="19050" t="0" r="0" b="0"/>
                          <wp:docPr id="2" name="Picture 2" descr="http://www.ups.com/img/icn_arrow_ancho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ps.com/img/icn_arrow_anchor.gif">
                                    <a:hlinkClick r:id="rId6"/>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D4B36">
                      <w:t>Ground Fuel Surcharge</w:t>
                    </w:r>
                  </w:hyperlink>
                </w:p>
              </w:tc>
              <w:tc>
                <w:tcPr>
                  <w:tcW w:w="150" w:type="dxa"/>
                  <w:tcBorders>
                    <w:top w:val="nil"/>
                    <w:left w:val="nil"/>
                    <w:bottom w:val="nil"/>
                    <w:right w:val="nil"/>
                  </w:tcBorders>
                  <w:vAlign w:val="center"/>
                  <w:hideMark/>
                </w:tcPr>
                <w:p w:rsidR="001C68D0" w:rsidRPr="00CD4B36" w:rsidRDefault="001C68D0" w:rsidP="001C68D0">
                  <w:pPr>
                    <w:pStyle w:val="NoSpacing"/>
                  </w:pPr>
                  <w:r>
                    <w:rPr>
                      <w:noProof/>
                    </w:rPr>
                    <w:drawing>
                      <wp:inline distT="0" distB="0" distL="0" distR="0">
                        <wp:extent cx="95250" cy="9525"/>
                        <wp:effectExtent l="0" t="0" r="0" b="0"/>
                        <wp:docPr id="3" name="Picture 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ps.com/img/1.gif"/>
                                <pic:cNvPicPr>
                                  <a:picLocks noChangeAspect="1" noChangeArrowheads="1"/>
                                </pic:cNvPicPr>
                              </pic:nvPicPr>
                              <pic:blipFill>
                                <a:blip r:embed="rId4"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010" w:type="dxa"/>
                  <w:tcBorders>
                    <w:top w:val="nil"/>
                    <w:left w:val="nil"/>
                    <w:bottom w:val="nil"/>
                    <w:right w:val="nil"/>
                  </w:tcBorders>
                  <w:hideMark/>
                </w:tcPr>
                <w:p w:rsidR="001C68D0" w:rsidRPr="00CD4B36" w:rsidRDefault="001C68D0" w:rsidP="001C68D0">
                  <w:pPr>
                    <w:pStyle w:val="NoSpacing"/>
                  </w:pPr>
                  <w:r w:rsidRPr="00CD4B36">
                    <w:t> </w:t>
                  </w:r>
                  <w:hyperlink r:id="rId8" w:anchor="Air+and+International+Fuel+Surcharge" w:history="1">
                    <w:r>
                      <w:rPr>
                        <w:noProof/>
                      </w:rPr>
                      <w:drawing>
                        <wp:inline distT="0" distB="0" distL="0" distR="0">
                          <wp:extent cx="95250" cy="95250"/>
                          <wp:effectExtent l="19050" t="0" r="0" b="0"/>
                          <wp:docPr id="4" name="Picture 4" descr="http://www.ups.com/img/icn_arrow_ancho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s.com/img/icn_arrow_anchor.gif">
                                    <a:hlinkClick r:id="rId9"/>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D4B36">
                      <w:t>Air and International Fuel Surcharge</w:t>
                    </w:r>
                  </w:hyperlink>
                </w:p>
              </w:tc>
              <w:tc>
                <w:tcPr>
                  <w:tcW w:w="150" w:type="dxa"/>
                  <w:tcBorders>
                    <w:top w:val="nil"/>
                    <w:left w:val="nil"/>
                    <w:bottom w:val="nil"/>
                    <w:right w:val="nil"/>
                  </w:tcBorders>
                  <w:vAlign w:val="center"/>
                  <w:hideMark/>
                </w:tcPr>
                <w:p w:rsidR="001C68D0" w:rsidRPr="00CD4B36" w:rsidRDefault="001C68D0" w:rsidP="001C68D0">
                  <w:pPr>
                    <w:pStyle w:val="NoSpacing"/>
                  </w:pPr>
                  <w:r>
                    <w:rPr>
                      <w:noProof/>
                    </w:rPr>
                    <w:drawing>
                      <wp:inline distT="0" distB="0" distL="0" distR="0">
                        <wp:extent cx="95250" cy="9525"/>
                        <wp:effectExtent l="0" t="0" r="0" b="0"/>
                        <wp:docPr id="5" name="Picture 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ps.com/img/1.gif"/>
                                <pic:cNvPicPr>
                                  <a:picLocks noChangeAspect="1" noChangeArrowheads="1"/>
                                </pic:cNvPicPr>
                              </pic:nvPicPr>
                              <pic:blipFill>
                                <a:blip r:embed="rId4"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010" w:type="dxa"/>
                  <w:tcBorders>
                    <w:top w:val="nil"/>
                    <w:left w:val="nil"/>
                    <w:bottom w:val="nil"/>
                    <w:right w:val="nil"/>
                  </w:tcBorders>
                  <w:hideMark/>
                </w:tcPr>
                <w:p w:rsidR="001C68D0" w:rsidRPr="00CD4B36" w:rsidRDefault="001C68D0" w:rsidP="001C68D0">
                  <w:pPr>
                    <w:pStyle w:val="NoSpacing"/>
                  </w:pPr>
                  <w:r w:rsidRPr="00CD4B36">
                    <w:t> </w:t>
                  </w:r>
                  <w:hyperlink r:id="rId10" w:anchor="Billing" w:history="1">
                    <w:r>
                      <w:rPr>
                        <w:noProof/>
                      </w:rPr>
                      <w:drawing>
                        <wp:inline distT="0" distB="0" distL="0" distR="0">
                          <wp:extent cx="95250" cy="95250"/>
                          <wp:effectExtent l="19050" t="0" r="0" b="0"/>
                          <wp:docPr id="6" name="Picture 6" descr="http://www.ups.com/img/icn_arrow_ancho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ps.com/img/icn_arrow_anchor.gif">
                                    <a:hlinkClick r:id="rId11"/>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D4B36">
                      <w:t>Billing</w:t>
                    </w:r>
                  </w:hyperlink>
                </w:p>
                <w:p w:rsidR="001C68D0" w:rsidRPr="00CD4B36" w:rsidRDefault="001C68D0" w:rsidP="001C68D0">
                  <w:pPr>
                    <w:pStyle w:val="NoSpacing"/>
                  </w:pPr>
                  <w:r w:rsidRPr="00CD4B36">
                    <w:t> </w:t>
                  </w:r>
                  <w:hyperlink r:id="rId12" w:anchor="Services+Affected" w:history="1">
                    <w:r>
                      <w:rPr>
                        <w:noProof/>
                      </w:rPr>
                      <w:drawing>
                        <wp:inline distT="0" distB="0" distL="0" distR="0">
                          <wp:extent cx="95250" cy="95250"/>
                          <wp:effectExtent l="19050" t="0" r="0" b="0"/>
                          <wp:docPr id="7" name="Picture 7" descr="http://www.ups.com/img/icn_arrow_anchor.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ps.com/img/icn_arrow_anchor.gif">
                                    <a:hlinkClick r:id="rId13"/>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D4B36">
                      <w:t>Services Affected</w:t>
                    </w:r>
                  </w:hyperlink>
                </w:p>
                <w:p w:rsidR="001C68D0" w:rsidRPr="00CD4B36" w:rsidRDefault="001C68D0" w:rsidP="001C68D0">
                  <w:pPr>
                    <w:pStyle w:val="NoSpacing"/>
                  </w:pPr>
                  <w:r w:rsidRPr="00CD4B36">
                    <w:t> </w:t>
                  </w:r>
                  <w:hyperlink r:id="rId14" w:anchor="Air+Freight+Fuel+Surcharge+Information" w:history="1">
                    <w:r>
                      <w:rPr>
                        <w:noProof/>
                      </w:rPr>
                      <w:drawing>
                        <wp:inline distT="0" distB="0" distL="0" distR="0">
                          <wp:extent cx="95250" cy="95250"/>
                          <wp:effectExtent l="19050" t="0" r="0" b="0"/>
                          <wp:docPr id="8" name="Picture 8" descr="http://www.ups.com/img/icn_arrow_ancho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ps.com/img/icn_arrow_anchor.gif">
                                    <a:hlinkClick r:id="rId15"/>
                                  </pic:cNvPr>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D4B36">
                      <w:t>Air Freight Fuel Surcharge Information</w:t>
                    </w:r>
                  </w:hyperlink>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bookmarkStart w:id="0" w:name="Ground+Fuel+Surcharge"/>
                  <w:r w:rsidRPr="00CD4B36">
                    <w:t>Ground Fuel Surcharge</w:t>
                  </w:r>
                  <w:bookmarkEnd w:id="0"/>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sidRPr="00CD4B36">
                    <w:t>UPS uses an index-based surcharge that is adjusted monthly. Changes to the surcharge will be effective the first Monday of each month and posted approximately two weeks prior to the effective date. For your billing convenience, we will also post a 90-day surcharge history. The surcharge will be based on the National U.S. Average On Highway Diesel Fuel Prices reported by the U.S. Department of Energy for the month that is two months prior to the adjustment. (UPS research has shown this index is highly correlated with other major fuel price indices worldwide.) For example the surcharge for January 2008 is based on the November 2007 National U.S. Average On Highway Diesel Fuel Price.</w:t>
                  </w:r>
                  <w:r w:rsidRPr="00CD4B36">
                    <w:br/>
                  </w:r>
                  <w:r w:rsidRPr="00CD4B36">
                    <w:br/>
                    <w:t>The following table illustrates the surcharge:</w:t>
                  </w:r>
                </w:p>
              </w:tc>
            </w:tr>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bl>
                  <w:tblPr>
                    <w:tblW w:w="5000" w:type="pct"/>
                    <w:tblCellSpacing w:w="0" w:type="dxa"/>
                    <w:shd w:val="clear" w:color="auto" w:fill="996633"/>
                    <w:tblCellMar>
                      <w:left w:w="0" w:type="dxa"/>
                      <w:right w:w="0" w:type="dxa"/>
                    </w:tblCellMar>
                    <w:tblLook w:val="04A0"/>
                  </w:tblPr>
                  <w:tblGrid>
                    <w:gridCol w:w="151"/>
                    <w:gridCol w:w="8189"/>
                    <w:gridCol w:w="150"/>
                  </w:tblGrid>
                  <w:tr w:rsidR="001C68D0" w:rsidRPr="00CD4B36">
                    <w:trPr>
                      <w:tblCellSpacing w:w="0" w:type="dxa"/>
                    </w:trPr>
                    <w:tc>
                      <w:tcPr>
                        <w:tcW w:w="150" w:type="dxa"/>
                        <w:tcBorders>
                          <w:top w:val="nil"/>
                          <w:left w:val="nil"/>
                          <w:bottom w:val="nil"/>
                          <w:right w:val="nil"/>
                        </w:tcBorders>
                        <w:shd w:val="clear" w:color="auto" w:fill="996633"/>
                        <w:vAlign w:val="center"/>
                        <w:hideMark/>
                      </w:tcPr>
                      <w:p w:rsidR="001C68D0" w:rsidRPr="00CD4B36" w:rsidRDefault="001C68D0" w:rsidP="001C68D0">
                        <w:pPr>
                          <w:pStyle w:val="NoSpacing"/>
                        </w:pPr>
                        <w:r>
                          <w:rPr>
                            <w:noProof/>
                          </w:rPr>
                          <w:drawing>
                            <wp:inline distT="0" distB="0" distL="0" distR="0">
                              <wp:extent cx="95250" cy="190500"/>
                              <wp:effectExtent l="0" t="0" r="0" b="0"/>
                              <wp:docPr id="9" name="Picture 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ps.com/img/1.gif"/>
                                      <pic:cNvPicPr>
                                        <a:picLocks noChangeAspect="1" noChangeArrowheads="1"/>
                                      </pic:cNvPicPr>
                                    </pic:nvPicPr>
                                    <pic:blipFill>
                                      <a:blip r:embed="rId4"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996633"/>
                        <w:vAlign w:val="center"/>
                        <w:hideMark/>
                      </w:tcPr>
                      <w:p w:rsidR="001C68D0" w:rsidRPr="00CD4B36" w:rsidRDefault="001C68D0" w:rsidP="001C68D0">
                        <w:pPr>
                          <w:pStyle w:val="NoSpacing"/>
                        </w:pPr>
                        <w:bookmarkStart w:id="1" w:name="National+U%2ES%2E+Average+On%2Dhighway+D"/>
                        <w:r w:rsidRPr="00CD4B36">
                          <w:t>National U.S. Average On-highway Diesel Fuel Price ($/Gallon)</w:t>
                        </w:r>
                        <w:bookmarkEnd w:id="1"/>
                      </w:p>
                    </w:tc>
                    <w:tc>
                      <w:tcPr>
                        <w:tcW w:w="150" w:type="dxa"/>
                        <w:tcBorders>
                          <w:top w:val="nil"/>
                          <w:left w:val="nil"/>
                          <w:bottom w:val="nil"/>
                          <w:right w:val="nil"/>
                        </w:tcBorders>
                        <w:shd w:val="clear" w:color="auto" w:fill="996633"/>
                        <w:vAlign w:val="center"/>
                        <w:hideMark/>
                      </w:tcPr>
                      <w:p w:rsidR="001C68D0" w:rsidRPr="00CD4B36" w:rsidRDefault="001C68D0" w:rsidP="001C68D0">
                        <w:pPr>
                          <w:pStyle w:val="NoSpacing"/>
                        </w:pPr>
                        <w:r>
                          <w:rPr>
                            <w:noProof/>
                          </w:rPr>
                          <w:drawing>
                            <wp:inline distT="0" distB="0" distL="0" distR="0">
                              <wp:extent cx="95250" cy="190500"/>
                              <wp:effectExtent l="0" t="0" r="0" b="0"/>
                              <wp:docPr id="10" name="Picture 1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ps.com/img/1.gif"/>
                                      <pic:cNvPicPr>
                                        <a:picLocks noChangeAspect="1" noChangeArrowheads="1"/>
                                      </pic:cNvPicPr>
                                    </pic:nvPicPr>
                                    <pic:blipFill>
                                      <a:blip r:embed="rId4"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bl>
                  <w:tblPr>
                    <w:tblW w:w="5000" w:type="pct"/>
                    <w:tblCellSpacing w:w="0" w:type="dxa"/>
                    <w:shd w:val="clear" w:color="auto" w:fill="CCCCCC"/>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shd w:val="clear" w:color="auto" w:fill="CCCCCC"/>
                        <w:tcMar>
                          <w:top w:w="15" w:type="dxa"/>
                          <w:left w:w="15" w:type="dxa"/>
                          <w:bottom w:w="15" w:type="dxa"/>
                          <w:right w:w="15" w:type="dxa"/>
                        </w:tcMar>
                        <w:hideMark/>
                      </w:tcPr>
                      <w:tbl>
                        <w:tblPr>
                          <w:tblW w:w="5000" w:type="pct"/>
                          <w:tblCellSpacing w:w="0" w:type="dxa"/>
                          <w:shd w:val="clear" w:color="auto" w:fill="FFFFFF"/>
                          <w:tblCellMar>
                            <w:left w:w="0" w:type="dxa"/>
                            <w:right w:w="0" w:type="dxa"/>
                          </w:tblCellMar>
                          <w:tblLook w:val="04A0"/>
                        </w:tblPr>
                        <w:tblGrid>
                          <w:gridCol w:w="2171"/>
                          <w:gridCol w:w="15"/>
                          <w:gridCol w:w="3589"/>
                          <w:gridCol w:w="15"/>
                          <w:gridCol w:w="2670"/>
                        </w:tblGrid>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1" name="Picture 1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2" name="Picture 1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3" name="Picture 1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4" name="Picture 1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5" name="Picture 1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At Least:</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6" name="Picture 1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But Less Than:</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7" name="Picture 1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Surcharge:</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8" name="Picture 1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57150"/>
                                    <wp:effectExtent l="0" t="0" r="0" b="0"/>
                                    <wp:docPr id="19" name="Picture 1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ps.com/img/1.gif"/>
                                            <pic:cNvPicPr>
                                              <a:picLocks noChangeAspect="1" noChangeArrowheads="1"/>
                                            </pic:cNvPicPr>
                                          </pic:nvPicPr>
                                          <pic:blipFill>
                                            <a:blip r:embed="rId4" cstate="print"/>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0" name="Picture 2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57150"/>
                                    <wp:effectExtent l="0" t="0" r="0" b="0"/>
                                    <wp:docPr id="21" name="Picture 2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ps.com/img/1.gif"/>
                                            <pic:cNvPicPr>
                                              <a:picLocks noChangeAspect="1" noChangeArrowheads="1"/>
                                            </pic:cNvPicPr>
                                          </pic:nvPicPr>
                                          <pic:blipFill>
                                            <a:blip r:embed="rId4" cstate="print"/>
                                            <a:srcRect/>
                                            <a:stretch>
                                              <a:fillRect/>
                                            </a:stretch>
                                          </pic:blipFill>
                                          <pic:spPr bwMode="auto">
                                            <a:xfrm>
                                              <a:off x="0" y="0"/>
                                              <a:ext cx="9525" cy="571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2" name="Picture 2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3" name="Picture 2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4" name="Picture 2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5" name="Picture 2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6" name="Picture 2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7" name="Picture 2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$0</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8" name="Picture 2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$1.75</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9" name="Picture 2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0.00%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30" name="Picture 3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31" name="Picture 3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32" name="Picture 3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33" name="Picture 3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34" name="Picture 3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35" name="Picture 3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36" name="Picture 3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37" name="Picture 3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38" name="Picture 3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39" name="Picture 3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$1.75</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40" name="Picture 4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$1.87</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41" name="Picture 4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1.00%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42" name="Picture 4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43" name="Picture 4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44" name="Picture 4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45" name="Picture 4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46" name="Picture 4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47" name="Picture 4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48" name="Picture 4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49" name="Picture 4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50" name="Picture 5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51" name="Picture 5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$1.87</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52" name="Picture 5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$1.99</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53" name="Picture 5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1.50%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54" name="Picture 5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55" name="Picture 5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56" name="Picture 5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57" name="Picture 5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58" name="Picture 5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59" name="Picture 5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60" name="Picture 6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61" name="Picture 6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62" name="Picture 6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63" name="Picture 6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$1.99</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64" name="Picture 6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$2.11</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65" name="Picture 6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66" name="Picture 6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67" name="Picture 6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68" name="Picture 6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69" name="Picture 6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70" name="Picture 7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lastRenderedPageBreak/>
                                <w:drawing>
                                  <wp:inline distT="0" distB="0" distL="0" distR="0">
                                    <wp:extent cx="9525" cy="9525"/>
                                    <wp:effectExtent l="0" t="0" r="0" b="0"/>
                                    <wp:docPr id="71" name="Picture 7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72" name="Picture 7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73" name="Picture 7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74" name="Picture 7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75" name="Picture 7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$2.11</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76" name="Picture 7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$2.23</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77" name="Picture 7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78" name="Picture 7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79" name="Picture 7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80" name="Picture 8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81" name="Picture 8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82" name="Picture 8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83" name="Picture 8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84" name="Picture 8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85" name="Picture 8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86" name="Picture 8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87" name="Picture 8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$2.23</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88" name="Picture 8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$2.35</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89" name="Picture 8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90" name="Picture 9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91" name="Picture 9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92" name="Picture 9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93" name="Picture 9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94" name="Picture 9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95" name="Picture 9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96" name="Picture 9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97" name="Picture 9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98" name="Picture 9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99" name="Picture 9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$2.35</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00" name="Picture 10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$2.47</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01" name="Picture 10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02" name="Picture 10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03" name="Picture 10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04" name="Picture 10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05" name="Picture 10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06" name="Picture 10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07" name="Picture 10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08" name="Picture 10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09" name="Picture 10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10" name="Picture 11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11" name="Picture 11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$2.47</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12" name="Picture 11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$2.59</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13" name="Picture 11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4.00%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14" name="Picture 11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15" name="Picture 11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16" name="Picture 11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17" name="Picture 11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18" name="Picture 11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19" name="Picture 11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20" name="Picture 12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21" name="Picture 12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22" name="Picture 12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23" name="Picture 12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$2.59</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24" name="Picture 12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$2.71</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25" name="Picture 12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4.50%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26" name="Picture 12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27" name="Picture 12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28" name="Picture 12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29" name="Picture 12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30" name="Picture 13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31" name="Picture 13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32" name="Picture 13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33" name="Picture 13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34" name="Picture 13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35" name="Picture 13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$2.71</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36" name="Picture 13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$2.83</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37" name="Picture 13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5.00%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38" name="Picture 13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39" name="Picture 13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40" name="Picture 14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41" name="Picture 14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42" name="Picture 14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43" name="Picture 14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44" name="Picture 14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45" name="Picture 14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46" name="Picture 14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47" name="Picture 14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$2.83</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48" name="Picture 14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$2.95</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49" name="Picture 14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5.50%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50" name="Picture 15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51" name="Picture 15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52" name="Picture 15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53" name="Picture 15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54" name="Picture 15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55" name="Picture 15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56" name="Picture 15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57" name="Picture 15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58" name="Picture 15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59" name="Picture 15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$2.95</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60" name="Picture 16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$3.07</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61" name="Picture 16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6.00%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62" name="Picture 16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63" name="Picture 16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64" name="Picture 16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65" name="Picture 16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66" name="Picture 16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67" name="Picture 16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68" name="Picture 16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69" name="Picture 16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70" name="Picture 17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71" name="Picture 17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$3.07</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72" name="Picture 17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$3.19</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73" name="Picture 17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6.50%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74" name="Picture 17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75" name="Picture 17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76" name="Picture 17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77" name="Picture 17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78" name="Picture 17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79" name="Picture 17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80" name="Picture 18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81" name="Picture 18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82" name="Picture 18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83" name="Picture 18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$3.19</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84" name="Picture 18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$3.31</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185" name="Picture 18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7.00%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86" name="Picture 18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87" name="Picture 18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88" name="Picture 18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189" name="Picture 18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190" name="Picture 19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91" name="Picture 19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92" name="Picture 19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93" name="Picture 19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94" name="Picture 19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95" name="Picture 19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$3.31</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96" name="Picture 19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$3.43</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197" name="Picture 19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7.50%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198" name="Picture 19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199" name="Picture 19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00" name="Picture 20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01" name="Picture 20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02" name="Picture 20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03" name="Picture 20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04" name="Picture 20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05" name="Picture 20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06" name="Picture 20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07" name="Picture 20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$3.43</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208" name="Picture 20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$3.55</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209" name="Picture 20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8.00%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10" name="Picture 21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11" name="Picture 21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12" name="Picture 21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13" name="Picture 21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14" name="Picture 21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15" name="Picture 21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16" name="Picture 21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17" name="Picture 21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18" name="Picture 21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19" name="Picture 21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$3.55</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20" name="Picture 22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$3.67</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21" name="Picture 22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8.50%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22" name="Picture 22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23" name="Picture 22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24" name="Picture 22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25" name="Picture 22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26" name="Picture 22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27" name="Picture 22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28" name="Picture 22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29" name="Picture 22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30" name="Picture 23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31" name="Picture 23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$3.67</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232" name="Picture 23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$3.79</w:t>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9525"/>
                                    <wp:effectExtent l="0" t="0" r="0" b="0"/>
                                    <wp:docPr id="233" name="Picture 23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sidRPr="00CD4B36">
                                <w:t>9.00%</w:t>
                              </w:r>
                            </w:p>
                          </w:tc>
                        </w:tr>
                        <w:tr w:rsidR="001C68D0" w:rsidRPr="00CD4B36">
                          <w:trPr>
                            <w:tblCellSpacing w:w="0" w:type="dxa"/>
                          </w:trPr>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34" name="Picture 23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35" name="Picture 23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36" name="Picture 23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CCCCCC"/>
                              <w:vAlign w:val="center"/>
                              <w:hideMark/>
                            </w:tcPr>
                            <w:p w:rsidR="001C68D0" w:rsidRPr="00CD4B36" w:rsidRDefault="001C68D0" w:rsidP="001C68D0">
                              <w:pPr>
                                <w:pStyle w:val="NoSpacing"/>
                              </w:pPr>
                              <w:r>
                                <w:rPr>
                                  <w:noProof/>
                                </w:rPr>
                                <w:drawing>
                                  <wp:inline distT="0" distB="0" distL="0" distR="0">
                                    <wp:extent cx="9525" cy="38100"/>
                                    <wp:effectExtent l="0" t="0" r="0" b="0"/>
                                    <wp:docPr id="237" name="Picture 23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CCCCCC"/>
                              <w:hideMark/>
                            </w:tcPr>
                            <w:p w:rsidR="001C68D0" w:rsidRPr="00CD4B36" w:rsidRDefault="001C68D0" w:rsidP="001C68D0">
                              <w:pPr>
                                <w:pStyle w:val="NoSpacing"/>
                              </w:pPr>
                              <w:r>
                                <w:rPr>
                                  <w:noProof/>
                                </w:rPr>
                                <w:drawing>
                                  <wp:inline distT="0" distB="0" distL="0" distR="0">
                                    <wp:extent cx="9525" cy="9525"/>
                                    <wp:effectExtent l="0" t="0" r="0" b="0"/>
                                    <wp:docPr id="238" name="Picture 23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39" name="Picture 23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40" name="Picture 24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41" name="Picture 24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42" name="Picture 24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43" name="Picture 24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$3.79</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44" name="Picture 24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$3.91</w:t>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9525"/>
                                    <wp:effectExtent l="0" t="0" r="0" b="0"/>
                                    <wp:docPr id="245" name="Picture 245"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sidRPr="00CD4B36">
                                <w:t>9.50%</w:t>
                              </w:r>
                            </w:p>
                          </w:tc>
                        </w:tr>
                        <w:tr w:rsidR="001C68D0" w:rsidRPr="00CD4B36">
                          <w:trPr>
                            <w:tblCellSpacing w:w="0" w:type="dxa"/>
                          </w:trPr>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46" name="Picture 246"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47" name="Picture 247"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48" name="Picture 248"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5" w:type="dxa"/>
                              <w:tcBorders>
                                <w:top w:val="nil"/>
                                <w:left w:val="nil"/>
                                <w:bottom w:val="nil"/>
                                <w:right w:val="nil"/>
                              </w:tcBorders>
                              <w:shd w:val="clear" w:color="auto" w:fill="FFFFFF"/>
                              <w:vAlign w:val="center"/>
                              <w:hideMark/>
                            </w:tcPr>
                            <w:p w:rsidR="001C68D0" w:rsidRPr="00CD4B36" w:rsidRDefault="001C68D0" w:rsidP="001C68D0">
                              <w:pPr>
                                <w:pStyle w:val="NoSpacing"/>
                              </w:pPr>
                              <w:r>
                                <w:rPr>
                                  <w:noProof/>
                                </w:rPr>
                                <w:drawing>
                                  <wp:inline distT="0" distB="0" distL="0" distR="0">
                                    <wp:extent cx="9525" cy="38100"/>
                                    <wp:effectExtent l="0" t="0" r="0" b="0"/>
                                    <wp:docPr id="249" name="Picture 249"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ups.com/img/1.gif"/>
                                            <pic:cNvPicPr>
                                              <a:picLocks noChangeAspect="1" noChangeArrowheads="1"/>
                                            </pic:cNvPicPr>
                                          </pic:nvPicPr>
                                          <pic:blipFill>
                                            <a:blip r:embed="rId4" cstate="print"/>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hideMark/>
                            </w:tcPr>
                            <w:p w:rsidR="001C68D0" w:rsidRPr="00CD4B36" w:rsidRDefault="001C68D0" w:rsidP="001C68D0">
                              <w:pPr>
                                <w:pStyle w:val="NoSpacing"/>
                              </w:pPr>
                              <w:r>
                                <w:rPr>
                                  <w:noProof/>
                                </w:rPr>
                                <w:drawing>
                                  <wp:inline distT="0" distB="0" distL="0" distR="0">
                                    <wp:extent cx="9525" cy="9525"/>
                                    <wp:effectExtent l="0" t="0" r="0" b="0"/>
                                    <wp:docPr id="250" name="Picture 250"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ups.com/img/1.gif"/>
                                            <pic:cNvPicPr>
                                              <a:picLocks noChangeAspect="1" noChangeArrowheads="1"/>
                                            </pic:cNvPicPr>
                                          </pic:nvPicPr>
                                          <pic:blipFill>
                                            <a:blip r:embed="rId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c>
                  </w:tr>
                </w:tbl>
                <w:p w:rsidR="001C68D0" w:rsidRPr="00CD4B36" w:rsidRDefault="001C68D0" w:rsidP="001C68D0">
                  <w:pPr>
                    <w:pStyle w:val="NoSpacing"/>
                  </w:pPr>
                </w:p>
              </w:tc>
            </w:tr>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Pr>
                      <w:noProof/>
                    </w:rPr>
                    <w:lastRenderedPageBreak/>
                    <w:drawing>
                      <wp:inline distT="0" distB="0" distL="0" distR="0">
                        <wp:extent cx="9525" cy="95250"/>
                        <wp:effectExtent l="0" t="0" r="0" b="0"/>
                        <wp:docPr id="251" name="Picture 251"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ups.com/img/1.gif"/>
                                <pic:cNvPicPr>
                                  <a:picLocks noChangeAspect="1" noChangeArrowheads="1"/>
                                </pic:cNvPicPr>
                              </pic:nvPicPr>
                              <pic:blipFill>
                                <a:blip r:embed="rId4"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sidRPr="00CD4B36">
                    <w:t>Fuel surcharges percentages and thresholds are subject to change without prior notice. If the Fuel Surcharge rises above 9.50% or there are changes to the thresholds, the above table will be updated.</w:t>
                  </w:r>
                </w:p>
              </w:tc>
            </w:tr>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Pr>
                      <w:noProof/>
                    </w:rPr>
                    <w:drawing>
                      <wp:inline distT="0" distB="0" distL="0" distR="0">
                        <wp:extent cx="9525" cy="95250"/>
                        <wp:effectExtent l="0" t="0" r="0" b="0"/>
                        <wp:docPr id="252" name="Picture 252"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ups.com/img/1.gif"/>
                                <pic:cNvPicPr>
                                  <a:picLocks noChangeAspect="1" noChangeArrowheads="1"/>
                                </pic:cNvPicPr>
                              </pic:nvPicPr>
                              <pic:blipFill>
                                <a:blip r:embed="rId4"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sidRPr="00CD4B36">
                    <w:t>For the reported diesel fuel pricing information, please see the U.S. Department of Energy's National U.S. Average On Highway Diesel Fuel Prices.</w:t>
                  </w:r>
                </w:p>
              </w:tc>
            </w:tr>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Pr>
                      <w:noProof/>
                    </w:rPr>
                    <w:drawing>
                      <wp:inline distT="0" distB="0" distL="0" distR="0">
                        <wp:extent cx="9525" cy="95250"/>
                        <wp:effectExtent l="0" t="0" r="0" b="0"/>
                        <wp:docPr id="253" name="Picture 253"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ups.com/img/1.gif"/>
                                <pic:cNvPicPr>
                                  <a:picLocks noChangeAspect="1" noChangeArrowheads="1"/>
                                </pic:cNvPicPr>
                              </pic:nvPicPr>
                              <pic:blipFill>
                                <a:blip r:embed="rId4"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5A0E51" w:rsidP="001C68D0">
                  <w:pPr>
                    <w:pStyle w:val="NoSpacing"/>
                  </w:pPr>
                  <w:hyperlink r:id="rId16" w:history="1">
                    <w:r w:rsidR="001C68D0" w:rsidRPr="00CD4B36">
                      <w:t>Download the U.S. Department of Energy's National U.S. Average On-Highway Diesel Fuel Prices</w:t>
                    </w:r>
                    <w:r w:rsidR="001C68D0">
                      <w:rPr>
                        <w:noProof/>
                      </w:rPr>
                      <w:drawing>
                        <wp:inline distT="0" distB="0" distL="0" distR="0">
                          <wp:extent cx="114300" cy="85725"/>
                          <wp:effectExtent l="0" t="0" r="0" b="0"/>
                          <wp:docPr id="254" name="Picture 254" descr="http://www.ups.com/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ups.com/img/1.gif"/>
                                  <pic:cNvPicPr>
                                    <a:picLocks noChangeAspect="1" noChangeArrowheads="1"/>
                                  </pic:cNvPicPr>
                                </pic:nvPicPr>
                                <pic:blipFill>
                                  <a:blip r:embed="rId4"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hyperlink>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p>
              </w:tc>
            </w:tr>
          </w:tbl>
          <w:p w:rsidR="001C68D0" w:rsidRPr="00CD4B36" w:rsidRDefault="001C68D0" w:rsidP="001C68D0">
            <w:pPr>
              <w:pStyle w:val="NoSpacing"/>
            </w:pPr>
          </w:p>
          <w:tbl>
            <w:tblPr>
              <w:tblW w:w="5000" w:type="pct"/>
              <w:tblCellSpacing w:w="0" w:type="dxa"/>
              <w:tblCellMar>
                <w:left w:w="0" w:type="dxa"/>
                <w:right w:w="0" w:type="dxa"/>
              </w:tblCellMar>
              <w:tblLook w:val="04A0"/>
            </w:tblPr>
            <w:tblGrid>
              <w:gridCol w:w="8490"/>
            </w:tblGrid>
            <w:tr w:rsidR="001C68D0" w:rsidRPr="00CD4B36">
              <w:trPr>
                <w:tblCellSpacing w:w="0" w:type="dxa"/>
              </w:trPr>
              <w:tc>
                <w:tcPr>
                  <w:tcW w:w="0" w:type="auto"/>
                  <w:tcBorders>
                    <w:top w:val="nil"/>
                    <w:left w:val="nil"/>
                    <w:bottom w:val="nil"/>
                    <w:right w:val="nil"/>
                  </w:tcBorders>
                  <w:vAlign w:val="center"/>
                  <w:hideMark/>
                </w:tcPr>
                <w:p w:rsidR="001C68D0" w:rsidRPr="00CD4B36" w:rsidRDefault="001C68D0" w:rsidP="001C68D0">
                  <w:pPr>
                    <w:pStyle w:val="NoSpacing"/>
                  </w:pPr>
                  <w:r w:rsidRPr="00CD4B36">
                    <w:br/>
                    <w:t>If you click on the links above, you will leave UPS.com. UPS is not responsible for the content or information provided on those Web sites.</w:t>
                  </w:r>
                </w:p>
              </w:tc>
            </w:tr>
          </w:tbl>
          <w:p w:rsidR="001C68D0" w:rsidRPr="00CD4B36" w:rsidRDefault="001C68D0" w:rsidP="001C68D0">
            <w:pPr>
              <w:pStyle w:val="NoSpacing"/>
            </w:pPr>
          </w:p>
        </w:tc>
      </w:tr>
    </w:tbl>
    <w:p w:rsidR="0086539B" w:rsidRDefault="0086539B" w:rsidP="001C68D0">
      <w:pPr>
        <w:pStyle w:val="NoSpacing"/>
      </w:pPr>
    </w:p>
    <w:sectPr w:rsidR="0086539B" w:rsidSect="008653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8D0"/>
    <w:rsid w:val="001C68D0"/>
    <w:rsid w:val="00471345"/>
    <w:rsid w:val="005A0E51"/>
    <w:rsid w:val="007728FB"/>
    <w:rsid w:val="0086539B"/>
    <w:rsid w:val="00A274CE"/>
    <w:rsid w:val="00D71589"/>
    <w:rsid w:val="00E01410"/>
    <w:rsid w:val="00E5764F"/>
    <w:rsid w:val="00F06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410"/>
    <w:pPr>
      <w:spacing w:after="0" w:line="240" w:lineRule="auto"/>
    </w:pPr>
  </w:style>
  <w:style w:type="paragraph" w:styleId="ListParagraph">
    <w:name w:val="List Paragraph"/>
    <w:basedOn w:val="Normal"/>
    <w:uiPriority w:val="34"/>
    <w:qFormat/>
    <w:rsid w:val="00E01410"/>
    <w:pPr>
      <w:ind w:left="720"/>
      <w:contextualSpacing/>
    </w:pPr>
  </w:style>
  <w:style w:type="paragraph" w:styleId="BalloonText">
    <w:name w:val="Balloon Text"/>
    <w:basedOn w:val="Normal"/>
    <w:link w:val="BalloonTextChar"/>
    <w:uiPriority w:val="99"/>
    <w:semiHidden/>
    <w:unhideWhenUsed/>
    <w:rsid w:val="001C6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649574">
      <w:bodyDiv w:val="1"/>
      <w:marLeft w:val="0"/>
      <w:marRight w:val="0"/>
      <w:marTop w:val="0"/>
      <w:marBottom w:val="0"/>
      <w:divBdr>
        <w:top w:val="none" w:sz="0" w:space="0" w:color="auto"/>
        <w:left w:val="none" w:sz="0" w:space="0" w:color="auto"/>
        <w:bottom w:val="none" w:sz="0" w:space="0" w:color="auto"/>
        <w:right w:val="none" w:sz="0" w:space="0" w:color="auto"/>
      </w:divBdr>
      <w:divsChild>
        <w:div w:id="1955137796">
          <w:marLeft w:val="0"/>
          <w:marRight w:val="0"/>
          <w:marTop w:val="0"/>
          <w:marBottom w:val="0"/>
          <w:divBdr>
            <w:top w:val="none" w:sz="0" w:space="0" w:color="auto"/>
            <w:left w:val="none" w:sz="0" w:space="0" w:color="auto"/>
            <w:bottom w:val="none" w:sz="0" w:space="0" w:color="auto"/>
            <w:right w:val="none" w:sz="0" w:space="0" w:color="auto"/>
          </w:divBdr>
          <w:divsChild>
            <w:div w:id="1018854799">
              <w:marLeft w:val="0"/>
              <w:marRight w:val="0"/>
              <w:marTop w:val="0"/>
              <w:marBottom w:val="0"/>
              <w:divBdr>
                <w:top w:val="none" w:sz="0" w:space="0" w:color="auto"/>
                <w:left w:val="none" w:sz="0" w:space="0" w:color="auto"/>
                <w:bottom w:val="none" w:sz="0" w:space="0" w:color="auto"/>
                <w:right w:val="none" w:sz="0" w:space="0" w:color="auto"/>
              </w:divBdr>
              <w:divsChild>
                <w:div w:id="1204828179">
                  <w:marLeft w:val="0"/>
                  <w:marRight w:val="0"/>
                  <w:marTop w:val="0"/>
                  <w:marBottom w:val="0"/>
                  <w:divBdr>
                    <w:top w:val="none" w:sz="0" w:space="0" w:color="auto"/>
                    <w:left w:val="none" w:sz="0" w:space="0" w:color="auto"/>
                    <w:bottom w:val="none" w:sz="0" w:space="0" w:color="auto"/>
                    <w:right w:val="none" w:sz="0" w:space="0" w:color="auto"/>
                  </w:divBdr>
                </w:div>
                <w:div w:id="977489845">
                  <w:marLeft w:val="0"/>
                  <w:marRight w:val="0"/>
                  <w:marTop w:val="0"/>
                  <w:marBottom w:val="0"/>
                  <w:divBdr>
                    <w:top w:val="none" w:sz="0" w:space="0" w:color="auto"/>
                    <w:left w:val="none" w:sz="0" w:space="0" w:color="auto"/>
                    <w:bottom w:val="none" w:sz="0" w:space="0" w:color="auto"/>
                    <w:right w:val="none" w:sz="0" w:space="0" w:color="auto"/>
                  </w:divBdr>
                </w:div>
                <w:div w:id="1875384743">
                  <w:marLeft w:val="0"/>
                  <w:marRight w:val="0"/>
                  <w:marTop w:val="0"/>
                  <w:marBottom w:val="0"/>
                  <w:divBdr>
                    <w:top w:val="none" w:sz="0" w:space="0" w:color="auto"/>
                    <w:left w:val="none" w:sz="0" w:space="0" w:color="auto"/>
                    <w:bottom w:val="none" w:sz="0" w:space="0" w:color="auto"/>
                    <w:right w:val="none" w:sz="0" w:space="0" w:color="auto"/>
                  </w:divBdr>
                </w:div>
                <w:div w:id="414279935">
                  <w:marLeft w:val="0"/>
                  <w:marRight w:val="0"/>
                  <w:marTop w:val="0"/>
                  <w:marBottom w:val="0"/>
                  <w:divBdr>
                    <w:top w:val="none" w:sz="0" w:space="0" w:color="auto"/>
                    <w:left w:val="none" w:sz="0" w:space="0" w:color="auto"/>
                    <w:bottom w:val="none" w:sz="0" w:space="0" w:color="auto"/>
                    <w:right w:val="none" w:sz="0" w:space="0" w:color="auto"/>
                  </w:divBdr>
                </w:div>
                <w:div w:id="839614312">
                  <w:marLeft w:val="0"/>
                  <w:marRight w:val="0"/>
                  <w:marTop w:val="0"/>
                  <w:marBottom w:val="0"/>
                  <w:divBdr>
                    <w:top w:val="none" w:sz="0" w:space="0" w:color="auto"/>
                    <w:left w:val="none" w:sz="0" w:space="0" w:color="auto"/>
                    <w:bottom w:val="none" w:sz="0" w:space="0" w:color="auto"/>
                    <w:right w:val="none" w:sz="0" w:space="0" w:color="auto"/>
                  </w:divBdr>
                </w:div>
                <w:div w:id="1963730434">
                  <w:marLeft w:val="0"/>
                  <w:marRight w:val="0"/>
                  <w:marTop w:val="0"/>
                  <w:marBottom w:val="0"/>
                  <w:divBdr>
                    <w:top w:val="none" w:sz="0" w:space="0" w:color="auto"/>
                    <w:left w:val="none" w:sz="0" w:space="0" w:color="auto"/>
                    <w:bottom w:val="none" w:sz="0" w:space="0" w:color="auto"/>
                    <w:right w:val="none" w:sz="0" w:space="0" w:color="auto"/>
                  </w:divBdr>
                </w:div>
                <w:div w:id="1033266816">
                  <w:marLeft w:val="0"/>
                  <w:marRight w:val="0"/>
                  <w:marTop w:val="0"/>
                  <w:marBottom w:val="0"/>
                  <w:divBdr>
                    <w:top w:val="none" w:sz="0" w:space="0" w:color="auto"/>
                    <w:left w:val="none" w:sz="0" w:space="0" w:color="auto"/>
                    <w:bottom w:val="none" w:sz="0" w:space="0" w:color="auto"/>
                    <w:right w:val="none" w:sz="0" w:space="0" w:color="auto"/>
                  </w:divBdr>
                </w:div>
                <w:div w:id="1501314180">
                  <w:marLeft w:val="0"/>
                  <w:marRight w:val="0"/>
                  <w:marTop w:val="0"/>
                  <w:marBottom w:val="0"/>
                  <w:divBdr>
                    <w:top w:val="none" w:sz="0" w:space="0" w:color="auto"/>
                    <w:left w:val="none" w:sz="0" w:space="0" w:color="auto"/>
                    <w:bottom w:val="none" w:sz="0" w:space="0" w:color="auto"/>
                    <w:right w:val="none" w:sz="0" w:space="0" w:color="auto"/>
                  </w:divBdr>
                </w:div>
                <w:div w:id="789783865">
                  <w:marLeft w:val="0"/>
                  <w:marRight w:val="0"/>
                  <w:marTop w:val="0"/>
                  <w:marBottom w:val="0"/>
                  <w:divBdr>
                    <w:top w:val="none" w:sz="0" w:space="0" w:color="auto"/>
                    <w:left w:val="none" w:sz="0" w:space="0" w:color="auto"/>
                    <w:bottom w:val="none" w:sz="0" w:space="0" w:color="auto"/>
                    <w:right w:val="none" w:sz="0" w:space="0" w:color="auto"/>
                  </w:divBdr>
                </w:div>
                <w:div w:id="499590086">
                  <w:marLeft w:val="0"/>
                  <w:marRight w:val="0"/>
                  <w:marTop w:val="0"/>
                  <w:marBottom w:val="0"/>
                  <w:divBdr>
                    <w:top w:val="none" w:sz="0" w:space="0" w:color="auto"/>
                    <w:left w:val="none" w:sz="0" w:space="0" w:color="auto"/>
                    <w:bottom w:val="none" w:sz="0" w:space="0" w:color="auto"/>
                    <w:right w:val="none" w:sz="0" w:space="0" w:color="auto"/>
                  </w:divBdr>
                </w:div>
                <w:div w:id="1923948240">
                  <w:marLeft w:val="0"/>
                  <w:marRight w:val="0"/>
                  <w:marTop w:val="0"/>
                  <w:marBottom w:val="0"/>
                  <w:divBdr>
                    <w:top w:val="none" w:sz="0" w:space="0" w:color="auto"/>
                    <w:left w:val="none" w:sz="0" w:space="0" w:color="auto"/>
                    <w:bottom w:val="none" w:sz="0" w:space="0" w:color="auto"/>
                    <w:right w:val="none" w:sz="0" w:space="0" w:color="auto"/>
                  </w:divBdr>
                </w:div>
                <w:div w:id="827329724">
                  <w:marLeft w:val="0"/>
                  <w:marRight w:val="0"/>
                  <w:marTop w:val="0"/>
                  <w:marBottom w:val="0"/>
                  <w:divBdr>
                    <w:top w:val="none" w:sz="0" w:space="0" w:color="auto"/>
                    <w:left w:val="none" w:sz="0" w:space="0" w:color="auto"/>
                    <w:bottom w:val="none" w:sz="0" w:space="0" w:color="auto"/>
                    <w:right w:val="none" w:sz="0" w:space="0" w:color="auto"/>
                  </w:divBdr>
                </w:div>
                <w:div w:id="244189208">
                  <w:marLeft w:val="0"/>
                  <w:marRight w:val="0"/>
                  <w:marTop w:val="0"/>
                  <w:marBottom w:val="0"/>
                  <w:divBdr>
                    <w:top w:val="none" w:sz="0" w:space="0" w:color="auto"/>
                    <w:left w:val="none" w:sz="0" w:space="0" w:color="auto"/>
                    <w:bottom w:val="none" w:sz="0" w:space="0" w:color="auto"/>
                    <w:right w:val="none" w:sz="0" w:space="0" w:color="auto"/>
                  </w:divBdr>
                </w:div>
                <w:div w:id="2060206251">
                  <w:marLeft w:val="0"/>
                  <w:marRight w:val="0"/>
                  <w:marTop w:val="0"/>
                  <w:marBottom w:val="0"/>
                  <w:divBdr>
                    <w:top w:val="none" w:sz="0" w:space="0" w:color="auto"/>
                    <w:left w:val="none" w:sz="0" w:space="0" w:color="auto"/>
                    <w:bottom w:val="none" w:sz="0" w:space="0" w:color="auto"/>
                    <w:right w:val="none" w:sz="0" w:space="0" w:color="auto"/>
                  </w:divBdr>
                </w:div>
                <w:div w:id="106968874">
                  <w:marLeft w:val="0"/>
                  <w:marRight w:val="0"/>
                  <w:marTop w:val="0"/>
                  <w:marBottom w:val="0"/>
                  <w:divBdr>
                    <w:top w:val="none" w:sz="0" w:space="0" w:color="auto"/>
                    <w:left w:val="none" w:sz="0" w:space="0" w:color="auto"/>
                    <w:bottom w:val="none" w:sz="0" w:space="0" w:color="auto"/>
                    <w:right w:val="none" w:sz="0" w:space="0" w:color="auto"/>
                  </w:divBdr>
                </w:div>
                <w:div w:id="1602033672">
                  <w:marLeft w:val="0"/>
                  <w:marRight w:val="0"/>
                  <w:marTop w:val="0"/>
                  <w:marBottom w:val="0"/>
                  <w:divBdr>
                    <w:top w:val="none" w:sz="0" w:space="0" w:color="auto"/>
                    <w:left w:val="none" w:sz="0" w:space="0" w:color="auto"/>
                    <w:bottom w:val="none" w:sz="0" w:space="0" w:color="auto"/>
                    <w:right w:val="none" w:sz="0" w:space="0" w:color="auto"/>
                  </w:divBdr>
                </w:div>
                <w:div w:id="10880083">
                  <w:marLeft w:val="0"/>
                  <w:marRight w:val="0"/>
                  <w:marTop w:val="0"/>
                  <w:marBottom w:val="0"/>
                  <w:divBdr>
                    <w:top w:val="none" w:sz="0" w:space="0" w:color="auto"/>
                    <w:left w:val="none" w:sz="0" w:space="0" w:color="auto"/>
                    <w:bottom w:val="none" w:sz="0" w:space="0" w:color="auto"/>
                    <w:right w:val="none" w:sz="0" w:space="0" w:color="auto"/>
                  </w:divBdr>
                </w:div>
                <w:div w:id="1707440091">
                  <w:marLeft w:val="0"/>
                  <w:marRight w:val="0"/>
                  <w:marTop w:val="0"/>
                  <w:marBottom w:val="0"/>
                  <w:divBdr>
                    <w:top w:val="none" w:sz="0" w:space="0" w:color="auto"/>
                    <w:left w:val="none" w:sz="0" w:space="0" w:color="auto"/>
                    <w:bottom w:val="none" w:sz="0" w:space="0" w:color="auto"/>
                    <w:right w:val="none" w:sz="0" w:space="0" w:color="auto"/>
                  </w:divBdr>
                </w:div>
                <w:div w:id="756514215">
                  <w:marLeft w:val="0"/>
                  <w:marRight w:val="0"/>
                  <w:marTop w:val="0"/>
                  <w:marBottom w:val="0"/>
                  <w:divBdr>
                    <w:top w:val="none" w:sz="0" w:space="0" w:color="auto"/>
                    <w:left w:val="none" w:sz="0" w:space="0" w:color="auto"/>
                    <w:bottom w:val="none" w:sz="0" w:space="0" w:color="auto"/>
                    <w:right w:val="none" w:sz="0" w:space="0" w:color="auto"/>
                  </w:divBdr>
                </w:div>
                <w:div w:id="338044311">
                  <w:marLeft w:val="0"/>
                  <w:marRight w:val="0"/>
                  <w:marTop w:val="0"/>
                  <w:marBottom w:val="0"/>
                  <w:divBdr>
                    <w:top w:val="none" w:sz="0" w:space="0" w:color="auto"/>
                    <w:left w:val="none" w:sz="0" w:space="0" w:color="auto"/>
                    <w:bottom w:val="none" w:sz="0" w:space="0" w:color="auto"/>
                    <w:right w:val="none" w:sz="0" w:space="0" w:color="auto"/>
                  </w:divBdr>
                </w:div>
                <w:div w:id="433131746">
                  <w:marLeft w:val="0"/>
                  <w:marRight w:val="0"/>
                  <w:marTop w:val="0"/>
                  <w:marBottom w:val="0"/>
                  <w:divBdr>
                    <w:top w:val="none" w:sz="0" w:space="0" w:color="auto"/>
                    <w:left w:val="none" w:sz="0" w:space="0" w:color="auto"/>
                    <w:bottom w:val="none" w:sz="0" w:space="0" w:color="auto"/>
                    <w:right w:val="none" w:sz="0" w:space="0" w:color="auto"/>
                  </w:divBdr>
                </w:div>
                <w:div w:id="1231311911">
                  <w:marLeft w:val="0"/>
                  <w:marRight w:val="0"/>
                  <w:marTop w:val="0"/>
                  <w:marBottom w:val="0"/>
                  <w:divBdr>
                    <w:top w:val="none" w:sz="0" w:space="0" w:color="auto"/>
                    <w:left w:val="none" w:sz="0" w:space="0" w:color="auto"/>
                    <w:bottom w:val="none" w:sz="0" w:space="0" w:color="auto"/>
                    <w:right w:val="none" w:sz="0" w:space="0" w:color="auto"/>
                  </w:divBdr>
                </w:div>
                <w:div w:id="1802457442">
                  <w:marLeft w:val="0"/>
                  <w:marRight w:val="0"/>
                  <w:marTop w:val="0"/>
                  <w:marBottom w:val="0"/>
                  <w:divBdr>
                    <w:top w:val="none" w:sz="0" w:space="0" w:color="auto"/>
                    <w:left w:val="none" w:sz="0" w:space="0" w:color="auto"/>
                    <w:bottom w:val="none" w:sz="0" w:space="0" w:color="auto"/>
                    <w:right w:val="none" w:sz="0" w:space="0" w:color="auto"/>
                  </w:divBdr>
                </w:div>
                <w:div w:id="1050037557">
                  <w:marLeft w:val="0"/>
                  <w:marRight w:val="0"/>
                  <w:marTop w:val="0"/>
                  <w:marBottom w:val="0"/>
                  <w:divBdr>
                    <w:top w:val="none" w:sz="0" w:space="0" w:color="auto"/>
                    <w:left w:val="none" w:sz="0" w:space="0" w:color="auto"/>
                    <w:bottom w:val="none" w:sz="0" w:space="0" w:color="auto"/>
                    <w:right w:val="none" w:sz="0" w:space="0" w:color="auto"/>
                  </w:divBdr>
                </w:div>
                <w:div w:id="80488723">
                  <w:marLeft w:val="0"/>
                  <w:marRight w:val="0"/>
                  <w:marTop w:val="0"/>
                  <w:marBottom w:val="0"/>
                  <w:divBdr>
                    <w:top w:val="none" w:sz="0" w:space="0" w:color="auto"/>
                    <w:left w:val="none" w:sz="0" w:space="0" w:color="auto"/>
                    <w:bottom w:val="none" w:sz="0" w:space="0" w:color="auto"/>
                    <w:right w:val="none" w:sz="0" w:space="0" w:color="auto"/>
                  </w:divBdr>
                </w:div>
                <w:div w:id="1258248708">
                  <w:marLeft w:val="0"/>
                  <w:marRight w:val="0"/>
                  <w:marTop w:val="0"/>
                  <w:marBottom w:val="0"/>
                  <w:divBdr>
                    <w:top w:val="none" w:sz="0" w:space="0" w:color="auto"/>
                    <w:left w:val="none" w:sz="0" w:space="0" w:color="auto"/>
                    <w:bottom w:val="none" w:sz="0" w:space="0" w:color="auto"/>
                    <w:right w:val="none" w:sz="0" w:space="0" w:color="auto"/>
                  </w:divBdr>
                </w:div>
                <w:div w:id="2118479829">
                  <w:marLeft w:val="0"/>
                  <w:marRight w:val="0"/>
                  <w:marTop w:val="0"/>
                  <w:marBottom w:val="0"/>
                  <w:divBdr>
                    <w:top w:val="none" w:sz="0" w:space="0" w:color="auto"/>
                    <w:left w:val="none" w:sz="0" w:space="0" w:color="auto"/>
                    <w:bottom w:val="none" w:sz="0" w:space="0" w:color="auto"/>
                    <w:right w:val="none" w:sz="0" w:space="0" w:color="auto"/>
                  </w:divBdr>
                </w:div>
                <w:div w:id="1919055762">
                  <w:marLeft w:val="0"/>
                  <w:marRight w:val="0"/>
                  <w:marTop w:val="0"/>
                  <w:marBottom w:val="0"/>
                  <w:divBdr>
                    <w:top w:val="none" w:sz="0" w:space="0" w:color="auto"/>
                    <w:left w:val="none" w:sz="0" w:space="0" w:color="auto"/>
                    <w:bottom w:val="none" w:sz="0" w:space="0" w:color="auto"/>
                    <w:right w:val="none" w:sz="0" w:space="0" w:color="auto"/>
                  </w:divBdr>
                </w:div>
                <w:div w:id="888421655">
                  <w:marLeft w:val="0"/>
                  <w:marRight w:val="0"/>
                  <w:marTop w:val="0"/>
                  <w:marBottom w:val="0"/>
                  <w:divBdr>
                    <w:top w:val="none" w:sz="0" w:space="0" w:color="auto"/>
                    <w:left w:val="none" w:sz="0" w:space="0" w:color="auto"/>
                    <w:bottom w:val="none" w:sz="0" w:space="0" w:color="auto"/>
                    <w:right w:val="none" w:sz="0" w:space="0" w:color="auto"/>
                  </w:divBdr>
                </w:div>
                <w:div w:id="713314396">
                  <w:marLeft w:val="0"/>
                  <w:marRight w:val="0"/>
                  <w:marTop w:val="0"/>
                  <w:marBottom w:val="0"/>
                  <w:divBdr>
                    <w:top w:val="none" w:sz="0" w:space="0" w:color="auto"/>
                    <w:left w:val="none" w:sz="0" w:space="0" w:color="auto"/>
                    <w:bottom w:val="none" w:sz="0" w:space="0" w:color="auto"/>
                    <w:right w:val="none" w:sz="0" w:space="0" w:color="auto"/>
                  </w:divBdr>
                </w:div>
                <w:div w:id="1771897281">
                  <w:marLeft w:val="0"/>
                  <w:marRight w:val="0"/>
                  <w:marTop w:val="0"/>
                  <w:marBottom w:val="0"/>
                  <w:divBdr>
                    <w:top w:val="none" w:sz="0" w:space="0" w:color="auto"/>
                    <w:left w:val="none" w:sz="0" w:space="0" w:color="auto"/>
                    <w:bottom w:val="none" w:sz="0" w:space="0" w:color="auto"/>
                    <w:right w:val="none" w:sz="0" w:space="0" w:color="auto"/>
                  </w:divBdr>
                </w:div>
                <w:div w:id="1111129200">
                  <w:marLeft w:val="0"/>
                  <w:marRight w:val="0"/>
                  <w:marTop w:val="0"/>
                  <w:marBottom w:val="0"/>
                  <w:divBdr>
                    <w:top w:val="none" w:sz="0" w:space="0" w:color="auto"/>
                    <w:left w:val="none" w:sz="0" w:space="0" w:color="auto"/>
                    <w:bottom w:val="none" w:sz="0" w:space="0" w:color="auto"/>
                    <w:right w:val="none" w:sz="0" w:space="0" w:color="auto"/>
                  </w:divBdr>
                </w:div>
                <w:div w:id="2029982409">
                  <w:marLeft w:val="0"/>
                  <w:marRight w:val="0"/>
                  <w:marTop w:val="0"/>
                  <w:marBottom w:val="0"/>
                  <w:divBdr>
                    <w:top w:val="none" w:sz="0" w:space="0" w:color="auto"/>
                    <w:left w:val="none" w:sz="0" w:space="0" w:color="auto"/>
                    <w:bottom w:val="none" w:sz="0" w:space="0" w:color="auto"/>
                    <w:right w:val="none" w:sz="0" w:space="0" w:color="auto"/>
                  </w:divBdr>
                </w:div>
                <w:div w:id="598409352">
                  <w:marLeft w:val="0"/>
                  <w:marRight w:val="0"/>
                  <w:marTop w:val="0"/>
                  <w:marBottom w:val="0"/>
                  <w:divBdr>
                    <w:top w:val="none" w:sz="0" w:space="0" w:color="auto"/>
                    <w:left w:val="none" w:sz="0" w:space="0" w:color="auto"/>
                    <w:bottom w:val="none" w:sz="0" w:space="0" w:color="auto"/>
                    <w:right w:val="none" w:sz="0" w:space="0" w:color="auto"/>
                  </w:divBdr>
                </w:div>
                <w:div w:id="1507551575">
                  <w:marLeft w:val="0"/>
                  <w:marRight w:val="0"/>
                  <w:marTop w:val="0"/>
                  <w:marBottom w:val="0"/>
                  <w:divBdr>
                    <w:top w:val="none" w:sz="0" w:space="0" w:color="auto"/>
                    <w:left w:val="none" w:sz="0" w:space="0" w:color="auto"/>
                    <w:bottom w:val="none" w:sz="0" w:space="0" w:color="auto"/>
                    <w:right w:val="none" w:sz="0" w:space="0" w:color="auto"/>
                  </w:divBdr>
                </w:div>
                <w:div w:id="1520045555">
                  <w:marLeft w:val="0"/>
                  <w:marRight w:val="0"/>
                  <w:marTop w:val="0"/>
                  <w:marBottom w:val="0"/>
                  <w:divBdr>
                    <w:top w:val="none" w:sz="0" w:space="0" w:color="auto"/>
                    <w:left w:val="none" w:sz="0" w:space="0" w:color="auto"/>
                    <w:bottom w:val="none" w:sz="0" w:space="0" w:color="auto"/>
                    <w:right w:val="none" w:sz="0" w:space="0" w:color="auto"/>
                  </w:divBdr>
                </w:div>
                <w:div w:id="786778787">
                  <w:marLeft w:val="0"/>
                  <w:marRight w:val="0"/>
                  <w:marTop w:val="0"/>
                  <w:marBottom w:val="0"/>
                  <w:divBdr>
                    <w:top w:val="none" w:sz="0" w:space="0" w:color="auto"/>
                    <w:left w:val="none" w:sz="0" w:space="0" w:color="auto"/>
                    <w:bottom w:val="none" w:sz="0" w:space="0" w:color="auto"/>
                    <w:right w:val="none" w:sz="0" w:space="0" w:color="auto"/>
                  </w:divBdr>
                </w:div>
                <w:div w:id="1993831786">
                  <w:marLeft w:val="0"/>
                  <w:marRight w:val="0"/>
                  <w:marTop w:val="0"/>
                  <w:marBottom w:val="0"/>
                  <w:divBdr>
                    <w:top w:val="none" w:sz="0" w:space="0" w:color="auto"/>
                    <w:left w:val="none" w:sz="0" w:space="0" w:color="auto"/>
                    <w:bottom w:val="none" w:sz="0" w:space="0" w:color="auto"/>
                    <w:right w:val="none" w:sz="0" w:space="0" w:color="auto"/>
                  </w:divBdr>
                </w:div>
                <w:div w:id="257642594">
                  <w:marLeft w:val="0"/>
                  <w:marRight w:val="0"/>
                  <w:marTop w:val="0"/>
                  <w:marBottom w:val="0"/>
                  <w:divBdr>
                    <w:top w:val="none" w:sz="0" w:space="0" w:color="auto"/>
                    <w:left w:val="none" w:sz="0" w:space="0" w:color="auto"/>
                    <w:bottom w:val="none" w:sz="0" w:space="0" w:color="auto"/>
                    <w:right w:val="none" w:sz="0" w:space="0" w:color="auto"/>
                  </w:divBdr>
                </w:div>
                <w:div w:id="1473406176">
                  <w:marLeft w:val="0"/>
                  <w:marRight w:val="0"/>
                  <w:marTop w:val="0"/>
                  <w:marBottom w:val="0"/>
                  <w:divBdr>
                    <w:top w:val="none" w:sz="0" w:space="0" w:color="auto"/>
                    <w:left w:val="none" w:sz="0" w:space="0" w:color="auto"/>
                    <w:bottom w:val="none" w:sz="0" w:space="0" w:color="auto"/>
                    <w:right w:val="none" w:sz="0" w:space="0" w:color="auto"/>
                  </w:divBdr>
                </w:div>
                <w:div w:id="91362631">
                  <w:marLeft w:val="0"/>
                  <w:marRight w:val="0"/>
                  <w:marTop w:val="0"/>
                  <w:marBottom w:val="0"/>
                  <w:divBdr>
                    <w:top w:val="none" w:sz="0" w:space="0" w:color="auto"/>
                    <w:left w:val="none" w:sz="0" w:space="0" w:color="auto"/>
                    <w:bottom w:val="none" w:sz="0" w:space="0" w:color="auto"/>
                    <w:right w:val="none" w:sz="0" w:space="0" w:color="auto"/>
                  </w:divBdr>
                </w:div>
                <w:div w:id="1088311287">
                  <w:marLeft w:val="0"/>
                  <w:marRight w:val="0"/>
                  <w:marTop w:val="0"/>
                  <w:marBottom w:val="0"/>
                  <w:divBdr>
                    <w:top w:val="none" w:sz="0" w:space="0" w:color="auto"/>
                    <w:left w:val="none" w:sz="0" w:space="0" w:color="auto"/>
                    <w:bottom w:val="none" w:sz="0" w:space="0" w:color="auto"/>
                    <w:right w:val="none" w:sz="0" w:space="0" w:color="auto"/>
                  </w:divBdr>
                </w:div>
                <w:div w:id="1184901185">
                  <w:marLeft w:val="0"/>
                  <w:marRight w:val="0"/>
                  <w:marTop w:val="0"/>
                  <w:marBottom w:val="0"/>
                  <w:divBdr>
                    <w:top w:val="none" w:sz="0" w:space="0" w:color="auto"/>
                    <w:left w:val="none" w:sz="0" w:space="0" w:color="auto"/>
                    <w:bottom w:val="none" w:sz="0" w:space="0" w:color="auto"/>
                    <w:right w:val="none" w:sz="0" w:space="0" w:color="auto"/>
                  </w:divBdr>
                </w:div>
                <w:div w:id="1790541083">
                  <w:marLeft w:val="0"/>
                  <w:marRight w:val="0"/>
                  <w:marTop w:val="0"/>
                  <w:marBottom w:val="0"/>
                  <w:divBdr>
                    <w:top w:val="none" w:sz="0" w:space="0" w:color="auto"/>
                    <w:left w:val="none" w:sz="0" w:space="0" w:color="auto"/>
                    <w:bottom w:val="none" w:sz="0" w:space="0" w:color="auto"/>
                    <w:right w:val="none" w:sz="0" w:space="0" w:color="auto"/>
                  </w:divBdr>
                </w:div>
                <w:div w:id="299649419">
                  <w:marLeft w:val="0"/>
                  <w:marRight w:val="0"/>
                  <w:marTop w:val="0"/>
                  <w:marBottom w:val="0"/>
                  <w:divBdr>
                    <w:top w:val="none" w:sz="0" w:space="0" w:color="auto"/>
                    <w:left w:val="none" w:sz="0" w:space="0" w:color="auto"/>
                    <w:bottom w:val="none" w:sz="0" w:space="0" w:color="auto"/>
                    <w:right w:val="none" w:sz="0" w:space="0" w:color="auto"/>
                  </w:divBdr>
                </w:div>
                <w:div w:id="1857234126">
                  <w:marLeft w:val="0"/>
                  <w:marRight w:val="0"/>
                  <w:marTop w:val="0"/>
                  <w:marBottom w:val="0"/>
                  <w:divBdr>
                    <w:top w:val="none" w:sz="0" w:space="0" w:color="auto"/>
                    <w:left w:val="none" w:sz="0" w:space="0" w:color="auto"/>
                    <w:bottom w:val="none" w:sz="0" w:space="0" w:color="auto"/>
                    <w:right w:val="none" w:sz="0" w:space="0" w:color="auto"/>
                  </w:divBdr>
                </w:div>
                <w:div w:id="1786694">
                  <w:marLeft w:val="0"/>
                  <w:marRight w:val="0"/>
                  <w:marTop w:val="0"/>
                  <w:marBottom w:val="0"/>
                  <w:divBdr>
                    <w:top w:val="none" w:sz="0" w:space="0" w:color="auto"/>
                    <w:left w:val="none" w:sz="0" w:space="0" w:color="auto"/>
                    <w:bottom w:val="none" w:sz="0" w:space="0" w:color="auto"/>
                    <w:right w:val="none" w:sz="0" w:space="0" w:color="auto"/>
                  </w:divBdr>
                </w:div>
                <w:div w:id="2125074708">
                  <w:marLeft w:val="0"/>
                  <w:marRight w:val="0"/>
                  <w:marTop w:val="0"/>
                  <w:marBottom w:val="0"/>
                  <w:divBdr>
                    <w:top w:val="none" w:sz="0" w:space="0" w:color="auto"/>
                    <w:left w:val="none" w:sz="0" w:space="0" w:color="auto"/>
                    <w:bottom w:val="none" w:sz="0" w:space="0" w:color="auto"/>
                    <w:right w:val="none" w:sz="0" w:space="0" w:color="auto"/>
                  </w:divBdr>
                </w:div>
                <w:div w:id="1057241204">
                  <w:marLeft w:val="0"/>
                  <w:marRight w:val="0"/>
                  <w:marTop w:val="0"/>
                  <w:marBottom w:val="0"/>
                  <w:divBdr>
                    <w:top w:val="none" w:sz="0" w:space="0" w:color="auto"/>
                    <w:left w:val="none" w:sz="0" w:space="0" w:color="auto"/>
                    <w:bottom w:val="none" w:sz="0" w:space="0" w:color="auto"/>
                    <w:right w:val="none" w:sz="0" w:space="0" w:color="auto"/>
                  </w:divBdr>
                </w:div>
                <w:div w:id="1345933379">
                  <w:marLeft w:val="0"/>
                  <w:marRight w:val="0"/>
                  <w:marTop w:val="0"/>
                  <w:marBottom w:val="0"/>
                  <w:divBdr>
                    <w:top w:val="none" w:sz="0" w:space="0" w:color="auto"/>
                    <w:left w:val="none" w:sz="0" w:space="0" w:color="auto"/>
                    <w:bottom w:val="none" w:sz="0" w:space="0" w:color="auto"/>
                    <w:right w:val="none" w:sz="0" w:space="0" w:color="auto"/>
                  </w:divBdr>
                </w:div>
                <w:div w:id="661813180">
                  <w:marLeft w:val="0"/>
                  <w:marRight w:val="0"/>
                  <w:marTop w:val="0"/>
                  <w:marBottom w:val="0"/>
                  <w:divBdr>
                    <w:top w:val="none" w:sz="0" w:space="0" w:color="auto"/>
                    <w:left w:val="none" w:sz="0" w:space="0" w:color="auto"/>
                    <w:bottom w:val="none" w:sz="0" w:space="0" w:color="auto"/>
                    <w:right w:val="none" w:sz="0" w:space="0" w:color="auto"/>
                  </w:divBdr>
                </w:div>
                <w:div w:id="453984368">
                  <w:marLeft w:val="0"/>
                  <w:marRight w:val="0"/>
                  <w:marTop w:val="0"/>
                  <w:marBottom w:val="0"/>
                  <w:divBdr>
                    <w:top w:val="none" w:sz="0" w:space="0" w:color="auto"/>
                    <w:left w:val="none" w:sz="0" w:space="0" w:color="auto"/>
                    <w:bottom w:val="none" w:sz="0" w:space="0" w:color="auto"/>
                    <w:right w:val="none" w:sz="0" w:space="0" w:color="auto"/>
                  </w:divBdr>
                </w:div>
                <w:div w:id="718479884">
                  <w:marLeft w:val="0"/>
                  <w:marRight w:val="0"/>
                  <w:marTop w:val="0"/>
                  <w:marBottom w:val="0"/>
                  <w:divBdr>
                    <w:top w:val="none" w:sz="0" w:space="0" w:color="auto"/>
                    <w:left w:val="none" w:sz="0" w:space="0" w:color="auto"/>
                    <w:bottom w:val="none" w:sz="0" w:space="0" w:color="auto"/>
                    <w:right w:val="none" w:sz="0" w:space="0" w:color="auto"/>
                  </w:divBdr>
                </w:div>
                <w:div w:id="651566794">
                  <w:marLeft w:val="0"/>
                  <w:marRight w:val="0"/>
                  <w:marTop w:val="0"/>
                  <w:marBottom w:val="0"/>
                  <w:divBdr>
                    <w:top w:val="none" w:sz="0" w:space="0" w:color="auto"/>
                    <w:left w:val="none" w:sz="0" w:space="0" w:color="auto"/>
                    <w:bottom w:val="none" w:sz="0" w:space="0" w:color="auto"/>
                    <w:right w:val="none" w:sz="0" w:space="0" w:color="auto"/>
                  </w:divBdr>
                </w:div>
                <w:div w:id="1223172702">
                  <w:marLeft w:val="0"/>
                  <w:marRight w:val="0"/>
                  <w:marTop w:val="0"/>
                  <w:marBottom w:val="0"/>
                  <w:divBdr>
                    <w:top w:val="none" w:sz="0" w:space="0" w:color="auto"/>
                    <w:left w:val="none" w:sz="0" w:space="0" w:color="auto"/>
                    <w:bottom w:val="none" w:sz="0" w:space="0" w:color="auto"/>
                    <w:right w:val="none" w:sz="0" w:space="0" w:color="auto"/>
                  </w:divBdr>
                </w:div>
                <w:div w:id="5447154">
                  <w:marLeft w:val="0"/>
                  <w:marRight w:val="0"/>
                  <w:marTop w:val="0"/>
                  <w:marBottom w:val="0"/>
                  <w:divBdr>
                    <w:top w:val="none" w:sz="0" w:space="0" w:color="auto"/>
                    <w:left w:val="none" w:sz="0" w:space="0" w:color="auto"/>
                    <w:bottom w:val="none" w:sz="0" w:space="0" w:color="auto"/>
                    <w:right w:val="none" w:sz="0" w:space="0" w:color="auto"/>
                  </w:divBdr>
                </w:div>
                <w:div w:id="1464688183">
                  <w:marLeft w:val="0"/>
                  <w:marRight w:val="0"/>
                  <w:marTop w:val="0"/>
                  <w:marBottom w:val="0"/>
                  <w:divBdr>
                    <w:top w:val="none" w:sz="0" w:space="0" w:color="auto"/>
                    <w:left w:val="none" w:sz="0" w:space="0" w:color="auto"/>
                    <w:bottom w:val="none" w:sz="0" w:space="0" w:color="auto"/>
                    <w:right w:val="none" w:sz="0" w:space="0" w:color="auto"/>
                  </w:divBdr>
                </w:div>
                <w:div w:id="1990743774">
                  <w:marLeft w:val="0"/>
                  <w:marRight w:val="0"/>
                  <w:marTop w:val="0"/>
                  <w:marBottom w:val="0"/>
                  <w:divBdr>
                    <w:top w:val="none" w:sz="0" w:space="0" w:color="auto"/>
                    <w:left w:val="none" w:sz="0" w:space="0" w:color="auto"/>
                    <w:bottom w:val="none" w:sz="0" w:space="0" w:color="auto"/>
                    <w:right w:val="none" w:sz="0" w:space="0" w:color="auto"/>
                  </w:divBdr>
                </w:div>
                <w:div w:id="547764501">
                  <w:marLeft w:val="0"/>
                  <w:marRight w:val="0"/>
                  <w:marTop w:val="0"/>
                  <w:marBottom w:val="0"/>
                  <w:divBdr>
                    <w:top w:val="none" w:sz="0" w:space="0" w:color="auto"/>
                    <w:left w:val="none" w:sz="0" w:space="0" w:color="auto"/>
                    <w:bottom w:val="none" w:sz="0" w:space="0" w:color="auto"/>
                    <w:right w:val="none" w:sz="0" w:space="0" w:color="auto"/>
                  </w:divBdr>
                </w:div>
                <w:div w:id="1909265369">
                  <w:marLeft w:val="0"/>
                  <w:marRight w:val="0"/>
                  <w:marTop w:val="0"/>
                  <w:marBottom w:val="0"/>
                  <w:divBdr>
                    <w:top w:val="none" w:sz="0" w:space="0" w:color="auto"/>
                    <w:left w:val="none" w:sz="0" w:space="0" w:color="auto"/>
                    <w:bottom w:val="none" w:sz="0" w:space="0" w:color="auto"/>
                    <w:right w:val="none" w:sz="0" w:space="0" w:color="auto"/>
                  </w:divBdr>
                </w:div>
                <w:div w:id="2080860239">
                  <w:marLeft w:val="0"/>
                  <w:marRight w:val="0"/>
                  <w:marTop w:val="0"/>
                  <w:marBottom w:val="0"/>
                  <w:divBdr>
                    <w:top w:val="none" w:sz="0" w:space="0" w:color="auto"/>
                    <w:left w:val="none" w:sz="0" w:space="0" w:color="auto"/>
                    <w:bottom w:val="none" w:sz="0" w:space="0" w:color="auto"/>
                    <w:right w:val="none" w:sz="0" w:space="0" w:color="auto"/>
                  </w:divBdr>
                </w:div>
                <w:div w:id="1472139808">
                  <w:marLeft w:val="0"/>
                  <w:marRight w:val="0"/>
                  <w:marTop w:val="0"/>
                  <w:marBottom w:val="0"/>
                  <w:divBdr>
                    <w:top w:val="none" w:sz="0" w:space="0" w:color="auto"/>
                    <w:left w:val="none" w:sz="0" w:space="0" w:color="auto"/>
                    <w:bottom w:val="none" w:sz="0" w:space="0" w:color="auto"/>
                    <w:right w:val="none" w:sz="0" w:space="0" w:color="auto"/>
                  </w:divBdr>
                </w:div>
                <w:div w:id="1545680480">
                  <w:marLeft w:val="0"/>
                  <w:marRight w:val="0"/>
                  <w:marTop w:val="0"/>
                  <w:marBottom w:val="0"/>
                  <w:divBdr>
                    <w:top w:val="none" w:sz="0" w:space="0" w:color="auto"/>
                    <w:left w:val="none" w:sz="0" w:space="0" w:color="auto"/>
                    <w:bottom w:val="none" w:sz="0" w:space="0" w:color="auto"/>
                    <w:right w:val="none" w:sz="0" w:space="0" w:color="auto"/>
                  </w:divBdr>
                </w:div>
                <w:div w:id="364713451">
                  <w:marLeft w:val="0"/>
                  <w:marRight w:val="0"/>
                  <w:marTop w:val="0"/>
                  <w:marBottom w:val="0"/>
                  <w:divBdr>
                    <w:top w:val="none" w:sz="0" w:space="0" w:color="auto"/>
                    <w:left w:val="none" w:sz="0" w:space="0" w:color="auto"/>
                    <w:bottom w:val="none" w:sz="0" w:space="0" w:color="auto"/>
                    <w:right w:val="none" w:sz="0" w:space="0" w:color="auto"/>
                  </w:divBdr>
                </w:div>
                <w:div w:id="1463573483">
                  <w:marLeft w:val="0"/>
                  <w:marRight w:val="0"/>
                  <w:marTop w:val="0"/>
                  <w:marBottom w:val="0"/>
                  <w:divBdr>
                    <w:top w:val="none" w:sz="0" w:space="0" w:color="auto"/>
                    <w:left w:val="none" w:sz="0" w:space="0" w:color="auto"/>
                    <w:bottom w:val="none" w:sz="0" w:space="0" w:color="auto"/>
                    <w:right w:val="none" w:sz="0" w:space="0" w:color="auto"/>
                  </w:divBdr>
                </w:div>
                <w:div w:id="18546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s.com/bridge/fuelsurcharge.html" TargetMode="External"/><Relationship Id="rId13" Type="http://schemas.openxmlformats.org/officeDocument/2006/relationships/hyperlink" Target="http://www.ups.com/bridge/fuelsurcharge.html#Services+Affected"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2.gif"/><Relationship Id="rId12" Type="http://schemas.openxmlformats.org/officeDocument/2006/relationships/hyperlink" Target="http://www.ups.com/bridge/fuelsurcharg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popWrapper('http://www.eia.gov/pub/oil_gas/petroleum/data_publications/weekly_petroleum_status_report/current/pdf/table14.pdf','pop_up_2_col')"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ups.com/bridge/fuelsurcharge.html#Ground+Fuel+Surcharge" TargetMode="External"/><Relationship Id="rId11" Type="http://schemas.openxmlformats.org/officeDocument/2006/relationships/hyperlink" Target="http://www.ups.com/bridge/fuelsurcharge.html#Billing" TargetMode="External"/><Relationship Id="rId5" Type="http://schemas.openxmlformats.org/officeDocument/2006/relationships/hyperlink" Target="http://www.ups.com/bridge/fuelsurcharge.html" TargetMode="External"/><Relationship Id="rId15" Type="http://schemas.openxmlformats.org/officeDocument/2006/relationships/hyperlink" Target="http://www.ups.com/bridge/fuelsurcharge.html#Air+Freight+Fuel+Surcharge+Information" TargetMode="External"/><Relationship Id="rId10" Type="http://schemas.openxmlformats.org/officeDocument/2006/relationships/hyperlink" Target="http://www.ups.com/bridge/fuelsurcharge.html" TargetMode="External"/><Relationship Id="rId19" Type="http://schemas.openxmlformats.org/officeDocument/2006/relationships/customXml" Target="../customXml/item1.xml"/><Relationship Id="rId4" Type="http://schemas.openxmlformats.org/officeDocument/2006/relationships/image" Target="media/image1.gif"/><Relationship Id="rId9" Type="http://schemas.openxmlformats.org/officeDocument/2006/relationships/hyperlink" Target="http://www.ups.com/bridge/fuelsurcharge.html#Air+and+International+Fuel+Surcharge" TargetMode="External"/><Relationship Id="rId14" Type="http://schemas.openxmlformats.org/officeDocument/2006/relationships/hyperlink" Target="http://www.ups.com/bridge/fuelsurcharge.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2010-12-20T08:00:00+00:00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42619D8-E4C1-42C9-85E9-710601C86057}"/>
</file>

<file path=customXml/itemProps2.xml><?xml version="1.0" encoding="utf-8"?>
<ds:datastoreItem xmlns:ds="http://schemas.openxmlformats.org/officeDocument/2006/customXml" ds:itemID="{438CDF7D-6BB1-4B1D-8F2B-DBF9A69839AF}"/>
</file>

<file path=customXml/itemProps3.xml><?xml version="1.0" encoding="utf-8"?>
<ds:datastoreItem xmlns:ds="http://schemas.openxmlformats.org/officeDocument/2006/customXml" ds:itemID="{4DFC906C-451D-43F3-BD6D-0E63D003A0B9}"/>
</file>

<file path=customXml/itemProps4.xml><?xml version="1.0" encoding="utf-8"?>
<ds:datastoreItem xmlns:ds="http://schemas.openxmlformats.org/officeDocument/2006/customXml" ds:itemID="{E1ED72FB-E48F-4A27-B8F1-B8695CC0D86C}"/>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John S</cp:lastModifiedBy>
  <cp:revision>2</cp:revision>
  <dcterms:created xsi:type="dcterms:W3CDTF">2010-12-14T20:43:00Z</dcterms:created>
  <dcterms:modified xsi:type="dcterms:W3CDTF">2010-12-14T20:43:00Z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