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64"/>
        <w:tblW w:w="9576" w:type="dxa"/>
        <w:tblBorders>
          <w:insideH w:val="single" w:sz="4" w:space="0" w:color="auto"/>
        </w:tblBorders>
        <w:tblLayout w:type="fixed"/>
        <w:tblLook w:val="0000" w:firstRow="0" w:lastRow="0" w:firstColumn="0" w:lastColumn="0" w:noHBand="0" w:noVBand="0"/>
      </w:tblPr>
      <w:tblGrid>
        <w:gridCol w:w="4788"/>
        <w:gridCol w:w="4788"/>
      </w:tblGrid>
      <w:tr w:rsidR="007D292A" w:rsidRPr="001E7615" w:rsidTr="007D292A">
        <w:trPr>
          <w:trHeight w:val="631"/>
        </w:trPr>
        <w:tc>
          <w:tcPr>
            <w:tcW w:w="4788" w:type="dxa"/>
          </w:tcPr>
          <w:p w:rsidR="007D292A" w:rsidRPr="001E7615" w:rsidRDefault="007D292A" w:rsidP="007D292A">
            <w:pPr>
              <w:pStyle w:val="Header"/>
              <w:ind w:right="-360"/>
              <w:rPr>
                <w:b/>
                <w:bCs/>
              </w:rPr>
            </w:pPr>
            <w:r w:rsidRPr="001E7615">
              <w:rPr>
                <w:b/>
                <w:bCs/>
              </w:rPr>
              <w:t>Avista Corp.</w:t>
            </w:r>
          </w:p>
          <w:p w:rsidR="007D292A" w:rsidRPr="001E7615" w:rsidRDefault="007D292A" w:rsidP="007D292A">
            <w:pPr>
              <w:pStyle w:val="Header"/>
              <w:ind w:right="-360"/>
            </w:pPr>
            <w:r w:rsidRPr="001E7615">
              <w:t xml:space="preserve">1411 </w:t>
            </w:r>
            <w:smartTag w:uri="urn:schemas-microsoft-com:office:smarttags" w:element="place">
              <w:r w:rsidRPr="001E7615">
                <w:t>East Mission</w:t>
              </w:r>
            </w:smartTag>
            <w:r w:rsidRPr="001E7615">
              <w:t xml:space="preserve">   P.O. Box 3727</w:t>
            </w:r>
          </w:p>
          <w:p w:rsidR="007D292A" w:rsidRPr="001E7615" w:rsidRDefault="007D292A" w:rsidP="007D292A">
            <w:pPr>
              <w:pStyle w:val="Header"/>
              <w:ind w:right="-360"/>
            </w:pPr>
            <w:smartTag w:uri="urn:schemas-microsoft-com:office:smarttags" w:element="place">
              <w:smartTag w:uri="urn:schemas-microsoft-com:office:smarttags" w:element="City">
                <w:r w:rsidRPr="001E7615">
                  <w:t>Spokane</w:t>
                </w:r>
              </w:smartTag>
            </w:smartTag>
            <w:r w:rsidRPr="001E7615">
              <w:t xml:space="preserve">. </w:t>
            </w:r>
            <w:smartTag w:uri="urn:schemas-microsoft-com:office:smarttags" w:element="place">
              <w:smartTag w:uri="urn:schemas-microsoft-com:office:smarttags" w:element="State">
                <w:r w:rsidRPr="001E7615">
                  <w:t>Washington</w:t>
                </w:r>
              </w:smartTag>
            </w:smartTag>
            <w:r w:rsidRPr="001E7615">
              <w:t xml:space="preserve">  99220-0500</w:t>
            </w:r>
          </w:p>
          <w:p w:rsidR="007D292A" w:rsidRPr="001E7615" w:rsidRDefault="007D292A" w:rsidP="007D292A">
            <w:pPr>
              <w:pStyle w:val="Header"/>
              <w:ind w:right="-360"/>
            </w:pPr>
            <w:r w:rsidRPr="001E7615">
              <w:t>Telephone 509-489-0500</w:t>
            </w:r>
          </w:p>
          <w:p w:rsidR="007D292A" w:rsidRPr="001E7615" w:rsidRDefault="007D292A" w:rsidP="007D292A">
            <w:pPr>
              <w:pStyle w:val="Header"/>
              <w:ind w:right="-360"/>
            </w:pPr>
            <w:r w:rsidRPr="001E7615">
              <w:t>Toll Free   800-727-9170</w:t>
            </w:r>
          </w:p>
          <w:p w:rsidR="007D292A" w:rsidRPr="001E7615" w:rsidRDefault="007D292A" w:rsidP="007D292A">
            <w:pPr>
              <w:pStyle w:val="Header"/>
              <w:ind w:right="-360"/>
              <w:rPr>
                <w:b/>
                <w:bCs/>
              </w:rPr>
            </w:pPr>
          </w:p>
        </w:tc>
        <w:tc>
          <w:tcPr>
            <w:tcW w:w="4788" w:type="dxa"/>
          </w:tcPr>
          <w:p w:rsidR="007D292A" w:rsidRPr="001E7615" w:rsidRDefault="007D292A" w:rsidP="007D292A">
            <w:pPr>
              <w:pStyle w:val="Header"/>
              <w:tabs>
                <w:tab w:val="left" w:pos="2232"/>
              </w:tabs>
              <w:ind w:right="-360"/>
              <w:rPr>
                <w:b/>
                <w:bCs/>
              </w:rPr>
            </w:pPr>
            <w:r w:rsidRPr="001E7615">
              <w:rPr>
                <w:b/>
                <w:bCs/>
              </w:rPr>
              <w:t xml:space="preserve"> </w:t>
            </w:r>
            <w:r w:rsidRPr="001E7615">
              <w:rPr>
                <w:b/>
                <w:bCs/>
              </w:rPr>
              <w:tab/>
              <w:t xml:space="preserve"> </w:t>
            </w:r>
            <w:r w:rsidR="000E4BA2">
              <w:rPr>
                <w:noProof/>
              </w:rPr>
              <w:drawing>
                <wp:inline distT="0" distB="0" distL="0" distR="0">
                  <wp:extent cx="1303655" cy="532130"/>
                  <wp:effectExtent l="19050" t="0" r="0" b="0"/>
                  <wp:docPr id="1" name="Picture 1" descr="_2ORDPRCSCorp_v_b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2ORDPRCSCorp_v_bPC"/>
                          <pic:cNvPicPr>
                            <a:picLocks noChangeAspect="1" noChangeArrowheads="1"/>
                          </pic:cNvPicPr>
                        </pic:nvPicPr>
                        <pic:blipFill>
                          <a:blip r:embed="rId8" cstate="print"/>
                          <a:srcRect/>
                          <a:stretch>
                            <a:fillRect/>
                          </a:stretch>
                        </pic:blipFill>
                        <pic:spPr bwMode="auto">
                          <a:xfrm>
                            <a:off x="0" y="0"/>
                            <a:ext cx="1303655" cy="532130"/>
                          </a:xfrm>
                          <a:prstGeom prst="rect">
                            <a:avLst/>
                          </a:prstGeom>
                          <a:noFill/>
                          <a:ln w="9525">
                            <a:noFill/>
                            <a:miter lim="800000"/>
                            <a:headEnd/>
                            <a:tailEnd/>
                          </a:ln>
                        </pic:spPr>
                      </pic:pic>
                    </a:graphicData>
                  </a:graphic>
                </wp:inline>
              </w:drawing>
            </w:r>
          </w:p>
        </w:tc>
      </w:tr>
    </w:tbl>
    <w:p w:rsidR="00D56B62" w:rsidRDefault="00D56B62" w:rsidP="007D292A">
      <w:pPr>
        <w:pStyle w:val="PlainText"/>
        <w:ind w:right="-360"/>
        <w:rPr>
          <w:rFonts w:ascii="Times New Roman" w:hAnsi="Times New Roman"/>
          <w:sz w:val="24"/>
        </w:rPr>
      </w:pPr>
    </w:p>
    <w:p w:rsidR="00093A6E" w:rsidRDefault="005A46AD" w:rsidP="00E41E78">
      <w:pPr>
        <w:pStyle w:val="PlainText"/>
        <w:ind w:right="-360"/>
        <w:rPr>
          <w:rFonts w:ascii="Times New Roman" w:hAnsi="Times New Roman"/>
          <w:sz w:val="24"/>
        </w:rPr>
      </w:pPr>
      <w:r>
        <w:rPr>
          <w:rFonts w:ascii="Times New Roman" w:hAnsi="Times New Roman"/>
          <w:sz w:val="24"/>
        </w:rPr>
        <w:t xml:space="preserve">August </w:t>
      </w:r>
      <w:r w:rsidR="00F85406">
        <w:rPr>
          <w:rFonts w:ascii="Times New Roman" w:hAnsi="Times New Roman"/>
          <w:sz w:val="24"/>
        </w:rPr>
        <w:t>31</w:t>
      </w:r>
      <w:r w:rsidR="00093A6E" w:rsidRPr="00A64FEA">
        <w:rPr>
          <w:rFonts w:ascii="Times New Roman" w:hAnsi="Times New Roman"/>
          <w:sz w:val="24"/>
        </w:rPr>
        <w:t>, 20</w:t>
      </w:r>
      <w:r w:rsidR="007D292A" w:rsidRPr="00A64FEA">
        <w:rPr>
          <w:rFonts w:ascii="Times New Roman" w:hAnsi="Times New Roman"/>
          <w:sz w:val="24"/>
        </w:rPr>
        <w:t>1</w:t>
      </w:r>
      <w:r w:rsidR="00E41E78">
        <w:rPr>
          <w:rFonts w:ascii="Times New Roman" w:hAnsi="Times New Roman"/>
          <w:sz w:val="24"/>
        </w:rPr>
        <w:t>7</w:t>
      </w:r>
    </w:p>
    <w:p w:rsidR="00D56B62" w:rsidRDefault="00D56B62" w:rsidP="007D292A">
      <w:pPr>
        <w:pStyle w:val="PlainText"/>
        <w:ind w:left="-540" w:right="-360"/>
        <w:rPr>
          <w:rFonts w:ascii="Times New Roman" w:hAnsi="Times New Roman"/>
          <w:sz w:val="24"/>
        </w:rPr>
      </w:pPr>
    </w:p>
    <w:p w:rsidR="00093A6E" w:rsidRDefault="00093A6E" w:rsidP="007D292A">
      <w:pPr>
        <w:pStyle w:val="PlainText"/>
        <w:tabs>
          <w:tab w:val="left" w:pos="360"/>
        </w:tabs>
        <w:ind w:right="-360"/>
        <w:rPr>
          <w:rFonts w:ascii="Times New Roman" w:hAnsi="Times New Roman"/>
          <w:sz w:val="24"/>
        </w:rPr>
      </w:pPr>
      <w:r>
        <w:rPr>
          <w:rFonts w:ascii="Times New Roman" w:hAnsi="Times New Roman"/>
          <w:sz w:val="24"/>
        </w:rPr>
        <w:t xml:space="preserve">State of </w:t>
      </w:r>
      <w:smartTag w:uri="urn:schemas-microsoft-com:office:smarttags" w:element="place">
        <w:smartTag w:uri="urn:schemas-microsoft-com:office:smarttags" w:element="State">
          <w:r>
            <w:rPr>
              <w:rFonts w:ascii="Times New Roman" w:hAnsi="Times New Roman"/>
              <w:sz w:val="24"/>
            </w:rPr>
            <w:t>Washington</w:t>
          </w:r>
        </w:smartTag>
      </w:smartTag>
    </w:p>
    <w:p w:rsidR="00093A6E" w:rsidRDefault="00093A6E" w:rsidP="007D292A">
      <w:pPr>
        <w:pStyle w:val="PlainText"/>
        <w:tabs>
          <w:tab w:val="left" w:pos="360"/>
        </w:tabs>
        <w:ind w:right="-360"/>
        <w:rPr>
          <w:rFonts w:ascii="Times New Roman" w:hAnsi="Times New Roman"/>
          <w:sz w:val="24"/>
        </w:rPr>
      </w:pPr>
      <w:smartTag w:uri="urn:schemas-microsoft-com:office:smarttags" w:element="place">
        <w:smartTag w:uri="urn:schemas-microsoft-com:office:smarttags" w:element="State">
          <w:r>
            <w:rPr>
              <w:rFonts w:ascii="Times New Roman" w:hAnsi="Times New Roman"/>
              <w:sz w:val="24"/>
            </w:rPr>
            <w:t>Washington</w:t>
          </w:r>
        </w:smartTag>
      </w:smartTag>
      <w:r>
        <w:rPr>
          <w:rFonts w:ascii="Times New Roman" w:hAnsi="Times New Roman"/>
          <w:sz w:val="24"/>
        </w:rPr>
        <w:t xml:space="preserve"> Utilities &amp; Transportation Commission</w:t>
      </w:r>
    </w:p>
    <w:p w:rsidR="00093A6E" w:rsidRDefault="00093A6E" w:rsidP="007D292A">
      <w:pPr>
        <w:pStyle w:val="PlainText"/>
        <w:tabs>
          <w:tab w:val="left" w:pos="360"/>
        </w:tabs>
        <w:ind w:right="-360"/>
        <w:rPr>
          <w:rFonts w:ascii="Times New Roman" w:hAnsi="Times New Roman"/>
          <w:sz w:val="24"/>
        </w:rPr>
      </w:pPr>
      <w:smartTag w:uri="urn:schemas-microsoft-com:office:smarttags" w:element="Street">
        <w:smartTag w:uri="urn:schemas-microsoft-com:office:smarttags" w:element="address">
          <w:r>
            <w:rPr>
              <w:rFonts w:ascii="Times New Roman" w:hAnsi="Times New Roman"/>
              <w:sz w:val="24"/>
            </w:rPr>
            <w:t>1300 S. Evergreen Park Drive</w:t>
          </w:r>
        </w:smartTag>
      </w:smartTag>
      <w:r>
        <w:rPr>
          <w:rFonts w:ascii="Times New Roman" w:hAnsi="Times New Roman"/>
          <w:sz w:val="24"/>
        </w:rPr>
        <w:t xml:space="preserve"> </w:t>
      </w:r>
    </w:p>
    <w:p w:rsidR="003075C0" w:rsidRDefault="00093A6E" w:rsidP="007D292A">
      <w:pPr>
        <w:pStyle w:val="PlainText"/>
        <w:tabs>
          <w:tab w:val="left" w:pos="360"/>
        </w:tabs>
        <w:ind w:right="-360"/>
        <w:rPr>
          <w:rFonts w:ascii="Times New Roman" w:hAnsi="Times New Roman"/>
          <w:sz w:val="24"/>
        </w:rPr>
      </w:pPr>
      <w:smartTag w:uri="urn:schemas-microsoft-com:office:smarttags" w:element="place">
        <w:smartTag w:uri="urn:schemas-microsoft-com:office:smarttags" w:element="City">
          <w:r>
            <w:rPr>
              <w:rFonts w:ascii="Times New Roman" w:hAnsi="Times New Roman"/>
              <w:sz w:val="24"/>
            </w:rPr>
            <w:t>Olympia</w:t>
          </w:r>
        </w:smartTag>
        <w:r>
          <w:rPr>
            <w:rFonts w:ascii="Times New Roman" w:hAnsi="Times New Roman"/>
            <w:sz w:val="24"/>
          </w:rPr>
          <w:t xml:space="preserve">, </w:t>
        </w:r>
        <w:smartTag w:uri="urn:schemas-microsoft-com:office:smarttags" w:element="State">
          <w:r>
            <w:rPr>
              <w:rFonts w:ascii="Times New Roman" w:hAnsi="Times New Roman"/>
              <w:sz w:val="24"/>
            </w:rPr>
            <w:t>Washington</w:t>
          </w:r>
        </w:smartTag>
        <w:r>
          <w:rPr>
            <w:rFonts w:ascii="Times New Roman" w:hAnsi="Times New Roman"/>
            <w:sz w:val="24"/>
          </w:rPr>
          <w:t xml:space="preserve"> </w:t>
        </w:r>
        <w:smartTag w:uri="urn:schemas-microsoft-com:office:smarttags" w:element="PostalCode">
          <w:r>
            <w:rPr>
              <w:rFonts w:ascii="Times New Roman" w:hAnsi="Times New Roman"/>
              <w:sz w:val="24"/>
            </w:rPr>
            <w:t>98504-8002</w:t>
          </w:r>
        </w:smartTag>
      </w:smartTag>
      <w:r>
        <w:rPr>
          <w:rFonts w:ascii="Times New Roman" w:hAnsi="Times New Roman"/>
          <w:sz w:val="24"/>
        </w:rPr>
        <w:br/>
      </w:r>
    </w:p>
    <w:p w:rsidR="00093A6E" w:rsidRDefault="00093A6E" w:rsidP="007D292A">
      <w:pPr>
        <w:pStyle w:val="PlainText"/>
        <w:tabs>
          <w:tab w:val="left" w:pos="360"/>
        </w:tabs>
        <w:ind w:right="-360"/>
        <w:rPr>
          <w:rFonts w:ascii="Times New Roman" w:hAnsi="Times New Roman"/>
          <w:sz w:val="24"/>
        </w:rPr>
      </w:pPr>
      <w:r>
        <w:rPr>
          <w:rFonts w:ascii="Times New Roman" w:hAnsi="Times New Roman"/>
          <w:sz w:val="24"/>
        </w:rPr>
        <w:t xml:space="preserve"> </w:t>
      </w:r>
    </w:p>
    <w:p w:rsidR="00093A6E" w:rsidRDefault="00093A6E" w:rsidP="007D292A">
      <w:pPr>
        <w:pStyle w:val="PlainText"/>
        <w:tabs>
          <w:tab w:val="left" w:pos="360"/>
        </w:tabs>
        <w:ind w:right="-360"/>
        <w:rPr>
          <w:rFonts w:ascii="Times New Roman" w:hAnsi="Times New Roman"/>
          <w:sz w:val="24"/>
        </w:rPr>
      </w:pPr>
      <w:r>
        <w:rPr>
          <w:rFonts w:ascii="Times New Roman" w:hAnsi="Times New Roman"/>
          <w:sz w:val="24"/>
        </w:rPr>
        <w:t xml:space="preserve">Attention: Mr. </w:t>
      </w:r>
      <w:r w:rsidR="00AA52D9">
        <w:rPr>
          <w:rFonts w:ascii="Times New Roman" w:hAnsi="Times New Roman"/>
          <w:sz w:val="24"/>
        </w:rPr>
        <w:t>Steven King</w:t>
      </w:r>
      <w:r>
        <w:rPr>
          <w:rFonts w:ascii="Times New Roman" w:hAnsi="Times New Roman"/>
          <w:sz w:val="24"/>
        </w:rPr>
        <w:t>‚ Executive Director and Secretary</w:t>
      </w:r>
    </w:p>
    <w:p w:rsidR="00D56B62" w:rsidRDefault="00D56B62" w:rsidP="00064FF0">
      <w:pPr>
        <w:rPr>
          <w:b/>
          <w:sz w:val="24"/>
        </w:rPr>
      </w:pPr>
    </w:p>
    <w:p w:rsidR="003075C0" w:rsidRDefault="003075C0" w:rsidP="00064FF0">
      <w:pPr>
        <w:rPr>
          <w:b/>
          <w:sz w:val="24"/>
        </w:rPr>
      </w:pPr>
    </w:p>
    <w:p w:rsidR="00093A6E" w:rsidRDefault="00093A6E" w:rsidP="00AC5443">
      <w:pPr>
        <w:jc w:val="center"/>
        <w:rPr>
          <w:b/>
          <w:sz w:val="24"/>
        </w:rPr>
      </w:pPr>
      <w:r>
        <w:rPr>
          <w:b/>
          <w:sz w:val="24"/>
        </w:rPr>
        <w:t>RE:  WN U-29 – Natural Gas Service</w:t>
      </w:r>
    </w:p>
    <w:p w:rsidR="00093A6E" w:rsidRDefault="00093A6E" w:rsidP="00AC5443">
      <w:pPr>
        <w:jc w:val="center"/>
        <w:rPr>
          <w:b/>
          <w:sz w:val="24"/>
          <w:u w:val="single"/>
        </w:rPr>
      </w:pPr>
      <w:r w:rsidRPr="005816CE">
        <w:rPr>
          <w:b/>
          <w:sz w:val="24"/>
          <w:u w:val="single"/>
        </w:rPr>
        <w:t xml:space="preserve">Avista’s </w:t>
      </w:r>
      <w:r>
        <w:rPr>
          <w:b/>
          <w:sz w:val="24"/>
          <w:u w:val="single"/>
        </w:rPr>
        <w:t xml:space="preserve">Annual Purchased Gas </w:t>
      </w:r>
      <w:r w:rsidR="00EE6624">
        <w:rPr>
          <w:b/>
          <w:sz w:val="24"/>
          <w:u w:val="single"/>
        </w:rPr>
        <w:t xml:space="preserve">Cost </w:t>
      </w:r>
      <w:r>
        <w:rPr>
          <w:b/>
          <w:sz w:val="24"/>
          <w:u w:val="single"/>
        </w:rPr>
        <w:t>Adjustment (PGA)</w:t>
      </w:r>
    </w:p>
    <w:p w:rsidR="00093A6E" w:rsidRDefault="00093A6E" w:rsidP="00AC5443">
      <w:pPr>
        <w:jc w:val="center"/>
        <w:rPr>
          <w:b/>
          <w:sz w:val="24"/>
          <w:u w:val="single"/>
        </w:rPr>
      </w:pPr>
    </w:p>
    <w:p w:rsidR="003075C0" w:rsidRDefault="003075C0" w:rsidP="00AC5443">
      <w:pPr>
        <w:jc w:val="center"/>
        <w:rPr>
          <w:b/>
          <w:sz w:val="24"/>
          <w:u w:val="single"/>
        </w:rPr>
      </w:pPr>
    </w:p>
    <w:p w:rsidR="00093A6E" w:rsidRDefault="00093A6E" w:rsidP="00AC5443">
      <w:pPr>
        <w:jc w:val="both"/>
        <w:rPr>
          <w:sz w:val="24"/>
        </w:rPr>
      </w:pPr>
      <w:r>
        <w:rPr>
          <w:sz w:val="24"/>
        </w:rPr>
        <w:t xml:space="preserve">Enclosed for </w:t>
      </w:r>
      <w:r w:rsidR="00133678">
        <w:rPr>
          <w:sz w:val="24"/>
        </w:rPr>
        <w:t xml:space="preserve">electronic </w:t>
      </w:r>
      <w:r>
        <w:rPr>
          <w:sz w:val="24"/>
        </w:rPr>
        <w:t>filing with the Commission is a copy of the following proposed tariff sheets:</w:t>
      </w:r>
    </w:p>
    <w:p w:rsidR="00093A6E" w:rsidRDefault="00093A6E" w:rsidP="00AC5443">
      <w:pPr>
        <w:jc w:val="both"/>
        <w:rPr>
          <w:sz w:val="24"/>
        </w:rPr>
      </w:pPr>
      <w:r>
        <w:rPr>
          <w:sz w:val="24"/>
        </w:rPr>
        <w:tab/>
      </w:r>
    </w:p>
    <w:p w:rsidR="00AA52D9" w:rsidRPr="00D56B62" w:rsidRDefault="00D94AF1" w:rsidP="00C85E83">
      <w:pPr>
        <w:tabs>
          <w:tab w:val="left" w:pos="4590"/>
        </w:tabs>
        <w:jc w:val="center"/>
        <w:rPr>
          <w:b/>
          <w:sz w:val="24"/>
        </w:rPr>
      </w:pPr>
      <w:r>
        <w:rPr>
          <w:b/>
          <w:sz w:val="24"/>
        </w:rPr>
        <w:t>Eighteenth</w:t>
      </w:r>
      <w:r w:rsidR="005A46AD" w:rsidRPr="00C93F40">
        <w:rPr>
          <w:b/>
          <w:sz w:val="24"/>
        </w:rPr>
        <w:t xml:space="preserve"> </w:t>
      </w:r>
      <w:r w:rsidR="00C93F40" w:rsidRPr="00C93F40">
        <w:rPr>
          <w:b/>
          <w:sz w:val="24"/>
        </w:rPr>
        <w:t xml:space="preserve">Revision Sheet 150 </w:t>
      </w:r>
      <w:r w:rsidR="00C93F40">
        <w:rPr>
          <w:sz w:val="24"/>
        </w:rPr>
        <w:t>canceling</w:t>
      </w:r>
      <w:r w:rsidR="00C93F40" w:rsidRPr="00C93F40">
        <w:rPr>
          <w:b/>
          <w:sz w:val="24"/>
        </w:rPr>
        <w:t xml:space="preserve"> </w:t>
      </w:r>
      <w:r w:rsidR="00F85406" w:rsidRPr="00C93F40">
        <w:rPr>
          <w:b/>
          <w:sz w:val="24"/>
        </w:rPr>
        <w:t>S</w:t>
      </w:r>
      <w:r>
        <w:rPr>
          <w:b/>
          <w:sz w:val="24"/>
        </w:rPr>
        <w:t>event</w:t>
      </w:r>
      <w:r w:rsidR="00422526">
        <w:rPr>
          <w:b/>
          <w:sz w:val="24"/>
        </w:rPr>
        <w:t>e</w:t>
      </w:r>
      <w:r>
        <w:rPr>
          <w:b/>
          <w:sz w:val="24"/>
        </w:rPr>
        <w:t>enth</w:t>
      </w:r>
      <w:r w:rsidR="00F85406" w:rsidRPr="00C93F40">
        <w:rPr>
          <w:b/>
          <w:sz w:val="24"/>
        </w:rPr>
        <w:t xml:space="preserve"> </w:t>
      </w:r>
      <w:r w:rsidR="00C93F40" w:rsidRPr="00C93F40">
        <w:rPr>
          <w:b/>
          <w:sz w:val="24"/>
        </w:rPr>
        <w:t>Revision Sheet 150</w:t>
      </w:r>
    </w:p>
    <w:p w:rsidR="00093A6E" w:rsidRPr="00D56B62" w:rsidRDefault="00D94AF1" w:rsidP="00C85E83">
      <w:pPr>
        <w:tabs>
          <w:tab w:val="left" w:pos="4590"/>
        </w:tabs>
        <w:jc w:val="center"/>
        <w:rPr>
          <w:b/>
          <w:sz w:val="24"/>
        </w:rPr>
      </w:pPr>
      <w:r>
        <w:rPr>
          <w:b/>
          <w:sz w:val="24"/>
        </w:rPr>
        <w:t>Twentieth</w:t>
      </w:r>
      <w:r w:rsidR="00C93F40" w:rsidRPr="00C93F40">
        <w:rPr>
          <w:b/>
          <w:sz w:val="24"/>
        </w:rPr>
        <w:t xml:space="preserve"> Revision Sheet 155 </w:t>
      </w:r>
      <w:r w:rsidR="00C93F40">
        <w:rPr>
          <w:sz w:val="24"/>
        </w:rPr>
        <w:t>canceling</w:t>
      </w:r>
      <w:r w:rsidR="00C93F40" w:rsidRPr="00C93F40">
        <w:rPr>
          <w:b/>
          <w:sz w:val="24"/>
        </w:rPr>
        <w:t xml:space="preserve"> </w:t>
      </w:r>
      <w:r>
        <w:rPr>
          <w:b/>
          <w:sz w:val="24"/>
        </w:rPr>
        <w:t>Nineteenth</w:t>
      </w:r>
      <w:r w:rsidR="00F85406" w:rsidRPr="00C93F40">
        <w:rPr>
          <w:b/>
          <w:sz w:val="24"/>
        </w:rPr>
        <w:t xml:space="preserve"> </w:t>
      </w:r>
      <w:r w:rsidR="00C93F40" w:rsidRPr="00C93F40">
        <w:rPr>
          <w:b/>
          <w:sz w:val="24"/>
        </w:rPr>
        <w:t>Revision Sheet 155</w:t>
      </w:r>
    </w:p>
    <w:p w:rsidR="00B52A0C" w:rsidRPr="00426001" w:rsidRDefault="00B52A0C" w:rsidP="00AC5443">
      <w:pPr>
        <w:ind w:firstLine="720"/>
        <w:jc w:val="both"/>
        <w:rPr>
          <w:sz w:val="24"/>
        </w:rPr>
      </w:pPr>
    </w:p>
    <w:p w:rsidR="00B52A0C" w:rsidRDefault="00B52A0C" w:rsidP="00AC5443">
      <w:pPr>
        <w:jc w:val="both"/>
        <w:rPr>
          <w:sz w:val="24"/>
        </w:rPr>
      </w:pPr>
      <w:r w:rsidRPr="00426001">
        <w:rPr>
          <w:sz w:val="24"/>
        </w:rPr>
        <w:t>The Company requests that the proposed tariff sheets be m</w:t>
      </w:r>
      <w:r w:rsidR="007D292A" w:rsidRPr="00426001">
        <w:rPr>
          <w:sz w:val="24"/>
        </w:rPr>
        <w:t>ade effective on November 1, 201</w:t>
      </w:r>
      <w:r w:rsidR="00D94AF1">
        <w:rPr>
          <w:sz w:val="24"/>
        </w:rPr>
        <w:t>7</w:t>
      </w:r>
      <w:r w:rsidRPr="00426001">
        <w:rPr>
          <w:sz w:val="24"/>
        </w:rPr>
        <w:t>.</w:t>
      </w:r>
    </w:p>
    <w:p w:rsidR="00093A6E" w:rsidRDefault="00093A6E" w:rsidP="00AC5443">
      <w:pPr>
        <w:jc w:val="both"/>
        <w:rPr>
          <w:sz w:val="24"/>
        </w:rPr>
      </w:pPr>
      <w:r>
        <w:rPr>
          <w:sz w:val="24"/>
        </w:rPr>
        <w:tab/>
      </w:r>
    </w:p>
    <w:p w:rsidR="003A24DA" w:rsidRDefault="003A24DA" w:rsidP="00AC5443">
      <w:pPr>
        <w:tabs>
          <w:tab w:val="left" w:pos="720"/>
        </w:tabs>
        <w:jc w:val="both"/>
        <w:rPr>
          <w:sz w:val="24"/>
          <w:szCs w:val="24"/>
        </w:rPr>
      </w:pPr>
      <w:r w:rsidRPr="00EE2529">
        <w:rPr>
          <w:sz w:val="24"/>
          <w:szCs w:val="24"/>
        </w:rPr>
        <w:t xml:space="preserve">This filing </w:t>
      </w:r>
      <w:r w:rsidR="00EE6624">
        <w:rPr>
          <w:sz w:val="24"/>
          <w:szCs w:val="24"/>
        </w:rPr>
        <w:t>i</w:t>
      </w:r>
      <w:r w:rsidRPr="00EE2529">
        <w:rPr>
          <w:sz w:val="24"/>
          <w:szCs w:val="24"/>
        </w:rPr>
        <w:t>s the Company’s annual Purchased Gas Cost Adjustment (</w:t>
      </w:r>
      <w:r w:rsidR="00EE6624">
        <w:rPr>
          <w:sz w:val="24"/>
          <w:szCs w:val="24"/>
        </w:rPr>
        <w:t>“</w:t>
      </w:r>
      <w:r w:rsidRPr="00EE2529">
        <w:rPr>
          <w:sz w:val="24"/>
          <w:szCs w:val="24"/>
        </w:rPr>
        <w:t>PGA</w:t>
      </w:r>
      <w:r w:rsidR="00EE6624">
        <w:rPr>
          <w:sz w:val="24"/>
          <w:szCs w:val="24"/>
        </w:rPr>
        <w:t>”</w:t>
      </w:r>
      <w:r w:rsidRPr="00EE2529">
        <w:rPr>
          <w:sz w:val="24"/>
          <w:szCs w:val="24"/>
        </w:rPr>
        <w:t>) to: 1) pass through changes in the estimated cost of natural gas for th</w:t>
      </w:r>
      <w:r w:rsidR="007642C0">
        <w:rPr>
          <w:sz w:val="24"/>
          <w:szCs w:val="24"/>
        </w:rPr>
        <w:t xml:space="preserve">e forthcoming year (Schedule </w:t>
      </w:r>
      <w:r w:rsidR="007642C0" w:rsidRPr="00917666">
        <w:rPr>
          <w:sz w:val="24"/>
          <w:szCs w:val="24"/>
        </w:rPr>
        <w:t>15</w:t>
      </w:r>
      <w:r w:rsidR="00AA52D9" w:rsidRPr="00917666">
        <w:rPr>
          <w:sz w:val="24"/>
          <w:szCs w:val="24"/>
        </w:rPr>
        <w:t>0</w:t>
      </w:r>
      <w:r w:rsidRPr="00917666">
        <w:rPr>
          <w:sz w:val="24"/>
          <w:szCs w:val="24"/>
        </w:rPr>
        <w:t xml:space="preserve">), and 2) revise the amortization rate(s) to refund or collect the balance of deferred </w:t>
      </w:r>
      <w:r w:rsidR="00AA52D9" w:rsidRPr="00917666">
        <w:rPr>
          <w:sz w:val="24"/>
          <w:szCs w:val="24"/>
        </w:rPr>
        <w:t xml:space="preserve">natural </w:t>
      </w:r>
      <w:r w:rsidRPr="00917666">
        <w:rPr>
          <w:sz w:val="24"/>
          <w:szCs w:val="24"/>
        </w:rPr>
        <w:t xml:space="preserve">gas </w:t>
      </w:r>
      <w:r w:rsidR="00EE6624">
        <w:rPr>
          <w:sz w:val="24"/>
          <w:szCs w:val="24"/>
        </w:rPr>
        <w:t xml:space="preserve">commodity and demand </w:t>
      </w:r>
      <w:r w:rsidRPr="00917666">
        <w:rPr>
          <w:sz w:val="24"/>
          <w:szCs w:val="24"/>
        </w:rPr>
        <w:t xml:space="preserve">costs (Schedule 155).  Below is a table summarizing the proposed changes reflected in this filing.  </w:t>
      </w:r>
    </w:p>
    <w:p w:rsidR="00D062AC" w:rsidRDefault="00D062AC" w:rsidP="00AC5443">
      <w:pPr>
        <w:tabs>
          <w:tab w:val="left" w:pos="720"/>
        </w:tabs>
        <w:jc w:val="both"/>
        <w:rPr>
          <w:sz w:val="24"/>
          <w:szCs w:val="24"/>
        </w:rPr>
      </w:pPr>
    </w:p>
    <w:p w:rsidR="003A24DA" w:rsidRPr="00917666" w:rsidRDefault="00802C90" w:rsidP="00732C0E">
      <w:pPr>
        <w:ind w:right="-360"/>
        <w:jc w:val="center"/>
        <w:rPr>
          <w:sz w:val="21"/>
          <w:szCs w:val="21"/>
        </w:rPr>
      </w:pPr>
      <w:r w:rsidRPr="00802C90">
        <w:rPr>
          <w:noProof/>
        </w:rPr>
        <w:drawing>
          <wp:inline distT="0" distB="0" distL="0" distR="0">
            <wp:extent cx="5943600" cy="2017663"/>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017663"/>
                    </a:xfrm>
                    <a:prstGeom prst="rect">
                      <a:avLst/>
                    </a:prstGeom>
                    <a:noFill/>
                    <a:ln>
                      <a:noFill/>
                    </a:ln>
                  </pic:spPr>
                </pic:pic>
              </a:graphicData>
            </a:graphic>
          </wp:inline>
        </w:drawing>
      </w:r>
    </w:p>
    <w:p w:rsidR="00820A23" w:rsidRDefault="00820A23" w:rsidP="0074190B">
      <w:pPr>
        <w:rPr>
          <w:b/>
          <w:sz w:val="24"/>
          <w:szCs w:val="24"/>
          <w:u w:val="single"/>
        </w:rPr>
      </w:pPr>
    </w:p>
    <w:p w:rsidR="003075C0" w:rsidRDefault="003075C0" w:rsidP="0074190B">
      <w:pPr>
        <w:rPr>
          <w:b/>
          <w:sz w:val="24"/>
          <w:szCs w:val="24"/>
          <w:u w:val="single"/>
        </w:rPr>
      </w:pPr>
    </w:p>
    <w:p w:rsidR="003075C0" w:rsidRDefault="003075C0" w:rsidP="0074190B">
      <w:pPr>
        <w:rPr>
          <w:b/>
          <w:sz w:val="24"/>
          <w:szCs w:val="24"/>
          <w:u w:val="single"/>
        </w:rPr>
      </w:pPr>
    </w:p>
    <w:p w:rsidR="003A24DA" w:rsidRPr="00917666" w:rsidRDefault="003A24DA" w:rsidP="0074190B">
      <w:pPr>
        <w:rPr>
          <w:sz w:val="24"/>
          <w:szCs w:val="24"/>
        </w:rPr>
      </w:pPr>
      <w:r w:rsidRPr="00917666">
        <w:rPr>
          <w:b/>
          <w:sz w:val="24"/>
          <w:szCs w:val="24"/>
          <w:u w:val="single"/>
        </w:rPr>
        <w:lastRenderedPageBreak/>
        <w:t>Commodity Costs</w:t>
      </w:r>
    </w:p>
    <w:p w:rsidR="004C7E4C" w:rsidRPr="00917666" w:rsidRDefault="004C7E4C" w:rsidP="00AC5443">
      <w:pPr>
        <w:jc w:val="both"/>
        <w:rPr>
          <w:sz w:val="24"/>
          <w:szCs w:val="24"/>
        </w:rPr>
      </w:pPr>
    </w:p>
    <w:p w:rsidR="00AA52D9" w:rsidRDefault="00AA52D9" w:rsidP="00AA52D9">
      <w:pPr>
        <w:jc w:val="both"/>
        <w:rPr>
          <w:sz w:val="24"/>
          <w:szCs w:val="24"/>
        </w:rPr>
      </w:pPr>
      <w:r w:rsidRPr="00917666">
        <w:rPr>
          <w:sz w:val="24"/>
          <w:szCs w:val="24"/>
        </w:rPr>
        <w:t xml:space="preserve">As shown in the table above, the estimated </w:t>
      </w:r>
      <w:r w:rsidR="00EE6624">
        <w:rPr>
          <w:sz w:val="24"/>
          <w:szCs w:val="24"/>
        </w:rPr>
        <w:t>Weighted Average Cost of Gas (“</w:t>
      </w:r>
      <w:r w:rsidRPr="00917666">
        <w:rPr>
          <w:sz w:val="24"/>
          <w:szCs w:val="24"/>
        </w:rPr>
        <w:t>WACOG</w:t>
      </w:r>
      <w:r w:rsidR="00EE6624">
        <w:rPr>
          <w:sz w:val="24"/>
          <w:szCs w:val="24"/>
        </w:rPr>
        <w:t>”</w:t>
      </w:r>
      <w:r w:rsidR="00850F10">
        <w:rPr>
          <w:sz w:val="24"/>
          <w:szCs w:val="24"/>
        </w:rPr>
        <w:t xml:space="preserve">) change is a </w:t>
      </w:r>
      <w:r w:rsidR="00850F10" w:rsidRPr="00850F10">
        <w:rPr>
          <w:sz w:val="24"/>
          <w:szCs w:val="24"/>
        </w:rPr>
        <w:t xml:space="preserve">decrease </w:t>
      </w:r>
      <w:r w:rsidRPr="00850F10">
        <w:rPr>
          <w:sz w:val="24"/>
          <w:szCs w:val="24"/>
        </w:rPr>
        <w:t xml:space="preserve">of </w:t>
      </w:r>
      <w:r w:rsidR="00D94AF1">
        <w:rPr>
          <w:sz w:val="24"/>
          <w:szCs w:val="24"/>
        </w:rPr>
        <w:t>2</w:t>
      </w:r>
      <w:r w:rsidR="00291BE1">
        <w:rPr>
          <w:sz w:val="24"/>
          <w:szCs w:val="24"/>
        </w:rPr>
        <w:t>.</w:t>
      </w:r>
      <w:r w:rsidR="00D94AF1">
        <w:rPr>
          <w:sz w:val="24"/>
          <w:szCs w:val="24"/>
        </w:rPr>
        <w:t>1</w:t>
      </w:r>
      <w:r w:rsidRPr="00917666">
        <w:rPr>
          <w:sz w:val="24"/>
          <w:szCs w:val="24"/>
        </w:rPr>
        <w:t xml:space="preserve"> cents per therm.  The proposed WACOG, including the revenue conversion factor, is </w:t>
      </w:r>
      <w:r w:rsidR="00D94AF1">
        <w:rPr>
          <w:sz w:val="24"/>
          <w:szCs w:val="24"/>
        </w:rPr>
        <w:t>22</w:t>
      </w:r>
      <w:r w:rsidR="00291BE1">
        <w:rPr>
          <w:sz w:val="24"/>
          <w:szCs w:val="24"/>
        </w:rPr>
        <w:t>.</w:t>
      </w:r>
      <w:r w:rsidR="00D94AF1">
        <w:rPr>
          <w:sz w:val="24"/>
          <w:szCs w:val="24"/>
        </w:rPr>
        <w:t>9</w:t>
      </w:r>
      <w:r w:rsidRPr="00917666">
        <w:rPr>
          <w:sz w:val="24"/>
          <w:szCs w:val="24"/>
        </w:rPr>
        <w:t xml:space="preserve"> cents per </w:t>
      </w:r>
      <w:proofErr w:type="spellStart"/>
      <w:r w:rsidRPr="00917666">
        <w:rPr>
          <w:sz w:val="24"/>
          <w:szCs w:val="24"/>
        </w:rPr>
        <w:t>therm</w:t>
      </w:r>
      <w:proofErr w:type="spellEnd"/>
      <w:r w:rsidRPr="00917666">
        <w:rPr>
          <w:sz w:val="24"/>
          <w:szCs w:val="24"/>
        </w:rPr>
        <w:t xml:space="preserve"> compared to the present WACOG of </w:t>
      </w:r>
      <w:r w:rsidR="00EB7239">
        <w:rPr>
          <w:sz w:val="24"/>
          <w:szCs w:val="24"/>
        </w:rPr>
        <w:t>2</w:t>
      </w:r>
      <w:r w:rsidR="00D94AF1">
        <w:rPr>
          <w:sz w:val="24"/>
          <w:szCs w:val="24"/>
        </w:rPr>
        <w:t>5</w:t>
      </w:r>
      <w:r w:rsidR="00EB7239">
        <w:rPr>
          <w:sz w:val="24"/>
          <w:szCs w:val="24"/>
        </w:rPr>
        <w:t>.</w:t>
      </w:r>
      <w:r w:rsidR="00D94AF1">
        <w:rPr>
          <w:sz w:val="24"/>
          <w:szCs w:val="24"/>
        </w:rPr>
        <w:t>0</w:t>
      </w:r>
      <w:r w:rsidRPr="00917666">
        <w:rPr>
          <w:sz w:val="24"/>
          <w:szCs w:val="24"/>
        </w:rPr>
        <w:t xml:space="preserve"> cents per </w:t>
      </w:r>
      <w:proofErr w:type="spellStart"/>
      <w:r w:rsidRPr="00917666">
        <w:rPr>
          <w:sz w:val="24"/>
          <w:szCs w:val="24"/>
        </w:rPr>
        <w:t>therm</w:t>
      </w:r>
      <w:proofErr w:type="spellEnd"/>
      <w:r w:rsidRPr="00917666">
        <w:rPr>
          <w:sz w:val="24"/>
          <w:szCs w:val="24"/>
        </w:rPr>
        <w:t xml:space="preserve"> included in rates.  </w:t>
      </w:r>
      <w:r w:rsidR="00080BA5" w:rsidRPr="00080BA5">
        <w:rPr>
          <w:sz w:val="24"/>
          <w:szCs w:val="24"/>
        </w:rPr>
        <w:t>The overall reduction in the WACOG is generally the result of the continued</w:t>
      </w:r>
      <w:r w:rsidR="00D94AF1">
        <w:rPr>
          <w:sz w:val="24"/>
          <w:szCs w:val="24"/>
        </w:rPr>
        <w:t xml:space="preserve"> high natural gas production levels and an abu</w:t>
      </w:r>
      <w:r w:rsidR="00422526">
        <w:rPr>
          <w:sz w:val="24"/>
          <w:szCs w:val="24"/>
        </w:rPr>
        <w:t>ndance of nature gas in storage, which have driven wholesale natural gas prices lower.</w:t>
      </w:r>
    </w:p>
    <w:p w:rsidR="00AA52D9" w:rsidRPr="00917666" w:rsidRDefault="00AA52D9" w:rsidP="00AA52D9">
      <w:pPr>
        <w:jc w:val="both"/>
        <w:rPr>
          <w:sz w:val="24"/>
          <w:szCs w:val="24"/>
        </w:rPr>
      </w:pPr>
    </w:p>
    <w:p w:rsidR="00AA52D9" w:rsidRPr="00AA52D9" w:rsidRDefault="00AA52D9" w:rsidP="00AA52D9">
      <w:pPr>
        <w:jc w:val="both"/>
        <w:rPr>
          <w:sz w:val="24"/>
          <w:szCs w:val="24"/>
        </w:rPr>
      </w:pPr>
      <w:r w:rsidRPr="00917666">
        <w:rPr>
          <w:sz w:val="24"/>
          <w:szCs w:val="24"/>
        </w:rPr>
        <w:t>The Company’s natural gas Procurement Plan (“Plan”) uses a diversified</w:t>
      </w:r>
      <w:r w:rsidRPr="00AA52D9">
        <w:rPr>
          <w:sz w:val="24"/>
          <w:szCs w:val="24"/>
        </w:rPr>
        <w:t xml:space="preserve"> approach to procure natural gas for the coming PGA year.  While the Plan generally incorporates a more structured approach for the hedging portion of the portfolio, the Company exercises flexibility and discretion in all areas of the plan based on changes in the wholesale market.  The Company typically meets with Commission Staff semi-annually to discuss the state of the wholesale market and the status of the Company’s Plan.  In addition, the Company communicates with </w:t>
      </w:r>
      <w:r w:rsidR="00A20BB9">
        <w:rPr>
          <w:sz w:val="24"/>
          <w:szCs w:val="24"/>
        </w:rPr>
        <w:t xml:space="preserve">Commission </w:t>
      </w:r>
      <w:r w:rsidRPr="00AA52D9">
        <w:rPr>
          <w:sz w:val="24"/>
          <w:szCs w:val="24"/>
        </w:rPr>
        <w:t xml:space="preserve">Staff when it believes it makes sense to deviate from its Plan and/or opportunities arise in the market.       </w:t>
      </w:r>
    </w:p>
    <w:p w:rsidR="00AA52D9" w:rsidRPr="00AA52D9" w:rsidRDefault="00AA52D9" w:rsidP="00AA52D9">
      <w:pPr>
        <w:jc w:val="both"/>
        <w:rPr>
          <w:sz w:val="24"/>
          <w:szCs w:val="24"/>
        </w:rPr>
      </w:pPr>
    </w:p>
    <w:p w:rsidR="00AA52D9" w:rsidRDefault="00AA52D9" w:rsidP="00AA52D9">
      <w:pPr>
        <w:jc w:val="both"/>
        <w:rPr>
          <w:sz w:val="24"/>
          <w:szCs w:val="24"/>
        </w:rPr>
      </w:pPr>
      <w:r w:rsidRPr="00917666">
        <w:rPr>
          <w:sz w:val="24"/>
          <w:szCs w:val="24"/>
        </w:rPr>
        <w:t xml:space="preserve">Avista has been hedging natural gas on both a periodic and discretionary basis throughout </w:t>
      </w:r>
      <w:r w:rsidR="00A31F9D">
        <w:rPr>
          <w:sz w:val="24"/>
          <w:szCs w:val="24"/>
        </w:rPr>
        <w:t>201</w:t>
      </w:r>
      <w:r w:rsidR="00D94AF1">
        <w:rPr>
          <w:sz w:val="24"/>
          <w:szCs w:val="24"/>
        </w:rPr>
        <w:t>6</w:t>
      </w:r>
      <w:r w:rsidR="00A31F9D">
        <w:rPr>
          <w:sz w:val="24"/>
          <w:szCs w:val="24"/>
        </w:rPr>
        <w:t>-</w:t>
      </w:r>
      <w:r w:rsidRPr="00917666">
        <w:rPr>
          <w:sz w:val="24"/>
          <w:szCs w:val="24"/>
        </w:rPr>
        <w:t>201</w:t>
      </w:r>
      <w:r w:rsidR="00D94AF1">
        <w:rPr>
          <w:sz w:val="24"/>
          <w:szCs w:val="24"/>
        </w:rPr>
        <w:t>7</w:t>
      </w:r>
      <w:r w:rsidRPr="00917666">
        <w:rPr>
          <w:sz w:val="24"/>
          <w:szCs w:val="24"/>
        </w:rPr>
        <w:t xml:space="preserve"> for the forthcoming PGA </w:t>
      </w:r>
      <w:r w:rsidRPr="00E94546">
        <w:rPr>
          <w:sz w:val="24"/>
          <w:szCs w:val="24"/>
        </w:rPr>
        <w:t xml:space="preserve">year.  Approximately </w:t>
      </w:r>
      <w:r w:rsidR="003C0A3C">
        <w:rPr>
          <w:sz w:val="24"/>
          <w:szCs w:val="24"/>
        </w:rPr>
        <w:t>32</w:t>
      </w:r>
      <w:r w:rsidRPr="00E94546">
        <w:rPr>
          <w:sz w:val="24"/>
          <w:szCs w:val="24"/>
        </w:rPr>
        <w:t>% of estimated annual load requirements for the PGA year (</w:t>
      </w:r>
      <w:r w:rsidR="00736ED4" w:rsidRPr="00E94546">
        <w:rPr>
          <w:sz w:val="24"/>
          <w:szCs w:val="24"/>
        </w:rPr>
        <w:t>November</w:t>
      </w:r>
      <w:r w:rsidRPr="00E94546">
        <w:rPr>
          <w:sz w:val="24"/>
          <w:szCs w:val="24"/>
        </w:rPr>
        <w:t xml:space="preserve"> 201</w:t>
      </w:r>
      <w:r w:rsidR="003C0A3C">
        <w:rPr>
          <w:sz w:val="24"/>
          <w:szCs w:val="24"/>
        </w:rPr>
        <w:t>7</w:t>
      </w:r>
      <w:r w:rsidRPr="00E94546">
        <w:rPr>
          <w:sz w:val="24"/>
          <w:szCs w:val="24"/>
        </w:rPr>
        <w:t xml:space="preserve"> through October 201</w:t>
      </w:r>
      <w:r w:rsidR="003C0A3C">
        <w:rPr>
          <w:sz w:val="24"/>
          <w:szCs w:val="24"/>
        </w:rPr>
        <w:t>8</w:t>
      </w:r>
      <w:r w:rsidRPr="00E94546">
        <w:rPr>
          <w:sz w:val="24"/>
          <w:szCs w:val="24"/>
        </w:rPr>
        <w:t xml:space="preserve">) </w:t>
      </w:r>
      <w:r w:rsidR="003C0A3C">
        <w:rPr>
          <w:sz w:val="24"/>
          <w:szCs w:val="24"/>
        </w:rPr>
        <w:t>are</w:t>
      </w:r>
      <w:r w:rsidRPr="00E94546">
        <w:rPr>
          <w:sz w:val="24"/>
          <w:szCs w:val="24"/>
        </w:rPr>
        <w:t xml:space="preserve"> hedged at a fixed-price derived from the Company’s Plan.</w:t>
      </w:r>
      <w:r w:rsidR="003C0A3C">
        <w:rPr>
          <w:sz w:val="24"/>
          <w:szCs w:val="24"/>
        </w:rPr>
        <w:t xml:space="preserve">  </w:t>
      </w:r>
      <w:r w:rsidRPr="00BA50C7">
        <w:rPr>
          <w:sz w:val="24"/>
          <w:szCs w:val="24"/>
        </w:rPr>
        <w:t>These volumes are comprised of: 1</w:t>
      </w:r>
      <w:r w:rsidRPr="0072016E">
        <w:rPr>
          <w:sz w:val="24"/>
          <w:szCs w:val="24"/>
        </w:rPr>
        <w:t xml:space="preserve">) </w:t>
      </w:r>
      <w:r w:rsidRPr="00BA50C7">
        <w:rPr>
          <w:sz w:val="24"/>
          <w:szCs w:val="24"/>
        </w:rPr>
        <w:t xml:space="preserve">volumes hedged for a term of one year or less, </w:t>
      </w:r>
      <w:r w:rsidR="00A821D9" w:rsidRPr="00BA50C7">
        <w:rPr>
          <w:sz w:val="24"/>
          <w:szCs w:val="24"/>
        </w:rPr>
        <w:t xml:space="preserve">and </w:t>
      </w:r>
      <w:r w:rsidRPr="00BA50C7">
        <w:rPr>
          <w:sz w:val="24"/>
          <w:szCs w:val="24"/>
        </w:rPr>
        <w:t xml:space="preserve">2) </w:t>
      </w:r>
      <w:r w:rsidRPr="0072016E">
        <w:rPr>
          <w:sz w:val="24"/>
          <w:szCs w:val="24"/>
        </w:rPr>
        <w:t>volumes</w:t>
      </w:r>
      <w:r w:rsidRPr="00BA50C7">
        <w:rPr>
          <w:sz w:val="24"/>
          <w:szCs w:val="24"/>
        </w:rPr>
        <w:t xml:space="preserve"> from prior multi-year hedges. Through</w:t>
      </w:r>
      <w:r w:rsidRPr="00E94546">
        <w:rPr>
          <w:sz w:val="24"/>
          <w:szCs w:val="24"/>
        </w:rPr>
        <w:t xml:space="preserve"> </w:t>
      </w:r>
      <w:r w:rsidR="00A20BB9" w:rsidRPr="00E94546">
        <w:rPr>
          <w:sz w:val="24"/>
          <w:szCs w:val="24"/>
        </w:rPr>
        <w:t>August 201</w:t>
      </w:r>
      <w:r w:rsidR="003C0A3C">
        <w:rPr>
          <w:sz w:val="24"/>
          <w:szCs w:val="24"/>
        </w:rPr>
        <w:t>7</w:t>
      </w:r>
      <w:r w:rsidRPr="00E94546">
        <w:rPr>
          <w:sz w:val="24"/>
          <w:szCs w:val="24"/>
        </w:rPr>
        <w:t>, the planned hedge volumes for the PGA year have been executed at a weighted average price of $</w:t>
      </w:r>
      <w:r w:rsidR="00EB7239">
        <w:rPr>
          <w:sz w:val="24"/>
          <w:szCs w:val="24"/>
        </w:rPr>
        <w:t>2</w:t>
      </w:r>
      <w:r w:rsidR="00E94546" w:rsidRPr="00E94546">
        <w:rPr>
          <w:sz w:val="24"/>
          <w:szCs w:val="24"/>
        </w:rPr>
        <w:t>.</w:t>
      </w:r>
      <w:r w:rsidR="00715DF1">
        <w:rPr>
          <w:sz w:val="24"/>
          <w:szCs w:val="24"/>
        </w:rPr>
        <w:t>63</w:t>
      </w:r>
      <w:r w:rsidR="00E94546" w:rsidRPr="00E94546">
        <w:rPr>
          <w:sz w:val="24"/>
          <w:szCs w:val="24"/>
        </w:rPr>
        <w:t xml:space="preserve"> per dekatherm ($0.</w:t>
      </w:r>
      <w:r w:rsidR="00EB7239">
        <w:rPr>
          <w:sz w:val="24"/>
          <w:szCs w:val="24"/>
        </w:rPr>
        <w:t>26</w:t>
      </w:r>
      <w:r w:rsidR="00715DF1">
        <w:rPr>
          <w:sz w:val="24"/>
          <w:szCs w:val="24"/>
        </w:rPr>
        <w:t>3</w:t>
      </w:r>
      <w:r w:rsidRPr="00E94546">
        <w:rPr>
          <w:sz w:val="24"/>
          <w:szCs w:val="24"/>
        </w:rPr>
        <w:t xml:space="preserve"> per </w:t>
      </w:r>
      <w:proofErr w:type="spellStart"/>
      <w:r w:rsidRPr="00E94546">
        <w:rPr>
          <w:sz w:val="24"/>
          <w:szCs w:val="24"/>
        </w:rPr>
        <w:t>therm</w:t>
      </w:r>
      <w:proofErr w:type="spellEnd"/>
      <w:r w:rsidRPr="00E94546">
        <w:rPr>
          <w:sz w:val="24"/>
          <w:szCs w:val="24"/>
        </w:rPr>
        <w:t>).</w:t>
      </w:r>
      <w:r w:rsidR="003C0A3C">
        <w:rPr>
          <w:sz w:val="24"/>
          <w:szCs w:val="24"/>
        </w:rPr>
        <w:t xml:space="preserve">  </w:t>
      </w:r>
      <w:r w:rsidR="00FF432C">
        <w:rPr>
          <w:sz w:val="24"/>
          <w:szCs w:val="24"/>
        </w:rPr>
        <w:t>Ultimately</w:t>
      </w:r>
      <w:r w:rsidR="00422526">
        <w:rPr>
          <w:sz w:val="24"/>
          <w:szCs w:val="24"/>
        </w:rPr>
        <w:t>,</w:t>
      </w:r>
      <w:r w:rsidR="00FF432C">
        <w:rPr>
          <w:sz w:val="24"/>
          <w:szCs w:val="24"/>
        </w:rPr>
        <w:t xml:space="preserve"> approximately 46% of the estimated load requirements for the PGA year will be hedged with fixed priced natural gas purchases.  These additional hedges will be executed throughout the PGA year according to the guidelines within the Company’s Plan.</w:t>
      </w:r>
    </w:p>
    <w:p w:rsidR="00FF432C" w:rsidRDefault="00FF432C" w:rsidP="00AA52D9">
      <w:pPr>
        <w:jc w:val="both"/>
        <w:rPr>
          <w:sz w:val="24"/>
          <w:szCs w:val="24"/>
        </w:rPr>
      </w:pPr>
    </w:p>
    <w:p w:rsidR="0072016E" w:rsidRDefault="0072016E" w:rsidP="0072016E">
      <w:pPr>
        <w:jc w:val="both"/>
        <w:rPr>
          <w:sz w:val="24"/>
          <w:szCs w:val="24"/>
        </w:rPr>
      </w:pPr>
      <w:r w:rsidRPr="00917666">
        <w:rPr>
          <w:sz w:val="24"/>
          <w:szCs w:val="24"/>
        </w:rPr>
        <w:t xml:space="preserve">The Company used a 30-day historical average of forward prices and supply basins (ending </w:t>
      </w:r>
      <w:r>
        <w:rPr>
          <w:sz w:val="24"/>
          <w:szCs w:val="24"/>
        </w:rPr>
        <w:t>July</w:t>
      </w:r>
      <w:r w:rsidRPr="00917666">
        <w:rPr>
          <w:sz w:val="24"/>
          <w:szCs w:val="24"/>
        </w:rPr>
        <w:t xml:space="preserve"> </w:t>
      </w:r>
      <w:r w:rsidR="00FF432C">
        <w:rPr>
          <w:sz w:val="24"/>
          <w:szCs w:val="24"/>
        </w:rPr>
        <w:t>31</w:t>
      </w:r>
      <w:r>
        <w:rPr>
          <w:sz w:val="24"/>
          <w:szCs w:val="24"/>
        </w:rPr>
        <w:t>, 201</w:t>
      </w:r>
      <w:r w:rsidR="00FF432C">
        <w:rPr>
          <w:sz w:val="24"/>
          <w:szCs w:val="24"/>
        </w:rPr>
        <w:t>7</w:t>
      </w:r>
      <w:r w:rsidRPr="00917666">
        <w:rPr>
          <w:sz w:val="24"/>
          <w:szCs w:val="24"/>
        </w:rPr>
        <w:t xml:space="preserve">) to develop an estimated cost associated with index purchases.  The estimated monthly volumes to be purchased by basin are multiplied by the 30-day average forward price for the corresponding month and basin.  These index purchases represent approximately </w:t>
      </w:r>
      <w:r w:rsidR="00715DF1">
        <w:rPr>
          <w:sz w:val="24"/>
          <w:szCs w:val="24"/>
        </w:rPr>
        <w:t>68</w:t>
      </w:r>
      <w:r w:rsidRPr="00917666">
        <w:rPr>
          <w:sz w:val="24"/>
          <w:szCs w:val="24"/>
        </w:rPr>
        <w:t>% of estimated annual load requirements for the coming year.  The annual weighted averag</w:t>
      </w:r>
      <w:r>
        <w:rPr>
          <w:sz w:val="24"/>
          <w:szCs w:val="24"/>
        </w:rPr>
        <w:t>e price for these volumes is $2.</w:t>
      </w:r>
      <w:r w:rsidR="00715DF1">
        <w:rPr>
          <w:sz w:val="24"/>
          <w:szCs w:val="24"/>
        </w:rPr>
        <w:t>15</w:t>
      </w:r>
      <w:r w:rsidRPr="00917666">
        <w:rPr>
          <w:sz w:val="24"/>
          <w:szCs w:val="24"/>
        </w:rPr>
        <w:t xml:space="preserve"> per dekatherm</w:t>
      </w:r>
      <w:r w:rsidR="00133678">
        <w:rPr>
          <w:sz w:val="24"/>
          <w:szCs w:val="24"/>
        </w:rPr>
        <w:t xml:space="preserve"> </w:t>
      </w:r>
      <w:r w:rsidR="00133678" w:rsidRPr="00E94546">
        <w:rPr>
          <w:sz w:val="24"/>
          <w:szCs w:val="24"/>
        </w:rPr>
        <w:t>($0.</w:t>
      </w:r>
      <w:r w:rsidR="00133678">
        <w:rPr>
          <w:sz w:val="24"/>
          <w:szCs w:val="24"/>
        </w:rPr>
        <w:t>2</w:t>
      </w:r>
      <w:r w:rsidR="00715DF1">
        <w:rPr>
          <w:sz w:val="24"/>
          <w:szCs w:val="24"/>
        </w:rPr>
        <w:t>15</w:t>
      </w:r>
      <w:r w:rsidR="00133678" w:rsidRPr="00E94546">
        <w:rPr>
          <w:sz w:val="24"/>
          <w:szCs w:val="24"/>
        </w:rPr>
        <w:t xml:space="preserve"> per </w:t>
      </w:r>
      <w:proofErr w:type="spellStart"/>
      <w:r w:rsidR="00133678" w:rsidRPr="00E94546">
        <w:rPr>
          <w:sz w:val="24"/>
          <w:szCs w:val="24"/>
        </w:rPr>
        <w:t>therm</w:t>
      </w:r>
      <w:proofErr w:type="spellEnd"/>
      <w:r w:rsidR="00133678" w:rsidRPr="00E94546">
        <w:rPr>
          <w:sz w:val="24"/>
          <w:szCs w:val="24"/>
        </w:rPr>
        <w:t>).</w:t>
      </w:r>
      <w:r w:rsidR="00133678">
        <w:rPr>
          <w:sz w:val="24"/>
          <w:szCs w:val="24"/>
        </w:rPr>
        <w:t xml:space="preserve"> </w:t>
      </w:r>
    </w:p>
    <w:p w:rsidR="00064FF0" w:rsidRDefault="00064FF0" w:rsidP="00AC5443">
      <w:pPr>
        <w:jc w:val="both"/>
        <w:rPr>
          <w:b/>
          <w:sz w:val="24"/>
          <w:szCs w:val="24"/>
          <w:u w:val="single"/>
        </w:rPr>
      </w:pPr>
    </w:p>
    <w:p w:rsidR="003A24DA" w:rsidRDefault="003A24DA" w:rsidP="00AC5443">
      <w:pPr>
        <w:jc w:val="both"/>
        <w:rPr>
          <w:b/>
          <w:sz w:val="24"/>
          <w:szCs w:val="24"/>
          <w:u w:val="single"/>
        </w:rPr>
      </w:pPr>
      <w:r w:rsidRPr="00EE2529">
        <w:rPr>
          <w:b/>
          <w:sz w:val="24"/>
          <w:szCs w:val="24"/>
          <w:u w:val="single"/>
        </w:rPr>
        <w:t>Demand Costs</w:t>
      </w:r>
    </w:p>
    <w:p w:rsidR="004C7E4C" w:rsidRDefault="004C7E4C" w:rsidP="00AC5443">
      <w:pPr>
        <w:jc w:val="both"/>
        <w:rPr>
          <w:sz w:val="24"/>
          <w:szCs w:val="24"/>
        </w:rPr>
      </w:pPr>
    </w:p>
    <w:p w:rsidR="003C6CC1" w:rsidRPr="003C6CC1" w:rsidRDefault="003C6CC1" w:rsidP="003C6CC1">
      <w:pPr>
        <w:jc w:val="both"/>
        <w:rPr>
          <w:sz w:val="24"/>
          <w:szCs w:val="24"/>
        </w:rPr>
      </w:pPr>
      <w:r w:rsidRPr="003C6CC1">
        <w:rPr>
          <w:sz w:val="24"/>
          <w:szCs w:val="24"/>
        </w:rPr>
        <w:t xml:space="preserve">Demand costs reflect the cost of pipeline transportation to the Company’s system, as well as fixed costs associated with natural gas storage.  As shown in the </w:t>
      </w:r>
      <w:r>
        <w:rPr>
          <w:sz w:val="24"/>
          <w:szCs w:val="24"/>
        </w:rPr>
        <w:t>t</w:t>
      </w:r>
      <w:r w:rsidRPr="003C6CC1">
        <w:rPr>
          <w:sz w:val="24"/>
          <w:szCs w:val="24"/>
        </w:rPr>
        <w:t xml:space="preserve">able above, demand costs are expected to decrease </w:t>
      </w:r>
      <w:r w:rsidR="00866E5E">
        <w:rPr>
          <w:sz w:val="24"/>
          <w:szCs w:val="24"/>
        </w:rPr>
        <w:t xml:space="preserve">for residential customers by </w:t>
      </w:r>
      <w:r>
        <w:rPr>
          <w:sz w:val="24"/>
          <w:szCs w:val="24"/>
        </w:rPr>
        <w:t xml:space="preserve">approximately </w:t>
      </w:r>
      <w:r w:rsidRPr="003C6CC1">
        <w:rPr>
          <w:sz w:val="24"/>
          <w:szCs w:val="24"/>
        </w:rPr>
        <w:t>$0.</w:t>
      </w:r>
      <w:r w:rsidR="00A2005A">
        <w:rPr>
          <w:sz w:val="24"/>
          <w:szCs w:val="24"/>
        </w:rPr>
        <w:t>0</w:t>
      </w:r>
      <w:r>
        <w:rPr>
          <w:sz w:val="24"/>
          <w:szCs w:val="24"/>
        </w:rPr>
        <w:t xml:space="preserve">2028 </w:t>
      </w:r>
      <w:r w:rsidRPr="003C6CC1">
        <w:rPr>
          <w:sz w:val="24"/>
          <w:szCs w:val="24"/>
        </w:rPr>
        <w:t>per therm</w:t>
      </w:r>
      <w:r>
        <w:rPr>
          <w:sz w:val="24"/>
          <w:szCs w:val="24"/>
        </w:rPr>
        <w:t>.</w:t>
      </w:r>
      <w:r w:rsidRPr="003C6CC1">
        <w:rPr>
          <w:sz w:val="24"/>
          <w:szCs w:val="24"/>
        </w:rPr>
        <w:t xml:space="preserve">  This reduction is primarily due to new transportation rates for Williams Northwest Pipeline effective both on January 1, 2018 and October 1, 2018.</w:t>
      </w:r>
      <w:r w:rsidRPr="003C6CC1">
        <w:rPr>
          <w:sz w:val="24"/>
          <w:szCs w:val="24"/>
          <w:vertAlign w:val="superscript"/>
        </w:rPr>
        <w:footnoteReference w:id="1"/>
      </w:r>
    </w:p>
    <w:p w:rsidR="00B015DB" w:rsidRDefault="00B015DB" w:rsidP="00AC5443">
      <w:pPr>
        <w:jc w:val="both"/>
        <w:rPr>
          <w:b/>
          <w:sz w:val="24"/>
          <w:szCs w:val="24"/>
          <w:u w:val="single"/>
        </w:rPr>
      </w:pPr>
    </w:p>
    <w:p w:rsidR="009F49D3" w:rsidRDefault="009F49D3" w:rsidP="00AC5443">
      <w:pPr>
        <w:jc w:val="both"/>
        <w:rPr>
          <w:b/>
          <w:sz w:val="24"/>
          <w:szCs w:val="24"/>
          <w:u w:val="single"/>
        </w:rPr>
      </w:pPr>
    </w:p>
    <w:p w:rsidR="009F49D3" w:rsidRDefault="009F49D3" w:rsidP="00AC5443">
      <w:pPr>
        <w:jc w:val="both"/>
        <w:rPr>
          <w:b/>
          <w:sz w:val="24"/>
          <w:szCs w:val="24"/>
          <w:u w:val="single"/>
        </w:rPr>
      </w:pPr>
    </w:p>
    <w:p w:rsidR="009F49D3" w:rsidRDefault="009F49D3" w:rsidP="00AC5443">
      <w:pPr>
        <w:jc w:val="both"/>
        <w:rPr>
          <w:b/>
          <w:sz w:val="24"/>
          <w:szCs w:val="24"/>
          <w:u w:val="single"/>
        </w:rPr>
      </w:pPr>
      <w:bookmarkStart w:id="0" w:name="_GoBack"/>
      <w:bookmarkEnd w:id="0"/>
    </w:p>
    <w:p w:rsidR="003A24DA" w:rsidRPr="00EE2529" w:rsidRDefault="003A24DA" w:rsidP="00AC5443">
      <w:pPr>
        <w:jc w:val="both"/>
        <w:rPr>
          <w:b/>
          <w:sz w:val="24"/>
          <w:szCs w:val="24"/>
          <w:u w:val="single"/>
        </w:rPr>
      </w:pPr>
      <w:r w:rsidRPr="00EE2529">
        <w:rPr>
          <w:b/>
          <w:sz w:val="24"/>
          <w:szCs w:val="24"/>
          <w:u w:val="single"/>
        </w:rPr>
        <w:lastRenderedPageBreak/>
        <w:t>Schedule 155 / Amortization Rate Change</w:t>
      </w:r>
    </w:p>
    <w:p w:rsidR="004C7E4C" w:rsidRDefault="004C7E4C" w:rsidP="00AC5443">
      <w:pPr>
        <w:jc w:val="both"/>
        <w:rPr>
          <w:sz w:val="24"/>
          <w:szCs w:val="24"/>
        </w:rPr>
      </w:pPr>
    </w:p>
    <w:p w:rsidR="00BA7CEA" w:rsidRDefault="00AA52D9" w:rsidP="00D062AC">
      <w:pPr>
        <w:jc w:val="both"/>
        <w:rPr>
          <w:sz w:val="24"/>
          <w:szCs w:val="24"/>
        </w:rPr>
      </w:pPr>
      <w:r w:rsidRPr="00271C09">
        <w:rPr>
          <w:sz w:val="24"/>
          <w:szCs w:val="24"/>
        </w:rPr>
        <w:t xml:space="preserve">As shown in the table above, </w:t>
      </w:r>
      <w:r w:rsidR="00866E5E">
        <w:rPr>
          <w:sz w:val="24"/>
          <w:szCs w:val="24"/>
        </w:rPr>
        <w:t>there are only slig</w:t>
      </w:r>
      <w:r w:rsidR="00422526">
        <w:rPr>
          <w:sz w:val="24"/>
          <w:szCs w:val="24"/>
        </w:rPr>
        <w:t>ht changes in the</w:t>
      </w:r>
      <w:r w:rsidR="00477B7A">
        <w:rPr>
          <w:sz w:val="24"/>
          <w:szCs w:val="24"/>
        </w:rPr>
        <w:t xml:space="preserve"> </w:t>
      </w:r>
      <w:r w:rsidR="00866E5E">
        <w:rPr>
          <w:sz w:val="24"/>
          <w:szCs w:val="24"/>
        </w:rPr>
        <w:t>amortization rate</w:t>
      </w:r>
      <w:r w:rsidR="00422526">
        <w:rPr>
          <w:sz w:val="24"/>
          <w:szCs w:val="24"/>
        </w:rPr>
        <w:t>s, resulting in an increase</w:t>
      </w:r>
      <w:r w:rsidR="00A22379">
        <w:rPr>
          <w:sz w:val="24"/>
          <w:szCs w:val="24"/>
        </w:rPr>
        <w:t xml:space="preserve"> of approximately $133,000</w:t>
      </w:r>
      <w:r w:rsidR="00866E5E">
        <w:rPr>
          <w:sz w:val="24"/>
          <w:szCs w:val="24"/>
        </w:rPr>
        <w:t xml:space="preserve">.  </w:t>
      </w:r>
      <w:r w:rsidR="00A22379">
        <w:rPr>
          <w:sz w:val="24"/>
          <w:szCs w:val="24"/>
        </w:rPr>
        <w:t>This change is due</w:t>
      </w:r>
      <w:r w:rsidR="00422526">
        <w:rPr>
          <w:sz w:val="24"/>
          <w:szCs w:val="24"/>
        </w:rPr>
        <w:t>, in part,</w:t>
      </w:r>
      <w:r w:rsidR="00A22379">
        <w:rPr>
          <w:sz w:val="24"/>
          <w:szCs w:val="24"/>
        </w:rPr>
        <w:t xml:space="preserve"> to less variability in the embedded WACOG vs. the actual WACOG for the current PGA year (2016-207) vs the previous PGA year (2015-2016</w:t>
      </w:r>
      <w:r w:rsidR="001A3736">
        <w:rPr>
          <w:sz w:val="24"/>
          <w:szCs w:val="24"/>
        </w:rPr>
        <w:t>).</w:t>
      </w:r>
    </w:p>
    <w:p w:rsidR="00BA7CEA" w:rsidRDefault="00BA7CEA" w:rsidP="00D062AC">
      <w:pPr>
        <w:jc w:val="both"/>
        <w:rPr>
          <w:b/>
          <w:sz w:val="24"/>
          <w:szCs w:val="24"/>
          <w:u w:val="single"/>
        </w:rPr>
      </w:pPr>
      <w:r>
        <w:rPr>
          <w:b/>
          <w:sz w:val="24"/>
          <w:szCs w:val="24"/>
          <w:u w:val="single"/>
        </w:rPr>
        <w:t>Other</w:t>
      </w:r>
    </w:p>
    <w:p w:rsidR="00422526" w:rsidRDefault="00422526" w:rsidP="00D062AC">
      <w:pPr>
        <w:jc w:val="both"/>
        <w:rPr>
          <w:sz w:val="24"/>
          <w:szCs w:val="24"/>
        </w:rPr>
      </w:pPr>
    </w:p>
    <w:p w:rsidR="00BA7CEA" w:rsidRPr="00BA7CEA" w:rsidRDefault="00BA7CEA" w:rsidP="00D062AC">
      <w:pPr>
        <w:jc w:val="both"/>
        <w:rPr>
          <w:sz w:val="24"/>
          <w:szCs w:val="24"/>
        </w:rPr>
      </w:pPr>
      <w:r>
        <w:rPr>
          <w:sz w:val="24"/>
          <w:szCs w:val="24"/>
        </w:rPr>
        <w:t xml:space="preserve">Guidance provided in </w:t>
      </w:r>
      <w:r w:rsidR="00422526">
        <w:rPr>
          <w:sz w:val="24"/>
          <w:szCs w:val="24"/>
        </w:rPr>
        <w:t xml:space="preserve">Docket No. </w:t>
      </w:r>
      <w:r>
        <w:rPr>
          <w:sz w:val="24"/>
          <w:szCs w:val="24"/>
        </w:rPr>
        <w:t xml:space="preserve">UG-132019’s </w:t>
      </w:r>
      <w:r w:rsidR="00F1532C">
        <w:rPr>
          <w:sz w:val="24"/>
          <w:szCs w:val="24"/>
        </w:rPr>
        <w:t>“</w:t>
      </w:r>
      <w:r>
        <w:rPr>
          <w:sz w:val="24"/>
          <w:szCs w:val="24"/>
        </w:rPr>
        <w:t>Policy and Interpretive Statement on Local Distribution Companies’ Natural Gas Hedging Practices”</w:t>
      </w:r>
      <w:r w:rsidR="00F1532C">
        <w:rPr>
          <w:sz w:val="24"/>
          <w:szCs w:val="24"/>
        </w:rPr>
        <w:t xml:space="preserve"> </w:t>
      </w:r>
      <w:r w:rsidR="00422526">
        <w:rPr>
          <w:sz w:val="24"/>
          <w:szCs w:val="24"/>
        </w:rPr>
        <w:t>(“Policy Statement”</w:t>
      </w:r>
      <w:r w:rsidR="001923AD">
        <w:rPr>
          <w:sz w:val="24"/>
          <w:szCs w:val="24"/>
        </w:rPr>
        <w:t>)</w:t>
      </w:r>
      <w:r w:rsidR="00422526">
        <w:rPr>
          <w:sz w:val="24"/>
          <w:szCs w:val="24"/>
        </w:rPr>
        <w:t xml:space="preserve"> </w:t>
      </w:r>
      <w:r w:rsidR="00F1532C">
        <w:rPr>
          <w:sz w:val="24"/>
          <w:szCs w:val="24"/>
        </w:rPr>
        <w:t>requires t</w:t>
      </w:r>
      <w:r w:rsidR="00422526">
        <w:rPr>
          <w:sz w:val="24"/>
          <w:szCs w:val="24"/>
        </w:rPr>
        <w:t>hat the 2017 PGA filing include</w:t>
      </w:r>
      <w:r w:rsidR="00F1532C">
        <w:rPr>
          <w:sz w:val="24"/>
          <w:szCs w:val="24"/>
        </w:rPr>
        <w:t xml:space="preserve"> a preliminary hedging plan.  </w:t>
      </w:r>
      <w:r w:rsidR="00422526">
        <w:rPr>
          <w:sz w:val="24"/>
          <w:szCs w:val="24"/>
        </w:rPr>
        <w:t>Per the Policy Statement, the</w:t>
      </w:r>
      <w:r w:rsidR="00F1532C">
        <w:rPr>
          <w:sz w:val="24"/>
          <w:szCs w:val="24"/>
        </w:rPr>
        <w:t xml:space="preserve"> plan should include information regarding objectives and goals, exposure quantification, strategic initiatives, and oversight and control of the Company’</w:t>
      </w:r>
      <w:r w:rsidR="00891483">
        <w:rPr>
          <w:sz w:val="24"/>
          <w:szCs w:val="24"/>
        </w:rPr>
        <w:t xml:space="preserve">s Procurement Plan in regards to incorporating risk-responsive hedging.  The Company has included </w:t>
      </w:r>
      <w:r w:rsidR="00422526">
        <w:rPr>
          <w:sz w:val="24"/>
          <w:szCs w:val="24"/>
        </w:rPr>
        <w:t>its</w:t>
      </w:r>
      <w:r w:rsidR="00891483">
        <w:rPr>
          <w:sz w:val="24"/>
          <w:szCs w:val="24"/>
        </w:rPr>
        <w:t xml:space="preserve"> plan as </w:t>
      </w:r>
      <w:r w:rsidR="002C4CC1">
        <w:rPr>
          <w:sz w:val="24"/>
          <w:szCs w:val="24"/>
        </w:rPr>
        <w:t>Attachment</w:t>
      </w:r>
      <w:r w:rsidR="00F2101E">
        <w:rPr>
          <w:sz w:val="24"/>
          <w:szCs w:val="24"/>
        </w:rPr>
        <w:t xml:space="preserve"> F.</w:t>
      </w:r>
    </w:p>
    <w:p w:rsidR="00291BE1" w:rsidRDefault="00291BE1" w:rsidP="00AC5443">
      <w:pPr>
        <w:jc w:val="both"/>
        <w:outlineLvl w:val="0"/>
        <w:rPr>
          <w:b/>
          <w:sz w:val="24"/>
          <w:szCs w:val="24"/>
          <w:u w:val="single"/>
        </w:rPr>
      </w:pPr>
    </w:p>
    <w:p w:rsidR="00936FE5" w:rsidRPr="00936FE5" w:rsidRDefault="00D062AC" w:rsidP="00AC5443">
      <w:pPr>
        <w:jc w:val="both"/>
        <w:outlineLvl w:val="0"/>
        <w:rPr>
          <w:b/>
          <w:sz w:val="24"/>
          <w:szCs w:val="24"/>
          <w:u w:val="single"/>
        </w:rPr>
      </w:pPr>
      <w:r>
        <w:rPr>
          <w:b/>
          <w:sz w:val="24"/>
          <w:szCs w:val="24"/>
          <w:u w:val="single"/>
        </w:rPr>
        <w:t>Summary</w:t>
      </w:r>
    </w:p>
    <w:p w:rsidR="00936FE5" w:rsidRPr="00936FE5" w:rsidRDefault="00936FE5" w:rsidP="00AC5443">
      <w:pPr>
        <w:jc w:val="both"/>
        <w:rPr>
          <w:sz w:val="24"/>
          <w:szCs w:val="24"/>
        </w:rPr>
      </w:pPr>
    </w:p>
    <w:p w:rsidR="003A24DA" w:rsidRDefault="00B52A0C" w:rsidP="00AC5443">
      <w:pPr>
        <w:tabs>
          <w:tab w:val="left" w:pos="720"/>
          <w:tab w:val="left" w:pos="3240"/>
        </w:tabs>
        <w:jc w:val="both"/>
        <w:rPr>
          <w:sz w:val="24"/>
        </w:rPr>
      </w:pPr>
      <w:r w:rsidRPr="00D67273">
        <w:rPr>
          <w:sz w:val="24"/>
          <w:szCs w:val="24"/>
        </w:rPr>
        <w:t xml:space="preserve">The annual revenue change reflected in this filing is </w:t>
      </w:r>
      <w:r w:rsidR="00C433DF" w:rsidRPr="00D67273">
        <w:rPr>
          <w:sz w:val="24"/>
          <w:szCs w:val="24"/>
        </w:rPr>
        <w:t>a</w:t>
      </w:r>
      <w:r w:rsidR="004D23AE" w:rsidRPr="00D67273">
        <w:rPr>
          <w:sz w:val="24"/>
          <w:szCs w:val="24"/>
        </w:rPr>
        <w:t xml:space="preserve"> </w:t>
      </w:r>
      <w:r w:rsidR="00C433DF">
        <w:rPr>
          <w:i/>
          <w:sz w:val="24"/>
          <w:szCs w:val="24"/>
        </w:rPr>
        <w:t>decrease</w:t>
      </w:r>
      <w:r w:rsidR="00F014F1" w:rsidRPr="00D67273">
        <w:rPr>
          <w:sz w:val="24"/>
          <w:szCs w:val="24"/>
        </w:rPr>
        <w:t xml:space="preserve"> </w:t>
      </w:r>
      <w:r w:rsidR="00F014F1" w:rsidRPr="00C433DF">
        <w:rPr>
          <w:sz w:val="24"/>
          <w:szCs w:val="24"/>
        </w:rPr>
        <w:t>of $</w:t>
      </w:r>
      <w:r w:rsidR="002E77AC">
        <w:rPr>
          <w:sz w:val="24"/>
          <w:szCs w:val="24"/>
        </w:rPr>
        <w:t>7.</w:t>
      </w:r>
      <w:r w:rsidR="00422526">
        <w:rPr>
          <w:sz w:val="24"/>
          <w:szCs w:val="24"/>
        </w:rPr>
        <w:t>8</w:t>
      </w:r>
      <w:r w:rsidR="00F014F1" w:rsidRPr="00C433DF">
        <w:rPr>
          <w:sz w:val="24"/>
          <w:szCs w:val="24"/>
        </w:rPr>
        <w:t xml:space="preserve"> million,</w:t>
      </w:r>
      <w:r w:rsidR="00F014F1" w:rsidRPr="00D67273">
        <w:rPr>
          <w:sz w:val="24"/>
          <w:szCs w:val="24"/>
        </w:rPr>
        <w:t xml:space="preserve"> or </w:t>
      </w:r>
      <w:r w:rsidR="00C433DF" w:rsidRPr="00D67273">
        <w:rPr>
          <w:sz w:val="24"/>
          <w:szCs w:val="24"/>
        </w:rPr>
        <w:t>a</w:t>
      </w:r>
      <w:r w:rsidR="00670A1C" w:rsidRPr="00D67273">
        <w:rPr>
          <w:sz w:val="24"/>
          <w:szCs w:val="24"/>
        </w:rPr>
        <w:t xml:space="preserve"> </w:t>
      </w:r>
      <w:r w:rsidR="00C433DF">
        <w:rPr>
          <w:i/>
          <w:sz w:val="24"/>
          <w:szCs w:val="24"/>
        </w:rPr>
        <w:t>decrease</w:t>
      </w:r>
      <w:r w:rsidR="004D23AE" w:rsidRPr="00D67273">
        <w:rPr>
          <w:sz w:val="24"/>
          <w:szCs w:val="24"/>
        </w:rPr>
        <w:t xml:space="preserve"> </w:t>
      </w:r>
      <w:r w:rsidRPr="00D67273">
        <w:rPr>
          <w:sz w:val="24"/>
          <w:szCs w:val="24"/>
        </w:rPr>
        <w:t xml:space="preserve">in annual </w:t>
      </w:r>
      <w:r w:rsidR="00133678">
        <w:rPr>
          <w:sz w:val="24"/>
          <w:szCs w:val="24"/>
        </w:rPr>
        <w:t xml:space="preserve">natural </w:t>
      </w:r>
      <w:r w:rsidRPr="00D67273">
        <w:rPr>
          <w:sz w:val="24"/>
          <w:szCs w:val="24"/>
        </w:rPr>
        <w:t xml:space="preserve">gas revenue of </w:t>
      </w:r>
      <w:r w:rsidR="002E77AC">
        <w:rPr>
          <w:sz w:val="24"/>
          <w:szCs w:val="24"/>
        </w:rPr>
        <w:t>5</w:t>
      </w:r>
      <w:r w:rsidR="00D062AC">
        <w:rPr>
          <w:sz w:val="24"/>
          <w:szCs w:val="24"/>
        </w:rPr>
        <w:t>.</w:t>
      </w:r>
      <w:r w:rsidR="002E77AC">
        <w:rPr>
          <w:sz w:val="24"/>
          <w:szCs w:val="24"/>
        </w:rPr>
        <w:t>2</w:t>
      </w:r>
      <w:r w:rsidRPr="00D67273">
        <w:rPr>
          <w:sz w:val="24"/>
          <w:szCs w:val="24"/>
        </w:rPr>
        <w:t xml:space="preserve">%.  </w:t>
      </w:r>
      <w:r w:rsidR="003A24DA" w:rsidRPr="002C2D32">
        <w:rPr>
          <w:sz w:val="24"/>
          <w:szCs w:val="24"/>
        </w:rPr>
        <w:t xml:space="preserve">The average residential or small commercial customer using </w:t>
      </w:r>
      <w:r w:rsidR="00291BE1" w:rsidRPr="00291BE1">
        <w:rPr>
          <w:sz w:val="24"/>
          <w:szCs w:val="24"/>
        </w:rPr>
        <w:t>6</w:t>
      </w:r>
      <w:r w:rsidR="00891483">
        <w:rPr>
          <w:sz w:val="24"/>
          <w:szCs w:val="24"/>
        </w:rPr>
        <w:t>5</w:t>
      </w:r>
      <w:r w:rsidR="00FC02C5">
        <w:rPr>
          <w:sz w:val="24"/>
          <w:szCs w:val="24"/>
        </w:rPr>
        <w:t xml:space="preserve"> </w:t>
      </w:r>
      <w:proofErr w:type="spellStart"/>
      <w:r w:rsidR="003A24DA" w:rsidRPr="002C2D32">
        <w:rPr>
          <w:sz w:val="24"/>
          <w:szCs w:val="24"/>
        </w:rPr>
        <w:t>therms</w:t>
      </w:r>
      <w:proofErr w:type="spellEnd"/>
      <w:r w:rsidR="003A24DA" w:rsidRPr="002C2D32">
        <w:rPr>
          <w:sz w:val="24"/>
          <w:szCs w:val="24"/>
        </w:rPr>
        <w:t xml:space="preserve"> per month</w:t>
      </w:r>
      <w:r w:rsidR="003A24DA" w:rsidRPr="002C2D32">
        <w:rPr>
          <w:sz w:val="24"/>
        </w:rPr>
        <w:t xml:space="preserve"> will see </w:t>
      </w:r>
      <w:r w:rsidR="00291BE1" w:rsidRPr="002C2D32">
        <w:rPr>
          <w:sz w:val="24"/>
        </w:rPr>
        <w:t>a</w:t>
      </w:r>
      <w:r w:rsidR="00AA52D9" w:rsidRPr="002C2D32">
        <w:rPr>
          <w:sz w:val="24"/>
        </w:rPr>
        <w:t xml:space="preserve"> </w:t>
      </w:r>
      <w:r w:rsidR="00C433DF">
        <w:rPr>
          <w:sz w:val="24"/>
        </w:rPr>
        <w:t>decrease</w:t>
      </w:r>
      <w:r w:rsidR="003A24DA" w:rsidRPr="002C2D32">
        <w:rPr>
          <w:sz w:val="24"/>
        </w:rPr>
        <w:t xml:space="preserve"> of </w:t>
      </w:r>
      <w:r w:rsidR="00902FB5">
        <w:rPr>
          <w:sz w:val="24"/>
        </w:rPr>
        <w:t>$</w:t>
      </w:r>
      <w:r w:rsidR="002E77AC">
        <w:rPr>
          <w:sz w:val="24"/>
        </w:rPr>
        <w:t>2.</w:t>
      </w:r>
      <w:r w:rsidR="00891483">
        <w:rPr>
          <w:sz w:val="24"/>
        </w:rPr>
        <w:t>78</w:t>
      </w:r>
      <w:r w:rsidR="003A24DA" w:rsidRPr="002C2D32">
        <w:rPr>
          <w:sz w:val="24"/>
        </w:rPr>
        <w:t xml:space="preserve"> per month, </w:t>
      </w:r>
      <w:r w:rsidR="003A24DA" w:rsidRPr="00FC02C5">
        <w:rPr>
          <w:sz w:val="24"/>
        </w:rPr>
        <w:t xml:space="preserve">or approximately </w:t>
      </w:r>
      <w:r w:rsidR="002E77AC">
        <w:rPr>
          <w:sz w:val="24"/>
        </w:rPr>
        <w:t>4.9</w:t>
      </w:r>
      <w:r w:rsidR="003A24DA" w:rsidRPr="00FC02C5">
        <w:rPr>
          <w:sz w:val="24"/>
        </w:rPr>
        <w:t>%.</w:t>
      </w:r>
      <w:r w:rsidR="003A24DA" w:rsidRPr="002C2D32">
        <w:rPr>
          <w:sz w:val="24"/>
        </w:rPr>
        <w:t xml:space="preserve">  The present bill for </w:t>
      </w:r>
      <w:r w:rsidR="004D23AE" w:rsidRPr="002C2D32">
        <w:rPr>
          <w:sz w:val="24"/>
        </w:rPr>
        <w:t>6</w:t>
      </w:r>
      <w:r w:rsidR="00AF6124">
        <w:rPr>
          <w:sz w:val="24"/>
        </w:rPr>
        <w:t>6</w:t>
      </w:r>
      <w:r w:rsidR="003A24DA" w:rsidRPr="002C2D32">
        <w:rPr>
          <w:sz w:val="24"/>
        </w:rPr>
        <w:t xml:space="preserve"> </w:t>
      </w:r>
      <w:proofErr w:type="spellStart"/>
      <w:r w:rsidR="003A24DA" w:rsidRPr="00FC02C5">
        <w:rPr>
          <w:sz w:val="24"/>
        </w:rPr>
        <w:t>therms</w:t>
      </w:r>
      <w:proofErr w:type="spellEnd"/>
      <w:r w:rsidR="003A24DA" w:rsidRPr="00FC02C5">
        <w:rPr>
          <w:sz w:val="24"/>
        </w:rPr>
        <w:t xml:space="preserve"> is $</w:t>
      </w:r>
      <w:r w:rsidR="002E77AC">
        <w:rPr>
          <w:sz w:val="24"/>
        </w:rPr>
        <w:t>5</w:t>
      </w:r>
      <w:r w:rsidR="00891483">
        <w:rPr>
          <w:sz w:val="24"/>
        </w:rPr>
        <w:t>7.33</w:t>
      </w:r>
      <w:r w:rsidR="00133678">
        <w:rPr>
          <w:sz w:val="24"/>
        </w:rPr>
        <w:t xml:space="preserve"> </w:t>
      </w:r>
      <w:r w:rsidR="003A24DA" w:rsidRPr="00FC02C5">
        <w:rPr>
          <w:sz w:val="24"/>
        </w:rPr>
        <w:t>while the proposed bill is $</w:t>
      </w:r>
      <w:r w:rsidR="00891483">
        <w:rPr>
          <w:sz w:val="24"/>
        </w:rPr>
        <w:t>54.55</w:t>
      </w:r>
      <w:r w:rsidR="003A24DA" w:rsidRPr="00FC02C5">
        <w:rPr>
          <w:sz w:val="24"/>
        </w:rPr>
        <w:t>.</w:t>
      </w:r>
      <w:r w:rsidR="00CC5157">
        <w:rPr>
          <w:sz w:val="24"/>
        </w:rPr>
        <w:t xml:space="preserve">  </w:t>
      </w:r>
    </w:p>
    <w:p w:rsidR="00CC5157" w:rsidRDefault="00CC5157" w:rsidP="00AC5443">
      <w:pPr>
        <w:tabs>
          <w:tab w:val="left" w:pos="720"/>
          <w:tab w:val="left" w:pos="3240"/>
        </w:tabs>
        <w:jc w:val="both"/>
        <w:rPr>
          <w:sz w:val="24"/>
        </w:rPr>
      </w:pPr>
    </w:p>
    <w:p w:rsidR="00093A6E" w:rsidRDefault="00B52A0C" w:rsidP="00AC5443">
      <w:pPr>
        <w:tabs>
          <w:tab w:val="left" w:pos="720"/>
          <w:tab w:val="left" w:pos="3240"/>
        </w:tabs>
        <w:jc w:val="both"/>
        <w:rPr>
          <w:sz w:val="24"/>
        </w:rPr>
      </w:pPr>
      <w:r>
        <w:rPr>
          <w:sz w:val="24"/>
        </w:rPr>
        <w:t xml:space="preserve">Also enclosed are the </w:t>
      </w:r>
      <w:proofErr w:type="spellStart"/>
      <w:r>
        <w:rPr>
          <w:sz w:val="24"/>
        </w:rPr>
        <w:t>workpapers</w:t>
      </w:r>
      <w:proofErr w:type="spellEnd"/>
      <w:r>
        <w:rPr>
          <w:sz w:val="24"/>
        </w:rPr>
        <w:t xml:space="preserve"> supporting the proposed rate changes</w:t>
      </w:r>
      <w:r w:rsidR="00422526">
        <w:rPr>
          <w:sz w:val="24"/>
        </w:rPr>
        <w:t>,</w:t>
      </w:r>
      <w:r w:rsidR="00D95D14">
        <w:rPr>
          <w:sz w:val="24"/>
        </w:rPr>
        <w:t xml:space="preserve"> </w:t>
      </w:r>
      <w:r w:rsidR="00CC5157">
        <w:rPr>
          <w:sz w:val="24"/>
        </w:rPr>
        <w:t xml:space="preserve">a media release </w:t>
      </w:r>
      <w:r w:rsidR="00D95D14">
        <w:rPr>
          <w:sz w:val="24"/>
        </w:rPr>
        <w:t xml:space="preserve">which will be issued </w:t>
      </w:r>
      <w:r w:rsidR="00CC5157">
        <w:rPr>
          <w:sz w:val="24"/>
        </w:rPr>
        <w:t>coincident with this filing</w:t>
      </w:r>
      <w:r w:rsidR="00422526">
        <w:rPr>
          <w:sz w:val="24"/>
        </w:rPr>
        <w:t>, and</w:t>
      </w:r>
      <w:r w:rsidR="00CC5157">
        <w:rPr>
          <w:sz w:val="24"/>
        </w:rPr>
        <w:t xml:space="preserve"> a bill insert to customers regarding the proposed </w:t>
      </w:r>
      <w:r w:rsidR="004D23AE" w:rsidRPr="004D23AE">
        <w:rPr>
          <w:sz w:val="24"/>
        </w:rPr>
        <w:t>in</w:t>
      </w:r>
      <w:r w:rsidR="00CC5157" w:rsidRPr="004D23AE">
        <w:rPr>
          <w:sz w:val="24"/>
        </w:rPr>
        <w:t>crease</w:t>
      </w:r>
      <w:r w:rsidR="00422526">
        <w:rPr>
          <w:sz w:val="24"/>
        </w:rPr>
        <w:t>.</w:t>
      </w:r>
    </w:p>
    <w:p w:rsidR="00093A6E" w:rsidRDefault="00093A6E" w:rsidP="00AC5443">
      <w:pPr>
        <w:tabs>
          <w:tab w:val="left" w:pos="720"/>
          <w:tab w:val="left" w:pos="3240"/>
        </w:tabs>
        <w:jc w:val="both"/>
        <w:rPr>
          <w:sz w:val="24"/>
        </w:rPr>
      </w:pPr>
    </w:p>
    <w:p w:rsidR="00B52A0C" w:rsidRDefault="00B52A0C" w:rsidP="00AC5443">
      <w:pPr>
        <w:jc w:val="both"/>
        <w:rPr>
          <w:sz w:val="24"/>
        </w:rPr>
      </w:pPr>
      <w:r>
        <w:rPr>
          <w:sz w:val="24"/>
        </w:rPr>
        <w:t xml:space="preserve">If you have any questions regarding this filing, please call </w:t>
      </w:r>
      <w:r w:rsidR="002E77AC">
        <w:rPr>
          <w:sz w:val="24"/>
        </w:rPr>
        <w:t>Annette Brandon</w:t>
      </w:r>
      <w:r>
        <w:rPr>
          <w:sz w:val="24"/>
        </w:rPr>
        <w:t xml:space="preserve"> at 509-495-</w:t>
      </w:r>
      <w:r w:rsidR="00AA52D9">
        <w:rPr>
          <w:sz w:val="24"/>
        </w:rPr>
        <w:t>4</w:t>
      </w:r>
      <w:r w:rsidR="00FC02C5">
        <w:rPr>
          <w:sz w:val="24"/>
        </w:rPr>
        <w:t>873</w:t>
      </w:r>
      <w:r>
        <w:rPr>
          <w:sz w:val="24"/>
        </w:rPr>
        <w:t xml:space="preserve"> or </w:t>
      </w:r>
      <w:r w:rsidR="000F0AAC">
        <w:rPr>
          <w:sz w:val="24"/>
        </w:rPr>
        <w:t>myself</w:t>
      </w:r>
      <w:r>
        <w:rPr>
          <w:sz w:val="24"/>
        </w:rPr>
        <w:t xml:space="preserve"> at 509-495-</w:t>
      </w:r>
      <w:r w:rsidR="009F6C11">
        <w:rPr>
          <w:sz w:val="24"/>
        </w:rPr>
        <w:t>8620</w:t>
      </w:r>
      <w:r>
        <w:rPr>
          <w:sz w:val="24"/>
        </w:rPr>
        <w:t>.</w:t>
      </w:r>
    </w:p>
    <w:p w:rsidR="00B52A0C" w:rsidRDefault="00B52A0C" w:rsidP="00AC5443">
      <w:pPr>
        <w:rPr>
          <w:sz w:val="24"/>
        </w:rPr>
      </w:pPr>
    </w:p>
    <w:p w:rsidR="00AA52D9" w:rsidRDefault="00B52A0C" w:rsidP="00AC5443">
      <w:pPr>
        <w:rPr>
          <w:sz w:val="24"/>
        </w:rPr>
      </w:pPr>
      <w:r>
        <w:rPr>
          <w:sz w:val="24"/>
        </w:rPr>
        <w:t>Sincerely,</w:t>
      </w:r>
    </w:p>
    <w:p w:rsidR="00064FF0" w:rsidRDefault="00064FF0" w:rsidP="00AC5443">
      <w:pPr>
        <w:rPr>
          <w:sz w:val="24"/>
        </w:rPr>
      </w:pPr>
    </w:p>
    <w:p w:rsidR="000F0AAC" w:rsidRDefault="000F0AAC" w:rsidP="00AC5443">
      <w:pPr>
        <w:rPr>
          <w:sz w:val="24"/>
        </w:rPr>
      </w:pPr>
    </w:p>
    <w:p w:rsidR="00064FF0" w:rsidRDefault="00064FF0" w:rsidP="00AC5443">
      <w:pPr>
        <w:rPr>
          <w:sz w:val="24"/>
        </w:rPr>
      </w:pPr>
    </w:p>
    <w:p w:rsidR="000F0AAC" w:rsidRDefault="000F0AAC" w:rsidP="00D67273">
      <w:pPr>
        <w:jc w:val="both"/>
        <w:rPr>
          <w:sz w:val="24"/>
        </w:rPr>
      </w:pPr>
      <w:r>
        <w:rPr>
          <w:sz w:val="24"/>
        </w:rPr>
        <w:t>Patrick D. Ehrbar</w:t>
      </w:r>
    </w:p>
    <w:p w:rsidR="00D67273" w:rsidRPr="00D67273" w:rsidRDefault="000F0AAC" w:rsidP="00D67273">
      <w:pPr>
        <w:jc w:val="both"/>
        <w:rPr>
          <w:sz w:val="24"/>
        </w:rPr>
      </w:pPr>
      <w:r>
        <w:rPr>
          <w:sz w:val="24"/>
        </w:rPr>
        <w:t>Senior Manager, Rates and Tariffs</w:t>
      </w:r>
    </w:p>
    <w:p w:rsidR="00D67273" w:rsidRPr="00D67273" w:rsidRDefault="00D67273" w:rsidP="00DE6971">
      <w:pPr>
        <w:jc w:val="both"/>
        <w:rPr>
          <w:sz w:val="24"/>
        </w:rPr>
      </w:pPr>
      <w:r w:rsidRPr="00D67273">
        <w:rPr>
          <w:sz w:val="24"/>
        </w:rPr>
        <w:t>Regulatory and Governmental Affairs</w:t>
      </w:r>
    </w:p>
    <w:p w:rsidR="00CC5157" w:rsidRDefault="00093A6E" w:rsidP="00AC5443">
      <w:pPr>
        <w:tabs>
          <w:tab w:val="left" w:pos="720"/>
          <w:tab w:val="left" w:pos="3240"/>
        </w:tabs>
      </w:pPr>
      <w:r>
        <w:rPr>
          <w:sz w:val="24"/>
        </w:rPr>
        <w:t xml:space="preserve"> </w:t>
      </w:r>
    </w:p>
    <w:sectPr w:rsidR="00CC5157" w:rsidSect="00C93E1E">
      <w:headerReference w:type="default" r:id="rId10"/>
      <w:pgSz w:w="12240" w:h="15840" w:code="1"/>
      <w:pgMar w:top="807" w:right="1440" w:bottom="1080" w:left="1440" w:header="540" w:footer="48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21B" w:rsidRDefault="00D3321B">
      <w:r>
        <w:separator/>
      </w:r>
    </w:p>
  </w:endnote>
  <w:endnote w:type="continuationSeparator" w:id="0">
    <w:p w:rsidR="00D3321B" w:rsidRDefault="00D3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21B" w:rsidRDefault="00D3321B">
      <w:r>
        <w:separator/>
      </w:r>
    </w:p>
  </w:footnote>
  <w:footnote w:type="continuationSeparator" w:id="0">
    <w:p w:rsidR="00D3321B" w:rsidRDefault="00D3321B">
      <w:r>
        <w:continuationSeparator/>
      </w:r>
    </w:p>
  </w:footnote>
  <w:footnote w:id="1">
    <w:p w:rsidR="003C6CC1" w:rsidRDefault="003C6CC1" w:rsidP="003C6CC1">
      <w:pPr>
        <w:pStyle w:val="FootnoteText"/>
        <w:jc w:val="both"/>
      </w:pPr>
      <w:r>
        <w:rPr>
          <w:rStyle w:val="FootnoteReference"/>
        </w:rPr>
        <w:footnoteRef/>
      </w:r>
      <w:r>
        <w:t xml:space="preserve"> The Williams Northwest Pipeline Settlement agreement is pending approval before the Federal Energy Regulatory Commission (FERC).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F9D" w:rsidRPr="00C93E1E" w:rsidRDefault="00A31F9D" w:rsidP="00C93E1E">
    <w:pPr>
      <w:pStyle w:val="Header"/>
      <w:tabs>
        <w:tab w:val="clear" w:pos="8640"/>
        <w:tab w:val="right" w:pos="9720"/>
      </w:tabs>
      <w:jc w:val="right"/>
    </w:pPr>
    <w:r w:rsidRPr="00C93E1E">
      <w:t>Avista Utilities 201</w:t>
    </w:r>
    <w:r w:rsidR="00422526">
      <w:t>7</w:t>
    </w:r>
    <w:r w:rsidRPr="00C93E1E">
      <w:t xml:space="preserve"> PGA Filing</w:t>
    </w:r>
  </w:p>
  <w:p w:rsidR="00A31F9D" w:rsidRDefault="00A31F9D" w:rsidP="00C93E1E">
    <w:pPr>
      <w:pStyle w:val="Header"/>
      <w:tabs>
        <w:tab w:val="clear" w:pos="8640"/>
        <w:tab w:val="right" w:pos="9720"/>
      </w:tabs>
      <w:jc w:val="right"/>
    </w:pPr>
    <w:r>
      <w:t xml:space="preserve">August </w:t>
    </w:r>
    <w:r w:rsidR="00291BE1">
      <w:t>31</w:t>
    </w:r>
    <w:r w:rsidRPr="00C93E1E">
      <w:t>, 201</w:t>
    </w:r>
    <w:r w:rsidR="00422526">
      <w:t>7</w:t>
    </w:r>
  </w:p>
  <w:sdt>
    <w:sdtPr>
      <w:id w:val="250395305"/>
      <w:docPartObj>
        <w:docPartGallery w:val="Page Numbers (Top of Page)"/>
        <w:docPartUnique/>
      </w:docPartObj>
    </w:sdtPr>
    <w:sdtEndPr/>
    <w:sdtContent>
      <w:p w:rsidR="00A31F9D" w:rsidRDefault="00A31F9D" w:rsidP="006203D9">
        <w:pPr>
          <w:jc w:val="right"/>
        </w:pPr>
        <w:r>
          <w:t xml:space="preserve">Page </w:t>
        </w:r>
        <w:r w:rsidR="00A25ABF">
          <w:fldChar w:fldCharType="begin"/>
        </w:r>
        <w:r w:rsidR="00A25ABF">
          <w:instrText xml:space="preserve"> PAGE </w:instrText>
        </w:r>
        <w:r w:rsidR="00A25ABF">
          <w:fldChar w:fldCharType="separate"/>
        </w:r>
        <w:r w:rsidR="009F49D3">
          <w:rPr>
            <w:noProof/>
          </w:rPr>
          <w:t>3</w:t>
        </w:r>
        <w:r w:rsidR="00A25ABF">
          <w:rPr>
            <w:noProof/>
          </w:rPr>
          <w:fldChar w:fldCharType="end"/>
        </w:r>
        <w:r>
          <w:t xml:space="preserve"> of </w:t>
        </w:r>
        <w:r w:rsidR="009F49D3">
          <w:fldChar w:fldCharType="begin"/>
        </w:r>
        <w:r w:rsidR="009F49D3">
          <w:instrText xml:space="preserve"> NUMPAGES  </w:instrText>
        </w:r>
        <w:r w:rsidR="009F49D3">
          <w:fldChar w:fldCharType="separate"/>
        </w:r>
        <w:r w:rsidR="009F49D3">
          <w:rPr>
            <w:noProof/>
          </w:rPr>
          <w:t>3</w:t>
        </w:r>
        <w:r w:rsidR="009F49D3">
          <w:rPr>
            <w:noProof/>
          </w:rPr>
          <w:fldChar w:fldCharType="end"/>
        </w:r>
      </w:p>
    </w:sdtContent>
  </w:sdt>
  <w:p w:rsidR="00A31F9D" w:rsidRPr="007D292A" w:rsidRDefault="00A31F9D" w:rsidP="007D292A">
    <w:pPr>
      <w:pStyle w:val="Header"/>
      <w:tabs>
        <w:tab w:val="clear" w:pos="8640"/>
        <w:tab w:val="right" w:pos="9720"/>
      </w:tabs>
      <w:rPr>
        <w:sz w:val="24"/>
      </w:rPr>
    </w:pPr>
    <w:r w:rsidRPr="007D292A">
      <w:rPr>
        <w:sz w:val="24"/>
      </w:rPr>
      <w:tab/>
    </w:r>
    <w:r w:rsidRPr="007D292A">
      <w:rPr>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C4700"/>
    <w:multiLevelType w:val="hybridMultilevel"/>
    <w:tmpl w:val="A31A9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8E28BC"/>
    <w:multiLevelType w:val="hybridMultilevel"/>
    <w:tmpl w:val="E258C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4DA"/>
    <w:rsid w:val="000110A9"/>
    <w:rsid w:val="00035C92"/>
    <w:rsid w:val="000541BF"/>
    <w:rsid w:val="00061B39"/>
    <w:rsid w:val="00064FF0"/>
    <w:rsid w:val="00072517"/>
    <w:rsid w:val="000749B4"/>
    <w:rsid w:val="00080BA5"/>
    <w:rsid w:val="0008299C"/>
    <w:rsid w:val="000834FF"/>
    <w:rsid w:val="0008789D"/>
    <w:rsid w:val="00093422"/>
    <w:rsid w:val="000935FA"/>
    <w:rsid w:val="00093A6E"/>
    <w:rsid w:val="000A080B"/>
    <w:rsid w:val="000A588D"/>
    <w:rsid w:val="000E4BA2"/>
    <w:rsid w:val="000E4D84"/>
    <w:rsid w:val="000F0AAC"/>
    <w:rsid w:val="000F44EE"/>
    <w:rsid w:val="000F651E"/>
    <w:rsid w:val="0010017F"/>
    <w:rsid w:val="00106994"/>
    <w:rsid w:val="00116CB8"/>
    <w:rsid w:val="00121427"/>
    <w:rsid w:val="0012361D"/>
    <w:rsid w:val="00133678"/>
    <w:rsid w:val="001411A7"/>
    <w:rsid w:val="00143B12"/>
    <w:rsid w:val="00146B7E"/>
    <w:rsid w:val="00150E5A"/>
    <w:rsid w:val="001830F2"/>
    <w:rsid w:val="001923AD"/>
    <w:rsid w:val="001A3736"/>
    <w:rsid w:val="001B511A"/>
    <w:rsid w:val="001C78DF"/>
    <w:rsid w:val="001E4F52"/>
    <w:rsid w:val="001F1AB3"/>
    <w:rsid w:val="001F3681"/>
    <w:rsid w:val="001F4F10"/>
    <w:rsid w:val="001F53C7"/>
    <w:rsid w:val="00214D6E"/>
    <w:rsid w:val="002453FB"/>
    <w:rsid w:val="00250818"/>
    <w:rsid w:val="002548BB"/>
    <w:rsid w:val="002605A3"/>
    <w:rsid w:val="00262DD8"/>
    <w:rsid w:val="00267B6F"/>
    <w:rsid w:val="0028020D"/>
    <w:rsid w:val="002822C4"/>
    <w:rsid w:val="0029109F"/>
    <w:rsid w:val="00291BE1"/>
    <w:rsid w:val="00292559"/>
    <w:rsid w:val="002C2D32"/>
    <w:rsid w:val="002C4CC1"/>
    <w:rsid w:val="002D51E5"/>
    <w:rsid w:val="002D57EC"/>
    <w:rsid w:val="002E0138"/>
    <w:rsid w:val="002E2956"/>
    <w:rsid w:val="002E5BF1"/>
    <w:rsid w:val="002E77AC"/>
    <w:rsid w:val="002F728C"/>
    <w:rsid w:val="003075C0"/>
    <w:rsid w:val="00310BD0"/>
    <w:rsid w:val="00312EDD"/>
    <w:rsid w:val="00315977"/>
    <w:rsid w:val="00320294"/>
    <w:rsid w:val="00321B58"/>
    <w:rsid w:val="00321CC6"/>
    <w:rsid w:val="00323710"/>
    <w:rsid w:val="00337E03"/>
    <w:rsid w:val="00344E20"/>
    <w:rsid w:val="003610AB"/>
    <w:rsid w:val="00372E6F"/>
    <w:rsid w:val="00390FCA"/>
    <w:rsid w:val="003973C5"/>
    <w:rsid w:val="003A24DA"/>
    <w:rsid w:val="003C0A3C"/>
    <w:rsid w:val="003C6CC1"/>
    <w:rsid w:val="003C7D54"/>
    <w:rsid w:val="003D463E"/>
    <w:rsid w:val="003E5C53"/>
    <w:rsid w:val="003F283A"/>
    <w:rsid w:val="00402A34"/>
    <w:rsid w:val="00403FC5"/>
    <w:rsid w:val="00404DA4"/>
    <w:rsid w:val="00422526"/>
    <w:rsid w:val="0042436D"/>
    <w:rsid w:val="00426001"/>
    <w:rsid w:val="00444594"/>
    <w:rsid w:val="004451E6"/>
    <w:rsid w:val="004473E7"/>
    <w:rsid w:val="004517A7"/>
    <w:rsid w:val="004538BD"/>
    <w:rsid w:val="0045729D"/>
    <w:rsid w:val="00462713"/>
    <w:rsid w:val="00476A6C"/>
    <w:rsid w:val="00476BA3"/>
    <w:rsid w:val="00477B7A"/>
    <w:rsid w:val="004A436F"/>
    <w:rsid w:val="004A6644"/>
    <w:rsid w:val="004B6222"/>
    <w:rsid w:val="004C40BD"/>
    <w:rsid w:val="004C7E4C"/>
    <w:rsid w:val="004D23AE"/>
    <w:rsid w:val="004F6F7C"/>
    <w:rsid w:val="0050537E"/>
    <w:rsid w:val="0050671A"/>
    <w:rsid w:val="00512704"/>
    <w:rsid w:val="005155A9"/>
    <w:rsid w:val="005457C7"/>
    <w:rsid w:val="005467A5"/>
    <w:rsid w:val="00556EFE"/>
    <w:rsid w:val="00560628"/>
    <w:rsid w:val="00564352"/>
    <w:rsid w:val="005736EC"/>
    <w:rsid w:val="00586D69"/>
    <w:rsid w:val="005A0379"/>
    <w:rsid w:val="005A1F17"/>
    <w:rsid w:val="005A46AD"/>
    <w:rsid w:val="005B02B2"/>
    <w:rsid w:val="005B6F2C"/>
    <w:rsid w:val="005C6EA3"/>
    <w:rsid w:val="005D0F60"/>
    <w:rsid w:val="005F7CE5"/>
    <w:rsid w:val="0061738C"/>
    <w:rsid w:val="006203D9"/>
    <w:rsid w:val="00624938"/>
    <w:rsid w:val="00626D59"/>
    <w:rsid w:val="0063790C"/>
    <w:rsid w:val="00640CA6"/>
    <w:rsid w:val="00641AA9"/>
    <w:rsid w:val="006468F1"/>
    <w:rsid w:val="006475D9"/>
    <w:rsid w:val="00655A73"/>
    <w:rsid w:val="0065654E"/>
    <w:rsid w:val="00656B7D"/>
    <w:rsid w:val="00670A1C"/>
    <w:rsid w:val="00672292"/>
    <w:rsid w:val="006737A0"/>
    <w:rsid w:val="00682FCA"/>
    <w:rsid w:val="006943AB"/>
    <w:rsid w:val="006C552D"/>
    <w:rsid w:val="006F011A"/>
    <w:rsid w:val="00715DF1"/>
    <w:rsid w:val="007165AC"/>
    <w:rsid w:val="0072016E"/>
    <w:rsid w:val="00732C0E"/>
    <w:rsid w:val="00735E8D"/>
    <w:rsid w:val="00736ED4"/>
    <w:rsid w:val="00740A53"/>
    <w:rsid w:val="0074190B"/>
    <w:rsid w:val="00761526"/>
    <w:rsid w:val="007641AB"/>
    <w:rsid w:val="007642C0"/>
    <w:rsid w:val="00775BDC"/>
    <w:rsid w:val="0077674F"/>
    <w:rsid w:val="0078033B"/>
    <w:rsid w:val="007815D4"/>
    <w:rsid w:val="00791760"/>
    <w:rsid w:val="007B256F"/>
    <w:rsid w:val="007C7FD2"/>
    <w:rsid w:val="007D292A"/>
    <w:rsid w:val="007D571F"/>
    <w:rsid w:val="00802C90"/>
    <w:rsid w:val="00811A10"/>
    <w:rsid w:val="00814215"/>
    <w:rsid w:val="00820A23"/>
    <w:rsid w:val="008269EE"/>
    <w:rsid w:val="00844730"/>
    <w:rsid w:val="00850F10"/>
    <w:rsid w:val="00852594"/>
    <w:rsid w:val="00866E5E"/>
    <w:rsid w:val="00882827"/>
    <w:rsid w:val="00883838"/>
    <w:rsid w:val="00887D51"/>
    <w:rsid w:val="00891483"/>
    <w:rsid w:val="00897F12"/>
    <w:rsid w:val="008A5F60"/>
    <w:rsid w:val="008A7105"/>
    <w:rsid w:val="008B59DE"/>
    <w:rsid w:val="008B796C"/>
    <w:rsid w:val="008B7BB4"/>
    <w:rsid w:val="008C3AC9"/>
    <w:rsid w:val="008D1A8C"/>
    <w:rsid w:val="008F7ADD"/>
    <w:rsid w:val="00902FB5"/>
    <w:rsid w:val="00903C5C"/>
    <w:rsid w:val="00914A8A"/>
    <w:rsid w:val="00917666"/>
    <w:rsid w:val="00917717"/>
    <w:rsid w:val="00924737"/>
    <w:rsid w:val="00925257"/>
    <w:rsid w:val="009260DC"/>
    <w:rsid w:val="009309F5"/>
    <w:rsid w:val="00936FE5"/>
    <w:rsid w:val="00944B3C"/>
    <w:rsid w:val="00964324"/>
    <w:rsid w:val="00965BCA"/>
    <w:rsid w:val="00971079"/>
    <w:rsid w:val="00986F4A"/>
    <w:rsid w:val="00992BB6"/>
    <w:rsid w:val="009976BE"/>
    <w:rsid w:val="009B62AB"/>
    <w:rsid w:val="009B74B5"/>
    <w:rsid w:val="009C109D"/>
    <w:rsid w:val="009C5D8A"/>
    <w:rsid w:val="009E5109"/>
    <w:rsid w:val="009F49D3"/>
    <w:rsid w:val="009F6C11"/>
    <w:rsid w:val="00A12281"/>
    <w:rsid w:val="00A14754"/>
    <w:rsid w:val="00A16EB7"/>
    <w:rsid w:val="00A2005A"/>
    <w:rsid w:val="00A20BB9"/>
    <w:rsid w:val="00A22379"/>
    <w:rsid w:val="00A25ABF"/>
    <w:rsid w:val="00A31F9D"/>
    <w:rsid w:val="00A608EF"/>
    <w:rsid w:val="00A64FEA"/>
    <w:rsid w:val="00A65046"/>
    <w:rsid w:val="00A747A4"/>
    <w:rsid w:val="00A821D9"/>
    <w:rsid w:val="00A8642A"/>
    <w:rsid w:val="00A86D35"/>
    <w:rsid w:val="00A951EC"/>
    <w:rsid w:val="00AA393A"/>
    <w:rsid w:val="00AA52D9"/>
    <w:rsid w:val="00AA6743"/>
    <w:rsid w:val="00AB2BA9"/>
    <w:rsid w:val="00AC0B04"/>
    <w:rsid w:val="00AC5443"/>
    <w:rsid w:val="00AD3147"/>
    <w:rsid w:val="00AD42C8"/>
    <w:rsid w:val="00AD752C"/>
    <w:rsid w:val="00AF2F63"/>
    <w:rsid w:val="00AF3295"/>
    <w:rsid w:val="00AF6124"/>
    <w:rsid w:val="00AF683D"/>
    <w:rsid w:val="00B015DB"/>
    <w:rsid w:val="00B025EA"/>
    <w:rsid w:val="00B11709"/>
    <w:rsid w:val="00B1245D"/>
    <w:rsid w:val="00B129DB"/>
    <w:rsid w:val="00B221E0"/>
    <w:rsid w:val="00B363DE"/>
    <w:rsid w:val="00B52A0C"/>
    <w:rsid w:val="00B6252B"/>
    <w:rsid w:val="00B70A00"/>
    <w:rsid w:val="00B80498"/>
    <w:rsid w:val="00BA3629"/>
    <w:rsid w:val="00BA50C7"/>
    <w:rsid w:val="00BA7CEA"/>
    <w:rsid w:val="00BA7F80"/>
    <w:rsid w:val="00BB0F82"/>
    <w:rsid w:val="00BB7293"/>
    <w:rsid w:val="00BD5677"/>
    <w:rsid w:val="00C07962"/>
    <w:rsid w:val="00C115AF"/>
    <w:rsid w:val="00C14389"/>
    <w:rsid w:val="00C272AC"/>
    <w:rsid w:val="00C319FC"/>
    <w:rsid w:val="00C35E27"/>
    <w:rsid w:val="00C433DF"/>
    <w:rsid w:val="00C47578"/>
    <w:rsid w:val="00C555BC"/>
    <w:rsid w:val="00C56B8F"/>
    <w:rsid w:val="00C5768C"/>
    <w:rsid w:val="00C62E6E"/>
    <w:rsid w:val="00C754CB"/>
    <w:rsid w:val="00C8150B"/>
    <w:rsid w:val="00C85E83"/>
    <w:rsid w:val="00C91C55"/>
    <w:rsid w:val="00C92A1D"/>
    <w:rsid w:val="00C93815"/>
    <w:rsid w:val="00C93E1E"/>
    <w:rsid w:val="00C93F40"/>
    <w:rsid w:val="00CC5157"/>
    <w:rsid w:val="00CC7AC5"/>
    <w:rsid w:val="00CC7BF0"/>
    <w:rsid w:val="00CF3D02"/>
    <w:rsid w:val="00D0155A"/>
    <w:rsid w:val="00D03DA3"/>
    <w:rsid w:val="00D062AC"/>
    <w:rsid w:val="00D16108"/>
    <w:rsid w:val="00D3321B"/>
    <w:rsid w:val="00D33C85"/>
    <w:rsid w:val="00D34C3B"/>
    <w:rsid w:val="00D4071A"/>
    <w:rsid w:val="00D56B62"/>
    <w:rsid w:val="00D67273"/>
    <w:rsid w:val="00D806D0"/>
    <w:rsid w:val="00D818A1"/>
    <w:rsid w:val="00D83CBE"/>
    <w:rsid w:val="00D84D6E"/>
    <w:rsid w:val="00D94AF1"/>
    <w:rsid w:val="00D95D14"/>
    <w:rsid w:val="00D96771"/>
    <w:rsid w:val="00DB6D7D"/>
    <w:rsid w:val="00DC70A8"/>
    <w:rsid w:val="00DE4C5D"/>
    <w:rsid w:val="00DE6971"/>
    <w:rsid w:val="00DF6BB5"/>
    <w:rsid w:val="00E07ABA"/>
    <w:rsid w:val="00E1008D"/>
    <w:rsid w:val="00E15CBB"/>
    <w:rsid w:val="00E310CD"/>
    <w:rsid w:val="00E41E78"/>
    <w:rsid w:val="00E538C2"/>
    <w:rsid w:val="00E575F9"/>
    <w:rsid w:val="00E6082A"/>
    <w:rsid w:val="00E63D85"/>
    <w:rsid w:val="00E714E7"/>
    <w:rsid w:val="00E71B3B"/>
    <w:rsid w:val="00E80E37"/>
    <w:rsid w:val="00E80F37"/>
    <w:rsid w:val="00E94546"/>
    <w:rsid w:val="00EA5E42"/>
    <w:rsid w:val="00EB0D09"/>
    <w:rsid w:val="00EB276A"/>
    <w:rsid w:val="00EB7239"/>
    <w:rsid w:val="00EE6624"/>
    <w:rsid w:val="00EF38E7"/>
    <w:rsid w:val="00EF548D"/>
    <w:rsid w:val="00EF6022"/>
    <w:rsid w:val="00EF6DDF"/>
    <w:rsid w:val="00F014F1"/>
    <w:rsid w:val="00F1298E"/>
    <w:rsid w:val="00F1532C"/>
    <w:rsid w:val="00F2101E"/>
    <w:rsid w:val="00F279A7"/>
    <w:rsid w:val="00F359E6"/>
    <w:rsid w:val="00F418D7"/>
    <w:rsid w:val="00F41E99"/>
    <w:rsid w:val="00F6237C"/>
    <w:rsid w:val="00F70D8A"/>
    <w:rsid w:val="00F84797"/>
    <w:rsid w:val="00F85406"/>
    <w:rsid w:val="00F97C86"/>
    <w:rsid w:val="00FA15BA"/>
    <w:rsid w:val="00FA19E7"/>
    <w:rsid w:val="00FB15A0"/>
    <w:rsid w:val="00FC02C5"/>
    <w:rsid w:val="00FC3B89"/>
    <w:rsid w:val="00FF3FFA"/>
    <w:rsid w:val="00FF4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6C1AC118-EC34-402C-8AB2-80BDA0D6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4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093A6E"/>
    <w:rPr>
      <w:rFonts w:ascii="Courier New" w:hAnsi="Courier New"/>
    </w:rPr>
  </w:style>
  <w:style w:type="paragraph" w:styleId="Header">
    <w:name w:val="header"/>
    <w:basedOn w:val="Normal"/>
    <w:link w:val="HeaderChar"/>
    <w:uiPriority w:val="99"/>
    <w:rsid w:val="00E80E37"/>
    <w:pPr>
      <w:tabs>
        <w:tab w:val="center" w:pos="4320"/>
        <w:tab w:val="right" w:pos="8640"/>
      </w:tabs>
    </w:pPr>
  </w:style>
  <w:style w:type="paragraph" w:styleId="Footer">
    <w:name w:val="footer"/>
    <w:basedOn w:val="Normal"/>
    <w:rsid w:val="00E80E37"/>
    <w:pPr>
      <w:tabs>
        <w:tab w:val="center" w:pos="4320"/>
        <w:tab w:val="right" w:pos="8640"/>
      </w:tabs>
    </w:pPr>
  </w:style>
  <w:style w:type="character" w:styleId="PageNumber">
    <w:name w:val="page number"/>
    <w:basedOn w:val="DefaultParagraphFont"/>
    <w:rsid w:val="00D95D14"/>
  </w:style>
  <w:style w:type="character" w:customStyle="1" w:styleId="HeaderChar">
    <w:name w:val="Header Char"/>
    <w:basedOn w:val="DefaultParagraphFont"/>
    <w:link w:val="Header"/>
    <w:uiPriority w:val="99"/>
    <w:rsid w:val="007D292A"/>
  </w:style>
  <w:style w:type="paragraph" w:styleId="BalloonText">
    <w:name w:val="Balloon Text"/>
    <w:basedOn w:val="Normal"/>
    <w:link w:val="BalloonTextChar"/>
    <w:rsid w:val="00682FCA"/>
    <w:rPr>
      <w:rFonts w:ascii="Tahoma" w:hAnsi="Tahoma" w:cs="Tahoma"/>
      <w:sz w:val="16"/>
      <w:szCs w:val="16"/>
    </w:rPr>
  </w:style>
  <w:style w:type="character" w:customStyle="1" w:styleId="BalloonTextChar">
    <w:name w:val="Balloon Text Char"/>
    <w:basedOn w:val="DefaultParagraphFont"/>
    <w:link w:val="BalloonText"/>
    <w:rsid w:val="00682FCA"/>
    <w:rPr>
      <w:rFonts w:ascii="Tahoma" w:hAnsi="Tahoma" w:cs="Tahoma"/>
      <w:sz w:val="16"/>
      <w:szCs w:val="16"/>
    </w:rPr>
  </w:style>
  <w:style w:type="character" w:styleId="CommentReference">
    <w:name w:val="annotation reference"/>
    <w:basedOn w:val="DefaultParagraphFont"/>
    <w:rsid w:val="00811A10"/>
    <w:rPr>
      <w:sz w:val="16"/>
      <w:szCs w:val="16"/>
    </w:rPr>
  </w:style>
  <w:style w:type="paragraph" w:styleId="CommentText">
    <w:name w:val="annotation text"/>
    <w:basedOn w:val="Normal"/>
    <w:link w:val="CommentTextChar"/>
    <w:rsid w:val="00811A10"/>
  </w:style>
  <w:style w:type="character" w:customStyle="1" w:styleId="CommentTextChar">
    <w:name w:val="Comment Text Char"/>
    <w:basedOn w:val="DefaultParagraphFont"/>
    <w:link w:val="CommentText"/>
    <w:rsid w:val="00811A10"/>
  </w:style>
  <w:style w:type="paragraph" w:styleId="CommentSubject">
    <w:name w:val="annotation subject"/>
    <w:basedOn w:val="CommentText"/>
    <w:next w:val="CommentText"/>
    <w:link w:val="CommentSubjectChar"/>
    <w:rsid w:val="00811A10"/>
    <w:rPr>
      <w:b/>
      <w:bCs/>
    </w:rPr>
  </w:style>
  <w:style w:type="character" w:customStyle="1" w:styleId="CommentSubjectChar">
    <w:name w:val="Comment Subject Char"/>
    <w:basedOn w:val="CommentTextChar"/>
    <w:link w:val="CommentSubject"/>
    <w:rsid w:val="00811A10"/>
    <w:rPr>
      <w:b/>
      <w:bCs/>
    </w:rPr>
  </w:style>
  <w:style w:type="paragraph" w:styleId="FootnoteText">
    <w:name w:val="footnote text"/>
    <w:basedOn w:val="Normal"/>
    <w:link w:val="FootnoteTextChar"/>
    <w:uiPriority w:val="99"/>
    <w:rsid w:val="00AC5443"/>
  </w:style>
  <w:style w:type="character" w:customStyle="1" w:styleId="FootnoteTextChar">
    <w:name w:val="Footnote Text Char"/>
    <w:basedOn w:val="DefaultParagraphFont"/>
    <w:link w:val="FootnoteText"/>
    <w:uiPriority w:val="99"/>
    <w:rsid w:val="00AC5443"/>
  </w:style>
  <w:style w:type="character" w:styleId="FootnoteReference">
    <w:name w:val="footnote reference"/>
    <w:basedOn w:val="DefaultParagraphFont"/>
    <w:uiPriority w:val="99"/>
    <w:rsid w:val="00AC5443"/>
    <w:rPr>
      <w:vertAlign w:val="superscript"/>
    </w:rPr>
  </w:style>
  <w:style w:type="paragraph" w:styleId="ListParagraph">
    <w:name w:val="List Paragraph"/>
    <w:basedOn w:val="Normal"/>
    <w:uiPriority w:val="34"/>
    <w:qFormat/>
    <w:rsid w:val="008D1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094280">
      <w:bodyDiv w:val="1"/>
      <w:marLeft w:val="0"/>
      <w:marRight w:val="0"/>
      <w:marTop w:val="0"/>
      <w:marBottom w:val="0"/>
      <w:divBdr>
        <w:top w:val="none" w:sz="0" w:space="0" w:color="auto"/>
        <w:left w:val="none" w:sz="0" w:space="0" w:color="auto"/>
        <w:bottom w:val="none" w:sz="0" w:space="0" w:color="auto"/>
        <w:right w:val="none" w:sz="0" w:space="0" w:color="auto"/>
      </w:divBdr>
    </w:div>
    <w:div w:id="693271420">
      <w:bodyDiv w:val="1"/>
      <w:marLeft w:val="0"/>
      <w:marRight w:val="0"/>
      <w:marTop w:val="0"/>
      <w:marBottom w:val="0"/>
      <w:divBdr>
        <w:top w:val="none" w:sz="0" w:space="0" w:color="auto"/>
        <w:left w:val="none" w:sz="0" w:space="0" w:color="auto"/>
        <w:bottom w:val="none" w:sz="0" w:space="0" w:color="auto"/>
        <w:right w:val="none" w:sz="0" w:space="0" w:color="auto"/>
      </w:divBdr>
    </w:div>
    <w:div w:id="969744821">
      <w:bodyDiv w:val="1"/>
      <w:marLeft w:val="0"/>
      <w:marRight w:val="0"/>
      <w:marTop w:val="0"/>
      <w:marBottom w:val="0"/>
      <w:divBdr>
        <w:top w:val="none" w:sz="0" w:space="0" w:color="auto"/>
        <w:left w:val="none" w:sz="0" w:space="0" w:color="auto"/>
        <w:bottom w:val="none" w:sz="0" w:space="0" w:color="auto"/>
        <w:right w:val="none" w:sz="0" w:space="0" w:color="auto"/>
      </w:divBdr>
    </w:div>
    <w:div w:id="1081098892">
      <w:bodyDiv w:val="1"/>
      <w:marLeft w:val="0"/>
      <w:marRight w:val="0"/>
      <w:marTop w:val="0"/>
      <w:marBottom w:val="0"/>
      <w:divBdr>
        <w:top w:val="none" w:sz="0" w:space="0" w:color="auto"/>
        <w:left w:val="none" w:sz="0" w:space="0" w:color="auto"/>
        <w:bottom w:val="none" w:sz="0" w:space="0" w:color="auto"/>
        <w:right w:val="none" w:sz="0" w:space="0" w:color="auto"/>
      </w:divBdr>
    </w:div>
    <w:div w:id="1120344240">
      <w:bodyDiv w:val="1"/>
      <w:marLeft w:val="0"/>
      <w:marRight w:val="0"/>
      <w:marTop w:val="0"/>
      <w:marBottom w:val="0"/>
      <w:divBdr>
        <w:top w:val="none" w:sz="0" w:space="0" w:color="auto"/>
        <w:left w:val="none" w:sz="0" w:space="0" w:color="auto"/>
        <w:bottom w:val="none" w:sz="0" w:space="0" w:color="auto"/>
        <w:right w:val="none" w:sz="0" w:space="0" w:color="auto"/>
      </w:divBdr>
    </w:div>
    <w:div w:id="1442842355">
      <w:bodyDiv w:val="1"/>
      <w:marLeft w:val="0"/>
      <w:marRight w:val="0"/>
      <w:marTop w:val="0"/>
      <w:marBottom w:val="0"/>
      <w:divBdr>
        <w:top w:val="none" w:sz="0" w:space="0" w:color="auto"/>
        <w:left w:val="none" w:sz="0" w:space="0" w:color="auto"/>
        <w:bottom w:val="none" w:sz="0" w:space="0" w:color="auto"/>
        <w:right w:val="none" w:sz="0" w:space="0" w:color="auto"/>
      </w:divBdr>
    </w:div>
    <w:div w:id="1875995500">
      <w:bodyDiv w:val="1"/>
      <w:marLeft w:val="0"/>
      <w:marRight w:val="0"/>
      <w:marTop w:val="0"/>
      <w:marBottom w:val="0"/>
      <w:divBdr>
        <w:top w:val="none" w:sz="0" w:space="0" w:color="auto"/>
        <w:left w:val="none" w:sz="0" w:space="0" w:color="auto"/>
        <w:bottom w:val="none" w:sz="0" w:space="0" w:color="auto"/>
        <w:right w:val="none" w:sz="0" w:space="0" w:color="auto"/>
      </w:divBdr>
    </w:div>
    <w:div w:id="1972326473">
      <w:bodyDiv w:val="1"/>
      <w:marLeft w:val="0"/>
      <w:marRight w:val="0"/>
      <w:marTop w:val="0"/>
      <w:marBottom w:val="0"/>
      <w:divBdr>
        <w:top w:val="none" w:sz="0" w:space="0" w:color="auto"/>
        <w:left w:val="none" w:sz="0" w:space="0" w:color="auto"/>
        <w:bottom w:val="none" w:sz="0" w:space="0" w:color="auto"/>
        <w:right w:val="none" w:sz="0" w:space="0" w:color="auto"/>
      </w:divBdr>
    </w:div>
    <w:div w:id="2097628101">
      <w:bodyDiv w:val="1"/>
      <w:marLeft w:val="0"/>
      <w:marRight w:val="0"/>
      <w:marTop w:val="0"/>
      <w:marBottom w:val="0"/>
      <w:divBdr>
        <w:top w:val="none" w:sz="0" w:space="0" w:color="auto"/>
        <w:left w:val="none" w:sz="0" w:space="0" w:color="auto"/>
        <w:bottom w:val="none" w:sz="0" w:space="0" w:color="auto"/>
        <w:right w:val="none" w:sz="0" w:space="0" w:color="auto"/>
      </w:divBdr>
    </w:div>
    <w:div w:id="211952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02BCD095027324CAE9E5703D430B589" ma:contentTypeVersion="104" ma:contentTypeDescription="" ma:contentTypeScope="" ma:versionID="9f0d0700f2f050768a889fad1b856c8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Workpapers</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2017-08-31T07:00:00+00:00</OpenedDate>
    <Date1 xmlns="dc463f71-b30c-4ab2-9473-d307f9d35888">2017-08-31T07:00:00+00:00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170932</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81A8AA41-5393-4E3F-9BC5-C8484E2C3B01}">
  <ds:schemaRefs>
    <ds:schemaRef ds:uri="http://schemas.openxmlformats.org/officeDocument/2006/bibliography"/>
  </ds:schemaRefs>
</ds:datastoreItem>
</file>

<file path=customXml/itemProps2.xml><?xml version="1.0" encoding="utf-8"?>
<ds:datastoreItem xmlns:ds="http://schemas.openxmlformats.org/officeDocument/2006/customXml" ds:itemID="{71B3D7AD-FBFE-4048-B15C-2E073702910A}"/>
</file>

<file path=customXml/itemProps3.xml><?xml version="1.0" encoding="utf-8"?>
<ds:datastoreItem xmlns:ds="http://schemas.openxmlformats.org/officeDocument/2006/customXml" ds:itemID="{5E99A291-2ABD-4DB2-AC13-BD1980A0D815}"/>
</file>

<file path=customXml/itemProps4.xml><?xml version="1.0" encoding="utf-8"?>
<ds:datastoreItem xmlns:ds="http://schemas.openxmlformats.org/officeDocument/2006/customXml" ds:itemID="{EE401013-B9F6-4413-967E-A5530AEB2042}"/>
</file>

<file path=customXml/itemProps5.xml><?xml version="1.0" encoding="utf-8"?>
<ds:datastoreItem xmlns:ds="http://schemas.openxmlformats.org/officeDocument/2006/customXml" ds:itemID="{4E221D33-E869-4C02-90B3-C235283EA6A0}"/>
</file>

<file path=docProps/app.xml><?xml version="1.0" encoding="utf-8"?>
<Properties xmlns="http://schemas.openxmlformats.org/officeDocument/2006/extended-properties" xmlns:vt="http://schemas.openxmlformats.org/officeDocument/2006/docPropsVTypes">
  <Template>Normal.dotm</Template>
  <TotalTime>858</TotalTime>
  <Pages>3</Pages>
  <Words>890</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This filing reflects the Company’s proposed annual Purchased Gas Cost Adjustment (PGA) to: 1) pass through changes in the estimated cost of natural gas for the forthcoming year (Schedule 150), and 2) revise the amortization rate(s) to refund or collect t</vt:lpstr>
    </vt:vector>
  </TitlesOfParts>
  <Company>Corp</Company>
  <LinksUpToDate>false</LinksUpToDate>
  <CharactersWithSpaces>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filing reflects the Company’s proposed annual Purchased Gas Cost Adjustment (PGA) to: 1) pass through changes in the estimated cost of natural gas for the forthcoming year (Schedule 150), and 2) revise the amortization rate(s) to refund or collect t</dc:title>
  <dc:subject/>
  <dc:creator>zz1x44</dc:creator>
  <cp:keywords/>
  <dc:description/>
  <cp:lastModifiedBy>Brandon, Annette</cp:lastModifiedBy>
  <cp:revision>17</cp:revision>
  <cp:lastPrinted>2017-08-25T19:28:00Z</cp:lastPrinted>
  <dcterms:created xsi:type="dcterms:W3CDTF">2014-09-04T17:39:00Z</dcterms:created>
  <dcterms:modified xsi:type="dcterms:W3CDTF">2017-08-29T21:16:00Z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0x0101006E56B4D1795A2E4DB2F0B01679ED314A00A02BCD095027324CAE9E5703D430B589</vt:lpwstr>
  </property>
  <property fmtid="{D5CDD505-2E9C-101B-9397-08002B2CF9AE}" pid="3" name="_docset_NoMedatataSyncRequired">
    <vt:lpwstr>False</vt:lpwstr>
  </property>
  <property fmtid="{D5CDD505-2E9C-101B-9397-08002B2CF9AE}" pid="4" name="IsEFSEC">
    <vt:bool>false</vt:bool>
  </property>
</Properties>
</file>