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9E3F7F" w:rsidRDefault="00352C5F" w:rsidP="00965284">
      <w:pPr>
        <w:pStyle w:val="LetterDate"/>
        <w:spacing w:before="960" w:after="480"/>
        <w:ind w:left="2880" w:firstLine="720"/>
        <w:rPr>
          <w:sz w:val="22"/>
          <w:szCs w:val="22"/>
        </w:rPr>
      </w:pPr>
      <w:r w:rsidRPr="009E3F7F">
        <w:rPr>
          <w:noProof/>
          <w:sz w:val="22"/>
          <w:szCs w:val="22"/>
        </w:rPr>
        <w:br/>
      </w:r>
      <w:r w:rsidR="00990285" w:rsidRPr="009E3F7F">
        <w:rPr>
          <w:noProof/>
          <w:sz w:val="22"/>
          <w:szCs w:val="22"/>
        </w:rPr>
        <w:t>August</w:t>
      </w:r>
      <w:r w:rsidR="008403A4" w:rsidRPr="009E3F7F">
        <w:rPr>
          <w:noProof/>
          <w:sz w:val="22"/>
          <w:szCs w:val="22"/>
        </w:rPr>
        <w:t xml:space="preserve"> </w:t>
      </w:r>
      <w:r w:rsidR="00990285" w:rsidRPr="009E3F7F">
        <w:rPr>
          <w:noProof/>
          <w:sz w:val="22"/>
          <w:szCs w:val="22"/>
        </w:rPr>
        <w:t>16, 2016</w:t>
      </w:r>
    </w:p>
    <w:p w:rsidR="00DD4ECB" w:rsidRPr="009E3F7F" w:rsidRDefault="00DE53A7" w:rsidP="00965284">
      <w:pPr>
        <w:pStyle w:val="Addressee"/>
        <w:rPr>
          <w:b/>
          <w:i/>
          <w:sz w:val="22"/>
          <w:szCs w:val="22"/>
        </w:rPr>
      </w:pPr>
      <w:r w:rsidRPr="009E3F7F">
        <w:rPr>
          <w:b/>
          <w:i/>
          <w:sz w:val="22"/>
          <w:szCs w:val="22"/>
        </w:rPr>
        <w:t>V</w:t>
      </w:r>
      <w:r w:rsidR="00DD4ECB" w:rsidRPr="009E3F7F">
        <w:rPr>
          <w:b/>
          <w:i/>
          <w:sz w:val="22"/>
          <w:szCs w:val="22"/>
        </w:rPr>
        <w:t xml:space="preserve">ia </w:t>
      </w:r>
      <w:r w:rsidR="00557437" w:rsidRPr="009E3F7F">
        <w:rPr>
          <w:b/>
          <w:i/>
          <w:sz w:val="22"/>
          <w:szCs w:val="22"/>
        </w:rPr>
        <w:t>Electronic Mail</w:t>
      </w:r>
    </w:p>
    <w:p w:rsidR="00DD4ECB" w:rsidRPr="009E3F7F" w:rsidRDefault="00DD4ECB" w:rsidP="00965284">
      <w:pPr>
        <w:pStyle w:val="Addressee"/>
        <w:rPr>
          <w:b/>
          <w:sz w:val="22"/>
          <w:szCs w:val="22"/>
        </w:rPr>
      </w:pPr>
    </w:p>
    <w:p w:rsidR="00442911" w:rsidRPr="009E3F7F" w:rsidRDefault="00442911" w:rsidP="00965284">
      <w:pPr>
        <w:pStyle w:val="Addressee"/>
        <w:rPr>
          <w:sz w:val="22"/>
          <w:szCs w:val="22"/>
        </w:rPr>
      </w:pPr>
      <w:r w:rsidRPr="009E3F7F">
        <w:rPr>
          <w:sz w:val="22"/>
          <w:szCs w:val="22"/>
        </w:rPr>
        <w:t>Steven V. King, Executive Director and Secretary</w:t>
      </w:r>
    </w:p>
    <w:p w:rsidR="00442911" w:rsidRPr="009E3F7F" w:rsidRDefault="00442911" w:rsidP="00965284">
      <w:pPr>
        <w:pStyle w:val="Addressee"/>
        <w:rPr>
          <w:sz w:val="22"/>
          <w:szCs w:val="22"/>
        </w:rPr>
      </w:pPr>
      <w:r w:rsidRPr="009E3F7F">
        <w:rPr>
          <w:sz w:val="22"/>
          <w:szCs w:val="22"/>
        </w:rPr>
        <w:t>Washington Utilities and Transportation Commission</w:t>
      </w:r>
    </w:p>
    <w:p w:rsidR="00442911" w:rsidRPr="009E3F7F" w:rsidRDefault="00442911" w:rsidP="00965284">
      <w:pPr>
        <w:pStyle w:val="Addressee"/>
        <w:rPr>
          <w:sz w:val="22"/>
          <w:szCs w:val="22"/>
        </w:rPr>
      </w:pPr>
      <w:r w:rsidRPr="009E3F7F">
        <w:rPr>
          <w:sz w:val="22"/>
          <w:szCs w:val="22"/>
        </w:rPr>
        <w:t>P.O. Box 47250</w:t>
      </w:r>
    </w:p>
    <w:p w:rsidR="00442911" w:rsidRPr="009E3F7F" w:rsidRDefault="00442911" w:rsidP="00965284">
      <w:pPr>
        <w:pStyle w:val="Addressee"/>
        <w:rPr>
          <w:sz w:val="22"/>
          <w:szCs w:val="22"/>
        </w:rPr>
      </w:pPr>
      <w:r w:rsidRPr="009E3F7F">
        <w:rPr>
          <w:sz w:val="22"/>
          <w:szCs w:val="22"/>
        </w:rPr>
        <w:t>1300 S. Evergreen Park Drive S.W.</w:t>
      </w:r>
    </w:p>
    <w:p w:rsidR="00442911" w:rsidRPr="009E3F7F" w:rsidRDefault="00442911" w:rsidP="00965284">
      <w:pPr>
        <w:pStyle w:val="Addressee"/>
        <w:rPr>
          <w:sz w:val="22"/>
          <w:szCs w:val="22"/>
        </w:rPr>
      </w:pPr>
      <w:r w:rsidRPr="009E3F7F">
        <w:rPr>
          <w:sz w:val="22"/>
          <w:szCs w:val="22"/>
        </w:rPr>
        <w:t>Olympia, Washington  98504-7250</w:t>
      </w:r>
    </w:p>
    <w:p w:rsidR="004F0A38" w:rsidRPr="009E3F7F" w:rsidRDefault="004F0A38" w:rsidP="004F0A38">
      <w:pPr>
        <w:spacing w:line="288" w:lineRule="auto"/>
        <w:ind w:left="720" w:hanging="720"/>
        <w:rPr>
          <w:sz w:val="22"/>
          <w:szCs w:val="22"/>
        </w:rPr>
      </w:pPr>
    </w:p>
    <w:p w:rsidR="004F0A38" w:rsidRPr="009E3F7F" w:rsidRDefault="00442911" w:rsidP="004F0A38">
      <w:pPr>
        <w:spacing w:line="288" w:lineRule="auto"/>
        <w:ind w:left="720" w:hanging="720"/>
        <w:rPr>
          <w:b/>
          <w:sz w:val="22"/>
          <w:szCs w:val="22"/>
        </w:rPr>
      </w:pPr>
      <w:r w:rsidRPr="009E3F7F">
        <w:rPr>
          <w:b/>
          <w:sz w:val="22"/>
          <w:szCs w:val="22"/>
        </w:rPr>
        <w:t>Re:</w:t>
      </w:r>
      <w:r w:rsidRPr="009E3F7F">
        <w:rPr>
          <w:b/>
          <w:sz w:val="22"/>
          <w:szCs w:val="22"/>
        </w:rPr>
        <w:tab/>
      </w:r>
      <w:r w:rsidR="00ED2FF7" w:rsidRPr="009E3F7F">
        <w:rPr>
          <w:b/>
          <w:sz w:val="22"/>
          <w:szCs w:val="22"/>
        </w:rPr>
        <w:t xml:space="preserve">Docket </w:t>
      </w:r>
      <w:r w:rsidR="004F0A38" w:rsidRPr="009E3F7F">
        <w:rPr>
          <w:b/>
          <w:color w:val="000000"/>
          <w:sz w:val="22"/>
          <w:szCs w:val="22"/>
        </w:rPr>
        <w:t>UE-</w:t>
      </w:r>
      <w:r w:rsidR="00990285" w:rsidRPr="009E3F7F">
        <w:rPr>
          <w:b/>
          <w:sz w:val="22"/>
          <w:szCs w:val="22"/>
        </w:rPr>
        <w:t>160799</w:t>
      </w:r>
      <w:r w:rsidR="00B410CB" w:rsidRPr="009E3F7F">
        <w:rPr>
          <w:b/>
          <w:color w:val="000000"/>
          <w:sz w:val="22"/>
          <w:szCs w:val="22"/>
        </w:rPr>
        <w:br/>
      </w:r>
      <w:r w:rsidR="00F52392" w:rsidRPr="009E3F7F">
        <w:rPr>
          <w:b/>
          <w:sz w:val="22"/>
          <w:szCs w:val="22"/>
        </w:rPr>
        <w:t>Com</w:t>
      </w:r>
      <w:r w:rsidR="00990285" w:rsidRPr="009E3F7F">
        <w:rPr>
          <w:b/>
          <w:sz w:val="22"/>
          <w:szCs w:val="22"/>
        </w:rPr>
        <w:t>ments of Puget Sound Energy</w:t>
      </w:r>
      <w:r w:rsidR="00ED2FF7" w:rsidRPr="009E3F7F">
        <w:rPr>
          <w:b/>
          <w:sz w:val="22"/>
          <w:szCs w:val="22"/>
        </w:rPr>
        <w:t xml:space="preserve"> on </w:t>
      </w:r>
      <w:r w:rsidR="00990285" w:rsidRPr="009E3F7F">
        <w:rPr>
          <w:b/>
          <w:sz w:val="22"/>
          <w:szCs w:val="22"/>
        </w:rPr>
        <w:t>electric vehicle supply equipment</w:t>
      </w:r>
    </w:p>
    <w:p w:rsidR="00442911" w:rsidRPr="009E3F7F" w:rsidRDefault="00442911" w:rsidP="004F0A38">
      <w:pPr>
        <w:pStyle w:val="ReLine"/>
        <w:rPr>
          <w:sz w:val="22"/>
          <w:szCs w:val="22"/>
        </w:rPr>
      </w:pPr>
      <w:r w:rsidRPr="009E3F7F">
        <w:rPr>
          <w:sz w:val="22"/>
          <w:szCs w:val="22"/>
        </w:rPr>
        <w:t>Dear Mr. King:</w:t>
      </w:r>
    </w:p>
    <w:p w:rsidR="007406D0" w:rsidRPr="009E3F7F" w:rsidRDefault="007406D0" w:rsidP="003F5EFF">
      <w:pPr>
        <w:pStyle w:val="BodyText"/>
        <w:spacing w:after="0"/>
        <w:ind w:firstLine="720"/>
        <w:rPr>
          <w:sz w:val="22"/>
          <w:szCs w:val="22"/>
        </w:rPr>
      </w:pPr>
    </w:p>
    <w:p w:rsidR="00690B38" w:rsidRPr="009E3F7F" w:rsidRDefault="00990285" w:rsidP="00690B38">
      <w:pPr>
        <w:pStyle w:val="BodyText"/>
        <w:spacing w:after="0"/>
        <w:ind w:firstLine="720"/>
        <w:rPr>
          <w:szCs w:val="24"/>
        </w:rPr>
      </w:pPr>
      <w:r w:rsidRPr="009E3F7F">
        <w:rPr>
          <w:szCs w:val="24"/>
        </w:rPr>
        <w:t>Puget Sound Energy</w:t>
      </w:r>
      <w:r w:rsidR="004E6A46" w:rsidRPr="009E3F7F">
        <w:rPr>
          <w:szCs w:val="24"/>
        </w:rPr>
        <w:t xml:space="preserve"> (</w:t>
      </w:r>
      <w:r w:rsidR="0076515C" w:rsidRPr="009E3F7F">
        <w:rPr>
          <w:szCs w:val="24"/>
        </w:rPr>
        <w:t>“</w:t>
      </w:r>
      <w:r w:rsidR="004E6A46" w:rsidRPr="009E3F7F">
        <w:rPr>
          <w:szCs w:val="24"/>
        </w:rPr>
        <w:t>PSE</w:t>
      </w:r>
      <w:r w:rsidR="0076515C" w:rsidRPr="009E3F7F">
        <w:rPr>
          <w:szCs w:val="24"/>
        </w:rPr>
        <w:t>” “Company”</w:t>
      </w:r>
      <w:r w:rsidR="009520D5" w:rsidRPr="009E3F7F">
        <w:rPr>
          <w:szCs w:val="24"/>
        </w:rPr>
        <w:t xml:space="preserve">) </w:t>
      </w:r>
      <w:r w:rsidR="00557437" w:rsidRPr="009E3F7F">
        <w:rPr>
          <w:szCs w:val="24"/>
        </w:rPr>
        <w:t>submits the follow</w:t>
      </w:r>
      <w:r w:rsidR="004F0A38" w:rsidRPr="009E3F7F">
        <w:rPr>
          <w:szCs w:val="24"/>
        </w:rPr>
        <w:t>ing comments in response to</w:t>
      </w:r>
      <w:r w:rsidR="00557437" w:rsidRPr="009E3F7F">
        <w:rPr>
          <w:szCs w:val="24"/>
        </w:rPr>
        <w:t xml:space="preserve"> the Washington Utilities and Transportation Commission’s (</w:t>
      </w:r>
      <w:r w:rsidR="00526F13" w:rsidRPr="009E3F7F">
        <w:rPr>
          <w:szCs w:val="24"/>
        </w:rPr>
        <w:t>“</w:t>
      </w:r>
      <w:r w:rsidR="00557437" w:rsidRPr="009E3F7F">
        <w:rPr>
          <w:szCs w:val="24"/>
        </w:rPr>
        <w:t>Commission</w:t>
      </w:r>
      <w:r w:rsidR="00526F13" w:rsidRPr="009E3F7F">
        <w:rPr>
          <w:szCs w:val="24"/>
        </w:rPr>
        <w:t>”</w:t>
      </w:r>
      <w:r w:rsidR="004F0A38" w:rsidRPr="009E3F7F">
        <w:rPr>
          <w:szCs w:val="24"/>
        </w:rPr>
        <w:t xml:space="preserve"> “WUTC”</w:t>
      </w:r>
      <w:r w:rsidR="00557437" w:rsidRPr="009E3F7F">
        <w:rPr>
          <w:szCs w:val="24"/>
        </w:rPr>
        <w:t xml:space="preserve">) Notice of </w:t>
      </w:r>
      <w:r w:rsidRPr="009E3F7F">
        <w:rPr>
          <w:szCs w:val="24"/>
        </w:rPr>
        <w:t>Inquiry</w:t>
      </w:r>
      <w:r w:rsidR="00557437" w:rsidRPr="009E3F7F">
        <w:rPr>
          <w:szCs w:val="24"/>
        </w:rPr>
        <w:t xml:space="preserve"> </w:t>
      </w:r>
      <w:r w:rsidRPr="009E3F7F">
        <w:rPr>
          <w:szCs w:val="24"/>
        </w:rPr>
        <w:t>into Issuing a Policy-Interpretive Statement Describing Commission Policy Related to Utility Investment in Electric Vehicle Supply Equipment</w:t>
      </w:r>
      <w:r w:rsidR="00690B38" w:rsidRPr="009E3F7F">
        <w:rPr>
          <w:szCs w:val="24"/>
        </w:rPr>
        <w:t xml:space="preserve"> (“EVSE”)</w:t>
      </w:r>
      <w:r w:rsidRPr="009E3F7F">
        <w:rPr>
          <w:szCs w:val="24"/>
        </w:rPr>
        <w:t xml:space="preserve"> pursuant to RCW 80.28.360 </w:t>
      </w:r>
      <w:r w:rsidR="00557437" w:rsidRPr="009E3F7F">
        <w:rPr>
          <w:szCs w:val="24"/>
        </w:rPr>
        <w:t>(</w:t>
      </w:r>
      <w:r w:rsidR="00526F13" w:rsidRPr="009E3F7F">
        <w:rPr>
          <w:szCs w:val="24"/>
        </w:rPr>
        <w:t>“</w:t>
      </w:r>
      <w:r w:rsidR="00557437" w:rsidRPr="009E3F7F">
        <w:rPr>
          <w:szCs w:val="24"/>
        </w:rPr>
        <w:t>Notice</w:t>
      </w:r>
      <w:r w:rsidR="00526F13" w:rsidRPr="009E3F7F">
        <w:rPr>
          <w:szCs w:val="24"/>
        </w:rPr>
        <w:t>”</w:t>
      </w:r>
      <w:r w:rsidR="00557437" w:rsidRPr="009E3F7F">
        <w:rPr>
          <w:szCs w:val="24"/>
        </w:rPr>
        <w:t xml:space="preserve">) issued in Docket </w:t>
      </w:r>
      <w:r w:rsidR="004F0A38" w:rsidRPr="009E3F7F">
        <w:rPr>
          <w:szCs w:val="24"/>
        </w:rPr>
        <w:t>UE-</w:t>
      </w:r>
      <w:r w:rsidRPr="009E3F7F">
        <w:rPr>
          <w:szCs w:val="24"/>
        </w:rPr>
        <w:t>160799</w:t>
      </w:r>
      <w:r w:rsidR="004F0A38" w:rsidRPr="009E3F7F">
        <w:rPr>
          <w:szCs w:val="24"/>
        </w:rPr>
        <w:t xml:space="preserve">. </w:t>
      </w:r>
      <w:r w:rsidR="003F5EFF" w:rsidRPr="009E3F7F">
        <w:rPr>
          <w:szCs w:val="24"/>
        </w:rPr>
        <w:t xml:space="preserve"> </w:t>
      </w:r>
      <w:r w:rsidR="00690B38" w:rsidRPr="009E3F7F">
        <w:rPr>
          <w:szCs w:val="24"/>
        </w:rPr>
        <w:t xml:space="preserve">PSE appreciates the Commission’s proactive approach to address the issues raised during the legislature’s discussion of HB1853, the enabling legislation for RCW 80.28.360, and in UE-160082 and provides the following responses to the questions raised the </w:t>
      </w:r>
      <w:r w:rsidR="009B5F5A" w:rsidRPr="009E3F7F">
        <w:rPr>
          <w:szCs w:val="24"/>
        </w:rPr>
        <w:t>N</w:t>
      </w:r>
      <w:r w:rsidR="00690B38" w:rsidRPr="009E3F7F">
        <w:rPr>
          <w:szCs w:val="24"/>
        </w:rPr>
        <w:t xml:space="preserve">otice.  </w:t>
      </w:r>
    </w:p>
    <w:p w:rsidR="00162C1B" w:rsidRPr="009E3F7F" w:rsidRDefault="00162C1B" w:rsidP="00690B38">
      <w:pPr>
        <w:pStyle w:val="BodyText"/>
        <w:spacing w:after="0"/>
        <w:ind w:firstLine="720"/>
        <w:rPr>
          <w:szCs w:val="24"/>
        </w:rPr>
      </w:pPr>
    </w:p>
    <w:p w:rsidR="00162C1B" w:rsidRPr="009E3F7F" w:rsidRDefault="00162C1B" w:rsidP="00162C1B">
      <w:pPr>
        <w:pStyle w:val="BodyText"/>
        <w:spacing w:after="0"/>
        <w:ind w:firstLine="720"/>
        <w:rPr>
          <w:szCs w:val="24"/>
        </w:rPr>
      </w:pPr>
      <w:r w:rsidRPr="009E3F7F">
        <w:rPr>
          <w:szCs w:val="24"/>
        </w:rPr>
        <w:t>PSE is nearing the end of its Commission-approved EV pilot program (</w:t>
      </w:r>
      <w:r w:rsidR="00F50F4C" w:rsidRPr="009E3F7F">
        <w:rPr>
          <w:szCs w:val="24"/>
        </w:rPr>
        <w:t>Docket</w:t>
      </w:r>
      <w:r w:rsidRPr="009E3F7F">
        <w:rPr>
          <w:szCs w:val="24"/>
        </w:rPr>
        <w:t xml:space="preserve"> UE-140626</w:t>
      </w:r>
      <w:r w:rsidR="00F50F4C" w:rsidRPr="009E3F7F">
        <w:rPr>
          <w:szCs w:val="24"/>
        </w:rPr>
        <w:t>, Order 01</w:t>
      </w:r>
      <w:r w:rsidRPr="009E3F7F">
        <w:rPr>
          <w:szCs w:val="24"/>
        </w:rPr>
        <w:t xml:space="preserve">) launched 2014 and set to conclude in December 2016.  The pilot program offers residential customers a $500 rebate </w:t>
      </w:r>
      <w:r w:rsidR="009B5F5A" w:rsidRPr="009E3F7F">
        <w:rPr>
          <w:szCs w:val="24"/>
        </w:rPr>
        <w:t>to purchase</w:t>
      </w:r>
      <w:r w:rsidRPr="009E3F7F">
        <w:rPr>
          <w:szCs w:val="24"/>
        </w:rPr>
        <w:t xml:space="preserve"> a Level 2 EV charger </w:t>
      </w:r>
      <w:r w:rsidR="009B5F5A" w:rsidRPr="009E3F7F">
        <w:rPr>
          <w:szCs w:val="24"/>
        </w:rPr>
        <w:t>and allows</w:t>
      </w:r>
      <w:r w:rsidRPr="009E3F7F">
        <w:rPr>
          <w:szCs w:val="24"/>
        </w:rPr>
        <w:t xml:space="preserve"> PSE to collect and monitor data</w:t>
      </w:r>
      <w:r w:rsidR="00F50F4C" w:rsidRPr="009E3F7F">
        <w:rPr>
          <w:szCs w:val="24"/>
        </w:rPr>
        <w:t xml:space="preserve"> on the charging of the vehicle</w:t>
      </w:r>
      <w:r w:rsidRPr="009E3F7F">
        <w:rPr>
          <w:szCs w:val="24"/>
        </w:rPr>
        <w:t xml:space="preserve">. The pilot program goals are to use the </w:t>
      </w:r>
      <w:r w:rsidR="009B5F5A" w:rsidRPr="009E3F7F">
        <w:rPr>
          <w:szCs w:val="24"/>
        </w:rPr>
        <w:t>detailed energy-use</w:t>
      </w:r>
      <w:r w:rsidRPr="009E3F7F">
        <w:rPr>
          <w:szCs w:val="24"/>
        </w:rPr>
        <w:t xml:space="preserve"> collected to determine </w:t>
      </w:r>
      <w:r w:rsidR="009B5F5A" w:rsidRPr="009E3F7F">
        <w:rPr>
          <w:szCs w:val="24"/>
        </w:rPr>
        <w:t xml:space="preserve">current and region-specific </w:t>
      </w:r>
      <w:r w:rsidRPr="009E3F7F">
        <w:rPr>
          <w:szCs w:val="24"/>
        </w:rPr>
        <w:t>load patterns and compare them to system loads</w:t>
      </w:r>
      <w:r w:rsidR="00F50F4C" w:rsidRPr="009E3F7F">
        <w:rPr>
          <w:szCs w:val="24"/>
        </w:rPr>
        <w:t xml:space="preserve"> and generation sources</w:t>
      </w:r>
      <w:r w:rsidRPr="009E3F7F">
        <w:rPr>
          <w:szCs w:val="24"/>
        </w:rPr>
        <w:t xml:space="preserve">. In addition, </w:t>
      </w:r>
      <w:r w:rsidR="009B5F5A" w:rsidRPr="009E3F7F">
        <w:rPr>
          <w:szCs w:val="24"/>
        </w:rPr>
        <w:t>the detailed</w:t>
      </w:r>
      <w:r w:rsidRPr="009E3F7F">
        <w:rPr>
          <w:szCs w:val="24"/>
        </w:rPr>
        <w:t xml:space="preserve"> data will help to better understand system needs and impacts under different technology and use scenarios. PSE provides regular updates on its pilot to the </w:t>
      </w:r>
      <w:r w:rsidR="005C6663" w:rsidRPr="009E3F7F">
        <w:rPr>
          <w:szCs w:val="24"/>
        </w:rPr>
        <w:t xml:space="preserve">Conservation </w:t>
      </w:r>
      <w:r w:rsidRPr="009E3F7F">
        <w:rPr>
          <w:szCs w:val="24"/>
        </w:rPr>
        <w:t xml:space="preserve">Resources Advisory Group (CRAG) and plans to share its study results and consult with the CRAG next year after the conclusion of the pilot.   </w:t>
      </w:r>
    </w:p>
    <w:p w:rsidR="00162C1B" w:rsidRPr="009E3F7F" w:rsidRDefault="00162C1B" w:rsidP="00690B38">
      <w:pPr>
        <w:pStyle w:val="BodyText"/>
        <w:spacing w:after="0"/>
        <w:ind w:firstLine="720"/>
        <w:rPr>
          <w:sz w:val="22"/>
          <w:szCs w:val="22"/>
        </w:rPr>
      </w:pPr>
    </w:p>
    <w:p w:rsidR="00EC264E" w:rsidRPr="009E3F7F" w:rsidRDefault="00EC264E">
      <w:pPr>
        <w:spacing w:after="200" w:line="276" w:lineRule="auto"/>
        <w:rPr>
          <w:sz w:val="22"/>
          <w:szCs w:val="22"/>
        </w:rPr>
      </w:pPr>
      <w:r w:rsidRPr="009E3F7F">
        <w:rPr>
          <w:sz w:val="22"/>
          <w:szCs w:val="22"/>
        </w:rPr>
        <w:br w:type="page"/>
      </w: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lastRenderedPageBreak/>
        <w:t>1.</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RCW 80.28.360 authorizes the Commission to allow an incentive rate of return on investment on capital expenditures for electric vehicle supply equipment under certain circumstances. In addition to being installed after July 1, 2015, the law identifies several criteria for the capital expenditures to qualify for the incentive rate of return. How should an electrical company demonstrate that capital expenditures for EVSE meet each of the following criteria in the </w:t>
      </w:r>
      <w:proofErr w:type="gramStart"/>
      <w:r w:rsidRPr="009E3F7F">
        <w:rPr>
          <w:rFonts w:ascii="Times New Roman" w:hAnsi="Times New Roman" w:cs="Times New Roman"/>
          <w:b/>
          <w:sz w:val="22"/>
          <w:szCs w:val="22"/>
        </w:rPr>
        <w:t>law:</w:t>
      </w:r>
      <w:proofErr w:type="gramEnd"/>
      <w:r w:rsidRPr="009E3F7F">
        <w:rPr>
          <w:rFonts w:ascii="Times New Roman" w:hAnsi="Times New Roman" w:cs="Times New Roman"/>
          <w:b/>
          <w:sz w:val="22"/>
          <w:szCs w:val="22"/>
        </w:rPr>
        <w:t xml:space="preserve"> </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 xml:space="preserve">a) The capital expenditures do not increase costs to ratepayers in excess of one-quarter of one percent, </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 xml:space="preserve">b) The EVSE investments are pursued on a fully regulated basis similar to other capital investments behind a customer’s meter, and </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 xml:space="preserve">c) The projects are installed and located where electric vehicles are most likely to be parked for intervals longer than two hours. </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Response:</w:t>
      </w:r>
    </w:p>
    <w:p w:rsidR="00690B38" w:rsidRPr="009E3F7F" w:rsidRDefault="00690B38" w:rsidP="00690B38">
      <w:pPr>
        <w:pStyle w:val="PlainText"/>
        <w:numPr>
          <w:ilvl w:val="0"/>
          <w:numId w:val="1"/>
        </w:numPr>
        <w:rPr>
          <w:rFonts w:ascii="Times New Roman" w:hAnsi="Times New Roman" w:cs="Times New Roman"/>
          <w:sz w:val="22"/>
          <w:szCs w:val="22"/>
        </w:rPr>
      </w:pPr>
      <w:r w:rsidRPr="009E3F7F">
        <w:rPr>
          <w:rFonts w:ascii="Times New Roman" w:hAnsi="Times New Roman" w:cs="Times New Roman"/>
          <w:sz w:val="22"/>
          <w:szCs w:val="22"/>
        </w:rPr>
        <w:t xml:space="preserve">This portion of the law is clear and current ratemaking mechanisms can be used to ensure compliance with this portion of RCW 80.28.360.  PSE believes </w:t>
      </w:r>
      <w:r w:rsidR="002B40EF" w:rsidRPr="009E3F7F">
        <w:rPr>
          <w:rFonts w:ascii="Times New Roman" w:hAnsi="Times New Roman" w:cs="Times New Roman"/>
          <w:sz w:val="22"/>
          <w:szCs w:val="22"/>
        </w:rPr>
        <w:t>compliance with this section of the RCW</w:t>
      </w:r>
      <w:r w:rsidRPr="009E3F7F">
        <w:rPr>
          <w:rFonts w:ascii="Times New Roman" w:hAnsi="Times New Roman" w:cs="Times New Roman"/>
          <w:sz w:val="22"/>
          <w:szCs w:val="22"/>
        </w:rPr>
        <w:t xml:space="preserve"> can be determined by comparing capital EVSE investments </w:t>
      </w:r>
      <w:r w:rsidR="002B40EF" w:rsidRPr="009E3F7F">
        <w:rPr>
          <w:rFonts w:ascii="Times New Roman" w:hAnsi="Times New Roman" w:cs="Times New Roman"/>
          <w:sz w:val="22"/>
          <w:szCs w:val="22"/>
        </w:rPr>
        <w:t xml:space="preserve">to </w:t>
      </w:r>
      <w:r w:rsidRPr="009E3F7F">
        <w:rPr>
          <w:rFonts w:ascii="Times New Roman" w:hAnsi="Times New Roman" w:cs="Times New Roman"/>
          <w:sz w:val="22"/>
          <w:szCs w:val="22"/>
        </w:rPr>
        <w:t>the total</w:t>
      </w:r>
      <w:r w:rsidR="00F50F4C" w:rsidRPr="009E3F7F">
        <w:rPr>
          <w:rFonts w:ascii="Times New Roman" w:hAnsi="Times New Roman" w:cs="Times New Roman"/>
          <w:sz w:val="22"/>
          <w:szCs w:val="22"/>
        </w:rPr>
        <w:t xml:space="preserve"> </w:t>
      </w:r>
      <w:r w:rsidR="00EC264E" w:rsidRPr="009E3F7F">
        <w:rPr>
          <w:rFonts w:ascii="Times New Roman" w:hAnsi="Times New Roman" w:cs="Times New Roman"/>
          <w:sz w:val="22"/>
          <w:szCs w:val="22"/>
        </w:rPr>
        <w:t>approved</w:t>
      </w:r>
      <w:r w:rsidRPr="009E3F7F">
        <w:rPr>
          <w:rFonts w:ascii="Times New Roman" w:hAnsi="Times New Roman" w:cs="Times New Roman"/>
          <w:sz w:val="22"/>
          <w:szCs w:val="22"/>
        </w:rPr>
        <w:t xml:space="preserve"> revenue requirement in the utility’s most recent general rate case.</w:t>
      </w:r>
    </w:p>
    <w:p w:rsidR="00506389" w:rsidRPr="009E3F7F" w:rsidRDefault="00506389" w:rsidP="00506389">
      <w:pPr>
        <w:pStyle w:val="PlainText"/>
        <w:ind w:left="720"/>
        <w:rPr>
          <w:rFonts w:ascii="Times New Roman" w:hAnsi="Times New Roman" w:cs="Times New Roman"/>
          <w:sz w:val="22"/>
          <w:szCs w:val="22"/>
        </w:rPr>
      </w:pPr>
    </w:p>
    <w:p w:rsidR="00690B38" w:rsidRPr="009E3F7F" w:rsidRDefault="00690B38" w:rsidP="00690B38">
      <w:pPr>
        <w:pStyle w:val="PlainText"/>
        <w:numPr>
          <w:ilvl w:val="0"/>
          <w:numId w:val="1"/>
        </w:numPr>
        <w:rPr>
          <w:rFonts w:ascii="Times New Roman" w:hAnsi="Times New Roman" w:cs="Times New Roman"/>
          <w:sz w:val="22"/>
          <w:szCs w:val="22"/>
        </w:rPr>
      </w:pPr>
      <w:r w:rsidRPr="009E3F7F">
        <w:rPr>
          <w:rFonts w:ascii="Times New Roman" w:hAnsi="Times New Roman" w:cs="Times New Roman"/>
          <w:sz w:val="22"/>
          <w:szCs w:val="22"/>
        </w:rPr>
        <w:t xml:space="preserve">PSE interprets this statement to mean that in order to qualify for the incentive rate of return, the </w:t>
      </w:r>
      <w:r w:rsidR="00F34402" w:rsidRPr="009E3F7F">
        <w:rPr>
          <w:rFonts w:ascii="Times New Roman" w:hAnsi="Times New Roman" w:cs="Times New Roman"/>
          <w:sz w:val="22"/>
          <w:szCs w:val="22"/>
        </w:rPr>
        <w:t xml:space="preserve">service </w:t>
      </w:r>
      <w:r w:rsidRPr="009E3F7F">
        <w:rPr>
          <w:rFonts w:ascii="Times New Roman" w:hAnsi="Times New Roman" w:cs="Times New Roman"/>
          <w:sz w:val="22"/>
          <w:szCs w:val="22"/>
        </w:rPr>
        <w:t xml:space="preserve">expending capital </w:t>
      </w:r>
      <w:r w:rsidR="002B40EF" w:rsidRPr="009E3F7F">
        <w:rPr>
          <w:rFonts w:ascii="Times New Roman" w:hAnsi="Times New Roman" w:cs="Times New Roman"/>
          <w:sz w:val="22"/>
          <w:szCs w:val="22"/>
        </w:rPr>
        <w:t xml:space="preserve">for EVSE investments </w:t>
      </w:r>
      <w:r w:rsidRPr="009E3F7F">
        <w:rPr>
          <w:rFonts w:ascii="Times New Roman" w:hAnsi="Times New Roman" w:cs="Times New Roman"/>
          <w:sz w:val="22"/>
          <w:szCs w:val="22"/>
        </w:rPr>
        <w:t xml:space="preserve">must be developed and operated by </w:t>
      </w:r>
      <w:r w:rsidR="00926B8E" w:rsidRPr="009E3F7F">
        <w:rPr>
          <w:rFonts w:ascii="Times New Roman" w:hAnsi="Times New Roman" w:cs="Times New Roman"/>
          <w:sz w:val="22"/>
          <w:szCs w:val="22"/>
        </w:rPr>
        <w:t>PSE</w:t>
      </w:r>
      <w:r w:rsidRPr="009E3F7F">
        <w:rPr>
          <w:rFonts w:ascii="Times New Roman" w:hAnsi="Times New Roman" w:cs="Times New Roman"/>
          <w:sz w:val="22"/>
          <w:szCs w:val="22"/>
        </w:rPr>
        <w:t xml:space="preserve">, </w:t>
      </w:r>
      <w:r w:rsidR="005C6663" w:rsidRPr="009E3F7F">
        <w:rPr>
          <w:rFonts w:ascii="Times New Roman" w:hAnsi="Times New Roman" w:cs="Times New Roman"/>
          <w:sz w:val="22"/>
          <w:szCs w:val="22"/>
        </w:rPr>
        <w:t>whose rates, tariffs and programs are</w:t>
      </w:r>
      <w:r w:rsidRPr="009E3F7F">
        <w:rPr>
          <w:rFonts w:ascii="Times New Roman" w:hAnsi="Times New Roman" w:cs="Times New Roman"/>
          <w:sz w:val="22"/>
          <w:szCs w:val="22"/>
        </w:rPr>
        <w:t xml:space="preserve"> </w:t>
      </w:r>
      <w:r w:rsidR="00EC264E" w:rsidRPr="009E3F7F">
        <w:rPr>
          <w:rFonts w:ascii="Times New Roman" w:hAnsi="Times New Roman" w:cs="Times New Roman"/>
          <w:sz w:val="22"/>
          <w:szCs w:val="22"/>
        </w:rPr>
        <w:t xml:space="preserve">regulated </w:t>
      </w:r>
      <w:r w:rsidR="00F34402" w:rsidRPr="009E3F7F">
        <w:rPr>
          <w:rFonts w:ascii="Times New Roman" w:hAnsi="Times New Roman" w:cs="Times New Roman"/>
          <w:sz w:val="22"/>
          <w:szCs w:val="22"/>
        </w:rPr>
        <w:t xml:space="preserve">and approved </w:t>
      </w:r>
      <w:r w:rsidRPr="009E3F7F">
        <w:rPr>
          <w:rFonts w:ascii="Times New Roman" w:hAnsi="Times New Roman" w:cs="Times New Roman"/>
          <w:sz w:val="22"/>
          <w:szCs w:val="22"/>
        </w:rPr>
        <w:t>by the Commission, and not by an unregulated subsidiary.</w:t>
      </w:r>
      <w:r w:rsidR="0053277B" w:rsidRPr="009E3F7F">
        <w:rPr>
          <w:rFonts w:ascii="Times New Roman" w:hAnsi="Times New Roman" w:cs="Times New Roman"/>
          <w:sz w:val="22"/>
          <w:szCs w:val="22"/>
        </w:rPr>
        <w:t xml:space="preserve"> </w:t>
      </w:r>
      <w:r w:rsidR="002B40EF" w:rsidRPr="009E3F7F">
        <w:rPr>
          <w:rFonts w:ascii="Times New Roman" w:hAnsi="Times New Roman" w:cs="Times New Roman"/>
          <w:sz w:val="22"/>
          <w:szCs w:val="22"/>
        </w:rPr>
        <w:t xml:space="preserve"> </w:t>
      </w:r>
    </w:p>
    <w:p w:rsidR="00506389" w:rsidRPr="009E3F7F" w:rsidRDefault="00506389" w:rsidP="00506389">
      <w:pPr>
        <w:pStyle w:val="PlainText"/>
        <w:ind w:left="720"/>
        <w:rPr>
          <w:rFonts w:ascii="Times New Roman" w:hAnsi="Times New Roman" w:cs="Times New Roman"/>
          <w:sz w:val="22"/>
          <w:szCs w:val="22"/>
        </w:rPr>
      </w:pPr>
    </w:p>
    <w:p w:rsidR="00690B38" w:rsidRPr="009E3F7F" w:rsidRDefault="00690B38" w:rsidP="00690B38">
      <w:pPr>
        <w:pStyle w:val="PlainText"/>
        <w:numPr>
          <w:ilvl w:val="0"/>
          <w:numId w:val="1"/>
        </w:numPr>
        <w:rPr>
          <w:rFonts w:ascii="Times New Roman" w:hAnsi="Times New Roman" w:cs="Times New Roman"/>
          <w:sz w:val="22"/>
          <w:szCs w:val="22"/>
        </w:rPr>
      </w:pPr>
      <w:r w:rsidRPr="009E3F7F">
        <w:rPr>
          <w:rFonts w:ascii="Times New Roman" w:hAnsi="Times New Roman" w:cs="Times New Roman"/>
          <w:sz w:val="22"/>
          <w:szCs w:val="22"/>
        </w:rPr>
        <w:t xml:space="preserve">The question of where electric vehicles are likely to be parked and for what duration is one of transportation planning.  Electric vehicles are vehicles that use electricity as fuel, not a different form of transportation.  As such, it is reasonable to expect that electric vehicles </w:t>
      </w:r>
      <w:r w:rsidR="009B5F5A" w:rsidRPr="009E3F7F">
        <w:rPr>
          <w:rFonts w:ascii="Times New Roman" w:hAnsi="Times New Roman" w:cs="Times New Roman"/>
          <w:sz w:val="22"/>
          <w:szCs w:val="22"/>
        </w:rPr>
        <w:t>will be parked for longer than two</w:t>
      </w:r>
      <w:r w:rsidRPr="009E3F7F">
        <w:rPr>
          <w:rFonts w:ascii="Times New Roman" w:hAnsi="Times New Roman" w:cs="Times New Roman"/>
          <w:sz w:val="22"/>
          <w:szCs w:val="22"/>
        </w:rPr>
        <w:t xml:space="preserve"> hours at the same locations as regular vehicles are parked.  While there may be some variation from this due to the need for electric vehicles to charge, PSE believes that as the market matures, </w:t>
      </w:r>
      <w:r w:rsidR="00F50F4C" w:rsidRPr="009E3F7F">
        <w:rPr>
          <w:rFonts w:ascii="Times New Roman" w:hAnsi="Times New Roman" w:cs="Times New Roman"/>
          <w:sz w:val="22"/>
          <w:szCs w:val="22"/>
        </w:rPr>
        <w:t>electric vehicle parking will generally follow the same patterns as parkin</w:t>
      </w:r>
      <w:r w:rsidR="00C52E7D" w:rsidRPr="009E3F7F">
        <w:rPr>
          <w:rFonts w:ascii="Times New Roman" w:hAnsi="Times New Roman" w:cs="Times New Roman"/>
          <w:sz w:val="22"/>
          <w:szCs w:val="22"/>
        </w:rPr>
        <w:t>g traditionally-fueled vehicles</w:t>
      </w:r>
      <w:r w:rsidRPr="009E3F7F">
        <w:rPr>
          <w:rFonts w:ascii="Times New Roman" w:hAnsi="Times New Roman" w:cs="Times New Roman"/>
          <w:sz w:val="22"/>
          <w:szCs w:val="22"/>
        </w:rPr>
        <w:t>.</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The electric vehicle industry has generally identified the following locations as areas where ve</w:t>
      </w:r>
      <w:r w:rsidR="009B5F5A" w:rsidRPr="009E3F7F">
        <w:rPr>
          <w:rFonts w:ascii="Times New Roman" w:hAnsi="Times New Roman" w:cs="Times New Roman"/>
          <w:sz w:val="22"/>
          <w:szCs w:val="22"/>
        </w:rPr>
        <w:t>hicles are likely to park for two hours or longer:  residences</w:t>
      </w:r>
      <w:r w:rsidRPr="009E3F7F">
        <w:rPr>
          <w:rFonts w:ascii="Times New Roman" w:hAnsi="Times New Roman" w:cs="Times New Roman"/>
          <w:sz w:val="22"/>
          <w:szCs w:val="22"/>
        </w:rPr>
        <w:t xml:space="preserve"> </w:t>
      </w:r>
      <w:r w:rsidR="009B5F5A" w:rsidRPr="009E3F7F">
        <w:rPr>
          <w:rFonts w:ascii="Times New Roman" w:hAnsi="Times New Roman" w:cs="Times New Roman"/>
          <w:sz w:val="22"/>
          <w:szCs w:val="22"/>
        </w:rPr>
        <w:t>(</w:t>
      </w:r>
      <w:r w:rsidRPr="009E3F7F">
        <w:rPr>
          <w:rFonts w:ascii="Times New Roman" w:hAnsi="Times New Roman" w:cs="Times New Roman"/>
          <w:sz w:val="22"/>
          <w:szCs w:val="22"/>
        </w:rPr>
        <w:t>including multi-family dwellings</w:t>
      </w:r>
      <w:r w:rsidR="009B5F5A" w:rsidRPr="009E3F7F">
        <w:rPr>
          <w:rFonts w:ascii="Times New Roman" w:hAnsi="Times New Roman" w:cs="Times New Roman"/>
          <w:sz w:val="22"/>
          <w:szCs w:val="22"/>
        </w:rPr>
        <w:t>)</w:t>
      </w:r>
      <w:r w:rsidRPr="009E3F7F">
        <w:rPr>
          <w:rFonts w:ascii="Times New Roman" w:hAnsi="Times New Roman" w:cs="Times New Roman"/>
          <w:sz w:val="22"/>
          <w:szCs w:val="22"/>
        </w:rPr>
        <w:t>; workplaces; overnight parking locations such as hotels or overnight parking lots.  These are the common sense locations for longer parking periods.</w:t>
      </w:r>
    </w:p>
    <w:p w:rsidR="00690B38" w:rsidRPr="009E3F7F" w:rsidRDefault="00690B38" w:rsidP="00690B38">
      <w:pPr>
        <w:pStyle w:val="PlainText"/>
        <w:ind w:left="720"/>
        <w:rPr>
          <w:rFonts w:ascii="Times New Roman" w:hAnsi="Times New Roman" w:cs="Times New Roman"/>
          <w:sz w:val="22"/>
          <w:szCs w:val="22"/>
        </w:rPr>
      </w:pPr>
    </w:p>
    <w:p w:rsidR="00690B38" w:rsidRPr="009E3F7F" w:rsidRDefault="00690B38"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 xml:space="preserve">It is important to note that in order to support electric vehicles, a mix of charging speeds and locations are necessary to have a robust network that can support vehicle charging.  While RCW 80.28.360 </w:t>
      </w:r>
      <w:r w:rsidR="00EC264E" w:rsidRPr="009E3F7F">
        <w:rPr>
          <w:rFonts w:ascii="Times New Roman" w:hAnsi="Times New Roman" w:cs="Times New Roman"/>
          <w:sz w:val="22"/>
          <w:szCs w:val="22"/>
        </w:rPr>
        <w:t xml:space="preserve">does not limit utility involvement to only longer-term parking duration locations, it does </w:t>
      </w:r>
      <w:r w:rsidRPr="009E3F7F">
        <w:rPr>
          <w:rFonts w:ascii="Times New Roman" w:hAnsi="Times New Roman" w:cs="Times New Roman"/>
          <w:sz w:val="22"/>
          <w:szCs w:val="22"/>
        </w:rPr>
        <w:t xml:space="preserve">authorize the Commission to allow </w:t>
      </w:r>
      <w:r w:rsidR="00EC264E" w:rsidRPr="009E3F7F">
        <w:rPr>
          <w:rFonts w:ascii="Times New Roman" w:hAnsi="Times New Roman" w:cs="Times New Roman"/>
          <w:sz w:val="22"/>
          <w:szCs w:val="22"/>
        </w:rPr>
        <w:t xml:space="preserve">the </w:t>
      </w:r>
      <w:r w:rsidRPr="009E3F7F">
        <w:rPr>
          <w:rFonts w:ascii="Times New Roman" w:hAnsi="Times New Roman" w:cs="Times New Roman"/>
          <w:sz w:val="22"/>
          <w:szCs w:val="22"/>
        </w:rPr>
        <w:t>incentive rate of r</w:t>
      </w:r>
      <w:r w:rsidR="009B5F5A" w:rsidRPr="009E3F7F">
        <w:rPr>
          <w:rFonts w:ascii="Times New Roman" w:hAnsi="Times New Roman" w:cs="Times New Roman"/>
          <w:sz w:val="22"/>
          <w:szCs w:val="22"/>
        </w:rPr>
        <w:t>eturn on capital expenditures for</w:t>
      </w:r>
      <w:r w:rsidRPr="009E3F7F">
        <w:rPr>
          <w:rFonts w:ascii="Times New Roman" w:hAnsi="Times New Roman" w:cs="Times New Roman"/>
          <w:sz w:val="22"/>
          <w:szCs w:val="22"/>
        </w:rPr>
        <w:t xml:space="preserve"> projects installed or located where electric vehicles are most likely to be parked for intervals longer than </w:t>
      </w:r>
      <w:r w:rsidR="00EC264E" w:rsidRPr="009E3F7F">
        <w:rPr>
          <w:rFonts w:ascii="Times New Roman" w:hAnsi="Times New Roman" w:cs="Times New Roman"/>
          <w:sz w:val="22"/>
          <w:szCs w:val="22"/>
        </w:rPr>
        <w:t>two</w:t>
      </w:r>
      <w:r w:rsidRPr="009E3F7F">
        <w:rPr>
          <w:rFonts w:ascii="Times New Roman" w:hAnsi="Times New Roman" w:cs="Times New Roman"/>
          <w:sz w:val="22"/>
          <w:szCs w:val="22"/>
        </w:rPr>
        <w:t xml:space="preserve"> hours</w:t>
      </w:r>
      <w:r w:rsidR="00EC264E" w:rsidRPr="009E3F7F">
        <w:rPr>
          <w:rFonts w:ascii="Times New Roman" w:hAnsi="Times New Roman" w:cs="Times New Roman"/>
          <w:sz w:val="22"/>
          <w:szCs w:val="22"/>
        </w:rPr>
        <w:t>.</w:t>
      </w:r>
      <w:r w:rsidRPr="009E3F7F">
        <w:rPr>
          <w:rFonts w:ascii="Times New Roman" w:hAnsi="Times New Roman" w:cs="Times New Roman"/>
          <w:sz w:val="22"/>
          <w:szCs w:val="22"/>
        </w:rPr>
        <w:t xml:space="preserve"> </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lastRenderedPageBreak/>
        <w:t>2.</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What real and tangible benefits to ratepayers should electrical companies </w:t>
      </w:r>
      <w:proofErr w:type="gramStart"/>
      <w:r w:rsidRPr="009E3F7F">
        <w:rPr>
          <w:rFonts w:ascii="Times New Roman" w:hAnsi="Times New Roman" w:cs="Times New Roman"/>
          <w:b/>
          <w:sz w:val="22"/>
          <w:szCs w:val="22"/>
        </w:rPr>
        <w:t>be</w:t>
      </w:r>
      <w:proofErr w:type="gramEnd"/>
      <w:r w:rsidRPr="009E3F7F">
        <w:rPr>
          <w:rFonts w:ascii="Times New Roman" w:hAnsi="Times New Roman" w:cs="Times New Roman"/>
          <w:b/>
          <w:sz w:val="22"/>
          <w:szCs w:val="22"/>
        </w:rPr>
        <w:t xml:space="preserve"> required to quantify and demonstrate in order for the Commission to: </w:t>
      </w: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ab/>
        <w:t xml:space="preserve">a) </w:t>
      </w:r>
      <w:proofErr w:type="gramStart"/>
      <w:r w:rsidRPr="009E3F7F">
        <w:rPr>
          <w:rFonts w:ascii="Times New Roman" w:hAnsi="Times New Roman" w:cs="Times New Roman"/>
          <w:b/>
          <w:sz w:val="22"/>
          <w:szCs w:val="22"/>
        </w:rPr>
        <w:t>make</w:t>
      </w:r>
      <w:proofErr w:type="gramEnd"/>
      <w:r w:rsidRPr="009E3F7F">
        <w:rPr>
          <w:rFonts w:ascii="Times New Roman" w:hAnsi="Times New Roman" w:cs="Times New Roman"/>
          <w:b/>
          <w:sz w:val="22"/>
          <w:szCs w:val="22"/>
        </w:rPr>
        <w:t xml:space="preserve"> a prudence determination, and </w:t>
      </w: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ab/>
        <w:t xml:space="preserve">b) </w:t>
      </w:r>
      <w:proofErr w:type="gramStart"/>
      <w:r w:rsidRPr="009E3F7F">
        <w:rPr>
          <w:rFonts w:ascii="Times New Roman" w:hAnsi="Times New Roman" w:cs="Times New Roman"/>
          <w:b/>
          <w:sz w:val="22"/>
          <w:szCs w:val="22"/>
        </w:rPr>
        <w:t>authorize</w:t>
      </w:r>
      <w:proofErr w:type="gramEnd"/>
      <w:r w:rsidRPr="009E3F7F">
        <w:rPr>
          <w:rFonts w:ascii="Times New Roman" w:hAnsi="Times New Roman" w:cs="Times New Roman"/>
          <w:b/>
          <w:sz w:val="22"/>
          <w:szCs w:val="22"/>
        </w:rPr>
        <w:t xml:space="preserve"> an incentive rate of return?</w:t>
      </w:r>
    </w:p>
    <w:p w:rsidR="00690B38" w:rsidRPr="009E3F7F" w:rsidRDefault="00690B38" w:rsidP="00690B38">
      <w:pPr>
        <w:pStyle w:val="PlainText"/>
        <w:rPr>
          <w:rFonts w:ascii="Times New Roman" w:hAnsi="Times New Roman" w:cs="Times New Roman"/>
          <w:sz w:val="22"/>
          <w:szCs w:val="22"/>
        </w:rPr>
      </w:pPr>
    </w:p>
    <w:p w:rsidR="009B5F5A" w:rsidRPr="009E3F7F" w:rsidRDefault="00CD20E3" w:rsidP="009B5F5A">
      <w:pPr>
        <w:pStyle w:val="PlainText"/>
        <w:rPr>
          <w:rFonts w:ascii="Times New Roman" w:hAnsi="Times New Roman" w:cs="Times New Roman"/>
          <w:sz w:val="22"/>
          <w:szCs w:val="22"/>
        </w:rPr>
      </w:pPr>
      <w:r w:rsidRPr="009E3F7F">
        <w:rPr>
          <w:rFonts w:ascii="Times New Roman" w:hAnsi="Times New Roman" w:cs="Times New Roman"/>
          <w:b/>
          <w:sz w:val="22"/>
          <w:szCs w:val="22"/>
          <w:u w:val="single"/>
        </w:rPr>
        <w:t>Response:</w:t>
      </w:r>
      <w:r w:rsidRPr="009E3F7F">
        <w:rPr>
          <w:rFonts w:ascii="Times New Roman" w:hAnsi="Times New Roman" w:cs="Times New Roman"/>
          <w:sz w:val="22"/>
          <w:szCs w:val="22"/>
        </w:rPr>
        <w:t xml:space="preserve"> </w:t>
      </w:r>
    </w:p>
    <w:p w:rsidR="00690B38" w:rsidRPr="009E3F7F" w:rsidRDefault="00CD20E3" w:rsidP="009B5F5A">
      <w:pPr>
        <w:pStyle w:val="PlainText"/>
        <w:numPr>
          <w:ilvl w:val="0"/>
          <w:numId w:val="8"/>
        </w:numPr>
        <w:rPr>
          <w:rFonts w:ascii="Times New Roman" w:hAnsi="Times New Roman" w:cs="Times New Roman"/>
          <w:sz w:val="22"/>
          <w:szCs w:val="22"/>
          <w:u w:val="single"/>
        </w:rPr>
      </w:pPr>
      <w:r w:rsidRPr="009E3F7F">
        <w:rPr>
          <w:rFonts w:ascii="Times New Roman" w:hAnsi="Times New Roman" w:cs="Times New Roman"/>
          <w:sz w:val="22"/>
          <w:szCs w:val="22"/>
        </w:rPr>
        <w:t>Transportation</w:t>
      </w:r>
      <w:r w:rsidR="00690B38" w:rsidRPr="009E3F7F">
        <w:rPr>
          <w:rFonts w:ascii="Times New Roman" w:hAnsi="Times New Roman" w:cs="Times New Roman"/>
          <w:sz w:val="22"/>
          <w:szCs w:val="22"/>
        </w:rPr>
        <w:t xml:space="preserve"> Electrification provides numerous benefits to both users of electric transportation and non-users of electric transportation which are discussed in more detail below.  Within PSE’s service territory, all of these</w:t>
      </w:r>
      <w:r w:rsidR="00EC264E" w:rsidRPr="009E3F7F">
        <w:rPr>
          <w:rFonts w:ascii="Times New Roman" w:hAnsi="Times New Roman" w:cs="Times New Roman"/>
          <w:sz w:val="22"/>
          <w:szCs w:val="22"/>
        </w:rPr>
        <w:t xml:space="preserve"> benefits</w:t>
      </w:r>
      <w:r w:rsidR="00690B38" w:rsidRPr="009E3F7F">
        <w:rPr>
          <w:rFonts w:ascii="Times New Roman" w:hAnsi="Times New Roman" w:cs="Times New Roman"/>
          <w:sz w:val="22"/>
          <w:szCs w:val="22"/>
        </w:rPr>
        <w:t xml:space="preserve"> are likely to direct</w:t>
      </w:r>
      <w:r w:rsidR="00EC264E" w:rsidRPr="009E3F7F">
        <w:rPr>
          <w:rFonts w:ascii="Times New Roman" w:hAnsi="Times New Roman" w:cs="Times New Roman"/>
          <w:sz w:val="22"/>
          <w:szCs w:val="22"/>
        </w:rPr>
        <w:t>ly</w:t>
      </w:r>
      <w:r w:rsidR="00690B38" w:rsidRPr="009E3F7F">
        <w:rPr>
          <w:rFonts w:ascii="Times New Roman" w:hAnsi="Times New Roman" w:cs="Times New Roman"/>
          <w:sz w:val="22"/>
          <w:szCs w:val="22"/>
        </w:rPr>
        <w:t xml:space="preserve"> or indirect</w:t>
      </w:r>
      <w:r w:rsidR="00EC264E" w:rsidRPr="009E3F7F">
        <w:rPr>
          <w:rFonts w:ascii="Times New Roman" w:hAnsi="Times New Roman" w:cs="Times New Roman"/>
          <w:sz w:val="22"/>
          <w:szCs w:val="22"/>
        </w:rPr>
        <w:t>ly</w:t>
      </w:r>
      <w:r w:rsidR="00690B38" w:rsidRPr="009E3F7F">
        <w:rPr>
          <w:rFonts w:ascii="Times New Roman" w:hAnsi="Times New Roman" w:cs="Times New Roman"/>
          <w:sz w:val="22"/>
          <w:szCs w:val="22"/>
        </w:rPr>
        <w:t xml:space="preserve"> </w:t>
      </w:r>
      <w:r w:rsidR="00EC264E" w:rsidRPr="009E3F7F">
        <w:rPr>
          <w:rFonts w:ascii="Times New Roman" w:hAnsi="Times New Roman" w:cs="Times New Roman"/>
          <w:sz w:val="22"/>
          <w:szCs w:val="22"/>
        </w:rPr>
        <w:t>benefit</w:t>
      </w:r>
      <w:r w:rsidR="00690B38" w:rsidRPr="009E3F7F">
        <w:rPr>
          <w:rFonts w:ascii="Times New Roman" w:hAnsi="Times New Roman" w:cs="Times New Roman"/>
          <w:sz w:val="22"/>
          <w:szCs w:val="22"/>
        </w:rPr>
        <w:t xml:space="preserve"> ratepayers.</w:t>
      </w:r>
      <w:r w:rsidR="0053277B" w:rsidRPr="009E3F7F">
        <w:rPr>
          <w:rFonts w:ascii="Times New Roman" w:hAnsi="Times New Roman" w:cs="Times New Roman"/>
          <w:sz w:val="22"/>
          <w:szCs w:val="22"/>
        </w:rPr>
        <w:t xml:space="preserve"> Broadly</w:t>
      </w:r>
      <w:r w:rsidR="008D2D06" w:rsidRPr="009E3F7F">
        <w:rPr>
          <w:rFonts w:ascii="Times New Roman" w:hAnsi="Times New Roman" w:cs="Times New Roman"/>
          <w:sz w:val="22"/>
          <w:szCs w:val="22"/>
        </w:rPr>
        <w:t xml:space="preserve"> speaking, these benefits fall into categories of economic and environmental. </w:t>
      </w:r>
    </w:p>
    <w:p w:rsidR="00690B38" w:rsidRPr="009E3F7F" w:rsidRDefault="00690B38" w:rsidP="00690B38">
      <w:pPr>
        <w:pStyle w:val="PlainText"/>
        <w:ind w:left="720"/>
        <w:rPr>
          <w:rFonts w:ascii="Times New Roman" w:hAnsi="Times New Roman" w:cs="Times New Roman"/>
          <w:sz w:val="22"/>
          <w:szCs w:val="22"/>
        </w:rPr>
      </w:pPr>
    </w:p>
    <w:p w:rsidR="00690B38" w:rsidRPr="009E3F7F" w:rsidRDefault="008D2D06"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E</w:t>
      </w:r>
      <w:r w:rsidR="00690B38" w:rsidRPr="009E3F7F">
        <w:rPr>
          <w:rFonts w:ascii="Times New Roman" w:hAnsi="Times New Roman" w:cs="Times New Roman"/>
          <w:sz w:val="22"/>
          <w:szCs w:val="22"/>
        </w:rPr>
        <w:t xml:space="preserve">conomic </w:t>
      </w:r>
      <w:r w:rsidRPr="009E3F7F">
        <w:rPr>
          <w:rFonts w:ascii="Times New Roman" w:hAnsi="Times New Roman" w:cs="Times New Roman"/>
          <w:sz w:val="22"/>
          <w:szCs w:val="22"/>
        </w:rPr>
        <w:t xml:space="preserve">Benefits </w:t>
      </w:r>
    </w:p>
    <w:p w:rsidR="00690B38" w:rsidRPr="009E3F7F" w:rsidRDefault="00690B38" w:rsidP="00690B38">
      <w:pPr>
        <w:pStyle w:val="PlainText"/>
        <w:numPr>
          <w:ilvl w:val="0"/>
          <w:numId w:val="5"/>
        </w:numPr>
        <w:rPr>
          <w:rFonts w:ascii="Times New Roman" w:hAnsi="Times New Roman" w:cs="Times New Roman"/>
          <w:sz w:val="22"/>
          <w:szCs w:val="22"/>
        </w:rPr>
      </w:pPr>
      <w:r w:rsidRPr="009E3F7F">
        <w:rPr>
          <w:rFonts w:ascii="Times New Roman" w:hAnsi="Times New Roman" w:cs="Times New Roman"/>
          <w:sz w:val="22"/>
          <w:szCs w:val="22"/>
        </w:rPr>
        <w:t xml:space="preserve">For utility rates, if revenues to PSE from </w:t>
      </w:r>
      <w:r w:rsidR="00EC264E" w:rsidRPr="009E3F7F">
        <w:rPr>
          <w:rFonts w:ascii="Times New Roman" w:hAnsi="Times New Roman" w:cs="Times New Roman"/>
          <w:sz w:val="22"/>
          <w:szCs w:val="22"/>
        </w:rPr>
        <w:t xml:space="preserve">electric transportation </w:t>
      </w:r>
      <w:r w:rsidRPr="009E3F7F">
        <w:rPr>
          <w:rFonts w:ascii="Times New Roman" w:hAnsi="Times New Roman" w:cs="Times New Roman"/>
          <w:sz w:val="22"/>
          <w:szCs w:val="22"/>
        </w:rPr>
        <w:t xml:space="preserve">exceed costs associated with </w:t>
      </w:r>
      <w:r w:rsidR="00EC264E" w:rsidRPr="009E3F7F">
        <w:rPr>
          <w:rFonts w:ascii="Times New Roman" w:hAnsi="Times New Roman" w:cs="Times New Roman"/>
          <w:sz w:val="22"/>
          <w:szCs w:val="22"/>
        </w:rPr>
        <w:t>electric transportation</w:t>
      </w:r>
      <w:r w:rsidRPr="009E3F7F">
        <w:rPr>
          <w:rFonts w:ascii="Times New Roman" w:hAnsi="Times New Roman" w:cs="Times New Roman"/>
          <w:sz w:val="22"/>
          <w:szCs w:val="22"/>
        </w:rPr>
        <w:t xml:space="preserve">, there is a clear and direct benefit to ratepayers using electrified transportation and those not using electrified transportation.  </w:t>
      </w:r>
    </w:p>
    <w:p w:rsidR="00690B38" w:rsidRPr="009E3F7F" w:rsidRDefault="00690B38" w:rsidP="00EC264E">
      <w:pPr>
        <w:pStyle w:val="PlainText"/>
        <w:numPr>
          <w:ilvl w:val="0"/>
          <w:numId w:val="5"/>
        </w:numPr>
        <w:rPr>
          <w:rFonts w:ascii="Times New Roman" w:hAnsi="Times New Roman" w:cs="Times New Roman"/>
          <w:sz w:val="22"/>
          <w:szCs w:val="22"/>
        </w:rPr>
      </w:pPr>
      <w:r w:rsidRPr="009E3F7F">
        <w:rPr>
          <w:rFonts w:ascii="Times New Roman" w:hAnsi="Times New Roman" w:cs="Times New Roman"/>
          <w:sz w:val="22"/>
          <w:szCs w:val="22"/>
        </w:rPr>
        <w:t xml:space="preserve">For transportation costs, there is a decrease in </w:t>
      </w:r>
      <w:r w:rsidR="00EC264E" w:rsidRPr="009E3F7F">
        <w:rPr>
          <w:rFonts w:ascii="Times New Roman" w:hAnsi="Times New Roman" w:cs="Times New Roman"/>
          <w:sz w:val="22"/>
          <w:szCs w:val="22"/>
        </w:rPr>
        <w:t xml:space="preserve">operating </w:t>
      </w:r>
      <w:r w:rsidRPr="009E3F7F">
        <w:rPr>
          <w:rFonts w:ascii="Times New Roman" w:hAnsi="Times New Roman" w:cs="Times New Roman"/>
          <w:sz w:val="22"/>
          <w:szCs w:val="22"/>
        </w:rPr>
        <w:t xml:space="preserve">costs to the electrified transportation user.  </w:t>
      </w:r>
      <w:r w:rsidR="00F50F4C" w:rsidRPr="009E3F7F">
        <w:rPr>
          <w:rFonts w:ascii="Times New Roman" w:hAnsi="Times New Roman" w:cs="Times New Roman"/>
          <w:sz w:val="22"/>
          <w:szCs w:val="22"/>
        </w:rPr>
        <w:t>Fuel costs are lower, with PSE’s current residential electricity rate being the equivalent of approximately $1.26 per gallon when compared to gasoline.</w:t>
      </w:r>
      <w:r w:rsidRPr="009E3F7F">
        <w:rPr>
          <w:rFonts w:ascii="Times New Roman" w:hAnsi="Times New Roman" w:cs="Times New Roman"/>
          <w:sz w:val="22"/>
          <w:szCs w:val="22"/>
        </w:rPr>
        <w:t xml:space="preserve"> </w:t>
      </w:r>
      <w:r w:rsidR="00EC264E" w:rsidRPr="009E3F7F">
        <w:rPr>
          <w:rFonts w:ascii="Times New Roman" w:hAnsi="Times New Roman" w:cs="Times New Roman"/>
          <w:sz w:val="22"/>
          <w:szCs w:val="22"/>
        </w:rPr>
        <w:t>Further, maintenance costs for electric transportation are lower than for traditional fuels</w:t>
      </w:r>
      <w:r w:rsidR="00F50F4C" w:rsidRPr="009E3F7F">
        <w:rPr>
          <w:rFonts w:ascii="Times New Roman" w:hAnsi="Times New Roman" w:cs="Times New Roman"/>
          <w:sz w:val="22"/>
          <w:szCs w:val="22"/>
        </w:rPr>
        <w:t xml:space="preserve"> as there are fewer oil changes and brake replacements</w:t>
      </w:r>
      <w:r w:rsidR="00EC264E" w:rsidRPr="009E3F7F">
        <w:rPr>
          <w:rFonts w:ascii="Times New Roman" w:hAnsi="Times New Roman" w:cs="Times New Roman"/>
          <w:sz w:val="22"/>
          <w:szCs w:val="22"/>
        </w:rPr>
        <w:t>.</w:t>
      </w:r>
      <w:r w:rsidRPr="009E3F7F">
        <w:rPr>
          <w:rFonts w:ascii="Times New Roman" w:hAnsi="Times New Roman" w:cs="Times New Roman"/>
          <w:sz w:val="22"/>
          <w:szCs w:val="22"/>
        </w:rPr>
        <w:t xml:space="preserve"> </w:t>
      </w:r>
      <w:r w:rsidR="00EC264E" w:rsidRPr="009E3F7F">
        <w:rPr>
          <w:rFonts w:ascii="Times New Roman" w:hAnsi="Times New Roman" w:cs="Times New Roman"/>
          <w:sz w:val="22"/>
          <w:szCs w:val="22"/>
        </w:rPr>
        <w:t>T</w:t>
      </w:r>
      <w:r w:rsidRPr="009E3F7F">
        <w:rPr>
          <w:rFonts w:ascii="Times New Roman" w:hAnsi="Times New Roman" w:cs="Times New Roman"/>
          <w:sz w:val="22"/>
          <w:szCs w:val="22"/>
        </w:rPr>
        <w:t xml:space="preserve">here is </w:t>
      </w:r>
      <w:r w:rsidR="00EC264E" w:rsidRPr="009E3F7F">
        <w:rPr>
          <w:rFonts w:ascii="Times New Roman" w:hAnsi="Times New Roman" w:cs="Times New Roman"/>
          <w:sz w:val="22"/>
          <w:szCs w:val="22"/>
        </w:rPr>
        <w:t xml:space="preserve">also </w:t>
      </w:r>
      <w:r w:rsidRPr="009E3F7F">
        <w:rPr>
          <w:rFonts w:ascii="Times New Roman" w:hAnsi="Times New Roman" w:cs="Times New Roman"/>
          <w:sz w:val="22"/>
          <w:szCs w:val="22"/>
        </w:rPr>
        <w:t>a value to the consumer in low volatility of fuel cost</w:t>
      </w:r>
      <w:r w:rsidR="00EC264E" w:rsidRPr="009E3F7F">
        <w:rPr>
          <w:rFonts w:ascii="Times New Roman" w:hAnsi="Times New Roman" w:cs="Times New Roman"/>
          <w:sz w:val="22"/>
          <w:szCs w:val="22"/>
        </w:rPr>
        <w:t xml:space="preserve"> from electricity versus gasoline or diesel</w:t>
      </w:r>
      <w:r w:rsidRPr="009E3F7F">
        <w:rPr>
          <w:rFonts w:ascii="Times New Roman" w:hAnsi="Times New Roman" w:cs="Times New Roman"/>
          <w:sz w:val="22"/>
          <w:szCs w:val="22"/>
        </w:rPr>
        <w:t>. This value is difficult to quantify, especially for the individual</w:t>
      </w:r>
      <w:r w:rsidR="00EC264E" w:rsidRPr="009E3F7F">
        <w:rPr>
          <w:rFonts w:ascii="Times New Roman" w:hAnsi="Times New Roman" w:cs="Times New Roman"/>
          <w:sz w:val="22"/>
          <w:szCs w:val="22"/>
        </w:rPr>
        <w:t>, but it exists</w:t>
      </w:r>
      <w:r w:rsidRPr="009E3F7F">
        <w:rPr>
          <w:rFonts w:ascii="Times New Roman" w:hAnsi="Times New Roman" w:cs="Times New Roman"/>
          <w:sz w:val="22"/>
          <w:szCs w:val="22"/>
        </w:rPr>
        <w:t>.</w:t>
      </w:r>
    </w:p>
    <w:p w:rsidR="00690B38" w:rsidRPr="009E3F7F" w:rsidRDefault="00690B38" w:rsidP="00690B38">
      <w:pPr>
        <w:pStyle w:val="PlainText"/>
        <w:rPr>
          <w:rFonts w:ascii="Times New Roman" w:hAnsi="Times New Roman" w:cs="Times New Roman"/>
          <w:sz w:val="22"/>
          <w:szCs w:val="22"/>
        </w:rPr>
      </w:pPr>
    </w:p>
    <w:p w:rsidR="002F7D82" w:rsidRPr="009E3F7F" w:rsidRDefault="008D2D06" w:rsidP="00340E2A">
      <w:pPr>
        <w:pStyle w:val="PlainText"/>
        <w:ind w:firstLine="720"/>
        <w:rPr>
          <w:rFonts w:ascii="Times New Roman" w:hAnsi="Times New Roman" w:cs="Times New Roman"/>
          <w:sz w:val="22"/>
          <w:szCs w:val="22"/>
        </w:rPr>
      </w:pPr>
      <w:r w:rsidRPr="009E3F7F">
        <w:rPr>
          <w:rFonts w:ascii="Times New Roman" w:hAnsi="Times New Roman" w:cs="Times New Roman"/>
          <w:sz w:val="22"/>
          <w:szCs w:val="22"/>
        </w:rPr>
        <w:t>Environmental Benefits</w:t>
      </w:r>
    </w:p>
    <w:p w:rsidR="00690B38" w:rsidRPr="009E3F7F" w:rsidRDefault="00690B38" w:rsidP="00690B38">
      <w:pPr>
        <w:pStyle w:val="PlainText"/>
        <w:numPr>
          <w:ilvl w:val="0"/>
          <w:numId w:val="6"/>
        </w:numPr>
        <w:rPr>
          <w:rFonts w:ascii="Times New Roman" w:hAnsi="Times New Roman" w:cs="Times New Roman"/>
          <w:sz w:val="22"/>
          <w:szCs w:val="22"/>
        </w:rPr>
      </w:pPr>
      <w:r w:rsidRPr="009E3F7F">
        <w:rPr>
          <w:rFonts w:ascii="Times New Roman" w:hAnsi="Times New Roman" w:cs="Times New Roman"/>
          <w:sz w:val="22"/>
          <w:szCs w:val="22"/>
        </w:rPr>
        <w:t xml:space="preserve">Use of electricity as a transportation fuel </w:t>
      </w:r>
      <w:r w:rsidR="008D2D06" w:rsidRPr="009E3F7F">
        <w:rPr>
          <w:rFonts w:ascii="Times New Roman" w:hAnsi="Times New Roman" w:cs="Times New Roman"/>
          <w:sz w:val="22"/>
          <w:szCs w:val="22"/>
        </w:rPr>
        <w:t xml:space="preserve">in PSE’s service territory </w:t>
      </w:r>
      <w:r w:rsidRPr="009E3F7F">
        <w:rPr>
          <w:rFonts w:ascii="Times New Roman" w:hAnsi="Times New Roman" w:cs="Times New Roman"/>
          <w:sz w:val="22"/>
          <w:szCs w:val="22"/>
        </w:rPr>
        <w:t>produces lower lifetime carbon emissions than use of gasoline and diesel. While this value is often considered societal, there are also d</w:t>
      </w:r>
      <w:r w:rsidR="00340E2A" w:rsidRPr="009E3F7F">
        <w:rPr>
          <w:rFonts w:ascii="Times New Roman" w:hAnsi="Times New Roman" w:cs="Times New Roman"/>
          <w:sz w:val="22"/>
          <w:szCs w:val="22"/>
        </w:rPr>
        <w:t xml:space="preserve">irect effects on the consumer. </w:t>
      </w:r>
      <w:r w:rsidRPr="009E3F7F">
        <w:rPr>
          <w:rFonts w:ascii="Times New Roman" w:hAnsi="Times New Roman" w:cs="Times New Roman"/>
          <w:sz w:val="22"/>
          <w:szCs w:val="22"/>
        </w:rPr>
        <w:t>Notably, when carbon emissions carry a price, the difference in carbon emissions produces direct costs to the consumer, which vary d</w:t>
      </w:r>
      <w:r w:rsidR="00340E2A" w:rsidRPr="009E3F7F">
        <w:rPr>
          <w:rFonts w:ascii="Times New Roman" w:hAnsi="Times New Roman" w:cs="Times New Roman"/>
          <w:sz w:val="22"/>
          <w:szCs w:val="22"/>
        </w:rPr>
        <w:t xml:space="preserve">epending on the fuel they use. </w:t>
      </w:r>
      <w:r w:rsidRPr="009E3F7F">
        <w:rPr>
          <w:rFonts w:ascii="Times New Roman" w:hAnsi="Times New Roman" w:cs="Times New Roman"/>
          <w:sz w:val="22"/>
          <w:szCs w:val="22"/>
        </w:rPr>
        <w:t xml:space="preserve">While there is no direct price on carbon in Washington State today, a rulemaking underway by the Department of Ecology and Ballot Initiative 732 may create a price for carbon </w:t>
      </w:r>
      <w:r w:rsidR="008D2D06" w:rsidRPr="009E3F7F">
        <w:rPr>
          <w:rFonts w:ascii="Times New Roman" w:hAnsi="Times New Roman" w:cs="Times New Roman"/>
          <w:sz w:val="22"/>
          <w:szCs w:val="22"/>
        </w:rPr>
        <w:t>in the near future</w:t>
      </w:r>
      <w:r w:rsidRPr="009E3F7F">
        <w:rPr>
          <w:rFonts w:ascii="Times New Roman" w:hAnsi="Times New Roman" w:cs="Times New Roman"/>
          <w:sz w:val="22"/>
          <w:szCs w:val="22"/>
        </w:rPr>
        <w:t xml:space="preserve">. PSE routinely </w:t>
      </w:r>
      <w:r w:rsidR="00F34402" w:rsidRPr="009E3F7F">
        <w:rPr>
          <w:rFonts w:ascii="Times New Roman" w:hAnsi="Times New Roman" w:cs="Times New Roman"/>
          <w:sz w:val="22"/>
          <w:szCs w:val="22"/>
        </w:rPr>
        <w:t xml:space="preserve">includes estimated costs </w:t>
      </w:r>
      <w:r w:rsidRPr="009E3F7F">
        <w:rPr>
          <w:rFonts w:ascii="Times New Roman" w:hAnsi="Times New Roman" w:cs="Times New Roman"/>
          <w:sz w:val="22"/>
          <w:szCs w:val="22"/>
        </w:rPr>
        <w:t>for carbon pricing</w:t>
      </w:r>
      <w:r w:rsidR="00F34402" w:rsidRPr="009E3F7F">
        <w:rPr>
          <w:rFonts w:ascii="Times New Roman" w:hAnsi="Times New Roman" w:cs="Times New Roman"/>
          <w:sz w:val="22"/>
          <w:szCs w:val="22"/>
        </w:rPr>
        <w:t>/taxes</w:t>
      </w:r>
      <w:r w:rsidRPr="009E3F7F">
        <w:rPr>
          <w:rFonts w:ascii="Times New Roman" w:hAnsi="Times New Roman" w:cs="Times New Roman"/>
          <w:sz w:val="22"/>
          <w:szCs w:val="22"/>
        </w:rPr>
        <w:t xml:space="preserve"> in its Integrated Resource Planning.</w:t>
      </w:r>
    </w:p>
    <w:p w:rsidR="00690B38" w:rsidRPr="009E3F7F" w:rsidRDefault="00690B38" w:rsidP="009B5F5A">
      <w:pPr>
        <w:pStyle w:val="PlainText"/>
        <w:numPr>
          <w:ilvl w:val="0"/>
          <w:numId w:val="6"/>
        </w:numPr>
        <w:rPr>
          <w:rFonts w:ascii="Times New Roman" w:hAnsi="Times New Roman" w:cs="Times New Roman"/>
          <w:sz w:val="22"/>
          <w:szCs w:val="22"/>
        </w:rPr>
      </w:pPr>
      <w:r w:rsidRPr="009E3F7F">
        <w:rPr>
          <w:rFonts w:ascii="Times New Roman" w:hAnsi="Times New Roman" w:cs="Times New Roman"/>
          <w:sz w:val="22"/>
          <w:szCs w:val="22"/>
        </w:rPr>
        <w:t>Electrified transportation also reduces emissi</w:t>
      </w:r>
      <w:r w:rsidR="00340E2A" w:rsidRPr="009E3F7F">
        <w:rPr>
          <w:rFonts w:ascii="Times New Roman" w:hAnsi="Times New Roman" w:cs="Times New Roman"/>
          <w:sz w:val="22"/>
          <w:szCs w:val="22"/>
        </w:rPr>
        <w:t xml:space="preserve">ons of traditional pollutants. </w:t>
      </w:r>
      <w:r w:rsidRPr="009E3F7F">
        <w:rPr>
          <w:rFonts w:ascii="Times New Roman" w:hAnsi="Times New Roman" w:cs="Times New Roman"/>
          <w:sz w:val="22"/>
          <w:szCs w:val="22"/>
        </w:rPr>
        <w:t>In some regions of the country, there are dire</w:t>
      </w:r>
      <w:r w:rsidR="00340E2A" w:rsidRPr="009E3F7F">
        <w:rPr>
          <w:rFonts w:ascii="Times New Roman" w:hAnsi="Times New Roman" w:cs="Times New Roman"/>
          <w:sz w:val="22"/>
          <w:szCs w:val="22"/>
        </w:rPr>
        <w:t xml:space="preserve">ct prices on these pollutants. </w:t>
      </w:r>
      <w:r w:rsidRPr="009E3F7F">
        <w:rPr>
          <w:rFonts w:ascii="Times New Roman" w:hAnsi="Times New Roman" w:cs="Times New Roman"/>
          <w:sz w:val="22"/>
          <w:szCs w:val="22"/>
        </w:rPr>
        <w:t>In the Northwest, no direct prices currently exist, but there is still value in</w:t>
      </w:r>
      <w:r w:rsidR="00450AF5" w:rsidRPr="009E3F7F">
        <w:rPr>
          <w:rFonts w:ascii="Times New Roman" w:hAnsi="Times New Roman" w:cs="Times New Roman"/>
          <w:sz w:val="22"/>
          <w:szCs w:val="22"/>
        </w:rPr>
        <w:t xml:space="preserve"> improved human health due to</w:t>
      </w:r>
      <w:r w:rsidRPr="009E3F7F">
        <w:rPr>
          <w:rFonts w:ascii="Times New Roman" w:hAnsi="Times New Roman" w:cs="Times New Roman"/>
          <w:sz w:val="22"/>
          <w:szCs w:val="22"/>
        </w:rPr>
        <w:t xml:space="preserve"> reduced emissions. </w:t>
      </w:r>
    </w:p>
    <w:p w:rsidR="009B5F5A" w:rsidRPr="009E3F7F" w:rsidRDefault="00450AF5"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 xml:space="preserve"> </w:t>
      </w:r>
    </w:p>
    <w:p w:rsidR="00690B38" w:rsidRPr="009E3F7F" w:rsidRDefault="005C6663" w:rsidP="009B5F5A">
      <w:pPr>
        <w:pStyle w:val="PlainText"/>
        <w:ind w:left="1440"/>
        <w:rPr>
          <w:rFonts w:ascii="Times New Roman" w:hAnsi="Times New Roman" w:cs="Times New Roman"/>
          <w:sz w:val="22"/>
          <w:szCs w:val="22"/>
        </w:rPr>
      </w:pPr>
      <w:r w:rsidRPr="009E3F7F">
        <w:rPr>
          <w:rFonts w:ascii="Times New Roman" w:hAnsi="Times New Roman" w:cs="Times New Roman"/>
          <w:sz w:val="22"/>
          <w:szCs w:val="22"/>
        </w:rPr>
        <w:t>A</w:t>
      </w:r>
      <w:r w:rsidR="00690B38" w:rsidRPr="009E3F7F">
        <w:rPr>
          <w:rFonts w:ascii="Times New Roman" w:hAnsi="Times New Roman" w:cs="Times New Roman"/>
          <w:sz w:val="22"/>
          <w:szCs w:val="22"/>
        </w:rPr>
        <w:t>ll of these benefits should be considered given that all produce benefits for both customers using electrified transportation and those not usi</w:t>
      </w:r>
      <w:r w:rsidR="00340E2A" w:rsidRPr="009E3F7F">
        <w:rPr>
          <w:rFonts w:ascii="Times New Roman" w:hAnsi="Times New Roman" w:cs="Times New Roman"/>
          <w:sz w:val="22"/>
          <w:szCs w:val="22"/>
        </w:rPr>
        <w:t xml:space="preserve">ng electrified transportation. </w:t>
      </w:r>
      <w:r w:rsidR="00690B38" w:rsidRPr="009E3F7F">
        <w:rPr>
          <w:rFonts w:ascii="Times New Roman" w:hAnsi="Times New Roman" w:cs="Times New Roman"/>
          <w:sz w:val="22"/>
          <w:szCs w:val="22"/>
        </w:rPr>
        <w:t xml:space="preserve">This was clearly outlined by the legislature is HB 1853 Sec 1, </w:t>
      </w:r>
      <w:r w:rsidR="00F50F4C" w:rsidRPr="009E3F7F">
        <w:rPr>
          <w:rFonts w:ascii="Times New Roman" w:hAnsi="Times New Roman" w:cs="Times New Roman"/>
          <w:sz w:val="22"/>
          <w:szCs w:val="22"/>
        </w:rPr>
        <w:t>included</w:t>
      </w:r>
      <w:r w:rsidR="00690B38" w:rsidRPr="009E3F7F">
        <w:rPr>
          <w:rFonts w:ascii="Times New Roman" w:hAnsi="Times New Roman" w:cs="Times New Roman"/>
          <w:sz w:val="22"/>
          <w:szCs w:val="22"/>
        </w:rPr>
        <w:t xml:space="preserve"> with emphasis </w:t>
      </w:r>
      <w:r w:rsidR="00F50F4C" w:rsidRPr="009E3F7F">
        <w:rPr>
          <w:rFonts w:ascii="Times New Roman" w:hAnsi="Times New Roman" w:cs="Times New Roman"/>
          <w:sz w:val="22"/>
          <w:szCs w:val="22"/>
        </w:rPr>
        <w:t xml:space="preserve">added </w:t>
      </w:r>
      <w:r w:rsidR="00690B38" w:rsidRPr="009E3F7F">
        <w:rPr>
          <w:rFonts w:ascii="Times New Roman" w:hAnsi="Times New Roman" w:cs="Times New Roman"/>
          <w:sz w:val="22"/>
          <w:szCs w:val="22"/>
        </w:rPr>
        <w:t>below:</w:t>
      </w:r>
    </w:p>
    <w:p w:rsidR="00690B38" w:rsidRPr="009E3F7F" w:rsidRDefault="00690B38" w:rsidP="00690B38">
      <w:pPr>
        <w:pStyle w:val="Default"/>
        <w:ind w:left="1440"/>
        <w:rPr>
          <w:sz w:val="22"/>
          <w:szCs w:val="22"/>
        </w:rPr>
      </w:pPr>
    </w:p>
    <w:p w:rsidR="00690B38" w:rsidRPr="009E3F7F" w:rsidRDefault="00690B38" w:rsidP="00690B38">
      <w:pPr>
        <w:pStyle w:val="Default"/>
        <w:ind w:left="1440"/>
        <w:rPr>
          <w:color w:val="auto"/>
          <w:sz w:val="22"/>
          <w:szCs w:val="22"/>
        </w:rPr>
      </w:pPr>
      <w:proofErr w:type="gramStart"/>
      <w:r w:rsidRPr="009E3F7F">
        <w:rPr>
          <w:b/>
          <w:bCs/>
          <w:color w:val="auto"/>
          <w:sz w:val="22"/>
          <w:szCs w:val="22"/>
        </w:rPr>
        <w:lastRenderedPageBreak/>
        <w:t>“Sec. 1.</w:t>
      </w:r>
      <w:proofErr w:type="gramEnd"/>
      <w:r w:rsidRPr="009E3F7F">
        <w:rPr>
          <w:b/>
          <w:bCs/>
          <w:color w:val="auto"/>
          <w:sz w:val="22"/>
          <w:szCs w:val="22"/>
        </w:rPr>
        <w:t xml:space="preserve"> </w:t>
      </w:r>
      <w:r w:rsidRPr="009E3F7F">
        <w:rPr>
          <w:color w:val="auto"/>
          <w:sz w:val="22"/>
          <w:szCs w:val="22"/>
        </w:rPr>
        <w:t>(1)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rsidR="00690B38" w:rsidRPr="009E3F7F" w:rsidRDefault="00690B38" w:rsidP="00690B38">
      <w:pPr>
        <w:pStyle w:val="Default"/>
        <w:ind w:left="1440"/>
        <w:rPr>
          <w:color w:val="auto"/>
          <w:sz w:val="22"/>
          <w:szCs w:val="22"/>
        </w:rPr>
      </w:pPr>
      <w:r w:rsidRPr="009E3F7F">
        <w:rPr>
          <w:color w:val="auto"/>
          <w:sz w:val="22"/>
          <w:szCs w:val="22"/>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 </w:t>
      </w:r>
    </w:p>
    <w:p w:rsidR="00690B38" w:rsidRPr="009E3F7F" w:rsidRDefault="00690B38" w:rsidP="00690B38">
      <w:pPr>
        <w:pStyle w:val="Default"/>
        <w:ind w:left="1440"/>
        <w:rPr>
          <w:color w:val="auto"/>
          <w:sz w:val="22"/>
          <w:szCs w:val="22"/>
        </w:rPr>
      </w:pPr>
      <w:r w:rsidRPr="009E3F7F">
        <w:rPr>
          <w:color w:val="auto"/>
          <w:sz w:val="22"/>
          <w:szCs w:val="22"/>
        </w:rPr>
        <w:t xml:space="preserve">(3) The legislature finds that utilities, who are traditionally responsible for understanding and engineering the electrical grid for safety and </w:t>
      </w:r>
      <w:proofErr w:type="gramStart"/>
      <w:r w:rsidRPr="009E3F7F">
        <w:rPr>
          <w:color w:val="auto"/>
          <w:sz w:val="22"/>
          <w:szCs w:val="22"/>
        </w:rPr>
        <w:t>reliability,</w:t>
      </w:r>
      <w:proofErr w:type="gramEnd"/>
      <w:r w:rsidRPr="009E3F7F">
        <w:rPr>
          <w:color w:val="auto"/>
          <w:sz w:val="22"/>
          <w:szCs w:val="22"/>
        </w:rPr>
        <w:t xml:space="preserve"> </w:t>
      </w:r>
      <w:r w:rsidRPr="009E3F7F">
        <w:rPr>
          <w:color w:val="auto"/>
          <w:sz w:val="22"/>
          <w:szCs w:val="22"/>
          <w:u w:val="single"/>
        </w:rPr>
        <w:t>must be fully empowered and incentivized to be engaged in electrification of our transportation system</w:t>
      </w:r>
      <w:r w:rsidRPr="009E3F7F">
        <w:rPr>
          <w:color w:val="auto"/>
          <w:sz w:val="22"/>
          <w:szCs w:val="22"/>
        </w:rPr>
        <w:t xml:space="preserve">. The legislature further finds that it has given utilities other policy directives to promote energy conservation which do not make the benefits of building out electric vehicle infrastructure, as well as any subsequent increase in energy consumption, readily apparent. </w:t>
      </w:r>
      <w:r w:rsidRPr="009E3F7F">
        <w:rPr>
          <w:color w:val="auto"/>
          <w:sz w:val="22"/>
          <w:szCs w:val="22"/>
          <w:u w:val="single"/>
        </w:rPr>
        <w:t>Therefore the legislature intends to provide a clear policy directive and financial incentive to utilities for electric vehicle infrastructure build-out.”</w:t>
      </w:r>
    </w:p>
    <w:p w:rsidR="00690B38" w:rsidRPr="009E3F7F" w:rsidRDefault="00690B38" w:rsidP="00690B38">
      <w:pPr>
        <w:pStyle w:val="PlainText"/>
        <w:ind w:left="720"/>
        <w:rPr>
          <w:rFonts w:ascii="Times New Roman" w:hAnsi="Times New Roman" w:cs="Times New Roman"/>
          <w:i/>
          <w:sz w:val="22"/>
          <w:szCs w:val="22"/>
        </w:rPr>
      </w:pPr>
    </w:p>
    <w:p w:rsidR="00690B38" w:rsidRPr="009E3F7F" w:rsidRDefault="00690B38"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Given the broad benefit of transportation electrification</w:t>
      </w:r>
      <w:r w:rsidR="00F50F4C" w:rsidRPr="009E3F7F">
        <w:rPr>
          <w:rFonts w:ascii="Times New Roman" w:hAnsi="Times New Roman" w:cs="Times New Roman"/>
          <w:sz w:val="22"/>
          <w:szCs w:val="22"/>
        </w:rPr>
        <w:t xml:space="preserve"> and the role of customer choice in selecting their transportation fuel</w:t>
      </w:r>
      <w:r w:rsidRPr="009E3F7F">
        <w:rPr>
          <w:rFonts w:ascii="Times New Roman" w:hAnsi="Times New Roman" w:cs="Times New Roman"/>
          <w:sz w:val="22"/>
          <w:szCs w:val="22"/>
        </w:rPr>
        <w:t>, pruden</w:t>
      </w:r>
      <w:r w:rsidR="00450AF5" w:rsidRPr="009E3F7F">
        <w:rPr>
          <w:rFonts w:ascii="Times New Roman" w:hAnsi="Times New Roman" w:cs="Times New Roman"/>
          <w:sz w:val="22"/>
          <w:szCs w:val="22"/>
        </w:rPr>
        <w:t>t</w:t>
      </w:r>
      <w:r w:rsidRPr="009E3F7F">
        <w:rPr>
          <w:rFonts w:ascii="Times New Roman" w:hAnsi="Times New Roman" w:cs="Times New Roman"/>
          <w:sz w:val="22"/>
          <w:szCs w:val="22"/>
        </w:rPr>
        <w:t xml:space="preserve"> </w:t>
      </w:r>
      <w:r w:rsidR="00450AF5" w:rsidRPr="009E3F7F">
        <w:rPr>
          <w:rFonts w:ascii="Times New Roman" w:hAnsi="Times New Roman" w:cs="Times New Roman"/>
          <w:sz w:val="22"/>
          <w:szCs w:val="22"/>
        </w:rPr>
        <w:t xml:space="preserve">decision-making </w:t>
      </w:r>
      <w:r w:rsidRPr="009E3F7F">
        <w:rPr>
          <w:rFonts w:ascii="Times New Roman" w:hAnsi="Times New Roman" w:cs="Times New Roman"/>
          <w:sz w:val="22"/>
          <w:szCs w:val="22"/>
        </w:rPr>
        <w:t>should be different than the traditional prudence tests</w:t>
      </w:r>
      <w:r w:rsidR="00F34402" w:rsidRPr="009E3F7F">
        <w:rPr>
          <w:rFonts w:ascii="Times New Roman" w:hAnsi="Times New Roman" w:cs="Times New Roman"/>
          <w:sz w:val="22"/>
          <w:szCs w:val="22"/>
        </w:rPr>
        <w:t xml:space="preserve"> and processes</w:t>
      </w:r>
      <w:r w:rsidRPr="009E3F7F">
        <w:rPr>
          <w:rFonts w:ascii="Times New Roman" w:hAnsi="Times New Roman" w:cs="Times New Roman"/>
          <w:sz w:val="22"/>
          <w:szCs w:val="22"/>
        </w:rPr>
        <w:t xml:space="preserve"> used </w:t>
      </w:r>
      <w:r w:rsidR="00340E2A" w:rsidRPr="009E3F7F">
        <w:rPr>
          <w:rFonts w:ascii="Times New Roman" w:hAnsi="Times New Roman" w:cs="Times New Roman"/>
          <w:sz w:val="22"/>
          <w:szCs w:val="22"/>
        </w:rPr>
        <w:t xml:space="preserve">for other utility investments. </w:t>
      </w:r>
      <w:r w:rsidRPr="009E3F7F">
        <w:rPr>
          <w:rFonts w:ascii="Times New Roman" w:hAnsi="Times New Roman" w:cs="Times New Roman"/>
          <w:sz w:val="22"/>
          <w:szCs w:val="22"/>
        </w:rPr>
        <w:t>Traditional prudence rests on several factors, notably:</w:t>
      </w:r>
    </w:p>
    <w:p w:rsidR="00690B38" w:rsidRPr="009E3F7F" w:rsidRDefault="00690B38" w:rsidP="00690B38">
      <w:pPr>
        <w:pStyle w:val="PlainText"/>
        <w:numPr>
          <w:ilvl w:val="0"/>
          <w:numId w:val="7"/>
        </w:numPr>
        <w:rPr>
          <w:rFonts w:ascii="Times New Roman" w:hAnsi="Times New Roman" w:cs="Times New Roman"/>
          <w:sz w:val="22"/>
          <w:szCs w:val="22"/>
        </w:rPr>
      </w:pPr>
      <w:r w:rsidRPr="009E3F7F">
        <w:rPr>
          <w:rFonts w:ascii="Times New Roman" w:hAnsi="Times New Roman" w:cs="Times New Roman"/>
          <w:sz w:val="22"/>
          <w:szCs w:val="22"/>
        </w:rPr>
        <w:t>Determination of need of investment</w:t>
      </w:r>
    </w:p>
    <w:p w:rsidR="00690B38" w:rsidRPr="009E3F7F" w:rsidRDefault="00690B38" w:rsidP="00690B38">
      <w:pPr>
        <w:pStyle w:val="PlainText"/>
        <w:numPr>
          <w:ilvl w:val="0"/>
          <w:numId w:val="7"/>
        </w:numPr>
        <w:rPr>
          <w:rFonts w:ascii="Times New Roman" w:hAnsi="Times New Roman" w:cs="Times New Roman"/>
          <w:sz w:val="22"/>
          <w:szCs w:val="22"/>
        </w:rPr>
      </w:pPr>
      <w:r w:rsidRPr="009E3F7F">
        <w:rPr>
          <w:rFonts w:ascii="Times New Roman" w:hAnsi="Times New Roman" w:cs="Times New Roman"/>
          <w:sz w:val="22"/>
          <w:szCs w:val="22"/>
        </w:rPr>
        <w:t>Consideration of alternatives</w:t>
      </w:r>
    </w:p>
    <w:p w:rsidR="00690B38" w:rsidRPr="009E3F7F" w:rsidRDefault="00690B38" w:rsidP="00690B38">
      <w:pPr>
        <w:pStyle w:val="PlainText"/>
        <w:numPr>
          <w:ilvl w:val="0"/>
          <w:numId w:val="7"/>
        </w:numPr>
        <w:rPr>
          <w:rFonts w:ascii="Times New Roman" w:hAnsi="Times New Roman" w:cs="Times New Roman"/>
          <w:sz w:val="22"/>
          <w:szCs w:val="22"/>
        </w:rPr>
      </w:pPr>
      <w:r w:rsidRPr="009E3F7F">
        <w:rPr>
          <w:rFonts w:ascii="Times New Roman" w:hAnsi="Times New Roman" w:cs="Times New Roman"/>
          <w:sz w:val="22"/>
          <w:szCs w:val="22"/>
        </w:rPr>
        <w:t>Selection of the best alternative</w:t>
      </w:r>
    </w:p>
    <w:p w:rsidR="00690B38" w:rsidRPr="009E3F7F" w:rsidRDefault="00690B38" w:rsidP="00690B38">
      <w:pPr>
        <w:pStyle w:val="PlainText"/>
        <w:numPr>
          <w:ilvl w:val="0"/>
          <w:numId w:val="7"/>
        </w:numPr>
        <w:rPr>
          <w:rFonts w:ascii="Times New Roman" w:hAnsi="Times New Roman" w:cs="Times New Roman"/>
          <w:sz w:val="22"/>
          <w:szCs w:val="22"/>
        </w:rPr>
      </w:pPr>
      <w:r w:rsidRPr="009E3F7F">
        <w:rPr>
          <w:rFonts w:ascii="Times New Roman" w:hAnsi="Times New Roman" w:cs="Times New Roman"/>
          <w:sz w:val="22"/>
          <w:szCs w:val="22"/>
        </w:rPr>
        <w:t>Implementation considering good management and standard utility practice</w:t>
      </w:r>
    </w:p>
    <w:p w:rsidR="00E12284" w:rsidRPr="009E3F7F" w:rsidRDefault="00E12284" w:rsidP="00690B38">
      <w:pPr>
        <w:pStyle w:val="PlainText"/>
        <w:ind w:left="720"/>
        <w:rPr>
          <w:rFonts w:ascii="Times New Roman" w:hAnsi="Times New Roman" w:cs="Times New Roman"/>
          <w:sz w:val="22"/>
          <w:szCs w:val="22"/>
        </w:rPr>
      </w:pPr>
    </w:p>
    <w:p w:rsidR="00690B38" w:rsidRPr="009E3F7F" w:rsidRDefault="00690B38"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 xml:space="preserve">Given that transportation electrification is by its nature an optional selection of fuel by customers, it </w:t>
      </w:r>
      <w:r w:rsidR="00340E2A" w:rsidRPr="009E3F7F">
        <w:rPr>
          <w:rFonts w:ascii="Times New Roman" w:hAnsi="Times New Roman" w:cs="Times New Roman"/>
          <w:sz w:val="22"/>
          <w:szCs w:val="22"/>
        </w:rPr>
        <w:t>is inherently not a pure “need.”</w:t>
      </w:r>
      <w:r w:rsidRPr="009E3F7F">
        <w:rPr>
          <w:rFonts w:ascii="Times New Roman" w:hAnsi="Times New Roman" w:cs="Times New Roman"/>
          <w:sz w:val="22"/>
          <w:szCs w:val="22"/>
        </w:rPr>
        <w:t xml:space="preserve"> However, once this selection has been made by a customer, the</w:t>
      </w:r>
      <w:r w:rsidR="00450AF5" w:rsidRPr="009E3F7F">
        <w:rPr>
          <w:rFonts w:ascii="Times New Roman" w:hAnsi="Times New Roman" w:cs="Times New Roman"/>
          <w:sz w:val="22"/>
          <w:szCs w:val="22"/>
        </w:rPr>
        <w:t>re is a need for</w:t>
      </w:r>
      <w:r w:rsidRPr="009E3F7F">
        <w:rPr>
          <w:rFonts w:ascii="Times New Roman" w:hAnsi="Times New Roman" w:cs="Times New Roman"/>
          <w:sz w:val="22"/>
          <w:szCs w:val="22"/>
        </w:rPr>
        <w:t xml:space="preserve"> both electricity and the charging infrastructure to deliver it</w:t>
      </w:r>
      <w:r w:rsidR="00450AF5" w:rsidRPr="009E3F7F">
        <w:rPr>
          <w:rFonts w:ascii="Times New Roman" w:hAnsi="Times New Roman" w:cs="Times New Roman"/>
          <w:sz w:val="22"/>
          <w:szCs w:val="22"/>
        </w:rPr>
        <w:t xml:space="preserve"> for use as a vehicle fuel</w:t>
      </w:r>
      <w:r w:rsidRPr="009E3F7F">
        <w:rPr>
          <w:rFonts w:ascii="Times New Roman" w:hAnsi="Times New Roman" w:cs="Times New Roman"/>
          <w:sz w:val="22"/>
          <w:szCs w:val="22"/>
        </w:rPr>
        <w:t>.</w:t>
      </w:r>
      <w:r w:rsidR="00450AF5" w:rsidRPr="009E3F7F">
        <w:rPr>
          <w:rFonts w:ascii="Times New Roman" w:hAnsi="Times New Roman" w:cs="Times New Roman"/>
          <w:sz w:val="22"/>
          <w:szCs w:val="22"/>
        </w:rPr>
        <w:t xml:space="preserve">  </w:t>
      </w:r>
    </w:p>
    <w:p w:rsidR="00690B38" w:rsidRPr="009E3F7F" w:rsidRDefault="00690B38" w:rsidP="00690B38">
      <w:pPr>
        <w:pStyle w:val="PlainText"/>
        <w:ind w:left="720"/>
        <w:rPr>
          <w:rFonts w:ascii="Times New Roman" w:hAnsi="Times New Roman" w:cs="Times New Roman"/>
          <w:sz w:val="22"/>
          <w:szCs w:val="22"/>
        </w:rPr>
      </w:pPr>
    </w:p>
    <w:p w:rsidR="00690B38" w:rsidRPr="009E3F7F" w:rsidRDefault="00690B38" w:rsidP="00690B38">
      <w:pPr>
        <w:pStyle w:val="PlainText"/>
        <w:ind w:left="720"/>
        <w:rPr>
          <w:rFonts w:ascii="Times New Roman" w:hAnsi="Times New Roman" w:cs="Times New Roman"/>
          <w:sz w:val="22"/>
          <w:szCs w:val="22"/>
        </w:rPr>
      </w:pPr>
      <w:r w:rsidRPr="009E3F7F">
        <w:rPr>
          <w:rFonts w:ascii="Times New Roman" w:hAnsi="Times New Roman" w:cs="Times New Roman"/>
          <w:sz w:val="22"/>
          <w:szCs w:val="22"/>
        </w:rPr>
        <w:t xml:space="preserve">While the Washington Legislature has made its position clear to increase utility investment in electric vehicle charging as a means to increase electrification of transportation, this does not relieve utilities of prudent decision-making in relation to its </w:t>
      </w:r>
      <w:r w:rsidR="00F34402" w:rsidRPr="009E3F7F">
        <w:rPr>
          <w:rFonts w:ascii="Times New Roman" w:hAnsi="Times New Roman" w:cs="Times New Roman"/>
          <w:sz w:val="22"/>
          <w:szCs w:val="22"/>
        </w:rPr>
        <w:t xml:space="preserve">offering of service through its </w:t>
      </w:r>
      <w:r w:rsidR="005124FA" w:rsidRPr="009E3F7F">
        <w:rPr>
          <w:rFonts w:ascii="Times New Roman" w:hAnsi="Times New Roman" w:cs="Times New Roman"/>
          <w:sz w:val="22"/>
          <w:szCs w:val="22"/>
        </w:rPr>
        <w:t>tariff</w:t>
      </w:r>
      <w:r w:rsidR="00F34402" w:rsidRPr="009E3F7F">
        <w:rPr>
          <w:rFonts w:ascii="Times New Roman" w:hAnsi="Times New Roman" w:cs="Times New Roman"/>
          <w:sz w:val="22"/>
          <w:szCs w:val="22"/>
        </w:rPr>
        <w:t xml:space="preserve"> schedules</w:t>
      </w:r>
      <w:r w:rsidRPr="009E3F7F">
        <w:rPr>
          <w:rFonts w:ascii="Times New Roman" w:hAnsi="Times New Roman" w:cs="Times New Roman"/>
          <w:sz w:val="22"/>
          <w:szCs w:val="22"/>
        </w:rPr>
        <w:t>. This decision-making should be made on a consideration of alternatives and thorough analysis of relevant facts at the time the selection of the best alternative is made, and implementation of good management and standard utility practice.</w:t>
      </w:r>
    </w:p>
    <w:p w:rsidR="00D42FA5" w:rsidRPr="009E3F7F" w:rsidRDefault="00D42FA5" w:rsidP="00690B38">
      <w:pPr>
        <w:pStyle w:val="PlainText"/>
        <w:ind w:left="720"/>
        <w:rPr>
          <w:rFonts w:ascii="Times New Roman" w:hAnsi="Times New Roman" w:cs="Times New Roman"/>
          <w:sz w:val="22"/>
          <w:szCs w:val="22"/>
        </w:rPr>
      </w:pPr>
    </w:p>
    <w:p w:rsidR="00690B38" w:rsidRPr="009E3F7F" w:rsidRDefault="00535D5C" w:rsidP="009B5F5A">
      <w:pPr>
        <w:pStyle w:val="ListParagraph"/>
        <w:numPr>
          <w:ilvl w:val="0"/>
          <w:numId w:val="8"/>
        </w:numPr>
        <w:spacing w:line="288" w:lineRule="auto"/>
        <w:rPr>
          <w:sz w:val="22"/>
          <w:szCs w:val="22"/>
        </w:rPr>
      </w:pPr>
      <w:r w:rsidRPr="009E3F7F">
        <w:rPr>
          <w:sz w:val="22"/>
          <w:szCs w:val="22"/>
        </w:rPr>
        <w:lastRenderedPageBreak/>
        <w:t>While the</w:t>
      </w:r>
      <w:r w:rsidR="00162C1B" w:rsidRPr="009E3F7F">
        <w:rPr>
          <w:sz w:val="22"/>
          <w:szCs w:val="22"/>
        </w:rPr>
        <w:t xml:space="preserve"> law neither mentions nor dictates that the Commission </w:t>
      </w:r>
      <w:r w:rsidR="009B5F5A" w:rsidRPr="009E3F7F">
        <w:rPr>
          <w:sz w:val="22"/>
          <w:szCs w:val="22"/>
        </w:rPr>
        <w:t>makes</w:t>
      </w:r>
      <w:r w:rsidR="00162C1B" w:rsidRPr="009E3F7F">
        <w:rPr>
          <w:sz w:val="22"/>
          <w:szCs w:val="22"/>
        </w:rPr>
        <w:t xml:space="preserve"> a prudence determination</w:t>
      </w:r>
      <w:r w:rsidRPr="009E3F7F">
        <w:rPr>
          <w:sz w:val="22"/>
          <w:szCs w:val="22"/>
        </w:rPr>
        <w:t xml:space="preserve"> in the traditional sense, this does not relieve utilities of prudent decision-making in </w:t>
      </w:r>
      <w:r w:rsidR="00F34402" w:rsidRPr="009E3F7F">
        <w:rPr>
          <w:sz w:val="22"/>
          <w:szCs w:val="22"/>
        </w:rPr>
        <w:t>relation to its proposed tariff schedule services</w:t>
      </w:r>
      <w:r w:rsidRPr="009E3F7F">
        <w:rPr>
          <w:sz w:val="22"/>
          <w:szCs w:val="22"/>
        </w:rPr>
        <w:t>. Costs and benefits to ratepayers must be considered by the Commission</w:t>
      </w:r>
      <w:r w:rsidR="00E653AC" w:rsidRPr="009E3F7F">
        <w:rPr>
          <w:sz w:val="22"/>
          <w:szCs w:val="22"/>
        </w:rPr>
        <w:t xml:space="preserve">. </w:t>
      </w:r>
      <w:r w:rsidR="00E12284" w:rsidRPr="009E3F7F">
        <w:rPr>
          <w:sz w:val="22"/>
          <w:szCs w:val="22"/>
        </w:rPr>
        <w:t xml:space="preserve">PSE </w:t>
      </w:r>
      <w:r w:rsidR="00690B38" w:rsidRPr="009E3F7F">
        <w:rPr>
          <w:sz w:val="22"/>
          <w:szCs w:val="22"/>
        </w:rPr>
        <w:t xml:space="preserve">believes that meeting the criteria as outlined in RCW 80.28.360 and meeting the criteria as outlined in </w:t>
      </w:r>
      <w:r w:rsidRPr="009E3F7F">
        <w:rPr>
          <w:sz w:val="22"/>
          <w:szCs w:val="22"/>
        </w:rPr>
        <w:t>2</w:t>
      </w:r>
      <w:r w:rsidR="00690B38" w:rsidRPr="009E3F7F">
        <w:rPr>
          <w:sz w:val="22"/>
          <w:szCs w:val="22"/>
        </w:rPr>
        <w:t xml:space="preserve">a) are necessary to demonstrate that the incentive rate of return should be authorized. </w:t>
      </w:r>
    </w:p>
    <w:p w:rsidR="00690B38" w:rsidRPr="009E3F7F" w:rsidRDefault="00690B38" w:rsidP="00690B38">
      <w:pPr>
        <w:pStyle w:val="PlainText"/>
        <w:rPr>
          <w:rFonts w:ascii="Times New Roman" w:hAnsi="Times New Roman" w:cs="Times New Roman"/>
          <w:sz w:val="22"/>
          <w:szCs w:val="22"/>
        </w:rPr>
      </w:pPr>
    </w:p>
    <w:p w:rsidR="00C52E7D" w:rsidRPr="009E3F7F" w:rsidRDefault="00C52E7D" w:rsidP="00690B38">
      <w:pPr>
        <w:pStyle w:val="PlainText"/>
        <w:rPr>
          <w:rFonts w:ascii="Times New Roman" w:hAnsi="Times New Roman" w:cs="Times New Roman"/>
          <w:sz w:val="22"/>
          <w:szCs w:val="22"/>
        </w:rPr>
      </w:pPr>
    </w:p>
    <w:p w:rsidR="00690B38" w:rsidRPr="009E3F7F" w:rsidRDefault="00690B38" w:rsidP="00C52E7D">
      <w:pPr>
        <w:spacing w:after="200" w:line="276" w:lineRule="auto"/>
        <w:rPr>
          <w:b/>
          <w:sz w:val="22"/>
          <w:szCs w:val="22"/>
        </w:rPr>
      </w:pPr>
      <w:r w:rsidRPr="009E3F7F">
        <w:rPr>
          <w:b/>
          <w:sz w:val="22"/>
          <w:szCs w:val="22"/>
        </w:rPr>
        <w:t>3.</w:t>
      </w:r>
      <w:r w:rsidR="00506389" w:rsidRPr="009E3F7F">
        <w:rPr>
          <w:b/>
          <w:sz w:val="22"/>
          <w:szCs w:val="22"/>
        </w:rPr>
        <w:t>)</w:t>
      </w:r>
      <w:r w:rsidRPr="009E3F7F">
        <w:rPr>
          <w:b/>
          <w:sz w:val="22"/>
          <w:szCs w:val="22"/>
        </w:rPr>
        <w:t xml:space="preserve"> Should the incentive rate of return authorized in RCW 80.28.360(2) apply to EVSE investments that serve the public at </w:t>
      </w:r>
      <w:proofErr w:type="gramStart"/>
      <w:r w:rsidRPr="009E3F7F">
        <w:rPr>
          <w:b/>
          <w:sz w:val="22"/>
          <w:szCs w:val="22"/>
        </w:rPr>
        <w:t>large,</w:t>
      </w:r>
      <w:proofErr w:type="gramEnd"/>
      <w:r w:rsidRPr="009E3F7F">
        <w:rPr>
          <w:b/>
          <w:sz w:val="22"/>
          <w:szCs w:val="22"/>
        </w:rPr>
        <w:t xml:space="preserve"> or only to investments in infrastructure that serve the company’s electric customers?</w:t>
      </w: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 xml:space="preserve">Response:  </w:t>
      </w:r>
    </w:p>
    <w:p w:rsidR="00690B38" w:rsidRPr="009E3F7F" w:rsidRDefault="00E12284"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RCW 80.28.360(2) does not make this distinction and PSE believes the Commission should not attempt to make it. </w:t>
      </w:r>
      <w:r w:rsidR="00690B38" w:rsidRPr="009E3F7F">
        <w:rPr>
          <w:rFonts w:ascii="Times New Roman" w:hAnsi="Times New Roman" w:cs="Times New Roman"/>
          <w:sz w:val="22"/>
          <w:szCs w:val="22"/>
        </w:rPr>
        <w:t>Given the mobility of electric vehicles, limiting use of EVSE to only a company’s electric customers would create a barrier to adoption of electric vehicles</w:t>
      </w:r>
      <w:r w:rsidRPr="009E3F7F">
        <w:rPr>
          <w:rFonts w:ascii="Times New Roman" w:hAnsi="Times New Roman" w:cs="Times New Roman"/>
          <w:sz w:val="22"/>
          <w:szCs w:val="22"/>
        </w:rPr>
        <w:t>, which</w:t>
      </w:r>
      <w:r w:rsidR="00690B38" w:rsidRPr="009E3F7F">
        <w:rPr>
          <w:rFonts w:ascii="Times New Roman" w:hAnsi="Times New Roman" w:cs="Times New Roman"/>
          <w:sz w:val="22"/>
          <w:szCs w:val="22"/>
        </w:rPr>
        <w:t xml:space="preserve"> is inconsistent with the intent of HB 1853.   </w:t>
      </w: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 </w:t>
      </w:r>
    </w:p>
    <w:p w:rsidR="00340E2A" w:rsidRPr="009E3F7F" w:rsidRDefault="00340E2A"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4.</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While EVSE increases electrical load, existing tests used by the Commission to determine the cost-effectiveness of energy efficiency investments may be applied or adapted for EVSE. Is the Total Resource Cost (TRC) an appropriate measure of whether EVSE investments provide benefits to ratepayers? </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 xml:space="preserve">Response:  </w:t>
      </w: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The Total Resource Cost test is currently applied to energy efficiency </w:t>
      </w:r>
      <w:r w:rsidR="00F34402" w:rsidRPr="009E3F7F">
        <w:rPr>
          <w:rFonts w:ascii="Times New Roman" w:hAnsi="Times New Roman" w:cs="Times New Roman"/>
          <w:sz w:val="22"/>
          <w:szCs w:val="22"/>
        </w:rPr>
        <w:t xml:space="preserve">electric </w:t>
      </w:r>
      <w:r w:rsidRPr="009E3F7F">
        <w:rPr>
          <w:rFonts w:ascii="Times New Roman" w:hAnsi="Times New Roman" w:cs="Times New Roman"/>
          <w:sz w:val="22"/>
          <w:szCs w:val="22"/>
        </w:rPr>
        <w:t xml:space="preserve">programs to determine if the broad benefits of a program or group of programs in the form of reduced </w:t>
      </w:r>
      <w:r w:rsidR="00F34402" w:rsidRPr="009E3F7F">
        <w:rPr>
          <w:rFonts w:ascii="Times New Roman" w:hAnsi="Times New Roman" w:cs="Times New Roman"/>
          <w:sz w:val="22"/>
          <w:szCs w:val="22"/>
        </w:rPr>
        <w:t xml:space="preserve">electric </w:t>
      </w:r>
      <w:r w:rsidRPr="009E3F7F">
        <w:rPr>
          <w:rFonts w:ascii="Times New Roman" w:hAnsi="Times New Roman" w:cs="Times New Roman"/>
          <w:sz w:val="22"/>
          <w:szCs w:val="22"/>
        </w:rPr>
        <w:t>power supply costs exceed the costs.  In its current use of the Total Resource Cost Test to evaluate energy efficiency</w:t>
      </w:r>
      <w:r w:rsidR="00F34402" w:rsidRPr="009E3F7F">
        <w:rPr>
          <w:rFonts w:ascii="Times New Roman" w:hAnsi="Times New Roman" w:cs="Times New Roman"/>
          <w:sz w:val="22"/>
          <w:szCs w:val="22"/>
        </w:rPr>
        <w:t xml:space="preserve"> electric</w:t>
      </w:r>
      <w:r w:rsidRPr="009E3F7F">
        <w:rPr>
          <w:rFonts w:ascii="Times New Roman" w:hAnsi="Times New Roman" w:cs="Times New Roman"/>
          <w:sz w:val="22"/>
          <w:szCs w:val="22"/>
        </w:rPr>
        <w:t xml:space="preserve"> programs, PSE considered the following costs and benefits:</w:t>
      </w:r>
    </w:p>
    <w:p w:rsidR="00690B38" w:rsidRPr="009E3F7F" w:rsidRDefault="00690B38" w:rsidP="00690B38">
      <w:pPr>
        <w:pStyle w:val="PlainText"/>
        <w:rPr>
          <w:rFonts w:ascii="Times New Roman" w:hAnsi="Times New Roman" w:cs="Times New Roman"/>
          <w:i/>
          <w:sz w:val="22"/>
          <w:szCs w:val="22"/>
        </w:rPr>
      </w:pPr>
    </w:p>
    <w:tbl>
      <w:tblPr>
        <w:tblStyle w:val="TableGrid"/>
        <w:tblW w:w="0" w:type="auto"/>
        <w:tblLook w:val="04A0" w:firstRow="1" w:lastRow="0" w:firstColumn="1" w:lastColumn="0" w:noHBand="0" w:noVBand="1"/>
      </w:tblPr>
      <w:tblGrid>
        <w:gridCol w:w="4726"/>
        <w:gridCol w:w="4727"/>
      </w:tblGrid>
      <w:tr w:rsidR="00690B38" w:rsidRPr="009E3F7F" w:rsidTr="009869C9">
        <w:tc>
          <w:tcPr>
            <w:tcW w:w="4726" w:type="dxa"/>
          </w:tcPr>
          <w:p w:rsidR="00690B38" w:rsidRPr="009E3F7F" w:rsidRDefault="00690B38" w:rsidP="009869C9">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Costs</w:t>
            </w:r>
          </w:p>
        </w:tc>
        <w:tc>
          <w:tcPr>
            <w:tcW w:w="4727" w:type="dxa"/>
          </w:tcPr>
          <w:p w:rsidR="00690B38" w:rsidRPr="009E3F7F" w:rsidRDefault="00690B38" w:rsidP="009869C9">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Benefits</w:t>
            </w:r>
          </w:p>
        </w:tc>
      </w:tr>
      <w:tr w:rsidR="00690B38" w:rsidRPr="009E3F7F" w:rsidTr="009869C9">
        <w:tc>
          <w:tcPr>
            <w:tcW w:w="4726"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Incremental costs of Energy Efficient Equipment</w:t>
            </w:r>
          </w:p>
        </w:tc>
        <w:tc>
          <w:tcPr>
            <w:tcW w:w="4727"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Avoided Energy Cost, including renewable energy requirements</w:t>
            </w:r>
          </w:p>
        </w:tc>
      </w:tr>
      <w:tr w:rsidR="00690B38" w:rsidRPr="009E3F7F" w:rsidTr="009869C9">
        <w:tc>
          <w:tcPr>
            <w:tcW w:w="4726"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Program Costs</w:t>
            </w:r>
          </w:p>
        </w:tc>
        <w:tc>
          <w:tcPr>
            <w:tcW w:w="4727"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Avoided Generation Capacity Costs</w:t>
            </w:r>
          </w:p>
        </w:tc>
      </w:tr>
      <w:tr w:rsidR="00690B38" w:rsidRPr="009E3F7F" w:rsidTr="009869C9">
        <w:tc>
          <w:tcPr>
            <w:tcW w:w="4726" w:type="dxa"/>
          </w:tcPr>
          <w:p w:rsidR="00690B38" w:rsidRPr="009E3F7F" w:rsidRDefault="00690B38" w:rsidP="009869C9">
            <w:pPr>
              <w:pStyle w:val="PlainText"/>
              <w:rPr>
                <w:rFonts w:ascii="Times New Roman" w:hAnsi="Times New Roman" w:cs="Times New Roman"/>
                <w:sz w:val="22"/>
                <w:szCs w:val="22"/>
              </w:rPr>
            </w:pPr>
          </w:p>
        </w:tc>
        <w:tc>
          <w:tcPr>
            <w:tcW w:w="4727" w:type="dxa"/>
          </w:tcPr>
          <w:p w:rsidR="00690B38" w:rsidRPr="009E3F7F" w:rsidRDefault="00F34402"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Quantifiable </w:t>
            </w:r>
            <w:r w:rsidR="00690B38" w:rsidRPr="009E3F7F">
              <w:rPr>
                <w:rFonts w:ascii="Times New Roman" w:hAnsi="Times New Roman" w:cs="Times New Roman"/>
                <w:sz w:val="22"/>
                <w:szCs w:val="22"/>
              </w:rPr>
              <w:t>Non-Energy Benefits</w:t>
            </w:r>
          </w:p>
        </w:tc>
      </w:tr>
      <w:tr w:rsidR="00690B38" w:rsidRPr="009E3F7F" w:rsidTr="009869C9">
        <w:tc>
          <w:tcPr>
            <w:tcW w:w="4726" w:type="dxa"/>
          </w:tcPr>
          <w:p w:rsidR="00690B38" w:rsidRPr="009E3F7F" w:rsidRDefault="00690B38" w:rsidP="009869C9">
            <w:pPr>
              <w:pStyle w:val="PlainText"/>
              <w:rPr>
                <w:rFonts w:ascii="Times New Roman" w:hAnsi="Times New Roman" w:cs="Times New Roman"/>
                <w:sz w:val="22"/>
                <w:szCs w:val="22"/>
              </w:rPr>
            </w:pPr>
          </w:p>
        </w:tc>
        <w:tc>
          <w:tcPr>
            <w:tcW w:w="4727"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10% Adder per NW Power Act</w:t>
            </w:r>
            <w:r w:rsidR="00F34402" w:rsidRPr="009E3F7F">
              <w:rPr>
                <w:rFonts w:ascii="Times New Roman" w:hAnsi="Times New Roman" w:cs="Times New Roman"/>
                <w:sz w:val="22"/>
                <w:szCs w:val="22"/>
              </w:rPr>
              <w:t xml:space="preserve"> (only for electric programs)</w:t>
            </w:r>
          </w:p>
        </w:tc>
      </w:tr>
    </w:tbl>
    <w:p w:rsidR="00690B38" w:rsidRPr="009E3F7F" w:rsidRDefault="00690B38" w:rsidP="00690B38">
      <w:pPr>
        <w:pStyle w:val="PlainText"/>
        <w:rPr>
          <w:rFonts w:ascii="Times New Roman" w:hAnsi="Times New Roman" w:cs="Times New Roman"/>
          <w:i/>
          <w:sz w:val="22"/>
          <w:szCs w:val="22"/>
        </w:rPr>
      </w:pPr>
    </w:p>
    <w:p w:rsidR="00CB55D9"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PSE does not believe that the traditional Total Resource Cost Test is an appropriate measure because transportation electrification programs are different and distinct from electric and natural gas energy efficiency programs </w:t>
      </w:r>
      <w:r w:rsidR="00E12284" w:rsidRPr="009E3F7F">
        <w:rPr>
          <w:rFonts w:ascii="Times New Roman" w:hAnsi="Times New Roman" w:cs="Times New Roman"/>
          <w:sz w:val="22"/>
          <w:szCs w:val="22"/>
        </w:rPr>
        <w:t xml:space="preserve">as </w:t>
      </w:r>
      <w:r w:rsidRPr="009E3F7F">
        <w:rPr>
          <w:rFonts w:ascii="Times New Roman" w:hAnsi="Times New Roman" w:cs="Times New Roman"/>
          <w:sz w:val="22"/>
          <w:szCs w:val="22"/>
        </w:rPr>
        <w:t xml:space="preserve">they fall outside of the area of power supply or savings.  </w:t>
      </w: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lastRenderedPageBreak/>
        <w:t xml:space="preserve">While the Total Resource Cost test as applied to energy efficiency </w:t>
      </w:r>
      <w:r w:rsidR="00E12284" w:rsidRPr="009E3F7F">
        <w:rPr>
          <w:rFonts w:ascii="Times New Roman" w:hAnsi="Times New Roman" w:cs="Times New Roman"/>
          <w:sz w:val="22"/>
          <w:szCs w:val="22"/>
        </w:rPr>
        <w:t>does not</w:t>
      </w:r>
      <w:r w:rsidRPr="009E3F7F">
        <w:rPr>
          <w:rFonts w:ascii="Times New Roman" w:hAnsi="Times New Roman" w:cs="Times New Roman"/>
          <w:sz w:val="22"/>
          <w:szCs w:val="22"/>
        </w:rPr>
        <w:t xml:space="preserve"> directly apply to transportation electrification, consideration of costs and benefits of transportation electrification to utility ratepayers as a whole is appropriate </w:t>
      </w:r>
      <w:r w:rsidR="00D85D44" w:rsidRPr="009E3F7F">
        <w:rPr>
          <w:rFonts w:ascii="Times New Roman" w:hAnsi="Times New Roman" w:cs="Times New Roman"/>
          <w:sz w:val="22"/>
          <w:szCs w:val="22"/>
        </w:rPr>
        <w:t xml:space="preserve">because all costs </w:t>
      </w:r>
      <w:r w:rsidR="006D6943" w:rsidRPr="009E3F7F">
        <w:rPr>
          <w:rFonts w:ascii="Times New Roman" w:hAnsi="Times New Roman" w:cs="Times New Roman"/>
          <w:sz w:val="22"/>
          <w:szCs w:val="22"/>
        </w:rPr>
        <w:t>are likely to be borne by</w:t>
      </w:r>
      <w:r w:rsidR="00D85D44" w:rsidRPr="009E3F7F">
        <w:rPr>
          <w:rFonts w:ascii="Times New Roman" w:hAnsi="Times New Roman" w:cs="Times New Roman"/>
          <w:sz w:val="22"/>
          <w:szCs w:val="22"/>
        </w:rPr>
        <w:t xml:space="preserve"> voluntary EV tariff participants</w:t>
      </w:r>
      <w:r w:rsidR="006D6943" w:rsidRPr="009E3F7F">
        <w:rPr>
          <w:rFonts w:ascii="Times New Roman" w:hAnsi="Times New Roman" w:cs="Times New Roman"/>
          <w:sz w:val="22"/>
          <w:szCs w:val="22"/>
        </w:rPr>
        <w:t xml:space="preserve"> and public benefits will accrue to non-participants, who are in essence receiving a</w:t>
      </w:r>
      <w:r w:rsidR="00D85D44" w:rsidRPr="009E3F7F">
        <w:rPr>
          <w:rFonts w:ascii="Times New Roman" w:hAnsi="Times New Roman" w:cs="Times New Roman"/>
          <w:sz w:val="22"/>
          <w:szCs w:val="22"/>
        </w:rPr>
        <w:t xml:space="preserve"> costless bonus</w:t>
      </w:r>
      <w:r w:rsidRPr="009E3F7F">
        <w:rPr>
          <w:rFonts w:ascii="Times New Roman" w:hAnsi="Times New Roman" w:cs="Times New Roman"/>
          <w:sz w:val="22"/>
          <w:szCs w:val="22"/>
        </w:rPr>
        <w:t>.</w:t>
      </w:r>
      <w:r w:rsidR="006D6943" w:rsidRPr="009E3F7F">
        <w:rPr>
          <w:rFonts w:ascii="Times New Roman" w:hAnsi="Times New Roman" w:cs="Times New Roman"/>
          <w:sz w:val="22"/>
          <w:szCs w:val="22"/>
        </w:rPr>
        <w:t xml:space="preserve">  </w:t>
      </w:r>
      <w:r w:rsidR="00D85D44" w:rsidRPr="009E3F7F">
        <w:rPr>
          <w:rFonts w:ascii="Times New Roman" w:hAnsi="Times New Roman" w:cs="Times New Roman"/>
          <w:sz w:val="22"/>
          <w:szCs w:val="22"/>
        </w:rPr>
        <w:t xml:space="preserve"> </w:t>
      </w:r>
    </w:p>
    <w:p w:rsidR="00506389" w:rsidRPr="009E3F7F" w:rsidRDefault="00506389"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5.</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What, if any, modifications to traditional cost-effectiveness tests are necessary or appropriate to use for investments in EVSE? </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Response:</w:t>
      </w: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A cost-benefit test that considers the overall costs and benefits of transportation electrification across all utility ratepayers is appropriate to determine the </w:t>
      </w:r>
      <w:r w:rsidR="006D6943" w:rsidRPr="009E3F7F">
        <w:rPr>
          <w:rFonts w:ascii="Times New Roman" w:hAnsi="Times New Roman" w:cs="Times New Roman"/>
          <w:sz w:val="22"/>
          <w:szCs w:val="22"/>
        </w:rPr>
        <w:t xml:space="preserve">allowable </w:t>
      </w:r>
      <w:r w:rsidRPr="009E3F7F">
        <w:rPr>
          <w:rFonts w:ascii="Times New Roman" w:hAnsi="Times New Roman" w:cs="Times New Roman"/>
          <w:sz w:val="22"/>
          <w:szCs w:val="22"/>
        </w:rPr>
        <w:t xml:space="preserve">level of investment by the utility </w:t>
      </w:r>
      <w:r w:rsidR="006D6943" w:rsidRPr="009E3F7F">
        <w:rPr>
          <w:rFonts w:ascii="Times New Roman" w:hAnsi="Times New Roman" w:cs="Times New Roman"/>
          <w:sz w:val="22"/>
          <w:szCs w:val="22"/>
        </w:rPr>
        <w:t>to support users of electric transportation while providing net</w:t>
      </w:r>
      <w:r w:rsidRPr="009E3F7F">
        <w:rPr>
          <w:rFonts w:ascii="Times New Roman" w:hAnsi="Times New Roman" w:cs="Times New Roman"/>
          <w:sz w:val="22"/>
          <w:szCs w:val="22"/>
        </w:rPr>
        <w:t xml:space="preserve"> benefit </w:t>
      </w:r>
      <w:r w:rsidR="006D6943" w:rsidRPr="009E3F7F">
        <w:rPr>
          <w:rFonts w:ascii="Times New Roman" w:hAnsi="Times New Roman" w:cs="Times New Roman"/>
          <w:sz w:val="22"/>
          <w:szCs w:val="22"/>
        </w:rPr>
        <w:t xml:space="preserve">to </w:t>
      </w:r>
      <w:r w:rsidRPr="009E3F7F">
        <w:rPr>
          <w:rFonts w:ascii="Times New Roman" w:hAnsi="Times New Roman" w:cs="Times New Roman"/>
          <w:sz w:val="22"/>
          <w:szCs w:val="22"/>
        </w:rPr>
        <w:t xml:space="preserve">all ratepayers.  Investments above this level should be made by the electric vehicle drivers, not the utility, as they are not </w:t>
      </w:r>
      <w:r w:rsidR="00585860" w:rsidRPr="009E3F7F">
        <w:rPr>
          <w:rFonts w:ascii="Times New Roman" w:hAnsi="Times New Roman" w:cs="Times New Roman"/>
          <w:sz w:val="22"/>
          <w:szCs w:val="22"/>
        </w:rPr>
        <w:t xml:space="preserve">expected to generate benefits. </w:t>
      </w:r>
      <w:r w:rsidR="006D6943" w:rsidRPr="009E3F7F">
        <w:rPr>
          <w:rFonts w:ascii="Times New Roman" w:hAnsi="Times New Roman" w:cs="Times New Roman"/>
          <w:sz w:val="22"/>
          <w:szCs w:val="22"/>
        </w:rPr>
        <w:t xml:space="preserve">Any </w:t>
      </w:r>
      <w:r w:rsidRPr="009E3F7F">
        <w:rPr>
          <w:rFonts w:ascii="Times New Roman" w:hAnsi="Times New Roman" w:cs="Times New Roman"/>
          <w:sz w:val="22"/>
          <w:szCs w:val="22"/>
        </w:rPr>
        <w:t>cost-benefit test should consider</w:t>
      </w:r>
      <w:r w:rsidR="00F50F4C" w:rsidRPr="009E3F7F">
        <w:rPr>
          <w:rFonts w:ascii="Times New Roman" w:hAnsi="Times New Roman" w:cs="Times New Roman"/>
          <w:sz w:val="22"/>
          <w:szCs w:val="22"/>
        </w:rPr>
        <w:t xml:space="preserve"> at least the following factors</w:t>
      </w:r>
      <w:r w:rsidRPr="009E3F7F">
        <w:rPr>
          <w:rFonts w:ascii="Times New Roman" w:hAnsi="Times New Roman" w:cs="Times New Roman"/>
          <w:sz w:val="22"/>
          <w:szCs w:val="22"/>
        </w:rPr>
        <w:t>:</w:t>
      </w:r>
    </w:p>
    <w:p w:rsidR="00690B38" w:rsidRPr="009E3F7F" w:rsidRDefault="00690B38" w:rsidP="00690B38">
      <w:pPr>
        <w:pStyle w:val="PlainText"/>
        <w:rPr>
          <w:rFonts w:ascii="Times New Roman" w:hAnsi="Times New Roman" w:cs="Times New Roman"/>
          <w:i/>
          <w:sz w:val="22"/>
          <w:szCs w:val="22"/>
        </w:rPr>
      </w:pPr>
    </w:p>
    <w:tbl>
      <w:tblPr>
        <w:tblStyle w:val="TableGrid"/>
        <w:tblW w:w="0" w:type="auto"/>
        <w:tblInd w:w="1098" w:type="dxa"/>
        <w:tblLook w:val="04A0" w:firstRow="1" w:lastRow="0" w:firstColumn="1" w:lastColumn="0" w:noHBand="0" w:noVBand="1"/>
      </w:tblPr>
      <w:tblGrid>
        <w:gridCol w:w="4230"/>
        <w:gridCol w:w="3690"/>
      </w:tblGrid>
      <w:tr w:rsidR="00690B38" w:rsidRPr="009E3F7F" w:rsidTr="009869C9">
        <w:tc>
          <w:tcPr>
            <w:tcW w:w="4230" w:type="dxa"/>
          </w:tcPr>
          <w:p w:rsidR="00690B38" w:rsidRPr="009E3F7F" w:rsidRDefault="00690B38" w:rsidP="009869C9">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Costs</w:t>
            </w:r>
          </w:p>
        </w:tc>
        <w:tc>
          <w:tcPr>
            <w:tcW w:w="3690" w:type="dxa"/>
          </w:tcPr>
          <w:p w:rsidR="00690B38" w:rsidRPr="009E3F7F" w:rsidRDefault="00690B38" w:rsidP="009869C9">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Benefits</w:t>
            </w: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Incremental Vehicle Costs</w:t>
            </w:r>
          </w:p>
        </w:tc>
        <w:tc>
          <w:tcPr>
            <w:tcW w:w="369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Vehicle O&amp;M Savings</w:t>
            </w: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Charger Costs</w:t>
            </w:r>
          </w:p>
        </w:tc>
        <w:tc>
          <w:tcPr>
            <w:tcW w:w="369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Avoided Direct Carbon Costs</w:t>
            </w: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Marginal Energy Costs</w:t>
            </w:r>
          </w:p>
        </w:tc>
        <w:tc>
          <w:tcPr>
            <w:tcW w:w="369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Avoided Gasoline Costs</w:t>
            </w: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Marginal Generation Capacity Costs</w:t>
            </w:r>
          </w:p>
        </w:tc>
        <w:tc>
          <w:tcPr>
            <w:tcW w:w="369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Federal Tax Credits</w:t>
            </w: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Ancillary Services or Other Energy Supply Costs</w:t>
            </w:r>
          </w:p>
        </w:tc>
        <w:tc>
          <w:tcPr>
            <w:tcW w:w="3690" w:type="dxa"/>
          </w:tcPr>
          <w:p w:rsidR="00690B38" w:rsidRPr="009E3F7F" w:rsidRDefault="00690B38" w:rsidP="009869C9">
            <w:pPr>
              <w:pStyle w:val="PlainText"/>
              <w:rPr>
                <w:rFonts w:ascii="Times New Roman" w:hAnsi="Times New Roman" w:cs="Times New Roman"/>
                <w:sz w:val="22"/>
                <w:szCs w:val="22"/>
              </w:rPr>
            </w:pPr>
          </w:p>
        </w:tc>
      </w:tr>
      <w:tr w:rsidR="00690B38" w:rsidRPr="009E3F7F" w:rsidTr="009869C9">
        <w:tc>
          <w:tcPr>
            <w:tcW w:w="4230" w:type="dxa"/>
          </w:tcPr>
          <w:p w:rsidR="00690B38" w:rsidRPr="009E3F7F" w:rsidRDefault="00690B38" w:rsidP="009869C9">
            <w:pPr>
              <w:pStyle w:val="PlainText"/>
              <w:rPr>
                <w:rFonts w:ascii="Times New Roman" w:hAnsi="Times New Roman" w:cs="Times New Roman"/>
                <w:sz w:val="22"/>
                <w:szCs w:val="22"/>
              </w:rPr>
            </w:pPr>
            <w:r w:rsidRPr="009E3F7F">
              <w:rPr>
                <w:rFonts w:ascii="Times New Roman" w:hAnsi="Times New Roman" w:cs="Times New Roman"/>
                <w:sz w:val="22"/>
                <w:szCs w:val="22"/>
              </w:rPr>
              <w:t>T&amp;D Costs</w:t>
            </w:r>
          </w:p>
        </w:tc>
        <w:tc>
          <w:tcPr>
            <w:tcW w:w="3690" w:type="dxa"/>
          </w:tcPr>
          <w:p w:rsidR="00690B38" w:rsidRPr="009E3F7F" w:rsidRDefault="00690B38" w:rsidP="009869C9">
            <w:pPr>
              <w:pStyle w:val="PlainText"/>
              <w:rPr>
                <w:rFonts w:ascii="Times New Roman" w:hAnsi="Times New Roman" w:cs="Times New Roman"/>
                <w:sz w:val="22"/>
                <w:szCs w:val="22"/>
              </w:rPr>
            </w:pPr>
          </w:p>
        </w:tc>
      </w:tr>
    </w:tbl>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 </w:t>
      </w: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6.</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What policies should the Commission consider to improve access to, and promote fair competition within the market? Please comment separately on how the Commission should address the following: </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a) Improve access to EV charging as a regulated public service?</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b) Ensure that the utility procurement process for charging equipment is fair and competitive?</w:t>
      </w:r>
    </w:p>
    <w:p w:rsidR="00690B38" w:rsidRPr="009E3F7F" w:rsidRDefault="00690B38" w:rsidP="00690B38">
      <w:pPr>
        <w:pStyle w:val="PlainText"/>
        <w:ind w:left="720"/>
        <w:rPr>
          <w:rFonts w:ascii="Times New Roman" w:hAnsi="Times New Roman" w:cs="Times New Roman"/>
          <w:b/>
          <w:sz w:val="22"/>
          <w:szCs w:val="22"/>
        </w:rPr>
      </w:pPr>
      <w:r w:rsidRPr="009E3F7F">
        <w:rPr>
          <w:rFonts w:ascii="Times New Roman" w:hAnsi="Times New Roman" w:cs="Times New Roman"/>
          <w:b/>
          <w:sz w:val="22"/>
          <w:szCs w:val="22"/>
        </w:rPr>
        <w:t>c) Allow a competitive market for charging services to develop?</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Response:</w:t>
      </w:r>
    </w:p>
    <w:p w:rsidR="002435EC" w:rsidRPr="009E3F7F" w:rsidRDefault="00690B38" w:rsidP="002435EC">
      <w:pPr>
        <w:pStyle w:val="PlainText"/>
        <w:numPr>
          <w:ilvl w:val="0"/>
          <w:numId w:val="4"/>
        </w:numPr>
        <w:rPr>
          <w:rFonts w:ascii="Times New Roman" w:hAnsi="Times New Roman" w:cs="Times New Roman"/>
          <w:sz w:val="22"/>
          <w:szCs w:val="22"/>
        </w:rPr>
      </w:pPr>
      <w:r w:rsidRPr="009E3F7F">
        <w:rPr>
          <w:rFonts w:ascii="Times New Roman" w:hAnsi="Times New Roman" w:cs="Times New Roman"/>
          <w:sz w:val="22"/>
          <w:szCs w:val="22"/>
        </w:rPr>
        <w:t xml:space="preserve">The Commission should issue an order requiring </w:t>
      </w:r>
      <w:r w:rsidR="006D6943" w:rsidRPr="009E3F7F">
        <w:rPr>
          <w:rFonts w:ascii="Times New Roman" w:hAnsi="Times New Roman" w:cs="Times New Roman"/>
          <w:sz w:val="22"/>
          <w:szCs w:val="22"/>
        </w:rPr>
        <w:t xml:space="preserve">electric </w:t>
      </w:r>
      <w:r w:rsidRPr="009E3F7F">
        <w:rPr>
          <w:rFonts w:ascii="Times New Roman" w:hAnsi="Times New Roman" w:cs="Times New Roman"/>
          <w:sz w:val="22"/>
          <w:szCs w:val="22"/>
        </w:rPr>
        <w:t xml:space="preserve">utilities to submit </w:t>
      </w:r>
      <w:r w:rsidR="006D6943" w:rsidRPr="009E3F7F">
        <w:rPr>
          <w:rFonts w:ascii="Times New Roman" w:hAnsi="Times New Roman" w:cs="Times New Roman"/>
          <w:sz w:val="22"/>
          <w:szCs w:val="22"/>
        </w:rPr>
        <w:t xml:space="preserve">tariff schedules to implement </w:t>
      </w:r>
      <w:r w:rsidRPr="009E3F7F">
        <w:rPr>
          <w:rFonts w:ascii="Times New Roman" w:hAnsi="Times New Roman" w:cs="Times New Roman"/>
          <w:sz w:val="22"/>
          <w:szCs w:val="22"/>
        </w:rPr>
        <w:t>EV charging</w:t>
      </w:r>
      <w:r w:rsidR="00177D56" w:rsidRPr="009E3F7F">
        <w:rPr>
          <w:rFonts w:ascii="Times New Roman" w:hAnsi="Times New Roman" w:cs="Times New Roman"/>
          <w:sz w:val="22"/>
          <w:szCs w:val="22"/>
        </w:rPr>
        <w:t xml:space="preserve"> service options</w:t>
      </w:r>
      <w:r w:rsidRPr="009E3F7F">
        <w:rPr>
          <w:rFonts w:ascii="Times New Roman" w:hAnsi="Times New Roman" w:cs="Times New Roman"/>
          <w:sz w:val="22"/>
          <w:szCs w:val="22"/>
        </w:rPr>
        <w:t xml:space="preserve"> as a regulated public service. These proposals should be consistent with the factors outlined in 80.28.360 and discussed through this docket.</w:t>
      </w:r>
    </w:p>
    <w:p w:rsidR="002435EC" w:rsidRPr="009E3F7F" w:rsidRDefault="002435EC" w:rsidP="002435EC">
      <w:pPr>
        <w:pStyle w:val="PlainText"/>
        <w:ind w:left="1080"/>
        <w:rPr>
          <w:rFonts w:ascii="Times New Roman" w:hAnsi="Times New Roman" w:cs="Times New Roman"/>
          <w:sz w:val="22"/>
          <w:szCs w:val="22"/>
        </w:rPr>
      </w:pPr>
    </w:p>
    <w:p w:rsidR="002435EC" w:rsidRPr="009E3F7F" w:rsidRDefault="00690B38" w:rsidP="002435EC">
      <w:pPr>
        <w:pStyle w:val="PlainText"/>
        <w:numPr>
          <w:ilvl w:val="0"/>
          <w:numId w:val="4"/>
        </w:numPr>
        <w:rPr>
          <w:rFonts w:ascii="Times New Roman" w:hAnsi="Times New Roman" w:cs="Times New Roman"/>
          <w:sz w:val="22"/>
          <w:szCs w:val="22"/>
        </w:rPr>
      </w:pPr>
      <w:r w:rsidRPr="009E3F7F">
        <w:rPr>
          <w:rFonts w:ascii="Times New Roman" w:hAnsi="Times New Roman" w:cs="Times New Roman"/>
          <w:sz w:val="22"/>
          <w:szCs w:val="22"/>
        </w:rPr>
        <w:t>It is important t</w:t>
      </w:r>
      <w:r w:rsidR="005124FA" w:rsidRPr="009E3F7F">
        <w:rPr>
          <w:rFonts w:ascii="Times New Roman" w:hAnsi="Times New Roman" w:cs="Times New Roman"/>
          <w:sz w:val="22"/>
          <w:szCs w:val="22"/>
        </w:rPr>
        <w:t>hat policies</w:t>
      </w:r>
      <w:r w:rsidRPr="009E3F7F">
        <w:rPr>
          <w:rFonts w:ascii="Times New Roman" w:hAnsi="Times New Roman" w:cs="Times New Roman"/>
          <w:sz w:val="22"/>
          <w:szCs w:val="22"/>
        </w:rPr>
        <w:t xml:space="preserve"> balance </w:t>
      </w:r>
      <w:r w:rsidR="005124FA" w:rsidRPr="009E3F7F">
        <w:rPr>
          <w:rFonts w:ascii="Times New Roman" w:hAnsi="Times New Roman" w:cs="Times New Roman"/>
          <w:sz w:val="22"/>
          <w:szCs w:val="22"/>
        </w:rPr>
        <w:t>issues of fair and competitive</w:t>
      </w:r>
      <w:r w:rsidR="006D6943" w:rsidRPr="009E3F7F">
        <w:rPr>
          <w:rFonts w:ascii="Times New Roman" w:hAnsi="Times New Roman" w:cs="Times New Roman"/>
          <w:sz w:val="22"/>
          <w:szCs w:val="22"/>
        </w:rPr>
        <w:t xml:space="preserve"> procurement, prudent decision-making and </w:t>
      </w:r>
      <w:r w:rsidRPr="009E3F7F">
        <w:rPr>
          <w:rFonts w:ascii="Times New Roman" w:hAnsi="Times New Roman" w:cs="Times New Roman"/>
          <w:sz w:val="22"/>
          <w:szCs w:val="22"/>
        </w:rPr>
        <w:t xml:space="preserve">administrative </w:t>
      </w:r>
      <w:r w:rsidR="005124FA" w:rsidRPr="009E3F7F">
        <w:rPr>
          <w:rFonts w:ascii="Times New Roman" w:hAnsi="Times New Roman" w:cs="Times New Roman"/>
          <w:sz w:val="22"/>
          <w:szCs w:val="22"/>
        </w:rPr>
        <w:t xml:space="preserve">burden. Utilities should be held accountable for prudent decision-making in </w:t>
      </w:r>
      <w:r w:rsidR="00010DA9" w:rsidRPr="009E3F7F">
        <w:rPr>
          <w:rFonts w:ascii="Times New Roman" w:hAnsi="Times New Roman" w:cs="Times New Roman"/>
          <w:sz w:val="22"/>
          <w:szCs w:val="22"/>
        </w:rPr>
        <w:t>designing a</w:t>
      </w:r>
      <w:r w:rsidR="005124FA" w:rsidRPr="009E3F7F">
        <w:rPr>
          <w:rFonts w:ascii="Times New Roman" w:hAnsi="Times New Roman" w:cs="Times New Roman"/>
          <w:sz w:val="22"/>
          <w:szCs w:val="22"/>
        </w:rPr>
        <w:t xml:space="preserve"> procurement process for EVSE and be required </w:t>
      </w:r>
      <w:r w:rsidRPr="009E3F7F">
        <w:rPr>
          <w:rFonts w:ascii="Times New Roman" w:hAnsi="Times New Roman" w:cs="Times New Roman"/>
          <w:sz w:val="22"/>
          <w:szCs w:val="22"/>
        </w:rPr>
        <w:t xml:space="preserve">to provide </w:t>
      </w:r>
      <w:r w:rsidRPr="009E3F7F">
        <w:rPr>
          <w:rFonts w:ascii="Times New Roman" w:hAnsi="Times New Roman" w:cs="Times New Roman"/>
          <w:sz w:val="22"/>
          <w:szCs w:val="22"/>
        </w:rPr>
        <w:lastRenderedPageBreak/>
        <w:t>report</w:t>
      </w:r>
      <w:r w:rsidR="005124FA" w:rsidRPr="009E3F7F">
        <w:rPr>
          <w:rFonts w:ascii="Times New Roman" w:hAnsi="Times New Roman" w:cs="Times New Roman"/>
          <w:sz w:val="22"/>
          <w:szCs w:val="22"/>
        </w:rPr>
        <w:t>s to the Commission</w:t>
      </w:r>
      <w:r w:rsidRPr="009E3F7F">
        <w:rPr>
          <w:rFonts w:ascii="Times New Roman" w:hAnsi="Times New Roman" w:cs="Times New Roman"/>
          <w:sz w:val="22"/>
          <w:szCs w:val="22"/>
        </w:rPr>
        <w:t xml:space="preserve"> </w:t>
      </w:r>
      <w:r w:rsidR="00010DA9" w:rsidRPr="009E3F7F">
        <w:rPr>
          <w:rFonts w:ascii="Times New Roman" w:hAnsi="Times New Roman" w:cs="Times New Roman"/>
          <w:sz w:val="22"/>
          <w:szCs w:val="22"/>
        </w:rPr>
        <w:t xml:space="preserve">describing </w:t>
      </w:r>
      <w:r w:rsidRPr="009E3F7F">
        <w:rPr>
          <w:rFonts w:ascii="Times New Roman" w:hAnsi="Times New Roman" w:cs="Times New Roman"/>
          <w:sz w:val="22"/>
          <w:szCs w:val="22"/>
        </w:rPr>
        <w:t>how their equipment selection was made</w:t>
      </w:r>
      <w:r w:rsidR="00010DA9" w:rsidRPr="009E3F7F">
        <w:rPr>
          <w:rFonts w:ascii="Times New Roman" w:hAnsi="Times New Roman" w:cs="Times New Roman"/>
          <w:sz w:val="22"/>
          <w:szCs w:val="22"/>
        </w:rPr>
        <w:t>. This</w:t>
      </w:r>
      <w:r w:rsidRPr="009E3F7F">
        <w:rPr>
          <w:rFonts w:ascii="Times New Roman" w:hAnsi="Times New Roman" w:cs="Times New Roman"/>
          <w:sz w:val="22"/>
          <w:szCs w:val="22"/>
        </w:rPr>
        <w:t xml:space="preserve"> approach best balances </w:t>
      </w:r>
      <w:r w:rsidR="00010DA9" w:rsidRPr="009E3F7F">
        <w:rPr>
          <w:rFonts w:ascii="Times New Roman" w:hAnsi="Times New Roman" w:cs="Times New Roman"/>
          <w:sz w:val="22"/>
          <w:szCs w:val="22"/>
        </w:rPr>
        <w:t>the burden of administering new tariff</w:t>
      </w:r>
      <w:r w:rsidR="00585860" w:rsidRPr="009E3F7F">
        <w:rPr>
          <w:rFonts w:ascii="Times New Roman" w:hAnsi="Times New Roman" w:cs="Times New Roman"/>
          <w:sz w:val="22"/>
          <w:szCs w:val="22"/>
        </w:rPr>
        <w:t xml:space="preserve"> services</w:t>
      </w:r>
      <w:r w:rsidR="00010DA9" w:rsidRPr="009E3F7F">
        <w:rPr>
          <w:rFonts w:ascii="Times New Roman" w:hAnsi="Times New Roman" w:cs="Times New Roman"/>
          <w:sz w:val="22"/>
          <w:szCs w:val="22"/>
        </w:rPr>
        <w:t xml:space="preserve"> </w:t>
      </w:r>
      <w:r w:rsidRPr="009E3F7F">
        <w:rPr>
          <w:rFonts w:ascii="Times New Roman" w:hAnsi="Times New Roman" w:cs="Times New Roman"/>
          <w:sz w:val="22"/>
          <w:szCs w:val="22"/>
        </w:rPr>
        <w:t>w</w:t>
      </w:r>
      <w:r w:rsidR="00010DA9" w:rsidRPr="009E3F7F">
        <w:rPr>
          <w:rFonts w:ascii="Times New Roman" w:hAnsi="Times New Roman" w:cs="Times New Roman"/>
          <w:sz w:val="22"/>
          <w:szCs w:val="22"/>
        </w:rPr>
        <w:t>hile</w:t>
      </w:r>
      <w:r w:rsidRPr="009E3F7F">
        <w:rPr>
          <w:rFonts w:ascii="Times New Roman" w:hAnsi="Times New Roman" w:cs="Times New Roman"/>
          <w:sz w:val="22"/>
          <w:szCs w:val="22"/>
        </w:rPr>
        <w:t xml:space="preserve"> ensuring a thoughtful and fair selection process was </w:t>
      </w:r>
      <w:r w:rsidR="00010DA9" w:rsidRPr="009E3F7F">
        <w:rPr>
          <w:rFonts w:ascii="Times New Roman" w:hAnsi="Times New Roman" w:cs="Times New Roman"/>
          <w:sz w:val="22"/>
          <w:szCs w:val="22"/>
        </w:rPr>
        <w:t>conducted</w:t>
      </w:r>
      <w:r w:rsidR="0091791A" w:rsidRPr="009E3F7F">
        <w:rPr>
          <w:rFonts w:ascii="Times New Roman" w:hAnsi="Times New Roman" w:cs="Times New Roman"/>
          <w:sz w:val="22"/>
          <w:szCs w:val="22"/>
        </w:rPr>
        <w:t>.</w:t>
      </w:r>
    </w:p>
    <w:p w:rsidR="002435EC" w:rsidRPr="009E3F7F" w:rsidRDefault="002435EC" w:rsidP="002435EC">
      <w:pPr>
        <w:pStyle w:val="ListParagraph"/>
        <w:rPr>
          <w:sz w:val="22"/>
          <w:szCs w:val="22"/>
        </w:rPr>
      </w:pPr>
    </w:p>
    <w:p w:rsidR="002435EC" w:rsidRPr="009E3F7F" w:rsidRDefault="002435EC" w:rsidP="002435EC">
      <w:pPr>
        <w:pStyle w:val="PlainText"/>
        <w:numPr>
          <w:ilvl w:val="0"/>
          <w:numId w:val="4"/>
        </w:numPr>
        <w:rPr>
          <w:rFonts w:ascii="Times New Roman" w:hAnsi="Times New Roman" w:cs="Times New Roman"/>
          <w:sz w:val="22"/>
          <w:szCs w:val="22"/>
        </w:rPr>
      </w:pPr>
      <w:r w:rsidRPr="009E3F7F">
        <w:rPr>
          <w:rFonts w:ascii="Times New Roman" w:hAnsi="Times New Roman" w:cs="Times New Roman"/>
          <w:sz w:val="22"/>
          <w:szCs w:val="22"/>
        </w:rPr>
        <w:t xml:space="preserve">There are numerous vendors that supply charging equipment and “network services” with competing hardware and software technologies. This is a competitive market and should continue to evolve competitively.  </w:t>
      </w:r>
    </w:p>
    <w:p w:rsidR="002435EC" w:rsidRPr="009E3F7F" w:rsidRDefault="002435EC" w:rsidP="002435EC">
      <w:pPr>
        <w:pStyle w:val="PlainText"/>
        <w:rPr>
          <w:rFonts w:ascii="Times New Roman" w:hAnsi="Times New Roman" w:cs="Times New Roman"/>
          <w:sz w:val="22"/>
          <w:szCs w:val="22"/>
        </w:rPr>
      </w:pPr>
    </w:p>
    <w:p w:rsidR="002435EC" w:rsidRPr="009E3F7F" w:rsidRDefault="002435EC" w:rsidP="002435EC">
      <w:pPr>
        <w:pStyle w:val="PlainText"/>
        <w:ind w:left="1080"/>
        <w:rPr>
          <w:rFonts w:ascii="Times New Roman" w:hAnsi="Times New Roman" w:cs="Times New Roman"/>
          <w:sz w:val="22"/>
          <w:szCs w:val="22"/>
        </w:rPr>
      </w:pPr>
      <w:r w:rsidRPr="009E3F7F">
        <w:rPr>
          <w:rFonts w:ascii="Times New Roman" w:hAnsi="Times New Roman" w:cs="Times New Roman"/>
          <w:sz w:val="22"/>
          <w:szCs w:val="22"/>
        </w:rPr>
        <w:t>It is important to note that the Commission generally regulates rates, and not competitive markets, as was acknowledged by the Washington Legislature in relation to EV charging in 2011 in enacting RCW 80.28.320:</w:t>
      </w:r>
    </w:p>
    <w:p w:rsidR="002435EC" w:rsidRPr="009E3F7F" w:rsidRDefault="002435EC" w:rsidP="00C52E7D">
      <w:pPr>
        <w:pStyle w:val="PlainText"/>
        <w:ind w:left="1440"/>
        <w:rPr>
          <w:rFonts w:ascii="Times New Roman" w:hAnsi="Times New Roman" w:cs="Times New Roman"/>
          <w:sz w:val="22"/>
          <w:szCs w:val="22"/>
        </w:rPr>
      </w:pPr>
      <w:r w:rsidRPr="009E3F7F">
        <w:rPr>
          <w:rFonts w:ascii="Times New Roman" w:hAnsi="Times New Roman" w:cs="Times New Roman"/>
          <w:sz w:val="22"/>
          <w:szCs w:val="22"/>
        </w:rPr>
        <w:t>“The commission shall not regulate the rates, services, facilities, and practices of an entity that offers battery charging facilities to the public for hire, if:  (1) That entity is not otherwise subject to commission jurisdiction as an electrical company; or (2) that entity is otherwise subject to commission jurisdiction as an electrical company, but its battery charging facilities are not subsidized by any regulated service.  An electrical company may offer battery charging facilities as a regulated service, subject to commission approval.”</w:t>
      </w:r>
    </w:p>
    <w:p w:rsidR="002435EC" w:rsidRPr="009E3F7F" w:rsidRDefault="002435EC" w:rsidP="002435EC">
      <w:pPr>
        <w:pStyle w:val="PlainText"/>
        <w:rPr>
          <w:rFonts w:ascii="Times New Roman" w:hAnsi="Times New Roman" w:cs="Times New Roman"/>
          <w:sz w:val="22"/>
          <w:szCs w:val="22"/>
        </w:rPr>
      </w:pPr>
    </w:p>
    <w:p w:rsidR="002435EC" w:rsidRPr="009E3F7F" w:rsidRDefault="002435EC" w:rsidP="002435EC">
      <w:pPr>
        <w:pStyle w:val="PlainText"/>
        <w:ind w:left="1080"/>
        <w:rPr>
          <w:rFonts w:ascii="Times New Roman" w:hAnsi="Times New Roman" w:cs="Times New Roman"/>
          <w:sz w:val="22"/>
          <w:szCs w:val="22"/>
        </w:rPr>
      </w:pPr>
      <w:r w:rsidRPr="009E3F7F">
        <w:rPr>
          <w:rFonts w:ascii="Times New Roman" w:hAnsi="Times New Roman" w:cs="Times New Roman"/>
          <w:sz w:val="22"/>
          <w:szCs w:val="22"/>
        </w:rPr>
        <w:t>In 2015, the Washington</w:t>
      </w:r>
      <w:r w:rsidR="00585860" w:rsidRPr="009E3F7F">
        <w:rPr>
          <w:rFonts w:ascii="Times New Roman" w:hAnsi="Times New Roman" w:cs="Times New Roman"/>
          <w:sz w:val="22"/>
          <w:szCs w:val="22"/>
        </w:rPr>
        <w:t xml:space="preserve"> State</w:t>
      </w:r>
      <w:r w:rsidRPr="009E3F7F">
        <w:rPr>
          <w:rFonts w:ascii="Times New Roman" w:hAnsi="Times New Roman" w:cs="Times New Roman"/>
          <w:sz w:val="22"/>
          <w:szCs w:val="22"/>
        </w:rPr>
        <w:t xml:space="preserve"> Legislature further clarified the role of utilities in RCW 80.28.360, stating the utilities must be “fully empowered and incentivized to be engaged in electrification of our transportation system” and the Legislature “intends to provide a clear policy directive and financial incentive to utilities for electric vehicle infrastructure build-out.”</w:t>
      </w:r>
    </w:p>
    <w:p w:rsidR="002435EC" w:rsidRPr="009E3F7F" w:rsidRDefault="002435EC" w:rsidP="002435EC">
      <w:pPr>
        <w:pStyle w:val="PlainText"/>
        <w:ind w:left="1080"/>
        <w:rPr>
          <w:rFonts w:ascii="Times New Roman" w:hAnsi="Times New Roman" w:cs="Times New Roman"/>
          <w:sz w:val="22"/>
          <w:szCs w:val="22"/>
          <w:u w:val="single"/>
        </w:rPr>
      </w:pPr>
    </w:p>
    <w:p w:rsidR="002435EC" w:rsidRPr="009E3F7F" w:rsidRDefault="002435EC" w:rsidP="002435EC">
      <w:pPr>
        <w:pStyle w:val="PlainText"/>
        <w:ind w:left="1080"/>
        <w:rPr>
          <w:rFonts w:ascii="Times New Roman" w:hAnsi="Times New Roman" w:cs="Times New Roman"/>
          <w:sz w:val="22"/>
          <w:szCs w:val="22"/>
        </w:rPr>
      </w:pPr>
      <w:r w:rsidRPr="009E3F7F">
        <w:rPr>
          <w:rFonts w:ascii="Times New Roman" w:hAnsi="Times New Roman" w:cs="Times New Roman"/>
          <w:sz w:val="22"/>
          <w:szCs w:val="22"/>
        </w:rPr>
        <w:t xml:space="preserve">In considering the rates and tariff services of the utilities, the Commission should encourage the competitive markets for charging equipment and networking services by ensuring the utilities employ good management practices through competitive selection processes, as previously discussed. The Commission should also avoid creating barriers to markets through lengthy processes or inflexible pricing structures which would limit the competitiveness of regulated services </w:t>
      </w:r>
      <w:r w:rsidR="00F50F4C" w:rsidRPr="009E3F7F">
        <w:rPr>
          <w:rFonts w:ascii="Times New Roman" w:hAnsi="Times New Roman" w:cs="Times New Roman"/>
          <w:sz w:val="22"/>
          <w:szCs w:val="22"/>
        </w:rPr>
        <w:t xml:space="preserve">with non-utilities </w:t>
      </w:r>
      <w:r w:rsidRPr="009E3F7F">
        <w:rPr>
          <w:rFonts w:ascii="Times New Roman" w:hAnsi="Times New Roman" w:cs="Times New Roman"/>
          <w:sz w:val="22"/>
          <w:szCs w:val="22"/>
        </w:rPr>
        <w:t>as contemplated in RCW 80.28.320.</w:t>
      </w:r>
    </w:p>
    <w:p w:rsidR="00690B38" w:rsidRPr="009E3F7F" w:rsidRDefault="00690B38" w:rsidP="00690B38">
      <w:pPr>
        <w:pStyle w:val="PlainText"/>
        <w:rPr>
          <w:rFonts w:ascii="Times New Roman" w:hAnsi="Times New Roman" w:cs="Times New Roman"/>
          <w:sz w:val="22"/>
          <w:szCs w:val="22"/>
        </w:rPr>
      </w:pPr>
    </w:p>
    <w:p w:rsidR="009E3F7F" w:rsidRPr="009E3F7F" w:rsidRDefault="009E3F7F" w:rsidP="00690B38">
      <w:pPr>
        <w:pStyle w:val="PlainText"/>
        <w:rPr>
          <w:rFonts w:ascii="Times New Roman" w:hAnsi="Times New Roman" w:cs="Times New Roman"/>
          <w:sz w:val="22"/>
          <w:szCs w:val="22"/>
        </w:rPr>
      </w:pPr>
    </w:p>
    <w:p w:rsidR="00690B38" w:rsidRPr="009E3F7F" w:rsidRDefault="00690B38" w:rsidP="009E3F7F">
      <w:pPr>
        <w:spacing w:after="200" w:line="276" w:lineRule="auto"/>
        <w:rPr>
          <w:sz w:val="22"/>
          <w:szCs w:val="22"/>
        </w:rPr>
      </w:pPr>
      <w:r w:rsidRPr="009E3F7F">
        <w:rPr>
          <w:b/>
          <w:sz w:val="22"/>
          <w:szCs w:val="22"/>
        </w:rPr>
        <w:t>7.</w:t>
      </w:r>
      <w:r w:rsidR="00506389" w:rsidRPr="009E3F7F">
        <w:rPr>
          <w:b/>
          <w:sz w:val="22"/>
          <w:szCs w:val="22"/>
        </w:rPr>
        <w:t>)</w:t>
      </w:r>
      <w:r w:rsidRPr="009E3F7F">
        <w:rPr>
          <w:b/>
          <w:sz w:val="22"/>
          <w:szCs w:val="22"/>
        </w:rPr>
        <w:t xml:space="preserve"> Considering RCW 80.12.020</w:t>
      </w:r>
      <w:r w:rsidR="00C2318A" w:rsidRPr="009E3F7F">
        <w:rPr>
          <w:b/>
          <w:sz w:val="22"/>
          <w:szCs w:val="22"/>
        </w:rPr>
        <w:t>(</w:t>
      </w:r>
      <w:r w:rsidRPr="009E3F7F">
        <w:rPr>
          <w:b/>
          <w:sz w:val="22"/>
          <w:szCs w:val="22"/>
        </w:rPr>
        <w:t>4</w:t>
      </w:r>
      <w:r w:rsidR="00C2318A" w:rsidRPr="009E3F7F">
        <w:rPr>
          <w:b/>
          <w:sz w:val="22"/>
          <w:szCs w:val="22"/>
        </w:rPr>
        <w:t>)</w:t>
      </w:r>
      <w:r w:rsidRPr="009E3F7F">
        <w:rPr>
          <w:b/>
          <w:sz w:val="22"/>
          <w:szCs w:val="22"/>
        </w:rPr>
        <w:t xml:space="preserve"> when would it be appropriate for an electrical company to “gift” EVSE to a customer, as provided in RCW 80.28.360(4)? What notice should be given?</w:t>
      </w: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Response:</w:t>
      </w:r>
    </w:p>
    <w:p w:rsidR="004D3365"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It would be appropriate for a utility to dispose of an EVSE when it is no longer “necessary or useful”. </w:t>
      </w:r>
      <w:r w:rsidR="00010DA9" w:rsidRPr="009E3F7F">
        <w:rPr>
          <w:rFonts w:ascii="Times New Roman" w:hAnsi="Times New Roman" w:cs="Times New Roman"/>
          <w:sz w:val="22"/>
          <w:szCs w:val="22"/>
        </w:rPr>
        <w:t xml:space="preserve">The terms under which an electric company would gift EVSE to a customer would be described in a tariff </w:t>
      </w:r>
      <w:r w:rsidR="00177D56" w:rsidRPr="009E3F7F">
        <w:rPr>
          <w:rFonts w:ascii="Times New Roman" w:hAnsi="Times New Roman" w:cs="Times New Roman"/>
          <w:sz w:val="22"/>
          <w:szCs w:val="22"/>
        </w:rPr>
        <w:t>schedule that is providing the electric vehicle equipment service</w:t>
      </w:r>
      <w:r w:rsidR="00010DA9" w:rsidRPr="009E3F7F">
        <w:rPr>
          <w:rFonts w:ascii="Times New Roman" w:hAnsi="Times New Roman" w:cs="Times New Roman"/>
          <w:sz w:val="22"/>
          <w:szCs w:val="22"/>
        </w:rPr>
        <w:t xml:space="preserve">. </w:t>
      </w:r>
    </w:p>
    <w:p w:rsidR="004D3365" w:rsidRPr="009E3F7F" w:rsidRDefault="004D3365" w:rsidP="00690B38">
      <w:pPr>
        <w:pStyle w:val="PlainText"/>
        <w:rPr>
          <w:rFonts w:ascii="Times New Roman" w:hAnsi="Times New Roman" w:cs="Times New Roman"/>
          <w:sz w:val="22"/>
          <w:szCs w:val="22"/>
        </w:rPr>
      </w:pPr>
    </w:p>
    <w:p w:rsidR="009E3F7F" w:rsidRPr="009E3F7F" w:rsidRDefault="009E3F7F">
      <w:pPr>
        <w:spacing w:after="200" w:line="276" w:lineRule="auto"/>
        <w:rPr>
          <w:sz w:val="22"/>
          <w:szCs w:val="22"/>
        </w:rPr>
      </w:pPr>
      <w:r w:rsidRPr="009E3F7F">
        <w:rPr>
          <w:sz w:val="22"/>
          <w:szCs w:val="22"/>
        </w:rPr>
        <w:br w:type="page"/>
      </w:r>
    </w:p>
    <w:p w:rsidR="00585860" w:rsidRPr="009E3F7F" w:rsidRDefault="00585860"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b/>
          <w:sz w:val="22"/>
          <w:szCs w:val="22"/>
        </w:rPr>
      </w:pPr>
      <w:r w:rsidRPr="009E3F7F">
        <w:rPr>
          <w:rFonts w:ascii="Times New Roman" w:hAnsi="Times New Roman" w:cs="Times New Roman"/>
          <w:b/>
          <w:sz w:val="22"/>
          <w:szCs w:val="22"/>
        </w:rPr>
        <w:t>8.</w:t>
      </w:r>
      <w:r w:rsidR="00506389" w:rsidRPr="009E3F7F">
        <w:rPr>
          <w:rFonts w:ascii="Times New Roman" w:hAnsi="Times New Roman" w:cs="Times New Roman"/>
          <w:b/>
          <w:sz w:val="22"/>
          <w:szCs w:val="22"/>
        </w:rPr>
        <w:t>)</w:t>
      </w:r>
      <w:r w:rsidRPr="009E3F7F">
        <w:rPr>
          <w:rFonts w:ascii="Times New Roman" w:hAnsi="Times New Roman" w:cs="Times New Roman"/>
          <w:b/>
          <w:sz w:val="22"/>
          <w:szCs w:val="22"/>
        </w:rPr>
        <w:t xml:space="preserve"> Considering RCW 80.28.320, what other factors should the Commission consider in order to approve investor-owned utility proposals to own and operate EVSE as a regulated service? </w:t>
      </w:r>
    </w:p>
    <w:p w:rsidR="00690B38" w:rsidRPr="009E3F7F" w:rsidRDefault="00690B38" w:rsidP="00690B38">
      <w:pPr>
        <w:pStyle w:val="PlainText"/>
        <w:rPr>
          <w:rFonts w:ascii="Times New Roman" w:hAnsi="Times New Roman" w:cs="Times New Roman"/>
          <w:i/>
          <w:sz w:val="22"/>
          <w:szCs w:val="22"/>
        </w:rPr>
      </w:pPr>
    </w:p>
    <w:p w:rsidR="00690B38" w:rsidRPr="009E3F7F" w:rsidRDefault="00690B38" w:rsidP="00690B38">
      <w:pPr>
        <w:pStyle w:val="PlainText"/>
        <w:rPr>
          <w:rFonts w:ascii="Times New Roman" w:hAnsi="Times New Roman" w:cs="Times New Roman"/>
          <w:b/>
          <w:sz w:val="22"/>
          <w:szCs w:val="22"/>
          <w:u w:val="single"/>
        </w:rPr>
      </w:pPr>
      <w:r w:rsidRPr="009E3F7F">
        <w:rPr>
          <w:rFonts w:ascii="Times New Roman" w:hAnsi="Times New Roman" w:cs="Times New Roman"/>
          <w:b/>
          <w:sz w:val="22"/>
          <w:szCs w:val="22"/>
          <w:u w:val="single"/>
        </w:rPr>
        <w:t>Response:</w:t>
      </w: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The Commission should consider </w:t>
      </w:r>
      <w:r w:rsidR="00010DA9" w:rsidRPr="009E3F7F">
        <w:rPr>
          <w:rFonts w:ascii="Times New Roman" w:hAnsi="Times New Roman" w:cs="Times New Roman"/>
          <w:sz w:val="22"/>
          <w:szCs w:val="22"/>
        </w:rPr>
        <w:t>several</w:t>
      </w:r>
      <w:r w:rsidRPr="009E3F7F">
        <w:rPr>
          <w:rFonts w:ascii="Times New Roman" w:hAnsi="Times New Roman" w:cs="Times New Roman"/>
          <w:sz w:val="22"/>
          <w:szCs w:val="22"/>
        </w:rPr>
        <w:t xml:space="preserve"> factors in </w:t>
      </w:r>
      <w:r w:rsidR="00010DA9" w:rsidRPr="009E3F7F">
        <w:rPr>
          <w:rFonts w:ascii="Times New Roman" w:hAnsi="Times New Roman" w:cs="Times New Roman"/>
          <w:sz w:val="22"/>
          <w:szCs w:val="22"/>
        </w:rPr>
        <w:t>approving electric company</w:t>
      </w:r>
      <w:r w:rsidRPr="009E3F7F">
        <w:rPr>
          <w:rFonts w:ascii="Times New Roman" w:hAnsi="Times New Roman" w:cs="Times New Roman"/>
          <w:sz w:val="22"/>
          <w:szCs w:val="22"/>
        </w:rPr>
        <w:t xml:space="preserve"> </w:t>
      </w:r>
      <w:r w:rsidR="00177D56" w:rsidRPr="009E3F7F">
        <w:rPr>
          <w:rFonts w:ascii="Times New Roman" w:hAnsi="Times New Roman" w:cs="Times New Roman"/>
          <w:sz w:val="22"/>
          <w:szCs w:val="22"/>
        </w:rPr>
        <w:t xml:space="preserve">tariff schedules </w:t>
      </w:r>
      <w:r w:rsidRPr="009E3F7F">
        <w:rPr>
          <w:rFonts w:ascii="Times New Roman" w:hAnsi="Times New Roman" w:cs="Times New Roman"/>
          <w:sz w:val="22"/>
          <w:szCs w:val="22"/>
        </w:rPr>
        <w:t xml:space="preserve">to </w:t>
      </w:r>
      <w:r w:rsidR="00177D56" w:rsidRPr="009E3F7F">
        <w:rPr>
          <w:rFonts w:ascii="Times New Roman" w:hAnsi="Times New Roman" w:cs="Times New Roman"/>
          <w:sz w:val="22"/>
          <w:szCs w:val="22"/>
        </w:rPr>
        <w:t xml:space="preserve">offer </w:t>
      </w:r>
      <w:r w:rsidRPr="009E3F7F">
        <w:rPr>
          <w:rFonts w:ascii="Times New Roman" w:hAnsi="Times New Roman" w:cs="Times New Roman"/>
          <w:sz w:val="22"/>
          <w:szCs w:val="22"/>
        </w:rPr>
        <w:t>EVSE as a regulated service</w:t>
      </w:r>
      <w:r w:rsidR="00177D56" w:rsidRPr="009E3F7F">
        <w:rPr>
          <w:rFonts w:ascii="Times New Roman" w:hAnsi="Times New Roman" w:cs="Times New Roman"/>
          <w:sz w:val="22"/>
          <w:szCs w:val="22"/>
        </w:rPr>
        <w:t xml:space="preserve"> with Company-owned equipment</w:t>
      </w:r>
      <w:r w:rsidRPr="009E3F7F">
        <w:rPr>
          <w:rFonts w:ascii="Times New Roman" w:hAnsi="Times New Roman" w:cs="Times New Roman"/>
          <w:sz w:val="22"/>
          <w:szCs w:val="22"/>
        </w:rPr>
        <w:t>.</w:t>
      </w:r>
      <w:r w:rsidR="005910E9" w:rsidRPr="009E3F7F">
        <w:rPr>
          <w:rFonts w:ascii="Times New Roman" w:hAnsi="Times New Roman" w:cs="Times New Roman"/>
          <w:sz w:val="22"/>
          <w:szCs w:val="22"/>
        </w:rPr>
        <w:t xml:space="preserve">  These factors are important to ensure that proposals by utilities do provide benefits across as many customers as possible, consistent with the utilities’ role in providing services</w:t>
      </w:r>
      <w:r w:rsidR="00F50F4C" w:rsidRPr="009E3F7F">
        <w:rPr>
          <w:rFonts w:ascii="Times New Roman" w:hAnsi="Times New Roman" w:cs="Times New Roman"/>
          <w:sz w:val="22"/>
          <w:szCs w:val="22"/>
        </w:rPr>
        <w:t xml:space="preserve"> to all customers</w:t>
      </w:r>
      <w:r w:rsidR="005910E9" w:rsidRPr="009E3F7F">
        <w:rPr>
          <w:rFonts w:ascii="Times New Roman" w:hAnsi="Times New Roman" w:cs="Times New Roman"/>
          <w:sz w:val="22"/>
          <w:szCs w:val="22"/>
        </w:rPr>
        <w:t xml:space="preserve">.  </w:t>
      </w:r>
    </w:p>
    <w:p w:rsidR="00690B38" w:rsidRPr="009E3F7F" w:rsidRDefault="00690B38" w:rsidP="00690B38">
      <w:pPr>
        <w:pStyle w:val="PlainText"/>
        <w:rPr>
          <w:rFonts w:ascii="Times New Roman" w:hAnsi="Times New Roman" w:cs="Times New Roman"/>
          <w:sz w:val="22"/>
          <w:szCs w:val="22"/>
        </w:rPr>
      </w:pPr>
    </w:p>
    <w:p w:rsidR="00690B38" w:rsidRPr="009E3F7F" w:rsidRDefault="00010DA9"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T</w:t>
      </w:r>
      <w:r w:rsidR="004D3365" w:rsidRPr="009E3F7F">
        <w:rPr>
          <w:rFonts w:ascii="Times New Roman" w:hAnsi="Times New Roman" w:cs="Times New Roman"/>
          <w:sz w:val="22"/>
          <w:szCs w:val="22"/>
        </w:rPr>
        <w:t>he first factor is</w:t>
      </w:r>
      <w:r w:rsidR="00690B38" w:rsidRPr="009E3F7F">
        <w:rPr>
          <w:rFonts w:ascii="Times New Roman" w:hAnsi="Times New Roman" w:cs="Times New Roman"/>
          <w:sz w:val="22"/>
          <w:szCs w:val="22"/>
        </w:rPr>
        <w:t xml:space="preserve"> access. In order for a utility to own and operate EVSE as a regulated service, it should be open to all of the utility’s customers and non-customers, thus providing reasonable access to all customers.  This standard explicitly does not apply to unregulated providers of charging </w:t>
      </w:r>
      <w:r w:rsidR="002435EC" w:rsidRPr="009E3F7F">
        <w:rPr>
          <w:rFonts w:ascii="Times New Roman" w:hAnsi="Times New Roman" w:cs="Times New Roman"/>
          <w:sz w:val="22"/>
          <w:szCs w:val="22"/>
        </w:rPr>
        <w:t>(</w:t>
      </w:r>
      <w:r w:rsidR="00690B38" w:rsidRPr="009E3F7F">
        <w:rPr>
          <w:rFonts w:ascii="Times New Roman" w:hAnsi="Times New Roman" w:cs="Times New Roman"/>
          <w:sz w:val="22"/>
          <w:szCs w:val="22"/>
        </w:rPr>
        <w:t>as outlined in RCW 80.28.320</w:t>
      </w:r>
      <w:r w:rsidR="002435EC" w:rsidRPr="009E3F7F">
        <w:rPr>
          <w:rFonts w:ascii="Times New Roman" w:hAnsi="Times New Roman" w:cs="Times New Roman"/>
          <w:sz w:val="22"/>
          <w:szCs w:val="22"/>
        </w:rPr>
        <w:t>)</w:t>
      </w:r>
      <w:r w:rsidR="00F50F4C" w:rsidRPr="009E3F7F">
        <w:rPr>
          <w:rFonts w:ascii="Times New Roman" w:hAnsi="Times New Roman" w:cs="Times New Roman"/>
          <w:sz w:val="22"/>
          <w:szCs w:val="22"/>
        </w:rPr>
        <w:t xml:space="preserve"> </w:t>
      </w:r>
      <w:r w:rsidR="00690B38" w:rsidRPr="009E3F7F">
        <w:rPr>
          <w:rFonts w:ascii="Times New Roman" w:hAnsi="Times New Roman" w:cs="Times New Roman"/>
          <w:sz w:val="22"/>
          <w:szCs w:val="22"/>
        </w:rPr>
        <w:t>who can allow or not allow use of their charging equipment by any person or corporation</w:t>
      </w:r>
      <w:r w:rsidR="002435EC" w:rsidRPr="009E3F7F">
        <w:rPr>
          <w:rFonts w:ascii="Times New Roman" w:hAnsi="Times New Roman" w:cs="Times New Roman"/>
          <w:sz w:val="22"/>
          <w:szCs w:val="22"/>
        </w:rPr>
        <w:t>,</w:t>
      </w:r>
      <w:r w:rsidR="00690B38" w:rsidRPr="009E3F7F">
        <w:rPr>
          <w:rFonts w:ascii="Times New Roman" w:hAnsi="Times New Roman" w:cs="Times New Roman"/>
          <w:sz w:val="22"/>
          <w:szCs w:val="22"/>
        </w:rPr>
        <w:t xml:space="preserve"> </w:t>
      </w:r>
      <w:r w:rsidR="00F50F4C" w:rsidRPr="009E3F7F">
        <w:rPr>
          <w:rFonts w:ascii="Times New Roman" w:hAnsi="Times New Roman" w:cs="Times New Roman"/>
          <w:sz w:val="22"/>
          <w:szCs w:val="22"/>
        </w:rPr>
        <w:t>or can charge different prices to different entities based on any factor.</w:t>
      </w:r>
    </w:p>
    <w:p w:rsidR="00690B38" w:rsidRPr="009E3F7F" w:rsidRDefault="00690B38" w:rsidP="00690B38">
      <w:pPr>
        <w:pStyle w:val="PlainText"/>
        <w:rPr>
          <w:rFonts w:ascii="Times New Roman" w:hAnsi="Times New Roman" w:cs="Times New Roman"/>
          <w:sz w:val="22"/>
          <w:szCs w:val="22"/>
        </w:rPr>
      </w:pPr>
    </w:p>
    <w:p w:rsidR="00690B38" w:rsidRPr="009E3F7F" w:rsidRDefault="00690B38"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The second </w:t>
      </w:r>
      <w:r w:rsidR="004D3365" w:rsidRPr="009E3F7F">
        <w:rPr>
          <w:rFonts w:ascii="Times New Roman" w:hAnsi="Times New Roman" w:cs="Times New Roman"/>
          <w:sz w:val="22"/>
          <w:szCs w:val="22"/>
        </w:rPr>
        <w:t xml:space="preserve">factor is </w:t>
      </w:r>
      <w:r w:rsidRPr="009E3F7F">
        <w:rPr>
          <w:rFonts w:ascii="Times New Roman" w:hAnsi="Times New Roman" w:cs="Times New Roman"/>
          <w:sz w:val="22"/>
          <w:szCs w:val="22"/>
        </w:rPr>
        <w:t xml:space="preserve">planning.  Any utility investments should have a reasonable expectation of being used and useful.  </w:t>
      </w:r>
      <w:r w:rsidR="00177D56" w:rsidRPr="009E3F7F">
        <w:rPr>
          <w:rFonts w:ascii="Times New Roman" w:hAnsi="Times New Roman" w:cs="Times New Roman"/>
          <w:sz w:val="22"/>
          <w:szCs w:val="22"/>
        </w:rPr>
        <w:t>For electric vehicle equipment services that would not have distinct dedicated customers, e</w:t>
      </w:r>
      <w:r w:rsidRPr="009E3F7F">
        <w:rPr>
          <w:rFonts w:ascii="Times New Roman" w:hAnsi="Times New Roman" w:cs="Times New Roman"/>
          <w:sz w:val="22"/>
          <w:szCs w:val="22"/>
        </w:rPr>
        <w:t xml:space="preserve">ach utility should be required to convene a group of electrified transportation users to provide input on infrastructure decisions and sites to ensure that they have a reasonable expectation of being used and useful.  This user group should </w:t>
      </w:r>
      <w:r w:rsidR="00146BDA" w:rsidRPr="009E3F7F">
        <w:rPr>
          <w:rFonts w:ascii="Times New Roman" w:hAnsi="Times New Roman" w:cs="Times New Roman"/>
          <w:sz w:val="22"/>
          <w:szCs w:val="22"/>
        </w:rPr>
        <w:t>include but not be limited to the following</w:t>
      </w:r>
      <w:r w:rsidRPr="009E3F7F">
        <w:rPr>
          <w:rFonts w:ascii="Times New Roman" w:hAnsi="Times New Roman" w:cs="Times New Roman"/>
          <w:sz w:val="22"/>
          <w:szCs w:val="22"/>
        </w:rPr>
        <w:t>: a daily driver of a passenger electric vehicle</w:t>
      </w:r>
      <w:r w:rsidR="00146BDA" w:rsidRPr="009E3F7F">
        <w:rPr>
          <w:rFonts w:ascii="Times New Roman" w:hAnsi="Times New Roman" w:cs="Times New Roman"/>
          <w:sz w:val="22"/>
          <w:szCs w:val="22"/>
        </w:rPr>
        <w:t>;</w:t>
      </w:r>
      <w:r w:rsidRPr="009E3F7F">
        <w:rPr>
          <w:rFonts w:ascii="Times New Roman" w:hAnsi="Times New Roman" w:cs="Times New Roman"/>
          <w:sz w:val="22"/>
          <w:szCs w:val="22"/>
        </w:rPr>
        <w:t xml:space="preserve"> a representative of a group of electric vehicle drivers which educates and informs the public in an effort </w:t>
      </w:r>
      <w:r w:rsidR="002435EC" w:rsidRPr="009E3F7F">
        <w:rPr>
          <w:rFonts w:ascii="Times New Roman" w:hAnsi="Times New Roman" w:cs="Times New Roman"/>
          <w:sz w:val="22"/>
          <w:szCs w:val="22"/>
        </w:rPr>
        <w:t>increase the number of</w:t>
      </w:r>
      <w:r w:rsidRPr="009E3F7F">
        <w:rPr>
          <w:rFonts w:ascii="Times New Roman" w:hAnsi="Times New Roman" w:cs="Times New Roman"/>
          <w:sz w:val="22"/>
          <w:szCs w:val="22"/>
        </w:rPr>
        <w:t xml:space="preserve"> electric vehicles</w:t>
      </w:r>
      <w:r w:rsidR="00146BDA" w:rsidRPr="009E3F7F">
        <w:rPr>
          <w:rFonts w:ascii="Times New Roman" w:hAnsi="Times New Roman" w:cs="Times New Roman"/>
          <w:sz w:val="22"/>
          <w:szCs w:val="22"/>
        </w:rPr>
        <w:t>;</w:t>
      </w:r>
      <w:r w:rsidRPr="009E3F7F">
        <w:rPr>
          <w:rFonts w:ascii="Times New Roman" w:hAnsi="Times New Roman" w:cs="Times New Roman"/>
          <w:sz w:val="22"/>
          <w:szCs w:val="22"/>
        </w:rPr>
        <w:t xml:space="preserve"> a representative from the State of Washington</w:t>
      </w:r>
      <w:r w:rsidR="00146BDA" w:rsidRPr="009E3F7F">
        <w:rPr>
          <w:rFonts w:ascii="Times New Roman" w:hAnsi="Times New Roman" w:cs="Times New Roman"/>
          <w:sz w:val="22"/>
          <w:szCs w:val="22"/>
        </w:rPr>
        <w:t>;</w:t>
      </w:r>
      <w:r w:rsidRPr="009E3F7F">
        <w:rPr>
          <w:rFonts w:ascii="Times New Roman" w:hAnsi="Times New Roman" w:cs="Times New Roman"/>
          <w:sz w:val="22"/>
          <w:szCs w:val="22"/>
        </w:rPr>
        <w:t xml:space="preserve"> a representative from a fleet operating electrified transportation equipment</w:t>
      </w:r>
      <w:r w:rsidR="00146BDA" w:rsidRPr="009E3F7F">
        <w:rPr>
          <w:rFonts w:ascii="Times New Roman" w:hAnsi="Times New Roman" w:cs="Times New Roman"/>
          <w:sz w:val="22"/>
          <w:szCs w:val="22"/>
        </w:rPr>
        <w:t>;</w:t>
      </w:r>
      <w:r w:rsidRPr="009E3F7F">
        <w:rPr>
          <w:rFonts w:ascii="Times New Roman" w:hAnsi="Times New Roman" w:cs="Times New Roman"/>
          <w:sz w:val="22"/>
          <w:szCs w:val="22"/>
        </w:rPr>
        <w:t xml:space="preserve"> and a representative from the UTC staff. </w:t>
      </w:r>
      <w:r w:rsidR="00F50F4C" w:rsidRPr="009E3F7F">
        <w:rPr>
          <w:rFonts w:ascii="Times New Roman" w:hAnsi="Times New Roman" w:cs="Times New Roman"/>
          <w:sz w:val="22"/>
          <w:szCs w:val="22"/>
        </w:rPr>
        <w:t xml:space="preserve"> Further, utility proposals should have clear maintenance plans to ensure that the equipment continues to be available to customers for use.</w:t>
      </w:r>
    </w:p>
    <w:p w:rsidR="002435EC" w:rsidRPr="009E3F7F" w:rsidRDefault="002435EC" w:rsidP="00690B38">
      <w:pPr>
        <w:pStyle w:val="PlainText"/>
        <w:rPr>
          <w:rFonts w:ascii="Times New Roman" w:hAnsi="Times New Roman" w:cs="Times New Roman"/>
          <w:sz w:val="22"/>
          <w:szCs w:val="22"/>
        </w:rPr>
      </w:pPr>
    </w:p>
    <w:p w:rsidR="002435EC" w:rsidRPr="009E3F7F" w:rsidRDefault="002435EC" w:rsidP="00690B38">
      <w:pPr>
        <w:pStyle w:val="PlainText"/>
        <w:rPr>
          <w:rFonts w:ascii="Times New Roman" w:hAnsi="Times New Roman" w:cs="Times New Roman"/>
          <w:sz w:val="22"/>
          <w:szCs w:val="22"/>
        </w:rPr>
      </w:pPr>
      <w:r w:rsidRPr="009E3F7F">
        <w:rPr>
          <w:rFonts w:ascii="Times New Roman" w:hAnsi="Times New Roman" w:cs="Times New Roman"/>
          <w:sz w:val="22"/>
          <w:szCs w:val="22"/>
        </w:rPr>
        <w:t xml:space="preserve">A third factor is customer education.  Any utility proposed EV charging services should include a customer education component describing the electric transportation charging options available to all customers. </w:t>
      </w:r>
    </w:p>
    <w:p w:rsidR="00690B38" w:rsidRPr="009E3F7F" w:rsidRDefault="00690B38" w:rsidP="00690B38">
      <w:pPr>
        <w:pStyle w:val="PlainText"/>
        <w:rPr>
          <w:rFonts w:ascii="Times New Roman" w:hAnsi="Times New Roman" w:cs="Times New Roman"/>
          <w:sz w:val="22"/>
          <w:szCs w:val="22"/>
        </w:rPr>
      </w:pPr>
    </w:p>
    <w:p w:rsidR="00BE0E91" w:rsidRPr="009E3F7F" w:rsidRDefault="00286134" w:rsidP="00506389">
      <w:pPr>
        <w:rPr>
          <w:sz w:val="22"/>
          <w:szCs w:val="22"/>
        </w:rPr>
      </w:pPr>
      <w:r w:rsidRPr="009E3F7F">
        <w:rPr>
          <w:sz w:val="22"/>
          <w:szCs w:val="22"/>
        </w:rPr>
        <w:t xml:space="preserve">PSE appreciates </w:t>
      </w:r>
      <w:r w:rsidR="0084690A" w:rsidRPr="009E3F7F">
        <w:rPr>
          <w:sz w:val="22"/>
          <w:szCs w:val="22"/>
        </w:rPr>
        <w:t xml:space="preserve">the </w:t>
      </w:r>
      <w:r w:rsidRPr="009E3F7F">
        <w:rPr>
          <w:sz w:val="22"/>
          <w:szCs w:val="22"/>
        </w:rPr>
        <w:t>opportunity to provide the</w:t>
      </w:r>
      <w:r w:rsidR="00F773E3" w:rsidRPr="009E3F7F">
        <w:rPr>
          <w:sz w:val="22"/>
          <w:szCs w:val="22"/>
        </w:rPr>
        <w:t>se</w:t>
      </w:r>
      <w:r w:rsidRPr="009E3F7F">
        <w:rPr>
          <w:sz w:val="22"/>
          <w:szCs w:val="22"/>
        </w:rPr>
        <w:t xml:space="preserve"> </w:t>
      </w:r>
      <w:r w:rsidR="00557437" w:rsidRPr="009E3F7F">
        <w:rPr>
          <w:sz w:val="22"/>
          <w:szCs w:val="22"/>
        </w:rPr>
        <w:t xml:space="preserve">responses </w:t>
      </w:r>
      <w:r w:rsidR="00246481" w:rsidRPr="009E3F7F">
        <w:rPr>
          <w:sz w:val="22"/>
          <w:szCs w:val="22"/>
        </w:rPr>
        <w:t xml:space="preserve">to </w:t>
      </w:r>
      <w:r w:rsidR="00557437" w:rsidRPr="009E3F7F">
        <w:rPr>
          <w:sz w:val="22"/>
          <w:szCs w:val="22"/>
        </w:rPr>
        <w:t xml:space="preserve">the questions </w:t>
      </w:r>
      <w:r w:rsidRPr="009E3F7F">
        <w:rPr>
          <w:sz w:val="22"/>
          <w:szCs w:val="22"/>
        </w:rPr>
        <w:t xml:space="preserve">identified above in the Notice of Opportunity to File Written Comments.  </w:t>
      </w:r>
      <w:r w:rsidR="003A3E45" w:rsidRPr="009E3F7F">
        <w:rPr>
          <w:sz w:val="22"/>
          <w:szCs w:val="22"/>
        </w:rPr>
        <w:t xml:space="preserve">Please contact </w:t>
      </w:r>
      <w:r w:rsidR="000605C5" w:rsidRPr="009E3F7F">
        <w:rPr>
          <w:sz w:val="22"/>
          <w:szCs w:val="22"/>
        </w:rPr>
        <w:t>Nate Hill, Regulatory Affairs Initiatives Manager</w:t>
      </w:r>
      <w:r w:rsidR="003A3E45" w:rsidRPr="009E3F7F">
        <w:rPr>
          <w:sz w:val="22"/>
          <w:szCs w:val="22"/>
        </w:rPr>
        <w:t xml:space="preserve"> at (</w:t>
      </w:r>
      <w:r w:rsidR="009177F6" w:rsidRPr="009E3F7F">
        <w:rPr>
          <w:sz w:val="22"/>
          <w:szCs w:val="22"/>
        </w:rPr>
        <w:t>425)</w:t>
      </w:r>
      <w:r w:rsidR="000605C5" w:rsidRPr="009E3F7F">
        <w:rPr>
          <w:sz w:val="22"/>
          <w:szCs w:val="22"/>
        </w:rPr>
        <w:t xml:space="preserve"> 457-5524</w:t>
      </w:r>
      <w:r w:rsidR="009177F6" w:rsidRPr="009E3F7F">
        <w:rPr>
          <w:sz w:val="22"/>
          <w:szCs w:val="22"/>
        </w:rPr>
        <w:t xml:space="preserve"> </w:t>
      </w:r>
      <w:r w:rsidR="00AB7737" w:rsidRPr="009E3F7F">
        <w:rPr>
          <w:sz w:val="22"/>
          <w:szCs w:val="22"/>
        </w:rPr>
        <w:t xml:space="preserve">or </w:t>
      </w:r>
      <w:r w:rsidR="00DD4ECB" w:rsidRPr="009E3F7F">
        <w:rPr>
          <w:sz w:val="22"/>
          <w:szCs w:val="22"/>
        </w:rPr>
        <w:t xml:space="preserve">myself </w:t>
      </w:r>
      <w:r w:rsidR="00AB7737" w:rsidRPr="009E3F7F">
        <w:rPr>
          <w:sz w:val="22"/>
          <w:szCs w:val="22"/>
        </w:rPr>
        <w:t xml:space="preserve">at (425) </w:t>
      </w:r>
      <w:r w:rsidR="0063515C" w:rsidRPr="009E3F7F">
        <w:rPr>
          <w:sz w:val="22"/>
          <w:szCs w:val="22"/>
        </w:rPr>
        <w:t>456</w:t>
      </w:r>
      <w:r w:rsidR="00AB7737" w:rsidRPr="009E3F7F">
        <w:rPr>
          <w:sz w:val="22"/>
          <w:szCs w:val="22"/>
        </w:rPr>
        <w:t>-</w:t>
      </w:r>
      <w:r w:rsidR="0063515C" w:rsidRPr="009E3F7F">
        <w:rPr>
          <w:sz w:val="22"/>
          <w:szCs w:val="22"/>
        </w:rPr>
        <w:t>2110</w:t>
      </w:r>
      <w:r w:rsidR="00AB7737" w:rsidRPr="009E3F7F">
        <w:rPr>
          <w:sz w:val="22"/>
          <w:szCs w:val="22"/>
        </w:rPr>
        <w:t xml:space="preserve"> for additional information about this filing.</w:t>
      </w:r>
    </w:p>
    <w:p w:rsidR="008901F0" w:rsidRPr="009E3F7F" w:rsidRDefault="008901F0" w:rsidP="008868BA">
      <w:pPr>
        <w:pStyle w:val="LetterSignature"/>
        <w:keepNext w:val="0"/>
        <w:keepLines w:val="0"/>
        <w:ind w:left="4320"/>
        <w:rPr>
          <w:sz w:val="22"/>
          <w:szCs w:val="22"/>
        </w:rPr>
      </w:pPr>
    </w:p>
    <w:p w:rsidR="00442911" w:rsidRPr="009E3F7F" w:rsidRDefault="003A3E45" w:rsidP="008868BA">
      <w:pPr>
        <w:pStyle w:val="LetterSignature"/>
        <w:keepNext w:val="0"/>
        <w:keepLines w:val="0"/>
        <w:ind w:left="4320"/>
        <w:rPr>
          <w:sz w:val="22"/>
          <w:szCs w:val="22"/>
        </w:rPr>
      </w:pPr>
      <w:r w:rsidRPr="009E3F7F">
        <w:rPr>
          <w:sz w:val="22"/>
          <w:szCs w:val="22"/>
        </w:rPr>
        <w:t>Sincerely</w:t>
      </w:r>
      <w:r w:rsidR="00442911" w:rsidRPr="009E3F7F">
        <w:rPr>
          <w:sz w:val="22"/>
          <w:szCs w:val="22"/>
        </w:rPr>
        <w:t>,</w:t>
      </w:r>
    </w:p>
    <w:p w:rsidR="009177F6" w:rsidRPr="009E3F7F" w:rsidRDefault="009177F6" w:rsidP="008868BA">
      <w:pPr>
        <w:pStyle w:val="LetterSignature"/>
        <w:keepNext w:val="0"/>
        <w:keepLines w:val="0"/>
        <w:ind w:left="4320"/>
        <w:rPr>
          <w:sz w:val="22"/>
          <w:szCs w:val="22"/>
        </w:rPr>
      </w:pPr>
    </w:p>
    <w:p w:rsidR="00B410CB" w:rsidRPr="009E3F7F" w:rsidRDefault="00B410CB" w:rsidP="008868BA">
      <w:pPr>
        <w:pStyle w:val="LetterSignature"/>
        <w:keepNext w:val="0"/>
        <w:keepLines w:val="0"/>
        <w:ind w:left="4320"/>
        <w:rPr>
          <w:sz w:val="22"/>
          <w:szCs w:val="22"/>
        </w:rPr>
      </w:pPr>
    </w:p>
    <w:p w:rsidR="003A3E45" w:rsidRPr="009E3F7F" w:rsidRDefault="003A3E45" w:rsidP="008868BA">
      <w:pPr>
        <w:pStyle w:val="LetterSignature"/>
        <w:keepNext w:val="0"/>
        <w:keepLines w:val="0"/>
        <w:ind w:left="4320"/>
        <w:rPr>
          <w:sz w:val="22"/>
          <w:szCs w:val="22"/>
        </w:rPr>
      </w:pPr>
      <w:r w:rsidRPr="009E3F7F">
        <w:rPr>
          <w:sz w:val="22"/>
          <w:szCs w:val="22"/>
        </w:rPr>
        <w:t>Ken Johnson</w:t>
      </w:r>
    </w:p>
    <w:p w:rsidR="006639E9" w:rsidRPr="009E3F7F" w:rsidRDefault="003A3E45" w:rsidP="008868BA">
      <w:pPr>
        <w:pStyle w:val="LetterSignature"/>
        <w:keepNext w:val="0"/>
        <w:keepLines w:val="0"/>
        <w:ind w:left="4320"/>
        <w:rPr>
          <w:sz w:val="22"/>
          <w:szCs w:val="22"/>
        </w:rPr>
      </w:pPr>
      <w:r w:rsidRPr="009E3F7F">
        <w:rPr>
          <w:sz w:val="22"/>
          <w:szCs w:val="22"/>
        </w:rPr>
        <w:t>Di</w:t>
      </w:r>
      <w:r w:rsidR="00B410CB" w:rsidRPr="009E3F7F">
        <w:rPr>
          <w:sz w:val="22"/>
          <w:szCs w:val="22"/>
        </w:rPr>
        <w:t>rector, State Regulatory Affairs</w:t>
      </w:r>
    </w:p>
    <w:p w:rsidR="00B410CB" w:rsidRPr="009E3F7F" w:rsidRDefault="00B410CB" w:rsidP="003A0736">
      <w:pPr>
        <w:pStyle w:val="LetterSignature"/>
        <w:keepNext w:val="0"/>
        <w:keepLines w:val="0"/>
        <w:ind w:left="4320"/>
        <w:rPr>
          <w:sz w:val="22"/>
          <w:szCs w:val="22"/>
        </w:rPr>
      </w:pPr>
    </w:p>
    <w:p w:rsidR="00E01766" w:rsidRPr="009E3F7F" w:rsidRDefault="00352C5F" w:rsidP="00C52E7D">
      <w:pPr>
        <w:pStyle w:val="PlainText"/>
        <w:widowControl w:val="0"/>
        <w:rPr>
          <w:rFonts w:ascii="Times New Roman" w:hAnsi="Times New Roman" w:cs="Times New Roman"/>
          <w:b/>
          <w:sz w:val="22"/>
          <w:szCs w:val="22"/>
        </w:rPr>
      </w:pPr>
      <w:r w:rsidRPr="009E3F7F">
        <w:rPr>
          <w:rFonts w:ascii="Times New Roman" w:hAnsi="Times New Roman" w:cs="Times New Roman"/>
          <w:sz w:val="22"/>
          <w:szCs w:val="22"/>
        </w:rPr>
        <w:t>cc:  </w:t>
      </w:r>
      <w:r w:rsidR="007049CF" w:rsidRPr="009E3F7F">
        <w:rPr>
          <w:rFonts w:ascii="Times New Roman" w:hAnsi="Times New Roman" w:cs="Times New Roman"/>
          <w:sz w:val="22"/>
          <w:szCs w:val="22"/>
        </w:rPr>
        <w:t xml:space="preserve">Lisa </w:t>
      </w:r>
      <w:proofErr w:type="spellStart"/>
      <w:r w:rsidR="007049CF" w:rsidRPr="009E3F7F">
        <w:rPr>
          <w:rFonts w:ascii="Times New Roman" w:hAnsi="Times New Roman" w:cs="Times New Roman"/>
          <w:sz w:val="22"/>
          <w:szCs w:val="22"/>
        </w:rPr>
        <w:t>Gafken</w:t>
      </w:r>
      <w:proofErr w:type="spellEnd"/>
      <w:r w:rsidRPr="009E3F7F">
        <w:rPr>
          <w:rFonts w:ascii="Times New Roman" w:hAnsi="Times New Roman" w:cs="Times New Roman"/>
          <w:sz w:val="22"/>
          <w:szCs w:val="22"/>
        </w:rPr>
        <w:br/>
        <w:t>       </w:t>
      </w:r>
      <w:r w:rsidR="00503A21" w:rsidRPr="009E3F7F">
        <w:rPr>
          <w:rFonts w:ascii="Times New Roman" w:hAnsi="Times New Roman" w:cs="Times New Roman"/>
          <w:sz w:val="22"/>
          <w:szCs w:val="22"/>
        </w:rPr>
        <w:t>Sheree Carson</w:t>
      </w:r>
      <w:bookmarkStart w:id="0" w:name="_GoBack"/>
      <w:bookmarkEnd w:id="0"/>
    </w:p>
    <w:sectPr w:rsidR="00E01766" w:rsidRPr="009E3F7F" w:rsidSect="008901F0">
      <w:headerReference w:type="default" r:id="rId9"/>
      <w:headerReference w:type="first" r:id="rId10"/>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AC" w:rsidRDefault="000969AC" w:rsidP="00442911">
      <w:r>
        <w:separator/>
      </w:r>
    </w:p>
  </w:endnote>
  <w:endnote w:type="continuationSeparator" w:id="0">
    <w:p w:rsidR="000969AC" w:rsidRDefault="000969AC"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AC" w:rsidRDefault="000969AC" w:rsidP="00442911">
      <w:r>
        <w:separator/>
      </w:r>
    </w:p>
  </w:footnote>
  <w:footnote w:type="continuationSeparator" w:id="0">
    <w:p w:rsidR="000969AC" w:rsidRDefault="000969AC"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2" w:rsidRDefault="00D74BC0">
    <w:pPr>
      <w:pStyle w:val="Header"/>
    </w:pPr>
    <w:r>
      <w:t>Mr. Steven V. King</w:t>
    </w:r>
  </w:p>
  <w:p w:rsidR="00D74BC0" w:rsidRDefault="00D65281">
    <w:pPr>
      <w:pStyle w:val="Header"/>
      <w:rPr>
        <w:noProof/>
      </w:rPr>
    </w:pPr>
    <w:r>
      <w:t>August 16, 2016</w:t>
    </w:r>
    <w:r w:rsidR="00D74BC0">
      <w:br/>
      <w:t xml:space="preserve">Page </w:t>
    </w:r>
    <w:r w:rsidR="00D74BC0">
      <w:fldChar w:fldCharType="begin"/>
    </w:r>
    <w:r w:rsidR="00D74BC0">
      <w:instrText xml:space="preserve"> PAGE   \* MERGEFORMAT </w:instrText>
    </w:r>
    <w:r w:rsidR="00D74BC0">
      <w:fldChar w:fldCharType="separate"/>
    </w:r>
    <w:r w:rsidR="00452659">
      <w:rPr>
        <w:noProof/>
      </w:rPr>
      <w:t>8</w:t>
    </w:r>
    <w:r w:rsidR="00D74BC0">
      <w:rPr>
        <w:noProof/>
      </w:rPr>
      <w:fldChar w:fldCharType="end"/>
    </w:r>
  </w:p>
  <w:p w:rsidR="00D74BC0" w:rsidRDefault="00D74BC0">
    <w:pPr>
      <w:pStyle w:val="Header"/>
    </w:pPr>
  </w:p>
  <w:p w:rsidR="00D74BC0" w:rsidRDefault="00D74BC0">
    <w:pPr>
      <w:pStyle w:val="Header"/>
    </w:pPr>
  </w:p>
  <w:p w:rsidR="00D74BC0" w:rsidRDefault="00D7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C0" w:rsidRDefault="00D74BC0" w:rsidP="008901F0">
    <w:pPr>
      <w:pStyle w:val="Header"/>
    </w:pPr>
    <w:r>
      <w:rPr>
        <w:noProof/>
        <w:szCs w:val="24"/>
      </w:rPr>
      <w:drawing>
        <wp:anchor distT="0" distB="0" distL="114300" distR="114300" simplePos="0" relativeHeight="251657216" behindDoc="0" locked="0" layoutInCell="1" allowOverlap="1" wp14:anchorId="19D1954D" wp14:editId="18595E14">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BE4"/>
    <w:multiLevelType w:val="hybridMultilevel"/>
    <w:tmpl w:val="4A24C0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2FD4"/>
    <w:multiLevelType w:val="hybridMultilevel"/>
    <w:tmpl w:val="E3E4310C"/>
    <w:lvl w:ilvl="0" w:tplc="BA946BFA">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7773"/>
    <w:multiLevelType w:val="hybridMultilevel"/>
    <w:tmpl w:val="8A24E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96E72"/>
    <w:multiLevelType w:val="hybridMultilevel"/>
    <w:tmpl w:val="E17048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C1746"/>
    <w:multiLevelType w:val="hybridMultilevel"/>
    <w:tmpl w:val="FDFAE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DD0AF1"/>
    <w:multiLevelType w:val="hybridMultilevel"/>
    <w:tmpl w:val="C58E9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7C49B4"/>
    <w:multiLevelType w:val="hybridMultilevel"/>
    <w:tmpl w:val="72C0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26425A"/>
    <w:multiLevelType w:val="hybridMultilevel"/>
    <w:tmpl w:val="08ECA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6"/>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01418"/>
    <w:rsid w:val="0000627E"/>
    <w:rsid w:val="00006BF4"/>
    <w:rsid w:val="00010DA9"/>
    <w:rsid w:val="00025CB4"/>
    <w:rsid w:val="00030BA0"/>
    <w:rsid w:val="00031506"/>
    <w:rsid w:val="0003568D"/>
    <w:rsid w:val="00043DF2"/>
    <w:rsid w:val="000605C5"/>
    <w:rsid w:val="0006119D"/>
    <w:rsid w:val="00061488"/>
    <w:rsid w:val="00070E31"/>
    <w:rsid w:val="00071B78"/>
    <w:rsid w:val="00073309"/>
    <w:rsid w:val="00074007"/>
    <w:rsid w:val="00074EA7"/>
    <w:rsid w:val="00080981"/>
    <w:rsid w:val="00081B03"/>
    <w:rsid w:val="0009002C"/>
    <w:rsid w:val="000969AC"/>
    <w:rsid w:val="00096F74"/>
    <w:rsid w:val="00097B39"/>
    <w:rsid w:val="000A000A"/>
    <w:rsid w:val="000A166C"/>
    <w:rsid w:val="000A4096"/>
    <w:rsid w:val="000B33E1"/>
    <w:rsid w:val="000B3DE9"/>
    <w:rsid w:val="000B69E2"/>
    <w:rsid w:val="000C3776"/>
    <w:rsid w:val="000D0622"/>
    <w:rsid w:val="000D3B6C"/>
    <w:rsid w:val="000E0D55"/>
    <w:rsid w:val="000E2339"/>
    <w:rsid w:val="00100F01"/>
    <w:rsid w:val="00101FF5"/>
    <w:rsid w:val="00104A50"/>
    <w:rsid w:val="001073D7"/>
    <w:rsid w:val="001236EA"/>
    <w:rsid w:val="0012555D"/>
    <w:rsid w:val="00125892"/>
    <w:rsid w:val="00125B03"/>
    <w:rsid w:val="00146BDA"/>
    <w:rsid w:val="00153ABA"/>
    <w:rsid w:val="00153CB3"/>
    <w:rsid w:val="001622C9"/>
    <w:rsid w:val="00162C1B"/>
    <w:rsid w:val="00174FBB"/>
    <w:rsid w:val="00175168"/>
    <w:rsid w:val="00175960"/>
    <w:rsid w:val="00176DD1"/>
    <w:rsid w:val="00177D56"/>
    <w:rsid w:val="001850CD"/>
    <w:rsid w:val="00191749"/>
    <w:rsid w:val="00194C44"/>
    <w:rsid w:val="00194FFA"/>
    <w:rsid w:val="00196E4E"/>
    <w:rsid w:val="001A486F"/>
    <w:rsid w:val="001B65B1"/>
    <w:rsid w:val="001C45AF"/>
    <w:rsid w:val="001C5F4E"/>
    <w:rsid w:val="001C6062"/>
    <w:rsid w:val="001D0AC2"/>
    <w:rsid w:val="001E6335"/>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35EC"/>
    <w:rsid w:val="00246212"/>
    <w:rsid w:val="00246481"/>
    <w:rsid w:val="0024707B"/>
    <w:rsid w:val="002476B8"/>
    <w:rsid w:val="00255A9F"/>
    <w:rsid w:val="002625A9"/>
    <w:rsid w:val="00265E20"/>
    <w:rsid w:val="00275D26"/>
    <w:rsid w:val="00286134"/>
    <w:rsid w:val="002960E6"/>
    <w:rsid w:val="0029709E"/>
    <w:rsid w:val="002A088C"/>
    <w:rsid w:val="002A3591"/>
    <w:rsid w:val="002B3EF8"/>
    <w:rsid w:val="002B40EF"/>
    <w:rsid w:val="002B4AE5"/>
    <w:rsid w:val="002C027E"/>
    <w:rsid w:val="002C59B1"/>
    <w:rsid w:val="002D0773"/>
    <w:rsid w:val="002D2B57"/>
    <w:rsid w:val="002D47DE"/>
    <w:rsid w:val="002D4979"/>
    <w:rsid w:val="002D683B"/>
    <w:rsid w:val="002F14C5"/>
    <w:rsid w:val="002F7D82"/>
    <w:rsid w:val="00301743"/>
    <w:rsid w:val="003057BF"/>
    <w:rsid w:val="003067D9"/>
    <w:rsid w:val="003203AB"/>
    <w:rsid w:val="00324CD6"/>
    <w:rsid w:val="00334E79"/>
    <w:rsid w:val="00340E2A"/>
    <w:rsid w:val="0034462E"/>
    <w:rsid w:val="00352066"/>
    <w:rsid w:val="003528B3"/>
    <w:rsid w:val="00352C5F"/>
    <w:rsid w:val="00356ADE"/>
    <w:rsid w:val="00362CE3"/>
    <w:rsid w:val="0036373E"/>
    <w:rsid w:val="003637AE"/>
    <w:rsid w:val="003656BE"/>
    <w:rsid w:val="00371AB7"/>
    <w:rsid w:val="0037574B"/>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E57"/>
    <w:rsid w:val="003C40F4"/>
    <w:rsid w:val="003C4851"/>
    <w:rsid w:val="003C4B8E"/>
    <w:rsid w:val="003C5DC7"/>
    <w:rsid w:val="003C64E2"/>
    <w:rsid w:val="003D10AD"/>
    <w:rsid w:val="003D3760"/>
    <w:rsid w:val="003E10A9"/>
    <w:rsid w:val="003E3780"/>
    <w:rsid w:val="003E7B8C"/>
    <w:rsid w:val="003F0586"/>
    <w:rsid w:val="003F26E0"/>
    <w:rsid w:val="003F39AC"/>
    <w:rsid w:val="003F5EFF"/>
    <w:rsid w:val="00400FDF"/>
    <w:rsid w:val="0041337F"/>
    <w:rsid w:val="00413B54"/>
    <w:rsid w:val="00426428"/>
    <w:rsid w:val="00431785"/>
    <w:rsid w:val="00437D4E"/>
    <w:rsid w:val="00442911"/>
    <w:rsid w:val="00442E8F"/>
    <w:rsid w:val="00450AF5"/>
    <w:rsid w:val="00452659"/>
    <w:rsid w:val="00461811"/>
    <w:rsid w:val="004623D4"/>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D3365"/>
    <w:rsid w:val="004E1EA0"/>
    <w:rsid w:val="004E6A46"/>
    <w:rsid w:val="004F0A38"/>
    <w:rsid w:val="00502780"/>
    <w:rsid w:val="00503A21"/>
    <w:rsid w:val="00505AEB"/>
    <w:rsid w:val="00506389"/>
    <w:rsid w:val="0051087C"/>
    <w:rsid w:val="00511DDD"/>
    <w:rsid w:val="005124FA"/>
    <w:rsid w:val="005141F9"/>
    <w:rsid w:val="00515A94"/>
    <w:rsid w:val="00526CF3"/>
    <w:rsid w:val="00526F13"/>
    <w:rsid w:val="0053277B"/>
    <w:rsid w:val="00535D5C"/>
    <w:rsid w:val="00541324"/>
    <w:rsid w:val="00544280"/>
    <w:rsid w:val="005442EC"/>
    <w:rsid w:val="00545D8F"/>
    <w:rsid w:val="0054636A"/>
    <w:rsid w:val="00552374"/>
    <w:rsid w:val="00553CA2"/>
    <w:rsid w:val="00554212"/>
    <w:rsid w:val="00557437"/>
    <w:rsid w:val="00562B4E"/>
    <w:rsid w:val="005719ED"/>
    <w:rsid w:val="00576C91"/>
    <w:rsid w:val="0057719F"/>
    <w:rsid w:val="00585860"/>
    <w:rsid w:val="00587807"/>
    <w:rsid w:val="005910E9"/>
    <w:rsid w:val="005918BE"/>
    <w:rsid w:val="005920CA"/>
    <w:rsid w:val="00595EC4"/>
    <w:rsid w:val="00596AFF"/>
    <w:rsid w:val="005A0D75"/>
    <w:rsid w:val="005A4D15"/>
    <w:rsid w:val="005A757F"/>
    <w:rsid w:val="005B0059"/>
    <w:rsid w:val="005B0634"/>
    <w:rsid w:val="005B0A6C"/>
    <w:rsid w:val="005C4592"/>
    <w:rsid w:val="005C561D"/>
    <w:rsid w:val="005C6663"/>
    <w:rsid w:val="005D0E8C"/>
    <w:rsid w:val="005D13AE"/>
    <w:rsid w:val="005E33B9"/>
    <w:rsid w:val="005E6A1D"/>
    <w:rsid w:val="005E6D6D"/>
    <w:rsid w:val="005F224C"/>
    <w:rsid w:val="006033FF"/>
    <w:rsid w:val="00606A82"/>
    <w:rsid w:val="00613410"/>
    <w:rsid w:val="006176B5"/>
    <w:rsid w:val="0063515C"/>
    <w:rsid w:val="00644C6E"/>
    <w:rsid w:val="006477E6"/>
    <w:rsid w:val="00651B1B"/>
    <w:rsid w:val="00656B6B"/>
    <w:rsid w:val="006639E9"/>
    <w:rsid w:val="00670AD5"/>
    <w:rsid w:val="00672B7C"/>
    <w:rsid w:val="00676B2E"/>
    <w:rsid w:val="00683022"/>
    <w:rsid w:val="00687D1C"/>
    <w:rsid w:val="00690B38"/>
    <w:rsid w:val="00694559"/>
    <w:rsid w:val="006A00B3"/>
    <w:rsid w:val="006A22CB"/>
    <w:rsid w:val="006B256E"/>
    <w:rsid w:val="006B60F0"/>
    <w:rsid w:val="006C05E7"/>
    <w:rsid w:val="006C186C"/>
    <w:rsid w:val="006C5409"/>
    <w:rsid w:val="006D6943"/>
    <w:rsid w:val="006E03F5"/>
    <w:rsid w:val="006E1700"/>
    <w:rsid w:val="006E28C8"/>
    <w:rsid w:val="006E6387"/>
    <w:rsid w:val="006F0FC4"/>
    <w:rsid w:val="006F608B"/>
    <w:rsid w:val="006F6ECC"/>
    <w:rsid w:val="006F6FD4"/>
    <w:rsid w:val="007049CF"/>
    <w:rsid w:val="00704E0E"/>
    <w:rsid w:val="00720093"/>
    <w:rsid w:val="0072125D"/>
    <w:rsid w:val="00721395"/>
    <w:rsid w:val="00722369"/>
    <w:rsid w:val="00724CDD"/>
    <w:rsid w:val="00725535"/>
    <w:rsid w:val="007336EF"/>
    <w:rsid w:val="00733C58"/>
    <w:rsid w:val="00740085"/>
    <w:rsid w:val="007401AA"/>
    <w:rsid w:val="007406D0"/>
    <w:rsid w:val="0074403E"/>
    <w:rsid w:val="00745FF7"/>
    <w:rsid w:val="0075095F"/>
    <w:rsid w:val="00752B3E"/>
    <w:rsid w:val="0076119A"/>
    <w:rsid w:val="007634FD"/>
    <w:rsid w:val="007636CE"/>
    <w:rsid w:val="00763DE6"/>
    <w:rsid w:val="00765009"/>
    <w:rsid w:val="0076515C"/>
    <w:rsid w:val="00766522"/>
    <w:rsid w:val="00767990"/>
    <w:rsid w:val="00770B67"/>
    <w:rsid w:val="00773795"/>
    <w:rsid w:val="00775DAB"/>
    <w:rsid w:val="00784FA9"/>
    <w:rsid w:val="00790484"/>
    <w:rsid w:val="00796290"/>
    <w:rsid w:val="00796994"/>
    <w:rsid w:val="007975A6"/>
    <w:rsid w:val="007A251C"/>
    <w:rsid w:val="007B06A1"/>
    <w:rsid w:val="007B202F"/>
    <w:rsid w:val="007B4219"/>
    <w:rsid w:val="007B6004"/>
    <w:rsid w:val="007C0ACA"/>
    <w:rsid w:val="007C4AE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80D"/>
    <w:rsid w:val="0084690A"/>
    <w:rsid w:val="008469F6"/>
    <w:rsid w:val="00847CC8"/>
    <w:rsid w:val="00855E7B"/>
    <w:rsid w:val="008611D4"/>
    <w:rsid w:val="00873B97"/>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930"/>
    <w:rsid w:val="008C61A3"/>
    <w:rsid w:val="008D2D06"/>
    <w:rsid w:val="008D383E"/>
    <w:rsid w:val="008D40D9"/>
    <w:rsid w:val="008E09A4"/>
    <w:rsid w:val="008E4AF5"/>
    <w:rsid w:val="008E552C"/>
    <w:rsid w:val="008E565D"/>
    <w:rsid w:val="008E7D23"/>
    <w:rsid w:val="008F5159"/>
    <w:rsid w:val="009014A8"/>
    <w:rsid w:val="00903EF0"/>
    <w:rsid w:val="009040B7"/>
    <w:rsid w:val="0090676F"/>
    <w:rsid w:val="0090748A"/>
    <w:rsid w:val="00915DA9"/>
    <w:rsid w:val="009177F6"/>
    <w:rsid w:val="0091791A"/>
    <w:rsid w:val="00917AAD"/>
    <w:rsid w:val="00920BC9"/>
    <w:rsid w:val="0092194E"/>
    <w:rsid w:val="00926B8E"/>
    <w:rsid w:val="00933692"/>
    <w:rsid w:val="00933E47"/>
    <w:rsid w:val="009343CC"/>
    <w:rsid w:val="0093563F"/>
    <w:rsid w:val="009430BB"/>
    <w:rsid w:val="009520D5"/>
    <w:rsid w:val="00952C25"/>
    <w:rsid w:val="009561F2"/>
    <w:rsid w:val="00957C62"/>
    <w:rsid w:val="0096112A"/>
    <w:rsid w:val="0096283C"/>
    <w:rsid w:val="00963873"/>
    <w:rsid w:val="00965284"/>
    <w:rsid w:val="009661B9"/>
    <w:rsid w:val="00973257"/>
    <w:rsid w:val="009732BA"/>
    <w:rsid w:val="0097514E"/>
    <w:rsid w:val="00976740"/>
    <w:rsid w:val="0097776B"/>
    <w:rsid w:val="00981954"/>
    <w:rsid w:val="00984639"/>
    <w:rsid w:val="00990285"/>
    <w:rsid w:val="0099350E"/>
    <w:rsid w:val="00994087"/>
    <w:rsid w:val="00995B31"/>
    <w:rsid w:val="00995F0D"/>
    <w:rsid w:val="009B062F"/>
    <w:rsid w:val="009B5F5A"/>
    <w:rsid w:val="009C09CD"/>
    <w:rsid w:val="009C6E41"/>
    <w:rsid w:val="009D34D0"/>
    <w:rsid w:val="009E19FA"/>
    <w:rsid w:val="009E2B02"/>
    <w:rsid w:val="009E3F7F"/>
    <w:rsid w:val="009F7261"/>
    <w:rsid w:val="00A002B0"/>
    <w:rsid w:val="00A00543"/>
    <w:rsid w:val="00A02CB8"/>
    <w:rsid w:val="00A06591"/>
    <w:rsid w:val="00A0659E"/>
    <w:rsid w:val="00A15D1A"/>
    <w:rsid w:val="00A24C04"/>
    <w:rsid w:val="00A265E7"/>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23BA5"/>
    <w:rsid w:val="00B23C28"/>
    <w:rsid w:val="00B30A16"/>
    <w:rsid w:val="00B35150"/>
    <w:rsid w:val="00B410CB"/>
    <w:rsid w:val="00B505FE"/>
    <w:rsid w:val="00B656FC"/>
    <w:rsid w:val="00B7165B"/>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7D2"/>
    <w:rsid w:val="00C12E9B"/>
    <w:rsid w:val="00C1749F"/>
    <w:rsid w:val="00C2318A"/>
    <w:rsid w:val="00C2381C"/>
    <w:rsid w:val="00C2419F"/>
    <w:rsid w:val="00C246E0"/>
    <w:rsid w:val="00C30C55"/>
    <w:rsid w:val="00C332F6"/>
    <w:rsid w:val="00C40E4E"/>
    <w:rsid w:val="00C43D4C"/>
    <w:rsid w:val="00C50C31"/>
    <w:rsid w:val="00C52E7D"/>
    <w:rsid w:val="00C5665B"/>
    <w:rsid w:val="00C67EC8"/>
    <w:rsid w:val="00C71A35"/>
    <w:rsid w:val="00C72F75"/>
    <w:rsid w:val="00C75B5A"/>
    <w:rsid w:val="00C75E32"/>
    <w:rsid w:val="00C765DB"/>
    <w:rsid w:val="00C76922"/>
    <w:rsid w:val="00C829B7"/>
    <w:rsid w:val="00C87584"/>
    <w:rsid w:val="00C90073"/>
    <w:rsid w:val="00CB26E2"/>
    <w:rsid w:val="00CB417D"/>
    <w:rsid w:val="00CB55D9"/>
    <w:rsid w:val="00CD20E3"/>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42FA5"/>
    <w:rsid w:val="00D541C1"/>
    <w:rsid w:val="00D559EF"/>
    <w:rsid w:val="00D55E45"/>
    <w:rsid w:val="00D63DBF"/>
    <w:rsid w:val="00D64E52"/>
    <w:rsid w:val="00D65281"/>
    <w:rsid w:val="00D65F3B"/>
    <w:rsid w:val="00D72A1C"/>
    <w:rsid w:val="00D731F1"/>
    <w:rsid w:val="00D74BC0"/>
    <w:rsid w:val="00D85D44"/>
    <w:rsid w:val="00D86490"/>
    <w:rsid w:val="00D92069"/>
    <w:rsid w:val="00D92EB9"/>
    <w:rsid w:val="00D94971"/>
    <w:rsid w:val="00DA1154"/>
    <w:rsid w:val="00DA5A29"/>
    <w:rsid w:val="00DB2AF6"/>
    <w:rsid w:val="00DD4D34"/>
    <w:rsid w:val="00DD4ECB"/>
    <w:rsid w:val="00DD5E10"/>
    <w:rsid w:val="00DE4BF5"/>
    <w:rsid w:val="00DE5110"/>
    <w:rsid w:val="00DE53A7"/>
    <w:rsid w:val="00DE63BD"/>
    <w:rsid w:val="00DF4466"/>
    <w:rsid w:val="00DF53B8"/>
    <w:rsid w:val="00DF76AF"/>
    <w:rsid w:val="00E015CF"/>
    <w:rsid w:val="00E01766"/>
    <w:rsid w:val="00E07C9D"/>
    <w:rsid w:val="00E12284"/>
    <w:rsid w:val="00E13E63"/>
    <w:rsid w:val="00E159DF"/>
    <w:rsid w:val="00E211EC"/>
    <w:rsid w:val="00E27D79"/>
    <w:rsid w:val="00E3743B"/>
    <w:rsid w:val="00E525C7"/>
    <w:rsid w:val="00E54BA0"/>
    <w:rsid w:val="00E56F9F"/>
    <w:rsid w:val="00E653AC"/>
    <w:rsid w:val="00E71453"/>
    <w:rsid w:val="00E7324D"/>
    <w:rsid w:val="00E73AE7"/>
    <w:rsid w:val="00E81AF8"/>
    <w:rsid w:val="00E81E24"/>
    <w:rsid w:val="00E84C47"/>
    <w:rsid w:val="00E84FD9"/>
    <w:rsid w:val="00E854DC"/>
    <w:rsid w:val="00E90122"/>
    <w:rsid w:val="00E96AB8"/>
    <w:rsid w:val="00EA29CB"/>
    <w:rsid w:val="00EA6E7A"/>
    <w:rsid w:val="00EB11D4"/>
    <w:rsid w:val="00EB244A"/>
    <w:rsid w:val="00EB45E7"/>
    <w:rsid w:val="00EB6A68"/>
    <w:rsid w:val="00EC264E"/>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4402"/>
    <w:rsid w:val="00F35556"/>
    <w:rsid w:val="00F356FD"/>
    <w:rsid w:val="00F44CCC"/>
    <w:rsid w:val="00F47CD0"/>
    <w:rsid w:val="00F5095B"/>
    <w:rsid w:val="00F50F4C"/>
    <w:rsid w:val="00F51057"/>
    <w:rsid w:val="00F5144B"/>
    <w:rsid w:val="00F52392"/>
    <w:rsid w:val="00F556EB"/>
    <w:rsid w:val="00F773E3"/>
    <w:rsid w:val="00F80D56"/>
    <w:rsid w:val="00F822D2"/>
    <w:rsid w:val="00FA27D2"/>
    <w:rsid w:val="00FA664A"/>
    <w:rsid w:val="00FC5996"/>
    <w:rsid w:val="00FD05AF"/>
    <w:rsid w:val="00FE1F2E"/>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FDD034-C1A3-47E2-99D0-FD46816CA2C0}"/>
</file>

<file path=customXml/itemProps2.xml><?xml version="1.0" encoding="utf-8"?>
<ds:datastoreItem xmlns:ds="http://schemas.openxmlformats.org/officeDocument/2006/customXml" ds:itemID="{156E82EE-B346-4F9A-A6BD-F32A436A19BB}"/>
</file>

<file path=customXml/itemProps3.xml><?xml version="1.0" encoding="utf-8"?>
<ds:datastoreItem xmlns:ds="http://schemas.openxmlformats.org/officeDocument/2006/customXml" ds:itemID="{57FE0600-A28C-411B-8661-6E3D62E97B23}"/>
</file>

<file path=customXml/itemProps4.xml><?xml version="1.0" encoding="utf-8"?>
<ds:datastoreItem xmlns:ds="http://schemas.openxmlformats.org/officeDocument/2006/customXml" ds:itemID="{9E88F823-186C-408C-9C1F-3EC5B74A84BA}"/>
</file>

<file path=customXml/itemProps5.xml><?xml version="1.0" encoding="utf-8"?>
<ds:datastoreItem xmlns:ds="http://schemas.openxmlformats.org/officeDocument/2006/customXml" ds:itemID="{AA112B67-2C7A-4673-85E1-272DD5168B58}"/>
</file>

<file path=docProps/app.xml><?xml version="1.0" encoding="utf-8"?>
<Properties xmlns="http://schemas.openxmlformats.org/officeDocument/2006/extended-properties" xmlns:vt="http://schemas.openxmlformats.org/officeDocument/2006/docPropsVTypes">
  <Template>Letter.dotx</Template>
  <TotalTime>12</TotalTime>
  <Pages>8</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4</cp:revision>
  <cp:lastPrinted>2016-08-16T23:13:00Z</cp:lastPrinted>
  <dcterms:created xsi:type="dcterms:W3CDTF">2016-08-16T22:58:00Z</dcterms:created>
  <dcterms:modified xsi:type="dcterms:W3CDTF">2016-08-16T23:16:00Z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0x0101006E56B4D1795A2E4DB2F0B01679ED314A00D9EEA3871B2F2249BFED1F3C498698D3</vt:lpwstr>
  </property>
  <property fmtid="{D5CDD505-2E9C-101B-9397-08002B2CF9AE}" pid="7" name="_docset_NoMedatataSyncRequired">
    <vt:lpwstr>False</vt:lpwstr>
  </property>
</Properties>
</file>