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19" w:rsidRDefault="00554819">
      <w:pPr>
        <w:ind w:left="3600" w:firstLine="720"/>
        <w:rPr>
          <w:rFonts w:ascii="Arial" w:hAnsi="Arial"/>
          <w:i/>
          <w:sz w:val="18"/>
        </w:rPr>
      </w:pPr>
    </w:p>
    <w:p w:rsidR="00AA0C91" w:rsidRDefault="00AA0C91">
      <w:pPr>
        <w:ind w:left="3600" w:firstLine="720"/>
        <w:rPr>
          <w:rFonts w:ascii="Arial" w:hAnsi="Arial"/>
          <w:i/>
          <w:sz w:val="18"/>
        </w:rPr>
      </w:pPr>
    </w:p>
    <w:p w:rsidR="00AA0C91" w:rsidRDefault="00AA0C91">
      <w:pPr>
        <w:ind w:left="3600" w:firstLine="720"/>
        <w:rPr>
          <w:rFonts w:ascii="Arial" w:hAnsi="Arial"/>
          <w:i/>
          <w:sz w:val="18"/>
        </w:rPr>
      </w:pPr>
    </w:p>
    <w:p w:rsidR="00AA0C91" w:rsidRDefault="00AA0C91">
      <w:pPr>
        <w:ind w:left="3600" w:firstLine="720"/>
        <w:rPr>
          <w:rFonts w:ascii="Arial" w:hAnsi="Arial"/>
          <w:i/>
          <w:sz w:val="18"/>
        </w:rPr>
      </w:pPr>
    </w:p>
    <w:p w:rsidR="00AA0C91" w:rsidRDefault="00AA0C91">
      <w:pPr>
        <w:ind w:left="3600" w:firstLine="720"/>
        <w:rPr>
          <w:rFonts w:ascii="Arial" w:hAnsi="Arial"/>
          <w:i/>
          <w:sz w:val="18"/>
        </w:rPr>
      </w:pPr>
    </w:p>
    <w:p w:rsidR="00AA0C91" w:rsidRDefault="00AA0C91">
      <w:pPr>
        <w:ind w:left="3600" w:firstLine="720"/>
        <w:rPr>
          <w:sz w:val="24"/>
        </w:rPr>
      </w:pPr>
    </w:p>
    <w:p w:rsidR="002D37B5" w:rsidRDefault="002D37B5" w:rsidP="008B79C1">
      <w:pPr>
        <w:rPr>
          <w:sz w:val="24"/>
        </w:rPr>
      </w:pPr>
    </w:p>
    <w:p w:rsidR="00554819" w:rsidRDefault="00554819">
      <w:pPr>
        <w:ind w:left="3600" w:firstLine="720"/>
        <w:rPr>
          <w:sz w:val="24"/>
        </w:rPr>
      </w:pPr>
    </w:p>
    <w:p w:rsidR="00554819" w:rsidRDefault="007A1CA7">
      <w:pPr>
        <w:ind w:left="3600" w:firstLine="720"/>
        <w:rPr>
          <w:sz w:val="24"/>
        </w:rPr>
      </w:pPr>
      <w:bookmarkStart w:id="0" w:name="_GoBack"/>
      <w:r>
        <w:rPr>
          <w:sz w:val="24"/>
        </w:rPr>
        <w:t>October</w:t>
      </w:r>
      <w:bookmarkEnd w:id="0"/>
      <w:r>
        <w:rPr>
          <w:sz w:val="24"/>
        </w:rPr>
        <w:t xml:space="preserve"> 29</w:t>
      </w:r>
      <w:r w:rsidR="00554819">
        <w:rPr>
          <w:sz w:val="24"/>
        </w:rPr>
        <w:t xml:space="preserve">, </w:t>
      </w:r>
      <w:r w:rsidR="00464922">
        <w:rPr>
          <w:sz w:val="24"/>
        </w:rPr>
        <w:t>20</w:t>
      </w:r>
      <w:r w:rsidR="00CA2DF0">
        <w:rPr>
          <w:sz w:val="24"/>
        </w:rPr>
        <w:t>1</w:t>
      </w:r>
      <w:r w:rsidR="00F166DD">
        <w:rPr>
          <w:sz w:val="24"/>
        </w:rPr>
        <w:t>5</w:t>
      </w:r>
    </w:p>
    <w:p w:rsidR="00554819" w:rsidRDefault="00554819">
      <w:pPr>
        <w:rPr>
          <w:sz w:val="24"/>
        </w:rPr>
      </w:pPr>
    </w:p>
    <w:p w:rsidR="00AE6692" w:rsidRDefault="00AE6692">
      <w:pPr>
        <w:rPr>
          <w:sz w:val="24"/>
        </w:rPr>
      </w:pPr>
    </w:p>
    <w:p w:rsidR="00E330BA" w:rsidRDefault="00E330BA">
      <w:pPr>
        <w:rPr>
          <w:sz w:val="24"/>
        </w:rPr>
      </w:pPr>
      <w:r>
        <w:rPr>
          <w:sz w:val="24"/>
        </w:rPr>
        <w:t>Filed via Web Portal and Overnight Courier</w:t>
      </w:r>
    </w:p>
    <w:p w:rsidR="004C53F5" w:rsidRDefault="004C53F5">
      <w:pPr>
        <w:rPr>
          <w:sz w:val="24"/>
        </w:rPr>
      </w:pPr>
    </w:p>
    <w:p w:rsidR="00AE6692" w:rsidRDefault="00AE6692">
      <w:pPr>
        <w:rPr>
          <w:sz w:val="24"/>
        </w:rPr>
      </w:pPr>
    </w:p>
    <w:p w:rsidR="004C53F5" w:rsidRPr="004B2C59" w:rsidRDefault="004C53F5" w:rsidP="004C53F5">
      <w:pPr>
        <w:rPr>
          <w:sz w:val="24"/>
        </w:rPr>
      </w:pPr>
      <w:r w:rsidRPr="004B2C59">
        <w:rPr>
          <w:sz w:val="24"/>
        </w:rPr>
        <w:t xml:space="preserve">Mr. </w:t>
      </w:r>
      <w:r w:rsidR="0026322F">
        <w:rPr>
          <w:sz w:val="24"/>
        </w:rPr>
        <w:t>Steven V. King</w:t>
      </w:r>
      <w:r>
        <w:rPr>
          <w:sz w:val="24"/>
        </w:rPr>
        <w:t xml:space="preserve">, </w:t>
      </w: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:rsidR="004C53F5" w:rsidRPr="00C022E2" w:rsidRDefault="004C53F5" w:rsidP="004C53F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C022E2">
            <w:rPr>
              <w:sz w:val="24"/>
              <w:szCs w:val="24"/>
            </w:rPr>
            <w:t>Washington</w:t>
          </w:r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:rsidR="004C53F5" w:rsidRPr="00C022E2" w:rsidRDefault="004C53F5" w:rsidP="004C53F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C022E2">
            <w:rPr>
              <w:sz w:val="24"/>
              <w:szCs w:val="24"/>
            </w:rPr>
            <w:t>P.O. Box</w:t>
          </w:r>
        </w:smartTag>
        <w:r w:rsidRPr="00C022E2">
          <w:rPr>
            <w:sz w:val="24"/>
            <w:szCs w:val="24"/>
          </w:rPr>
          <w:t xml:space="preserve"> 47250</w:t>
        </w:r>
      </w:smartTag>
    </w:p>
    <w:p w:rsidR="004C53F5" w:rsidRPr="00C022E2" w:rsidRDefault="004C53F5" w:rsidP="004C53F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C022E2">
            <w:rPr>
              <w:sz w:val="24"/>
              <w:szCs w:val="24"/>
            </w:rPr>
            <w:t>Olympia</w:t>
          </w:r>
        </w:smartTag>
        <w:r w:rsidRPr="00C022E2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022E2">
            <w:rPr>
              <w:sz w:val="24"/>
              <w:szCs w:val="24"/>
            </w:rPr>
            <w:t>Washington</w:t>
          </w:r>
        </w:smartTag>
        <w:r w:rsidRPr="00C022E2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C022E2">
            <w:rPr>
              <w:sz w:val="24"/>
              <w:szCs w:val="24"/>
            </w:rPr>
            <w:t>98504-7250</w:t>
          </w:r>
        </w:smartTag>
      </w:smartTag>
    </w:p>
    <w:p w:rsidR="004C53F5" w:rsidRPr="00C022E2" w:rsidRDefault="004C53F5" w:rsidP="004C53F5">
      <w:pPr>
        <w:rPr>
          <w:sz w:val="24"/>
          <w:szCs w:val="24"/>
        </w:rPr>
      </w:pPr>
    </w:p>
    <w:p w:rsidR="00CE4797" w:rsidRDefault="004C53F5" w:rsidP="004C53F5">
      <w:pPr>
        <w:rPr>
          <w:b/>
          <w:sz w:val="24"/>
          <w:szCs w:val="24"/>
        </w:rPr>
      </w:pPr>
      <w:r w:rsidRPr="00C022E2">
        <w:rPr>
          <w:b/>
          <w:sz w:val="24"/>
          <w:szCs w:val="24"/>
        </w:rPr>
        <w:t xml:space="preserve">RE: </w:t>
      </w:r>
      <w:r w:rsidRPr="00C022E2">
        <w:rPr>
          <w:b/>
          <w:sz w:val="24"/>
          <w:szCs w:val="24"/>
        </w:rPr>
        <w:tab/>
      </w:r>
      <w:r w:rsidR="00F166DD">
        <w:rPr>
          <w:b/>
          <w:sz w:val="24"/>
          <w:szCs w:val="24"/>
        </w:rPr>
        <w:t xml:space="preserve">PSE’s </w:t>
      </w:r>
      <w:r w:rsidR="00D55FDC">
        <w:rPr>
          <w:b/>
          <w:sz w:val="24"/>
          <w:szCs w:val="24"/>
        </w:rPr>
        <w:t xml:space="preserve">Biennial </w:t>
      </w:r>
      <w:r w:rsidR="00CE4797">
        <w:rPr>
          <w:b/>
          <w:sz w:val="24"/>
          <w:szCs w:val="24"/>
        </w:rPr>
        <w:t>Conservation Plan for 201</w:t>
      </w:r>
      <w:r w:rsidR="00F166DD">
        <w:rPr>
          <w:b/>
          <w:sz w:val="24"/>
          <w:szCs w:val="24"/>
        </w:rPr>
        <w:t>6-2017</w:t>
      </w:r>
    </w:p>
    <w:p w:rsidR="00CE4797" w:rsidRPr="00C022E2" w:rsidRDefault="00CE4797" w:rsidP="004C53F5">
      <w:pPr>
        <w:ind w:firstLine="720"/>
        <w:rPr>
          <w:b/>
          <w:sz w:val="24"/>
          <w:szCs w:val="24"/>
        </w:rPr>
      </w:pPr>
    </w:p>
    <w:p w:rsidR="00554819" w:rsidRDefault="00554819">
      <w:pPr>
        <w:rPr>
          <w:sz w:val="24"/>
        </w:rPr>
      </w:pPr>
      <w:r>
        <w:rPr>
          <w:sz w:val="24"/>
        </w:rPr>
        <w:tab/>
      </w:r>
    </w:p>
    <w:p w:rsidR="00554819" w:rsidRDefault="00554819">
      <w:pPr>
        <w:pStyle w:val="BodyText"/>
        <w:rPr>
          <w:sz w:val="24"/>
        </w:rPr>
      </w:pPr>
      <w:r>
        <w:rPr>
          <w:sz w:val="24"/>
        </w:rPr>
        <w:t>Dear M</w:t>
      </w:r>
      <w:r w:rsidR="00D41544">
        <w:rPr>
          <w:sz w:val="24"/>
        </w:rPr>
        <w:t>r</w:t>
      </w:r>
      <w:r>
        <w:rPr>
          <w:sz w:val="24"/>
        </w:rPr>
        <w:t xml:space="preserve">. </w:t>
      </w:r>
      <w:r w:rsidR="0026322F">
        <w:rPr>
          <w:sz w:val="24"/>
        </w:rPr>
        <w:t>King</w:t>
      </w:r>
      <w:r>
        <w:rPr>
          <w:sz w:val="24"/>
        </w:rPr>
        <w:t>:</w:t>
      </w:r>
    </w:p>
    <w:p w:rsidR="00554819" w:rsidRDefault="00554819">
      <w:pPr>
        <w:rPr>
          <w:sz w:val="24"/>
        </w:rPr>
      </w:pPr>
    </w:p>
    <w:p w:rsidR="0026322F" w:rsidRDefault="00554819">
      <w:pPr>
        <w:pStyle w:val="BodyText2"/>
        <w:rPr>
          <w:snapToGrid w:val="0"/>
        </w:rPr>
      </w:pPr>
      <w:r>
        <w:rPr>
          <w:snapToGrid w:val="0"/>
        </w:rPr>
        <w:t xml:space="preserve">Pursuant to </w:t>
      </w:r>
      <w:r w:rsidR="00F166DD">
        <w:rPr>
          <w:snapToGrid w:val="0"/>
        </w:rPr>
        <w:t xml:space="preserve">WAC 480-109-120(1) and </w:t>
      </w:r>
      <w:r w:rsidR="00DD0912">
        <w:rPr>
          <w:snapToGrid w:val="0"/>
        </w:rPr>
        <w:t>c</w:t>
      </w:r>
      <w:r w:rsidR="00CA2DF0">
        <w:rPr>
          <w:snapToGrid w:val="0"/>
        </w:rPr>
        <w:t>ondition (8)(</w:t>
      </w:r>
      <w:r w:rsidR="00F166DD">
        <w:rPr>
          <w:snapToGrid w:val="0"/>
        </w:rPr>
        <w:t>d</w:t>
      </w:r>
      <w:r w:rsidR="00653A00">
        <w:rPr>
          <w:snapToGrid w:val="0"/>
        </w:rPr>
        <w:t xml:space="preserve">) </w:t>
      </w:r>
      <w:r w:rsidR="00680E9F">
        <w:rPr>
          <w:snapToGrid w:val="0"/>
        </w:rPr>
        <w:t>in</w:t>
      </w:r>
      <w:r w:rsidR="00653A00">
        <w:rPr>
          <w:snapToGrid w:val="0"/>
        </w:rPr>
        <w:t xml:space="preserve"> </w:t>
      </w:r>
      <w:r w:rsidR="00F166DD">
        <w:rPr>
          <w:snapToGrid w:val="0"/>
        </w:rPr>
        <w:t xml:space="preserve">Appendix A of </w:t>
      </w:r>
      <w:r w:rsidR="0026322F">
        <w:rPr>
          <w:snapToGrid w:val="0"/>
        </w:rPr>
        <w:t>Order 01</w:t>
      </w:r>
      <w:r w:rsidR="00653A00">
        <w:rPr>
          <w:snapToGrid w:val="0"/>
        </w:rPr>
        <w:t xml:space="preserve"> in Docket No. UE-1</w:t>
      </w:r>
      <w:r w:rsidR="00F166DD">
        <w:rPr>
          <w:snapToGrid w:val="0"/>
        </w:rPr>
        <w:t>32043</w:t>
      </w:r>
      <w:r w:rsidR="00653A00">
        <w:rPr>
          <w:snapToGrid w:val="0"/>
        </w:rPr>
        <w:t xml:space="preserve">, </w:t>
      </w:r>
      <w:r w:rsidR="00CE4797">
        <w:rPr>
          <w:snapToGrid w:val="0"/>
        </w:rPr>
        <w:t>(here</w:t>
      </w:r>
      <w:r w:rsidR="00680E9F">
        <w:rPr>
          <w:snapToGrid w:val="0"/>
        </w:rPr>
        <w:t>in</w:t>
      </w:r>
      <w:r w:rsidR="00CE4797">
        <w:rPr>
          <w:snapToGrid w:val="0"/>
        </w:rPr>
        <w:t>after referred to as “</w:t>
      </w:r>
      <w:r w:rsidR="003E7D25">
        <w:rPr>
          <w:snapToGrid w:val="0"/>
        </w:rPr>
        <w:t>C</w:t>
      </w:r>
      <w:r w:rsidR="00DD0912">
        <w:rPr>
          <w:snapToGrid w:val="0"/>
        </w:rPr>
        <w:t>ondition”</w:t>
      </w:r>
      <w:r w:rsidR="00104A1B">
        <w:rPr>
          <w:snapToGrid w:val="0"/>
        </w:rPr>
        <w:t>,</w:t>
      </w:r>
      <w:r w:rsidR="00DD0912">
        <w:rPr>
          <w:snapToGrid w:val="0"/>
        </w:rPr>
        <w:t xml:space="preserve"> or</w:t>
      </w:r>
      <w:r w:rsidR="00CE4797">
        <w:rPr>
          <w:snapToGrid w:val="0"/>
        </w:rPr>
        <w:t xml:space="preserve"> “</w:t>
      </w:r>
      <w:r w:rsidR="003E7D25">
        <w:rPr>
          <w:snapToGrid w:val="0"/>
        </w:rPr>
        <w:t>R</w:t>
      </w:r>
      <w:r w:rsidR="00A571E9">
        <w:rPr>
          <w:snapToGrid w:val="0"/>
        </w:rPr>
        <w:t>equirements</w:t>
      </w:r>
      <w:r w:rsidR="00720595">
        <w:rPr>
          <w:snapToGrid w:val="0"/>
        </w:rPr>
        <w:t>”)</w:t>
      </w:r>
      <w:r w:rsidR="00573533">
        <w:rPr>
          <w:snapToGrid w:val="0"/>
        </w:rPr>
        <w:t xml:space="preserve"> </w:t>
      </w:r>
      <w:r w:rsidR="00BD7C9A">
        <w:rPr>
          <w:snapToGrid w:val="0"/>
        </w:rPr>
        <w:t>Puget Sound Energy</w:t>
      </w:r>
      <w:r w:rsidR="00060A32">
        <w:rPr>
          <w:snapToGrid w:val="0"/>
        </w:rPr>
        <w:t>, Inc.</w:t>
      </w:r>
      <w:r w:rsidR="00BD7C9A">
        <w:rPr>
          <w:snapToGrid w:val="0"/>
        </w:rPr>
        <w:t xml:space="preserve"> (“</w:t>
      </w:r>
      <w:r w:rsidR="00CE4797">
        <w:rPr>
          <w:snapToGrid w:val="0"/>
        </w:rPr>
        <w:t>PSE</w:t>
      </w:r>
      <w:r w:rsidR="00BD7C9A">
        <w:rPr>
          <w:snapToGrid w:val="0"/>
        </w:rPr>
        <w:t xml:space="preserve">”) </w:t>
      </w:r>
      <w:r w:rsidR="00CE4797">
        <w:rPr>
          <w:snapToGrid w:val="0"/>
        </w:rPr>
        <w:t>submits</w:t>
      </w:r>
      <w:r w:rsidR="00653A00">
        <w:rPr>
          <w:snapToGrid w:val="0"/>
        </w:rPr>
        <w:t xml:space="preserve"> this </w:t>
      </w:r>
      <w:r w:rsidR="00CA2DF0">
        <w:rPr>
          <w:snapToGrid w:val="0"/>
        </w:rPr>
        <w:t>201</w:t>
      </w:r>
      <w:r w:rsidR="00F166DD">
        <w:rPr>
          <w:snapToGrid w:val="0"/>
        </w:rPr>
        <w:t>6</w:t>
      </w:r>
      <w:r w:rsidR="00CA2DF0">
        <w:rPr>
          <w:snapToGrid w:val="0"/>
        </w:rPr>
        <w:t>-201</w:t>
      </w:r>
      <w:r w:rsidR="00F166DD">
        <w:rPr>
          <w:snapToGrid w:val="0"/>
        </w:rPr>
        <w:t>7</w:t>
      </w:r>
      <w:r w:rsidR="00000224">
        <w:rPr>
          <w:snapToGrid w:val="0"/>
        </w:rPr>
        <w:t xml:space="preserve"> </w:t>
      </w:r>
      <w:r w:rsidR="00CA2DF0">
        <w:rPr>
          <w:snapToGrid w:val="0"/>
        </w:rPr>
        <w:t>Biennial</w:t>
      </w:r>
      <w:r w:rsidR="00000224">
        <w:rPr>
          <w:snapToGrid w:val="0"/>
        </w:rPr>
        <w:t xml:space="preserve"> Conservation Plan </w:t>
      </w:r>
      <w:r w:rsidR="00CE4797">
        <w:rPr>
          <w:snapToGrid w:val="0"/>
        </w:rPr>
        <w:t>(the “Plan”)</w:t>
      </w:r>
      <w:r w:rsidR="00653A00">
        <w:rPr>
          <w:snapToGrid w:val="0"/>
        </w:rPr>
        <w:t>.</w:t>
      </w:r>
      <w:r w:rsidR="00680E9F">
        <w:rPr>
          <w:snapToGrid w:val="0"/>
        </w:rPr>
        <w:t xml:space="preserve"> </w:t>
      </w:r>
      <w:r w:rsidR="00B60DBE">
        <w:rPr>
          <w:snapToGrid w:val="0"/>
        </w:rPr>
        <w:t xml:space="preserve"> </w:t>
      </w:r>
      <w:r w:rsidR="0026322F">
        <w:rPr>
          <w:snapToGrid w:val="0"/>
        </w:rPr>
        <w:t>The Plan is also consistent with RCW 19.285.040(1</w:t>
      </w:r>
      <w:proofErr w:type="gramStart"/>
      <w:r w:rsidR="0026322F">
        <w:rPr>
          <w:snapToGrid w:val="0"/>
        </w:rPr>
        <w:t>)(</w:t>
      </w:r>
      <w:proofErr w:type="gramEnd"/>
      <w:r w:rsidR="0026322F">
        <w:rPr>
          <w:snapToGrid w:val="0"/>
        </w:rPr>
        <w:t>b), which indicates that every two years, PSE must establish its biennial electric target.</w:t>
      </w:r>
      <w:r w:rsidR="00B60DBE">
        <w:rPr>
          <w:snapToGrid w:val="0"/>
        </w:rPr>
        <w:t xml:space="preserve"> </w:t>
      </w:r>
      <w:r w:rsidR="00680E9F">
        <w:rPr>
          <w:snapToGrid w:val="0"/>
        </w:rPr>
        <w:t xml:space="preserve"> </w:t>
      </w:r>
      <w:r w:rsidR="0026322F">
        <w:rPr>
          <w:snapToGrid w:val="0"/>
        </w:rPr>
        <w:t>In addition to identifying and presenting its biennial electric conservation target, PSE also included its two-year natural gas conservation goal</w:t>
      </w:r>
      <w:r w:rsidR="00F166DD">
        <w:rPr>
          <w:snapToGrid w:val="0"/>
        </w:rPr>
        <w:t xml:space="preserve">, consistent with various </w:t>
      </w:r>
      <w:r w:rsidR="003E7D25">
        <w:rPr>
          <w:snapToGrid w:val="0"/>
        </w:rPr>
        <w:t>R</w:t>
      </w:r>
      <w:r w:rsidR="00F166DD">
        <w:rPr>
          <w:snapToGrid w:val="0"/>
        </w:rPr>
        <w:t>equirements stated in Exhibit F of the Stipulation Agreement in Docket UG-011571</w:t>
      </w:r>
      <w:r w:rsidR="0026322F">
        <w:rPr>
          <w:snapToGrid w:val="0"/>
        </w:rPr>
        <w:t>.</w:t>
      </w:r>
    </w:p>
    <w:p w:rsidR="0026322F" w:rsidRDefault="0026322F">
      <w:pPr>
        <w:pStyle w:val="BodyText2"/>
        <w:rPr>
          <w:snapToGrid w:val="0"/>
        </w:rPr>
      </w:pPr>
    </w:p>
    <w:p w:rsidR="006B43F9" w:rsidRPr="006B43F9" w:rsidRDefault="006B43F9">
      <w:pPr>
        <w:pStyle w:val="BodyText2"/>
        <w:rPr>
          <w:b/>
          <w:snapToGrid w:val="0"/>
        </w:rPr>
      </w:pPr>
      <w:r w:rsidRPr="006B43F9">
        <w:rPr>
          <w:b/>
          <w:snapToGrid w:val="0"/>
        </w:rPr>
        <w:t>Savings Targets</w:t>
      </w:r>
    </w:p>
    <w:p w:rsidR="006B43F9" w:rsidRDefault="006B43F9">
      <w:pPr>
        <w:pStyle w:val="BodyText2"/>
        <w:rPr>
          <w:snapToGrid w:val="0"/>
        </w:rPr>
      </w:pPr>
    </w:p>
    <w:p w:rsidR="0026322F" w:rsidRDefault="0024352F">
      <w:pPr>
        <w:pStyle w:val="BodyText2"/>
        <w:rPr>
          <w:snapToGrid w:val="0"/>
        </w:rPr>
      </w:pPr>
      <w:r>
        <w:rPr>
          <w:snapToGrid w:val="0"/>
        </w:rPr>
        <w:t xml:space="preserve">The Plan presents detailed information on </w:t>
      </w:r>
      <w:r w:rsidR="000E3FB0">
        <w:rPr>
          <w:snapToGrid w:val="0"/>
        </w:rPr>
        <w:t>programs</w:t>
      </w:r>
      <w:r>
        <w:rPr>
          <w:snapToGrid w:val="0"/>
        </w:rPr>
        <w:t xml:space="preserve"> </w:t>
      </w:r>
      <w:r w:rsidR="000E3FB0">
        <w:rPr>
          <w:snapToGrid w:val="0"/>
        </w:rPr>
        <w:t xml:space="preserve">and customer offerings </w:t>
      </w:r>
      <w:r>
        <w:rPr>
          <w:snapToGrid w:val="0"/>
        </w:rPr>
        <w:t xml:space="preserve">that PSE will </w:t>
      </w:r>
      <w:r w:rsidR="000E3FB0">
        <w:rPr>
          <w:snapToGrid w:val="0"/>
        </w:rPr>
        <w:t>implement</w:t>
      </w:r>
      <w:r>
        <w:rPr>
          <w:snapToGrid w:val="0"/>
        </w:rPr>
        <w:t xml:space="preserve"> to achieve a </w:t>
      </w:r>
      <w:r w:rsidR="00680E9F">
        <w:rPr>
          <w:snapToGrid w:val="0"/>
        </w:rPr>
        <w:t xml:space="preserve">2016-2017 </w:t>
      </w:r>
      <w:r>
        <w:rPr>
          <w:snapToGrid w:val="0"/>
        </w:rPr>
        <w:t>total Portfolio</w:t>
      </w:r>
      <w:r w:rsidR="00060A32">
        <w:rPr>
          <w:snapToGrid w:val="0"/>
        </w:rPr>
        <w:t xml:space="preserve"> (as described in Exhibit 1)</w:t>
      </w:r>
      <w:r>
        <w:rPr>
          <w:snapToGrid w:val="0"/>
        </w:rPr>
        <w:t xml:space="preserve"> savings of 605,194 </w:t>
      </w:r>
      <w:proofErr w:type="spellStart"/>
      <w:r>
        <w:rPr>
          <w:snapToGrid w:val="0"/>
        </w:rPr>
        <w:t>MegaWatt</w:t>
      </w:r>
      <w:proofErr w:type="spellEnd"/>
      <w:r>
        <w:rPr>
          <w:snapToGrid w:val="0"/>
        </w:rPr>
        <w:t xml:space="preserve">-hours (MWh) or 69.1 average </w:t>
      </w:r>
      <w:proofErr w:type="spellStart"/>
      <w:r>
        <w:rPr>
          <w:snapToGrid w:val="0"/>
        </w:rPr>
        <w:t>MegaWatts</w:t>
      </w:r>
      <w:proofErr w:type="spellEnd"/>
      <w:r>
        <w:rPr>
          <w:snapToGrid w:val="0"/>
        </w:rPr>
        <w:t xml:space="preserve"> (</w:t>
      </w:r>
      <w:proofErr w:type="spellStart"/>
      <w:r>
        <w:rPr>
          <w:snapToGrid w:val="0"/>
        </w:rPr>
        <w:t>aMW</w:t>
      </w:r>
      <w:proofErr w:type="spellEnd"/>
      <w:r>
        <w:rPr>
          <w:snapToGrid w:val="0"/>
        </w:rPr>
        <w:t>), and 7.43 million therms.</w:t>
      </w:r>
      <w:r w:rsidR="00B60DBE">
        <w:rPr>
          <w:snapToGrid w:val="0"/>
        </w:rPr>
        <w:t xml:space="preserve"> </w:t>
      </w:r>
      <w:r w:rsidR="00680E9F">
        <w:rPr>
          <w:snapToGrid w:val="0"/>
        </w:rPr>
        <w:t xml:space="preserve"> </w:t>
      </w:r>
      <w:r w:rsidR="0026322F">
        <w:rPr>
          <w:snapToGrid w:val="0"/>
        </w:rPr>
        <w:t>PSE requests that the Commission approv</w:t>
      </w:r>
      <w:r w:rsidR="00F166DD">
        <w:rPr>
          <w:snapToGrid w:val="0"/>
        </w:rPr>
        <w:t xml:space="preserve">e its electric </w:t>
      </w:r>
      <w:r w:rsidR="008555F7">
        <w:rPr>
          <w:snapToGrid w:val="0"/>
        </w:rPr>
        <w:t xml:space="preserve">Energy Independence Act (EIA) penalty target </w:t>
      </w:r>
      <w:r w:rsidR="00F166DD">
        <w:rPr>
          <w:snapToGrid w:val="0"/>
        </w:rPr>
        <w:t xml:space="preserve">of </w:t>
      </w:r>
      <w:r w:rsidR="00BB3E15">
        <w:rPr>
          <w:snapToGrid w:val="0"/>
        </w:rPr>
        <w:t>537,078</w:t>
      </w:r>
      <w:r w:rsidR="0026322F">
        <w:rPr>
          <w:snapToGrid w:val="0"/>
        </w:rPr>
        <w:t xml:space="preserve"> </w:t>
      </w:r>
      <w:r w:rsidR="00BB3E15">
        <w:rPr>
          <w:snapToGrid w:val="0"/>
        </w:rPr>
        <w:t xml:space="preserve">MWh, or 61.3 </w:t>
      </w:r>
      <w:proofErr w:type="spellStart"/>
      <w:r w:rsidR="00BB3E15">
        <w:rPr>
          <w:snapToGrid w:val="0"/>
        </w:rPr>
        <w:t>aMW</w:t>
      </w:r>
      <w:proofErr w:type="spellEnd"/>
      <w:r w:rsidR="0026322F">
        <w:rPr>
          <w:snapToGrid w:val="0"/>
        </w:rPr>
        <w:t>.</w:t>
      </w:r>
      <w:r w:rsidR="00060A32">
        <w:rPr>
          <w:snapToGrid w:val="0"/>
        </w:rPr>
        <w:t xml:space="preserve"> </w:t>
      </w:r>
      <w:r w:rsidR="00680E9F">
        <w:rPr>
          <w:snapToGrid w:val="0"/>
        </w:rPr>
        <w:t xml:space="preserve"> </w:t>
      </w:r>
      <w:r w:rsidR="0026322F">
        <w:rPr>
          <w:snapToGrid w:val="0"/>
        </w:rPr>
        <w:t>PSE’s natural gas</w:t>
      </w:r>
      <w:r w:rsidR="008555F7">
        <w:rPr>
          <w:snapToGrid w:val="0"/>
        </w:rPr>
        <w:t xml:space="preserve"> penalty </w:t>
      </w:r>
      <w:r w:rsidR="00BB3E15">
        <w:rPr>
          <w:snapToGrid w:val="0"/>
        </w:rPr>
        <w:t>target</w:t>
      </w:r>
      <w:r w:rsidR="0026322F">
        <w:rPr>
          <w:snapToGrid w:val="0"/>
        </w:rPr>
        <w:t xml:space="preserve"> </w:t>
      </w:r>
      <w:r w:rsidR="00BB3E15">
        <w:rPr>
          <w:snapToGrid w:val="0"/>
        </w:rPr>
        <w:t>for the next biennium is 6. 96</w:t>
      </w:r>
      <w:r w:rsidR="0026322F">
        <w:rPr>
          <w:snapToGrid w:val="0"/>
        </w:rPr>
        <w:t xml:space="preserve"> million therms. </w:t>
      </w:r>
    </w:p>
    <w:p w:rsidR="0026322F" w:rsidRDefault="0026322F">
      <w:pPr>
        <w:pStyle w:val="BodyText2"/>
        <w:rPr>
          <w:snapToGrid w:val="0"/>
        </w:rPr>
      </w:pPr>
    </w:p>
    <w:p w:rsidR="00E41DE5" w:rsidRDefault="00BB3E15">
      <w:pPr>
        <w:pStyle w:val="BodyText2"/>
        <w:rPr>
          <w:snapToGrid w:val="0"/>
        </w:rPr>
      </w:pPr>
      <w:r>
        <w:rPr>
          <w:snapToGrid w:val="0"/>
        </w:rPr>
        <w:t>The 2016-2017</w:t>
      </w:r>
      <w:r w:rsidR="00E41DE5">
        <w:rPr>
          <w:snapToGrid w:val="0"/>
        </w:rPr>
        <w:t xml:space="preserve"> </w:t>
      </w:r>
      <w:r>
        <w:rPr>
          <w:snapToGrid w:val="0"/>
        </w:rPr>
        <w:t xml:space="preserve">Plan </w:t>
      </w:r>
      <w:r w:rsidR="00E41DE5">
        <w:rPr>
          <w:snapToGrid w:val="0"/>
        </w:rPr>
        <w:t xml:space="preserve">discusses </w:t>
      </w:r>
      <w:r w:rsidR="0024352F">
        <w:rPr>
          <w:snapToGrid w:val="0"/>
        </w:rPr>
        <w:t xml:space="preserve">savings target </w:t>
      </w:r>
      <w:r>
        <w:rPr>
          <w:snapToGrid w:val="0"/>
        </w:rPr>
        <w:t xml:space="preserve">factors considered and </w:t>
      </w:r>
      <w:r w:rsidR="008718D9">
        <w:rPr>
          <w:snapToGrid w:val="0"/>
        </w:rPr>
        <w:t xml:space="preserve">presented to PSE’s </w:t>
      </w:r>
      <w:r>
        <w:rPr>
          <w:snapToGrid w:val="0"/>
        </w:rPr>
        <w:t xml:space="preserve">Conservation Resource Advisory </w:t>
      </w:r>
      <w:r w:rsidR="008718D9">
        <w:rPr>
          <w:snapToGrid w:val="0"/>
        </w:rPr>
        <w:t xml:space="preserve">Group (CRAG). </w:t>
      </w:r>
      <w:r w:rsidR="00B60DBE">
        <w:rPr>
          <w:snapToGrid w:val="0"/>
        </w:rPr>
        <w:t xml:space="preserve"> </w:t>
      </w:r>
      <w:r w:rsidR="008718D9">
        <w:rPr>
          <w:snapToGrid w:val="0"/>
        </w:rPr>
        <w:t>The key savings baseline is</w:t>
      </w:r>
      <w:r w:rsidR="00E41DE5">
        <w:rPr>
          <w:snapToGrid w:val="0"/>
        </w:rPr>
        <w:t xml:space="preserve"> </w:t>
      </w:r>
      <w:r>
        <w:rPr>
          <w:snapToGrid w:val="0"/>
        </w:rPr>
        <w:t xml:space="preserve">PSE’s </w:t>
      </w:r>
      <w:r w:rsidR="00B60DBE">
        <w:rPr>
          <w:snapToGrid w:val="0"/>
        </w:rPr>
        <w:t xml:space="preserve">draft </w:t>
      </w:r>
      <w:r>
        <w:rPr>
          <w:snapToGrid w:val="0"/>
        </w:rPr>
        <w:t>2015 IRP guidance, establishing PSE’s 2-year pro-rata share of its 10-year electric conservation potential</w:t>
      </w:r>
      <w:r w:rsidR="0024352F">
        <w:rPr>
          <w:snapToGrid w:val="0"/>
        </w:rPr>
        <w:t xml:space="preserve">, </w:t>
      </w:r>
      <w:r w:rsidR="008718D9">
        <w:rPr>
          <w:snapToGrid w:val="0"/>
        </w:rPr>
        <w:t>which is</w:t>
      </w:r>
      <w:r w:rsidR="0024352F">
        <w:rPr>
          <w:snapToGrid w:val="0"/>
        </w:rPr>
        <w:t xml:space="preserve"> consistent with WAC 480-109-100(3)(b)</w:t>
      </w:r>
      <w:r>
        <w:rPr>
          <w:snapToGrid w:val="0"/>
        </w:rPr>
        <w:t>.</w:t>
      </w:r>
      <w:r w:rsidR="00B60DBE">
        <w:rPr>
          <w:snapToGrid w:val="0"/>
        </w:rPr>
        <w:t xml:space="preserve"> </w:t>
      </w:r>
      <w:r>
        <w:rPr>
          <w:snapToGrid w:val="0"/>
        </w:rPr>
        <w:t xml:space="preserve"> PSE engaged the CRAG in determining its electric </w:t>
      </w:r>
      <w:r w:rsidR="00E41DE5">
        <w:rPr>
          <w:snapToGrid w:val="0"/>
        </w:rPr>
        <w:t xml:space="preserve">decoupling </w:t>
      </w:r>
      <w:r>
        <w:rPr>
          <w:snapToGrid w:val="0"/>
        </w:rPr>
        <w:t>commitment,</w:t>
      </w:r>
      <w:r w:rsidR="00E41DE5">
        <w:rPr>
          <w:snapToGrid w:val="0"/>
        </w:rPr>
        <w:t xml:space="preserve"> </w:t>
      </w:r>
      <w:r>
        <w:rPr>
          <w:snapToGrid w:val="0"/>
        </w:rPr>
        <w:t xml:space="preserve">the </w:t>
      </w:r>
      <w:r w:rsidR="00E41DE5">
        <w:rPr>
          <w:snapToGrid w:val="0"/>
        </w:rPr>
        <w:t xml:space="preserve">Northwest Energy Efficiency Alliance (NEEA) </w:t>
      </w:r>
      <w:r>
        <w:rPr>
          <w:snapToGrid w:val="0"/>
        </w:rPr>
        <w:t>electric and gas savings reporting, and behavioral pilot program savings</w:t>
      </w:r>
      <w:r w:rsidR="00E41DE5">
        <w:rPr>
          <w:snapToGrid w:val="0"/>
        </w:rPr>
        <w:t>.</w:t>
      </w:r>
      <w:r w:rsidR="00680E9F">
        <w:rPr>
          <w:snapToGrid w:val="0"/>
        </w:rPr>
        <w:t xml:space="preserve"> </w:t>
      </w:r>
      <w:r w:rsidR="00B60DBE">
        <w:rPr>
          <w:snapToGrid w:val="0"/>
        </w:rPr>
        <w:t xml:space="preserve"> </w:t>
      </w:r>
      <w:r w:rsidR="00E41DE5">
        <w:rPr>
          <w:snapToGrid w:val="0"/>
        </w:rPr>
        <w:t>It is important to note that</w:t>
      </w:r>
      <w:r>
        <w:rPr>
          <w:snapToGrid w:val="0"/>
        </w:rPr>
        <w:t xml:space="preserve"> PSE requests Commission approval of</w:t>
      </w:r>
      <w:r w:rsidR="00E41DE5">
        <w:rPr>
          <w:snapToGrid w:val="0"/>
        </w:rPr>
        <w:t xml:space="preserve"> </w:t>
      </w:r>
      <w:r>
        <w:rPr>
          <w:snapToGrid w:val="0"/>
        </w:rPr>
        <w:t>the indicated</w:t>
      </w:r>
      <w:r w:rsidR="00E41DE5">
        <w:rPr>
          <w:snapToGrid w:val="0"/>
        </w:rPr>
        <w:t xml:space="preserve"> single </w:t>
      </w:r>
      <w:r w:rsidR="0024352F">
        <w:rPr>
          <w:snapToGrid w:val="0"/>
        </w:rPr>
        <w:t>EIA penalty</w:t>
      </w:r>
      <w:r w:rsidR="00E41DE5">
        <w:rPr>
          <w:snapToGrid w:val="0"/>
        </w:rPr>
        <w:t xml:space="preserve"> savings target</w:t>
      </w:r>
      <w:r w:rsidR="0016044B">
        <w:rPr>
          <w:snapToGrid w:val="0"/>
        </w:rPr>
        <w:t>,</w:t>
      </w:r>
      <w:r>
        <w:rPr>
          <w:snapToGrid w:val="0"/>
        </w:rPr>
        <w:t xml:space="preserve"> </w:t>
      </w:r>
      <w:r w:rsidR="008718D9">
        <w:rPr>
          <w:snapToGrid w:val="0"/>
        </w:rPr>
        <w:t>in compliance</w:t>
      </w:r>
      <w:r>
        <w:rPr>
          <w:snapToGrid w:val="0"/>
        </w:rPr>
        <w:t xml:space="preserve"> with WAC 480-109-100(3</w:t>
      </w:r>
      <w:r w:rsidR="0016044B">
        <w:rPr>
          <w:snapToGrid w:val="0"/>
        </w:rPr>
        <w:t>)</w:t>
      </w:r>
      <w:r w:rsidR="00E41DE5">
        <w:rPr>
          <w:snapToGrid w:val="0"/>
        </w:rPr>
        <w:t xml:space="preserve">. </w:t>
      </w:r>
      <w:r w:rsidR="00B60DBE">
        <w:rPr>
          <w:snapToGrid w:val="0"/>
        </w:rPr>
        <w:t xml:space="preserve"> </w:t>
      </w:r>
      <w:r>
        <w:rPr>
          <w:snapToGrid w:val="0"/>
        </w:rPr>
        <w:t>Similar to the adjustments made to its electric target, PSE worked with the CRAG to establish the indicated natural gas 2016-2017 savings target.</w:t>
      </w:r>
    </w:p>
    <w:p w:rsidR="00E41DE5" w:rsidRDefault="00E41DE5">
      <w:pPr>
        <w:pStyle w:val="BodyText2"/>
        <w:rPr>
          <w:snapToGrid w:val="0"/>
        </w:rPr>
      </w:pPr>
    </w:p>
    <w:p w:rsidR="003E7D25" w:rsidRDefault="003E7D25">
      <w:pPr>
        <w:pStyle w:val="BodyText2"/>
        <w:rPr>
          <w:snapToGrid w:val="0"/>
        </w:rPr>
      </w:pPr>
    </w:p>
    <w:p w:rsidR="003E7D25" w:rsidRDefault="003E7D25">
      <w:pPr>
        <w:pStyle w:val="BodyText2"/>
        <w:rPr>
          <w:snapToGrid w:val="0"/>
        </w:rPr>
      </w:pPr>
    </w:p>
    <w:p w:rsidR="006B43F9" w:rsidRPr="006B43F9" w:rsidRDefault="006B43F9">
      <w:pPr>
        <w:pStyle w:val="BodyText2"/>
        <w:rPr>
          <w:b/>
          <w:snapToGrid w:val="0"/>
        </w:rPr>
      </w:pPr>
      <w:r w:rsidRPr="006B43F9">
        <w:rPr>
          <w:b/>
          <w:snapToGrid w:val="0"/>
        </w:rPr>
        <w:t>Budgets</w:t>
      </w:r>
    </w:p>
    <w:p w:rsidR="006B43F9" w:rsidRDefault="006B43F9">
      <w:pPr>
        <w:pStyle w:val="BodyText2"/>
        <w:rPr>
          <w:snapToGrid w:val="0"/>
        </w:rPr>
      </w:pPr>
    </w:p>
    <w:p w:rsidR="00711D31" w:rsidRDefault="00BB3E15">
      <w:pPr>
        <w:pStyle w:val="BodyText2"/>
        <w:rPr>
          <w:snapToGrid w:val="0"/>
        </w:rPr>
      </w:pPr>
      <w:r>
        <w:rPr>
          <w:snapToGrid w:val="0"/>
        </w:rPr>
        <w:t>PSE’s 2016-2017</w:t>
      </w:r>
      <w:r w:rsidR="00DA4DF6">
        <w:rPr>
          <w:snapToGrid w:val="0"/>
        </w:rPr>
        <w:t xml:space="preserve"> electric budget reflects forecasted expenditures needed to achieve </w:t>
      </w:r>
      <w:r w:rsidR="002A4EFE">
        <w:rPr>
          <w:snapToGrid w:val="0"/>
        </w:rPr>
        <w:t xml:space="preserve">the total </w:t>
      </w:r>
      <w:r w:rsidR="00711D31">
        <w:rPr>
          <w:snapToGrid w:val="0"/>
        </w:rPr>
        <w:t xml:space="preserve">Portfolio </w:t>
      </w:r>
      <w:r w:rsidR="002A4EFE">
        <w:rPr>
          <w:snapToGrid w:val="0"/>
        </w:rPr>
        <w:t>conservation savings of 605,194 MWh</w:t>
      </w:r>
      <w:r w:rsidR="00DA4DF6">
        <w:rPr>
          <w:snapToGrid w:val="0"/>
        </w:rPr>
        <w:t xml:space="preserve">, </w:t>
      </w:r>
      <w:r w:rsidR="002A4EFE">
        <w:rPr>
          <w:snapToGrid w:val="0"/>
        </w:rPr>
        <w:t>which includes</w:t>
      </w:r>
      <w:r w:rsidR="00DA4DF6">
        <w:rPr>
          <w:snapToGrid w:val="0"/>
        </w:rPr>
        <w:t xml:space="preserve"> the Commissi</w:t>
      </w:r>
      <w:r w:rsidR="00711D31">
        <w:rPr>
          <w:snapToGrid w:val="0"/>
        </w:rPr>
        <w:t xml:space="preserve">on-approved EIA electric </w:t>
      </w:r>
      <w:r w:rsidR="007B01F4">
        <w:rPr>
          <w:snapToGrid w:val="0"/>
        </w:rPr>
        <w:t xml:space="preserve">penalty </w:t>
      </w:r>
      <w:r w:rsidR="00711D31">
        <w:rPr>
          <w:snapToGrid w:val="0"/>
        </w:rPr>
        <w:t>target</w:t>
      </w:r>
      <w:r w:rsidR="00680E9F">
        <w:rPr>
          <w:snapToGrid w:val="0"/>
        </w:rPr>
        <w:t xml:space="preserve"> of 537,078 MWh</w:t>
      </w:r>
      <w:r w:rsidR="00711D31">
        <w:rPr>
          <w:snapToGrid w:val="0"/>
        </w:rPr>
        <w:t>, the decoupling commitment of 27,993</w:t>
      </w:r>
      <w:r w:rsidR="00D55FDC">
        <w:rPr>
          <w:snapToGrid w:val="0"/>
        </w:rPr>
        <w:t xml:space="preserve"> MWh</w:t>
      </w:r>
      <w:r w:rsidR="008718D9">
        <w:rPr>
          <w:snapToGrid w:val="0"/>
        </w:rPr>
        <w:t>,</w:t>
      </w:r>
      <w:r w:rsidR="00D55FDC">
        <w:rPr>
          <w:rStyle w:val="FootnoteReference"/>
          <w:snapToGrid w:val="0"/>
        </w:rPr>
        <w:footnoteReference w:id="1"/>
      </w:r>
      <w:r w:rsidR="00680E9F">
        <w:rPr>
          <w:snapToGrid w:val="0"/>
        </w:rPr>
        <w:t xml:space="preserve"> behavioral pilots without verified savings of 17,347 MWh,</w:t>
      </w:r>
      <w:r w:rsidR="00D55FDC">
        <w:rPr>
          <w:snapToGrid w:val="0"/>
        </w:rPr>
        <w:t xml:space="preserve"> and the </w:t>
      </w:r>
      <w:r w:rsidR="00711D31">
        <w:rPr>
          <w:snapToGrid w:val="0"/>
        </w:rPr>
        <w:t>NEEA goal of 22,776</w:t>
      </w:r>
      <w:r w:rsidR="00D55FDC">
        <w:rPr>
          <w:snapToGrid w:val="0"/>
        </w:rPr>
        <w:t xml:space="preserve"> MWh.</w:t>
      </w:r>
      <w:r w:rsidR="00680E9F">
        <w:rPr>
          <w:snapToGrid w:val="0"/>
        </w:rPr>
        <w:t xml:space="preserve"> </w:t>
      </w:r>
      <w:r w:rsidR="00B60DBE">
        <w:rPr>
          <w:snapToGrid w:val="0"/>
        </w:rPr>
        <w:t xml:space="preserve"> </w:t>
      </w:r>
      <w:r w:rsidR="00DA4DF6">
        <w:rPr>
          <w:snapToGrid w:val="0"/>
        </w:rPr>
        <w:t>The proposed two-year electric budget is $</w:t>
      </w:r>
      <w:r w:rsidR="00711D31">
        <w:rPr>
          <w:snapToGrid w:val="0"/>
        </w:rPr>
        <w:t>198.98</w:t>
      </w:r>
      <w:r w:rsidR="00DA4DF6">
        <w:rPr>
          <w:snapToGrid w:val="0"/>
        </w:rPr>
        <w:t xml:space="preserve"> million.</w:t>
      </w:r>
      <w:r w:rsidR="00680E9F">
        <w:rPr>
          <w:snapToGrid w:val="0"/>
        </w:rPr>
        <w:t xml:space="preserve"> </w:t>
      </w:r>
      <w:r w:rsidR="00B60DBE">
        <w:rPr>
          <w:snapToGrid w:val="0"/>
        </w:rPr>
        <w:t xml:space="preserve"> </w:t>
      </w:r>
      <w:r w:rsidR="006B1B27">
        <w:rPr>
          <w:snapToGrid w:val="0"/>
        </w:rPr>
        <w:t xml:space="preserve">Please note that </w:t>
      </w:r>
      <w:r w:rsidR="00B60DBE">
        <w:rPr>
          <w:snapToGrid w:val="0"/>
        </w:rPr>
        <w:t xml:space="preserve">this </w:t>
      </w:r>
      <w:r w:rsidR="008718D9">
        <w:rPr>
          <w:snapToGrid w:val="0"/>
        </w:rPr>
        <w:t>amount includes $2.73 million allocated to electric programs (Net Metering and Electric Vehicle Charger Incentives) that are excluded from cost-effectiveness calculations.</w:t>
      </w:r>
    </w:p>
    <w:p w:rsidR="00711D31" w:rsidRDefault="00711D31">
      <w:pPr>
        <w:pStyle w:val="BodyText2"/>
        <w:rPr>
          <w:snapToGrid w:val="0"/>
        </w:rPr>
      </w:pPr>
    </w:p>
    <w:p w:rsidR="00DA4DF6" w:rsidRDefault="006B1B27">
      <w:pPr>
        <w:pStyle w:val="BodyText2"/>
        <w:rPr>
          <w:snapToGrid w:val="0"/>
        </w:rPr>
      </w:pPr>
      <w:r>
        <w:rPr>
          <w:snapToGrid w:val="0"/>
        </w:rPr>
        <w:t>PSE has budgeted $29.48 million t</w:t>
      </w:r>
      <w:r w:rsidR="00DA4DF6">
        <w:rPr>
          <w:snapToGrid w:val="0"/>
        </w:rPr>
        <w:t xml:space="preserve">o achieve the </w:t>
      </w:r>
      <w:r w:rsidR="00711D31">
        <w:rPr>
          <w:snapToGrid w:val="0"/>
        </w:rPr>
        <w:t>total Portfolio</w:t>
      </w:r>
      <w:r w:rsidR="008718D9">
        <w:rPr>
          <w:snapToGrid w:val="0"/>
        </w:rPr>
        <w:t xml:space="preserve"> natural gas savings goal of 7.4</w:t>
      </w:r>
      <w:r w:rsidR="00711D31">
        <w:rPr>
          <w:snapToGrid w:val="0"/>
        </w:rPr>
        <w:t>3</w:t>
      </w:r>
      <w:r w:rsidR="00DA4DF6">
        <w:rPr>
          <w:snapToGrid w:val="0"/>
        </w:rPr>
        <w:t xml:space="preserve"> million therms</w:t>
      </w:r>
      <w:r w:rsidR="00B23207">
        <w:rPr>
          <w:snapToGrid w:val="0"/>
        </w:rPr>
        <w:t xml:space="preserve"> over the two years</w:t>
      </w:r>
      <w:r w:rsidR="00DA4DF6">
        <w:rPr>
          <w:snapToGrid w:val="0"/>
        </w:rPr>
        <w:t>.</w:t>
      </w:r>
      <w:r w:rsidR="00B60DBE">
        <w:rPr>
          <w:snapToGrid w:val="0"/>
        </w:rPr>
        <w:t xml:space="preserve"> </w:t>
      </w:r>
      <w:r w:rsidR="00680E9F">
        <w:rPr>
          <w:snapToGrid w:val="0"/>
        </w:rPr>
        <w:t xml:space="preserve"> </w:t>
      </w:r>
      <w:r w:rsidR="008718D9">
        <w:rPr>
          <w:snapToGrid w:val="0"/>
        </w:rPr>
        <w:t xml:space="preserve">That amount includes $2.48 million allocated to the NEEA Natural Gas Market Transformation initiative.  </w:t>
      </w:r>
      <w:r w:rsidR="007B01F4">
        <w:rPr>
          <w:snapToGrid w:val="0"/>
        </w:rPr>
        <w:t>PSE and the CRAG applied the same target-setting methodology of excluding NEEA natural gas savings and behavioral pilot savings to develop its natural gas penalty target.</w:t>
      </w:r>
      <w:r w:rsidR="00680E9F">
        <w:rPr>
          <w:snapToGrid w:val="0"/>
        </w:rPr>
        <w:t xml:space="preserve"> </w:t>
      </w:r>
      <w:r w:rsidR="00912EDE">
        <w:rPr>
          <w:snapToGrid w:val="0"/>
        </w:rPr>
        <w:t xml:space="preserve"> </w:t>
      </w:r>
      <w:r w:rsidR="00D55FDC">
        <w:rPr>
          <w:snapToGrid w:val="0"/>
        </w:rPr>
        <w:t>I</w:t>
      </w:r>
      <w:r w:rsidR="007B01F4">
        <w:rPr>
          <w:snapToGrid w:val="0"/>
        </w:rPr>
        <w:t>t is noteworthy that</w:t>
      </w:r>
      <w:r w:rsidR="00D55FDC">
        <w:rPr>
          <w:snapToGrid w:val="0"/>
        </w:rPr>
        <w:t xml:space="preserve"> the Commission indicated </w:t>
      </w:r>
      <w:r w:rsidR="007B01F4">
        <w:rPr>
          <w:snapToGrid w:val="0"/>
        </w:rPr>
        <w:t xml:space="preserve">in Order 07 of Dockets </w:t>
      </w:r>
      <w:r w:rsidR="00F74511">
        <w:rPr>
          <w:snapToGrid w:val="0"/>
        </w:rPr>
        <w:t xml:space="preserve">UE-121697 and UG-121705 (consolidated), and </w:t>
      </w:r>
      <w:r w:rsidR="00912EDE">
        <w:rPr>
          <w:snapToGrid w:val="0"/>
        </w:rPr>
        <w:t xml:space="preserve">Dockets </w:t>
      </w:r>
      <w:r w:rsidR="00F74511">
        <w:rPr>
          <w:snapToGrid w:val="0"/>
        </w:rPr>
        <w:t>UE-130137 and UG-130138 (consolidated)</w:t>
      </w:r>
      <w:r>
        <w:rPr>
          <w:snapToGrid w:val="0"/>
        </w:rPr>
        <w:t>,</w:t>
      </w:r>
      <w:r w:rsidR="00F74511">
        <w:rPr>
          <w:snapToGrid w:val="0"/>
        </w:rPr>
        <w:t xml:space="preserve"> that </w:t>
      </w:r>
      <w:r w:rsidR="00D55FDC">
        <w:rPr>
          <w:snapToGrid w:val="0"/>
        </w:rPr>
        <w:t xml:space="preserve">due to continued low natural gas avoided costs, </w:t>
      </w:r>
      <w:proofErr w:type="gramStart"/>
      <w:r w:rsidR="00D55FDC">
        <w:rPr>
          <w:snapToGrid w:val="0"/>
        </w:rPr>
        <w:t>it</w:t>
      </w:r>
      <w:proofErr w:type="gramEnd"/>
      <w:r w:rsidR="00D55FDC">
        <w:rPr>
          <w:snapToGrid w:val="0"/>
        </w:rPr>
        <w:t xml:space="preserve"> isn’t possible to establish a natural gas decoupling savings adder.</w:t>
      </w:r>
    </w:p>
    <w:p w:rsidR="00DA4DF6" w:rsidRPr="006B43F9" w:rsidRDefault="00DA4DF6">
      <w:pPr>
        <w:pStyle w:val="BodyText2"/>
        <w:rPr>
          <w:b/>
          <w:snapToGrid w:val="0"/>
        </w:rPr>
      </w:pPr>
    </w:p>
    <w:p w:rsidR="006B43F9" w:rsidRPr="006B43F9" w:rsidRDefault="006B43F9" w:rsidP="00B23207">
      <w:pPr>
        <w:pStyle w:val="BodyText2"/>
        <w:rPr>
          <w:b/>
          <w:snapToGrid w:val="0"/>
        </w:rPr>
      </w:pPr>
      <w:r w:rsidRPr="006B43F9">
        <w:rPr>
          <w:b/>
          <w:snapToGrid w:val="0"/>
        </w:rPr>
        <w:t>Cost-Effectiveness</w:t>
      </w:r>
    </w:p>
    <w:p w:rsidR="006B43F9" w:rsidRDefault="006B43F9" w:rsidP="00B23207">
      <w:pPr>
        <w:pStyle w:val="BodyText2"/>
        <w:rPr>
          <w:snapToGrid w:val="0"/>
        </w:rPr>
      </w:pPr>
    </w:p>
    <w:p w:rsidR="00B23207" w:rsidRDefault="00626B68" w:rsidP="00B23207">
      <w:pPr>
        <w:pStyle w:val="BodyText2"/>
        <w:rPr>
          <w:snapToGrid w:val="0"/>
        </w:rPr>
      </w:pPr>
      <w:r w:rsidRPr="00F166DD">
        <w:rPr>
          <w:snapToGrid w:val="0"/>
        </w:rPr>
        <w:t xml:space="preserve">The </w:t>
      </w:r>
      <w:r w:rsidR="00912EDE">
        <w:rPr>
          <w:snapToGrid w:val="0"/>
        </w:rPr>
        <w:t>P</w:t>
      </w:r>
      <w:r w:rsidRPr="00F166DD">
        <w:rPr>
          <w:snapToGrid w:val="0"/>
        </w:rPr>
        <w:t xml:space="preserve">ortfolio of electric conservation </w:t>
      </w:r>
      <w:r w:rsidR="006B43F9">
        <w:rPr>
          <w:snapToGrid w:val="0"/>
        </w:rPr>
        <w:t>is calculated</w:t>
      </w:r>
      <w:r w:rsidRPr="00F166DD">
        <w:rPr>
          <w:snapToGrid w:val="0"/>
        </w:rPr>
        <w:t xml:space="preserve"> </w:t>
      </w:r>
      <w:r w:rsidR="006B1B27">
        <w:rPr>
          <w:snapToGrid w:val="0"/>
        </w:rPr>
        <w:t xml:space="preserve">to </w:t>
      </w:r>
      <w:r w:rsidRPr="00F166DD">
        <w:rPr>
          <w:snapToGrid w:val="0"/>
        </w:rPr>
        <w:t>achieve a Total Resource Cost (TRC) benefit-to-cost ratio of 1.6</w:t>
      </w:r>
      <w:r w:rsidR="00F74511">
        <w:rPr>
          <w:snapToGrid w:val="0"/>
        </w:rPr>
        <w:t>9</w:t>
      </w:r>
      <w:r w:rsidRPr="00F166DD">
        <w:rPr>
          <w:snapToGrid w:val="0"/>
        </w:rPr>
        <w:t>.</w:t>
      </w:r>
      <w:r w:rsidR="00680E9F">
        <w:rPr>
          <w:snapToGrid w:val="0"/>
        </w:rPr>
        <w:t xml:space="preserve"> </w:t>
      </w:r>
      <w:r w:rsidR="00912EDE">
        <w:rPr>
          <w:snapToGrid w:val="0"/>
        </w:rPr>
        <w:t xml:space="preserve"> </w:t>
      </w:r>
      <w:r w:rsidRPr="00F166DD">
        <w:rPr>
          <w:snapToGrid w:val="0"/>
        </w:rPr>
        <w:t xml:space="preserve">PSE’s natural gas portfolio cost-effectiveness estimates indicate that </w:t>
      </w:r>
      <w:r w:rsidR="00060A32">
        <w:rPr>
          <w:snapToGrid w:val="0"/>
        </w:rPr>
        <w:t>PSE</w:t>
      </w:r>
      <w:r w:rsidRPr="00F166DD">
        <w:rPr>
          <w:snapToGrid w:val="0"/>
        </w:rPr>
        <w:t xml:space="preserve"> will achieve a natural gas TRC of 1.</w:t>
      </w:r>
      <w:r w:rsidR="00F74511">
        <w:rPr>
          <w:snapToGrid w:val="0"/>
        </w:rPr>
        <w:t>49</w:t>
      </w:r>
      <w:r w:rsidR="00B23207" w:rsidRPr="00F74511">
        <w:rPr>
          <w:snapToGrid w:val="0"/>
        </w:rPr>
        <w:t>.</w:t>
      </w:r>
      <w:r w:rsidR="00912EDE">
        <w:rPr>
          <w:snapToGrid w:val="0"/>
        </w:rPr>
        <w:t xml:space="preserve"> </w:t>
      </w:r>
      <w:r w:rsidR="006B1B27">
        <w:rPr>
          <w:snapToGrid w:val="0"/>
        </w:rPr>
        <w:t xml:space="preserve"> PSE provides a complete discussion of cost-effectiveness calculation methodology in Chapter 3, page 48 of the “BCP Overview” in the </w:t>
      </w:r>
      <w:r w:rsidR="00912EDE">
        <w:rPr>
          <w:snapToGrid w:val="0"/>
        </w:rPr>
        <w:t>attached Plan</w:t>
      </w:r>
      <w:r w:rsidR="006B1B27">
        <w:rPr>
          <w:snapToGrid w:val="0"/>
        </w:rPr>
        <w:t xml:space="preserve"> filing.</w:t>
      </w:r>
    </w:p>
    <w:p w:rsidR="00D55FDC" w:rsidRDefault="00D55FDC">
      <w:pPr>
        <w:pStyle w:val="BodyText2"/>
        <w:rPr>
          <w:snapToGrid w:val="0"/>
        </w:rPr>
      </w:pPr>
    </w:p>
    <w:p w:rsidR="006B43F9" w:rsidRPr="006B43F9" w:rsidRDefault="006B43F9">
      <w:pPr>
        <w:pStyle w:val="BodyText2"/>
        <w:rPr>
          <w:b/>
          <w:snapToGrid w:val="0"/>
        </w:rPr>
      </w:pPr>
      <w:r w:rsidRPr="006B43F9">
        <w:rPr>
          <w:b/>
          <w:snapToGrid w:val="0"/>
        </w:rPr>
        <w:t>Compliance</w:t>
      </w:r>
    </w:p>
    <w:p w:rsidR="006B43F9" w:rsidRDefault="006B43F9">
      <w:pPr>
        <w:pStyle w:val="BodyText2"/>
        <w:rPr>
          <w:snapToGrid w:val="0"/>
        </w:rPr>
      </w:pPr>
    </w:p>
    <w:p w:rsidR="00B23207" w:rsidRDefault="00573533">
      <w:pPr>
        <w:pStyle w:val="BodyText2"/>
        <w:rPr>
          <w:snapToGrid w:val="0"/>
        </w:rPr>
      </w:pPr>
      <w:r>
        <w:rPr>
          <w:snapToGrid w:val="0"/>
        </w:rPr>
        <w:t xml:space="preserve">The Plan </w:t>
      </w:r>
      <w:r w:rsidR="00EF3CAC">
        <w:rPr>
          <w:snapToGrid w:val="0"/>
        </w:rPr>
        <w:t>represents</w:t>
      </w:r>
      <w:r w:rsidR="00B23207">
        <w:rPr>
          <w:snapToGrid w:val="0"/>
        </w:rPr>
        <w:t xml:space="preserve"> compliance with several </w:t>
      </w:r>
      <w:r w:rsidR="003E7D25">
        <w:rPr>
          <w:snapToGrid w:val="0"/>
        </w:rPr>
        <w:t>R</w:t>
      </w:r>
      <w:r w:rsidR="00B23207">
        <w:rPr>
          <w:snapToGrid w:val="0"/>
        </w:rPr>
        <w:t>equirements, including these highlights:</w:t>
      </w:r>
    </w:p>
    <w:p w:rsidR="00B23207" w:rsidRDefault="00B23207">
      <w:pPr>
        <w:pStyle w:val="BodyText2"/>
        <w:rPr>
          <w:snapToGrid w:val="0"/>
        </w:rPr>
      </w:pPr>
    </w:p>
    <w:p w:rsidR="00084BA4" w:rsidRPr="00F166DD" w:rsidRDefault="00B23207" w:rsidP="00F166DD">
      <w:pPr>
        <w:pStyle w:val="BodyText2"/>
        <w:ind w:left="1080"/>
        <w:rPr>
          <w:snapToGrid w:val="0"/>
          <w:sz w:val="20"/>
        </w:rPr>
      </w:pPr>
      <w:proofErr w:type="gramStart"/>
      <w:r w:rsidRPr="00F166DD">
        <w:rPr>
          <w:snapToGrid w:val="0"/>
          <w:sz w:val="20"/>
        </w:rPr>
        <w:t>(2010 Settlement Agreement</w:t>
      </w:r>
      <w:r w:rsidR="00F74511">
        <w:rPr>
          <w:snapToGrid w:val="0"/>
          <w:sz w:val="20"/>
        </w:rPr>
        <w:t xml:space="preserve">, </w:t>
      </w:r>
      <w:r w:rsidR="00912EDE">
        <w:rPr>
          <w:snapToGrid w:val="0"/>
          <w:sz w:val="20"/>
        </w:rPr>
        <w:t>Docket No.</w:t>
      </w:r>
      <w:proofErr w:type="gramEnd"/>
      <w:r w:rsidR="00912EDE">
        <w:rPr>
          <w:snapToGrid w:val="0"/>
          <w:sz w:val="20"/>
        </w:rPr>
        <w:t xml:space="preserve"> </w:t>
      </w:r>
      <w:r w:rsidR="00F74511">
        <w:rPr>
          <w:snapToGrid w:val="0"/>
          <w:sz w:val="20"/>
        </w:rPr>
        <w:t>UE-100177</w:t>
      </w:r>
      <w:r w:rsidRPr="00F166DD">
        <w:rPr>
          <w:snapToGrid w:val="0"/>
          <w:sz w:val="20"/>
        </w:rPr>
        <w:t>)</w:t>
      </w:r>
    </w:p>
    <w:p w:rsidR="00B23207" w:rsidRPr="00724EDD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 w:rsidRPr="00724EDD">
        <w:rPr>
          <w:i/>
          <w:snapToGrid w:val="0"/>
          <w:sz w:val="20"/>
        </w:rPr>
        <w:t>F(11) – Program Budget</w:t>
      </w:r>
    </w:p>
    <w:p w:rsidR="00084BA4" w:rsidRPr="00F166DD" w:rsidRDefault="00F74511" w:rsidP="00F166DD">
      <w:pPr>
        <w:pStyle w:val="BodyText2"/>
        <w:ind w:left="1080"/>
        <w:rPr>
          <w:snapToGrid w:val="0"/>
          <w:sz w:val="20"/>
        </w:rPr>
      </w:pPr>
      <w:r>
        <w:rPr>
          <w:snapToGrid w:val="0"/>
          <w:sz w:val="20"/>
        </w:rPr>
        <w:t>(2013</w:t>
      </w:r>
      <w:r w:rsidR="00B23207" w:rsidRPr="00F166DD">
        <w:rPr>
          <w:snapToGrid w:val="0"/>
          <w:sz w:val="20"/>
        </w:rPr>
        <w:t xml:space="preserve"> Order 01</w:t>
      </w:r>
      <w:r>
        <w:rPr>
          <w:snapToGrid w:val="0"/>
          <w:sz w:val="20"/>
        </w:rPr>
        <w:t xml:space="preserve">, Appendix A, </w:t>
      </w:r>
      <w:r w:rsidR="00912EDE">
        <w:rPr>
          <w:snapToGrid w:val="0"/>
          <w:sz w:val="20"/>
        </w:rPr>
        <w:t xml:space="preserve">Docket No. </w:t>
      </w:r>
      <w:r>
        <w:rPr>
          <w:snapToGrid w:val="0"/>
          <w:sz w:val="20"/>
        </w:rPr>
        <w:t>UE-132043</w:t>
      </w:r>
      <w:r w:rsidR="00B23207" w:rsidRPr="00F166DD">
        <w:rPr>
          <w:snapToGrid w:val="0"/>
          <w:sz w:val="20"/>
        </w:rPr>
        <w:t>)</w:t>
      </w:r>
    </w:p>
    <w:p w:rsidR="00B23207" w:rsidRPr="00724EDD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 w:rsidRPr="00724EDD">
        <w:rPr>
          <w:i/>
          <w:snapToGrid w:val="0"/>
          <w:sz w:val="20"/>
        </w:rPr>
        <w:t>(3)(a)(v) – Tariff modifications</w:t>
      </w:r>
    </w:p>
    <w:p w:rsidR="00B23207" w:rsidRPr="00724EDD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 w:rsidRPr="00724EDD">
        <w:rPr>
          <w:i/>
          <w:snapToGrid w:val="0"/>
          <w:sz w:val="20"/>
        </w:rPr>
        <w:t xml:space="preserve">(3)(a)(vi)(1) </w:t>
      </w:r>
      <w:r>
        <w:rPr>
          <w:i/>
          <w:snapToGrid w:val="0"/>
          <w:sz w:val="20"/>
        </w:rPr>
        <w:t>–</w:t>
      </w:r>
      <w:r w:rsidRPr="00724EDD">
        <w:rPr>
          <w:i/>
          <w:snapToGrid w:val="0"/>
          <w:sz w:val="20"/>
        </w:rPr>
        <w:t xml:space="preserve"> Marketing</w:t>
      </w:r>
      <w:r>
        <w:rPr>
          <w:i/>
          <w:snapToGrid w:val="0"/>
          <w:sz w:val="20"/>
        </w:rPr>
        <w:t xml:space="preserve"> Initiatives</w:t>
      </w:r>
    </w:p>
    <w:p w:rsidR="00B23207" w:rsidRPr="00724EDD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>
        <w:rPr>
          <w:i/>
          <w:snapToGrid w:val="0"/>
          <w:sz w:val="20"/>
        </w:rPr>
        <w:t>(3)(a)(vi)(2) – Incentive Levels</w:t>
      </w:r>
    </w:p>
    <w:p w:rsidR="00B23207" w:rsidRPr="00724EDD" w:rsidRDefault="003F3FF3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>
        <w:rPr>
          <w:i/>
          <w:snapToGrid w:val="0"/>
          <w:sz w:val="20"/>
        </w:rPr>
        <w:t>(3)(a)(vii</w:t>
      </w:r>
      <w:r w:rsidR="00B23207">
        <w:rPr>
          <w:i/>
          <w:snapToGrid w:val="0"/>
          <w:sz w:val="20"/>
        </w:rPr>
        <w:t xml:space="preserve">) – </w:t>
      </w:r>
      <w:r>
        <w:rPr>
          <w:i/>
          <w:snapToGrid w:val="0"/>
          <w:sz w:val="20"/>
        </w:rPr>
        <w:t>Consideration for Low-income Customers</w:t>
      </w:r>
    </w:p>
    <w:p w:rsidR="00B23207" w:rsidRPr="00724EDD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 w:rsidRPr="00724EDD">
        <w:rPr>
          <w:i/>
          <w:snapToGrid w:val="0"/>
          <w:sz w:val="20"/>
        </w:rPr>
        <w:t>(4)(a) – Annual Budgets and Energy Savings</w:t>
      </w:r>
    </w:p>
    <w:p w:rsidR="00B23207" w:rsidRPr="00724EDD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 w:rsidRPr="00724EDD">
        <w:rPr>
          <w:i/>
          <w:snapToGrid w:val="0"/>
          <w:sz w:val="20"/>
        </w:rPr>
        <w:t>(5) – Program Details</w:t>
      </w:r>
    </w:p>
    <w:p w:rsidR="00B23207" w:rsidRDefault="00B23207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 w:rsidRPr="00724EDD">
        <w:rPr>
          <w:i/>
          <w:snapToGrid w:val="0"/>
          <w:sz w:val="20"/>
        </w:rPr>
        <w:t>(7) – Program Design Principles</w:t>
      </w:r>
    </w:p>
    <w:p w:rsidR="00B23207" w:rsidRDefault="003F3FF3" w:rsidP="00B23207">
      <w:pPr>
        <w:pStyle w:val="BodyText2"/>
        <w:numPr>
          <w:ilvl w:val="0"/>
          <w:numId w:val="4"/>
        </w:numPr>
        <w:rPr>
          <w:i/>
          <w:snapToGrid w:val="0"/>
          <w:sz w:val="20"/>
        </w:rPr>
      </w:pPr>
      <w:r>
        <w:rPr>
          <w:i/>
          <w:snapToGrid w:val="0"/>
          <w:sz w:val="20"/>
        </w:rPr>
        <w:t>(8)(d</w:t>
      </w:r>
      <w:r w:rsidR="00B23207">
        <w:rPr>
          <w:i/>
          <w:snapToGrid w:val="0"/>
          <w:sz w:val="20"/>
        </w:rPr>
        <w:t xml:space="preserve">) </w:t>
      </w:r>
      <w:r w:rsidR="00B23207" w:rsidRPr="00724EDD">
        <w:rPr>
          <w:i/>
          <w:snapToGrid w:val="0"/>
          <w:sz w:val="20"/>
        </w:rPr>
        <w:t>–</w:t>
      </w:r>
      <w:r w:rsidR="00B23207">
        <w:rPr>
          <w:i/>
          <w:snapToGrid w:val="0"/>
          <w:sz w:val="20"/>
        </w:rPr>
        <w:t xml:space="preserve"> Biennial Conservation Plan</w:t>
      </w:r>
    </w:p>
    <w:p w:rsidR="00355613" w:rsidRDefault="00355613">
      <w:pPr>
        <w:pStyle w:val="BodyText2"/>
        <w:rPr>
          <w:snapToGrid w:val="0"/>
        </w:rPr>
      </w:pPr>
    </w:p>
    <w:p w:rsidR="00355613" w:rsidRDefault="00355613">
      <w:pPr>
        <w:pStyle w:val="BodyText2"/>
        <w:rPr>
          <w:snapToGrid w:val="0"/>
        </w:rPr>
      </w:pPr>
    </w:p>
    <w:p w:rsidR="008718D9" w:rsidRDefault="006B43F9">
      <w:pPr>
        <w:pStyle w:val="BodyText2"/>
        <w:rPr>
          <w:snapToGrid w:val="0"/>
        </w:rPr>
      </w:pPr>
      <w:r>
        <w:rPr>
          <w:snapToGrid w:val="0"/>
        </w:rPr>
        <w:t xml:space="preserve">PSE partnered with the CRAG over a period of several months to develop a revised set of 2016-2017 </w:t>
      </w:r>
      <w:r w:rsidR="002737A0">
        <w:rPr>
          <w:snapToGrid w:val="0"/>
        </w:rPr>
        <w:t>C</w:t>
      </w:r>
      <w:r>
        <w:rPr>
          <w:snapToGrid w:val="0"/>
        </w:rPr>
        <w:t xml:space="preserve">onditions. These </w:t>
      </w:r>
      <w:r w:rsidR="006820C9">
        <w:rPr>
          <w:snapToGrid w:val="0"/>
        </w:rPr>
        <w:t>C</w:t>
      </w:r>
      <w:r>
        <w:rPr>
          <w:snapToGrid w:val="0"/>
        </w:rPr>
        <w:t>onditions</w:t>
      </w:r>
      <w:r w:rsidR="0039470E">
        <w:rPr>
          <w:snapToGrid w:val="0"/>
        </w:rPr>
        <w:t xml:space="preserve"> </w:t>
      </w:r>
      <w:r>
        <w:rPr>
          <w:snapToGrid w:val="0"/>
        </w:rPr>
        <w:t xml:space="preserve">reflect the effect of new requirements created in WAC 408-109 that were adapted from the 2014-2015 set of </w:t>
      </w:r>
      <w:r w:rsidR="003E7D25">
        <w:rPr>
          <w:snapToGrid w:val="0"/>
        </w:rPr>
        <w:t>C</w:t>
      </w:r>
      <w:r>
        <w:rPr>
          <w:snapToGrid w:val="0"/>
        </w:rPr>
        <w:t xml:space="preserve">onditions. The WAC revision created the need to remove those </w:t>
      </w:r>
      <w:r w:rsidR="003E7D25">
        <w:rPr>
          <w:snapToGrid w:val="0"/>
        </w:rPr>
        <w:t>C</w:t>
      </w:r>
      <w:r>
        <w:rPr>
          <w:snapToGrid w:val="0"/>
        </w:rPr>
        <w:t xml:space="preserve">onditions that were duplicative and move the remaining, applicable </w:t>
      </w:r>
      <w:r w:rsidR="003E7D25">
        <w:rPr>
          <w:snapToGrid w:val="0"/>
        </w:rPr>
        <w:t>C</w:t>
      </w:r>
      <w:r>
        <w:rPr>
          <w:snapToGrid w:val="0"/>
        </w:rPr>
        <w:t xml:space="preserve">onditions to new locations. </w:t>
      </w:r>
      <w:r w:rsidR="003E7D25">
        <w:rPr>
          <w:snapToGrid w:val="0"/>
        </w:rPr>
        <w:t xml:space="preserve"> </w:t>
      </w:r>
      <w:r>
        <w:rPr>
          <w:snapToGrid w:val="0"/>
        </w:rPr>
        <w:t xml:space="preserve">No new </w:t>
      </w:r>
      <w:r w:rsidR="006820C9">
        <w:rPr>
          <w:snapToGrid w:val="0"/>
        </w:rPr>
        <w:t>C</w:t>
      </w:r>
      <w:r>
        <w:rPr>
          <w:snapToGrid w:val="0"/>
        </w:rPr>
        <w:t>onditions were created for this biennium.</w:t>
      </w:r>
    </w:p>
    <w:p w:rsidR="0039470E" w:rsidRDefault="0039470E">
      <w:pPr>
        <w:pStyle w:val="BodyText2"/>
        <w:rPr>
          <w:snapToGrid w:val="0"/>
        </w:rPr>
      </w:pPr>
    </w:p>
    <w:p w:rsidR="006B43F9" w:rsidRPr="006B43F9" w:rsidRDefault="006B43F9">
      <w:pPr>
        <w:pStyle w:val="BodyText2"/>
        <w:rPr>
          <w:b/>
          <w:snapToGrid w:val="0"/>
        </w:rPr>
      </w:pPr>
      <w:r w:rsidRPr="006B43F9">
        <w:rPr>
          <w:b/>
          <w:snapToGrid w:val="0"/>
        </w:rPr>
        <w:t xml:space="preserve">2016-2017 </w:t>
      </w:r>
      <w:r w:rsidR="00912EDE">
        <w:rPr>
          <w:b/>
          <w:snapToGrid w:val="0"/>
        </w:rPr>
        <w:t>Plan</w:t>
      </w:r>
      <w:r w:rsidRPr="006B43F9">
        <w:rPr>
          <w:b/>
          <w:snapToGrid w:val="0"/>
        </w:rPr>
        <w:t xml:space="preserve"> Organization</w:t>
      </w:r>
    </w:p>
    <w:p w:rsidR="006B43F9" w:rsidRDefault="006B43F9">
      <w:pPr>
        <w:pStyle w:val="BodyText2"/>
        <w:rPr>
          <w:snapToGrid w:val="0"/>
        </w:rPr>
      </w:pPr>
    </w:p>
    <w:p w:rsidR="00653A00" w:rsidRDefault="00F74511">
      <w:pPr>
        <w:pStyle w:val="BodyText2"/>
        <w:rPr>
          <w:snapToGrid w:val="0"/>
        </w:rPr>
      </w:pPr>
      <w:r>
        <w:rPr>
          <w:snapToGrid w:val="0"/>
        </w:rPr>
        <w:t>The 2016</w:t>
      </w:r>
      <w:r w:rsidR="00B23207">
        <w:rPr>
          <w:snapToGrid w:val="0"/>
        </w:rPr>
        <w:t>-</w:t>
      </w:r>
      <w:r>
        <w:rPr>
          <w:snapToGrid w:val="0"/>
        </w:rPr>
        <w:t>2017</w:t>
      </w:r>
      <w:r w:rsidR="00B23207">
        <w:rPr>
          <w:snapToGrid w:val="0"/>
        </w:rPr>
        <w:t xml:space="preserve"> Biennial Conservation Plan </w:t>
      </w:r>
      <w:r w:rsidR="00573533">
        <w:rPr>
          <w:snapToGrid w:val="0"/>
        </w:rPr>
        <w:t xml:space="preserve">consists of </w:t>
      </w:r>
      <w:r w:rsidR="0026322F">
        <w:rPr>
          <w:snapToGrid w:val="0"/>
        </w:rPr>
        <w:t xml:space="preserve">many documents, which are presented as Exhibits and organized into </w:t>
      </w:r>
      <w:r w:rsidR="003F3FF3">
        <w:rPr>
          <w:snapToGrid w:val="0"/>
        </w:rPr>
        <w:t>two</w:t>
      </w:r>
      <w:r w:rsidR="0026322F">
        <w:rPr>
          <w:snapToGrid w:val="0"/>
        </w:rPr>
        <w:t xml:space="preserve"> volumes for </w:t>
      </w:r>
      <w:r w:rsidR="00AB0812">
        <w:rPr>
          <w:snapToGrid w:val="0"/>
        </w:rPr>
        <w:t>logical</w:t>
      </w:r>
      <w:r w:rsidR="0026322F">
        <w:rPr>
          <w:snapToGrid w:val="0"/>
        </w:rPr>
        <w:t xml:space="preserve"> reference</w:t>
      </w:r>
      <w:r w:rsidR="00573533">
        <w:rPr>
          <w:snapToGrid w:val="0"/>
        </w:rPr>
        <w:t>:</w:t>
      </w:r>
    </w:p>
    <w:p w:rsidR="00573533" w:rsidRDefault="00573533">
      <w:pPr>
        <w:pStyle w:val="BodyText2"/>
        <w:rPr>
          <w:snapToGrid w:val="0"/>
        </w:rPr>
      </w:pPr>
    </w:p>
    <w:p w:rsidR="00084BA4" w:rsidRDefault="0026322F" w:rsidP="00F166DD">
      <w:pPr>
        <w:pStyle w:val="BodyText2"/>
        <w:numPr>
          <w:ilvl w:val="0"/>
          <w:numId w:val="2"/>
        </w:numPr>
        <w:spacing w:after="60"/>
        <w:rPr>
          <w:snapToGrid w:val="0"/>
        </w:rPr>
      </w:pPr>
      <w:r>
        <w:rPr>
          <w:snapToGrid w:val="0"/>
        </w:rPr>
        <w:t xml:space="preserve">Volume 1: </w:t>
      </w:r>
      <w:r w:rsidR="00292A9B">
        <w:rPr>
          <w:snapToGrid w:val="0"/>
        </w:rPr>
        <w:t>Includes the BCP Overview, Exhibit i: Ten-Year Conservation Potential and Two-Year Electric Target, Exhibit 3: Program Details, and Exhibit 4: Measures, Incentives &amp; Eligibility</w:t>
      </w:r>
      <w:r w:rsidR="00D56A55">
        <w:rPr>
          <w:snapToGrid w:val="0"/>
        </w:rPr>
        <w:t>.</w:t>
      </w:r>
      <w:r w:rsidR="00680E9F">
        <w:rPr>
          <w:snapToGrid w:val="0"/>
        </w:rPr>
        <w:t xml:space="preserve"> </w:t>
      </w:r>
      <w:r w:rsidR="003F3FF3">
        <w:rPr>
          <w:snapToGrid w:val="0"/>
        </w:rPr>
        <w:t>PSE also includes summary pages of Exhibit 1: Savings &amp; Budgets, and Exhibit 2: Cost-Effectiveness Calculations in this volume.</w:t>
      </w:r>
      <w:r w:rsidR="00680E9F">
        <w:rPr>
          <w:snapToGrid w:val="0"/>
        </w:rPr>
        <w:t xml:space="preserve"> </w:t>
      </w:r>
      <w:r w:rsidR="003F3FF3">
        <w:rPr>
          <w:snapToGrid w:val="0"/>
        </w:rPr>
        <w:t>This will allow Stakeholders to reference the majority of pertinent program information in a single, easy-to-manage binder.</w:t>
      </w:r>
    </w:p>
    <w:p w:rsidR="00084BA4" w:rsidRDefault="00292A9B" w:rsidP="00F166DD">
      <w:pPr>
        <w:pStyle w:val="BodyText2"/>
        <w:numPr>
          <w:ilvl w:val="0"/>
          <w:numId w:val="2"/>
        </w:numPr>
        <w:spacing w:after="60"/>
        <w:rPr>
          <w:snapToGrid w:val="0"/>
        </w:rPr>
      </w:pPr>
      <w:r>
        <w:rPr>
          <w:snapToGrid w:val="0"/>
        </w:rPr>
        <w:t xml:space="preserve">Volume 2: Includes </w:t>
      </w:r>
      <w:r w:rsidR="003F3FF3">
        <w:rPr>
          <w:snapToGrid w:val="0"/>
        </w:rPr>
        <w:t>the full</w:t>
      </w:r>
      <w:r w:rsidR="00AB0812">
        <w:rPr>
          <w:snapToGrid w:val="0"/>
        </w:rPr>
        <w:t>, 126-page</w:t>
      </w:r>
      <w:r w:rsidR="003F3FF3">
        <w:rPr>
          <w:snapToGrid w:val="0"/>
        </w:rPr>
        <w:t xml:space="preserve"> </w:t>
      </w:r>
      <w:r>
        <w:rPr>
          <w:snapToGrid w:val="0"/>
        </w:rPr>
        <w:t xml:space="preserve">Exhibit 1: </w:t>
      </w:r>
      <w:r w:rsidR="00AB0812">
        <w:rPr>
          <w:snapToGrid w:val="0"/>
        </w:rPr>
        <w:t>Savings</w:t>
      </w:r>
      <w:r>
        <w:rPr>
          <w:snapToGrid w:val="0"/>
        </w:rPr>
        <w:t xml:space="preserve"> &amp; </w:t>
      </w:r>
      <w:r w:rsidR="00AB0812">
        <w:rPr>
          <w:snapToGrid w:val="0"/>
        </w:rPr>
        <w:t>Budgets.</w:t>
      </w:r>
      <w:r w:rsidR="00680E9F">
        <w:rPr>
          <w:snapToGrid w:val="0"/>
        </w:rPr>
        <w:t xml:space="preserve"> </w:t>
      </w:r>
      <w:r w:rsidR="00AB0812">
        <w:rPr>
          <w:snapToGrid w:val="0"/>
        </w:rPr>
        <w:t xml:space="preserve">This document </w:t>
      </w:r>
      <w:r>
        <w:rPr>
          <w:snapToGrid w:val="0"/>
        </w:rPr>
        <w:t>is a comprehensive view of program-l</w:t>
      </w:r>
      <w:r w:rsidR="00AB0812">
        <w:rPr>
          <w:snapToGrid w:val="0"/>
        </w:rPr>
        <w:t>evel budget and savings details.</w:t>
      </w:r>
      <w:r>
        <w:rPr>
          <w:snapToGrid w:val="0"/>
        </w:rPr>
        <w:t xml:space="preserve"> </w:t>
      </w:r>
      <w:r w:rsidR="00AB0812">
        <w:rPr>
          <w:snapToGrid w:val="0"/>
        </w:rPr>
        <w:t xml:space="preserve">The volume also includes </w:t>
      </w:r>
      <w:r>
        <w:rPr>
          <w:snapToGrid w:val="0"/>
        </w:rPr>
        <w:t>Exhibit 2: Cost-Effectiveness Calculations, providing program-level detail</w:t>
      </w:r>
      <w:r w:rsidR="000D660F">
        <w:rPr>
          <w:snapToGrid w:val="0"/>
        </w:rPr>
        <w:t>ed</w:t>
      </w:r>
      <w:r>
        <w:rPr>
          <w:snapToGrid w:val="0"/>
        </w:rPr>
        <w:t xml:space="preserve"> cost-effectiveness </w:t>
      </w:r>
      <w:r w:rsidR="000D660F">
        <w:rPr>
          <w:snapToGrid w:val="0"/>
        </w:rPr>
        <w:t>calculation elements</w:t>
      </w:r>
      <w:r w:rsidR="00633642">
        <w:rPr>
          <w:snapToGrid w:val="0"/>
        </w:rPr>
        <w:t>, along with the remaining Exhibits</w:t>
      </w:r>
      <w:r w:rsidR="000D660F">
        <w:rPr>
          <w:snapToGrid w:val="0"/>
        </w:rPr>
        <w:t>.</w:t>
      </w:r>
      <w:r w:rsidR="00633642">
        <w:rPr>
          <w:rStyle w:val="FootnoteReference"/>
          <w:snapToGrid w:val="0"/>
        </w:rPr>
        <w:footnoteReference w:id="2"/>
      </w:r>
    </w:p>
    <w:p w:rsidR="00084BA4" w:rsidRDefault="00084BA4" w:rsidP="00F166DD">
      <w:pPr>
        <w:pStyle w:val="BodyText2"/>
        <w:ind w:left="360"/>
        <w:rPr>
          <w:snapToGrid w:val="0"/>
        </w:rPr>
      </w:pPr>
    </w:p>
    <w:p w:rsidR="00084BA4" w:rsidRDefault="006B1B27" w:rsidP="00F166DD">
      <w:pPr>
        <w:pStyle w:val="BodyText2"/>
        <w:rPr>
          <w:snapToGrid w:val="0"/>
        </w:rPr>
      </w:pPr>
      <w:r>
        <w:rPr>
          <w:snapToGrid w:val="0"/>
        </w:rPr>
        <w:t>Below is an outline of the e</w:t>
      </w:r>
      <w:r w:rsidR="004247CB">
        <w:rPr>
          <w:snapToGrid w:val="0"/>
        </w:rPr>
        <w:t>leven</w:t>
      </w:r>
      <w:r w:rsidR="00D56A55">
        <w:rPr>
          <w:snapToGrid w:val="0"/>
        </w:rPr>
        <w:t xml:space="preserve"> </w:t>
      </w:r>
      <w:r w:rsidR="00B23207">
        <w:rPr>
          <w:snapToGrid w:val="0"/>
        </w:rPr>
        <w:t>Exhibits</w:t>
      </w:r>
      <w:r w:rsidR="00AB0812">
        <w:rPr>
          <w:snapToGrid w:val="0"/>
        </w:rPr>
        <w:t xml:space="preserve">, </w:t>
      </w:r>
      <w:r>
        <w:rPr>
          <w:snapToGrid w:val="0"/>
        </w:rPr>
        <w:t xml:space="preserve">that </w:t>
      </w:r>
      <w:r w:rsidR="00AB0812">
        <w:rPr>
          <w:snapToGrid w:val="0"/>
        </w:rPr>
        <w:t>provid</w:t>
      </w:r>
      <w:r>
        <w:rPr>
          <w:snapToGrid w:val="0"/>
        </w:rPr>
        <w:t>e</w:t>
      </w:r>
      <w:r w:rsidR="00AB0812">
        <w:rPr>
          <w:snapToGrid w:val="0"/>
        </w:rPr>
        <w:t xml:space="preserve"> the 2016</w:t>
      </w:r>
      <w:r w:rsidR="002F143C">
        <w:rPr>
          <w:snapToGrid w:val="0"/>
        </w:rPr>
        <w:t>-201</w:t>
      </w:r>
      <w:r w:rsidR="00AB0812">
        <w:rPr>
          <w:snapToGrid w:val="0"/>
        </w:rPr>
        <w:t>7</w:t>
      </w:r>
      <w:r w:rsidR="00573533">
        <w:rPr>
          <w:snapToGrid w:val="0"/>
        </w:rPr>
        <w:t xml:space="preserve"> </w:t>
      </w:r>
      <w:r w:rsidR="00DD0912">
        <w:rPr>
          <w:snapToGrid w:val="0"/>
        </w:rPr>
        <w:t xml:space="preserve">Plan </w:t>
      </w:r>
      <w:r w:rsidR="00573533">
        <w:rPr>
          <w:snapToGrid w:val="0"/>
        </w:rPr>
        <w:t>detailed info</w:t>
      </w:r>
      <w:r w:rsidR="00DD0912">
        <w:rPr>
          <w:snapToGrid w:val="0"/>
        </w:rPr>
        <w:t>rmation required</w:t>
      </w:r>
      <w:r w:rsidR="00084BA4">
        <w:rPr>
          <w:snapToGrid w:val="0"/>
        </w:rPr>
        <w:t>,</w:t>
      </w:r>
      <w:r w:rsidR="00DD0912">
        <w:rPr>
          <w:snapToGrid w:val="0"/>
        </w:rPr>
        <w:t xml:space="preserve"> </w:t>
      </w:r>
      <w:r w:rsidR="00CA2DF0">
        <w:rPr>
          <w:snapToGrid w:val="0"/>
        </w:rPr>
        <w:t>consistent with</w:t>
      </w:r>
      <w:r w:rsidR="00DD0912">
        <w:rPr>
          <w:snapToGrid w:val="0"/>
        </w:rPr>
        <w:t xml:space="preserve"> </w:t>
      </w:r>
      <w:r w:rsidR="00D56A55">
        <w:rPr>
          <w:snapToGrid w:val="0"/>
        </w:rPr>
        <w:t>key</w:t>
      </w:r>
      <w:r w:rsidR="00680E9F">
        <w:rPr>
          <w:snapToGrid w:val="0"/>
        </w:rPr>
        <w:t xml:space="preserve"> </w:t>
      </w:r>
      <w:r w:rsidR="0016044B">
        <w:rPr>
          <w:snapToGrid w:val="0"/>
        </w:rPr>
        <w:t xml:space="preserve">requirements outlined in </w:t>
      </w:r>
      <w:r w:rsidR="00AB0812">
        <w:rPr>
          <w:snapToGrid w:val="0"/>
        </w:rPr>
        <w:t xml:space="preserve">WAC 480-109-120(1), and </w:t>
      </w:r>
      <w:r w:rsidR="004247CB">
        <w:rPr>
          <w:snapToGrid w:val="0"/>
        </w:rPr>
        <w:t xml:space="preserve">Appendix A of </w:t>
      </w:r>
      <w:r w:rsidR="0016044B">
        <w:rPr>
          <w:snapToGrid w:val="0"/>
        </w:rPr>
        <w:t xml:space="preserve">Order 01 </w:t>
      </w:r>
      <w:r w:rsidR="004247CB">
        <w:rPr>
          <w:snapToGrid w:val="0"/>
        </w:rPr>
        <w:t>in Docket No. UE-132043</w:t>
      </w:r>
      <w:r w:rsidR="00D56A55">
        <w:rPr>
          <w:snapToGrid w:val="0"/>
        </w:rPr>
        <w:t>:</w:t>
      </w:r>
    </w:p>
    <w:p w:rsidR="00084BA4" w:rsidRDefault="00084BA4" w:rsidP="00F166DD">
      <w:pPr>
        <w:pStyle w:val="BodyText2"/>
        <w:ind w:left="1440"/>
        <w:rPr>
          <w:i/>
          <w:snapToGrid w:val="0"/>
          <w:sz w:val="20"/>
        </w:rPr>
      </w:pPr>
    </w:p>
    <w:p w:rsidR="00084BA4" w:rsidRDefault="00E41DE5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 xml:space="preserve">Exhibit i: </w:t>
      </w:r>
      <w:r w:rsidR="00D56A55">
        <w:rPr>
          <w:snapToGrid w:val="0"/>
        </w:rPr>
        <w:t>Ten-year Conservation Potential and Two-year Conservation Targets</w:t>
      </w:r>
    </w:p>
    <w:p w:rsidR="00084BA4" w:rsidRDefault="00573533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 xml:space="preserve">Exhibit 1: </w:t>
      </w:r>
      <w:r w:rsidR="00AB0812">
        <w:rPr>
          <w:snapToGrid w:val="0"/>
        </w:rPr>
        <w:t>Savings</w:t>
      </w:r>
      <w:r w:rsidR="00633642">
        <w:rPr>
          <w:snapToGrid w:val="0"/>
        </w:rPr>
        <w:t xml:space="preserve"> and Budgets</w:t>
      </w:r>
    </w:p>
    <w:p w:rsidR="00084BA4" w:rsidRDefault="00DD0912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>Exhibit 2: Program Cost Effectiveness E</w:t>
      </w:r>
      <w:r w:rsidR="00573533">
        <w:rPr>
          <w:snapToGrid w:val="0"/>
        </w:rPr>
        <w:t>stimates</w:t>
      </w:r>
    </w:p>
    <w:p w:rsidR="00084BA4" w:rsidRDefault="00573533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 w:rsidRPr="00E41DE5">
        <w:rPr>
          <w:snapToGrid w:val="0"/>
        </w:rPr>
        <w:t xml:space="preserve">Exhibit 3: Program </w:t>
      </w:r>
      <w:r w:rsidR="00633642">
        <w:rPr>
          <w:snapToGrid w:val="0"/>
        </w:rPr>
        <w:t>Details</w:t>
      </w:r>
      <w:r w:rsidR="00DF2BE9">
        <w:rPr>
          <w:snapToGrid w:val="0"/>
        </w:rPr>
        <w:t xml:space="preserve"> </w:t>
      </w:r>
      <w:r w:rsidR="00DF2BE9" w:rsidRPr="00DF2BE9">
        <w:rPr>
          <w:i/>
          <w:snapToGrid w:val="0"/>
        </w:rPr>
        <w:t>(Excluded from Volume 2)</w:t>
      </w:r>
    </w:p>
    <w:p w:rsidR="00084BA4" w:rsidRDefault="00573533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 w:rsidRPr="00E41DE5">
        <w:rPr>
          <w:snapToGrid w:val="0"/>
        </w:rPr>
        <w:t>Exhibit 4: List of Measures, Incentives and Eligi</w:t>
      </w:r>
      <w:r>
        <w:rPr>
          <w:snapToGrid w:val="0"/>
        </w:rPr>
        <w:t>bility</w:t>
      </w:r>
      <w:r w:rsidR="00DF2BE9">
        <w:rPr>
          <w:snapToGrid w:val="0"/>
        </w:rPr>
        <w:t xml:space="preserve"> </w:t>
      </w:r>
      <w:r w:rsidR="00DF2BE9" w:rsidRPr="00DF2BE9">
        <w:rPr>
          <w:i/>
          <w:snapToGrid w:val="0"/>
        </w:rPr>
        <w:t>(Excluded from Volume 2)</w:t>
      </w:r>
    </w:p>
    <w:p w:rsidR="00084BA4" w:rsidRDefault="00F15AA5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 xml:space="preserve">Exhibit 5: </w:t>
      </w:r>
      <w:r w:rsidR="00084BA4">
        <w:rPr>
          <w:snapToGrid w:val="0"/>
        </w:rPr>
        <w:t>Prescriptive</w:t>
      </w:r>
      <w:r w:rsidR="004B31B1">
        <w:rPr>
          <w:snapToGrid w:val="0"/>
        </w:rPr>
        <w:t xml:space="preserve"> Measure Tables</w:t>
      </w:r>
    </w:p>
    <w:p w:rsidR="00084BA4" w:rsidRDefault="00573533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 xml:space="preserve">Exhibit 6: Evaluation </w:t>
      </w:r>
      <w:r w:rsidR="00F15AA5">
        <w:rPr>
          <w:snapToGrid w:val="0"/>
        </w:rPr>
        <w:t>P</w:t>
      </w:r>
      <w:r>
        <w:rPr>
          <w:snapToGrid w:val="0"/>
        </w:rPr>
        <w:t>lan</w:t>
      </w:r>
    </w:p>
    <w:p w:rsidR="00084BA4" w:rsidRDefault="00CA2DF0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 xml:space="preserve">Exhibit 7: Marketing </w:t>
      </w:r>
      <w:r w:rsidR="00633642">
        <w:rPr>
          <w:snapToGrid w:val="0"/>
        </w:rPr>
        <w:t xml:space="preserve">&amp; Outreach Executive Summary </w:t>
      </w:r>
    </w:p>
    <w:p w:rsidR="00084BA4" w:rsidRDefault="00633642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>Exhibit 8: EM&amp;V Framework</w:t>
      </w:r>
    </w:p>
    <w:p w:rsidR="00084BA4" w:rsidRDefault="00E41DE5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>Exhibit 10:</w:t>
      </w:r>
      <w:r w:rsidR="00680E9F">
        <w:rPr>
          <w:snapToGrid w:val="0"/>
        </w:rPr>
        <w:t xml:space="preserve"> </w:t>
      </w:r>
      <w:r>
        <w:rPr>
          <w:snapToGrid w:val="0"/>
        </w:rPr>
        <w:t>Northwest Energy Efficiency Alliance (NEEA) Plan</w:t>
      </w:r>
    </w:p>
    <w:p w:rsidR="00084BA4" w:rsidRDefault="00421F05" w:rsidP="00F166DD">
      <w:pPr>
        <w:pStyle w:val="BodyText2"/>
        <w:numPr>
          <w:ilvl w:val="0"/>
          <w:numId w:val="1"/>
        </w:numPr>
        <w:tabs>
          <w:tab w:val="num" w:pos="720"/>
        </w:tabs>
        <w:ind w:left="720"/>
        <w:rPr>
          <w:snapToGrid w:val="0"/>
        </w:rPr>
      </w:pPr>
      <w:r>
        <w:rPr>
          <w:snapToGrid w:val="0"/>
        </w:rPr>
        <w:t>Exhibit 11: 2016-2017</w:t>
      </w:r>
      <w:r w:rsidR="00B23207">
        <w:rPr>
          <w:snapToGrid w:val="0"/>
        </w:rPr>
        <w:t xml:space="preserve"> Tariff Revisions</w:t>
      </w:r>
    </w:p>
    <w:p w:rsidR="00084BA4" w:rsidRDefault="00084BA4" w:rsidP="00F166DD">
      <w:pPr>
        <w:pStyle w:val="BodyText2"/>
        <w:tabs>
          <w:tab w:val="num" w:pos="1080"/>
        </w:tabs>
        <w:rPr>
          <w:snapToGrid w:val="0"/>
        </w:rPr>
      </w:pPr>
    </w:p>
    <w:p w:rsidR="006B43F9" w:rsidRDefault="006B43F9">
      <w:pPr>
        <w:pStyle w:val="BodyText2"/>
        <w:rPr>
          <w:snapToGrid w:val="0"/>
        </w:rPr>
      </w:pPr>
      <w:r>
        <w:rPr>
          <w:snapToGrid w:val="0"/>
        </w:rPr>
        <w:br w:type="page"/>
      </w:r>
    </w:p>
    <w:p w:rsidR="00653A00" w:rsidRDefault="00633642">
      <w:pPr>
        <w:pStyle w:val="BodyText2"/>
        <w:rPr>
          <w:snapToGrid w:val="0"/>
        </w:rPr>
      </w:pPr>
      <w:r>
        <w:rPr>
          <w:snapToGrid w:val="0"/>
        </w:rPr>
        <w:lastRenderedPageBreak/>
        <w:t>It is important to note that Exhibit 9: Condition Compliance Checklist is excluded from the Plan, as it is a backward-looking document, reflecting PSE’s achieved compliance with regulatory requirements.</w:t>
      </w:r>
      <w:r w:rsidR="00680E9F">
        <w:rPr>
          <w:snapToGrid w:val="0"/>
        </w:rPr>
        <w:t xml:space="preserve"> </w:t>
      </w:r>
      <w:r w:rsidR="00912EDE">
        <w:rPr>
          <w:snapToGrid w:val="0"/>
        </w:rPr>
        <w:t xml:space="preserve"> </w:t>
      </w:r>
      <w:r w:rsidR="00421F05">
        <w:rPr>
          <w:snapToGrid w:val="0"/>
        </w:rPr>
        <w:t>Exhibit 9 will be included as a part of PSE’s Annual Report of Energy Conservation Accomplishments</w:t>
      </w:r>
      <w:r w:rsidR="006B1B27">
        <w:rPr>
          <w:snapToGrid w:val="0"/>
        </w:rPr>
        <w:t>, submitted on March 1, 2016</w:t>
      </w:r>
      <w:r w:rsidR="00421F05">
        <w:rPr>
          <w:snapToGrid w:val="0"/>
        </w:rPr>
        <w:t>.</w:t>
      </w:r>
    </w:p>
    <w:p w:rsidR="00633642" w:rsidRDefault="00633642">
      <w:pPr>
        <w:pStyle w:val="BodyText2"/>
        <w:rPr>
          <w:snapToGrid w:val="0"/>
        </w:rPr>
      </w:pPr>
    </w:p>
    <w:p w:rsidR="006B43F9" w:rsidRPr="006B43F9" w:rsidRDefault="00912EDE" w:rsidP="001A35B8">
      <w:pPr>
        <w:pStyle w:val="BodyText"/>
        <w:rPr>
          <w:b/>
          <w:sz w:val="24"/>
        </w:rPr>
      </w:pPr>
      <w:r>
        <w:rPr>
          <w:b/>
          <w:sz w:val="24"/>
        </w:rPr>
        <w:t>Plan</w:t>
      </w:r>
      <w:r w:rsidR="006B43F9" w:rsidRPr="006B43F9">
        <w:rPr>
          <w:b/>
          <w:sz w:val="24"/>
        </w:rPr>
        <w:t xml:space="preserve"> Development Deliverables</w:t>
      </w:r>
    </w:p>
    <w:p w:rsidR="006B43F9" w:rsidRDefault="006B43F9" w:rsidP="001A35B8">
      <w:pPr>
        <w:pStyle w:val="BodyText"/>
        <w:rPr>
          <w:sz w:val="24"/>
        </w:rPr>
      </w:pPr>
    </w:p>
    <w:p w:rsidR="001A35B8" w:rsidRDefault="00060A32" w:rsidP="001A35B8">
      <w:pPr>
        <w:pStyle w:val="BodyText"/>
        <w:rPr>
          <w:sz w:val="24"/>
        </w:rPr>
      </w:pPr>
      <w:r>
        <w:rPr>
          <w:sz w:val="24"/>
        </w:rPr>
        <w:t>PSE</w:t>
      </w:r>
      <w:r w:rsidR="00D41544" w:rsidRPr="00886577">
        <w:rPr>
          <w:sz w:val="24"/>
        </w:rPr>
        <w:t xml:space="preserve"> and </w:t>
      </w:r>
      <w:r w:rsidR="00D41544">
        <w:rPr>
          <w:sz w:val="24"/>
        </w:rPr>
        <w:t>the</w:t>
      </w:r>
      <w:r w:rsidR="00D41544" w:rsidRPr="00886577">
        <w:rPr>
          <w:sz w:val="24"/>
        </w:rPr>
        <w:t xml:space="preserve"> </w:t>
      </w:r>
      <w:r w:rsidR="00DF2BE9">
        <w:rPr>
          <w:sz w:val="24"/>
        </w:rPr>
        <w:t>CRAG</w:t>
      </w:r>
      <w:r w:rsidR="00D41544" w:rsidRPr="00886577">
        <w:rPr>
          <w:sz w:val="24"/>
        </w:rPr>
        <w:t xml:space="preserve"> </w:t>
      </w:r>
      <w:r w:rsidR="006B1B27">
        <w:rPr>
          <w:sz w:val="24"/>
        </w:rPr>
        <w:t>collaborated</w:t>
      </w:r>
      <w:r w:rsidR="006B1B27" w:rsidRPr="00886577">
        <w:rPr>
          <w:sz w:val="24"/>
        </w:rPr>
        <w:t xml:space="preserve"> </w:t>
      </w:r>
      <w:r w:rsidR="00421F05">
        <w:rPr>
          <w:sz w:val="24"/>
        </w:rPr>
        <w:t>four times</w:t>
      </w:r>
      <w:r w:rsidR="00084BA4">
        <w:rPr>
          <w:sz w:val="24"/>
        </w:rPr>
        <w:t xml:space="preserve"> </w:t>
      </w:r>
      <w:r w:rsidR="00CA2DF0">
        <w:rPr>
          <w:sz w:val="24"/>
        </w:rPr>
        <w:t>throughout 201</w:t>
      </w:r>
      <w:r w:rsidR="00421F05">
        <w:rPr>
          <w:sz w:val="24"/>
        </w:rPr>
        <w:t>5</w:t>
      </w:r>
      <w:r w:rsidR="00D41544">
        <w:rPr>
          <w:sz w:val="24"/>
        </w:rPr>
        <w:t xml:space="preserve"> </w:t>
      </w:r>
      <w:r w:rsidR="00D41544" w:rsidRPr="00886577">
        <w:rPr>
          <w:sz w:val="24"/>
        </w:rPr>
        <w:t xml:space="preserve">to share and discuss plans for </w:t>
      </w:r>
      <w:r w:rsidR="00D41544">
        <w:rPr>
          <w:sz w:val="24"/>
        </w:rPr>
        <w:t>energy efficiency</w:t>
      </w:r>
      <w:r w:rsidR="00D41544" w:rsidRPr="00886577">
        <w:rPr>
          <w:sz w:val="24"/>
        </w:rPr>
        <w:t xml:space="preserve"> programs, </w:t>
      </w:r>
      <w:r w:rsidR="00DD0912">
        <w:rPr>
          <w:sz w:val="24"/>
        </w:rPr>
        <w:t>establish and agree upon</w:t>
      </w:r>
      <w:r w:rsidR="00421F05">
        <w:rPr>
          <w:sz w:val="24"/>
        </w:rPr>
        <w:t xml:space="preserve"> </w:t>
      </w:r>
      <w:r w:rsidR="00D41544" w:rsidRPr="00886577">
        <w:rPr>
          <w:sz w:val="24"/>
        </w:rPr>
        <w:t>targets and budgets, and agree on a course of action for 20</w:t>
      </w:r>
      <w:r w:rsidR="00D41544">
        <w:rPr>
          <w:sz w:val="24"/>
        </w:rPr>
        <w:t>1</w:t>
      </w:r>
      <w:r w:rsidR="00421F05">
        <w:rPr>
          <w:sz w:val="24"/>
        </w:rPr>
        <w:t>6</w:t>
      </w:r>
      <w:r w:rsidR="00084BA4">
        <w:rPr>
          <w:sz w:val="24"/>
        </w:rPr>
        <w:t>-201</w:t>
      </w:r>
      <w:r w:rsidR="00421F05">
        <w:rPr>
          <w:sz w:val="24"/>
        </w:rPr>
        <w:t>7</w:t>
      </w:r>
      <w:r w:rsidR="00D41544" w:rsidRPr="00886577">
        <w:rPr>
          <w:sz w:val="24"/>
        </w:rPr>
        <w:t>.</w:t>
      </w:r>
      <w:r w:rsidR="00912EDE">
        <w:rPr>
          <w:sz w:val="24"/>
        </w:rPr>
        <w:t xml:space="preserve"> </w:t>
      </w:r>
      <w:r w:rsidR="00680E9F">
        <w:rPr>
          <w:sz w:val="24"/>
        </w:rPr>
        <w:t xml:space="preserve"> </w:t>
      </w:r>
      <w:r w:rsidR="001A35B8" w:rsidRPr="00886577">
        <w:rPr>
          <w:sz w:val="24"/>
        </w:rPr>
        <w:t xml:space="preserve">In accordance with </w:t>
      </w:r>
      <w:r w:rsidR="00EF3CAC">
        <w:rPr>
          <w:sz w:val="24"/>
        </w:rPr>
        <w:t xml:space="preserve">Condition </w:t>
      </w:r>
      <w:r w:rsidR="00421F05">
        <w:rPr>
          <w:sz w:val="24"/>
        </w:rPr>
        <w:t>(8)(d</w:t>
      </w:r>
      <w:r w:rsidR="001A35B8">
        <w:rPr>
          <w:sz w:val="24"/>
        </w:rPr>
        <w:t>),</w:t>
      </w:r>
      <w:r w:rsidR="001A35B8" w:rsidRPr="00886577">
        <w:rPr>
          <w:sz w:val="24"/>
        </w:rPr>
        <w:t xml:space="preserve"> </w:t>
      </w:r>
      <w:r w:rsidR="00084BA4">
        <w:rPr>
          <w:sz w:val="24"/>
        </w:rPr>
        <w:t xml:space="preserve">PSE provided </w:t>
      </w:r>
      <w:r w:rsidR="001A35B8">
        <w:rPr>
          <w:sz w:val="24"/>
        </w:rPr>
        <w:t>CRAG</w:t>
      </w:r>
      <w:r w:rsidR="001A35B8" w:rsidRPr="00886577">
        <w:rPr>
          <w:sz w:val="24"/>
        </w:rPr>
        <w:t xml:space="preserve"> members </w:t>
      </w:r>
      <w:r w:rsidR="001A35B8">
        <w:rPr>
          <w:sz w:val="24"/>
        </w:rPr>
        <w:t>the following elements of the Plan in preparation for this filing:</w:t>
      </w:r>
    </w:p>
    <w:p w:rsidR="001A35B8" w:rsidRDefault="001A35B8" w:rsidP="001A35B8">
      <w:pPr>
        <w:pStyle w:val="BodyText"/>
        <w:rPr>
          <w:sz w:val="24"/>
        </w:rPr>
      </w:pPr>
    </w:p>
    <w:p w:rsidR="00DF2BE9" w:rsidRDefault="00DF2BE9" w:rsidP="001A35B8">
      <w:pPr>
        <w:pStyle w:val="BodyText"/>
        <w:rPr>
          <w:sz w:val="24"/>
        </w:rPr>
      </w:pPr>
      <w:r>
        <w:rPr>
          <w:sz w:val="24"/>
        </w:rPr>
        <w:t>May 21:</w:t>
      </w:r>
      <w:r>
        <w:rPr>
          <w:sz w:val="24"/>
        </w:rPr>
        <w:tab/>
        <w:t>Review steps to calculate the conservation potential and 2015 IRP guidance.</w:t>
      </w:r>
      <w:r>
        <w:rPr>
          <w:rStyle w:val="FootnoteReference"/>
          <w:sz w:val="24"/>
        </w:rPr>
        <w:footnoteReference w:id="3"/>
      </w:r>
    </w:p>
    <w:p w:rsidR="001A35B8" w:rsidRDefault="00452F52" w:rsidP="001A35B8">
      <w:pPr>
        <w:pStyle w:val="BodyText"/>
        <w:rPr>
          <w:sz w:val="24"/>
        </w:rPr>
      </w:pPr>
      <w:r>
        <w:rPr>
          <w:sz w:val="24"/>
        </w:rPr>
        <w:t>July 16</w:t>
      </w:r>
      <w:r w:rsidR="001A35B8">
        <w:rPr>
          <w:sz w:val="24"/>
        </w:rPr>
        <w:t>:</w:t>
      </w:r>
      <w:r w:rsidR="001A35B8">
        <w:rPr>
          <w:sz w:val="24"/>
        </w:rPr>
        <w:tab/>
        <w:t>Ten-year Conservation Potential and Two-year C</w:t>
      </w:r>
      <w:r>
        <w:rPr>
          <w:sz w:val="24"/>
        </w:rPr>
        <w:t>onservation Target for 2016-2017</w:t>
      </w:r>
    </w:p>
    <w:p w:rsidR="00452F52" w:rsidRDefault="00452F52" w:rsidP="001A35B8">
      <w:pPr>
        <w:pStyle w:val="BodyText"/>
        <w:rPr>
          <w:sz w:val="24"/>
        </w:rPr>
      </w:pPr>
      <w:r>
        <w:rPr>
          <w:sz w:val="24"/>
        </w:rPr>
        <w:t>August 20</w:t>
      </w:r>
      <w:r w:rsidR="00EF3CAC">
        <w:rPr>
          <w:sz w:val="24"/>
        </w:rPr>
        <w:t>:</w:t>
      </w:r>
      <w:r w:rsidR="001A35B8">
        <w:rPr>
          <w:sz w:val="24"/>
        </w:rPr>
        <w:tab/>
        <w:t>Draft budget details and draft program details</w:t>
      </w:r>
    </w:p>
    <w:p w:rsidR="001A35B8" w:rsidRDefault="00452F52" w:rsidP="001A35B8">
      <w:pPr>
        <w:pStyle w:val="BodyText"/>
        <w:rPr>
          <w:sz w:val="24"/>
        </w:rPr>
      </w:pPr>
      <w:r>
        <w:rPr>
          <w:sz w:val="24"/>
        </w:rPr>
        <w:t>September 17:</w:t>
      </w:r>
      <w:r>
        <w:rPr>
          <w:sz w:val="24"/>
        </w:rPr>
        <w:tab/>
      </w:r>
      <w:r w:rsidR="001A35B8">
        <w:rPr>
          <w:sz w:val="24"/>
        </w:rPr>
        <w:t>Draft tariff schedule revisions</w:t>
      </w:r>
    </w:p>
    <w:p w:rsidR="001A35B8" w:rsidRDefault="001A35B8" w:rsidP="001A35B8">
      <w:pPr>
        <w:pStyle w:val="BodyText"/>
        <w:rPr>
          <w:sz w:val="24"/>
        </w:rPr>
      </w:pPr>
    </w:p>
    <w:p w:rsidR="00D41544" w:rsidRPr="00406650" w:rsidRDefault="00452F52" w:rsidP="0050085D">
      <w:pPr>
        <w:pStyle w:val="BodyText"/>
        <w:rPr>
          <w:sz w:val="24"/>
        </w:rPr>
      </w:pPr>
      <w:r>
        <w:rPr>
          <w:sz w:val="24"/>
        </w:rPr>
        <w:t>An electronic copy of the complete Plan, including all E</w:t>
      </w:r>
      <w:r w:rsidR="001A35B8">
        <w:rPr>
          <w:sz w:val="24"/>
        </w:rPr>
        <w:t xml:space="preserve">xhibits, will be mailed to each CRAG member </w:t>
      </w:r>
      <w:r>
        <w:rPr>
          <w:sz w:val="24"/>
        </w:rPr>
        <w:t>concurrently</w:t>
      </w:r>
      <w:r w:rsidR="00EF3CAC">
        <w:rPr>
          <w:sz w:val="24"/>
        </w:rPr>
        <w:t xml:space="preserve"> </w:t>
      </w:r>
      <w:r>
        <w:rPr>
          <w:sz w:val="24"/>
        </w:rPr>
        <w:t>with</w:t>
      </w:r>
      <w:r w:rsidR="001A35B8">
        <w:rPr>
          <w:sz w:val="24"/>
        </w:rPr>
        <w:t xml:space="preserve"> this filing.</w:t>
      </w:r>
      <w:r w:rsidR="00680E9F">
        <w:rPr>
          <w:sz w:val="24"/>
        </w:rPr>
        <w:t xml:space="preserve"> </w:t>
      </w:r>
      <w:r w:rsidR="00385747">
        <w:rPr>
          <w:sz w:val="24"/>
        </w:rPr>
        <w:t xml:space="preserve"> </w:t>
      </w:r>
      <w:r w:rsidR="006413B0">
        <w:rPr>
          <w:color w:val="000000"/>
          <w:sz w:val="24"/>
        </w:rPr>
        <w:t>Revisions to tariff sheets</w:t>
      </w:r>
      <w:r w:rsidR="00B47F87">
        <w:rPr>
          <w:color w:val="000000"/>
          <w:sz w:val="24"/>
        </w:rPr>
        <w:t xml:space="preserve"> </w:t>
      </w:r>
      <w:r w:rsidR="006413B0">
        <w:rPr>
          <w:color w:val="000000"/>
          <w:sz w:val="24"/>
        </w:rPr>
        <w:t>(included in separate filing</w:t>
      </w:r>
      <w:r w:rsidR="00385747">
        <w:rPr>
          <w:color w:val="000000"/>
          <w:sz w:val="24"/>
        </w:rPr>
        <w:t>s</w:t>
      </w:r>
      <w:r w:rsidR="001A35B8">
        <w:rPr>
          <w:color w:val="000000"/>
          <w:sz w:val="24"/>
        </w:rPr>
        <w:t xml:space="preserve"> and attached as </w:t>
      </w:r>
      <w:r w:rsidR="00561ED5">
        <w:rPr>
          <w:color w:val="000000"/>
          <w:sz w:val="24"/>
        </w:rPr>
        <w:t>Exhibit 11</w:t>
      </w:r>
      <w:r w:rsidR="001A35B8">
        <w:rPr>
          <w:color w:val="000000"/>
          <w:sz w:val="24"/>
        </w:rPr>
        <w:t xml:space="preserve"> to this Plan</w:t>
      </w:r>
      <w:r w:rsidR="006413B0">
        <w:rPr>
          <w:color w:val="000000"/>
          <w:sz w:val="24"/>
        </w:rPr>
        <w:t xml:space="preserve">) </w:t>
      </w:r>
      <w:r w:rsidR="00182782">
        <w:rPr>
          <w:color w:val="000000"/>
          <w:sz w:val="24"/>
        </w:rPr>
        <w:t>clarify terminology, update</w:t>
      </w:r>
      <w:r w:rsidR="00B47F87">
        <w:rPr>
          <w:color w:val="000000"/>
          <w:sz w:val="24"/>
        </w:rPr>
        <w:t xml:space="preserve"> </w:t>
      </w:r>
      <w:r w:rsidR="00406650">
        <w:rPr>
          <w:color w:val="000000"/>
          <w:sz w:val="24"/>
        </w:rPr>
        <w:t xml:space="preserve">budgets and </w:t>
      </w:r>
      <w:r w:rsidR="006B1B27">
        <w:rPr>
          <w:color w:val="000000"/>
          <w:sz w:val="24"/>
        </w:rPr>
        <w:t xml:space="preserve">provide </w:t>
      </w:r>
      <w:r w:rsidR="00406650">
        <w:rPr>
          <w:color w:val="000000"/>
          <w:sz w:val="24"/>
        </w:rPr>
        <w:t>Plan effective dates.</w:t>
      </w:r>
      <w:r w:rsidR="00D41544">
        <w:rPr>
          <w:color w:val="000000"/>
          <w:sz w:val="24"/>
        </w:rPr>
        <w:t xml:space="preserve"> </w:t>
      </w:r>
    </w:p>
    <w:p w:rsidR="00261137" w:rsidRDefault="00261137" w:rsidP="0050085D">
      <w:pPr>
        <w:pStyle w:val="BodyText"/>
        <w:rPr>
          <w:sz w:val="24"/>
        </w:rPr>
      </w:pPr>
    </w:p>
    <w:p w:rsidR="00F15AA5" w:rsidRDefault="00CA498C" w:rsidP="0050085D">
      <w:pPr>
        <w:pStyle w:val="BodyText"/>
        <w:rPr>
          <w:sz w:val="24"/>
        </w:rPr>
      </w:pPr>
      <w:r>
        <w:rPr>
          <w:sz w:val="24"/>
        </w:rPr>
        <w:t xml:space="preserve">Since providing the first deliverable in </w:t>
      </w:r>
      <w:r w:rsidR="00561ED5">
        <w:rPr>
          <w:sz w:val="24"/>
        </w:rPr>
        <w:t>July</w:t>
      </w:r>
      <w:r>
        <w:rPr>
          <w:sz w:val="24"/>
        </w:rPr>
        <w:t xml:space="preserve"> 201</w:t>
      </w:r>
      <w:r w:rsidR="00406650">
        <w:rPr>
          <w:sz w:val="24"/>
        </w:rPr>
        <w:t>5</w:t>
      </w:r>
      <w:r w:rsidR="006F51F6" w:rsidRPr="00000224">
        <w:rPr>
          <w:sz w:val="24"/>
        </w:rPr>
        <w:t xml:space="preserve">, </w:t>
      </w:r>
      <w:r w:rsidR="00060A32">
        <w:rPr>
          <w:sz w:val="24"/>
        </w:rPr>
        <w:t>PSE</w:t>
      </w:r>
      <w:r w:rsidR="00000224" w:rsidRPr="00000224">
        <w:rPr>
          <w:sz w:val="24"/>
        </w:rPr>
        <w:t xml:space="preserve"> has </w:t>
      </w:r>
      <w:r w:rsidR="00000224">
        <w:rPr>
          <w:sz w:val="24"/>
        </w:rPr>
        <w:t xml:space="preserve">provided responses to all </w:t>
      </w:r>
      <w:r w:rsidR="00000224" w:rsidRPr="001A35B8">
        <w:rPr>
          <w:sz w:val="24"/>
        </w:rPr>
        <w:t xml:space="preserve">questions </w:t>
      </w:r>
      <w:r w:rsidR="00626B68" w:rsidRPr="00F166DD">
        <w:rPr>
          <w:sz w:val="24"/>
        </w:rPr>
        <w:t>from CRAG members</w:t>
      </w:r>
      <w:r w:rsidR="00000224" w:rsidRPr="001A35B8">
        <w:rPr>
          <w:sz w:val="24"/>
        </w:rPr>
        <w:t xml:space="preserve"> relative</w:t>
      </w:r>
      <w:r w:rsidR="00000224">
        <w:rPr>
          <w:sz w:val="24"/>
        </w:rPr>
        <w:t xml:space="preserve"> to the Plan and will continue to </w:t>
      </w:r>
      <w:r>
        <w:rPr>
          <w:sz w:val="24"/>
        </w:rPr>
        <w:t xml:space="preserve">respond to </w:t>
      </w:r>
      <w:r w:rsidR="00000224">
        <w:rPr>
          <w:sz w:val="24"/>
        </w:rPr>
        <w:t>all questions going forward.</w:t>
      </w:r>
    </w:p>
    <w:p w:rsidR="00000224" w:rsidRDefault="00000224" w:rsidP="0050085D">
      <w:pPr>
        <w:pStyle w:val="BodyText"/>
        <w:rPr>
          <w:sz w:val="24"/>
        </w:rPr>
      </w:pPr>
    </w:p>
    <w:p w:rsidR="006B43F9" w:rsidRPr="006B43F9" w:rsidRDefault="00912EDE" w:rsidP="0050085D">
      <w:pPr>
        <w:pStyle w:val="BodyText"/>
        <w:rPr>
          <w:b/>
          <w:sz w:val="24"/>
        </w:rPr>
      </w:pPr>
      <w:r>
        <w:rPr>
          <w:b/>
          <w:sz w:val="24"/>
        </w:rPr>
        <w:t>Plan</w:t>
      </w:r>
      <w:r w:rsidR="006B43F9" w:rsidRPr="006B43F9">
        <w:rPr>
          <w:b/>
          <w:sz w:val="24"/>
        </w:rPr>
        <w:t xml:space="preserve"> Publication</w:t>
      </w:r>
    </w:p>
    <w:p w:rsidR="006B43F9" w:rsidRDefault="006B43F9" w:rsidP="0050085D">
      <w:pPr>
        <w:pStyle w:val="BodyText"/>
        <w:rPr>
          <w:sz w:val="24"/>
        </w:rPr>
      </w:pPr>
    </w:p>
    <w:p w:rsidR="00F15AA5" w:rsidRPr="00886577" w:rsidRDefault="00F15AA5" w:rsidP="0050085D">
      <w:pPr>
        <w:pStyle w:val="BodyText"/>
        <w:rPr>
          <w:sz w:val="24"/>
        </w:rPr>
      </w:pPr>
      <w:r>
        <w:rPr>
          <w:sz w:val="24"/>
        </w:rPr>
        <w:t xml:space="preserve">Exhibits 1 through </w:t>
      </w:r>
      <w:proofErr w:type="gramStart"/>
      <w:r w:rsidR="00561ED5">
        <w:rPr>
          <w:sz w:val="24"/>
        </w:rPr>
        <w:t>4</w:t>
      </w:r>
      <w:r w:rsidR="00D505CE">
        <w:rPr>
          <w:sz w:val="24"/>
        </w:rPr>
        <w:t>,</w:t>
      </w:r>
      <w:proofErr w:type="gramEnd"/>
      <w:r>
        <w:rPr>
          <w:sz w:val="24"/>
        </w:rPr>
        <w:t xml:space="preserve"> will be posted on </w:t>
      </w:r>
      <w:r w:rsidR="00561ED5">
        <w:rPr>
          <w:sz w:val="24"/>
        </w:rPr>
        <w:t xml:space="preserve">the </w:t>
      </w:r>
      <w:r>
        <w:rPr>
          <w:sz w:val="24"/>
        </w:rPr>
        <w:t>PSE</w:t>
      </w:r>
      <w:r w:rsidR="00561ED5">
        <w:rPr>
          <w:sz w:val="24"/>
        </w:rPr>
        <w:t xml:space="preserve"> website</w:t>
      </w:r>
      <w:r w:rsidR="00084BA4">
        <w:rPr>
          <w:sz w:val="24"/>
        </w:rPr>
        <w:t xml:space="preserve"> </w:t>
      </w:r>
      <w:r w:rsidR="006B1B27">
        <w:rPr>
          <w:sz w:val="24"/>
        </w:rPr>
        <w:t>(</w:t>
      </w:r>
      <w:hyperlink r:id="rId9" w:history="1">
        <w:r w:rsidR="006B1B27" w:rsidRPr="00660888">
          <w:rPr>
            <w:rStyle w:val="Hyperlink"/>
            <w:sz w:val="24"/>
          </w:rPr>
          <w:t>www.PSE.com</w:t>
        </w:r>
      </w:hyperlink>
      <w:r w:rsidR="006B1B27">
        <w:rPr>
          <w:sz w:val="24"/>
        </w:rPr>
        <w:t xml:space="preserve">) </w:t>
      </w:r>
      <w:r w:rsidR="00084BA4">
        <w:rPr>
          <w:sz w:val="24"/>
        </w:rPr>
        <w:t>following Commission approval</w:t>
      </w:r>
      <w:r w:rsidR="00406650">
        <w:rPr>
          <w:sz w:val="24"/>
        </w:rPr>
        <w:t>.</w:t>
      </w:r>
      <w:r w:rsidR="00680E9F">
        <w:rPr>
          <w:sz w:val="24"/>
        </w:rPr>
        <w:t xml:space="preserve"> </w:t>
      </w:r>
      <w:r w:rsidR="00385747">
        <w:rPr>
          <w:sz w:val="24"/>
        </w:rPr>
        <w:t xml:space="preserve"> </w:t>
      </w:r>
      <w:r w:rsidR="00406650">
        <w:rPr>
          <w:sz w:val="24"/>
        </w:rPr>
        <w:t>Due to the document size, t</w:t>
      </w:r>
      <w:r w:rsidR="00D505CE">
        <w:rPr>
          <w:sz w:val="24"/>
        </w:rPr>
        <w:t>he posted Exhib</w:t>
      </w:r>
      <w:r w:rsidR="00406650">
        <w:rPr>
          <w:sz w:val="24"/>
        </w:rPr>
        <w:t>it 1 will be limited to the 2016-2017</w:t>
      </w:r>
      <w:r w:rsidR="00D505CE">
        <w:rPr>
          <w:sz w:val="24"/>
        </w:rPr>
        <w:t xml:space="preserve"> portfolio view only.</w:t>
      </w:r>
      <w:r w:rsidR="00385747">
        <w:rPr>
          <w:sz w:val="24"/>
        </w:rPr>
        <w:t xml:space="preserve"> </w:t>
      </w:r>
      <w:r w:rsidR="00680E9F">
        <w:rPr>
          <w:sz w:val="24"/>
        </w:rPr>
        <w:t xml:space="preserve"> </w:t>
      </w:r>
      <w:r w:rsidR="00D505CE">
        <w:rPr>
          <w:sz w:val="24"/>
        </w:rPr>
        <w:t>Exhibits 2 through 4 will replace documents currently posted.</w:t>
      </w:r>
      <w:r w:rsidR="00680E9F">
        <w:rPr>
          <w:sz w:val="24"/>
        </w:rPr>
        <w:t xml:space="preserve"> </w:t>
      </w:r>
      <w:r w:rsidR="00385747">
        <w:rPr>
          <w:sz w:val="24"/>
        </w:rPr>
        <w:t xml:space="preserve"> </w:t>
      </w:r>
      <w:r w:rsidR="00D505CE">
        <w:rPr>
          <w:sz w:val="24"/>
        </w:rPr>
        <w:t>Tariff sheet revisions will not be posted alongside the other Exhibits, as tariff sheets are posted in a separate section of the website</w:t>
      </w:r>
      <w:r w:rsidR="00385747">
        <w:rPr>
          <w:sz w:val="24"/>
        </w:rPr>
        <w:t>,</w:t>
      </w:r>
      <w:r w:rsidR="00680E9F">
        <w:rPr>
          <w:sz w:val="24"/>
        </w:rPr>
        <w:t xml:space="preserve"> </w:t>
      </w:r>
      <w:r w:rsidR="00DA4232">
        <w:rPr>
          <w:sz w:val="24"/>
        </w:rPr>
        <w:t xml:space="preserve">at </w:t>
      </w:r>
      <w:r w:rsidR="00DA4232" w:rsidRPr="00817872">
        <w:rPr>
          <w:sz w:val="24"/>
        </w:rPr>
        <w:t>https://pse.com/aboutpse/Rates/Pages/default.aspx</w:t>
      </w:r>
      <w:r w:rsidR="00DA4232">
        <w:rPr>
          <w:sz w:val="24"/>
        </w:rPr>
        <w:t>.</w:t>
      </w:r>
    </w:p>
    <w:p w:rsidR="004C53F5" w:rsidRDefault="004C53F5">
      <w:pPr>
        <w:pStyle w:val="BodyText"/>
        <w:rPr>
          <w:sz w:val="24"/>
        </w:rPr>
      </w:pPr>
    </w:p>
    <w:p w:rsidR="006B43F9" w:rsidRDefault="006B43F9">
      <w:pPr>
        <w:pStyle w:val="BodyText"/>
        <w:rPr>
          <w:sz w:val="24"/>
        </w:rPr>
      </w:pPr>
      <w:r>
        <w:rPr>
          <w:sz w:val="24"/>
        </w:rPr>
        <w:br w:type="page"/>
      </w:r>
    </w:p>
    <w:p w:rsidR="00554819" w:rsidRPr="00886577" w:rsidRDefault="00554819">
      <w:pPr>
        <w:pStyle w:val="BodyText"/>
        <w:rPr>
          <w:sz w:val="24"/>
        </w:rPr>
      </w:pPr>
      <w:r w:rsidRPr="00886577">
        <w:rPr>
          <w:sz w:val="24"/>
        </w:rPr>
        <w:lastRenderedPageBreak/>
        <w:t xml:space="preserve">Please contact Lynn Logen at (425) 462-3872 for general information about this filing or contact </w:t>
      </w:r>
      <w:r w:rsidR="004E27AC" w:rsidRPr="00886577">
        <w:rPr>
          <w:sz w:val="24"/>
        </w:rPr>
        <w:t>Andy Hemstreet</w:t>
      </w:r>
      <w:r w:rsidRPr="00886577">
        <w:rPr>
          <w:sz w:val="24"/>
        </w:rPr>
        <w:t xml:space="preserve"> at (425) </w:t>
      </w:r>
      <w:r w:rsidR="00366CE1">
        <w:rPr>
          <w:sz w:val="24"/>
        </w:rPr>
        <w:t>424-6918</w:t>
      </w:r>
      <w:r w:rsidRPr="00886577">
        <w:rPr>
          <w:sz w:val="24"/>
        </w:rPr>
        <w:t xml:space="preserve"> for additiona</w:t>
      </w:r>
      <w:r w:rsidR="006413B0">
        <w:rPr>
          <w:sz w:val="24"/>
        </w:rPr>
        <w:t>l information about the Plan</w:t>
      </w:r>
      <w:r w:rsidRPr="00886577">
        <w:rPr>
          <w:sz w:val="24"/>
        </w:rPr>
        <w:t>.</w:t>
      </w:r>
      <w:r w:rsidR="00680E9F">
        <w:rPr>
          <w:sz w:val="24"/>
        </w:rPr>
        <w:t xml:space="preserve"> </w:t>
      </w:r>
      <w:r w:rsidR="008B4C7A">
        <w:rPr>
          <w:sz w:val="24"/>
        </w:rPr>
        <w:t xml:space="preserve"> </w:t>
      </w:r>
      <w:r w:rsidRPr="00886577">
        <w:rPr>
          <w:sz w:val="24"/>
        </w:rPr>
        <w:t xml:space="preserve">Please contact </w:t>
      </w:r>
      <w:r w:rsidR="00084BA4">
        <w:rPr>
          <w:sz w:val="24"/>
        </w:rPr>
        <w:t>Bob Stolarski</w:t>
      </w:r>
      <w:r w:rsidRPr="00886577">
        <w:rPr>
          <w:sz w:val="24"/>
        </w:rPr>
        <w:t xml:space="preserve"> at (425) 456-2</w:t>
      </w:r>
      <w:r w:rsidR="002B56DB">
        <w:rPr>
          <w:sz w:val="24"/>
        </w:rPr>
        <w:t>585</w:t>
      </w:r>
      <w:r w:rsidRPr="00886577">
        <w:rPr>
          <w:sz w:val="24"/>
        </w:rPr>
        <w:t xml:space="preserve"> for policy rel</w:t>
      </w:r>
      <w:r w:rsidR="006413B0">
        <w:rPr>
          <w:sz w:val="24"/>
        </w:rPr>
        <w:t>ated questions about this submittal</w:t>
      </w:r>
      <w:r w:rsidRPr="00886577">
        <w:rPr>
          <w:sz w:val="24"/>
        </w:rPr>
        <w:t>.</w:t>
      </w:r>
      <w:r w:rsidR="00680E9F">
        <w:rPr>
          <w:sz w:val="24"/>
        </w:rPr>
        <w:t xml:space="preserve"> </w:t>
      </w:r>
      <w:r w:rsidR="008B4C7A">
        <w:rPr>
          <w:sz w:val="24"/>
        </w:rPr>
        <w:t xml:space="preserve"> </w:t>
      </w:r>
      <w:r w:rsidRPr="00886577">
        <w:rPr>
          <w:sz w:val="24"/>
        </w:rPr>
        <w:t>If you have any other questions please contact me at (425) 4</w:t>
      </w:r>
      <w:r w:rsidR="009E4A33" w:rsidRPr="00886577">
        <w:rPr>
          <w:sz w:val="24"/>
        </w:rPr>
        <w:t>62</w:t>
      </w:r>
      <w:r w:rsidRPr="00886577">
        <w:rPr>
          <w:sz w:val="24"/>
        </w:rPr>
        <w:t>-</w:t>
      </w:r>
      <w:r w:rsidR="009E4A33" w:rsidRPr="00886577">
        <w:rPr>
          <w:sz w:val="24"/>
        </w:rPr>
        <w:t>3495</w:t>
      </w:r>
      <w:r w:rsidRPr="00886577">
        <w:rPr>
          <w:sz w:val="24"/>
        </w:rPr>
        <w:t>.</w:t>
      </w:r>
      <w:r w:rsidRPr="00886577">
        <w:rPr>
          <w:sz w:val="24"/>
        </w:rPr>
        <w:tab/>
      </w:r>
    </w:p>
    <w:p w:rsidR="00554819" w:rsidRPr="00886577" w:rsidRDefault="00554819">
      <w:pPr>
        <w:rPr>
          <w:sz w:val="24"/>
        </w:rPr>
      </w:pPr>
    </w:p>
    <w:p w:rsidR="00554819" w:rsidRPr="00886577" w:rsidRDefault="00DA4232">
      <w:pPr>
        <w:ind w:left="3600" w:firstLine="720"/>
        <w:rPr>
          <w:sz w:val="24"/>
        </w:rPr>
      </w:pPr>
      <w:r>
        <w:rPr>
          <w:sz w:val="24"/>
        </w:rPr>
        <w:t>Sincerely</w:t>
      </w:r>
      <w:r w:rsidR="00554819" w:rsidRPr="00886577">
        <w:rPr>
          <w:sz w:val="24"/>
        </w:rPr>
        <w:t>,</w:t>
      </w:r>
    </w:p>
    <w:p w:rsidR="00554819" w:rsidRPr="00886577" w:rsidRDefault="00554819">
      <w:pPr>
        <w:rPr>
          <w:sz w:val="24"/>
        </w:rPr>
      </w:pPr>
      <w:r w:rsidRPr="00886577">
        <w:rPr>
          <w:sz w:val="24"/>
        </w:rPr>
        <w:tab/>
      </w:r>
    </w:p>
    <w:p w:rsidR="00554819" w:rsidRDefault="00554819">
      <w:pPr>
        <w:rPr>
          <w:sz w:val="24"/>
        </w:rPr>
      </w:pPr>
    </w:p>
    <w:p w:rsidR="00C106CD" w:rsidRPr="00886577" w:rsidRDefault="00C106CD">
      <w:pPr>
        <w:rPr>
          <w:sz w:val="24"/>
        </w:rPr>
      </w:pPr>
    </w:p>
    <w:p w:rsidR="00554819" w:rsidRPr="00886577" w:rsidRDefault="00554819">
      <w:pPr>
        <w:rPr>
          <w:sz w:val="24"/>
        </w:rPr>
      </w:pPr>
    </w:p>
    <w:p w:rsidR="00554819" w:rsidRPr="00886577" w:rsidRDefault="002B56DB">
      <w:pPr>
        <w:ind w:left="3600" w:firstLine="720"/>
        <w:rPr>
          <w:sz w:val="24"/>
        </w:rPr>
      </w:pPr>
      <w:r>
        <w:rPr>
          <w:sz w:val="24"/>
        </w:rPr>
        <w:t>Kenneth Johnson</w:t>
      </w:r>
    </w:p>
    <w:p w:rsidR="00554819" w:rsidRPr="00886577" w:rsidRDefault="00554819">
      <w:pPr>
        <w:rPr>
          <w:sz w:val="24"/>
        </w:rPr>
      </w:pPr>
      <w:r w:rsidRPr="00886577">
        <w:rPr>
          <w:sz w:val="24"/>
        </w:rPr>
        <w:t xml:space="preserve"> </w:t>
      </w:r>
      <w:r w:rsidRPr="00886577">
        <w:rPr>
          <w:sz w:val="24"/>
        </w:rPr>
        <w:tab/>
      </w:r>
      <w:r w:rsidRPr="00886577">
        <w:rPr>
          <w:sz w:val="24"/>
        </w:rPr>
        <w:tab/>
      </w:r>
      <w:r w:rsidRPr="00886577">
        <w:rPr>
          <w:sz w:val="24"/>
        </w:rPr>
        <w:tab/>
      </w:r>
      <w:r w:rsidRPr="00886577">
        <w:rPr>
          <w:sz w:val="24"/>
        </w:rPr>
        <w:tab/>
      </w:r>
      <w:r w:rsidRPr="00886577">
        <w:rPr>
          <w:sz w:val="24"/>
        </w:rPr>
        <w:tab/>
      </w:r>
      <w:r w:rsidRPr="00886577">
        <w:rPr>
          <w:sz w:val="24"/>
        </w:rPr>
        <w:tab/>
        <w:t xml:space="preserve">Director, </w:t>
      </w:r>
      <w:r w:rsidR="009E4A33" w:rsidRPr="00886577">
        <w:rPr>
          <w:sz w:val="24"/>
        </w:rPr>
        <w:t xml:space="preserve">Rates &amp; </w:t>
      </w:r>
      <w:r w:rsidRPr="00886577">
        <w:rPr>
          <w:sz w:val="24"/>
        </w:rPr>
        <w:t xml:space="preserve">Regulatory </w:t>
      </w:r>
      <w:r w:rsidR="009E4A33" w:rsidRPr="00886577">
        <w:rPr>
          <w:sz w:val="24"/>
        </w:rPr>
        <w:t>Affairs</w:t>
      </w:r>
    </w:p>
    <w:p w:rsidR="00554819" w:rsidRPr="00886577" w:rsidRDefault="00554819">
      <w:pPr>
        <w:rPr>
          <w:sz w:val="24"/>
        </w:rPr>
      </w:pPr>
    </w:p>
    <w:p w:rsidR="00554819" w:rsidRPr="00886577" w:rsidRDefault="00554819">
      <w:pPr>
        <w:rPr>
          <w:sz w:val="24"/>
        </w:rPr>
      </w:pPr>
      <w:r w:rsidRPr="00886577">
        <w:rPr>
          <w:sz w:val="24"/>
        </w:rPr>
        <w:t>Enclosures</w:t>
      </w:r>
    </w:p>
    <w:p w:rsidR="00554819" w:rsidRPr="00886577" w:rsidRDefault="00554819">
      <w:pPr>
        <w:rPr>
          <w:sz w:val="24"/>
        </w:rPr>
      </w:pPr>
    </w:p>
    <w:p w:rsidR="00554819" w:rsidRPr="00886577" w:rsidRDefault="00554819">
      <w:pPr>
        <w:tabs>
          <w:tab w:val="left" w:pos="720"/>
        </w:tabs>
        <w:rPr>
          <w:sz w:val="24"/>
        </w:rPr>
      </w:pPr>
      <w:r w:rsidRPr="00886577">
        <w:rPr>
          <w:sz w:val="24"/>
        </w:rPr>
        <w:t xml:space="preserve">cc: </w:t>
      </w:r>
      <w:r w:rsidRPr="00886577">
        <w:rPr>
          <w:sz w:val="24"/>
        </w:rPr>
        <w:tab/>
        <w:t>Simon J. ffitch</w:t>
      </w:r>
    </w:p>
    <w:p w:rsidR="00554819" w:rsidRPr="00886577" w:rsidRDefault="00554819">
      <w:pPr>
        <w:tabs>
          <w:tab w:val="right" w:pos="-800"/>
          <w:tab w:val="left" w:pos="720"/>
          <w:tab w:val="left" w:pos="4320"/>
          <w:tab w:val="left" w:pos="5040"/>
          <w:tab w:val="left" w:pos="5760"/>
          <w:tab w:val="left" w:pos="6480"/>
        </w:tabs>
        <w:rPr>
          <w:sz w:val="24"/>
        </w:rPr>
      </w:pPr>
      <w:r w:rsidRPr="00886577">
        <w:rPr>
          <w:sz w:val="24"/>
        </w:rPr>
        <w:tab/>
      </w:r>
      <w:r w:rsidR="009E4A33" w:rsidRPr="00886577">
        <w:rPr>
          <w:sz w:val="24"/>
        </w:rPr>
        <w:t>Sheree Carson</w:t>
      </w:r>
    </w:p>
    <w:p w:rsidR="00554819" w:rsidRDefault="00554819">
      <w:pPr>
        <w:rPr>
          <w:sz w:val="24"/>
        </w:rPr>
      </w:pPr>
    </w:p>
    <w:p w:rsidR="003E7D25" w:rsidRDefault="003E7D25">
      <w:pPr>
        <w:rPr>
          <w:sz w:val="24"/>
        </w:rPr>
      </w:pPr>
    </w:p>
    <w:p w:rsidR="003E7D25" w:rsidRPr="00886577" w:rsidRDefault="003E7D25" w:rsidP="003E7D25">
      <w:pPr>
        <w:rPr>
          <w:sz w:val="24"/>
        </w:rPr>
      </w:pPr>
    </w:p>
    <w:sectPr w:rsidR="003E7D25" w:rsidRPr="00886577" w:rsidSect="006F5330">
      <w:headerReference w:type="default" r:id="rId10"/>
      <w:pgSz w:w="12240" w:h="15840" w:code="1"/>
      <w:pgMar w:top="720" w:right="1440" w:bottom="1080" w:left="1354" w:header="720" w:footer="720" w:gutter="0"/>
      <w:paperSrc w:firs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A4" w:rsidRDefault="00084BA4">
      <w:r>
        <w:separator/>
      </w:r>
    </w:p>
  </w:endnote>
  <w:endnote w:type="continuationSeparator" w:id="0">
    <w:p w:rsidR="00084BA4" w:rsidRDefault="0008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A4" w:rsidRDefault="00084BA4">
      <w:r>
        <w:separator/>
      </w:r>
    </w:p>
  </w:footnote>
  <w:footnote w:type="continuationSeparator" w:id="0">
    <w:p w:rsidR="00084BA4" w:rsidRDefault="00084BA4">
      <w:r>
        <w:continuationSeparator/>
      </w:r>
    </w:p>
  </w:footnote>
  <w:footnote w:id="1">
    <w:p w:rsidR="00084BA4" w:rsidRDefault="00084BA4">
      <w:pPr>
        <w:pStyle w:val="FootnoteText"/>
      </w:pPr>
      <w:r>
        <w:rPr>
          <w:rStyle w:val="FootnoteReference"/>
        </w:rPr>
        <w:footnoteRef/>
      </w:r>
      <w:r>
        <w:t xml:space="preserve"> As agreed by the CRAG, PSE based its 5 percent calculati</w:t>
      </w:r>
      <w:r w:rsidR="00711D31">
        <w:t>on on the base potential of 63.9 aMW, or 559,854</w:t>
      </w:r>
      <w:r>
        <w:t xml:space="preserve"> MWh, rather than the lower EIA target value.</w:t>
      </w:r>
    </w:p>
  </w:footnote>
  <w:footnote w:id="2">
    <w:p w:rsidR="00633642" w:rsidRDefault="00633642">
      <w:pPr>
        <w:pStyle w:val="FootnoteText"/>
      </w:pPr>
      <w:r>
        <w:rPr>
          <w:rStyle w:val="FootnoteReference"/>
        </w:rPr>
        <w:footnoteRef/>
      </w:r>
      <w:r>
        <w:t xml:space="preserve"> Exhibits </w:t>
      </w:r>
      <w:proofErr w:type="spellStart"/>
      <w:r w:rsidR="001843CB">
        <w:t>i</w:t>
      </w:r>
      <w:proofErr w:type="spellEnd"/>
      <w:r w:rsidR="001843CB">
        <w:t xml:space="preserve"> (10-year potential and 2-year target), </w:t>
      </w:r>
      <w:r>
        <w:t>3 (Program Details) and 4 (Measures, Incentives &amp; Eligibility) are provided in Volume 1.</w:t>
      </w:r>
      <w:r w:rsidR="00680E9F">
        <w:t xml:space="preserve"> </w:t>
      </w:r>
      <w:r>
        <w:t>To minimize printing costs and replication, PSE excludes them from Volume 2.</w:t>
      </w:r>
    </w:p>
  </w:footnote>
  <w:footnote w:id="3">
    <w:p w:rsidR="00DF2BE9" w:rsidRDefault="00DF2BE9">
      <w:pPr>
        <w:pStyle w:val="FootnoteText"/>
      </w:pPr>
      <w:r>
        <w:rPr>
          <w:rStyle w:val="FootnoteReference"/>
        </w:rPr>
        <w:footnoteRef/>
      </w:r>
      <w:r>
        <w:t xml:space="preserve"> Although this step is excluded from the deliverables outlined in </w:t>
      </w:r>
      <w:r w:rsidR="003E7D25">
        <w:t>C</w:t>
      </w:r>
      <w:r>
        <w:t>ondition (8)(d), PSE and the CRAG consider it to be an essential step in developing the 2016-2017 electric and natural gas targets.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A4" w:rsidRDefault="00084BA4" w:rsidP="004C53F5">
    <w:pPr>
      <w:pStyle w:val="Header"/>
      <w:rPr>
        <w:rStyle w:val="PageNumber"/>
        <w:sz w:val="24"/>
      </w:rPr>
    </w:pPr>
    <w:r>
      <w:rPr>
        <w:rStyle w:val="PageNumber"/>
        <w:sz w:val="24"/>
      </w:rPr>
      <w:t>Mr. Steven V. King</w:t>
    </w:r>
  </w:p>
  <w:p w:rsidR="00084BA4" w:rsidRDefault="00084BA4" w:rsidP="004C53F5">
    <w:pPr>
      <w:pStyle w:val="Header"/>
      <w:rPr>
        <w:rStyle w:val="PageNumber"/>
        <w:sz w:val="24"/>
      </w:rPr>
    </w:pPr>
    <w:r>
      <w:rPr>
        <w:rStyle w:val="PageNumber"/>
        <w:sz w:val="24"/>
      </w:rPr>
      <w:t xml:space="preserve">Page </w:t>
    </w:r>
    <w:r w:rsidRPr="00EF3CAC">
      <w:rPr>
        <w:rStyle w:val="PageNumber"/>
        <w:sz w:val="24"/>
      </w:rPr>
      <w:fldChar w:fldCharType="begin"/>
    </w:r>
    <w:r w:rsidRPr="00EF3CAC">
      <w:rPr>
        <w:rStyle w:val="PageNumber"/>
        <w:sz w:val="24"/>
      </w:rPr>
      <w:instrText xml:space="preserve"> PAGE   \* MERGEFORMAT </w:instrText>
    </w:r>
    <w:r w:rsidRPr="00EF3CAC">
      <w:rPr>
        <w:rStyle w:val="PageNumber"/>
        <w:sz w:val="24"/>
      </w:rPr>
      <w:fldChar w:fldCharType="separate"/>
    </w:r>
    <w:r w:rsidR="006F5330">
      <w:rPr>
        <w:rStyle w:val="PageNumber"/>
        <w:noProof/>
        <w:sz w:val="24"/>
      </w:rPr>
      <w:t>5</w:t>
    </w:r>
    <w:r w:rsidRPr="00EF3CAC">
      <w:rPr>
        <w:rStyle w:val="PageNumber"/>
        <w:sz w:val="24"/>
      </w:rPr>
      <w:fldChar w:fldCharType="end"/>
    </w:r>
  </w:p>
  <w:p w:rsidR="00084BA4" w:rsidRDefault="007A1CA7" w:rsidP="004C53F5">
    <w:pPr>
      <w:pStyle w:val="Header"/>
      <w:rPr>
        <w:rStyle w:val="PageNumber"/>
        <w:sz w:val="24"/>
      </w:rPr>
    </w:pPr>
    <w:r>
      <w:rPr>
        <w:rStyle w:val="PageNumber"/>
        <w:sz w:val="24"/>
      </w:rPr>
      <w:t>October 29</w:t>
    </w:r>
    <w:r w:rsidR="00084BA4">
      <w:rPr>
        <w:rStyle w:val="PageNumber"/>
        <w:sz w:val="24"/>
      </w:rPr>
      <w:t>, 201</w:t>
    </w:r>
    <w:r w:rsidR="00F74511">
      <w:rPr>
        <w:rStyle w:val="PageNumber"/>
        <w:sz w:val="24"/>
      </w:rPr>
      <w:t>5</w:t>
    </w:r>
  </w:p>
  <w:p w:rsidR="00084BA4" w:rsidRPr="002D37B5" w:rsidRDefault="00084BA4">
    <w:pPr>
      <w:pStyle w:val="Header"/>
      <w:rPr>
        <w:sz w:val="22"/>
        <w:szCs w:val="22"/>
      </w:rPr>
    </w:pPr>
  </w:p>
  <w:p w:rsidR="00084BA4" w:rsidRDefault="00084BA4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15B"/>
    <w:multiLevelType w:val="hybridMultilevel"/>
    <w:tmpl w:val="EC94A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A393C"/>
    <w:multiLevelType w:val="multilevel"/>
    <w:tmpl w:val="92CE8D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C233C7B"/>
    <w:multiLevelType w:val="hybridMultilevel"/>
    <w:tmpl w:val="92CE8D8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74104B97"/>
    <w:multiLevelType w:val="hybridMultilevel"/>
    <w:tmpl w:val="65AE56B4"/>
    <w:lvl w:ilvl="0" w:tplc="657EF6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1"/>
    <w:rsid w:val="00000224"/>
    <w:rsid w:val="000130F6"/>
    <w:rsid w:val="00024C90"/>
    <w:rsid w:val="00032388"/>
    <w:rsid w:val="00057338"/>
    <w:rsid w:val="00057F00"/>
    <w:rsid w:val="00060A32"/>
    <w:rsid w:val="00070116"/>
    <w:rsid w:val="00084BA4"/>
    <w:rsid w:val="000A7BD3"/>
    <w:rsid w:val="000D660F"/>
    <w:rsid w:val="000E0D7F"/>
    <w:rsid w:val="000E3FB0"/>
    <w:rsid w:val="00104866"/>
    <w:rsid w:val="00104A1B"/>
    <w:rsid w:val="0010532F"/>
    <w:rsid w:val="00123DF4"/>
    <w:rsid w:val="00150B3A"/>
    <w:rsid w:val="00153931"/>
    <w:rsid w:val="0016044B"/>
    <w:rsid w:val="00177582"/>
    <w:rsid w:val="00182782"/>
    <w:rsid w:val="001843CB"/>
    <w:rsid w:val="0018612C"/>
    <w:rsid w:val="0019259B"/>
    <w:rsid w:val="001A35B8"/>
    <w:rsid w:val="001B2104"/>
    <w:rsid w:val="001C4E12"/>
    <w:rsid w:val="001E412B"/>
    <w:rsid w:val="001E77CF"/>
    <w:rsid w:val="001F4F3A"/>
    <w:rsid w:val="001F6611"/>
    <w:rsid w:val="002147A5"/>
    <w:rsid w:val="00225457"/>
    <w:rsid w:val="00226BDF"/>
    <w:rsid w:val="00232F70"/>
    <w:rsid w:val="00240187"/>
    <w:rsid w:val="0024196F"/>
    <w:rsid w:val="002425B9"/>
    <w:rsid w:val="0024352F"/>
    <w:rsid w:val="00255A09"/>
    <w:rsid w:val="00261137"/>
    <w:rsid w:val="0026322F"/>
    <w:rsid w:val="00267D91"/>
    <w:rsid w:val="002737A0"/>
    <w:rsid w:val="00292A9B"/>
    <w:rsid w:val="002A31CE"/>
    <w:rsid w:val="002A49CE"/>
    <w:rsid w:val="002A4EFE"/>
    <w:rsid w:val="002B56DB"/>
    <w:rsid w:val="002D37B5"/>
    <w:rsid w:val="002D63D8"/>
    <w:rsid w:val="002E07B7"/>
    <w:rsid w:val="002F143C"/>
    <w:rsid w:val="002F7D61"/>
    <w:rsid w:val="00326671"/>
    <w:rsid w:val="00343C82"/>
    <w:rsid w:val="00346B47"/>
    <w:rsid w:val="00346C14"/>
    <w:rsid w:val="00355613"/>
    <w:rsid w:val="00362836"/>
    <w:rsid w:val="00366CE1"/>
    <w:rsid w:val="00385587"/>
    <w:rsid w:val="00385747"/>
    <w:rsid w:val="00391141"/>
    <w:rsid w:val="00391E28"/>
    <w:rsid w:val="0039470E"/>
    <w:rsid w:val="003A5484"/>
    <w:rsid w:val="003D6E40"/>
    <w:rsid w:val="003E7D25"/>
    <w:rsid w:val="003F0058"/>
    <w:rsid w:val="003F2549"/>
    <w:rsid w:val="003F3FF3"/>
    <w:rsid w:val="003F53AA"/>
    <w:rsid w:val="003F7C6F"/>
    <w:rsid w:val="00406650"/>
    <w:rsid w:val="00413766"/>
    <w:rsid w:val="00421F05"/>
    <w:rsid w:val="004247CB"/>
    <w:rsid w:val="00434F91"/>
    <w:rsid w:val="00452003"/>
    <w:rsid w:val="00452F52"/>
    <w:rsid w:val="004601D1"/>
    <w:rsid w:val="00460CB9"/>
    <w:rsid w:val="00464922"/>
    <w:rsid w:val="0048395B"/>
    <w:rsid w:val="0048484B"/>
    <w:rsid w:val="004950AA"/>
    <w:rsid w:val="004A4EF0"/>
    <w:rsid w:val="004B2F80"/>
    <w:rsid w:val="004B31B1"/>
    <w:rsid w:val="004B3DE8"/>
    <w:rsid w:val="004C1B6D"/>
    <w:rsid w:val="004C53F5"/>
    <w:rsid w:val="004D3D1F"/>
    <w:rsid w:val="004E27AC"/>
    <w:rsid w:val="004E5C94"/>
    <w:rsid w:val="004F067A"/>
    <w:rsid w:val="004F4021"/>
    <w:rsid w:val="004F7222"/>
    <w:rsid w:val="0050085D"/>
    <w:rsid w:val="005067BE"/>
    <w:rsid w:val="00511435"/>
    <w:rsid w:val="005128F4"/>
    <w:rsid w:val="00517F0E"/>
    <w:rsid w:val="00523527"/>
    <w:rsid w:val="00530AD6"/>
    <w:rsid w:val="00554819"/>
    <w:rsid w:val="00561ED5"/>
    <w:rsid w:val="00573533"/>
    <w:rsid w:val="00575B37"/>
    <w:rsid w:val="00583A82"/>
    <w:rsid w:val="005D224D"/>
    <w:rsid w:val="005D745E"/>
    <w:rsid w:val="005F5D82"/>
    <w:rsid w:val="00602A62"/>
    <w:rsid w:val="00602ED0"/>
    <w:rsid w:val="00610CA2"/>
    <w:rsid w:val="00610DA4"/>
    <w:rsid w:val="00611B0C"/>
    <w:rsid w:val="006175DB"/>
    <w:rsid w:val="00626B68"/>
    <w:rsid w:val="006315B0"/>
    <w:rsid w:val="00633642"/>
    <w:rsid w:val="006413B0"/>
    <w:rsid w:val="00644134"/>
    <w:rsid w:val="00653A00"/>
    <w:rsid w:val="00660F7B"/>
    <w:rsid w:val="006632B1"/>
    <w:rsid w:val="006666E9"/>
    <w:rsid w:val="00667A51"/>
    <w:rsid w:val="00680C6B"/>
    <w:rsid w:val="00680E9F"/>
    <w:rsid w:val="006820C9"/>
    <w:rsid w:val="00682216"/>
    <w:rsid w:val="006A2DF7"/>
    <w:rsid w:val="006A5E84"/>
    <w:rsid w:val="006B1B27"/>
    <w:rsid w:val="006B43F9"/>
    <w:rsid w:val="006B5D89"/>
    <w:rsid w:val="006B6F55"/>
    <w:rsid w:val="006D5052"/>
    <w:rsid w:val="006E37F6"/>
    <w:rsid w:val="006E446E"/>
    <w:rsid w:val="006E4AFF"/>
    <w:rsid w:val="006E50C2"/>
    <w:rsid w:val="006F51F6"/>
    <w:rsid w:val="006F5330"/>
    <w:rsid w:val="00711D31"/>
    <w:rsid w:val="00717969"/>
    <w:rsid w:val="00720595"/>
    <w:rsid w:val="00724EDD"/>
    <w:rsid w:val="007420B1"/>
    <w:rsid w:val="007421B7"/>
    <w:rsid w:val="00743DD4"/>
    <w:rsid w:val="007536E1"/>
    <w:rsid w:val="00754178"/>
    <w:rsid w:val="0076238D"/>
    <w:rsid w:val="00790015"/>
    <w:rsid w:val="007938A1"/>
    <w:rsid w:val="00793C9C"/>
    <w:rsid w:val="007A08DC"/>
    <w:rsid w:val="007A1CA7"/>
    <w:rsid w:val="007B01F4"/>
    <w:rsid w:val="007B4F3B"/>
    <w:rsid w:val="007C03CF"/>
    <w:rsid w:val="007C733A"/>
    <w:rsid w:val="007D3CEA"/>
    <w:rsid w:val="007E7108"/>
    <w:rsid w:val="00801394"/>
    <w:rsid w:val="00814DA3"/>
    <w:rsid w:val="008167B6"/>
    <w:rsid w:val="00832AC2"/>
    <w:rsid w:val="00843B42"/>
    <w:rsid w:val="00844818"/>
    <w:rsid w:val="00851870"/>
    <w:rsid w:val="008540AC"/>
    <w:rsid w:val="008555F7"/>
    <w:rsid w:val="00863F8F"/>
    <w:rsid w:val="00870FBF"/>
    <w:rsid w:val="008718D9"/>
    <w:rsid w:val="008845C2"/>
    <w:rsid w:val="00886577"/>
    <w:rsid w:val="008B4C7A"/>
    <w:rsid w:val="008B79C1"/>
    <w:rsid w:val="008D670B"/>
    <w:rsid w:val="008E29C1"/>
    <w:rsid w:val="008E3146"/>
    <w:rsid w:val="008F3844"/>
    <w:rsid w:val="008F6077"/>
    <w:rsid w:val="00912EDE"/>
    <w:rsid w:val="009304CD"/>
    <w:rsid w:val="00950C23"/>
    <w:rsid w:val="00976DB2"/>
    <w:rsid w:val="009E32DF"/>
    <w:rsid w:val="009E4A33"/>
    <w:rsid w:val="009F1FB8"/>
    <w:rsid w:val="009F34FD"/>
    <w:rsid w:val="009F36C7"/>
    <w:rsid w:val="009F6CD7"/>
    <w:rsid w:val="00A36986"/>
    <w:rsid w:val="00A571E9"/>
    <w:rsid w:val="00A7488A"/>
    <w:rsid w:val="00A8285F"/>
    <w:rsid w:val="00A86ED9"/>
    <w:rsid w:val="00AA052B"/>
    <w:rsid w:val="00AA0C91"/>
    <w:rsid w:val="00AB0589"/>
    <w:rsid w:val="00AB0812"/>
    <w:rsid w:val="00AC6328"/>
    <w:rsid w:val="00AC7F12"/>
    <w:rsid w:val="00AE5693"/>
    <w:rsid w:val="00AE6692"/>
    <w:rsid w:val="00AE70B0"/>
    <w:rsid w:val="00B23207"/>
    <w:rsid w:val="00B34A35"/>
    <w:rsid w:val="00B47F87"/>
    <w:rsid w:val="00B55C0C"/>
    <w:rsid w:val="00B55DFB"/>
    <w:rsid w:val="00B60DBE"/>
    <w:rsid w:val="00B631B4"/>
    <w:rsid w:val="00B724DB"/>
    <w:rsid w:val="00B73D53"/>
    <w:rsid w:val="00B90339"/>
    <w:rsid w:val="00B9351E"/>
    <w:rsid w:val="00BA6509"/>
    <w:rsid w:val="00BA787A"/>
    <w:rsid w:val="00BB3124"/>
    <w:rsid w:val="00BB39EF"/>
    <w:rsid w:val="00BB3E15"/>
    <w:rsid w:val="00BB53E4"/>
    <w:rsid w:val="00BB6F7E"/>
    <w:rsid w:val="00BD44EF"/>
    <w:rsid w:val="00BD7C9A"/>
    <w:rsid w:val="00BF4D2E"/>
    <w:rsid w:val="00C0142E"/>
    <w:rsid w:val="00C014B4"/>
    <w:rsid w:val="00C01C54"/>
    <w:rsid w:val="00C05439"/>
    <w:rsid w:val="00C106CD"/>
    <w:rsid w:val="00C11450"/>
    <w:rsid w:val="00C33D8A"/>
    <w:rsid w:val="00C75DDA"/>
    <w:rsid w:val="00C96CDC"/>
    <w:rsid w:val="00CA2DF0"/>
    <w:rsid w:val="00CA498C"/>
    <w:rsid w:val="00CA5112"/>
    <w:rsid w:val="00CA6BFA"/>
    <w:rsid w:val="00CB0869"/>
    <w:rsid w:val="00CD439C"/>
    <w:rsid w:val="00CE4797"/>
    <w:rsid w:val="00D0013A"/>
    <w:rsid w:val="00D03FBA"/>
    <w:rsid w:val="00D20DB7"/>
    <w:rsid w:val="00D41544"/>
    <w:rsid w:val="00D505CE"/>
    <w:rsid w:val="00D52AB6"/>
    <w:rsid w:val="00D543AE"/>
    <w:rsid w:val="00D55FDC"/>
    <w:rsid w:val="00D56A55"/>
    <w:rsid w:val="00D61D06"/>
    <w:rsid w:val="00D61DFD"/>
    <w:rsid w:val="00D80815"/>
    <w:rsid w:val="00DA4232"/>
    <w:rsid w:val="00DA4DF6"/>
    <w:rsid w:val="00DB79A9"/>
    <w:rsid w:val="00DC59F1"/>
    <w:rsid w:val="00DD0912"/>
    <w:rsid w:val="00DE5001"/>
    <w:rsid w:val="00DF1700"/>
    <w:rsid w:val="00DF2BE9"/>
    <w:rsid w:val="00DF2C81"/>
    <w:rsid w:val="00DF7FBB"/>
    <w:rsid w:val="00E011D8"/>
    <w:rsid w:val="00E20246"/>
    <w:rsid w:val="00E20339"/>
    <w:rsid w:val="00E330BA"/>
    <w:rsid w:val="00E37956"/>
    <w:rsid w:val="00E41DE5"/>
    <w:rsid w:val="00E46F52"/>
    <w:rsid w:val="00E51AA9"/>
    <w:rsid w:val="00E62917"/>
    <w:rsid w:val="00E66C08"/>
    <w:rsid w:val="00E7214B"/>
    <w:rsid w:val="00E9281C"/>
    <w:rsid w:val="00E928F5"/>
    <w:rsid w:val="00E93E8A"/>
    <w:rsid w:val="00EA0ED9"/>
    <w:rsid w:val="00EA7AEC"/>
    <w:rsid w:val="00ED1E07"/>
    <w:rsid w:val="00EF2767"/>
    <w:rsid w:val="00EF3CAC"/>
    <w:rsid w:val="00F11932"/>
    <w:rsid w:val="00F15AA5"/>
    <w:rsid w:val="00F166DD"/>
    <w:rsid w:val="00F4115C"/>
    <w:rsid w:val="00F45165"/>
    <w:rsid w:val="00F539E0"/>
    <w:rsid w:val="00F548AC"/>
    <w:rsid w:val="00F74511"/>
    <w:rsid w:val="00F75C54"/>
    <w:rsid w:val="00F972A3"/>
    <w:rsid w:val="00FA4229"/>
    <w:rsid w:val="00FB2872"/>
    <w:rsid w:val="00FB4B85"/>
    <w:rsid w:val="00FD1A0F"/>
    <w:rsid w:val="00FD4A6F"/>
    <w:rsid w:val="00FF093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931"/>
  </w:style>
  <w:style w:type="paragraph" w:styleId="Heading1">
    <w:name w:val="heading 1"/>
    <w:basedOn w:val="Normal"/>
    <w:next w:val="Normal"/>
    <w:qFormat/>
    <w:rsid w:val="00153931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153931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93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53931"/>
    <w:rPr>
      <w:sz w:val="22"/>
    </w:rPr>
  </w:style>
  <w:style w:type="paragraph" w:styleId="BodyTextIndent">
    <w:name w:val="Body Text Indent"/>
    <w:basedOn w:val="Normal"/>
    <w:rsid w:val="00153931"/>
    <w:pPr>
      <w:ind w:firstLine="720"/>
    </w:pPr>
    <w:rPr>
      <w:sz w:val="22"/>
    </w:rPr>
  </w:style>
  <w:style w:type="paragraph" w:styleId="BodyText2">
    <w:name w:val="Body Text 2"/>
    <w:basedOn w:val="Normal"/>
    <w:rsid w:val="00153931"/>
    <w:rPr>
      <w:sz w:val="24"/>
    </w:rPr>
  </w:style>
  <w:style w:type="character" w:styleId="PageNumber">
    <w:name w:val="page number"/>
    <w:basedOn w:val="DefaultParagraphFont"/>
    <w:rsid w:val="00153931"/>
  </w:style>
  <w:style w:type="character" w:styleId="CommentReference">
    <w:name w:val="annotation reference"/>
    <w:basedOn w:val="DefaultParagraphFont"/>
    <w:semiHidden/>
    <w:rsid w:val="00153931"/>
    <w:rPr>
      <w:sz w:val="16"/>
    </w:rPr>
  </w:style>
  <w:style w:type="paragraph" w:styleId="CommentText">
    <w:name w:val="annotation text"/>
    <w:basedOn w:val="Normal"/>
    <w:semiHidden/>
    <w:rsid w:val="00153931"/>
  </w:style>
  <w:style w:type="paragraph" w:customStyle="1" w:styleId="plain">
    <w:name w:val="plain"/>
    <w:basedOn w:val="Normal"/>
    <w:rsid w:val="00153931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CB08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66C08"/>
    <w:rPr>
      <w:b/>
      <w:bCs/>
    </w:rPr>
  </w:style>
  <w:style w:type="paragraph" w:styleId="FootnoteText">
    <w:name w:val="footnote text"/>
    <w:basedOn w:val="Normal"/>
    <w:link w:val="FootnoteTextChar"/>
    <w:rsid w:val="00104A1B"/>
  </w:style>
  <w:style w:type="character" w:customStyle="1" w:styleId="FootnoteTextChar">
    <w:name w:val="Footnote Text Char"/>
    <w:basedOn w:val="DefaultParagraphFont"/>
    <w:link w:val="FootnoteText"/>
    <w:rsid w:val="00104A1B"/>
  </w:style>
  <w:style w:type="character" w:styleId="FootnoteReference">
    <w:name w:val="footnote reference"/>
    <w:basedOn w:val="DefaultParagraphFont"/>
    <w:rsid w:val="00104A1B"/>
    <w:rPr>
      <w:vertAlign w:val="superscript"/>
    </w:rPr>
  </w:style>
  <w:style w:type="character" w:styleId="Hyperlink">
    <w:name w:val="Hyperlink"/>
    <w:basedOn w:val="DefaultParagraphFont"/>
    <w:rsid w:val="006B1B2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3E7D25"/>
  </w:style>
  <w:style w:type="character" w:customStyle="1" w:styleId="EndnoteTextChar">
    <w:name w:val="Endnote Text Char"/>
    <w:basedOn w:val="DefaultParagraphFont"/>
    <w:link w:val="EndnoteText"/>
    <w:rsid w:val="003E7D25"/>
  </w:style>
  <w:style w:type="character" w:styleId="EndnoteReference">
    <w:name w:val="endnote reference"/>
    <w:basedOn w:val="DefaultParagraphFont"/>
    <w:rsid w:val="003E7D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931"/>
  </w:style>
  <w:style w:type="paragraph" w:styleId="Heading1">
    <w:name w:val="heading 1"/>
    <w:basedOn w:val="Normal"/>
    <w:next w:val="Normal"/>
    <w:qFormat/>
    <w:rsid w:val="00153931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153931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93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53931"/>
    <w:rPr>
      <w:sz w:val="22"/>
    </w:rPr>
  </w:style>
  <w:style w:type="paragraph" w:styleId="BodyTextIndent">
    <w:name w:val="Body Text Indent"/>
    <w:basedOn w:val="Normal"/>
    <w:rsid w:val="00153931"/>
    <w:pPr>
      <w:ind w:firstLine="720"/>
    </w:pPr>
    <w:rPr>
      <w:sz w:val="22"/>
    </w:rPr>
  </w:style>
  <w:style w:type="paragraph" w:styleId="BodyText2">
    <w:name w:val="Body Text 2"/>
    <w:basedOn w:val="Normal"/>
    <w:rsid w:val="00153931"/>
    <w:rPr>
      <w:sz w:val="24"/>
    </w:rPr>
  </w:style>
  <w:style w:type="character" w:styleId="PageNumber">
    <w:name w:val="page number"/>
    <w:basedOn w:val="DefaultParagraphFont"/>
    <w:rsid w:val="00153931"/>
  </w:style>
  <w:style w:type="character" w:styleId="CommentReference">
    <w:name w:val="annotation reference"/>
    <w:basedOn w:val="DefaultParagraphFont"/>
    <w:semiHidden/>
    <w:rsid w:val="00153931"/>
    <w:rPr>
      <w:sz w:val="16"/>
    </w:rPr>
  </w:style>
  <w:style w:type="paragraph" w:styleId="CommentText">
    <w:name w:val="annotation text"/>
    <w:basedOn w:val="Normal"/>
    <w:semiHidden/>
    <w:rsid w:val="00153931"/>
  </w:style>
  <w:style w:type="paragraph" w:customStyle="1" w:styleId="plain">
    <w:name w:val="plain"/>
    <w:basedOn w:val="Normal"/>
    <w:rsid w:val="00153931"/>
    <w:pPr>
      <w:spacing w:line="240" w:lineRule="atLeast"/>
    </w:pPr>
    <w:rPr>
      <w:sz w:val="26"/>
    </w:rPr>
  </w:style>
  <w:style w:type="paragraph" w:styleId="BalloonText">
    <w:name w:val="Balloon Text"/>
    <w:basedOn w:val="Normal"/>
    <w:semiHidden/>
    <w:rsid w:val="00CB08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66C08"/>
    <w:rPr>
      <w:b/>
      <w:bCs/>
    </w:rPr>
  </w:style>
  <w:style w:type="paragraph" w:styleId="FootnoteText">
    <w:name w:val="footnote text"/>
    <w:basedOn w:val="Normal"/>
    <w:link w:val="FootnoteTextChar"/>
    <w:rsid w:val="00104A1B"/>
  </w:style>
  <w:style w:type="character" w:customStyle="1" w:styleId="FootnoteTextChar">
    <w:name w:val="Footnote Text Char"/>
    <w:basedOn w:val="DefaultParagraphFont"/>
    <w:link w:val="FootnoteText"/>
    <w:rsid w:val="00104A1B"/>
  </w:style>
  <w:style w:type="character" w:styleId="FootnoteReference">
    <w:name w:val="footnote reference"/>
    <w:basedOn w:val="DefaultParagraphFont"/>
    <w:rsid w:val="00104A1B"/>
    <w:rPr>
      <w:vertAlign w:val="superscript"/>
    </w:rPr>
  </w:style>
  <w:style w:type="character" w:styleId="Hyperlink">
    <w:name w:val="Hyperlink"/>
    <w:basedOn w:val="DefaultParagraphFont"/>
    <w:rsid w:val="006B1B2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3E7D25"/>
  </w:style>
  <w:style w:type="character" w:customStyle="1" w:styleId="EndnoteTextChar">
    <w:name w:val="Endnote Text Char"/>
    <w:basedOn w:val="DefaultParagraphFont"/>
    <w:link w:val="EndnoteText"/>
    <w:rsid w:val="003E7D25"/>
  </w:style>
  <w:style w:type="character" w:styleId="EndnoteReference">
    <w:name w:val="endnote reference"/>
    <w:basedOn w:val="DefaultParagraphFont"/>
    <w:rsid w:val="003E7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SE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6A4A60542A124AB98CDF8163BEAA44" ma:contentTypeVersion="119" ma:contentTypeDescription="" ma:contentTypeScope="" ma:versionID="180ea560e64b53d3f14dc26120ae1c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0B7FB7-08FF-4CB5-8DF3-299B8D0E5701}"/>
</file>

<file path=customXml/itemProps2.xml><?xml version="1.0" encoding="utf-8"?>
<ds:datastoreItem xmlns:ds="http://schemas.openxmlformats.org/officeDocument/2006/customXml" ds:itemID="{506185CB-0F63-4E2B-9DD3-58C60BA030CE}"/>
</file>

<file path=customXml/itemProps3.xml><?xml version="1.0" encoding="utf-8"?>
<ds:datastoreItem xmlns:ds="http://schemas.openxmlformats.org/officeDocument/2006/customXml" ds:itemID="{FDAA47BA-8C1B-4367-AF59-BDADC5DFE9C1}"/>
</file>

<file path=customXml/itemProps4.xml><?xml version="1.0" encoding="utf-8"?>
<ds:datastoreItem xmlns:ds="http://schemas.openxmlformats.org/officeDocument/2006/customXml" ds:itemID="{52A31484-19BE-4F6D-97C8-6205A312967A}"/>
</file>

<file path=customXml/itemProps5.xml><?xml version="1.0" encoding="utf-8"?>
<ds:datastoreItem xmlns:ds="http://schemas.openxmlformats.org/officeDocument/2006/customXml" ds:itemID="{3277682C-2450-457E-8252-CACAD1454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1304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7</cp:revision>
  <cp:lastPrinted>2015-10-28T22:33:00Z</cp:lastPrinted>
  <dcterms:created xsi:type="dcterms:W3CDTF">2015-10-27T17:54:00Z</dcterms:created>
  <dcterms:modified xsi:type="dcterms:W3CDTF">2015-10-28T22:37:00Z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0x0101006E56B4D1795A2E4DB2F0B01679ED314A002E6A4A60542A124AB98CDF8163BEAA44</vt:lpwstr>
  </property>
  <property fmtid="{D5CDD505-2E9C-101B-9397-08002B2CF9AE}" pid="3" name="_docset_NoMedatataSyncRequired">
    <vt:lpwstr>False</vt:lpwstr>
  </property>
</Properties>
</file>