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B4C85">
        <w:rPr>
          <w:szCs w:val="24"/>
        </w:rPr>
        <w:t>14302</w:t>
      </w:r>
      <w:r w:rsidR="00BE4688">
        <w:rPr>
          <w:szCs w:val="24"/>
        </w:rPr>
        <w:t>5</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416C55" w:rsidRPr="00416C55">
        <w:rPr>
          <w:szCs w:val="24"/>
        </w:rPr>
        <w:t>Lewis River Telephone Company, Inc.</w:t>
      </w:r>
      <w:r w:rsidR="00C621BD">
        <w:rPr>
          <w:szCs w:val="24"/>
        </w:rPr>
        <w:t xml:space="preserve">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751474">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DA" w:rsidRDefault="00EE6BDA">
      <w:r>
        <w:separator/>
      </w:r>
    </w:p>
  </w:endnote>
  <w:endnote w:type="continuationSeparator" w:id="0">
    <w:p w:rsidR="00EE6BDA" w:rsidRDefault="00EE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DA" w:rsidRDefault="00EE6BDA">
      <w:r>
        <w:separator/>
      </w:r>
    </w:p>
  </w:footnote>
  <w:footnote w:type="continuationSeparator" w:id="0">
    <w:p w:rsidR="00EE6BDA" w:rsidRDefault="00EE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75147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75147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05D5"/>
    <w:rsid w:val="003B1E2D"/>
    <w:rsid w:val="003C23D9"/>
    <w:rsid w:val="003C3292"/>
    <w:rsid w:val="003D533D"/>
    <w:rsid w:val="003E3410"/>
    <w:rsid w:val="003E5DC4"/>
    <w:rsid w:val="003E7110"/>
    <w:rsid w:val="003F233F"/>
    <w:rsid w:val="003F2DB3"/>
    <w:rsid w:val="003F3697"/>
    <w:rsid w:val="0040617C"/>
    <w:rsid w:val="00411115"/>
    <w:rsid w:val="00415685"/>
    <w:rsid w:val="00416C55"/>
    <w:rsid w:val="00430B4F"/>
    <w:rsid w:val="00434715"/>
    <w:rsid w:val="00436784"/>
    <w:rsid w:val="004464AD"/>
    <w:rsid w:val="00447C27"/>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2BB1"/>
    <w:rsid w:val="006E5007"/>
    <w:rsid w:val="006E5C76"/>
    <w:rsid w:val="006F59CA"/>
    <w:rsid w:val="006F6B10"/>
    <w:rsid w:val="00717514"/>
    <w:rsid w:val="00751474"/>
    <w:rsid w:val="00751D35"/>
    <w:rsid w:val="00780588"/>
    <w:rsid w:val="007A2ED1"/>
    <w:rsid w:val="007B27D3"/>
    <w:rsid w:val="007B2A46"/>
    <w:rsid w:val="007B60AD"/>
    <w:rsid w:val="007C50F8"/>
    <w:rsid w:val="00801EC3"/>
    <w:rsid w:val="00806FAC"/>
    <w:rsid w:val="00807894"/>
    <w:rsid w:val="00826AD7"/>
    <w:rsid w:val="0083202B"/>
    <w:rsid w:val="00844934"/>
    <w:rsid w:val="00845461"/>
    <w:rsid w:val="0086000D"/>
    <w:rsid w:val="00863CA9"/>
    <w:rsid w:val="00865064"/>
    <w:rsid w:val="0088613B"/>
    <w:rsid w:val="00894F7D"/>
    <w:rsid w:val="008B5127"/>
    <w:rsid w:val="008C0B36"/>
    <w:rsid w:val="008D28C3"/>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70716"/>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0835"/>
    <w:rsid w:val="00BC1A4D"/>
    <w:rsid w:val="00BE4688"/>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B4C85"/>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E6BDA"/>
    <w:rsid w:val="00EF3372"/>
    <w:rsid w:val="00EF6D8D"/>
    <w:rsid w:val="00F01393"/>
    <w:rsid w:val="00F10A6B"/>
    <w:rsid w:val="00F1165E"/>
    <w:rsid w:val="00F13CC7"/>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F401C51CFEBE41924DF8FC1971A2A7" ma:contentTypeVersion="175" ma:contentTypeDescription="" ma:contentTypeScope="" ma:versionID="b4dc3cb964bebb1efd3ea58b092a05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143025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8B23F1-2656-4F04-849B-81D2DF15EED3}"/>
</file>

<file path=customXml/itemProps2.xml><?xml version="1.0" encoding="utf-8"?>
<ds:datastoreItem xmlns:ds="http://schemas.openxmlformats.org/officeDocument/2006/customXml" ds:itemID="{9449DAD0-B861-4B5A-8AC4-2FA63451B7B6}"/>
</file>

<file path=customXml/itemProps3.xml><?xml version="1.0" encoding="utf-8"?>
<ds:datastoreItem xmlns:ds="http://schemas.openxmlformats.org/officeDocument/2006/customXml" ds:itemID="{2EF2A344-F6F5-4815-A5FE-6A508598DDE6}"/>
</file>

<file path=customXml/itemProps4.xml><?xml version="1.0" encoding="utf-8"?>
<ds:datastoreItem xmlns:ds="http://schemas.openxmlformats.org/officeDocument/2006/customXml" ds:itemID="{4F29B1F9-DEAE-4231-B6C3-A9FC835FFA34}"/>
</file>

<file path=customXml/itemProps5.xml><?xml version="1.0" encoding="utf-8"?>
<ds:datastoreItem xmlns:ds="http://schemas.openxmlformats.org/officeDocument/2006/customXml" ds:itemID="{A0BD38F4-3664-4185-B0BF-7951B3928A60}"/>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5</cp:revision>
  <cp:lastPrinted>2014-10-09T20:29:00Z</cp:lastPrinted>
  <dcterms:created xsi:type="dcterms:W3CDTF">2014-10-09T20:18:00Z</dcterms:created>
  <dcterms:modified xsi:type="dcterms:W3CDTF">2014-10-09T20:29:00Z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0x0101006E56B4D1795A2E4DB2F0B01679ED314A001AF401C51CFEBE41924DF8FC1971A2A7</vt:lpwstr>
  </property>
  <property fmtid="{D5CDD505-2E9C-101B-9397-08002B2CF9AE}" pid="3" name="_docset_NoMedatataSyncRequired">
    <vt:lpwstr>False</vt:lpwstr>
  </property>
</Properties>
</file>