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46" w:rsidRPr="00394046" w:rsidRDefault="00394046" w:rsidP="00394046">
      <w:pPr>
        <w:ind w:left="720" w:right="-1260"/>
        <w:rPr>
          <w:sz w:val="72"/>
          <w:szCs w:val="72"/>
        </w:rPr>
      </w:pPr>
      <w:r>
        <w:rPr>
          <w:rFonts w:ascii="Verdana" w:hAnsi="Verdana"/>
          <w:noProof/>
          <w:color w:val="0072BC"/>
          <w:sz w:val="16"/>
          <w:szCs w:val="16"/>
        </w:rPr>
        <w:drawing>
          <wp:inline distT="0" distB="0" distL="0" distR="0">
            <wp:extent cx="5943600" cy="3580146"/>
            <wp:effectExtent l="0" t="0" r="0" b="1270"/>
            <wp:docPr id="1" name="Picture 1"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80146"/>
                    </a:xfrm>
                    <a:prstGeom prst="rect">
                      <a:avLst/>
                    </a:prstGeom>
                    <a:noFill/>
                    <a:ln>
                      <a:noFill/>
                    </a:ln>
                  </pic:spPr>
                </pic:pic>
              </a:graphicData>
            </a:graphic>
          </wp:inline>
        </w:drawing>
      </w:r>
    </w:p>
    <w:p w:rsidR="00D267E7" w:rsidRDefault="004D6D9B" w:rsidP="004D6D9B">
      <w:pPr>
        <w:jc w:val="center"/>
        <w:rPr>
          <w:rFonts w:ascii="Times New Roman" w:hAnsi="Times New Roman" w:cs="Times New Roman"/>
          <w:sz w:val="72"/>
          <w:szCs w:val="72"/>
        </w:rPr>
      </w:pPr>
      <w:r w:rsidRPr="00C2089A">
        <w:rPr>
          <w:rFonts w:ascii="Times New Roman" w:hAnsi="Times New Roman" w:cs="Times New Roman"/>
          <w:sz w:val="72"/>
          <w:szCs w:val="72"/>
        </w:rPr>
        <w:t>Avista Utilities</w:t>
      </w:r>
    </w:p>
    <w:p w:rsidR="004D6D9B" w:rsidRDefault="00AC7776" w:rsidP="004D6D9B">
      <w:pPr>
        <w:jc w:val="center"/>
        <w:rPr>
          <w:rFonts w:ascii="Times New Roman" w:hAnsi="Times New Roman" w:cs="Times New Roman"/>
          <w:sz w:val="40"/>
          <w:szCs w:val="40"/>
        </w:rPr>
      </w:pPr>
      <w:r w:rsidRPr="00394046">
        <w:rPr>
          <w:rFonts w:ascii="Times New Roman" w:hAnsi="Times New Roman" w:cs="Times New Roman"/>
          <w:sz w:val="40"/>
          <w:szCs w:val="40"/>
        </w:rPr>
        <w:t>2014-2015 Biennial Conservation Report</w:t>
      </w:r>
    </w:p>
    <w:p w:rsidR="00394046" w:rsidRPr="00394046" w:rsidRDefault="00394046" w:rsidP="004D6D9B">
      <w:pPr>
        <w:jc w:val="center"/>
        <w:rPr>
          <w:rFonts w:ascii="Times New Roman" w:hAnsi="Times New Roman" w:cs="Times New Roman"/>
          <w:sz w:val="40"/>
          <w:szCs w:val="40"/>
        </w:rPr>
      </w:pPr>
      <w:r>
        <w:rPr>
          <w:rFonts w:ascii="Times New Roman" w:hAnsi="Times New Roman" w:cs="Times New Roman"/>
          <w:sz w:val="40"/>
          <w:szCs w:val="40"/>
        </w:rPr>
        <w:t>(BCR)</w:t>
      </w:r>
    </w:p>
    <w:p w:rsidR="00DC4B49" w:rsidRPr="00C2089A" w:rsidRDefault="00DC4B49" w:rsidP="00DC4B49">
      <w:pPr>
        <w:jc w:val="center"/>
        <w:rPr>
          <w:rFonts w:ascii="Times New Roman" w:hAnsi="Times New Roman" w:cs="Times New Roman"/>
          <w:sz w:val="36"/>
          <w:szCs w:val="36"/>
        </w:rPr>
      </w:pPr>
      <w:r>
        <w:rPr>
          <w:rFonts w:ascii="Times New Roman" w:hAnsi="Times New Roman" w:cs="Times New Roman"/>
          <w:sz w:val="36"/>
          <w:szCs w:val="36"/>
        </w:rPr>
        <w:t>Docket No. UE-132045</w:t>
      </w:r>
    </w:p>
    <w:p w:rsidR="004D6D9B" w:rsidRDefault="004D6D9B" w:rsidP="004D6D9B">
      <w:pPr>
        <w:jc w:val="center"/>
        <w:rPr>
          <w:rFonts w:ascii="Times New Roman" w:hAnsi="Times New Roman" w:cs="Times New Roman"/>
          <w:sz w:val="36"/>
          <w:szCs w:val="36"/>
        </w:rPr>
      </w:pPr>
    </w:p>
    <w:p w:rsidR="00B03751" w:rsidRDefault="00B03751" w:rsidP="004D6D9B">
      <w:pPr>
        <w:jc w:val="center"/>
        <w:rPr>
          <w:sz w:val="36"/>
          <w:szCs w:val="36"/>
        </w:rPr>
      </w:pPr>
    </w:p>
    <w:p w:rsidR="00596E24" w:rsidRDefault="00596E24" w:rsidP="004D6D9B">
      <w:pPr>
        <w:jc w:val="center"/>
        <w:rPr>
          <w:sz w:val="36"/>
          <w:szCs w:val="36"/>
        </w:rPr>
      </w:pPr>
    </w:p>
    <w:p w:rsidR="00596E24" w:rsidRDefault="00596E24" w:rsidP="004D6D9B">
      <w:pPr>
        <w:jc w:val="center"/>
        <w:rPr>
          <w:sz w:val="36"/>
          <w:szCs w:val="36"/>
        </w:rPr>
      </w:pPr>
    </w:p>
    <w:p w:rsidR="004D6D9B" w:rsidRPr="00394046" w:rsidRDefault="00592D61" w:rsidP="004D6D9B">
      <w:pPr>
        <w:jc w:val="right"/>
        <w:rPr>
          <w:rFonts w:ascii="Times New Roman" w:hAnsi="Times New Roman" w:cs="Times New Roman"/>
          <w:sz w:val="28"/>
          <w:szCs w:val="28"/>
        </w:rPr>
      </w:pPr>
      <w:r>
        <w:rPr>
          <w:rFonts w:ascii="Times New Roman" w:hAnsi="Times New Roman" w:cs="Times New Roman"/>
          <w:sz w:val="28"/>
          <w:szCs w:val="28"/>
        </w:rPr>
        <w:t>June 1</w:t>
      </w:r>
      <w:r w:rsidR="00B34383" w:rsidRPr="00394046">
        <w:rPr>
          <w:rFonts w:ascii="Times New Roman" w:hAnsi="Times New Roman" w:cs="Times New Roman"/>
          <w:sz w:val="28"/>
          <w:szCs w:val="28"/>
        </w:rPr>
        <w:t>, 2016</w:t>
      </w:r>
    </w:p>
    <w:p w:rsidR="004D6D9B" w:rsidRPr="00797352" w:rsidRDefault="004D6D9B">
      <w:r w:rsidRPr="00797352">
        <w:br w:type="page"/>
      </w:r>
    </w:p>
    <w:p w:rsidR="0086778E" w:rsidRPr="00BC225A" w:rsidRDefault="0086778E" w:rsidP="0086778E">
      <w:pPr>
        <w:jc w:val="center"/>
        <w:rPr>
          <w:rFonts w:ascii="Times New Roman" w:hAnsi="Times New Roman" w:cs="Times New Roman"/>
          <w:b/>
          <w:sz w:val="24"/>
          <w:szCs w:val="24"/>
          <w:u w:val="single"/>
        </w:rPr>
      </w:pPr>
      <w:r w:rsidRPr="00BC225A">
        <w:rPr>
          <w:rFonts w:ascii="Times New Roman" w:hAnsi="Times New Roman" w:cs="Times New Roman"/>
          <w:b/>
          <w:sz w:val="24"/>
          <w:szCs w:val="24"/>
          <w:u w:val="single"/>
        </w:rPr>
        <w:lastRenderedPageBreak/>
        <w:t xml:space="preserve">Avista </w:t>
      </w:r>
      <w:r w:rsidR="00B34383">
        <w:rPr>
          <w:rFonts w:ascii="Times New Roman" w:hAnsi="Times New Roman" w:cs="Times New Roman"/>
          <w:b/>
          <w:sz w:val="24"/>
          <w:szCs w:val="24"/>
          <w:u w:val="single"/>
        </w:rPr>
        <w:t>2014-2015 Biennial Conservation Report</w:t>
      </w:r>
    </w:p>
    <w:p w:rsidR="0086778E" w:rsidRPr="00BC225A" w:rsidRDefault="0086778E" w:rsidP="0086778E">
      <w:pPr>
        <w:jc w:val="center"/>
        <w:rPr>
          <w:rFonts w:ascii="Times New Roman" w:hAnsi="Times New Roman" w:cs="Times New Roman"/>
          <w:b/>
          <w:sz w:val="24"/>
          <w:szCs w:val="24"/>
          <w:u w:val="single"/>
        </w:rPr>
      </w:pPr>
      <w:r w:rsidRPr="00BC225A">
        <w:rPr>
          <w:rFonts w:ascii="Times New Roman" w:hAnsi="Times New Roman" w:cs="Times New Roman"/>
          <w:b/>
          <w:sz w:val="24"/>
          <w:szCs w:val="24"/>
          <w:u w:val="single"/>
        </w:rPr>
        <w:t>Table of Contents</w:t>
      </w:r>
    </w:p>
    <w:p w:rsidR="00AA73D5" w:rsidRDefault="0086778E" w:rsidP="0086778E">
      <w:pPr>
        <w:pStyle w:val="Default"/>
        <w:tabs>
          <w:tab w:val="right" w:pos="8190"/>
        </w:tabs>
        <w:spacing w:after="60"/>
        <w:rPr>
          <w:rFonts w:ascii="Times New Roman" w:hAnsi="Times New Roman" w:cs="Times New Roman"/>
        </w:rPr>
      </w:pPr>
      <w:r w:rsidRPr="00596E24">
        <w:rPr>
          <w:rFonts w:ascii="Times New Roman" w:hAnsi="Times New Roman" w:cs="Times New Roman"/>
        </w:rPr>
        <w:t xml:space="preserve">I. </w:t>
      </w:r>
      <w:r w:rsidR="00AA73D5">
        <w:rPr>
          <w:rFonts w:ascii="Times New Roman" w:hAnsi="Times New Roman" w:cs="Times New Roman"/>
        </w:rPr>
        <w:t>Introduction</w:t>
      </w:r>
      <w:r w:rsidRPr="00596E24">
        <w:rPr>
          <w:rFonts w:ascii="Times New Roman" w:hAnsi="Times New Roman" w:cs="Times New Roman"/>
        </w:rPr>
        <w:t xml:space="preserve"> </w:t>
      </w:r>
      <w:r w:rsidRPr="00596E24">
        <w:rPr>
          <w:rFonts w:ascii="Times New Roman" w:hAnsi="Times New Roman" w:cs="Times New Roman"/>
          <w:u w:val="dotted"/>
        </w:rPr>
        <w:tab/>
      </w:r>
      <w:r w:rsidR="006D0018">
        <w:rPr>
          <w:rFonts w:ascii="Times New Roman" w:hAnsi="Times New Roman" w:cs="Times New Roman"/>
        </w:rPr>
        <w:t>2</w:t>
      </w:r>
    </w:p>
    <w:p w:rsidR="00AA73D5" w:rsidRPr="00596E24" w:rsidRDefault="00AA73D5" w:rsidP="0086778E">
      <w:pPr>
        <w:pStyle w:val="Default"/>
        <w:tabs>
          <w:tab w:val="right" w:pos="8190"/>
        </w:tabs>
        <w:spacing w:after="60"/>
        <w:rPr>
          <w:rFonts w:ascii="Times New Roman" w:hAnsi="Times New Roman" w:cs="Times New Roman"/>
        </w:rPr>
      </w:pPr>
      <w:r w:rsidRPr="00596E24">
        <w:rPr>
          <w:rFonts w:ascii="Times New Roman" w:hAnsi="Times New Roman" w:cs="Times New Roman"/>
        </w:rPr>
        <w:t>I</w:t>
      </w:r>
      <w:r w:rsidR="00AA3E1E">
        <w:rPr>
          <w:rFonts w:ascii="Times New Roman" w:hAnsi="Times New Roman" w:cs="Times New Roman"/>
        </w:rPr>
        <w:t>I</w:t>
      </w:r>
      <w:r w:rsidRPr="00596E24">
        <w:rPr>
          <w:rFonts w:ascii="Times New Roman" w:hAnsi="Times New Roman" w:cs="Times New Roman"/>
        </w:rPr>
        <w:t xml:space="preserve">. </w:t>
      </w:r>
      <w:r>
        <w:rPr>
          <w:rFonts w:ascii="Times New Roman" w:hAnsi="Times New Roman" w:cs="Times New Roman"/>
        </w:rPr>
        <w:t>Executive Summary</w:t>
      </w:r>
      <w:r w:rsidRPr="00596E24">
        <w:rPr>
          <w:rFonts w:ascii="Times New Roman" w:hAnsi="Times New Roman" w:cs="Times New Roman"/>
        </w:rPr>
        <w:t xml:space="preserve"> </w:t>
      </w:r>
      <w:r w:rsidRPr="00596E24">
        <w:rPr>
          <w:rFonts w:ascii="Times New Roman" w:hAnsi="Times New Roman" w:cs="Times New Roman"/>
          <w:u w:val="dotted"/>
        </w:rPr>
        <w:tab/>
      </w:r>
      <w:r w:rsidR="001C070E">
        <w:rPr>
          <w:rFonts w:ascii="Times New Roman" w:hAnsi="Times New Roman" w:cs="Times New Roman"/>
        </w:rPr>
        <w:t>2</w:t>
      </w:r>
    </w:p>
    <w:p w:rsidR="0086778E" w:rsidRPr="00596E24" w:rsidRDefault="0086778E" w:rsidP="00480D68">
      <w:pPr>
        <w:pStyle w:val="Default"/>
        <w:tabs>
          <w:tab w:val="right" w:pos="8190"/>
        </w:tabs>
        <w:spacing w:after="60"/>
        <w:rPr>
          <w:rFonts w:ascii="Times New Roman" w:hAnsi="Times New Roman" w:cs="Times New Roman"/>
        </w:rPr>
      </w:pPr>
      <w:r w:rsidRPr="00596E24">
        <w:rPr>
          <w:rFonts w:ascii="Times New Roman" w:hAnsi="Times New Roman" w:cs="Times New Roman"/>
        </w:rPr>
        <w:t>II</w:t>
      </w:r>
      <w:r w:rsidR="00AA3E1E">
        <w:rPr>
          <w:rFonts w:ascii="Times New Roman" w:hAnsi="Times New Roman" w:cs="Times New Roman"/>
        </w:rPr>
        <w:t>I</w:t>
      </w:r>
      <w:r w:rsidRPr="00596E24">
        <w:rPr>
          <w:rFonts w:ascii="Times New Roman" w:hAnsi="Times New Roman" w:cs="Times New Roman"/>
        </w:rPr>
        <w:t xml:space="preserve">. </w:t>
      </w:r>
      <w:r w:rsidR="00480D68">
        <w:rPr>
          <w:rFonts w:ascii="Times New Roman" w:hAnsi="Times New Roman" w:cs="Times New Roman"/>
        </w:rPr>
        <w:t>Energy Independence Act (I-937) Commerce Conservation Report</w:t>
      </w:r>
      <w:r w:rsidRPr="00596E24">
        <w:rPr>
          <w:rFonts w:ascii="Times New Roman" w:hAnsi="Times New Roman" w:cs="Times New Roman"/>
        </w:rPr>
        <w:t xml:space="preserve"> </w:t>
      </w:r>
      <w:r w:rsidRPr="00596E24">
        <w:rPr>
          <w:rFonts w:ascii="Times New Roman" w:hAnsi="Times New Roman" w:cs="Times New Roman"/>
          <w:u w:val="dotted"/>
        </w:rPr>
        <w:tab/>
      </w:r>
      <w:r w:rsidR="006D0018">
        <w:rPr>
          <w:rFonts w:ascii="Times New Roman" w:hAnsi="Times New Roman" w:cs="Times New Roman"/>
        </w:rPr>
        <w:t>4</w:t>
      </w:r>
    </w:p>
    <w:p w:rsidR="0086778E" w:rsidRPr="00596E24" w:rsidRDefault="00AA3E1E" w:rsidP="00480D68">
      <w:pPr>
        <w:pStyle w:val="Default"/>
        <w:tabs>
          <w:tab w:val="right" w:pos="8190"/>
        </w:tabs>
        <w:spacing w:after="60"/>
        <w:rPr>
          <w:rFonts w:ascii="Times New Roman" w:hAnsi="Times New Roman" w:cs="Times New Roman"/>
        </w:rPr>
      </w:pPr>
      <w:r>
        <w:rPr>
          <w:rFonts w:ascii="Times New Roman" w:hAnsi="Times New Roman" w:cs="Times New Roman"/>
        </w:rPr>
        <w:t>IV</w:t>
      </w:r>
      <w:r w:rsidR="0086778E" w:rsidRPr="00596E24">
        <w:rPr>
          <w:rFonts w:ascii="Times New Roman" w:hAnsi="Times New Roman" w:cs="Times New Roman"/>
        </w:rPr>
        <w:t xml:space="preserve">. </w:t>
      </w:r>
      <w:r w:rsidR="00480D68">
        <w:rPr>
          <w:rFonts w:ascii="Times New Roman" w:hAnsi="Times New Roman" w:cs="Times New Roman"/>
        </w:rPr>
        <w:t>Biennial Portfolio Electric Cost-Effectiveness</w:t>
      </w:r>
      <w:r w:rsidR="0086778E" w:rsidRPr="00596E24">
        <w:rPr>
          <w:rFonts w:ascii="Times New Roman" w:hAnsi="Times New Roman" w:cs="Times New Roman"/>
          <w:u w:val="dotted"/>
        </w:rPr>
        <w:tab/>
      </w:r>
      <w:r w:rsidR="00D26FD4">
        <w:rPr>
          <w:rFonts w:ascii="Times New Roman" w:hAnsi="Times New Roman" w:cs="Times New Roman"/>
        </w:rPr>
        <w:t>5</w:t>
      </w:r>
      <w:r w:rsidR="0086778E" w:rsidRPr="00596E24">
        <w:rPr>
          <w:rFonts w:ascii="Times New Roman" w:hAnsi="Times New Roman" w:cs="Times New Roman"/>
        </w:rPr>
        <w:tab/>
      </w:r>
    </w:p>
    <w:p w:rsidR="00D26FD4" w:rsidRDefault="0086778E" w:rsidP="00480D68">
      <w:pPr>
        <w:pStyle w:val="Default"/>
        <w:tabs>
          <w:tab w:val="right" w:pos="8190"/>
        </w:tabs>
        <w:spacing w:after="60"/>
        <w:rPr>
          <w:rFonts w:ascii="Times New Roman" w:hAnsi="Times New Roman" w:cs="Times New Roman"/>
        </w:rPr>
      </w:pPr>
      <w:r w:rsidRPr="00596E24">
        <w:rPr>
          <w:rFonts w:ascii="Times New Roman" w:hAnsi="Times New Roman" w:cs="Times New Roman"/>
        </w:rPr>
        <w:t xml:space="preserve">V. </w:t>
      </w:r>
      <w:r w:rsidR="00480D68">
        <w:rPr>
          <w:rFonts w:ascii="Times New Roman" w:hAnsi="Times New Roman" w:cs="Times New Roman"/>
        </w:rPr>
        <w:t>Summary of Adaptive Management</w:t>
      </w:r>
      <w:r w:rsidR="006D0018">
        <w:rPr>
          <w:rFonts w:ascii="Times New Roman" w:hAnsi="Times New Roman" w:cs="Times New Roman"/>
        </w:rPr>
        <w:t xml:space="preserve"> during 2014 – 2015</w:t>
      </w:r>
      <w:r w:rsidRPr="00596E24">
        <w:rPr>
          <w:rFonts w:ascii="Times New Roman" w:hAnsi="Times New Roman" w:cs="Times New Roman"/>
          <w:u w:val="dotted"/>
        </w:rPr>
        <w:tab/>
      </w:r>
      <w:r w:rsidR="00D26FD4">
        <w:rPr>
          <w:rFonts w:ascii="Times New Roman" w:hAnsi="Times New Roman" w:cs="Times New Roman"/>
        </w:rPr>
        <w:t>6</w:t>
      </w:r>
    </w:p>
    <w:p w:rsidR="00D26FD4" w:rsidRDefault="00D26FD4" w:rsidP="00D26FD4">
      <w:pPr>
        <w:pStyle w:val="Default"/>
        <w:tabs>
          <w:tab w:val="right" w:pos="8190"/>
        </w:tabs>
        <w:spacing w:after="60"/>
        <w:rPr>
          <w:rFonts w:ascii="Times New Roman" w:hAnsi="Times New Roman" w:cs="Times New Roman"/>
        </w:rPr>
      </w:pPr>
      <w:r w:rsidRPr="00596E24">
        <w:rPr>
          <w:rFonts w:ascii="Times New Roman" w:hAnsi="Times New Roman" w:cs="Times New Roman"/>
        </w:rPr>
        <w:t>V</w:t>
      </w:r>
      <w:r>
        <w:rPr>
          <w:rFonts w:ascii="Times New Roman" w:hAnsi="Times New Roman" w:cs="Times New Roman"/>
        </w:rPr>
        <w:t>I</w:t>
      </w:r>
      <w:r w:rsidRPr="00596E24">
        <w:rPr>
          <w:rFonts w:ascii="Times New Roman" w:hAnsi="Times New Roman" w:cs="Times New Roman"/>
        </w:rPr>
        <w:t xml:space="preserve">. </w:t>
      </w:r>
      <w:r>
        <w:rPr>
          <w:rFonts w:ascii="Times New Roman" w:hAnsi="Times New Roman" w:cs="Times New Roman"/>
        </w:rPr>
        <w:t>Compliance</w:t>
      </w:r>
      <w:r w:rsidRPr="00596E24">
        <w:rPr>
          <w:rFonts w:ascii="Times New Roman" w:hAnsi="Times New Roman" w:cs="Times New Roman"/>
          <w:u w:val="dotted"/>
        </w:rPr>
        <w:tab/>
      </w:r>
      <w:r w:rsidR="001C070E">
        <w:rPr>
          <w:rFonts w:ascii="Times New Roman" w:hAnsi="Times New Roman" w:cs="Times New Roman"/>
        </w:rPr>
        <w:t>8</w:t>
      </w:r>
    </w:p>
    <w:p w:rsidR="00D26FD4" w:rsidRDefault="00D26FD4" w:rsidP="00D26FD4">
      <w:pPr>
        <w:pStyle w:val="Default"/>
        <w:tabs>
          <w:tab w:val="right" w:pos="8190"/>
        </w:tabs>
        <w:spacing w:after="60"/>
        <w:rPr>
          <w:rFonts w:ascii="Times New Roman" w:hAnsi="Times New Roman" w:cs="Times New Roman"/>
        </w:rPr>
      </w:pPr>
      <w:r w:rsidRPr="00596E24">
        <w:rPr>
          <w:rFonts w:ascii="Times New Roman" w:hAnsi="Times New Roman" w:cs="Times New Roman"/>
        </w:rPr>
        <w:t>V</w:t>
      </w:r>
      <w:r>
        <w:rPr>
          <w:rFonts w:ascii="Times New Roman" w:hAnsi="Times New Roman" w:cs="Times New Roman"/>
        </w:rPr>
        <w:t>II</w:t>
      </w:r>
      <w:r w:rsidRPr="00596E24">
        <w:rPr>
          <w:rFonts w:ascii="Times New Roman" w:hAnsi="Times New Roman" w:cs="Times New Roman"/>
        </w:rPr>
        <w:t xml:space="preserve">. </w:t>
      </w:r>
      <w:r>
        <w:rPr>
          <w:rFonts w:ascii="Times New Roman" w:hAnsi="Times New Roman" w:cs="Times New Roman"/>
        </w:rPr>
        <w:t>Conclusion</w:t>
      </w:r>
      <w:r w:rsidRPr="00596E24">
        <w:rPr>
          <w:rFonts w:ascii="Times New Roman" w:hAnsi="Times New Roman" w:cs="Times New Roman"/>
          <w:u w:val="dotted"/>
        </w:rPr>
        <w:tab/>
      </w:r>
      <w:r w:rsidR="001C070E">
        <w:rPr>
          <w:rFonts w:ascii="Times New Roman" w:hAnsi="Times New Roman" w:cs="Times New Roman"/>
        </w:rPr>
        <w:t>10</w:t>
      </w:r>
      <w:bookmarkStart w:id="0" w:name="_GoBack"/>
      <w:bookmarkEnd w:id="0"/>
    </w:p>
    <w:p w:rsidR="0086778E" w:rsidRPr="00596E24" w:rsidRDefault="0086778E" w:rsidP="00480D68">
      <w:pPr>
        <w:pStyle w:val="Default"/>
        <w:tabs>
          <w:tab w:val="right" w:pos="8190"/>
        </w:tabs>
        <w:spacing w:after="60"/>
        <w:rPr>
          <w:rFonts w:ascii="Times New Roman" w:hAnsi="Times New Roman" w:cs="Times New Roman"/>
        </w:rPr>
      </w:pPr>
      <w:r w:rsidRPr="00596E24">
        <w:rPr>
          <w:rFonts w:ascii="Times New Roman" w:hAnsi="Times New Roman" w:cs="Times New Roman"/>
        </w:rPr>
        <w:tab/>
      </w:r>
    </w:p>
    <w:p w:rsidR="0086778E" w:rsidRPr="00596E24" w:rsidRDefault="0086778E" w:rsidP="0086778E">
      <w:pPr>
        <w:pStyle w:val="Default"/>
        <w:tabs>
          <w:tab w:val="right" w:pos="8190"/>
        </w:tabs>
        <w:spacing w:after="60"/>
        <w:rPr>
          <w:rFonts w:asciiTheme="minorHAnsi" w:hAnsiTheme="minorHAnsi" w:cs="Times New Roman"/>
        </w:rPr>
      </w:pPr>
    </w:p>
    <w:p w:rsidR="0086778E" w:rsidRPr="00596E24" w:rsidRDefault="0086778E" w:rsidP="0086778E">
      <w:pPr>
        <w:pStyle w:val="Default"/>
        <w:tabs>
          <w:tab w:val="right" w:pos="8190"/>
        </w:tabs>
        <w:spacing w:after="60"/>
        <w:rPr>
          <w:rFonts w:ascii="Times New Roman" w:hAnsi="Times New Roman" w:cs="Times New Roman"/>
        </w:rPr>
      </w:pPr>
      <w:r w:rsidRPr="00596E24">
        <w:rPr>
          <w:rFonts w:ascii="Times New Roman" w:hAnsi="Times New Roman" w:cs="Times New Roman"/>
        </w:rPr>
        <w:t>Appendix Summary</w:t>
      </w:r>
    </w:p>
    <w:p w:rsidR="0086778E" w:rsidRPr="009232D7" w:rsidRDefault="0086778E" w:rsidP="0086778E">
      <w:pPr>
        <w:pStyle w:val="Default"/>
        <w:tabs>
          <w:tab w:val="right" w:pos="8190"/>
        </w:tabs>
        <w:spacing w:after="60"/>
        <w:rPr>
          <w:rFonts w:ascii="Times New Roman" w:hAnsi="Times New Roman" w:cs="Times New Roman"/>
        </w:rPr>
      </w:pPr>
      <w:r w:rsidRPr="00596E24">
        <w:rPr>
          <w:rFonts w:ascii="Times New Roman" w:hAnsi="Times New Roman" w:cs="Times New Roman"/>
        </w:rPr>
        <w:t xml:space="preserve">Appendix A: </w:t>
      </w:r>
      <w:r w:rsidR="009232D7">
        <w:rPr>
          <w:rFonts w:ascii="Times New Roman" w:hAnsi="Times New Roman" w:cs="Times New Roman"/>
        </w:rPr>
        <w:t>Impact Evaluation of Washington Electric 2014-2015 Energy Efficiency Programs</w:t>
      </w:r>
    </w:p>
    <w:p w:rsidR="00AA73D5" w:rsidRDefault="00394046" w:rsidP="0086778E">
      <w:pPr>
        <w:pStyle w:val="Default"/>
        <w:tabs>
          <w:tab w:val="right" w:pos="8190"/>
        </w:tabs>
        <w:spacing w:after="60"/>
        <w:rPr>
          <w:rFonts w:ascii="Times New Roman" w:hAnsi="Times New Roman" w:cs="Times New Roman"/>
        </w:rPr>
      </w:pPr>
      <w:r>
        <w:rPr>
          <w:rFonts w:ascii="Times New Roman" w:hAnsi="Times New Roman" w:cs="Times New Roman"/>
        </w:rPr>
        <w:t>Appendix B: 2015 – W</w:t>
      </w:r>
      <w:r w:rsidR="00AA73D5">
        <w:rPr>
          <w:rFonts w:ascii="Times New Roman" w:hAnsi="Times New Roman" w:cs="Times New Roman"/>
        </w:rPr>
        <w:t>ashington Annual Conservation Report</w:t>
      </w:r>
      <w:r w:rsidR="009232D7">
        <w:rPr>
          <w:rFonts w:ascii="Times New Roman" w:hAnsi="Times New Roman" w:cs="Times New Roman"/>
        </w:rPr>
        <w:t xml:space="preserve"> (ACR)</w:t>
      </w:r>
    </w:p>
    <w:p w:rsidR="00AA73D5" w:rsidRPr="00596E24" w:rsidRDefault="00AA73D5" w:rsidP="0086778E">
      <w:pPr>
        <w:pStyle w:val="Default"/>
        <w:tabs>
          <w:tab w:val="right" w:pos="8190"/>
        </w:tabs>
        <w:spacing w:after="60"/>
        <w:rPr>
          <w:rFonts w:ascii="Times New Roman" w:hAnsi="Times New Roman" w:cs="Times New Roman"/>
        </w:rPr>
      </w:pPr>
      <w:r>
        <w:rPr>
          <w:rFonts w:ascii="Times New Roman" w:hAnsi="Times New Roman" w:cs="Times New Roman"/>
        </w:rPr>
        <w:t>Appendix C: 2014</w:t>
      </w:r>
      <w:r w:rsidR="00394046">
        <w:rPr>
          <w:rFonts w:ascii="Times New Roman" w:hAnsi="Times New Roman" w:cs="Times New Roman"/>
        </w:rPr>
        <w:t xml:space="preserve"> – W</w:t>
      </w:r>
      <w:r>
        <w:rPr>
          <w:rFonts w:ascii="Times New Roman" w:hAnsi="Times New Roman" w:cs="Times New Roman"/>
        </w:rPr>
        <w:t>ashington Annual Conservation Report</w:t>
      </w:r>
      <w:r w:rsidR="009232D7">
        <w:rPr>
          <w:rFonts w:ascii="Times New Roman" w:hAnsi="Times New Roman" w:cs="Times New Roman"/>
        </w:rPr>
        <w:t xml:space="preserve"> (ACR)</w:t>
      </w:r>
    </w:p>
    <w:p w:rsidR="00DF4F76" w:rsidRDefault="001A0DAC" w:rsidP="0086778E">
      <w:pPr>
        <w:pStyle w:val="Default"/>
        <w:tabs>
          <w:tab w:val="right" w:pos="8190"/>
        </w:tabs>
        <w:spacing w:after="60"/>
        <w:rPr>
          <w:rFonts w:ascii="Times New Roman" w:hAnsi="Times New Roman" w:cs="Times New Roman"/>
        </w:rPr>
      </w:pPr>
      <w:r>
        <w:rPr>
          <w:rFonts w:ascii="Times New Roman" w:hAnsi="Times New Roman" w:cs="Times New Roman"/>
        </w:rPr>
        <w:t>Appendix D</w:t>
      </w:r>
      <w:r w:rsidR="0086778E" w:rsidRPr="00596E24">
        <w:rPr>
          <w:rFonts w:ascii="Times New Roman" w:hAnsi="Times New Roman" w:cs="Times New Roman"/>
        </w:rPr>
        <w:t xml:space="preserve">: </w:t>
      </w:r>
      <w:r w:rsidR="00356B1C">
        <w:rPr>
          <w:rFonts w:ascii="Times New Roman" w:hAnsi="Times New Roman" w:cs="Times New Roman"/>
        </w:rPr>
        <w:t>2014 – 2015 NEEA Memorandum of Final Savings</w:t>
      </w:r>
    </w:p>
    <w:p w:rsidR="001A0DAC" w:rsidRDefault="001A0DAC" w:rsidP="0086778E">
      <w:pPr>
        <w:pStyle w:val="Default"/>
        <w:tabs>
          <w:tab w:val="right" w:pos="8190"/>
        </w:tabs>
        <w:spacing w:after="60"/>
        <w:rPr>
          <w:rFonts w:ascii="Times New Roman" w:hAnsi="Times New Roman" w:cs="Times New Roman"/>
        </w:rPr>
      </w:pPr>
      <w:r>
        <w:rPr>
          <w:rFonts w:ascii="Times New Roman" w:hAnsi="Times New Roman" w:cs="Times New Roman"/>
        </w:rPr>
        <w:t xml:space="preserve">Appendix E: </w:t>
      </w:r>
      <w:r w:rsidR="008929A5">
        <w:rPr>
          <w:rFonts w:ascii="Times New Roman" w:hAnsi="Times New Roman" w:cs="Times New Roman"/>
        </w:rPr>
        <w:t>2016 – A</w:t>
      </w:r>
      <w:r>
        <w:rPr>
          <w:rFonts w:ascii="Times New Roman" w:hAnsi="Times New Roman" w:cs="Times New Roman"/>
        </w:rPr>
        <w:t>dvis</w:t>
      </w:r>
      <w:r w:rsidR="008929A5">
        <w:rPr>
          <w:rFonts w:ascii="Times New Roman" w:hAnsi="Times New Roman" w:cs="Times New Roman"/>
        </w:rPr>
        <w:t xml:space="preserve">ory Group Meeting – Spring </w:t>
      </w:r>
      <w:r>
        <w:rPr>
          <w:rFonts w:ascii="Times New Roman" w:hAnsi="Times New Roman" w:cs="Times New Roman"/>
        </w:rPr>
        <w:t>Presentation</w:t>
      </w:r>
    </w:p>
    <w:p w:rsidR="0086778E" w:rsidRPr="00596E24" w:rsidRDefault="0086778E" w:rsidP="0086778E">
      <w:pPr>
        <w:pStyle w:val="Default"/>
        <w:tabs>
          <w:tab w:val="right" w:pos="8190"/>
        </w:tabs>
        <w:spacing w:after="60"/>
        <w:rPr>
          <w:rFonts w:ascii="Times New Roman" w:hAnsi="Times New Roman" w:cs="Times New Roman"/>
        </w:rPr>
      </w:pPr>
      <w:r w:rsidRPr="00596E24">
        <w:rPr>
          <w:rFonts w:ascii="Times New Roman" w:hAnsi="Times New Roman" w:cs="Times New Roman"/>
        </w:rPr>
        <w:tab/>
      </w:r>
    </w:p>
    <w:p w:rsidR="00F65CB3" w:rsidRPr="00DF5FDE" w:rsidRDefault="004D6D9B" w:rsidP="00596E24">
      <w:pPr>
        <w:rPr>
          <w:rFonts w:cs="Times New Roman"/>
        </w:rPr>
      </w:pPr>
      <w:r w:rsidRPr="00CB4102">
        <w:rPr>
          <w:rFonts w:cs="Times New Roman"/>
        </w:rPr>
        <w:br w:type="page"/>
      </w:r>
    </w:p>
    <w:p w:rsidR="00B13203" w:rsidRDefault="00AA73D5" w:rsidP="00596E24">
      <w:pPr>
        <w:pStyle w:val="ListParagraph"/>
        <w:numPr>
          <w:ilvl w:val="0"/>
          <w:numId w:val="2"/>
        </w:numPr>
        <w:ind w:left="0"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Introduction</w:t>
      </w:r>
    </w:p>
    <w:p w:rsidR="00E5451E" w:rsidRDefault="00E5451E" w:rsidP="00AA73D5">
      <w:pPr>
        <w:pStyle w:val="ListParagraph"/>
        <w:ind w:left="0"/>
        <w:rPr>
          <w:rFonts w:ascii="Times New Roman" w:hAnsi="Times New Roman" w:cs="Times New Roman"/>
          <w:sz w:val="24"/>
          <w:szCs w:val="24"/>
        </w:rPr>
      </w:pPr>
    </w:p>
    <w:p w:rsidR="00C629CA" w:rsidRDefault="00E5451E" w:rsidP="00E5451E">
      <w:pPr>
        <w:pStyle w:val="ListParagraph"/>
        <w:spacing w:after="0" w:line="360" w:lineRule="auto"/>
        <w:ind w:left="0"/>
        <w:jc w:val="both"/>
        <w:rPr>
          <w:rFonts w:ascii="Times New Roman" w:hAnsi="Times New Roman" w:cs="Times New Roman"/>
          <w:sz w:val="24"/>
          <w:szCs w:val="24"/>
        </w:rPr>
      </w:pPr>
      <w:r w:rsidRPr="001A7B6D">
        <w:rPr>
          <w:rFonts w:ascii="Times New Roman" w:hAnsi="Times New Roman"/>
          <w:sz w:val="24"/>
          <w:szCs w:val="24"/>
        </w:rPr>
        <w:t xml:space="preserve">In compliance with </w:t>
      </w:r>
      <w:r w:rsidRPr="001A7B6D">
        <w:rPr>
          <w:rFonts w:ascii="Times New Roman" w:hAnsi="Times New Roman"/>
          <w:bCs/>
          <w:sz w:val="24"/>
          <w:szCs w:val="24"/>
        </w:rPr>
        <w:t xml:space="preserve">RCW 19.285 and </w:t>
      </w:r>
      <w:r>
        <w:rPr>
          <w:rFonts w:ascii="Times New Roman" w:hAnsi="Times New Roman"/>
          <w:sz w:val="24"/>
          <w:szCs w:val="24"/>
        </w:rPr>
        <w:t>WAC 480-109-120 (4)</w:t>
      </w:r>
      <w:r w:rsidRPr="001A7B6D">
        <w:rPr>
          <w:rFonts w:ascii="Times New Roman" w:hAnsi="Times New Roman"/>
          <w:sz w:val="24"/>
          <w:szCs w:val="24"/>
        </w:rPr>
        <w:t>, Avista Corporation, respectfully submits it’s “</w:t>
      </w:r>
      <w:r>
        <w:rPr>
          <w:rFonts w:ascii="Times New Roman" w:hAnsi="Times New Roman"/>
          <w:sz w:val="24"/>
          <w:szCs w:val="24"/>
        </w:rPr>
        <w:t>2014-2015 Biennial Conservation Report (BCR)”</w:t>
      </w:r>
      <w:r w:rsidR="00476EBA">
        <w:rPr>
          <w:rFonts w:ascii="Times New Roman" w:hAnsi="Times New Roman" w:cs="Times New Roman"/>
          <w:sz w:val="24"/>
          <w:szCs w:val="24"/>
        </w:rPr>
        <w:t xml:space="preserve"> to the Washington Utilities</w:t>
      </w:r>
      <w:r w:rsidR="00A91309">
        <w:rPr>
          <w:rFonts w:ascii="Times New Roman" w:hAnsi="Times New Roman" w:cs="Times New Roman"/>
          <w:sz w:val="24"/>
          <w:szCs w:val="24"/>
        </w:rPr>
        <w:t xml:space="preserve"> </w:t>
      </w:r>
      <w:r w:rsidR="00476EBA">
        <w:rPr>
          <w:rFonts w:ascii="Times New Roman" w:hAnsi="Times New Roman" w:cs="Times New Roman"/>
          <w:sz w:val="24"/>
          <w:szCs w:val="24"/>
        </w:rPr>
        <w:t>and Transportation Commission (</w:t>
      </w:r>
      <w:r w:rsidR="00A91309">
        <w:rPr>
          <w:rFonts w:ascii="Times New Roman" w:hAnsi="Times New Roman" w:cs="Times New Roman"/>
          <w:sz w:val="24"/>
          <w:szCs w:val="24"/>
        </w:rPr>
        <w:t>UTC)</w:t>
      </w:r>
      <w:r>
        <w:rPr>
          <w:rFonts w:ascii="Times New Roman" w:hAnsi="Times New Roman" w:cs="Times New Roman"/>
          <w:sz w:val="24"/>
          <w:szCs w:val="24"/>
        </w:rPr>
        <w:t xml:space="preserve">. </w:t>
      </w:r>
      <w:r w:rsidR="00242DC1">
        <w:rPr>
          <w:rFonts w:ascii="Times New Roman" w:hAnsi="Times New Roman" w:cs="Times New Roman"/>
          <w:sz w:val="24"/>
          <w:szCs w:val="24"/>
        </w:rPr>
        <w:t>This</w:t>
      </w:r>
      <w:r w:rsidR="00A91309">
        <w:rPr>
          <w:rFonts w:ascii="Times New Roman" w:hAnsi="Times New Roman" w:cs="Times New Roman"/>
          <w:sz w:val="24"/>
          <w:szCs w:val="24"/>
        </w:rPr>
        <w:t xml:space="preserve"> report </w:t>
      </w:r>
      <w:r w:rsidR="00242DC1">
        <w:rPr>
          <w:rFonts w:ascii="Times New Roman" w:hAnsi="Times New Roman" w:cs="Times New Roman"/>
          <w:sz w:val="24"/>
          <w:szCs w:val="24"/>
        </w:rPr>
        <w:t xml:space="preserve">is intended to comply with </w:t>
      </w:r>
      <w:r w:rsidR="00A91309">
        <w:rPr>
          <w:rFonts w:ascii="Times New Roman" w:hAnsi="Times New Roman" w:cs="Times New Roman"/>
          <w:sz w:val="24"/>
          <w:szCs w:val="24"/>
        </w:rPr>
        <w:t>the requirements outlined below</w:t>
      </w:r>
      <w:r w:rsidR="00C629CA">
        <w:rPr>
          <w:rFonts w:ascii="Times New Roman" w:hAnsi="Times New Roman" w:cs="Times New Roman"/>
          <w:sz w:val="24"/>
          <w:szCs w:val="24"/>
        </w:rPr>
        <w:t>:</w:t>
      </w:r>
    </w:p>
    <w:p w:rsidR="00C629CA" w:rsidRDefault="00C629CA" w:rsidP="00E5451E">
      <w:pPr>
        <w:pStyle w:val="ListParagraph"/>
        <w:spacing w:after="0" w:line="360" w:lineRule="auto"/>
        <w:ind w:left="0"/>
        <w:jc w:val="both"/>
        <w:rPr>
          <w:rFonts w:ascii="Times New Roman" w:hAnsi="Times New Roman" w:cs="Times New Roman"/>
          <w:sz w:val="24"/>
          <w:szCs w:val="24"/>
        </w:rPr>
      </w:pPr>
    </w:p>
    <w:p w:rsidR="00C629CA" w:rsidRPr="00982D38" w:rsidRDefault="00242DC1" w:rsidP="00C629C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WAC 480-109-120 </w:t>
      </w:r>
      <w:r w:rsidR="00C629CA" w:rsidRPr="00982D38">
        <w:rPr>
          <w:rFonts w:ascii="Times New Roman" w:eastAsia="Times New Roman" w:hAnsi="Times New Roman" w:cs="Times New Roman"/>
          <w:sz w:val="24"/>
          <w:szCs w:val="24"/>
        </w:rPr>
        <w:t xml:space="preserve">(4) </w:t>
      </w:r>
      <w:r w:rsidR="00C629CA" w:rsidRPr="00982D38">
        <w:rPr>
          <w:rFonts w:ascii="Times New Roman" w:eastAsia="Times New Roman" w:hAnsi="Times New Roman" w:cs="Times New Roman"/>
          <w:b/>
          <w:bCs/>
          <w:sz w:val="24"/>
          <w:szCs w:val="24"/>
        </w:rPr>
        <w:t>Biennial conservation report</w:t>
      </w:r>
      <w:r w:rsidR="00C629CA">
        <w:rPr>
          <w:rFonts w:ascii="Times New Roman" w:eastAsia="Times New Roman" w:hAnsi="Times New Roman" w:cs="Times New Roman"/>
          <w:b/>
          <w:bCs/>
          <w:sz w:val="24"/>
          <w:szCs w:val="24"/>
        </w:rPr>
        <w:t xml:space="preserve"> (BCR)</w:t>
      </w:r>
      <w:r w:rsidR="00C629CA" w:rsidRPr="00982D38">
        <w:rPr>
          <w:rFonts w:ascii="Times New Roman" w:eastAsia="Times New Roman" w:hAnsi="Times New Roman" w:cs="Times New Roman"/>
          <w:b/>
          <w:bCs/>
          <w:sz w:val="24"/>
          <w:szCs w:val="24"/>
        </w:rPr>
        <w:t>.</w:t>
      </w:r>
    </w:p>
    <w:p w:rsidR="00C629CA" w:rsidRPr="00982D38" w:rsidRDefault="00242DC1" w:rsidP="00242DC1">
      <w:pPr>
        <w:spacing w:after="0" w:line="240" w:lineRule="auto"/>
        <w:ind w:left="126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C629CA" w:rsidRPr="00982D38">
        <w:rPr>
          <w:rFonts w:ascii="Times New Roman" w:eastAsia="Times New Roman" w:hAnsi="Times New Roman" w:cs="Times New Roman"/>
          <w:sz w:val="24"/>
          <w:szCs w:val="24"/>
        </w:rPr>
        <w:t xml:space="preserve">On or before </w:t>
      </w:r>
      <w:r w:rsidR="00C629CA" w:rsidRPr="00982D38">
        <w:rPr>
          <w:rFonts w:ascii="Times New Roman" w:eastAsia="Times New Roman" w:hAnsi="Times New Roman" w:cs="Times New Roman"/>
          <w:sz w:val="24"/>
          <w:szCs w:val="24"/>
          <w:u w:val="single"/>
        </w:rPr>
        <w:t>June 1st of each even-numbered year</w:t>
      </w:r>
      <w:r w:rsidR="00C629CA" w:rsidRPr="00982D38">
        <w:rPr>
          <w:rFonts w:ascii="Times New Roman" w:eastAsia="Times New Roman" w:hAnsi="Times New Roman" w:cs="Times New Roman"/>
          <w:sz w:val="24"/>
          <w:szCs w:val="24"/>
        </w:rPr>
        <w:t>, a utility must file with the commission, in the same docket as its current biennial conservation plan, a biennial conservation report regarding its progress in meeting its conservation target during the preceding two years.</w:t>
      </w:r>
    </w:p>
    <w:p w:rsidR="00C629CA" w:rsidRPr="00982D38" w:rsidRDefault="00C629CA" w:rsidP="00242DC1">
      <w:pPr>
        <w:spacing w:after="0" w:line="240" w:lineRule="auto"/>
        <w:ind w:left="126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(b)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The biennial conservation report must include:</w:t>
      </w:r>
    </w:p>
    <w:p w:rsidR="00C629CA" w:rsidRPr="00982D38" w:rsidRDefault="00C629CA" w:rsidP="00242DC1">
      <w:pPr>
        <w:spacing w:after="0" w:line="240" w:lineRule="auto"/>
        <w:ind w:left="180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(i)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The biennial conservation target;</w:t>
      </w:r>
    </w:p>
    <w:p w:rsidR="00C629CA" w:rsidRPr="00982D38" w:rsidRDefault="00C629CA" w:rsidP="00242DC1">
      <w:pPr>
        <w:spacing w:after="0" w:line="240" w:lineRule="auto"/>
        <w:ind w:left="180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(ii)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Planned and claimed electricity savings from conservation;</w:t>
      </w:r>
    </w:p>
    <w:p w:rsidR="00C629CA" w:rsidRPr="00982D38" w:rsidRDefault="00C629CA" w:rsidP="00242DC1">
      <w:pPr>
        <w:spacing w:after="0" w:line="240" w:lineRule="auto"/>
        <w:ind w:left="180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(iii)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Budgeted and actual expenditures made to acquire conservation;</w:t>
      </w:r>
    </w:p>
    <w:p w:rsidR="00C629CA" w:rsidRPr="00982D38" w:rsidRDefault="00242DC1" w:rsidP="00242DC1">
      <w:pPr>
        <w:spacing w:after="0" w:line="240" w:lineRule="auto"/>
        <w:ind w:left="180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r>
      <w:r w:rsidR="00C629CA" w:rsidRPr="00982D38">
        <w:rPr>
          <w:rFonts w:ascii="Times New Roman" w:eastAsia="Times New Roman" w:hAnsi="Times New Roman" w:cs="Times New Roman"/>
          <w:sz w:val="24"/>
          <w:szCs w:val="24"/>
        </w:rPr>
        <w:t>The portfolio-level cost-effectiveness of the actual electricity savings from conservation;</w:t>
      </w:r>
    </w:p>
    <w:p w:rsidR="00C629CA" w:rsidRPr="00982D38" w:rsidRDefault="00C629CA" w:rsidP="00242DC1">
      <w:pPr>
        <w:spacing w:after="0" w:line="240" w:lineRule="auto"/>
        <w:ind w:left="180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(v)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An independent third-party evaluation of portfolio-level biennial conservation savings achievement;</w:t>
      </w:r>
    </w:p>
    <w:p w:rsidR="00C629CA" w:rsidRPr="00982D38" w:rsidRDefault="00C629CA" w:rsidP="00242DC1">
      <w:pPr>
        <w:spacing w:after="0" w:line="240" w:lineRule="auto"/>
        <w:ind w:left="180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(vi)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A summary of the steps taken to adaptively manage conservation programs throughout the preceding two years; and</w:t>
      </w:r>
    </w:p>
    <w:p w:rsidR="00C629CA" w:rsidRPr="00982D38" w:rsidRDefault="00C629CA" w:rsidP="00242DC1">
      <w:pPr>
        <w:spacing w:after="0" w:line="240" w:lineRule="auto"/>
        <w:ind w:left="180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(vii)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Any other information needed to justify the conservation savings achievement.</w:t>
      </w:r>
    </w:p>
    <w:p w:rsidR="00C629CA" w:rsidRPr="00982D38" w:rsidRDefault="00C629CA" w:rsidP="00242DC1">
      <w:pPr>
        <w:spacing w:after="0" w:line="240" w:lineRule="auto"/>
        <w:ind w:left="126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(c)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A utility must provide a summary of the biennial conservation report to its customers by bill insert or other suitable method within ninety days of the commission's final action on the report.</w:t>
      </w:r>
    </w:p>
    <w:p w:rsidR="00C629CA" w:rsidRPr="00982D38" w:rsidRDefault="00C629CA" w:rsidP="00242DC1">
      <w:pPr>
        <w:spacing w:after="0" w:line="240" w:lineRule="auto"/>
        <w:ind w:left="1260" w:hanging="540"/>
        <w:jc w:val="both"/>
        <w:rPr>
          <w:rFonts w:ascii="Times New Roman" w:eastAsia="Times New Roman" w:hAnsi="Times New Roman" w:cs="Times New Roman"/>
          <w:sz w:val="24"/>
          <w:szCs w:val="24"/>
        </w:rPr>
      </w:pPr>
      <w:r w:rsidRPr="00982D38">
        <w:rPr>
          <w:rFonts w:ascii="Times New Roman" w:eastAsia="Times New Roman" w:hAnsi="Times New Roman" w:cs="Times New Roman"/>
          <w:sz w:val="24"/>
          <w:szCs w:val="24"/>
        </w:rPr>
        <w:t xml:space="preserve">(d) </w:t>
      </w:r>
      <w:r w:rsidR="00242DC1">
        <w:rPr>
          <w:rFonts w:ascii="Times New Roman" w:eastAsia="Times New Roman" w:hAnsi="Times New Roman" w:cs="Times New Roman"/>
          <w:sz w:val="24"/>
          <w:szCs w:val="24"/>
        </w:rPr>
        <w:tab/>
      </w:r>
      <w:r w:rsidRPr="00982D38">
        <w:rPr>
          <w:rFonts w:ascii="Times New Roman" w:eastAsia="Times New Roman" w:hAnsi="Times New Roman" w:cs="Times New Roman"/>
          <w:sz w:val="24"/>
          <w:szCs w:val="24"/>
        </w:rPr>
        <w:t>A utility may file the annual conservation report and the biennial conservation report together as one report, provided that the report includes all of the information required in subsections (3) and (4) of this section and states that it serves as both the annual conservation report and the biennial conservation report.</w:t>
      </w:r>
    </w:p>
    <w:p w:rsidR="00C629CA" w:rsidRDefault="00C629CA" w:rsidP="00AA73D5">
      <w:pPr>
        <w:pStyle w:val="ListParagraph"/>
        <w:ind w:left="0"/>
        <w:rPr>
          <w:rFonts w:ascii="Times New Roman" w:hAnsi="Times New Roman" w:cs="Times New Roman"/>
          <w:sz w:val="24"/>
          <w:szCs w:val="24"/>
        </w:rPr>
      </w:pPr>
    </w:p>
    <w:p w:rsidR="00C629CA" w:rsidRDefault="00397987" w:rsidP="00AA73D5">
      <w:pPr>
        <w:pStyle w:val="ListParagraph"/>
        <w:ind w:left="0"/>
        <w:rPr>
          <w:rFonts w:ascii="Times New Roman" w:hAnsi="Times New Roman" w:cs="Times New Roman"/>
          <w:sz w:val="24"/>
          <w:szCs w:val="24"/>
        </w:rPr>
      </w:pPr>
      <w:r>
        <w:rPr>
          <w:rFonts w:ascii="Times New Roman" w:hAnsi="Times New Roman" w:cs="Times New Roman"/>
          <w:sz w:val="24"/>
          <w:szCs w:val="24"/>
        </w:rPr>
        <w:t>The C</w:t>
      </w:r>
      <w:r w:rsidR="00C629CA">
        <w:rPr>
          <w:rFonts w:ascii="Times New Roman" w:hAnsi="Times New Roman" w:cs="Times New Roman"/>
          <w:sz w:val="24"/>
          <w:szCs w:val="24"/>
        </w:rPr>
        <w:t>ompany</w:t>
      </w:r>
      <w:r>
        <w:rPr>
          <w:rFonts w:ascii="Times New Roman" w:hAnsi="Times New Roman" w:cs="Times New Roman"/>
          <w:sz w:val="24"/>
          <w:szCs w:val="24"/>
        </w:rPr>
        <w:t>’s</w:t>
      </w:r>
      <w:r w:rsidR="00C629CA">
        <w:rPr>
          <w:rFonts w:ascii="Times New Roman" w:hAnsi="Times New Roman" w:cs="Times New Roman"/>
          <w:sz w:val="24"/>
          <w:szCs w:val="24"/>
        </w:rPr>
        <w:t xml:space="preserve"> 2015 Annual Conservation Report </w:t>
      </w:r>
      <w:r>
        <w:rPr>
          <w:rFonts w:ascii="Times New Roman" w:hAnsi="Times New Roman" w:cs="Times New Roman"/>
          <w:sz w:val="24"/>
          <w:szCs w:val="24"/>
        </w:rPr>
        <w:t xml:space="preserve">is </w:t>
      </w:r>
      <w:r w:rsidR="00242DC1">
        <w:rPr>
          <w:rFonts w:ascii="Times New Roman" w:hAnsi="Times New Roman" w:cs="Times New Roman"/>
          <w:sz w:val="24"/>
          <w:szCs w:val="24"/>
        </w:rPr>
        <w:t>included as an A</w:t>
      </w:r>
      <w:r>
        <w:rPr>
          <w:rFonts w:ascii="Times New Roman" w:hAnsi="Times New Roman" w:cs="Times New Roman"/>
          <w:sz w:val="24"/>
          <w:szCs w:val="24"/>
        </w:rPr>
        <w:t>ppendix to this</w:t>
      </w:r>
      <w:r w:rsidR="00C629CA">
        <w:rPr>
          <w:rFonts w:ascii="Times New Roman" w:hAnsi="Times New Roman" w:cs="Times New Roman"/>
          <w:sz w:val="24"/>
          <w:szCs w:val="24"/>
        </w:rPr>
        <w:t xml:space="preserve"> Biennial Conservation</w:t>
      </w:r>
      <w:r>
        <w:rPr>
          <w:rFonts w:ascii="Times New Roman" w:hAnsi="Times New Roman" w:cs="Times New Roman"/>
          <w:sz w:val="24"/>
          <w:szCs w:val="24"/>
        </w:rPr>
        <w:t xml:space="preserve"> Report.</w:t>
      </w:r>
    </w:p>
    <w:p w:rsidR="00C629CA" w:rsidRDefault="00C629CA" w:rsidP="00AA73D5">
      <w:pPr>
        <w:pStyle w:val="ListParagraph"/>
        <w:ind w:left="0"/>
        <w:rPr>
          <w:rFonts w:ascii="Times New Roman" w:hAnsi="Times New Roman" w:cs="Times New Roman"/>
          <w:sz w:val="24"/>
          <w:szCs w:val="24"/>
        </w:rPr>
      </w:pPr>
    </w:p>
    <w:p w:rsidR="00C629CA" w:rsidRDefault="00C629CA" w:rsidP="00AA73D5">
      <w:pPr>
        <w:pStyle w:val="ListParagraph"/>
        <w:ind w:left="0"/>
        <w:rPr>
          <w:rFonts w:ascii="Times New Roman" w:hAnsi="Times New Roman" w:cs="Times New Roman"/>
          <w:sz w:val="24"/>
          <w:szCs w:val="24"/>
        </w:rPr>
      </w:pPr>
    </w:p>
    <w:p w:rsidR="00AA73D5" w:rsidRDefault="00AA73D5" w:rsidP="00596E24">
      <w:pPr>
        <w:pStyle w:val="ListParagraph"/>
        <w:numPr>
          <w:ilvl w:val="0"/>
          <w:numId w:val="2"/>
        </w:numPr>
        <w:ind w:left="0"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Executive Summary</w:t>
      </w:r>
    </w:p>
    <w:p w:rsidR="00DF5FDE" w:rsidRDefault="00DF5FDE" w:rsidP="00DF5FDE">
      <w:pPr>
        <w:pStyle w:val="ListParagraph"/>
        <w:ind w:left="0"/>
        <w:rPr>
          <w:rFonts w:ascii="Times New Roman" w:hAnsi="Times New Roman" w:cs="Times New Roman"/>
          <w:b/>
          <w:sz w:val="24"/>
          <w:szCs w:val="24"/>
          <w:u w:val="single"/>
        </w:rPr>
      </w:pPr>
    </w:p>
    <w:p w:rsidR="00D87D2E" w:rsidRDefault="00DF5FDE" w:rsidP="005E5F9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Company </w:t>
      </w:r>
      <w:r w:rsidR="00476EBA">
        <w:rPr>
          <w:rFonts w:ascii="Times New Roman" w:hAnsi="Times New Roman" w:cs="Times New Roman"/>
          <w:sz w:val="24"/>
          <w:szCs w:val="24"/>
        </w:rPr>
        <w:t xml:space="preserve">is pleased to report that it </w:t>
      </w:r>
      <w:r>
        <w:rPr>
          <w:rFonts w:ascii="Times New Roman" w:hAnsi="Times New Roman" w:cs="Times New Roman"/>
          <w:sz w:val="24"/>
          <w:szCs w:val="24"/>
        </w:rPr>
        <w:t>has surpassed its 2014-2015 Biennial Conservation Target</w:t>
      </w:r>
      <w:r w:rsidR="00476EBA">
        <w:rPr>
          <w:rFonts w:ascii="Times New Roman" w:hAnsi="Times New Roman" w:cs="Times New Roman"/>
          <w:sz w:val="24"/>
          <w:szCs w:val="24"/>
        </w:rPr>
        <w:t xml:space="preserve">. </w:t>
      </w:r>
      <w:r w:rsidR="00FA7F6B">
        <w:rPr>
          <w:rFonts w:ascii="Times New Roman" w:hAnsi="Times New Roman" w:cs="Times New Roman"/>
          <w:sz w:val="24"/>
          <w:szCs w:val="24"/>
        </w:rPr>
        <w:t xml:space="preserve">In its Order, the Commission approved Avista’s Ten-Year Potential/Biennial Conservation </w:t>
      </w:r>
      <w:r w:rsidR="00FA7F6B">
        <w:rPr>
          <w:rFonts w:ascii="Times New Roman" w:hAnsi="Times New Roman" w:cs="Times New Roman"/>
          <w:sz w:val="24"/>
          <w:szCs w:val="24"/>
        </w:rPr>
        <w:lastRenderedPageBreak/>
        <w:t xml:space="preserve">target of 404,736 mega-watt hours and 2014-2015 Biennial Conservation Target </w:t>
      </w:r>
      <w:r w:rsidR="00804981">
        <w:rPr>
          <w:rFonts w:ascii="Times New Roman" w:hAnsi="Times New Roman" w:cs="Times New Roman"/>
          <w:sz w:val="24"/>
          <w:szCs w:val="24"/>
        </w:rPr>
        <w:t xml:space="preserve">of </w:t>
      </w:r>
      <w:r w:rsidR="00804981" w:rsidRPr="009B284F">
        <w:rPr>
          <w:rFonts w:ascii="Times New Roman" w:hAnsi="Times New Roman" w:cs="Times New Roman"/>
          <w:sz w:val="24"/>
          <w:szCs w:val="24"/>
        </w:rPr>
        <w:t>64,956</w:t>
      </w:r>
      <w:r w:rsidR="0096324E" w:rsidRPr="009B284F">
        <w:rPr>
          <w:rFonts w:ascii="Times New Roman" w:hAnsi="Times New Roman" w:cs="Times New Roman"/>
          <w:sz w:val="24"/>
          <w:szCs w:val="24"/>
        </w:rPr>
        <w:t xml:space="preserve"> MWh</w:t>
      </w:r>
      <w:r w:rsidR="00804981">
        <w:rPr>
          <w:rFonts w:ascii="Times New Roman" w:hAnsi="Times New Roman" w:cs="Times New Roman"/>
          <w:sz w:val="24"/>
          <w:szCs w:val="24"/>
        </w:rPr>
        <w:t>.</w:t>
      </w:r>
      <w:r w:rsidR="0096324E" w:rsidRPr="009B284F">
        <w:rPr>
          <w:rStyle w:val="FootnoteReference"/>
          <w:rFonts w:ascii="Times New Roman" w:hAnsi="Times New Roman" w:cs="Times New Roman"/>
          <w:sz w:val="24"/>
          <w:szCs w:val="24"/>
        </w:rPr>
        <w:footnoteReference w:id="1"/>
      </w:r>
      <w:r w:rsidR="00472DB4" w:rsidRPr="009B284F">
        <w:rPr>
          <w:rFonts w:ascii="Times New Roman" w:hAnsi="Times New Roman" w:cs="Times New Roman"/>
          <w:sz w:val="24"/>
          <w:szCs w:val="24"/>
        </w:rPr>
        <w:t xml:space="preserve"> </w:t>
      </w:r>
      <w:r w:rsidR="00804981">
        <w:rPr>
          <w:rFonts w:ascii="Times New Roman" w:hAnsi="Times New Roman" w:cs="Times New Roman"/>
          <w:sz w:val="24"/>
          <w:szCs w:val="24"/>
        </w:rPr>
        <w:t xml:space="preserve">In </w:t>
      </w:r>
      <w:r w:rsidR="00804981" w:rsidRPr="009B284F">
        <w:rPr>
          <w:rFonts w:ascii="Times New Roman" w:hAnsi="Times New Roman" w:cs="Times New Roman"/>
          <w:sz w:val="24"/>
          <w:szCs w:val="24"/>
        </w:rPr>
        <w:t>Docket No. UE-140188</w:t>
      </w:r>
      <w:r w:rsidR="00804981">
        <w:rPr>
          <w:rFonts w:ascii="Times New Roman" w:hAnsi="Times New Roman" w:cs="Times New Roman"/>
          <w:sz w:val="24"/>
          <w:szCs w:val="24"/>
        </w:rPr>
        <w:t>, the Company agreed</w:t>
      </w:r>
      <w:r w:rsidR="00804981" w:rsidRPr="00804981">
        <w:rPr>
          <w:rFonts w:ascii="Times New Roman" w:hAnsi="Times New Roman" w:cs="Times New Roman"/>
          <w:sz w:val="24"/>
          <w:szCs w:val="24"/>
        </w:rPr>
        <w:t xml:space="preserve"> to increase its electric conservation achievement by 5 p</w:t>
      </w:r>
      <w:r w:rsidR="00804981">
        <w:rPr>
          <w:rFonts w:ascii="Times New Roman" w:hAnsi="Times New Roman" w:cs="Times New Roman"/>
          <w:sz w:val="24"/>
          <w:szCs w:val="24"/>
        </w:rPr>
        <w:t xml:space="preserve">ercent over its biennial target </w:t>
      </w:r>
      <w:r w:rsidR="00804981" w:rsidRPr="00804981">
        <w:rPr>
          <w:rFonts w:ascii="Times New Roman" w:hAnsi="Times New Roman" w:cs="Times New Roman"/>
          <w:sz w:val="24"/>
          <w:szCs w:val="24"/>
        </w:rPr>
        <w:t xml:space="preserve">which </w:t>
      </w:r>
      <w:r w:rsidR="00804981">
        <w:rPr>
          <w:rFonts w:ascii="Times New Roman" w:hAnsi="Times New Roman" w:cs="Times New Roman"/>
          <w:sz w:val="24"/>
          <w:szCs w:val="24"/>
        </w:rPr>
        <w:t>was an increase of</w:t>
      </w:r>
      <w:r w:rsidR="00804981" w:rsidRPr="00804981">
        <w:rPr>
          <w:rFonts w:ascii="Times New Roman" w:hAnsi="Times New Roman" w:cs="Times New Roman"/>
          <w:sz w:val="24"/>
          <w:szCs w:val="24"/>
        </w:rPr>
        <w:t xml:space="preserve"> 3,248 MWh.  Thus</w:t>
      </w:r>
      <w:r w:rsidR="00AD6513">
        <w:rPr>
          <w:rFonts w:ascii="Times New Roman" w:hAnsi="Times New Roman" w:cs="Times New Roman"/>
          <w:sz w:val="24"/>
          <w:szCs w:val="24"/>
        </w:rPr>
        <w:t xml:space="preserve">, </w:t>
      </w:r>
      <w:r w:rsidR="00AD6513" w:rsidRPr="00804981">
        <w:rPr>
          <w:rFonts w:ascii="Times New Roman" w:hAnsi="Times New Roman" w:cs="Times New Roman"/>
          <w:sz w:val="24"/>
          <w:szCs w:val="24"/>
        </w:rPr>
        <w:t>Avista</w:t>
      </w:r>
      <w:r w:rsidR="00804981" w:rsidRPr="00804981">
        <w:rPr>
          <w:rFonts w:ascii="Times New Roman" w:hAnsi="Times New Roman" w:cs="Times New Roman"/>
          <w:sz w:val="24"/>
          <w:szCs w:val="24"/>
        </w:rPr>
        <w:t xml:space="preserve"> </w:t>
      </w:r>
      <w:r w:rsidR="00804981">
        <w:rPr>
          <w:rFonts w:ascii="Times New Roman" w:hAnsi="Times New Roman" w:cs="Times New Roman"/>
          <w:sz w:val="24"/>
          <w:szCs w:val="24"/>
        </w:rPr>
        <w:t xml:space="preserve">committed </w:t>
      </w:r>
      <w:r w:rsidR="00804981" w:rsidRPr="00804981">
        <w:rPr>
          <w:rFonts w:ascii="Times New Roman" w:hAnsi="Times New Roman" w:cs="Times New Roman"/>
          <w:sz w:val="24"/>
          <w:szCs w:val="24"/>
        </w:rPr>
        <w:t xml:space="preserve">to achieving </w:t>
      </w:r>
      <w:r w:rsidR="00804981" w:rsidRPr="0042618B">
        <w:rPr>
          <w:rFonts w:ascii="Times New Roman" w:hAnsi="Times New Roman" w:cs="Times New Roman"/>
          <w:sz w:val="24"/>
          <w:szCs w:val="24"/>
          <w:u w:val="single"/>
        </w:rPr>
        <w:t>68,204 MWh</w:t>
      </w:r>
      <w:r w:rsidR="00804981" w:rsidRPr="00804981">
        <w:rPr>
          <w:rFonts w:ascii="Times New Roman" w:hAnsi="Times New Roman" w:cs="Times New Roman"/>
          <w:sz w:val="24"/>
          <w:szCs w:val="24"/>
        </w:rPr>
        <w:t xml:space="preserve"> of conservation in the 2014-2015 biennium.</w:t>
      </w:r>
      <w:r w:rsidR="00804981">
        <w:rPr>
          <w:rFonts w:ascii="Times New Roman" w:hAnsi="Times New Roman" w:cs="Times New Roman"/>
          <w:sz w:val="24"/>
          <w:szCs w:val="24"/>
        </w:rPr>
        <w:t xml:space="preserve"> </w:t>
      </w:r>
      <w:r w:rsidR="00D87D2E" w:rsidRPr="00D87D2E">
        <w:rPr>
          <w:rFonts w:ascii="Times New Roman" w:hAnsi="Times New Roman" w:cs="Times New Roman"/>
          <w:sz w:val="24"/>
          <w:szCs w:val="24"/>
        </w:rPr>
        <w:t>Avista exceeded its t</w:t>
      </w:r>
      <w:r w:rsidR="00D87D2E">
        <w:rPr>
          <w:rFonts w:ascii="Times New Roman" w:hAnsi="Times New Roman" w:cs="Times New Roman"/>
          <w:sz w:val="24"/>
          <w:szCs w:val="24"/>
        </w:rPr>
        <w:t>arget</w:t>
      </w:r>
      <w:r w:rsidR="00D87D2E" w:rsidRPr="00D87D2E">
        <w:rPr>
          <w:rFonts w:ascii="Times New Roman" w:hAnsi="Times New Roman" w:cs="Times New Roman"/>
          <w:sz w:val="24"/>
          <w:szCs w:val="24"/>
        </w:rPr>
        <w:t xml:space="preserve"> by </w:t>
      </w:r>
      <w:r w:rsidR="00D87D2E">
        <w:rPr>
          <w:rFonts w:ascii="Times New Roman" w:hAnsi="Times New Roman" w:cs="Times New Roman"/>
          <w:sz w:val="24"/>
          <w:szCs w:val="24"/>
        </w:rPr>
        <w:t>104</w:t>
      </w:r>
      <w:r w:rsidR="00D87D2E" w:rsidRPr="00D87D2E">
        <w:rPr>
          <w:rFonts w:ascii="Times New Roman" w:hAnsi="Times New Roman" w:cs="Times New Roman"/>
          <w:sz w:val="24"/>
          <w:szCs w:val="24"/>
        </w:rPr>
        <w:t xml:space="preserve">%, achieving </w:t>
      </w:r>
      <w:r w:rsidR="00D87D2E" w:rsidRPr="00D87D2E">
        <w:rPr>
          <w:rFonts w:ascii="Times New Roman" w:hAnsi="Times New Roman" w:cs="Times New Roman"/>
          <w:sz w:val="24"/>
          <w:szCs w:val="24"/>
          <w:u w:val="single"/>
        </w:rPr>
        <w:t>70,959</w:t>
      </w:r>
      <w:r w:rsidR="00D87D2E" w:rsidRPr="00D87D2E">
        <w:rPr>
          <w:rFonts w:ascii="Times New Roman" w:hAnsi="Times New Roman" w:cs="Times New Roman"/>
          <w:sz w:val="24"/>
          <w:szCs w:val="24"/>
        </w:rPr>
        <w:t xml:space="preserve"> MWh from demand-side energy efficiency</w:t>
      </w:r>
      <w:r w:rsidR="00D87D2E">
        <w:rPr>
          <w:rFonts w:ascii="Times New Roman" w:hAnsi="Times New Roman" w:cs="Times New Roman"/>
          <w:sz w:val="24"/>
          <w:szCs w:val="24"/>
        </w:rPr>
        <w:t>.</w:t>
      </w:r>
      <w:r w:rsidR="00D87D2E" w:rsidRPr="00D87D2E">
        <w:rPr>
          <w:rFonts w:ascii="Times New Roman" w:hAnsi="Times New Roman" w:cs="Times New Roman"/>
          <w:sz w:val="24"/>
          <w:szCs w:val="24"/>
        </w:rPr>
        <w:t xml:space="preserve">  Under the Total Resource Cost (TRC) cost-effectiveness test, the electric efficiency benefits exceeded the costs by a ratio of </w:t>
      </w:r>
      <w:r w:rsidR="00D87D2E">
        <w:rPr>
          <w:rFonts w:ascii="Times New Roman" w:hAnsi="Times New Roman" w:cs="Times New Roman"/>
          <w:sz w:val="24"/>
          <w:szCs w:val="24"/>
        </w:rPr>
        <w:t>1.48</w:t>
      </w:r>
      <w:r w:rsidR="00D87D2E" w:rsidRPr="00D87D2E">
        <w:rPr>
          <w:rFonts w:ascii="Times New Roman" w:hAnsi="Times New Roman" w:cs="Times New Roman"/>
          <w:sz w:val="24"/>
          <w:szCs w:val="24"/>
        </w:rPr>
        <w:t>.</w:t>
      </w:r>
    </w:p>
    <w:p w:rsidR="00D87D2E" w:rsidRDefault="00D87D2E" w:rsidP="005E5F9E">
      <w:pPr>
        <w:pStyle w:val="ListParagraph"/>
        <w:spacing w:after="0" w:line="360" w:lineRule="auto"/>
        <w:ind w:left="0"/>
        <w:jc w:val="both"/>
        <w:rPr>
          <w:rFonts w:ascii="Times New Roman" w:hAnsi="Times New Roman" w:cs="Times New Roman"/>
          <w:sz w:val="24"/>
          <w:szCs w:val="24"/>
        </w:rPr>
      </w:pPr>
    </w:p>
    <w:p w:rsidR="00C629CA" w:rsidRDefault="005F12D0" w:rsidP="005E5F9E">
      <w:pPr>
        <w:pStyle w:val="ListParagraph"/>
        <w:spacing w:after="0" w:line="360" w:lineRule="auto"/>
        <w:ind w:left="0"/>
        <w:jc w:val="both"/>
        <w:rPr>
          <w:rFonts w:ascii="Times New Roman" w:hAnsi="Times New Roman" w:cs="Times New Roman"/>
          <w:sz w:val="24"/>
          <w:szCs w:val="24"/>
        </w:rPr>
      </w:pPr>
      <w:r w:rsidRPr="00D87D2E">
        <w:rPr>
          <w:rFonts w:ascii="Times New Roman" w:hAnsi="Times New Roman" w:cs="Times New Roman"/>
          <w:sz w:val="24"/>
          <w:szCs w:val="24"/>
        </w:rPr>
        <w:t>T</w:t>
      </w:r>
      <w:r w:rsidRPr="00804981">
        <w:rPr>
          <w:rFonts w:ascii="Times New Roman" w:hAnsi="Times New Roman" w:cs="Times New Roman"/>
          <w:sz w:val="24"/>
          <w:szCs w:val="24"/>
        </w:rPr>
        <w:t>hese</w:t>
      </w:r>
      <w:r>
        <w:rPr>
          <w:rFonts w:ascii="Times New Roman" w:hAnsi="Times New Roman" w:cs="Times New Roman"/>
          <w:sz w:val="24"/>
          <w:szCs w:val="24"/>
        </w:rPr>
        <w:t xml:space="preserve"> target figures include local DSM acquisition, upgrades at generation facilities and distribution feeder efficiency improves but does not include any regional savings associated with NEEA market transformation efforts during the biennium</w:t>
      </w:r>
      <w:r w:rsidR="005833F7">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rsidR="00EB1AD5" w:rsidRDefault="00EB1AD5" w:rsidP="00DF5FDE">
      <w:pPr>
        <w:pStyle w:val="ListParagraph"/>
        <w:ind w:left="0"/>
        <w:rPr>
          <w:rFonts w:ascii="Times New Roman" w:hAnsi="Times New Roman" w:cs="Times New Roman"/>
          <w:sz w:val="24"/>
          <w:szCs w:val="24"/>
        </w:rPr>
      </w:pPr>
      <w:r>
        <w:rPr>
          <w:rFonts w:ascii="Times New Roman" w:hAnsi="Times New Roman" w:cs="Times New Roman"/>
          <w:sz w:val="24"/>
          <w:szCs w:val="24"/>
        </w:rPr>
        <w:t>Table 1: 2014-2015 Electric Conservation Results</w:t>
      </w:r>
      <w:r w:rsidR="009A4222">
        <w:rPr>
          <w:rFonts w:ascii="Times New Roman" w:hAnsi="Times New Roman" w:cs="Times New Roman"/>
          <w:sz w:val="24"/>
          <w:szCs w:val="24"/>
        </w:rPr>
        <w:t xml:space="preserve"> </w:t>
      </w:r>
    </w:p>
    <w:p w:rsidR="00723003" w:rsidRDefault="00534694" w:rsidP="00DF5FDE">
      <w:pPr>
        <w:pStyle w:val="ListParagraph"/>
        <w:ind w:left="0"/>
        <w:rPr>
          <w:rFonts w:ascii="Times New Roman" w:hAnsi="Times New Roman" w:cs="Times New Roman"/>
          <w:sz w:val="24"/>
          <w:szCs w:val="24"/>
        </w:rPr>
      </w:pPr>
      <w:r w:rsidRPr="00534694">
        <w:rPr>
          <w:noProof/>
        </w:rPr>
        <w:drawing>
          <wp:inline distT="0" distB="0" distL="0" distR="0">
            <wp:extent cx="5943600" cy="8383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38321"/>
                    </a:xfrm>
                    <a:prstGeom prst="rect">
                      <a:avLst/>
                    </a:prstGeom>
                    <a:noFill/>
                    <a:ln>
                      <a:noFill/>
                    </a:ln>
                  </pic:spPr>
                </pic:pic>
              </a:graphicData>
            </a:graphic>
          </wp:inline>
        </w:drawing>
      </w:r>
      <w:r w:rsidR="0096324E">
        <w:rPr>
          <w:rFonts w:ascii="Times New Roman" w:hAnsi="Times New Roman" w:cs="Times New Roman"/>
          <w:sz w:val="24"/>
          <w:szCs w:val="24"/>
        </w:rPr>
        <w:t xml:space="preserve"> </w:t>
      </w:r>
    </w:p>
    <w:p w:rsidR="00DF5FDE" w:rsidRDefault="00670A9B" w:rsidP="00DF5FD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rsidR="005F12D0" w:rsidRDefault="005F12D0" w:rsidP="00DF5FDE">
      <w:pPr>
        <w:pStyle w:val="ListParagraph"/>
        <w:ind w:left="0"/>
        <w:rPr>
          <w:rFonts w:ascii="Times New Roman" w:hAnsi="Times New Roman" w:cs="Times New Roman"/>
          <w:sz w:val="24"/>
          <w:szCs w:val="24"/>
        </w:rPr>
      </w:pPr>
      <w:r>
        <w:rPr>
          <w:rFonts w:ascii="Times New Roman" w:hAnsi="Times New Roman" w:cs="Times New Roman"/>
          <w:sz w:val="24"/>
          <w:szCs w:val="24"/>
        </w:rPr>
        <w:t>Table 2: 2014-2015 Evaluated vs. Planned Electric Conservation</w:t>
      </w:r>
    </w:p>
    <w:p w:rsidR="005F12D0" w:rsidRPr="00DF5FDE" w:rsidRDefault="00414571" w:rsidP="00DF5FDE">
      <w:pPr>
        <w:pStyle w:val="ListParagraph"/>
        <w:ind w:left="0"/>
        <w:rPr>
          <w:rFonts w:ascii="Times New Roman" w:hAnsi="Times New Roman" w:cs="Times New Roman"/>
          <w:sz w:val="24"/>
          <w:szCs w:val="24"/>
        </w:rPr>
      </w:pPr>
      <w:r w:rsidRPr="00414571">
        <w:rPr>
          <w:noProof/>
        </w:rPr>
        <w:drawing>
          <wp:inline distT="0" distB="0" distL="0" distR="0">
            <wp:extent cx="48768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981075"/>
                    </a:xfrm>
                    <a:prstGeom prst="rect">
                      <a:avLst/>
                    </a:prstGeom>
                    <a:noFill/>
                    <a:ln>
                      <a:noFill/>
                    </a:ln>
                  </pic:spPr>
                </pic:pic>
              </a:graphicData>
            </a:graphic>
          </wp:inline>
        </w:drawing>
      </w:r>
    </w:p>
    <w:p w:rsidR="006133F0" w:rsidRPr="00596E24" w:rsidRDefault="00C629CA" w:rsidP="008A0560">
      <w:pPr>
        <w:pStyle w:val="Default"/>
        <w:rPr>
          <w:rFonts w:ascii="Times New Roman" w:hAnsi="Times New Roman" w:cs="Times New Roman"/>
        </w:rPr>
      </w:pPr>
      <w:r>
        <w:rPr>
          <w:rFonts w:ascii="Times New Roman" w:hAnsi="Times New Roman" w:cs="Times New Roman"/>
        </w:rPr>
        <w:t>Table 3: 2014-2015 Washington Electric Energy Savings (Verified Gross</w:t>
      </w:r>
      <w:r w:rsidR="00A369F8">
        <w:rPr>
          <w:rFonts w:ascii="Times New Roman" w:hAnsi="Times New Roman" w:cs="Times New Roman"/>
        </w:rPr>
        <w:t xml:space="preserve"> Savings)</w:t>
      </w:r>
    </w:p>
    <w:p w:rsidR="00DD73F0" w:rsidRPr="00CB4102" w:rsidRDefault="00534694" w:rsidP="00596E24">
      <w:pPr>
        <w:pStyle w:val="ListParagraph"/>
        <w:ind w:left="0"/>
        <w:rPr>
          <w:rFonts w:cs="Times New Roman"/>
        </w:rPr>
      </w:pPr>
      <w:r w:rsidRPr="00534694">
        <w:rPr>
          <w:noProof/>
        </w:rPr>
        <w:drawing>
          <wp:inline distT="0" distB="0" distL="0" distR="0">
            <wp:extent cx="5943600" cy="201573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015738"/>
                    </a:xfrm>
                    <a:prstGeom prst="rect">
                      <a:avLst/>
                    </a:prstGeom>
                    <a:noFill/>
                    <a:ln>
                      <a:noFill/>
                    </a:ln>
                  </pic:spPr>
                </pic:pic>
              </a:graphicData>
            </a:graphic>
          </wp:inline>
        </w:drawing>
      </w:r>
    </w:p>
    <w:p w:rsidR="00287C6E" w:rsidRPr="00316D2E" w:rsidRDefault="00356B1C" w:rsidP="00596E24">
      <w:pPr>
        <w:pStyle w:val="ListParagraph"/>
        <w:numPr>
          <w:ilvl w:val="0"/>
          <w:numId w:val="2"/>
        </w:numPr>
        <w:ind w:left="0"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Energy Independence Act (I-937) Commerce Conservation Report</w:t>
      </w:r>
    </w:p>
    <w:p w:rsidR="00303CAE" w:rsidRDefault="000F09FE" w:rsidP="00596E24">
      <w:pPr>
        <w:rPr>
          <w:rFonts w:ascii="Times New Roman" w:hAnsi="Times New Roman" w:cs="Times New Roman"/>
          <w:sz w:val="24"/>
          <w:szCs w:val="24"/>
        </w:rPr>
      </w:pPr>
      <w:r w:rsidRPr="000F09FE">
        <w:rPr>
          <w:noProof/>
        </w:rPr>
        <w:drawing>
          <wp:inline distT="0" distB="0" distL="0" distR="0">
            <wp:extent cx="5734050" cy="78682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17" cy="7894449"/>
                    </a:xfrm>
                    <a:prstGeom prst="rect">
                      <a:avLst/>
                    </a:prstGeom>
                    <a:noFill/>
                    <a:ln>
                      <a:noFill/>
                    </a:ln>
                  </pic:spPr>
                </pic:pic>
              </a:graphicData>
            </a:graphic>
          </wp:inline>
        </w:drawing>
      </w:r>
    </w:p>
    <w:p w:rsidR="007E3759" w:rsidRPr="00CA2317" w:rsidRDefault="00356B1C" w:rsidP="00472DB4">
      <w:pPr>
        <w:pStyle w:val="ListParagraph"/>
        <w:numPr>
          <w:ilvl w:val="0"/>
          <w:numId w:val="2"/>
        </w:numPr>
        <w:ind w:left="0"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Biennial Portfolio Electric Cost-Effectiveness</w:t>
      </w:r>
    </w:p>
    <w:p w:rsidR="008D68B3" w:rsidRDefault="00E20BEF" w:rsidP="00596E24">
      <w:pPr>
        <w:rPr>
          <w:rFonts w:ascii="Times New Roman" w:hAnsi="Times New Roman" w:cs="Times New Roman"/>
          <w:sz w:val="24"/>
          <w:szCs w:val="24"/>
        </w:rPr>
      </w:pPr>
      <w:r>
        <w:rPr>
          <w:rFonts w:ascii="Times New Roman" w:hAnsi="Times New Roman" w:cs="Times New Roman"/>
          <w:sz w:val="24"/>
          <w:szCs w:val="24"/>
        </w:rPr>
        <w:t xml:space="preserve">Table </w:t>
      </w:r>
      <w:r w:rsidR="00AA3E1E">
        <w:rPr>
          <w:rFonts w:ascii="Times New Roman" w:hAnsi="Times New Roman" w:cs="Times New Roman"/>
          <w:sz w:val="24"/>
          <w:szCs w:val="24"/>
        </w:rPr>
        <w:t>4</w:t>
      </w:r>
      <w:r>
        <w:rPr>
          <w:rFonts w:ascii="Times New Roman" w:hAnsi="Times New Roman" w:cs="Times New Roman"/>
          <w:sz w:val="24"/>
          <w:szCs w:val="24"/>
        </w:rPr>
        <w:t>: 2014 WA Electric Total Resource Cost (TRC)</w:t>
      </w:r>
      <w:r w:rsidRPr="00E20BEF">
        <w:rPr>
          <w:noProof/>
        </w:rPr>
        <w:drawing>
          <wp:inline distT="0" distB="0" distL="0" distR="0">
            <wp:extent cx="5231765" cy="2409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1765" cy="2409190"/>
                    </a:xfrm>
                    <a:prstGeom prst="rect">
                      <a:avLst/>
                    </a:prstGeom>
                    <a:noFill/>
                    <a:ln>
                      <a:noFill/>
                    </a:ln>
                  </pic:spPr>
                </pic:pic>
              </a:graphicData>
            </a:graphic>
          </wp:inline>
        </w:drawing>
      </w:r>
    </w:p>
    <w:p w:rsidR="000B664D" w:rsidRPr="003E0B2B" w:rsidRDefault="00E20BEF" w:rsidP="00596E24">
      <w:pPr>
        <w:rPr>
          <w:noProof/>
        </w:rPr>
      </w:pPr>
      <w:r>
        <w:rPr>
          <w:rFonts w:ascii="Times New Roman" w:hAnsi="Times New Roman" w:cs="Times New Roman"/>
          <w:sz w:val="24"/>
          <w:szCs w:val="24"/>
        </w:rPr>
        <w:t xml:space="preserve">Table </w:t>
      </w:r>
      <w:r w:rsidR="00AA3E1E">
        <w:rPr>
          <w:rFonts w:ascii="Times New Roman" w:hAnsi="Times New Roman" w:cs="Times New Roman"/>
          <w:sz w:val="24"/>
          <w:szCs w:val="24"/>
        </w:rPr>
        <w:t>5</w:t>
      </w:r>
      <w:r>
        <w:rPr>
          <w:rFonts w:ascii="Times New Roman" w:hAnsi="Times New Roman" w:cs="Times New Roman"/>
          <w:sz w:val="24"/>
          <w:szCs w:val="24"/>
        </w:rPr>
        <w:t>: 2015 WA Electric Total Resource Cost (TRC)</w:t>
      </w:r>
      <w:r w:rsidR="003E0B2B" w:rsidRPr="003E0B2B">
        <w:rPr>
          <w:rFonts w:ascii="Times New Roman" w:hAnsi="Times New Roman" w:cs="Times New Roman"/>
          <w:sz w:val="24"/>
          <w:szCs w:val="24"/>
        </w:rPr>
        <w:t xml:space="preserve"> </w:t>
      </w:r>
      <w:r w:rsidR="003E0B2B" w:rsidRPr="003E0B2B">
        <w:rPr>
          <w:noProof/>
        </w:rPr>
        <w:drawing>
          <wp:inline distT="0" distB="0" distL="0" distR="0">
            <wp:extent cx="5229225" cy="2409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225" cy="2409825"/>
                    </a:xfrm>
                    <a:prstGeom prst="rect">
                      <a:avLst/>
                    </a:prstGeom>
                    <a:noFill/>
                    <a:ln>
                      <a:noFill/>
                    </a:ln>
                  </pic:spPr>
                </pic:pic>
              </a:graphicData>
            </a:graphic>
          </wp:inline>
        </w:drawing>
      </w:r>
      <w:r w:rsidR="00414571" w:rsidRPr="00414571">
        <w:t xml:space="preserve"> </w:t>
      </w:r>
    </w:p>
    <w:p w:rsidR="00AA3E1E" w:rsidRPr="00E20BEF" w:rsidRDefault="000B664D" w:rsidP="00596E24">
      <w:pP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AA3E1E">
        <w:rPr>
          <w:rFonts w:ascii="Times New Roman" w:hAnsi="Times New Roman" w:cs="Times New Roman"/>
          <w:sz w:val="24"/>
          <w:szCs w:val="24"/>
        </w:rPr>
        <w:t>6</w:t>
      </w:r>
      <w:r>
        <w:rPr>
          <w:rFonts w:ascii="Times New Roman" w:hAnsi="Times New Roman" w:cs="Times New Roman"/>
          <w:sz w:val="24"/>
          <w:szCs w:val="24"/>
        </w:rPr>
        <w:t>: 2014-2015 Biennial WA Electric Total Resource Cost (TRC)</w:t>
      </w:r>
      <w:r w:rsidR="00414571" w:rsidRPr="00E20BEF">
        <w:rPr>
          <w:rFonts w:ascii="Times New Roman" w:hAnsi="Times New Roman" w:cs="Times New Roman"/>
          <w:sz w:val="24"/>
          <w:szCs w:val="24"/>
        </w:rPr>
        <w:t xml:space="preserve"> </w:t>
      </w:r>
      <w:r w:rsidR="00414571" w:rsidRPr="00414571">
        <w:rPr>
          <w:noProof/>
        </w:rPr>
        <w:drawing>
          <wp:inline distT="0" distB="0" distL="0" distR="0">
            <wp:extent cx="5305425" cy="2409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5425" cy="2409825"/>
                    </a:xfrm>
                    <a:prstGeom prst="rect">
                      <a:avLst/>
                    </a:prstGeom>
                    <a:noFill/>
                    <a:ln>
                      <a:noFill/>
                    </a:ln>
                  </pic:spPr>
                </pic:pic>
              </a:graphicData>
            </a:graphic>
          </wp:inline>
        </w:drawing>
      </w:r>
    </w:p>
    <w:p w:rsidR="0063676F" w:rsidRDefault="00356B1C" w:rsidP="00472DB4">
      <w:pPr>
        <w:pStyle w:val="ListParagraph"/>
        <w:numPr>
          <w:ilvl w:val="0"/>
          <w:numId w:val="2"/>
        </w:numPr>
        <w:ind w:left="0"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Summary of Adaptive Management</w:t>
      </w:r>
      <w:r w:rsidR="006D0018">
        <w:rPr>
          <w:rFonts w:ascii="Times New Roman" w:hAnsi="Times New Roman" w:cs="Times New Roman"/>
          <w:b/>
          <w:sz w:val="24"/>
          <w:szCs w:val="24"/>
          <w:u w:val="single"/>
        </w:rPr>
        <w:t xml:space="preserve"> during 2014 – 2015 </w:t>
      </w:r>
    </w:p>
    <w:p w:rsidR="00AA3E1E" w:rsidRDefault="00AA3E1E" w:rsidP="00472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2014 –</w:t>
      </w:r>
      <w:r w:rsidR="00E21B8B">
        <w:rPr>
          <w:rFonts w:ascii="Times New Roman" w:hAnsi="Times New Roman" w:cs="Times New Roman"/>
          <w:sz w:val="24"/>
          <w:szCs w:val="24"/>
        </w:rPr>
        <w:t xml:space="preserve"> 2015 </w:t>
      </w:r>
      <w:r w:rsidR="00472DB4">
        <w:rPr>
          <w:rFonts w:ascii="Times New Roman" w:hAnsi="Times New Roman" w:cs="Times New Roman"/>
          <w:sz w:val="24"/>
          <w:szCs w:val="24"/>
        </w:rPr>
        <w:t xml:space="preserve">Biennium </w:t>
      </w:r>
      <w:r w:rsidR="00E21B8B">
        <w:rPr>
          <w:rFonts w:ascii="Times New Roman" w:hAnsi="Times New Roman" w:cs="Times New Roman"/>
          <w:sz w:val="24"/>
          <w:szCs w:val="24"/>
        </w:rPr>
        <w:t>has been a period of transition for the Avista DSM group</w:t>
      </w:r>
      <w:r w:rsidR="00472DB4">
        <w:rPr>
          <w:rFonts w:ascii="Times New Roman" w:hAnsi="Times New Roman" w:cs="Times New Roman"/>
          <w:sz w:val="24"/>
          <w:szCs w:val="24"/>
        </w:rPr>
        <w:t>,</w:t>
      </w:r>
      <w:r w:rsidR="00E21B8B">
        <w:rPr>
          <w:rFonts w:ascii="Times New Roman" w:hAnsi="Times New Roman" w:cs="Times New Roman"/>
          <w:sz w:val="24"/>
          <w:szCs w:val="24"/>
        </w:rPr>
        <w:t xml:space="preserve"> a department reorganization occurred early into the biennium</w:t>
      </w:r>
      <w:r w:rsidR="007C5A77">
        <w:rPr>
          <w:rFonts w:ascii="Times New Roman" w:hAnsi="Times New Roman" w:cs="Times New Roman"/>
          <w:sz w:val="24"/>
          <w:szCs w:val="24"/>
        </w:rPr>
        <w:t>.</w:t>
      </w:r>
      <w:r w:rsidR="00E21B8B">
        <w:rPr>
          <w:rFonts w:ascii="Times New Roman" w:hAnsi="Times New Roman" w:cs="Times New Roman"/>
          <w:sz w:val="24"/>
          <w:szCs w:val="24"/>
        </w:rPr>
        <w:t xml:space="preserve"> </w:t>
      </w:r>
      <w:r w:rsidR="007C5A77">
        <w:rPr>
          <w:rFonts w:ascii="Times New Roman" w:hAnsi="Times New Roman" w:cs="Times New Roman"/>
          <w:sz w:val="24"/>
          <w:szCs w:val="24"/>
        </w:rPr>
        <w:t xml:space="preserve">This restructure brought the department </w:t>
      </w:r>
      <w:r w:rsidR="00E21B8B">
        <w:rPr>
          <w:rFonts w:ascii="Times New Roman" w:hAnsi="Times New Roman" w:cs="Times New Roman"/>
          <w:sz w:val="24"/>
          <w:szCs w:val="24"/>
        </w:rPr>
        <w:t xml:space="preserve">under one </w:t>
      </w:r>
      <w:r w:rsidR="00383E6B">
        <w:rPr>
          <w:rFonts w:ascii="Times New Roman" w:hAnsi="Times New Roman" w:cs="Times New Roman"/>
          <w:sz w:val="24"/>
          <w:szCs w:val="24"/>
        </w:rPr>
        <w:t>leader</w:t>
      </w:r>
      <w:r w:rsidR="007C5A77">
        <w:rPr>
          <w:rFonts w:ascii="Times New Roman" w:hAnsi="Times New Roman" w:cs="Times New Roman"/>
          <w:sz w:val="24"/>
          <w:szCs w:val="24"/>
        </w:rPr>
        <w:t xml:space="preserve">, </w:t>
      </w:r>
      <w:r w:rsidR="00383E6B">
        <w:rPr>
          <w:rFonts w:ascii="Times New Roman" w:hAnsi="Times New Roman" w:cs="Times New Roman"/>
          <w:sz w:val="24"/>
          <w:szCs w:val="24"/>
        </w:rPr>
        <w:t>responsible for all DSM operations, including program management, implementation, reporting, planning and evaluation.</w:t>
      </w:r>
    </w:p>
    <w:p w:rsidR="0042618B" w:rsidRDefault="0042618B" w:rsidP="0042618B">
      <w:pPr>
        <w:spacing w:after="0" w:line="240" w:lineRule="auto"/>
        <w:jc w:val="both"/>
        <w:rPr>
          <w:rFonts w:ascii="Times New Roman" w:hAnsi="Times New Roman" w:cs="Times New Roman"/>
          <w:sz w:val="24"/>
          <w:szCs w:val="24"/>
        </w:rPr>
      </w:pPr>
    </w:p>
    <w:p w:rsidR="007E6E72" w:rsidRDefault="006359E9" w:rsidP="00472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Avista</w:t>
      </w:r>
      <w:r w:rsidR="007E6E72">
        <w:rPr>
          <w:rFonts w:ascii="Times New Roman" w:hAnsi="Times New Roman" w:cs="Times New Roman"/>
          <w:sz w:val="24"/>
          <w:szCs w:val="24"/>
        </w:rPr>
        <w:t xml:space="preserve"> </w:t>
      </w:r>
      <w:r w:rsidR="007C5A77">
        <w:rPr>
          <w:rFonts w:ascii="Times New Roman" w:hAnsi="Times New Roman" w:cs="Times New Roman"/>
          <w:sz w:val="24"/>
          <w:szCs w:val="24"/>
        </w:rPr>
        <w:t xml:space="preserve">filed and received approval to </w:t>
      </w:r>
      <w:r w:rsidR="007E6E72">
        <w:rPr>
          <w:rFonts w:ascii="Times New Roman" w:hAnsi="Times New Roman" w:cs="Times New Roman"/>
          <w:sz w:val="24"/>
          <w:szCs w:val="24"/>
        </w:rPr>
        <w:t>revise</w:t>
      </w:r>
      <w:r w:rsidR="007C5A77">
        <w:rPr>
          <w:rFonts w:ascii="Times New Roman" w:hAnsi="Times New Roman" w:cs="Times New Roman"/>
          <w:sz w:val="24"/>
          <w:szCs w:val="24"/>
        </w:rPr>
        <w:t xml:space="preserve"> its S</w:t>
      </w:r>
      <w:r w:rsidR="007E6E72">
        <w:rPr>
          <w:rFonts w:ascii="Times New Roman" w:hAnsi="Times New Roman" w:cs="Times New Roman"/>
          <w:sz w:val="24"/>
          <w:szCs w:val="24"/>
        </w:rPr>
        <w:t>chedule 90</w:t>
      </w:r>
      <w:r w:rsidR="007E6E72">
        <w:rPr>
          <w:rStyle w:val="FootnoteReference"/>
          <w:rFonts w:ascii="Times New Roman" w:hAnsi="Times New Roman" w:cs="Times New Roman"/>
          <w:sz w:val="24"/>
          <w:szCs w:val="24"/>
        </w:rPr>
        <w:footnoteReference w:id="3"/>
      </w:r>
      <w:r w:rsidR="007E6E72">
        <w:rPr>
          <w:rFonts w:ascii="Times New Roman" w:hAnsi="Times New Roman" w:cs="Times New Roman"/>
          <w:sz w:val="24"/>
          <w:szCs w:val="24"/>
        </w:rPr>
        <w:t xml:space="preserve"> </w:t>
      </w:r>
      <w:r>
        <w:rPr>
          <w:rFonts w:ascii="Times New Roman" w:hAnsi="Times New Roman" w:cs="Times New Roman"/>
          <w:sz w:val="24"/>
          <w:szCs w:val="24"/>
        </w:rPr>
        <w:t>to improve portfolio performance starting in 2014. The revisions increased the maximum incentive cap for measures from 50% of project incremental cost to 70%</w:t>
      </w:r>
      <w:r w:rsidR="007C5A77">
        <w:rPr>
          <w:rFonts w:ascii="Times New Roman" w:hAnsi="Times New Roman" w:cs="Times New Roman"/>
          <w:sz w:val="24"/>
          <w:szCs w:val="24"/>
        </w:rPr>
        <w:t>,</w:t>
      </w:r>
      <w:r w:rsidR="00CA412F">
        <w:rPr>
          <w:rFonts w:ascii="Times New Roman" w:hAnsi="Times New Roman" w:cs="Times New Roman"/>
          <w:sz w:val="24"/>
          <w:szCs w:val="24"/>
        </w:rPr>
        <w:t xml:space="preserve"> as well as analyzing long-lived</w:t>
      </w:r>
      <w:r>
        <w:rPr>
          <w:rFonts w:ascii="Times New Roman" w:hAnsi="Times New Roman" w:cs="Times New Roman"/>
          <w:sz w:val="24"/>
          <w:szCs w:val="24"/>
        </w:rPr>
        <w:t xml:space="preserve"> lighting measures (i.e. LEDs) in the same manner of other energy efficiency measures.</w:t>
      </w:r>
      <w:r w:rsidR="00CA412F">
        <w:rPr>
          <w:rFonts w:ascii="Times New Roman" w:hAnsi="Times New Roman" w:cs="Times New Roman"/>
          <w:sz w:val="24"/>
          <w:szCs w:val="24"/>
        </w:rPr>
        <w:t xml:space="preserve"> </w:t>
      </w:r>
    </w:p>
    <w:p w:rsidR="00472DB4" w:rsidRDefault="00472DB4" w:rsidP="00472DB4">
      <w:pPr>
        <w:spacing w:after="0" w:line="360" w:lineRule="auto"/>
        <w:jc w:val="both"/>
        <w:rPr>
          <w:rFonts w:ascii="Times New Roman" w:hAnsi="Times New Roman" w:cs="Times New Roman"/>
          <w:sz w:val="24"/>
          <w:szCs w:val="24"/>
        </w:rPr>
      </w:pPr>
    </w:p>
    <w:p w:rsidR="007C5A77" w:rsidRDefault="008642BF" w:rsidP="00472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During the biennium</w:t>
      </w:r>
      <w:r w:rsidR="007C5A77">
        <w:rPr>
          <w:rFonts w:ascii="Times New Roman" w:hAnsi="Times New Roman" w:cs="Times New Roman"/>
          <w:sz w:val="24"/>
          <w:szCs w:val="24"/>
        </w:rPr>
        <w:t>,</w:t>
      </w:r>
      <w:r>
        <w:rPr>
          <w:rFonts w:ascii="Times New Roman" w:hAnsi="Times New Roman" w:cs="Times New Roman"/>
          <w:sz w:val="24"/>
          <w:szCs w:val="24"/>
        </w:rPr>
        <w:t xml:space="preserve"> Avista pil</w:t>
      </w:r>
      <w:r w:rsidR="007C5A77">
        <w:rPr>
          <w:rFonts w:ascii="Times New Roman" w:hAnsi="Times New Roman" w:cs="Times New Roman"/>
          <w:sz w:val="24"/>
          <w:szCs w:val="24"/>
        </w:rPr>
        <w:t xml:space="preserve">oted a number of programs: </w:t>
      </w:r>
    </w:p>
    <w:p w:rsidR="007C5A77" w:rsidRDefault="007C5A77" w:rsidP="007C5A77">
      <w:pPr>
        <w:pStyle w:val="ListParagraph"/>
        <w:numPr>
          <w:ilvl w:val="0"/>
          <w:numId w:val="24"/>
        </w:numPr>
        <w:spacing w:after="0" w:line="360" w:lineRule="auto"/>
        <w:jc w:val="both"/>
        <w:rPr>
          <w:rFonts w:ascii="Times New Roman" w:hAnsi="Times New Roman" w:cs="Times New Roman"/>
          <w:sz w:val="24"/>
          <w:szCs w:val="24"/>
        </w:rPr>
      </w:pPr>
      <w:r w:rsidRPr="007C5A77">
        <w:rPr>
          <w:rFonts w:ascii="Times New Roman" w:hAnsi="Times New Roman" w:cs="Times New Roman"/>
          <w:sz w:val="24"/>
          <w:szCs w:val="24"/>
        </w:rPr>
        <w:t>The C</w:t>
      </w:r>
      <w:r w:rsidR="008642BF" w:rsidRPr="007C5A77">
        <w:rPr>
          <w:rFonts w:ascii="Times New Roman" w:hAnsi="Times New Roman" w:cs="Times New Roman"/>
          <w:sz w:val="24"/>
          <w:szCs w:val="24"/>
        </w:rPr>
        <w:t>ompany ran a pilot smart thermostat program and the results from the impact e</w:t>
      </w:r>
      <w:r w:rsidRPr="007C5A77">
        <w:rPr>
          <w:rFonts w:ascii="Times New Roman" w:hAnsi="Times New Roman" w:cs="Times New Roman"/>
          <w:sz w:val="24"/>
          <w:szCs w:val="24"/>
        </w:rPr>
        <w:t>valuation are positive and the C</w:t>
      </w:r>
      <w:r w:rsidR="008642BF" w:rsidRPr="007C5A77">
        <w:rPr>
          <w:rFonts w:ascii="Times New Roman" w:hAnsi="Times New Roman" w:cs="Times New Roman"/>
          <w:sz w:val="24"/>
          <w:szCs w:val="24"/>
        </w:rPr>
        <w:t xml:space="preserve">ompany will look at incorporating this measure into </w:t>
      </w:r>
      <w:r w:rsidRPr="007C5A77">
        <w:rPr>
          <w:rFonts w:ascii="Times New Roman" w:hAnsi="Times New Roman" w:cs="Times New Roman"/>
          <w:sz w:val="24"/>
          <w:szCs w:val="24"/>
        </w:rPr>
        <w:t>its</w:t>
      </w:r>
      <w:r w:rsidR="008642BF" w:rsidRPr="007C5A77">
        <w:rPr>
          <w:rFonts w:ascii="Times New Roman" w:hAnsi="Times New Roman" w:cs="Times New Roman"/>
          <w:sz w:val="24"/>
          <w:szCs w:val="24"/>
        </w:rPr>
        <w:t xml:space="preserve"> regular residenti</w:t>
      </w:r>
      <w:r>
        <w:rPr>
          <w:rFonts w:ascii="Times New Roman" w:hAnsi="Times New Roman" w:cs="Times New Roman"/>
          <w:sz w:val="24"/>
          <w:szCs w:val="24"/>
        </w:rPr>
        <w:t>al portfolio;</w:t>
      </w:r>
      <w:r w:rsidR="008642BF" w:rsidRPr="007C5A77">
        <w:rPr>
          <w:rFonts w:ascii="Times New Roman" w:hAnsi="Times New Roman" w:cs="Times New Roman"/>
          <w:sz w:val="24"/>
          <w:szCs w:val="24"/>
        </w:rPr>
        <w:t xml:space="preserve"> </w:t>
      </w:r>
    </w:p>
    <w:p w:rsidR="007C5A77" w:rsidRDefault="008642BF" w:rsidP="007C5A77">
      <w:pPr>
        <w:pStyle w:val="ListParagraph"/>
        <w:numPr>
          <w:ilvl w:val="0"/>
          <w:numId w:val="24"/>
        </w:numPr>
        <w:spacing w:after="0" w:line="360" w:lineRule="auto"/>
        <w:jc w:val="both"/>
        <w:rPr>
          <w:rFonts w:ascii="Times New Roman" w:hAnsi="Times New Roman" w:cs="Times New Roman"/>
          <w:sz w:val="24"/>
          <w:szCs w:val="24"/>
        </w:rPr>
      </w:pPr>
      <w:r w:rsidRPr="007C5A77">
        <w:rPr>
          <w:rFonts w:ascii="Times New Roman" w:hAnsi="Times New Roman" w:cs="Times New Roman"/>
          <w:sz w:val="24"/>
          <w:szCs w:val="24"/>
        </w:rPr>
        <w:t>The Air Guardian pilot, which is a direct install of a timing valve for compressed air system was rolled out in late 2015 and is still in the begi</w:t>
      </w:r>
      <w:r w:rsidR="007C5A77">
        <w:rPr>
          <w:rFonts w:ascii="Times New Roman" w:hAnsi="Times New Roman" w:cs="Times New Roman"/>
          <w:sz w:val="24"/>
          <w:szCs w:val="24"/>
        </w:rPr>
        <w:t>nning stages of the pilot;</w:t>
      </w:r>
      <w:r w:rsidR="007C5A77" w:rsidRPr="007C5A77">
        <w:rPr>
          <w:rFonts w:ascii="Times New Roman" w:hAnsi="Times New Roman" w:cs="Times New Roman"/>
          <w:sz w:val="24"/>
          <w:szCs w:val="24"/>
        </w:rPr>
        <w:t xml:space="preserve"> </w:t>
      </w:r>
    </w:p>
    <w:p w:rsidR="007C5A77" w:rsidRDefault="007C5A77" w:rsidP="007C5A77">
      <w:pPr>
        <w:pStyle w:val="ListParagraph"/>
        <w:numPr>
          <w:ilvl w:val="0"/>
          <w:numId w:val="24"/>
        </w:numPr>
        <w:spacing w:after="0" w:line="360" w:lineRule="auto"/>
        <w:jc w:val="both"/>
        <w:rPr>
          <w:rFonts w:ascii="Times New Roman" w:hAnsi="Times New Roman" w:cs="Times New Roman"/>
          <w:sz w:val="24"/>
          <w:szCs w:val="24"/>
        </w:rPr>
      </w:pPr>
      <w:r w:rsidRPr="007C5A77">
        <w:rPr>
          <w:rFonts w:ascii="Times New Roman" w:hAnsi="Times New Roman" w:cs="Times New Roman"/>
          <w:sz w:val="24"/>
          <w:szCs w:val="24"/>
        </w:rPr>
        <w:t>The C</w:t>
      </w:r>
      <w:r w:rsidR="008642BF" w:rsidRPr="007C5A77">
        <w:rPr>
          <w:rFonts w:ascii="Times New Roman" w:hAnsi="Times New Roman" w:cs="Times New Roman"/>
          <w:sz w:val="24"/>
          <w:szCs w:val="24"/>
        </w:rPr>
        <w:t xml:space="preserve">ompany entered into an agreement to pilot an industrial strategic energy management program with Cascade Engineering, however the programmatic costs as well as the </w:t>
      </w:r>
      <w:r w:rsidR="008642BF" w:rsidRPr="007C5A77">
        <w:rPr>
          <w:rFonts w:ascii="Times New Roman" w:hAnsi="Times New Roman" w:cs="Times New Roman"/>
          <w:sz w:val="24"/>
          <w:szCs w:val="24"/>
        </w:rPr>
        <w:lastRenderedPageBreak/>
        <w:t xml:space="preserve">potential savings were not promising so the program would most likely not be cost-effective long term </w:t>
      </w:r>
      <w:r>
        <w:rPr>
          <w:rFonts w:ascii="Times New Roman" w:hAnsi="Times New Roman" w:cs="Times New Roman"/>
          <w:sz w:val="24"/>
          <w:szCs w:val="24"/>
        </w:rPr>
        <w:t>and was not continued into 2016; and</w:t>
      </w:r>
      <w:r w:rsidR="008642BF" w:rsidRPr="007C5A77">
        <w:rPr>
          <w:rFonts w:ascii="Times New Roman" w:hAnsi="Times New Roman" w:cs="Times New Roman"/>
          <w:sz w:val="24"/>
          <w:szCs w:val="24"/>
        </w:rPr>
        <w:t xml:space="preserve"> </w:t>
      </w:r>
    </w:p>
    <w:p w:rsidR="008642BF" w:rsidRPr="007C5A77" w:rsidRDefault="007C5A77" w:rsidP="007C5A77">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w:t>
      </w:r>
      <w:r w:rsidR="008642BF" w:rsidRPr="007C5A77">
        <w:rPr>
          <w:rFonts w:ascii="Times New Roman" w:hAnsi="Times New Roman" w:cs="Times New Roman"/>
          <w:sz w:val="24"/>
          <w:szCs w:val="24"/>
        </w:rPr>
        <w:t>ompany performed a third test of the FleetHeat pilot, controlling block heaters on fleet vehicles, with findings in Ap</w:t>
      </w:r>
      <w:r w:rsidR="00AE3C0D">
        <w:rPr>
          <w:rFonts w:ascii="Times New Roman" w:hAnsi="Times New Roman" w:cs="Times New Roman"/>
          <w:sz w:val="24"/>
          <w:szCs w:val="24"/>
        </w:rPr>
        <w:t>ril that suggest over 2000 kWh</w:t>
      </w:r>
      <w:r w:rsidR="008642BF" w:rsidRPr="007C5A77">
        <w:rPr>
          <w:rFonts w:ascii="Times New Roman" w:hAnsi="Times New Roman" w:cs="Times New Roman"/>
          <w:sz w:val="24"/>
          <w:szCs w:val="24"/>
        </w:rPr>
        <w:t xml:space="preserve"> per fleet vehicle treated.  We will prepare to offer an evaluated prescriptive program in 2017.</w:t>
      </w:r>
    </w:p>
    <w:p w:rsidR="00472DB4" w:rsidRDefault="00472DB4" w:rsidP="00472DB4">
      <w:pPr>
        <w:spacing w:after="0" w:line="360" w:lineRule="auto"/>
        <w:jc w:val="both"/>
        <w:rPr>
          <w:rFonts w:ascii="Times New Roman" w:hAnsi="Times New Roman" w:cs="Times New Roman"/>
          <w:sz w:val="24"/>
          <w:szCs w:val="24"/>
        </w:rPr>
      </w:pPr>
    </w:p>
    <w:p w:rsidR="006315F6" w:rsidRDefault="00691FA1" w:rsidP="00472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With the passing of Washington State Initiative</w:t>
      </w:r>
      <w:r w:rsidR="006315F6">
        <w:rPr>
          <w:rFonts w:ascii="Times New Roman" w:hAnsi="Times New Roman" w:cs="Times New Roman"/>
          <w:sz w:val="24"/>
          <w:szCs w:val="24"/>
        </w:rPr>
        <w:t>-502</w:t>
      </w:r>
      <w:r>
        <w:rPr>
          <w:rFonts w:ascii="Times New Roman" w:hAnsi="Times New Roman" w:cs="Times New Roman"/>
          <w:sz w:val="24"/>
          <w:szCs w:val="24"/>
        </w:rPr>
        <w:t>, s</w:t>
      </w:r>
      <w:r w:rsidR="007101F1">
        <w:rPr>
          <w:rFonts w:ascii="Times New Roman" w:hAnsi="Times New Roman" w:cs="Times New Roman"/>
          <w:sz w:val="24"/>
          <w:szCs w:val="24"/>
        </w:rPr>
        <w:t xml:space="preserve">ales </w:t>
      </w:r>
      <w:r>
        <w:rPr>
          <w:rFonts w:ascii="Times New Roman" w:hAnsi="Times New Roman" w:cs="Times New Roman"/>
          <w:sz w:val="24"/>
          <w:szCs w:val="24"/>
        </w:rPr>
        <w:t>of recreational marijuana became</w:t>
      </w:r>
      <w:r w:rsidR="007101F1">
        <w:rPr>
          <w:rFonts w:ascii="Times New Roman" w:hAnsi="Times New Roman" w:cs="Times New Roman"/>
          <w:sz w:val="24"/>
          <w:szCs w:val="24"/>
        </w:rPr>
        <w:t xml:space="preserve"> legal beginning July, 8</w:t>
      </w:r>
      <w:r w:rsidR="007101F1" w:rsidRPr="007101F1">
        <w:rPr>
          <w:rFonts w:ascii="Times New Roman" w:hAnsi="Times New Roman" w:cs="Times New Roman"/>
          <w:sz w:val="24"/>
          <w:szCs w:val="24"/>
          <w:vertAlign w:val="superscript"/>
        </w:rPr>
        <w:t>th</w:t>
      </w:r>
      <w:r w:rsidR="007101F1">
        <w:rPr>
          <w:rFonts w:ascii="Times New Roman" w:hAnsi="Times New Roman" w:cs="Times New Roman"/>
          <w:sz w:val="24"/>
          <w:szCs w:val="24"/>
        </w:rPr>
        <w:t xml:space="preserve"> 2014. This increased the growth of marijuana producers in Avista</w:t>
      </w:r>
      <w:r>
        <w:rPr>
          <w:rFonts w:ascii="Times New Roman" w:hAnsi="Times New Roman" w:cs="Times New Roman"/>
          <w:sz w:val="24"/>
          <w:szCs w:val="24"/>
        </w:rPr>
        <w:t>’s</w:t>
      </w:r>
      <w:r w:rsidR="007101F1">
        <w:rPr>
          <w:rFonts w:ascii="Times New Roman" w:hAnsi="Times New Roman" w:cs="Times New Roman"/>
          <w:sz w:val="24"/>
          <w:szCs w:val="24"/>
        </w:rPr>
        <w:t xml:space="preserve"> </w:t>
      </w:r>
      <w:r>
        <w:rPr>
          <w:rFonts w:ascii="Times New Roman" w:hAnsi="Times New Roman" w:cs="Times New Roman"/>
          <w:sz w:val="24"/>
          <w:szCs w:val="24"/>
        </w:rPr>
        <w:t xml:space="preserve">Washington </w:t>
      </w:r>
      <w:r w:rsidR="007101F1">
        <w:rPr>
          <w:rFonts w:ascii="Times New Roman" w:hAnsi="Times New Roman" w:cs="Times New Roman"/>
          <w:sz w:val="24"/>
          <w:szCs w:val="24"/>
        </w:rPr>
        <w:t>service territory</w:t>
      </w:r>
      <w:r>
        <w:rPr>
          <w:rFonts w:ascii="Times New Roman" w:hAnsi="Times New Roman" w:cs="Times New Roman"/>
          <w:sz w:val="24"/>
          <w:szCs w:val="24"/>
        </w:rPr>
        <w:t>.</w:t>
      </w:r>
      <w:r w:rsidR="007101F1">
        <w:rPr>
          <w:rFonts w:ascii="Times New Roman" w:hAnsi="Times New Roman" w:cs="Times New Roman"/>
          <w:sz w:val="24"/>
          <w:szCs w:val="24"/>
        </w:rPr>
        <w:t xml:space="preserve"> </w:t>
      </w:r>
      <w:r>
        <w:rPr>
          <w:rFonts w:ascii="Times New Roman" w:hAnsi="Times New Roman" w:cs="Times New Roman"/>
          <w:sz w:val="24"/>
          <w:szCs w:val="24"/>
        </w:rPr>
        <w:t>These producers</w:t>
      </w:r>
      <w:r w:rsidR="007101F1">
        <w:rPr>
          <w:rFonts w:ascii="Times New Roman" w:hAnsi="Times New Roman" w:cs="Times New Roman"/>
          <w:sz w:val="24"/>
          <w:szCs w:val="24"/>
        </w:rPr>
        <w:t xml:space="preserve"> traditionally have large inefficient lighting loads</w:t>
      </w:r>
      <w:r>
        <w:rPr>
          <w:rFonts w:ascii="Times New Roman" w:hAnsi="Times New Roman" w:cs="Times New Roman"/>
          <w:sz w:val="24"/>
          <w:szCs w:val="24"/>
        </w:rPr>
        <w:t xml:space="preserve">, as well as ventilation systems. Avista DSM engineers and program managers have engaged with </w:t>
      </w:r>
      <w:r w:rsidR="007101F1">
        <w:rPr>
          <w:rFonts w:ascii="Times New Roman" w:hAnsi="Times New Roman" w:cs="Times New Roman"/>
          <w:sz w:val="24"/>
          <w:szCs w:val="24"/>
        </w:rPr>
        <w:t xml:space="preserve">these producers to </w:t>
      </w:r>
      <w:r w:rsidR="00825E6E">
        <w:rPr>
          <w:rFonts w:ascii="Times New Roman" w:hAnsi="Times New Roman" w:cs="Times New Roman"/>
          <w:sz w:val="24"/>
          <w:szCs w:val="24"/>
        </w:rPr>
        <w:t>test more efficient lighting options</w:t>
      </w:r>
      <w:r>
        <w:rPr>
          <w:rFonts w:ascii="Times New Roman" w:hAnsi="Times New Roman" w:cs="Times New Roman"/>
          <w:sz w:val="24"/>
          <w:szCs w:val="24"/>
        </w:rPr>
        <w:t>, as well as other efficiencies in their processes</w:t>
      </w:r>
      <w:r w:rsidR="00825E6E">
        <w:rPr>
          <w:rFonts w:ascii="Times New Roman" w:hAnsi="Times New Roman" w:cs="Times New Roman"/>
          <w:sz w:val="24"/>
          <w:szCs w:val="24"/>
        </w:rPr>
        <w:t>.</w:t>
      </w:r>
      <w:r w:rsidR="007101F1">
        <w:rPr>
          <w:rFonts w:ascii="Times New Roman" w:hAnsi="Times New Roman" w:cs="Times New Roman"/>
          <w:sz w:val="24"/>
          <w:szCs w:val="24"/>
        </w:rPr>
        <w:t xml:space="preserve"> </w:t>
      </w:r>
    </w:p>
    <w:p w:rsidR="00472DB4" w:rsidRDefault="00472DB4" w:rsidP="00472DB4">
      <w:pPr>
        <w:spacing w:after="0" w:line="360" w:lineRule="auto"/>
        <w:jc w:val="both"/>
        <w:rPr>
          <w:rFonts w:ascii="Times New Roman" w:hAnsi="Times New Roman" w:cs="Times New Roman"/>
          <w:sz w:val="24"/>
          <w:szCs w:val="24"/>
        </w:rPr>
      </w:pPr>
    </w:p>
    <w:p w:rsidR="00CA412F" w:rsidRDefault="00710AF2" w:rsidP="00472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Small business customers are difficult to reach and often do not own the spaces for which they operate. To overcome these difficulties Avista sent out </w:t>
      </w:r>
      <w:r w:rsidR="00E173A5">
        <w:rPr>
          <w:rFonts w:ascii="Times New Roman" w:hAnsi="Times New Roman" w:cs="Times New Roman"/>
          <w:sz w:val="24"/>
          <w:szCs w:val="24"/>
        </w:rPr>
        <w:t>a</w:t>
      </w:r>
      <w:r>
        <w:rPr>
          <w:rFonts w:ascii="Times New Roman" w:hAnsi="Times New Roman" w:cs="Times New Roman"/>
          <w:sz w:val="24"/>
          <w:szCs w:val="24"/>
        </w:rPr>
        <w:t xml:space="preserve"> </w:t>
      </w:r>
      <w:r w:rsidR="00691FA1">
        <w:rPr>
          <w:rFonts w:ascii="Times New Roman" w:hAnsi="Times New Roman" w:cs="Times New Roman"/>
          <w:sz w:val="24"/>
          <w:szCs w:val="24"/>
        </w:rPr>
        <w:t>request for proposal (</w:t>
      </w:r>
      <w:r>
        <w:rPr>
          <w:rFonts w:ascii="Times New Roman" w:hAnsi="Times New Roman" w:cs="Times New Roman"/>
          <w:sz w:val="24"/>
          <w:szCs w:val="24"/>
        </w:rPr>
        <w:t>RFP</w:t>
      </w:r>
      <w:r w:rsidR="00691FA1">
        <w:rPr>
          <w:rFonts w:ascii="Times New Roman" w:hAnsi="Times New Roman" w:cs="Times New Roman"/>
          <w:sz w:val="24"/>
          <w:szCs w:val="24"/>
        </w:rPr>
        <w:t>)</w:t>
      </w:r>
      <w:r>
        <w:rPr>
          <w:rFonts w:ascii="Times New Roman" w:hAnsi="Times New Roman" w:cs="Times New Roman"/>
          <w:sz w:val="24"/>
          <w:szCs w:val="24"/>
        </w:rPr>
        <w:t xml:space="preserve"> in 2014 for a small business audit and direct install program. SBW was </w:t>
      </w:r>
      <w:r w:rsidR="00691FA1">
        <w:rPr>
          <w:rFonts w:ascii="Times New Roman" w:hAnsi="Times New Roman" w:cs="Times New Roman"/>
          <w:sz w:val="24"/>
          <w:szCs w:val="24"/>
        </w:rPr>
        <w:t>awarded the</w:t>
      </w:r>
      <w:r>
        <w:rPr>
          <w:rFonts w:ascii="Times New Roman" w:hAnsi="Times New Roman" w:cs="Times New Roman"/>
          <w:sz w:val="24"/>
          <w:szCs w:val="24"/>
        </w:rPr>
        <w:t xml:space="preserve"> contractor</w:t>
      </w:r>
      <w:r w:rsidR="00691FA1">
        <w:rPr>
          <w:rFonts w:ascii="Times New Roman" w:hAnsi="Times New Roman" w:cs="Times New Roman"/>
          <w:sz w:val="24"/>
          <w:szCs w:val="24"/>
        </w:rPr>
        <w:t>,</w:t>
      </w:r>
      <w:r>
        <w:rPr>
          <w:rFonts w:ascii="Times New Roman" w:hAnsi="Times New Roman" w:cs="Times New Roman"/>
          <w:sz w:val="24"/>
          <w:szCs w:val="24"/>
        </w:rPr>
        <w:t xml:space="preserve"> and in 2015 they began going door to door </w:t>
      </w:r>
      <w:r w:rsidR="00691FA1">
        <w:rPr>
          <w:rFonts w:ascii="Times New Roman" w:hAnsi="Times New Roman" w:cs="Times New Roman"/>
          <w:sz w:val="24"/>
          <w:szCs w:val="24"/>
        </w:rPr>
        <w:t>to</w:t>
      </w:r>
      <w:r>
        <w:rPr>
          <w:rFonts w:ascii="Times New Roman" w:hAnsi="Times New Roman" w:cs="Times New Roman"/>
          <w:sz w:val="24"/>
          <w:szCs w:val="24"/>
        </w:rPr>
        <w:t xml:space="preserve"> Avista small business customers providing building, HVAC and lighting audits</w:t>
      </w:r>
      <w:r w:rsidR="00691FA1">
        <w:rPr>
          <w:rFonts w:ascii="Times New Roman" w:hAnsi="Times New Roman" w:cs="Times New Roman"/>
          <w:sz w:val="24"/>
          <w:szCs w:val="24"/>
        </w:rPr>
        <w:t>,</w:t>
      </w:r>
      <w:r>
        <w:rPr>
          <w:rFonts w:ascii="Times New Roman" w:hAnsi="Times New Roman" w:cs="Times New Roman"/>
          <w:sz w:val="24"/>
          <w:szCs w:val="24"/>
        </w:rPr>
        <w:t xml:space="preserve"> as well as doing direct installation </w:t>
      </w:r>
      <w:r w:rsidR="006315F6">
        <w:rPr>
          <w:rFonts w:ascii="Times New Roman" w:hAnsi="Times New Roman" w:cs="Times New Roman"/>
          <w:sz w:val="24"/>
          <w:szCs w:val="24"/>
        </w:rPr>
        <w:t>of LED bulbs, faucet aerators, pre-rinse sprayers, smart power strips, shower heads, vending and cooling miser controls.</w:t>
      </w:r>
      <w:r w:rsidR="002A2737">
        <w:rPr>
          <w:rFonts w:ascii="Times New Roman" w:hAnsi="Times New Roman" w:cs="Times New Roman"/>
          <w:sz w:val="24"/>
          <w:szCs w:val="24"/>
        </w:rPr>
        <w:t xml:space="preserve"> This high touch program has been quite effective in delivering cost-effective energy savings with a high level of customer satisfaction.</w:t>
      </w:r>
    </w:p>
    <w:p w:rsidR="00472DB4" w:rsidRDefault="00472DB4" w:rsidP="00472DB4">
      <w:pPr>
        <w:spacing w:after="0" w:line="360" w:lineRule="auto"/>
        <w:jc w:val="both"/>
        <w:rPr>
          <w:rFonts w:ascii="Times New Roman" w:hAnsi="Times New Roman" w:cs="Times New Roman"/>
          <w:sz w:val="24"/>
          <w:szCs w:val="24"/>
        </w:rPr>
      </w:pPr>
    </w:p>
    <w:p w:rsidR="002A2737" w:rsidRDefault="002A2737" w:rsidP="00472D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While not comprehensive</w:t>
      </w:r>
      <w:r w:rsidR="00691FA1">
        <w:rPr>
          <w:rFonts w:ascii="Times New Roman" w:hAnsi="Times New Roman" w:cs="Times New Roman"/>
          <w:sz w:val="24"/>
          <w:szCs w:val="24"/>
        </w:rPr>
        <w:t>,</w:t>
      </w:r>
      <w:r>
        <w:rPr>
          <w:rFonts w:ascii="Times New Roman" w:hAnsi="Times New Roman" w:cs="Times New Roman"/>
          <w:sz w:val="24"/>
          <w:szCs w:val="24"/>
        </w:rPr>
        <w:t xml:space="preserve"> this is certainly a summary of the adaptive management Avista employed during the past biennium to deliver cost effective DSM programs.</w:t>
      </w:r>
    </w:p>
    <w:p w:rsidR="00CD4DD8" w:rsidRDefault="0042618B" w:rsidP="0042618B">
      <w:pPr>
        <w:rPr>
          <w:rFonts w:ascii="Times New Roman" w:hAnsi="Times New Roman" w:cs="Times New Roman"/>
          <w:sz w:val="24"/>
          <w:szCs w:val="24"/>
        </w:rPr>
      </w:pPr>
      <w:r>
        <w:rPr>
          <w:rFonts w:ascii="Times New Roman" w:hAnsi="Times New Roman" w:cs="Times New Roman"/>
          <w:sz w:val="24"/>
          <w:szCs w:val="24"/>
        </w:rPr>
        <w:br w:type="page"/>
      </w:r>
    </w:p>
    <w:p w:rsidR="00CD4DD8" w:rsidRPr="00440375" w:rsidRDefault="00CD4DD8" w:rsidP="00440375">
      <w:pPr>
        <w:pStyle w:val="ListParagraph"/>
        <w:numPr>
          <w:ilvl w:val="0"/>
          <w:numId w:val="2"/>
        </w:numPr>
        <w:spacing w:after="0" w:line="360" w:lineRule="auto"/>
        <w:ind w:left="0" w:firstLine="0"/>
        <w:jc w:val="center"/>
        <w:rPr>
          <w:rFonts w:ascii="Times New Roman" w:hAnsi="Times New Roman" w:cs="Times New Roman"/>
          <w:b/>
          <w:sz w:val="24"/>
          <w:szCs w:val="24"/>
        </w:rPr>
      </w:pPr>
      <w:r w:rsidRPr="00440375">
        <w:rPr>
          <w:rFonts w:ascii="Times New Roman" w:hAnsi="Times New Roman" w:cs="Times New Roman"/>
          <w:b/>
          <w:sz w:val="24"/>
          <w:szCs w:val="24"/>
        </w:rPr>
        <w:lastRenderedPageBreak/>
        <w:t>COMPLIANCE</w:t>
      </w:r>
    </w:p>
    <w:p w:rsidR="006C72BF" w:rsidRDefault="00440375" w:rsidP="00CD4DD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 compliance with </w:t>
      </w:r>
      <w:r w:rsidR="004F42C2">
        <w:rPr>
          <w:rFonts w:ascii="Times New Roman" w:hAnsi="Times New Roman" w:cs="Times New Roman"/>
          <w:bCs/>
          <w:sz w:val="24"/>
          <w:szCs w:val="24"/>
        </w:rPr>
        <w:t>Commission Order No. 04 in Docket No. UE-151148</w:t>
      </w:r>
      <w:r>
        <w:rPr>
          <w:rFonts w:ascii="Times New Roman" w:hAnsi="Times New Roman" w:cs="Times New Roman"/>
          <w:bCs/>
          <w:sz w:val="24"/>
          <w:szCs w:val="24"/>
        </w:rPr>
        <w:t>, specifically requesting a</w:t>
      </w:r>
      <w:r w:rsidR="004F42C2">
        <w:rPr>
          <w:rFonts w:ascii="Times New Roman" w:hAnsi="Times New Roman" w:cs="Times New Roman"/>
          <w:bCs/>
          <w:sz w:val="24"/>
          <w:szCs w:val="24"/>
        </w:rPr>
        <w:t xml:space="preserve"> </w:t>
      </w:r>
      <w:r w:rsidR="00CD4DD8" w:rsidRPr="00CD4DD8">
        <w:rPr>
          <w:rFonts w:ascii="Times New Roman" w:hAnsi="Times New Roman" w:cs="Times New Roman"/>
          <w:bCs/>
          <w:sz w:val="24"/>
          <w:szCs w:val="24"/>
        </w:rPr>
        <w:t xml:space="preserve">progress update on the administration of its DSM program, addressing </w:t>
      </w:r>
      <w:r w:rsidR="0042618B">
        <w:rPr>
          <w:rFonts w:ascii="Times New Roman" w:hAnsi="Times New Roman" w:cs="Times New Roman"/>
          <w:bCs/>
          <w:sz w:val="24"/>
          <w:szCs w:val="24"/>
        </w:rPr>
        <w:t>the following</w:t>
      </w:r>
      <w:r w:rsidR="00CD4DD8" w:rsidRPr="00CD4DD8">
        <w:rPr>
          <w:rFonts w:ascii="Times New Roman" w:hAnsi="Times New Roman" w:cs="Times New Roman"/>
          <w:bCs/>
          <w:sz w:val="24"/>
          <w:szCs w:val="24"/>
        </w:rPr>
        <w:t xml:space="preserve">: </w:t>
      </w:r>
    </w:p>
    <w:p w:rsidR="00691FA1" w:rsidRDefault="00691FA1" w:rsidP="00CD4DD8">
      <w:pPr>
        <w:spacing w:after="0" w:line="360" w:lineRule="auto"/>
        <w:jc w:val="both"/>
        <w:rPr>
          <w:rFonts w:ascii="Times New Roman" w:hAnsi="Times New Roman" w:cs="Times New Roman"/>
          <w:bCs/>
          <w:sz w:val="24"/>
          <w:szCs w:val="24"/>
        </w:rPr>
      </w:pPr>
    </w:p>
    <w:p w:rsidR="006C72BF" w:rsidRPr="00691FA1" w:rsidRDefault="00CD4DD8" w:rsidP="00691FA1">
      <w:pPr>
        <w:pStyle w:val="ListParagraph"/>
        <w:numPr>
          <w:ilvl w:val="0"/>
          <w:numId w:val="22"/>
        </w:numPr>
        <w:spacing w:after="0" w:line="360" w:lineRule="auto"/>
        <w:jc w:val="both"/>
        <w:rPr>
          <w:rFonts w:ascii="Times New Roman" w:hAnsi="Times New Roman" w:cs="Times New Roman"/>
          <w:bCs/>
          <w:sz w:val="24"/>
          <w:szCs w:val="24"/>
        </w:rPr>
      </w:pPr>
      <w:r w:rsidRPr="00691FA1">
        <w:rPr>
          <w:rFonts w:ascii="Times New Roman" w:hAnsi="Times New Roman" w:cs="Times New Roman"/>
          <w:bCs/>
          <w:sz w:val="24"/>
          <w:szCs w:val="24"/>
        </w:rPr>
        <w:t xml:space="preserve">Avista’s efforts to improve the management of its DSM program since January 2016, </w:t>
      </w:r>
    </w:p>
    <w:p w:rsidR="009B284F" w:rsidRDefault="009B284F" w:rsidP="009B284F">
      <w:pPr>
        <w:pStyle w:val="BodyText"/>
        <w:spacing w:line="360" w:lineRule="auto"/>
        <w:rPr>
          <w:rFonts w:ascii="Times New Roman" w:hAnsi="Times New Roman" w:cs="Times New Roman"/>
          <w:color w:val="262626"/>
          <w:sz w:val="24"/>
          <w:szCs w:val="24"/>
        </w:rPr>
      </w:pPr>
    </w:p>
    <w:p w:rsidR="009B284F" w:rsidRDefault="009B284F" w:rsidP="009B284F">
      <w:pPr>
        <w:pStyle w:val="BodyText"/>
        <w:spacing w:line="360" w:lineRule="auto"/>
        <w:rPr>
          <w:rFonts w:ascii="Times New Roman" w:hAnsi="Times New Roman" w:cs="Times New Roman"/>
          <w:color w:val="262626"/>
          <w:sz w:val="24"/>
          <w:szCs w:val="24"/>
        </w:rPr>
      </w:pPr>
      <w:r>
        <w:rPr>
          <w:rFonts w:ascii="Times New Roman" w:hAnsi="Times New Roman" w:cs="Times New Roman"/>
          <w:color w:val="262626"/>
          <w:sz w:val="24"/>
          <w:szCs w:val="24"/>
        </w:rPr>
        <w:t>Response:</w:t>
      </w:r>
    </w:p>
    <w:p w:rsidR="009B284F" w:rsidRPr="009B284F" w:rsidRDefault="00440375" w:rsidP="009B284F">
      <w:pPr>
        <w:pStyle w:val="BodyText"/>
        <w:spacing w:line="360" w:lineRule="auto"/>
        <w:jc w:val="both"/>
        <w:rPr>
          <w:rFonts w:ascii="Times New Roman" w:hAnsi="Times New Roman" w:cs="Times New Roman"/>
          <w:b/>
          <w:bCs/>
          <w:sz w:val="24"/>
          <w:szCs w:val="24"/>
        </w:rPr>
      </w:pPr>
      <w:r>
        <w:rPr>
          <w:rFonts w:ascii="Times New Roman" w:hAnsi="Times New Roman" w:cs="Times New Roman"/>
          <w:color w:val="262626"/>
          <w:sz w:val="24"/>
          <w:szCs w:val="24"/>
        </w:rPr>
        <w:t>The Company’s</w:t>
      </w:r>
      <w:r w:rsidRPr="00440375">
        <w:rPr>
          <w:rFonts w:ascii="Times New Roman" w:hAnsi="Times New Roman" w:cs="Times New Roman"/>
          <w:color w:val="262626"/>
          <w:sz w:val="24"/>
          <w:szCs w:val="24"/>
        </w:rPr>
        <w:t xml:space="preserve"> DSM team</w:t>
      </w:r>
      <w:r w:rsidR="009B284F">
        <w:rPr>
          <w:rFonts w:ascii="Times New Roman" w:hAnsi="Times New Roman" w:cs="Times New Roman"/>
          <w:color w:val="262626"/>
          <w:sz w:val="24"/>
          <w:szCs w:val="24"/>
        </w:rPr>
        <w:t xml:space="preserve"> has achieved, and actually exceeded </w:t>
      </w:r>
      <w:r>
        <w:rPr>
          <w:rFonts w:ascii="Times New Roman" w:hAnsi="Times New Roman" w:cs="Times New Roman"/>
          <w:color w:val="262626"/>
          <w:sz w:val="24"/>
          <w:szCs w:val="24"/>
        </w:rPr>
        <w:t xml:space="preserve">its 2014-2015 energy savings </w:t>
      </w:r>
      <w:r w:rsidR="009B284F">
        <w:rPr>
          <w:rFonts w:ascii="Times New Roman" w:hAnsi="Times New Roman" w:cs="Times New Roman"/>
          <w:color w:val="262626"/>
          <w:sz w:val="24"/>
          <w:szCs w:val="24"/>
        </w:rPr>
        <w:t>targets, w</w:t>
      </w:r>
      <w:r w:rsidR="009B284F">
        <w:rPr>
          <w:rFonts w:ascii="Times New Roman" w:hAnsi="Times New Roman" w:cs="Times New Roman"/>
          <w:bCs/>
          <w:sz w:val="24"/>
          <w:szCs w:val="24"/>
        </w:rPr>
        <w:t>e did</w:t>
      </w:r>
      <w:r w:rsidR="009B284F" w:rsidRPr="009B284F">
        <w:rPr>
          <w:rFonts w:ascii="Times New Roman" w:hAnsi="Times New Roman" w:cs="Times New Roman"/>
          <w:bCs/>
          <w:sz w:val="24"/>
          <w:szCs w:val="24"/>
        </w:rPr>
        <w:t xml:space="preserve"> that by continuously innovating, adapting, and expanding program offerings. </w:t>
      </w:r>
      <w:r w:rsidR="009B284F" w:rsidRPr="009B284F">
        <w:rPr>
          <w:rFonts w:ascii="Times New Roman" w:eastAsia="Calibri" w:hAnsi="Times New Roman" w:cs="Times New Roman"/>
          <w:sz w:val="24"/>
          <w:szCs w:val="24"/>
        </w:rPr>
        <w:t>The Company remains committed to its approach to energy efficiency, based on two key principles.</w:t>
      </w:r>
      <w:r w:rsidR="009B284F" w:rsidRPr="009B284F">
        <w:rPr>
          <w:rFonts w:ascii="Times New Roman" w:hAnsi="Times New Roman" w:cs="Times New Roman"/>
          <w:sz w:val="24"/>
          <w:szCs w:val="24"/>
        </w:rPr>
        <w:t xml:space="preserve"> The first is to pursue all cost-effective kilowatt hours and therms by offering financial incentives for most energy saving measures with a simple financial payback of over one year.  The second key principle is to use the most effective “mechanism” to deliver energy efficiency services to customers.</w:t>
      </w:r>
      <w:r w:rsidR="009B284F">
        <w:rPr>
          <w:rFonts w:ascii="Times New Roman" w:hAnsi="Times New Roman" w:cs="Times New Roman"/>
          <w:sz w:val="24"/>
          <w:szCs w:val="24"/>
        </w:rPr>
        <w:t xml:space="preserve"> </w:t>
      </w:r>
    </w:p>
    <w:p w:rsidR="009B284F" w:rsidRDefault="009B284F" w:rsidP="009B284F">
      <w:pPr>
        <w:pStyle w:val="ListParagraph"/>
        <w:spacing w:after="0" w:line="360" w:lineRule="auto"/>
        <w:ind w:left="0"/>
        <w:jc w:val="both"/>
        <w:rPr>
          <w:rFonts w:ascii="Times New Roman" w:hAnsi="Times New Roman" w:cs="Times New Roman"/>
          <w:sz w:val="24"/>
          <w:szCs w:val="24"/>
        </w:rPr>
      </w:pPr>
    </w:p>
    <w:p w:rsidR="006C72BF" w:rsidRDefault="00440375" w:rsidP="009B284F">
      <w:pPr>
        <w:pStyle w:val="ListParagraph"/>
        <w:spacing w:after="0" w:line="360" w:lineRule="auto"/>
        <w:ind w:left="0"/>
        <w:jc w:val="both"/>
        <w:rPr>
          <w:rFonts w:ascii="Times New Roman" w:eastAsia="Calibri" w:hAnsi="Times New Roman" w:cs="Times New Roman"/>
          <w:sz w:val="24"/>
          <w:szCs w:val="24"/>
        </w:rPr>
      </w:pPr>
      <w:r w:rsidRPr="00440375">
        <w:rPr>
          <w:rFonts w:ascii="Times New Roman" w:eastAsia="Calibri" w:hAnsi="Times New Roman" w:cs="Times New Roman"/>
          <w:sz w:val="24"/>
          <w:szCs w:val="24"/>
        </w:rPr>
        <w:t xml:space="preserve">Avista </w:t>
      </w:r>
      <w:r>
        <w:rPr>
          <w:rFonts w:ascii="Times New Roman" w:eastAsia="Calibri" w:hAnsi="Times New Roman" w:cs="Times New Roman"/>
          <w:sz w:val="24"/>
          <w:szCs w:val="24"/>
        </w:rPr>
        <w:t>continues to actively manage and monitor</w:t>
      </w:r>
      <w:r w:rsidRPr="00440375">
        <w:rPr>
          <w:rFonts w:ascii="Times New Roman" w:eastAsia="Calibri" w:hAnsi="Times New Roman" w:cs="Times New Roman"/>
          <w:sz w:val="24"/>
          <w:szCs w:val="24"/>
        </w:rPr>
        <w:t xml:space="preserve"> the progress of its programs that are delivered to customers with an emphasis on continuous improvements.  We</w:t>
      </w:r>
      <w:r>
        <w:rPr>
          <w:rFonts w:ascii="Times New Roman" w:eastAsia="Calibri" w:hAnsi="Times New Roman" w:cs="Times New Roman"/>
          <w:sz w:val="24"/>
          <w:szCs w:val="24"/>
        </w:rPr>
        <w:t xml:space="preserve"> hold we</w:t>
      </w:r>
      <w:r w:rsidRPr="00440375">
        <w:rPr>
          <w:rFonts w:ascii="Times New Roman" w:eastAsia="Calibri" w:hAnsi="Times New Roman" w:cs="Times New Roman"/>
          <w:sz w:val="24"/>
          <w:szCs w:val="24"/>
        </w:rPr>
        <w:t xml:space="preserve">ekly meetings with Program Managers and Management to serve as an opportunity for status reports on project progress, results, and current issues. Avista’s DSM management </w:t>
      </w:r>
      <w:r>
        <w:rPr>
          <w:rFonts w:ascii="Times New Roman" w:eastAsia="Calibri" w:hAnsi="Times New Roman" w:cs="Times New Roman"/>
          <w:sz w:val="24"/>
          <w:szCs w:val="24"/>
        </w:rPr>
        <w:t>continues to</w:t>
      </w:r>
      <w:r w:rsidRPr="00440375">
        <w:rPr>
          <w:rFonts w:ascii="Times New Roman" w:eastAsia="Calibri" w:hAnsi="Times New Roman" w:cs="Times New Roman"/>
          <w:sz w:val="24"/>
          <w:szCs w:val="24"/>
        </w:rPr>
        <w:t xml:space="preserve"> </w:t>
      </w:r>
      <w:r w:rsidRPr="00440375">
        <w:rPr>
          <w:rFonts w:ascii="Times New Roman" w:hAnsi="Times New Roman" w:cs="Times New Roman"/>
          <w:sz w:val="24"/>
          <w:szCs w:val="24"/>
        </w:rPr>
        <w:t>focus on the employment of utility best practices related to DSM program implementation and oversight</w:t>
      </w:r>
      <w:r w:rsidRPr="00440375">
        <w:rPr>
          <w:rFonts w:ascii="Times New Roman" w:eastAsia="Calibri" w:hAnsi="Times New Roman" w:cs="Times New Roman"/>
          <w:sz w:val="24"/>
          <w:szCs w:val="24"/>
        </w:rPr>
        <w:t>.</w:t>
      </w:r>
    </w:p>
    <w:p w:rsidR="009B284F" w:rsidRPr="00440375" w:rsidRDefault="009B284F" w:rsidP="009B284F">
      <w:pPr>
        <w:pStyle w:val="ListParagraph"/>
        <w:spacing w:after="0" w:line="360" w:lineRule="auto"/>
        <w:ind w:left="0"/>
        <w:jc w:val="both"/>
        <w:rPr>
          <w:rFonts w:ascii="Times New Roman" w:hAnsi="Times New Roman" w:cs="Times New Roman"/>
          <w:bCs/>
          <w:sz w:val="24"/>
          <w:szCs w:val="24"/>
        </w:rPr>
      </w:pPr>
    </w:p>
    <w:p w:rsidR="006C72BF" w:rsidRPr="009B284F" w:rsidRDefault="00CD4DD8" w:rsidP="009B284F">
      <w:pPr>
        <w:pStyle w:val="ListParagraph"/>
        <w:numPr>
          <w:ilvl w:val="0"/>
          <w:numId w:val="22"/>
        </w:numPr>
        <w:spacing w:after="0" w:line="360" w:lineRule="auto"/>
        <w:jc w:val="both"/>
        <w:rPr>
          <w:rFonts w:ascii="Times New Roman" w:hAnsi="Times New Roman" w:cs="Times New Roman"/>
          <w:bCs/>
          <w:sz w:val="24"/>
          <w:szCs w:val="24"/>
        </w:rPr>
      </w:pPr>
      <w:r w:rsidRPr="009B284F">
        <w:rPr>
          <w:rFonts w:ascii="Times New Roman" w:hAnsi="Times New Roman" w:cs="Times New Roman"/>
          <w:bCs/>
          <w:sz w:val="24"/>
          <w:szCs w:val="24"/>
        </w:rPr>
        <w:t>Avista’s attempts to improve its systems for monitoring DSM spending levels and conservation acqu</w:t>
      </w:r>
      <w:r w:rsidR="006C72BF" w:rsidRPr="009B284F">
        <w:rPr>
          <w:rFonts w:ascii="Times New Roman" w:hAnsi="Times New Roman" w:cs="Times New Roman"/>
          <w:bCs/>
          <w:sz w:val="24"/>
          <w:szCs w:val="24"/>
        </w:rPr>
        <w:t>isition since January 2016, and</w:t>
      </w:r>
    </w:p>
    <w:p w:rsidR="0042618B" w:rsidRDefault="0042618B" w:rsidP="002D3DAE">
      <w:pPr>
        <w:spacing w:after="0" w:line="360" w:lineRule="auto"/>
        <w:jc w:val="both"/>
        <w:rPr>
          <w:rFonts w:ascii="Times New Roman" w:hAnsi="Times New Roman" w:cs="Times New Roman"/>
          <w:bCs/>
          <w:sz w:val="24"/>
          <w:szCs w:val="24"/>
        </w:rPr>
      </w:pPr>
    </w:p>
    <w:p w:rsidR="006C72BF" w:rsidRPr="002D3DAE" w:rsidRDefault="002D3DAE" w:rsidP="002D3DAE">
      <w:pPr>
        <w:spacing w:after="0" w:line="360" w:lineRule="auto"/>
        <w:jc w:val="both"/>
        <w:rPr>
          <w:rFonts w:ascii="Times New Roman" w:hAnsi="Times New Roman" w:cs="Times New Roman"/>
          <w:bCs/>
          <w:sz w:val="24"/>
          <w:szCs w:val="24"/>
        </w:rPr>
      </w:pPr>
      <w:r w:rsidRPr="002D3DAE">
        <w:rPr>
          <w:rFonts w:ascii="Times New Roman" w:hAnsi="Times New Roman" w:cs="Times New Roman"/>
          <w:bCs/>
          <w:sz w:val="24"/>
          <w:szCs w:val="24"/>
        </w:rPr>
        <w:t>Avista is finalizing contract negotiations</w:t>
      </w:r>
      <w:r>
        <w:rPr>
          <w:rFonts w:ascii="Times New Roman" w:hAnsi="Times New Roman" w:cs="Times New Roman"/>
          <w:bCs/>
          <w:sz w:val="24"/>
          <w:szCs w:val="24"/>
        </w:rPr>
        <w:t xml:space="preserve"> with Nexant to purchase and integrate their iEnergy DSM Central enterprise software as the single system of record.</w:t>
      </w:r>
      <w:r w:rsidR="0042618B">
        <w:rPr>
          <w:rFonts w:ascii="Times New Roman" w:hAnsi="Times New Roman" w:cs="Times New Roman"/>
          <w:bCs/>
          <w:sz w:val="24"/>
          <w:szCs w:val="24"/>
        </w:rPr>
        <w:t xml:space="preserve"> The C</w:t>
      </w:r>
      <w:r w:rsidR="00AD6513">
        <w:rPr>
          <w:rFonts w:ascii="Times New Roman" w:hAnsi="Times New Roman" w:cs="Times New Roman"/>
          <w:bCs/>
          <w:sz w:val="24"/>
          <w:szCs w:val="24"/>
        </w:rPr>
        <w:t xml:space="preserve">ompany believes that a single system of record will improve </w:t>
      </w:r>
      <w:r w:rsidR="0042618B">
        <w:rPr>
          <w:rFonts w:ascii="Times New Roman" w:hAnsi="Times New Roman" w:cs="Times New Roman"/>
          <w:bCs/>
          <w:sz w:val="24"/>
          <w:szCs w:val="24"/>
        </w:rPr>
        <w:t>its</w:t>
      </w:r>
      <w:r w:rsidR="00AD6513">
        <w:rPr>
          <w:rFonts w:ascii="Times New Roman" w:hAnsi="Times New Roman" w:cs="Times New Roman"/>
          <w:bCs/>
          <w:sz w:val="24"/>
          <w:szCs w:val="24"/>
        </w:rPr>
        <w:t xml:space="preserve"> reporting ability</w:t>
      </w:r>
      <w:r w:rsidR="0042618B">
        <w:rPr>
          <w:rFonts w:ascii="Times New Roman" w:hAnsi="Times New Roman" w:cs="Times New Roman"/>
          <w:bCs/>
          <w:sz w:val="24"/>
          <w:szCs w:val="24"/>
        </w:rPr>
        <w:t>,</w:t>
      </w:r>
      <w:r w:rsidR="00AD6513">
        <w:rPr>
          <w:rFonts w:ascii="Times New Roman" w:hAnsi="Times New Roman" w:cs="Times New Roman"/>
          <w:bCs/>
          <w:sz w:val="24"/>
          <w:szCs w:val="24"/>
        </w:rPr>
        <w:t xml:space="preserve"> as well as</w:t>
      </w:r>
      <w:r w:rsidR="0042618B">
        <w:rPr>
          <w:rFonts w:ascii="Times New Roman" w:hAnsi="Times New Roman" w:cs="Times New Roman"/>
          <w:bCs/>
          <w:sz w:val="24"/>
          <w:szCs w:val="24"/>
        </w:rPr>
        <w:t>, increase</w:t>
      </w:r>
      <w:r w:rsidR="00AD6513">
        <w:rPr>
          <w:rFonts w:ascii="Times New Roman" w:hAnsi="Times New Roman" w:cs="Times New Roman"/>
          <w:bCs/>
          <w:sz w:val="24"/>
          <w:szCs w:val="24"/>
        </w:rPr>
        <w:t xml:space="preserve"> transparency by providing externals remote access.</w:t>
      </w:r>
      <w:r w:rsidR="0042618B">
        <w:rPr>
          <w:rFonts w:ascii="Times New Roman" w:hAnsi="Times New Roman" w:cs="Times New Roman"/>
          <w:bCs/>
          <w:sz w:val="24"/>
          <w:szCs w:val="24"/>
        </w:rPr>
        <w:t xml:space="preserve"> The C</w:t>
      </w:r>
      <w:r w:rsidR="0071638E">
        <w:rPr>
          <w:rFonts w:ascii="Times New Roman" w:hAnsi="Times New Roman" w:cs="Times New Roman"/>
          <w:bCs/>
          <w:sz w:val="24"/>
          <w:szCs w:val="24"/>
        </w:rPr>
        <w:t>ompany has been utilizing past business mapping exercises</w:t>
      </w:r>
      <w:r w:rsidR="0042618B">
        <w:rPr>
          <w:rFonts w:ascii="Times New Roman" w:hAnsi="Times New Roman" w:cs="Times New Roman"/>
          <w:bCs/>
          <w:sz w:val="24"/>
          <w:szCs w:val="24"/>
        </w:rPr>
        <w:t>,</w:t>
      </w:r>
      <w:r w:rsidR="0071638E">
        <w:rPr>
          <w:rFonts w:ascii="Times New Roman" w:hAnsi="Times New Roman" w:cs="Times New Roman"/>
          <w:bCs/>
          <w:sz w:val="24"/>
          <w:szCs w:val="24"/>
        </w:rPr>
        <w:t xml:space="preserve"> as well as coordinating with other regional utilities on potential program templates which </w:t>
      </w:r>
      <w:r w:rsidR="0042618B">
        <w:rPr>
          <w:rFonts w:ascii="Times New Roman" w:hAnsi="Times New Roman" w:cs="Times New Roman"/>
          <w:bCs/>
          <w:sz w:val="24"/>
          <w:szCs w:val="24"/>
        </w:rPr>
        <w:t>may</w:t>
      </w:r>
      <w:r w:rsidR="0071638E">
        <w:rPr>
          <w:rFonts w:ascii="Times New Roman" w:hAnsi="Times New Roman" w:cs="Times New Roman"/>
          <w:bCs/>
          <w:sz w:val="24"/>
          <w:szCs w:val="24"/>
        </w:rPr>
        <w:t xml:space="preserve"> help speed the</w:t>
      </w:r>
      <w:r w:rsidR="007B0810">
        <w:rPr>
          <w:rFonts w:ascii="Times New Roman" w:hAnsi="Times New Roman" w:cs="Times New Roman"/>
          <w:bCs/>
          <w:sz w:val="24"/>
          <w:szCs w:val="24"/>
        </w:rPr>
        <w:t xml:space="preserve"> software</w:t>
      </w:r>
      <w:r w:rsidR="0071638E">
        <w:rPr>
          <w:rFonts w:ascii="Times New Roman" w:hAnsi="Times New Roman" w:cs="Times New Roman"/>
          <w:bCs/>
          <w:sz w:val="24"/>
          <w:szCs w:val="24"/>
        </w:rPr>
        <w:t xml:space="preserve"> integration.</w:t>
      </w:r>
    </w:p>
    <w:p w:rsidR="00CD4DD8" w:rsidRPr="006C72BF" w:rsidRDefault="00CD4DD8" w:rsidP="006C72BF">
      <w:pPr>
        <w:pStyle w:val="ListParagraph"/>
        <w:numPr>
          <w:ilvl w:val="0"/>
          <w:numId w:val="22"/>
        </w:numPr>
        <w:spacing w:after="0" w:line="360" w:lineRule="auto"/>
        <w:jc w:val="both"/>
        <w:rPr>
          <w:rFonts w:ascii="Times New Roman" w:hAnsi="Times New Roman" w:cs="Times New Roman"/>
          <w:bCs/>
          <w:sz w:val="24"/>
          <w:szCs w:val="24"/>
        </w:rPr>
      </w:pPr>
      <w:r w:rsidRPr="006C72BF">
        <w:rPr>
          <w:rFonts w:ascii="Times New Roman" w:hAnsi="Times New Roman" w:cs="Times New Roman"/>
          <w:bCs/>
          <w:sz w:val="24"/>
          <w:szCs w:val="24"/>
        </w:rPr>
        <w:lastRenderedPageBreak/>
        <w:t>an update on the membership, attendance, and activities of the Company’s Advisory Group since January 2016.</w:t>
      </w:r>
    </w:p>
    <w:p w:rsidR="009B284F" w:rsidRDefault="009B284F" w:rsidP="00440375">
      <w:pPr>
        <w:pStyle w:val="ListParagraph"/>
        <w:spacing w:after="0" w:line="360" w:lineRule="auto"/>
        <w:contextualSpacing w:val="0"/>
        <w:jc w:val="both"/>
        <w:rPr>
          <w:rFonts w:ascii="Times New Roman" w:hAnsi="Times New Roman" w:cs="Times New Roman"/>
          <w:sz w:val="24"/>
          <w:szCs w:val="24"/>
        </w:rPr>
      </w:pPr>
    </w:p>
    <w:p w:rsidR="0042618B" w:rsidRDefault="0042618B" w:rsidP="009B284F">
      <w:pPr>
        <w:pStyle w:val="ListParagraph"/>
        <w:spacing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Avista</w:t>
      </w:r>
      <w:r w:rsidR="006C72BF" w:rsidRPr="006C72BF">
        <w:rPr>
          <w:rFonts w:ascii="Times New Roman" w:hAnsi="Times New Roman" w:cs="Times New Roman"/>
          <w:sz w:val="24"/>
          <w:szCs w:val="24"/>
        </w:rPr>
        <w:t xml:space="preserve"> has had continuous energy efficiency stakeholder involvement since 1992.</w:t>
      </w:r>
      <w:r w:rsidR="006C72BF" w:rsidRPr="006C72BF">
        <w:rPr>
          <w:rFonts w:ascii="Times New Roman" w:hAnsi="Times New Roman" w:cs="Times New Roman"/>
          <w:sz w:val="24"/>
          <w:szCs w:val="24"/>
          <w:shd w:val="clear" w:color="000000" w:fill="FFFFFF"/>
        </w:rPr>
        <w:t xml:space="preserve"> </w:t>
      </w:r>
      <w:r w:rsidR="006C72BF" w:rsidRPr="006C72BF">
        <w:rPr>
          <w:rFonts w:ascii="Times New Roman" w:hAnsi="Times New Roman" w:cs="Times New Roman"/>
          <w:sz w:val="24"/>
          <w:szCs w:val="24"/>
        </w:rPr>
        <w:t>The Company’s program offerings, planning, evaluation findings, underlying cost-effectiveness tests and results are reviewed during stakeholder meetings. Currently, the Company holds in-person meetings at least twice per year</w:t>
      </w:r>
      <w:r w:rsidR="006C72BF" w:rsidRPr="006C72BF">
        <w:rPr>
          <w:rStyle w:val="FootnoteReference"/>
          <w:rFonts w:ascii="Times New Roman" w:hAnsi="Times New Roman" w:cs="Times New Roman"/>
          <w:sz w:val="24"/>
          <w:szCs w:val="24"/>
        </w:rPr>
        <w:footnoteReference w:id="4"/>
      </w:r>
      <w:r w:rsidR="006C72BF" w:rsidRPr="006C72BF">
        <w:rPr>
          <w:rFonts w:ascii="Times New Roman" w:hAnsi="Times New Roman" w:cs="Times New Roman"/>
          <w:sz w:val="24"/>
          <w:szCs w:val="24"/>
        </w:rPr>
        <w:t xml:space="preserve">, hosts several webinars annually, provides a detailed analysis of the results of DSM operations on a monthly and annual basis, identifies large projects and provides a quarterly newsletter summarizing recent DSM activities.    Since </w:t>
      </w:r>
      <w:r w:rsidR="006C72BF">
        <w:rPr>
          <w:rFonts w:ascii="Times New Roman" w:hAnsi="Times New Roman" w:cs="Times New Roman"/>
          <w:sz w:val="24"/>
          <w:szCs w:val="24"/>
        </w:rPr>
        <w:t>January 2016</w:t>
      </w:r>
      <w:r w:rsidR="006C72BF" w:rsidRPr="006C72BF">
        <w:rPr>
          <w:rFonts w:ascii="Times New Roman" w:hAnsi="Times New Roman" w:cs="Times New Roman"/>
          <w:sz w:val="24"/>
          <w:szCs w:val="24"/>
        </w:rPr>
        <w:t xml:space="preserve">, </w:t>
      </w:r>
      <w:r w:rsidR="006C72BF" w:rsidRPr="006C72BF">
        <w:rPr>
          <w:rFonts w:ascii="Times New Roman" w:eastAsia="Calibri" w:hAnsi="Times New Roman" w:cs="Times New Roman"/>
          <w:sz w:val="24"/>
          <w:szCs w:val="24"/>
        </w:rPr>
        <w:t xml:space="preserve">Avista has </w:t>
      </w:r>
      <w:r>
        <w:rPr>
          <w:rFonts w:ascii="Times New Roman" w:eastAsia="Calibri" w:hAnsi="Times New Roman" w:cs="Times New Roman"/>
          <w:sz w:val="24"/>
          <w:szCs w:val="24"/>
        </w:rPr>
        <w:t>held</w:t>
      </w:r>
      <w:r w:rsidR="006C72BF">
        <w:rPr>
          <w:rFonts w:ascii="Times New Roman" w:eastAsia="Calibri" w:hAnsi="Times New Roman" w:cs="Times New Roman"/>
          <w:sz w:val="24"/>
          <w:szCs w:val="24"/>
        </w:rPr>
        <w:t xml:space="preserve"> </w:t>
      </w:r>
      <w:r w:rsidR="00467A32">
        <w:rPr>
          <w:rFonts w:ascii="Times New Roman" w:eastAsia="Calibri" w:hAnsi="Times New Roman" w:cs="Times New Roman"/>
          <w:sz w:val="24"/>
          <w:szCs w:val="24"/>
        </w:rPr>
        <w:t>2</w:t>
      </w:r>
      <w:r w:rsidR="006C72BF">
        <w:rPr>
          <w:rFonts w:ascii="Times New Roman" w:eastAsia="Calibri" w:hAnsi="Times New Roman" w:cs="Times New Roman"/>
          <w:sz w:val="24"/>
          <w:szCs w:val="24"/>
        </w:rPr>
        <w:t xml:space="preserve"> meetings</w:t>
      </w:r>
      <w:r w:rsidR="006C72BF" w:rsidRPr="006C72BF">
        <w:rPr>
          <w:rFonts w:ascii="Times New Roman" w:eastAsia="Calibri" w:hAnsi="Times New Roman" w:cs="Times New Roman"/>
          <w:sz w:val="24"/>
          <w:szCs w:val="24"/>
        </w:rPr>
        <w:t xml:space="preserve"> with the Advisory Group, by way of conference calls, emails and webinars as well as </w:t>
      </w:r>
      <w:r w:rsidR="00E173A5">
        <w:rPr>
          <w:rFonts w:ascii="Times New Roman" w:eastAsia="Calibri" w:hAnsi="Times New Roman" w:cs="Times New Roman"/>
          <w:sz w:val="24"/>
          <w:szCs w:val="24"/>
        </w:rPr>
        <w:t>in-</w:t>
      </w:r>
      <w:r w:rsidR="00467A32">
        <w:rPr>
          <w:rFonts w:ascii="Times New Roman" w:eastAsia="Calibri" w:hAnsi="Times New Roman" w:cs="Times New Roman"/>
          <w:sz w:val="24"/>
          <w:szCs w:val="24"/>
        </w:rPr>
        <w:t xml:space="preserve">person </w:t>
      </w:r>
      <w:r w:rsidR="006C72BF" w:rsidRPr="006C72BF">
        <w:rPr>
          <w:rFonts w:ascii="Times New Roman" w:eastAsia="Calibri" w:hAnsi="Times New Roman" w:cs="Times New Roman"/>
          <w:sz w:val="24"/>
          <w:szCs w:val="24"/>
        </w:rPr>
        <w:t>meetings held</w:t>
      </w:r>
      <w:r w:rsidR="00467A32">
        <w:rPr>
          <w:rFonts w:ascii="Times New Roman" w:eastAsia="Calibri" w:hAnsi="Times New Roman" w:cs="Times New Roman"/>
          <w:sz w:val="24"/>
          <w:szCs w:val="24"/>
        </w:rPr>
        <w:t xml:space="preserve">. </w:t>
      </w:r>
      <w:r w:rsidR="00A90A28">
        <w:rPr>
          <w:rFonts w:ascii="Times New Roman" w:eastAsia="Calibri" w:hAnsi="Times New Roman" w:cs="Times New Roman"/>
          <w:sz w:val="24"/>
          <w:szCs w:val="24"/>
        </w:rPr>
        <w:t xml:space="preserve">The spring meeting, which was on the heels of the Spring NEEA Energy Exchange Conference in Coeur d’Alene, ID, was one of the most attended meetings in several years, with 12 external members in-person and 2 additional externals calling in. </w:t>
      </w:r>
      <w:r w:rsidRPr="00440375">
        <w:rPr>
          <w:rFonts w:ascii="Times New Roman" w:eastAsia="Calibri" w:hAnsi="Times New Roman" w:cs="Times New Roman"/>
          <w:sz w:val="24"/>
          <w:szCs w:val="24"/>
        </w:rPr>
        <w:t>In addition, the Company had numerous phone discussions with core members</w:t>
      </w:r>
      <w:r w:rsidRPr="00440375">
        <w:rPr>
          <w:rStyle w:val="FootnoteReference"/>
          <w:rFonts w:ascii="Times New Roman" w:eastAsia="Calibri" w:hAnsi="Times New Roman" w:cs="Times New Roman"/>
          <w:sz w:val="24"/>
          <w:szCs w:val="24"/>
        </w:rPr>
        <w:footnoteReference w:id="5"/>
      </w:r>
      <w:r w:rsidRPr="00440375">
        <w:rPr>
          <w:rFonts w:ascii="Times New Roman" w:eastAsia="Calibri" w:hAnsi="Times New Roman" w:cs="Times New Roman"/>
          <w:sz w:val="24"/>
          <w:szCs w:val="24"/>
        </w:rPr>
        <w:t xml:space="preserve"> of the Advisory Group on topics related to the Biennial Conservation </w:t>
      </w:r>
      <w:r>
        <w:rPr>
          <w:rFonts w:ascii="Times New Roman" w:eastAsia="Calibri" w:hAnsi="Times New Roman" w:cs="Times New Roman"/>
          <w:sz w:val="24"/>
          <w:szCs w:val="24"/>
        </w:rPr>
        <w:t>Report, current and future evaluations</w:t>
      </w:r>
      <w:r w:rsidRPr="00440375">
        <w:rPr>
          <w:rFonts w:ascii="Times New Roman" w:eastAsia="Calibri" w:hAnsi="Times New Roman" w:cs="Times New Roman"/>
          <w:sz w:val="24"/>
          <w:szCs w:val="24"/>
        </w:rPr>
        <w:t xml:space="preserve">.  </w:t>
      </w:r>
      <w:r w:rsidRPr="00440375">
        <w:rPr>
          <w:rFonts w:ascii="Times New Roman" w:hAnsi="Times New Roman" w:cs="Times New Roman"/>
          <w:sz w:val="24"/>
          <w:szCs w:val="24"/>
        </w:rPr>
        <w:t>Avista's</w:t>
      </w:r>
      <w:r w:rsidRPr="00440375">
        <w:rPr>
          <w:rFonts w:ascii="Times New Roman" w:hAnsi="Times New Roman" w:cs="Times New Roman"/>
        </w:rPr>
        <w:t xml:space="preserve"> DSM Advisory Group </w:t>
      </w:r>
      <w:r w:rsidRPr="009B284F">
        <w:rPr>
          <w:rFonts w:ascii="Times New Roman" w:hAnsi="Times New Roman" w:cs="Times New Roman"/>
          <w:sz w:val="24"/>
          <w:szCs w:val="24"/>
        </w:rPr>
        <w:t>consists of interested regulatory, consumer and energy industry parties</w:t>
      </w:r>
      <w:r w:rsidRPr="009B284F">
        <w:rPr>
          <w:rStyle w:val="FootnoteReference"/>
          <w:rFonts w:ascii="Times New Roman" w:hAnsi="Times New Roman" w:cs="Times New Roman"/>
          <w:sz w:val="24"/>
          <w:szCs w:val="24"/>
        </w:rPr>
        <w:footnoteReference w:id="6"/>
      </w:r>
      <w:r w:rsidRPr="009B284F">
        <w:rPr>
          <w:rFonts w:ascii="Times New Roman" w:hAnsi="Times New Roman" w:cs="Times New Roman"/>
          <w:sz w:val="24"/>
          <w:szCs w:val="24"/>
        </w:rPr>
        <w:t xml:space="preserve">. </w:t>
      </w:r>
    </w:p>
    <w:p w:rsidR="0042618B" w:rsidRDefault="0042618B" w:rsidP="00A90A28">
      <w:pPr>
        <w:pStyle w:val="ListParagraph"/>
        <w:spacing w:after="0" w:line="240" w:lineRule="auto"/>
        <w:ind w:left="0"/>
        <w:contextualSpacing w:val="0"/>
        <w:jc w:val="both"/>
        <w:rPr>
          <w:rFonts w:ascii="Times New Roman" w:hAnsi="Times New Roman" w:cs="Times New Roman"/>
          <w:sz w:val="24"/>
          <w:szCs w:val="24"/>
        </w:rPr>
      </w:pPr>
    </w:p>
    <w:p w:rsidR="00440375" w:rsidRDefault="006C72BF" w:rsidP="009B284F">
      <w:pPr>
        <w:pStyle w:val="ListParagraph"/>
        <w:spacing w:after="0" w:line="360" w:lineRule="auto"/>
        <w:ind w:left="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Attached as Appendix (</w:t>
      </w:r>
      <w:r w:rsidR="00467A32">
        <w:rPr>
          <w:rFonts w:ascii="Times New Roman" w:eastAsia="Calibri" w:hAnsi="Times New Roman" w:cs="Times New Roman"/>
          <w:sz w:val="24"/>
          <w:szCs w:val="24"/>
        </w:rPr>
        <w:t>E</w:t>
      </w:r>
      <w:r>
        <w:rPr>
          <w:rFonts w:ascii="Times New Roman" w:eastAsia="Calibri" w:hAnsi="Times New Roman" w:cs="Times New Roman"/>
          <w:sz w:val="24"/>
          <w:szCs w:val="24"/>
        </w:rPr>
        <w:t>)</w:t>
      </w:r>
      <w:r w:rsidRPr="006C72BF">
        <w:rPr>
          <w:rFonts w:ascii="Times New Roman" w:eastAsia="Calibri" w:hAnsi="Times New Roman" w:cs="Times New Roman"/>
          <w:sz w:val="24"/>
          <w:szCs w:val="24"/>
        </w:rPr>
        <w:t xml:space="preserve"> is a copy of </w:t>
      </w:r>
      <w:r>
        <w:rPr>
          <w:rFonts w:ascii="Times New Roman" w:eastAsia="Calibri" w:hAnsi="Times New Roman" w:cs="Times New Roman"/>
          <w:sz w:val="24"/>
          <w:szCs w:val="24"/>
        </w:rPr>
        <w:t>the agenda and slide presentation given at</w:t>
      </w:r>
      <w:r w:rsidRPr="006C72BF">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Advisory G</w:t>
      </w:r>
      <w:r w:rsidRPr="006C72BF">
        <w:rPr>
          <w:rFonts w:ascii="Times New Roman" w:eastAsia="Calibri" w:hAnsi="Times New Roman" w:cs="Times New Roman"/>
          <w:sz w:val="24"/>
          <w:szCs w:val="24"/>
        </w:rPr>
        <w:t xml:space="preserve">roup </w:t>
      </w:r>
      <w:r>
        <w:rPr>
          <w:rFonts w:ascii="Times New Roman" w:eastAsia="Calibri" w:hAnsi="Times New Roman" w:cs="Times New Roman"/>
          <w:sz w:val="24"/>
          <w:szCs w:val="24"/>
        </w:rPr>
        <w:t xml:space="preserve">meeting in April, 2016. This presentation includes slides </w:t>
      </w:r>
      <w:r w:rsidRPr="006C72BF">
        <w:rPr>
          <w:rFonts w:ascii="Times New Roman" w:eastAsia="Calibri" w:hAnsi="Times New Roman" w:cs="Times New Roman"/>
          <w:sz w:val="24"/>
          <w:szCs w:val="24"/>
        </w:rPr>
        <w:t>related to DSM advisory roles and responsibilities.</w:t>
      </w:r>
      <w:r w:rsidR="00440375">
        <w:rPr>
          <w:rFonts w:ascii="Times New Roman" w:eastAsia="Calibri" w:hAnsi="Times New Roman" w:cs="Times New Roman"/>
          <w:sz w:val="24"/>
          <w:szCs w:val="24"/>
        </w:rPr>
        <w:t xml:space="preserve"> </w:t>
      </w:r>
    </w:p>
    <w:p w:rsidR="00440375" w:rsidRDefault="00440375" w:rsidP="00A90A28">
      <w:pPr>
        <w:pStyle w:val="ListParagraph"/>
        <w:spacing w:after="0" w:line="240" w:lineRule="auto"/>
        <w:ind w:left="0"/>
        <w:contextualSpacing w:val="0"/>
        <w:jc w:val="both"/>
        <w:rPr>
          <w:rFonts w:ascii="Times New Roman" w:eastAsia="Calibri" w:hAnsi="Times New Roman" w:cs="Times New Roman"/>
          <w:sz w:val="24"/>
          <w:szCs w:val="24"/>
        </w:rPr>
      </w:pPr>
    </w:p>
    <w:p w:rsidR="006C72BF" w:rsidRDefault="00440375" w:rsidP="009B284F">
      <w:pPr>
        <w:pStyle w:val="ListParagraph"/>
        <w:spacing w:after="0" w:line="360" w:lineRule="auto"/>
        <w:ind w:left="0"/>
        <w:contextualSpacing w:val="0"/>
        <w:jc w:val="both"/>
        <w:rPr>
          <w:rStyle w:val="LineNumber"/>
          <w:rFonts w:cs="Times New Roman"/>
          <w:sz w:val="24"/>
          <w:szCs w:val="24"/>
        </w:rPr>
      </w:pPr>
      <w:r w:rsidRPr="009B284F">
        <w:rPr>
          <w:rStyle w:val="LineNumber"/>
          <w:rFonts w:cs="Times New Roman"/>
          <w:sz w:val="24"/>
          <w:szCs w:val="24"/>
        </w:rPr>
        <w:t>The Company appreciates the</w:t>
      </w:r>
      <w:r w:rsidRPr="006C72BF">
        <w:rPr>
          <w:rStyle w:val="LineNumber"/>
          <w:rFonts w:cs="Times New Roman"/>
          <w:sz w:val="24"/>
          <w:szCs w:val="24"/>
        </w:rPr>
        <w:t xml:space="preserve"> long-standing collaborative working relationship with the Commission, its Staff and other stakeholders.</w:t>
      </w:r>
    </w:p>
    <w:p w:rsidR="009B284F" w:rsidRDefault="009B284F" w:rsidP="00440375">
      <w:pPr>
        <w:pStyle w:val="ListParagraph"/>
        <w:spacing w:after="0" w:line="360" w:lineRule="auto"/>
        <w:contextualSpacing w:val="0"/>
        <w:jc w:val="both"/>
        <w:rPr>
          <w:rStyle w:val="LineNumber"/>
          <w:rFonts w:cs="Times New Roman"/>
          <w:sz w:val="24"/>
          <w:szCs w:val="24"/>
        </w:rPr>
      </w:pPr>
    </w:p>
    <w:p w:rsidR="00A90A28" w:rsidRDefault="00A90A28" w:rsidP="00440375">
      <w:pPr>
        <w:pStyle w:val="ListParagraph"/>
        <w:spacing w:after="0" w:line="360" w:lineRule="auto"/>
        <w:contextualSpacing w:val="0"/>
        <w:jc w:val="both"/>
        <w:rPr>
          <w:rStyle w:val="LineNumber"/>
          <w:rFonts w:cs="Times New Roman"/>
          <w:sz w:val="24"/>
          <w:szCs w:val="24"/>
        </w:rPr>
      </w:pPr>
    </w:p>
    <w:p w:rsidR="00A90A28" w:rsidRDefault="00A90A28" w:rsidP="00440375">
      <w:pPr>
        <w:pStyle w:val="ListParagraph"/>
        <w:spacing w:after="0" w:line="360" w:lineRule="auto"/>
        <w:contextualSpacing w:val="0"/>
        <w:jc w:val="both"/>
        <w:rPr>
          <w:rStyle w:val="LineNumber"/>
          <w:rFonts w:cs="Times New Roman"/>
          <w:sz w:val="24"/>
          <w:szCs w:val="24"/>
        </w:rPr>
      </w:pPr>
    </w:p>
    <w:p w:rsidR="009B284F" w:rsidRDefault="009B284F" w:rsidP="009B284F">
      <w:pPr>
        <w:pStyle w:val="ListParagraph"/>
        <w:numPr>
          <w:ilvl w:val="0"/>
          <w:numId w:val="2"/>
        </w:numPr>
        <w:spacing w:after="0" w:line="360" w:lineRule="auto"/>
        <w:ind w:left="0" w:firstLine="0"/>
        <w:contextualSpacing w:val="0"/>
        <w:jc w:val="center"/>
        <w:rPr>
          <w:rFonts w:ascii="Times New Roman" w:hAnsi="Times New Roman" w:cs="Times New Roman"/>
          <w:b/>
          <w:sz w:val="24"/>
          <w:szCs w:val="24"/>
        </w:rPr>
      </w:pPr>
      <w:r w:rsidRPr="009B284F">
        <w:rPr>
          <w:rFonts w:ascii="Times New Roman" w:hAnsi="Times New Roman" w:cs="Times New Roman"/>
          <w:b/>
          <w:sz w:val="24"/>
          <w:szCs w:val="24"/>
        </w:rPr>
        <w:lastRenderedPageBreak/>
        <w:t>CONCLUSION</w:t>
      </w:r>
    </w:p>
    <w:p w:rsidR="00D87D2E" w:rsidRDefault="008B2FB0" w:rsidP="00D87D2E">
      <w:pPr>
        <w:pStyle w:val="ListParagraph"/>
        <w:spacing w:after="0" w:line="360" w:lineRule="auto"/>
        <w:ind w:left="0"/>
        <w:jc w:val="both"/>
        <w:rPr>
          <w:rFonts w:ascii="Times New Roman" w:hAnsi="Times New Roman" w:cs="Times New Roman"/>
          <w:bCs/>
          <w:sz w:val="24"/>
          <w:szCs w:val="24"/>
        </w:rPr>
      </w:pPr>
      <w:r w:rsidRPr="008B2FB0">
        <w:rPr>
          <w:rFonts w:ascii="Times New Roman" w:hAnsi="Times New Roman" w:cs="Times New Roman"/>
          <w:sz w:val="24"/>
          <w:szCs w:val="24"/>
        </w:rPr>
        <w:t>The</w:t>
      </w:r>
      <w:r>
        <w:rPr>
          <w:rFonts w:ascii="Times New Roman" w:hAnsi="Times New Roman" w:cs="Times New Roman"/>
          <w:sz w:val="24"/>
          <w:szCs w:val="24"/>
        </w:rPr>
        <w:t xml:space="preserve"> Company is pleased that it has surpassed its 2014-2015 Biennial Conservation Target</w:t>
      </w:r>
      <w:r w:rsidR="00A20E58">
        <w:rPr>
          <w:rFonts w:ascii="Times New Roman" w:hAnsi="Times New Roman" w:cs="Times New Roman"/>
          <w:sz w:val="24"/>
          <w:szCs w:val="24"/>
        </w:rPr>
        <w:t xml:space="preserve"> </w:t>
      </w:r>
      <w:r w:rsidRPr="00D87D2E">
        <w:rPr>
          <w:rFonts w:ascii="Times New Roman" w:hAnsi="Times New Roman" w:cs="Times New Roman"/>
          <w:sz w:val="24"/>
          <w:szCs w:val="24"/>
        </w:rPr>
        <w:t xml:space="preserve">by </w:t>
      </w:r>
      <w:r>
        <w:rPr>
          <w:rFonts w:ascii="Times New Roman" w:hAnsi="Times New Roman" w:cs="Times New Roman"/>
          <w:sz w:val="24"/>
          <w:szCs w:val="24"/>
        </w:rPr>
        <w:t>104</w:t>
      </w:r>
      <w:r w:rsidRPr="00D87D2E">
        <w:rPr>
          <w:rFonts w:ascii="Times New Roman" w:hAnsi="Times New Roman" w:cs="Times New Roman"/>
          <w:sz w:val="24"/>
          <w:szCs w:val="24"/>
        </w:rPr>
        <w:t xml:space="preserve">%, achieving </w:t>
      </w:r>
      <w:r>
        <w:rPr>
          <w:rFonts w:ascii="Times New Roman" w:hAnsi="Times New Roman" w:cs="Times New Roman"/>
          <w:sz w:val="24"/>
          <w:szCs w:val="24"/>
        </w:rPr>
        <w:t>70,959</w:t>
      </w:r>
      <w:r w:rsidRPr="00D87D2E">
        <w:rPr>
          <w:rFonts w:ascii="Times New Roman" w:hAnsi="Times New Roman" w:cs="Times New Roman"/>
          <w:sz w:val="24"/>
          <w:szCs w:val="24"/>
        </w:rPr>
        <w:t xml:space="preserve"> MWh from demand-side energy efficiency</w:t>
      </w:r>
      <w:r>
        <w:rPr>
          <w:rFonts w:ascii="Times New Roman" w:hAnsi="Times New Roman" w:cs="Times New Roman"/>
          <w:sz w:val="24"/>
          <w:szCs w:val="24"/>
        </w:rPr>
        <w:t>.</w:t>
      </w:r>
      <w:r w:rsidRPr="00D87D2E">
        <w:rPr>
          <w:rFonts w:ascii="Times New Roman" w:hAnsi="Times New Roman" w:cs="Times New Roman"/>
          <w:sz w:val="24"/>
          <w:szCs w:val="24"/>
        </w:rPr>
        <w:t xml:space="preserve">  Under the Total Resource Cost (TRC) cost-effectiveness test, the electric efficiency benefits exceeded the costs by a ratio of </w:t>
      </w:r>
      <w:r>
        <w:rPr>
          <w:rFonts w:ascii="Times New Roman" w:hAnsi="Times New Roman" w:cs="Times New Roman"/>
          <w:sz w:val="24"/>
          <w:szCs w:val="24"/>
        </w:rPr>
        <w:t>1.48</w:t>
      </w:r>
      <w:r w:rsidRPr="00D87D2E">
        <w:rPr>
          <w:rFonts w:ascii="Times New Roman" w:hAnsi="Times New Roman" w:cs="Times New Roman"/>
          <w:sz w:val="24"/>
          <w:szCs w:val="24"/>
        </w:rPr>
        <w:t>.</w:t>
      </w:r>
    </w:p>
    <w:p w:rsidR="008B2FB0" w:rsidRPr="008B2FB0" w:rsidRDefault="008B2FB0" w:rsidP="00D87D2E">
      <w:pPr>
        <w:pStyle w:val="ListParagraph"/>
        <w:spacing w:after="0" w:line="360" w:lineRule="auto"/>
        <w:ind w:left="0"/>
        <w:jc w:val="both"/>
        <w:rPr>
          <w:rFonts w:ascii="Times New Roman" w:hAnsi="Times New Roman" w:cs="Times New Roman"/>
          <w:sz w:val="24"/>
          <w:szCs w:val="24"/>
        </w:rPr>
      </w:pPr>
    </w:p>
    <w:p w:rsidR="009B284F" w:rsidRPr="008B2FB0" w:rsidRDefault="009B284F" w:rsidP="009B284F">
      <w:pPr>
        <w:spacing w:after="0" w:line="360" w:lineRule="auto"/>
        <w:rPr>
          <w:rFonts w:ascii="Times New Roman" w:hAnsi="Times New Roman" w:cs="Times New Roman"/>
          <w:sz w:val="24"/>
          <w:szCs w:val="24"/>
        </w:rPr>
      </w:pPr>
    </w:p>
    <w:sectPr w:rsidR="009B284F" w:rsidRPr="008B2FB0" w:rsidSect="00250B90">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F6A" w:rsidRDefault="007B4F6A" w:rsidP="007C2031">
      <w:pPr>
        <w:spacing w:after="0" w:line="240" w:lineRule="auto"/>
      </w:pPr>
      <w:r>
        <w:separator/>
      </w:r>
    </w:p>
  </w:endnote>
  <w:endnote w:type="continuationSeparator" w:id="0">
    <w:p w:rsidR="007B4F6A" w:rsidRDefault="007B4F6A" w:rsidP="007C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76" w:rsidRDefault="00015C33">
    <w:pPr>
      <w:pStyle w:val="Footer"/>
      <w:pBdr>
        <w:top w:val="thinThickSmallGap" w:sz="24" w:space="1" w:color="622423" w:themeColor="accent2" w:themeShade="7F"/>
      </w:pBdr>
      <w:rPr>
        <w:rFonts w:asciiTheme="majorHAnsi" w:hAnsiTheme="majorHAnsi"/>
      </w:rPr>
    </w:pPr>
    <w:r>
      <w:rPr>
        <w:rFonts w:asciiTheme="majorHAnsi" w:hAnsiTheme="majorHAnsi"/>
      </w:rPr>
      <w:t>2014-2015 Avista Biennial Conservation Report</w:t>
    </w:r>
    <w:r w:rsidR="00AC7776">
      <w:rPr>
        <w:rFonts w:asciiTheme="majorHAnsi" w:hAnsiTheme="majorHAnsi"/>
      </w:rPr>
      <w:ptab w:relativeTo="margin" w:alignment="right" w:leader="none"/>
    </w:r>
    <w:r w:rsidR="00AC7776">
      <w:rPr>
        <w:rFonts w:asciiTheme="majorHAnsi" w:hAnsiTheme="majorHAnsi"/>
      </w:rPr>
      <w:t xml:space="preserve">Page </w:t>
    </w:r>
    <w:r w:rsidR="00AC7776">
      <w:fldChar w:fldCharType="begin"/>
    </w:r>
    <w:r w:rsidR="00AC7776">
      <w:instrText xml:space="preserve"> PAGE   \* MERGEFORMAT </w:instrText>
    </w:r>
    <w:r w:rsidR="00AC7776">
      <w:fldChar w:fldCharType="separate"/>
    </w:r>
    <w:r w:rsidR="001C070E" w:rsidRPr="001C070E">
      <w:rPr>
        <w:rFonts w:asciiTheme="majorHAnsi" w:hAnsiTheme="majorHAnsi"/>
        <w:noProof/>
      </w:rPr>
      <w:t>10</w:t>
    </w:r>
    <w:r w:rsidR="00AC7776">
      <w:rPr>
        <w:rFonts w:asciiTheme="majorHAnsi" w:hAnsiTheme="majorHAnsi"/>
        <w:noProof/>
      </w:rPr>
      <w:fldChar w:fldCharType="end"/>
    </w:r>
  </w:p>
  <w:p w:rsidR="00AC7776" w:rsidRDefault="00AC7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F6A" w:rsidRDefault="007B4F6A" w:rsidP="007C2031">
      <w:pPr>
        <w:spacing w:after="0" w:line="240" w:lineRule="auto"/>
      </w:pPr>
      <w:r>
        <w:separator/>
      </w:r>
    </w:p>
  </w:footnote>
  <w:footnote w:type="continuationSeparator" w:id="0">
    <w:p w:rsidR="007B4F6A" w:rsidRDefault="007B4F6A" w:rsidP="007C2031">
      <w:pPr>
        <w:spacing w:after="0" w:line="240" w:lineRule="auto"/>
      </w:pPr>
      <w:r>
        <w:continuationSeparator/>
      </w:r>
    </w:p>
  </w:footnote>
  <w:footnote w:id="1">
    <w:p w:rsidR="0096324E" w:rsidRPr="009E6439" w:rsidRDefault="0096324E">
      <w:pPr>
        <w:pStyle w:val="FootnoteText"/>
        <w:rPr>
          <w:rFonts w:ascii="Times New Roman" w:hAnsi="Times New Roman" w:cs="Times New Roman"/>
        </w:rPr>
      </w:pPr>
      <w:r w:rsidRPr="009E6439">
        <w:rPr>
          <w:rStyle w:val="FootnoteReference"/>
          <w:rFonts w:ascii="Times New Roman" w:hAnsi="Times New Roman" w:cs="Times New Roman"/>
        </w:rPr>
        <w:footnoteRef/>
      </w:r>
      <w:r w:rsidRPr="009E6439">
        <w:rPr>
          <w:rFonts w:ascii="Times New Roman" w:hAnsi="Times New Roman" w:cs="Times New Roman"/>
        </w:rPr>
        <w:t xml:space="preserve"> </w:t>
      </w:r>
      <w:r w:rsidR="00C12F91">
        <w:rPr>
          <w:rFonts w:ascii="Times New Roman" w:hAnsi="Times New Roman" w:cs="Times New Roman"/>
        </w:rPr>
        <w:t xml:space="preserve">Docket No. </w:t>
      </w:r>
      <w:r w:rsidRPr="009E6439">
        <w:rPr>
          <w:rFonts w:ascii="Times New Roman" w:hAnsi="Times New Roman" w:cs="Times New Roman"/>
        </w:rPr>
        <w:t>UE-132045</w:t>
      </w:r>
    </w:p>
  </w:footnote>
  <w:footnote w:id="2">
    <w:p w:rsidR="005833F7" w:rsidRPr="009E6439" w:rsidRDefault="005833F7">
      <w:pPr>
        <w:pStyle w:val="FootnoteText"/>
        <w:rPr>
          <w:rFonts w:ascii="Times New Roman" w:hAnsi="Times New Roman" w:cs="Times New Roman"/>
        </w:rPr>
      </w:pPr>
      <w:r w:rsidRPr="009E6439">
        <w:rPr>
          <w:rStyle w:val="FootnoteReference"/>
          <w:rFonts w:ascii="Times New Roman" w:hAnsi="Times New Roman" w:cs="Times New Roman"/>
        </w:rPr>
        <w:footnoteRef/>
      </w:r>
      <w:r w:rsidR="00A23D64">
        <w:rPr>
          <w:rFonts w:ascii="Times New Roman" w:hAnsi="Times New Roman" w:cs="Times New Roman"/>
        </w:rPr>
        <w:t xml:space="preserve"> The NEEA savings</w:t>
      </w:r>
      <w:r w:rsidRPr="009E6439">
        <w:rPr>
          <w:rFonts w:ascii="Times New Roman" w:hAnsi="Times New Roman" w:cs="Times New Roman"/>
        </w:rPr>
        <w:t xml:space="preserve"> for Avista’s Washington portion of the regional savings are 3.4</w:t>
      </w:r>
      <w:r w:rsidR="00A23D64">
        <w:rPr>
          <w:rFonts w:ascii="Times New Roman" w:hAnsi="Times New Roman" w:cs="Times New Roman"/>
        </w:rPr>
        <w:t>7</w:t>
      </w:r>
      <w:r w:rsidRPr="009E6439">
        <w:rPr>
          <w:rFonts w:ascii="Times New Roman" w:hAnsi="Times New Roman" w:cs="Times New Roman"/>
        </w:rPr>
        <w:t xml:space="preserve"> aMW or 30,3</w:t>
      </w:r>
      <w:r w:rsidR="00A23D64">
        <w:rPr>
          <w:rFonts w:ascii="Times New Roman" w:hAnsi="Times New Roman" w:cs="Times New Roman"/>
        </w:rPr>
        <w:t>97</w:t>
      </w:r>
      <w:r w:rsidRPr="009E6439">
        <w:rPr>
          <w:rFonts w:ascii="Times New Roman" w:hAnsi="Times New Roman" w:cs="Times New Roman"/>
        </w:rPr>
        <w:t xml:space="preserve"> MWh.</w:t>
      </w:r>
    </w:p>
  </w:footnote>
  <w:footnote w:id="3">
    <w:p w:rsidR="007E6E72" w:rsidRPr="009E6439" w:rsidRDefault="007E6E72">
      <w:pPr>
        <w:pStyle w:val="FootnoteText"/>
        <w:rPr>
          <w:rFonts w:ascii="Times New Roman" w:hAnsi="Times New Roman" w:cs="Times New Roman"/>
        </w:rPr>
      </w:pPr>
      <w:r w:rsidRPr="009E6439">
        <w:rPr>
          <w:rStyle w:val="FootnoteReference"/>
          <w:rFonts w:ascii="Times New Roman" w:hAnsi="Times New Roman" w:cs="Times New Roman"/>
        </w:rPr>
        <w:footnoteRef/>
      </w:r>
      <w:r w:rsidRPr="009E6439">
        <w:rPr>
          <w:rFonts w:ascii="Times New Roman" w:hAnsi="Times New Roman" w:cs="Times New Roman"/>
        </w:rPr>
        <w:t xml:space="preserve"> The primary DSM electric tariff </w:t>
      </w:r>
      <w:r w:rsidR="006359E9" w:rsidRPr="009E6439">
        <w:rPr>
          <w:rFonts w:ascii="Times New Roman" w:hAnsi="Times New Roman" w:cs="Times New Roman"/>
        </w:rPr>
        <w:t>governing</w:t>
      </w:r>
      <w:r w:rsidRPr="009E6439">
        <w:rPr>
          <w:rFonts w:ascii="Times New Roman" w:hAnsi="Times New Roman" w:cs="Times New Roman"/>
        </w:rPr>
        <w:t xml:space="preserve"> Avista’s DSM programs.</w:t>
      </w:r>
    </w:p>
  </w:footnote>
  <w:footnote w:id="4">
    <w:p w:rsidR="006C72BF" w:rsidRPr="00691FA1" w:rsidRDefault="006C72BF" w:rsidP="006C72BF">
      <w:pPr>
        <w:pStyle w:val="FootnoteText"/>
        <w:rPr>
          <w:rFonts w:ascii="Times New Roman" w:hAnsi="Times New Roman" w:cs="Times New Roman"/>
        </w:rPr>
      </w:pPr>
      <w:r w:rsidRPr="00691FA1">
        <w:rPr>
          <w:rStyle w:val="FootnoteReference"/>
          <w:rFonts w:ascii="Times New Roman" w:hAnsi="Times New Roman" w:cs="Times New Roman"/>
        </w:rPr>
        <w:footnoteRef/>
      </w:r>
      <w:r w:rsidRPr="00691FA1">
        <w:rPr>
          <w:rFonts w:ascii="Times New Roman" w:hAnsi="Times New Roman" w:cs="Times New Roman"/>
        </w:rPr>
        <w:t xml:space="preserve"> Spring meeting was held on April 28 and 29, 2016 in Coeur d’Alene, Idaho, and the fall meeting will be held in Spokane in September 2016.</w:t>
      </w:r>
    </w:p>
  </w:footnote>
  <w:footnote w:id="5">
    <w:p w:rsidR="0042618B" w:rsidRPr="00691FA1" w:rsidRDefault="0042618B" w:rsidP="0042618B">
      <w:pPr>
        <w:pStyle w:val="FootnoteText"/>
        <w:rPr>
          <w:rFonts w:ascii="Times New Roman" w:hAnsi="Times New Roman" w:cs="Times New Roman"/>
        </w:rPr>
      </w:pPr>
      <w:r w:rsidRPr="00691FA1">
        <w:rPr>
          <w:rStyle w:val="FootnoteReference"/>
          <w:rFonts w:ascii="Times New Roman" w:hAnsi="Times New Roman" w:cs="Times New Roman"/>
        </w:rPr>
        <w:footnoteRef/>
      </w:r>
      <w:r w:rsidRPr="00691FA1">
        <w:rPr>
          <w:rFonts w:ascii="Times New Roman" w:hAnsi="Times New Roman" w:cs="Times New Roman"/>
        </w:rPr>
        <w:t xml:space="preserve"> Members of the Washington and Idaho Commission Staff and Public Counsel.</w:t>
      </w:r>
    </w:p>
  </w:footnote>
  <w:footnote w:id="6">
    <w:p w:rsidR="0042618B" w:rsidRPr="00691FA1" w:rsidRDefault="0042618B" w:rsidP="0042618B">
      <w:pPr>
        <w:pStyle w:val="FootnoteText"/>
        <w:jc w:val="both"/>
        <w:rPr>
          <w:rFonts w:ascii="Times New Roman" w:hAnsi="Times New Roman" w:cs="Times New Roman"/>
        </w:rPr>
      </w:pPr>
      <w:r w:rsidRPr="00691FA1">
        <w:rPr>
          <w:rStyle w:val="FootnoteReference"/>
          <w:rFonts w:ascii="Times New Roman" w:hAnsi="Times New Roman" w:cs="Times New Roman"/>
        </w:rPr>
        <w:footnoteRef/>
      </w:r>
      <w:r w:rsidRPr="00691FA1">
        <w:rPr>
          <w:rFonts w:ascii="Times New Roman" w:hAnsi="Times New Roman" w:cs="Times New Roman"/>
        </w:rPr>
        <w:t xml:space="preserve"> The Advisory Group is Avista’s non-binding oversight and advisory group for energy efficiency. The Advisory group is currently composed of the UTC staff, the IPUC Staff, OPUC Staff, the Public Counsel Unit of the Washington Office of Attorney General, Northwest Energy Coalition, SNAP, The Energy Project, Northwest Energy Efficiency Alliance, Northwest Power and Conservation Council, Northwest Energy Efficiency Council, Idaho Conservation League, Putnam Price and the Opportunity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hanging="360"/>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7F4652"/>
    <w:multiLevelType w:val="hybridMultilevel"/>
    <w:tmpl w:val="6DA0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740C"/>
    <w:multiLevelType w:val="hybridMultilevel"/>
    <w:tmpl w:val="CF185392"/>
    <w:lvl w:ilvl="0" w:tplc="31FC0C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35684"/>
    <w:multiLevelType w:val="hybridMultilevel"/>
    <w:tmpl w:val="9AAE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80EE2"/>
    <w:multiLevelType w:val="hybridMultilevel"/>
    <w:tmpl w:val="87D8D174"/>
    <w:lvl w:ilvl="0" w:tplc="F56828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608CB"/>
    <w:multiLevelType w:val="hybridMultilevel"/>
    <w:tmpl w:val="E940E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07C2D"/>
    <w:multiLevelType w:val="hybridMultilevel"/>
    <w:tmpl w:val="4A2C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B18B5"/>
    <w:multiLevelType w:val="hybridMultilevel"/>
    <w:tmpl w:val="FDD0B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5584B"/>
    <w:multiLevelType w:val="hybridMultilevel"/>
    <w:tmpl w:val="067E6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131667"/>
    <w:multiLevelType w:val="hybridMultilevel"/>
    <w:tmpl w:val="3488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76B28"/>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F62CB"/>
    <w:multiLevelType w:val="hybridMultilevel"/>
    <w:tmpl w:val="CA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61C23"/>
    <w:multiLevelType w:val="hybridMultilevel"/>
    <w:tmpl w:val="5AAE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463C3"/>
    <w:multiLevelType w:val="hybridMultilevel"/>
    <w:tmpl w:val="E7DE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96B60"/>
    <w:multiLevelType w:val="hybridMultilevel"/>
    <w:tmpl w:val="2C38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8F7"/>
    <w:multiLevelType w:val="hybridMultilevel"/>
    <w:tmpl w:val="07CC7322"/>
    <w:lvl w:ilvl="0" w:tplc="3E082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42F57"/>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C4023"/>
    <w:multiLevelType w:val="hybridMultilevel"/>
    <w:tmpl w:val="73B088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15:restartNumberingAfterBreak="0">
    <w:nsid w:val="4CB32F3E"/>
    <w:multiLevelType w:val="hybridMultilevel"/>
    <w:tmpl w:val="EA544BBA"/>
    <w:lvl w:ilvl="0" w:tplc="99B8C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3325F2"/>
    <w:multiLevelType w:val="hybridMultilevel"/>
    <w:tmpl w:val="8FC0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75C15"/>
    <w:multiLevelType w:val="hybridMultilevel"/>
    <w:tmpl w:val="B1F0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20309"/>
    <w:multiLevelType w:val="hybridMultilevel"/>
    <w:tmpl w:val="25D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159AE"/>
    <w:multiLevelType w:val="hybridMultilevel"/>
    <w:tmpl w:val="2AC40BC6"/>
    <w:lvl w:ilvl="0" w:tplc="82825F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5459FD"/>
    <w:multiLevelType w:val="hybridMultilevel"/>
    <w:tmpl w:val="07B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12"/>
  </w:num>
  <w:num w:numId="5">
    <w:abstractNumId w:val="16"/>
  </w:num>
  <w:num w:numId="6">
    <w:abstractNumId w:val="9"/>
  </w:num>
  <w:num w:numId="7">
    <w:abstractNumId w:val="13"/>
  </w:num>
  <w:num w:numId="8">
    <w:abstractNumId w:val="7"/>
  </w:num>
  <w:num w:numId="9">
    <w:abstractNumId w:val="0"/>
  </w:num>
  <w:num w:numId="10">
    <w:abstractNumId w:val="19"/>
  </w:num>
  <w:num w:numId="11">
    <w:abstractNumId w:val="18"/>
  </w:num>
  <w:num w:numId="12">
    <w:abstractNumId w:val="11"/>
  </w:num>
  <w:num w:numId="13">
    <w:abstractNumId w:val="3"/>
  </w:num>
  <w:num w:numId="14">
    <w:abstractNumId w:val="1"/>
  </w:num>
  <w:num w:numId="15">
    <w:abstractNumId w:val="23"/>
  </w:num>
  <w:num w:numId="16">
    <w:abstractNumId w:val="17"/>
  </w:num>
  <w:num w:numId="17">
    <w:abstractNumId w:val="8"/>
  </w:num>
  <w:num w:numId="18">
    <w:abstractNumId w:val="20"/>
  </w:num>
  <w:num w:numId="19">
    <w:abstractNumId w:val="4"/>
  </w:num>
  <w:num w:numId="20">
    <w:abstractNumId w:val="21"/>
  </w:num>
  <w:num w:numId="21">
    <w:abstractNumId w:val="6"/>
  </w:num>
  <w:num w:numId="22">
    <w:abstractNumId w:val="15"/>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9B"/>
    <w:rsid w:val="00004FA8"/>
    <w:rsid w:val="000067CB"/>
    <w:rsid w:val="00014067"/>
    <w:rsid w:val="00014993"/>
    <w:rsid w:val="00015C33"/>
    <w:rsid w:val="00016DA3"/>
    <w:rsid w:val="000174C3"/>
    <w:rsid w:val="000179DB"/>
    <w:rsid w:val="0002790B"/>
    <w:rsid w:val="00044563"/>
    <w:rsid w:val="00044E02"/>
    <w:rsid w:val="0005357F"/>
    <w:rsid w:val="00057A94"/>
    <w:rsid w:val="00064A02"/>
    <w:rsid w:val="00064AF3"/>
    <w:rsid w:val="000670CF"/>
    <w:rsid w:val="00075AA1"/>
    <w:rsid w:val="000827CE"/>
    <w:rsid w:val="0008386C"/>
    <w:rsid w:val="00085541"/>
    <w:rsid w:val="0008599E"/>
    <w:rsid w:val="00097A38"/>
    <w:rsid w:val="000A04D4"/>
    <w:rsid w:val="000A778B"/>
    <w:rsid w:val="000B664D"/>
    <w:rsid w:val="000B6B41"/>
    <w:rsid w:val="000D27D0"/>
    <w:rsid w:val="000D6436"/>
    <w:rsid w:val="000F09FE"/>
    <w:rsid w:val="000F12A9"/>
    <w:rsid w:val="000F41F7"/>
    <w:rsid w:val="000F670B"/>
    <w:rsid w:val="000F6D20"/>
    <w:rsid w:val="00105BF6"/>
    <w:rsid w:val="00106A18"/>
    <w:rsid w:val="00110E2C"/>
    <w:rsid w:val="001145AF"/>
    <w:rsid w:val="001224F5"/>
    <w:rsid w:val="001313B5"/>
    <w:rsid w:val="001332D9"/>
    <w:rsid w:val="00137A36"/>
    <w:rsid w:val="00141005"/>
    <w:rsid w:val="00141FAD"/>
    <w:rsid w:val="00142400"/>
    <w:rsid w:val="00144406"/>
    <w:rsid w:val="00146A2A"/>
    <w:rsid w:val="00157B78"/>
    <w:rsid w:val="001621BE"/>
    <w:rsid w:val="00163A86"/>
    <w:rsid w:val="00167222"/>
    <w:rsid w:val="00174B4C"/>
    <w:rsid w:val="001851EE"/>
    <w:rsid w:val="00194F5A"/>
    <w:rsid w:val="001A0605"/>
    <w:rsid w:val="001A0DAC"/>
    <w:rsid w:val="001A1C38"/>
    <w:rsid w:val="001B1E68"/>
    <w:rsid w:val="001B3107"/>
    <w:rsid w:val="001B4145"/>
    <w:rsid w:val="001B4CCB"/>
    <w:rsid w:val="001C070E"/>
    <w:rsid w:val="001C07D5"/>
    <w:rsid w:val="001C2AAF"/>
    <w:rsid w:val="001C7B22"/>
    <w:rsid w:val="001D6FB3"/>
    <w:rsid w:val="001E28B7"/>
    <w:rsid w:val="001E5718"/>
    <w:rsid w:val="001F1D3B"/>
    <w:rsid w:val="001F2AC9"/>
    <w:rsid w:val="001F3764"/>
    <w:rsid w:val="001F7C5C"/>
    <w:rsid w:val="0020741F"/>
    <w:rsid w:val="00212596"/>
    <w:rsid w:val="00217DB6"/>
    <w:rsid w:val="00220639"/>
    <w:rsid w:val="002219C5"/>
    <w:rsid w:val="0022310B"/>
    <w:rsid w:val="002304F1"/>
    <w:rsid w:val="00230B7A"/>
    <w:rsid w:val="0023126F"/>
    <w:rsid w:val="00234652"/>
    <w:rsid w:val="00236663"/>
    <w:rsid w:val="00236DD0"/>
    <w:rsid w:val="00237CA4"/>
    <w:rsid w:val="00242DC1"/>
    <w:rsid w:val="00250B90"/>
    <w:rsid w:val="00252C72"/>
    <w:rsid w:val="00271661"/>
    <w:rsid w:val="00272873"/>
    <w:rsid w:val="002747BC"/>
    <w:rsid w:val="002854B3"/>
    <w:rsid w:val="00287C6E"/>
    <w:rsid w:val="00292CD3"/>
    <w:rsid w:val="00294882"/>
    <w:rsid w:val="00294B2F"/>
    <w:rsid w:val="002A19C0"/>
    <w:rsid w:val="002A2737"/>
    <w:rsid w:val="002A303E"/>
    <w:rsid w:val="002B11CD"/>
    <w:rsid w:val="002B39A1"/>
    <w:rsid w:val="002B68B5"/>
    <w:rsid w:val="002B7DAB"/>
    <w:rsid w:val="002C1F53"/>
    <w:rsid w:val="002C3E6D"/>
    <w:rsid w:val="002C68B0"/>
    <w:rsid w:val="002D2321"/>
    <w:rsid w:val="002D3D98"/>
    <w:rsid w:val="002D3DAE"/>
    <w:rsid w:val="002E0DA2"/>
    <w:rsid w:val="002F6658"/>
    <w:rsid w:val="002F75D6"/>
    <w:rsid w:val="00303CAE"/>
    <w:rsid w:val="00304386"/>
    <w:rsid w:val="003101F2"/>
    <w:rsid w:val="00313DAA"/>
    <w:rsid w:val="003152BA"/>
    <w:rsid w:val="00316D2E"/>
    <w:rsid w:val="00324BB1"/>
    <w:rsid w:val="00327E2C"/>
    <w:rsid w:val="00333504"/>
    <w:rsid w:val="00342CFE"/>
    <w:rsid w:val="00344B21"/>
    <w:rsid w:val="00345F09"/>
    <w:rsid w:val="003462C4"/>
    <w:rsid w:val="003472C3"/>
    <w:rsid w:val="0035504F"/>
    <w:rsid w:val="00356B1C"/>
    <w:rsid w:val="00356FC0"/>
    <w:rsid w:val="00362FC3"/>
    <w:rsid w:val="00367D58"/>
    <w:rsid w:val="00370AC9"/>
    <w:rsid w:val="003733C0"/>
    <w:rsid w:val="003753B1"/>
    <w:rsid w:val="00383E6B"/>
    <w:rsid w:val="00392DCB"/>
    <w:rsid w:val="00394046"/>
    <w:rsid w:val="00397987"/>
    <w:rsid w:val="003A26E3"/>
    <w:rsid w:val="003B082D"/>
    <w:rsid w:val="003B7D38"/>
    <w:rsid w:val="003D39B9"/>
    <w:rsid w:val="003E0B2B"/>
    <w:rsid w:val="003E1629"/>
    <w:rsid w:val="003F025B"/>
    <w:rsid w:val="00401902"/>
    <w:rsid w:val="00402FB5"/>
    <w:rsid w:val="00412CCA"/>
    <w:rsid w:val="004144C7"/>
    <w:rsid w:val="00414571"/>
    <w:rsid w:val="004213AD"/>
    <w:rsid w:val="004222BA"/>
    <w:rsid w:val="00423898"/>
    <w:rsid w:val="004253EE"/>
    <w:rsid w:val="0042618B"/>
    <w:rsid w:val="004272A9"/>
    <w:rsid w:val="00440375"/>
    <w:rsid w:val="0045621A"/>
    <w:rsid w:val="004666A0"/>
    <w:rsid w:val="00467A32"/>
    <w:rsid w:val="004714AB"/>
    <w:rsid w:val="0047182A"/>
    <w:rsid w:val="00472DB4"/>
    <w:rsid w:val="00476EBA"/>
    <w:rsid w:val="00480ACB"/>
    <w:rsid w:val="00480D68"/>
    <w:rsid w:val="00480EDD"/>
    <w:rsid w:val="00482A82"/>
    <w:rsid w:val="00491AD0"/>
    <w:rsid w:val="00491BB9"/>
    <w:rsid w:val="004966B8"/>
    <w:rsid w:val="004971A6"/>
    <w:rsid w:val="00497202"/>
    <w:rsid w:val="004A6124"/>
    <w:rsid w:val="004A7D65"/>
    <w:rsid w:val="004B00EE"/>
    <w:rsid w:val="004B5D23"/>
    <w:rsid w:val="004C0D39"/>
    <w:rsid w:val="004C243E"/>
    <w:rsid w:val="004C25BF"/>
    <w:rsid w:val="004C26CE"/>
    <w:rsid w:val="004C4204"/>
    <w:rsid w:val="004D6D9B"/>
    <w:rsid w:val="004D74A1"/>
    <w:rsid w:val="004E0119"/>
    <w:rsid w:val="004E3AA5"/>
    <w:rsid w:val="004E5E34"/>
    <w:rsid w:val="004F42C2"/>
    <w:rsid w:val="004F5F6A"/>
    <w:rsid w:val="004F7277"/>
    <w:rsid w:val="005005EE"/>
    <w:rsid w:val="00504F2B"/>
    <w:rsid w:val="0051108E"/>
    <w:rsid w:val="00521A75"/>
    <w:rsid w:val="005250AB"/>
    <w:rsid w:val="00526570"/>
    <w:rsid w:val="00531EB0"/>
    <w:rsid w:val="00534694"/>
    <w:rsid w:val="005433E4"/>
    <w:rsid w:val="005564DF"/>
    <w:rsid w:val="00563528"/>
    <w:rsid w:val="005714AF"/>
    <w:rsid w:val="005833F7"/>
    <w:rsid w:val="00592D61"/>
    <w:rsid w:val="00596E24"/>
    <w:rsid w:val="005A5011"/>
    <w:rsid w:val="005A5EC6"/>
    <w:rsid w:val="005B2F50"/>
    <w:rsid w:val="005B385E"/>
    <w:rsid w:val="005B4DB2"/>
    <w:rsid w:val="005C258D"/>
    <w:rsid w:val="005C2F29"/>
    <w:rsid w:val="005C4CB0"/>
    <w:rsid w:val="005D0246"/>
    <w:rsid w:val="005E1491"/>
    <w:rsid w:val="005E5F9E"/>
    <w:rsid w:val="005F12D0"/>
    <w:rsid w:val="005F4F95"/>
    <w:rsid w:val="005F7B10"/>
    <w:rsid w:val="00613219"/>
    <w:rsid w:val="006133F0"/>
    <w:rsid w:val="006155B0"/>
    <w:rsid w:val="00617981"/>
    <w:rsid w:val="0062025D"/>
    <w:rsid w:val="00624961"/>
    <w:rsid w:val="00630772"/>
    <w:rsid w:val="006315F6"/>
    <w:rsid w:val="00632A63"/>
    <w:rsid w:val="006359E9"/>
    <w:rsid w:val="00636713"/>
    <w:rsid w:val="0063676F"/>
    <w:rsid w:val="00651859"/>
    <w:rsid w:val="00653C7D"/>
    <w:rsid w:val="00656666"/>
    <w:rsid w:val="00666030"/>
    <w:rsid w:val="00670A9B"/>
    <w:rsid w:val="006710C8"/>
    <w:rsid w:val="006814D8"/>
    <w:rsid w:val="00685F0C"/>
    <w:rsid w:val="00687454"/>
    <w:rsid w:val="00691FA1"/>
    <w:rsid w:val="006A0D11"/>
    <w:rsid w:val="006A231F"/>
    <w:rsid w:val="006A4519"/>
    <w:rsid w:val="006B4E71"/>
    <w:rsid w:val="006B6488"/>
    <w:rsid w:val="006C3A87"/>
    <w:rsid w:val="006C45B7"/>
    <w:rsid w:val="006C6CE9"/>
    <w:rsid w:val="006C72BF"/>
    <w:rsid w:val="006D0018"/>
    <w:rsid w:val="006D25B0"/>
    <w:rsid w:val="006D42D3"/>
    <w:rsid w:val="006E497E"/>
    <w:rsid w:val="006F1BD9"/>
    <w:rsid w:val="006F2226"/>
    <w:rsid w:val="00701695"/>
    <w:rsid w:val="007100C2"/>
    <w:rsid w:val="007101F1"/>
    <w:rsid w:val="00710AF2"/>
    <w:rsid w:val="0071638E"/>
    <w:rsid w:val="00721488"/>
    <w:rsid w:val="00723003"/>
    <w:rsid w:val="007232D5"/>
    <w:rsid w:val="00723970"/>
    <w:rsid w:val="00727857"/>
    <w:rsid w:val="007300BA"/>
    <w:rsid w:val="00734078"/>
    <w:rsid w:val="00735A80"/>
    <w:rsid w:val="00742E59"/>
    <w:rsid w:val="00743EE5"/>
    <w:rsid w:val="00744F89"/>
    <w:rsid w:val="00747A93"/>
    <w:rsid w:val="00752799"/>
    <w:rsid w:val="007542CB"/>
    <w:rsid w:val="00760767"/>
    <w:rsid w:val="007621F3"/>
    <w:rsid w:val="00765EBA"/>
    <w:rsid w:val="00767528"/>
    <w:rsid w:val="00776656"/>
    <w:rsid w:val="0078538D"/>
    <w:rsid w:val="00792CA2"/>
    <w:rsid w:val="00797352"/>
    <w:rsid w:val="007A1C70"/>
    <w:rsid w:val="007A3B81"/>
    <w:rsid w:val="007B0810"/>
    <w:rsid w:val="007B4F6A"/>
    <w:rsid w:val="007C2031"/>
    <w:rsid w:val="007C5201"/>
    <w:rsid w:val="007C5A77"/>
    <w:rsid w:val="007C65C8"/>
    <w:rsid w:val="007D3B16"/>
    <w:rsid w:val="007E2E8D"/>
    <w:rsid w:val="007E3759"/>
    <w:rsid w:val="007E6E72"/>
    <w:rsid w:val="007E7C30"/>
    <w:rsid w:val="007F343F"/>
    <w:rsid w:val="007F7887"/>
    <w:rsid w:val="008025CB"/>
    <w:rsid w:val="008027F3"/>
    <w:rsid w:val="00804981"/>
    <w:rsid w:val="0080574E"/>
    <w:rsid w:val="00806659"/>
    <w:rsid w:val="008066E9"/>
    <w:rsid w:val="008113C2"/>
    <w:rsid w:val="00816805"/>
    <w:rsid w:val="0082474D"/>
    <w:rsid w:val="008252D5"/>
    <w:rsid w:val="00825E6E"/>
    <w:rsid w:val="00826D16"/>
    <w:rsid w:val="00831F1C"/>
    <w:rsid w:val="00833AB4"/>
    <w:rsid w:val="00837CD5"/>
    <w:rsid w:val="0084511C"/>
    <w:rsid w:val="008451EA"/>
    <w:rsid w:val="00850922"/>
    <w:rsid w:val="00857C7C"/>
    <w:rsid w:val="008642BF"/>
    <w:rsid w:val="008660BE"/>
    <w:rsid w:val="0086778E"/>
    <w:rsid w:val="008744A7"/>
    <w:rsid w:val="008748E1"/>
    <w:rsid w:val="008929A5"/>
    <w:rsid w:val="008A0560"/>
    <w:rsid w:val="008A3DF0"/>
    <w:rsid w:val="008A428E"/>
    <w:rsid w:val="008A53FD"/>
    <w:rsid w:val="008A5BC7"/>
    <w:rsid w:val="008B2FB0"/>
    <w:rsid w:val="008B3700"/>
    <w:rsid w:val="008B3EFC"/>
    <w:rsid w:val="008C56C4"/>
    <w:rsid w:val="008D0CE2"/>
    <w:rsid w:val="008D23E4"/>
    <w:rsid w:val="008D6600"/>
    <w:rsid w:val="008D68B3"/>
    <w:rsid w:val="008E7E03"/>
    <w:rsid w:val="008F4564"/>
    <w:rsid w:val="008F5500"/>
    <w:rsid w:val="008F693B"/>
    <w:rsid w:val="00902479"/>
    <w:rsid w:val="00915D37"/>
    <w:rsid w:val="00917308"/>
    <w:rsid w:val="009232D7"/>
    <w:rsid w:val="00923B46"/>
    <w:rsid w:val="00923F71"/>
    <w:rsid w:val="00925B3E"/>
    <w:rsid w:val="00925FDF"/>
    <w:rsid w:val="009261C1"/>
    <w:rsid w:val="00931A23"/>
    <w:rsid w:val="0094269E"/>
    <w:rsid w:val="009433EB"/>
    <w:rsid w:val="009464A7"/>
    <w:rsid w:val="009467E5"/>
    <w:rsid w:val="009471FE"/>
    <w:rsid w:val="00953227"/>
    <w:rsid w:val="0096324E"/>
    <w:rsid w:val="0096505E"/>
    <w:rsid w:val="009657B7"/>
    <w:rsid w:val="0097667C"/>
    <w:rsid w:val="00976C1F"/>
    <w:rsid w:val="00981E9E"/>
    <w:rsid w:val="00984921"/>
    <w:rsid w:val="0099367A"/>
    <w:rsid w:val="00993AA8"/>
    <w:rsid w:val="009951E4"/>
    <w:rsid w:val="00995C1A"/>
    <w:rsid w:val="009A0274"/>
    <w:rsid w:val="009A20F8"/>
    <w:rsid w:val="009A4222"/>
    <w:rsid w:val="009B279F"/>
    <w:rsid w:val="009B284F"/>
    <w:rsid w:val="009B41AE"/>
    <w:rsid w:val="009B700D"/>
    <w:rsid w:val="009D2380"/>
    <w:rsid w:val="009D55D2"/>
    <w:rsid w:val="009E28B7"/>
    <w:rsid w:val="009E420D"/>
    <w:rsid w:val="009E6439"/>
    <w:rsid w:val="009F1A46"/>
    <w:rsid w:val="009F5633"/>
    <w:rsid w:val="00A00BC9"/>
    <w:rsid w:val="00A0116B"/>
    <w:rsid w:val="00A0518C"/>
    <w:rsid w:val="00A07644"/>
    <w:rsid w:val="00A117C8"/>
    <w:rsid w:val="00A16E40"/>
    <w:rsid w:val="00A20E58"/>
    <w:rsid w:val="00A210DB"/>
    <w:rsid w:val="00A23D64"/>
    <w:rsid w:val="00A27474"/>
    <w:rsid w:val="00A369F8"/>
    <w:rsid w:val="00A377BC"/>
    <w:rsid w:val="00A46403"/>
    <w:rsid w:val="00A4724A"/>
    <w:rsid w:val="00A558DA"/>
    <w:rsid w:val="00A65BA8"/>
    <w:rsid w:val="00A65C63"/>
    <w:rsid w:val="00A677F0"/>
    <w:rsid w:val="00A703BB"/>
    <w:rsid w:val="00A76716"/>
    <w:rsid w:val="00A80BD5"/>
    <w:rsid w:val="00A86FBC"/>
    <w:rsid w:val="00A87A60"/>
    <w:rsid w:val="00A90A28"/>
    <w:rsid w:val="00A90E26"/>
    <w:rsid w:val="00A91309"/>
    <w:rsid w:val="00A95731"/>
    <w:rsid w:val="00A97208"/>
    <w:rsid w:val="00AA3E1E"/>
    <w:rsid w:val="00AA52E5"/>
    <w:rsid w:val="00AA73D5"/>
    <w:rsid w:val="00AA7D8B"/>
    <w:rsid w:val="00AB186E"/>
    <w:rsid w:val="00AB34D0"/>
    <w:rsid w:val="00AB7F22"/>
    <w:rsid w:val="00AC7776"/>
    <w:rsid w:val="00AD6513"/>
    <w:rsid w:val="00AE0C2A"/>
    <w:rsid w:val="00AE3BA7"/>
    <w:rsid w:val="00AE3C0D"/>
    <w:rsid w:val="00AE682C"/>
    <w:rsid w:val="00AE7B22"/>
    <w:rsid w:val="00AF1320"/>
    <w:rsid w:val="00AF2E50"/>
    <w:rsid w:val="00AF38BF"/>
    <w:rsid w:val="00B03751"/>
    <w:rsid w:val="00B10644"/>
    <w:rsid w:val="00B13203"/>
    <w:rsid w:val="00B156B0"/>
    <w:rsid w:val="00B16E8C"/>
    <w:rsid w:val="00B24DFB"/>
    <w:rsid w:val="00B26A34"/>
    <w:rsid w:val="00B34383"/>
    <w:rsid w:val="00B440F6"/>
    <w:rsid w:val="00B44324"/>
    <w:rsid w:val="00B475F8"/>
    <w:rsid w:val="00B52ED4"/>
    <w:rsid w:val="00B53A49"/>
    <w:rsid w:val="00B5594C"/>
    <w:rsid w:val="00B569E9"/>
    <w:rsid w:val="00B60994"/>
    <w:rsid w:val="00B61548"/>
    <w:rsid w:val="00B70B10"/>
    <w:rsid w:val="00B7686E"/>
    <w:rsid w:val="00B80DFB"/>
    <w:rsid w:val="00B83C9F"/>
    <w:rsid w:val="00B920E8"/>
    <w:rsid w:val="00B96171"/>
    <w:rsid w:val="00B96A1B"/>
    <w:rsid w:val="00BA3742"/>
    <w:rsid w:val="00BA3DAF"/>
    <w:rsid w:val="00BA3EED"/>
    <w:rsid w:val="00BA5B1D"/>
    <w:rsid w:val="00BA76BE"/>
    <w:rsid w:val="00BB1A8B"/>
    <w:rsid w:val="00BC042E"/>
    <w:rsid w:val="00BC3409"/>
    <w:rsid w:val="00BC540C"/>
    <w:rsid w:val="00BD5174"/>
    <w:rsid w:val="00BE07CD"/>
    <w:rsid w:val="00BE0CE0"/>
    <w:rsid w:val="00BE3658"/>
    <w:rsid w:val="00BF17C7"/>
    <w:rsid w:val="00BF286C"/>
    <w:rsid w:val="00BF7F69"/>
    <w:rsid w:val="00C03723"/>
    <w:rsid w:val="00C10E65"/>
    <w:rsid w:val="00C12F91"/>
    <w:rsid w:val="00C1707E"/>
    <w:rsid w:val="00C2089A"/>
    <w:rsid w:val="00C23FC5"/>
    <w:rsid w:val="00C253C9"/>
    <w:rsid w:val="00C31B4D"/>
    <w:rsid w:val="00C454F5"/>
    <w:rsid w:val="00C4607B"/>
    <w:rsid w:val="00C47E81"/>
    <w:rsid w:val="00C510EB"/>
    <w:rsid w:val="00C60966"/>
    <w:rsid w:val="00C62181"/>
    <w:rsid w:val="00C629CA"/>
    <w:rsid w:val="00C63891"/>
    <w:rsid w:val="00C63CDC"/>
    <w:rsid w:val="00C7382F"/>
    <w:rsid w:val="00C745E9"/>
    <w:rsid w:val="00C76B69"/>
    <w:rsid w:val="00C8159A"/>
    <w:rsid w:val="00C87ADE"/>
    <w:rsid w:val="00C917DB"/>
    <w:rsid w:val="00C96214"/>
    <w:rsid w:val="00C9771D"/>
    <w:rsid w:val="00CA2317"/>
    <w:rsid w:val="00CA255C"/>
    <w:rsid w:val="00CA25B4"/>
    <w:rsid w:val="00CA412F"/>
    <w:rsid w:val="00CB4102"/>
    <w:rsid w:val="00CC7A9A"/>
    <w:rsid w:val="00CD0AC0"/>
    <w:rsid w:val="00CD211A"/>
    <w:rsid w:val="00CD4DD8"/>
    <w:rsid w:val="00CE300D"/>
    <w:rsid w:val="00CE32AE"/>
    <w:rsid w:val="00CF398B"/>
    <w:rsid w:val="00CF59F0"/>
    <w:rsid w:val="00D0374A"/>
    <w:rsid w:val="00D0479B"/>
    <w:rsid w:val="00D077A7"/>
    <w:rsid w:val="00D13423"/>
    <w:rsid w:val="00D1425F"/>
    <w:rsid w:val="00D21654"/>
    <w:rsid w:val="00D23DC4"/>
    <w:rsid w:val="00D23E1F"/>
    <w:rsid w:val="00D25788"/>
    <w:rsid w:val="00D267E7"/>
    <w:rsid w:val="00D26FD4"/>
    <w:rsid w:val="00D279EC"/>
    <w:rsid w:val="00D43CE6"/>
    <w:rsid w:val="00D620C6"/>
    <w:rsid w:val="00D70C30"/>
    <w:rsid w:val="00D77B53"/>
    <w:rsid w:val="00D80FF0"/>
    <w:rsid w:val="00D84F3A"/>
    <w:rsid w:val="00D87D2E"/>
    <w:rsid w:val="00D94912"/>
    <w:rsid w:val="00DA390E"/>
    <w:rsid w:val="00DA5A34"/>
    <w:rsid w:val="00DC07B5"/>
    <w:rsid w:val="00DC0C66"/>
    <w:rsid w:val="00DC4B49"/>
    <w:rsid w:val="00DC62A3"/>
    <w:rsid w:val="00DD2B47"/>
    <w:rsid w:val="00DD673C"/>
    <w:rsid w:val="00DD73F0"/>
    <w:rsid w:val="00DE282F"/>
    <w:rsid w:val="00DE67A0"/>
    <w:rsid w:val="00DF24C3"/>
    <w:rsid w:val="00DF4C03"/>
    <w:rsid w:val="00DF4F76"/>
    <w:rsid w:val="00DF5FDE"/>
    <w:rsid w:val="00E173A5"/>
    <w:rsid w:val="00E20BEF"/>
    <w:rsid w:val="00E21B8B"/>
    <w:rsid w:val="00E33F59"/>
    <w:rsid w:val="00E346CF"/>
    <w:rsid w:val="00E409FB"/>
    <w:rsid w:val="00E42993"/>
    <w:rsid w:val="00E429AD"/>
    <w:rsid w:val="00E46D1D"/>
    <w:rsid w:val="00E5323F"/>
    <w:rsid w:val="00E5451E"/>
    <w:rsid w:val="00E5577A"/>
    <w:rsid w:val="00E64989"/>
    <w:rsid w:val="00E64EF1"/>
    <w:rsid w:val="00E73C0B"/>
    <w:rsid w:val="00E81C22"/>
    <w:rsid w:val="00E82365"/>
    <w:rsid w:val="00E8607D"/>
    <w:rsid w:val="00E9104F"/>
    <w:rsid w:val="00E9195D"/>
    <w:rsid w:val="00E93966"/>
    <w:rsid w:val="00E9747E"/>
    <w:rsid w:val="00EA0DB2"/>
    <w:rsid w:val="00EA1D31"/>
    <w:rsid w:val="00EA271F"/>
    <w:rsid w:val="00EA4446"/>
    <w:rsid w:val="00EB1498"/>
    <w:rsid w:val="00EB1AD5"/>
    <w:rsid w:val="00EC3230"/>
    <w:rsid w:val="00EE476B"/>
    <w:rsid w:val="00EE7EB7"/>
    <w:rsid w:val="00EF316A"/>
    <w:rsid w:val="00EF3507"/>
    <w:rsid w:val="00EF4227"/>
    <w:rsid w:val="00F02472"/>
    <w:rsid w:val="00F26BE7"/>
    <w:rsid w:val="00F32D2E"/>
    <w:rsid w:val="00F34C2F"/>
    <w:rsid w:val="00F3683D"/>
    <w:rsid w:val="00F46660"/>
    <w:rsid w:val="00F60589"/>
    <w:rsid w:val="00F64628"/>
    <w:rsid w:val="00F65CB3"/>
    <w:rsid w:val="00F666E1"/>
    <w:rsid w:val="00F70DF9"/>
    <w:rsid w:val="00F71A31"/>
    <w:rsid w:val="00F76A66"/>
    <w:rsid w:val="00F779EF"/>
    <w:rsid w:val="00F802BA"/>
    <w:rsid w:val="00F906DB"/>
    <w:rsid w:val="00FA0E1F"/>
    <w:rsid w:val="00FA6DEA"/>
    <w:rsid w:val="00FA6F7D"/>
    <w:rsid w:val="00FA7D4C"/>
    <w:rsid w:val="00FA7F6B"/>
    <w:rsid w:val="00FB1206"/>
    <w:rsid w:val="00FB6180"/>
    <w:rsid w:val="00FB7216"/>
    <w:rsid w:val="00FC5D33"/>
    <w:rsid w:val="00FD16F3"/>
    <w:rsid w:val="00FD7DCC"/>
    <w:rsid w:val="00FE1CAA"/>
    <w:rsid w:val="00FE1E59"/>
    <w:rsid w:val="00FE44E9"/>
    <w:rsid w:val="00FE67F8"/>
    <w:rsid w:val="00FE70C3"/>
    <w:rsid w:val="00FF08F7"/>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4550D29-E971-4F44-B967-199DA411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0D"/>
  </w:style>
  <w:style w:type="paragraph" w:styleId="Heading1">
    <w:name w:val="heading 1"/>
    <w:basedOn w:val="Normal"/>
    <w:next w:val="Normal"/>
    <w:link w:val="Heading1Char"/>
    <w:uiPriority w:val="1"/>
    <w:qFormat/>
    <w:rsid w:val="005C2F29"/>
    <w:pPr>
      <w:autoSpaceDE w:val="0"/>
      <w:autoSpaceDN w:val="0"/>
      <w:adjustRightInd w:val="0"/>
      <w:spacing w:after="0" w:line="240" w:lineRule="auto"/>
      <w:ind w:left="568" w:hanging="451"/>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2F29"/>
    <w:rPr>
      <w:rFonts w:ascii="Arial" w:hAnsi="Arial" w:cs="Arial"/>
      <w:b/>
      <w:bCs/>
    </w:rPr>
  </w:style>
  <w:style w:type="paragraph" w:styleId="ListParagraph">
    <w:name w:val="List Paragraph"/>
    <w:basedOn w:val="Normal"/>
    <w:uiPriority w:val="34"/>
    <w:qFormat/>
    <w:rsid w:val="004D6D9B"/>
    <w:pPr>
      <w:ind w:left="720"/>
      <w:contextualSpacing/>
    </w:pPr>
  </w:style>
  <w:style w:type="paragraph" w:styleId="BalloonText">
    <w:name w:val="Balloon Text"/>
    <w:basedOn w:val="Normal"/>
    <w:link w:val="BalloonTextChar"/>
    <w:uiPriority w:val="99"/>
    <w:semiHidden/>
    <w:unhideWhenUsed/>
    <w:rsid w:val="00174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B4C"/>
    <w:rPr>
      <w:rFonts w:ascii="Tahoma" w:hAnsi="Tahoma" w:cs="Tahoma"/>
      <w:sz w:val="16"/>
      <w:szCs w:val="16"/>
    </w:rPr>
  </w:style>
  <w:style w:type="paragraph" w:styleId="Header">
    <w:name w:val="header"/>
    <w:basedOn w:val="Normal"/>
    <w:link w:val="HeaderChar"/>
    <w:uiPriority w:val="99"/>
    <w:unhideWhenUsed/>
    <w:rsid w:val="007C2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031"/>
  </w:style>
  <w:style w:type="paragraph" w:styleId="Footer">
    <w:name w:val="footer"/>
    <w:basedOn w:val="Normal"/>
    <w:link w:val="FooterChar"/>
    <w:uiPriority w:val="99"/>
    <w:unhideWhenUsed/>
    <w:rsid w:val="007C2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031"/>
  </w:style>
  <w:style w:type="paragraph" w:styleId="FootnoteText">
    <w:name w:val="footnote text"/>
    <w:aliases w:val="Footnote Text Char2 Char1,Footnote Text Char1 Char Char1,Footnote Text Char2 Char Char1 Char1,Footnote Text Char1 Char Char Char Char1,Footnote Text Char2 Char Char1 Char Char Char,Footnote Text Char2,ALTS FOOTNOTE,fn,f,1,TBG Style"/>
    <w:basedOn w:val="Normal"/>
    <w:link w:val="FootnoteTextChar"/>
    <w:uiPriority w:val="99"/>
    <w:unhideWhenUsed/>
    <w:qFormat/>
    <w:rsid w:val="00B13203"/>
    <w:pPr>
      <w:spacing w:after="0" w:line="240" w:lineRule="auto"/>
    </w:pPr>
    <w:rPr>
      <w:sz w:val="20"/>
      <w:szCs w:val="20"/>
    </w:rPr>
  </w:style>
  <w:style w:type="character" w:customStyle="1" w:styleId="FootnoteTextChar">
    <w:name w:val="Footnote Text Char"/>
    <w:aliases w:val="Footnote Text Char2 Char1 Char,Footnote Text Char1 Char Char1 Char,Footnote Text Char2 Char Char1 Char1 Char,Footnote Text Char1 Char Char Char Char1 Char,Footnote Text Char2 Char Char1 Char Char Char Char,Footnote Text Char2 Char"/>
    <w:basedOn w:val="DefaultParagraphFont"/>
    <w:link w:val="FootnoteText"/>
    <w:uiPriority w:val="99"/>
    <w:rsid w:val="00B13203"/>
    <w:rPr>
      <w:sz w:val="20"/>
      <w:szCs w:val="20"/>
    </w:rPr>
  </w:style>
  <w:style w:type="character" w:styleId="FootnoteReference">
    <w:name w:val="footnote reference"/>
    <w:aliases w:val="Style 12,(NECG) Footnote Reference,Style 13,Appel note de bas de p,Style 124,fr,o,Style 3,FR,Style 17,Footnote Reference/,Style 6,callout,Style 9,Style 20,Footnote 1r"/>
    <w:basedOn w:val="DefaultParagraphFont"/>
    <w:uiPriority w:val="99"/>
    <w:unhideWhenUsed/>
    <w:qFormat/>
    <w:rsid w:val="00B13203"/>
    <w:rPr>
      <w:vertAlign w:val="superscript"/>
    </w:rPr>
  </w:style>
  <w:style w:type="paragraph" w:customStyle="1" w:styleId="Default">
    <w:name w:val="Default"/>
    <w:rsid w:val="0063676F"/>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5C2F29"/>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5C2F29"/>
    <w:rPr>
      <w:rFonts w:ascii="Arial" w:hAnsi="Arial" w:cs="Arial"/>
      <w:sz w:val="20"/>
      <w:szCs w:val="20"/>
    </w:rPr>
  </w:style>
  <w:style w:type="paragraph" w:customStyle="1" w:styleId="TableParagraph">
    <w:name w:val="Table Paragraph"/>
    <w:basedOn w:val="Normal"/>
    <w:uiPriority w:val="1"/>
    <w:qFormat/>
    <w:rsid w:val="005C2F29"/>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A0E1F"/>
    <w:rPr>
      <w:sz w:val="16"/>
      <w:szCs w:val="16"/>
    </w:rPr>
  </w:style>
  <w:style w:type="paragraph" w:styleId="CommentText">
    <w:name w:val="annotation text"/>
    <w:basedOn w:val="Normal"/>
    <w:link w:val="CommentTextChar"/>
    <w:uiPriority w:val="99"/>
    <w:semiHidden/>
    <w:unhideWhenUsed/>
    <w:rsid w:val="00FA0E1F"/>
    <w:pPr>
      <w:spacing w:line="240" w:lineRule="auto"/>
    </w:pPr>
    <w:rPr>
      <w:sz w:val="20"/>
      <w:szCs w:val="20"/>
    </w:rPr>
  </w:style>
  <w:style w:type="character" w:customStyle="1" w:styleId="CommentTextChar">
    <w:name w:val="Comment Text Char"/>
    <w:basedOn w:val="DefaultParagraphFont"/>
    <w:link w:val="CommentText"/>
    <w:uiPriority w:val="99"/>
    <w:semiHidden/>
    <w:rsid w:val="00FA0E1F"/>
    <w:rPr>
      <w:sz w:val="20"/>
      <w:szCs w:val="20"/>
    </w:rPr>
  </w:style>
  <w:style w:type="table" w:styleId="TableGrid">
    <w:name w:val="Table Grid"/>
    <w:basedOn w:val="TableNormal"/>
    <w:uiPriority w:val="59"/>
    <w:rsid w:val="00FA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ofinput">
    <w:name w:val="Description of input"/>
    <w:basedOn w:val="Normal"/>
    <w:rsid w:val="00FA0E1F"/>
    <w:pPr>
      <w:spacing w:after="0" w:line="240" w:lineRule="auto"/>
      <w:ind w:right="720"/>
    </w:pPr>
    <w:rPr>
      <w:rFonts w:ascii="Arial" w:eastAsia="Times New Roman" w:hAnsi="Arial" w:cs="Times New Roman"/>
      <w:i/>
      <w:sz w:val="18"/>
      <w:szCs w:val="20"/>
    </w:rPr>
  </w:style>
  <w:style w:type="character" w:styleId="Hyperlink">
    <w:name w:val="Hyperlink"/>
    <w:basedOn w:val="DefaultParagraphFont"/>
    <w:uiPriority w:val="99"/>
    <w:unhideWhenUsed/>
    <w:rsid w:val="00765EBA"/>
    <w:rPr>
      <w:color w:val="0000FF" w:themeColor="hyperlink"/>
      <w:u w:val="single"/>
    </w:rPr>
  </w:style>
  <w:style w:type="paragraph" w:styleId="TOCHeading">
    <w:name w:val="TOC Heading"/>
    <w:basedOn w:val="Heading1"/>
    <w:next w:val="Normal"/>
    <w:uiPriority w:val="39"/>
    <w:unhideWhenUsed/>
    <w:qFormat/>
    <w:rsid w:val="00AA73D5"/>
    <w:pPr>
      <w:keepNext/>
      <w:keepLines/>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LineNumber">
    <w:name w:val="line number"/>
    <w:basedOn w:val="DefaultParagraphFont"/>
    <w:rsid w:val="006C72BF"/>
    <w:rPr>
      <w:rFonts w:ascii="Times New Roman" w:hAnsi="Times New Roma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8049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935">
      <w:bodyDiv w:val="1"/>
      <w:marLeft w:val="0"/>
      <w:marRight w:val="0"/>
      <w:marTop w:val="0"/>
      <w:marBottom w:val="0"/>
      <w:divBdr>
        <w:top w:val="none" w:sz="0" w:space="0" w:color="auto"/>
        <w:left w:val="none" w:sz="0" w:space="0" w:color="auto"/>
        <w:bottom w:val="none" w:sz="0" w:space="0" w:color="auto"/>
        <w:right w:val="none" w:sz="0" w:space="0" w:color="auto"/>
      </w:divBdr>
    </w:div>
    <w:div w:id="126700596">
      <w:bodyDiv w:val="1"/>
      <w:marLeft w:val="0"/>
      <w:marRight w:val="0"/>
      <w:marTop w:val="0"/>
      <w:marBottom w:val="0"/>
      <w:divBdr>
        <w:top w:val="none" w:sz="0" w:space="0" w:color="auto"/>
        <w:left w:val="none" w:sz="0" w:space="0" w:color="auto"/>
        <w:bottom w:val="none" w:sz="0" w:space="0" w:color="auto"/>
        <w:right w:val="none" w:sz="0" w:space="0" w:color="auto"/>
      </w:divBdr>
    </w:div>
    <w:div w:id="146628194">
      <w:bodyDiv w:val="1"/>
      <w:marLeft w:val="0"/>
      <w:marRight w:val="0"/>
      <w:marTop w:val="0"/>
      <w:marBottom w:val="0"/>
      <w:divBdr>
        <w:top w:val="none" w:sz="0" w:space="0" w:color="auto"/>
        <w:left w:val="none" w:sz="0" w:space="0" w:color="auto"/>
        <w:bottom w:val="none" w:sz="0" w:space="0" w:color="auto"/>
        <w:right w:val="none" w:sz="0" w:space="0" w:color="auto"/>
      </w:divBdr>
    </w:div>
    <w:div w:id="244924125">
      <w:bodyDiv w:val="1"/>
      <w:marLeft w:val="0"/>
      <w:marRight w:val="0"/>
      <w:marTop w:val="0"/>
      <w:marBottom w:val="0"/>
      <w:divBdr>
        <w:top w:val="none" w:sz="0" w:space="0" w:color="auto"/>
        <w:left w:val="none" w:sz="0" w:space="0" w:color="auto"/>
        <w:bottom w:val="none" w:sz="0" w:space="0" w:color="auto"/>
        <w:right w:val="none" w:sz="0" w:space="0" w:color="auto"/>
      </w:divBdr>
    </w:div>
    <w:div w:id="271598762">
      <w:bodyDiv w:val="1"/>
      <w:marLeft w:val="0"/>
      <w:marRight w:val="0"/>
      <w:marTop w:val="0"/>
      <w:marBottom w:val="0"/>
      <w:divBdr>
        <w:top w:val="none" w:sz="0" w:space="0" w:color="auto"/>
        <w:left w:val="none" w:sz="0" w:space="0" w:color="auto"/>
        <w:bottom w:val="none" w:sz="0" w:space="0" w:color="auto"/>
        <w:right w:val="none" w:sz="0" w:space="0" w:color="auto"/>
      </w:divBdr>
    </w:div>
    <w:div w:id="279725093">
      <w:bodyDiv w:val="1"/>
      <w:marLeft w:val="0"/>
      <w:marRight w:val="0"/>
      <w:marTop w:val="0"/>
      <w:marBottom w:val="0"/>
      <w:divBdr>
        <w:top w:val="none" w:sz="0" w:space="0" w:color="auto"/>
        <w:left w:val="none" w:sz="0" w:space="0" w:color="auto"/>
        <w:bottom w:val="none" w:sz="0" w:space="0" w:color="auto"/>
        <w:right w:val="none" w:sz="0" w:space="0" w:color="auto"/>
      </w:divBdr>
    </w:div>
    <w:div w:id="300353558">
      <w:bodyDiv w:val="1"/>
      <w:marLeft w:val="0"/>
      <w:marRight w:val="0"/>
      <w:marTop w:val="0"/>
      <w:marBottom w:val="0"/>
      <w:divBdr>
        <w:top w:val="none" w:sz="0" w:space="0" w:color="auto"/>
        <w:left w:val="none" w:sz="0" w:space="0" w:color="auto"/>
        <w:bottom w:val="none" w:sz="0" w:space="0" w:color="auto"/>
        <w:right w:val="none" w:sz="0" w:space="0" w:color="auto"/>
      </w:divBdr>
    </w:div>
    <w:div w:id="314649776">
      <w:bodyDiv w:val="1"/>
      <w:marLeft w:val="0"/>
      <w:marRight w:val="0"/>
      <w:marTop w:val="0"/>
      <w:marBottom w:val="0"/>
      <w:divBdr>
        <w:top w:val="none" w:sz="0" w:space="0" w:color="auto"/>
        <w:left w:val="none" w:sz="0" w:space="0" w:color="auto"/>
        <w:bottom w:val="none" w:sz="0" w:space="0" w:color="auto"/>
        <w:right w:val="none" w:sz="0" w:space="0" w:color="auto"/>
      </w:divBdr>
    </w:div>
    <w:div w:id="362438237">
      <w:bodyDiv w:val="1"/>
      <w:marLeft w:val="0"/>
      <w:marRight w:val="0"/>
      <w:marTop w:val="0"/>
      <w:marBottom w:val="0"/>
      <w:divBdr>
        <w:top w:val="none" w:sz="0" w:space="0" w:color="auto"/>
        <w:left w:val="none" w:sz="0" w:space="0" w:color="auto"/>
        <w:bottom w:val="none" w:sz="0" w:space="0" w:color="auto"/>
        <w:right w:val="none" w:sz="0" w:space="0" w:color="auto"/>
      </w:divBdr>
    </w:div>
    <w:div w:id="369578430">
      <w:bodyDiv w:val="1"/>
      <w:marLeft w:val="0"/>
      <w:marRight w:val="0"/>
      <w:marTop w:val="0"/>
      <w:marBottom w:val="0"/>
      <w:divBdr>
        <w:top w:val="none" w:sz="0" w:space="0" w:color="auto"/>
        <w:left w:val="none" w:sz="0" w:space="0" w:color="auto"/>
        <w:bottom w:val="none" w:sz="0" w:space="0" w:color="auto"/>
        <w:right w:val="none" w:sz="0" w:space="0" w:color="auto"/>
      </w:divBdr>
    </w:div>
    <w:div w:id="420880152">
      <w:bodyDiv w:val="1"/>
      <w:marLeft w:val="0"/>
      <w:marRight w:val="0"/>
      <w:marTop w:val="0"/>
      <w:marBottom w:val="0"/>
      <w:divBdr>
        <w:top w:val="none" w:sz="0" w:space="0" w:color="auto"/>
        <w:left w:val="none" w:sz="0" w:space="0" w:color="auto"/>
        <w:bottom w:val="none" w:sz="0" w:space="0" w:color="auto"/>
        <w:right w:val="none" w:sz="0" w:space="0" w:color="auto"/>
      </w:divBdr>
    </w:div>
    <w:div w:id="431825752">
      <w:bodyDiv w:val="1"/>
      <w:marLeft w:val="0"/>
      <w:marRight w:val="0"/>
      <w:marTop w:val="0"/>
      <w:marBottom w:val="0"/>
      <w:divBdr>
        <w:top w:val="none" w:sz="0" w:space="0" w:color="auto"/>
        <w:left w:val="none" w:sz="0" w:space="0" w:color="auto"/>
        <w:bottom w:val="none" w:sz="0" w:space="0" w:color="auto"/>
        <w:right w:val="none" w:sz="0" w:space="0" w:color="auto"/>
      </w:divBdr>
    </w:div>
    <w:div w:id="476150109">
      <w:bodyDiv w:val="1"/>
      <w:marLeft w:val="0"/>
      <w:marRight w:val="0"/>
      <w:marTop w:val="0"/>
      <w:marBottom w:val="0"/>
      <w:divBdr>
        <w:top w:val="none" w:sz="0" w:space="0" w:color="auto"/>
        <w:left w:val="none" w:sz="0" w:space="0" w:color="auto"/>
        <w:bottom w:val="none" w:sz="0" w:space="0" w:color="auto"/>
        <w:right w:val="none" w:sz="0" w:space="0" w:color="auto"/>
      </w:divBdr>
    </w:div>
    <w:div w:id="512690807">
      <w:bodyDiv w:val="1"/>
      <w:marLeft w:val="0"/>
      <w:marRight w:val="0"/>
      <w:marTop w:val="0"/>
      <w:marBottom w:val="0"/>
      <w:divBdr>
        <w:top w:val="none" w:sz="0" w:space="0" w:color="auto"/>
        <w:left w:val="none" w:sz="0" w:space="0" w:color="auto"/>
        <w:bottom w:val="none" w:sz="0" w:space="0" w:color="auto"/>
        <w:right w:val="none" w:sz="0" w:space="0" w:color="auto"/>
      </w:divBdr>
    </w:div>
    <w:div w:id="530192574">
      <w:bodyDiv w:val="1"/>
      <w:marLeft w:val="0"/>
      <w:marRight w:val="0"/>
      <w:marTop w:val="0"/>
      <w:marBottom w:val="0"/>
      <w:divBdr>
        <w:top w:val="none" w:sz="0" w:space="0" w:color="auto"/>
        <w:left w:val="none" w:sz="0" w:space="0" w:color="auto"/>
        <w:bottom w:val="none" w:sz="0" w:space="0" w:color="auto"/>
        <w:right w:val="none" w:sz="0" w:space="0" w:color="auto"/>
      </w:divBdr>
    </w:div>
    <w:div w:id="597641995">
      <w:bodyDiv w:val="1"/>
      <w:marLeft w:val="0"/>
      <w:marRight w:val="0"/>
      <w:marTop w:val="0"/>
      <w:marBottom w:val="0"/>
      <w:divBdr>
        <w:top w:val="none" w:sz="0" w:space="0" w:color="auto"/>
        <w:left w:val="none" w:sz="0" w:space="0" w:color="auto"/>
        <w:bottom w:val="none" w:sz="0" w:space="0" w:color="auto"/>
        <w:right w:val="none" w:sz="0" w:space="0" w:color="auto"/>
      </w:divBdr>
    </w:div>
    <w:div w:id="655694930">
      <w:bodyDiv w:val="1"/>
      <w:marLeft w:val="0"/>
      <w:marRight w:val="0"/>
      <w:marTop w:val="0"/>
      <w:marBottom w:val="0"/>
      <w:divBdr>
        <w:top w:val="none" w:sz="0" w:space="0" w:color="auto"/>
        <w:left w:val="none" w:sz="0" w:space="0" w:color="auto"/>
        <w:bottom w:val="none" w:sz="0" w:space="0" w:color="auto"/>
        <w:right w:val="none" w:sz="0" w:space="0" w:color="auto"/>
      </w:divBdr>
    </w:div>
    <w:div w:id="672340069">
      <w:bodyDiv w:val="1"/>
      <w:marLeft w:val="0"/>
      <w:marRight w:val="0"/>
      <w:marTop w:val="0"/>
      <w:marBottom w:val="0"/>
      <w:divBdr>
        <w:top w:val="none" w:sz="0" w:space="0" w:color="auto"/>
        <w:left w:val="none" w:sz="0" w:space="0" w:color="auto"/>
        <w:bottom w:val="none" w:sz="0" w:space="0" w:color="auto"/>
        <w:right w:val="none" w:sz="0" w:space="0" w:color="auto"/>
      </w:divBdr>
    </w:div>
    <w:div w:id="704643372">
      <w:bodyDiv w:val="1"/>
      <w:marLeft w:val="0"/>
      <w:marRight w:val="0"/>
      <w:marTop w:val="0"/>
      <w:marBottom w:val="0"/>
      <w:divBdr>
        <w:top w:val="none" w:sz="0" w:space="0" w:color="auto"/>
        <w:left w:val="none" w:sz="0" w:space="0" w:color="auto"/>
        <w:bottom w:val="none" w:sz="0" w:space="0" w:color="auto"/>
        <w:right w:val="none" w:sz="0" w:space="0" w:color="auto"/>
      </w:divBdr>
    </w:div>
    <w:div w:id="713120653">
      <w:bodyDiv w:val="1"/>
      <w:marLeft w:val="0"/>
      <w:marRight w:val="0"/>
      <w:marTop w:val="0"/>
      <w:marBottom w:val="0"/>
      <w:divBdr>
        <w:top w:val="none" w:sz="0" w:space="0" w:color="auto"/>
        <w:left w:val="none" w:sz="0" w:space="0" w:color="auto"/>
        <w:bottom w:val="none" w:sz="0" w:space="0" w:color="auto"/>
        <w:right w:val="none" w:sz="0" w:space="0" w:color="auto"/>
      </w:divBdr>
    </w:div>
    <w:div w:id="717701188">
      <w:bodyDiv w:val="1"/>
      <w:marLeft w:val="0"/>
      <w:marRight w:val="0"/>
      <w:marTop w:val="0"/>
      <w:marBottom w:val="0"/>
      <w:divBdr>
        <w:top w:val="none" w:sz="0" w:space="0" w:color="auto"/>
        <w:left w:val="none" w:sz="0" w:space="0" w:color="auto"/>
        <w:bottom w:val="none" w:sz="0" w:space="0" w:color="auto"/>
        <w:right w:val="none" w:sz="0" w:space="0" w:color="auto"/>
      </w:divBdr>
    </w:div>
    <w:div w:id="742990114">
      <w:bodyDiv w:val="1"/>
      <w:marLeft w:val="0"/>
      <w:marRight w:val="0"/>
      <w:marTop w:val="0"/>
      <w:marBottom w:val="0"/>
      <w:divBdr>
        <w:top w:val="none" w:sz="0" w:space="0" w:color="auto"/>
        <w:left w:val="none" w:sz="0" w:space="0" w:color="auto"/>
        <w:bottom w:val="none" w:sz="0" w:space="0" w:color="auto"/>
        <w:right w:val="none" w:sz="0" w:space="0" w:color="auto"/>
      </w:divBdr>
    </w:div>
    <w:div w:id="761605753">
      <w:bodyDiv w:val="1"/>
      <w:marLeft w:val="0"/>
      <w:marRight w:val="0"/>
      <w:marTop w:val="0"/>
      <w:marBottom w:val="0"/>
      <w:divBdr>
        <w:top w:val="none" w:sz="0" w:space="0" w:color="auto"/>
        <w:left w:val="none" w:sz="0" w:space="0" w:color="auto"/>
        <w:bottom w:val="none" w:sz="0" w:space="0" w:color="auto"/>
        <w:right w:val="none" w:sz="0" w:space="0" w:color="auto"/>
      </w:divBdr>
    </w:div>
    <w:div w:id="790392505">
      <w:bodyDiv w:val="1"/>
      <w:marLeft w:val="0"/>
      <w:marRight w:val="0"/>
      <w:marTop w:val="0"/>
      <w:marBottom w:val="0"/>
      <w:divBdr>
        <w:top w:val="none" w:sz="0" w:space="0" w:color="auto"/>
        <w:left w:val="none" w:sz="0" w:space="0" w:color="auto"/>
        <w:bottom w:val="none" w:sz="0" w:space="0" w:color="auto"/>
        <w:right w:val="none" w:sz="0" w:space="0" w:color="auto"/>
      </w:divBdr>
    </w:div>
    <w:div w:id="805661171">
      <w:bodyDiv w:val="1"/>
      <w:marLeft w:val="0"/>
      <w:marRight w:val="0"/>
      <w:marTop w:val="0"/>
      <w:marBottom w:val="0"/>
      <w:divBdr>
        <w:top w:val="none" w:sz="0" w:space="0" w:color="auto"/>
        <w:left w:val="none" w:sz="0" w:space="0" w:color="auto"/>
        <w:bottom w:val="none" w:sz="0" w:space="0" w:color="auto"/>
        <w:right w:val="none" w:sz="0" w:space="0" w:color="auto"/>
      </w:divBdr>
    </w:div>
    <w:div w:id="825783820">
      <w:bodyDiv w:val="1"/>
      <w:marLeft w:val="0"/>
      <w:marRight w:val="0"/>
      <w:marTop w:val="0"/>
      <w:marBottom w:val="0"/>
      <w:divBdr>
        <w:top w:val="none" w:sz="0" w:space="0" w:color="auto"/>
        <w:left w:val="none" w:sz="0" w:space="0" w:color="auto"/>
        <w:bottom w:val="none" w:sz="0" w:space="0" w:color="auto"/>
        <w:right w:val="none" w:sz="0" w:space="0" w:color="auto"/>
      </w:divBdr>
    </w:div>
    <w:div w:id="873078510">
      <w:bodyDiv w:val="1"/>
      <w:marLeft w:val="0"/>
      <w:marRight w:val="0"/>
      <w:marTop w:val="0"/>
      <w:marBottom w:val="0"/>
      <w:divBdr>
        <w:top w:val="none" w:sz="0" w:space="0" w:color="auto"/>
        <w:left w:val="none" w:sz="0" w:space="0" w:color="auto"/>
        <w:bottom w:val="none" w:sz="0" w:space="0" w:color="auto"/>
        <w:right w:val="none" w:sz="0" w:space="0" w:color="auto"/>
      </w:divBdr>
    </w:div>
    <w:div w:id="899170396">
      <w:bodyDiv w:val="1"/>
      <w:marLeft w:val="0"/>
      <w:marRight w:val="0"/>
      <w:marTop w:val="0"/>
      <w:marBottom w:val="0"/>
      <w:divBdr>
        <w:top w:val="none" w:sz="0" w:space="0" w:color="auto"/>
        <w:left w:val="none" w:sz="0" w:space="0" w:color="auto"/>
        <w:bottom w:val="none" w:sz="0" w:space="0" w:color="auto"/>
        <w:right w:val="none" w:sz="0" w:space="0" w:color="auto"/>
      </w:divBdr>
    </w:div>
    <w:div w:id="899246072">
      <w:bodyDiv w:val="1"/>
      <w:marLeft w:val="0"/>
      <w:marRight w:val="0"/>
      <w:marTop w:val="0"/>
      <w:marBottom w:val="0"/>
      <w:divBdr>
        <w:top w:val="none" w:sz="0" w:space="0" w:color="auto"/>
        <w:left w:val="none" w:sz="0" w:space="0" w:color="auto"/>
        <w:bottom w:val="none" w:sz="0" w:space="0" w:color="auto"/>
        <w:right w:val="none" w:sz="0" w:space="0" w:color="auto"/>
      </w:divBdr>
    </w:div>
    <w:div w:id="972831426">
      <w:bodyDiv w:val="1"/>
      <w:marLeft w:val="0"/>
      <w:marRight w:val="0"/>
      <w:marTop w:val="0"/>
      <w:marBottom w:val="0"/>
      <w:divBdr>
        <w:top w:val="none" w:sz="0" w:space="0" w:color="auto"/>
        <w:left w:val="none" w:sz="0" w:space="0" w:color="auto"/>
        <w:bottom w:val="none" w:sz="0" w:space="0" w:color="auto"/>
        <w:right w:val="none" w:sz="0" w:space="0" w:color="auto"/>
      </w:divBdr>
    </w:div>
    <w:div w:id="974602951">
      <w:bodyDiv w:val="1"/>
      <w:marLeft w:val="0"/>
      <w:marRight w:val="0"/>
      <w:marTop w:val="0"/>
      <w:marBottom w:val="0"/>
      <w:divBdr>
        <w:top w:val="none" w:sz="0" w:space="0" w:color="auto"/>
        <w:left w:val="none" w:sz="0" w:space="0" w:color="auto"/>
        <w:bottom w:val="none" w:sz="0" w:space="0" w:color="auto"/>
        <w:right w:val="none" w:sz="0" w:space="0" w:color="auto"/>
      </w:divBdr>
    </w:div>
    <w:div w:id="1028794309">
      <w:bodyDiv w:val="1"/>
      <w:marLeft w:val="0"/>
      <w:marRight w:val="0"/>
      <w:marTop w:val="0"/>
      <w:marBottom w:val="0"/>
      <w:divBdr>
        <w:top w:val="none" w:sz="0" w:space="0" w:color="auto"/>
        <w:left w:val="none" w:sz="0" w:space="0" w:color="auto"/>
        <w:bottom w:val="none" w:sz="0" w:space="0" w:color="auto"/>
        <w:right w:val="none" w:sz="0" w:space="0" w:color="auto"/>
      </w:divBdr>
    </w:div>
    <w:div w:id="1029450240">
      <w:bodyDiv w:val="1"/>
      <w:marLeft w:val="0"/>
      <w:marRight w:val="0"/>
      <w:marTop w:val="0"/>
      <w:marBottom w:val="0"/>
      <w:divBdr>
        <w:top w:val="none" w:sz="0" w:space="0" w:color="auto"/>
        <w:left w:val="none" w:sz="0" w:space="0" w:color="auto"/>
        <w:bottom w:val="none" w:sz="0" w:space="0" w:color="auto"/>
        <w:right w:val="none" w:sz="0" w:space="0" w:color="auto"/>
      </w:divBdr>
    </w:div>
    <w:div w:id="1102184982">
      <w:bodyDiv w:val="1"/>
      <w:marLeft w:val="0"/>
      <w:marRight w:val="0"/>
      <w:marTop w:val="0"/>
      <w:marBottom w:val="0"/>
      <w:divBdr>
        <w:top w:val="none" w:sz="0" w:space="0" w:color="auto"/>
        <w:left w:val="none" w:sz="0" w:space="0" w:color="auto"/>
        <w:bottom w:val="none" w:sz="0" w:space="0" w:color="auto"/>
        <w:right w:val="none" w:sz="0" w:space="0" w:color="auto"/>
      </w:divBdr>
    </w:div>
    <w:div w:id="1128282101">
      <w:bodyDiv w:val="1"/>
      <w:marLeft w:val="0"/>
      <w:marRight w:val="0"/>
      <w:marTop w:val="0"/>
      <w:marBottom w:val="0"/>
      <w:divBdr>
        <w:top w:val="none" w:sz="0" w:space="0" w:color="auto"/>
        <w:left w:val="none" w:sz="0" w:space="0" w:color="auto"/>
        <w:bottom w:val="none" w:sz="0" w:space="0" w:color="auto"/>
        <w:right w:val="none" w:sz="0" w:space="0" w:color="auto"/>
      </w:divBdr>
    </w:div>
    <w:div w:id="1152016722">
      <w:bodyDiv w:val="1"/>
      <w:marLeft w:val="0"/>
      <w:marRight w:val="0"/>
      <w:marTop w:val="0"/>
      <w:marBottom w:val="0"/>
      <w:divBdr>
        <w:top w:val="none" w:sz="0" w:space="0" w:color="auto"/>
        <w:left w:val="none" w:sz="0" w:space="0" w:color="auto"/>
        <w:bottom w:val="none" w:sz="0" w:space="0" w:color="auto"/>
        <w:right w:val="none" w:sz="0" w:space="0" w:color="auto"/>
      </w:divBdr>
    </w:div>
    <w:div w:id="1214775829">
      <w:bodyDiv w:val="1"/>
      <w:marLeft w:val="0"/>
      <w:marRight w:val="0"/>
      <w:marTop w:val="0"/>
      <w:marBottom w:val="0"/>
      <w:divBdr>
        <w:top w:val="none" w:sz="0" w:space="0" w:color="auto"/>
        <w:left w:val="none" w:sz="0" w:space="0" w:color="auto"/>
        <w:bottom w:val="none" w:sz="0" w:space="0" w:color="auto"/>
        <w:right w:val="none" w:sz="0" w:space="0" w:color="auto"/>
      </w:divBdr>
    </w:div>
    <w:div w:id="1223250837">
      <w:bodyDiv w:val="1"/>
      <w:marLeft w:val="0"/>
      <w:marRight w:val="0"/>
      <w:marTop w:val="0"/>
      <w:marBottom w:val="0"/>
      <w:divBdr>
        <w:top w:val="none" w:sz="0" w:space="0" w:color="auto"/>
        <w:left w:val="none" w:sz="0" w:space="0" w:color="auto"/>
        <w:bottom w:val="none" w:sz="0" w:space="0" w:color="auto"/>
        <w:right w:val="none" w:sz="0" w:space="0" w:color="auto"/>
      </w:divBdr>
    </w:div>
    <w:div w:id="1271939747">
      <w:bodyDiv w:val="1"/>
      <w:marLeft w:val="0"/>
      <w:marRight w:val="0"/>
      <w:marTop w:val="0"/>
      <w:marBottom w:val="0"/>
      <w:divBdr>
        <w:top w:val="none" w:sz="0" w:space="0" w:color="auto"/>
        <w:left w:val="none" w:sz="0" w:space="0" w:color="auto"/>
        <w:bottom w:val="none" w:sz="0" w:space="0" w:color="auto"/>
        <w:right w:val="none" w:sz="0" w:space="0" w:color="auto"/>
      </w:divBdr>
    </w:div>
    <w:div w:id="1327516957">
      <w:bodyDiv w:val="1"/>
      <w:marLeft w:val="0"/>
      <w:marRight w:val="0"/>
      <w:marTop w:val="0"/>
      <w:marBottom w:val="0"/>
      <w:divBdr>
        <w:top w:val="none" w:sz="0" w:space="0" w:color="auto"/>
        <w:left w:val="none" w:sz="0" w:space="0" w:color="auto"/>
        <w:bottom w:val="none" w:sz="0" w:space="0" w:color="auto"/>
        <w:right w:val="none" w:sz="0" w:space="0" w:color="auto"/>
      </w:divBdr>
    </w:div>
    <w:div w:id="1412383855">
      <w:bodyDiv w:val="1"/>
      <w:marLeft w:val="0"/>
      <w:marRight w:val="0"/>
      <w:marTop w:val="0"/>
      <w:marBottom w:val="0"/>
      <w:divBdr>
        <w:top w:val="none" w:sz="0" w:space="0" w:color="auto"/>
        <w:left w:val="none" w:sz="0" w:space="0" w:color="auto"/>
        <w:bottom w:val="none" w:sz="0" w:space="0" w:color="auto"/>
        <w:right w:val="none" w:sz="0" w:space="0" w:color="auto"/>
      </w:divBdr>
    </w:div>
    <w:div w:id="1432775233">
      <w:bodyDiv w:val="1"/>
      <w:marLeft w:val="0"/>
      <w:marRight w:val="0"/>
      <w:marTop w:val="0"/>
      <w:marBottom w:val="0"/>
      <w:divBdr>
        <w:top w:val="none" w:sz="0" w:space="0" w:color="auto"/>
        <w:left w:val="none" w:sz="0" w:space="0" w:color="auto"/>
        <w:bottom w:val="none" w:sz="0" w:space="0" w:color="auto"/>
        <w:right w:val="none" w:sz="0" w:space="0" w:color="auto"/>
      </w:divBdr>
    </w:div>
    <w:div w:id="1515531950">
      <w:bodyDiv w:val="1"/>
      <w:marLeft w:val="0"/>
      <w:marRight w:val="0"/>
      <w:marTop w:val="0"/>
      <w:marBottom w:val="0"/>
      <w:divBdr>
        <w:top w:val="none" w:sz="0" w:space="0" w:color="auto"/>
        <w:left w:val="none" w:sz="0" w:space="0" w:color="auto"/>
        <w:bottom w:val="none" w:sz="0" w:space="0" w:color="auto"/>
        <w:right w:val="none" w:sz="0" w:space="0" w:color="auto"/>
      </w:divBdr>
    </w:div>
    <w:div w:id="1527908296">
      <w:bodyDiv w:val="1"/>
      <w:marLeft w:val="0"/>
      <w:marRight w:val="0"/>
      <w:marTop w:val="0"/>
      <w:marBottom w:val="0"/>
      <w:divBdr>
        <w:top w:val="none" w:sz="0" w:space="0" w:color="auto"/>
        <w:left w:val="none" w:sz="0" w:space="0" w:color="auto"/>
        <w:bottom w:val="none" w:sz="0" w:space="0" w:color="auto"/>
        <w:right w:val="none" w:sz="0" w:space="0" w:color="auto"/>
      </w:divBdr>
    </w:div>
    <w:div w:id="1607544390">
      <w:bodyDiv w:val="1"/>
      <w:marLeft w:val="0"/>
      <w:marRight w:val="0"/>
      <w:marTop w:val="0"/>
      <w:marBottom w:val="0"/>
      <w:divBdr>
        <w:top w:val="none" w:sz="0" w:space="0" w:color="auto"/>
        <w:left w:val="none" w:sz="0" w:space="0" w:color="auto"/>
        <w:bottom w:val="none" w:sz="0" w:space="0" w:color="auto"/>
        <w:right w:val="none" w:sz="0" w:space="0" w:color="auto"/>
      </w:divBdr>
    </w:div>
    <w:div w:id="1631471327">
      <w:bodyDiv w:val="1"/>
      <w:marLeft w:val="0"/>
      <w:marRight w:val="0"/>
      <w:marTop w:val="0"/>
      <w:marBottom w:val="0"/>
      <w:divBdr>
        <w:top w:val="none" w:sz="0" w:space="0" w:color="auto"/>
        <w:left w:val="none" w:sz="0" w:space="0" w:color="auto"/>
        <w:bottom w:val="none" w:sz="0" w:space="0" w:color="auto"/>
        <w:right w:val="none" w:sz="0" w:space="0" w:color="auto"/>
      </w:divBdr>
    </w:div>
    <w:div w:id="1755473392">
      <w:bodyDiv w:val="1"/>
      <w:marLeft w:val="0"/>
      <w:marRight w:val="0"/>
      <w:marTop w:val="0"/>
      <w:marBottom w:val="0"/>
      <w:divBdr>
        <w:top w:val="none" w:sz="0" w:space="0" w:color="auto"/>
        <w:left w:val="none" w:sz="0" w:space="0" w:color="auto"/>
        <w:bottom w:val="none" w:sz="0" w:space="0" w:color="auto"/>
        <w:right w:val="none" w:sz="0" w:space="0" w:color="auto"/>
      </w:divBdr>
    </w:div>
    <w:div w:id="1759401590">
      <w:bodyDiv w:val="1"/>
      <w:marLeft w:val="0"/>
      <w:marRight w:val="0"/>
      <w:marTop w:val="0"/>
      <w:marBottom w:val="0"/>
      <w:divBdr>
        <w:top w:val="none" w:sz="0" w:space="0" w:color="auto"/>
        <w:left w:val="none" w:sz="0" w:space="0" w:color="auto"/>
        <w:bottom w:val="none" w:sz="0" w:space="0" w:color="auto"/>
        <w:right w:val="none" w:sz="0" w:space="0" w:color="auto"/>
      </w:divBdr>
    </w:div>
    <w:div w:id="1762215241">
      <w:bodyDiv w:val="1"/>
      <w:marLeft w:val="0"/>
      <w:marRight w:val="0"/>
      <w:marTop w:val="0"/>
      <w:marBottom w:val="0"/>
      <w:divBdr>
        <w:top w:val="none" w:sz="0" w:space="0" w:color="auto"/>
        <w:left w:val="none" w:sz="0" w:space="0" w:color="auto"/>
        <w:bottom w:val="none" w:sz="0" w:space="0" w:color="auto"/>
        <w:right w:val="none" w:sz="0" w:space="0" w:color="auto"/>
      </w:divBdr>
    </w:div>
    <w:div w:id="1772049212">
      <w:bodyDiv w:val="1"/>
      <w:marLeft w:val="0"/>
      <w:marRight w:val="0"/>
      <w:marTop w:val="0"/>
      <w:marBottom w:val="0"/>
      <w:divBdr>
        <w:top w:val="none" w:sz="0" w:space="0" w:color="auto"/>
        <w:left w:val="none" w:sz="0" w:space="0" w:color="auto"/>
        <w:bottom w:val="none" w:sz="0" w:space="0" w:color="auto"/>
        <w:right w:val="none" w:sz="0" w:space="0" w:color="auto"/>
      </w:divBdr>
    </w:div>
    <w:div w:id="1837764739">
      <w:bodyDiv w:val="1"/>
      <w:marLeft w:val="0"/>
      <w:marRight w:val="0"/>
      <w:marTop w:val="0"/>
      <w:marBottom w:val="0"/>
      <w:divBdr>
        <w:top w:val="none" w:sz="0" w:space="0" w:color="auto"/>
        <w:left w:val="none" w:sz="0" w:space="0" w:color="auto"/>
        <w:bottom w:val="none" w:sz="0" w:space="0" w:color="auto"/>
        <w:right w:val="none" w:sz="0" w:space="0" w:color="auto"/>
      </w:divBdr>
    </w:div>
    <w:div w:id="1860240174">
      <w:bodyDiv w:val="1"/>
      <w:marLeft w:val="0"/>
      <w:marRight w:val="0"/>
      <w:marTop w:val="0"/>
      <w:marBottom w:val="0"/>
      <w:divBdr>
        <w:top w:val="none" w:sz="0" w:space="0" w:color="auto"/>
        <w:left w:val="none" w:sz="0" w:space="0" w:color="auto"/>
        <w:bottom w:val="none" w:sz="0" w:space="0" w:color="auto"/>
        <w:right w:val="none" w:sz="0" w:space="0" w:color="auto"/>
      </w:divBdr>
    </w:div>
    <w:div w:id="1930111923">
      <w:bodyDiv w:val="1"/>
      <w:marLeft w:val="0"/>
      <w:marRight w:val="0"/>
      <w:marTop w:val="0"/>
      <w:marBottom w:val="0"/>
      <w:divBdr>
        <w:top w:val="none" w:sz="0" w:space="0" w:color="auto"/>
        <w:left w:val="none" w:sz="0" w:space="0" w:color="auto"/>
        <w:bottom w:val="none" w:sz="0" w:space="0" w:color="auto"/>
        <w:right w:val="none" w:sz="0" w:space="0" w:color="auto"/>
      </w:divBdr>
    </w:div>
    <w:div w:id="1968319750">
      <w:bodyDiv w:val="1"/>
      <w:marLeft w:val="0"/>
      <w:marRight w:val="0"/>
      <w:marTop w:val="0"/>
      <w:marBottom w:val="0"/>
      <w:divBdr>
        <w:top w:val="none" w:sz="0" w:space="0" w:color="auto"/>
        <w:left w:val="none" w:sz="0" w:space="0" w:color="auto"/>
        <w:bottom w:val="none" w:sz="0" w:space="0" w:color="auto"/>
        <w:right w:val="none" w:sz="0" w:space="0" w:color="auto"/>
      </w:divBdr>
    </w:div>
    <w:div w:id="1972396167">
      <w:bodyDiv w:val="1"/>
      <w:marLeft w:val="0"/>
      <w:marRight w:val="0"/>
      <w:marTop w:val="0"/>
      <w:marBottom w:val="0"/>
      <w:divBdr>
        <w:top w:val="none" w:sz="0" w:space="0" w:color="auto"/>
        <w:left w:val="none" w:sz="0" w:space="0" w:color="auto"/>
        <w:bottom w:val="none" w:sz="0" w:space="0" w:color="auto"/>
        <w:right w:val="none" w:sz="0" w:space="0" w:color="auto"/>
      </w:divBdr>
    </w:div>
    <w:div w:id="2053187127">
      <w:bodyDiv w:val="1"/>
      <w:marLeft w:val="0"/>
      <w:marRight w:val="0"/>
      <w:marTop w:val="0"/>
      <w:marBottom w:val="0"/>
      <w:divBdr>
        <w:top w:val="none" w:sz="0" w:space="0" w:color="auto"/>
        <w:left w:val="none" w:sz="0" w:space="0" w:color="auto"/>
        <w:bottom w:val="none" w:sz="0" w:space="0" w:color="auto"/>
        <w:right w:val="none" w:sz="0" w:space="0" w:color="auto"/>
      </w:divBdr>
    </w:div>
    <w:div w:id="2058163659">
      <w:bodyDiv w:val="1"/>
      <w:marLeft w:val="0"/>
      <w:marRight w:val="0"/>
      <w:marTop w:val="0"/>
      <w:marBottom w:val="0"/>
      <w:divBdr>
        <w:top w:val="none" w:sz="0" w:space="0" w:color="auto"/>
        <w:left w:val="none" w:sz="0" w:space="0" w:color="auto"/>
        <w:bottom w:val="none" w:sz="0" w:space="0" w:color="auto"/>
        <w:right w:val="none" w:sz="0" w:space="0" w:color="auto"/>
      </w:divBdr>
    </w:div>
    <w:div w:id="2081323323">
      <w:bodyDiv w:val="1"/>
      <w:marLeft w:val="0"/>
      <w:marRight w:val="0"/>
      <w:marTop w:val="0"/>
      <w:marBottom w:val="0"/>
      <w:divBdr>
        <w:top w:val="none" w:sz="0" w:space="0" w:color="auto"/>
        <w:left w:val="none" w:sz="0" w:space="0" w:color="auto"/>
        <w:bottom w:val="none" w:sz="0" w:space="0" w:color="auto"/>
        <w:right w:val="none" w:sz="0" w:space="0" w:color="auto"/>
      </w:divBdr>
    </w:div>
    <w:div w:id="2113696130">
      <w:bodyDiv w:val="1"/>
      <w:marLeft w:val="0"/>
      <w:marRight w:val="0"/>
      <w:marTop w:val="0"/>
      <w:marBottom w:val="0"/>
      <w:divBdr>
        <w:top w:val="none" w:sz="0" w:space="0" w:color="auto"/>
        <w:left w:val="none" w:sz="0" w:space="0" w:color="auto"/>
        <w:bottom w:val="none" w:sz="0" w:space="0" w:color="auto"/>
        <w:right w:val="none" w:sz="0" w:space="0" w:color="auto"/>
      </w:divBdr>
    </w:div>
    <w:div w:id="2115203490">
      <w:bodyDiv w:val="1"/>
      <w:marLeft w:val="0"/>
      <w:marRight w:val="0"/>
      <w:marTop w:val="0"/>
      <w:marBottom w:val="0"/>
      <w:divBdr>
        <w:top w:val="none" w:sz="0" w:space="0" w:color="auto"/>
        <w:left w:val="none" w:sz="0" w:space="0" w:color="auto"/>
        <w:bottom w:val="none" w:sz="0" w:space="0" w:color="auto"/>
        <w:right w:val="none" w:sz="0" w:space="0" w:color="auto"/>
      </w:divBdr>
    </w:div>
    <w:div w:id="2118063640">
      <w:bodyDiv w:val="1"/>
      <w:marLeft w:val="0"/>
      <w:marRight w:val="0"/>
      <w:marTop w:val="0"/>
      <w:marBottom w:val="0"/>
      <w:divBdr>
        <w:top w:val="none" w:sz="0" w:space="0" w:color="auto"/>
        <w:left w:val="none" w:sz="0" w:space="0" w:color="auto"/>
        <w:bottom w:val="none" w:sz="0" w:space="0" w:color="auto"/>
        <w:right w:val="none" w:sz="0" w:space="0" w:color="auto"/>
      </w:divBdr>
    </w:div>
    <w:div w:id="21246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epoint/corpid/Avista%20Logo%20and%20Energy%20Source%20Artwork/Avista_opt4_UL_GRN_1in_CMYK_3pl.jpg"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ustomXml" Target="../customXml/item5.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2013-11-01T07:00:00+00:00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EE1DE86796ED4FB8D15861B780C117" ma:contentTypeVersion="135" ma:contentTypeDescription="" ma:contentTypeScope="" ma:versionID="902bf613381097204789305368f301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12076-1A91-4552-86BE-6EECB00822EA}"/>
</file>

<file path=customXml/itemProps2.xml><?xml version="1.0" encoding="utf-8"?>
<ds:datastoreItem xmlns:ds="http://schemas.openxmlformats.org/officeDocument/2006/customXml" ds:itemID="{62EB67F9-804F-4F85-9BE2-A5CA2D88D448}"/>
</file>

<file path=customXml/itemProps3.xml><?xml version="1.0" encoding="utf-8"?>
<ds:datastoreItem xmlns:ds="http://schemas.openxmlformats.org/officeDocument/2006/customXml" ds:itemID="{1957A303-AA71-4E0F-A1A5-ABB70D52829C}"/>
</file>

<file path=customXml/itemProps4.xml><?xml version="1.0" encoding="utf-8"?>
<ds:datastoreItem xmlns:ds="http://schemas.openxmlformats.org/officeDocument/2006/customXml" ds:itemID="{AF6E4EA8-315F-4E1F-A7AB-B5272B4B80E2}"/>
</file>

<file path=customXml/itemProps5.xml><?xml version="1.0" encoding="utf-8"?>
<ds:datastoreItem xmlns:ds="http://schemas.openxmlformats.org/officeDocument/2006/customXml" ds:itemID="{5C20C7EF-BC9B-40FC-9406-F1E44E2A728A}"/>
</file>

<file path=docProps/app.xml><?xml version="1.0" encoding="utf-8"?>
<Properties xmlns="http://schemas.openxmlformats.org/officeDocument/2006/extended-properties" xmlns:vt="http://schemas.openxmlformats.org/officeDocument/2006/docPropsVTypes">
  <Template>Normal</Template>
  <TotalTime>164</TotalTime>
  <Pages>11</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jp4047</dc:creator>
  <cp:lastModifiedBy>Gervais, Linda</cp:lastModifiedBy>
  <cp:revision>10</cp:revision>
  <cp:lastPrinted>2015-09-29T18:24:00Z</cp:lastPrinted>
  <dcterms:created xsi:type="dcterms:W3CDTF">2016-05-31T14:58:00Z</dcterms:created>
  <dcterms:modified xsi:type="dcterms:W3CDTF">2016-06-01T16:40:00Z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0x0101006E56B4D1795A2E4DB2F0B01679ED314A0046EE1DE86796ED4FB8D15861B780C117</vt:lpwstr>
  </property>
  <property fmtid="{D5CDD505-2E9C-101B-9397-08002B2CF9AE}" pid="3" name="_docset_NoMedatataSyncRequired">
    <vt:lpwstr>False</vt:lpwstr>
  </property>
</Properties>
</file>