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B3EA" w14:textId="77777777" w:rsidR="00F229FD" w:rsidRPr="00917E5F" w:rsidRDefault="00F229FD" w:rsidP="00F229FD">
      <w:pPr>
        <w:outlineLvl w:val="0"/>
        <w:rPr>
          <w:rFonts w:ascii="Times New Roman" w:hAnsi="Times New Roman"/>
        </w:rPr>
      </w:pPr>
      <w:bookmarkStart w:id="0" w:name="_GoBack"/>
      <w:bookmarkEnd w:id="0"/>
      <w:r w:rsidRPr="00917E5F">
        <w:rPr>
          <w:rFonts w:ascii="Times New Roman" w:hAnsi="Times New Roman"/>
        </w:rPr>
        <w:t>Agenda Date:</w:t>
      </w:r>
      <w:r w:rsidRPr="00917E5F">
        <w:rPr>
          <w:rFonts w:ascii="Times New Roman" w:hAnsi="Times New Roman"/>
        </w:rPr>
        <w:tab/>
      </w:r>
      <w:r w:rsidRPr="00917E5F">
        <w:rPr>
          <w:rFonts w:ascii="Times New Roman" w:hAnsi="Times New Roman"/>
        </w:rPr>
        <w:tab/>
      </w:r>
      <w:r w:rsidR="00C76F69" w:rsidRPr="00917E5F">
        <w:rPr>
          <w:rFonts w:ascii="Times New Roman" w:hAnsi="Times New Roman"/>
        </w:rPr>
        <w:t>May 9</w:t>
      </w:r>
      <w:r w:rsidR="009835A9" w:rsidRPr="00917E5F">
        <w:rPr>
          <w:rFonts w:ascii="Times New Roman" w:hAnsi="Times New Roman"/>
        </w:rPr>
        <w:t>, 2013</w:t>
      </w:r>
    </w:p>
    <w:p w14:paraId="15A4B3EB" w14:textId="607C3BF5" w:rsidR="00F229FD" w:rsidRPr="00917E5F" w:rsidRDefault="00F229FD" w:rsidP="00F229FD">
      <w:pPr>
        <w:ind w:left="2160" w:hanging="216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Item Number:</w:t>
      </w:r>
      <w:r w:rsidRPr="00917E5F">
        <w:rPr>
          <w:rFonts w:ascii="Times New Roman" w:hAnsi="Times New Roman"/>
        </w:rPr>
        <w:tab/>
      </w:r>
      <w:r w:rsidR="00D2193B">
        <w:rPr>
          <w:rFonts w:ascii="Times New Roman" w:hAnsi="Times New Roman"/>
        </w:rPr>
        <w:t>A3</w:t>
      </w:r>
    </w:p>
    <w:p w14:paraId="15A4B3EC" w14:textId="77777777" w:rsidR="00F229FD" w:rsidRPr="00917E5F" w:rsidRDefault="00F229FD" w:rsidP="00F229FD">
      <w:pPr>
        <w:rPr>
          <w:rFonts w:ascii="Times New Roman" w:hAnsi="Times New Roman"/>
        </w:rPr>
      </w:pPr>
    </w:p>
    <w:p w14:paraId="15A4B3ED" w14:textId="77777777" w:rsidR="00F229FD" w:rsidRPr="00917E5F" w:rsidRDefault="009835A9" w:rsidP="00F229FD">
      <w:pPr>
        <w:rPr>
          <w:rFonts w:ascii="Times New Roman" w:hAnsi="Times New Roman"/>
          <w:b/>
          <w:bCs/>
        </w:rPr>
      </w:pPr>
      <w:r w:rsidRPr="00917E5F">
        <w:rPr>
          <w:rFonts w:ascii="Times New Roman" w:hAnsi="Times New Roman"/>
          <w:b/>
          <w:bCs/>
        </w:rPr>
        <w:t>Docket:</w:t>
      </w:r>
      <w:r w:rsidRPr="00917E5F">
        <w:rPr>
          <w:rFonts w:ascii="Times New Roman" w:hAnsi="Times New Roman"/>
          <w:b/>
          <w:bCs/>
        </w:rPr>
        <w:tab/>
      </w:r>
      <w:r w:rsidRPr="00917E5F">
        <w:rPr>
          <w:rFonts w:ascii="Times New Roman" w:hAnsi="Times New Roman"/>
          <w:b/>
          <w:bCs/>
        </w:rPr>
        <w:tab/>
        <w:t>UG-130461</w:t>
      </w:r>
    </w:p>
    <w:p w14:paraId="15A4B3EE" w14:textId="77777777" w:rsidR="00F229FD" w:rsidRPr="00917E5F" w:rsidRDefault="00F229FD" w:rsidP="00F229FD">
      <w:pPr>
        <w:rPr>
          <w:rFonts w:ascii="Times New Roman" w:hAnsi="Times New Roman"/>
        </w:rPr>
      </w:pPr>
      <w:r w:rsidRPr="00917E5F">
        <w:rPr>
          <w:rFonts w:ascii="Times New Roman" w:hAnsi="Times New Roman"/>
        </w:rPr>
        <w:t>Company:</w:t>
      </w:r>
      <w:r w:rsidRPr="00917E5F">
        <w:rPr>
          <w:rFonts w:ascii="Times New Roman" w:hAnsi="Times New Roman"/>
        </w:rPr>
        <w:tab/>
      </w:r>
      <w:r w:rsidRPr="00917E5F">
        <w:rPr>
          <w:rFonts w:ascii="Times New Roman" w:hAnsi="Times New Roman"/>
        </w:rPr>
        <w:tab/>
      </w:r>
      <w:r w:rsidR="009835A9" w:rsidRPr="00917E5F">
        <w:rPr>
          <w:rFonts w:ascii="Times New Roman" w:hAnsi="Times New Roman"/>
        </w:rPr>
        <w:t>Cascade Natural Gas Corporation</w:t>
      </w:r>
    </w:p>
    <w:p w14:paraId="15A4B3EF" w14:textId="77777777" w:rsidR="00F229FD" w:rsidRPr="00917E5F" w:rsidRDefault="00F229FD" w:rsidP="00F229FD">
      <w:pPr>
        <w:rPr>
          <w:rFonts w:ascii="Times New Roman" w:hAnsi="Times New Roman"/>
        </w:rPr>
      </w:pPr>
    </w:p>
    <w:p w14:paraId="15A4B3F0" w14:textId="77777777" w:rsidR="00F229FD" w:rsidRPr="00917E5F" w:rsidRDefault="00F229FD" w:rsidP="00F229FD">
      <w:pPr>
        <w:rPr>
          <w:rFonts w:ascii="Times New Roman" w:hAnsi="Times New Roman"/>
        </w:rPr>
      </w:pPr>
      <w:r w:rsidRPr="00917E5F">
        <w:rPr>
          <w:rFonts w:ascii="Times New Roman" w:hAnsi="Times New Roman"/>
        </w:rPr>
        <w:t>Staff:</w:t>
      </w:r>
      <w:r w:rsidRPr="00917E5F">
        <w:rPr>
          <w:rFonts w:ascii="Times New Roman" w:hAnsi="Times New Roman"/>
        </w:rPr>
        <w:tab/>
      </w:r>
      <w:r w:rsidRPr="00917E5F">
        <w:rPr>
          <w:rFonts w:ascii="Times New Roman" w:hAnsi="Times New Roman"/>
        </w:rPr>
        <w:tab/>
      </w:r>
      <w:r w:rsidRPr="00917E5F">
        <w:rPr>
          <w:rFonts w:ascii="Times New Roman" w:hAnsi="Times New Roman"/>
        </w:rPr>
        <w:tab/>
      </w:r>
      <w:r w:rsidR="00C76F69" w:rsidRPr="00917E5F">
        <w:rPr>
          <w:rFonts w:ascii="Times New Roman" w:hAnsi="Times New Roman"/>
        </w:rPr>
        <w:t>Deborah Reynolds, Assistant Director</w:t>
      </w:r>
    </w:p>
    <w:p w14:paraId="15A4B3F1" w14:textId="77777777" w:rsidR="009E7CC1" w:rsidRDefault="009E7CC1" w:rsidP="00F229FD">
      <w:pPr>
        <w:rPr>
          <w:rFonts w:ascii="Times New Roman" w:hAnsi="Times New Roman"/>
        </w:rPr>
      </w:pPr>
    </w:p>
    <w:p w14:paraId="15A4B3F3" w14:textId="77777777" w:rsidR="00F229FD" w:rsidRPr="00917E5F" w:rsidRDefault="00F229FD" w:rsidP="00F229FD">
      <w:pPr>
        <w:rPr>
          <w:rFonts w:ascii="Times New Roman" w:hAnsi="Times New Roman"/>
        </w:rPr>
      </w:pPr>
      <w:r w:rsidRPr="00917E5F">
        <w:rPr>
          <w:rFonts w:ascii="Times New Roman" w:hAnsi="Times New Roman"/>
        </w:rPr>
        <w:tab/>
      </w:r>
      <w:r w:rsidRPr="00917E5F">
        <w:rPr>
          <w:rFonts w:ascii="Times New Roman" w:hAnsi="Times New Roman"/>
        </w:rPr>
        <w:tab/>
      </w:r>
      <w:r w:rsidRPr="00917E5F">
        <w:rPr>
          <w:rFonts w:ascii="Times New Roman" w:hAnsi="Times New Roman"/>
        </w:rPr>
        <w:tab/>
      </w:r>
    </w:p>
    <w:p w14:paraId="15A4B3F4" w14:textId="77777777" w:rsidR="00F229FD" w:rsidRPr="00917E5F" w:rsidRDefault="00F229FD" w:rsidP="00F229FD">
      <w:pPr>
        <w:outlineLvl w:val="0"/>
        <w:rPr>
          <w:rFonts w:ascii="Times New Roman" w:hAnsi="Times New Roman"/>
          <w:b/>
          <w:bCs/>
          <w:u w:val="single"/>
        </w:rPr>
      </w:pPr>
      <w:r w:rsidRPr="00917E5F">
        <w:rPr>
          <w:rFonts w:ascii="Times New Roman" w:hAnsi="Times New Roman"/>
          <w:b/>
          <w:bCs/>
          <w:u w:val="single"/>
        </w:rPr>
        <w:t>Recommendation</w:t>
      </w:r>
    </w:p>
    <w:p w14:paraId="15A4B3F5" w14:textId="77777777" w:rsidR="00F229FD" w:rsidRDefault="00F229FD" w:rsidP="00F229FD">
      <w:pPr>
        <w:rPr>
          <w:rFonts w:ascii="Times New Roman" w:hAnsi="Times New Roman"/>
        </w:rPr>
      </w:pPr>
    </w:p>
    <w:p w14:paraId="15A4B3F6" w14:textId="77777777" w:rsidR="00C76F69" w:rsidRPr="00917E5F" w:rsidRDefault="00C76F69" w:rsidP="00C76F69">
      <w:pPr>
        <w:rPr>
          <w:rFonts w:ascii="Times New Roman" w:hAnsi="Times New Roman"/>
        </w:rPr>
      </w:pPr>
      <w:r w:rsidRPr="00917E5F">
        <w:rPr>
          <w:rFonts w:ascii="Times New Roman" w:hAnsi="Times New Roman"/>
        </w:rPr>
        <w:t>Allow the tariff changes</w:t>
      </w:r>
      <w:r w:rsidR="00AA7CA1" w:rsidRPr="00917E5F">
        <w:rPr>
          <w:rFonts w:ascii="Times New Roman" w:hAnsi="Times New Roman"/>
        </w:rPr>
        <w:t xml:space="preserve"> filed by Cascade Natural Gas Corporation</w:t>
      </w:r>
      <w:r w:rsidRPr="00917E5F">
        <w:rPr>
          <w:rFonts w:ascii="Times New Roman" w:hAnsi="Times New Roman"/>
        </w:rPr>
        <w:t xml:space="preserve"> in </w:t>
      </w:r>
      <w:r w:rsidR="00AA7CA1" w:rsidRPr="00917E5F">
        <w:rPr>
          <w:rFonts w:ascii="Times New Roman" w:hAnsi="Times New Roman"/>
        </w:rPr>
        <w:t xml:space="preserve">Docket </w:t>
      </w:r>
      <w:r w:rsidRPr="00917E5F">
        <w:rPr>
          <w:rFonts w:ascii="Times New Roman" w:hAnsi="Times New Roman"/>
        </w:rPr>
        <w:t>UG-130461</w:t>
      </w:r>
      <w:r w:rsidR="00A230FB" w:rsidRPr="00917E5F">
        <w:rPr>
          <w:rFonts w:ascii="Times New Roman" w:hAnsi="Times New Roman"/>
        </w:rPr>
        <w:t xml:space="preserve"> on March 29, 2013, and finally revised on May 2, 2013,</w:t>
      </w:r>
      <w:r w:rsidRPr="00917E5F">
        <w:rPr>
          <w:rFonts w:ascii="Times New Roman" w:hAnsi="Times New Roman"/>
        </w:rPr>
        <w:t xml:space="preserve"> to become effective May 10, 2013, by operation of law. </w:t>
      </w:r>
    </w:p>
    <w:p w14:paraId="15A4B3F7" w14:textId="77777777" w:rsidR="00F229FD" w:rsidRDefault="00F229FD" w:rsidP="00F229FD">
      <w:pPr>
        <w:rPr>
          <w:rFonts w:ascii="Times New Roman" w:hAnsi="Times New Roman"/>
        </w:rPr>
      </w:pPr>
    </w:p>
    <w:p w14:paraId="15A4B3F8" w14:textId="77777777" w:rsidR="009E7CC1" w:rsidRPr="00917E5F" w:rsidRDefault="009E7CC1" w:rsidP="00F229FD">
      <w:pPr>
        <w:rPr>
          <w:rFonts w:ascii="Times New Roman" w:hAnsi="Times New Roman"/>
        </w:rPr>
      </w:pPr>
    </w:p>
    <w:p w14:paraId="15A4B3F9" w14:textId="77777777" w:rsidR="00F229FD" w:rsidRPr="00917E5F" w:rsidRDefault="00F229FD" w:rsidP="00F229FD">
      <w:pPr>
        <w:outlineLvl w:val="0"/>
        <w:rPr>
          <w:rFonts w:ascii="Times New Roman" w:hAnsi="Times New Roman"/>
          <w:b/>
          <w:u w:val="single"/>
        </w:rPr>
      </w:pPr>
      <w:r w:rsidRPr="00917E5F">
        <w:rPr>
          <w:rFonts w:ascii="Times New Roman" w:hAnsi="Times New Roman"/>
          <w:b/>
          <w:u w:val="single"/>
        </w:rPr>
        <w:t>Background</w:t>
      </w:r>
    </w:p>
    <w:p w14:paraId="15A4B3FA" w14:textId="77777777" w:rsidR="006B0141" w:rsidRPr="00917E5F" w:rsidRDefault="006B0141" w:rsidP="00F229FD">
      <w:pPr>
        <w:outlineLvl w:val="0"/>
        <w:rPr>
          <w:rFonts w:ascii="Times New Roman" w:hAnsi="Times New Roman"/>
          <w:b/>
          <w:u w:val="single"/>
        </w:rPr>
      </w:pPr>
    </w:p>
    <w:p w14:paraId="15A4B3FB" w14:textId="7BAB1576" w:rsidR="00AA7CA1" w:rsidRPr="00917E5F" w:rsidRDefault="00AA7CA1" w:rsidP="00F229FD">
      <w:p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On March 29, 2013, Cascade Natural Gas Corporation (Cascade</w:t>
      </w:r>
      <w:r w:rsidR="00603F67">
        <w:rPr>
          <w:rFonts w:ascii="Times New Roman" w:hAnsi="Times New Roman"/>
        </w:rPr>
        <w:t xml:space="preserve"> or company</w:t>
      </w:r>
      <w:r w:rsidRPr="00917E5F">
        <w:rPr>
          <w:rFonts w:ascii="Times New Roman" w:hAnsi="Times New Roman"/>
        </w:rPr>
        <w:t xml:space="preserve">) filed revisions to its Residential, Commercial/Industrial, and Low-Income Conservation Programs. </w:t>
      </w:r>
      <w:r w:rsidR="0000669A" w:rsidRPr="00917E5F">
        <w:rPr>
          <w:rFonts w:ascii="Times New Roman" w:hAnsi="Times New Roman"/>
        </w:rPr>
        <w:t xml:space="preserve">This filing is the result of the planning Cascade undertook during the development of its 2012 </w:t>
      </w:r>
      <w:r w:rsidRPr="00917E5F">
        <w:rPr>
          <w:rFonts w:ascii="Times New Roman" w:hAnsi="Times New Roman"/>
        </w:rPr>
        <w:t>integrated resource plan.</w:t>
      </w:r>
      <w:r w:rsidRPr="00917E5F">
        <w:rPr>
          <w:rStyle w:val="FootnoteReference"/>
          <w:rFonts w:ascii="Times New Roman" w:hAnsi="Times New Roman"/>
        </w:rPr>
        <w:footnoteReference w:id="1"/>
      </w:r>
      <w:r w:rsidRPr="00917E5F">
        <w:rPr>
          <w:rFonts w:ascii="Times New Roman" w:hAnsi="Times New Roman"/>
        </w:rPr>
        <w:t xml:space="preserve"> </w:t>
      </w:r>
      <w:r w:rsidR="008F0A20" w:rsidRPr="00917E5F">
        <w:rPr>
          <w:rFonts w:ascii="Times New Roman" w:hAnsi="Times New Roman"/>
        </w:rPr>
        <w:t>Cascade’s IRP identified the following internal savings targets for 2013 and 2014.</w:t>
      </w:r>
      <w:r w:rsidR="00862D8B">
        <w:rPr>
          <w:rFonts w:ascii="Times New Roman" w:hAnsi="Times New Roman"/>
        </w:rPr>
        <w:t xml:space="preserve"> The company’s conservation potential is currently being updated through a new conservation potential assessment, which is expected to significantly revise targets going forward.</w:t>
      </w:r>
    </w:p>
    <w:p w14:paraId="15A4B3FC" w14:textId="77777777" w:rsidR="00CF625E" w:rsidRDefault="00CF625E" w:rsidP="00F229FD">
      <w:pPr>
        <w:outlineLvl w:val="0"/>
        <w:rPr>
          <w:rFonts w:ascii="Times New Roman" w:hAnsi="Times New Roman"/>
        </w:rPr>
      </w:pPr>
    </w:p>
    <w:p w14:paraId="15A4B3FD" w14:textId="77777777" w:rsidR="009E7CC1" w:rsidRPr="00917E5F" w:rsidRDefault="009E7CC1" w:rsidP="00F229FD">
      <w:pPr>
        <w:outlineLvl w:val="0"/>
        <w:rPr>
          <w:rFonts w:ascii="Times New Roman" w:hAnsi="Times New Roman"/>
        </w:rPr>
      </w:pPr>
    </w:p>
    <w:tbl>
      <w:tblPr>
        <w:tblW w:w="9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700"/>
      </w:tblGrid>
      <w:tr w:rsidR="00A230FB" w:rsidRPr="00917E5F" w14:paraId="15A4B402" w14:textId="77777777" w:rsidTr="00A230FB">
        <w:trPr>
          <w:trHeight w:val="281"/>
        </w:trPr>
        <w:tc>
          <w:tcPr>
            <w:tcW w:w="3708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5A4B3FE" w14:textId="77777777" w:rsidR="00A230FB" w:rsidRPr="00917E5F" w:rsidRDefault="00A230FB" w:rsidP="00203044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15A4B3FF" w14:textId="77777777" w:rsidR="00A230FB" w:rsidRPr="00917E5F" w:rsidRDefault="00A230FB" w:rsidP="008F0A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17E5F">
              <w:rPr>
                <w:rFonts w:ascii="Times New Roman" w:hAnsi="Times New Roman"/>
                <w:b/>
                <w:bCs/>
              </w:rPr>
              <w:t xml:space="preserve">Gas </w:t>
            </w:r>
            <w:r w:rsidR="008F0A20" w:rsidRPr="00917E5F">
              <w:rPr>
                <w:rFonts w:ascii="Times New Roman" w:hAnsi="Times New Roman"/>
                <w:b/>
                <w:bCs/>
              </w:rPr>
              <w:t>Conservation</w:t>
            </w:r>
            <w:r w:rsidRPr="00917E5F">
              <w:rPr>
                <w:rFonts w:ascii="Times New Roman" w:hAnsi="Times New Roman"/>
                <w:b/>
                <w:bCs/>
              </w:rPr>
              <w:t xml:space="preserve"> Services</w:t>
            </w:r>
            <w:r w:rsidR="00CF625E" w:rsidRPr="00917E5F"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14:paraId="15A4B400" w14:textId="77777777" w:rsidR="00A230FB" w:rsidRPr="00917E5F" w:rsidRDefault="00A230FB" w:rsidP="00CF625E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17E5F">
              <w:rPr>
                <w:rFonts w:ascii="Times New Roman" w:hAnsi="Times New Roman"/>
                <w:b/>
                <w:bCs/>
              </w:rPr>
              <w:t xml:space="preserve">2013 </w:t>
            </w:r>
            <w:r w:rsidR="00CF625E" w:rsidRPr="00917E5F">
              <w:rPr>
                <w:rFonts w:ascii="Times New Roman" w:hAnsi="Times New Roman"/>
                <w:b/>
                <w:bCs/>
              </w:rPr>
              <w:t>Internal Savings Targets</w:t>
            </w:r>
            <w:r w:rsidRPr="00917E5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15A4B401" w14:textId="77777777" w:rsidR="00A230FB" w:rsidRPr="00917E5F" w:rsidRDefault="00A230FB" w:rsidP="00CF625E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17E5F">
              <w:rPr>
                <w:rFonts w:ascii="Times New Roman" w:hAnsi="Times New Roman"/>
                <w:b/>
                <w:bCs/>
              </w:rPr>
              <w:t xml:space="preserve">2014 </w:t>
            </w:r>
            <w:r w:rsidR="00CF625E" w:rsidRPr="00917E5F">
              <w:rPr>
                <w:rFonts w:ascii="Times New Roman" w:hAnsi="Times New Roman"/>
                <w:b/>
                <w:bCs/>
              </w:rPr>
              <w:t>Internal</w:t>
            </w:r>
            <w:r w:rsidRPr="00917E5F">
              <w:rPr>
                <w:rFonts w:ascii="Times New Roman" w:hAnsi="Times New Roman"/>
                <w:b/>
                <w:bCs/>
              </w:rPr>
              <w:t xml:space="preserve"> Savings</w:t>
            </w:r>
            <w:r w:rsidR="00CF625E" w:rsidRPr="00917E5F">
              <w:rPr>
                <w:rFonts w:ascii="Times New Roman" w:hAnsi="Times New Roman"/>
                <w:b/>
                <w:bCs/>
              </w:rPr>
              <w:t xml:space="preserve"> Targets</w:t>
            </w:r>
          </w:p>
        </w:tc>
      </w:tr>
      <w:tr w:rsidR="00A230FB" w:rsidRPr="00917E5F" w14:paraId="15A4B406" w14:textId="77777777" w:rsidTr="00A230FB">
        <w:trPr>
          <w:trHeight w:val="293"/>
        </w:trPr>
        <w:tc>
          <w:tcPr>
            <w:tcW w:w="3708" w:type="dxa"/>
            <w:tcBorders>
              <w:left w:val="nil"/>
            </w:tcBorders>
            <w:shd w:val="clear" w:color="auto" w:fill="auto"/>
          </w:tcPr>
          <w:p w14:paraId="15A4B403" w14:textId="77777777" w:rsidR="00A230FB" w:rsidRPr="00917E5F" w:rsidRDefault="00A230FB" w:rsidP="00203044">
            <w:pPr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Residential Program</w:t>
            </w:r>
          </w:p>
        </w:tc>
        <w:tc>
          <w:tcPr>
            <w:tcW w:w="2700" w:type="dxa"/>
          </w:tcPr>
          <w:p w14:paraId="15A4B404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190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05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226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</w:tr>
      <w:tr w:rsidR="00A230FB" w:rsidRPr="00917E5F" w14:paraId="15A4B40A" w14:textId="77777777" w:rsidTr="00A230FB">
        <w:trPr>
          <w:trHeight w:val="293"/>
        </w:trPr>
        <w:tc>
          <w:tcPr>
            <w:tcW w:w="3708" w:type="dxa"/>
            <w:tcBorders>
              <w:left w:val="nil"/>
            </w:tcBorders>
            <w:shd w:val="clear" w:color="auto" w:fill="auto"/>
          </w:tcPr>
          <w:p w14:paraId="15A4B407" w14:textId="77777777" w:rsidR="00A230FB" w:rsidRPr="00917E5F" w:rsidRDefault="00A230FB" w:rsidP="00203044">
            <w:pPr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Commercial Program</w:t>
            </w:r>
          </w:p>
        </w:tc>
        <w:tc>
          <w:tcPr>
            <w:tcW w:w="2700" w:type="dxa"/>
          </w:tcPr>
          <w:p w14:paraId="15A4B408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321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09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340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</w:tr>
      <w:tr w:rsidR="00A230FB" w:rsidRPr="00917E5F" w14:paraId="15A4B40E" w14:textId="77777777" w:rsidTr="00A230FB">
        <w:trPr>
          <w:trHeight w:val="293"/>
        </w:trPr>
        <w:tc>
          <w:tcPr>
            <w:tcW w:w="3708" w:type="dxa"/>
            <w:tcBorders>
              <w:left w:val="nil"/>
            </w:tcBorders>
            <w:shd w:val="clear" w:color="auto" w:fill="auto"/>
          </w:tcPr>
          <w:p w14:paraId="15A4B40B" w14:textId="77777777" w:rsidR="00A230FB" w:rsidRPr="00917E5F" w:rsidRDefault="00A230FB" w:rsidP="00203044">
            <w:pPr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Low Income Program</w:t>
            </w:r>
          </w:p>
        </w:tc>
        <w:tc>
          <w:tcPr>
            <w:tcW w:w="2700" w:type="dxa"/>
          </w:tcPr>
          <w:p w14:paraId="15A4B40C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26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0D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23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</w:tr>
      <w:tr w:rsidR="00A230FB" w:rsidRPr="00917E5F" w14:paraId="15A4B412" w14:textId="77777777" w:rsidTr="00A230FB">
        <w:trPr>
          <w:trHeight w:val="293"/>
        </w:trPr>
        <w:tc>
          <w:tcPr>
            <w:tcW w:w="3708" w:type="dxa"/>
            <w:tcBorders>
              <w:left w:val="nil"/>
            </w:tcBorders>
            <w:shd w:val="clear" w:color="auto" w:fill="auto"/>
          </w:tcPr>
          <w:p w14:paraId="15A4B40F" w14:textId="77777777" w:rsidR="00A230FB" w:rsidRPr="00917E5F" w:rsidRDefault="00A230FB" w:rsidP="00203044">
            <w:pPr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Total Programs</w:t>
            </w:r>
          </w:p>
        </w:tc>
        <w:tc>
          <w:tcPr>
            <w:tcW w:w="2700" w:type="dxa"/>
          </w:tcPr>
          <w:p w14:paraId="15A4B410" w14:textId="77777777" w:rsidR="00A230FB" w:rsidRPr="00917E5F" w:rsidRDefault="00A230FB" w:rsidP="00CF625E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 xml:space="preserve"> </w:t>
            </w:r>
            <w:r w:rsidR="00CF625E" w:rsidRPr="00917E5F">
              <w:rPr>
                <w:rFonts w:ascii="Times New Roman" w:hAnsi="Times New Roman"/>
              </w:rPr>
              <w:t>537</w:t>
            </w:r>
            <w:r w:rsidRPr="00917E5F">
              <w:rPr>
                <w:rFonts w:ascii="Times New Roman" w:hAnsi="Times New Roman"/>
              </w:rPr>
              <w:t>,000 therms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11" w14:textId="77777777" w:rsidR="00A230FB" w:rsidRPr="00917E5F" w:rsidRDefault="00CF625E" w:rsidP="00A230FB">
            <w:pPr>
              <w:jc w:val="right"/>
              <w:outlineLvl w:val="0"/>
              <w:rPr>
                <w:rFonts w:ascii="Times New Roman" w:hAnsi="Times New Roman"/>
              </w:rPr>
            </w:pPr>
            <w:r w:rsidRPr="00917E5F">
              <w:rPr>
                <w:rFonts w:ascii="Times New Roman" w:hAnsi="Times New Roman"/>
              </w:rPr>
              <w:t>589</w:t>
            </w:r>
            <w:r w:rsidR="00A230FB" w:rsidRPr="00917E5F">
              <w:rPr>
                <w:rFonts w:ascii="Times New Roman" w:hAnsi="Times New Roman"/>
              </w:rPr>
              <w:t>,000 therms</w:t>
            </w:r>
          </w:p>
        </w:tc>
      </w:tr>
    </w:tbl>
    <w:p w14:paraId="15A4B413" w14:textId="77777777" w:rsidR="00FC1805" w:rsidRDefault="00FC1805" w:rsidP="00F229FD">
      <w:pPr>
        <w:outlineLvl w:val="0"/>
        <w:rPr>
          <w:rFonts w:ascii="Times New Roman" w:hAnsi="Times New Roman"/>
        </w:rPr>
      </w:pPr>
    </w:p>
    <w:p w14:paraId="15A4B414" w14:textId="77777777" w:rsidR="009E7CC1" w:rsidRPr="00917E5F" w:rsidRDefault="009E7CC1" w:rsidP="00F229FD">
      <w:pPr>
        <w:outlineLvl w:val="0"/>
        <w:rPr>
          <w:rFonts w:ascii="Times New Roman" w:hAnsi="Times New Roman"/>
        </w:rPr>
      </w:pPr>
    </w:p>
    <w:p w14:paraId="15A4B415" w14:textId="77777777" w:rsidR="00917E5F" w:rsidRPr="00917E5F" w:rsidRDefault="00E401AD" w:rsidP="00917E5F">
      <w:pPr>
        <w:pStyle w:val="NoSpacing"/>
      </w:pPr>
      <w:r w:rsidRPr="00917E5F">
        <w:t xml:space="preserve">As part of developing a conservation program that would deliver its targeted savings, the company met with its advisory group in January, and in February, provided the following </w:t>
      </w:r>
      <w:r w:rsidR="00395B22" w:rsidRPr="00917E5F">
        <w:t xml:space="preserve">conservation program </w:t>
      </w:r>
      <w:r w:rsidRPr="00917E5F">
        <w:t xml:space="preserve">budget estimates for 2013 and 2014. </w:t>
      </w:r>
      <w:r w:rsidR="00917E5F" w:rsidRPr="00917E5F">
        <w:t>Cascade has reduced its 2014</w:t>
      </w:r>
      <w:r w:rsidR="00862D8B">
        <w:t xml:space="preserve"> budgeted</w:t>
      </w:r>
      <w:r w:rsidR="00917E5F" w:rsidRPr="00917E5F">
        <w:t xml:space="preserve"> cost of providing conservation programs to residential customers by bringing a portion of its residential program in-house and using a more cost-effective vendor. </w:t>
      </w:r>
    </w:p>
    <w:p w14:paraId="15A4B416" w14:textId="77777777" w:rsidR="008F0A20" w:rsidRPr="00917E5F" w:rsidRDefault="008F0A20" w:rsidP="00BA4F40">
      <w:pPr>
        <w:pStyle w:val="NoSpacing"/>
      </w:pPr>
    </w:p>
    <w:tbl>
      <w:tblPr>
        <w:tblW w:w="9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338"/>
        <w:gridCol w:w="2070"/>
        <w:gridCol w:w="2700"/>
      </w:tblGrid>
      <w:tr w:rsidR="008F0A20" w:rsidRPr="00917E5F" w14:paraId="15A4B41A" w14:textId="77777777" w:rsidTr="00E401AD">
        <w:trPr>
          <w:trHeight w:val="279"/>
        </w:trPr>
        <w:tc>
          <w:tcPr>
            <w:tcW w:w="4338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</w:tcPr>
          <w:p w14:paraId="15A4B417" w14:textId="77777777" w:rsidR="008F0A20" w:rsidRPr="00917E5F" w:rsidRDefault="008F0A20" w:rsidP="008F0A20">
            <w:pPr>
              <w:pStyle w:val="NoSpacing"/>
              <w:rPr>
                <w:b/>
                <w:bCs/>
              </w:rPr>
            </w:pPr>
            <w:r w:rsidRPr="00917E5F">
              <w:rPr>
                <w:b/>
                <w:bCs/>
              </w:rPr>
              <w:lastRenderedPageBreak/>
              <w:t>Gas Conservation Maximum Budget</w:t>
            </w:r>
            <w:r w:rsidR="00E401AD" w:rsidRPr="00917E5F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</w:tcPr>
          <w:p w14:paraId="15A4B418" w14:textId="77777777" w:rsidR="008F0A20" w:rsidRPr="00917E5F" w:rsidRDefault="008F0A20" w:rsidP="00E401AD">
            <w:pPr>
              <w:pStyle w:val="NoSpacing"/>
              <w:jc w:val="right"/>
              <w:rPr>
                <w:b/>
                <w:bCs/>
              </w:rPr>
            </w:pPr>
            <w:r w:rsidRPr="00917E5F">
              <w:rPr>
                <w:b/>
                <w:bCs/>
              </w:rPr>
              <w:t>2013 Budget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15A4B419" w14:textId="77777777" w:rsidR="008F0A20" w:rsidRPr="00917E5F" w:rsidRDefault="008F0A20" w:rsidP="00E401AD">
            <w:pPr>
              <w:pStyle w:val="NoSpacing"/>
              <w:jc w:val="right"/>
              <w:rPr>
                <w:b/>
                <w:bCs/>
              </w:rPr>
            </w:pPr>
            <w:r w:rsidRPr="00917E5F">
              <w:rPr>
                <w:b/>
                <w:bCs/>
              </w:rPr>
              <w:t>2014 Budget</w:t>
            </w:r>
          </w:p>
        </w:tc>
      </w:tr>
      <w:tr w:rsidR="008F0A20" w:rsidRPr="00917E5F" w14:paraId="15A4B41E" w14:textId="77777777" w:rsidTr="00E401AD">
        <w:trPr>
          <w:trHeight w:val="291"/>
        </w:trPr>
        <w:tc>
          <w:tcPr>
            <w:tcW w:w="4338" w:type="dxa"/>
            <w:tcBorders>
              <w:left w:val="nil"/>
            </w:tcBorders>
            <w:shd w:val="clear" w:color="auto" w:fill="auto"/>
          </w:tcPr>
          <w:p w14:paraId="15A4B41B" w14:textId="77777777" w:rsidR="008F0A20" w:rsidRPr="00917E5F" w:rsidRDefault="008F0A20" w:rsidP="008F0A20">
            <w:pPr>
              <w:pStyle w:val="NoSpacing"/>
            </w:pPr>
            <w:r w:rsidRPr="00917E5F">
              <w:t>Combined non-incentive costs</w:t>
            </w:r>
          </w:p>
        </w:tc>
        <w:tc>
          <w:tcPr>
            <w:tcW w:w="2070" w:type="dxa"/>
          </w:tcPr>
          <w:p w14:paraId="15A4B41C" w14:textId="77777777" w:rsidR="008F0A20" w:rsidRPr="00917E5F" w:rsidRDefault="008F0A20" w:rsidP="00E401AD">
            <w:pPr>
              <w:pStyle w:val="NoSpacing"/>
              <w:jc w:val="right"/>
            </w:pPr>
            <w:r w:rsidRPr="00917E5F">
              <w:t>$1,400,000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1D" w14:textId="77777777" w:rsidR="008F0A20" w:rsidRPr="00917E5F" w:rsidRDefault="008F0A20" w:rsidP="00E401AD">
            <w:pPr>
              <w:pStyle w:val="NoSpacing"/>
              <w:jc w:val="right"/>
            </w:pPr>
            <w:r w:rsidRPr="00917E5F">
              <w:t>$1,300,000</w:t>
            </w:r>
          </w:p>
        </w:tc>
      </w:tr>
      <w:tr w:rsidR="008F0A20" w:rsidRPr="00917E5F" w14:paraId="15A4B422" w14:textId="77777777" w:rsidTr="00E401AD">
        <w:trPr>
          <w:trHeight w:val="291"/>
        </w:trPr>
        <w:tc>
          <w:tcPr>
            <w:tcW w:w="4338" w:type="dxa"/>
            <w:tcBorders>
              <w:left w:val="nil"/>
            </w:tcBorders>
            <w:shd w:val="clear" w:color="auto" w:fill="auto"/>
          </w:tcPr>
          <w:p w14:paraId="15A4B41F" w14:textId="77777777" w:rsidR="008F0A20" w:rsidRPr="00917E5F" w:rsidRDefault="008F0A20" w:rsidP="00640DB7">
            <w:pPr>
              <w:pStyle w:val="NoSpacing"/>
            </w:pPr>
            <w:r w:rsidRPr="00917E5F">
              <w:t>Commercial</w:t>
            </w:r>
            <w:r w:rsidR="00640DB7" w:rsidRPr="00917E5F">
              <w:t xml:space="preserve"> and i</w:t>
            </w:r>
            <w:r w:rsidRPr="00917E5F">
              <w:t xml:space="preserve">ndustrial </w:t>
            </w:r>
            <w:r w:rsidR="00640DB7" w:rsidRPr="00917E5F">
              <w:t>i</w:t>
            </w:r>
            <w:r w:rsidRPr="00917E5F">
              <w:t>ncentives</w:t>
            </w:r>
          </w:p>
        </w:tc>
        <w:tc>
          <w:tcPr>
            <w:tcW w:w="2070" w:type="dxa"/>
          </w:tcPr>
          <w:p w14:paraId="15A4B420" w14:textId="77777777" w:rsidR="008F0A20" w:rsidRPr="00917E5F" w:rsidRDefault="008F0A20" w:rsidP="00E401AD">
            <w:pPr>
              <w:pStyle w:val="NoSpacing"/>
              <w:jc w:val="right"/>
            </w:pPr>
            <w:r w:rsidRPr="00917E5F">
              <w:t>$800,000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21" w14:textId="77777777" w:rsidR="008F0A20" w:rsidRPr="00917E5F" w:rsidRDefault="008F0A20" w:rsidP="00E401AD">
            <w:pPr>
              <w:pStyle w:val="NoSpacing"/>
              <w:jc w:val="right"/>
            </w:pPr>
            <w:r w:rsidRPr="00917E5F">
              <w:t>$840,000</w:t>
            </w:r>
          </w:p>
        </w:tc>
      </w:tr>
      <w:tr w:rsidR="008F0A20" w:rsidRPr="00917E5F" w14:paraId="15A4B426" w14:textId="77777777" w:rsidTr="00E401AD">
        <w:trPr>
          <w:trHeight w:val="291"/>
        </w:trPr>
        <w:tc>
          <w:tcPr>
            <w:tcW w:w="4338" w:type="dxa"/>
            <w:tcBorders>
              <w:left w:val="nil"/>
            </w:tcBorders>
            <w:shd w:val="clear" w:color="auto" w:fill="auto"/>
          </w:tcPr>
          <w:p w14:paraId="15A4B423" w14:textId="77777777" w:rsidR="008F0A20" w:rsidRPr="00917E5F" w:rsidRDefault="008F0A20" w:rsidP="00640DB7">
            <w:pPr>
              <w:pStyle w:val="NoSpacing"/>
            </w:pPr>
            <w:r w:rsidRPr="00917E5F">
              <w:t xml:space="preserve">Residential </w:t>
            </w:r>
            <w:r w:rsidR="00640DB7" w:rsidRPr="00917E5F">
              <w:t>i</w:t>
            </w:r>
            <w:r w:rsidRPr="00917E5F">
              <w:t>ncentives</w:t>
            </w:r>
          </w:p>
        </w:tc>
        <w:tc>
          <w:tcPr>
            <w:tcW w:w="2070" w:type="dxa"/>
          </w:tcPr>
          <w:p w14:paraId="15A4B424" w14:textId="77777777" w:rsidR="008F0A20" w:rsidRPr="00917E5F" w:rsidRDefault="00E401AD" w:rsidP="00E401AD">
            <w:pPr>
              <w:pStyle w:val="NoSpacing"/>
              <w:jc w:val="right"/>
            </w:pPr>
            <w:r w:rsidRPr="00917E5F">
              <w:t>$850,000</w:t>
            </w:r>
          </w:p>
        </w:tc>
        <w:tc>
          <w:tcPr>
            <w:tcW w:w="2700" w:type="dxa"/>
            <w:tcBorders>
              <w:right w:val="nil"/>
            </w:tcBorders>
          </w:tcPr>
          <w:p w14:paraId="15A4B425" w14:textId="77777777" w:rsidR="008F0A20" w:rsidRPr="00917E5F" w:rsidRDefault="00E401AD" w:rsidP="00E401AD">
            <w:pPr>
              <w:pStyle w:val="NoSpacing"/>
              <w:jc w:val="right"/>
            </w:pPr>
            <w:r w:rsidRPr="00917E5F">
              <w:t>$950,000</w:t>
            </w:r>
          </w:p>
        </w:tc>
      </w:tr>
      <w:tr w:rsidR="008F0A20" w:rsidRPr="00917E5F" w14:paraId="15A4B42A" w14:textId="77777777" w:rsidTr="00E401AD">
        <w:trPr>
          <w:trHeight w:val="291"/>
        </w:trPr>
        <w:tc>
          <w:tcPr>
            <w:tcW w:w="433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5A4B427" w14:textId="77777777" w:rsidR="008F0A20" w:rsidRPr="00917E5F" w:rsidRDefault="00640DB7" w:rsidP="00640DB7">
            <w:pPr>
              <w:pStyle w:val="NoSpacing"/>
            </w:pPr>
            <w:r w:rsidRPr="00917E5F">
              <w:t>Maximum t</w:t>
            </w:r>
            <w:r w:rsidR="00E401AD" w:rsidRPr="00917E5F">
              <w:t>otal budget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15A4B428" w14:textId="77777777" w:rsidR="008F0A20" w:rsidRPr="00917E5F" w:rsidRDefault="00E401AD" w:rsidP="00E401AD">
            <w:pPr>
              <w:pStyle w:val="NoSpacing"/>
              <w:jc w:val="right"/>
            </w:pPr>
            <w:r w:rsidRPr="00917E5F">
              <w:t>$3,050,000</w:t>
            </w:r>
          </w:p>
        </w:tc>
        <w:tc>
          <w:tcPr>
            <w:tcW w:w="2700" w:type="dxa"/>
            <w:tcBorders>
              <w:bottom w:val="single" w:sz="12" w:space="0" w:color="000000"/>
              <w:right w:val="nil"/>
            </w:tcBorders>
          </w:tcPr>
          <w:p w14:paraId="15A4B429" w14:textId="77777777" w:rsidR="008F0A20" w:rsidRPr="00917E5F" w:rsidRDefault="00E401AD" w:rsidP="00E401AD">
            <w:pPr>
              <w:pStyle w:val="NoSpacing"/>
              <w:jc w:val="right"/>
            </w:pPr>
            <w:r w:rsidRPr="00917E5F">
              <w:t>$3,090,000</w:t>
            </w:r>
          </w:p>
        </w:tc>
      </w:tr>
    </w:tbl>
    <w:p w14:paraId="15A4B42B" w14:textId="77777777" w:rsidR="00395B22" w:rsidRDefault="00395B22" w:rsidP="00640DB7">
      <w:pPr>
        <w:pStyle w:val="NoSpacing"/>
      </w:pPr>
    </w:p>
    <w:p w14:paraId="15A4B42C" w14:textId="77777777" w:rsidR="009E7CC1" w:rsidRPr="00917E5F" w:rsidRDefault="009E7CC1" w:rsidP="00640DB7">
      <w:pPr>
        <w:pStyle w:val="NoSpacing"/>
      </w:pPr>
    </w:p>
    <w:p w14:paraId="15A4B42D" w14:textId="77777777" w:rsidR="00FC1805" w:rsidRPr="00917E5F" w:rsidRDefault="00640DB7" w:rsidP="00640DB7">
      <w:pPr>
        <w:pStyle w:val="NoSpacing"/>
      </w:pPr>
      <w:r w:rsidRPr="00917E5F">
        <w:t xml:space="preserve">In addition, the company provided a revised 2013-2014 IRP Action Plan, Attachment 1, including a commitment to work with commission staff and stakeholders to develop guidance on the level of detail needed in the IRP in the absence of an annual conservation business plan. </w:t>
      </w:r>
      <w:r w:rsidR="00395B22" w:rsidRPr="00917E5F">
        <w:t>Finally, the company worked closely with staff to incorporate stakeholder concerns into the further tariff revisions filed on April 15, April 18, and</w:t>
      </w:r>
      <w:r w:rsidR="00917E5F">
        <w:t xml:space="preserve"> final revisions on</w:t>
      </w:r>
      <w:r w:rsidR="00395B22" w:rsidRPr="00917E5F">
        <w:t xml:space="preserve"> May 2, 2013.</w:t>
      </w:r>
    </w:p>
    <w:p w14:paraId="15A4B42E" w14:textId="77777777" w:rsidR="0032390E" w:rsidRDefault="0032390E" w:rsidP="00F229FD">
      <w:pPr>
        <w:rPr>
          <w:rFonts w:ascii="Times New Roman" w:hAnsi="Times New Roman"/>
          <w:u w:val="single"/>
        </w:rPr>
      </w:pPr>
    </w:p>
    <w:p w14:paraId="15A4B42F" w14:textId="77777777" w:rsidR="009E7CC1" w:rsidRPr="00917E5F" w:rsidRDefault="009E7CC1" w:rsidP="00F229FD">
      <w:pPr>
        <w:rPr>
          <w:rFonts w:ascii="Times New Roman" w:hAnsi="Times New Roman"/>
          <w:u w:val="single"/>
        </w:rPr>
      </w:pPr>
    </w:p>
    <w:p w14:paraId="15A4B430" w14:textId="77777777" w:rsidR="00F229FD" w:rsidRPr="00917E5F" w:rsidRDefault="00F229FD" w:rsidP="00F229FD">
      <w:pPr>
        <w:outlineLvl w:val="0"/>
        <w:rPr>
          <w:rFonts w:ascii="Times New Roman" w:hAnsi="Times New Roman"/>
          <w:b/>
          <w:u w:val="single"/>
        </w:rPr>
      </w:pPr>
      <w:r w:rsidRPr="00917E5F">
        <w:rPr>
          <w:rFonts w:ascii="Times New Roman" w:hAnsi="Times New Roman"/>
          <w:b/>
          <w:u w:val="single"/>
        </w:rPr>
        <w:t>Discussion</w:t>
      </w:r>
    </w:p>
    <w:p w14:paraId="15A4B431" w14:textId="77777777" w:rsidR="003A397A" w:rsidRPr="00917E5F" w:rsidRDefault="003A397A" w:rsidP="00F229FD">
      <w:pPr>
        <w:outlineLvl w:val="0"/>
        <w:rPr>
          <w:rFonts w:ascii="Times New Roman" w:hAnsi="Times New Roman"/>
          <w:b/>
          <w:u w:val="single"/>
        </w:rPr>
      </w:pPr>
    </w:p>
    <w:p w14:paraId="15A4B432" w14:textId="52DA40A4" w:rsidR="00661BAB" w:rsidRPr="00917E5F" w:rsidRDefault="00917E5F" w:rsidP="00661BA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Cascade has participated fully in the gas conservation policy statement discussions in Docket UG-121207. As a result, the company made greater use of the Utility Cost test</w:t>
      </w:r>
      <w:r w:rsidR="00862D8B">
        <w:rPr>
          <w:rFonts w:ascii="Times New Roman" w:hAnsi="Times New Roman"/>
        </w:rPr>
        <w:t xml:space="preserve"> (UCT)</w:t>
      </w:r>
      <w:r>
        <w:rPr>
          <w:rFonts w:ascii="Times New Roman" w:hAnsi="Times New Roman"/>
        </w:rPr>
        <w:t xml:space="preserve"> in designing its conservation program</w:t>
      </w:r>
      <w:r w:rsidR="00862D8B">
        <w:rPr>
          <w:rFonts w:ascii="Times New Roman" w:hAnsi="Times New Roman"/>
        </w:rPr>
        <w:t xml:space="preserve"> for 2013 and 2014</w:t>
      </w:r>
      <w:r>
        <w:rPr>
          <w:rFonts w:ascii="Times New Roman" w:hAnsi="Times New Roman"/>
        </w:rPr>
        <w:t>.</w:t>
      </w:r>
      <w:r w:rsidR="00862D8B">
        <w:rPr>
          <w:rFonts w:ascii="Times New Roman" w:hAnsi="Times New Roman"/>
        </w:rPr>
        <w:t xml:space="preserve"> </w:t>
      </w:r>
      <w:r w:rsidR="00700AF2">
        <w:rPr>
          <w:rFonts w:ascii="Times New Roman" w:hAnsi="Times New Roman"/>
        </w:rPr>
        <w:t>Cascade estimates that the</w:t>
      </w:r>
      <w:r w:rsidR="00862D8B">
        <w:rPr>
          <w:rFonts w:ascii="Times New Roman" w:hAnsi="Times New Roman"/>
        </w:rPr>
        <w:t xml:space="preserve"> </w:t>
      </w:r>
      <w:r w:rsidR="00700AF2">
        <w:rPr>
          <w:rFonts w:ascii="Times New Roman" w:hAnsi="Times New Roman"/>
        </w:rPr>
        <w:t>total proposed</w:t>
      </w:r>
      <w:r w:rsidR="00862D8B">
        <w:rPr>
          <w:rFonts w:ascii="Times New Roman" w:hAnsi="Times New Roman"/>
        </w:rPr>
        <w:t xml:space="preserve"> portfolio of conservation </w:t>
      </w:r>
      <w:r w:rsidR="00700AF2">
        <w:rPr>
          <w:rFonts w:ascii="Times New Roman" w:hAnsi="Times New Roman"/>
        </w:rPr>
        <w:t>meets</w:t>
      </w:r>
      <w:r w:rsidR="00862D8B">
        <w:rPr>
          <w:rFonts w:ascii="Times New Roman" w:hAnsi="Times New Roman"/>
        </w:rPr>
        <w:t xml:space="preserve"> the Commission’s standard total resource cost</w:t>
      </w:r>
      <w:r w:rsidR="006665DE">
        <w:rPr>
          <w:rFonts w:ascii="Times New Roman" w:hAnsi="Times New Roman"/>
        </w:rPr>
        <w:t xml:space="preserve"> (TRC)</w:t>
      </w:r>
      <w:r w:rsidR="00862D8B">
        <w:rPr>
          <w:rFonts w:ascii="Times New Roman" w:hAnsi="Times New Roman"/>
        </w:rPr>
        <w:t xml:space="preserve"> test ratio threshold of 1.0.</w:t>
      </w:r>
      <w:r w:rsidR="008D7911">
        <w:rPr>
          <w:rStyle w:val="FootnoteReference"/>
          <w:rFonts w:ascii="Times New Roman" w:hAnsi="Times New Roman"/>
        </w:rPr>
        <w:footnoteReference w:id="4"/>
      </w:r>
      <w:r w:rsidR="00862D8B">
        <w:rPr>
          <w:rFonts w:ascii="Times New Roman" w:hAnsi="Times New Roman"/>
        </w:rPr>
        <w:t xml:space="preserve"> </w:t>
      </w:r>
      <w:r w:rsidR="00700AF2" w:rsidRPr="00700AF2">
        <w:rPr>
          <w:rFonts w:ascii="Times New Roman" w:hAnsi="Times New Roman"/>
        </w:rPr>
        <w:t>Cascade intends to revisit the measures offered in its conservation portfolios following the December 31, 2013</w:t>
      </w:r>
      <w:r w:rsidR="00700AF2">
        <w:rPr>
          <w:rFonts w:ascii="Times New Roman" w:hAnsi="Times New Roman"/>
        </w:rPr>
        <w:t>,</w:t>
      </w:r>
      <w:r w:rsidR="00700AF2" w:rsidRPr="00700AF2">
        <w:rPr>
          <w:rFonts w:ascii="Times New Roman" w:hAnsi="Times New Roman"/>
        </w:rPr>
        <w:t xml:space="preserve"> </w:t>
      </w:r>
      <w:r w:rsidR="006665DE">
        <w:rPr>
          <w:rFonts w:ascii="Times New Roman" w:hAnsi="Times New Roman"/>
        </w:rPr>
        <w:t xml:space="preserve">completion </w:t>
      </w:r>
      <w:r w:rsidR="00700AF2" w:rsidRPr="00700AF2">
        <w:rPr>
          <w:rFonts w:ascii="Times New Roman" w:hAnsi="Times New Roman"/>
        </w:rPr>
        <w:t xml:space="preserve">of </w:t>
      </w:r>
      <w:r w:rsidR="00700AF2">
        <w:rPr>
          <w:rFonts w:ascii="Times New Roman" w:hAnsi="Times New Roman"/>
        </w:rPr>
        <w:t xml:space="preserve">its </w:t>
      </w:r>
      <w:r w:rsidR="00700AF2" w:rsidRPr="00700AF2">
        <w:rPr>
          <w:rFonts w:ascii="Times New Roman" w:hAnsi="Times New Roman"/>
        </w:rPr>
        <w:t xml:space="preserve">Washington Conservation Potential </w:t>
      </w:r>
      <w:r w:rsidR="006665DE">
        <w:rPr>
          <w:rFonts w:ascii="Times New Roman" w:hAnsi="Times New Roman"/>
        </w:rPr>
        <w:t>Assessment</w:t>
      </w:r>
      <w:r w:rsidR="00603F67">
        <w:rPr>
          <w:rFonts w:ascii="Times New Roman" w:hAnsi="Times New Roman"/>
        </w:rPr>
        <w:t xml:space="preserve">. </w:t>
      </w:r>
      <w:r w:rsidR="00700AF2" w:rsidRPr="00700AF2">
        <w:rPr>
          <w:rFonts w:ascii="Times New Roman" w:hAnsi="Times New Roman"/>
        </w:rPr>
        <w:t>The changes proposed in this filing serve as a critical stop-gap to increase the amount of program participation and subsequent therm savings associated wi</w:t>
      </w:r>
      <w:r w:rsidR="006665DE">
        <w:rPr>
          <w:rFonts w:ascii="Times New Roman" w:hAnsi="Times New Roman"/>
        </w:rPr>
        <w:t>th the company’s c</w:t>
      </w:r>
      <w:r w:rsidR="00700AF2" w:rsidRPr="00700AF2">
        <w:rPr>
          <w:rFonts w:ascii="Times New Roman" w:hAnsi="Times New Roman"/>
        </w:rPr>
        <w:t xml:space="preserve">onservation </w:t>
      </w:r>
      <w:r w:rsidR="006665DE">
        <w:rPr>
          <w:rFonts w:ascii="Times New Roman" w:hAnsi="Times New Roman"/>
        </w:rPr>
        <w:t>p</w:t>
      </w:r>
      <w:r w:rsidR="00700AF2" w:rsidRPr="00700AF2">
        <w:rPr>
          <w:rFonts w:ascii="Times New Roman" w:hAnsi="Times New Roman"/>
        </w:rPr>
        <w:t>rogram</w:t>
      </w:r>
      <w:r w:rsidR="006665DE">
        <w:rPr>
          <w:rFonts w:ascii="Times New Roman" w:hAnsi="Times New Roman"/>
        </w:rPr>
        <w:t>s</w:t>
      </w:r>
      <w:r w:rsidR="00700AF2" w:rsidRPr="00700AF2">
        <w:rPr>
          <w:rFonts w:ascii="Times New Roman" w:hAnsi="Times New Roman"/>
        </w:rPr>
        <w:t>.</w:t>
      </w:r>
    </w:p>
    <w:p w14:paraId="15A4B433" w14:textId="77777777" w:rsidR="00917E5F" w:rsidRDefault="00917E5F" w:rsidP="00F229FD">
      <w:pPr>
        <w:outlineLvl w:val="0"/>
        <w:rPr>
          <w:rFonts w:ascii="Times New Roman" w:hAnsi="Times New Roman"/>
          <w:u w:val="single"/>
        </w:rPr>
      </w:pPr>
    </w:p>
    <w:p w14:paraId="15A4B434" w14:textId="77777777" w:rsidR="00980DAF" w:rsidRPr="00917E5F" w:rsidRDefault="00980DAF" w:rsidP="00F229FD">
      <w:pPr>
        <w:outlineLvl w:val="0"/>
        <w:rPr>
          <w:rFonts w:ascii="Times New Roman" w:hAnsi="Times New Roman"/>
          <w:u w:val="single"/>
        </w:rPr>
      </w:pPr>
      <w:r w:rsidRPr="00917E5F">
        <w:rPr>
          <w:rFonts w:ascii="Times New Roman" w:hAnsi="Times New Roman"/>
          <w:u w:val="single"/>
        </w:rPr>
        <w:t xml:space="preserve">Residential Program </w:t>
      </w:r>
      <w:r w:rsidR="00640DB7" w:rsidRPr="00917E5F">
        <w:rPr>
          <w:rFonts w:ascii="Times New Roman" w:hAnsi="Times New Roman"/>
          <w:u w:val="single"/>
        </w:rPr>
        <w:t>Conservation</w:t>
      </w:r>
      <w:r w:rsidRPr="00917E5F">
        <w:rPr>
          <w:rFonts w:ascii="Times New Roman" w:hAnsi="Times New Roman"/>
          <w:u w:val="single"/>
        </w:rPr>
        <w:t xml:space="preserve"> Measure Changes</w:t>
      </w:r>
    </w:p>
    <w:p w14:paraId="15A4B435" w14:textId="2789697E" w:rsidR="00394A0A" w:rsidRDefault="00862D8B" w:rsidP="00F229FD">
      <w:p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 xml:space="preserve">All of the </w:t>
      </w:r>
      <w:r>
        <w:rPr>
          <w:rFonts w:ascii="Times New Roman" w:hAnsi="Times New Roman"/>
        </w:rPr>
        <w:t>changes</w:t>
      </w:r>
      <w:r w:rsidRPr="00917E5F">
        <w:rPr>
          <w:rFonts w:ascii="Times New Roman" w:hAnsi="Times New Roman"/>
        </w:rPr>
        <w:t xml:space="preserve"> Cascade proposes in </w:t>
      </w:r>
      <w:r w:rsidR="008D7911">
        <w:rPr>
          <w:rFonts w:ascii="Times New Roman" w:hAnsi="Times New Roman"/>
        </w:rPr>
        <w:t>Docket UG-130461</w:t>
      </w:r>
      <w:r w:rsidRPr="00917E5F">
        <w:rPr>
          <w:rFonts w:ascii="Times New Roman" w:hAnsi="Times New Roman"/>
        </w:rPr>
        <w:t xml:space="preserve"> are cost-effective on an individual basis as measured by the UCT.</w:t>
      </w:r>
      <w:r>
        <w:rPr>
          <w:rFonts w:ascii="Times New Roman" w:hAnsi="Times New Roman"/>
        </w:rPr>
        <w:t xml:space="preserve"> </w:t>
      </w:r>
      <w:r w:rsidR="00040AC3">
        <w:rPr>
          <w:rFonts w:ascii="Times New Roman" w:hAnsi="Times New Roman"/>
        </w:rPr>
        <w:t xml:space="preserve">In its review of the programs against the TRC and UCT, the company removed PTCS (performance-tested comfort systems) duct-sealing as a stand-alone measure because it had the lowest TRC, </w:t>
      </w:r>
      <w:r w:rsidR="00603F67">
        <w:rPr>
          <w:rFonts w:ascii="Times New Roman" w:hAnsi="Times New Roman"/>
        </w:rPr>
        <w:t xml:space="preserve">but retained it in </w:t>
      </w:r>
      <w:r w:rsidR="00040AC3">
        <w:rPr>
          <w:rFonts w:ascii="Times New Roman" w:hAnsi="Times New Roman"/>
        </w:rPr>
        <w:t xml:space="preserve">the high-efficiency furnace </w:t>
      </w:r>
      <w:r w:rsidR="00603F67">
        <w:rPr>
          <w:rFonts w:ascii="Times New Roman" w:hAnsi="Times New Roman"/>
        </w:rPr>
        <w:t>bundle</w:t>
      </w:r>
      <w:r w:rsidR="00040AC3">
        <w:rPr>
          <w:rFonts w:ascii="Times New Roman" w:hAnsi="Times New Roman"/>
        </w:rPr>
        <w:t xml:space="preserve">. </w:t>
      </w:r>
      <w:r w:rsidR="00700AF2" w:rsidRPr="00700AF2">
        <w:rPr>
          <w:rFonts w:ascii="Times New Roman" w:hAnsi="Times New Roman"/>
        </w:rPr>
        <w:t xml:space="preserve">The </w:t>
      </w:r>
      <w:r w:rsidR="00603F67">
        <w:rPr>
          <w:rFonts w:ascii="Times New Roman" w:hAnsi="Times New Roman"/>
        </w:rPr>
        <w:t>c</w:t>
      </w:r>
      <w:r w:rsidR="00700AF2" w:rsidRPr="00700AF2">
        <w:rPr>
          <w:rFonts w:ascii="Times New Roman" w:hAnsi="Times New Roman"/>
        </w:rPr>
        <w:t xml:space="preserve">ompany anticipates that this revised portfolio of residential offerings will lead to greater interest in longer-lived measures and result in overall increased therm savings in its service territory. Program additions include consideration of “bundled” measures consistent with Staff recommendations. The </w:t>
      </w:r>
      <w:r w:rsidR="00700AF2">
        <w:rPr>
          <w:rFonts w:ascii="Times New Roman" w:hAnsi="Times New Roman"/>
        </w:rPr>
        <w:t>included</w:t>
      </w:r>
      <w:r w:rsidR="00700AF2" w:rsidRPr="00700AF2">
        <w:rPr>
          <w:rFonts w:ascii="Times New Roman" w:hAnsi="Times New Roman"/>
        </w:rPr>
        <w:t xml:space="preserve"> measures have strong energy savings potential and most are longer-lived measures (20+ years) which contribute to the overall cost-effectiveness of the portfolio.</w:t>
      </w:r>
      <w:r w:rsidR="00700AF2">
        <w:rPr>
          <w:rFonts w:ascii="Times New Roman" w:hAnsi="Times New Roman"/>
        </w:rPr>
        <w:t xml:space="preserve"> </w:t>
      </w:r>
      <w:r w:rsidR="00AF3C35" w:rsidRPr="00917E5F">
        <w:rPr>
          <w:rFonts w:ascii="Times New Roman" w:hAnsi="Times New Roman"/>
        </w:rPr>
        <w:t xml:space="preserve">The </w:t>
      </w:r>
      <w:r w:rsidR="000C6CE6" w:rsidRPr="00917E5F">
        <w:rPr>
          <w:rFonts w:ascii="Times New Roman" w:hAnsi="Times New Roman"/>
        </w:rPr>
        <w:t>proposal</w:t>
      </w:r>
      <w:r w:rsidR="00AF3C35" w:rsidRPr="00917E5F">
        <w:rPr>
          <w:rFonts w:ascii="Times New Roman" w:hAnsi="Times New Roman"/>
        </w:rPr>
        <w:t xml:space="preserve"> add</w:t>
      </w:r>
      <w:r w:rsidR="000C6CE6" w:rsidRPr="00917E5F">
        <w:rPr>
          <w:rFonts w:ascii="Times New Roman" w:hAnsi="Times New Roman"/>
        </w:rPr>
        <w:t>s</w:t>
      </w:r>
      <w:r w:rsidR="00AF3C35" w:rsidRPr="00917E5F">
        <w:rPr>
          <w:rFonts w:ascii="Times New Roman" w:hAnsi="Times New Roman"/>
        </w:rPr>
        <w:t xml:space="preserve"> the following measures to </w:t>
      </w:r>
      <w:r w:rsidR="000C6CE6" w:rsidRPr="00917E5F">
        <w:rPr>
          <w:rFonts w:ascii="Times New Roman" w:hAnsi="Times New Roman"/>
        </w:rPr>
        <w:t xml:space="preserve">the </w:t>
      </w:r>
      <w:r w:rsidR="00DB1747" w:rsidRPr="00917E5F">
        <w:rPr>
          <w:rFonts w:ascii="Times New Roman" w:hAnsi="Times New Roman"/>
        </w:rPr>
        <w:t xml:space="preserve">current </w:t>
      </w:r>
      <w:r w:rsidR="00AF3C35" w:rsidRPr="00917E5F">
        <w:rPr>
          <w:rFonts w:ascii="Times New Roman" w:hAnsi="Times New Roman"/>
        </w:rPr>
        <w:t>residential program offering</w:t>
      </w:r>
      <w:r w:rsidR="00DB1747" w:rsidRPr="00917E5F">
        <w:rPr>
          <w:rFonts w:ascii="Times New Roman" w:hAnsi="Times New Roman"/>
        </w:rPr>
        <w:t>s</w:t>
      </w:r>
      <w:r w:rsidR="00AF3C35" w:rsidRPr="00917E5F">
        <w:rPr>
          <w:rFonts w:ascii="Times New Roman" w:hAnsi="Times New Roman"/>
        </w:rPr>
        <w:t>:</w:t>
      </w:r>
    </w:p>
    <w:p w14:paraId="143B2D69" w14:textId="77777777" w:rsidR="00040AC3" w:rsidRPr="00917E5F" w:rsidRDefault="00040AC3" w:rsidP="00F229FD">
      <w:pPr>
        <w:outlineLvl w:val="0"/>
        <w:rPr>
          <w:rFonts w:ascii="Times New Roman" w:hAnsi="Times New Roman"/>
        </w:rPr>
      </w:pPr>
    </w:p>
    <w:p w14:paraId="15A4B437" w14:textId="77777777" w:rsidR="00AF3C35" w:rsidRPr="00917E5F" w:rsidRDefault="00AF3C35" w:rsidP="00AF3C35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Energy Star</w:t>
      </w:r>
      <w:r w:rsidR="00A60A2C" w:rsidRPr="00917E5F">
        <w:rPr>
          <w:rFonts w:ascii="Times New Roman" w:hAnsi="Times New Roman"/>
        </w:rPr>
        <w:t xml:space="preserve"> Certified</w:t>
      </w:r>
      <w:r w:rsidRPr="00917E5F">
        <w:rPr>
          <w:rFonts w:ascii="Times New Roman" w:hAnsi="Times New Roman"/>
        </w:rPr>
        <w:t xml:space="preserve"> home bundled with high efficiency windows</w:t>
      </w:r>
      <w:r w:rsidR="00A60A2C" w:rsidRPr="00917E5F">
        <w:rPr>
          <w:rFonts w:ascii="Times New Roman" w:hAnsi="Times New Roman"/>
        </w:rPr>
        <w:t xml:space="preserve"> incentive of $550</w:t>
      </w:r>
      <w:r w:rsidRPr="00917E5F">
        <w:rPr>
          <w:rFonts w:ascii="Times New Roman" w:hAnsi="Times New Roman"/>
        </w:rPr>
        <w:t>.</w:t>
      </w:r>
    </w:p>
    <w:p w14:paraId="15A4B438" w14:textId="77777777" w:rsidR="00AF3C35" w:rsidRPr="00917E5F" w:rsidRDefault="00A60A2C" w:rsidP="00AF3C35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lastRenderedPageBreak/>
        <w:t xml:space="preserve">Stand-alone </w:t>
      </w:r>
      <w:r w:rsidR="00E86B3A" w:rsidRPr="00917E5F">
        <w:rPr>
          <w:rFonts w:ascii="Times New Roman" w:hAnsi="Times New Roman"/>
        </w:rPr>
        <w:t>95</w:t>
      </w:r>
      <w:r w:rsidR="00DB1747" w:rsidRPr="00917E5F">
        <w:rPr>
          <w:rFonts w:ascii="Times New Roman" w:hAnsi="Times New Roman"/>
        </w:rPr>
        <w:t xml:space="preserve"> percent efficient furnace </w:t>
      </w:r>
      <w:r w:rsidRPr="00917E5F">
        <w:rPr>
          <w:rFonts w:ascii="Times New Roman" w:hAnsi="Times New Roman"/>
        </w:rPr>
        <w:t>upgrade incentive of</w:t>
      </w:r>
      <w:r w:rsidR="000C6CE6" w:rsidRPr="00917E5F">
        <w:rPr>
          <w:rFonts w:ascii="Times New Roman" w:hAnsi="Times New Roman"/>
        </w:rPr>
        <w:t xml:space="preserve"> $2</w:t>
      </w:r>
      <w:r w:rsidRPr="00917E5F">
        <w:rPr>
          <w:rFonts w:ascii="Times New Roman" w:hAnsi="Times New Roman"/>
        </w:rPr>
        <w:t>50</w:t>
      </w:r>
      <w:r w:rsidR="00DB1747" w:rsidRPr="00917E5F">
        <w:rPr>
          <w:rFonts w:ascii="Times New Roman" w:hAnsi="Times New Roman"/>
        </w:rPr>
        <w:t>.</w:t>
      </w:r>
    </w:p>
    <w:p w14:paraId="15A4B439" w14:textId="66B7A7E3" w:rsidR="00DB1747" w:rsidRPr="00917E5F" w:rsidRDefault="006F582F" w:rsidP="00AF3C35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New or u</w:t>
      </w:r>
      <w:r w:rsidR="000C6CE6" w:rsidRPr="00917E5F">
        <w:rPr>
          <w:rFonts w:ascii="Times New Roman" w:hAnsi="Times New Roman"/>
        </w:rPr>
        <w:t>pgrade</w:t>
      </w:r>
      <w:r>
        <w:rPr>
          <w:rFonts w:ascii="Times New Roman" w:hAnsi="Times New Roman"/>
        </w:rPr>
        <w:t>d</w:t>
      </w:r>
      <w:r w:rsidR="000C6CE6" w:rsidRPr="00917E5F">
        <w:rPr>
          <w:rFonts w:ascii="Times New Roman" w:hAnsi="Times New Roman"/>
        </w:rPr>
        <w:t xml:space="preserve"> </w:t>
      </w:r>
      <w:r w:rsidR="00E86B3A" w:rsidRPr="00917E5F">
        <w:rPr>
          <w:rFonts w:ascii="Times New Roman" w:hAnsi="Times New Roman"/>
        </w:rPr>
        <w:t>70 percent efficient</w:t>
      </w:r>
      <w:r w:rsidR="00A60A2C" w:rsidRPr="00917E5F">
        <w:rPr>
          <w:rFonts w:ascii="Times New Roman" w:hAnsi="Times New Roman"/>
        </w:rPr>
        <w:t xml:space="preserve"> </w:t>
      </w:r>
      <w:r w:rsidR="008124AB" w:rsidRPr="00917E5F">
        <w:rPr>
          <w:rFonts w:ascii="Times New Roman" w:hAnsi="Times New Roman"/>
        </w:rPr>
        <w:t>fireplace insert</w:t>
      </w:r>
      <w:r w:rsidR="00A60A2C" w:rsidRPr="00917E5F">
        <w:rPr>
          <w:rFonts w:ascii="Times New Roman" w:hAnsi="Times New Roman"/>
        </w:rPr>
        <w:t xml:space="preserve"> with </w:t>
      </w:r>
      <w:r w:rsidR="00603F67">
        <w:rPr>
          <w:rFonts w:ascii="Times New Roman" w:hAnsi="Times New Roman"/>
        </w:rPr>
        <w:t>intermittent spark</w:t>
      </w:r>
      <w:r w:rsidR="00A60A2C" w:rsidRPr="00917E5F">
        <w:rPr>
          <w:rFonts w:ascii="Times New Roman" w:hAnsi="Times New Roman"/>
        </w:rPr>
        <w:t xml:space="preserve"> ignition</w:t>
      </w:r>
      <w:r w:rsidR="000C6CE6" w:rsidRPr="00917E5F">
        <w:rPr>
          <w:rFonts w:ascii="Times New Roman" w:hAnsi="Times New Roman"/>
        </w:rPr>
        <w:t xml:space="preserve"> incentive</w:t>
      </w:r>
      <w:r w:rsidR="00A60A2C" w:rsidRPr="00917E5F">
        <w:rPr>
          <w:rFonts w:ascii="Times New Roman" w:hAnsi="Times New Roman"/>
        </w:rPr>
        <w:t xml:space="preserve"> of $200</w:t>
      </w:r>
      <w:r w:rsidR="008124AB" w:rsidRPr="00917E5F">
        <w:rPr>
          <w:rFonts w:ascii="Times New Roman" w:hAnsi="Times New Roman"/>
        </w:rPr>
        <w:t>.</w:t>
      </w:r>
    </w:p>
    <w:p w14:paraId="15A4B43A" w14:textId="77777777" w:rsidR="008124AB" w:rsidRPr="00917E5F" w:rsidRDefault="008124AB" w:rsidP="008124AB">
      <w:pPr>
        <w:outlineLvl w:val="0"/>
        <w:rPr>
          <w:rFonts w:ascii="Times New Roman" w:hAnsi="Times New Roman"/>
        </w:rPr>
      </w:pPr>
    </w:p>
    <w:p w14:paraId="15A4B43B" w14:textId="77777777" w:rsidR="008124AB" w:rsidRDefault="00700AF2" w:rsidP="008124A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Increases to individual incentives are justified by the UCT. </w:t>
      </w:r>
      <w:r w:rsidR="007C3D2D" w:rsidRPr="00917E5F">
        <w:rPr>
          <w:rFonts w:ascii="Times New Roman" w:hAnsi="Times New Roman"/>
        </w:rPr>
        <w:t>The proposal</w:t>
      </w:r>
      <w:r w:rsidR="008124AB" w:rsidRPr="00917E5F">
        <w:rPr>
          <w:rFonts w:ascii="Times New Roman" w:hAnsi="Times New Roman"/>
        </w:rPr>
        <w:t xml:space="preserve"> adjusts the incentive levels for the following programs:</w:t>
      </w:r>
    </w:p>
    <w:p w14:paraId="3D49CD1E" w14:textId="77777777" w:rsidR="00040AC3" w:rsidRPr="00917E5F" w:rsidRDefault="00040AC3" w:rsidP="008124AB">
      <w:pPr>
        <w:outlineLvl w:val="0"/>
        <w:rPr>
          <w:rFonts w:ascii="Times New Roman" w:hAnsi="Times New Roman"/>
        </w:rPr>
      </w:pPr>
    </w:p>
    <w:p w14:paraId="15A4B43D" w14:textId="77777777" w:rsidR="008124AB" w:rsidRPr="00917E5F" w:rsidRDefault="007C3D2D" w:rsidP="008124AB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Energy Star qualified home with gas heat (with or without air-conditioning)</w:t>
      </w:r>
      <w:r w:rsidR="00A0370F" w:rsidRPr="00917E5F">
        <w:rPr>
          <w:rFonts w:ascii="Times New Roman" w:hAnsi="Times New Roman"/>
        </w:rPr>
        <w:t xml:space="preserve"> incentive </w:t>
      </w:r>
      <w:r w:rsidRPr="00917E5F">
        <w:rPr>
          <w:rFonts w:ascii="Times New Roman" w:hAnsi="Times New Roman"/>
        </w:rPr>
        <w:t xml:space="preserve">is </w:t>
      </w:r>
      <w:r w:rsidR="00A0370F" w:rsidRPr="00917E5F">
        <w:rPr>
          <w:rFonts w:ascii="Times New Roman" w:hAnsi="Times New Roman"/>
        </w:rPr>
        <w:t>increased</w:t>
      </w:r>
      <w:r w:rsidRPr="00917E5F">
        <w:rPr>
          <w:rFonts w:ascii="Times New Roman" w:hAnsi="Times New Roman"/>
        </w:rPr>
        <w:t xml:space="preserve"> from $350</w:t>
      </w:r>
      <w:r w:rsidR="00A0370F" w:rsidRPr="00917E5F">
        <w:rPr>
          <w:rFonts w:ascii="Times New Roman" w:hAnsi="Times New Roman"/>
        </w:rPr>
        <w:t xml:space="preserve"> to $500.</w:t>
      </w:r>
    </w:p>
    <w:p w14:paraId="15A4B43E" w14:textId="77777777" w:rsidR="00A0370F" w:rsidRPr="00917E5F" w:rsidRDefault="00A60A2C" w:rsidP="008124AB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Energy Star qualified home bundled with 95 percent efficient</w:t>
      </w:r>
      <w:r w:rsidR="00A0370F" w:rsidRPr="00917E5F">
        <w:rPr>
          <w:rFonts w:ascii="Times New Roman" w:hAnsi="Times New Roman"/>
        </w:rPr>
        <w:t xml:space="preserve"> </w:t>
      </w:r>
      <w:r w:rsidRPr="00917E5F">
        <w:rPr>
          <w:rFonts w:ascii="Times New Roman" w:hAnsi="Times New Roman"/>
        </w:rPr>
        <w:t xml:space="preserve">gas furnace </w:t>
      </w:r>
      <w:r w:rsidR="00A0370F" w:rsidRPr="00917E5F">
        <w:rPr>
          <w:rFonts w:ascii="Times New Roman" w:hAnsi="Times New Roman"/>
        </w:rPr>
        <w:t xml:space="preserve">incentive </w:t>
      </w:r>
      <w:r w:rsidR="007C3D2D" w:rsidRPr="00917E5F">
        <w:rPr>
          <w:rFonts w:ascii="Times New Roman" w:hAnsi="Times New Roman"/>
        </w:rPr>
        <w:t>is</w:t>
      </w:r>
      <w:r w:rsidR="00A0370F" w:rsidRPr="00917E5F">
        <w:rPr>
          <w:rFonts w:ascii="Times New Roman" w:hAnsi="Times New Roman"/>
        </w:rPr>
        <w:t xml:space="preserve"> increased</w:t>
      </w:r>
      <w:r w:rsidR="007C3D2D" w:rsidRPr="00917E5F">
        <w:rPr>
          <w:rFonts w:ascii="Times New Roman" w:hAnsi="Times New Roman"/>
        </w:rPr>
        <w:t xml:space="preserve"> from $150</w:t>
      </w:r>
      <w:r w:rsidR="00A0370F" w:rsidRPr="00917E5F">
        <w:rPr>
          <w:rFonts w:ascii="Times New Roman" w:hAnsi="Times New Roman"/>
        </w:rPr>
        <w:t xml:space="preserve"> to $200.</w:t>
      </w:r>
    </w:p>
    <w:p w14:paraId="15A4B43F" w14:textId="77777777" w:rsidR="000C6CE6" w:rsidRPr="00917E5F" w:rsidRDefault="000C6CE6" w:rsidP="000C6CE6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High-efficiency combination radiant heat incentive is increased from $800 to $1000.</w:t>
      </w:r>
    </w:p>
    <w:p w14:paraId="15A4B440" w14:textId="77777777" w:rsidR="000C6CE6" w:rsidRPr="00917E5F" w:rsidRDefault="000C6CE6" w:rsidP="000C6CE6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Tankless water heater incentive amount is reduced from $200 to $150.</w:t>
      </w:r>
    </w:p>
    <w:p w14:paraId="15A4B441" w14:textId="77777777" w:rsidR="00A0370F" w:rsidRPr="00917E5F" w:rsidRDefault="00A0370F" w:rsidP="008124AB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 xml:space="preserve">Ceiling insulation incentive </w:t>
      </w:r>
      <w:r w:rsidR="007C3D2D" w:rsidRPr="00917E5F">
        <w:rPr>
          <w:rFonts w:ascii="Times New Roman" w:hAnsi="Times New Roman"/>
        </w:rPr>
        <w:t>is</w:t>
      </w:r>
      <w:r w:rsidRPr="00917E5F">
        <w:rPr>
          <w:rFonts w:ascii="Times New Roman" w:hAnsi="Times New Roman"/>
        </w:rPr>
        <w:t xml:space="preserve"> increased</w:t>
      </w:r>
      <w:r w:rsidR="007C3D2D" w:rsidRPr="00917E5F">
        <w:rPr>
          <w:rFonts w:ascii="Times New Roman" w:hAnsi="Times New Roman"/>
        </w:rPr>
        <w:t xml:space="preserve"> from</w:t>
      </w:r>
      <w:r w:rsidRPr="00917E5F">
        <w:rPr>
          <w:rFonts w:ascii="Times New Roman" w:hAnsi="Times New Roman"/>
        </w:rPr>
        <w:t xml:space="preserve"> </w:t>
      </w:r>
      <w:r w:rsidR="007C3D2D" w:rsidRPr="00917E5F">
        <w:rPr>
          <w:rFonts w:ascii="Times New Roman" w:hAnsi="Times New Roman"/>
        </w:rPr>
        <w:t xml:space="preserve">$0.25/square foot </w:t>
      </w:r>
      <w:r w:rsidRPr="00917E5F">
        <w:rPr>
          <w:rFonts w:ascii="Times New Roman" w:hAnsi="Times New Roman"/>
        </w:rPr>
        <w:t>to $0.30/square foot.</w:t>
      </w:r>
    </w:p>
    <w:p w14:paraId="15A4B442" w14:textId="77777777" w:rsidR="00A0370F" w:rsidRPr="00917E5F" w:rsidRDefault="000C6CE6" w:rsidP="008124AB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New or upgraded 80 percent efficient</w:t>
      </w:r>
      <w:r w:rsidR="007D2877" w:rsidRPr="00917E5F">
        <w:rPr>
          <w:rFonts w:ascii="Times New Roman" w:hAnsi="Times New Roman"/>
        </w:rPr>
        <w:t xml:space="preserve"> fireplace insert incentive</w:t>
      </w:r>
      <w:r w:rsidRPr="00917E5F">
        <w:rPr>
          <w:rFonts w:ascii="Times New Roman" w:hAnsi="Times New Roman"/>
        </w:rPr>
        <w:t xml:space="preserve"> </w:t>
      </w:r>
      <w:r w:rsidR="007D2877" w:rsidRPr="00917E5F">
        <w:rPr>
          <w:rFonts w:ascii="Times New Roman" w:hAnsi="Times New Roman"/>
        </w:rPr>
        <w:t>is increased</w:t>
      </w:r>
      <w:r w:rsidRPr="00917E5F">
        <w:rPr>
          <w:rFonts w:ascii="Times New Roman" w:hAnsi="Times New Roman"/>
        </w:rPr>
        <w:t xml:space="preserve"> from $70</w:t>
      </w:r>
      <w:r w:rsidR="007D2877" w:rsidRPr="00917E5F">
        <w:rPr>
          <w:rFonts w:ascii="Times New Roman" w:hAnsi="Times New Roman"/>
        </w:rPr>
        <w:t xml:space="preserve"> to $300.</w:t>
      </w:r>
    </w:p>
    <w:p w14:paraId="1BEB0E95" w14:textId="77777777" w:rsidR="00040AC3" w:rsidRDefault="00040AC3" w:rsidP="00040AC3">
      <w:pPr>
        <w:outlineLvl w:val="0"/>
        <w:rPr>
          <w:rFonts w:ascii="Times New Roman" w:hAnsi="Times New Roman"/>
        </w:rPr>
      </w:pPr>
    </w:p>
    <w:p w14:paraId="15A4B444" w14:textId="77777777" w:rsidR="001C0017" w:rsidRPr="00917E5F" w:rsidRDefault="001C0017" w:rsidP="00605ABF">
      <w:pPr>
        <w:outlineLvl w:val="0"/>
        <w:rPr>
          <w:rFonts w:ascii="Times New Roman" w:hAnsi="Times New Roman"/>
          <w:u w:val="single"/>
        </w:rPr>
      </w:pPr>
      <w:r w:rsidRPr="00917E5F">
        <w:rPr>
          <w:rFonts w:ascii="Times New Roman" w:hAnsi="Times New Roman"/>
          <w:u w:val="single"/>
        </w:rPr>
        <w:t>Low-Income Weatherization Incentive Program Changes</w:t>
      </w:r>
    </w:p>
    <w:p w14:paraId="15A4B445" w14:textId="77777777" w:rsidR="001C0017" w:rsidRPr="00917E5F" w:rsidRDefault="00EA00D0" w:rsidP="00605ABF">
      <w:p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>Based on the company’s recent 2012 IRP</w:t>
      </w:r>
      <w:r w:rsidR="00825BE5" w:rsidRPr="00917E5F">
        <w:rPr>
          <w:rFonts w:ascii="Times New Roman" w:hAnsi="Times New Roman"/>
        </w:rPr>
        <w:t xml:space="preserve"> </w:t>
      </w:r>
      <w:r w:rsidRPr="00917E5F">
        <w:rPr>
          <w:rFonts w:ascii="Times New Roman" w:hAnsi="Times New Roman"/>
        </w:rPr>
        <w:t>and the revised avoided costs, Cascade has adjusted the avoided cost per therm for 30 year measures from $11.66 to $8.09</w:t>
      </w:r>
      <w:r w:rsidR="003F4E72" w:rsidRPr="00917E5F">
        <w:rPr>
          <w:rFonts w:ascii="Times New Roman" w:hAnsi="Times New Roman"/>
        </w:rPr>
        <w:t>.</w:t>
      </w:r>
      <w:r w:rsidR="00825BE5" w:rsidRPr="00917E5F">
        <w:rPr>
          <w:rStyle w:val="FootnoteReference"/>
          <w:rFonts w:ascii="Times New Roman" w:hAnsi="Times New Roman"/>
        </w:rPr>
        <w:footnoteReference w:id="5"/>
      </w:r>
      <w:r w:rsidR="003F4E72" w:rsidRPr="00917E5F">
        <w:rPr>
          <w:rFonts w:ascii="Times New Roman" w:hAnsi="Times New Roman"/>
        </w:rPr>
        <w:t xml:space="preserve"> The company has also </w:t>
      </w:r>
      <w:r w:rsidR="00917E5F" w:rsidRPr="00917E5F">
        <w:rPr>
          <w:rFonts w:ascii="Times New Roman" w:hAnsi="Times New Roman"/>
        </w:rPr>
        <w:t>relaxed the restriction on incentive payments that may exceed</w:t>
      </w:r>
      <w:r w:rsidR="00C769FE" w:rsidRPr="00917E5F">
        <w:rPr>
          <w:rFonts w:ascii="Times New Roman" w:hAnsi="Times New Roman"/>
        </w:rPr>
        <w:t xml:space="preserve"> the installed cost of the measure. The</w:t>
      </w:r>
      <w:r w:rsidR="00917E5F" w:rsidRPr="00917E5F">
        <w:rPr>
          <w:rFonts w:ascii="Times New Roman" w:hAnsi="Times New Roman"/>
        </w:rPr>
        <w:t xml:space="preserve"> company believes </w:t>
      </w:r>
      <w:r w:rsidR="00862D8B">
        <w:rPr>
          <w:rFonts w:ascii="Times New Roman" w:hAnsi="Times New Roman"/>
        </w:rPr>
        <w:t xml:space="preserve">this </w:t>
      </w:r>
      <w:r w:rsidR="00C769FE" w:rsidRPr="00917E5F">
        <w:rPr>
          <w:rFonts w:ascii="Times New Roman" w:hAnsi="Times New Roman"/>
        </w:rPr>
        <w:t>allows for the capture of more measures</w:t>
      </w:r>
      <w:r w:rsidR="00917E5F" w:rsidRPr="00917E5F">
        <w:rPr>
          <w:rFonts w:ascii="Times New Roman" w:hAnsi="Times New Roman"/>
        </w:rPr>
        <w:t xml:space="preserve"> on a house-by-house basis</w:t>
      </w:r>
      <w:r w:rsidR="00C769FE" w:rsidRPr="00917E5F">
        <w:rPr>
          <w:rFonts w:ascii="Times New Roman" w:hAnsi="Times New Roman"/>
        </w:rPr>
        <w:t>.</w:t>
      </w:r>
    </w:p>
    <w:p w14:paraId="15A4B446" w14:textId="77777777" w:rsidR="00C769FE" w:rsidRPr="00917E5F" w:rsidRDefault="00C769FE" w:rsidP="00605ABF">
      <w:pPr>
        <w:outlineLvl w:val="0"/>
        <w:rPr>
          <w:rFonts w:ascii="Times New Roman" w:hAnsi="Times New Roman"/>
        </w:rPr>
      </w:pPr>
    </w:p>
    <w:p w14:paraId="15A4B447" w14:textId="77777777" w:rsidR="00C769FE" w:rsidRPr="00917E5F" w:rsidRDefault="001902B2" w:rsidP="00605ABF">
      <w:pPr>
        <w:outlineLvl w:val="0"/>
        <w:rPr>
          <w:rFonts w:ascii="Times New Roman" w:hAnsi="Times New Roman"/>
          <w:u w:val="single"/>
        </w:rPr>
      </w:pPr>
      <w:r w:rsidRPr="00917E5F">
        <w:rPr>
          <w:rFonts w:ascii="Times New Roman" w:hAnsi="Times New Roman"/>
          <w:u w:val="single"/>
        </w:rPr>
        <w:t xml:space="preserve">Commercial </w:t>
      </w:r>
      <w:r w:rsidR="00640DB7" w:rsidRPr="00917E5F">
        <w:rPr>
          <w:rFonts w:ascii="Times New Roman" w:hAnsi="Times New Roman"/>
          <w:u w:val="single"/>
        </w:rPr>
        <w:t>Conservation</w:t>
      </w:r>
      <w:r w:rsidRPr="00917E5F">
        <w:rPr>
          <w:rFonts w:ascii="Times New Roman" w:hAnsi="Times New Roman"/>
          <w:u w:val="single"/>
        </w:rPr>
        <w:t xml:space="preserve"> Program Changes</w:t>
      </w:r>
    </w:p>
    <w:p w14:paraId="15A4B448" w14:textId="77777777" w:rsidR="00980DAF" w:rsidRPr="00917E5F" w:rsidRDefault="00380CEF" w:rsidP="00F229FD">
      <w:pPr>
        <w:outlineLvl w:val="0"/>
        <w:rPr>
          <w:rFonts w:ascii="Times New Roman" w:hAnsi="Times New Roman"/>
        </w:rPr>
      </w:pPr>
      <w:r w:rsidRPr="00917E5F">
        <w:rPr>
          <w:rFonts w:ascii="Times New Roman" w:hAnsi="Times New Roman"/>
        </w:rPr>
        <w:t xml:space="preserve">Cascade has adjusted the cost-effectiveness cap for its custom commercial incentives from $0.75/therm to $0.50/therm, in order to remain consistent with </w:t>
      </w:r>
      <w:r w:rsidR="008D7911">
        <w:rPr>
          <w:rFonts w:ascii="Times New Roman" w:hAnsi="Times New Roman"/>
        </w:rPr>
        <w:t>the</w:t>
      </w:r>
      <w:r w:rsidRPr="00917E5F">
        <w:rPr>
          <w:rFonts w:ascii="Times New Roman" w:hAnsi="Times New Roman"/>
        </w:rPr>
        <w:t xml:space="preserve"> avoided costs in </w:t>
      </w:r>
      <w:r w:rsidR="008D7911">
        <w:rPr>
          <w:rFonts w:ascii="Times New Roman" w:hAnsi="Times New Roman"/>
        </w:rPr>
        <w:t>the</w:t>
      </w:r>
      <w:r w:rsidRPr="00917E5F">
        <w:rPr>
          <w:rFonts w:ascii="Times New Roman" w:hAnsi="Times New Roman"/>
        </w:rPr>
        <w:t xml:space="preserve"> 2012 IRP.</w:t>
      </w:r>
      <w:r w:rsidR="00936BFE" w:rsidRPr="00917E5F">
        <w:rPr>
          <w:rStyle w:val="FootnoteReference"/>
          <w:rFonts w:ascii="Times New Roman" w:hAnsi="Times New Roman"/>
        </w:rPr>
        <w:footnoteReference w:id="6"/>
      </w:r>
    </w:p>
    <w:p w14:paraId="15A4B449" w14:textId="77777777" w:rsidR="00AA2495" w:rsidRDefault="00AA2495" w:rsidP="00F229FD">
      <w:pPr>
        <w:outlineLvl w:val="0"/>
        <w:rPr>
          <w:rFonts w:ascii="Times New Roman" w:hAnsi="Times New Roman"/>
        </w:rPr>
      </w:pPr>
    </w:p>
    <w:p w14:paraId="15A4B44A" w14:textId="77777777" w:rsidR="009E7CC1" w:rsidRPr="00917E5F" w:rsidRDefault="009E7CC1" w:rsidP="00F229FD">
      <w:pPr>
        <w:outlineLvl w:val="0"/>
        <w:rPr>
          <w:rFonts w:ascii="Times New Roman" w:hAnsi="Times New Roman"/>
        </w:rPr>
      </w:pPr>
    </w:p>
    <w:p w14:paraId="15A4B44B" w14:textId="77777777" w:rsidR="00F229FD" w:rsidRPr="00917E5F" w:rsidRDefault="00F229FD" w:rsidP="00F229FD">
      <w:pPr>
        <w:rPr>
          <w:rFonts w:ascii="Times New Roman" w:hAnsi="Times New Roman"/>
          <w:b/>
          <w:u w:val="single"/>
        </w:rPr>
      </w:pPr>
      <w:r w:rsidRPr="00917E5F">
        <w:rPr>
          <w:rFonts w:ascii="Times New Roman" w:hAnsi="Times New Roman"/>
          <w:b/>
          <w:u w:val="single"/>
        </w:rPr>
        <w:t>Conclusion</w:t>
      </w:r>
    </w:p>
    <w:p w14:paraId="15A4B44C" w14:textId="77777777" w:rsidR="000C5733" w:rsidRPr="00917E5F" w:rsidRDefault="000C5733" w:rsidP="00F229FD">
      <w:pPr>
        <w:rPr>
          <w:rFonts w:ascii="Times New Roman" w:hAnsi="Times New Roman"/>
          <w:b/>
          <w:u w:val="single"/>
        </w:rPr>
      </w:pPr>
    </w:p>
    <w:p w14:paraId="15A4B44D" w14:textId="77777777" w:rsidR="00640DB7" w:rsidRPr="00917E5F" w:rsidRDefault="006665DE" w:rsidP="00640DB7">
      <w:pPr>
        <w:rPr>
          <w:rFonts w:ascii="Times New Roman" w:hAnsi="Times New Roman"/>
        </w:rPr>
      </w:pPr>
      <w:r>
        <w:rPr>
          <w:rFonts w:ascii="Times New Roman" w:hAnsi="Times New Roman"/>
        </w:rPr>
        <w:t>Staff accepts the company’s estimates of cost-effectiveness under the TRC, and recommends the commission a</w:t>
      </w:r>
      <w:r w:rsidR="00640DB7" w:rsidRPr="00917E5F">
        <w:rPr>
          <w:rFonts w:ascii="Times New Roman" w:hAnsi="Times New Roman"/>
        </w:rPr>
        <w:t xml:space="preserve">llow the tariff changes filed by Cascade Natural Gas Corporation in Docket UG-130461 on March 29, 2013, and finally revised on May 2, 2013, to become effective May 10, 2013, by operation of law. </w:t>
      </w:r>
    </w:p>
    <w:p w14:paraId="15A4B44E" w14:textId="77777777" w:rsidR="000C5733" w:rsidRPr="00917E5F" w:rsidRDefault="000C5733" w:rsidP="00F229FD">
      <w:pPr>
        <w:rPr>
          <w:rFonts w:ascii="Times New Roman" w:hAnsi="Times New Roman"/>
          <w:b/>
          <w:u w:val="single"/>
        </w:rPr>
      </w:pPr>
    </w:p>
    <w:p w14:paraId="15A4B44F" w14:textId="77777777" w:rsidR="000C5733" w:rsidRPr="00917E5F" w:rsidRDefault="000C5733" w:rsidP="00F229FD">
      <w:pPr>
        <w:rPr>
          <w:rFonts w:ascii="Times New Roman" w:hAnsi="Times New Roman"/>
          <w:b/>
          <w:u w:val="single"/>
        </w:rPr>
      </w:pPr>
    </w:p>
    <w:p w14:paraId="15A4B450" w14:textId="77777777" w:rsidR="000C5733" w:rsidRPr="00917E5F" w:rsidRDefault="00640DB7" w:rsidP="00F229FD">
      <w:pPr>
        <w:rPr>
          <w:rFonts w:ascii="Times New Roman" w:hAnsi="Times New Roman"/>
        </w:rPr>
      </w:pPr>
      <w:r w:rsidRPr="00917E5F">
        <w:rPr>
          <w:rFonts w:ascii="Times New Roman" w:hAnsi="Times New Roman"/>
        </w:rPr>
        <w:t>Memo Attachment 1 – Revised 2013-2014 IRP Action Plan (Docket UG-112165)</w:t>
      </w:r>
    </w:p>
    <w:p w14:paraId="15A4B451" w14:textId="77777777" w:rsidR="00F229FD" w:rsidRPr="00917E5F" w:rsidRDefault="00F229FD" w:rsidP="00F229FD">
      <w:pPr>
        <w:outlineLvl w:val="0"/>
        <w:rPr>
          <w:rFonts w:ascii="Times New Roman" w:hAnsi="Times New Roman"/>
          <w:b/>
          <w:u w:val="single"/>
        </w:rPr>
      </w:pPr>
    </w:p>
    <w:p w14:paraId="15A4B452" w14:textId="77777777" w:rsidR="00F229FD" w:rsidRPr="00917E5F" w:rsidRDefault="00F229FD" w:rsidP="00F229FD">
      <w:pPr>
        <w:rPr>
          <w:rFonts w:ascii="Times New Roman" w:hAnsi="Times New Roman"/>
        </w:rPr>
      </w:pPr>
    </w:p>
    <w:p w14:paraId="15A4B453" w14:textId="77777777" w:rsidR="002C039A" w:rsidRPr="00917E5F" w:rsidRDefault="002C039A" w:rsidP="00AD3312">
      <w:pPr>
        <w:rPr>
          <w:rFonts w:ascii="Times New Roman" w:hAnsi="Times New Roman"/>
        </w:rPr>
      </w:pPr>
    </w:p>
    <w:sectPr w:rsidR="002C039A" w:rsidRPr="00917E5F" w:rsidSect="00C76F6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4B456" w14:textId="77777777" w:rsidR="006F582F" w:rsidRDefault="006F582F" w:rsidP="00A9513F">
      <w:r>
        <w:separator/>
      </w:r>
    </w:p>
  </w:endnote>
  <w:endnote w:type="continuationSeparator" w:id="0">
    <w:p w14:paraId="15A4B457" w14:textId="77777777" w:rsidR="006F582F" w:rsidRDefault="006F582F" w:rsidP="00A9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B454" w14:textId="77777777" w:rsidR="006F582F" w:rsidRDefault="006F582F" w:rsidP="00A9513F">
      <w:r>
        <w:separator/>
      </w:r>
    </w:p>
  </w:footnote>
  <w:footnote w:type="continuationSeparator" w:id="0">
    <w:p w14:paraId="15A4B455" w14:textId="77777777" w:rsidR="006F582F" w:rsidRDefault="006F582F" w:rsidP="00A9513F">
      <w:r>
        <w:continuationSeparator/>
      </w:r>
    </w:p>
  </w:footnote>
  <w:footnote w:id="1">
    <w:p w14:paraId="15A4B45D" w14:textId="77777777" w:rsidR="006F582F" w:rsidRPr="00917E5F" w:rsidRDefault="006F582F">
      <w:pPr>
        <w:pStyle w:val="FootnoteText"/>
        <w:rPr>
          <w:rFonts w:ascii="Times New Roman" w:hAnsi="Times New Roman"/>
        </w:rPr>
      </w:pPr>
      <w:r w:rsidRPr="00917E5F">
        <w:rPr>
          <w:rStyle w:val="FootnoteReference"/>
          <w:rFonts w:ascii="Times New Roman" w:hAnsi="Times New Roman"/>
        </w:rPr>
        <w:footnoteRef/>
      </w:r>
      <w:r w:rsidRPr="00917E5F">
        <w:rPr>
          <w:rFonts w:ascii="Times New Roman" w:hAnsi="Times New Roman"/>
        </w:rPr>
        <w:t xml:space="preserve"> </w:t>
      </w:r>
      <w:r w:rsidRPr="00917E5F">
        <w:rPr>
          <w:rFonts w:ascii="Times New Roman" w:hAnsi="Times New Roman"/>
          <w:i/>
        </w:rPr>
        <w:t>Cascade Natural Gas Corporation 2012 Integrated Resource Plan</w:t>
      </w:r>
      <w:r w:rsidRPr="00917E5F">
        <w:rPr>
          <w:rFonts w:ascii="Times New Roman" w:hAnsi="Times New Roman"/>
        </w:rPr>
        <w:t>, Docket UG-112165, (December 14, 2012). (2012 IRP)</w:t>
      </w:r>
    </w:p>
  </w:footnote>
  <w:footnote w:id="2">
    <w:p w14:paraId="15A4B45E" w14:textId="77777777" w:rsidR="006F582F" w:rsidRPr="00917E5F" w:rsidRDefault="006F582F">
      <w:pPr>
        <w:pStyle w:val="FootnoteText"/>
        <w:rPr>
          <w:rFonts w:ascii="Times New Roman" w:hAnsi="Times New Roman"/>
        </w:rPr>
      </w:pPr>
      <w:r w:rsidRPr="00917E5F">
        <w:rPr>
          <w:rStyle w:val="FootnoteReference"/>
          <w:rFonts w:ascii="Times New Roman" w:hAnsi="Times New Roman"/>
        </w:rPr>
        <w:footnoteRef/>
      </w:r>
      <w:r w:rsidRPr="00917E5F">
        <w:rPr>
          <w:rFonts w:ascii="Times New Roman" w:hAnsi="Times New Roman"/>
        </w:rPr>
        <w:t xml:space="preserve"> 2012 IRP, page 96. Cascade’s internal savings targets are 75 percent of the achievable conservation, which is found in the table on page 97.</w:t>
      </w:r>
    </w:p>
  </w:footnote>
  <w:footnote w:id="3">
    <w:p w14:paraId="15A4B45F" w14:textId="77777777" w:rsidR="006F582F" w:rsidRPr="00917E5F" w:rsidRDefault="006F582F">
      <w:pPr>
        <w:pStyle w:val="FootnoteText"/>
        <w:rPr>
          <w:rFonts w:ascii="Times New Roman" w:hAnsi="Times New Roman"/>
        </w:rPr>
      </w:pPr>
      <w:r w:rsidRPr="00917E5F">
        <w:rPr>
          <w:rStyle w:val="FootnoteReference"/>
          <w:rFonts w:ascii="Times New Roman" w:hAnsi="Times New Roman"/>
        </w:rPr>
        <w:footnoteRef/>
      </w:r>
      <w:r w:rsidRPr="00917E5F">
        <w:rPr>
          <w:rFonts w:ascii="Times New Roman" w:hAnsi="Times New Roman"/>
        </w:rPr>
        <w:t xml:space="preserve"> </w:t>
      </w:r>
      <w:r w:rsidRPr="00917E5F">
        <w:rPr>
          <w:rFonts w:ascii="Times New Roman" w:hAnsi="Times New Roman"/>
          <w:i/>
        </w:rPr>
        <w:t>Cascade Washington Integrated Resource Plan Update</w:t>
      </w:r>
      <w:r w:rsidRPr="00917E5F">
        <w:rPr>
          <w:rFonts w:ascii="Times New Roman" w:hAnsi="Times New Roman"/>
        </w:rPr>
        <w:t>, Docket UG-112165, (February 14, 2013). (IRP Update)</w:t>
      </w:r>
    </w:p>
  </w:footnote>
  <w:footnote w:id="4">
    <w:p w14:paraId="15A4B460" w14:textId="77777777" w:rsidR="006F582F" w:rsidRPr="008D7911" w:rsidRDefault="006F582F">
      <w:pPr>
        <w:pStyle w:val="FootnoteText"/>
        <w:rPr>
          <w:rFonts w:ascii="Times New Roman" w:hAnsi="Times New Roman"/>
        </w:rPr>
      </w:pPr>
      <w:r w:rsidRPr="008D7911">
        <w:rPr>
          <w:rStyle w:val="FootnoteReference"/>
          <w:rFonts w:ascii="Times New Roman" w:hAnsi="Times New Roman"/>
        </w:rPr>
        <w:footnoteRef/>
      </w:r>
      <w:r w:rsidRPr="008D7911">
        <w:rPr>
          <w:rFonts w:ascii="Times New Roman" w:hAnsi="Times New Roman"/>
        </w:rPr>
        <w:t xml:space="preserve"> This analysis is based on all known costs and benefits, and is also performed with and without administrative costs. The company is unable to tighten the</w:t>
      </w:r>
      <w:r>
        <w:rPr>
          <w:rFonts w:ascii="Times New Roman" w:hAnsi="Times New Roman"/>
        </w:rPr>
        <w:t xml:space="preserve"> TRC</w:t>
      </w:r>
      <w:r w:rsidRPr="008D7911">
        <w:rPr>
          <w:rFonts w:ascii="Times New Roman" w:hAnsi="Times New Roman"/>
        </w:rPr>
        <w:t xml:space="preserve"> estimate of cost-effectiveness until the completion of its new conservation potential assessment, which will sharpen the estimates of participation.</w:t>
      </w:r>
    </w:p>
  </w:footnote>
  <w:footnote w:id="5">
    <w:p w14:paraId="15A4B461" w14:textId="77777777" w:rsidR="006F582F" w:rsidRPr="00825BE5" w:rsidRDefault="006F582F">
      <w:pPr>
        <w:pStyle w:val="FootnoteText"/>
        <w:rPr>
          <w:rFonts w:ascii="Times New Roman" w:hAnsi="Times New Roman"/>
        </w:rPr>
      </w:pPr>
      <w:r w:rsidRPr="00825BE5">
        <w:rPr>
          <w:rStyle w:val="FootnoteReference"/>
          <w:rFonts w:ascii="Times New Roman" w:hAnsi="Times New Roman"/>
        </w:rPr>
        <w:footnoteRef/>
      </w:r>
      <w:r w:rsidRPr="00825B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2012 </w:t>
      </w:r>
      <w:r w:rsidRPr="00825BE5">
        <w:rPr>
          <w:rFonts w:ascii="Times New Roman" w:hAnsi="Times New Roman"/>
        </w:rPr>
        <w:t>IRP Volume III</w:t>
      </w:r>
      <w:r>
        <w:rPr>
          <w:rFonts w:ascii="Times New Roman" w:hAnsi="Times New Roman"/>
        </w:rPr>
        <w:t xml:space="preserve"> at 429.</w:t>
      </w:r>
    </w:p>
  </w:footnote>
  <w:footnote w:id="6">
    <w:p w14:paraId="15A4B462" w14:textId="77777777" w:rsidR="006F582F" w:rsidRPr="00936BFE" w:rsidRDefault="006F582F">
      <w:pPr>
        <w:pStyle w:val="FootnoteText"/>
        <w:rPr>
          <w:rFonts w:ascii="Times New Roman" w:hAnsi="Times New Roman"/>
        </w:rPr>
      </w:pPr>
      <w:r w:rsidRPr="00936BFE">
        <w:rPr>
          <w:rStyle w:val="FootnoteReference"/>
          <w:rFonts w:ascii="Times New Roman" w:hAnsi="Times New Roman"/>
        </w:rPr>
        <w:footnoteRef/>
      </w:r>
      <w:r w:rsidRPr="00936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B458" w14:textId="77777777" w:rsidR="006F582F" w:rsidRPr="006665DE" w:rsidRDefault="006F582F" w:rsidP="00C37767">
    <w:pPr>
      <w:pStyle w:val="Header"/>
      <w:rPr>
        <w:rFonts w:ascii="Times New Roman" w:hAnsi="Times New Roman"/>
        <w:sz w:val="20"/>
        <w:szCs w:val="20"/>
      </w:rPr>
    </w:pPr>
    <w:r w:rsidRPr="006665DE">
      <w:rPr>
        <w:rFonts w:ascii="Times New Roman" w:hAnsi="Times New Roman"/>
        <w:sz w:val="20"/>
        <w:szCs w:val="20"/>
      </w:rPr>
      <w:t>Docket UG-130461</w:t>
    </w:r>
  </w:p>
  <w:p w14:paraId="15A4B459" w14:textId="77777777" w:rsidR="006F582F" w:rsidRPr="006665DE" w:rsidRDefault="006F582F" w:rsidP="00C37767">
    <w:pPr>
      <w:pStyle w:val="Header"/>
      <w:rPr>
        <w:rFonts w:ascii="Times New Roman" w:hAnsi="Times New Roman"/>
        <w:sz w:val="20"/>
        <w:szCs w:val="20"/>
      </w:rPr>
    </w:pPr>
    <w:r w:rsidRPr="006665DE">
      <w:rPr>
        <w:rFonts w:ascii="Times New Roman" w:hAnsi="Times New Roman"/>
        <w:sz w:val="20"/>
        <w:szCs w:val="20"/>
      </w:rPr>
      <w:t>May 9, 2013</w:t>
    </w:r>
  </w:p>
  <w:p w14:paraId="15A4B45A" w14:textId="77777777" w:rsidR="006F582F" w:rsidRPr="006665DE" w:rsidRDefault="006F582F" w:rsidP="00C37767">
    <w:pPr>
      <w:pStyle w:val="Header"/>
      <w:rPr>
        <w:rFonts w:ascii="Times New Roman" w:hAnsi="Times New Roman"/>
        <w:noProof/>
        <w:sz w:val="20"/>
        <w:szCs w:val="20"/>
      </w:rPr>
    </w:pPr>
    <w:r w:rsidRPr="006665DE">
      <w:rPr>
        <w:rFonts w:ascii="Times New Roman" w:hAnsi="Times New Roman"/>
        <w:sz w:val="20"/>
        <w:szCs w:val="20"/>
      </w:rPr>
      <w:t xml:space="preserve">Page </w:t>
    </w:r>
    <w:r w:rsidRPr="006665DE">
      <w:rPr>
        <w:rFonts w:ascii="Times New Roman" w:hAnsi="Times New Roman"/>
        <w:sz w:val="20"/>
        <w:szCs w:val="20"/>
      </w:rPr>
      <w:fldChar w:fldCharType="begin"/>
    </w:r>
    <w:r w:rsidRPr="006665DE">
      <w:rPr>
        <w:rFonts w:ascii="Times New Roman" w:hAnsi="Times New Roman"/>
        <w:sz w:val="20"/>
        <w:szCs w:val="20"/>
      </w:rPr>
      <w:instrText xml:space="preserve"> PAGE   \* MERGEFORMAT </w:instrText>
    </w:r>
    <w:r w:rsidRPr="006665DE">
      <w:rPr>
        <w:rFonts w:ascii="Times New Roman" w:hAnsi="Times New Roman"/>
        <w:sz w:val="20"/>
        <w:szCs w:val="20"/>
      </w:rPr>
      <w:fldChar w:fldCharType="separate"/>
    </w:r>
    <w:r w:rsidR="00216C5E">
      <w:rPr>
        <w:rFonts w:ascii="Times New Roman" w:hAnsi="Times New Roman"/>
        <w:noProof/>
        <w:sz w:val="20"/>
        <w:szCs w:val="20"/>
      </w:rPr>
      <w:t>3</w:t>
    </w:r>
    <w:r w:rsidRPr="006665DE">
      <w:rPr>
        <w:rFonts w:ascii="Times New Roman" w:hAnsi="Times New Roman"/>
        <w:noProof/>
        <w:sz w:val="20"/>
        <w:szCs w:val="20"/>
      </w:rPr>
      <w:fldChar w:fldCharType="end"/>
    </w:r>
  </w:p>
  <w:p w14:paraId="15A4B45B" w14:textId="77777777" w:rsidR="006F582F" w:rsidRPr="006665DE" w:rsidRDefault="006F582F">
    <w:pPr>
      <w:pStyle w:val="Header"/>
      <w:rPr>
        <w:rFonts w:ascii="Times New Roman" w:hAnsi="Times New Roman"/>
      </w:rPr>
    </w:pPr>
  </w:p>
  <w:p w14:paraId="15A4B45C" w14:textId="77777777" w:rsidR="006F582F" w:rsidRDefault="006F5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C60"/>
    <w:multiLevelType w:val="hybridMultilevel"/>
    <w:tmpl w:val="FE86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7DCF"/>
    <w:multiLevelType w:val="hybridMultilevel"/>
    <w:tmpl w:val="90C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4A49"/>
    <w:multiLevelType w:val="hybridMultilevel"/>
    <w:tmpl w:val="FE86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D"/>
    <w:rsid w:val="0000669A"/>
    <w:rsid w:val="00006E5A"/>
    <w:rsid w:val="000139DC"/>
    <w:rsid w:val="000306B1"/>
    <w:rsid w:val="00040AC3"/>
    <w:rsid w:val="00041DF9"/>
    <w:rsid w:val="00071CF0"/>
    <w:rsid w:val="000937F1"/>
    <w:rsid w:val="000B188E"/>
    <w:rsid w:val="000C4E40"/>
    <w:rsid w:val="000C5733"/>
    <w:rsid w:val="000C6CE6"/>
    <w:rsid w:val="000D7595"/>
    <w:rsid w:val="000E11A4"/>
    <w:rsid w:val="000E25DA"/>
    <w:rsid w:val="000E45A0"/>
    <w:rsid w:val="000E640C"/>
    <w:rsid w:val="00114F73"/>
    <w:rsid w:val="001162B4"/>
    <w:rsid w:val="00117F61"/>
    <w:rsid w:val="00122AA5"/>
    <w:rsid w:val="0012363D"/>
    <w:rsid w:val="00147087"/>
    <w:rsid w:val="00156352"/>
    <w:rsid w:val="001618C1"/>
    <w:rsid w:val="001902B2"/>
    <w:rsid w:val="00192691"/>
    <w:rsid w:val="00193AF2"/>
    <w:rsid w:val="001A776C"/>
    <w:rsid w:val="001B2FAA"/>
    <w:rsid w:val="001C0017"/>
    <w:rsid w:val="001C3EC6"/>
    <w:rsid w:val="001C5AB1"/>
    <w:rsid w:val="001D063C"/>
    <w:rsid w:val="001D466C"/>
    <w:rsid w:val="001E1D7A"/>
    <w:rsid w:val="002001B1"/>
    <w:rsid w:val="00202B50"/>
    <w:rsid w:val="00203044"/>
    <w:rsid w:val="00210D00"/>
    <w:rsid w:val="00216C5E"/>
    <w:rsid w:val="0025255B"/>
    <w:rsid w:val="00256770"/>
    <w:rsid w:val="00261F3B"/>
    <w:rsid w:val="0027115B"/>
    <w:rsid w:val="00273844"/>
    <w:rsid w:val="0029130F"/>
    <w:rsid w:val="002B3FF7"/>
    <w:rsid w:val="002B5AA6"/>
    <w:rsid w:val="002B7D7A"/>
    <w:rsid w:val="002C039A"/>
    <w:rsid w:val="002D6C8F"/>
    <w:rsid w:val="002E1155"/>
    <w:rsid w:val="002E1BE9"/>
    <w:rsid w:val="002E1F7B"/>
    <w:rsid w:val="002E4F52"/>
    <w:rsid w:val="002E591A"/>
    <w:rsid w:val="002E627A"/>
    <w:rsid w:val="002E6B67"/>
    <w:rsid w:val="002F6013"/>
    <w:rsid w:val="002F7205"/>
    <w:rsid w:val="002F76CF"/>
    <w:rsid w:val="0031115F"/>
    <w:rsid w:val="00320CE0"/>
    <w:rsid w:val="0032390E"/>
    <w:rsid w:val="00350FCF"/>
    <w:rsid w:val="00365C2A"/>
    <w:rsid w:val="003758EB"/>
    <w:rsid w:val="00380CEF"/>
    <w:rsid w:val="003873BD"/>
    <w:rsid w:val="00394A0A"/>
    <w:rsid w:val="00394DC8"/>
    <w:rsid w:val="00395B22"/>
    <w:rsid w:val="003A0669"/>
    <w:rsid w:val="003A397A"/>
    <w:rsid w:val="003A3DC1"/>
    <w:rsid w:val="003A6FB9"/>
    <w:rsid w:val="003B2936"/>
    <w:rsid w:val="003B46DB"/>
    <w:rsid w:val="003C453A"/>
    <w:rsid w:val="003D5476"/>
    <w:rsid w:val="003D7F50"/>
    <w:rsid w:val="003E3B6E"/>
    <w:rsid w:val="003F0CE4"/>
    <w:rsid w:val="003F4E72"/>
    <w:rsid w:val="003F7C96"/>
    <w:rsid w:val="0040590E"/>
    <w:rsid w:val="0040749D"/>
    <w:rsid w:val="00420ACD"/>
    <w:rsid w:val="00453E97"/>
    <w:rsid w:val="0045723A"/>
    <w:rsid w:val="00464567"/>
    <w:rsid w:val="0046469B"/>
    <w:rsid w:val="00480F60"/>
    <w:rsid w:val="004B7411"/>
    <w:rsid w:val="004D524C"/>
    <w:rsid w:val="004E06C8"/>
    <w:rsid w:val="004E7CCF"/>
    <w:rsid w:val="004F5110"/>
    <w:rsid w:val="004F79EF"/>
    <w:rsid w:val="00520DCE"/>
    <w:rsid w:val="0053370A"/>
    <w:rsid w:val="005349D0"/>
    <w:rsid w:val="00540D9F"/>
    <w:rsid w:val="00552600"/>
    <w:rsid w:val="0057285C"/>
    <w:rsid w:val="005824CF"/>
    <w:rsid w:val="005927CA"/>
    <w:rsid w:val="00593AD4"/>
    <w:rsid w:val="005A6C74"/>
    <w:rsid w:val="005A7B20"/>
    <w:rsid w:val="005B43E7"/>
    <w:rsid w:val="005C31A1"/>
    <w:rsid w:val="005C4037"/>
    <w:rsid w:val="005D2202"/>
    <w:rsid w:val="005E75F8"/>
    <w:rsid w:val="005F6989"/>
    <w:rsid w:val="00603F67"/>
    <w:rsid w:val="0060520E"/>
    <w:rsid w:val="0060560F"/>
    <w:rsid w:val="00605ABF"/>
    <w:rsid w:val="00624095"/>
    <w:rsid w:val="00637709"/>
    <w:rsid w:val="00640DB7"/>
    <w:rsid w:val="00661BAB"/>
    <w:rsid w:val="006654BB"/>
    <w:rsid w:val="006665DE"/>
    <w:rsid w:val="00670922"/>
    <w:rsid w:val="00672F7B"/>
    <w:rsid w:val="00677181"/>
    <w:rsid w:val="00677C58"/>
    <w:rsid w:val="0069228B"/>
    <w:rsid w:val="006923FA"/>
    <w:rsid w:val="006943B5"/>
    <w:rsid w:val="00697EC3"/>
    <w:rsid w:val="006A13D7"/>
    <w:rsid w:val="006A41EE"/>
    <w:rsid w:val="006A6ED7"/>
    <w:rsid w:val="006B0141"/>
    <w:rsid w:val="006B2566"/>
    <w:rsid w:val="006C28BD"/>
    <w:rsid w:val="006F1968"/>
    <w:rsid w:val="006F582F"/>
    <w:rsid w:val="00700AF2"/>
    <w:rsid w:val="00741162"/>
    <w:rsid w:val="00746B6B"/>
    <w:rsid w:val="00765B17"/>
    <w:rsid w:val="00770F43"/>
    <w:rsid w:val="00790001"/>
    <w:rsid w:val="0079788A"/>
    <w:rsid w:val="007A0BA7"/>
    <w:rsid w:val="007A23D0"/>
    <w:rsid w:val="007B5F8A"/>
    <w:rsid w:val="007C3D2D"/>
    <w:rsid w:val="007C7030"/>
    <w:rsid w:val="007D2877"/>
    <w:rsid w:val="007E13FC"/>
    <w:rsid w:val="007E1657"/>
    <w:rsid w:val="007E2EFC"/>
    <w:rsid w:val="008124AB"/>
    <w:rsid w:val="00813352"/>
    <w:rsid w:val="00825BE5"/>
    <w:rsid w:val="0084574A"/>
    <w:rsid w:val="0085158F"/>
    <w:rsid w:val="00852146"/>
    <w:rsid w:val="00855FCF"/>
    <w:rsid w:val="00862B79"/>
    <w:rsid w:val="00862D8B"/>
    <w:rsid w:val="008D7911"/>
    <w:rsid w:val="008E5388"/>
    <w:rsid w:val="008F0A20"/>
    <w:rsid w:val="00903B3A"/>
    <w:rsid w:val="00907A78"/>
    <w:rsid w:val="00916F32"/>
    <w:rsid w:val="00917E5F"/>
    <w:rsid w:val="00926056"/>
    <w:rsid w:val="00935B08"/>
    <w:rsid w:val="00936BFE"/>
    <w:rsid w:val="00940097"/>
    <w:rsid w:val="0094021B"/>
    <w:rsid w:val="009463C0"/>
    <w:rsid w:val="00957C74"/>
    <w:rsid w:val="00980DAF"/>
    <w:rsid w:val="00982EAC"/>
    <w:rsid w:val="009835A9"/>
    <w:rsid w:val="00991BDB"/>
    <w:rsid w:val="009A0EEF"/>
    <w:rsid w:val="009A58E4"/>
    <w:rsid w:val="009A6CA0"/>
    <w:rsid w:val="009B0D46"/>
    <w:rsid w:val="009E55FA"/>
    <w:rsid w:val="009E7CC1"/>
    <w:rsid w:val="00A0370F"/>
    <w:rsid w:val="00A06978"/>
    <w:rsid w:val="00A158DA"/>
    <w:rsid w:val="00A230FB"/>
    <w:rsid w:val="00A32098"/>
    <w:rsid w:val="00A40025"/>
    <w:rsid w:val="00A535B4"/>
    <w:rsid w:val="00A60546"/>
    <w:rsid w:val="00A60A2C"/>
    <w:rsid w:val="00A66114"/>
    <w:rsid w:val="00A73DC5"/>
    <w:rsid w:val="00A84378"/>
    <w:rsid w:val="00A84C2A"/>
    <w:rsid w:val="00A94BA7"/>
    <w:rsid w:val="00A9513F"/>
    <w:rsid w:val="00AA2495"/>
    <w:rsid w:val="00AA56D9"/>
    <w:rsid w:val="00AA6453"/>
    <w:rsid w:val="00AA7CA1"/>
    <w:rsid w:val="00AB615E"/>
    <w:rsid w:val="00AB794F"/>
    <w:rsid w:val="00AC6B14"/>
    <w:rsid w:val="00AD10D0"/>
    <w:rsid w:val="00AD3312"/>
    <w:rsid w:val="00AE183F"/>
    <w:rsid w:val="00AE273E"/>
    <w:rsid w:val="00AE76BC"/>
    <w:rsid w:val="00AF0381"/>
    <w:rsid w:val="00AF3C35"/>
    <w:rsid w:val="00B03AA6"/>
    <w:rsid w:val="00B13041"/>
    <w:rsid w:val="00B14A89"/>
    <w:rsid w:val="00B22325"/>
    <w:rsid w:val="00B400F6"/>
    <w:rsid w:val="00B4387C"/>
    <w:rsid w:val="00B43A5B"/>
    <w:rsid w:val="00B44C5D"/>
    <w:rsid w:val="00B477BA"/>
    <w:rsid w:val="00B54B42"/>
    <w:rsid w:val="00B74693"/>
    <w:rsid w:val="00B74D52"/>
    <w:rsid w:val="00B76C60"/>
    <w:rsid w:val="00B91DE8"/>
    <w:rsid w:val="00BA4F40"/>
    <w:rsid w:val="00BA609D"/>
    <w:rsid w:val="00BB57D3"/>
    <w:rsid w:val="00BC14D5"/>
    <w:rsid w:val="00BD7C16"/>
    <w:rsid w:val="00BE2A0F"/>
    <w:rsid w:val="00BE3D05"/>
    <w:rsid w:val="00C02536"/>
    <w:rsid w:val="00C03D0F"/>
    <w:rsid w:val="00C21A39"/>
    <w:rsid w:val="00C22884"/>
    <w:rsid w:val="00C37767"/>
    <w:rsid w:val="00C418C6"/>
    <w:rsid w:val="00C66093"/>
    <w:rsid w:val="00C72E34"/>
    <w:rsid w:val="00C769FE"/>
    <w:rsid w:val="00C76F69"/>
    <w:rsid w:val="00C834B2"/>
    <w:rsid w:val="00C94DF5"/>
    <w:rsid w:val="00CB0D36"/>
    <w:rsid w:val="00CB2FD5"/>
    <w:rsid w:val="00CB3BEB"/>
    <w:rsid w:val="00CB6F97"/>
    <w:rsid w:val="00CC3E15"/>
    <w:rsid w:val="00CC4BCB"/>
    <w:rsid w:val="00CC5888"/>
    <w:rsid w:val="00CD61DC"/>
    <w:rsid w:val="00CE56B6"/>
    <w:rsid w:val="00CE7CE5"/>
    <w:rsid w:val="00CF625E"/>
    <w:rsid w:val="00D06815"/>
    <w:rsid w:val="00D1682C"/>
    <w:rsid w:val="00D2193B"/>
    <w:rsid w:val="00D536D7"/>
    <w:rsid w:val="00D54ED8"/>
    <w:rsid w:val="00D726A4"/>
    <w:rsid w:val="00DA1B86"/>
    <w:rsid w:val="00DB1747"/>
    <w:rsid w:val="00DB5AFB"/>
    <w:rsid w:val="00DB778D"/>
    <w:rsid w:val="00DC3B58"/>
    <w:rsid w:val="00DD2A47"/>
    <w:rsid w:val="00DD67FF"/>
    <w:rsid w:val="00DE498D"/>
    <w:rsid w:val="00DF353B"/>
    <w:rsid w:val="00DF78C2"/>
    <w:rsid w:val="00E01D63"/>
    <w:rsid w:val="00E14CA5"/>
    <w:rsid w:val="00E401AD"/>
    <w:rsid w:val="00E4072E"/>
    <w:rsid w:val="00E55BEF"/>
    <w:rsid w:val="00E6693A"/>
    <w:rsid w:val="00E86B3A"/>
    <w:rsid w:val="00E86F7A"/>
    <w:rsid w:val="00E87FBF"/>
    <w:rsid w:val="00E97391"/>
    <w:rsid w:val="00EA00D0"/>
    <w:rsid w:val="00EA2BBB"/>
    <w:rsid w:val="00EA31D1"/>
    <w:rsid w:val="00EE3539"/>
    <w:rsid w:val="00EE6D4D"/>
    <w:rsid w:val="00EF2635"/>
    <w:rsid w:val="00F00CA5"/>
    <w:rsid w:val="00F21B68"/>
    <w:rsid w:val="00F229FD"/>
    <w:rsid w:val="00F335A4"/>
    <w:rsid w:val="00F44D1E"/>
    <w:rsid w:val="00F7381F"/>
    <w:rsid w:val="00F769DB"/>
    <w:rsid w:val="00F77667"/>
    <w:rsid w:val="00F90FF8"/>
    <w:rsid w:val="00FB5144"/>
    <w:rsid w:val="00FC1805"/>
    <w:rsid w:val="00FC259E"/>
    <w:rsid w:val="00FE22EC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B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FD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1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13F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1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6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67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4F40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FD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1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13F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1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6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67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4F40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2013-03-29T07:00:00+00:00</OpenedDate>
    <Date1 xmlns="dc463f71-b30c-4ab2-9473-d307f9d35888">2013-05-09T07:00:00+00:00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130461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7A1FFFD19CB54B9168EEE41F66B334" ma:contentTypeVersion="127" ma:contentTypeDescription="" ma:contentTypeScope="" ma:versionID="77489e3e842928cb7cc8f6d268af4f5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5665A-9D0B-4351-87EB-341B0DF959B2}"/>
</file>

<file path=customXml/itemProps2.xml><?xml version="1.0" encoding="utf-8"?>
<ds:datastoreItem xmlns:ds="http://schemas.openxmlformats.org/officeDocument/2006/customXml" ds:itemID="{E9246408-E052-410B-8AA3-D0E41D87457A}"/>
</file>

<file path=customXml/itemProps3.xml><?xml version="1.0" encoding="utf-8"?>
<ds:datastoreItem xmlns:ds="http://schemas.openxmlformats.org/officeDocument/2006/customXml" ds:itemID="{CF0901B3-3ADF-415C-A9D2-7B35A4ECDB4C}"/>
</file>

<file path=customXml/itemProps4.xml><?xml version="1.0" encoding="utf-8"?>
<ds:datastoreItem xmlns:ds="http://schemas.openxmlformats.org/officeDocument/2006/customXml" ds:itemID="{43F2246B-F557-43FC-BED3-78E68FE15171}"/>
</file>

<file path=customXml/itemProps5.xml><?xml version="1.0" encoding="utf-8"?>
<ds:datastoreItem xmlns:ds="http://schemas.openxmlformats.org/officeDocument/2006/customXml" ds:itemID="{7B87D409-94D8-4D70-B817-413A5AA41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UG-130461 memo</vt:lpstr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UG-130461 memo</dc:title>
  <dc:creator>DReynold@utc.wa.gov</dc:creator>
  <cp:lastModifiedBy>Lisa Wyse</cp:lastModifiedBy>
  <cp:revision>2</cp:revision>
  <cp:lastPrinted>2013-04-11T00:22:00Z</cp:lastPrinted>
  <dcterms:created xsi:type="dcterms:W3CDTF">2013-05-06T21:05:00Z</dcterms:created>
  <dcterms:modified xsi:type="dcterms:W3CDTF">2013-05-06T21:05:00Z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0x0101006E56B4D1795A2E4DB2F0B01679ED314A00D17A1FFFD19CB54B9168EEE41F66B334</vt:lpwstr>
  </property>
  <property fmtid="{D5CDD505-2E9C-101B-9397-08002B2CF9AE}" pid="3" name="_docset_NoMedatataSyncRequired">
    <vt:lpwstr>False</vt:lpwstr>
  </property>
</Properties>
</file>