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77777777"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27029B">
        <w:rPr>
          <w:sz w:val="24"/>
        </w:rPr>
        <w:t>October 27, 2011</w:t>
      </w:r>
      <w:r w:rsidRPr="0053490F">
        <w:rPr>
          <w:sz w:val="24"/>
        </w:rPr>
        <w:tab/>
      </w:r>
    </w:p>
    <w:p w14:paraId="0D5803AC" w14:textId="3A62EEBD"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00EC36DE">
        <w:rPr>
          <w:sz w:val="24"/>
        </w:rPr>
        <w:t>s</w:t>
      </w:r>
      <w:r w:rsidRPr="0053490F">
        <w:rPr>
          <w:sz w:val="24"/>
        </w:rPr>
        <w:t>:</w:t>
      </w:r>
      <w:r w:rsidRPr="0053490F">
        <w:rPr>
          <w:sz w:val="24"/>
        </w:rPr>
        <w:tab/>
      </w:r>
      <w:r w:rsidR="00EC36DE">
        <w:rPr>
          <w:sz w:val="24"/>
        </w:rPr>
        <w:t>B2</w:t>
      </w:r>
      <w:r w:rsidR="00130DE3">
        <w:rPr>
          <w:sz w:val="24"/>
        </w:rPr>
        <w:t xml:space="preserve"> and </w:t>
      </w:r>
      <w:r w:rsidR="00321B43">
        <w:rPr>
          <w:sz w:val="24"/>
        </w:rPr>
        <w:t>B3</w:t>
      </w:r>
    </w:p>
    <w:p w14:paraId="0D5803AD"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D5803AE" w14:textId="46E01AA2"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Docket</w:t>
      </w:r>
      <w:r w:rsidR="00EC36DE">
        <w:rPr>
          <w:b/>
          <w:bCs/>
          <w:sz w:val="24"/>
        </w:rPr>
        <w:t>s</w:t>
      </w:r>
      <w:r w:rsidRPr="0053490F">
        <w:rPr>
          <w:b/>
          <w:bCs/>
          <w:sz w:val="24"/>
        </w:rPr>
        <w:t xml:space="preserve">: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029B">
        <w:rPr>
          <w:b/>
          <w:bCs/>
          <w:sz w:val="24"/>
        </w:rPr>
        <w:t>116</w:t>
      </w:r>
      <w:r w:rsidR="00EC36DE">
        <w:rPr>
          <w:b/>
          <w:bCs/>
          <w:sz w:val="24"/>
        </w:rPr>
        <w:t>72</w:t>
      </w:r>
      <w:r w:rsidR="00130DE3">
        <w:rPr>
          <w:b/>
          <w:bCs/>
          <w:sz w:val="24"/>
        </w:rPr>
        <w:t xml:space="preserve"> and</w:t>
      </w:r>
      <w:r w:rsidR="00EC36DE">
        <w:rPr>
          <w:b/>
          <w:bCs/>
          <w:sz w:val="24"/>
        </w:rPr>
        <w:t xml:space="preserve"> TG-111674</w:t>
      </w:r>
    </w:p>
    <w:p w14:paraId="776326E7" w14:textId="77777777" w:rsidR="00130DE3" w:rsidRDefault="00130DE3"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64DF9B3" w14:textId="4C8141F8" w:rsidR="00EC36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00EC36DE">
        <w:rPr>
          <w:sz w:val="24"/>
        </w:rPr>
        <w:t>s</w:t>
      </w:r>
      <w:r w:rsidRPr="0053490F">
        <w:rPr>
          <w:sz w:val="24"/>
        </w:rPr>
        <w:t>:</w:t>
      </w:r>
      <w:r w:rsidRPr="0053490F">
        <w:rPr>
          <w:sz w:val="24"/>
        </w:rPr>
        <w:tab/>
      </w:r>
      <w:r w:rsidR="00EC36DE">
        <w:rPr>
          <w:sz w:val="24"/>
        </w:rPr>
        <w:t xml:space="preserve">Murrey’s </w:t>
      </w:r>
      <w:r w:rsidR="00EC36DE" w:rsidRPr="00EC36DE">
        <w:rPr>
          <w:sz w:val="24"/>
        </w:rPr>
        <w:t>Disposal Company, Inc.</w:t>
      </w:r>
      <w:r w:rsidR="00EC36DE">
        <w:rPr>
          <w:sz w:val="24"/>
        </w:rPr>
        <w:t>, G-9</w:t>
      </w:r>
    </w:p>
    <w:p w14:paraId="0D5803AF" w14:textId="49B58591" w:rsidR="006326CE" w:rsidRDefault="00EC36D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Pr="00EC36DE">
        <w:rPr>
          <w:sz w:val="24"/>
        </w:rPr>
        <w:t>American Disposal Company, Inc.</w:t>
      </w:r>
      <w:r>
        <w:rPr>
          <w:sz w:val="24"/>
        </w:rPr>
        <w:t xml:space="preserve">, </w:t>
      </w:r>
      <w:r w:rsidR="006955C3">
        <w:rPr>
          <w:sz w:val="24"/>
        </w:rPr>
        <w:t>G</w:t>
      </w:r>
      <w:r w:rsidR="0046592B" w:rsidRPr="0053490F">
        <w:rPr>
          <w:sz w:val="24"/>
        </w:rPr>
        <w:t>-</w:t>
      </w:r>
      <w:r w:rsidR="006955C3">
        <w:rPr>
          <w:sz w:val="24"/>
        </w:rPr>
        <w:t>98</w:t>
      </w:r>
    </w:p>
    <w:p w14:paraId="0D5803B0" w14:textId="7AFA516A" w:rsidR="006326CE" w:rsidRPr="0053490F" w:rsidRDefault="00EC36D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6326CE" w:rsidRPr="0053490F">
        <w:rPr>
          <w:sz w:val="24"/>
        </w:rPr>
        <w:tab/>
      </w:r>
      <w:r w:rsidR="006326CE" w:rsidRPr="0053490F">
        <w:rPr>
          <w:sz w:val="24"/>
        </w:rPr>
        <w:tab/>
      </w:r>
      <w:r w:rsidR="006326CE" w:rsidRPr="0053490F">
        <w:rPr>
          <w:sz w:val="24"/>
        </w:rPr>
        <w:tab/>
      </w:r>
    </w:p>
    <w:p w14:paraId="0D5803B1" w14:textId="6B7A5202"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0D5803B5"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3B6" w14:textId="61C2C062" w:rsidR="00487380" w:rsidRPr="00B00ACB" w:rsidRDefault="00130DE3" w:rsidP="00B00A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Staff recommends the </w:t>
      </w:r>
      <w:r>
        <w:rPr>
          <w:sz w:val="24"/>
        </w:rPr>
        <w:t>c</w:t>
      </w:r>
      <w:r w:rsidRPr="00130DE3">
        <w:rPr>
          <w:sz w:val="24"/>
        </w:rPr>
        <w:t xml:space="preserve">ommission issue a complaint and order suspending revisions to </w:t>
      </w:r>
      <w:r>
        <w:rPr>
          <w:sz w:val="24"/>
        </w:rPr>
        <w:t xml:space="preserve">each </w:t>
      </w:r>
      <w:r w:rsidR="008F4048">
        <w:rPr>
          <w:sz w:val="24"/>
        </w:rPr>
        <w:t>company’s</w:t>
      </w:r>
      <w:r>
        <w:rPr>
          <w:sz w:val="24"/>
        </w:rPr>
        <w:t xml:space="preserve"> tariffs</w:t>
      </w:r>
      <w:r w:rsidR="003D7900">
        <w:rPr>
          <w:sz w:val="24"/>
        </w:rPr>
        <w:t>,</w:t>
      </w:r>
      <w:r>
        <w:rPr>
          <w:sz w:val="24"/>
        </w:rPr>
        <w:t xml:space="preserve"> and</w:t>
      </w:r>
      <w:r w:rsidRPr="00130DE3">
        <w:rPr>
          <w:sz w:val="24"/>
        </w:rPr>
        <w:t xml:space="preserve"> allowing monthly recyclable commodity revenue adjustments filed </w:t>
      </w:r>
      <w:r>
        <w:rPr>
          <w:sz w:val="24"/>
        </w:rPr>
        <w:t xml:space="preserve">by each company </w:t>
      </w:r>
      <w:r w:rsidR="003D7900">
        <w:rPr>
          <w:sz w:val="24"/>
        </w:rPr>
        <w:t>on September 15, 2011,</w:t>
      </w:r>
      <w:r w:rsidRPr="00130DE3">
        <w:rPr>
          <w:sz w:val="24"/>
        </w:rPr>
        <w:t xml:space="preserve"> and revenue sharing </w:t>
      </w:r>
      <w:r w:rsidR="00BC6D51">
        <w:rPr>
          <w:sz w:val="24"/>
        </w:rPr>
        <w:t xml:space="preserve">to become effective on November 1, 2011, </w:t>
      </w:r>
      <w:r w:rsidRPr="00130DE3">
        <w:rPr>
          <w:sz w:val="24"/>
        </w:rPr>
        <w:t>on a temporary basis, subject to refund.</w:t>
      </w:r>
    </w:p>
    <w:p w14:paraId="0D5803B7" w14:textId="77777777" w:rsidR="00487380" w:rsidRPr="0053490F" w:rsidRDefault="00487380" w:rsidP="009B7577">
      <w:pPr>
        <w:rPr>
          <w:sz w:val="24"/>
        </w:rPr>
      </w:pPr>
    </w:p>
    <w:p w14:paraId="0D5803B8"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0D5803B9"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DA4F0F5" w14:textId="7CEE447F"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On September 15, 2011, American Disposal Company, Inc.</w:t>
      </w:r>
      <w:r w:rsidR="00BC6D51">
        <w:rPr>
          <w:sz w:val="24"/>
        </w:rPr>
        <w:t>,</w:t>
      </w:r>
      <w:r w:rsidRPr="00130DE3">
        <w:rPr>
          <w:sz w:val="24"/>
        </w:rPr>
        <w:t xml:space="preserve"> </w:t>
      </w:r>
      <w:r>
        <w:rPr>
          <w:sz w:val="24"/>
        </w:rPr>
        <w:t>and Murrey’s</w:t>
      </w:r>
      <w:r w:rsidRPr="00130DE3">
        <w:rPr>
          <w:sz w:val="24"/>
        </w:rPr>
        <w:t xml:space="preserve"> Disposal Company, Inc. (American</w:t>
      </w:r>
      <w:r>
        <w:rPr>
          <w:sz w:val="24"/>
        </w:rPr>
        <w:t xml:space="preserve"> and Murrey’s</w:t>
      </w:r>
      <w:r w:rsidRPr="00130DE3">
        <w:rPr>
          <w:sz w:val="24"/>
        </w:rPr>
        <w:t xml:space="preserve"> or </w:t>
      </w:r>
      <w:r w:rsidR="0073118E">
        <w:rPr>
          <w:sz w:val="24"/>
        </w:rPr>
        <w:t xml:space="preserve">the </w:t>
      </w:r>
      <w:r>
        <w:rPr>
          <w:sz w:val="24"/>
        </w:rPr>
        <w:t>c</w:t>
      </w:r>
      <w:r w:rsidRPr="00130DE3">
        <w:rPr>
          <w:sz w:val="24"/>
        </w:rPr>
        <w:t>ompan</w:t>
      </w:r>
      <w:r w:rsidR="0073118E">
        <w:rPr>
          <w:sz w:val="24"/>
        </w:rPr>
        <w:t>ies</w:t>
      </w:r>
      <w:r w:rsidRPr="00130DE3">
        <w:rPr>
          <w:sz w:val="24"/>
        </w:rPr>
        <w:t xml:space="preserve">), filed with the Washington Utilities </w:t>
      </w:r>
      <w:r>
        <w:rPr>
          <w:sz w:val="24"/>
        </w:rPr>
        <w:t>and Transportation Commission (c</w:t>
      </w:r>
      <w:r w:rsidRPr="00130DE3">
        <w:rPr>
          <w:sz w:val="24"/>
        </w:rPr>
        <w:t xml:space="preserve">ommission) revisions to </w:t>
      </w:r>
      <w:r>
        <w:rPr>
          <w:sz w:val="24"/>
        </w:rPr>
        <w:t xml:space="preserve">each of </w:t>
      </w:r>
      <w:r w:rsidRPr="00130DE3">
        <w:rPr>
          <w:sz w:val="24"/>
        </w:rPr>
        <w:t xml:space="preserve">its currently effective Tariff No. 25, designated </w:t>
      </w:r>
      <w:r>
        <w:rPr>
          <w:sz w:val="24"/>
        </w:rPr>
        <w:t xml:space="preserve">by both companies </w:t>
      </w:r>
      <w:r w:rsidRPr="00130DE3">
        <w:rPr>
          <w:sz w:val="24"/>
        </w:rPr>
        <w:t>as Tariff pages 1, 21, 25, 27, 28, 30, 46, 47, 48 and 49. The stated effective date is November 1, 2011.</w:t>
      </w:r>
    </w:p>
    <w:p w14:paraId="4BBCC869"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4614315" w14:textId="5BC6A4CF"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In </w:t>
      </w:r>
      <w:r w:rsidR="0073118E">
        <w:rPr>
          <w:sz w:val="24"/>
        </w:rPr>
        <w:t>their</w:t>
      </w:r>
      <w:r w:rsidRPr="00130DE3">
        <w:rPr>
          <w:sz w:val="24"/>
        </w:rPr>
        <w:t xml:space="preserve"> filing</w:t>
      </w:r>
      <w:r w:rsidR="00BC6D51">
        <w:rPr>
          <w:sz w:val="24"/>
        </w:rPr>
        <w:t>s</w:t>
      </w:r>
      <w:r w:rsidRPr="00130DE3">
        <w:rPr>
          <w:sz w:val="24"/>
        </w:rPr>
        <w:t xml:space="preserve">, </w:t>
      </w:r>
      <w:r w:rsidR="0073118E">
        <w:rPr>
          <w:sz w:val="24"/>
        </w:rPr>
        <w:t xml:space="preserve">the companies </w:t>
      </w:r>
      <w:r w:rsidRPr="00130DE3">
        <w:rPr>
          <w:sz w:val="24"/>
        </w:rPr>
        <w:t xml:space="preserve">propose to increase the amount </w:t>
      </w:r>
      <w:r w:rsidR="0073118E">
        <w:rPr>
          <w:sz w:val="24"/>
        </w:rPr>
        <w:t>they</w:t>
      </w:r>
      <w:r w:rsidRPr="00130DE3">
        <w:rPr>
          <w:sz w:val="24"/>
        </w:rPr>
        <w:t xml:space="preserve"> pay to single family and multi-family customers for the value of the recyclable materials that </w:t>
      </w:r>
      <w:r w:rsidR="0073118E">
        <w:rPr>
          <w:sz w:val="24"/>
        </w:rPr>
        <w:t>each c</w:t>
      </w:r>
      <w:r w:rsidRPr="00130DE3">
        <w:rPr>
          <w:sz w:val="24"/>
        </w:rPr>
        <w:t xml:space="preserve">ompany collects in </w:t>
      </w:r>
      <w:r w:rsidR="0073118E">
        <w:rPr>
          <w:sz w:val="24"/>
        </w:rPr>
        <w:t>their</w:t>
      </w:r>
      <w:r w:rsidRPr="00130DE3">
        <w:rPr>
          <w:sz w:val="24"/>
        </w:rPr>
        <w:t xml:space="preserve"> residential recycling collection service. The monthly credit for single family customers would increase from $1.31 to $1.69 and the monthly credit for multi-family customers would increase from $0.67 per yard to $0.76 per yard for each pickup. </w:t>
      </w:r>
    </w:p>
    <w:p w14:paraId="4257356D"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 </w:t>
      </w:r>
    </w:p>
    <w:p w14:paraId="26A9644D" w14:textId="31B4DD5C"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Also, on September 15, 2011, </w:t>
      </w:r>
      <w:r w:rsidR="0073118E">
        <w:rPr>
          <w:sz w:val="24"/>
        </w:rPr>
        <w:t xml:space="preserve">both companies </w:t>
      </w:r>
      <w:r w:rsidRPr="00130DE3">
        <w:rPr>
          <w:sz w:val="24"/>
        </w:rPr>
        <w:t xml:space="preserve">filed with the </w:t>
      </w:r>
      <w:r w:rsidR="0073118E">
        <w:rPr>
          <w:sz w:val="24"/>
        </w:rPr>
        <w:t>c</w:t>
      </w:r>
      <w:r w:rsidRPr="00130DE3">
        <w:rPr>
          <w:sz w:val="24"/>
        </w:rPr>
        <w:t xml:space="preserve">ommission a request to retain fifty percent of the revenue </w:t>
      </w:r>
      <w:r w:rsidR="0073118E">
        <w:rPr>
          <w:sz w:val="24"/>
        </w:rPr>
        <w:t xml:space="preserve">they </w:t>
      </w:r>
      <w:r w:rsidRPr="00130DE3">
        <w:rPr>
          <w:sz w:val="24"/>
        </w:rPr>
        <w:t xml:space="preserve">receive from the sale of recyclable materials that </w:t>
      </w:r>
      <w:r w:rsidR="0073118E">
        <w:rPr>
          <w:sz w:val="24"/>
        </w:rPr>
        <w:t>they</w:t>
      </w:r>
      <w:r w:rsidRPr="00130DE3">
        <w:rPr>
          <w:sz w:val="24"/>
        </w:rPr>
        <w:t xml:space="preserve"> collect in </w:t>
      </w:r>
      <w:r w:rsidR="0073118E">
        <w:rPr>
          <w:sz w:val="24"/>
        </w:rPr>
        <w:t>their</w:t>
      </w:r>
      <w:r w:rsidRPr="00130DE3">
        <w:rPr>
          <w:sz w:val="24"/>
        </w:rPr>
        <w:t xml:space="preserve"> residential single and multi-family recycling collection service from November 1, 2011, to October 31, 2012.</w:t>
      </w:r>
    </w:p>
    <w:p w14:paraId="4B799F4F"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E18287" w14:textId="075B5A01" w:rsid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On September 15, 2011, American and Murrey's filed their joint "2011-12 Company Recycling Plan: Pierce County Single-Stream Recycling Program, Updated September 2011" with the </w:t>
      </w:r>
      <w:r w:rsidR="0073118E">
        <w:rPr>
          <w:sz w:val="24"/>
        </w:rPr>
        <w:t>c</w:t>
      </w:r>
      <w:r w:rsidRPr="00130DE3">
        <w:rPr>
          <w:sz w:val="24"/>
        </w:rPr>
        <w:t>ommission. Included with the plan was a summary of the results achieved from the previous 2010-2011 plan year. In addition, as required in Order 01, TG-101545</w:t>
      </w:r>
      <w:r w:rsidR="009D7130">
        <w:rPr>
          <w:sz w:val="24"/>
        </w:rPr>
        <w:t xml:space="preserve"> and Order 01, TG-101548</w:t>
      </w:r>
      <w:r w:rsidRPr="00130DE3">
        <w:rPr>
          <w:sz w:val="24"/>
        </w:rPr>
        <w:t xml:space="preserve">, </w:t>
      </w:r>
      <w:r w:rsidR="009D7130">
        <w:rPr>
          <w:sz w:val="24"/>
        </w:rPr>
        <w:t>both c</w:t>
      </w:r>
      <w:r w:rsidRPr="00130DE3">
        <w:rPr>
          <w:sz w:val="24"/>
        </w:rPr>
        <w:t>ompan</w:t>
      </w:r>
      <w:r w:rsidR="009D7130">
        <w:rPr>
          <w:sz w:val="24"/>
        </w:rPr>
        <w:t>ies</w:t>
      </w:r>
      <w:r w:rsidRPr="00130DE3">
        <w:rPr>
          <w:sz w:val="24"/>
        </w:rPr>
        <w:t xml:space="preserve"> also filed the amount of money </w:t>
      </w:r>
      <w:r w:rsidR="009D7130">
        <w:rPr>
          <w:sz w:val="24"/>
        </w:rPr>
        <w:t>they</w:t>
      </w:r>
      <w:r w:rsidRPr="00130DE3">
        <w:rPr>
          <w:sz w:val="24"/>
        </w:rPr>
        <w:t xml:space="preserve"> retained and the amount of money </w:t>
      </w:r>
      <w:r w:rsidR="009D7130">
        <w:rPr>
          <w:sz w:val="24"/>
        </w:rPr>
        <w:t>they</w:t>
      </w:r>
      <w:r w:rsidRPr="00130DE3">
        <w:rPr>
          <w:sz w:val="24"/>
        </w:rPr>
        <w:t xml:space="preserve"> spent during the 2010-2011 plan year. Table 1 below shows that the </w:t>
      </w:r>
      <w:r w:rsidR="00716091">
        <w:rPr>
          <w:sz w:val="24"/>
        </w:rPr>
        <w:t>c</w:t>
      </w:r>
      <w:r w:rsidRPr="00130DE3">
        <w:rPr>
          <w:sz w:val="24"/>
        </w:rPr>
        <w:t>ompan</w:t>
      </w:r>
      <w:r w:rsidR="00BC6D51">
        <w:rPr>
          <w:sz w:val="24"/>
        </w:rPr>
        <w:t>ies</w:t>
      </w:r>
      <w:r w:rsidRPr="00130DE3">
        <w:rPr>
          <w:sz w:val="24"/>
        </w:rPr>
        <w:t xml:space="preserve"> spent $469,204 of the $974,336 retained from customers</w:t>
      </w:r>
      <w:r w:rsidR="003D7900">
        <w:rPr>
          <w:sz w:val="24"/>
        </w:rPr>
        <w:t>,</w:t>
      </w:r>
      <w:r w:rsidRPr="00130DE3">
        <w:rPr>
          <w:sz w:val="24"/>
        </w:rPr>
        <w:t xml:space="preserve"> leaving $505,131 unspent and kept by the compan</w:t>
      </w:r>
      <w:r w:rsidR="00BC6D51">
        <w:rPr>
          <w:sz w:val="24"/>
        </w:rPr>
        <w:t>ies</w:t>
      </w:r>
      <w:r w:rsidRPr="00130DE3">
        <w:rPr>
          <w:sz w:val="24"/>
        </w:rPr>
        <w:t>.</w:t>
      </w:r>
    </w:p>
    <w:p w14:paraId="1FBFE1F0" w14:textId="77777777" w:rsidR="00E124AB" w:rsidRDefault="00E124AB" w:rsidP="00E1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14:paraId="1F4B66D7" w14:textId="77777777" w:rsidR="00E124AB" w:rsidRDefault="00E124AB" w:rsidP="00E1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14:paraId="2AB517DB" w14:textId="77777777" w:rsidR="00E124AB" w:rsidRDefault="00E124AB" w:rsidP="00E1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14:paraId="0060E68F" w14:textId="77777777" w:rsidR="00E124AB" w:rsidRDefault="00E124AB" w:rsidP="00E1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14:paraId="20799FB1" w14:textId="77777777" w:rsidR="00E124AB" w:rsidRDefault="00E124AB" w:rsidP="00E1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14:paraId="3A430113" w14:textId="1AA3EA98" w:rsidR="00E124AB" w:rsidRDefault="00E124AB" w:rsidP="00E124AB">
      <w:pPr>
        <w:pStyle w:val="Caption"/>
        <w:keepNext/>
        <w:jc w:val="center"/>
      </w:pPr>
      <w:r>
        <w:lastRenderedPageBreak/>
        <w:t xml:space="preserve">Table </w:t>
      </w:r>
      <w:fldSimple w:instr=" SEQ Table \* ARABIC ">
        <w:r w:rsidR="00FA325F">
          <w:rPr>
            <w:noProof/>
          </w:rPr>
          <w:t>1</w:t>
        </w:r>
      </w:fldSimple>
      <w:r w:rsidRPr="00E124AB">
        <w:t>, 2010-2011 Recyclable Commodity Revenue Retained vs. Revenue Spent</w:t>
      </w:r>
    </w:p>
    <w:p w14:paraId="6B9E5663" w14:textId="77777777" w:rsidR="00E124AB" w:rsidRDefault="009D7130" w:rsidP="009D7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6D105C">
        <w:rPr>
          <w:noProof/>
        </w:rPr>
        <w:drawing>
          <wp:inline distT="0" distB="0" distL="0" distR="0" wp14:anchorId="05D8758E" wp14:editId="5C227637">
            <wp:extent cx="4561609" cy="5049982"/>
            <wp:effectExtent l="19050" t="19050" r="1079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61609" cy="5049982"/>
                    </a:xfrm>
                    <a:prstGeom prst="rect">
                      <a:avLst/>
                    </a:prstGeom>
                    <a:ln w="19050">
                      <a:solidFill>
                        <a:schemeClr val="tx1">
                          <a:lumMod val="95000"/>
                          <a:lumOff val="5000"/>
                        </a:schemeClr>
                      </a:solidFill>
                    </a:ln>
                  </pic:spPr>
                </pic:pic>
              </a:graphicData>
            </a:graphic>
          </wp:inline>
        </w:drawing>
      </w:r>
    </w:p>
    <w:p w14:paraId="10F6FA31" w14:textId="77777777" w:rsidR="00716091" w:rsidRDefault="00716091"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2234F5DA" w14:textId="25AB53BA"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On September 16, 2011, Pierce County (</w:t>
      </w:r>
      <w:r w:rsidR="00716091">
        <w:rPr>
          <w:sz w:val="24"/>
        </w:rPr>
        <w:t>c</w:t>
      </w:r>
      <w:r w:rsidRPr="00130DE3">
        <w:rPr>
          <w:sz w:val="24"/>
        </w:rPr>
        <w:t xml:space="preserve">ounty) filed a letter with the </w:t>
      </w:r>
      <w:r w:rsidR="00716091">
        <w:rPr>
          <w:sz w:val="24"/>
        </w:rPr>
        <w:t>c</w:t>
      </w:r>
      <w:r w:rsidRPr="00130DE3">
        <w:rPr>
          <w:sz w:val="24"/>
        </w:rPr>
        <w:t xml:space="preserve">ommission signed by Stephen C. Wamback, Solid Waste Administrator, Pierce County Department of Public Works and Utilities. The letter confirms that the </w:t>
      </w:r>
      <w:r w:rsidR="00716091">
        <w:rPr>
          <w:sz w:val="24"/>
        </w:rPr>
        <w:t>c</w:t>
      </w:r>
      <w:r w:rsidRPr="00130DE3">
        <w:rPr>
          <w:sz w:val="24"/>
        </w:rPr>
        <w:t>ompan</w:t>
      </w:r>
      <w:r w:rsidR="00716091">
        <w:rPr>
          <w:sz w:val="24"/>
        </w:rPr>
        <w:t>ies</w:t>
      </w:r>
      <w:r w:rsidRPr="00130DE3">
        <w:rPr>
          <w:sz w:val="24"/>
        </w:rPr>
        <w:t xml:space="preserve">' performance in the past year had achieved the goals and objectives specified in the 2010-2011 plan and that the </w:t>
      </w:r>
      <w:r w:rsidR="00716091">
        <w:rPr>
          <w:sz w:val="24"/>
        </w:rPr>
        <w:t>c</w:t>
      </w:r>
      <w:r w:rsidRPr="00130DE3">
        <w:rPr>
          <w:sz w:val="24"/>
        </w:rPr>
        <w:t xml:space="preserve">ounty recommends to the </w:t>
      </w:r>
      <w:r w:rsidR="00716091">
        <w:rPr>
          <w:sz w:val="24"/>
        </w:rPr>
        <w:t>c</w:t>
      </w:r>
      <w:r w:rsidRPr="00130DE3">
        <w:rPr>
          <w:sz w:val="24"/>
        </w:rPr>
        <w:t xml:space="preserve">ommission that the </w:t>
      </w:r>
      <w:r w:rsidR="00716091">
        <w:rPr>
          <w:sz w:val="24"/>
        </w:rPr>
        <w:t>c</w:t>
      </w:r>
      <w:r w:rsidRPr="00130DE3">
        <w:rPr>
          <w:sz w:val="24"/>
        </w:rPr>
        <w:t>ompan</w:t>
      </w:r>
      <w:r w:rsidR="00716091">
        <w:rPr>
          <w:sz w:val="24"/>
        </w:rPr>
        <w:t>ies</w:t>
      </w:r>
      <w:r w:rsidRPr="00130DE3">
        <w:rPr>
          <w:sz w:val="24"/>
        </w:rPr>
        <w:t xml:space="preserve"> should keep the fifty percent of recyclable commodity revenues </w:t>
      </w:r>
      <w:r w:rsidR="00716091">
        <w:rPr>
          <w:sz w:val="24"/>
        </w:rPr>
        <w:t>they</w:t>
      </w:r>
      <w:r w:rsidRPr="00130DE3">
        <w:rPr>
          <w:sz w:val="24"/>
        </w:rPr>
        <w:t xml:space="preserve"> retained (summarized in Table 1 above).</w:t>
      </w:r>
    </w:p>
    <w:p w14:paraId="64C86A29"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19F8F9C" w14:textId="693D09A7" w:rsidR="00130DE3" w:rsidRDefault="00E07090"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Both </w:t>
      </w:r>
      <w:r w:rsidR="00716091">
        <w:rPr>
          <w:sz w:val="24"/>
        </w:rPr>
        <w:t>c</w:t>
      </w:r>
      <w:r w:rsidR="00130DE3" w:rsidRPr="00130DE3">
        <w:rPr>
          <w:sz w:val="24"/>
        </w:rPr>
        <w:t>ompan</w:t>
      </w:r>
      <w:r w:rsidR="00716091">
        <w:rPr>
          <w:sz w:val="24"/>
        </w:rPr>
        <w:t>ies</w:t>
      </w:r>
      <w:r w:rsidR="00130DE3" w:rsidRPr="00130DE3">
        <w:rPr>
          <w:sz w:val="24"/>
        </w:rPr>
        <w:t xml:space="preserve"> ha</w:t>
      </w:r>
      <w:r>
        <w:rPr>
          <w:sz w:val="24"/>
        </w:rPr>
        <w:t>ve</w:t>
      </w:r>
      <w:r w:rsidR="00130DE3" w:rsidRPr="00130DE3">
        <w:rPr>
          <w:sz w:val="24"/>
        </w:rPr>
        <w:t xml:space="preserve"> participated in recyclable commodity revenue sharing since 2005. In 2010, the Legislature increased the maximum revenue sharing amount from thirty percent to fifty percent. </w:t>
      </w:r>
      <w:r>
        <w:rPr>
          <w:sz w:val="24"/>
        </w:rPr>
        <w:t xml:space="preserve">In the </w:t>
      </w:r>
      <w:r w:rsidR="00130DE3" w:rsidRPr="00130DE3">
        <w:rPr>
          <w:sz w:val="24"/>
        </w:rPr>
        <w:t>2010-2011 plan period</w:t>
      </w:r>
      <w:r>
        <w:rPr>
          <w:sz w:val="24"/>
        </w:rPr>
        <w:t>,</w:t>
      </w:r>
      <w:r w:rsidR="00130DE3" w:rsidRPr="00130DE3">
        <w:rPr>
          <w:sz w:val="24"/>
        </w:rPr>
        <w:t xml:space="preserve"> the </w:t>
      </w:r>
      <w:r>
        <w:rPr>
          <w:sz w:val="24"/>
        </w:rPr>
        <w:t>c</w:t>
      </w:r>
      <w:r w:rsidR="00130DE3" w:rsidRPr="00130DE3">
        <w:rPr>
          <w:sz w:val="24"/>
        </w:rPr>
        <w:t xml:space="preserve">ommission </w:t>
      </w:r>
      <w:r>
        <w:rPr>
          <w:sz w:val="24"/>
        </w:rPr>
        <w:t xml:space="preserve">first </w:t>
      </w:r>
      <w:r w:rsidR="00130DE3" w:rsidRPr="00130DE3">
        <w:rPr>
          <w:sz w:val="24"/>
        </w:rPr>
        <w:t xml:space="preserve">authorized the </w:t>
      </w:r>
      <w:r>
        <w:rPr>
          <w:sz w:val="24"/>
        </w:rPr>
        <w:t xml:space="preserve">companies </w:t>
      </w:r>
      <w:r w:rsidR="00130DE3" w:rsidRPr="00130DE3">
        <w:rPr>
          <w:sz w:val="24"/>
        </w:rPr>
        <w:t xml:space="preserve">to retain fifty percent of the recyclable commodity revenue. Table 2 below shows year by year results for revenue sharing activities for </w:t>
      </w:r>
      <w:r>
        <w:rPr>
          <w:sz w:val="24"/>
        </w:rPr>
        <w:t>both c</w:t>
      </w:r>
      <w:r w:rsidR="00130DE3" w:rsidRPr="00130DE3">
        <w:rPr>
          <w:sz w:val="24"/>
        </w:rPr>
        <w:t>ompan</w:t>
      </w:r>
      <w:r>
        <w:rPr>
          <w:sz w:val="24"/>
        </w:rPr>
        <w:t>ies</w:t>
      </w:r>
      <w:r w:rsidR="00130DE3" w:rsidRPr="00130DE3">
        <w:rPr>
          <w:sz w:val="24"/>
        </w:rPr>
        <w:t>.</w:t>
      </w:r>
    </w:p>
    <w:p w14:paraId="1CAAA20B" w14:textId="77777777" w:rsidR="00E07090" w:rsidRDefault="00E07090">
      <w:pPr>
        <w:widowControl/>
        <w:autoSpaceDE/>
        <w:autoSpaceDN/>
        <w:adjustRightInd/>
        <w:rPr>
          <w:b/>
          <w:bCs/>
          <w:color w:val="4F81BD" w:themeColor="accent1"/>
          <w:sz w:val="18"/>
          <w:szCs w:val="18"/>
        </w:rPr>
      </w:pPr>
      <w:r>
        <w:br w:type="page"/>
      </w:r>
    </w:p>
    <w:p w14:paraId="456703C8" w14:textId="1C08E7A0" w:rsidR="00E07090" w:rsidRDefault="00E07090" w:rsidP="00E07090">
      <w:pPr>
        <w:pStyle w:val="Caption"/>
        <w:spacing w:before="120"/>
        <w:ind w:left="-720"/>
        <w:jc w:val="center"/>
      </w:pPr>
      <w:r>
        <w:lastRenderedPageBreak/>
        <w:t xml:space="preserve">Table </w:t>
      </w:r>
      <w:fldSimple w:instr=" SEQ Table \* ARABIC ">
        <w:r w:rsidR="00FA325F">
          <w:rPr>
            <w:noProof/>
          </w:rPr>
          <w:t>2</w:t>
        </w:r>
      </w:fldSimple>
      <w:r>
        <w:t xml:space="preserve">, American and Murrey’s Plan Year Results </w:t>
      </w:r>
    </w:p>
    <w:tbl>
      <w:tblPr>
        <w:tblStyle w:val="TableGrid"/>
        <w:tblW w:w="0" w:type="auto"/>
        <w:jc w:val="center"/>
        <w:tblInd w:w="-333" w:type="dxa"/>
        <w:tblLook w:val="04A0" w:firstRow="1" w:lastRow="0" w:firstColumn="1" w:lastColumn="0" w:noHBand="0" w:noVBand="1"/>
      </w:tblPr>
      <w:tblGrid>
        <w:gridCol w:w="1221"/>
        <w:gridCol w:w="1116"/>
        <w:gridCol w:w="1147"/>
        <w:gridCol w:w="1142"/>
        <w:gridCol w:w="1141"/>
        <w:gridCol w:w="1139"/>
        <w:gridCol w:w="1141"/>
        <w:gridCol w:w="1142"/>
      </w:tblGrid>
      <w:tr w:rsidR="00E07090" w14:paraId="0B1DCF93" w14:textId="77777777" w:rsidTr="00BC6D51">
        <w:trPr>
          <w:jc w:val="center"/>
        </w:trPr>
        <w:tc>
          <w:tcPr>
            <w:tcW w:w="1221" w:type="dxa"/>
            <w:shd w:val="clear" w:color="auto" w:fill="D9D9D9" w:themeFill="background1" w:themeFillShade="D9"/>
          </w:tcPr>
          <w:p w14:paraId="119FE0E9" w14:textId="77777777" w:rsidR="00E07090" w:rsidRPr="00B87E95" w:rsidRDefault="00E07090" w:rsidP="00BC6D51">
            <w:pPr>
              <w:jc w:val="center"/>
              <w:rPr>
                <w:b/>
                <w:szCs w:val="20"/>
              </w:rPr>
            </w:pPr>
            <w:r w:rsidRPr="00B87E95">
              <w:rPr>
                <w:b/>
                <w:szCs w:val="20"/>
              </w:rPr>
              <w:t>Year</w:t>
            </w:r>
          </w:p>
        </w:tc>
        <w:tc>
          <w:tcPr>
            <w:tcW w:w="1116" w:type="dxa"/>
            <w:shd w:val="clear" w:color="auto" w:fill="D9D9D9" w:themeFill="background1" w:themeFillShade="D9"/>
          </w:tcPr>
          <w:p w14:paraId="3D841101" w14:textId="77777777" w:rsidR="00E07090" w:rsidRPr="00B87E95" w:rsidRDefault="00E07090" w:rsidP="00BC6D51">
            <w:pPr>
              <w:jc w:val="center"/>
              <w:rPr>
                <w:b/>
                <w:szCs w:val="20"/>
              </w:rPr>
            </w:pPr>
            <w:r w:rsidRPr="00B87E95">
              <w:rPr>
                <w:b/>
                <w:szCs w:val="20"/>
              </w:rPr>
              <w:t>Revenue</w:t>
            </w:r>
          </w:p>
        </w:tc>
        <w:tc>
          <w:tcPr>
            <w:tcW w:w="1147" w:type="dxa"/>
            <w:shd w:val="clear" w:color="auto" w:fill="D9D9D9" w:themeFill="background1" w:themeFillShade="D9"/>
          </w:tcPr>
          <w:p w14:paraId="0E8D1C59" w14:textId="77777777" w:rsidR="00E07090" w:rsidRPr="00B87E95" w:rsidRDefault="00E07090" w:rsidP="00BC6D51">
            <w:pPr>
              <w:jc w:val="center"/>
              <w:rPr>
                <w:b/>
                <w:szCs w:val="20"/>
              </w:rPr>
            </w:pPr>
            <w:r w:rsidRPr="00B87E95">
              <w:rPr>
                <w:b/>
                <w:szCs w:val="20"/>
              </w:rPr>
              <w:t>Returned to Customers</w:t>
            </w:r>
          </w:p>
        </w:tc>
        <w:tc>
          <w:tcPr>
            <w:tcW w:w="1142" w:type="dxa"/>
            <w:shd w:val="clear" w:color="auto" w:fill="D9D9D9" w:themeFill="background1" w:themeFillShade="D9"/>
          </w:tcPr>
          <w:p w14:paraId="568532A9" w14:textId="77777777" w:rsidR="00E07090" w:rsidRPr="00B87E95" w:rsidRDefault="00E07090" w:rsidP="00BC6D51">
            <w:pPr>
              <w:jc w:val="center"/>
              <w:rPr>
                <w:b/>
                <w:szCs w:val="20"/>
              </w:rPr>
            </w:pPr>
            <w:r w:rsidRPr="00B87E95">
              <w:rPr>
                <w:b/>
                <w:szCs w:val="20"/>
              </w:rPr>
              <w:t>Retention Percent</w:t>
            </w:r>
          </w:p>
        </w:tc>
        <w:tc>
          <w:tcPr>
            <w:tcW w:w="1141" w:type="dxa"/>
            <w:shd w:val="clear" w:color="auto" w:fill="D9D9D9" w:themeFill="background1" w:themeFillShade="D9"/>
          </w:tcPr>
          <w:p w14:paraId="4EF55D4D" w14:textId="77777777" w:rsidR="00E07090" w:rsidRPr="00B87E95" w:rsidRDefault="00E07090" w:rsidP="00BC6D51">
            <w:pPr>
              <w:jc w:val="center"/>
              <w:rPr>
                <w:b/>
                <w:szCs w:val="20"/>
              </w:rPr>
            </w:pPr>
            <w:r w:rsidRPr="00B87E95">
              <w:rPr>
                <w:b/>
                <w:szCs w:val="20"/>
              </w:rPr>
              <w:t>Retained by Company</w:t>
            </w:r>
          </w:p>
        </w:tc>
        <w:tc>
          <w:tcPr>
            <w:tcW w:w="1139" w:type="dxa"/>
            <w:shd w:val="clear" w:color="auto" w:fill="D9D9D9" w:themeFill="background1" w:themeFillShade="D9"/>
          </w:tcPr>
          <w:p w14:paraId="36093FFF" w14:textId="77777777" w:rsidR="00E07090" w:rsidRPr="00B87E95" w:rsidRDefault="00E07090" w:rsidP="00BC6D51">
            <w:pPr>
              <w:jc w:val="center"/>
              <w:rPr>
                <w:b/>
                <w:szCs w:val="20"/>
              </w:rPr>
            </w:pPr>
            <w:r w:rsidRPr="00B87E95">
              <w:rPr>
                <w:b/>
                <w:szCs w:val="20"/>
              </w:rPr>
              <w:t>Spent on Plan Activities</w:t>
            </w:r>
          </w:p>
        </w:tc>
        <w:tc>
          <w:tcPr>
            <w:tcW w:w="1141" w:type="dxa"/>
            <w:shd w:val="clear" w:color="auto" w:fill="D9D9D9" w:themeFill="background1" w:themeFillShade="D9"/>
          </w:tcPr>
          <w:p w14:paraId="1BE8D821" w14:textId="77777777" w:rsidR="00E07090" w:rsidRPr="00B87E95" w:rsidRDefault="00E07090" w:rsidP="00BC6D51">
            <w:pPr>
              <w:jc w:val="center"/>
              <w:rPr>
                <w:b/>
                <w:szCs w:val="20"/>
              </w:rPr>
            </w:pPr>
            <w:r w:rsidRPr="00B87E95">
              <w:rPr>
                <w:b/>
                <w:szCs w:val="20"/>
              </w:rPr>
              <w:t>Net Retention</w:t>
            </w:r>
          </w:p>
        </w:tc>
        <w:tc>
          <w:tcPr>
            <w:tcW w:w="1142" w:type="dxa"/>
            <w:shd w:val="clear" w:color="auto" w:fill="D9D9D9" w:themeFill="background1" w:themeFillShade="D9"/>
          </w:tcPr>
          <w:p w14:paraId="4EB83032" w14:textId="77777777" w:rsidR="00E07090" w:rsidRPr="00B87E95" w:rsidRDefault="00E07090" w:rsidP="00BC6D51">
            <w:pPr>
              <w:jc w:val="center"/>
              <w:rPr>
                <w:b/>
                <w:szCs w:val="20"/>
              </w:rPr>
            </w:pPr>
            <w:r w:rsidRPr="00B87E95">
              <w:rPr>
                <w:b/>
                <w:szCs w:val="20"/>
              </w:rPr>
              <w:t>Net Retention Percent</w:t>
            </w:r>
          </w:p>
        </w:tc>
      </w:tr>
      <w:tr w:rsidR="00E07090" w14:paraId="41EC412E" w14:textId="77777777" w:rsidTr="00BC6D51">
        <w:trPr>
          <w:jc w:val="center"/>
        </w:trPr>
        <w:tc>
          <w:tcPr>
            <w:tcW w:w="1221" w:type="dxa"/>
          </w:tcPr>
          <w:p w14:paraId="11B0F2FA" w14:textId="77777777" w:rsidR="00E07090" w:rsidRPr="00B87E95" w:rsidRDefault="00E07090" w:rsidP="00BC6D51">
            <w:pPr>
              <w:jc w:val="center"/>
              <w:rPr>
                <w:szCs w:val="20"/>
              </w:rPr>
            </w:pPr>
            <w:r w:rsidRPr="00B87E95">
              <w:rPr>
                <w:szCs w:val="20"/>
              </w:rPr>
              <w:t xml:space="preserve">2005-2006 </w:t>
            </w:r>
          </w:p>
        </w:tc>
        <w:tc>
          <w:tcPr>
            <w:tcW w:w="1116" w:type="dxa"/>
          </w:tcPr>
          <w:p w14:paraId="4C66199E" w14:textId="77777777" w:rsidR="00E07090" w:rsidRPr="00B87E95" w:rsidRDefault="00E07090" w:rsidP="00BC6D51">
            <w:pPr>
              <w:jc w:val="right"/>
              <w:rPr>
                <w:szCs w:val="20"/>
              </w:rPr>
            </w:pPr>
            <w:r w:rsidRPr="00B87E95">
              <w:rPr>
                <w:szCs w:val="20"/>
              </w:rPr>
              <w:t>$1,467,003</w:t>
            </w:r>
          </w:p>
        </w:tc>
        <w:tc>
          <w:tcPr>
            <w:tcW w:w="1147" w:type="dxa"/>
          </w:tcPr>
          <w:p w14:paraId="03F1901A" w14:textId="77777777" w:rsidR="00E07090" w:rsidRPr="00B87E95" w:rsidRDefault="00E07090" w:rsidP="00BC6D51">
            <w:pPr>
              <w:jc w:val="right"/>
              <w:rPr>
                <w:szCs w:val="20"/>
              </w:rPr>
            </w:pPr>
            <w:r w:rsidRPr="00B87E95">
              <w:rPr>
                <w:szCs w:val="20"/>
              </w:rPr>
              <w:t>$1,040,677</w:t>
            </w:r>
          </w:p>
        </w:tc>
        <w:tc>
          <w:tcPr>
            <w:tcW w:w="1142" w:type="dxa"/>
          </w:tcPr>
          <w:p w14:paraId="6531F6C8" w14:textId="77777777" w:rsidR="00E07090" w:rsidRPr="00B87E95" w:rsidRDefault="00E07090" w:rsidP="00BC6D51">
            <w:pPr>
              <w:jc w:val="center"/>
              <w:rPr>
                <w:szCs w:val="20"/>
              </w:rPr>
            </w:pPr>
            <w:r w:rsidRPr="00B87E95">
              <w:rPr>
                <w:szCs w:val="20"/>
              </w:rPr>
              <w:t>30%</w:t>
            </w:r>
          </w:p>
        </w:tc>
        <w:tc>
          <w:tcPr>
            <w:tcW w:w="1141" w:type="dxa"/>
          </w:tcPr>
          <w:p w14:paraId="48D53F7B" w14:textId="77777777" w:rsidR="00E07090" w:rsidRPr="00B87E95" w:rsidRDefault="00E07090" w:rsidP="00BC6D51">
            <w:pPr>
              <w:jc w:val="right"/>
              <w:rPr>
                <w:szCs w:val="20"/>
              </w:rPr>
            </w:pPr>
            <w:r w:rsidRPr="00B87E95">
              <w:rPr>
                <w:szCs w:val="20"/>
              </w:rPr>
              <w:t xml:space="preserve">$426,327 </w:t>
            </w:r>
          </w:p>
        </w:tc>
        <w:tc>
          <w:tcPr>
            <w:tcW w:w="1139" w:type="dxa"/>
          </w:tcPr>
          <w:p w14:paraId="37F12FF2" w14:textId="77777777" w:rsidR="00E07090" w:rsidRPr="00B87E95" w:rsidRDefault="00E07090" w:rsidP="00BC6D51">
            <w:pPr>
              <w:jc w:val="right"/>
              <w:rPr>
                <w:szCs w:val="20"/>
              </w:rPr>
            </w:pPr>
          </w:p>
        </w:tc>
        <w:tc>
          <w:tcPr>
            <w:tcW w:w="1141" w:type="dxa"/>
          </w:tcPr>
          <w:p w14:paraId="3AC91DB9" w14:textId="77777777" w:rsidR="00E07090" w:rsidRPr="00B87E95" w:rsidRDefault="00E07090" w:rsidP="00BC6D51">
            <w:pPr>
              <w:jc w:val="right"/>
              <w:rPr>
                <w:szCs w:val="20"/>
              </w:rPr>
            </w:pPr>
          </w:p>
        </w:tc>
        <w:tc>
          <w:tcPr>
            <w:tcW w:w="1142" w:type="dxa"/>
          </w:tcPr>
          <w:p w14:paraId="50860EA2" w14:textId="77777777" w:rsidR="00E07090" w:rsidRPr="00B87E95" w:rsidRDefault="00E07090" w:rsidP="00BC6D51">
            <w:pPr>
              <w:jc w:val="center"/>
              <w:rPr>
                <w:szCs w:val="20"/>
              </w:rPr>
            </w:pPr>
          </w:p>
        </w:tc>
      </w:tr>
      <w:tr w:rsidR="00E07090" w14:paraId="027CF3AA" w14:textId="77777777" w:rsidTr="00BC6D51">
        <w:trPr>
          <w:jc w:val="center"/>
        </w:trPr>
        <w:tc>
          <w:tcPr>
            <w:tcW w:w="1221" w:type="dxa"/>
          </w:tcPr>
          <w:p w14:paraId="1F8D63DF" w14:textId="77777777" w:rsidR="00E07090" w:rsidRPr="00B87E95" w:rsidRDefault="00E07090" w:rsidP="00BC6D51">
            <w:pPr>
              <w:jc w:val="center"/>
              <w:rPr>
                <w:szCs w:val="20"/>
              </w:rPr>
            </w:pPr>
            <w:r w:rsidRPr="00B87E95">
              <w:rPr>
                <w:szCs w:val="20"/>
              </w:rPr>
              <w:t>2006-2007</w:t>
            </w:r>
          </w:p>
        </w:tc>
        <w:tc>
          <w:tcPr>
            <w:tcW w:w="1116" w:type="dxa"/>
          </w:tcPr>
          <w:p w14:paraId="0E3D138B" w14:textId="77777777" w:rsidR="00E07090" w:rsidRPr="00B87E95" w:rsidRDefault="00E07090" w:rsidP="00BC6D51">
            <w:pPr>
              <w:jc w:val="right"/>
              <w:rPr>
                <w:szCs w:val="20"/>
              </w:rPr>
            </w:pPr>
            <w:r w:rsidRPr="00B87E95">
              <w:rPr>
                <w:szCs w:val="20"/>
              </w:rPr>
              <w:t>$2,056,916</w:t>
            </w:r>
          </w:p>
        </w:tc>
        <w:tc>
          <w:tcPr>
            <w:tcW w:w="1147" w:type="dxa"/>
          </w:tcPr>
          <w:p w14:paraId="58237171" w14:textId="77777777" w:rsidR="00E07090" w:rsidRPr="00B87E95" w:rsidRDefault="00E07090" w:rsidP="00BC6D51">
            <w:pPr>
              <w:jc w:val="right"/>
              <w:rPr>
                <w:szCs w:val="20"/>
              </w:rPr>
            </w:pPr>
            <w:r w:rsidRPr="00B87E95">
              <w:rPr>
                <w:szCs w:val="20"/>
              </w:rPr>
              <w:t>$1,439,841</w:t>
            </w:r>
          </w:p>
        </w:tc>
        <w:tc>
          <w:tcPr>
            <w:tcW w:w="1142" w:type="dxa"/>
          </w:tcPr>
          <w:p w14:paraId="62C3F3DC" w14:textId="77777777" w:rsidR="00E07090" w:rsidRPr="00B87E95" w:rsidRDefault="00E07090" w:rsidP="00BC6D51">
            <w:pPr>
              <w:jc w:val="center"/>
              <w:rPr>
                <w:szCs w:val="20"/>
              </w:rPr>
            </w:pPr>
            <w:r w:rsidRPr="00B87E95">
              <w:rPr>
                <w:szCs w:val="20"/>
              </w:rPr>
              <w:t>30%</w:t>
            </w:r>
          </w:p>
        </w:tc>
        <w:tc>
          <w:tcPr>
            <w:tcW w:w="1141" w:type="dxa"/>
          </w:tcPr>
          <w:p w14:paraId="126F29C6" w14:textId="77777777" w:rsidR="00E07090" w:rsidRPr="00B87E95" w:rsidRDefault="00E07090" w:rsidP="00BC6D51">
            <w:pPr>
              <w:jc w:val="right"/>
              <w:rPr>
                <w:szCs w:val="20"/>
              </w:rPr>
            </w:pPr>
            <w:r w:rsidRPr="00B87E95">
              <w:rPr>
                <w:szCs w:val="20"/>
              </w:rPr>
              <w:t>$617,075</w:t>
            </w:r>
          </w:p>
        </w:tc>
        <w:tc>
          <w:tcPr>
            <w:tcW w:w="1139" w:type="dxa"/>
          </w:tcPr>
          <w:p w14:paraId="4DA24527" w14:textId="77777777" w:rsidR="00E07090" w:rsidRPr="00B87E95" w:rsidRDefault="00E07090" w:rsidP="00BC6D51">
            <w:pPr>
              <w:jc w:val="right"/>
              <w:rPr>
                <w:szCs w:val="20"/>
              </w:rPr>
            </w:pPr>
          </w:p>
        </w:tc>
        <w:tc>
          <w:tcPr>
            <w:tcW w:w="1141" w:type="dxa"/>
          </w:tcPr>
          <w:p w14:paraId="6543DA28" w14:textId="77777777" w:rsidR="00E07090" w:rsidRPr="00B87E95" w:rsidRDefault="00E07090" w:rsidP="00BC6D51">
            <w:pPr>
              <w:jc w:val="right"/>
              <w:rPr>
                <w:szCs w:val="20"/>
              </w:rPr>
            </w:pPr>
          </w:p>
        </w:tc>
        <w:tc>
          <w:tcPr>
            <w:tcW w:w="1142" w:type="dxa"/>
          </w:tcPr>
          <w:p w14:paraId="77152D6F" w14:textId="77777777" w:rsidR="00E07090" w:rsidRPr="00B87E95" w:rsidRDefault="00E07090" w:rsidP="00BC6D51">
            <w:pPr>
              <w:jc w:val="center"/>
              <w:rPr>
                <w:szCs w:val="20"/>
              </w:rPr>
            </w:pPr>
          </w:p>
        </w:tc>
      </w:tr>
      <w:tr w:rsidR="00E07090" w14:paraId="32FFAAB1" w14:textId="77777777" w:rsidTr="00BC6D51">
        <w:trPr>
          <w:jc w:val="center"/>
        </w:trPr>
        <w:tc>
          <w:tcPr>
            <w:tcW w:w="1221" w:type="dxa"/>
          </w:tcPr>
          <w:p w14:paraId="0E9C6972" w14:textId="77777777" w:rsidR="00E07090" w:rsidRPr="00B87E95" w:rsidRDefault="00E07090" w:rsidP="00BC6D51">
            <w:pPr>
              <w:jc w:val="center"/>
              <w:rPr>
                <w:szCs w:val="20"/>
              </w:rPr>
            </w:pPr>
            <w:r w:rsidRPr="00B87E95">
              <w:rPr>
                <w:szCs w:val="20"/>
              </w:rPr>
              <w:t>2007-2008</w:t>
            </w:r>
          </w:p>
        </w:tc>
        <w:tc>
          <w:tcPr>
            <w:tcW w:w="1116" w:type="dxa"/>
          </w:tcPr>
          <w:p w14:paraId="21860619" w14:textId="77777777" w:rsidR="00E07090" w:rsidRPr="00B87E95" w:rsidRDefault="00E07090" w:rsidP="00BC6D51">
            <w:pPr>
              <w:jc w:val="right"/>
              <w:rPr>
                <w:szCs w:val="20"/>
              </w:rPr>
            </w:pPr>
            <w:r w:rsidRPr="00B87E95">
              <w:rPr>
                <w:szCs w:val="20"/>
              </w:rPr>
              <w:t>$2,699,701</w:t>
            </w:r>
          </w:p>
        </w:tc>
        <w:tc>
          <w:tcPr>
            <w:tcW w:w="1147" w:type="dxa"/>
          </w:tcPr>
          <w:p w14:paraId="2DA4A2BB" w14:textId="77777777" w:rsidR="00E07090" w:rsidRPr="00B87E95" w:rsidRDefault="00E07090" w:rsidP="00BC6D51">
            <w:pPr>
              <w:jc w:val="right"/>
              <w:rPr>
                <w:szCs w:val="20"/>
              </w:rPr>
            </w:pPr>
            <w:r w:rsidRPr="00B87E95">
              <w:rPr>
                <w:szCs w:val="20"/>
              </w:rPr>
              <w:t>$1,889,791</w:t>
            </w:r>
          </w:p>
        </w:tc>
        <w:tc>
          <w:tcPr>
            <w:tcW w:w="1142" w:type="dxa"/>
          </w:tcPr>
          <w:p w14:paraId="2003BBDF" w14:textId="77777777" w:rsidR="00E07090" w:rsidRPr="00B87E95" w:rsidRDefault="00E07090" w:rsidP="00BC6D51">
            <w:pPr>
              <w:jc w:val="center"/>
              <w:rPr>
                <w:szCs w:val="20"/>
              </w:rPr>
            </w:pPr>
            <w:r w:rsidRPr="00B87E95">
              <w:rPr>
                <w:szCs w:val="20"/>
              </w:rPr>
              <w:t>30%</w:t>
            </w:r>
          </w:p>
        </w:tc>
        <w:tc>
          <w:tcPr>
            <w:tcW w:w="1141" w:type="dxa"/>
          </w:tcPr>
          <w:p w14:paraId="4A4B2EFB" w14:textId="77777777" w:rsidR="00E07090" w:rsidRPr="00B87E95" w:rsidRDefault="00E07090" w:rsidP="00BC6D51">
            <w:pPr>
              <w:jc w:val="right"/>
              <w:rPr>
                <w:szCs w:val="20"/>
              </w:rPr>
            </w:pPr>
            <w:r w:rsidRPr="00B87E95">
              <w:rPr>
                <w:szCs w:val="20"/>
              </w:rPr>
              <w:t>$809,910</w:t>
            </w:r>
          </w:p>
        </w:tc>
        <w:tc>
          <w:tcPr>
            <w:tcW w:w="1139" w:type="dxa"/>
          </w:tcPr>
          <w:p w14:paraId="41562C46" w14:textId="77777777" w:rsidR="00E07090" w:rsidRPr="00B87E95" w:rsidRDefault="00E07090" w:rsidP="00BC6D51">
            <w:pPr>
              <w:jc w:val="right"/>
              <w:rPr>
                <w:szCs w:val="20"/>
              </w:rPr>
            </w:pPr>
          </w:p>
        </w:tc>
        <w:tc>
          <w:tcPr>
            <w:tcW w:w="1141" w:type="dxa"/>
          </w:tcPr>
          <w:p w14:paraId="21ED5226" w14:textId="77777777" w:rsidR="00E07090" w:rsidRPr="00B87E95" w:rsidRDefault="00E07090" w:rsidP="00BC6D51">
            <w:pPr>
              <w:jc w:val="right"/>
              <w:rPr>
                <w:szCs w:val="20"/>
              </w:rPr>
            </w:pPr>
          </w:p>
        </w:tc>
        <w:tc>
          <w:tcPr>
            <w:tcW w:w="1142" w:type="dxa"/>
          </w:tcPr>
          <w:p w14:paraId="287531AE" w14:textId="77777777" w:rsidR="00E07090" w:rsidRPr="00B87E95" w:rsidRDefault="00E07090" w:rsidP="00BC6D51">
            <w:pPr>
              <w:jc w:val="center"/>
              <w:rPr>
                <w:szCs w:val="20"/>
              </w:rPr>
            </w:pPr>
          </w:p>
        </w:tc>
      </w:tr>
      <w:tr w:rsidR="00E07090" w14:paraId="70C741D6" w14:textId="77777777" w:rsidTr="00BC6D51">
        <w:trPr>
          <w:jc w:val="center"/>
        </w:trPr>
        <w:tc>
          <w:tcPr>
            <w:tcW w:w="1221" w:type="dxa"/>
          </w:tcPr>
          <w:p w14:paraId="154410E9" w14:textId="77777777" w:rsidR="00E07090" w:rsidRPr="00B87E95" w:rsidRDefault="00E07090" w:rsidP="00BC6D51">
            <w:pPr>
              <w:jc w:val="center"/>
              <w:rPr>
                <w:szCs w:val="20"/>
              </w:rPr>
            </w:pPr>
            <w:r w:rsidRPr="00B87E95">
              <w:rPr>
                <w:szCs w:val="20"/>
              </w:rPr>
              <w:t>2008-2009</w:t>
            </w:r>
          </w:p>
        </w:tc>
        <w:tc>
          <w:tcPr>
            <w:tcW w:w="1116" w:type="dxa"/>
          </w:tcPr>
          <w:p w14:paraId="6F496E7E" w14:textId="77777777" w:rsidR="00E07090" w:rsidRPr="00B87E95" w:rsidRDefault="00E07090" w:rsidP="00BC6D51">
            <w:pPr>
              <w:jc w:val="right"/>
              <w:rPr>
                <w:szCs w:val="20"/>
              </w:rPr>
            </w:pPr>
            <w:r w:rsidRPr="00B87E95">
              <w:rPr>
                <w:szCs w:val="20"/>
              </w:rPr>
              <w:t xml:space="preserve">$1,323,903 </w:t>
            </w:r>
          </w:p>
        </w:tc>
        <w:tc>
          <w:tcPr>
            <w:tcW w:w="1147" w:type="dxa"/>
          </w:tcPr>
          <w:p w14:paraId="6F20CC49" w14:textId="77777777" w:rsidR="00E07090" w:rsidRPr="00B87E95" w:rsidRDefault="00E07090" w:rsidP="00BC6D51">
            <w:pPr>
              <w:jc w:val="right"/>
              <w:rPr>
                <w:szCs w:val="20"/>
              </w:rPr>
            </w:pPr>
            <w:r w:rsidRPr="00B87E95">
              <w:rPr>
                <w:szCs w:val="20"/>
              </w:rPr>
              <w:t>$926,732</w:t>
            </w:r>
          </w:p>
        </w:tc>
        <w:tc>
          <w:tcPr>
            <w:tcW w:w="1142" w:type="dxa"/>
          </w:tcPr>
          <w:p w14:paraId="5849F7BE" w14:textId="77777777" w:rsidR="00E07090" w:rsidRPr="00B87E95" w:rsidRDefault="00E07090" w:rsidP="00BC6D51">
            <w:pPr>
              <w:jc w:val="center"/>
              <w:rPr>
                <w:szCs w:val="20"/>
              </w:rPr>
            </w:pPr>
            <w:r w:rsidRPr="00B87E95">
              <w:rPr>
                <w:szCs w:val="20"/>
              </w:rPr>
              <w:t>30%</w:t>
            </w:r>
          </w:p>
        </w:tc>
        <w:tc>
          <w:tcPr>
            <w:tcW w:w="1141" w:type="dxa"/>
          </w:tcPr>
          <w:p w14:paraId="28B20B2B" w14:textId="77777777" w:rsidR="00E07090" w:rsidRPr="00B87E95" w:rsidRDefault="00E07090" w:rsidP="00BC6D51">
            <w:pPr>
              <w:jc w:val="right"/>
              <w:rPr>
                <w:szCs w:val="20"/>
              </w:rPr>
            </w:pPr>
            <w:r w:rsidRPr="00B87E95">
              <w:rPr>
                <w:szCs w:val="20"/>
              </w:rPr>
              <w:t>$397,171</w:t>
            </w:r>
          </w:p>
        </w:tc>
        <w:tc>
          <w:tcPr>
            <w:tcW w:w="1139" w:type="dxa"/>
          </w:tcPr>
          <w:p w14:paraId="51632D9D" w14:textId="77777777" w:rsidR="00E07090" w:rsidRPr="00B87E95" w:rsidRDefault="00E07090" w:rsidP="00BC6D51">
            <w:pPr>
              <w:jc w:val="right"/>
              <w:rPr>
                <w:szCs w:val="20"/>
              </w:rPr>
            </w:pPr>
          </w:p>
        </w:tc>
        <w:tc>
          <w:tcPr>
            <w:tcW w:w="1141" w:type="dxa"/>
          </w:tcPr>
          <w:p w14:paraId="64D9B454" w14:textId="77777777" w:rsidR="00E07090" w:rsidRPr="00B87E95" w:rsidRDefault="00E07090" w:rsidP="00BC6D51">
            <w:pPr>
              <w:jc w:val="right"/>
              <w:rPr>
                <w:szCs w:val="20"/>
              </w:rPr>
            </w:pPr>
          </w:p>
        </w:tc>
        <w:tc>
          <w:tcPr>
            <w:tcW w:w="1142" w:type="dxa"/>
          </w:tcPr>
          <w:p w14:paraId="0EE7E19F" w14:textId="77777777" w:rsidR="00E07090" w:rsidRPr="00B87E95" w:rsidRDefault="00E07090" w:rsidP="00BC6D51">
            <w:pPr>
              <w:jc w:val="center"/>
              <w:rPr>
                <w:szCs w:val="20"/>
              </w:rPr>
            </w:pPr>
          </w:p>
        </w:tc>
      </w:tr>
      <w:tr w:rsidR="00E07090" w14:paraId="4A3A12FC" w14:textId="77777777" w:rsidTr="00BC6D51">
        <w:trPr>
          <w:jc w:val="center"/>
        </w:trPr>
        <w:tc>
          <w:tcPr>
            <w:tcW w:w="1221" w:type="dxa"/>
          </w:tcPr>
          <w:p w14:paraId="2735ADF9" w14:textId="77777777" w:rsidR="00E07090" w:rsidRPr="00B87E95" w:rsidRDefault="00E07090" w:rsidP="00BC6D51">
            <w:pPr>
              <w:jc w:val="center"/>
              <w:rPr>
                <w:szCs w:val="20"/>
              </w:rPr>
            </w:pPr>
            <w:r w:rsidRPr="00B87E95">
              <w:rPr>
                <w:szCs w:val="20"/>
              </w:rPr>
              <w:t>2009-2010</w:t>
            </w:r>
          </w:p>
        </w:tc>
        <w:tc>
          <w:tcPr>
            <w:tcW w:w="1116" w:type="dxa"/>
          </w:tcPr>
          <w:p w14:paraId="515FED6B" w14:textId="77777777" w:rsidR="00E07090" w:rsidRPr="00B87E95" w:rsidRDefault="00E07090" w:rsidP="00BC6D51">
            <w:pPr>
              <w:jc w:val="right"/>
              <w:rPr>
                <w:szCs w:val="20"/>
              </w:rPr>
            </w:pPr>
            <w:r w:rsidRPr="00B87E95">
              <w:rPr>
                <w:szCs w:val="20"/>
              </w:rPr>
              <w:t>$1,626,537</w:t>
            </w:r>
          </w:p>
        </w:tc>
        <w:tc>
          <w:tcPr>
            <w:tcW w:w="1147" w:type="dxa"/>
          </w:tcPr>
          <w:p w14:paraId="6823F20B" w14:textId="77777777" w:rsidR="00E07090" w:rsidRPr="00B87E95" w:rsidRDefault="00E07090" w:rsidP="00BC6D51">
            <w:pPr>
              <w:jc w:val="right"/>
              <w:rPr>
                <w:szCs w:val="20"/>
              </w:rPr>
            </w:pPr>
            <w:r w:rsidRPr="00B87E95">
              <w:rPr>
                <w:szCs w:val="20"/>
              </w:rPr>
              <w:t>$1,138,576</w:t>
            </w:r>
          </w:p>
        </w:tc>
        <w:tc>
          <w:tcPr>
            <w:tcW w:w="1142" w:type="dxa"/>
          </w:tcPr>
          <w:p w14:paraId="46097779" w14:textId="77777777" w:rsidR="00E07090" w:rsidRPr="00B87E95" w:rsidRDefault="00E07090" w:rsidP="00BC6D51">
            <w:pPr>
              <w:jc w:val="center"/>
              <w:rPr>
                <w:szCs w:val="20"/>
              </w:rPr>
            </w:pPr>
            <w:r w:rsidRPr="00B87E95">
              <w:rPr>
                <w:szCs w:val="20"/>
              </w:rPr>
              <w:t>30%</w:t>
            </w:r>
          </w:p>
        </w:tc>
        <w:tc>
          <w:tcPr>
            <w:tcW w:w="1141" w:type="dxa"/>
          </w:tcPr>
          <w:p w14:paraId="743930E0" w14:textId="77777777" w:rsidR="00E07090" w:rsidRPr="00B87E95" w:rsidRDefault="00E07090" w:rsidP="00BC6D51">
            <w:pPr>
              <w:jc w:val="right"/>
              <w:rPr>
                <w:szCs w:val="20"/>
              </w:rPr>
            </w:pPr>
            <w:r w:rsidRPr="00B87E95">
              <w:rPr>
                <w:szCs w:val="20"/>
              </w:rPr>
              <w:t>$487,961</w:t>
            </w:r>
          </w:p>
        </w:tc>
        <w:tc>
          <w:tcPr>
            <w:tcW w:w="1139" w:type="dxa"/>
          </w:tcPr>
          <w:p w14:paraId="5114EBFF" w14:textId="77777777" w:rsidR="00E07090" w:rsidRPr="00B87E95" w:rsidRDefault="00E07090" w:rsidP="00BC6D51">
            <w:pPr>
              <w:jc w:val="right"/>
              <w:rPr>
                <w:szCs w:val="20"/>
              </w:rPr>
            </w:pPr>
            <w:r w:rsidRPr="00B87E95">
              <w:rPr>
                <w:szCs w:val="20"/>
              </w:rPr>
              <w:t>$408,277</w:t>
            </w:r>
          </w:p>
        </w:tc>
        <w:tc>
          <w:tcPr>
            <w:tcW w:w="1141" w:type="dxa"/>
          </w:tcPr>
          <w:p w14:paraId="2AAE81C3" w14:textId="77777777" w:rsidR="00E07090" w:rsidRPr="00B87E95" w:rsidRDefault="00E07090" w:rsidP="00BC6D51">
            <w:pPr>
              <w:jc w:val="right"/>
              <w:rPr>
                <w:szCs w:val="20"/>
              </w:rPr>
            </w:pPr>
            <w:r w:rsidRPr="00B87E95">
              <w:rPr>
                <w:szCs w:val="20"/>
              </w:rPr>
              <w:t>$79,684</w:t>
            </w:r>
          </w:p>
        </w:tc>
        <w:tc>
          <w:tcPr>
            <w:tcW w:w="1142" w:type="dxa"/>
          </w:tcPr>
          <w:p w14:paraId="03B4CD71" w14:textId="77777777" w:rsidR="00E07090" w:rsidRPr="00B87E95" w:rsidRDefault="00E07090" w:rsidP="00BC6D51">
            <w:pPr>
              <w:jc w:val="center"/>
              <w:rPr>
                <w:szCs w:val="20"/>
              </w:rPr>
            </w:pPr>
            <w:r w:rsidRPr="00B87E95">
              <w:rPr>
                <w:szCs w:val="20"/>
              </w:rPr>
              <w:t>16%</w:t>
            </w:r>
          </w:p>
        </w:tc>
      </w:tr>
      <w:tr w:rsidR="00E07090" w14:paraId="59BB1B95" w14:textId="77777777" w:rsidTr="00BC6D51">
        <w:trPr>
          <w:jc w:val="center"/>
        </w:trPr>
        <w:tc>
          <w:tcPr>
            <w:tcW w:w="1221" w:type="dxa"/>
          </w:tcPr>
          <w:p w14:paraId="30F72A76" w14:textId="77777777" w:rsidR="00E07090" w:rsidRPr="00B87E95" w:rsidRDefault="00E07090" w:rsidP="00BC6D51">
            <w:pPr>
              <w:jc w:val="center"/>
              <w:rPr>
                <w:szCs w:val="20"/>
              </w:rPr>
            </w:pPr>
            <w:r w:rsidRPr="00B87E95">
              <w:rPr>
                <w:szCs w:val="20"/>
              </w:rPr>
              <w:t>2010-2011</w:t>
            </w:r>
          </w:p>
        </w:tc>
        <w:tc>
          <w:tcPr>
            <w:tcW w:w="1116" w:type="dxa"/>
          </w:tcPr>
          <w:p w14:paraId="1524AD56" w14:textId="77777777" w:rsidR="00E07090" w:rsidRPr="00B87E95" w:rsidRDefault="00E07090" w:rsidP="00BC6D51">
            <w:pPr>
              <w:jc w:val="right"/>
              <w:rPr>
                <w:szCs w:val="20"/>
              </w:rPr>
            </w:pPr>
            <w:r w:rsidRPr="00B87E95">
              <w:rPr>
                <w:szCs w:val="20"/>
              </w:rPr>
              <w:t>$1,948,671</w:t>
            </w:r>
          </w:p>
        </w:tc>
        <w:tc>
          <w:tcPr>
            <w:tcW w:w="1147" w:type="dxa"/>
          </w:tcPr>
          <w:p w14:paraId="3B1A861F" w14:textId="77777777" w:rsidR="00E07090" w:rsidRPr="00B87E95" w:rsidRDefault="00E07090" w:rsidP="00BC6D51">
            <w:pPr>
              <w:jc w:val="right"/>
              <w:rPr>
                <w:szCs w:val="20"/>
              </w:rPr>
            </w:pPr>
            <w:r w:rsidRPr="00B87E95">
              <w:rPr>
                <w:szCs w:val="20"/>
              </w:rPr>
              <w:t>$974,336</w:t>
            </w:r>
          </w:p>
        </w:tc>
        <w:tc>
          <w:tcPr>
            <w:tcW w:w="1142" w:type="dxa"/>
          </w:tcPr>
          <w:p w14:paraId="039830DA" w14:textId="77777777" w:rsidR="00E07090" w:rsidRPr="00B87E95" w:rsidRDefault="00E07090" w:rsidP="00BC6D51">
            <w:pPr>
              <w:jc w:val="center"/>
              <w:rPr>
                <w:szCs w:val="20"/>
              </w:rPr>
            </w:pPr>
            <w:r w:rsidRPr="00B87E95">
              <w:rPr>
                <w:szCs w:val="20"/>
              </w:rPr>
              <w:t>50%</w:t>
            </w:r>
          </w:p>
        </w:tc>
        <w:tc>
          <w:tcPr>
            <w:tcW w:w="1141" w:type="dxa"/>
          </w:tcPr>
          <w:p w14:paraId="0096C9A8" w14:textId="77777777" w:rsidR="00E07090" w:rsidRPr="00B87E95" w:rsidRDefault="00E07090" w:rsidP="00BC6D51">
            <w:pPr>
              <w:jc w:val="right"/>
              <w:rPr>
                <w:szCs w:val="20"/>
              </w:rPr>
            </w:pPr>
            <w:r w:rsidRPr="00B87E95">
              <w:rPr>
                <w:szCs w:val="20"/>
              </w:rPr>
              <w:t>$974,336</w:t>
            </w:r>
          </w:p>
        </w:tc>
        <w:tc>
          <w:tcPr>
            <w:tcW w:w="1139" w:type="dxa"/>
          </w:tcPr>
          <w:p w14:paraId="33C2D6D2" w14:textId="77777777" w:rsidR="00E07090" w:rsidRPr="00B87E95" w:rsidRDefault="00E07090" w:rsidP="00BC6D51">
            <w:pPr>
              <w:jc w:val="right"/>
              <w:rPr>
                <w:szCs w:val="20"/>
              </w:rPr>
            </w:pPr>
            <w:r w:rsidRPr="00B87E95">
              <w:rPr>
                <w:szCs w:val="20"/>
              </w:rPr>
              <w:t>$469,204</w:t>
            </w:r>
          </w:p>
        </w:tc>
        <w:tc>
          <w:tcPr>
            <w:tcW w:w="1141" w:type="dxa"/>
          </w:tcPr>
          <w:p w14:paraId="54B8173F" w14:textId="77777777" w:rsidR="00E07090" w:rsidRPr="00B87E95" w:rsidRDefault="00E07090" w:rsidP="00BC6D51">
            <w:pPr>
              <w:jc w:val="right"/>
              <w:rPr>
                <w:szCs w:val="20"/>
              </w:rPr>
            </w:pPr>
            <w:r w:rsidRPr="00B87E95">
              <w:rPr>
                <w:szCs w:val="20"/>
              </w:rPr>
              <w:t>$505,131</w:t>
            </w:r>
          </w:p>
        </w:tc>
        <w:tc>
          <w:tcPr>
            <w:tcW w:w="1142" w:type="dxa"/>
          </w:tcPr>
          <w:p w14:paraId="3560B2E0" w14:textId="77777777" w:rsidR="00E07090" w:rsidRPr="00B87E95" w:rsidRDefault="00E07090" w:rsidP="00BC6D51">
            <w:pPr>
              <w:keepNext/>
              <w:jc w:val="center"/>
              <w:rPr>
                <w:szCs w:val="20"/>
              </w:rPr>
            </w:pPr>
            <w:r w:rsidRPr="00B87E95">
              <w:rPr>
                <w:szCs w:val="20"/>
              </w:rPr>
              <w:t>52%</w:t>
            </w:r>
          </w:p>
        </w:tc>
      </w:tr>
    </w:tbl>
    <w:p w14:paraId="6CCBF8C3" w14:textId="77777777" w:rsidR="00E07090" w:rsidRDefault="00E07090"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00FA738" w14:textId="13BF32E0"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The 2009-2010 plan period was the first year that the </w:t>
      </w:r>
      <w:r w:rsidR="00E07090">
        <w:rPr>
          <w:sz w:val="24"/>
        </w:rPr>
        <w:t>c</w:t>
      </w:r>
      <w:r w:rsidRPr="00130DE3">
        <w:rPr>
          <w:sz w:val="24"/>
        </w:rPr>
        <w:t xml:space="preserve">ommission required the </w:t>
      </w:r>
      <w:r w:rsidR="00E07090">
        <w:rPr>
          <w:sz w:val="24"/>
        </w:rPr>
        <w:t>c</w:t>
      </w:r>
      <w:r w:rsidRPr="00130DE3">
        <w:rPr>
          <w:sz w:val="24"/>
        </w:rPr>
        <w:t>ompan</w:t>
      </w:r>
      <w:r w:rsidR="00E07090">
        <w:rPr>
          <w:sz w:val="24"/>
        </w:rPr>
        <w:t>ies</w:t>
      </w:r>
      <w:r w:rsidRPr="00130DE3">
        <w:rPr>
          <w:sz w:val="24"/>
        </w:rPr>
        <w:t xml:space="preserve"> to report, at the end of the plan period, the amount of revenue </w:t>
      </w:r>
      <w:r w:rsidR="00E07090">
        <w:rPr>
          <w:sz w:val="24"/>
        </w:rPr>
        <w:t>they</w:t>
      </w:r>
      <w:r w:rsidRPr="00130DE3">
        <w:rPr>
          <w:sz w:val="24"/>
        </w:rPr>
        <w:t xml:space="preserve"> retained, the amount of money </w:t>
      </w:r>
      <w:r w:rsidR="00E07090">
        <w:rPr>
          <w:sz w:val="24"/>
        </w:rPr>
        <w:t>they</w:t>
      </w:r>
      <w:r w:rsidRPr="00130DE3">
        <w:rPr>
          <w:sz w:val="24"/>
        </w:rPr>
        <w:t xml:space="preserve"> spent on the activities identified in </w:t>
      </w:r>
      <w:r w:rsidR="00E07090">
        <w:rPr>
          <w:sz w:val="24"/>
        </w:rPr>
        <w:t>their</w:t>
      </w:r>
      <w:r w:rsidRPr="00130DE3">
        <w:rPr>
          <w:sz w:val="24"/>
        </w:rPr>
        <w:t xml:space="preserve"> recycling plan, and the effect the activities had on increasing recycling.  </w:t>
      </w:r>
    </w:p>
    <w:p w14:paraId="438EC7C4"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7927B6D" w14:textId="3BFD5C4B"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RCW 81.77.185 states that the </w:t>
      </w:r>
      <w:r w:rsidR="00E07090">
        <w:rPr>
          <w:sz w:val="24"/>
        </w:rPr>
        <w:t>c</w:t>
      </w:r>
      <w:r w:rsidRPr="00130DE3">
        <w:rPr>
          <w:sz w:val="24"/>
        </w:rPr>
        <w:t xml:space="preserve">ommission shall allow a solid waste collection company collecting recyclable materials from residential single and multi-family customers to retain "up to fifty percent of the revenue paid" to the company for the material if the company submits a plan to the </w:t>
      </w:r>
      <w:r w:rsidR="00E07090">
        <w:rPr>
          <w:sz w:val="24"/>
        </w:rPr>
        <w:t>c</w:t>
      </w:r>
      <w:r w:rsidRPr="00130DE3">
        <w:rPr>
          <w:sz w:val="24"/>
        </w:rPr>
        <w:t>ommission that is certified by the appropriate local government authority as being consistent with the local government solid waste plan and that demonstrates how the revenues will be used to increase recycling. The remaining revenue must be passed through to residential single and multi-family customers.</w:t>
      </w:r>
    </w:p>
    <w:p w14:paraId="2995DA8B"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4EDC715" w14:textId="36353852"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The "2011-12 Company Recycling Plan: Pierce County Single-Stream Recycling Program, Updated September 2011" sets forth specific actions that </w:t>
      </w:r>
      <w:r w:rsidR="00E07090">
        <w:rPr>
          <w:sz w:val="24"/>
        </w:rPr>
        <w:t xml:space="preserve">both companies </w:t>
      </w:r>
      <w:r w:rsidRPr="00130DE3">
        <w:rPr>
          <w:sz w:val="24"/>
        </w:rPr>
        <w:t>will take to increase recycling using recyclable commodity revenues retained</w:t>
      </w:r>
      <w:r w:rsidR="00E07090">
        <w:rPr>
          <w:sz w:val="24"/>
        </w:rPr>
        <w:t xml:space="preserve">. </w:t>
      </w:r>
      <w:r w:rsidRPr="00130DE3">
        <w:rPr>
          <w:sz w:val="24"/>
        </w:rPr>
        <w:t xml:space="preserve">The plan calls for fifty percent of the retained recyclable commodity revenue to be awarded to the </w:t>
      </w:r>
      <w:r w:rsidR="00E07090">
        <w:rPr>
          <w:sz w:val="24"/>
        </w:rPr>
        <w:t>c</w:t>
      </w:r>
      <w:r w:rsidRPr="00130DE3">
        <w:rPr>
          <w:sz w:val="24"/>
        </w:rPr>
        <w:t>ompan</w:t>
      </w:r>
      <w:r w:rsidR="00E07090">
        <w:rPr>
          <w:sz w:val="24"/>
        </w:rPr>
        <w:t>ies</w:t>
      </w:r>
      <w:r w:rsidRPr="00130DE3">
        <w:rPr>
          <w:sz w:val="24"/>
        </w:rPr>
        <w:t xml:space="preserve"> on the basis of:</w:t>
      </w:r>
    </w:p>
    <w:p w14:paraId="60FB607F" w14:textId="77777777" w:rsidR="00130DE3" w:rsidRPr="00E07090" w:rsidRDefault="00130DE3" w:rsidP="00E07090">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Ongoing implementation of the single-stream recycling program - up to 5 percent awarded;</w:t>
      </w:r>
    </w:p>
    <w:p w14:paraId="26B1C952" w14:textId="77777777" w:rsidR="00130DE3" w:rsidRPr="00E07090" w:rsidRDefault="00130DE3" w:rsidP="00E07090">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Meeting or exceeding data monitoring and reporting requirements - up to 4 percent awarded;</w:t>
      </w:r>
    </w:p>
    <w:p w14:paraId="0D8518D2" w14:textId="77777777" w:rsidR="00130DE3" w:rsidRPr="00E07090" w:rsidRDefault="00130DE3" w:rsidP="00E07090">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Achieving and demonstrating a recycling increase and disposal decrease per household pounds per month compared to 2004 and 2009 baselines - up to 21 percent awarded;</w:t>
      </w:r>
    </w:p>
    <w:p w14:paraId="4615F573" w14:textId="111C7A56" w:rsidR="00130DE3" w:rsidRPr="00E07090" w:rsidRDefault="00130DE3" w:rsidP="00E07090">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 xml:space="preserve">Providing the </w:t>
      </w:r>
      <w:r w:rsidR="00E07090">
        <w:rPr>
          <w:sz w:val="24"/>
        </w:rPr>
        <w:t>c</w:t>
      </w:r>
      <w:r w:rsidRPr="00E07090">
        <w:rPr>
          <w:sz w:val="24"/>
        </w:rPr>
        <w:t xml:space="preserve">ounty with </w:t>
      </w:r>
      <w:r w:rsidR="00E07090">
        <w:rPr>
          <w:sz w:val="24"/>
        </w:rPr>
        <w:t>d</w:t>
      </w:r>
      <w:r w:rsidRPr="00E07090">
        <w:rPr>
          <w:sz w:val="24"/>
        </w:rPr>
        <w:t xml:space="preserve">irect </w:t>
      </w:r>
      <w:r w:rsidR="00E07090">
        <w:rPr>
          <w:sz w:val="24"/>
        </w:rPr>
        <w:t>f</w:t>
      </w:r>
      <w:r w:rsidRPr="00E07090">
        <w:rPr>
          <w:sz w:val="24"/>
        </w:rPr>
        <w:t>inancial support for county-wide recycling programs and overall sustainability initiatives - up to 16 percent awarded; and</w:t>
      </w:r>
    </w:p>
    <w:p w14:paraId="5376095A" w14:textId="38B87A4C" w:rsidR="00130DE3" w:rsidRPr="00E07090" w:rsidRDefault="00130DE3" w:rsidP="00E07090">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 xml:space="preserve">Achieving additional goals as agreed upon by the </w:t>
      </w:r>
      <w:r w:rsidR="00E07090">
        <w:rPr>
          <w:sz w:val="24"/>
        </w:rPr>
        <w:t>c</w:t>
      </w:r>
      <w:r w:rsidRPr="00E07090">
        <w:rPr>
          <w:sz w:val="24"/>
        </w:rPr>
        <w:t xml:space="preserve">ounty and the </w:t>
      </w:r>
      <w:r w:rsidR="00E07090">
        <w:rPr>
          <w:sz w:val="24"/>
        </w:rPr>
        <w:t>c</w:t>
      </w:r>
      <w:r w:rsidRPr="00E07090">
        <w:rPr>
          <w:sz w:val="24"/>
        </w:rPr>
        <w:t>ompan</w:t>
      </w:r>
      <w:r w:rsidR="00E07090">
        <w:rPr>
          <w:sz w:val="24"/>
        </w:rPr>
        <w:t>ies</w:t>
      </w:r>
      <w:r w:rsidRPr="00E07090">
        <w:rPr>
          <w:sz w:val="24"/>
        </w:rPr>
        <w:t xml:space="preserve"> in 2011 and 2012 - up to 25 percent awarded.</w:t>
      </w:r>
      <w:r w:rsidR="00D76E24" w:rsidRPr="00D76E24">
        <w:t xml:space="preserve"> </w:t>
      </w:r>
      <w:r w:rsidR="00D76E24" w:rsidRPr="00D76E24">
        <w:rPr>
          <w:rStyle w:val="FootnoteReference"/>
          <w:vertAlign w:val="superscript"/>
        </w:rPr>
        <w:footnoteReference w:id="1"/>
      </w:r>
      <w:r w:rsidRPr="00D76E24">
        <w:rPr>
          <w:sz w:val="24"/>
          <w:vertAlign w:val="superscript"/>
        </w:rPr>
        <w:t xml:space="preserve"> </w:t>
      </w:r>
    </w:p>
    <w:p w14:paraId="7251B3F5"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371BE48" w14:textId="4ADFC121"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Included in the letter dated September 16, 2011, from the </w:t>
      </w:r>
      <w:r w:rsidR="00E07090">
        <w:rPr>
          <w:sz w:val="24"/>
        </w:rPr>
        <w:t>c</w:t>
      </w:r>
      <w:r w:rsidRPr="00130DE3">
        <w:rPr>
          <w:sz w:val="24"/>
        </w:rPr>
        <w:t xml:space="preserve">ounty is the certification required by RCW 81.77.185 that the plan submitted by the </w:t>
      </w:r>
      <w:r w:rsidR="00E07090">
        <w:rPr>
          <w:sz w:val="24"/>
        </w:rPr>
        <w:t>c</w:t>
      </w:r>
      <w:r w:rsidRPr="00130DE3">
        <w:rPr>
          <w:sz w:val="24"/>
        </w:rPr>
        <w:t>ompan</w:t>
      </w:r>
      <w:r w:rsidR="00E07090">
        <w:rPr>
          <w:sz w:val="24"/>
        </w:rPr>
        <w:t>ies</w:t>
      </w:r>
      <w:r w:rsidRPr="00130DE3">
        <w:rPr>
          <w:sz w:val="24"/>
        </w:rPr>
        <w:t xml:space="preserve"> on September 15, 2011, for the upcoming year (2011 to 2012) is consistent with the local government solid waste </w:t>
      </w:r>
      <w:r w:rsidR="00D76E24">
        <w:rPr>
          <w:sz w:val="24"/>
        </w:rPr>
        <w:t xml:space="preserve">management </w:t>
      </w:r>
      <w:r w:rsidRPr="00130DE3">
        <w:rPr>
          <w:sz w:val="24"/>
        </w:rPr>
        <w:t>plan and that the new plan demonstrates how the revenues will be used to increase recycling.</w:t>
      </w:r>
      <w:r w:rsidR="00E07090">
        <w:rPr>
          <w:sz w:val="24"/>
        </w:rPr>
        <w:t xml:space="preserve"> </w:t>
      </w:r>
      <w:r w:rsidRPr="00130DE3">
        <w:rPr>
          <w:sz w:val="24"/>
        </w:rPr>
        <w:lastRenderedPageBreak/>
        <w:t xml:space="preserve">Therefore, the </w:t>
      </w:r>
      <w:r w:rsidR="00E07090">
        <w:rPr>
          <w:sz w:val="24"/>
        </w:rPr>
        <w:t>c</w:t>
      </w:r>
      <w:r w:rsidRPr="00130DE3">
        <w:rPr>
          <w:sz w:val="24"/>
        </w:rPr>
        <w:t xml:space="preserve">ounty recommends the </w:t>
      </w:r>
      <w:r w:rsidR="00E07090">
        <w:rPr>
          <w:sz w:val="24"/>
        </w:rPr>
        <w:t>c</w:t>
      </w:r>
      <w:r w:rsidRPr="00130DE3">
        <w:rPr>
          <w:sz w:val="24"/>
        </w:rPr>
        <w:t xml:space="preserve">ommission allow American </w:t>
      </w:r>
      <w:r w:rsidR="00E07090">
        <w:rPr>
          <w:sz w:val="24"/>
        </w:rPr>
        <w:t xml:space="preserve">and Murrey’s </w:t>
      </w:r>
      <w:r w:rsidRPr="00130DE3">
        <w:rPr>
          <w:sz w:val="24"/>
        </w:rPr>
        <w:t>to retain fifty percent of the actual value of recyclable commodity revenues received during the period of this agreement (November 1, 2011, through October 31, 2012).</w:t>
      </w:r>
    </w:p>
    <w:p w14:paraId="7D9DA8CB"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 </w:t>
      </w:r>
    </w:p>
    <w:p w14:paraId="24616F61" w14:textId="0318812F"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WAC 480-70-351 (1) provides, "[T]he commission encourages solid waste collection companies to develop programs intended to increase recycling. The commission will, among other things, consider whether a proposed program:</w:t>
      </w:r>
    </w:p>
    <w:p w14:paraId="48FAAAFD" w14:textId="77777777" w:rsidR="00130DE3" w:rsidRPr="00E07090" w:rsidRDefault="00130DE3" w:rsidP="00E070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Provides an incentive to the party who controls the actions or behaviors that the program intends to change;</w:t>
      </w:r>
    </w:p>
    <w:p w14:paraId="537E8214" w14:textId="77777777" w:rsidR="00130DE3" w:rsidRPr="00E07090" w:rsidRDefault="00130DE3" w:rsidP="00E070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Defines measurable outcomes reasonably attributable to the proposed program; and</w:t>
      </w:r>
    </w:p>
    <w:p w14:paraId="37510EC2" w14:textId="7FF29799" w:rsidR="00130DE3" w:rsidRPr="00E07090" w:rsidRDefault="00130DE3" w:rsidP="00E070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07090">
        <w:rPr>
          <w:sz w:val="24"/>
        </w:rPr>
        <w:t>May have any unintended results or consequences.</w:t>
      </w:r>
      <w:r w:rsidR="00E07090">
        <w:rPr>
          <w:sz w:val="24"/>
        </w:rPr>
        <w:t>”</w:t>
      </w:r>
    </w:p>
    <w:p w14:paraId="3BB00BFB" w14:textId="7777777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1D67D7B" w14:textId="7927A5E6" w:rsidR="005C3715" w:rsidRPr="005C3715" w:rsidRDefault="00D76E24" w:rsidP="005C3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76E24">
        <w:rPr>
          <w:sz w:val="24"/>
        </w:rPr>
        <w:t xml:space="preserve">Staff notes that the </w:t>
      </w:r>
      <w:r>
        <w:rPr>
          <w:sz w:val="24"/>
        </w:rPr>
        <w:t>companies</w:t>
      </w:r>
      <w:r w:rsidRPr="00D76E24">
        <w:rPr>
          <w:sz w:val="24"/>
        </w:rPr>
        <w:t xml:space="preserve"> did not spend $505,131 of the retained revenue. Retained revenue is defined as a percentage (fifty percent in this case) of total revenue.  Because total revenue increases or decreases with the change of tons collected and prices paid, the amount of retained revenue will also change. The potential for even greater amounts of unspent retained revenue exits if tons or prices increase. This issue is demonstrated in Docket TG-111681, a recyclable commodity revenue sharing filing by Mason County Garbage Company, Inc., that reported unspent retained revenue of $30,012, adjusted by a performance penalty for of $8,491 leaving a net retained revenue amount of $21,521, or 25 percent of retained revenue in the case of Mason County Garbage Company, Inc.  </w:t>
      </w:r>
      <w:r w:rsidR="005C3715" w:rsidRPr="005C3715">
        <w:rPr>
          <w:sz w:val="24"/>
        </w:rPr>
        <w:t>Staff believes that the amount of unspent revenue is an unintended result or consequence of the Company’s 2010-2011 plan and is otherwise co</w:t>
      </w:r>
      <w:r w:rsidR="008A2F59">
        <w:rPr>
          <w:sz w:val="24"/>
        </w:rPr>
        <w:t xml:space="preserve">ntrary to the public interest. </w:t>
      </w:r>
      <w:r w:rsidR="005C3715" w:rsidRPr="005C3715">
        <w:rPr>
          <w:sz w:val="24"/>
        </w:rPr>
        <w:t xml:space="preserve">Further, Staff contends that there are no changes or </w:t>
      </w:r>
      <w:r w:rsidR="005C3715">
        <w:rPr>
          <w:sz w:val="24"/>
        </w:rPr>
        <w:t xml:space="preserve">safeguards in the </w:t>
      </w:r>
      <w:r w:rsidR="005C3715" w:rsidRPr="005C3715">
        <w:rPr>
          <w:sz w:val="24"/>
        </w:rPr>
        <w:t xml:space="preserve">proposed 2011-2012 plan that would prevent </w:t>
      </w:r>
      <w:r w:rsidR="008A2F59">
        <w:rPr>
          <w:sz w:val="24"/>
        </w:rPr>
        <w:t xml:space="preserve">even greater unspent revenues. </w:t>
      </w:r>
      <w:r w:rsidR="005C3715" w:rsidRPr="005C3715">
        <w:rPr>
          <w:sz w:val="24"/>
        </w:rPr>
        <w:t>Consistent with WAC 480-70-351, the Commission should consider whether the proposed 2011-2012 plan may, likewise, have any unintended results or consequences.</w:t>
      </w:r>
    </w:p>
    <w:p w14:paraId="05A6875F" w14:textId="02A3D2B1" w:rsid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7452FD5" w14:textId="77777777" w:rsidR="00D76E24" w:rsidRPr="00130DE3" w:rsidRDefault="00D76E24"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A7102C" w14:textId="3E79F837" w:rsidR="00130DE3" w:rsidRPr="00130DE3" w:rsidRDefault="00130DE3" w:rsidP="00130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30DE3">
        <w:rPr>
          <w:sz w:val="24"/>
        </w:rPr>
        <w:t xml:space="preserve">American </w:t>
      </w:r>
      <w:r w:rsidR="00E07090">
        <w:rPr>
          <w:sz w:val="24"/>
        </w:rPr>
        <w:t xml:space="preserve">and Murrey’s have </w:t>
      </w:r>
      <w:r w:rsidRPr="00130DE3">
        <w:rPr>
          <w:sz w:val="24"/>
        </w:rPr>
        <w:t xml:space="preserve">not yet demonstrated the proposed revenue sharing is fair, just, reasonable and sufficient and, as a result, might injuriously affect the rights and interests of the public. Staff therefore recommends that the </w:t>
      </w:r>
      <w:r w:rsidR="00E07090">
        <w:rPr>
          <w:sz w:val="24"/>
        </w:rPr>
        <w:t>c</w:t>
      </w:r>
      <w:r w:rsidRPr="00130DE3">
        <w:rPr>
          <w:sz w:val="24"/>
        </w:rPr>
        <w:t xml:space="preserve">ommission issue a complaint and order suspending revisions to American's </w:t>
      </w:r>
      <w:r w:rsidR="00E07090">
        <w:rPr>
          <w:sz w:val="24"/>
        </w:rPr>
        <w:t xml:space="preserve">and Murrey’s </w:t>
      </w:r>
      <w:r w:rsidRPr="00130DE3">
        <w:rPr>
          <w:sz w:val="24"/>
        </w:rPr>
        <w:t>Tariff</w:t>
      </w:r>
      <w:r w:rsidR="008F4048">
        <w:rPr>
          <w:sz w:val="24"/>
        </w:rPr>
        <w:t>s (each</w:t>
      </w:r>
      <w:r w:rsidRPr="00130DE3">
        <w:rPr>
          <w:sz w:val="24"/>
        </w:rPr>
        <w:t xml:space="preserve"> No. 25</w:t>
      </w:r>
      <w:r w:rsidR="008F4048">
        <w:rPr>
          <w:sz w:val="24"/>
        </w:rPr>
        <w:t>)</w:t>
      </w:r>
      <w:r w:rsidRPr="00130DE3">
        <w:rPr>
          <w:sz w:val="24"/>
        </w:rPr>
        <w:t xml:space="preserve">, </w:t>
      </w:r>
      <w:r w:rsidR="003D7900">
        <w:rPr>
          <w:sz w:val="24"/>
        </w:rPr>
        <w:t xml:space="preserve">and </w:t>
      </w:r>
      <w:r w:rsidRPr="00130DE3">
        <w:rPr>
          <w:sz w:val="24"/>
        </w:rPr>
        <w:t>allowing monthly recyclable commodity revenue adjustments filed on September 15, 2011, and revenue sharing on a temporary basis, subject to refund.</w:t>
      </w:r>
    </w:p>
    <w:p w14:paraId="6E6D94AA" w14:textId="77777777" w:rsidR="00B430BD" w:rsidRPr="0053490F" w:rsidRDefault="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45E"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14:paraId="31DBC31C" w14:textId="56988924" w:rsidR="00E07090" w:rsidRPr="00130DE3" w:rsidRDefault="00E07090" w:rsidP="00E07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26" w:lineRule="auto"/>
        <w:rPr>
          <w:sz w:val="24"/>
        </w:rPr>
      </w:pPr>
      <w:r>
        <w:rPr>
          <w:sz w:val="24"/>
        </w:rPr>
        <w:t>I</w:t>
      </w:r>
      <w:r w:rsidRPr="00130DE3">
        <w:rPr>
          <w:sz w:val="24"/>
        </w:rPr>
        <w:t xml:space="preserve">ssue a complaint and order suspending revisions to American's </w:t>
      </w:r>
      <w:r>
        <w:rPr>
          <w:sz w:val="24"/>
        </w:rPr>
        <w:t xml:space="preserve">and Murrey’s </w:t>
      </w:r>
      <w:r w:rsidRPr="00130DE3">
        <w:rPr>
          <w:sz w:val="24"/>
        </w:rPr>
        <w:t xml:space="preserve">Tariff No. 25, </w:t>
      </w:r>
      <w:r w:rsidR="003D7900">
        <w:rPr>
          <w:sz w:val="24"/>
        </w:rPr>
        <w:t xml:space="preserve">and </w:t>
      </w:r>
      <w:r w:rsidRPr="00130DE3">
        <w:rPr>
          <w:sz w:val="24"/>
        </w:rPr>
        <w:t xml:space="preserve">allowing monthly recyclable commodity revenue adjustments filed on September 15, 2011, and revenue sharing </w:t>
      </w:r>
      <w:r w:rsidR="009E5D22">
        <w:rPr>
          <w:sz w:val="24"/>
        </w:rPr>
        <w:t xml:space="preserve">to become effective on November 1, 2011, </w:t>
      </w:r>
      <w:r w:rsidRPr="00130DE3">
        <w:rPr>
          <w:sz w:val="24"/>
        </w:rPr>
        <w:t>on a temporary basis, subject to refund.</w:t>
      </w:r>
    </w:p>
    <w:p w14:paraId="0D58045F"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462" w14:textId="382A3E28" w:rsidR="004D480F" w:rsidRPr="006A2553" w:rsidRDefault="004D480F" w:rsidP="00B430BD"/>
    <w:p w14:paraId="0D580463" w14:textId="77777777" w:rsidR="009B7577" w:rsidRPr="0053490F" w:rsidRDefault="009B7577" w:rsidP="004D480F">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p>
    <w:p w14:paraId="0D580464" w14:textId="77777777" w:rsidR="009B7577" w:rsidRPr="0053490F" w:rsidRDefault="009B7577" w:rsidP="009B7577">
      <w:pPr>
        <w:rPr>
          <w:sz w:val="24"/>
        </w:rPr>
      </w:pPr>
    </w:p>
    <w:p w14:paraId="0D580465" w14:textId="77777777" w:rsidR="008D14DA" w:rsidRDefault="008D14DA" w:rsidP="004D48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14:paraId="0D580466" w14:textId="77777777" w:rsidR="008D14DA" w:rsidRDefault="008D14DA" w:rsidP="008D1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8D14DA" w:rsidSect="00E124AB">
      <w:headerReference w:type="default" r:id="rId13"/>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98DBB" w14:textId="77777777" w:rsidR="00D76E24" w:rsidRDefault="00D76E24">
      <w:r>
        <w:separator/>
      </w:r>
    </w:p>
  </w:endnote>
  <w:endnote w:type="continuationSeparator" w:id="0">
    <w:p w14:paraId="276E52AF" w14:textId="77777777" w:rsidR="00D76E24" w:rsidRDefault="00D7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10B2F" w14:textId="77777777" w:rsidR="00D76E24" w:rsidRDefault="00D76E24">
      <w:r>
        <w:separator/>
      </w:r>
    </w:p>
  </w:footnote>
  <w:footnote w:type="continuationSeparator" w:id="0">
    <w:p w14:paraId="240B24CE" w14:textId="77777777" w:rsidR="00D76E24" w:rsidRDefault="00D76E24">
      <w:r>
        <w:continuationSeparator/>
      </w:r>
    </w:p>
  </w:footnote>
  <w:footnote w:id="1">
    <w:p w14:paraId="6E1863C5" w14:textId="77777777" w:rsidR="00D76E24" w:rsidRDefault="00D76E24" w:rsidP="00D76E24">
      <w:pPr>
        <w:pStyle w:val="FootnoteText"/>
        <w:ind w:hanging="180"/>
      </w:pPr>
      <w:r>
        <w:rPr>
          <w:rStyle w:val="FootnoteReference"/>
        </w:rPr>
        <w:footnoteRef/>
      </w:r>
      <w:r>
        <w:t xml:space="preserve">  While the total for each of these bullets exceeds fifty percent, the plan does not authorize the Company to retain any more than fifty-percent as authorized by law.  The additional percentages reflect a menu of deliverables available to the Company to meet the objectives of the plan and earn the full fifty percent retention.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74877E3E" w:rsidR="00D76E24" w:rsidRDefault="00D76E24" w:rsidP="00E124AB">
    <w:pPr>
      <w:spacing w:line="238" w:lineRule="auto"/>
    </w:pPr>
    <w:r w:rsidRPr="00FE0AD1">
      <w:t>Docket</w:t>
    </w:r>
    <w:r>
      <w:t>s</w:t>
    </w:r>
    <w:r w:rsidRPr="00FE0AD1">
      <w:t xml:space="preserve"> TG-</w:t>
    </w:r>
    <w:r>
      <w:t xml:space="preserve">111672 and TG-111674 </w:t>
    </w:r>
  </w:p>
  <w:p w14:paraId="47018638" w14:textId="77777777" w:rsidR="00D76E24" w:rsidRPr="00FE0AD1" w:rsidRDefault="00D76E24" w:rsidP="00E124AB">
    <w:pPr>
      <w:spacing w:line="238" w:lineRule="auto"/>
    </w:pPr>
    <w:r>
      <w:t>October 27, 2011</w:t>
    </w:r>
  </w:p>
  <w:p w14:paraId="2086EB96" w14:textId="77777777" w:rsidR="00D76E24" w:rsidRDefault="00D76E24"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A85C37">
      <w:rPr>
        <w:rStyle w:val="PageNumber"/>
        <w:noProof/>
      </w:rPr>
      <w:t>4</w:t>
    </w:r>
    <w:r w:rsidRPr="00FE0AD1">
      <w:rPr>
        <w:rStyle w:val="PageNumber"/>
      </w:rPr>
      <w:fldChar w:fldCharType="end"/>
    </w:r>
  </w:p>
  <w:p w14:paraId="4ECDA301" w14:textId="77777777" w:rsidR="008A2F59" w:rsidRPr="00FE0AD1" w:rsidRDefault="008A2F59" w:rsidP="00E124AB">
    <w:pPr>
      <w:spacing w:line="238" w:lineRule="auto"/>
      <w:rPr>
        <w:rStyle w:val="PageNumber"/>
      </w:rPr>
    </w:pPr>
  </w:p>
  <w:p w14:paraId="3C0C4B8E" w14:textId="77777777" w:rsidR="00D76E24" w:rsidRDefault="00D7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D76E24" w:rsidRPr="00D84B7C" w:rsidRDefault="00D76E24"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3"/>
  </w:num>
  <w:num w:numId="4">
    <w:abstractNumId w:val="25"/>
  </w:num>
  <w:num w:numId="5">
    <w:abstractNumId w:val="11"/>
  </w:num>
  <w:num w:numId="6">
    <w:abstractNumId w:val="20"/>
  </w:num>
  <w:num w:numId="7">
    <w:abstractNumId w:val="12"/>
  </w:num>
  <w:num w:numId="8">
    <w:abstractNumId w:val="17"/>
  </w:num>
  <w:num w:numId="9">
    <w:abstractNumId w:val="4"/>
  </w:num>
  <w:num w:numId="10">
    <w:abstractNumId w:val="14"/>
  </w:num>
  <w:num w:numId="11">
    <w:abstractNumId w:val="0"/>
  </w:num>
  <w:num w:numId="12">
    <w:abstractNumId w:val="23"/>
  </w:num>
  <w:num w:numId="13">
    <w:abstractNumId w:val="24"/>
  </w:num>
  <w:num w:numId="14">
    <w:abstractNumId w:val="6"/>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
  </w:num>
  <w:num w:numId="19">
    <w:abstractNumId w:val="1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13"/>
  </w:num>
  <w:num w:numId="24">
    <w:abstractNumId w:val="19"/>
  </w:num>
  <w:num w:numId="25">
    <w:abstractNumId w:val="21"/>
  </w:num>
  <w:num w:numId="26">
    <w:abstractNumId w:val="5"/>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7AF5"/>
    <w:rsid w:val="000C7B7A"/>
    <w:rsid w:val="000D0D9B"/>
    <w:rsid w:val="000D2F0C"/>
    <w:rsid w:val="000D6EE8"/>
    <w:rsid w:val="000D73DD"/>
    <w:rsid w:val="000D7B14"/>
    <w:rsid w:val="000E0A65"/>
    <w:rsid w:val="000E186B"/>
    <w:rsid w:val="000E5DC6"/>
    <w:rsid w:val="000F23B0"/>
    <w:rsid w:val="000F4F28"/>
    <w:rsid w:val="000F5982"/>
    <w:rsid w:val="00104E1B"/>
    <w:rsid w:val="00105F8B"/>
    <w:rsid w:val="001113F5"/>
    <w:rsid w:val="00114DD1"/>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644"/>
    <w:rsid w:val="0027029B"/>
    <w:rsid w:val="00274B3C"/>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72E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456F0"/>
    <w:rsid w:val="00846DBF"/>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902EEF"/>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5FF0"/>
    <w:rsid w:val="009B7577"/>
    <w:rsid w:val="009B7E71"/>
    <w:rsid w:val="009C0667"/>
    <w:rsid w:val="009C74E4"/>
    <w:rsid w:val="009D1E51"/>
    <w:rsid w:val="009D48B1"/>
    <w:rsid w:val="009D4F84"/>
    <w:rsid w:val="009D6E2A"/>
    <w:rsid w:val="009D7130"/>
    <w:rsid w:val="009E0F6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2535"/>
    <w:rsid w:val="00A654F3"/>
    <w:rsid w:val="00A65509"/>
    <w:rsid w:val="00A674E8"/>
    <w:rsid w:val="00A67FCE"/>
    <w:rsid w:val="00A75B61"/>
    <w:rsid w:val="00A82198"/>
    <w:rsid w:val="00A8224D"/>
    <w:rsid w:val="00A84A6B"/>
    <w:rsid w:val="00A85C37"/>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33232"/>
    <w:rsid w:val="00B34AE0"/>
    <w:rsid w:val="00B35EA6"/>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6720"/>
    <w:rsid w:val="00D167F3"/>
    <w:rsid w:val="00D20143"/>
    <w:rsid w:val="00D226A4"/>
    <w:rsid w:val="00D23A4C"/>
    <w:rsid w:val="00D27383"/>
    <w:rsid w:val="00D30610"/>
    <w:rsid w:val="00D308C7"/>
    <w:rsid w:val="00D31736"/>
    <w:rsid w:val="00D34D2F"/>
    <w:rsid w:val="00D35597"/>
    <w:rsid w:val="00D366FC"/>
    <w:rsid w:val="00D41717"/>
    <w:rsid w:val="00D62722"/>
    <w:rsid w:val="00D71318"/>
    <w:rsid w:val="00D76E24"/>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B10F2"/>
    <w:rsid w:val="00EB271B"/>
    <w:rsid w:val="00EB2769"/>
    <w:rsid w:val="00EB3969"/>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2011-10-27T07:00:00+00:00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A3A75-F865-4D3C-A4E4-2D3A16D86FF1}"/>
</file>

<file path=customXml/itemProps2.xml><?xml version="1.0" encoding="utf-8"?>
<ds:datastoreItem xmlns:ds="http://schemas.openxmlformats.org/officeDocument/2006/customXml" ds:itemID="{0F8EEBE7-4E61-47BC-A24A-C18E001DA05D}"/>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A7931FD2-B71A-45ED-BAA5-F53C81B59750}"/>
</file>

<file path=customXml/itemProps5.xml><?xml version="1.0" encoding="utf-8"?>
<ds:datastoreItem xmlns:ds="http://schemas.openxmlformats.org/officeDocument/2006/customXml" ds:itemID="{67899D74-8819-4C9E-BD10-D2F73F94DAE3}"/>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TG-111672 TG-111674 Memo 01.docx</vt:lpstr>
    </vt:vector>
  </TitlesOfParts>
  <Company>WUTC</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TG-111672 TG-111674 Memo 01.docx</dc:title>
  <dc:creator>Christopher Mickelson</dc:creator>
  <cp:lastModifiedBy>Lisa Wyse, Records Manager</cp:lastModifiedBy>
  <cp:revision>2</cp:revision>
  <cp:lastPrinted>2011-10-24T18:04:00Z</cp:lastPrinted>
  <dcterms:created xsi:type="dcterms:W3CDTF">2011-10-24T23:28:00Z</dcterms:created>
  <dcterms:modified xsi:type="dcterms:W3CDTF">2011-10-24T23:28:00Z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