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38" w:rsidRDefault="00E50C38" w:rsidP="00E50C38">
      <w:pPr>
        <w:spacing w:before="0" w:beforeAutospacing="0" w:after="0" w:afterAutospacing="0"/>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Ingram, Penny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February 10, 2011 10:15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'mikecmckee@gmail.com'</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Young, Betty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Follow up regarding our phone call about solid waste collection regulation</w:t>
      </w:r>
    </w:p>
    <w:p w:rsidR="00E50C38" w:rsidRDefault="00E50C38" w:rsidP="00E50C38"/>
    <w:p w:rsidR="00E50C38" w:rsidRDefault="00E50C38" w:rsidP="00E50C38">
      <w:pPr>
        <w:rPr>
          <w:color w:val="000000"/>
        </w:rPr>
      </w:pPr>
      <w:r>
        <w:rPr>
          <w:rFonts w:ascii="Arial" w:hAnsi="Arial" w:cs="Arial"/>
          <w:noProof/>
          <w:color w:val="993300"/>
          <w:sz w:val="20"/>
          <w:szCs w:val="20"/>
        </w:rPr>
        <w:drawing>
          <wp:inline distT="0" distB="0" distL="0" distR="0">
            <wp:extent cx="5715000" cy="571500"/>
            <wp:effectExtent l="19050" t="0" r="0" b="0"/>
            <wp:docPr id="1" name="Picture 1" descr="cid:image002.gif@01CBC909.2669F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CBC909.2669FD00"/>
                    <pic:cNvPicPr>
                      <a:picLocks noChangeAspect="1" noChangeArrowheads="1"/>
                    </pic:cNvPicPr>
                  </pic:nvPicPr>
                  <pic:blipFill>
                    <a:blip r:embed="rId4" r:link="rId5" cstate="print"/>
                    <a:srcRect/>
                    <a:stretch>
                      <a:fillRect/>
                    </a:stretch>
                  </pic:blipFill>
                  <pic:spPr bwMode="auto">
                    <a:xfrm>
                      <a:off x="0" y="0"/>
                      <a:ext cx="5715000" cy="571500"/>
                    </a:xfrm>
                    <a:prstGeom prst="rect">
                      <a:avLst/>
                    </a:prstGeom>
                    <a:noFill/>
                    <a:ln w="9525">
                      <a:noFill/>
                      <a:miter lim="800000"/>
                      <a:headEnd/>
                      <a:tailEnd/>
                    </a:ln>
                  </pic:spPr>
                </pic:pic>
              </a:graphicData>
            </a:graphic>
          </wp:inline>
        </w:drawing>
      </w:r>
    </w:p>
    <w:p w:rsidR="00E50C38" w:rsidRDefault="00E50C38" w:rsidP="00E50C38">
      <w:pPr>
        <w:rPr>
          <w:color w:val="000000"/>
        </w:rPr>
      </w:pPr>
      <w:r>
        <w:rPr>
          <w:color w:val="000000"/>
        </w:rPr>
        <w:t xml:space="preserve">Mr. McKee, </w:t>
      </w:r>
    </w:p>
    <w:p w:rsidR="00E50C38" w:rsidRDefault="00E50C38" w:rsidP="00E50C38">
      <w:pPr>
        <w:rPr>
          <w:color w:val="000000"/>
        </w:rPr>
      </w:pPr>
      <w:r>
        <w:rPr>
          <w:color w:val="000000"/>
        </w:rPr>
        <w:t xml:space="preserve">Thank you for your call regarding solid waste regulation and how it relates to </w:t>
      </w:r>
      <w:proofErr w:type="spellStart"/>
      <w:r>
        <w:rPr>
          <w:color w:val="000000"/>
        </w:rPr>
        <w:t>Trashbusters</w:t>
      </w:r>
      <w:proofErr w:type="spellEnd"/>
      <w:r>
        <w:rPr>
          <w:color w:val="000000"/>
        </w:rPr>
        <w:t xml:space="preserve"> Rubbish Company, LLC that holds a solid waste collection company certificate G-256.</w:t>
      </w:r>
    </w:p>
    <w:p w:rsidR="00E50C38" w:rsidRDefault="00E50C38" w:rsidP="00E50C38">
      <w:pPr>
        <w:rPr>
          <w:color w:val="000000"/>
        </w:rPr>
      </w:pPr>
      <w:r>
        <w:rPr>
          <w:color w:val="000000"/>
        </w:rPr>
        <w:t xml:space="preserve">As I explained on the phone, your company is fully regulated as a solid waste collection company. </w:t>
      </w:r>
      <w:proofErr w:type="spellStart"/>
      <w:r>
        <w:rPr>
          <w:color w:val="000000"/>
        </w:rPr>
        <w:t>Trashbusters</w:t>
      </w:r>
      <w:proofErr w:type="spellEnd"/>
      <w:r>
        <w:rPr>
          <w:color w:val="000000"/>
        </w:rPr>
        <w:t xml:space="preserve"> must provide services listed in its certificate but also listed in its tariff and can only charge the tariff rates as described in your tariff (please see Tariff No. 1 attached). I understand that you do not have a copy of </w:t>
      </w:r>
      <w:proofErr w:type="spellStart"/>
      <w:r>
        <w:rPr>
          <w:color w:val="000000"/>
        </w:rPr>
        <w:t>Trashbusters</w:t>
      </w:r>
      <w:proofErr w:type="spellEnd"/>
      <w:r>
        <w:rPr>
          <w:color w:val="000000"/>
        </w:rPr>
        <w:t xml:space="preserve"> tariff, and staff wonders what rates </w:t>
      </w:r>
      <w:proofErr w:type="spellStart"/>
      <w:r>
        <w:rPr>
          <w:color w:val="000000"/>
        </w:rPr>
        <w:t>Trashbusters</w:t>
      </w:r>
      <w:proofErr w:type="spellEnd"/>
      <w:r>
        <w:rPr>
          <w:color w:val="000000"/>
        </w:rPr>
        <w:t xml:space="preserve"> have been charging its customers please see WAC 480-70-236. The tariff has been in effect since 1999 and it does not appear that rates or any services have changed.  In addition, I’m attaching </w:t>
      </w:r>
      <w:proofErr w:type="spellStart"/>
      <w:r>
        <w:rPr>
          <w:color w:val="000000"/>
        </w:rPr>
        <w:t>Trashbusters</w:t>
      </w:r>
      <w:proofErr w:type="spellEnd"/>
      <w:r>
        <w:rPr>
          <w:color w:val="000000"/>
        </w:rPr>
        <w:t xml:space="preserve"> solid waste certificate.</w:t>
      </w:r>
    </w:p>
    <w:tbl>
      <w:tblPr>
        <w:tblW w:w="5000" w:type="pct"/>
        <w:tblCellSpacing w:w="0" w:type="dxa"/>
        <w:tblCellMar>
          <w:left w:w="0" w:type="dxa"/>
          <w:right w:w="0" w:type="dxa"/>
        </w:tblCellMar>
        <w:tblLook w:val="04A0"/>
      </w:tblPr>
      <w:tblGrid>
        <w:gridCol w:w="3120"/>
        <w:gridCol w:w="6300"/>
      </w:tblGrid>
      <w:tr w:rsidR="00E50C38" w:rsidTr="00E50C38">
        <w:trPr>
          <w:tblCellSpacing w:w="0" w:type="dxa"/>
        </w:trPr>
        <w:tc>
          <w:tcPr>
            <w:tcW w:w="0" w:type="auto"/>
            <w:tcMar>
              <w:top w:w="0" w:type="dxa"/>
              <w:left w:w="0" w:type="dxa"/>
              <w:bottom w:w="0" w:type="dxa"/>
              <w:right w:w="60" w:type="dxa"/>
            </w:tcMar>
            <w:hideMark/>
          </w:tcPr>
          <w:p w:rsidR="00E50C38" w:rsidRDefault="00E50C38">
            <w:pPr>
              <w:spacing w:before="0" w:beforeAutospacing="0" w:after="0" w:afterAutospacing="0"/>
              <w:rPr>
                <w:rFonts w:ascii="Arial Black" w:hAnsi="Arial Black"/>
                <w:color w:val="000000"/>
                <w:sz w:val="27"/>
                <w:szCs w:val="27"/>
              </w:rPr>
            </w:pPr>
            <w:r>
              <w:rPr>
                <w:rFonts w:ascii="Arial Black" w:hAnsi="Arial Black"/>
                <w:color w:val="000000"/>
                <w:sz w:val="27"/>
                <w:szCs w:val="27"/>
              </w:rPr>
              <w:t>WAC 480-70-236</w:t>
            </w:r>
          </w:p>
        </w:tc>
        <w:tc>
          <w:tcPr>
            <w:tcW w:w="0" w:type="auto"/>
            <w:tcMar>
              <w:top w:w="0" w:type="dxa"/>
              <w:left w:w="0" w:type="dxa"/>
              <w:bottom w:w="0" w:type="dxa"/>
              <w:right w:w="60" w:type="dxa"/>
            </w:tcMar>
            <w:hideMark/>
          </w:tcPr>
          <w:p w:rsidR="00E50C38" w:rsidRDefault="00E50C38">
            <w:pPr>
              <w:spacing w:before="0" w:beforeAutospacing="0" w:after="0" w:afterAutospacing="0"/>
              <w:jc w:val="right"/>
              <w:rPr>
                <w:rFonts w:ascii="Arial" w:hAnsi="Arial" w:cs="Arial"/>
              </w:rPr>
            </w:pPr>
            <w:r>
              <w:rPr>
                <w:rFonts w:ascii="Arial" w:hAnsi="Arial" w:cs="Arial"/>
              </w:rPr>
              <w:t xml:space="preserve">No agency filings affecting this section since 2003 </w:t>
            </w:r>
          </w:p>
        </w:tc>
      </w:tr>
      <w:tr w:rsidR="00E50C38" w:rsidTr="00E50C38">
        <w:trPr>
          <w:tblCellSpacing w:w="0" w:type="dxa"/>
        </w:trPr>
        <w:tc>
          <w:tcPr>
            <w:tcW w:w="0" w:type="auto"/>
            <w:gridSpan w:val="2"/>
            <w:tcMar>
              <w:top w:w="0" w:type="dxa"/>
              <w:left w:w="0" w:type="dxa"/>
              <w:bottom w:w="0" w:type="dxa"/>
              <w:right w:w="60" w:type="dxa"/>
            </w:tcMar>
            <w:hideMark/>
          </w:tcPr>
          <w:p w:rsidR="00E50C38" w:rsidRDefault="00E50C38">
            <w:pPr>
              <w:spacing w:before="0" w:beforeAutospacing="0" w:after="120" w:afterAutospacing="0"/>
              <w:rPr>
                <w:rFonts w:ascii="Arial Black" w:hAnsi="Arial Black"/>
                <w:color w:val="000000"/>
                <w:sz w:val="36"/>
                <w:szCs w:val="36"/>
              </w:rPr>
            </w:pPr>
            <w:r>
              <w:rPr>
                <w:rFonts w:ascii="Arial Black" w:hAnsi="Arial Black"/>
                <w:color w:val="000000"/>
                <w:sz w:val="36"/>
                <w:szCs w:val="36"/>
              </w:rPr>
              <w:t>Tariffs, all companies must file tariffs and must comply with the provisions of approved tariffs.</w:t>
            </w:r>
          </w:p>
        </w:tc>
      </w:tr>
    </w:tbl>
    <w:p w:rsidR="00E50C38" w:rsidRDefault="00E50C38" w:rsidP="00E50C38">
      <w:pPr>
        <w:rPr>
          <w:color w:val="000000"/>
        </w:rPr>
      </w:pPr>
      <w:r>
        <w:rPr>
          <w:rFonts w:ascii="Arial" w:hAnsi="Arial" w:cs="Arial"/>
          <w:sz w:val="18"/>
          <w:szCs w:val="18"/>
        </w:rPr>
        <w:t>     (1) No company may provide solid waste collection service until it files, and the commission approves, a tariff.</w:t>
      </w:r>
      <w:r>
        <w:rPr>
          <w:rFonts w:ascii="Arial" w:hAnsi="Arial" w:cs="Arial"/>
          <w:sz w:val="18"/>
          <w:szCs w:val="18"/>
        </w:rPr>
        <w:br/>
      </w:r>
      <w:r>
        <w:rPr>
          <w:rFonts w:ascii="Arial" w:hAnsi="Arial" w:cs="Arial"/>
          <w:sz w:val="18"/>
          <w:szCs w:val="18"/>
        </w:rPr>
        <w:br/>
        <w:t xml:space="preserve">     </w:t>
      </w:r>
      <w:r>
        <w:rPr>
          <w:rFonts w:ascii="Arial" w:hAnsi="Arial" w:cs="Arial"/>
          <w:sz w:val="18"/>
          <w:szCs w:val="18"/>
          <w:highlight w:val="yellow"/>
        </w:rPr>
        <w:t>(2) No company may assess rates and charges for solid waste collection service that are higher, lower, or different from those contained in its approved tariff.</w:t>
      </w:r>
      <w:r>
        <w:rPr>
          <w:rFonts w:ascii="Arial" w:hAnsi="Arial" w:cs="Arial"/>
          <w:sz w:val="18"/>
          <w:szCs w:val="18"/>
          <w:highlight w:val="yellow"/>
        </w:rPr>
        <w:br/>
      </w:r>
      <w:r>
        <w:rPr>
          <w:rFonts w:ascii="Arial" w:hAnsi="Arial" w:cs="Arial"/>
          <w:sz w:val="18"/>
          <w:szCs w:val="18"/>
          <w:highlight w:val="yellow"/>
        </w:rPr>
        <w:br/>
        <w:t>     (3) No company may accept a payment for service provided that is higher, lower, or different from the rates and charges contained in its approved tariff.</w:t>
      </w:r>
    </w:p>
    <w:p w:rsidR="00E50C38" w:rsidRDefault="00E50C38" w:rsidP="00E50C38">
      <w:pPr>
        <w:rPr>
          <w:color w:val="000000"/>
        </w:rPr>
      </w:pPr>
      <w:r>
        <w:rPr>
          <w:color w:val="000000"/>
        </w:rPr>
        <w:t xml:space="preserve">I understand that you have various scenarios of solid waste collection that you want to verify if the service should be regulated as solid waste. As we discussed, the best approach to get answers to some of your questions is that you provide me with a very detailed explanation of the service </w:t>
      </w:r>
      <w:proofErr w:type="gramStart"/>
      <w:r>
        <w:rPr>
          <w:color w:val="000000"/>
        </w:rPr>
        <w:t>provided</w:t>
      </w:r>
      <w:proofErr w:type="gramEnd"/>
      <w:r>
        <w:rPr>
          <w:color w:val="000000"/>
        </w:rPr>
        <w:t xml:space="preserve"> with your questions and I will respond.</w:t>
      </w:r>
    </w:p>
    <w:p w:rsidR="00E50C38" w:rsidRDefault="00E50C38" w:rsidP="00E50C38">
      <w:pPr>
        <w:rPr>
          <w:color w:val="000000"/>
        </w:rPr>
      </w:pPr>
      <w:r>
        <w:rPr>
          <w:color w:val="000000"/>
        </w:rPr>
        <w:t>I hope you find this information useful.</w:t>
      </w:r>
    </w:p>
    <w:p w:rsidR="00E50C38" w:rsidRDefault="00E50C38" w:rsidP="00E50C38">
      <w:pPr>
        <w:rPr>
          <w:color w:val="000000"/>
        </w:rPr>
      </w:pPr>
      <w:r>
        <w:rPr>
          <w:color w:val="000000"/>
        </w:rPr>
        <w:t>Solid waste laws and rules are below:</w:t>
      </w:r>
    </w:p>
    <w:p w:rsidR="00E50C38" w:rsidRDefault="00E50C38" w:rsidP="00E50C38">
      <w:pPr>
        <w:pStyle w:val="E-mailSignature"/>
        <w:rPr>
          <w:rFonts w:ascii="Times New Roman" w:hAnsi="Times New Roman"/>
          <w:color w:val="000000"/>
          <w:sz w:val="24"/>
          <w:szCs w:val="24"/>
        </w:rPr>
      </w:pPr>
      <w:hyperlink r:id="rId6" w:history="1">
        <w:r>
          <w:rPr>
            <w:rStyle w:val="Hyperlink"/>
            <w:rFonts w:ascii="Times New Roman" w:hAnsi="Times New Roman"/>
            <w:sz w:val="24"/>
            <w:szCs w:val="24"/>
          </w:rPr>
          <w:t>http://apps.leg.wa.gov/RCW/default.aspx?cite=81.77</w:t>
        </w:r>
      </w:hyperlink>
    </w:p>
    <w:p w:rsidR="00E50C38" w:rsidRDefault="00E50C38" w:rsidP="00E50C38">
      <w:pPr>
        <w:pStyle w:val="E-mailSignature"/>
        <w:rPr>
          <w:color w:val="000000"/>
        </w:rPr>
      </w:pPr>
      <w:hyperlink r:id="rId7" w:history="1">
        <w:r>
          <w:rPr>
            <w:rStyle w:val="Hyperlink"/>
          </w:rPr>
          <w:t>http://apps.leg.wa.gov/WAC/default.aspx?cite=480-70</w:t>
        </w:r>
      </w:hyperlink>
    </w:p>
    <w:p w:rsidR="00E50C38" w:rsidRDefault="00E50C38" w:rsidP="00E50C38">
      <w:pPr>
        <w:pStyle w:val="E-mailSignature"/>
        <w:rPr>
          <w:color w:val="000000"/>
        </w:rPr>
      </w:pPr>
    </w:p>
    <w:p w:rsidR="00E50C38" w:rsidRDefault="00E50C38" w:rsidP="00E50C38">
      <w:pPr>
        <w:spacing w:before="0" w:beforeAutospacing="0" w:after="0" w:afterAutospacing="0"/>
        <w:rPr>
          <w:rFonts w:ascii="Arial Narrow" w:hAnsi="Arial Narrow"/>
          <w:b/>
          <w:bCs/>
          <w:color w:val="17365D"/>
        </w:rPr>
      </w:pPr>
      <w:r>
        <w:rPr>
          <w:rFonts w:ascii="Cambria" w:hAnsi="Cambria"/>
          <w:b/>
          <w:bCs/>
          <w:i/>
          <w:iCs/>
          <w:color w:val="17365D"/>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E50C38" w:rsidRDefault="00E50C38" w:rsidP="00E50C38">
      <w:pPr>
        <w:spacing w:before="0" w:beforeAutospacing="0" w:after="0" w:afterAutospacing="0"/>
        <w:rPr>
          <w:rFonts w:ascii="Calibri" w:hAnsi="Calibri"/>
          <w:b/>
          <w:bCs/>
          <w:color w:val="17365D"/>
        </w:rPr>
      </w:pPr>
    </w:p>
    <w:p w:rsidR="00E50C38" w:rsidRDefault="00E50C38" w:rsidP="00E50C38">
      <w:pPr>
        <w:spacing w:before="0" w:beforeAutospacing="0" w:after="0" w:afterAutospacing="0"/>
        <w:rPr>
          <w:rFonts w:ascii="Calibri" w:hAnsi="Calibri"/>
          <w:color w:val="17365D"/>
        </w:rPr>
      </w:pPr>
      <w:r>
        <w:rPr>
          <w:rFonts w:ascii="Calibri" w:hAnsi="Calibri"/>
          <w:color w:val="17365D"/>
        </w:rPr>
        <w:t>Sincerely,</w:t>
      </w:r>
    </w:p>
    <w:p w:rsidR="00E50C38" w:rsidRDefault="00E50C38" w:rsidP="00E50C38">
      <w:pPr>
        <w:spacing w:before="0" w:beforeAutospacing="0" w:after="0" w:afterAutospacing="0"/>
        <w:rPr>
          <w:rFonts w:ascii="Calibri" w:hAnsi="Calibri"/>
          <w:color w:val="000000"/>
        </w:rPr>
      </w:pPr>
    </w:p>
    <w:p w:rsidR="00E50C38" w:rsidRDefault="00E50C38" w:rsidP="00E50C38">
      <w:pPr>
        <w:spacing w:before="0" w:beforeAutospacing="0" w:after="0" w:afterAutospacing="0"/>
        <w:jc w:val="center"/>
        <w:rPr>
          <w:rFonts w:ascii="Calibri" w:hAnsi="Calibri"/>
          <w:color w:val="002060"/>
        </w:rPr>
      </w:pPr>
      <w:r>
        <w:rPr>
          <w:rFonts w:ascii="Calibri" w:hAnsi="Calibri"/>
          <w:b/>
          <w:bCs/>
          <w:color w:val="002060"/>
        </w:rPr>
        <w:t>Penny L. Ingram</w:t>
      </w:r>
      <w:proofErr w:type="gramStart"/>
      <w:r>
        <w:rPr>
          <w:rFonts w:ascii="Calibri" w:hAnsi="Calibri"/>
          <w:color w:val="002060"/>
        </w:rPr>
        <w:t>  |</w:t>
      </w:r>
      <w:proofErr w:type="gramEnd"/>
      <w:r>
        <w:rPr>
          <w:rFonts w:ascii="Calibri" w:hAnsi="Calibri"/>
          <w:color w:val="002060"/>
        </w:rPr>
        <w:t>  Regulatory Analyst</w:t>
      </w:r>
    </w:p>
    <w:p w:rsidR="00E50C38" w:rsidRDefault="00E50C38" w:rsidP="00E50C38">
      <w:pPr>
        <w:spacing w:before="0" w:beforeAutospacing="0" w:after="0" w:afterAutospacing="0"/>
        <w:jc w:val="center"/>
        <w:rPr>
          <w:rFonts w:ascii="Calibri" w:hAnsi="Calibri"/>
          <w:color w:val="002060"/>
        </w:rPr>
      </w:pPr>
      <w:r>
        <w:rPr>
          <w:rFonts w:ascii="Calibri" w:hAnsi="Calibri"/>
          <w:color w:val="002060"/>
        </w:rPr>
        <w:t>Washington Utilities &amp; Transportation Commission, Regulatory Services Division</w:t>
      </w:r>
    </w:p>
    <w:p w:rsidR="00E50C38" w:rsidRDefault="00E50C38" w:rsidP="00E50C38">
      <w:pPr>
        <w:spacing w:before="0" w:beforeAutospacing="0" w:after="0" w:afterAutospacing="0"/>
        <w:jc w:val="center"/>
        <w:rPr>
          <w:rFonts w:ascii="Calibri" w:hAnsi="Calibri"/>
          <w:color w:val="002060"/>
        </w:rPr>
      </w:pPr>
      <w:r>
        <w:rPr>
          <w:rFonts w:ascii="Calibri" w:hAnsi="Calibri"/>
          <w:color w:val="002060"/>
        </w:rPr>
        <w:t>P.O. Box 47250</w:t>
      </w:r>
      <w:proofErr w:type="gramStart"/>
      <w:r>
        <w:rPr>
          <w:rFonts w:ascii="Calibri" w:hAnsi="Calibri"/>
          <w:color w:val="002060"/>
        </w:rPr>
        <w:t>  |</w:t>
      </w:r>
      <w:proofErr w:type="gramEnd"/>
      <w:r>
        <w:rPr>
          <w:rFonts w:ascii="Calibri" w:hAnsi="Calibri"/>
          <w:color w:val="002060"/>
        </w:rPr>
        <w:t>  1300 S. Evergreen Park Dr SW, Olympia, WA 98504</w:t>
      </w:r>
    </w:p>
    <w:p w:rsidR="00E50C38" w:rsidRDefault="00E50C38" w:rsidP="00E50C38">
      <w:pPr>
        <w:spacing w:before="0" w:beforeAutospacing="0" w:after="0" w:afterAutospacing="0"/>
        <w:jc w:val="center"/>
        <w:rPr>
          <w:color w:val="B8CCE4"/>
        </w:rPr>
      </w:pPr>
      <w:proofErr w:type="gramStart"/>
      <w:r>
        <w:rPr>
          <w:rFonts w:ascii="Calibri" w:hAnsi="Calibri"/>
          <w:color w:val="002060"/>
        </w:rPr>
        <w:t>ph</w:t>
      </w:r>
      <w:proofErr w:type="gramEnd"/>
      <w:r>
        <w:rPr>
          <w:rFonts w:ascii="Calibri" w:hAnsi="Calibri"/>
          <w:color w:val="002060"/>
        </w:rPr>
        <w:t>: 360.664.1242  |  </w:t>
      </w:r>
      <w:hyperlink r:id="rId8" w:history="1">
        <w:r>
          <w:rPr>
            <w:rStyle w:val="Hyperlink"/>
            <w:rFonts w:ascii="Calibri" w:hAnsi="Calibri"/>
            <w:color w:val="002060"/>
          </w:rPr>
          <w:t>pingram@utc.wa.gov</w:t>
        </w:r>
      </w:hyperlink>
      <w:r>
        <w:rPr>
          <w:rFonts w:ascii="Calibri" w:hAnsi="Calibri"/>
          <w:color w:val="002060"/>
        </w:rPr>
        <w:t xml:space="preserve"> | fax: 360-586-1150</w:t>
      </w:r>
    </w:p>
    <w:p w:rsidR="00E50C38" w:rsidRDefault="00E50C38" w:rsidP="00E50C38">
      <w:pPr>
        <w:spacing w:before="0" w:beforeAutospacing="0" w:after="0" w:afterAutospacing="0"/>
        <w:rPr>
          <w:rFonts w:ascii="Calibri" w:hAnsi="Calibri"/>
          <w:color w:val="000000"/>
          <w:sz w:val="22"/>
          <w:szCs w:val="22"/>
        </w:rPr>
      </w:pPr>
      <w:r>
        <w:rPr>
          <w:rFonts w:ascii="Arial Narrow" w:hAnsi="Arial Narrow"/>
          <w:i/>
          <w:iCs/>
          <w:noProof/>
          <w:color w:val="244061"/>
          <w:sz w:val="18"/>
          <w:szCs w:val="18"/>
        </w:rPr>
        <w:drawing>
          <wp:inline distT="0" distB="0" distL="0" distR="0">
            <wp:extent cx="266700" cy="266700"/>
            <wp:effectExtent l="19050" t="0" r="0" b="0"/>
            <wp:docPr id="2" name="Picture 1" descr="Small 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acebook"/>
                    <pic:cNvPicPr>
                      <a:picLocks noChangeAspect="1" noChangeArrowheads="1"/>
                    </pic:cNvPicPr>
                  </pic:nvPicPr>
                  <pic:blipFill>
                    <a:blip r:embed="rId10" r:link="rId11"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E50C38" w:rsidRDefault="00E50C38" w:rsidP="00E50C38">
      <w:pPr>
        <w:spacing w:before="0" w:beforeAutospacing="0" w:after="0" w:afterAutospacing="0"/>
        <w:jc w:val="center"/>
        <w:rPr>
          <w:rFonts w:ascii="Arial" w:hAnsi="Arial" w:cs="Arial"/>
          <w:color w:val="993300"/>
          <w:sz w:val="20"/>
          <w:szCs w:val="20"/>
        </w:rPr>
      </w:pP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E50C38"/>
    <w:rsid w:val="00116397"/>
    <w:rsid w:val="00132F59"/>
    <w:rsid w:val="00434BF3"/>
    <w:rsid w:val="00AB36E4"/>
    <w:rsid w:val="00AF51AD"/>
    <w:rsid w:val="00BB3919"/>
    <w:rsid w:val="00D44C8F"/>
    <w:rsid w:val="00DB2373"/>
    <w:rsid w:val="00E24331"/>
    <w:rsid w:val="00E50C38"/>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38"/>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0C38"/>
    <w:rPr>
      <w:color w:val="0000FF"/>
      <w:u w:val="single"/>
    </w:rPr>
  </w:style>
  <w:style w:type="paragraph" w:styleId="E-mailSignature">
    <w:name w:val="E-mail Signature"/>
    <w:basedOn w:val="Normal"/>
    <w:link w:val="E-mailSignatureChar"/>
    <w:uiPriority w:val="99"/>
    <w:semiHidden/>
    <w:unhideWhenUsed/>
    <w:rsid w:val="00E50C38"/>
    <w:pPr>
      <w:spacing w:before="0" w:beforeAutospacing="0" w:after="0" w:afterAutospacing="0"/>
    </w:pPr>
    <w:rPr>
      <w:rFonts w:ascii="Calibri" w:hAnsi="Calibri"/>
      <w:sz w:val="22"/>
      <w:szCs w:val="22"/>
    </w:rPr>
  </w:style>
  <w:style w:type="character" w:customStyle="1" w:styleId="E-mailSignatureChar">
    <w:name w:val="E-mail Signature Char"/>
    <w:basedOn w:val="DefaultParagraphFont"/>
    <w:link w:val="E-mailSignature"/>
    <w:uiPriority w:val="99"/>
    <w:semiHidden/>
    <w:rsid w:val="00E50C38"/>
    <w:rPr>
      <w:rFonts w:ascii="Calibri" w:hAnsi="Calibri" w:cs="Times New Roman"/>
    </w:rPr>
  </w:style>
  <w:style w:type="paragraph" w:styleId="BalloonText">
    <w:name w:val="Balloon Text"/>
    <w:basedOn w:val="Normal"/>
    <w:link w:val="BalloonTextChar"/>
    <w:uiPriority w:val="99"/>
    <w:semiHidden/>
    <w:unhideWhenUsed/>
    <w:rsid w:val="00E50C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C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88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ickels@utc.wa.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pps.leg.wa.gov/WAC/default.aspx?cite=480-70"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apps.leg.wa.gov/RCW/default.aspx?cite=81.77" TargetMode="External"/><Relationship Id="rId11" Type="http://schemas.openxmlformats.org/officeDocument/2006/relationships/image" Target="cid:image003.jpg@01CBC909.2669FD00" TargetMode="External"/><Relationship Id="rId5" Type="http://schemas.openxmlformats.org/officeDocument/2006/relationships/image" Target="cid:image002.gif@01CBC909.2669FD00" TargetMode="Externa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hyperlink" Target="http://www.facebook.com/pages/Olympia-WA/Washington-Utilities-and-Transportation-Commission/126534597778"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4265A30D9D8148A42F9702CCCECC93" ma:contentTypeVersion="131" ma:contentTypeDescription="" ma:contentTypeScope="" ma:versionID="2c95ae7e74f9b9a7b1604413b397c4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Email</DocumentSetType>
    <IsConfidential xmlns="dc463f71-b30c-4ab2-9473-d307f9d35888">false</IsConfidential>
    <AgendaOrder xmlns="dc463f71-b30c-4ab2-9473-d307f9d35888">false</AgendaOrder>
    <CaseType xmlns="dc463f71-b30c-4ab2-9473-d307f9d35888">Formal Complaint</CaseType>
    <IndustryCode xmlns="dc463f71-b30c-4ab2-9473-d307f9d35888">227</IndustryCode>
    <CaseStatus xmlns="dc463f71-b30c-4ab2-9473-d307f9d35888">Closed</CaseStatus>
    <OpenedDate xmlns="dc463f71-b30c-4ab2-9473-d307f9d35888">2010-10-01T07:00:00+00:00</OpenedDate>
    <Date1 xmlns="dc463f71-b30c-4ab2-9473-d307f9d35888">2011-02-10T08:00:00+00:00</Date1>
    <IsDocumentOrder xmlns="dc463f71-b30c-4ab2-9473-d307f9d35888" xsi:nil="true"/>
    <IsHighlyConfidential xmlns="dc463f71-b30c-4ab2-9473-d307f9d35888">false</IsHighlyConfidential>
    <CaseCompanyNames xmlns="dc463f71-b30c-4ab2-9473-d307f9d35888">TRASHBUSTERS OF WASHINGTON STATE, LLC</CaseCompanyNames>
    <DocketNumber xmlns="dc463f71-b30c-4ab2-9473-d307f9d35888">101639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EF44900-7E09-4488-8302-E3FE86B62A3D}"/>
</file>

<file path=customXml/itemProps2.xml><?xml version="1.0" encoding="utf-8"?>
<ds:datastoreItem xmlns:ds="http://schemas.openxmlformats.org/officeDocument/2006/customXml" ds:itemID="{49626C1D-C82A-44E6-B78E-155F3135866A}"/>
</file>

<file path=customXml/itemProps3.xml><?xml version="1.0" encoding="utf-8"?>
<ds:datastoreItem xmlns:ds="http://schemas.openxmlformats.org/officeDocument/2006/customXml" ds:itemID="{4394C47F-6A7E-4375-9A22-3B9285959E30}"/>
</file>

<file path=customXml/itemProps4.xml><?xml version="1.0" encoding="utf-8"?>
<ds:datastoreItem xmlns:ds="http://schemas.openxmlformats.org/officeDocument/2006/customXml" ds:itemID="{40CB6011-6B17-4DCF-B034-1B8A462FAE86}"/>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2011-02-10T22:24:00Z</dcterms:created>
  <dcterms:modified xsi:type="dcterms:W3CDTF">2011-02-10T22:25:00Z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0x0101006E56B4D1795A2E4DB2F0B01679ED314A00754265A30D9D8148A42F9702CCCECC93</vt:lpwstr>
  </property>
  <property fmtid="{D5CDD505-2E9C-101B-9397-08002B2CF9AE}" pid="3" name="_docset_NoMedatataSyncRequired">
    <vt:lpwstr>False</vt:lpwstr>
  </property>
</Properties>
</file>