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B98" w:rsidRDefault="00FF5B98" w:rsidP="00C1073A">
      <w:pPr>
        <w:jc w:val="both"/>
      </w:pPr>
    </w:p>
    <w:p w:rsidR="00FF5B98" w:rsidRPr="000F068B" w:rsidRDefault="00FF5B98" w:rsidP="00C1073A">
      <w:pPr>
        <w:pStyle w:val="CourtName"/>
        <w:rPr>
          <w:b/>
          <w:caps/>
        </w:rPr>
      </w:pPr>
      <w:bookmarkStart w:id="0" w:name="TitleOfPleading"/>
      <w:bookmarkEnd w:id="0"/>
      <w:r>
        <w:rPr>
          <w:b/>
          <w:caps/>
        </w:rPr>
        <w:t xml:space="preserve">BEFORE THE </w:t>
      </w:r>
      <w:smartTag w:uri="urn:schemas-microsoft-com:office:smarttags" w:element="State">
        <w:smartTag w:uri="urn:schemas-microsoft-com:office:smarttags" w:element="place">
          <w:r>
            <w:rPr>
              <w:b/>
              <w:caps/>
            </w:rPr>
            <w:t>WASHINGTON</w:t>
          </w:r>
        </w:smartTag>
      </w:smartTag>
    </w:p>
    <w:p w:rsidR="00FF5B98" w:rsidRPr="000F068B" w:rsidRDefault="00FF5B98" w:rsidP="00C1073A">
      <w:pPr>
        <w:pStyle w:val="CourtName"/>
        <w:rPr>
          <w:b/>
          <w:caps/>
        </w:rPr>
      </w:pPr>
      <w:r w:rsidRPr="000F068B">
        <w:rPr>
          <w:b/>
          <w:caps/>
        </w:rPr>
        <w:t>UTILITIES AND TRANSPORTATION COMMISSION</w:t>
      </w:r>
    </w:p>
    <w:p w:rsidR="00FF5B98" w:rsidRPr="000F068B" w:rsidRDefault="00FF5B98" w:rsidP="00C1073A">
      <w:pPr>
        <w:jc w:val="center"/>
      </w:pPr>
    </w:p>
    <w:p w:rsidR="00FF5B98" w:rsidRPr="000F068B" w:rsidRDefault="00FF5B98" w:rsidP="00C1073A">
      <w:pPr>
        <w:jc w:val="center"/>
      </w:pPr>
    </w:p>
    <w:tbl>
      <w:tblPr>
        <w:tblW w:w="0" w:type="auto"/>
        <w:tblInd w:w="360" w:type="dxa"/>
        <w:tblBorders>
          <w:bottom w:val="single" w:sz="6" w:space="0" w:color="auto"/>
        </w:tblBorders>
        <w:tblLayout w:type="fixed"/>
        <w:tblCellMar>
          <w:left w:w="360" w:type="dxa"/>
          <w:right w:w="360" w:type="dxa"/>
        </w:tblCellMar>
        <w:tblLook w:val="0000"/>
      </w:tblPr>
      <w:tblGrid>
        <w:gridCol w:w="4590"/>
        <w:gridCol w:w="4410"/>
      </w:tblGrid>
      <w:tr w:rsidR="00FF5B98" w:rsidRPr="000F068B" w:rsidTr="00706BF4">
        <w:tc>
          <w:tcPr>
            <w:tcW w:w="4590" w:type="dxa"/>
            <w:tcBorders>
              <w:bottom w:val="single" w:sz="6" w:space="0" w:color="auto"/>
              <w:right w:val="single" w:sz="6" w:space="0" w:color="auto"/>
            </w:tcBorders>
          </w:tcPr>
          <w:p w:rsidR="00FF5B98" w:rsidRPr="000F068B" w:rsidRDefault="00FF5B98" w:rsidP="00954A47">
            <w:pPr>
              <w:tabs>
                <w:tab w:val="left" w:pos="2520"/>
              </w:tabs>
              <w:ind w:left="-360"/>
            </w:pPr>
            <w:bookmarkStart w:id="1" w:name="Appellant_Name"/>
            <w:bookmarkStart w:id="2" w:name="tag1"/>
            <w:bookmarkStart w:id="3" w:name="Respondent_Name"/>
            <w:bookmarkStart w:id="4" w:name="tag2"/>
            <w:bookmarkStart w:id="5" w:name="Caption"/>
            <w:bookmarkEnd w:id="1"/>
            <w:bookmarkEnd w:id="2"/>
            <w:bookmarkEnd w:id="3"/>
            <w:bookmarkEnd w:id="4"/>
          </w:p>
          <w:p w:rsidR="00FF5B98" w:rsidRPr="000F068B" w:rsidRDefault="00FF5B98" w:rsidP="00706BF4">
            <w:pPr>
              <w:tabs>
                <w:tab w:val="left" w:pos="2160"/>
              </w:tabs>
              <w:ind w:left="-90"/>
            </w:pPr>
            <w:smartTag w:uri="urn:schemas-microsoft-com:office:smarttags" w:element="State">
              <w:smartTag w:uri="urn:schemas-microsoft-com:office:smarttags" w:element="place">
                <w:r w:rsidRPr="000F068B">
                  <w:t>WASHINGTON</w:t>
                </w:r>
              </w:smartTag>
            </w:smartTag>
            <w:r w:rsidRPr="000F068B">
              <w:t xml:space="preserve"> UTILITIES AND TRANSPORTATION COMMISSION, </w:t>
            </w:r>
          </w:p>
          <w:p w:rsidR="00FF5B98" w:rsidRPr="000F068B" w:rsidRDefault="00FF5B98" w:rsidP="00706BF4">
            <w:pPr>
              <w:tabs>
                <w:tab w:val="left" w:pos="2160"/>
              </w:tabs>
              <w:ind w:left="-90"/>
            </w:pPr>
          </w:p>
          <w:p w:rsidR="00FF5B98" w:rsidRPr="000F068B" w:rsidRDefault="00FF5B98" w:rsidP="00706BF4">
            <w:pPr>
              <w:tabs>
                <w:tab w:val="left" w:pos="2160"/>
              </w:tabs>
              <w:ind w:left="-90"/>
            </w:pPr>
            <w:r w:rsidRPr="000F068B">
              <w:tab/>
              <w:t>Complainant,</w:t>
            </w:r>
          </w:p>
          <w:p w:rsidR="00FF5B98" w:rsidRPr="000F068B" w:rsidRDefault="00FF5B98" w:rsidP="00706BF4">
            <w:pPr>
              <w:tabs>
                <w:tab w:val="left" w:pos="2160"/>
              </w:tabs>
              <w:ind w:left="-90"/>
            </w:pPr>
          </w:p>
          <w:p w:rsidR="00FF5B98" w:rsidRPr="000F068B" w:rsidRDefault="00FF5B98" w:rsidP="00706BF4">
            <w:pPr>
              <w:tabs>
                <w:tab w:val="left" w:pos="2160"/>
              </w:tabs>
              <w:ind w:left="-90"/>
            </w:pPr>
            <w:r w:rsidRPr="000F068B">
              <w:t xml:space="preserve">v. </w:t>
            </w:r>
          </w:p>
          <w:p w:rsidR="00FF5B98" w:rsidRPr="000F068B" w:rsidRDefault="00FF5B98" w:rsidP="00706BF4">
            <w:pPr>
              <w:tabs>
                <w:tab w:val="left" w:pos="2160"/>
              </w:tabs>
              <w:ind w:left="-90"/>
            </w:pPr>
          </w:p>
          <w:p w:rsidR="00FF5B98" w:rsidRPr="000F068B" w:rsidRDefault="00FF5B98" w:rsidP="00706BF4">
            <w:pPr>
              <w:tabs>
                <w:tab w:val="left" w:pos="2160"/>
              </w:tabs>
              <w:ind w:left="-90"/>
            </w:pPr>
            <w:smartTag w:uri="urn:schemas-microsoft-com:office:smarttags" w:element="place">
              <w:r>
                <w:t>PUGET SOUND</w:t>
              </w:r>
            </w:smartTag>
            <w:r>
              <w:t xml:space="preserve"> ENERGY</w:t>
            </w:r>
            <w:r w:rsidRPr="000F068B">
              <w:t xml:space="preserve">, </w:t>
            </w:r>
          </w:p>
          <w:p w:rsidR="00FF5B98" w:rsidRPr="000F068B" w:rsidRDefault="00FF5B98" w:rsidP="00706BF4">
            <w:pPr>
              <w:tabs>
                <w:tab w:val="left" w:pos="2160"/>
              </w:tabs>
              <w:ind w:left="-90"/>
            </w:pPr>
          </w:p>
          <w:p w:rsidR="00FF5B98" w:rsidRPr="000F068B" w:rsidRDefault="00FF5B98" w:rsidP="00706BF4">
            <w:pPr>
              <w:tabs>
                <w:tab w:val="left" w:pos="2160"/>
              </w:tabs>
              <w:ind w:left="-90"/>
            </w:pPr>
            <w:r w:rsidRPr="000F068B">
              <w:tab/>
              <w:t>Respondent.</w:t>
            </w:r>
          </w:p>
          <w:p w:rsidR="00FF5B98" w:rsidRPr="000F068B" w:rsidRDefault="00FF5B98" w:rsidP="00706BF4">
            <w:pPr>
              <w:tabs>
                <w:tab w:val="left" w:pos="2160"/>
              </w:tabs>
            </w:pPr>
            <w:r w:rsidRPr="000F068B">
              <w:t xml:space="preserve">    </w:t>
            </w:r>
            <w:r w:rsidRPr="000F068B">
              <w:tab/>
            </w:r>
          </w:p>
        </w:tc>
        <w:tc>
          <w:tcPr>
            <w:tcW w:w="4410" w:type="dxa"/>
            <w:tcBorders>
              <w:left w:val="nil"/>
              <w:bottom w:val="nil"/>
            </w:tcBorders>
          </w:tcPr>
          <w:p w:rsidR="00FF5B98" w:rsidRPr="000F068B" w:rsidRDefault="00FF5B98" w:rsidP="00954A47"/>
          <w:p w:rsidR="00FF5B98" w:rsidRPr="000F068B" w:rsidRDefault="00FF5B98" w:rsidP="00954A47">
            <w:bookmarkStart w:id="6" w:name="Court_Doc_Number"/>
            <w:bookmarkEnd w:id="6"/>
            <w:r w:rsidRPr="000F068B">
              <w:t>DOCKETS UE-15</w:t>
            </w:r>
            <w:r>
              <w:t>1871</w:t>
            </w:r>
            <w:r w:rsidRPr="000F068B">
              <w:t xml:space="preserve"> and UG</w:t>
            </w:r>
            <w:r w:rsidRPr="000F068B">
              <w:noBreakHyphen/>
              <w:t>15</w:t>
            </w:r>
            <w:r>
              <w:t>1872</w:t>
            </w:r>
            <w:r w:rsidRPr="000F068B">
              <w:t xml:space="preserve"> (</w:t>
            </w:r>
            <w:r w:rsidRPr="000F068B">
              <w:rPr>
                <w:i/>
              </w:rPr>
              <w:t xml:space="preserve">Consolidated) </w:t>
            </w:r>
            <w:r w:rsidRPr="000F068B">
              <w:t xml:space="preserve"> </w:t>
            </w:r>
          </w:p>
          <w:p w:rsidR="00FF5B98" w:rsidRPr="000F068B" w:rsidRDefault="00FF5B98" w:rsidP="00954A47"/>
          <w:p w:rsidR="00FF5B98" w:rsidRPr="000F068B" w:rsidRDefault="00FF5B98" w:rsidP="00954A47"/>
          <w:p w:rsidR="00FF5B98" w:rsidRPr="000F068B" w:rsidRDefault="00FF5B98" w:rsidP="00954A47"/>
          <w:p w:rsidR="00FF5B98" w:rsidRPr="000F068B" w:rsidRDefault="00FF5B98" w:rsidP="00954A47"/>
        </w:tc>
      </w:tr>
      <w:bookmarkEnd w:id="5"/>
    </w:tbl>
    <w:p w:rsidR="00FF5B98" w:rsidRPr="000F068B" w:rsidRDefault="00FF5B98" w:rsidP="00C1073A">
      <w:pPr>
        <w:pStyle w:val="CourtName"/>
        <w:spacing w:line="480" w:lineRule="exact"/>
        <w:ind w:firstLine="720"/>
        <w:jc w:val="left"/>
      </w:pPr>
    </w:p>
    <w:p w:rsidR="00FF5B98" w:rsidRPr="000F068B" w:rsidRDefault="00FF5B98" w:rsidP="00C1073A">
      <w:pPr>
        <w:pStyle w:val="CourtName"/>
        <w:spacing w:line="480" w:lineRule="exact"/>
        <w:ind w:firstLine="720"/>
        <w:rPr>
          <w:b/>
        </w:rPr>
      </w:pPr>
    </w:p>
    <w:p w:rsidR="00FF5B98" w:rsidRDefault="00FF5B98" w:rsidP="00C1073A">
      <w:pPr>
        <w:pStyle w:val="CourtName"/>
        <w:spacing w:line="480" w:lineRule="exact"/>
        <w:ind w:firstLine="720"/>
        <w:rPr>
          <w:b/>
        </w:rPr>
      </w:pPr>
    </w:p>
    <w:p w:rsidR="00FF5B98" w:rsidRPr="000F068B" w:rsidRDefault="00FF5B98" w:rsidP="00C1073A">
      <w:pPr>
        <w:pStyle w:val="CourtName"/>
        <w:spacing w:line="480" w:lineRule="exact"/>
        <w:ind w:firstLine="720"/>
        <w:rPr>
          <w:b/>
        </w:rPr>
      </w:pPr>
    </w:p>
    <w:p w:rsidR="00FF5B98" w:rsidRDefault="00FF5B98" w:rsidP="00C1073A">
      <w:pPr>
        <w:pStyle w:val="CourtName"/>
        <w:spacing w:line="480" w:lineRule="exact"/>
        <w:ind w:firstLine="720"/>
        <w:rPr>
          <w:b/>
        </w:rPr>
      </w:pPr>
    </w:p>
    <w:p w:rsidR="00FF5B98" w:rsidRPr="000F068B" w:rsidRDefault="00FF5B98" w:rsidP="00C1073A">
      <w:pPr>
        <w:pStyle w:val="CourtName"/>
        <w:spacing w:line="480" w:lineRule="exact"/>
        <w:ind w:firstLine="720"/>
        <w:rPr>
          <w:b/>
        </w:rPr>
      </w:pPr>
    </w:p>
    <w:p w:rsidR="00FF5B98" w:rsidRPr="000F068B" w:rsidRDefault="00FF5B98" w:rsidP="00571023">
      <w:pPr>
        <w:pStyle w:val="CourtName"/>
        <w:spacing w:line="480" w:lineRule="exact"/>
        <w:rPr>
          <w:b/>
        </w:rPr>
      </w:pPr>
      <w:r>
        <w:rPr>
          <w:b/>
        </w:rPr>
        <w:t xml:space="preserve">POST-HEARING REPLY </w:t>
      </w:r>
      <w:r w:rsidRPr="000F068B">
        <w:rPr>
          <w:b/>
        </w:rPr>
        <w:t xml:space="preserve">BRIEF OF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Pr>
                  <w:b/>
                </w:rPr>
                <w:t>WASHINGTON</w:t>
              </w:r>
            </w:smartTag>
          </w:smartTag>
          <w:r>
            <w:rPr>
              <w:b/>
            </w:rPr>
            <w:t xml:space="preserve"> </w:t>
          </w:r>
          <w:smartTag w:uri="urn:schemas-microsoft-com:office:smarttags" w:element="PlaceType">
            <w:r>
              <w:rPr>
                <w:b/>
              </w:rPr>
              <w:t>STATE</w:t>
            </w:r>
          </w:smartTag>
        </w:smartTag>
      </w:smartTag>
      <w:r>
        <w:rPr>
          <w:b/>
        </w:rPr>
        <w:t xml:space="preserve"> HEATING, VENTILATION AND AIR CONDITIONING CONTRACTORS ASSOCIATION</w:t>
      </w:r>
    </w:p>
    <w:p w:rsidR="00FF5B98" w:rsidRPr="000F068B" w:rsidRDefault="00FF5B98" w:rsidP="00C1073A">
      <w:pPr>
        <w:pStyle w:val="CourtName"/>
        <w:spacing w:line="480" w:lineRule="exact"/>
        <w:ind w:firstLine="720"/>
        <w:rPr>
          <w:b/>
        </w:rPr>
      </w:pPr>
    </w:p>
    <w:p w:rsidR="00FF5B98" w:rsidRPr="000F068B" w:rsidRDefault="00FF5B98" w:rsidP="00C1073A">
      <w:pPr>
        <w:pStyle w:val="CourtName"/>
        <w:spacing w:line="480" w:lineRule="exact"/>
        <w:ind w:firstLine="720"/>
        <w:rPr>
          <w:b/>
        </w:rPr>
      </w:pPr>
    </w:p>
    <w:p w:rsidR="00FF5B98" w:rsidRPr="000F068B" w:rsidRDefault="00FF5B98" w:rsidP="00571023">
      <w:pPr>
        <w:pStyle w:val="CourtName"/>
        <w:spacing w:line="480" w:lineRule="exact"/>
      </w:pPr>
      <w:r>
        <w:t>September 19, 2016</w:t>
      </w:r>
    </w:p>
    <w:p w:rsidR="00FF5B98" w:rsidRPr="000F068B" w:rsidRDefault="00FF5B98" w:rsidP="00C1073A">
      <w:pPr>
        <w:pStyle w:val="CourtName"/>
        <w:spacing w:line="480" w:lineRule="exact"/>
        <w:ind w:firstLine="720"/>
        <w:sectPr w:rsidR="00FF5B98" w:rsidRPr="000F068B">
          <w:headerReference w:type="default" r:id="rId7"/>
          <w:footerReference w:type="default" r:id="rId8"/>
          <w:pgSz w:w="12240" w:h="15840" w:code="1"/>
          <w:pgMar w:top="1440" w:right="1440" w:bottom="1440" w:left="1440" w:header="720" w:footer="720" w:gutter="0"/>
          <w:cols w:space="720"/>
          <w:titlePg/>
        </w:sectPr>
      </w:pPr>
    </w:p>
    <w:p w:rsidR="00FF5B98" w:rsidRDefault="00FF5B98" w:rsidP="00B546C4">
      <w:pPr>
        <w:jc w:val="center"/>
        <w:rPr>
          <w:b/>
        </w:rPr>
      </w:pPr>
      <w:bookmarkStart w:id="7" w:name="_Toc434400941"/>
    </w:p>
    <w:p w:rsidR="00FF5B98" w:rsidRDefault="00FF5B98" w:rsidP="00B546C4">
      <w:pPr>
        <w:jc w:val="center"/>
        <w:rPr>
          <w:b/>
        </w:rPr>
      </w:pPr>
    </w:p>
    <w:p w:rsidR="00FF5B98" w:rsidRDefault="00FF5B98" w:rsidP="00B546C4">
      <w:pPr>
        <w:jc w:val="center"/>
      </w:pPr>
      <w:r>
        <w:rPr>
          <w:b/>
        </w:rPr>
        <w:t>TABLE OF CONTENTS</w:t>
      </w:r>
    </w:p>
    <w:p w:rsidR="00FF5B98" w:rsidRDefault="00FF5B98" w:rsidP="00B546C4">
      <w:pPr>
        <w:ind w:left="2160"/>
        <w:jc w:val="center"/>
      </w:pPr>
    </w:p>
    <w:p w:rsidR="00FF5B98" w:rsidRPr="009D29F5" w:rsidRDefault="00FF5B98" w:rsidP="00B546C4">
      <w:pPr>
        <w:pStyle w:val="TOC1"/>
        <w:rPr>
          <w:rFonts w:ascii="Calibri" w:hAnsi="Calibri"/>
          <w:caps w:val="0"/>
          <w:sz w:val="22"/>
          <w:szCs w:val="22"/>
        </w:rPr>
      </w:pPr>
      <w:r>
        <w:fldChar w:fldCharType="begin"/>
      </w:r>
      <w:r>
        <w:instrText xml:space="preserve"> TOC \o "1-8" </w:instrText>
      </w:r>
      <w:r>
        <w:fldChar w:fldCharType="separate"/>
      </w:r>
      <w:r>
        <w:t>I.</w:t>
      </w:r>
      <w:r>
        <w:rPr>
          <w:rFonts w:ascii="Calibri" w:hAnsi="Calibri"/>
          <w:caps w:val="0"/>
          <w:sz w:val="22"/>
          <w:szCs w:val="22"/>
        </w:rPr>
        <w:tab/>
      </w:r>
      <w:r w:rsidRPr="009D29F5">
        <w:t>INTRODUCTION</w:t>
      </w:r>
      <w:r w:rsidRPr="009D29F5">
        <w:tab/>
      </w:r>
      <w:r w:rsidRPr="009D29F5">
        <w:fldChar w:fldCharType="begin"/>
      </w:r>
      <w:r w:rsidRPr="009D29F5">
        <w:instrText xml:space="preserve"> PAGEREF _Toc434400941 \h </w:instrText>
      </w:r>
      <w:r w:rsidRPr="009D29F5">
        <w:fldChar w:fldCharType="separate"/>
      </w:r>
      <w:r>
        <w:t>1</w:t>
      </w:r>
      <w:r w:rsidRPr="009D29F5">
        <w:fldChar w:fldCharType="end"/>
      </w:r>
    </w:p>
    <w:p w:rsidR="00FF5B98" w:rsidRPr="009D29F5" w:rsidRDefault="00FF5B98" w:rsidP="00B546C4">
      <w:pPr>
        <w:pStyle w:val="TOC1"/>
        <w:rPr>
          <w:rFonts w:ascii="Calibri" w:hAnsi="Calibri"/>
          <w:caps w:val="0"/>
          <w:sz w:val="22"/>
          <w:szCs w:val="22"/>
        </w:rPr>
      </w:pPr>
      <w:r w:rsidRPr="009D29F5">
        <w:t>II.</w:t>
      </w:r>
      <w:r w:rsidRPr="009D29F5">
        <w:rPr>
          <w:rFonts w:ascii="Calibri" w:hAnsi="Calibri"/>
          <w:caps w:val="0"/>
          <w:sz w:val="22"/>
          <w:szCs w:val="22"/>
        </w:rPr>
        <w:tab/>
      </w:r>
      <w:r w:rsidRPr="009D29F5">
        <w:t>ARGUMENT</w:t>
      </w:r>
      <w:r w:rsidRPr="009D29F5">
        <w:tab/>
        <w:t>2</w:t>
      </w:r>
    </w:p>
    <w:p w:rsidR="00FF5B98" w:rsidRPr="009D29F5" w:rsidRDefault="00FF5B98" w:rsidP="008D036B">
      <w:pPr>
        <w:pStyle w:val="TOC2"/>
        <w:tabs>
          <w:tab w:val="left" w:pos="1080"/>
        </w:tabs>
        <w:rPr>
          <w:rFonts w:ascii="Calibri" w:hAnsi="Calibri"/>
          <w:sz w:val="22"/>
          <w:szCs w:val="22"/>
        </w:rPr>
      </w:pPr>
      <w:r w:rsidRPr="009D29F5">
        <w:t>A.</w:t>
      </w:r>
      <w:r w:rsidRPr="009D29F5">
        <w:rPr>
          <w:rFonts w:ascii="Calibri" w:hAnsi="Calibri"/>
          <w:sz w:val="22"/>
          <w:szCs w:val="22"/>
        </w:rPr>
        <w:tab/>
      </w:r>
      <w:r w:rsidRPr="009D29F5">
        <w:t>PSE'S "HISTORY" VS. ACTUAL LEGACIES.</w:t>
      </w:r>
      <w:r w:rsidRPr="009D29F5">
        <w:tab/>
        <w:t>2</w:t>
      </w:r>
    </w:p>
    <w:p w:rsidR="00FF5B98" w:rsidRDefault="00FF5B98" w:rsidP="00B546C4">
      <w:pPr>
        <w:pStyle w:val="TOC2"/>
        <w:tabs>
          <w:tab w:val="left" w:pos="1080"/>
        </w:tabs>
        <w:rPr>
          <w:rFonts w:ascii="Calibri" w:hAnsi="Calibri"/>
          <w:sz w:val="22"/>
          <w:szCs w:val="22"/>
        </w:rPr>
      </w:pPr>
      <w:r w:rsidRPr="009D29F5">
        <w:t>B.</w:t>
      </w:r>
      <w:r w:rsidRPr="009D29F5">
        <w:rPr>
          <w:rFonts w:ascii="Calibri" w:hAnsi="Calibri"/>
          <w:sz w:val="22"/>
          <w:szCs w:val="22"/>
        </w:rPr>
        <w:tab/>
      </w:r>
      <w:r w:rsidRPr="009D29F5">
        <w:t>COMPLICATING THE CONSUMER'S PROTECTION.</w:t>
      </w:r>
      <w:r>
        <w:tab/>
        <w:t>3</w:t>
      </w:r>
    </w:p>
    <w:p w:rsidR="00FF5B98" w:rsidRPr="00A06284" w:rsidRDefault="00FF5B98" w:rsidP="003A7D21">
      <w:pPr>
        <w:pStyle w:val="TOC2"/>
        <w:tabs>
          <w:tab w:val="left" w:pos="1080"/>
        </w:tabs>
        <w:rPr>
          <w:rFonts w:ascii="Calibri" w:hAnsi="Calibri"/>
          <w:sz w:val="22"/>
          <w:szCs w:val="22"/>
        </w:rPr>
      </w:pPr>
      <w:r>
        <w:t>C</w:t>
      </w:r>
      <w:r w:rsidRPr="00DE1F77">
        <w:t>.</w:t>
      </w:r>
      <w:r w:rsidRPr="00DE1F77">
        <w:rPr>
          <w:rFonts w:ascii="Calibri" w:hAnsi="Calibri"/>
          <w:sz w:val="22"/>
          <w:szCs w:val="22"/>
        </w:rPr>
        <w:tab/>
      </w:r>
      <w:r w:rsidRPr="00DE1F77">
        <w:t>AN ATTEMPT TO SIDESTEP LONGSTANDING POLICY.</w:t>
      </w:r>
      <w:r>
        <w:tab/>
        <w:t>4</w:t>
      </w:r>
    </w:p>
    <w:p w:rsidR="00FF5B98" w:rsidRDefault="00FF5B98" w:rsidP="00B546C4">
      <w:pPr>
        <w:pStyle w:val="TOC1"/>
        <w:rPr>
          <w:lang w:val="fr-FR"/>
        </w:rPr>
      </w:pPr>
      <w:r w:rsidRPr="0099207A">
        <w:rPr>
          <w:lang w:val="fr-FR"/>
        </w:rPr>
        <w:t>III.</w:t>
      </w:r>
      <w:r w:rsidRPr="0099207A">
        <w:rPr>
          <w:rFonts w:ascii="Calibri" w:hAnsi="Calibri"/>
          <w:caps w:val="0"/>
          <w:sz w:val="22"/>
          <w:szCs w:val="22"/>
          <w:lang w:val="fr-FR"/>
        </w:rPr>
        <w:tab/>
      </w:r>
      <w:r w:rsidRPr="009D29F5">
        <w:rPr>
          <w:lang w:val="fr-FR"/>
        </w:rPr>
        <w:t>CONCLUSION</w:t>
      </w:r>
      <w:r w:rsidRPr="0099207A">
        <w:rPr>
          <w:lang w:val="fr-FR"/>
        </w:rPr>
        <w:tab/>
      </w:r>
      <w:r>
        <w:rPr>
          <w:lang w:val="fr-FR"/>
        </w:rPr>
        <w:t>7</w:t>
      </w:r>
    </w:p>
    <w:p w:rsidR="00FF5B98" w:rsidRDefault="00FF5B98" w:rsidP="005720E0">
      <w:pPr>
        <w:rPr>
          <w:lang w:val="fr-FR"/>
        </w:rPr>
      </w:pPr>
    </w:p>
    <w:p w:rsidR="00FF5B98" w:rsidRDefault="00FF5B98" w:rsidP="005720E0">
      <w:pPr>
        <w:rPr>
          <w:lang w:val="fr-FR"/>
        </w:rPr>
      </w:pPr>
    </w:p>
    <w:p w:rsidR="00FF5B98" w:rsidRPr="005720E0" w:rsidRDefault="00FF5B98" w:rsidP="005720E0">
      <w:pPr>
        <w:rPr>
          <w:lang w:val="fr-FR"/>
        </w:rPr>
      </w:pPr>
    </w:p>
    <w:p w:rsidR="00FF5B98" w:rsidRPr="009D29F5" w:rsidRDefault="00FF5B98" w:rsidP="007E30A6">
      <w:pPr>
        <w:pStyle w:val="Heading1"/>
        <w:numPr>
          <w:ilvl w:val="0"/>
          <w:numId w:val="19"/>
        </w:numPr>
        <w:spacing w:before="0"/>
      </w:pPr>
      <w:r>
        <w:fldChar w:fldCharType="end"/>
      </w:r>
      <w:r w:rsidRPr="009D29F5">
        <w:t>INTRODUCTION</w:t>
      </w:r>
      <w:bookmarkEnd w:id="7"/>
    </w:p>
    <w:p w:rsidR="00FF5B98" w:rsidRPr="009D29F5" w:rsidRDefault="00FF5B98" w:rsidP="0056271A"/>
    <w:p w:rsidR="00FF5B98" w:rsidRDefault="00FF5B98" w:rsidP="00571023">
      <w:pPr>
        <w:pStyle w:val="ParNumber"/>
        <w:tabs>
          <w:tab w:val="clear" w:pos="360"/>
        </w:tabs>
        <w:spacing w:line="480" w:lineRule="auto"/>
        <w:ind w:left="0" w:hanging="720"/>
      </w:pPr>
      <w:r w:rsidRPr="009D29F5">
        <w:t>The Washington State Heating, Ventilation and Air Conditioning Contractor</w:t>
      </w:r>
      <w:r>
        <w:t xml:space="preserve">s Association (WSHVACCA) submits </w:t>
      </w:r>
      <w:r w:rsidRPr="009D29F5">
        <w:t>this reply brief responding to the initial brief of Puget Sound Energy (PSE).  WSHVACCA is only filing a limited reply brief because few new issues or arguments were raised in the parties’ initial briefs and WSHVACCA finds that Commission staff, Public Counsel, and Sheet Metal Cont</w:t>
      </w:r>
      <w:r>
        <w:t>ractors National Association – W</w:t>
      </w:r>
      <w:r w:rsidRPr="009D29F5">
        <w:t>estern Washington Chapter (SMACNA-WW) have more than adequately and properly addressed the legal issues regarding PSE’s proposed appliance leasing proposal.</w:t>
      </w:r>
    </w:p>
    <w:p w:rsidR="00FF5B98" w:rsidRPr="007E30A6" w:rsidRDefault="00FF5B98" w:rsidP="007E30A6">
      <w:pPr>
        <w:pStyle w:val="ParNumber"/>
        <w:tabs>
          <w:tab w:val="clear" w:pos="360"/>
        </w:tabs>
        <w:spacing w:line="480" w:lineRule="auto"/>
        <w:ind w:left="0" w:hanging="720"/>
      </w:pPr>
      <w:r w:rsidRPr="009D29F5">
        <w:t>WSHVACCA remains concerned, however, that PSE continues to misrepresent factual history a</w:t>
      </w:r>
      <w:r>
        <w:t>nd the meaning of that history</w:t>
      </w:r>
      <w:r w:rsidRPr="009D29F5">
        <w:t>, the complicated consumer protection morass</w:t>
      </w:r>
      <w:r>
        <w:t xml:space="preserve"> that the PSE proposal would create and its implications for the consumer</w:t>
      </w:r>
      <w:r w:rsidRPr="009D29F5">
        <w:t xml:space="preserve">, and that the fundamental </w:t>
      </w:r>
      <w:r>
        <w:t>and historic policies regarding monopolies and the free market that PSE is attempting to sidestep, that have failed to be fully and properly addressed in this adjudication.</w:t>
      </w:r>
      <w:r w:rsidRPr="009D29F5">
        <w:t xml:space="preserve"> </w:t>
      </w:r>
    </w:p>
    <w:p w:rsidR="00FF5B98" w:rsidRPr="007E30A6" w:rsidRDefault="00FF5B98" w:rsidP="00BC15B7">
      <w:pPr>
        <w:pStyle w:val="Heading1"/>
        <w:numPr>
          <w:ilvl w:val="0"/>
          <w:numId w:val="19"/>
        </w:numPr>
        <w:spacing w:before="0"/>
      </w:pPr>
      <w:r w:rsidRPr="007E30A6">
        <w:t>ARGUMENT</w:t>
      </w:r>
    </w:p>
    <w:p w:rsidR="00FF5B98" w:rsidRPr="000F068B" w:rsidRDefault="00FF5B98" w:rsidP="0056271A"/>
    <w:p w:rsidR="00FF5B98" w:rsidRPr="007E30A6" w:rsidRDefault="00FF5B98" w:rsidP="008F4585">
      <w:pPr>
        <w:pStyle w:val="Heading2"/>
        <w:numPr>
          <w:ilvl w:val="0"/>
          <w:numId w:val="22"/>
        </w:numPr>
        <w:spacing w:before="0"/>
        <w:jc w:val="center"/>
      </w:pPr>
      <w:r w:rsidRPr="007E30A6">
        <w:t>PSE’S “HISTORY” VS. ACTUAL LEGACIES</w:t>
      </w:r>
    </w:p>
    <w:p w:rsidR="00FF5B98" w:rsidRPr="007E30A6" w:rsidRDefault="00FF5B98" w:rsidP="00FC15BC"/>
    <w:p w:rsidR="00FF5B98" w:rsidRPr="007E30A6" w:rsidRDefault="00FF5B98" w:rsidP="00540706">
      <w:pPr>
        <w:pStyle w:val="ParNumber"/>
        <w:tabs>
          <w:tab w:val="clear" w:pos="360"/>
        </w:tabs>
        <w:spacing w:line="480" w:lineRule="auto"/>
        <w:ind w:left="0" w:hanging="720"/>
      </w:pPr>
      <w:r w:rsidRPr="007E30A6">
        <w:t>PSE now adds rental of timing devices in the 1940’s to its list of “comparable” activities that justify its appliance leasing program.</w:t>
      </w:r>
      <w:r w:rsidRPr="007E30A6">
        <w:rPr>
          <w:rStyle w:val="FootnoteReference"/>
        </w:rPr>
        <w:t xml:space="preserve"> </w:t>
      </w:r>
      <w:r w:rsidRPr="007E30A6">
        <w:rPr>
          <w:rStyle w:val="FootnoteReference"/>
        </w:rPr>
        <w:footnoteReference w:id="1"/>
      </w:r>
      <w:r w:rsidRPr="007E30A6">
        <w:t xml:space="preserve">  From timing devices to substations</w:t>
      </w:r>
      <w:r w:rsidRPr="007E30A6">
        <w:rPr>
          <w:rStyle w:val="FootnoteReference"/>
        </w:rPr>
        <w:footnoteReference w:id="2"/>
      </w:r>
      <w:r w:rsidRPr="007E30A6">
        <w:t>, however, the only actually comparable activities were the appliance merchandising and rental activities that the company gradually shed in the decade of the 1990’s- by its own admission, unable to cost-effectively continue.</w:t>
      </w:r>
      <w:r w:rsidRPr="007E30A6">
        <w:rPr>
          <w:rStyle w:val="FootnoteReference"/>
        </w:rPr>
        <w:t xml:space="preserve"> </w:t>
      </w:r>
      <w:r w:rsidRPr="007E30A6">
        <w:rPr>
          <w:rStyle w:val="FootnoteReference"/>
        </w:rPr>
        <w:footnoteReference w:id="3"/>
      </w:r>
      <w:r w:rsidRPr="007E30A6">
        <w:t xml:space="preserve"> </w:t>
      </w:r>
    </w:p>
    <w:p w:rsidR="00FF5B98" w:rsidRPr="007E30A6" w:rsidRDefault="00FF5B98" w:rsidP="00540706">
      <w:pPr>
        <w:pStyle w:val="ParNumber"/>
        <w:tabs>
          <w:tab w:val="clear" w:pos="360"/>
        </w:tabs>
        <w:spacing w:line="480" w:lineRule="auto"/>
        <w:ind w:left="0" w:hanging="720"/>
      </w:pPr>
      <w:r w:rsidRPr="007E30A6">
        <w:t>What is actually demonstrated by the history is not that PSE’s proposed leasing platform is simply a continuation of past activities, but that rather than being in error when staff urged the phasing out of the rental program in 1993</w:t>
      </w:r>
      <w:r w:rsidRPr="007E30A6">
        <w:rPr>
          <w:rStyle w:val="FootnoteReference"/>
        </w:rPr>
        <w:footnoteReference w:id="4"/>
      </w:r>
      <w:r w:rsidRPr="007E30A6">
        <w:t>, staff was prescient.  A five year phase-out as proposed by staff would have led to an orderly phase-out of the rental program as opposed to the existing problem of some 33,000 appliances</w:t>
      </w:r>
      <w:r w:rsidRPr="007E30A6">
        <w:rPr>
          <w:rStyle w:val="FootnoteReference"/>
        </w:rPr>
        <w:footnoteReference w:id="5"/>
      </w:r>
      <w:r w:rsidRPr="007E30A6">
        <w:t>, almost all past the company’s definition of “useful life”</w:t>
      </w:r>
      <w:r w:rsidRPr="007E30A6">
        <w:rPr>
          <w:rStyle w:val="FootnoteReference"/>
        </w:rPr>
        <w:t xml:space="preserve"> </w:t>
      </w:r>
      <w:r w:rsidRPr="007E30A6">
        <w:rPr>
          <w:rStyle w:val="FootnoteReference"/>
        </w:rPr>
        <w:footnoteReference w:id="6"/>
      </w:r>
      <w:r w:rsidRPr="007E30A6">
        <w:t xml:space="preserve"> and potentially dangerous per the company’s own witness</w:t>
      </w:r>
      <w:r w:rsidRPr="007E30A6">
        <w:rPr>
          <w:rStyle w:val="FootnoteReference"/>
        </w:rPr>
        <w:footnoteReference w:id="7"/>
      </w:r>
      <w:r w:rsidRPr="007E30A6">
        <w:t>, with no plan by the company to address the problem other than to hopefully fold it into the new program.</w:t>
      </w:r>
      <w:r w:rsidRPr="007E30A6">
        <w:rPr>
          <w:rStyle w:val="FootnoteReference"/>
        </w:rPr>
        <w:t xml:space="preserve"> </w:t>
      </w:r>
      <w:r w:rsidRPr="007E30A6">
        <w:rPr>
          <w:rStyle w:val="FootnoteReference"/>
        </w:rPr>
        <w:footnoteReference w:id="8"/>
      </w:r>
    </w:p>
    <w:p w:rsidR="00FF5B98" w:rsidRDefault="00FF5B98" w:rsidP="009D29F5">
      <w:pPr>
        <w:pStyle w:val="ParNumber"/>
        <w:tabs>
          <w:tab w:val="clear" w:pos="360"/>
        </w:tabs>
        <w:spacing w:line="480" w:lineRule="auto"/>
        <w:ind w:left="0" w:hanging="720"/>
      </w:pPr>
      <w:r w:rsidRPr="007E30A6">
        <w:t>In contrast to this “legacy” left by the company, the actual data and charts from the Northwest Energy Efficiency Alliance</w:t>
      </w:r>
      <w:r w:rsidRPr="007E30A6">
        <w:rPr>
          <w:rStyle w:val="FootnoteReference"/>
        </w:rPr>
        <w:footnoteReference w:id="9"/>
      </w:r>
      <w:r w:rsidRPr="007E30A6">
        <w:t xml:space="preserve"> show a very successful free market delivering hundreds of thousands of energy efficient, well within useful life water heaters and HVAC appliances</w:t>
      </w:r>
      <w:r w:rsidRPr="007E30A6">
        <w:rPr>
          <w:rStyle w:val="FootnoteReference"/>
        </w:rPr>
        <w:t xml:space="preserve"> </w:t>
      </w:r>
      <w:r w:rsidRPr="007E30A6">
        <w:rPr>
          <w:rStyle w:val="FootnoteReference"/>
        </w:rPr>
        <w:footnoteReference w:id="10"/>
      </w:r>
      <w:r w:rsidRPr="007E30A6">
        <w:t>- a much better legacy.</w:t>
      </w:r>
    </w:p>
    <w:p w:rsidR="00FF5B98" w:rsidRPr="001E602F" w:rsidRDefault="00FF5B98" w:rsidP="00D544FE">
      <w:pPr>
        <w:pStyle w:val="ParNumber"/>
        <w:tabs>
          <w:tab w:val="clear" w:pos="360"/>
        </w:tabs>
        <w:spacing w:line="480" w:lineRule="auto"/>
        <w:ind w:left="0" w:hanging="720"/>
      </w:pPr>
      <w:r w:rsidRPr="00D544FE">
        <w:t>In addition, the free market has delivered technological innovation leading to a wide range of products suitable to varying customer needs</w:t>
      </w:r>
      <w:r w:rsidRPr="001E602F">
        <w:rPr>
          <w:rStyle w:val="FootnoteReference"/>
        </w:rPr>
        <w:footnoteReference w:id="11"/>
      </w:r>
      <w:r w:rsidRPr="001E602F">
        <w:t>, made available to the consumer without the cumbersome and lengthy process that would be required for PSE under its proposal.</w:t>
      </w:r>
      <w:r w:rsidRPr="001E602F">
        <w:rPr>
          <w:rStyle w:val="FootnoteReference"/>
        </w:rPr>
        <w:t xml:space="preserve"> </w:t>
      </w:r>
      <w:r w:rsidRPr="001E602F">
        <w:rPr>
          <w:rStyle w:val="FootnoteReference"/>
        </w:rPr>
        <w:footnoteReference w:id="12"/>
      </w:r>
    </w:p>
    <w:p w:rsidR="00FF5B98" w:rsidRPr="001E602F" w:rsidRDefault="00FF5B98" w:rsidP="00EF04A8">
      <w:pPr>
        <w:pStyle w:val="Heading2"/>
        <w:numPr>
          <w:ilvl w:val="0"/>
          <w:numId w:val="22"/>
        </w:numPr>
        <w:spacing w:before="0" w:after="240"/>
        <w:jc w:val="center"/>
      </w:pPr>
      <w:r w:rsidRPr="001E602F">
        <w:t>COMPLICATING THE CONSUMER’S PROTECTION</w:t>
      </w:r>
    </w:p>
    <w:p w:rsidR="00FF5B98" w:rsidRPr="001E602F" w:rsidRDefault="00FF5B98" w:rsidP="00F91E8A">
      <w:pPr>
        <w:pStyle w:val="ParNumber"/>
        <w:tabs>
          <w:tab w:val="clear" w:pos="360"/>
          <w:tab w:val="num" w:pos="720"/>
        </w:tabs>
        <w:spacing w:line="480" w:lineRule="auto"/>
        <w:ind w:left="0" w:hanging="720"/>
      </w:pPr>
      <w:r w:rsidRPr="001E602F">
        <w:t>In its initial brief, PSE claims “PSE’s leasing service will be subject to the Commission’s consumer protection oversight in its leasing service just as it is in every other aspect of its business.”</w:t>
      </w:r>
      <w:r w:rsidRPr="001E602F">
        <w:rPr>
          <w:rStyle w:val="FootnoteReference"/>
        </w:rPr>
        <w:t xml:space="preserve"> </w:t>
      </w:r>
      <w:r w:rsidRPr="001E602F">
        <w:rPr>
          <w:rStyle w:val="FootnoteReference"/>
        </w:rPr>
        <w:footnoteReference w:id="13"/>
      </w:r>
      <w:r w:rsidRPr="001E602F">
        <w:tab/>
        <w:t>Unfortunately, PSE vastly overstates its position, as many of the company’s activities are outside of the regulatory umbrella of the Commission- including PSE’s Contractor Alliance Network, an essential part of the PSE leasing program, but not a part of the PSE proposed leasing proposal in before the Commission.</w:t>
      </w:r>
    </w:p>
    <w:p w:rsidR="00FF5B98" w:rsidRPr="001E602F" w:rsidRDefault="00FF5B98" w:rsidP="00F91E8A">
      <w:pPr>
        <w:pStyle w:val="ParNumber"/>
        <w:tabs>
          <w:tab w:val="clear" w:pos="360"/>
          <w:tab w:val="num" w:pos="720"/>
        </w:tabs>
        <w:spacing w:line="480" w:lineRule="auto"/>
        <w:ind w:left="0" w:hanging="720"/>
      </w:pPr>
      <w:r w:rsidRPr="001E602F">
        <w:t>In fact, the tangled web of relationships PSE proposes to create will fall mostly outside the Commission’s jurisdiction- including the consumer-to-contractor relationship, the consumer-to-supplier/manufacturer relationship, the utility-to-contractor relationship, the utility-to-supplier/manufacturer relationship, and the contractor-to-supplier/manufacturer relationship.  All of these relationships will be subject to the state Consumer Protection Act rather than the Commission’s regulatory authority.</w:t>
      </w:r>
    </w:p>
    <w:p w:rsidR="00FF5B98" w:rsidRDefault="00FF5B98" w:rsidP="00F91E8A">
      <w:pPr>
        <w:pStyle w:val="ParNumber"/>
        <w:tabs>
          <w:tab w:val="clear" w:pos="360"/>
          <w:tab w:val="num" w:pos="720"/>
        </w:tabs>
        <w:spacing w:line="480" w:lineRule="auto"/>
        <w:ind w:left="0" w:hanging="720"/>
      </w:pPr>
      <w:r w:rsidRPr="001E602F">
        <w:t>It should be easy to see how the consumer can all too easily fall into the gaps in this web.  PSE has stated that for a large portion of its ratepayer base the decision-making process “</w:t>
      </w:r>
      <w:r>
        <w:t xml:space="preserve">can be overwhelming” and these customers can be “paralyzed” by this </w:t>
      </w:r>
      <w:r w:rsidRPr="005E61A9">
        <w:t>process.</w:t>
      </w:r>
      <w:r w:rsidRPr="005E61A9">
        <w:rPr>
          <w:rStyle w:val="FootnoteReference"/>
        </w:rPr>
        <w:t xml:space="preserve"> </w:t>
      </w:r>
      <w:r w:rsidRPr="005E61A9">
        <w:rPr>
          <w:rStyle w:val="FootnoteReference"/>
        </w:rPr>
        <w:footnoteReference w:id="14"/>
      </w:r>
      <w:r w:rsidRPr="005E61A9">
        <w:t xml:space="preserve"> How well do we expect these consumers to navigate a complicated consumer protection array?</w:t>
      </w:r>
    </w:p>
    <w:p w:rsidR="00FF5B98" w:rsidRDefault="00FF5B98" w:rsidP="00F91E8A">
      <w:pPr>
        <w:pStyle w:val="ParNumber"/>
        <w:tabs>
          <w:tab w:val="clear" w:pos="360"/>
          <w:tab w:val="num" w:pos="720"/>
        </w:tabs>
        <w:spacing w:line="480" w:lineRule="auto"/>
        <w:ind w:left="0" w:hanging="720"/>
      </w:pPr>
      <w:r w:rsidRPr="005E61A9">
        <w:t>The doublespeak consistently engaged in is epitomized by the contrast in PSE’s assertions regarding the consumer being protected, and the admission in its brief that “</w:t>
      </w:r>
      <w:r w:rsidRPr="00D67EB8">
        <w:t>PSE’s Disclaimer of Warranty is a standard contractual provision providing that since PSE, “being neither the manufacturer, nor a supplier, nor a dealer in the equipment,”</w:t>
      </w:r>
      <w:r w:rsidRPr="00D67EB8">
        <w:rPr>
          <w:rStyle w:val="FootnoteReference"/>
        </w:rPr>
        <w:footnoteReference w:id="15"/>
      </w:r>
      <w:r w:rsidRPr="00D67EB8">
        <w:t xml:space="preserve"> cannot make any guarantees regarding the condition or merchantability of the equipment, and cannot be </w:t>
      </w:r>
      <w:r w:rsidRPr="001E602F">
        <w:t>not</w:t>
      </w:r>
      <w:r>
        <w:t xml:space="preserve"> (sic)</w:t>
      </w:r>
      <w:r w:rsidRPr="00D67EB8">
        <w:t xml:space="preserve"> liable if </w:t>
      </w:r>
      <w:r w:rsidRPr="00A40157">
        <w:t>because of a defect in the equipment, a customer suffers damages or loss.</w:t>
      </w:r>
      <w:r w:rsidRPr="00A40157">
        <w:rPr>
          <w:rStyle w:val="FootnoteReference"/>
        </w:rPr>
        <w:footnoteReference w:id="16"/>
      </w:r>
      <w:r w:rsidRPr="00A40157">
        <w:t xml:space="preserve">” </w:t>
      </w:r>
      <w:r w:rsidRPr="00A40157">
        <w:rPr>
          <w:rStyle w:val="FootnoteReference"/>
        </w:rPr>
        <w:footnoteReference w:id="17"/>
      </w:r>
      <w:r>
        <w:t xml:space="preserve"> </w:t>
      </w:r>
    </w:p>
    <w:p w:rsidR="00FF5B98" w:rsidRPr="00483180" w:rsidRDefault="00FF5B98" w:rsidP="00F91E8A">
      <w:pPr>
        <w:pStyle w:val="ParNumber"/>
        <w:tabs>
          <w:tab w:val="clear" w:pos="360"/>
          <w:tab w:val="num" w:pos="720"/>
        </w:tabs>
        <w:spacing w:line="480" w:lineRule="auto"/>
        <w:ind w:left="0" w:hanging="720"/>
      </w:pPr>
      <w:r w:rsidRPr="00A40157">
        <w:t xml:space="preserve">PSE then chooses to limit its liability to repair or replacement if the equipment </w:t>
      </w:r>
      <w:r w:rsidRPr="000D460F">
        <w:t>fails</w:t>
      </w:r>
      <w:r w:rsidRPr="000D460F">
        <w:rPr>
          <w:rStyle w:val="FootnoteReference"/>
        </w:rPr>
        <w:footnoteReference w:id="18"/>
      </w:r>
      <w:r w:rsidRPr="000D460F">
        <w:t xml:space="preserve">   That is a far more limited liability than would be provided in the free market, but is similar to the position PSE has taken on its legacy renting program.</w:t>
      </w:r>
      <w:r w:rsidRPr="000D460F">
        <w:rPr>
          <w:rStyle w:val="Heading3Char"/>
        </w:rPr>
        <w:t xml:space="preserve"> </w:t>
      </w:r>
      <w:r w:rsidRPr="000D460F">
        <w:rPr>
          <w:rStyle w:val="FootnoteReference"/>
        </w:rPr>
        <w:footnoteReference w:id="19"/>
      </w:r>
    </w:p>
    <w:p w:rsidR="00FF5B98" w:rsidRPr="000F068B" w:rsidRDefault="00FF5B98" w:rsidP="00D5316F">
      <w:pPr>
        <w:pStyle w:val="Heading2"/>
        <w:numPr>
          <w:ilvl w:val="0"/>
          <w:numId w:val="22"/>
        </w:numPr>
        <w:spacing w:before="0" w:after="240"/>
        <w:jc w:val="center"/>
      </w:pPr>
      <w:r>
        <w:t>AN ATTEMPT TO SIDESTEP LONGSTANDING POLICY</w:t>
      </w:r>
    </w:p>
    <w:p w:rsidR="00FF5B98" w:rsidRPr="000F1ED5" w:rsidRDefault="00FF5B98" w:rsidP="0093437E">
      <w:pPr>
        <w:pStyle w:val="ParNumber"/>
        <w:tabs>
          <w:tab w:val="clear" w:pos="360"/>
          <w:tab w:val="num" w:pos="720"/>
        </w:tabs>
        <w:spacing w:line="480" w:lineRule="auto"/>
        <w:ind w:left="0" w:hanging="720"/>
      </w:pPr>
      <w:r w:rsidRPr="000F1ED5">
        <w:t>Puget Sound Energy has sought to justify its appliance leasing program by claiming that there is historic justification for the program.  However, just as long-standing encroachment on public property will not lead to a valid claim of adverse possession</w:t>
      </w:r>
      <w:r w:rsidRPr="000F1ED5">
        <w:rPr>
          <w:rStyle w:val="FootnoteReference"/>
        </w:rPr>
        <w:footnoteReference w:id="20"/>
      </w:r>
      <w:r w:rsidRPr="000F1ED5">
        <w:t xml:space="preserve">, this PSE argument is not valid.  </w:t>
      </w:r>
    </w:p>
    <w:p w:rsidR="00FF5B98" w:rsidRPr="000F1ED5" w:rsidRDefault="00FF5B98" w:rsidP="0093437E">
      <w:pPr>
        <w:pStyle w:val="ParNumber"/>
        <w:tabs>
          <w:tab w:val="clear" w:pos="360"/>
          <w:tab w:val="num" w:pos="720"/>
        </w:tabs>
        <w:spacing w:line="480" w:lineRule="auto"/>
        <w:ind w:left="0" w:hanging="720"/>
      </w:pPr>
      <w:r w:rsidRPr="000F1ED5">
        <w:t xml:space="preserve">Much has been made in this adjudication regarding </w:t>
      </w:r>
      <w:r w:rsidRPr="000F1ED5">
        <w:rPr>
          <w:i/>
        </w:rPr>
        <w:t>Cole</w:t>
      </w:r>
      <w:r w:rsidRPr="000F1ED5">
        <w:rPr>
          <w:rStyle w:val="FootnoteReference"/>
        </w:rPr>
        <w:footnoteReference w:id="21"/>
      </w:r>
      <w:r w:rsidRPr="000F1ED5">
        <w:t>, but the central truth is not that leasing is something the Commission and the Court have decreed must be allowed, but that the Commission has been granted great power, and its proper use of that power will be upheld by the courts.</w:t>
      </w:r>
    </w:p>
    <w:p w:rsidR="00FF5B98" w:rsidRPr="000F1ED5" w:rsidRDefault="00FF5B98" w:rsidP="0093437E">
      <w:pPr>
        <w:pStyle w:val="ParNumber"/>
        <w:tabs>
          <w:tab w:val="clear" w:pos="360"/>
          <w:tab w:val="num" w:pos="720"/>
        </w:tabs>
        <w:spacing w:line="480" w:lineRule="auto"/>
        <w:ind w:left="0" w:hanging="720"/>
      </w:pPr>
      <w:r w:rsidRPr="000F1ED5">
        <w:t>From the post- Civil War regulation of the railroads (Interstate Commerce Act (1887), Elkins Act (1903), Hepburn Act (1906)),  through the Sherman Act (1890), the Clayton Act (1914), and the Federal Trade Commission Act (1914), until today, the clear, bipartisan policies of the federal government has been to promote free markets, and tolerate and strongly regulate necessary monopolies, while prohibiting other monopoly power.</w:t>
      </w:r>
      <w:r w:rsidRPr="000F1ED5">
        <w:rPr>
          <w:rStyle w:val="FootnoteReference"/>
        </w:rPr>
        <w:t xml:space="preserve"> </w:t>
      </w:r>
      <w:r w:rsidRPr="000F1ED5">
        <w:rPr>
          <w:rStyle w:val="FootnoteReference"/>
        </w:rPr>
        <w:footnoteReference w:id="22"/>
      </w:r>
    </w:p>
    <w:p w:rsidR="00FF5B98" w:rsidRDefault="00FF5B98" w:rsidP="0093437E">
      <w:pPr>
        <w:pStyle w:val="ParNumber"/>
        <w:tabs>
          <w:tab w:val="clear" w:pos="360"/>
          <w:tab w:val="num" w:pos="720"/>
        </w:tabs>
        <w:spacing w:line="480" w:lineRule="auto"/>
        <w:ind w:left="0" w:hanging="720"/>
      </w:pPr>
      <w:r w:rsidRPr="000F1ED5">
        <w:t xml:space="preserve">In the state of </w:t>
      </w:r>
      <w:smartTag w:uri="urn:schemas-microsoft-com:office:smarttags" w:element="PlaceType">
        <w:smartTag w:uri="urn:schemas-microsoft-com:office:smarttags" w:element="place">
          <w:smartTag w:uri="urn:schemas-microsoft-com:office:smarttags" w:element="State">
            <w:r w:rsidRPr="000F1ED5">
              <w:t>Washington</w:t>
            </w:r>
          </w:smartTag>
        </w:smartTag>
      </w:smartTag>
      <w:r w:rsidRPr="000F1ED5">
        <w:t>, after years of legislative regulation of the railroads, the Legislature, in 1905, created the Railroad Commission.  In 1911, the Commission was expanded into the Public Service Commission, and began the state regulation of energy utilities.</w:t>
      </w:r>
      <w:r w:rsidRPr="000F1ED5">
        <w:rPr>
          <w:rStyle w:val="FootnoteReference"/>
        </w:rPr>
        <w:t xml:space="preserve"> </w:t>
      </w:r>
      <w:r w:rsidRPr="000F1ED5">
        <w:rPr>
          <w:rStyle w:val="FootnoteReference"/>
        </w:rPr>
        <w:footnoteReference w:id="23"/>
      </w:r>
      <w:r w:rsidRPr="000F1ED5">
        <w:t xml:space="preserve">  The Public Service Commission was the predecessor agency to, today’s Utilities and Transportation Commission.</w:t>
      </w:r>
    </w:p>
    <w:p w:rsidR="00FF5B98" w:rsidRPr="000F1ED5" w:rsidRDefault="00FF5B98" w:rsidP="000F1ED5">
      <w:pPr>
        <w:pStyle w:val="ParNumber"/>
        <w:tabs>
          <w:tab w:val="clear" w:pos="360"/>
          <w:tab w:val="num" w:pos="720"/>
        </w:tabs>
        <w:spacing w:line="480" w:lineRule="auto"/>
        <w:ind w:left="0" w:hanging="720"/>
      </w:pPr>
      <w:r w:rsidRPr="000F1ED5">
        <w:t>In recent decades, those governmental policies have supported free market</w:t>
      </w:r>
      <w:r>
        <w:t xml:space="preserve"> displacement of monopolies whenever feasible- in transportation, in telecommunications, and anywhere else that free market emergence has shown itself able to meet consumer needs.</w:t>
      </w:r>
      <w:r w:rsidRPr="00035123">
        <w:rPr>
          <w:rStyle w:val="FootnoteReference"/>
        </w:rPr>
        <w:t xml:space="preserve"> </w:t>
      </w:r>
      <w:r w:rsidRPr="00035123">
        <w:rPr>
          <w:rStyle w:val="FootnoteReference"/>
        </w:rPr>
        <w:footnoteReference w:id="24"/>
      </w:r>
    </w:p>
    <w:p w:rsidR="00FF5B98" w:rsidRPr="00927471" w:rsidRDefault="00FF5B98" w:rsidP="00106943">
      <w:pPr>
        <w:pStyle w:val="ParNumber"/>
        <w:tabs>
          <w:tab w:val="clear" w:pos="360"/>
        </w:tabs>
        <w:spacing w:line="480" w:lineRule="auto"/>
        <w:ind w:left="0" w:hanging="720"/>
      </w:pPr>
      <w:r w:rsidRPr="00927471">
        <w:t>The public service laws were created to inhibit monopoly power in those unavoidable situations where it necessarily has to exist.  But as was seen with the telecom industry, great benefit flows from the free market moving into previously monopoly territory, not the other way around.  If PSE wants to turn the public service laws on their head, that is a much larger policy question than is appropriate in this limited adjudication, with many more necessary stakeholders to be involved.</w:t>
      </w:r>
      <w:r w:rsidRPr="00927471">
        <w:tab/>
      </w:r>
    </w:p>
    <w:p w:rsidR="00FF5B98" w:rsidRPr="00927471" w:rsidRDefault="00FF5B98" w:rsidP="00927471">
      <w:pPr>
        <w:pStyle w:val="ParNumber"/>
        <w:tabs>
          <w:tab w:val="clear" w:pos="360"/>
          <w:tab w:val="num" w:pos="720"/>
        </w:tabs>
        <w:spacing w:line="480" w:lineRule="auto"/>
        <w:ind w:left="0" w:hanging="720"/>
      </w:pPr>
      <w:r w:rsidRPr="00927471">
        <w:t>PSE has chosen to avoid the fundamental policy discussion, seeking an endorsement of the Commission for the extension of monopoly power into a competitive free market for the first time, through a ratemaking process.  This would set an unfortunate precedent, and the many stakeholders appropriately interested in such a major change in policy would not only not have been allowed to be involved, even those who have been involved have had their voices inappropriately muted and limited.</w:t>
      </w:r>
    </w:p>
    <w:p w:rsidR="00FF5B98" w:rsidRPr="00927471" w:rsidRDefault="00FF5B98" w:rsidP="00106943">
      <w:pPr>
        <w:pStyle w:val="ParNumber"/>
        <w:tabs>
          <w:tab w:val="clear" w:pos="360"/>
        </w:tabs>
        <w:spacing w:line="480" w:lineRule="auto"/>
        <w:ind w:left="0" w:hanging="720"/>
      </w:pPr>
      <w:r w:rsidRPr="00927471">
        <w:t>Such policy making should be conducted through rule-making in accordance with Chapter 34.05 RCW (the Administrative Procedures Act) if not deferred to the Legislature.</w:t>
      </w:r>
    </w:p>
    <w:p w:rsidR="00FF5B98" w:rsidRPr="00927471" w:rsidRDefault="00FF5B98" w:rsidP="0034490C">
      <w:pPr>
        <w:pStyle w:val="Heading1"/>
        <w:spacing w:before="0" w:after="240"/>
      </w:pPr>
      <w:bookmarkStart w:id="9" w:name="_Toc434400967"/>
      <w:r w:rsidRPr="00927471">
        <w:t>CONCLUSION</w:t>
      </w:r>
      <w:bookmarkEnd w:id="9"/>
    </w:p>
    <w:p w:rsidR="00FF5B98" w:rsidRPr="00927471" w:rsidRDefault="00FF5B98" w:rsidP="00D73E87">
      <w:pPr>
        <w:pStyle w:val="ParNumber"/>
        <w:tabs>
          <w:tab w:val="clear" w:pos="360"/>
        </w:tabs>
        <w:spacing w:line="480" w:lineRule="auto"/>
        <w:ind w:left="0" w:hanging="720"/>
      </w:pPr>
      <w:r w:rsidRPr="00927471">
        <w:t>Puget Sound Energy has failed to demonstrate that its Appliance Leasing Proposal would be more effective or efficient than the market has been in placing appropriate water heaters and HVAC appliances in the homes of consumers, and the objective data suggests just the opposite.</w:t>
      </w:r>
    </w:p>
    <w:p w:rsidR="00FF5B98" w:rsidRPr="00927471" w:rsidRDefault="00FF5B98" w:rsidP="00D73E87">
      <w:pPr>
        <w:pStyle w:val="ParNumber"/>
        <w:tabs>
          <w:tab w:val="clear" w:pos="360"/>
        </w:tabs>
        <w:spacing w:line="480" w:lineRule="auto"/>
        <w:ind w:left="0" w:hanging="720"/>
      </w:pPr>
      <w:r w:rsidRPr="00927471">
        <w:t>In addition, the increased complexity of consumer protection created by the mix of regulated and unregulated relationships necessary to implement the proposal, and the places ratepayers at risk.</w:t>
      </w:r>
    </w:p>
    <w:p w:rsidR="00FF5B98" w:rsidRPr="000F068B" w:rsidRDefault="00FF5B98" w:rsidP="00D73E87">
      <w:pPr>
        <w:pStyle w:val="ParNumber"/>
        <w:tabs>
          <w:tab w:val="clear" w:pos="360"/>
        </w:tabs>
        <w:spacing w:line="480" w:lineRule="auto"/>
        <w:ind w:left="0" w:hanging="720"/>
      </w:pPr>
      <w:r>
        <w:t>Finally, PSE’s proposal represents a radical new policy departure that, at a minimum, should be the subject of rulemaking- if not deferred to the Legislature.  The Washington State Heating, Ventilation and Air Conditioning Contractors Association respectfully requests that the Commission reject the proposal.</w:t>
      </w:r>
    </w:p>
    <w:p w:rsidR="00FF5B98" w:rsidRPr="000F068B" w:rsidRDefault="00FF5B98" w:rsidP="00C1073A">
      <w:pPr>
        <w:pStyle w:val="CourtName"/>
        <w:spacing w:line="480" w:lineRule="exact"/>
        <w:ind w:firstLine="720"/>
        <w:jc w:val="left"/>
      </w:pPr>
    </w:p>
    <w:p w:rsidR="00FF5B98" w:rsidRPr="000F068B" w:rsidRDefault="00FF5B98" w:rsidP="00C1073A">
      <w:pPr>
        <w:pStyle w:val="CourtName"/>
        <w:spacing w:line="480" w:lineRule="exact"/>
        <w:ind w:firstLine="720"/>
        <w:jc w:val="left"/>
      </w:pPr>
      <w:r w:rsidRPr="000F068B">
        <w:t xml:space="preserve">DATED this </w:t>
      </w:r>
      <w:r>
        <w:t>19</w:t>
      </w:r>
      <w:r w:rsidRPr="000F068B">
        <w:t xml:space="preserve">th day of </w:t>
      </w:r>
      <w:r>
        <w:t>September, 2016</w:t>
      </w:r>
      <w:r w:rsidRPr="000F068B">
        <w:t>.</w:t>
      </w:r>
    </w:p>
    <w:p w:rsidR="00FF5B98" w:rsidRPr="000F068B" w:rsidRDefault="00FF5B98" w:rsidP="00C1073A">
      <w:pPr>
        <w:pStyle w:val="CourtName"/>
        <w:spacing w:line="480" w:lineRule="exact"/>
        <w:ind w:firstLine="720"/>
        <w:jc w:val="left"/>
      </w:pPr>
    </w:p>
    <w:p w:rsidR="00FF5B98" w:rsidRPr="000F068B" w:rsidRDefault="00FF5B98" w:rsidP="00C1073A">
      <w:pPr>
        <w:ind w:left="2160"/>
      </w:pPr>
      <w:r w:rsidRPr="000F068B">
        <w:tab/>
      </w:r>
      <w:r w:rsidRPr="000F068B">
        <w:tab/>
      </w:r>
      <w:r w:rsidRPr="000F068B">
        <w:tab/>
      </w:r>
      <w:r w:rsidRPr="000F068B">
        <w:tab/>
      </w:r>
    </w:p>
    <w:p w:rsidR="00FF5B98" w:rsidRPr="000F068B" w:rsidRDefault="00FF5B98" w:rsidP="00C1073A">
      <w:pPr>
        <w:ind w:left="2160"/>
      </w:pPr>
    </w:p>
    <w:p w:rsidR="00FF5B98" w:rsidRPr="000F068B" w:rsidRDefault="00FF5B98" w:rsidP="00C1073A">
      <w:pPr>
        <w:ind w:left="2160"/>
      </w:pPr>
    </w:p>
    <w:p w:rsidR="00FF5B98" w:rsidRPr="000F068B" w:rsidRDefault="00FF5B98" w:rsidP="00C1073A">
      <w:pPr>
        <w:ind w:left="2160"/>
      </w:pPr>
      <w:r w:rsidRPr="000F068B">
        <w:tab/>
      </w:r>
      <w:r w:rsidRPr="000F068B">
        <w:tab/>
      </w:r>
      <w:r w:rsidRPr="000F068B">
        <w:tab/>
      </w:r>
      <w:r w:rsidRPr="000F068B">
        <w:tab/>
      </w:r>
      <w:r>
        <w:t>James L. King, Jr.</w:t>
      </w:r>
    </w:p>
    <w:p w:rsidR="00FF5B98" w:rsidRPr="000F068B" w:rsidRDefault="00FF5B98" w:rsidP="00C1073A">
      <w:pPr>
        <w:ind w:left="2160"/>
      </w:pPr>
      <w:r w:rsidRPr="000F068B">
        <w:tab/>
      </w:r>
      <w:r w:rsidRPr="000F068B">
        <w:tab/>
      </w:r>
      <w:r w:rsidRPr="000F068B">
        <w:tab/>
      </w:r>
      <w:r w:rsidRPr="000F068B">
        <w:tab/>
      </w:r>
      <w:r>
        <w:t>Representative</w:t>
      </w:r>
    </w:p>
    <w:p w:rsidR="00FF5B98" w:rsidRPr="00D50CA6" w:rsidRDefault="00FF5B98" w:rsidP="004A0AE0">
      <w:pPr>
        <w:ind w:left="5040" w:hanging="2880"/>
      </w:pPr>
      <w:r>
        <w:tab/>
        <w:t>Washington State Heating, Ventilation and Air Conditioning Contractors Association</w:t>
      </w:r>
    </w:p>
    <w:sectPr w:rsidR="00FF5B98" w:rsidRPr="00D50CA6" w:rsidSect="00825FA3">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B98" w:rsidRDefault="00FF5B98">
      <w:r>
        <w:separator/>
      </w:r>
    </w:p>
  </w:endnote>
  <w:endnote w:type="continuationSeparator" w:id="0">
    <w:p w:rsidR="00FF5B98" w:rsidRDefault="00FF5B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B98" w:rsidRDefault="00FF5B98"/>
  <w:tbl>
    <w:tblPr>
      <w:tblW w:w="0" w:type="auto"/>
      <w:tblInd w:w="108" w:type="dxa"/>
      <w:tblLayout w:type="fixed"/>
      <w:tblLook w:val="0000"/>
    </w:tblPr>
    <w:tblGrid>
      <w:gridCol w:w="2574"/>
      <w:gridCol w:w="2520"/>
    </w:tblGrid>
    <w:tr w:rsidR="00FF5B98" w:rsidTr="001A6BEB">
      <w:tc>
        <w:tcPr>
          <w:tcW w:w="3870" w:type="dxa"/>
        </w:tcPr>
        <w:p w:rsidR="00FF5B98" w:rsidRPr="00156580" w:rsidRDefault="00FF5B98">
          <w:pPr>
            <w:pStyle w:val="Footer"/>
            <w:rPr>
              <w:caps/>
              <w:szCs w:val="20"/>
            </w:rPr>
          </w:pPr>
          <w:r>
            <w:rPr>
              <w:caps/>
              <w:szCs w:val="20"/>
            </w:rPr>
            <w:t xml:space="preserve">Post- Hearing REPLY </w:t>
          </w:r>
          <w:r w:rsidRPr="00156580">
            <w:rPr>
              <w:caps/>
              <w:szCs w:val="20"/>
            </w:rPr>
            <w:t xml:space="preserve">BRIEF OF </w:t>
          </w:r>
          <w:r>
            <w:rPr>
              <w:caps/>
              <w:szCs w:val="20"/>
            </w:rPr>
            <w:t>WSHVACCA</w:t>
          </w:r>
        </w:p>
        <w:p w:rsidR="00FF5B98" w:rsidRPr="00A14CC6" w:rsidRDefault="00FF5B98">
          <w:pPr>
            <w:pStyle w:val="Footer"/>
            <w:rPr>
              <w:i/>
              <w:szCs w:val="20"/>
            </w:rPr>
          </w:pPr>
          <w:r w:rsidRPr="00156580">
            <w:rPr>
              <w:caps/>
              <w:szCs w:val="20"/>
            </w:rPr>
            <w:t>DOCKETs ue-15</w:t>
          </w:r>
          <w:r>
            <w:rPr>
              <w:caps/>
              <w:szCs w:val="20"/>
            </w:rPr>
            <w:t>1871</w:t>
          </w:r>
          <w:r w:rsidRPr="00156580">
            <w:rPr>
              <w:caps/>
              <w:szCs w:val="20"/>
            </w:rPr>
            <w:t xml:space="preserve"> &amp; UG-15</w:t>
          </w:r>
          <w:r>
            <w:rPr>
              <w:caps/>
              <w:szCs w:val="20"/>
            </w:rPr>
            <w:t>1872 (</w:t>
          </w:r>
          <w:r>
            <w:rPr>
              <w:i/>
              <w:szCs w:val="20"/>
            </w:rPr>
            <w:t>Consolidated)</w:t>
          </w:r>
        </w:p>
        <w:p w:rsidR="00FF5B98" w:rsidRPr="00156580" w:rsidRDefault="00FF5B98">
          <w:pPr>
            <w:pStyle w:val="Footer"/>
            <w:rPr>
              <w:caps/>
              <w:szCs w:val="20"/>
            </w:rPr>
          </w:pPr>
        </w:p>
      </w:tc>
      <w:tc>
        <w:tcPr>
          <w:tcW w:w="2520" w:type="dxa"/>
        </w:tcPr>
        <w:p w:rsidR="00FF5B98" w:rsidRPr="00156580" w:rsidRDefault="00FF5B98" w:rsidP="00571023">
          <w:pPr>
            <w:pStyle w:val="Footer"/>
            <w:jc w:val="center"/>
            <w:rPr>
              <w:szCs w:val="20"/>
            </w:rPr>
          </w:pPr>
          <w:r w:rsidRPr="00156580">
            <w:rPr>
              <w:szCs w:val="20"/>
            </w:rPr>
            <w:fldChar w:fldCharType="begin"/>
          </w:r>
          <w:r w:rsidRPr="00156580">
            <w:rPr>
              <w:szCs w:val="20"/>
            </w:rPr>
            <w:instrText xml:space="preserve"> PAGE  \* MERGEFORMAT </w:instrText>
          </w:r>
          <w:r w:rsidRPr="00156580">
            <w:rPr>
              <w:szCs w:val="20"/>
            </w:rPr>
            <w:fldChar w:fldCharType="separate"/>
          </w:r>
          <w:r>
            <w:rPr>
              <w:noProof/>
              <w:szCs w:val="20"/>
            </w:rPr>
            <w:t>6</w:t>
          </w:r>
          <w:r w:rsidRPr="00156580">
            <w:rPr>
              <w:szCs w:val="20"/>
            </w:rPr>
            <w:fldChar w:fldCharType="end"/>
          </w:r>
        </w:p>
      </w:tc>
    </w:tr>
  </w:tbl>
  <w:p w:rsidR="00FF5B98" w:rsidRDefault="00FF5B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B98" w:rsidRDefault="00FF5B98"/>
  <w:p w:rsidR="00FF5B98" w:rsidRDefault="00FF5B98">
    <w:pPr>
      <w:pStyle w:val="Footer"/>
    </w:pPr>
    <w:r>
      <w:t>POST-HEARING REPLY BRIEF OF</w:t>
    </w:r>
  </w:p>
  <w:p w:rsidR="00FF5B98" w:rsidRDefault="00FF5B98">
    <w:pPr>
      <w:pStyle w:val="Footer"/>
    </w:pPr>
    <w:r>
      <w:t>WSHVACCA</w:t>
    </w:r>
  </w:p>
  <w:p w:rsidR="00FF5B98" w:rsidRDefault="00FF5B98">
    <w:pPr>
      <w:pStyle w:val="Footer"/>
    </w:pPr>
    <w:r>
      <w:t>DOCKETS UE-151871 &amp; UG-151872</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rsidR="00FF5B98" w:rsidRDefault="00FF5B98">
    <w:pPr>
      <w:pStyle w:val="Footer"/>
    </w:pPr>
    <w:r>
      <w:t>(Consolidated)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B98" w:rsidRDefault="00FF5B98">
      <w:r>
        <w:separator/>
      </w:r>
    </w:p>
  </w:footnote>
  <w:footnote w:type="continuationSeparator" w:id="0">
    <w:p w:rsidR="00FF5B98" w:rsidRDefault="00FF5B98">
      <w:pPr>
        <w:ind w:right="5760"/>
      </w:pPr>
      <w:r>
        <w:continuationSeparator/>
      </w:r>
    </w:p>
  </w:footnote>
  <w:footnote w:id="1">
    <w:p w:rsidR="00FF5B98" w:rsidRDefault="00FF5B98" w:rsidP="003A7D21">
      <w:pPr>
        <w:pStyle w:val="FootnoteText"/>
        <w:ind w:firstLine="0"/>
      </w:pPr>
      <w:r>
        <w:rPr>
          <w:rStyle w:val="FootnoteReference"/>
        </w:rPr>
        <w:footnoteRef/>
      </w:r>
      <w:r>
        <w:t xml:space="preserve"> PSE Brief, page 3 lines 16 to 20</w:t>
      </w:r>
    </w:p>
  </w:footnote>
  <w:footnote w:id="2">
    <w:p w:rsidR="00FF5B98" w:rsidRDefault="00FF5B98" w:rsidP="00D812EA">
      <w:pPr>
        <w:pStyle w:val="FootnoteText"/>
        <w:ind w:firstLine="0"/>
      </w:pPr>
      <w:r>
        <w:rPr>
          <w:rStyle w:val="FootnoteReference"/>
        </w:rPr>
        <w:footnoteRef/>
      </w:r>
      <w:r>
        <w:t xml:space="preserve"> Exh. No. EEE-1T, page 3, figure 1</w:t>
      </w:r>
    </w:p>
  </w:footnote>
  <w:footnote w:id="3">
    <w:p w:rsidR="00FF5B98" w:rsidRDefault="00FF5B98" w:rsidP="00D812EA">
      <w:pPr>
        <w:pStyle w:val="FootnoteText"/>
        <w:ind w:firstLine="0"/>
      </w:pPr>
      <w:r>
        <w:rPr>
          <w:rStyle w:val="FootnoteReference"/>
        </w:rPr>
        <w:footnoteRef/>
      </w:r>
      <w:r>
        <w:t xml:space="preserve"> </w:t>
      </w:r>
      <w:smartTag w:uri="urn:schemas-microsoft-com:office:smarttags" w:element="State">
        <w:smartTag w:uri="urn:schemas-microsoft-com:office:smarttags" w:element="place">
          <w:r w:rsidRPr="00834D76">
            <w:rPr>
              <w:i/>
            </w:rPr>
            <w:t>Wash.</w:t>
          </w:r>
        </w:smartTag>
      </w:smartTag>
      <w:r w:rsidRPr="00834D76">
        <w:rPr>
          <w:i/>
        </w:rPr>
        <w:t xml:space="preserve"> Utils. &amp; Transp. Comm’n </w:t>
      </w:r>
      <w:r>
        <w:rPr>
          <w:i/>
        </w:rPr>
        <w:t>v</w:t>
      </w:r>
      <w:r w:rsidRPr="00834D76">
        <w:rPr>
          <w:i/>
        </w:rPr>
        <w:t>. Puget Sound Energy, Dockets</w:t>
      </w:r>
      <w:r>
        <w:t>,</w:t>
      </w:r>
      <w:r w:rsidRPr="00834D76">
        <w:t xml:space="preserve"> UE-151871 </w:t>
      </w:r>
      <w:r>
        <w:t>&amp;</w:t>
      </w:r>
      <w:r w:rsidRPr="00834D76">
        <w:t xml:space="preserve"> UG-151872</w:t>
      </w:r>
      <w:r>
        <w:t>, Order 01 (Nov. </w:t>
      </w:r>
      <w:r w:rsidRPr="00834D76">
        <w:t>13, 2015</w:t>
      </w:r>
      <w:r>
        <w:t>) at 4</w:t>
      </w:r>
    </w:p>
  </w:footnote>
  <w:footnote w:id="4">
    <w:p w:rsidR="00FF5B98" w:rsidRDefault="00FF5B98" w:rsidP="009D29F5">
      <w:pPr>
        <w:pStyle w:val="FootnoteText"/>
        <w:ind w:firstLine="0"/>
      </w:pPr>
      <w:r>
        <w:rPr>
          <w:rStyle w:val="FootnoteReference"/>
        </w:rPr>
        <w:footnoteRef/>
      </w:r>
      <w:r>
        <w:t xml:space="preserve"> Norton, EXH. No. LYN- 1T, page 18, lines 5 to 12</w:t>
      </w:r>
    </w:p>
  </w:footnote>
  <w:footnote w:id="5">
    <w:p w:rsidR="00FF5B98" w:rsidRDefault="00FF5B98" w:rsidP="009D29F5">
      <w:pPr>
        <w:pStyle w:val="FootnoteText"/>
        <w:ind w:firstLine="0"/>
      </w:pPr>
      <w:r>
        <w:rPr>
          <w:rStyle w:val="FootnoteReference"/>
        </w:rPr>
        <w:footnoteRef/>
      </w:r>
      <w:r>
        <w:t xml:space="preserve"> PSE Brief, page 4, line 8</w:t>
      </w:r>
    </w:p>
  </w:footnote>
  <w:footnote w:id="6">
    <w:p w:rsidR="00FF5B98" w:rsidRDefault="00FF5B98" w:rsidP="009D29F5">
      <w:pPr>
        <w:pStyle w:val="FootnoteText"/>
        <w:ind w:firstLine="0"/>
      </w:pPr>
      <w:r>
        <w:rPr>
          <w:rStyle w:val="FootnoteReference"/>
        </w:rPr>
        <w:footnoteRef/>
      </w:r>
      <w:r>
        <w:t xml:space="preserve"> McCulloch, Exh. No. </w:t>
      </w:r>
      <w:r w:rsidRPr="009D41C3">
        <w:t xml:space="preserve">MBM-1T, 4:1-10  </w:t>
      </w:r>
    </w:p>
  </w:footnote>
  <w:footnote w:id="7">
    <w:p w:rsidR="00FF5B98" w:rsidRDefault="00FF5B98" w:rsidP="003A7D21">
      <w:pPr>
        <w:pStyle w:val="FootnoteText"/>
        <w:ind w:firstLine="0"/>
      </w:pPr>
      <w:r>
        <w:rPr>
          <w:rStyle w:val="FootnoteReference"/>
        </w:rPr>
        <w:footnoteRef/>
      </w:r>
      <w:r>
        <w:t xml:space="preserve"> Wiggen, Exh. No. </w:t>
      </w:r>
      <w:r w:rsidRPr="001E602F">
        <w:rPr>
          <w:lang w:val="fr-FR"/>
        </w:rPr>
        <w:t>AJW-1T 3:12- 21</w:t>
      </w:r>
    </w:p>
  </w:footnote>
  <w:footnote w:id="8">
    <w:p w:rsidR="00FF5B98" w:rsidRDefault="00FF5B98" w:rsidP="009D29F5">
      <w:pPr>
        <w:pStyle w:val="FootnoteText"/>
        <w:ind w:firstLine="0"/>
      </w:pPr>
      <w:r>
        <w:rPr>
          <w:rStyle w:val="FootnoteReference"/>
        </w:rPr>
        <w:footnoteRef/>
      </w:r>
      <w:r w:rsidRPr="001E602F">
        <w:rPr>
          <w:lang w:val="fr-FR"/>
        </w:rPr>
        <w:t xml:space="preserve"> E.g.,Exh. Nos.  </w:t>
      </w:r>
      <w:r>
        <w:t>MBM-26 and MBM-46</w:t>
      </w:r>
    </w:p>
  </w:footnote>
  <w:footnote w:id="9">
    <w:p w:rsidR="00FF5B98" w:rsidRDefault="00FF5B98" w:rsidP="009D29F5">
      <w:pPr>
        <w:pStyle w:val="FootnoteText"/>
        <w:ind w:firstLine="0"/>
      </w:pPr>
      <w:r>
        <w:rPr>
          <w:rStyle w:val="FootnoteReference"/>
        </w:rPr>
        <w:footnoteRef/>
      </w:r>
      <w:r>
        <w:t xml:space="preserve"> Exh. No. MBM-45, pages 3 to 5</w:t>
      </w:r>
    </w:p>
  </w:footnote>
  <w:footnote w:id="10">
    <w:p w:rsidR="00FF5B98" w:rsidRDefault="00FF5B98" w:rsidP="003A7D21">
      <w:pPr>
        <w:pStyle w:val="FootnoteText"/>
        <w:ind w:firstLine="0"/>
      </w:pPr>
      <w:r>
        <w:rPr>
          <w:rStyle w:val="FootnoteReference"/>
        </w:rPr>
        <w:footnoteRef/>
      </w:r>
      <w:r>
        <w:t xml:space="preserve"> Ibid. </w:t>
      </w:r>
    </w:p>
  </w:footnote>
  <w:footnote w:id="11">
    <w:p w:rsidR="00FF5B98" w:rsidRDefault="00FF5B98" w:rsidP="00931D48">
      <w:pPr>
        <w:pStyle w:val="FootnoteText"/>
        <w:ind w:firstLine="0"/>
      </w:pPr>
      <w:r>
        <w:rPr>
          <w:rStyle w:val="FootnoteReference"/>
        </w:rPr>
        <w:footnoteRef/>
      </w:r>
      <w:r>
        <w:t xml:space="preserve"> Van de Heuvel, Exh. No. JvdH- 1T, page 5, line 3 through page 6, line 7</w:t>
      </w:r>
    </w:p>
  </w:footnote>
  <w:footnote w:id="12">
    <w:p w:rsidR="00FF5B98" w:rsidRDefault="00FF5B98" w:rsidP="00931D48">
      <w:pPr>
        <w:pStyle w:val="FootnoteText"/>
        <w:ind w:firstLine="0"/>
      </w:pPr>
      <w:r>
        <w:rPr>
          <w:rStyle w:val="FootnoteReference"/>
        </w:rPr>
        <w:footnoteRef/>
      </w:r>
      <w:r>
        <w:t xml:space="preserve"> Transcript 418:2-22</w:t>
      </w:r>
    </w:p>
  </w:footnote>
  <w:footnote w:id="13">
    <w:p w:rsidR="00FF5B98" w:rsidRDefault="00FF5B98" w:rsidP="002A2C22">
      <w:pPr>
        <w:pStyle w:val="FootnoteText"/>
        <w:ind w:firstLine="0"/>
      </w:pPr>
      <w:r>
        <w:rPr>
          <w:rStyle w:val="FootnoteReference"/>
        </w:rPr>
        <w:footnoteRef/>
      </w:r>
      <w:r>
        <w:t xml:space="preserve"> PSE Brief, page 54, lines 4 and 5.</w:t>
      </w:r>
    </w:p>
  </w:footnote>
  <w:footnote w:id="14">
    <w:p w:rsidR="00FF5B98" w:rsidRDefault="00FF5B98" w:rsidP="00D812EA">
      <w:pPr>
        <w:pStyle w:val="FootnoteText"/>
        <w:ind w:firstLine="0"/>
      </w:pPr>
      <w:r>
        <w:rPr>
          <w:rStyle w:val="FootnoteReference"/>
        </w:rPr>
        <w:footnoteRef/>
      </w:r>
      <w:r>
        <w:t xml:space="preserve"> Norton, Exh. No. LYN- 1T, page 14, lines 1 to 5</w:t>
      </w:r>
    </w:p>
  </w:footnote>
  <w:footnote w:id="15">
    <w:p w:rsidR="00FF5B98" w:rsidRDefault="00FF5B98" w:rsidP="00D812EA">
      <w:pPr>
        <w:pStyle w:val="FootnoteText"/>
        <w:ind w:firstLine="0"/>
      </w:pPr>
      <w:r w:rsidRPr="00D67EB8">
        <w:rPr>
          <w:rStyle w:val="FootnoteReference"/>
        </w:rPr>
        <w:footnoteRef/>
      </w:r>
      <w:r w:rsidRPr="00D67EB8">
        <w:t xml:space="preserve"> Tariff Sheet No. 75-V.</w:t>
      </w:r>
    </w:p>
  </w:footnote>
  <w:footnote w:id="16">
    <w:p w:rsidR="00FF5B98" w:rsidRDefault="00FF5B98" w:rsidP="00D812EA">
      <w:pPr>
        <w:pStyle w:val="FootnoteText"/>
        <w:ind w:firstLine="0"/>
      </w:pPr>
      <w:r w:rsidRPr="00D67EB8">
        <w:rPr>
          <w:rStyle w:val="FootnoteReference"/>
        </w:rPr>
        <w:footnoteRef/>
      </w:r>
      <w:r w:rsidRPr="00D67EB8">
        <w:t xml:space="preserve"> </w:t>
      </w:r>
      <w:smartTag w:uri="urn:schemas-microsoft-com:office:smarttags" w:element="State">
        <w:smartTag w:uri="urn:schemas-microsoft-com:office:smarttags" w:element="place">
          <w:r w:rsidRPr="00D67EB8">
            <w:rPr>
              <w:i/>
            </w:rPr>
            <w:t>I</w:t>
          </w:r>
          <w:bookmarkStart w:id="8" w:name="_BA_Cite_D0C4BE_001027"/>
          <w:bookmarkEnd w:id="8"/>
          <w:r w:rsidRPr="00D67EB8">
            <w:rPr>
              <w:i/>
            </w:rPr>
            <w:t>d.</w:t>
          </w:r>
        </w:smartTag>
      </w:smartTag>
    </w:p>
  </w:footnote>
  <w:footnote w:id="17">
    <w:p w:rsidR="00FF5B98" w:rsidRDefault="00FF5B98" w:rsidP="00D812EA">
      <w:pPr>
        <w:pStyle w:val="FootnoteText"/>
        <w:ind w:firstLine="0"/>
      </w:pPr>
      <w:r w:rsidRPr="00D67EB8">
        <w:rPr>
          <w:rStyle w:val="FootnoteReference"/>
        </w:rPr>
        <w:footnoteRef/>
      </w:r>
      <w:r w:rsidRPr="00D67EB8">
        <w:t xml:space="preserve"> </w:t>
      </w:r>
      <w:r>
        <w:t>PSE Brief, page 57, lines 11 through 14</w:t>
      </w:r>
    </w:p>
  </w:footnote>
  <w:footnote w:id="18">
    <w:p w:rsidR="00FF5B98" w:rsidRDefault="00FF5B98" w:rsidP="00D812EA">
      <w:pPr>
        <w:pStyle w:val="FootnoteText"/>
        <w:ind w:firstLine="0"/>
      </w:pPr>
      <w:r w:rsidRPr="00D67EB8">
        <w:rPr>
          <w:rStyle w:val="FootnoteReference"/>
        </w:rPr>
        <w:footnoteRef/>
      </w:r>
      <w:r w:rsidRPr="00D67EB8">
        <w:t xml:space="preserve"> </w:t>
      </w:r>
      <w:r>
        <w:t>PSE Brief, page 57, lines 16 and 17</w:t>
      </w:r>
    </w:p>
  </w:footnote>
  <w:footnote w:id="19">
    <w:p w:rsidR="00FF5B98" w:rsidRDefault="00FF5B98" w:rsidP="00483180">
      <w:pPr>
        <w:pStyle w:val="FootnoteText"/>
        <w:ind w:firstLine="0"/>
      </w:pPr>
      <w:r>
        <w:rPr>
          <w:rStyle w:val="FootnoteReference"/>
        </w:rPr>
        <w:footnoteRef/>
      </w:r>
      <w:r>
        <w:t xml:space="preserve"> Exh. No. MBM-29</w:t>
      </w:r>
    </w:p>
  </w:footnote>
  <w:footnote w:id="20">
    <w:p w:rsidR="00FF5B98" w:rsidRDefault="00FF5B98" w:rsidP="00414D20">
      <w:pPr>
        <w:pStyle w:val="FootnoteText"/>
        <w:ind w:firstLine="0"/>
        <w:jc w:val="left"/>
      </w:pPr>
      <w:r w:rsidRPr="00617A0E">
        <w:rPr>
          <w:rStyle w:val="FootnoteReference"/>
          <w:b/>
          <w:sz w:val="18"/>
          <w:szCs w:val="18"/>
        </w:rPr>
        <w:footnoteRef/>
      </w:r>
      <w:r w:rsidRPr="00617A0E">
        <w:rPr>
          <w:b/>
          <w:sz w:val="18"/>
          <w:szCs w:val="18"/>
        </w:rPr>
        <w:t xml:space="preserve"> </w:t>
      </w:r>
      <w:r>
        <w:rPr>
          <w:b/>
          <w:sz w:val="18"/>
          <w:szCs w:val="18"/>
        </w:rPr>
        <w:t>RCW 7.28.090</w:t>
      </w:r>
    </w:p>
  </w:footnote>
  <w:footnote w:id="21">
    <w:p w:rsidR="00FF5B98" w:rsidRDefault="00FF5B98" w:rsidP="00414D20">
      <w:pPr>
        <w:pStyle w:val="FootnoteText"/>
        <w:ind w:firstLine="0"/>
        <w:jc w:val="left"/>
      </w:pPr>
      <w:r w:rsidRPr="00617A0E">
        <w:rPr>
          <w:rStyle w:val="FootnoteReference"/>
          <w:b/>
          <w:sz w:val="18"/>
          <w:szCs w:val="18"/>
        </w:rPr>
        <w:footnoteRef/>
      </w:r>
      <w:r w:rsidRPr="00617A0E">
        <w:rPr>
          <w:b/>
          <w:sz w:val="18"/>
          <w:szCs w:val="18"/>
        </w:rPr>
        <w:t xml:space="preserve"> </w:t>
      </w:r>
      <w:r w:rsidRPr="001F20F7">
        <w:rPr>
          <w:b/>
          <w:i/>
          <w:sz w:val="18"/>
          <w:szCs w:val="18"/>
        </w:rPr>
        <w:t>Cole v WUTC</w:t>
      </w:r>
      <w:r>
        <w:rPr>
          <w:b/>
          <w:sz w:val="18"/>
          <w:szCs w:val="18"/>
        </w:rPr>
        <w:t>, 79 Wn 2</w:t>
      </w:r>
      <w:r w:rsidRPr="001F20F7">
        <w:rPr>
          <w:b/>
          <w:sz w:val="18"/>
          <w:szCs w:val="18"/>
          <w:vertAlign w:val="superscript"/>
        </w:rPr>
        <w:t>nd</w:t>
      </w:r>
      <w:r>
        <w:rPr>
          <w:b/>
          <w:sz w:val="18"/>
          <w:szCs w:val="18"/>
        </w:rPr>
        <w:t xml:space="preserve"> 302 (1971)</w:t>
      </w:r>
    </w:p>
  </w:footnote>
  <w:footnote w:id="22">
    <w:p w:rsidR="00FF5B98" w:rsidRPr="00617A0E" w:rsidRDefault="00FF5B98" w:rsidP="003A7D21">
      <w:pPr>
        <w:pStyle w:val="Heading1"/>
        <w:shd w:val="clear" w:color="auto" w:fill="FFFFFF"/>
        <w:spacing w:before="0"/>
        <w:jc w:val="left"/>
        <w:rPr>
          <w:b w:val="0"/>
          <w:sz w:val="20"/>
        </w:rPr>
      </w:pPr>
      <w:r w:rsidRPr="00617A0E">
        <w:rPr>
          <w:rStyle w:val="FootnoteReference"/>
          <w:b w:val="0"/>
          <w:sz w:val="18"/>
          <w:szCs w:val="18"/>
        </w:rPr>
        <w:footnoteRef/>
      </w:r>
      <w:r w:rsidRPr="00617A0E">
        <w:rPr>
          <w:b w:val="0"/>
          <w:sz w:val="18"/>
          <w:szCs w:val="18"/>
        </w:rPr>
        <w:t xml:space="preserve"> </w:t>
      </w:r>
      <w:r w:rsidRPr="00617A0E">
        <w:rPr>
          <w:b w:val="0"/>
          <w:sz w:val="20"/>
        </w:rPr>
        <w:t>From</w:t>
      </w:r>
      <w:r>
        <w:rPr>
          <w:b w:val="0"/>
          <w:sz w:val="20"/>
        </w:rPr>
        <w:t xml:space="preserve"> the Federal Trade Commission’s website</w:t>
      </w:r>
      <w:r w:rsidRPr="00617A0E">
        <w:rPr>
          <w:b w:val="0"/>
          <w:sz w:val="20"/>
        </w:rPr>
        <w:t xml:space="preserve"> “Guide to Antitrust Laws”</w:t>
      </w:r>
    </w:p>
    <w:p w:rsidR="00FF5B98" w:rsidRDefault="00FF5B98" w:rsidP="002A2802">
      <w:r w:rsidRPr="00617A0E">
        <w:rPr>
          <w:color w:val="323232"/>
          <w:sz w:val="20"/>
          <w:szCs w:val="20"/>
        </w:rPr>
        <w:t>Free and open markets are the foundation of a vibrant economy. Aggressive competition among sellers in an open marketplace gives consumers — both individuals and businesses — the benefits of lower prices, higher quality products and services, more choices, and greater innovation. The FTC's competition mission is to enforce the rules of the competitive marketplace — the antitrust laws. These laws promote vigorous competition and protect co</w:t>
      </w:r>
      <w:r>
        <w:t xml:space="preserve"> In recent decades, those governmental policies have supported free market displacement of monopolies whenever feasible- in transportation, in telecommunications, and anywhere else that free market emergence has shown itself able to meet consumer needs.</w:t>
      </w:r>
    </w:p>
    <w:p w:rsidR="00FF5B98" w:rsidRPr="00617A0E" w:rsidRDefault="00FF5B98" w:rsidP="003A7D21">
      <w:pPr>
        <w:pStyle w:val="NormalWeb"/>
        <w:shd w:val="clear" w:color="auto" w:fill="FFFFFF"/>
        <w:spacing w:after="0"/>
        <w:rPr>
          <w:color w:val="323232"/>
          <w:sz w:val="20"/>
          <w:szCs w:val="20"/>
        </w:rPr>
      </w:pPr>
      <w:r w:rsidRPr="00617A0E">
        <w:rPr>
          <w:color w:val="323232"/>
          <w:sz w:val="20"/>
          <w:szCs w:val="20"/>
        </w:rPr>
        <w:t>nsumers from anticompetitive mergers and business practices. The FTC's Bureau of Competition, working in tandem with the Bureau of Economics, enforces the antitrust laws for the benefit of consumers.</w:t>
      </w:r>
    </w:p>
    <w:p w:rsidR="00FF5B98" w:rsidRDefault="00FF5B98" w:rsidP="003A7D21">
      <w:pPr>
        <w:pStyle w:val="FootnoteText"/>
        <w:ind w:firstLine="0"/>
        <w:jc w:val="left"/>
      </w:pPr>
      <w:hyperlink r:id="rId1" w:history="1">
        <w:r w:rsidRPr="00617A0E">
          <w:rPr>
            <w:rStyle w:val="Hyperlink"/>
            <w:szCs w:val="20"/>
          </w:rPr>
          <w:t>https://www.ftc.gov/tips-advice/competition-guidance/guide-antitrust-laws</w:t>
        </w:r>
      </w:hyperlink>
    </w:p>
  </w:footnote>
  <w:footnote w:id="23">
    <w:p w:rsidR="00FF5B98" w:rsidRDefault="00FF5B98" w:rsidP="00414D20">
      <w:pPr>
        <w:pStyle w:val="FootnoteText"/>
        <w:ind w:firstLine="0"/>
        <w:jc w:val="left"/>
      </w:pPr>
      <w:r w:rsidRPr="00617A0E">
        <w:rPr>
          <w:rStyle w:val="FootnoteReference"/>
          <w:b/>
          <w:sz w:val="18"/>
          <w:szCs w:val="18"/>
        </w:rPr>
        <w:footnoteRef/>
      </w:r>
      <w:r w:rsidRPr="00617A0E">
        <w:rPr>
          <w:b/>
          <w:sz w:val="18"/>
          <w:szCs w:val="18"/>
        </w:rPr>
        <w:t xml:space="preserve"> </w:t>
      </w:r>
      <w:r>
        <w:rPr>
          <w:b/>
          <w:sz w:val="18"/>
          <w:szCs w:val="18"/>
        </w:rPr>
        <w:t>Chapter 117, Laws of 1911 (SSB 102)</w:t>
      </w:r>
    </w:p>
  </w:footnote>
  <w:footnote w:id="24">
    <w:p w:rsidR="00FF5B98" w:rsidRDefault="00FF5B98" w:rsidP="00035123">
      <w:pPr>
        <w:shd w:val="clear" w:color="auto" w:fill="FFFFFF"/>
        <w:outlineLvl w:val="2"/>
        <w:rPr>
          <w:b/>
          <w:sz w:val="18"/>
          <w:szCs w:val="18"/>
        </w:rPr>
      </w:pPr>
      <w:r w:rsidRPr="00617A0E">
        <w:rPr>
          <w:rStyle w:val="FootnoteReference"/>
          <w:b/>
          <w:sz w:val="18"/>
          <w:szCs w:val="18"/>
        </w:rPr>
        <w:footnoteRef/>
      </w:r>
      <w:r w:rsidRPr="00617A0E">
        <w:rPr>
          <w:b/>
          <w:sz w:val="18"/>
          <w:szCs w:val="18"/>
        </w:rPr>
        <w:t xml:space="preserve"> </w:t>
      </w:r>
      <w:r w:rsidRPr="00035123">
        <w:rPr>
          <w:sz w:val="20"/>
          <w:szCs w:val="20"/>
        </w:rPr>
        <w:t>From the Washington Utilities and Transportation Commission website:</w:t>
      </w:r>
    </w:p>
    <w:p w:rsidR="00FF5B98" w:rsidRPr="00D017E1" w:rsidRDefault="00FF5B98" w:rsidP="002A2802">
      <w:pPr>
        <w:shd w:val="clear" w:color="auto" w:fill="FFFFFF"/>
        <w:spacing w:before="150" w:after="150"/>
        <w:outlineLvl w:val="2"/>
        <w:rPr>
          <w:b/>
          <w:bCs/>
          <w:color w:val="928257"/>
          <w:sz w:val="20"/>
          <w:szCs w:val="20"/>
        </w:rPr>
      </w:pPr>
      <w:r w:rsidRPr="00D017E1">
        <w:rPr>
          <w:b/>
          <w:bCs/>
          <w:color w:val="928257"/>
          <w:sz w:val="20"/>
          <w:szCs w:val="20"/>
        </w:rPr>
        <w:t>Competition Challenges the Monopolies</w:t>
      </w:r>
    </w:p>
    <w:p w:rsidR="00FF5B98" w:rsidRPr="00D017E1" w:rsidRDefault="00FF5B98" w:rsidP="002A2802">
      <w:pPr>
        <w:shd w:val="clear" w:color="auto" w:fill="FFFFFF"/>
        <w:spacing w:before="75" w:after="150"/>
        <w:rPr>
          <w:color w:val="000000"/>
          <w:sz w:val="20"/>
          <w:szCs w:val="20"/>
        </w:rPr>
      </w:pPr>
      <w:r w:rsidRPr="00D017E1">
        <w:rPr>
          <w:color w:val="000000"/>
          <w:sz w:val="20"/>
          <w:szCs w:val="20"/>
        </w:rPr>
        <w:t>Since the tiny Washington Railroad Commission opened its offices in 1905, the commission has grown and overseen huge changes in the utility and transportation industries. There was the explosive growth in the electric power industry, fueled by the region’s hydroelectric power. There was a new interest in environmentally safe and renewable energy sources in the 1970s. Telephone service became nearly universal; and in the 1980s, the breakup of AT&amp;T’s local phone companies paved the way for the competitive rush in telecommunications. Add to this the deregulation of the railroad and trucking industries since the late 1970’s, and you can see what tremendous changes we have been through.</w:t>
      </w:r>
    </w:p>
    <w:p w:rsidR="00FF5B98" w:rsidRPr="00D017E1" w:rsidRDefault="00FF5B98" w:rsidP="002A2802">
      <w:pPr>
        <w:shd w:val="clear" w:color="auto" w:fill="FFFFFF"/>
        <w:spacing w:before="75" w:after="150"/>
        <w:rPr>
          <w:color w:val="000000"/>
          <w:sz w:val="20"/>
          <w:szCs w:val="20"/>
        </w:rPr>
      </w:pPr>
      <w:r w:rsidRPr="00D017E1">
        <w:rPr>
          <w:color w:val="000000"/>
          <w:sz w:val="20"/>
          <w:szCs w:val="20"/>
        </w:rPr>
        <w:t>For many decades, it made sense to have a single company provide a utility or transportation service to a particular service area. Many of the commission’s practices were developed because it was not reasonable to duplicate telephone lines, water mains, power plants, and railroad tracks. Monopolies were more practical, stable, and economic for serving the public, although no one wanted to give them unlimited power.</w:t>
      </w:r>
    </w:p>
    <w:p w:rsidR="00FF5B98" w:rsidRPr="00D017E1" w:rsidRDefault="00FF5B98" w:rsidP="002A2802">
      <w:pPr>
        <w:shd w:val="clear" w:color="auto" w:fill="FFFFFF"/>
        <w:spacing w:before="75" w:after="150"/>
        <w:rPr>
          <w:color w:val="000000"/>
          <w:sz w:val="20"/>
          <w:szCs w:val="20"/>
        </w:rPr>
      </w:pPr>
      <w:r w:rsidRPr="00D017E1">
        <w:rPr>
          <w:color w:val="000000"/>
          <w:sz w:val="20"/>
          <w:szCs w:val="20"/>
        </w:rPr>
        <w:t xml:space="preserve">As a result, private utility and many transportation services for years have been regulated by the state through the commission. In other words, these companies have a contract with the people of </w:t>
      </w:r>
      <w:smartTag w:uri="urn:schemas-microsoft-com:office:smarttags" w:element="State">
        <w:smartTag w:uri="urn:schemas-microsoft-com:office:smarttags" w:element="place">
          <w:r w:rsidRPr="00D017E1">
            <w:rPr>
              <w:color w:val="000000"/>
              <w:sz w:val="20"/>
              <w:szCs w:val="20"/>
            </w:rPr>
            <w:t>Washington</w:t>
          </w:r>
        </w:smartTag>
      </w:smartTag>
      <w:r w:rsidRPr="00D017E1">
        <w:rPr>
          <w:color w:val="000000"/>
          <w:sz w:val="20"/>
          <w:szCs w:val="20"/>
        </w:rPr>
        <w:t>. In exchange for enjoying an unchallenged monopoly over a specific service area, these companies can charge no more than the state allows and must agree to serve all customers in their service area.</w:t>
      </w:r>
    </w:p>
    <w:p w:rsidR="00FF5B98" w:rsidRPr="00D017E1" w:rsidRDefault="00FF5B98" w:rsidP="002A2802">
      <w:pPr>
        <w:shd w:val="clear" w:color="auto" w:fill="FFFFFF"/>
        <w:spacing w:before="75" w:after="150"/>
        <w:rPr>
          <w:color w:val="000000"/>
          <w:sz w:val="20"/>
          <w:szCs w:val="20"/>
        </w:rPr>
      </w:pPr>
      <w:r w:rsidRPr="00D017E1">
        <w:rPr>
          <w:color w:val="000000"/>
          <w:sz w:val="20"/>
          <w:szCs w:val="20"/>
        </w:rPr>
        <w:t>In recent years, however, competition has become possible -- and even welcome -- in many regulated markets. Endorsed by many important federal and state court and legislative decisions, there now is some competition in nearly all of the industries we regulate.</w:t>
      </w:r>
    </w:p>
    <w:p w:rsidR="00FF5B98" w:rsidRPr="00D017E1" w:rsidRDefault="00FF5B98" w:rsidP="002A2802">
      <w:pPr>
        <w:shd w:val="clear" w:color="auto" w:fill="FFFFFF"/>
        <w:spacing w:before="75" w:after="150"/>
        <w:rPr>
          <w:color w:val="000000"/>
          <w:sz w:val="20"/>
          <w:szCs w:val="20"/>
        </w:rPr>
      </w:pPr>
      <w:r w:rsidRPr="00D017E1">
        <w:rPr>
          <w:color w:val="000000"/>
          <w:sz w:val="20"/>
          <w:szCs w:val="20"/>
        </w:rPr>
        <w:t>More recently, these regulated companies have pushed for fewer commission controls in areas where they must react quickly to price and service competition. And while the commission has allowed more freedom and flexibility, competition is still developing unevenly.</w:t>
      </w:r>
    </w:p>
    <w:p w:rsidR="00FF5B98" w:rsidRPr="00D017E1" w:rsidRDefault="00FF5B98" w:rsidP="002A2802">
      <w:pPr>
        <w:shd w:val="clear" w:color="auto" w:fill="FFFFFF"/>
        <w:spacing w:before="75" w:after="150"/>
        <w:rPr>
          <w:color w:val="000000"/>
          <w:sz w:val="20"/>
          <w:szCs w:val="20"/>
        </w:rPr>
      </w:pPr>
      <w:r w:rsidRPr="00D017E1">
        <w:rPr>
          <w:color w:val="000000"/>
          <w:sz w:val="20"/>
          <w:szCs w:val="20"/>
        </w:rPr>
        <w:t>In spite of all this change, the basic mission of the commission remains the same: consumer protection for our state’s most essential services.</w:t>
      </w:r>
    </w:p>
    <w:p w:rsidR="00FF5B98" w:rsidRPr="00D017E1" w:rsidRDefault="00FF5B98" w:rsidP="002A2802">
      <w:pPr>
        <w:shd w:val="clear" w:color="auto" w:fill="FFFFFF"/>
        <w:spacing w:before="75" w:after="150"/>
        <w:rPr>
          <w:color w:val="000000"/>
          <w:sz w:val="20"/>
          <w:szCs w:val="20"/>
        </w:rPr>
      </w:pPr>
      <w:hyperlink r:id="rId2" w:history="1">
        <w:r w:rsidRPr="00D017E1">
          <w:rPr>
            <w:rStyle w:val="Hyperlink"/>
            <w:sz w:val="20"/>
            <w:szCs w:val="20"/>
          </w:rPr>
          <w:t>http://www.utc.wa.gov/aboutUs/Pages/history.aspx</w:t>
        </w:r>
      </w:hyperlink>
    </w:p>
    <w:p w:rsidR="00FF5B98" w:rsidRDefault="00FF5B98" w:rsidP="002A2802">
      <w:pPr>
        <w:shd w:val="clear" w:color="auto" w:fill="FFFFFF"/>
        <w:spacing w:before="75" w:after="15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B98" w:rsidRDefault="00FF5B98">
    <w:r>
      <w:rPr>
        <w:noProof/>
      </w:rPr>
      <w:pict>
        <v:line id="Line 2" o:spid="_x0000_s2049" style="position:absolute;z-index:251660288;visibility:visible;mso-position-horizontal-relative:margin;mso-position-vertical-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" o:allowincell="f" stroked="f">
          <v:stroke startarrowwidth="narrow" startarrowlength="short" endarrowwidth="narrow" endarrowlength="short"/>
          <w10:wrap anchorx="margin"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42565640"/>
    <w:lvl w:ilvl="0">
      <w:start w:val="1"/>
      <w:numFmt w:val="upperRoman"/>
      <w:lvlText w:val="%1."/>
      <w:lvlJc w:val="right"/>
      <w:pPr>
        <w:tabs>
          <w:tab w:val="num" w:pos="180"/>
        </w:tabs>
        <w:ind w:left="180" w:hanging="180"/>
      </w:pPr>
      <w:rPr>
        <w:rFonts w:cs="Times New Roman"/>
      </w:rPr>
    </w:lvl>
    <w:lvl w:ilvl="1">
      <w:start w:val="1"/>
      <w:numFmt w:val="upperLetter"/>
      <w:pStyle w:val="Heading2"/>
      <w:lvlText w:val="%2."/>
      <w:lvlJc w:val="left"/>
      <w:pPr>
        <w:tabs>
          <w:tab w:val="num" w:pos="0"/>
        </w:tabs>
        <w:ind w:left="720" w:hanging="720"/>
      </w:pPr>
      <w:rPr>
        <w:rFonts w:cs="Times New Roman"/>
      </w:rPr>
    </w:lvl>
    <w:lvl w:ilvl="2">
      <w:start w:val="1"/>
      <w:numFmt w:val="decimal"/>
      <w:pStyle w:val="Heading3"/>
      <w:lvlText w:val="%3."/>
      <w:lvlJc w:val="left"/>
      <w:pPr>
        <w:tabs>
          <w:tab w:val="num" w:pos="0"/>
        </w:tabs>
        <w:ind w:left="1440" w:hanging="720"/>
      </w:pPr>
      <w:rPr>
        <w:rFonts w:cs="Times New Roman"/>
      </w:rPr>
    </w:lvl>
    <w:lvl w:ilvl="3">
      <w:start w:val="1"/>
      <w:numFmt w:val="lowerLetter"/>
      <w:pStyle w:val="Heading4"/>
      <w:lvlText w:val="%4."/>
      <w:lvlJc w:val="left"/>
      <w:pPr>
        <w:tabs>
          <w:tab w:val="num" w:pos="0"/>
        </w:tabs>
        <w:ind w:left="2160" w:hanging="720"/>
      </w:pPr>
      <w:rPr>
        <w:rFonts w:cs="Times New Roman"/>
      </w:rPr>
    </w:lvl>
    <w:lvl w:ilvl="4">
      <w:start w:val="1"/>
      <w:numFmt w:val="decimal"/>
      <w:pStyle w:val="Heading5"/>
      <w:lvlText w:val="(%5)"/>
      <w:lvlJc w:val="left"/>
      <w:pPr>
        <w:tabs>
          <w:tab w:val="num" w:pos="0"/>
        </w:tabs>
        <w:ind w:left="2880" w:hanging="720"/>
      </w:pPr>
      <w:rPr>
        <w:rFonts w:cs="Times New Roman"/>
      </w:rPr>
    </w:lvl>
    <w:lvl w:ilvl="5">
      <w:start w:val="1"/>
      <w:numFmt w:val="lowerLetter"/>
      <w:pStyle w:val="Heading6"/>
      <w:lvlText w:val="(%6)"/>
      <w:lvlJc w:val="left"/>
      <w:pPr>
        <w:tabs>
          <w:tab w:val="num" w:pos="0"/>
        </w:tabs>
        <w:ind w:left="3600" w:hanging="720"/>
      </w:pPr>
      <w:rPr>
        <w:rFonts w:cs="Times New Roman"/>
      </w:rPr>
    </w:lvl>
    <w:lvl w:ilvl="6">
      <w:start w:val="1"/>
      <w:numFmt w:val="decimal"/>
      <w:pStyle w:val="Heading7"/>
      <w:lvlText w:val="%7)"/>
      <w:lvlJc w:val="left"/>
      <w:pPr>
        <w:tabs>
          <w:tab w:val="num" w:pos="4320"/>
        </w:tabs>
        <w:ind w:left="4320" w:hanging="720"/>
      </w:pPr>
      <w:rPr>
        <w:rFonts w:cs="Times New Roman"/>
      </w:rPr>
    </w:lvl>
    <w:lvl w:ilvl="7">
      <w:start w:val="1"/>
      <w:numFmt w:val="lowerLetter"/>
      <w:pStyle w:val="Heading8"/>
      <w:lvlText w:val="%8)"/>
      <w:lvlJc w:val="left"/>
      <w:pPr>
        <w:tabs>
          <w:tab w:val="num" w:pos="0"/>
        </w:tabs>
        <w:ind w:left="5040" w:hanging="720"/>
      </w:pPr>
      <w:rPr>
        <w:rFonts w:cs="Times New Roman"/>
      </w:rPr>
    </w:lvl>
    <w:lvl w:ilvl="8">
      <w:start w:val="1"/>
      <w:numFmt w:val="lowerRoman"/>
      <w:pStyle w:val="Heading9"/>
      <w:lvlText w:val="%9)"/>
      <w:lvlJc w:val="left"/>
      <w:pPr>
        <w:tabs>
          <w:tab w:val="num" w:pos="0"/>
        </w:tabs>
        <w:ind w:left="5760" w:hanging="720"/>
      </w:pPr>
      <w:rPr>
        <w:rFonts w:cs="Times New Roman"/>
      </w:rPr>
    </w:lvl>
  </w:abstractNum>
  <w:abstractNum w:abstractNumId="1">
    <w:nsid w:val="04974872"/>
    <w:multiLevelType w:val="multilevel"/>
    <w:tmpl w:val="B75E41E4"/>
    <w:lvl w:ilvl="0">
      <w:start w:val="1"/>
      <w:numFmt w:val="upperLetter"/>
      <w:lvlText w:val="%1."/>
      <w:lvlJc w:val="left"/>
      <w:pPr>
        <w:ind w:left="900" w:hanging="360"/>
      </w:pPr>
      <w:rPr>
        <w:rFonts w:cs="Times New Roman" w:hint="default"/>
      </w:rPr>
    </w:lvl>
    <w:lvl w:ilvl="1">
      <w:start w:val="1"/>
      <w:numFmt w:val="decimal"/>
      <w:lvlText w:val="%2"/>
      <w:lvlJc w:val="right"/>
      <w:pPr>
        <w:tabs>
          <w:tab w:val="num" w:pos="1260"/>
        </w:tabs>
        <w:ind w:hanging="720"/>
      </w:pPr>
      <w:rPr>
        <w:rFonts w:ascii="Times New Roman" w:hAnsi="Times New Roman" w:cs="Times New Roman" w:hint="default"/>
        <w:b w:val="0"/>
        <w:i/>
        <w:sz w:val="20"/>
        <w:szCs w:val="20"/>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2">
    <w:nsid w:val="09261D34"/>
    <w:multiLevelType w:val="hybridMultilevel"/>
    <w:tmpl w:val="887206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9262FD8"/>
    <w:multiLevelType w:val="multilevel"/>
    <w:tmpl w:val="A760AB60"/>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1E21AED"/>
    <w:multiLevelType w:val="multilevel"/>
    <w:tmpl w:val="0072619C"/>
    <w:lvl w:ilvl="0">
      <w:start w:val="1"/>
      <w:numFmt w:val="upperRoman"/>
      <w:lvlText w:val="%1."/>
      <w:lvlJc w:val="right"/>
      <w:pPr>
        <w:tabs>
          <w:tab w:val="num" w:pos="180"/>
        </w:tabs>
        <w:ind w:left="180" w:hanging="180"/>
      </w:pPr>
      <w:rPr>
        <w:rFonts w:cs="Times New Roman"/>
      </w:rPr>
    </w:lvl>
    <w:lvl w:ilvl="1">
      <w:start w:val="1"/>
      <w:numFmt w:val="upperLetter"/>
      <w:lvlText w:val="%2."/>
      <w:lvlJc w:val="left"/>
      <w:pPr>
        <w:tabs>
          <w:tab w:val="num" w:pos="0"/>
        </w:tabs>
        <w:ind w:left="720" w:hanging="720"/>
      </w:pPr>
      <w:rPr>
        <w:rFonts w:cs="Times New Roman"/>
      </w:rPr>
    </w:lvl>
    <w:lvl w:ilvl="2">
      <w:start w:val="1"/>
      <w:numFmt w:val="decimal"/>
      <w:lvlText w:val="%3."/>
      <w:lvlJc w:val="left"/>
      <w:pPr>
        <w:tabs>
          <w:tab w:val="num" w:pos="0"/>
        </w:tabs>
        <w:ind w:left="1440" w:hanging="720"/>
      </w:pPr>
      <w:rPr>
        <w:rFonts w:cs="Times New Roman"/>
      </w:rPr>
    </w:lvl>
    <w:lvl w:ilvl="3">
      <w:start w:val="1"/>
      <w:numFmt w:val="lowerLetter"/>
      <w:lvlText w:val="%4."/>
      <w:lvlJc w:val="left"/>
      <w:pPr>
        <w:tabs>
          <w:tab w:val="num" w:pos="0"/>
        </w:tabs>
        <w:ind w:left="2160" w:hanging="720"/>
      </w:pPr>
      <w:rPr>
        <w:rFonts w:cs="Times New Roman"/>
      </w:rPr>
    </w:lvl>
    <w:lvl w:ilvl="4">
      <w:start w:val="1"/>
      <w:numFmt w:val="decimal"/>
      <w:lvlText w:val="(%5)"/>
      <w:lvlJc w:val="left"/>
      <w:pPr>
        <w:tabs>
          <w:tab w:val="num" w:pos="0"/>
        </w:tabs>
        <w:ind w:left="2880" w:hanging="720"/>
      </w:pPr>
      <w:rPr>
        <w:rFonts w:cs="Times New Roman"/>
      </w:rPr>
    </w:lvl>
    <w:lvl w:ilvl="5">
      <w:start w:val="1"/>
      <w:numFmt w:val="lowerLetter"/>
      <w:lvlText w:val="(%6)"/>
      <w:lvlJc w:val="left"/>
      <w:pPr>
        <w:tabs>
          <w:tab w:val="num" w:pos="0"/>
        </w:tabs>
        <w:ind w:left="3600" w:hanging="720"/>
      </w:pPr>
      <w:rPr>
        <w:rFonts w:cs="Times New Roman"/>
      </w:rPr>
    </w:lvl>
    <w:lvl w:ilvl="6">
      <w:start w:val="1"/>
      <w:numFmt w:val="decimal"/>
      <w:lvlText w:val="%7)"/>
      <w:lvlJc w:val="left"/>
      <w:pPr>
        <w:tabs>
          <w:tab w:val="num" w:pos="4320"/>
        </w:tabs>
        <w:ind w:left="4320" w:hanging="720"/>
      </w:pPr>
      <w:rPr>
        <w:rFonts w:cs="Times New Roman"/>
      </w:rPr>
    </w:lvl>
    <w:lvl w:ilvl="7">
      <w:start w:val="1"/>
      <w:numFmt w:val="lowerLetter"/>
      <w:lvlText w:val="%8)"/>
      <w:lvlJc w:val="left"/>
      <w:pPr>
        <w:tabs>
          <w:tab w:val="num" w:pos="0"/>
        </w:tabs>
        <w:ind w:left="5040" w:hanging="720"/>
      </w:pPr>
      <w:rPr>
        <w:rFonts w:cs="Times New Roman"/>
      </w:rPr>
    </w:lvl>
    <w:lvl w:ilvl="8">
      <w:start w:val="1"/>
      <w:numFmt w:val="lowerRoman"/>
      <w:lvlText w:val="%9)"/>
      <w:lvlJc w:val="left"/>
      <w:pPr>
        <w:tabs>
          <w:tab w:val="num" w:pos="0"/>
        </w:tabs>
        <w:ind w:left="5760" w:hanging="720"/>
      </w:pPr>
      <w:rPr>
        <w:rFonts w:cs="Times New Roman"/>
      </w:rPr>
    </w:lvl>
  </w:abstractNum>
  <w:abstractNum w:abstractNumId="5">
    <w:nsid w:val="25AD1491"/>
    <w:multiLevelType w:val="multilevel"/>
    <w:tmpl w:val="0ADA8BCA"/>
    <w:lvl w:ilvl="0">
      <w:start w:val="3"/>
      <w:numFmt w:val="upperLetter"/>
      <w:lvlText w:val="%1."/>
      <w:lvlJc w:val="left"/>
      <w:pPr>
        <w:tabs>
          <w:tab w:val="num" w:pos="900"/>
        </w:tabs>
        <w:ind w:left="900" w:hanging="360"/>
      </w:pPr>
      <w:rPr>
        <w:rFonts w:cs="Times New Roman" w:hint="default"/>
      </w:rPr>
    </w:lvl>
    <w:lvl w:ilvl="1">
      <w:start w:val="1"/>
      <w:numFmt w:val="lowerLetter"/>
      <w:lvlText w:val="%2."/>
      <w:lvlJc w:val="left"/>
      <w:pPr>
        <w:tabs>
          <w:tab w:val="num" w:pos="900"/>
        </w:tabs>
        <w:ind w:left="900" w:hanging="360"/>
      </w:pPr>
      <w:rPr>
        <w:rFonts w:cs="Times New Roman"/>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6">
    <w:nsid w:val="2931781C"/>
    <w:multiLevelType w:val="hybridMultilevel"/>
    <w:tmpl w:val="A760AB60"/>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E9E2551"/>
    <w:multiLevelType w:val="hybridMultilevel"/>
    <w:tmpl w:val="80AE1BD6"/>
    <w:lvl w:ilvl="0" w:tplc="04090013">
      <w:start w:val="1"/>
      <w:numFmt w:val="upperRoman"/>
      <w:lvlText w:val="%1."/>
      <w:lvlJc w:val="right"/>
      <w:pPr>
        <w:tabs>
          <w:tab w:val="num" w:pos="900"/>
        </w:tabs>
        <w:ind w:left="900" w:hanging="180"/>
      </w:pPr>
      <w:rPr>
        <w:rFonts w:cs="Times New Roman"/>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8">
    <w:nsid w:val="34C246CB"/>
    <w:multiLevelType w:val="multilevel"/>
    <w:tmpl w:val="F29048C4"/>
    <w:lvl w:ilvl="0">
      <w:start w:val="1"/>
      <w:numFmt w:val="upperLetter"/>
      <w:lvlText w:val="%1."/>
      <w:lvlJc w:val="left"/>
      <w:pPr>
        <w:ind w:left="900" w:hanging="360"/>
      </w:pPr>
      <w:rPr>
        <w:rFonts w:cs="Times New Roman" w:hint="default"/>
      </w:rPr>
    </w:lvl>
    <w:lvl w:ilvl="1">
      <w:start w:val="1"/>
      <w:numFmt w:val="decimal"/>
      <w:lvlText w:val="%2"/>
      <w:lvlJc w:val="left"/>
      <w:pPr>
        <w:tabs>
          <w:tab w:val="num" w:pos="96"/>
        </w:tabs>
        <w:ind w:left="96" w:hanging="816"/>
      </w:pPr>
      <w:rPr>
        <w:rFonts w:cs="Times New Roman" w:hint="default"/>
        <w:b w:val="0"/>
        <w:bCs w:val="0"/>
        <w:i/>
        <w:iCs/>
        <w:color w:val="auto"/>
        <w:sz w:val="18"/>
        <w:szCs w:val="18"/>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9">
    <w:nsid w:val="3546722C"/>
    <w:multiLevelType w:val="multilevel"/>
    <w:tmpl w:val="3CEE07EE"/>
    <w:lvl w:ilvl="0">
      <w:start w:val="1"/>
      <w:numFmt w:val="upperLetter"/>
      <w:lvlText w:val="%1."/>
      <w:lvlJc w:val="left"/>
      <w:pPr>
        <w:ind w:left="900" w:hanging="360"/>
      </w:pPr>
      <w:rPr>
        <w:rFonts w:cs="Times New Roman" w:hint="default"/>
      </w:rPr>
    </w:lvl>
    <w:lvl w:ilvl="1">
      <w:start w:val="1"/>
      <w:numFmt w:val="decimal"/>
      <w:lvlText w:val="%2"/>
      <w:lvlJc w:val="right"/>
      <w:pPr>
        <w:tabs>
          <w:tab w:val="num" w:pos="0"/>
        </w:tabs>
        <w:ind w:hanging="720"/>
      </w:pPr>
      <w:rPr>
        <w:rFonts w:ascii="Times New Roman" w:hAnsi="Times New Roman" w:cs="Times New Roman" w:hint="default"/>
        <w:b w:val="0"/>
        <w:i/>
        <w:sz w:val="20"/>
        <w:szCs w:val="20"/>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10">
    <w:nsid w:val="3E365B9D"/>
    <w:multiLevelType w:val="hybridMultilevel"/>
    <w:tmpl w:val="A250749C"/>
    <w:lvl w:ilvl="0" w:tplc="04090015">
      <w:start w:val="1"/>
      <w:numFmt w:val="upperLetter"/>
      <w:lvlText w:val="%1."/>
      <w:lvlJc w:val="left"/>
      <w:pPr>
        <w:ind w:left="900" w:hanging="360"/>
      </w:pPr>
      <w:rPr>
        <w:rFonts w:cs="Times New Roman" w:hint="default"/>
      </w:rPr>
    </w:lvl>
    <w:lvl w:ilvl="1" w:tplc="CFA0BFA6">
      <w:start w:val="1"/>
      <w:numFmt w:val="decimal"/>
      <w:lvlText w:val="%2"/>
      <w:lvlJc w:val="left"/>
      <w:pPr>
        <w:tabs>
          <w:tab w:val="num" w:pos="96"/>
        </w:tabs>
        <w:ind w:left="96" w:hanging="816"/>
      </w:pPr>
      <w:rPr>
        <w:rFonts w:cs="Times New Roman" w:hint="default"/>
        <w:b w:val="0"/>
        <w:bCs w:val="0"/>
        <w:i/>
        <w:iCs/>
        <w:color w:val="auto"/>
        <w:sz w:val="18"/>
        <w:szCs w:val="18"/>
      </w:rPr>
    </w:lvl>
    <w:lvl w:ilvl="2" w:tplc="D148775C">
      <w:start w:val="1"/>
      <w:numFmt w:val="decimal"/>
      <w:lvlText w:val="%3"/>
      <w:lvlJc w:val="right"/>
      <w:pPr>
        <w:tabs>
          <w:tab w:val="num" w:pos="2160"/>
        </w:tabs>
        <w:ind w:hanging="720"/>
      </w:pPr>
      <w:rPr>
        <w:rFonts w:ascii="Times New Roman" w:hAnsi="Times New Roman" w:cs="Times New Roman" w:hint="default"/>
        <w:b w:val="0"/>
        <w:i/>
        <w:sz w:val="20"/>
        <w:szCs w:val="20"/>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1">
    <w:nsid w:val="3F333C9C"/>
    <w:multiLevelType w:val="multilevel"/>
    <w:tmpl w:val="F09AF0FC"/>
    <w:lvl w:ilvl="0">
      <w:start w:val="1"/>
      <w:numFmt w:val="upperRoman"/>
      <w:lvlText w:val="%1."/>
      <w:lvlJc w:val="right"/>
      <w:pPr>
        <w:tabs>
          <w:tab w:val="num" w:pos="180"/>
        </w:tabs>
        <w:ind w:left="180" w:hanging="180"/>
      </w:pPr>
      <w:rPr>
        <w:rFonts w:cs="Times New Roman"/>
      </w:rPr>
    </w:lvl>
    <w:lvl w:ilvl="1">
      <w:start w:val="1"/>
      <w:numFmt w:val="upperLetter"/>
      <w:lvlText w:val="%2."/>
      <w:lvlJc w:val="left"/>
      <w:pPr>
        <w:tabs>
          <w:tab w:val="num" w:pos="0"/>
        </w:tabs>
        <w:ind w:left="720" w:hanging="720"/>
      </w:pPr>
      <w:rPr>
        <w:rFonts w:cs="Times New Roman"/>
      </w:rPr>
    </w:lvl>
    <w:lvl w:ilvl="2">
      <w:start w:val="1"/>
      <w:numFmt w:val="decimal"/>
      <w:lvlText w:val="%3."/>
      <w:lvlJc w:val="left"/>
      <w:pPr>
        <w:tabs>
          <w:tab w:val="num" w:pos="0"/>
        </w:tabs>
        <w:ind w:left="1440" w:hanging="720"/>
      </w:pPr>
      <w:rPr>
        <w:rFonts w:cs="Times New Roman"/>
      </w:rPr>
    </w:lvl>
    <w:lvl w:ilvl="3">
      <w:start w:val="1"/>
      <w:numFmt w:val="lowerLetter"/>
      <w:lvlText w:val="%4."/>
      <w:lvlJc w:val="left"/>
      <w:pPr>
        <w:tabs>
          <w:tab w:val="num" w:pos="0"/>
        </w:tabs>
        <w:ind w:left="2160" w:hanging="720"/>
      </w:pPr>
      <w:rPr>
        <w:rFonts w:cs="Times New Roman"/>
      </w:rPr>
    </w:lvl>
    <w:lvl w:ilvl="4">
      <w:start w:val="1"/>
      <w:numFmt w:val="decimal"/>
      <w:lvlText w:val="(%5)"/>
      <w:lvlJc w:val="left"/>
      <w:pPr>
        <w:tabs>
          <w:tab w:val="num" w:pos="0"/>
        </w:tabs>
        <w:ind w:left="2880" w:hanging="720"/>
      </w:pPr>
      <w:rPr>
        <w:rFonts w:cs="Times New Roman"/>
      </w:rPr>
    </w:lvl>
    <w:lvl w:ilvl="5">
      <w:start w:val="1"/>
      <w:numFmt w:val="lowerLetter"/>
      <w:lvlText w:val="(%6)"/>
      <w:lvlJc w:val="left"/>
      <w:pPr>
        <w:tabs>
          <w:tab w:val="num" w:pos="0"/>
        </w:tabs>
        <w:ind w:left="3600" w:hanging="720"/>
      </w:pPr>
      <w:rPr>
        <w:rFonts w:cs="Times New Roman"/>
      </w:rPr>
    </w:lvl>
    <w:lvl w:ilvl="6">
      <w:start w:val="1"/>
      <w:numFmt w:val="decimal"/>
      <w:lvlText w:val="%7)"/>
      <w:lvlJc w:val="left"/>
      <w:pPr>
        <w:tabs>
          <w:tab w:val="num" w:pos="4320"/>
        </w:tabs>
        <w:ind w:left="4320" w:hanging="720"/>
      </w:pPr>
      <w:rPr>
        <w:rFonts w:cs="Times New Roman"/>
      </w:rPr>
    </w:lvl>
    <w:lvl w:ilvl="7">
      <w:start w:val="1"/>
      <w:numFmt w:val="lowerLetter"/>
      <w:lvlText w:val="%8)"/>
      <w:lvlJc w:val="left"/>
      <w:pPr>
        <w:tabs>
          <w:tab w:val="num" w:pos="0"/>
        </w:tabs>
        <w:ind w:left="5040" w:hanging="720"/>
      </w:pPr>
      <w:rPr>
        <w:rFonts w:cs="Times New Roman"/>
      </w:rPr>
    </w:lvl>
    <w:lvl w:ilvl="8">
      <w:start w:val="1"/>
      <w:numFmt w:val="lowerRoman"/>
      <w:lvlText w:val="%9)"/>
      <w:lvlJc w:val="left"/>
      <w:pPr>
        <w:tabs>
          <w:tab w:val="num" w:pos="0"/>
        </w:tabs>
        <w:ind w:left="5760" w:hanging="720"/>
      </w:pPr>
      <w:rPr>
        <w:rFonts w:cs="Times New Roman"/>
      </w:rPr>
    </w:lvl>
  </w:abstractNum>
  <w:abstractNum w:abstractNumId="12">
    <w:nsid w:val="3F863159"/>
    <w:multiLevelType w:val="multilevel"/>
    <w:tmpl w:val="A250749C"/>
    <w:lvl w:ilvl="0">
      <w:start w:val="1"/>
      <w:numFmt w:val="upperLetter"/>
      <w:lvlText w:val="%1."/>
      <w:lvlJc w:val="left"/>
      <w:pPr>
        <w:ind w:left="900" w:hanging="360"/>
      </w:pPr>
      <w:rPr>
        <w:rFonts w:cs="Times New Roman" w:hint="default"/>
      </w:rPr>
    </w:lvl>
    <w:lvl w:ilvl="1">
      <w:start w:val="1"/>
      <w:numFmt w:val="decimal"/>
      <w:lvlText w:val="%2"/>
      <w:lvlJc w:val="left"/>
      <w:pPr>
        <w:tabs>
          <w:tab w:val="num" w:pos="96"/>
        </w:tabs>
        <w:ind w:left="96" w:hanging="816"/>
      </w:pPr>
      <w:rPr>
        <w:rFonts w:cs="Times New Roman" w:hint="default"/>
        <w:b w:val="0"/>
        <w:bCs w:val="0"/>
        <w:i/>
        <w:iCs/>
        <w:color w:val="auto"/>
        <w:sz w:val="18"/>
        <w:szCs w:val="18"/>
      </w:rPr>
    </w:lvl>
    <w:lvl w:ilvl="2">
      <w:start w:val="1"/>
      <w:numFmt w:val="decimal"/>
      <w:lvlText w:val="%3"/>
      <w:lvlJc w:val="right"/>
      <w:pPr>
        <w:tabs>
          <w:tab w:val="num" w:pos="2160"/>
        </w:tabs>
        <w:ind w:hanging="720"/>
      </w:pPr>
      <w:rPr>
        <w:rFonts w:ascii="Times New Roman" w:hAnsi="Times New Roman" w:cs="Times New Roman" w:hint="default"/>
        <w:b w:val="0"/>
        <w:i/>
        <w:sz w:val="20"/>
        <w:szCs w:val="20"/>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13">
    <w:nsid w:val="44437D3E"/>
    <w:multiLevelType w:val="multilevel"/>
    <w:tmpl w:val="D71A9EBC"/>
    <w:lvl w:ilvl="0">
      <w:start w:val="1"/>
      <w:numFmt w:val="upperRoman"/>
      <w:lvlText w:val="%1."/>
      <w:lvlJc w:val="left"/>
      <w:pPr>
        <w:tabs>
          <w:tab w:val="num" w:pos="0"/>
        </w:tabs>
        <w:ind w:left="720" w:hanging="720"/>
      </w:pPr>
      <w:rPr>
        <w:rFonts w:cs="Times New Roman"/>
      </w:rPr>
    </w:lvl>
    <w:lvl w:ilvl="1">
      <w:start w:val="1"/>
      <w:numFmt w:val="upperLetter"/>
      <w:lvlText w:val="%2."/>
      <w:lvlJc w:val="left"/>
      <w:pPr>
        <w:tabs>
          <w:tab w:val="num" w:pos="0"/>
        </w:tabs>
        <w:ind w:left="720" w:hanging="720"/>
      </w:pPr>
      <w:rPr>
        <w:rFonts w:cs="Times New Roman"/>
      </w:rPr>
    </w:lvl>
    <w:lvl w:ilvl="2">
      <w:start w:val="1"/>
      <w:numFmt w:val="decimal"/>
      <w:lvlText w:val="%3."/>
      <w:lvlJc w:val="left"/>
      <w:pPr>
        <w:tabs>
          <w:tab w:val="num" w:pos="0"/>
        </w:tabs>
        <w:ind w:left="1440" w:hanging="720"/>
      </w:pPr>
      <w:rPr>
        <w:rFonts w:cs="Times New Roman"/>
      </w:rPr>
    </w:lvl>
    <w:lvl w:ilvl="3">
      <w:start w:val="1"/>
      <w:numFmt w:val="lowerLetter"/>
      <w:lvlText w:val="%4."/>
      <w:lvlJc w:val="left"/>
      <w:pPr>
        <w:tabs>
          <w:tab w:val="num" w:pos="0"/>
        </w:tabs>
        <w:ind w:left="2160" w:hanging="720"/>
      </w:pPr>
      <w:rPr>
        <w:rFonts w:cs="Times New Roman"/>
      </w:rPr>
    </w:lvl>
    <w:lvl w:ilvl="4">
      <w:start w:val="1"/>
      <w:numFmt w:val="decimal"/>
      <w:lvlText w:val="(%5)"/>
      <w:lvlJc w:val="left"/>
      <w:pPr>
        <w:tabs>
          <w:tab w:val="num" w:pos="0"/>
        </w:tabs>
        <w:ind w:left="2880" w:hanging="720"/>
      </w:pPr>
      <w:rPr>
        <w:rFonts w:cs="Times New Roman"/>
      </w:rPr>
    </w:lvl>
    <w:lvl w:ilvl="5">
      <w:start w:val="1"/>
      <w:numFmt w:val="lowerLetter"/>
      <w:lvlText w:val="(%6)"/>
      <w:lvlJc w:val="left"/>
      <w:pPr>
        <w:tabs>
          <w:tab w:val="num" w:pos="0"/>
        </w:tabs>
        <w:ind w:left="3600" w:hanging="720"/>
      </w:pPr>
      <w:rPr>
        <w:rFonts w:cs="Times New Roman"/>
      </w:rPr>
    </w:lvl>
    <w:lvl w:ilvl="6">
      <w:start w:val="1"/>
      <w:numFmt w:val="decimal"/>
      <w:lvlText w:val="%7)"/>
      <w:lvlJc w:val="left"/>
      <w:pPr>
        <w:tabs>
          <w:tab w:val="num" w:pos="4320"/>
        </w:tabs>
        <w:ind w:left="4320" w:hanging="720"/>
      </w:pPr>
      <w:rPr>
        <w:rFonts w:cs="Times New Roman"/>
      </w:rPr>
    </w:lvl>
    <w:lvl w:ilvl="7">
      <w:start w:val="1"/>
      <w:numFmt w:val="lowerLetter"/>
      <w:lvlText w:val="%8)"/>
      <w:lvlJc w:val="left"/>
      <w:pPr>
        <w:tabs>
          <w:tab w:val="num" w:pos="0"/>
        </w:tabs>
        <w:ind w:left="5040" w:hanging="720"/>
      </w:pPr>
      <w:rPr>
        <w:rFonts w:cs="Times New Roman"/>
      </w:rPr>
    </w:lvl>
    <w:lvl w:ilvl="8">
      <w:start w:val="1"/>
      <w:numFmt w:val="lowerRoman"/>
      <w:lvlText w:val="%9)"/>
      <w:lvlJc w:val="left"/>
      <w:pPr>
        <w:tabs>
          <w:tab w:val="num" w:pos="0"/>
        </w:tabs>
        <w:ind w:left="5760" w:hanging="720"/>
      </w:pPr>
      <w:rPr>
        <w:rFonts w:cs="Times New Roman"/>
      </w:rPr>
    </w:lvl>
  </w:abstractNum>
  <w:abstractNum w:abstractNumId="14">
    <w:nsid w:val="46491C21"/>
    <w:multiLevelType w:val="multilevel"/>
    <w:tmpl w:val="D71A9EBC"/>
    <w:lvl w:ilvl="0">
      <w:start w:val="1"/>
      <w:numFmt w:val="upperRoman"/>
      <w:lvlText w:val="%1."/>
      <w:lvlJc w:val="left"/>
      <w:pPr>
        <w:tabs>
          <w:tab w:val="num" w:pos="0"/>
        </w:tabs>
        <w:ind w:left="720" w:hanging="720"/>
      </w:pPr>
      <w:rPr>
        <w:rFonts w:cs="Times New Roman"/>
      </w:rPr>
    </w:lvl>
    <w:lvl w:ilvl="1">
      <w:start w:val="1"/>
      <w:numFmt w:val="upperLetter"/>
      <w:lvlText w:val="%2."/>
      <w:lvlJc w:val="left"/>
      <w:pPr>
        <w:tabs>
          <w:tab w:val="num" w:pos="0"/>
        </w:tabs>
        <w:ind w:left="720" w:hanging="720"/>
      </w:pPr>
      <w:rPr>
        <w:rFonts w:cs="Times New Roman"/>
      </w:rPr>
    </w:lvl>
    <w:lvl w:ilvl="2">
      <w:start w:val="1"/>
      <w:numFmt w:val="decimal"/>
      <w:lvlText w:val="%3."/>
      <w:lvlJc w:val="left"/>
      <w:pPr>
        <w:tabs>
          <w:tab w:val="num" w:pos="0"/>
        </w:tabs>
        <w:ind w:left="1440" w:hanging="720"/>
      </w:pPr>
      <w:rPr>
        <w:rFonts w:cs="Times New Roman"/>
      </w:rPr>
    </w:lvl>
    <w:lvl w:ilvl="3">
      <w:start w:val="1"/>
      <w:numFmt w:val="lowerLetter"/>
      <w:lvlText w:val="%4."/>
      <w:lvlJc w:val="left"/>
      <w:pPr>
        <w:tabs>
          <w:tab w:val="num" w:pos="0"/>
        </w:tabs>
        <w:ind w:left="2160" w:hanging="720"/>
      </w:pPr>
      <w:rPr>
        <w:rFonts w:cs="Times New Roman"/>
      </w:rPr>
    </w:lvl>
    <w:lvl w:ilvl="4">
      <w:start w:val="1"/>
      <w:numFmt w:val="decimal"/>
      <w:lvlText w:val="(%5)"/>
      <w:lvlJc w:val="left"/>
      <w:pPr>
        <w:tabs>
          <w:tab w:val="num" w:pos="0"/>
        </w:tabs>
        <w:ind w:left="2880" w:hanging="720"/>
      </w:pPr>
      <w:rPr>
        <w:rFonts w:cs="Times New Roman"/>
      </w:rPr>
    </w:lvl>
    <w:lvl w:ilvl="5">
      <w:start w:val="1"/>
      <w:numFmt w:val="lowerLetter"/>
      <w:lvlText w:val="(%6)"/>
      <w:lvlJc w:val="left"/>
      <w:pPr>
        <w:tabs>
          <w:tab w:val="num" w:pos="0"/>
        </w:tabs>
        <w:ind w:left="3600" w:hanging="720"/>
      </w:pPr>
      <w:rPr>
        <w:rFonts w:cs="Times New Roman"/>
      </w:rPr>
    </w:lvl>
    <w:lvl w:ilvl="6">
      <w:start w:val="1"/>
      <w:numFmt w:val="decimal"/>
      <w:lvlText w:val="%7)"/>
      <w:lvlJc w:val="left"/>
      <w:pPr>
        <w:tabs>
          <w:tab w:val="num" w:pos="4320"/>
        </w:tabs>
        <w:ind w:left="4320" w:hanging="720"/>
      </w:pPr>
      <w:rPr>
        <w:rFonts w:cs="Times New Roman"/>
      </w:rPr>
    </w:lvl>
    <w:lvl w:ilvl="7">
      <w:start w:val="1"/>
      <w:numFmt w:val="lowerLetter"/>
      <w:lvlText w:val="%8)"/>
      <w:lvlJc w:val="left"/>
      <w:pPr>
        <w:tabs>
          <w:tab w:val="num" w:pos="0"/>
        </w:tabs>
        <w:ind w:left="5040" w:hanging="720"/>
      </w:pPr>
      <w:rPr>
        <w:rFonts w:cs="Times New Roman"/>
      </w:rPr>
    </w:lvl>
    <w:lvl w:ilvl="8">
      <w:start w:val="1"/>
      <w:numFmt w:val="lowerRoman"/>
      <w:lvlText w:val="%9)"/>
      <w:lvlJc w:val="left"/>
      <w:pPr>
        <w:tabs>
          <w:tab w:val="num" w:pos="0"/>
        </w:tabs>
        <w:ind w:left="5760" w:hanging="720"/>
      </w:pPr>
      <w:rPr>
        <w:rFonts w:cs="Times New Roman"/>
      </w:rPr>
    </w:lvl>
  </w:abstractNum>
  <w:abstractNum w:abstractNumId="15">
    <w:nsid w:val="5D4442AF"/>
    <w:multiLevelType w:val="multilevel"/>
    <w:tmpl w:val="A250749C"/>
    <w:lvl w:ilvl="0">
      <w:start w:val="1"/>
      <w:numFmt w:val="upperLetter"/>
      <w:lvlText w:val="%1."/>
      <w:lvlJc w:val="left"/>
      <w:pPr>
        <w:ind w:left="900" w:hanging="360"/>
      </w:pPr>
      <w:rPr>
        <w:rFonts w:cs="Times New Roman" w:hint="default"/>
      </w:rPr>
    </w:lvl>
    <w:lvl w:ilvl="1">
      <w:start w:val="1"/>
      <w:numFmt w:val="decimal"/>
      <w:lvlText w:val="%2"/>
      <w:lvlJc w:val="left"/>
      <w:pPr>
        <w:tabs>
          <w:tab w:val="num" w:pos="96"/>
        </w:tabs>
        <w:ind w:left="96" w:hanging="816"/>
      </w:pPr>
      <w:rPr>
        <w:rFonts w:cs="Times New Roman" w:hint="default"/>
        <w:b w:val="0"/>
        <w:bCs w:val="0"/>
        <w:i/>
        <w:iCs/>
        <w:color w:val="auto"/>
        <w:sz w:val="18"/>
        <w:szCs w:val="18"/>
      </w:rPr>
    </w:lvl>
    <w:lvl w:ilvl="2">
      <w:start w:val="1"/>
      <w:numFmt w:val="decimal"/>
      <w:lvlText w:val="%3"/>
      <w:lvlJc w:val="right"/>
      <w:pPr>
        <w:tabs>
          <w:tab w:val="num" w:pos="2160"/>
        </w:tabs>
        <w:ind w:hanging="720"/>
      </w:pPr>
      <w:rPr>
        <w:rFonts w:ascii="Times New Roman" w:hAnsi="Times New Roman" w:cs="Times New Roman" w:hint="default"/>
        <w:b w:val="0"/>
        <w:i/>
        <w:sz w:val="20"/>
        <w:szCs w:val="20"/>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16">
    <w:nsid w:val="60C82CB3"/>
    <w:multiLevelType w:val="multilevel"/>
    <w:tmpl w:val="C44C3936"/>
    <w:lvl w:ilvl="0">
      <w:start w:val="3"/>
      <w:numFmt w:val="upperLetter"/>
      <w:lvlText w:val="%1."/>
      <w:lvlJc w:val="left"/>
      <w:pPr>
        <w:tabs>
          <w:tab w:val="num" w:pos="900"/>
        </w:tabs>
        <w:ind w:left="900" w:hanging="360"/>
      </w:pPr>
      <w:rPr>
        <w:rFonts w:cs="Times New Roman" w:hint="default"/>
      </w:rPr>
    </w:lvl>
    <w:lvl w:ilvl="1">
      <w:start w:val="1"/>
      <w:numFmt w:val="lowerLetter"/>
      <w:lvlText w:val="%2."/>
      <w:lvlJc w:val="left"/>
      <w:pPr>
        <w:tabs>
          <w:tab w:val="num" w:pos="900"/>
        </w:tabs>
        <w:ind w:left="900" w:hanging="360"/>
      </w:pPr>
      <w:rPr>
        <w:rFonts w:cs="Times New Roman"/>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17">
    <w:nsid w:val="65583B58"/>
    <w:multiLevelType w:val="multilevel"/>
    <w:tmpl w:val="42565640"/>
    <w:lvl w:ilvl="0">
      <w:start w:val="1"/>
      <w:numFmt w:val="upperRoman"/>
      <w:lvlText w:val="%1."/>
      <w:lvlJc w:val="right"/>
      <w:pPr>
        <w:tabs>
          <w:tab w:val="num" w:pos="180"/>
        </w:tabs>
        <w:ind w:left="180" w:hanging="180"/>
      </w:pPr>
      <w:rPr>
        <w:rFonts w:cs="Times New Roman"/>
      </w:rPr>
    </w:lvl>
    <w:lvl w:ilvl="1">
      <w:start w:val="1"/>
      <w:numFmt w:val="upperLetter"/>
      <w:lvlText w:val="%2."/>
      <w:lvlJc w:val="left"/>
      <w:pPr>
        <w:tabs>
          <w:tab w:val="num" w:pos="0"/>
        </w:tabs>
        <w:ind w:left="720" w:hanging="720"/>
      </w:pPr>
      <w:rPr>
        <w:rFonts w:cs="Times New Roman"/>
      </w:rPr>
    </w:lvl>
    <w:lvl w:ilvl="2">
      <w:start w:val="1"/>
      <w:numFmt w:val="decimal"/>
      <w:lvlText w:val="%3."/>
      <w:lvlJc w:val="left"/>
      <w:pPr>
        <w:tabs>
          <w:tab w:val="num" w:pos="0"/>
        </w:tabs>
        <w:ind w:left="1440" w:hanging="720"/>
      </w:pPr>
      <w:rPr>
        <w:rFonts w:cs="Times New Roman"/>
      </w:rPr>
    </w:lvl>
    <w:lvl w:ilvl="3">
      <w:start w:val="1"/>
      <w:numFmt w:val="lowerLetter"/>
      <w:lvlText w:val="%4."/>
      <w:lvlJc w:val="left"/>
      <w:pPr>
        <w:tabs>
          <w:tab w:val="num" w:pos="0"/>
        </w:tabs>
        <w:ind w:left="2160" w:hanging="720"/>
      </w:pPr>
      <w:rPr>
        <w:rFonts w:cs="Times New Roman"/>
      </w:rPr>
    </w:lvl>
    <w:lvl w:ilvl="4">
      <w:start w:val="1"/>
      <w:numFmt w:val="decimal"/>
      <w:lvlText w:val="(%5)"/>
      <w:lvlJc w:val="left"/>
      <w:pPr>
        <w:tabs>
          <w:tab w:val="num" w:pos="0"/>
        </w:tabs>
        <w:ind w:left="2880" w:hanging="720"/>
      </w:pPr>
      <w:rPr>
        <w:rFonts w:cs="Times New Roman"/>
      </w:rPr>
    </w:lvl>
    <w:lvl w:ilvl="5">
      <w:start w:val="1"/>
      <w:numFmt w:val="lowerLetter"/>
      <w:lvlText w:val="(%6)"/>
      <w:lvlJc w:val="left"/>
      <w:pPr>
        <w:tabs>
          <w:tab w:val="num" w:pos="0"/>
        </w:tabs>
        <w:ind w:left="3600" w:hanging="720"/>
      </w:pPr>
      <w:rPr>
        <w:rFonts w:cs="Times New Roman"/>
      </w:rPr>
    </w:lvl>
    <w:lvl w:ilvl="6">
      <w:start w:val="1"/>
      <w:numFmt w:val="decimal"/>
      <w:lvlText w:val="%7)"/>
      <w:lvlJc w:val="left"/>
      <w:pPr>
        <w:tabs>
          <w:tab w:val="num" w:pos="4320"/>
        </w:tabs>
        <w:ind w:left="4320" w:hanging="720"/>
      </w:pPr>
      <w:rPr>
        <w:rFonts w:cs="Times New Roman"/>
      </w:rPr>
    </w:lvl>
    <w:lvl w:ilvl="7">
      <w:start w:val="1"/>
      <w:numFmt w:val="lowerLetter"/>
      <w:lvlText w:val="%8)"/>
      <w:lvlJc w:val="left"/>
      <w:pPr>
        <w:tabs>
          <w:tab w:val="num" w:pos="0"/>
        </w:tabs>
        <w:ind w:left="5040" w:hanging="720"/>
      </w:pPr>
      <w:rPr>
        <w:rFonts w:cs="Times New Roman"/>
      </w:rPr>
    </w:lvl>
    <w:lvl w:ilvl="8">
      <w:start w:val="1"/>
      <w:numFmt w:val="lowerRoman"/>
      <w:lvlText w:val="%9)"/>
      <w:lvlJc w:val="left"/>
      <w:pPr>
        <w:tabs>
          <w:tab w:val="num" w:pos="0"/>
        </w:tabs>
        <w:ind w:left="5760" w:hanging="720"/>
      </w:pPr>
      <w:rPr>
        <w:rFonts w:cs="Times New Roman"/>
      </w:rPr>
    </w:lvl>
  </w:abstractNum>
  <w:abstractNum w:abstractNumId="18">
    <w:nsid w:val="7B001003"/>
    <w:multiLevelType w:val="singleLevel"/>
    <w:tmpl w:val="9128420C"/>
    <w:lvl w:ilvl="0">
      <w:start w:val="1"/>
      <w:numFmt w:val="decimal"/>
      <w:pStyle w:val="ParNumber"/>
      <w:lvlText w:val="%1."/>
      <w:lvlJc w:val="left"/>
      <w:pPr>
        <w:tabs>
          <w:tab w:val="num" w:pos="360"/>
        </w:tabs>
        <w:ind w:left="360" w:hanging="360"/>
      </w:pPr>
      <w:rPr>
        <w:rFonts w:cs="Times New Roman"/>
        <w:b w:val="0"/>
        <w:i/>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8"/>
  </w:num>
  <w:num w:numId="13">
    <w:abstractNumId w:val="2"/>
  </w:num>
  <w:num w:numId="14">
    <w:abstractNumId w:val="14"/>
  </w:num>
  <w:num w:numId="15">
    <w:abstractNumId w:val="7"/>
  </w:num>
  <w:num w:numId="16">
    <w:abstractNumId w:val="13"/>
  </w:num>
  <w:num w:numId="17">
    <w:abstractNumId w:val="11"/>
  </w:num>
  <w:num w:numId="18">
    <w:abstractNumId w:val="4"/>
  </w:num>
  <w:num w:numId="19">
    <w:abstractNumId w:val="6"/>
  </w:num>
  <w:num w:numId="20">
    <w:abstractNumId w:val="17"/>
  </w:num>
  <w:num w:numId="21">
    <w:abstractNumId w:val="3"/>
  </w:num>
  <w:num w:numId="22">
    <w:abstractNumId w:val="10"/>
  </w:num>
  <w:num w:numId="23">
    <w:abstractNumId w:val="16"/>
  </w:num>
  <w:num w:numId="24">
    <w:abstractNumId w:val="5"/>
  </w:num>
  <w:num w:numId="25">
    <w:abstractNumId w:val="1"/>
  </w:num>
  <w:num w:numId="26">
    <w:abstractNumId w:val="8"/>
  </w:num>
  <w:num w:numId="27">
    <w:abstractNumId w:val="9"/>
  </w:num>
  <w:num w:numId="28">
    <w:abstractNumId w:val="12"/>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073A"/>
    <w:rsid w:val="00002B51"/>
    <w:rsid w:val="00002BF1"/>
    <w:rsid w:val="00002CBD"/>
    <w:rsid w:val="00002D87"/>
    <w:rsid w:val="000040A1"/>
    <w:rsid w:val="000118FA"/>
    <w:rsid w:val="00013E53"/>
    <w:rsid w:val="00020F09"/>
    <w:rsid w:val="00027432"/>
    <w:rsid w:val="00027597"/>
    <w:rsid w:val="00027B97"/>
    <w:rsid w:val="000327AE"/>
    <w:rsid w:val="00032AAF"/>
    <w:rsid w:val="00033B90"/>
    <w:rsid w:val="00035123"/>
    <w:rsid w:val="0003781D"/>
    <w:rsid w:val="00037ECD"/>
    <w:rsid w:val="00042919"/>
    <w:rsid w:val="000432CA"/>
    <w:rsid w:val="00043AF7"/>
    <w:rsid w:val="00043C50"/>
    <w:rsid w:val="000447F8"/>
    <w:rsid w:val="00046678"/>
    <w:rsid w:val="00050317"/>
    <w:rsid w:val="00050A06"/>
    <w:rsid w:val="0005371D"/>
    <w:rsid w:val="00054337"/>
    <w:rsid w:val="00054D9D"/>
    <w:rsid w:val="00064537"/>
    <w:rsid w:val="00064804"/>
    <w:rsid w:val="00065B88"/>
    <w:rsid w:val="00066F9F"/>
    <w:rsid w:val="00072067"/>
    <w:rsid w:val="000758B1"/>
    <w:rsid w:val="00076E8F"/>
    <w:rsid w:val="00077AD8"/>
    <w:rsid w:val="000808A0"/>
    <w:rsid w:val="000809CC"/>
    <w:rsid w:val="00082B5B"/>
    <w:rsid w:val="00092A5F"/>
    <w:rsid w:val="000A2D2F"/>
    <w:rsid w:val="000B38B4"/>
    <w:rsid w:val="000C10C2"/>
    <w:rsid w:val="000C217B"/>
    <w:rsid w:val="000C6918"/>
    <w:rsid w:val="000D460F"/>
    <w:rsid w:val="000D4677"/>
    <w:rsid w:val="000D580E"/>
    <w:rsid w:val="000E06F1"/>
    <w:rsid w:val="000E4C1C"/>
    <w:rsid w:val="000E5177"/>
    <w:rsid w:val="000F068B"/>
    <w:rsid w:val="000F1ED5"/>
    <w:rsid w:val="000F3774"/>
    <w:rsid w:val="000F677D"/>
    <w:rsid w:val="001000F8"/>
    <w:rsid w:val="00103324"/>
    <w:rsid w:val="00104EE5"/>
    <w:rsid w:val="00106943"/>
    <w:rsid w:val="00106A8E"/>
    <w:rsid w:val="00106FAD"/>
    <w:rsid w:val="00116BBF"/>
    <w:rsid w:val="001174B6"/>
    <w:rsid w:val="00122D06"/>
    <w:rsid w:val="0012450D"/>
    <w:rsid w:val="00125811"/>
    <w:rsid w:val="00125BD2"/>
    <w:rsid w:val="00125CC0"/>
    <w:rsid w:val="0013466B"/>
    <w:rsid w:val="0013630F"/>
    <w:rsid w:val="00140835"/>
    <w:rsid w:val="001430A1"/>
    <w:rsid w:val="0014790E"/>
    <w:rsid w:val="001510FD"/>
    <w:rsid w:val="0015392F"/>
    <w:rsid w:val="001561F5"/>
    <w:rsid w:val="00156580"/>
    <w:rsid w:val="00162B7B"/>
    <w:rsid w:val="001631EF"/>
    <w:rsid w:val="00163C0A"/>
    <w:rsid w:val="00176C58"/>
    <w:rsid w:val="00181E40"/>
    <w:rsid w:val="00186CC1"/>
    <w:rsid w:val="001902EC"/>
    <w:rsid w:val="001929C7"/>
    <w:rsid w:val="001A1786"/>
    <w:rsid w:val="001A1E04"/>
    <w:rsid w:val="001A6BEB"/>
    <w:rsid w:val="001A7617"/>
    <w:rsid w:val="001B4113"/>
    <w:rsid w:val="001B4EBB"/>
    <w:rsid w:val="001C464A"/>
    <w:rsid w:val="001C5EE0"/>
    <w:rsid w:val="001C67B5"/>
    <w:rsid w:val="001C79F7"/>
    <w:rsid w:val="001D0D90"/>
    <w:rsid w:val="001D2707"/>
    <w:rsid w:val="001D29D7"/>
    <w:rsid w:val="001D4087"/>
    <w:rsid w:val="001D5D06"/>
    <w:rsid w:val="001E1079"/>
    <w:rsid w:val="001E4225"/>
    <w:rsid w:val="001E602F"/>
    <w:rsid w:val="001F20F7"/>
    <w:rsid w:val="001F3983"/>
    <w:rsid w:val="001F4532"/>
    <w:rsid w:val="001F48DC"/>
    <w:rsid w:val="001F5B5A"/>
    <w:rsid w:val="001F6D3E"/>
    <w:rsid w:val="001F71AA"/>
    <w:rsid w:val="0020372C"/>
    <w:rsid w:val="00207637"/>
    <w:rsid w:val="00212000"/>
    <w:rsid w:val="0022227E"/>
    <w:rsid w:val="00224245"/>
    <w:rsid w:val="00226143"/>
    <w:rsid w:val="002320E7"/>
    <w:rsid w:val="0023237A"/>
    <w:rsid w:val="002361B4"/>
    <w:rsid w:val="002365F6"/>
    <w:rsid w:val="00240FC5"/>
    <w:rsid w:val="00242E92"/>
    <w:rsid w:val="00244748"/>
    <w:rsid w:val="002477FD"/>
    <w:rsid w:val="0025341A"/>
    <w:rsid w:val="00263435"/>
    <w:rsid w:val="002640BA"/>
    <w:rsid w:val="00265ABD"/>
    <w:rsid w:val="00266526"/>
    <w:rsid w:val="00274553"/>
    <w:rsid w:val="002804DC"/>
    <w:rsid w:val="002805C4"/>
    <w:rsid w:val="00282ABF"/>
    <w:rsid w:val="00282E4D"/>
    <w:rsid w:val="00283EAC"/>
    <w:rsid w:val="002879A5"/>
    <w:rsid w:val="002924D2"/>
    <w:rsid w:val="002939FE"/>
    <w:rsid w:val="00297F98"/>
    <w:rsid w:val="002A2802"/>
    <w:rsid w:val="002A2C22"/>
    <w:rsid w:val="002A2CE0"/>
    <w:rsid w:val="002A4E93"/>
    <w:rsid w:val="002A7047"/>
    <w:rsid w:val="002B44C3"/>
    <w:rsid w:val="002C21B2"/>
    <w:rsid w:val="002C4FFE"/>
    <w:rsid w:val="002C786D"/>
    <w:rsid w:val="002D04DC"/>
    <w:rsid w:val="002E1704"/>
    <w:rsid w:val="002E1D6A"/>
    <w:rsid w:val="002E313C"/>
    <w:rsid w:val="002E662F"/>
    <w:rsid w:val="002F0BBB"/>
    <w:rsid w:val="002F246F"/>
    <w:rsid w:val="002F5660"/>
    <w:rsid w:val="002F5B69"/>
    <w:rsid w:val="00300DDF"/>
    <w:rsid w:val="00304B66"/>
    <w:rsid w:val="003073E6"/>
    <w:rsid w:val="00307D32"/>
    <w:rsid w:val="00310159"/>
    <w:rsid w:val="00315F58"/>
    <w:rsid w:val="0032335E"/>
    <w:rsid w:val="00324A3F"/>
    <w:rsid w:val="00327965"/>
    <w:rsid w:val="00327C3E"/>
    <w:rsid w:val="00332F94"/>
    <w:rsid w:val="00335755"/>
    <w:rsid w:val="00340AD4"/>
    <w:rsid w:val="00340D7D"/>
    <w:rsid w:val="0034490C"/>
    <w:rsid w:val="00345FDF"/>
    <w:rsid w:val="00351E5D"/>
    <w:rsid w:val="003520E4"/>
    <w:rsid w:val="00361E94"/>
    <w:rsid w:val="00363714"/>
    <w:rsid w:val="00364517"/>
    <w:rsid w:val="00365782"/>
    <w:rsid w:val="0036600E"/>
    <w:rsid w:val="00370655"/>
    <w:rsid w:val="00373434"/>
    <w:rsid w:val="00373556"/>
    <w:rsid w:val="0038200F"/>
    <w:rsid w:val="003857B2"/>
    <w:rsid w:val="00385A20"/>
    <w:rsid w:val="00385F60"/>
    <w:rsid w:val="00386824"/>
    <w:rsid w:val="003879F8"/>
    <w:rsid w:val="00390B24"/>
    <w:rsid w:val="003940B7"/>
    <w:rsid w:val="00394233"/>
    <w:rsid w:val="00394AAB"/>
    <w:rsid w:val="0039506F"/>
    <w:rsid w:val="00397704"/>
    <w:rsid w:val="003A0AB2"/>
    <w:rsid w:val="003A2C9C"/>
    <w:rsid w:val="003A2DEE"/>
    <w:rsid w:val="003A7197"/>
    <w:rsid w:val="003A7CD4"/>
    <w:rsid w:val="003A7D21"/>
    <w:rsid w:val="003B000E"/>
    <w:rsid w:val="003B0134"/>
    <w:rsid w:val="003B4784"/>
    <w:rsid w:val="003C143D"/>
    <w:rsid w:val="003C3F10"/>
    <w:rsid w:val="003C4495"/>
    <w:rsid w:val="003E2CE2"/>
    <w:rsid w:val="003E3FA9"/>
    <w:rsid w:val="003E44A3"/>
    <w:rsid w:val="003E5692"/>
    <w:rsid w:val="003E6781"/>
    <w:rsid w:val="003F4A15"/>
    <w:rsid w:val="003F523C"/>
    <w:rsid w:val="00407B95"/>
    <w:rsid w:val="004105A5"/>
    <w:rsid w:val="00414D20"/>
    <w:rsid w:val="00416690"/>
    <w:rsid w:val="00425689"/>
    <w:rsid w:val="004275E7"/>
    <w:rsid w:val="004311DB"/>
    <w:rsid w:val="0043414D"/>
    <w:rsid w:val="004356ED"/>
    <w:rsid w:val="00437FF4"/>
    <w:rsid w:val="00442874"/>
    <w:rsid w:val="00443AE5"/>
    <w:rsid w:val="004466E3"/>
    <w:rsid w:val="004520F6"/>
    <w:rsid w:val="004546EB"/>
    <w:rsid w:val="00454F06"/>
    <w:rsid w:val="004552C8"/>
    <w:rsid w:val="00456562"/>
    <w:rsid w:val="00456906"/>
    <w:rsid w:val="00457AB3"/>
    <w:rsid w:val="00464B55"/>
    <w:rsid w:val="00467510"/>
    <w:rsid w:val="00467E36"/>
    <w:rsid w:val="00472B37"/>
    <w:rsid w:val="00474385"/>
    <w:rsid w:val="00475CBF"/>
    <w:rsid w:val="0048166D"/>
    <w:rsid w:val="0048167D"/>
    <w:rsid w:val="00483180"/>
    <w:rsid w:val="0048386E"/>
    <w:rsid w:val="0048756F"/>
    <w:rsid w:val="004962DB"/>
    <w:rsid w:val="004A0AE0"/>
    <w:rsid w:val="004A156A"/>
    <w:rsid w:val="004A172D"/>
    <w:rsid w:val="004A435D"/>
    <w:rsid w:val="004A678D"/>
    <w:rsid w:val="004A7CB0"/>
    <w:rsid w:val="004B559D"/>
    <w:rsid w:val="004B5BB7"/>
    <w:rsid w:val="004B6B19"/>
    <w:rsid w:val="004B6FFD"/>
    <w:rsid w:val="004B731D"/>
    <w:rsid w:val="004C0778"/>
    <w:rsid w:val="004C10AC"/>
    <w:rsid w:val="004C117F"/>
    <w:rsid w:val="004C279E"/>
    <w:rsid w:val="004C3D2B"/>
    <w:rsid w:val="004D394F"/>
    <w:rsid w:val="004E0500"/>
    <w:rsid w:val="004E1C31"/>
    <w:rsid w:val="004E3D8C"/>
    <w:rsid w:val="004E3EFF"/>
    <w:rsid w:val="004E732D"/>
    <w:rsid w:val="004F02F8"/>
    <w:rsid w:val="004F2DF7"/>
    <w:rsid w:val="004F4537"/>
    <w:rsid w:val="004F6F14"/>
    <w:rsid w:val="004F76E6"/>
    <w:rsid w:val="005024EA"/>
    <w:rsid w:val="00502A10"/>
    <w:rsid w:val="00502B53"/>
    <w:rsid w:val="00503AE5"/>
    <w:rsid w:val="00505B13"/>
    <w:rsid w:val="00506491"/>
    <w:rsid w:val="00506B45"/>
    <w:rsid w:val="00513028"/>
    <w:rsid w:val="0051360D"/>
    <w:rsid w:val="005168A2"/>
    <w:rsid w:val="005209F8"/>
    <w:rsid w:val="00524ACA"/>
    <w:rsid w:val="005258E9"/>
    <w:rsid w:val="005277C9"/>
    <w:rsid w:val="00530276"/>
    <w:rsid w:val="00531495"/>
    <w:rsid w:val="00535F93"/>
    <w:rsid w:val="00536217"/>
    <w:rsid w:val="0053666B"/>
    <w:rsid w:val="00540706"/>
    <w:rsid w:val="0054214F"/>
    <w:rsid w:val="00547F1E"/>
    <w:rsid w:val="00551D8D"/>
    <w:rsid w:val="0055359D"/>
    <w:rsid w:val="00557516"/>
    <w:rsid w:val="00560E03"/>
    <w:rsid w:val="00561B8C"/>
    <w:rsid w:val="0056271A"/>
    <w:rsid w:val="00566C81"/>
    <w:rsid w:val="00566D1B"/>
    <w:rsid w:val="005706D5"/>
    <w:rsid w:val="00570907"/>
    <w:rsid w:val="00571023"/>
    <w:rsid w:val="005720E0"/>
    <w:rsid w:val="00572E24"/>
    <w:rsid w:val="00574347"/>
    <w:rsid w:val="00574917"/>
    <w:rsid w:val="00591CAE"/>
    <w:rsid w:val="00592C4F"/>
    <w:rsid w:val="00592D17"/>
    <w:rsid w:val="005A0F90"/>
    <w:rsid w:val="005A649D"/>
    <w:rsid w:val="005B3B7A"/>
    <w:rsid w:val="005B6ADD"/>
    <w:rsid w:val="005C50EE"/>
    <w:rsid w:val="005C69F1"/>
    <w:rsid w:val="005E0C88"/>
    <w:rsid w:val="005E61A9"/>
    <w:rsid w:val="005F6364"/>
    <w:rsid w:val="00602557"/>
    <w:rsid w:val="00604147"/>
    <w:rsid w:val="00606F20"/>
    <w:rsid w:val="006103D5"/>
    <w:rsid w:val="0061200E"/>
    <w:rsid w:val="00612358"/>
    <w:rsid w:val="00614EB1"/>
    <w:rsid w:val="00617A0E"/>
    <w:rsid w:val="0062400B"/>
    <w:rsid w:val="00642FB4"/>
    <w:rsid w:val="00651E3B"/>
    <w:rsid w:val="00653BF3"/>
    <w:rsid w:val="00666441"/>
    <w:rsid w:val="00670B91"/>
    <w:rsid w:val="00671BBC"/>
    <w:rsid w:val="006808A1"/>
    <w:rsid w:val="00681273"/>
    <w:rsid w:val="00682ECA"/>
    <w:rsid w:val="00683309"/>
    <w:rsid w:val="006855E1"/>
    <w:rsid w:val="00685B9B"/>
    <w:rsid w:val="00687749"/>
    <w:rsid w:val="00691FD5"/>
    <w:rsid w:val="00696E21"/>
    <w:rsid w:val="006A1C42"/>
    <w:rsid w:val="006A38EE"/>
    <w:rsid w:val="006A3BDF"/>
    <w:rsid w:val="006A6ABA"/>
    <w:rsid w:val="006A7717"/>
    <w:rsid w:val="006A7D20"/>
    <w:rsid w:val="006B049D"/>
    <w:rsid w:val="006B3004"/>
    <w:rsid w:val="006B32A8"/>
    <w:rsid w:val="006B5D96"/>
    <w:rsid w:val="006B66B4"/>
    <w:rsid w:val="006C3DF0"/>
    <w:rsid w:val="006C7A5E"/>
    <w:rsid w:val="006D2B75"/>
    <w:rsid w:val="006D314B"/>
    <w:rsid w:val="006D41B0"/>
    <w:rsid w:val="006D490C"/>
    <w:rsid w:val="006D49C0"/>
    <w:rsid w:val="006D61F0"/>
    <w:rsid w:val="006D7F4C"/>
    <w:rsid w:val="006E12F0"/>
    <w:rsid w:val="006E5FF4"/>
    <w:rsid w:val="006F02C8"/>
    <w:rsid w:val="006F1026"/>
    <w:rsid w:val="006F1D2A"/>
    <w:rsid w:val="006F230D"/>
    <w:rsid w:val="006F2682"/>
    <w:rsid w:val="006F3711"/>
    <w:rsid w:val="006F6A0E"/>
    <w:rsid w:val="00706A14"/>
    <w:rsid w:val="00706BF4"/>
    <w:rsid w:val="00710702"/>
    <w:rsid w:val="00712606"/>
    <w:rsid w:val="007157C3"/>
    <w:rsid w:val="00716CCE"/>
    <w:rsid w:val="00717BE5"/>
    <w:rsid w:val="0072468F"/>
    <w:rsid w:val="00724897"/>
    <w:rsid w:val="007316B5"/>
    <w:rsid w:val="0073620D"/>
    <w:rsid w:val="0073651B"/>
    <w:rsid w:val="00741199"/>
    <w:rsid w:val="00744086"/>
    <w:rsid w:val="00745D92"/>
    <w:rsid w:val="00745EA7"/>
    <w:rsid w:val="0075299F"/>
    <w:rsid w:val="00753709"/>
    <w:rsid w:val="007540AC"/>
    <w:rsid w:val="00764173"/>
    <w:rsid w:val="007647C5"/>
    <w:rsid w:val="0076542E"/>
    <w:rsid w:val="00770F94"/>
    <w:rsid w:val="007717A8"/>
    <w:rsid w:val="007729A0"/>
    <w:rsid w:val="007751BF"/>
    <w:rsid w:val="007773E9"/>
    <w:rsid w:val="00782E36"/>
    <w:rsid w:val="00792BFF"/>
    <w:rsid w:val="00794E9C"/>
    <w:rsid w:val="007A6A41"/>
    <w:rsid w:val="007A7F60"/>
    <w:rsid w:val="007B0879"/>
    <w:rsid w:val="007B1C24"/>
    <w:rsid w:val="007B4C68"/>
    <w:rsid w:val="007B66BA"/>
    <w:rsid w:val="007C07AB"/>
    <w:rsid w:val="007C741A"/>
    <w:rsid w:val="007C7F6D"/>
    <w:rsid w:val="007D0C9C"/>
    <w:rsid w:val="007E2D12"/>
    <w:rsid w:val="007E30A6"/>
    <w:rsid w:val="007E45B9"/>
    <w:rsid w:val="007F11E3"/>
    <w:rsid w:val="00801177"/>
    <w:rsid w:val="00806660"/>
    <w:rsid w:val="00812FB5"/>
    <w:rsid w:val="008141AC"/>
    <w:rsid w:val="008160D7"/>
    <w:rsid w:val="00821742"/>
    <w:rsid w:val="00825FA3"/>
    <w:rsid w:val="00826F3B"/>
    <w:rsid w:val="00831D3B"/>
    <w:rsid w:val="00834D76"/>
    <w:rsid w:val="00837761"/>
    <w:rsid w:val="00840A24"/>
    <w:rsid w:val="008442A9"/>
    <w:rsid w:val="00844AE7"/>
    <w:rsid w:val="008453F5"/>
    <w:rsid w:val="0084590E"/>
    <w:rsid w:val="00850F60"/>
    <w:rsid w:val="00851A9C"/>
    <w:rsid w:val="00855FD9"/>
    <w:rsid w:val="0086373B"/>
    <w:rsid w:val="008656AF"/>
    <w:rsid w:val="00865A2E"/>
    <w:rsid w:val="00872FB7"/>
    <w:rsid w:val="00881C36"/>
    <w:rsid w:val="0088529C"/>
    <w:rsid w:val="00885439"/>
    <w:rsid w:val="0088544F"/>
    <w:rsid w:val="00886ECD"/>
    <w:rsid w:val="008912A6"/>
    <w:rsid w:val="008935E8"/>
    <w:rsid w:val="008968A9"/>
    <w:rsid w:val="008A1193"/>
    <w:rsid w:val="008A2AEA"/>
    <w:rsid w:val="008A425E"/>
    <w:rsid w:val="008A68AD"/>
    <w:rsid w:val="008B178A"/>
    <w:rsid w:val="008B1D64"/>
    <w:rsid w:val="008B353D"/>
    <w:rsid w:val="008B5517"/>
    <w:rsid w:val="008C3B0D"/>
    <w:rsid w:val="008C4447"/>
    <w:rsid w:val="008C6AB7"/>
    <w:rsid w:val="008D036B"/>
    <w:rsid w:val="008D3B27"/>
    <w:rsid w:val="008D5AEF"/>
    <w:rsid w:val="008E0A72"/>
    <w:rsid w:val="008E1289"/>
    <w:rsid w:val="008E5853"/>
    <w:rsid w:val="008E58EE"/>
    <w:rsid w:val="008F30BC"/>
    <w:rsid w:val="008F4585"/>
    <w:rsid w:val="008F5CFD"/>
    <w:rsid w:val="00900518"/>
    <w:rsid w:val="009008AC"/>
    <w:rsid w:val="009103B8"/>
    <w:rsid w:val="0091166F"/>
    <w:rsid w:val="00920838"/>
    <w:rsid w:val="0092292A"/>
    <w:rsid w:val="00926164"/>
    <w:rsid w:val="009266F2"/>
    <w:rsid w:val="00927387"/>
    <w:rsid w:val="00927471"/>
    <w:rsid w:val="0093031C"/>
    <w:rsid w:val="00930A75"/>
    <w:rsid w:val="00931D48"/>
    <w:rsid w:val="00932C92"/>
    <w:rsid w:val="0093437E"/>
    <w:rsid w:val="009352CB"/>
    <w:rsid w:val="00935622"/>
    <w:rsid w:val="00944D88"/>
    <w:rsid w:val="00946BDB"/>
    <w:rsid w:val="00947675"/>
    <w:rsid w:val="0095164B"/>
    <w:rsid w:val="00951DD8"/>
    <w:rsid w:val="00954A47"/>
    <w:rsid w:val="0095533C"/>
    <w:rsid w:val="00970E4F"/>
    <w:rsid w:val="00974694"/>
    <w:rsid w:val="00981103"/>
    <w:rsid w:val="0098165B"/>
    <w:rsid w:val="0098307F"/>
    <w:rsid w:val="00987869"/>
    <w:rsid w:val="009902C5"/>
    <w:rsid w:val="00990AD2"/>
    <w:rsid w:val="0099207A"/>
    <w:rsid w:val="00993AF2"/>
    <w:rsid w:val="009A1CD2"/>
    <w:rsid w:val="009B2D90"/>
    <w:rsid w:val="009B4AA2"/>
    <w:rsid w:val="009C0046"/>
    <w:rsid w:val="009C36F9"/>
    <w:rsid w:val="009D048F"/>
    <w:rsid w:val="009D10E0"/>
    <w:rsid w:val="009D201F"/>
    <w:rsid w:val="009D29F5"/>
    <w:rsid w:val="009D3253"/>
    <w:rsid w:val="009D41C3"/>
    <w:rsid w:val="009D60C9"/>
    <w:rsid w:val="009D7E61"/>
    <w:rsid w:val="009E1A3C"/>
    <w:rsid w:val="009E2218"/>
    <w:rsid w:val="009E5D45"/>
    <w:rsid w:val="009F0691"/>
    <w:rsid w:val="009F0D74"/>
    <w:rsid w:val="009F21EF"/>
    <w:rsid w:val="009F4D5C"/>
    <w:rsid w:val="00A03FB2"/>
    <w:rsid w:val="00A05EB4"/>
    <w:rsid w:val="00A05FD2"/>
    <w:rsid w:val="00A06148"/>
    <w:rsid w:val="00A06284"/>
    <w:rsid w:val="00A06A43"/>
    <w:rsid w:val="00A07F2B"/>
    <w:rsid w:val="00A145FF"/>
    <w:rsid w:val="00A14CC6"/>
    <w:rsid w:val="00A20D02"/>
    <w:rsid w:val="00A23C87"/>
    <w:rsid w:val="00A25784"/>
    <w:rsid w:val="00A26203"/>
    <w:rsid w:val="00A26BE9"/>
    <w:rsid w:val="00A279E6"/>
    <w:rsid w:val="00A32059"/>
    <w:rsid w:val="00A34765"/>
    <w:rsid w:val="00A40157"/>
    <w:rsid w:val="00A43CEB"/>
    <w:rsid w:val="00A43E9F"/>
    <w:rsid w:val="00A4730E"/>
    <w:rsid w:val="00A54CEC"/>
    <w:rsid w:val="00A574D2"/>
    <w:rsid w:val="00A57A0E"/>
    <w:rsid w:val="00A60139"/>
    <w:rsid w:val="00A62244"/>
    <w:rsid w:val="00A640D6"/>
    <w:rsid w:val="00A76405"/>
    <w:rsid w:val="00A8084A"/>
    <w:rsid w:val="00A81929"/>
    <w:rsid w:val="00A84170"/>
    <w:rsid w:val="00A85DF4"/>
    <w:rsid w:val="00A9140D"/>
    <w:rsid w:val="00A92C5B"/>
    <w:rsid w:val="00A95B0D"/>
    <w:rsid w:val="00A96140"/>
    <w:rsid w:val="00A96A5F"/>
    <w:rsid w:val="00AA4161"/>
    <w:rsid w:val="00AA7246"/>
    <w:rsid w:val="00AA7812"/>
    <w:rsid w:val="00AB3D0B"/>
    <w:rsid w:val="00AB6E95"/>
    <w:rsid w:val="00AB72DF"/>
    <w:rsid w:val="00AC0305"/>
    <w:rsid w:val="00AC04D7"/>
    <w:rsid w:val="00AC419C"/>
    <w:rsid w:val="00AC5A87"/>
    <w:rsid w:val="00AD126F"/>
    <w:rsid w:val="00AD28D3"/>
    <w:rsid w:val="00AD5733"/>
    <w:rsid w:val="00AF257A"/>
    <w:rsid w:val="00AF41EF"/>
    <w:rsid w:val="00AF6471"/>
    <w:rsid w:val="00AF73D5"/>
    <w:rsid w:val="00B02291"/>
    <w:rsid w:val="00B04DE1"/>
    <w:rsid w:val="00B05921"/>
    <w:rsid w:val="00B07ACD"/>
    <w:rsid w:val="00B100D7"/>
    <w:rsid w:val="00B10128"/>
    <w:rsid w:val="00B1082F"/>
    <w:rsid w:val="00B1126C"/>
    <w:rsid w:val="00B20CE0"/>
    <w:rsid w:val="00B30EFD"/>
    <w:rsid w:val="00B313BE"/>
    <w:rsid w:val="00B3178F"/>
    <w:rsid w:val="00B323B6"/>
    <w:rsid w:val="00B32494"/>
    <w:rsid w:val="00B37FEE"/>
    <w:rsid w:val="00B4209D"/>
    <w:rsid w:val="00B42980"/>
    <w:rsid w:val="00B4619F"/>
    <w:rsid w:val="00B50565"/>
    <w:rsid w:val="00B54392"/>
    <w:rsid w:val="00B546C4"/>
    <w:rsid w:val="00B62AF7"/>
    <w:rsid w:val="00B63C68"/>
    <w:rsid w:val="00B6505C"/>
    <w:rsid w:val="00B72422"/>
    <w:rsid w:val="00B724A3"/>
    <w:rsid w:val="00B7359C"/>
    <w:rsid w:val="00B74147"/>
    <w:rsid w:val="00B7699D"/>
    <w:rsid w:val="00B827C0"/>
    <w:rsid w:val="00B94354"/>
    <w:rsid w:val="00B95913"/>
    <w:rsid w:val="00B96518"/>
    <w:rsid w:val="00BB061D"/>
    <w:rsid w:val="00BB29A5"/>
    <w:rsid w:val="00BB68FE"/>
    <w:rsid w:val="00BC15B7"/>
    <w:rsid w:val="00BC521D"/>
    <w:rsid w:val="00BE1806"/>
    <w:rsid w:val="00BE2542"/>
    <w:rsid w:val="00BE451C"/>
    <w:rsid w:val="00BE56D0"/>
    <w:rsid w:val="00BF0C7F"/>
    <w:rsid w:val="00BF5231"/>
    <w:rsid w:val="00BF57FA"/>
    <w:rsid w:val="00BF7A4D"/>
    <w:rsid w:val="00C01EE7"/>
    <w:rsid w:val="00C03AA6"/>
    <w:rsid w:val="00C03AD6"/>
    <w:rsid w:val="00C04281"/>
    <w:rsid w:val="00C04887"/>
    <w:rsid w:val="00C1073A"/>
    <w:rsid w:val="00C11C76"/>
    <w:rsid w:val="00C1560C"/>
    <w:rsid w:val="00C17628"/>
    <w:rsid w:val="00C21144"/>
    <w:rsid w:val="00C264E5"/>
    <w:rsid w:val="00C304B4"/>
    <w:rsid w:val="00C33F04"/>
    <w:rsid w:val="00C3412B"/>
    <w:rsid w:val="00C35688"/>
    <w:rsid w:val="00C37775"/>
    <w:rsid w:val="00C417A4"/>
    <w:rsid w:val="00C477E7"/>
    <w:rsid w:val="00C500CB"/>
    <w:rsid w:val="00C5063C"/>
    <w:rsid w:val="00C530AB"/>
    <w:rsid w:val="00C53D8F"/>
    <w:rsid w:val="00C62AA4"/>
    <w:rsid w:val="00C64792"/>
    <w:rsid w:val="00C666AE"/>
    <w:rsid w:val="00C66D8D"/>
    <w:rsid w:val="00C674C3"/>
    <w:rsid w:val="00C72EE5"/>
    <w:rsid w:val="00C771A4"/>
    <w:rsid w:val="00C83C6B"/>
    <w:rsid w:val="00C856E5"/>
    <w:rsid w:val="00C86575"/>
    <w:rsid w:val="00C869FD"/>
    <w:rsid w:val="00C903B2"/>
    <w:rsid w:val="00C90E9C"/>
    <w:rsid w:val="00C91B21"/>
    <w:rsid w:val="00C9692C"/>
    <w:rsid w:val="00CA0A19"/>
    <w:rsid w:val="00CA244D"/>
    <w:rsid w:val="00CA5C3C"/>
    <w:rsid w:val="00CB009B"/>
    <w:rsid w:val="00CB2328"/>
    <w:rsid w:val="00CB3987"/>
    <w:rsid w:val="00CB6DD5"/>
    <w:rsid w:val="00CC1827"/>
    <w:rsid w:val="00CC19D7"/>
    <w:rsid w:val="00CC1B6F"/>
    <w:rsid w:val="00CC5D72"/>
    <w:rsid w:val="00CC5E90"/>
    <w:rsid w:val="00CD4156"/>
    <w:rsid w:val="00CD7207"/>
    <w:rsid w:val="00CD751F"/>
    <w:rsid w:val="00CD7A15"/>
    <w:rsid w:val="00CD7FCF"/>
    <w:rsid w:val="00CE188D"/>
    <w:rsid w:val="00CE31EF"/>
    <w:rsid w:val="00CE6140"/>
    <w:rsid w:val="00CE6A18"/>
    <w:rsid w:val="00CE7B64"/>
    <w:rsid w:val="00CF14E7"/>
    <w:rsid w:val="00CF21F8"/>
    <w:rsid w:val="00D007FB"/>
    <w:rsid w:val="00D017E1"/>
    <w:rsid w:val="00D05DEF"/>
    <w:rsid w:val="00D10214"/>
    <w:rsid w:val="00D1208C"/>
    <w:rsid w:val="00D13F59"/>
    <w:rsid w:val="00D14275"/>
    <w:rsid w:val="00D1471A"/>
    <w:rsid w:val="00D1661D"/>
    <w:rsid w:val="00D17C45"/>
    <w:rsid w:val="00D21986"/>
    <w:rsid w:val="00D237F4"/>
    <w:rsid w:val="00D33C0A"/>
    <w:rsid w:val="00D349AA"/>
    <w:rsid w:val="00D40C46"/>
    <w:rsid w:val="00D42461"/>
    <w:rsid w:val="00D426E1"/>
    <w:rsid w:val="00D43357"/>
    <w:rsid w:val="00D45E69"/>
    <w:rsid w:val="00D47F97"/>
    <w:rsid w:val="00D50CA6"/>
    <w:rsid w:val="00D523E2"/>
    <w:rsid w:val="00D5316F"/>
    <w:rsid w:val="00D53D7C"/>
    <w:rsid w:val="00D544FE"/>
    <w:rsid w:val="00D6170D"/>
    <w:rsid w:val="00D61908"/>
    <w:rsid w:val="00D628D2"/>
    <w:rsid w:val="00D65665"/>
    <w:rsid w:val="00D6749A"/>
    <w:rsid w:val="00D67EB8"/>
    <w:rsid w:val="00D70A07"/>
    <w:rsid w:val="00D73E87"/>
    <w:rsid w:val="00D75488"/>
    <w:rsid w:val="00D761BC"/>
    <w:rsid w:val="00D765D8"/>
    <w:rsid w:val="00D812EA"/>
    <w:rsid w:val="00D84175"/>
    <w:rsid w:val="00D85973"/>
    <w:rsid w:val="00D9000D"/>
    <w:rsid w:val="00D91D2D"/>
    <w:rsid w:val="00D93F72"/>
    <w:rsid w:val="00D94014"/>
    <w:rsid w:val="00D9594B"/>
    <w:rsid w:val="00D96D35"/>
    <w:rsid w:val="00DA2D01"/>
    <w:rsid w:val="00DA6501"/>
    <w:rsid w:val="00DB679E"/>
    <w:rsid w:val="00DB7A47"/>
    <w:rsid w:val="00DC4CF1"/>
    <w:rsid w:val="00DE0AF1"/>
    <w:rsid w:val="00DE11A9"/>
    <w:rsid w:val="00DE1F77"/>
    <w:rsid w:val="00DE24F1"/>
    <w:rsid w:val="00DE2DDC"/>
    <w:rsid w:val="00DF4C7D"/>
    <w:rsid w:val="00DF5467"/>
    <w:rsid w:val="00E008DA"/>
    <w:rsid w:val="00E06B08"/>
    <w:rsid w:val="00E101A3"/>
    <w:rsid w:val="00E12AA7"/>
    <w:rsid w:val="00E147FB"/>
    <w:rsid w:val="00E1523D"/>
    <w:rsid w:val="00E15BB7"/>
    <w:rsid w:val="00E20D38"/>
    <w:rsid w:val="00E20E7B"/>
    <w:rsid w:val="00E27DE6"/>
    <w:rsid w:val="00E31601"/>
    <w:rsid w:val="00E31A30"/>
    <w:rsid w:val="00E33C16"/>
    <w:rsid w:val="00E3404E"/>
    <w:rsid w:val="00E34BBE"/>
    <w:rsid w:val="00E41B07"/>
    <w:rsid w:val="00E42E7A"/>
    <w:rsid w:val="00E50DD6"/>
    <w:rsid w:val="00E521C8"/>
    <w:rsid w:val="00E53DE8"/>
    <w:rsid w:val="00E62663"/>
    <w:rsid w:val="00E63DEC"/>
    <w:rsid w:val="00E665E8"/>
    <w:rsid w:val="00E71C45"/>
    <w:rsid w:val="00E71F7E"/>
    <w:rsid w:val="00E732C0"/>
    <w:rsid w:val="00E74D6B"/>
    <w:rsid w:val="00E80072"/>
    <w:rsid w:val="00E920FD"/>
    <w:rsid w:val="00E94047"/>
    <w:rsid w:val="00E94A12"/>
    <w:rsid w:val="00EA0752"/>
    <w:rsid w:val="00EA6DDB"/>
    <w:rsid w:val="00EA76F3"/>
    <w:rsid w:val="00EB1146"/>
    <w:rsid w:val="00EB6624"/>
    <w:rsid w:val="00EB69C2"/>
    <w:rsid w:val="00EB77BD"/>
    <w:rsid w:val="00ED0ADF"/>
    <w:rsid w:val="00ED3D57"/>
    <w:rsid w:val="00ED3FE0"/>
    <w:rsid w:val="00ED4718"/>
    <w:rsid w:val="00ED7E70"/>
    <w:rsid w:val="00EE0415"/>
    <w:rsid w:val="00EE345A"/>
    <w:rsid w:val="00EE4D88"/>
    <w:rsid w:val="00EE56DA"/>
    <w:rsid w:val="00EF04A8"/>
    <w:rsid w:val="00EF4797"/>
    <w:rsid w:val="00EF4EBA"/>
    <w:rsid w:val="00EF607E"/>
    <w:rsid w:val="00EF786A"/>
    <w:rsid w:val="00F0068F"/>
    <w:rsid w:val="00F00FA6"/>
    <w:rsid w:val="00F12D46"/>
    <w:rsid w:val="00F13A33"/>
    <w:rsid w:val="00F14390"/>
    <w:rsid w:val="00F159B0"/>
    <w:rsid w:val="00F16621"/>
    <w:rsid w:val="00F177CF"/>
    <w:rsid w:val="00F17A76"/>
    <w:rsid w:val="00F245F3"/>
    <w:rsid w:val="00F269AB"/>
    <w:rsid w:val="00F36672"/>
    <w:rsid w:val="00F416F0"/>
    <w:rsid w:val="00F45EE2"/>
    <w:rsid w:val="00F4697B"/>
    <w:rsid w:val="00F47934"/>
    <w:rsid w:val="00F50B42"/>
    <w:rsid w:val="00F562FB"/>
    <w:rsid w:val="00F563ED"/>
    <w:rsid w:val="00F57467"/>
    <w:rsid w:val="00F57558"/>
    <w:rsid w:val="00F61F0D"/>
    <w:rsid w:val="00F64EFB"/>
    <w:rsid w:val="00F658C0"/>
    <w:rsid w:val="00F71884"/>
    <w:rsid w:val="00F72020"/>
    <w:rsid w:val="00F76191"/>
    <w:rsid w:val="00F76287"/>
    <w:rsid w:val="00F77926"/>
    <w:rsid w:val="00F80735"/>
    <w:rsid w:val="00F820BB"/>
    <w:rsid w:val="00F83E77"/>
    <w:rsid w:val="00F83FB9"/>
    <w:rsid w:val="00F91E8A"/>
    <w:rsid w:val="00F921E2"/>
    <w:rsid w:val="00F92AF6"/>
    <w:rsid w:val="00F95A43"/>
    <w:rsid w:val="00FA1115"/>
    <w:rsid w:val="00FA77B2"/>
    <w:rsid w:val="00FB07AD"/>
    <w:rsid w:val="00FB0A53"/>
    <w:rsid w:val="00FC0191"/>
    <w:rsid w:val="00FC15BC"/>
    <w:rsid w:val="00FC3D1E"/>
    <w:rsid w:val="00FC680C"/>
    <w:rsid w:val="00FD401A"/>
    <w:rsid w:val="00FD71EA"/>
    <w:rsid w:val="00FE364D"/>
    <w:rsid w:val="00FE59C0"/>
    <w:rsid w:val="00FE7969"/>
    <w:rsid w:val="00FF1EE4"/>
    <w:rsid w:val="00FF4E02"/>
    <w:rsid w:val="00FF5B98"/>
    <w:rsid w:val="00FF6009"/>
    <w:rsid w:val="00FF67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1073A"/>
    <w:rPr>
      <w:sz w:val="24"/>
      <w:szCs w:val="24"/>
    </w:rPr>
  </w:style>
  <w:style w:type="paragraph" w:styleId="Heading1">
    <w:name w:val="heading 1"/>
    <w:basedOn w:val="Normal"/>
    <w:next w:val="Normal"/>
    <w:link w:val="Heading1Char"/>
    <w:uiPriority w:val="99"/>
    <w:qFormat/>
    <w:rsid w:val="005A0F90"/>
    <w:pPr>
      <w:keepNext/>
      <w:spacing w:before="240"/>
      <w:jc w:val="center"/>
      <w:outlineLvl w:val="0"/>
    </w:pPr>
    <w:rPr>
      <w:b/>
      <w:caps/>
      <w:kern w:val="28"/>
      <w:szCs w:val="20"/>
    </w:rPr>
  </w:style>
  <w:style w:type="paragraph" w:styleId="Heading2">
    <w:name w:val="heading 2"/>
    <w:basedOn w:val="Normal"/>
    <w:next w:val="Normal"/>
    <w:link w:val="Heading2Char"/>
    <w:uiPriority w:val="99"/>
    <w:qFormat/>
    <w:rsid w:val="005A0F90"/>
    <w:pPr>
      <w:keepNext/>
      <w:numPr>
        <w:ilvl w:val="1"/>
        <w:numId w:val="11"/>
      </w:numPr>
      <w:spacing w:before="240"/>
      <w:outlineLvl w:val="1"/>
    </w:pPr>
    <w:rPr>
      <w:b/>
    </w:rPr>
  </w:style>
  <w:style w:type="paragraph" w:styleId="Heading3">
    <w:name w:val="heading 3"/>
    <w:basedOn w:val="Normal"/>
    <w:next w:val="Normal"/>
    <w:link w:val="Heading3Char"/>
    <w:uiPriority w:val="99"/>
    <w:qFormat/>
    <w:rsid w:val="005A0F90"/>
    <w:pPr>
      <w:keepNext/>
      <w:numPr>
        <w:ilvl w:val="2"/>
        <w:numId w:val="11"/>
      </w:numPr>
      <w:spacing w:before="240"/>
      <w:outlineLvl w:val="2"/>
    </w:pPr>
    <w:rPr>
      <w:b/>
    </w:rPr>
  </w:style>
  <w:style w:type="paragraph" w:styleId="Heading4">
    <w:name w:val="heading 4"/>
    <w:basedOn w:val="Normal"/>
    <w:next w:val="Normal"/>
    <w:link w:val="Heading4Char"/>
    <w:uiPriority w:val="99"/>
    <w:qFormat/>
    <w:rsid w:val="005A0F90"/>
    <w:pPr>
      <w:keepNext/>
      <w:numPr>
        <w:ilvl w:val="3"/>
        <w:numId w:val="11"/>
      </w:numPr>
      <w:spacing w:before="240"/>
      <w:outlineLvl w:val="3"/>
    </w:pPr>
    <w:rPr>
      <w:b/>
    </w:rPr>
  </w:style>
  <w:style w:type="paragraph" w:styleId="Heading5">
    <w:name w:val="heading 5"/>
    <w:basedOn w:val="Normal"/>
    <w:next w:val="Normal"/>
    <w:link w:val="Heading5Char"/>
    <w:uiPriority w:val="99"/>
    <w:qFormat/>
    <w:rsid w:val="005A0F90"/>
    <w:pPr>
      <w:keepNext/>
      <w:numPr>
        <w:ilvl w:val="4"/>
        <w:numId w:val="11"/>
      </w:numPr>
      <w:spacing w:before="240"/>
      <w:outlineLvl w:val="4"/>
    </w:pPr>
    <w:rPr>
      <w:b/>
    </w:rPr>
  </w:style>
  <w:style w:type="paragraph" w:styleId="Heading6">
    <w:name w:val="heading 6"/>
    <w:basedOn w:val="Normal"/>
    <w:next w:val="Normal"/>
    <w:link w:val="Heading6Char"/>
    <w:uiPriority w:val="99"/>
    <w:qFormat/>
    <w:rsid w:val="005A0F90"/>
    <w:pPr>
      <w:keepNext/>
      <w:numPr>
        <w:ilvl w:val="5"/>
        <w:numId w:val="11"/>
      </w:numPr>
      <w:spacing w:before="240"/>
      <w:outlineLvl w:val="5"/>
    </w:pPr>
    <w:rPr>
      <w:b/>
    </w:rPr>
  </w:style>
  <w:style w:type="paragraph" w:styleId="Heading7">
    <w:name w:val="heading 7"/>
    <w:basedOn w:val="Normal"/>
    <w:next w:val="Normal"/>
    <w:link w:val="Heading7Char"/>
    <w:uiPriority w:val="99"/>
    <w:qFormat/>
    <w:rsid w:val="005A0F90"/>
    <w:pPr>
      <w:keepNext/>
      <w:numPr>
        <w:ilvl w:val="6"/>
        <w:numId w:val="11"/>
      </w:numPr>
      <w:spacing w:before="240"/>
      <w:outlineLvl w:val="6"/>
    </w:pPr>
    <w:rPr>
      <w:b/>
    </w:rPr>
  </w:style>
  <w:style w:type="paragraph" w:styleId="Heading8">
    <w:name w:val="heading 8"/>
    <w:basedOn w:val="Normal"/>
    <w:next w:val="Normal"/>
    <w:link w:val="Heading8Char"/>
    <w:uiPriority w:val="99"/>
    <w:qFormat/>
    <w:rsid w:val="005A0F90"/>
    <w:pPr>
      <w:keepNext/>
      <w:numPr>
        <w:ilvl w:val="7"/>
        <w:numId w:val="11"/>
      </w:numPr>
      <w:spacing w:before="240"/>
      <w:outlineLvl w:val="7"/>
    </w:pPr>
    <w:rPr>
      <w:b/>
    </w:rPr>
  </w:style>
  <w:style w:type="paragraph" w:styleId="Heading9">
    <w:name w:val="heading 9"/>
    <w:basedOn w:val="Normal"/>
    <w:next w:val="Normal"/>
    <w:link w:val="Heading9Char"/>
    <w:uiPriority w:val="99"/>
    <w:qFormat/>
    <w:rsid w:val="005A0F90"/>
    <w:pPr>
      <w:keepNext/>
      <w:numPr>
        <w:ilvl w:val="8"/>
        <w:numId w:val="11"/>
      </w:numPr>
      <w:spacing w:before="24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073A"/>
    <w:rPr>
      <w:rFonts w:cs="Times New Roman"/>
      <w:b/>
      <w:caps/>
      <w:kern w:val="28"/>
      <w:sz w:val="24"/>
      <w:lang w:val="en-US" w:eastAsia="en-US" w:bidi="ar-SA"/>
    </w:rPr>
  </w:style>
  <w:style w:type="character" w:customStyle="1" w:styleId="Heading2Char">
    <w:name w:val="Heading 2 Char"/>
    <w:basedOn w:val="DefaultParagraphFont"/>
    <w:link w:val="Heading2"/>
    <w:uiPriority w:val="99"/>
    <w:semiHidden/>
    <w:locked/>
    <w:rsid w:val="00B95913"/>
    <w:rPr>
      <w:rFonts w:cs="Times New Roman"/>
      <w:b/>
      <w:sz w:val="24"/>
      <w:szCs w:val="24"/>
      <w:lang w:val="en-US" w:eastAsia="en-US" w:bidi="ar-SA"/>
    </w:rPr>
  </w:style>
  <w:style w:type="character" w:customStyle="1" w:styleId="Heading3Char">
    <w:name w:val="Heading 3 Char"/>
    <w:basedOn w:val="DefaultParagraphFont"/>
    <w:link w:val="Heading3"/>
    <w:uiPriority w:val="99"/>
    <w:semiHidden/>
    <w:locked/>
    <w:rsid w:val="00B95913"/>
    <w:rPr>
      <w:rFonts w:cs="Times New Roman"/>
      <w:b/>
      <w:sz w:val="24"/>
      <w:szCs w:val="24"/>
      <w:lang w:val="en-US" w:eastAsia="en-US" w:bidi="ar-SA"/>
    </w:rPr>
  </w:style>
  <w:style w:type="character" w:customStyle="1" w:styleId="Heading4Char">
    <w:name w:val="Heading 4 Char"/>
    <w:basedOn w:val="DefaultParagraphFont"/>
    <w:link w:val="Heading4"/>
    <w:uiPriority w:val="99"/>
    <w:semiHidden/>
    <w:locked/>
    <w:rsid w:val="00B95913"/>
    <w:rPr>
      <w:rFonts w:cs="Times New Roman"/>
      <w:b/>
      <w:sz w:val="24"/>
      <w:szCs w:val="24"/>
      <w:lang w:val="en-US" w:eastAsia="en-US" w:bidi="ar-SA"/>
    </w:rPr>
  </w:style>
  <w:style w:type="character" w:customStyle="1" w:styleId="Heading5Char">
    <w:name w:val="Heading 5 Char"/>
    <w:basedOn w:val="DefaultParagraphFont"/>
    <w:link w:val="Heading5"/>
    <w:uiPriority w:val="99"/>
    <w:semiHidden/>
    <w:locked/>
    <w:rsid w:val="00B95913"/>
    <w:rPr>
      <w:rFonts w:cs="Times New Roman"/>
      <w:b/>
      <w:sz w:val="24"/>
      <w:szCs w:val="24"/>
      <w:lang w:val="en-US" w:eastAsia="en-US" w:bidi="ar-SA"/>
    </w:rPr>
  </w:style>
  <w:style w:type="character" w:customStyle="1" w:styleId="Heading6Char">
    <w:name w:val="Heading 6 Char"/>
    <w:basedOn w:val="DefaultParagraphFont"/>
    <w:link w:val="Heading6"/>
    <w:uiPriority w:val="99"/>
    <w:semiHidden/>
    <w:locked/>
    <w:rsid w:val="00B95913"/>
    <w:rPr>
      <w:rFonts w:cs="Times New Roman"/>
      <w:b/>
      <w:sz w:val="24"/>
      <w:szCs w:val="24"/>
      <w:lang w:val="en-US" w:eastAsia="en-US" w:bidi="ar-SA"/>
    </w:rPr>
  </w:style>
  <w:style w:type="character" w:customStyle="1" w:styleId="Heading7Char">
    <w:name w:val="Heading 7 Char"/>
    <w:basedOn w:val="DefaultParagraphFont"/>
    <w:link w:val="Heading7"/>
    <w:uiPriority w:val="99"/>
    <w:semiHidden/>
    <w:locked/>
    <w:rsid w:val="00B95913"/>
    <w:rPr>
      <w:rFonts w:cs="Times New Roman"/>
      <w:b/>
      <w:sz w:val="24"/>
      <w:szCs w:val="24"/>
      <w:lang w:val="en-US" w:eastAsia="en-US" w:bidi="ar-SA"/>
    </w:rPr>
  </w:style>
  <w:style w:type="character" w:customStyle="1" w:styleId="Heading8Char">
    <w:name w:val="Heading 8 Char"/>
    <w:basedOn w:val="DefaultParagraphFont"/>
    <w:link w:val="Heading8"/>
    <w:uiPriority w:val="99"/>
    <w:semiHidden/>
    <w:locked/>
    <w:rsid w:val="00B95913"/>
    <w:rPr>
      <w:rFonts w:cs="Times New Roman"/>
      <w:b/>
      <w:sz w:val="24"/>
      <w:szCs w:val="24"/>
      <w:lang w:val="en-US" w:eastAsia="en-US" w:bidi="ar-SA"/>
    </w:rPr>
  </w:style>
  <w:style w:type="character" w:customStyle="1" w:styleId="Heading9Char">
    <w:name w:val="Heading 9 Char"/>
    <w:basedOn w:val="DefaultParagraphFont"/>
    <w:link w:val="Heading9"/>
    <w:uiPriority w:val="99"/>
    <w:semiHidden/>
    <w:locked/>
    <w:rsid w:val="00B95913"/>
    <w:rPr>
      <w:rFonts w:cs="Times New Roman"/>
      <w:sz w:val="24"/>
      <w:szCs w:val="24"/>
      <w:lang w:val="en-US" w:eastAsia="en-US" w:bidi="ar-SA"/>
    </w:rPr>
  </w:style>
  <w:style w:type="paragraph" w:styleId="Header">
    <w:name w:val="header"/>
    <w:basedOn w:val="Normal"/>
    <w:link w:val="HeaderChar"/>
    <w:uiPriority w:val="99"/>
    <w:rsid w:val="005A0F90"/>
    <w:pPr>
      <w:tabs>
        <w:tab w:val="center" w:pos="4320"/>
        <w:tab w:val="right" w:pos="8640"/>
      </w:tabs>
    </w:pPr>
  </w:style>
  <w:style w:type="character" w:customStyle="1" w:styleId="HeaderChar">
    <w:name w:val="Header Char"/>
    <w:basedOn w:val="DefaultParagraphFont"/>
    <w:link w:val="Header"/>
    <w:uiPriority w:val="99"/>
    <w:semiHidden/>
    <w:locked/>
    <w:rsid w:val="00B95913"/>
    <w:rPr>
      <w:rFonts w:cs="Times New Roman"/>
      <w:sz w:val="24"/>
      <w:szCs w:val="24"/>
    </w:rPr>
  </w:style>
  <w:style w:type="paragraph" w:styleId="Footer">
    <w:name w:val="footer"/>
    <w:basedOn w:val="Normal"/>
    <w:link w:val="FooterChar"/>
    <w:uiPriority w:val="99"/>
    <w:rsid w:val="005A0F90"/>
    <w:pPr>
      <w:tabs>
        <w:tab w:val="center" w:pos="4320"/>
        <w:tab w:val="right" w:pos="8640"/>
      </w:tabs>
    </w:pPr>
    <w:rPr>
      <w:sz w:val="20"/>
    </w:rPr>
  </w:style>
  <w:style w:type="character" w:customStyle="1" w:styleId="FooterChar">
    <w:name w:val="Footer Char"/>
    <w:basedOn w:val="DefaultParagraphFont"/>
    <w:link w:val="Footer"/>
    <w:uiPriority w:val="99"/>
    <w:locked/>
    <w:rsid w:val="00C1073A"/>
    <w:rPr>
      <w:rFonts w:cs="Times New Roman"/>
    </w:rPr>
  </w:style>
  <w:style w:type="paragraph" w:customStyle="1" w:styleId="LineNumbers">
    <w:name w:val="LineNumbers"/>
    <w:basedOn w:val="Normal"/>
    <w:uiPriority w:val="99"/>
    <w:rsid w:val="005A0F90"/>
    <w:pPr>
      <w:jc w:val="right"/>
    </w:pPr>
  </w:style>
  <w:style w:type="paragraph" w:customStyle="1" w:styleId="SingleSpacing">
    <w:name w:val="Single Spacing"/>
    <w:basedOn w:val="Normal"/>
    <w:uiPriority w:val="99"/>
    <w:rsid w:val="005A0F90"/>
    <w:pPr>
      <w:spacing w:line="186" w:lineRule="exact"/>
    </w:pPr>
  </w:style>
  <w:style w:type="paragraph" w:customStyle="1" w:styleId="15Spacing">
    <w:name w:val="1.5 Spacing"/>
    <w:basedOn w:val="Normal"/>
    <w:uiPriority w:val="99"/>
    <w:rsid w:val="005A0F90"/>
    <w:pPr>
      <w:spacing w:line="279" w:lineRule="exact"/>
    </w:pPr>
  </w:style>
  <w:style w:type="paragraph" w:customStyle="1" w:styleId="DoubleSpacing">
    <w:name w:val="Double Spacing"/>
    <w:basedOn w:val="Normal"/>
    <w:uiPriority w:val="99"/>
    <w:rsid w:val="005A0F90"/>
  </w:style>
  <w:style w:type="character" w:styleId="PageNumber">
    <w:name w:val="page number"/>
    <w:basedOn w:val="DefaultParagraphFont"/>
    <w:uiPriority w:val="99"/>
    <w:rsid w:val="005A0F90"/>
    <w:rPr>
      <w:rFonts w:cs="Times New Roman"/>
    </w:rPr>
  </w:style>
  <w:style w:type="paragraph" w:customStyle="1" w:styleId="Address">
    <w:name w:val="Address"/>
    <w:basedOn w:val="SingleSpacing"/>
    <w:uiPriority w:val="99"/>
    <w:rsid w:val="005A0F90"/>
    <w:pPr>
      <w:ind w:left="4680"/>
    </w:pPr>
  </w:style>
  <w:style w:type="paragraph" w:customStyle="1" w:styleId="CourtName">
    <w:name w:val="CourtName"/>
    <w:basedOn w:val="Normal"/>
    <w:uiPriority w:val="99"/>
    <w:rsid w:val="005A0F90"/>
    <w:pPr>
      <w:jc w:val="center"/>
    </w:pPr>
  </w:style>
  <w:style w:type="character" w:styleId="FootnoteReference">
    <w:name w:val="footnote reference"/>
    <w:aliases w:val="Style 11,Style 24,o,fr,Style 17,Style 28,Style 8,Style 13,Style 15,Style 9,o1,fr1,o2,fr2,o3,fr3,Style 18,(NECG) Footnote Reference,Style 20,Style 7,Style 19,Style 16,Style 30,Style 3,o4,o5,o6,o11,o21,o7"/>
    <w:basedOn w:val="DefaultParagraphFont"/>
    <w:uiPriority w:val="99"/>
    <w:rsid w:val="005A0F90"/>
    <w:rPr>
      <w:rFonts w:cs="Times New Roman"/>
      <w:vertAlign w:val="superscript"/>
    </w:rPr>
  </w:style>
  <w:style w:type="paragraph" w:styleId="TOAHeading">
    <w:name w:val="toa heading"/>
    <w:basedOn w:val="Normal"/>
    <w:next w:val="Normal"/>
    <w:uiPriority w:val="99"/>
    <w:semiHidden/>
    <w:rsid w:val="005A0F90"/>
    <w:pPr>
      <w:spacing w:before="120" w:after="240"/>
      <w:jc w:val="center"/>
    </w:pPr>
    <w:rPr>
      <w:b/>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ootnote Text1 Char"/>
    <w:basedOn w:val="Normal"/>
    <w:link w:val="FootnoteTextChar"/>
    <w:uiPriority w:val="99"/>
    <w:rsid w:val="005A0F90"/>
    <w:pPr>
      <w:ind w:firstLine="720"/>
      <w:jc w:val="both"/>
    </w:pPr>
    <w:rPr>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7A7F60"/>
    <w:rPr>
      <w:rFonts w:cs="Times New Roman"/>
      <w:sz w:val="24"/>
      <w:szCs w:val="24"/>
    </w:rPr>
  </w:style>
  <w:style w:type="paragraph" w:styleId="TOC1">
    <w:name w:val="toc 1"/>
    <w:basedOn w:val="Normal"/>
    <w:next w:val="Normal"/>
    <w:uiPriority w:val="99"/>
    <w:rsid w:val="005A0F90"/>
    <w:pPr>
      <w:tabs>
        <w:tab w:val="right" w:leader="dot" w:pos="9360"/>
      </w:tabs>
      <w:spacing w:after="240"/>
      <w:ind w:left="630" w:right="547" w:hanging="630"/>
    </w:pPr>
    <w:rPr>
      <w:caps/>
      <w:noProof/>
    </w:rPr>
  </w:style>
  <w:style w:type="paragraph" w:styleId="TOC2">
    <w:name w:val="toc 2"/>
    <w:basedOn w:val="Normal"/>
    <w:next w:val="Normal"/>
    <w:uiPriority w:val="99"/>
    <w:rsid w:val="005A0F90"/>
    <w:pPr>
      <w:tabs>
        <w:tab w:val="right" w:leader="dot" w:pos="9360"/>
      </w:tabs>
      <w:spacing w:after="240"/>
      <w:ind w:left="1080" w:right="547" w:hanging="450"/>
    </w:pPr>
    <w:rPr>
      <w:noProof/>
    </w:rPr>
  </w:style>
  <w:style w:type="paragraph" w:styleId="TOC3">
    <w:name w:val="toc 3"/>
    <w:basedOn w:val="Normal"/>
    <w:next w:val="Normal"/>
    <w:uiPriority w:val="99"/>
    <w:rsid w:val="005A0F90"/>
    <w:pPr>
      <w:tabs>
        <w:tab w:val="right" w:leader="dot" w:pos="9360"/>
      </w:tabs>
      <w:spacing w:after="240"/>
      <w:ind w:left="1530" w:right="547" w:hanging="450"/>
    </w:pPr>
    <w:rPr>
      <w:noProof/>
    </w:rPr>
  </w:style>
  <w:style w:type="paragraph" w:styleId="TOC4">
    <w:name w:val="toc 4"/>
    <w:basedOn w:val="Normal"/>
    <w:next w:val="Normal"/>
    <w:uiPriority w:val="99"/>
    <w:semiHidden/>
    <w:rsid w:val="005A0F90"/>
    <w:pPr>
      <w:tabs>
        <w:tab w:val="right" w:leader="dot" w:pos="9360"/>
      </w:tabs>
      <w:spacing w:after="240"/>
      <w:ind w:left="1980" w:right="547" w:hanging="450"/>
    </w:pPr>
    <w:rPr>
      <w:noProof/>
    </w:rPr>
  </w:style>
  <w:style w:type="paragraph" w:styleId="TOC5">
    <w:name w:val="toc 5"/>
    <w:basedOn w:val="Normal"/>
    <w:next w:val="Normal"/>
    <w:uiPriority w:val="99"/>
    <w:semiHidden/>
    <w:rsid w:val="005A0F90"/>
    <w:pPr>
      <w:tabs>
        <w:tab w:val="right" w:leader="dot" w:pos="9360"/>
      </w:tabs>
      <w:spacing w:after="240"/>
      <w:ind w:left="2610" w:right="547" w:hanging="630"/>
    </w:pPr>
    <w:rPr>
      <w:noProof/>
    </w:rPr>
  </w:style>
  <w:style w:type="paragraph" w:styleId="TOC6">
    <w:name w:val="toc 6"/>
    <w:basedOn w:val="Normal"/>
    <w:next w:val="Normal"/>
    <w:uiPriority w:val="99"/>
    <w:semiHidden/>
    <w:rsid w:val="005A0F90"/>
    <w:pPr>
      <w:tabs>
        <w:tab w:val="right" w:leader="dot" w:pos="9360"/>
      </w:tabs>
      <w:spacing w:after="240"/>
      <w:ind w:left="3150" w:right="547" w:hanging="540"/>
    </w:pPr>
    <w:rPr>
      <w:noProof/>
    </w:rPr>
  </w:style>
  <w:style w:type="paragraph" w:styleId="TOC7">
    <w:name w:val="toc 7"/>
    <w:basedOn w:val="Normal"/>
    <w:next w:val="Normal"/>
    <w:uiPriority w:val="99"/>
    <w:semiHidden/>
    <w:rsid w:val="005A0F90"/>
    <w:pPr>
      <w:tabs>
        <w:tab w:val="right" w:leader="dot" w:pos="9360"/>
      </w:tabs>
      <w:spacing w:after="240"/>
      <w:ind w:left="3600" w:right="547" w:hanging="450"/>
    </w:pPr>
    <w:rPr>
      <w:noProof/>
    </w:rPr>
  </w:style>
  <w:style w:type="paragraph" w:styleId="TOC8">
    <w:name w:val="toc 8"/>
    <w:basedOn w:val="Normal"/>
    <w:next w:val="Normal"/>
    <w:uiPriority w:val="99"/>
    <w:semiHidden/>
    <w:rsid w:val="005A0F90"/>
    <w:pPr>
      <w:tabs>
        <w:tab w:val="right" w:leader="dot" w:pos="9360"/>
      </w:tabs>
      <w:spacing w:after="240"/>
      <w:ind w:left="4050" w:right="547" w:hanging="450"/>
    </w:pPr>
    <w:rPr>
      <w:noProof/>
    </w:rPr>
  </w:style>
  <w:style w:type="paragraph" w:styleId="BodyText">
    <w:name w:val="Body Text"/>
    <w:basedOn w:val="Normal"/>
    <w:link w:val="BodyTextChar"/>
    <w:uiPriority w:val="99"/>
    <w:rsid w:val="005A0F90"/>
    <w:pPr>
      <w:spacing w:after="120" w:line="480" w:lineRule="auto"/>
      <w:ind w:firstLine="720"/>
    </w:pPr>
  </w:style>
  <w:style w:type="character" w:customStyle="1" w:styleId="BodyTextChar">
    <w:name w:val="Body Text Char"/>
    <w:basedOn w:val="DefaultParagraphFont"/>
    <w:link w:val="BodyText"/>
    <w:uiPriority w:val="99"/>
    <w:semiHidden/>
    <w:locked/>
    <w:rsid w:val="00B95913"/>
    <w:rPr>
      <w:rFonts w:cs="Times New Roman"/>
      <w:sz w:val="24"/>
      <w:szCs w:val="24"/>
    </w:rPr>
  </w:style>
  <w:style w:type="paragraph" w:styleId="TableofAuthorities">
    <w:name w:val="table of authorities"/>
    <w:basedOn w:val="Normal"/>
    <w:next w:val="Normal"/>
    <w:uiPriority w:val="99"/>
    <w:semiHidden/>
    <w:rsid w:val="005A0F90"/>
    <w:pPr>
      <w:tabs>
        <w:tab w:val="right" w:leader="dot" w:pos="9360"/>
      </w:tabs>
      <w:spacing w:after="240"/>
      <w:ind w:left="245" w:right="720" w:hanging="245"/>
    </w:pPr>
  </w:style>
  <w:style w:type="paragraph" w:styleId="EnvelopeAddress">
    <w:name w:val="envelope address"/>
    <w:basedOn w:val="Normal"/>
    <w:uiPriority w:val="99"/>
    <w:rsid w:val="005A0F90"/>
    <w:pPr>
      <w:framePr w:w="7920" w:h="1980" w:hRule="exact" w:hSpace="180" w:wrap="auto" w:hAnchor="page" w:xAlign="center" w:yAlign="bottom"/>
      <w:ind w:left="2880"/>
    </w:pPr>
    <w:rPr>
      <w:caps/>
    </w:rPr>
  </w:style>
  <w:style w:type="paragraph" w:customStyle="1" w:styleId="ParNumber">
    <w:name w:val="ParNumber"/>
    <w:basedOn w:val="Normal"/>
    <w:uiPriority w:val="99"/>
    <w:rsid w:val="005A0F90"/>
    <w:pPr>
      <w:numPr>
        <w:numId w:val="12"/>
      </w:numPr>
      <w:tabs>
        <w:tab w:val="left" w:pos="720"/>
      </w:tabs>
    </w:pPr>
  </w:style>
  <w:style w:type="paragraph" w:styleId="BalloonText">
    <w:name w:val="Balloon Text"/>
    <w:basedOn w:val="Normal"/>
    <w:link w:val="BalloonTextChar"/>
    <w:uiPriority w:val="99"/>
    <w:semiHidden/>
    <w:rsid w:val="002A70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7047"/>
    <w:rPr>
      <w:rFonts w:ascii="Tahoma" w:hAnsi="Tahoma" w:cs="Tahoma"/>
      <w:sz w:val="16"/>
      <w:szCs w:val="16"/>
    </w:rPr>
  </w:style>
  <w:style w:type="character" w:styleId="CommentReference">
    <w:name w:val="annotation reference"/>
    <w:basedOn w:val="DefaultParagraphFont"/>
    <w:uiPriority w:val="99"/>
    <w:semiHidden/>
    <w:rsid w:val="00D33C0A"/>
    <w:rPr>
      <w:rFonts w:cs="Times New Roman"/>
      <w:sz w:val="16"/>
      <w:szCs w:val="16"/>
    </w:rPr>
  </w:style>
  <w:style w:type="paragraph" w:styleId="CommentText">
    <w:name w:val="annotation text"/>
    <w:basedOn w:val="Normal"/>
    <w:link w:val="CommentTextChar"/>
    <w:uiPriority w:val="99"/>
    <w:semiHidden/>
    <w:rsid w:val="00D33C0A"/>
    <w:rPr>
      <w:sz w:val="20"/>
      <w:szCs w:val="20"/>
    </w:rPr>
  </w:style>
  <w:style w:type="character" w:customStyle="1" w:styleId="CommentTextChar">
    <w:name w:val="Comment Text Char"/>
    <w:basedOn w:val="DefaultParagraphFont"/>
    <w:link w:val="CommentText"/>
    <w:uiPriority w:val="99"/>
    <w:semiHidden/>
    <w:locked/>
    <w:rsid w:val="00D33C0A"/>
    <w:rPr>
      <w:rFonts w:cs="Times New Roman"/>
    </w:rPr>
  </w:style>
  <w:style w:type="paragraph" w:styleId="ListParagraph">
    <w:name w:val="List Paragraph"/>
    <w:basedOn w:val="Normal"/>
    <w:uiPriority w:val="99"/>
    <w:qFormat/>
    <w:rsid w:val="00BE2542"/>
    <w:pPr>
      <w:ind w:left="720"/>
      <w:contextualSpacing/>
    </w:pPr>
  </w:style>
  <w:style w:type="character" w:styleId="Hyperlink">
    <w:name w:val="Hyperlink"/>
    <w:basedOn w:val="DefaultParagraphFont"/>
    <w:uiPriority w:val="99"/>
    <w:locked/>
    <w:rsid w:val="00617A0E"/>
    <w:rPr>
      <w:rFonts w:cs="Times New Roman"/>
      <w:color w:val="0000FF"/>
      <w:u w:val="single"/>
    </w:rPr>
  </w:style>
  <w:style w:type="paragraph" w:styleId="NormalWeb">
    <w:name w:val="Normal (Web)"/>
    <w:basedOn w:val="Normal"/>
    <w:uiPriority w:val="99"/>
    <w:locked/>
    <w:rsid w:val="00617A0E"/>
    <w:pPr>
      <w:spacing w:after="240"/>
    </w:pPr>
  </w:style>
</w:styles>
</file>

<file path=word/webSettings.xml><?xml version="1.0" encoding="utf-8"?>
<w:webSettings xmlns:r="http://schemas.openxmlformats.org/officeDocument/2006/relationships" xmlns:w="http://schemas.openxmlformats.org/wordprocessingml/2006/main">
  <w:divs>
    <w:div w:id="1433820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utc.wa.gov/aboutUs/Pages/history.aspx" TargetMode="External"/><Relationship Id="rId1" Type="http://schemas.openxmlformats.org/officeDocument/2006/relationships/hyperlink" Target="https://www.ftc.gov/tips-advice/competition-guidance/guide-antitrust-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DocumentOrder xmlns="dc463f71-b30c-4ab2-9473-d307f9d35888" xsi:nil="true"/>
    <IsConfidential xmlns="dc463f71-b30c-4ab2-9473-d307f9d35888">false</IsConfidential>
    <DocketNumber xmlns="dc463f71-b30c-4ab2-9473-d307f9d35888">151871</DocketNumber>
    <DelegatedOrder xmlns="dc463f71-b30c-4ab2-9473-d307f9d35888">false</DelegatedOrder>
    <AgendaOrder xmlns="dc463f71-b30c-4ab2-9473-d307f9d35888">false</AgendaOrder>
    <CaseStatus xmlns="dc463f71-b30c-4ab2-9473-d307f9d35888">Closed</CaseStatus>
    <Date1 xmlns="dc463f71-b30c-4ab2-9473-d307f9d35888">2016-09-19T07:00:00+00:00</Date1>
    <CaseType xmlns="dc463f71-b30c-4ab2-9473-d307f9d35888">Tariff Revision</CaseType>
    <OpenedDate xmlns="dc463f71-b30c-4ab2-9473-d307f9d35888">2015-09-18T07:00:00+00:00</OpenedDate>
    <IsHighlyConfidential xmlns="dc463f71-b30c-4ab2-9473-d307f9d35888">false</IsHighlyConfidential>
    <IndustryCode xmlns="dc463f71-b30c-4ab2-9473-d307f9d35888">140</IndustryCode>
    <CaseCompanyNames xmlns="dc463f71-b30c-4ab2-9473-d307f9d35888">Puget Sound Energy</CaseCompanyNames>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EC2C424-2435-4232-B6BA-10147D53F15F}"/>
</file>

<file path=customXml/itemProps2.xml><?xml version="1.0" encoding="utf-8"?>
<ds:datastoreItem xmlns:ds="http://schemas.openxmlformats.org/officeDocument/2006/customXml" ds:itemID="{0CECDF6A-0830-438D-A9EE-F15B227A1FC8}"/>
</file>

<file path=customXml/itemProps3.xml><?xml version="1.0" encoding="utf-8"?>
<ds:datastoreItem xmlns:ds="http://schemas.openxmlformats.org/officeDocument/2006/customXml" ds:itemID="{2BBE601D-3D84-4ED2-82C2-931DBEDB30DB}"/>
</file>

<file path=customXml/itemProps4.xml><?xml version="1.0" encoding="utf-8"?>
<ds:datastoreItem xmlns:ds="http://schemas.openxmlformats.org/officeDocument/2006/customXml" ds:itemID="{B907B7BF-E55E-4869-A44A-FADCA0DFEC7B}"/>
</file>

<file path=docProps/app.xml><?xml version="1.0" encoding="utf-8"?>
<Properties xmlns="http://schemas.openxmlformats.org/officeDocument/2006/extended-properties" xmlns:vt="http://schemas.openxmlformats.org/officeDocument/2006/docPropsVTypes">
  <Template>Normal_Wordconv.dotm</Template>
  <TotalTime>372</TotalTime>
  <Pages>8</Pages>
  <Words>1392</Words>
  <Characters>7936</Characters>
  <Application>Microsoft Office Outlook</Application>
  <DocSecurity>0</DocSecurity>
  <Lines>0</Lines>
  <Paragraphs>0</Paragraphs>
  <ScaleCrop>false</ScaleCrop>
  <Company>Office of the Attorney General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subject/>
  <dc:creator>carolw</dc:creator>
  <cp:keywords/>
  <dc:description/>
  <cp:lastModifiedBy>CaptainWierd</cp:lastModifiedBy>
  <cp:revision>23</cp:revision>
  <cp:lastPrinted>2016-09-19T17:20:00Z</cp:lastPrinted>
  <dcterms:created xsi:type="dcterms:W3CDTF">2016-09-18T18:41:00Z</dcterms:created>
  <dcterms:modified xsi:type="dcterms:W3CDTF">2016-09-19T17:22:00Z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0x0101006E56B4D1795A2E4DB2F0B01679ED314A00492CA3C0B0A1A9409D67CBA12AABAB7A</vt:lpwstr>
  </property>
  <property fmtid="{D5CDD505-2E9C-101B-9397-08002B2CF9AE}" pid="3" name="_docset_NoMedatataSyncRequired">
    <vt:lpwstr>False</vt:lpwstr>
  </property>
  <property fmtid="{D5CDD505-2E9C-101B-9397-08002B2CF9AE}" pid="4" name="Prefix">
    <vt:lpwstr/>
  </property>
  <property fmtid="{D5CDD505-2E9C-101B-9397-08002B2CF9AE}" pid="5" name="DocumentSetType">
    <vt:lpwstr>Brief</vt:lpwstr>
  </property>
  <property fmtid="{D5CDD505-2E9C-101B-9397-08002B2CF9AE}" pid="6" name="IsConfidential">
    <vt:lpwstr>0</vt:lpwstr>
  </property>
  <property fmtid="{D5CDD505-2E9C-101B-9397-08002B2CF9AE}" pid="7" name="AgendaOrder">
    <vt:lpwstr>0</vt:lpwstr>
  </property>
  <property fmtid="{D5CDD505-2E9C-101B-9397-08002B2CF9AE}" pid="8" name="CaseType">
    <vt:lpwstr/>
  </property>
  <property fmtid="{D5CDD505-2E9C-101B-9397-08002B2CF9AE}" pid="9" name="IndustryCode">
    <vt:lpwstr/>
  </property>
  <property fmtid="{D5CDD505-2E9C-101B-9397-08002B2CF9AE}" pid="10" name="CaseStatus">
    <vt:lpwstr/>
  </property>
  <property fmtid="{D5CDD505-2E9C-101B-9397-08002B2CF9AE}" pid="11" name="OpenedDate">
    <vt:lpwstr/>
  </property>
  <property fmtid="{D5CDD505-2E9C-101B-9397-08002B2CF9AE}" pid="12" name="Date1">
    <vt:lpwstr>2015-11-04T01:00:00Z</vt:lpwstr>
  </property>
  <property fmtid="{D5CDD505-2E9C-101B-9397-08002B2CF9AE}" pid="13" name="IsDocumentOrder">
    <vt:lpwstr>0</vt:lpwstr>
  </property>
  <property fmtid="{D5CDD505-2E9C-101B-9397-08002B2CF9AE}" pid="14" name="IsHighlyConfidential">
    <vt:lpwstr>0</vt:lpwstr>
  </property>
  <property fmtid="{D5CDD505-2E9C-101B-9397-08002B2CF9AE}" pid="15" name="CaseCompanyNames">
    <vt:lpwstr/>
  </property>
  <property fmtid="{D5CDD505-2E9C-101B-9397-08002B2CF9AE}" pid="16" name="DocketNumber">
    <vt:lpwstr>150204</vt:lpwstr>
  </property>
  <property fmtid="{D5CDD505-2E9C-101B-9397-08002B2CF9AE}" pid="17" name="DelegatedOrder">
    <vt:lpwstr>0</vt:lpwstr>
  </property>
</Properties>
</file>