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b w:val="0"/>
          <w:bCs w:val="0"/>
          <w:caps w:val="0"/>
          <w:color w:val="auto"/>
          <w:sz w:val="24"/>
          <w:szCs w:val="24"/>
        </w:rPr>
        <w:id w:val="680627570"/>
        <w:docPartObj>
          <w:docPartGallery w:val="Table of Contents"/>
          <w:docPartUnique/>
        </w:docPartObj>
      </w:sdtPr>
      <w:sdtEndPr>
        <w:rPr>
          <w:noProof/>
        </w:rPr>
      </w:sdtEndPr>
      <w:sdtContent>
        <w:p w14:paraId="4E342734" w14:textId="77777777" w:rsidR="00D10791" w:rsidRPr="00D10791" w:rsidRDefault="00D10791" w:rsidP="00D10791">
          <w:pPr>
            <w:pStyle w:val="TOCHeading"/>
            <w:suppressLineNumbers/>
            <w:spacing w:before="0" w:line="480" w:lineRule="auto"/>
            <w:jc w:val="center"/>
            <w:rPr>
              <w:rFonts w:ascii="Times New Roman" w:hAnsi="Times New Roman" w:cs="Times New Roman"/>
              <w:color w:val="auto"/>
              <w:sz w:val="24"/>
              <w:szCs w:val="24"/>
            </w:rPr>
          </w:pPr>
          <w:r w:rsidRPr="00D10791">
            <w:rPr>
              <w:rFonts w:ascii="Times New Roman" w:hAnsi="Times New Roman" w:cs="Times New Roman"/>
              <w:color w:val="auto"/>
              <w:sz w:val="24"/>
              <w:szCs w:val="24"/>
            </w:rPr>
            <w:t>Table of Contents</w:t>
          </w:r>
        </w:p>
        <w:p w14:paraId="4E342735" w14:textId="77777777" w:rsidR="00D10791" w:rsidRPr="00D10791" w:rsidRDefault="00D10791" w:rsidP="00AD184C">
          <w:pPr>
            <w:pStyle w:val="TOC1"/>
            <w:rPr>
              <w:rFonts w:eastAsiaTheme="minorEastAsia"/>
              <w:noProof/>
            </w:rPr>
          </w:pPr>
          <w:r w:rsidRPr="00D10791">
            <w:fldChar w:fldCharType="begin"/>
          </w:r>
          <w:r w:rsidRPr="00D10791">
            <w:instrText xml:space="preserve"> TOC \o "1-3" \h \z \u </w:instrText>
          </w:r>
          <w:r w:rsidRPr="00D10791">
            <w:fldChar w:fldCharType="separate"/>
          </w:r>
          <w:hyperlink w:anchor="_Toc386609218" w:history="1">
            <w:r w:rsidRPr="00D10791">
              <w:rPr>
                <w:rStyle w:val="Hyperlink"/>
                <w:noProof/>
                <w:color w:val="auto"/>
              </w:rPr>
              <w:t>PURPOSE AND SUMMARY</w:t>
            </w:r>
            <w:r w:rsidRPr="00D10791">
              <w:rPr>
                <w:noProof/>
                <w:webHidden/>
              </w:rPr>
              <w:tab/>
            </w:r>
            <w:r w:rsidRPr="00D10791">
              <w:rPr>
                <w:noProof/>
                <w:webHidden/>
              </w:rPr>
              <w:fldChar w:fldCharType="begin"/>
            </w:r>
            <w:r w:rsidRPr="00D10791">
              <w:rPr>
                <w:noProof/>
                <w:webHidden/>
              </w:rPr>
              <w:instrText xml:space="preserve"> PAGEREF _Toc386609218 \h </w:instrText>
            </w:r>
            <w:r w:rsidRPr="00D10791">
              <w:rPr>
                <w:noProof/>
                <w:webHidden/>
              </w:rPr>
            </w:r>
            <w:r w:rsidRPr="00D10791">
              <w:rPr>
                <w:noProof/>
                <w:webHidden/>
              </w:rPr>
              <w:fldChar w:fldCharType="separate"/>
            </w:r>
            <w:r w:rsidR="006A3044">
              <w:rPr>
                <w:noProof/>
                <w:webHidden/>
              </w:rPr>
              <w:t>2</w:t>
            </w:r>
            <w:r w:rsidRPr="00D10791">
              <w:rPr>
                <w:noProof/>
                <w:webHidden/>
              </w:rPr>
              <w:fldChar w:fldCharType="end"/>
            </w:r>
          </w:hyperlink>
        </w:p>
        <w:p w14:paraId="4E342736" w14:textId="77777777" w:rsidR="00D10791" w:rsidRPr="00D10791" w:rsidRDefault="006A3044" w:rsidP="00AD184C">
          <w:pPr>
            <w:pStyle w:val="TOC1"/>
            <w:rPr>
              <w:rFonts w:eastAsiaTheme="minorEastAsia"/>
              <w:noProof/>
            </w:rPr>
          </w:pPr>
          <w:hyperlink w:anchor="_Toc386609219" w:history="1">
            <w:r w:rsidR="00D10791" w:rsidRPr="00D10791">
              <w:rPr>
                <w:rStyle w:val="Hyperlink"/>
                <w:noProof/>
                <w:color w:val="auto"/>
              </w:rPr>
              <w:t>PRO FORMA NPC</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_Toc386609219 \h </w:instrText>
            </w:r>
            <w:r w:rsidR="00D10791" w:rsidRPr="00D10791">
              <w:rPr>
                <w:noProof/>
                <w:webHidden/>
              </w:rPr>
            </w:r>
            <w:r w:rsidR="00D10791" w:rsidRPr="00D10791">
              <w:rPr>
                <w:noProof/>
                <w:webHidden/>
              </w:rPr>
              <w:fldChar w:fldCharType="separate"/>
            </w:r>
            <w:r>
              <w:rPr>
                <w:noProof/>
                <w:webHidden/>
              </w:rPr>
              <w:t>4</w:t>
            </w:r>
            <w:r w:rsidR="00D10791" w:rsidRPr="00D10791">
              <w:rPr>
                <w:noProof/>
                <w:webHidden/>
              </w:rPr>
              <w:fldChar w:fldCharType="end"/>
            </w:r>
          </w:hyperlink>
        </w:p>
        <w:p w14:paraId="4E342737" w14:textId="77777777" w:rsidR="00D10791" w:rsidRPr="00D10791" w:rsidRDefault="006A3044" w:rsidP="00AD184C">
          <w:pPr>
            <w:pStyle w:val="TOC1"/>
            <w:rPr>
              <w:rFonts w:eastAsiaTheme="minorEastAsia"/>
              <w:noProof/>
            </w:rPr>
          </w:pPr>
          <w:hyperlink w:anchor="_Toc386609220" w:history="1">
            <w:r w:rsidR="00D10791" w:rsidRPr="00D10791">
              <w:rPr>
                <w:rStyle w:val="Hyperlink"/>
                <w:noProof/>
                <w:color w:val="auto"/>
              </w:rPr>
              <w:t>PROPOSED TREATMENT OF QF RESOURCES</w:t>
            </w:r>
            <w:r w:rsidR="00AD184C">
              <w:rPr>
                <w:rStyle w:val="Hyperlink"/>
                <w:noProof/>
                <w:color w:val="auto"/>
              </w:rPr>
              <w:t xml:space="preserve"> IN THE WEST </w:t>
            </w:r>
            <w:r w:rsidR="00835F69">
              <w:rPr>
                <w:rStyle w:val="Hyperlink"/>
                <w:noProof/>
                <w:color w:val="auto"/>
              </w:rPr>
              <w:t>CONTROL</w:t>
            </w:r>
            <w:r w:rsidR="00AD184C">
              <w:rPr>
                <w:rStyle w:val="Hyperlink"/>
                <w:noProof/>
                <w:color w:val="auto"/>
              </w:rPr>
              <w:t xml:space="preserve"> AREA</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_Toc386609220 \h </w:instrText>
            </w:r>
            <w:r w:rsidR="00D10791" w:rsidRPr="00D10791">
              <w:rPr>
                <w:noProof/>
                <w:webHidden/>
              </w:rPr>
            </w:r>
            <w:r w:rsidR="00D10791" w:rsidRPr="00D10791">
              <w:rPr>
                <w:noProof/>
                <w:webHidden/>
              </w:rPr>
              <w:fldChar w:fldCharType="separate"/>
            </w:r>
            <w:r>
              <w:rPr>
                <w:noProof/>
                <w:webHidden/>
              </w:rPr>
              <w:t>9</w:t>
            </w:r>
            <w:r w:rsidR="00D10791" w:rsidRPr="00D10791">
              <w:rPr>
                <w:noProof/>
                <w:webHidden/>
              </w:rPr>
              <w:fldChar w:fldCharType="end"/>
            </w:r>
          </w:hyperlink>
        </w:p>
        <w:p w14:paraId="4E342738" w14:textId="77777777" w:rsidR="00D10791" w:rsidRPr="00D10791" w:rsidRDefault="006A3044" w:rsidP="00AD184C">
          <w:pPr>
            <w:pStyle w:val="TOC1"/>
            <w:rPr>
              <w:rFonts w:eastAsiaTheme="minorEastAsia"/>
              <w:noProof/>
            </w:rPr>
          </w:pPr>
          <w:hyperlink w:anchor="_Toc386609222" w:history="1">
            <w:r w:rsidR="00D10791" w:rsidRPr="00D10791">
              <w:rPr>
                <w:rStyle w:val="Hyperlink"/>
                <w:noProof/>
                <w:color w:val="auto"/>
              </w:rPr>
              <w:t>CHANGES IN SALES AND LOADS</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_Toc386609222 \h </w:instrText>
            </w:r>
            <w:r w:rsidR="00D10791" w:rsidRPr="00D10791">
              <w:rPr>
                <w:noProof/>
                <w:webHidden/>
              </w:rPr>
            </w:r>
            <w:r w:rsidR="00D10791" w:rsidRPr="00D10791">
              <w:rPr>
                <w:noProof/>
                <w:webHidden/>
              </w:rPr>
              <w:fldChar w:fldCharType="separate"/>
            </w:r>
            <w:r>
              <w:rPr>
                <w:noProof/>
                <w:webHidden/>
              </w:rPr>
              <w:t>17</w:t>
            </w:r>
            <w:r w:rsidR="00D10791" w:rsidRPr="00D10791">
              <w:rPr>
                <w:noProof/>
                <w:webHidden/>
              </w:rPr>
              <w:fldChar w:fldCharType="end"/>
            </w:r>
          </w:hyperlink>
        </w:p>
        <w:p w14:paraId="4E342739" w14:textId="77777777" w:rsidR="00D10791" w:rsidRPr="00D10791" w:rsidRDefault="006A3044" w:rsidP="00AD184C">
          <w:pPr>
            <w:pStyle w:val="TOC1"/>
            <w:rPr>
              <w:rFonts w:eastAsiaTheme="minorEastAsia"/>
              <w:noProof/>
            </w:rPr>
          </w:pPr>
          <w:hyperlink w:anchor="_Toc386609223" w:history="1">
            <w:r w:rsidR="00D10791" w:rsidRPr="00D10791">
              <w:rPr>
                <w:rStyle w:val="Hyperlink"/>
                <w:noProof/>
                <w:color w:val="auto"/>
              </w:rPr>
              <w:t>PRO FORMA COAL COSTS</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_Toc386609223 \h </w:instrText>
            </w:r>
            <w:r w:rsidR="00D10791" w:rsidRPr="00D10791">
              <w:rPr>
                <w:noProof/>
                <w:webHidden/>
              </w:rPr>
            </w:r>
            <w:r w:rsidR="00D10791" w:rsidRPr="00D10791">
              <w:rPr>
                <w:noProof/>
                <w:webHidden/>
              </w:rPr>
              <w:fldChar w:fldCharType="separate"/>
            </w:r>
            <w:r>
              <w:rPr>
                <w:noProof/>
                <w:webHidden/>
              </w:rPr>
              <w:t>20</w:t>
            </w:r>
            <w:r w:rsidR="00D10791" w:rsidRPr="00D10791">
              <w:rPr>
                <w:noProof/>
                <w:webHidden/>
              </w:rPr>
              <w:fldChar w:fldCharType="end"/>
            </w:r>
          </w:hyperlink>
        </w:p>
        <w:p w14:paraId="4E34273A" w14:textId="77777777" w:rsidR="00D10791" w:rsidRPr="00D10791" w:rsidRDefault="006A3044" w:rsidP="00AD184C">
          <w:pPr>
            <w:pStyle w:val="TOC1"/>
            <w:rPr>
              <w:rFonts w:eastAsiaTheme="minorEastAsia"/>
              <w:noProof/>
            </w:rPr>
          </w:pPr>
          <w:hyperlink w:anchor="_Toc386609224" w:history="1">
            <w:r w:rsidR="00D10791" w:rsidRPr="00D10791">
              <w:rPr>
                <w:rStyle w:val="Hyperlink"/>
                <w:noProof/>
                <w:color w:val="auto"/>
              </w:rPr>
              <w:t>SPECIFIC NPC MODELING ISSUES</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_Toc386609224 \h </w:instrText>
            </w:r>
            <w:r w:rsidR="00D10791" w:rsidRPr="00D10791">
              <w:rPr>
                <w:noProof/>
                <w:webHidden/>
              </w:rPr>
            </w:r>
            <w:r w:rsidR="00D10791" w:rsidRPr="00D10791">
              <w:rPr>
                <w:noProof/>
                <w:webHidden/>
              </w:rPr>
              <w:fldChar w:fldCharType="separate"/>
            </w:r>
            <w:r>
              <w:rPr>
                <w:noProof/>
                <w:webHidden/>
              </w:rPr>
              <w:t>23</w:t>
            </w:r>
            <w:r w:rsidR="00D10791" w:rsidRPr="00D10791">
              <w:rPr>
                <w:noProof/>
                <w:webHidden/>
              </w:rPr>
              <w:fldChar w:fldCharType="end"/>
            </w:r>
          </w:hyperlink>
        </w:p>
        <w:p w14:paraId="4E34273B" w14:textId="77777777" w:rsidR="00D10791" w:rsidRPr="00D10791" w:rsidRDefault="006A3044" w:rsidP="00D10791">
          <w:pPr>
            <w:pStyle w:val="TOC2"/>
            <w:suppressLineNumbers/>
            <w:tabs>
              <w:tab w:val="right" w:leader="dot" w:pos="8630"/>
              <w:tab w:val="right" w:leader="dot" w:pos="8990"/>
            </w:tabs>
            <w:spacing w:after="0" w:line="360" w:lineRule="auto"/>
            <w:rPr>
              <w:rFonts w:eastAsiaTheme="minorEastAsia"/>
              <w:noProof/>
            </w:rPr>
          </w:pPr>
          <w:hyperlink w:anchor="_Toc386609225" w:history="1">
            <w:r w:rsidR="00D10791" w:rsidRPr="00D10791">
              <w:rPr>
                <w:rStyle w:val="Hyperlink"/>
                <w:noProof/>
                <w:color w:val="auto"/>
              </w:rPr>
              <w:t>Wind Generation Profile</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_Toc386609225 \h </w:instrText>
            </w:r>
            <w:r w:rsidR="00D10791" w:rsidRPr="00D10791">
              <w:rPr>
                <w:noProof/>
                <w:webHidden/>
              </w:rPr>
            </w:r>
            <w:r w:rsidR="00D10791" w:rsidRPr="00D10791">
              <w:rPr>
                <w:noProof/>
                <w:webHidden/>
              </w:rPr>
              <w:fldChar w:fldCharType="separate"/>
            </w:r>
            <w:r>
              <w:rPr>
                <w:noProof/>
                <w:webHidden/>
              </w:rPr>
              <w:t>27</w:t>
            </w:r>
            <w:r w:rsidR="00D10791" w:rsidRPr="00D10791">
              <w:rPr>
                <w:noProof/>
                <w:webHidden/>
              </w:rPr>
              <w:fldChar w:fldCharType="end"/>
            </w:r>
          </w:hyperlink>
        </w:p>
        <w:p w14:paraId="4E34273C" w14:textId="77777777" w:rsidR="00D10791" w:rsidRPr="00D10791" w:rsidRDefault="006A3044" w:rsidP="00D10791">
          <w:pPr>
            <w:pStyle w:val="TOC2"/>
            <w:suppressLineNumbers/>
            <w:tabs>
              <w:tab w:val="right" w:leader="dot" w:pos="8630"/>
              <w:tab w:val="right" w:leader="dot" w:pos="8990"/>
            </w:tabs>
            <w:spacing w:after="0" w:line="360" w:lineRule="auto"/>
            <w:rPr>
              <w:rFonts w:eastAsiaTheme="minorEastAsia"/>
              <w:noProof/>
            </w:rPr>
          </w:pPr>
          <w:hyperlink w:anchor="_Toc386609226" w:history="1">
            <w:r w:rsidR="00D10791" w:rsidRPr="00D10791">
              <w:rPr>
                <w:rStyle w:val="Hyperlink"/>
                <w:noProof/>
                <w:color w:val="auto"/>
              </w:rPr>
              <w:t>Market Caps</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_Toc386609226 \h </w:instrText>
            </w:r>
            <w:r w:rsidR="00D10791" w:rsidRPr="00D10791">
              <w:rPr>
                <w:noProof/>
                <w:webHidden/>
              </w:rPr>
            </w:r>
            <w:r w:rsidR="00D10791" w:rsidRPr="00D10791">
              <w:rPr>
                <w:noProof/>
                <w:webHidden/>
              </w:rPr>
              <w:fldChar w:fldCharType="separate"/>
            </w:r>
            <w:r>
              <w:rPr>
                <w:noProof/>
                <w:webHidden/>
              </w:rPr>
              <w:t>31</w:t>
            </w:r>
            <w:r w:rsidR="00D10791" w:rsidRPr="00D10791">
              <w:rPr>
                <w:noProof/>
                <w:webHidden/>
              </w:rPr>
              <w:fldChar w:fldCharType="end"/>
            </w:r>
          </w:hyperlink>
        </w:p>
        <w:p w14:paraId="4E34273D" w14:textId="77777777" w:rsidR="00D10791" w:rsidRPr="00D10791" w:rsidRDefault="006A3044" w:rsidP="00D10791">
          <w:pPr>
            <w:pStyle w:val="TOC2"/>
            <w:suppressLineNumbers/>
            <w:tabs>
              <w:tab w:val="right" w:leader="dot" w:pos="8630"/>
              <w:tab w:val="right" w:leader="dot" w:pos="8990"/>
            </w:tabs>
            <w:spacing w:after="0" w:line="360" w:lineRule="auto"/>
            <w:rPr>
              <w:rFonts w:eastAsiaTheme="minorEastAsia"/>
              <w:noProof/>
            </w:rPr>
          </w:pPr>
          <w:hyperlink w:anchor="_Toc386609227" w:history="1">
            <w:r w:rsidR="00D10791" w:rsidRPr="00D10791">
              <w:rPr>
                <w:rStyle w:val="Hyperlink"/>
                <w:noProof/>
                <w:color w:val="auto"/>
              </w:rPr>
              <w:t>Continued Use of GRID</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_Toc386609227 \h </w:instrText>
            </w:r>
            <w:r w:rsidR="00D10791" w:rsidRPr="00D10791">
              <w:rPr>
                <w:noProof/>
                <w:webHidden/>
              </w:rPr>
            </w:r>
            <w:r w:rsidR="00D10791" w:rsidRPr="00D10791">
              <w:rPr>
                <w:noProof/>
                <w:webHidden/>
              </w:rPr>
              <w:fldChar w:fldCharType="separate"/>
            </w:r>
            <w:r>
              <w:rPr>
                <w:noProof/>
                <w:webHidden/>
              </w:rPr>
              <w:t>37</w:t>
            </w:r>
            <w:r w:rsidR="00D10791" w:rsidRPr="00D10791">
              <w:rPr>
                <w:noProof/>
                <w:webHidden/>
              </w:rPr>
              <w:fldChar w:fldCharType="end"/>
            </w:r>
          </w:hyperlink>
        </w:p>
        <w:p w14:paraId="4E34273E" w14:textId="77777777" w:rsidR="00D10791" w:rsidRPr="00D10791" w:rsidRDefault="006A3044" w:rsidP="00AD184C">
          <w:pPr>
            <w:pStyle w:val="TOC1"/>
            <w:rPr>
              <w:rFonts w:eastAsiaTheme="minorEastAsia"/>
              <w:noProof/>
            </w:rPr>
          </w:pPr>
          <w:hyperlink w:anchor="_Toc386609228" w:history="1">
            <w:r w:rsidR="00D10791" w:rsidRPr="00D10791">
              <w:rPr>
                <w:rStyle w:val="Hyperlink"/>
                <w:noProof/>
                <w:color w:val="auto"/>
              </w:rPr>
              <w:t>RENEWABLE RESOURCE TRACKING MECHANISM</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_Toc386609228 \h </w:instrText>
            </w:r>
            <w:r w:rsidR="00D10791" w:rsidRPr="00D10791">
              <w:rPr>
                <w:noProof/>
                <w:webHidden/>
              </w:rPr>
            </w:r>
            <w:r w:rsidR="00D10791" w:rsidRPr="00D10791">
              <w:rPr>
                <w:noProof/>
                <w:webHidden/>
              </w:rPr>
              <w:fldChar w:fldCharType="separate"/>
            </w:r>
            <w:r>
              <w:rPr>
                <w:noProof/>
                <w:webHidden/>
              </w:rPr>
              <w:t>40</w:t>
            </w:r>
            <w:r w:rsidR="00D10791" w:rsidRPr="00D10791">
              <w:rPr>
                <w:noProof/>
                <w:webHidden/>
              </w:rPr>
              <w:fldChar w:fldCharType="end"/>
            </w:r>
          </w:hyperlink>
        </w:p>
        <w:p w14:paraId="4E34273F" w14:textId="77777777" w:rsidR="00D10791" w:rsidRPr="00D10791" w:rsidRDefault="006A3044" w:rsidP="00AD184C">
          <w:pPr>
            <w:pStyle w:val="TOC1"/>
            <w:rPr>
              <w:rFonts w:eastAsiaTheme="minorEastAsia"/>
              <w:noProof/>
            </w:rPr>
          </w:pPr>
          <w:hyperlink w:anchor="_Toc386609229" w:history="1">
            <w:r w:rsidR="00D10791" w:rsidRPr="00D10791">
              <w:rPr>
                <w:rStyle w:val="Hyperlink"/>
                <w:noProof/>
                <w:color w:val="auto"/>
              </w:rPr>
              <w:t>CONCLUSION</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_Toc386609229 \h </w:instrText>
            </w:r>
            <w:r w:rsidR="00D10791" w:rsidRPr="00D10791">
              <w:rPr>
                <w:noProof/>
                <w:webHidden/>
              </w:rPr>
            </w:r>
            <w:r w:rsidR="00D10791" w:rsidRPr="00D10791">
              <w:rPr>
                <w:noProof/>
                <w:webHidden/>
              </w:rPr>
              <w:fldChar w:fldCharType="separate"/>
            </w:r>
            <w:r>
              <w:rPr>
                <w:noProof/>
                <w:webHidden/>
              </w:rPr>
              <w:t>46</w:t>
            </w:r>
            <w:r w:rsidR="00D10791" w:rsidRPr="00D10791">
              <w:rPr>
                <w:noProof/>
                <w:webHidden/>
              </w:rPr>
              <w:fldChar w:fldCharType="end"/>
            </w:r>
          </w:hyperlink>
        </w:p>
        <w:p w14:paraId="4E342740" w14:textId="77777777" w:rsidR="00D10791" w:rsidRDefault="00D10791" w:rsidP="00D10791">
          <w:pPr>
            <w:suppressLineNumbers/>
            <w:tabs>
              <w:tab w:val="right" w:leader="dot" w:pos="8630"/>
            </w:tabs>
            <w:spacing w:line="360" w:lineRule="auto"/>
          </w:pPr>
          <w:r w:rsidRPr="00D10791">
            <w:rPr>
              <w:b/>
              <w:bCs/>
              <w:noProof/>
            </w:rPr>
            <w:fldChar w:fldCharType="end"/>
          </w:r>
        </w:p>
      </w:sdtContent>
    </w:sdt>
    <w:p w14:paraId="4E342741" w14:textId="77777777" w:rsidR="00557406" w:rsidRDefault="00557406" w:rsidP="00D10791">
      <w:pPr>
        <w:suppressLineNumbers/>
        <w:spacing w:line="480" w:lineRule="auto"/>
        <w:ind w:left="720" w:hanging="720"/>
        <w:jc w:val="center"/>
        <w:rPr>
          <w:b/>
          <w:bCs/>
        </w:rPr>
      </w:pPr>
    </w:p>
    <w:p w14:paraId="4E342742" w14:textId="77777777" w:rsidR="00D10791" w:rsidRDefault="00D10791" w:rsidP="00D10791">
      <w:pPr>
        <w:suppressLineNumbers/>
        <w:spacing w:line="480" w:lineRule="auto"/>
        <w:ind w:left="720" w:hanging="720"/>
        <w:jc w:val="center"/>
        <w:rPr>
          <w:b/>
          <w:bCs/>
        </w:rPr>
      </w:pPr>
      <w:r>
        <w:rPr>
          <w:b/>
          <w:bCs/>
        </w:rPr>
        <w:t>ATTACHED EXHIBITS</w:t>
      </w:r>
    </w:p>
    <w:p w14:paraId="4E342743" w14:textId="77777777" w:rsidR="00D10791" w:rsidRDefault="005A571B" w:rsidP="00557406">
      <w:pPr>
        <w:suppressLineNumbers/>
        <w:spacing w:line="240" w:lineRule="auto"/>
        <w:ind w:left="720" w:hanging="720"/>
        <w:jc w:val="left"/>
        <w:rPr>
          <w:bCs/>
        </w:rPr>
      </w:pPr>
      <w:r>
        <w:rPr>
          <w:bCs/>
        </w:rPr>
        <w:t>Exhibit No.___(GND-2</w:t>
      </w:r>
      <w:r w:rsidR="00D10791">
        <w:rPr>
          <w:bCs/>
        </w:rPr>
        <w:t>)—Net Power Cost Analysis</w:t>
      </w:r>
    </w:p>
    <w:p w14:paraId="4E342744" w14:textId="77777777" w:rsidR="00D10791" w:rsidRPr="00D10791" w:rsidRDefault="005A571B" w:rsidP="00557406">
      <w:pPr>
        <w:suppressLineNumbers/>
        <w:spacing w:line="240" w:lineRule="auto"/>
        <w:ind w:left="720" w:hanging="720"/>
        <w:jc w:val="left"/>
        <w:rPr>
          <w:bCs/>
        </w:rPr>
      </w:pPr>
      <w:r>
        <w:rPr>
          <w:bCs/>
        </w:rPr>
        <w:t>Exhibit No.___(GND-3</w:t>
      </w:r>
      <w:r w:rsidR="00D10791">
        <w:rPr>
          <w:bCs/>
        </w:rPr>
        <w:t>)—Long-Term Wind Power Availability</w:t>
      </w:r>
    </w:p>
    <w:p w14:paraId="4E342745" w14:textId="77777777" w:rsidR="00D10791" w:rsidRDefault="00D10791" w:rsidP="00D10791">
      <w:pPr>
        <w:widowControl/>
        <w:suppressLineNumbers/>
        <w:adjustRightInd/>
        <w:spacing w:after="200" w:line="276" w:lineRule="auto"/>
        <w:jc w:val="left"/>
        <w:textAlignment w:val="auto"/>
        <w:rPr>
          <w:b/>
          <w:bCs/>
        </w:rPr>
      </w:pPr>
      <w:r>
        <w:rPr>
          <w:b/>
          <w:bCs/>
        </w:rPr>
        <w:br w:type="page"/>
      </w:r>
    </w:p>
    <w:p w14:paraId="4E342746" w14:textId="77777777" w:rsidR="00D10791" w:rsidRDefault="00D10791" w:rsidP="00D10791">
      <w:pPr>
        <w:suppressLineNumbers/>
        <w:spacing w:line="480" w:lineRule="auto"/>
        <w:ind w:left="720" w:hanging="720"/>
        <w:jc w:val="left"/>
        <w:rPr>
          <w:b/>
          <w:bCs/>
        </w:rPr>
        <w:sectPr w:rsidR="00D10791" w:rsidSect="006A3044">
          <w:headerReference w:type="default" r:id="rId11"/>
          <w:footerReference w:type="even" r:id="rId12"/>
          <w:footerReference w:type="default" r:id="rId13"/>
          <w:pgSz w:w="12240" w:h="15840" w:code="1"/>
          <w:pgMar w:top="1440" w:right="1440" w:bottom="1440" w:left="1800" w:header="720" w:footer="720" w:gutter="0"/>
          <w:lnNumType w:countBy="1"/>
          <w:pgNumType w:start="1"/>
          <w:cols w:space="720"/>
          <w:docGrid w:linePitch="326"/>
        </w:sectPr>
      </w:pPr>
      <w:bookmarkStart w:id="0" w:name="_GoBack"/>
      <w:bookmarkEnd w:id="0"/>
    </w:p>
    <w:p w14:paraId="4E342747" w14:textId="77777777" w:rsidR="00475F96" w:rsidRDefault="00475F96" w:rsidP="009D17FF">
      <w:pPr>
        <w:spacing w:line="480" w:lineRule="auto"/>
        <w:ind w:left="720" w:hanging="720"/>
        <w:jc w:val="left"/>
        <w:rPr>
          <w:b/>
          <w:bCs/>
        </w:rPr>
      </w:pPr>
      <w:r>
        <w:rPr>
          <w:b/>
          <w:bCs/>
        </w:rPr>
        <w:lastRenderedPageBreak/>
        <w:t>Q.</w:t>
      </w:r>
      <w:r>
        <w:rPr>
          <w:b/>
          <w:bCs/>
        </w:rPr>
        <w:tab/>
      </w:r>
      <w:r w:rsidRPr="00DD41DF">
        <w:rPr>
          <w:b/>
          <w:bCs/>
        </w:rPr>
        <w:t>Please state your name, business address</w:t>
      </w:r>
      <w:r>
        <w:rPr>
          <w:b/>
          <w:bCs/>
        </w:rPr>
        <w:t>,</w:t>
      </w:r>
      <w:r w:rsidRPr="00DD41DF">
        <w:rPr>
          <w:b/>
          <w:bCs/>
        </w:rPr>
        <w:t xml:space="preserve"> and present position with </w:t>
      </w:r>
      <w:r w:rsidR="00B90DBE" w:rsidRPr="00BE3931">
        <w:rPr>
          <w:b/>
          <w:bCs/>
          <w:iCs/>
          <w:color w:val="000000" w:themeColor="text1"/>
        </w:rPr>
        <w:t>Pacific Power &amp; Light Company</w:t>
      </w:r>
      <w:r w:rsidR="00B90DBE">
        <w:rPr>
          <w:b/>
          <w:bCs/>
          <w:iCs/>
          <w:color w:val="000000" w:themeColor="text1"/>
        </w:rPr>
        <w:t xml:space="preserve"> (Pacific Power or Company)</w:t>
      </w:r>
      <w:r w:rsidR="00B90DBE" w:rsidRPr="00BE3931">
        <w:rPr>
          <w:b/>
          <w:bCs/>
          <w:iCs/>
          <w:color w:val="000000" w:themeColor="text1"/>
        </w:rPr>
        <w:t xml:space="preserve">, a </w:t>
      </w:r>
      <w:r w:rsidR="009D17FF">
        <w:rPr>
          <w:b/>
          <w:bCs/>
          <w:iCs/>
          <w:color w:val="000000" w:themeColor="text1"/>
        </w:rPr>
        <w:t>division</w:t>
      </w:r>
      <w:r w:rsidR="00B90DBE" w:rsidRPr="00BE3931">
        <w:rPr>
          <w:b/>
          <w:bCs/>
          <w:iCs/>
          <w:color w:val="000000" w:themeColor="text1"/>
        </w:rPr>
        <w:t xml:space="preserve"> of PacifiCorp</w:t>
      </w:r>
      <w:r w:rsidR="00B90DBE">
        <w:rPr>
          <w:b/>
        </w:rPr>
        <w:t>.</w:t>
      </w:r>
    </w:p>
    <w:p w14:paraId="4E342748" w14:textId="77777777" w:rsidR="00475F96" w:rsidRPr="004F0D20" w:rsidRDefault="00475F96" w:rsidP="009D17FF">
      <w:pPr>
        <w:pStyle w:val="BodyText2"/>
        <w:ind w:left="720" w:hanging="720"/>
        <w:jc w:val="left"/>
      </w:pPr>
      <w:r>
        <w:t>A.</w:t>
      </w:r>
      <w:r>
        <w:tab/>
        <w:t>My name is Gregory N. Duvall.  My business address is 825 NE Multnomah</w:t>
      </w:r>
      <w:r w:rsidR="00CA7C37">
        <w:t xml:space="preserve"> Street</w:t>
      </w:r>
      <w:r>
        <w:t>, Suite 600, Portland, Oregon 97232.  My present position is Director, Net Power Costs.</w:t>
      </w:r>
    </w:p>
    <w:p w14:paraId="4E342749" w14:textId="77777777" w:rsidR="00475F96" w:rsidRPr="00A86892" w:rsidRDefault="00475F96" w:rsidP="00F75DD2">
      <w:pPr>
        <w:tabs>
          <w:tab w:val="left" w:pos="720"/>
        </w:tabs>
        <w:spacing w:line="480" w:lineRule="auto"/>
        <w:jc w:val="left"/>
        <w:rPr>
          <w:b/>
          <w:bCs/>
        </w:rPr>
      </w:pPr>
      <w:r w:rsidRPr="00A86892">
        <w:rPr>
          <w:b/>
          <w:bCs/>
        </w:rPr>
        <w:t>Q.</w:t>
      </w:r>
      <w:r w:rsidRPr="00A86892">
        <w:rPr>
          <w:b/>
          <w:bCs/>
        </w:rPr>
        <w:tab/>
      </w:r>
      <w:r w:rsidR="00073C5D">
        <w:rPr>
          <w:b/>
          <w:bCs/>
        </w:rPr>
        <w:t>Please</w:t>
      </w:r>
      <w:r w:rsidRPr="00A86892">
        <w:rPr>
          <w:b/>
          <w:bCs/>
        </w:rPr>
        <w:t xml:space="preserve"> describe your education and </w:t>
      </w:r>
      <w:r w:rsidR="000E2ED7">
        <w:rPr>
          <w:b/>
          <w:bCs/>
        </w:rPr>
        <w:t>professional</w:t>
      </w:r>
      <w:r w:rsidRPr="00A86892">
        <w:rPr>
          <w:b/>
          <w:bCs/>
        </w:rPr>
        <w:t xml:space="preserve"> experience.</w:t>
      </w:r>
    </w:p>
    <w:p w14:paraId="4E34274A" w14:textId="77777777" w:rsidR="00475F96" w:rsidRPr="00A86892" w:rsidRDefault="00475F96" w:rsidP="00F75DD2">
      <w:pPr>
        <w:tabs>
          <w:tab w:val="left" w:pos="720"/>
        </w:tabs>
        <w:spacing w:line="480" w:lineRule="auto"/>
        <w:ind w:left="720" w:hanging="720"/>
        <w:jc w:val="left"/>
        <w:rPr>
          <w:b/>
          <w:bCs/>
        </w:rPr>
      </w:pPr>
      <w:r w:rsidRPr="00A86892">
        <w:t>A.</w:t>
      </w:r>
      <w:r w:rsidRPr="00A86892">
        <w:tab/>
      </w:r>
      <w:r w:rsidRPr="00DF1873">
        <w:t xml:space="preserve">I received a degree in </w:t>
      </w:r>
      <w:r w:rsidR="005C535F">
        <w:t>m</w:t>
      </w:r>
      <w:r w:rsidRPr="00DF1873">
        <w:t>athematics from University of Washington in 1976 and a Masters of Business Administration from University of Portland in 1979.</w:t>
      </w:r>
      <w:r>
        <w:t xml:space="preserve">  </w:t>
      </w:r>
      <w:r w:rsidRPr="00DF1873">
        <w:t>I was first employed by Pacifi</w:t>
      </w:r>
      <w:r>
        <w:t>Corp</w:t>
      </w:r>
      <w:r w:rsidRPr="00DF1873">
        <w:t xml:space="preserve"> in 1976 and have held various positions in resource and transmission planning, regulation, resource acquisitions</w:t>
      </w:r>
      <w:r w:rsidR="005C535F">
        <w:t>,</w:t>
      </w:r>
      <w:r w:rsidRPr="00DF1873">
        <w:t xml:space="preserve"> and trading.</w:t>
      </w:r>
      <w:r>
        <w:t xml:space="preserve">  </w:t>
      </w:r>
      <w:r w:rsidRPr="00DF1873">
        <w:t>From 1997 through 2000</w:t>
      </w:r>
      <w:r>
        <w:t>,</w:t>
      </w:r>
      <w:r w:rsidRPr="00DF1873">
        <w:t xml:space="preserve"> I lived in Australia where I managed the Energy Trading Department for Powercor, a PacifiCorp subsidiary at that time.</w:t>
      </w:r>
      <w:r>
        <w:t xml:space="preserve">  </w:t>
      </w:r>
      <w:r w:rsidRPr="00DF1873">
        <w:t>After returning to Portland, I was involved in direct access issues in Oregon</w:t>
      </w:r>
      <w:r>
        <w:t xml:space="preserve"> and</w:t>
      </w:r>
      <w:r w:rsidRPr="00DF1873">
        <w:t xml:space="preserve"> was responsible for directing the analytical eff</w:t>
      </w:r>
      <w:r w:rsidR="00F75DD2">
        <w:t>ort for the Multi-State Process</w:t>
      </w:r>
      <w:r>
        <w:t>.  I currently</w:t>
      </w:r>
      <w:r w:rsidRPr="00DF1873">
        <w:t xml:space="preserve"> direct the work of the load forecasting group, the net power cost group</w:t>
      </w:r>
      <w:r>
        <w:t>, and the renewable compliance</w:t>
      </w:r>
      <w:r w:rsidRPr="00DF1873">
        <w:t xml:space="preserve"> </w:t>
      </w:r>
      <w:r>
        <w:t>area.</w:t>
      </w:r>
    </w:p>
    <w:p w14:paraId="4E34274B" w14:textId="77777777" w:rsidR="00AD3340" w:rsidRPr="004F0D20" w:rsidRDefault="00B90DBE" w:rsidP="00073C5D">
      <w:pPr>
        <w:pStyle w:val="Heading1"/>
      </w:pPr>
      <w:bookmarkStart w:id="1" w:name="_Toc345427403"/>
      <w:bookmarkStart w:id="2" w:name="_Toc384202438"/>
      <w:bookmarkStart w:id="3" w:name="_Toc386609218"/>
      <w:r>
        <w:t>PURPOSE</w:t>
      </w:r>
      <w:r w:rsidRPr="004F0D20">
        <w:t xml:space="preserve"> </w:t>
      </w:r>
      <w:r>
        <w:t xml:space="preserve">AND </w:t>
      </w:r>
      <w:r w:rsidR="00434692">
        <w:t>SUMMARY</w:t>
      </w:r>
      <w:bookmarkEnd w:id="1"/>
      <w:bookmarkEnd w:id="2"/>
      <w:bookmarkEnd w:id="3"/>
    </w:p>
    <w:p w14:paraId="4E34274C" w14:textId="77777777" w:rsidR="00AD3340" w:rsidRPr="00C464F8" w:rsidRDefault="00AD3340" w:rsidP="00F75DD2">
      <w:pPr>
        <w:tabs>
          <w:tab w:val="left" w:pos="720"/>
        </w:tabs>
        <w:spacing w:line="480" w:lineRule="auto"/>
        <w:jc w:val="left"/>
        <w:rPr>
          <w:b/>
        </w:rPr>
      </w:pPr>
      <w:r w:rsidRPr="00C464F8">
        <w:rPr>
          <w:b/>
        </w:rPr>
        <w:t>Q.</w:t>
      </w:r>
      <w:r w:rsidRPr="00C464F8">
        <w:rPr>
          <w:b/>
        </w:rPr>
        <w:tab/>
      </w:r>
      <w:r w:rsidR="005C535F">
        <w:rPr>
          <w:b/>
        </w:rPr>
        <w:t>Please describe the purpose</w:t>
      </w:r>
      <w:r w:rsidR="00A45538">
        <w:rPr>
          <w:b/>
        </w:rPr>
        <w:t xml:space="preserve"> of</w:t>
      </w:r>
      <w:r w:rsidRPr="00C464F8">
        <w:rPr>
          <w:b/>
        </w:rPr>
        <w:t xml:space="preserve"> your testimony</w:t>
      </w:r>
      <w:r w:rsidR="00FC633C">
        <w:rPr>
          <w:b/>
        </w:rPr>
        <w:t>.</w:t>
      </w:r>
      <w:r w:rsidR="0073246A">
        <w:rPr>
          <w:b/>
        </w:rPr>
        <w:t xml:space="preserve"> </w:t>
      </w:r>
    </w:p>
    <w:p w14:paraId="4E34274D" w14:textId="77777777" w:rsidR="00F35D49" w:rsidRDefault="00AD3340" w:rsidP="00F75DD2">
      <w:pPr>
        <w:pStyle w:val="BodyTextIndent"/>
        <w:jc w:val="left"/>
      </w:pPr>
      <w:r w:rsidRPr="00C464F8">
        <w:t>A.</w:t>
      </w:r>
      <w:r w:rsidRPr="00C464F8">
        <w:tab/>
      </w:r>
      <w:r w:rsidR="00E75759" w:rsidRPr="00E834A1">
        <w:t xml:space="preserve">I present the net power costs </w:t>
      </w:r>
      <w:r w:rsidR="00B5536E">
        <w:t>(</w:t>
      </w:r>
      <w:r w:rsidR="00C668F4">
        <w:t>NPC</w:t>
      </w:r>
      <w:r w:rsidR="00B5536E">
        <w:t>)</w:t>
      </w:r>
      <w:r w:rsidR="00C668F4">
        <w:t xml:space="preserve"> </w:t>
      </w:r>
      <w:r w:rsidR="00E75759" w:rsidRPr="00E834A1">
        <w:t xml:space="preserve">for the </w:t>
      </w:r>
      <w:r w:rsidR="009D17FF">
        <w:t xml:space="preserve">pro forma </w:t>
      </w:r>
      <w:r w:rsidR="00C668F4">
        <w:t>period</w:t>
      </w:r>
      <w:r w:rsidR="004D4370">
        <w:t xml:space="preserve"> </w:t>
      </w:r>
      <w:r w:rsidR="009D17FF">
        <w:t xml:space="preserve">(the 12 months ending March 31, 2016) </w:t>
      </w:r>
      <w:r w:rsidR="004D4370">
        <w:t xml:space="preserve">and support </w:t>
      </w:r>
      <w:r w:rsidR="009D17FF">
        <w:t xml:space="preserve">the </w:t>
      </w:r>
      <w:r w:rsidR="004D4370">
        <w:t>various components</w:t>
      </w:r>
      <w:r w:rsidR="009D17FF">
        <w:t xml:space="preserve"> of NPC</w:t>
      </w:r>
      <w:r w:rsidR="004D4370">
        <w:t xml:space="preserve">.  I also </w:t>
      </w:r>
      <w:r w:rsidR="00B90DBE">
        <w:t xml:space="preserve">address several </w:t>
      </w:r>
      <w:r w:rsidR="004D4370">
        <w:t>issues related to NPC</w:t>
      </w:r>
      <w:r w:rsidR="00B90DBE">
        <w:t>, including</w:t>
      </w:r>
      <w:r w:rsidR="000A0346">
        <w:t xml:space="preserve"> the</w:t>
      </w:r>
      <w:r w:rsidR="004D4370">
        <w:t xml:space="preserve"> Company’s loads and sales forecast and coal costs.  Finally, I introduce </w:t>
      </w:r>
      <w:r w:rsidR="009F6FF7">
        <w:t>the C</w:t>
      </w:r>
      <w:r w:rsidR="00C668F4">
        <w:t xml:space="preserve">ompany’s proposed </w:t>
      </w:r>
      <w:r w:rsidR="002C23C3">
        <w:t xml:space="preserve">renewable resource </w:t>
      </w:r>
      <w:r w:rsidR="009D17FF">
        <w:t>tracking</w:t>
      </w:r>
      <w:r w:rsidR="002C23C3">
        <w:t xml:space="preserve"> mechanism</w:t>
      </w:r>
      <w:r w:rsidR="00E75759" w:rsidRPr="00E834A1">
        <w:t>.</w:t>
      </w:r>
    </w:p>
    <w:p w14:paraId="4E34274E" w14:textId="77777777" w:rsidR="00A45538" w:rsidRDefault="00A45538" w:rsidP="005316B0">
      <w:pPr>
        <w:pStyle w:val="BodyTextIndent"/>
        <w:keepNext/>
        <w:widowControl/>
        <w:jc w:val="left"/>
        <w:rPr>
          <w:b/>
        </w:rPr>
      </w:pPr>
      <w:r w:rsidRPr="00A45538">
        <w:rPr>
          <w:b/>
        </w:rPr>
        <w:lastRenderedPageBreak/>
        <w:t>Q.</w:t>
      </w:r>
      <w:r w:rsidRPr="00A45538">
        <w:rPr>
          <w:b/>
        </w:rPr>
        <w:tab/>
        <w:t xml:space="preserve">Please summarize your </w:t>
      </w:r>
      <w:r w:rsidR="001D7A32">
        <w:rPr>
          <w:b/>
        </w:rPr>
        <w:t xml:space="preserve">direct </w:t>
      </w:r>
      <w:r w:rsidRPr="00A45538">
        <w:rPr>
          <w:b/>
        </w:rPr>
        <w:t>testimony</w:t>
      </w:r>
      <w:r w:rsidR="0035264F">
        <w:rPr>
          <w:b/>
        </w:rPr>
        <w:t>.</w:t>
      </w:r>
    </w:p>
    <w:p w14:paraId="4E34274F" w14:textId="77777777" w:rsidR="00E87085" w:rsidRDefault="000D2F86" w:rsidP="00F75DD2">
      <w:pPr>
        <w:pStyle w:val="BodyTextIndent"/>
        <w:widowControl/>
        <w:jc w:val="left"/>
      </w:pPr>
      <w:r w:rsidRPr="000D2F86">
        <w:t>A.</w:t>
      </w:r>
      <w:r w:rsidRPr="000D2F86">
        <w:tab/>
      </w:r>
      <w:r w:rsidR="009D17FF">
        <w:t xml:space="preserve">In my testimony, I address the </w:t>
      </w:r>
      <w:r w:rsidR="00E87085">
        <w:t>following:</w:t>
      </w:r>
    </w:p>
    <w:p w14:paraId="4E342750" w14:textId="77777777" w:rsidR="004D4370" w:rsidRDefault="004D4370" w:rsidP="00073C5D">
      <w:pPr>
        <w:pStyle w:val="BodyTextIndent"/>
        <w:widowControl/>
        <w:numPr>
          <w:ilvl w:val="0"/>
          <w:numId w:val="32"/>
        </w:numPr>
        <w:tabs>
          <w:tab w:val="clear" w:pos="720"/>
          <w:tab w:val="left" w:pos="1080"/>
        </w:tabs>
        <w:ind w:left="1080"/>
        <w:jc w:val="left"/>
      </w:pPr>
      <w:r>
        <w:t>T</w:t>
      </w:r>
      <w:r w:rsidR="0036136E">
        <w:t xml:space="preserve">he Company’s NPC for </w:t>
      </w:r>
      <w:r w:rsidR="00293B3C">
        <w:t xml:space="preserve">the </w:t>
      </w:r>
      <w:r w:rsidR="009D17FF">
        <w:t>pro forma period</w:t>
      </w:r>
      <w:r w:rsidR="00FB7210">
        <w:t xml:space="preserve"> </w:t>
      </w:r>
      <w:r w:rsidR="0036136E">
        <w:t xml:space="preserve">reflect an increase </w:t>
      </w:r>
      <w:r w:rsidR="00FE62F0">
        <w:t>in Washington</w:t>
      </w:r>
      <w:r w:rsidR="009D17FF">
        <w:t>-allocated</w:t>
      </w:r>
      <w:r w:rsidR="00FE62F0">
        <w:t xml:space="preserve"> NPC </w:t>
      </w:r>
      <w:r w:rsidR="0036136E">
        <w:t xml:space="preserve">of </w:t>
      </w:r>
      <w:r w:rsidR="0036136E" w:rsidRPr="00852AEC">
        <w:t xml:space="preserve">approximately </w:t>
      </w:r>
      <w:r w:rsidR="0036136E" w:rsidRPr="00AE79C1">
        <w:t>$</w:t>
      </w:r>
      <w:r w:rsidR="00236EBF" w:rsidRPr="00AE79C1">
        <w:t>12.0</w:t>
      </w:r>
      <w:r w:rsidR="0036136E" w:rsidRPr="00AE79C1">
        <w:t xml:space="preserve"> million</w:t>
      </w:r>
      <w:r w:rsidR="0036136E">
        <w:t xml:space="preserve">, driven by </w:t>
      </w:r>
      <w:r w:rsidR="00517CB2">
        <w:t>a reduction in wholesale sales revenue and increases in purchased power expense and coal fuel expense</w:t>
      </w:r>
      <w:r w:rsidR="004A67EE">
        <w:t xml:space="preserve">, </w:t>
      </w:r>
      <w:r w:rsidR="00517CB2">
        <w:t xml:space="preserve">partially offset by a reduction in natural gas expense.  </w:t>
      </w:r>
    </w:p>
    <w:p w14:paraId="4E342751" w14:textId="77777777" w:rsidR="001D7A32" w:rsidRDefault="009C286E" w:rsidP="00073C5D">
      <w:pPr>
        <w:pStyle w:val="BodyTextIndent"/>
        <w:widowControl/>
        <w:numPr>
          <w:ilvl w:val="0"/>
          <w:numId w:val="32"/>
        </w:numPr>
        <w:tabs>
          <w:tab w:val="clear" w:pos="720"/>
          <w:tab w:val="left" w:pos="1080"/>
        </w:tabs>
        <w:ind w:left="1080"/>
        <w:jc w:val="left"/>
        <w:rPr>
          <w:b/>
        </w:rPr>
      </w:pPr>
      <w:r>
        <w:t>T</w:t>
      </w:r>
      <w:r w:rsidR="009E1E31">
        <w:t>he Company</w:t>
      </w:r>
      <w:r>
        <w:t xml:space="preserve"> propos</w:t>
      </w:r>
      <w:r w:rsidR="009D17FF">
        <w:t>es</w:t>
      </w:r>
      <w:r w:rsidR="00600A86">
        <w:t xml:space="preserve"> </w:t>
      </w:r>
      <w:r w:rsidR="009E1E31">
        <w:t xml:space="preserve">to include all </w:t>
      </w:r>
      <w:r w:rsidR="009D17FF">
        <w:t xml:space="preserve">power purchase agreements (PPAs) with all </w:t>
      </w:r>
      <w:r w:rsidR="00557406">
        <w:t>q</w:t>
      </w:r>
      <w:r w:rsidR="009E1E31">
        <w:t>uali</w:t>
      </w:r>
      <w:r w:rsidR="00557406">
        <w:t>fying f</w:t>
      </w:r>
      <w:r w:rsidR="009E1E31">
        <w:t>acilit</w:t>
      </w:r>
      <w:r w:rsidR="009D17FF">
        <w:t>ies</w:t>
      </w:r>
      <w:r w:rsidR="009E1E31">
        <w:t xml:space="preserve"> (QF</w:t>
      </w:r>
      <w:r w:rsidR="009D17FF">
        <w:t>s</w:t>
      </w:r>
      <w:r w:rsidR="009E1E31">
        <w:t>)</w:t>
      </w:r>
      <w:r w:rsidR="001D7A32">
        <w:t xml:space="preserve"> </w:t>
      </w:r>
      <w:r w:rsidR="009E1E31">
        <w:t xml:space="preserve">located in PacifiCorp’s </w:t>
      </w:r>
      <w:r w:rsidR="00557406">
        <w:t xml:space="preserve">west control area </w:t>
      </w:r>
      <w:r w:rsidR="001D7A32">
        <w:t>in rates</w:t>
      </w:r>
      <w:r w:rsidR="009E1E31">
        <w:t xml:space="preserve">, with costs allocated to Washington in the same manner as all other </w:t>
      </w:r>
      <w:r w:rsidR="001D7A32">
        <w:t xml:space="preserve">generation </w:t>
      </w:r>
      <w:r w:rsidR="009E1E31">
        <w:t>resources</w:t>
      </w:r>
      <w:r w:rsidR="001D7A32">
        <w:t xml:space="preserve"> under the </w:t>
      </w:r>
      <w:r w:rsidR="009D17FF">
        <w:t>Commission-approved We</w:t>
      </w:r>
      <w:r w:rsidR="001D7A32" w:rsidRPr="001D7A32">
        <w:t xml:space="preserve">st </w:t>
      </w:r>
      <w:r w:rsidR="009D17FF">
        <w:t>C</w:t>
      </w:r>
      <w:r w:rsidR="001D7A32" w:rsidRPr="001D7A32">
        <w:t xml:space="preserve">ontrol </w:t>
      </w:r>
      <w:r w:rsidR="009D17FF">
        <w:t>A</w:t>
      </w:r>
      <w:r w:rsidR="001D7A32" w:rsidRPr="001D7A32">
        <w:t xml:space="preserve">rea </w:t>
      </w:r>
      <w:r w:rsidR="009D17FF">
        <w:t xml:space="preserve">inter-jurisdictional </w:t>
      </w:r>
      <w:r w:rsidR="001D7A32" w:rsidRPr="001D7A32">
        <w:t>allocation methodology (WCA)</w:t>
      </w:r>
      <w:r w:rsidR="001D7A32">
        <w:t>.</w:t>
      </w:r>
      <w:r w:rsidR="009E1E31">
        <w:t xml:space="preserve">  Treating QF</w:t>
      </w:r>
      <w:r w:rsidR="001D7A32">
        <w:t xml:space="preserve"> PPA</w:t>
      </w:r>
      <w:r w:rsidR="009E1E31">
        <w:t xml:space="preserve">s in this manner increases the accuracy of the NPC forecast for the </w:t>
      </w:r>
      <w:r w:rsidR="009D17FF">
        <w:t>west control area</w:t>
      </w:r>
      <w:r w:rsidR="009E1E31">
        <w:t xml:space="preserve">. </w:t>
      </w:r>
      <w:r w:rsidR="001D7A32">
        <w:t xml:space="preserve"> </w:t>
      </w:r>
      <w:r w:rsidR="00600A86">
        <w:t xml:space="preserve">In response </w:t>
      </w:r>
      <w:r w:rsidR="009D17FF">
        <w:t>to the Commission’s rejection of this proposal in the Company’s 2013</w:t>
      </w:r>
      <w:r w:rsidR="00073C5D">
        <w:t xml:space="preserve"> Washington general rate case, D</w:t>
      </w:r>
      <w:r w:rsidR="009D17FF">
        <w:t xml:space="preserve">ocket UE-130043 (2013 Rate Case), </w:t>
      </w:r>
      <w:r w:rsidR="00600A86">
        <w:t xml:space="preserve">the Company </w:t>
      </w:r>
      <w:r>
        <w:t xml:space="preserve">also </w:t>
      </w:r>
      <w:r w:rsidR="009D17FF">
        <w:t>describes</w:t>
      </w:r>
      <w:r w:rsidR="00600A86">
        <w:t xml:space="preserve"> two alternative approaches to </w:t>
      </w:r>
      <w:r w:rsidR="009D17FF">
        <w:t xml:space="preserve">addressing </w:t>
      </w:r>
      <w:r w:rsidR="00600A86">
        <w:t>QF PPAs</w:t>
      </w:r>
      <w:r w:rsidR="009D17FF">
        <w:t xml:space="preserve"> in the west control area</w:t>
      </w:r>
      <w:r w:rsidR="00600A86">
        <w:t xml:space="preserve">.  </w:t>
      </w:r>
    </w:p>
    <w:p w14:paraId="4E342752" w14:textId="77777777" w:rsidR="00600A86" w:rsidRDefault="001D7A32" w:rsidP="00073C5D">
      <w:pPr>
        <w:pStyle w:val="BodyTextIndent"/>
        <w:widowControl/>
        <w:numPr>
          <w:ilvl w:val="0"/>
          <w:numId w:val="32"/>
        </w:numPr>
        <w:tabs>
          <w:tab w:val="clear" w:pos="720"/>
          <w:tab w:val="left" w:pos="1080"/>
        </w:tabs>
        <w:ind w:left="1080"/>
        <w:jc w:val="left"/>
      </w:pPr>
      <w:r w:rsidRPr="001D7A32">
        <w:t xml:space="preserve">The </w:t>
      </w:r>
      <w:r>
        <w:t xml:space="preserve">Company’s Washington sales and loads increased </w:t>
      </w:r>
      <w:r w:rsidR="009C286E">
        <w:t>from those</w:t>
      </w:r>
      <w:r>
        <w:t xml:space="preserve"> </w:t>
      </w:r>
      <w:r w:rsidR="009C286E">
        <w:t>included</w:t>
      </w:r>
      <w:r>
        <w:t xml:space="preserve"> in the 2013 </w:t>
      </w:r>
      <w:r w:rsidR="009C286E">
        <w:t>R</w:t>
      </w:r>
      <w:r>
        <w:t xml:space="preserve">ate </w:t>
      </w:r>
      <w:r w:rsidR="009C286E">
        <w:t>C</w:t>
      </w:r>
      <w:r>
        <w:t>ase</w:t>
      </w:r>
      <w:r w:rsidR="00600A86" w:rsidRPr="001D7A32">
        <w:t xml:space="preserve">. </w:t>
      </w:r>
    </w:p>
    <w:p w14:paraId="4E342753" w14:textId="77777777" w:rsidR="00DD33B3" w:rsidRDefault="00DD33B3" w:rsidP="00073C5D">
      <w:pPr>
        <w:pStyle w:val="BodyTextIndent"/>
        <w:widowControl/>
        <w:numPr>
          <w:ilvl w:val="0"/>
          <w:numId w:val="32"/>
        </w:numPr>
        <w:tabs>
          <w:tab w:val="clear" w:pos="720"/>
          <w:tab w:val="left" w:pos="1080"/>
        </w:tabs>
        <w:ind w:left="1080"/>
        <w:jc w:val="left"/>
      </w:pPr>
      <w:r>
        <w:t xml:space="preserve">The Company’s coal </w:t>
      </w:r>
      <w:r w:rsidR="008268EF">
        <w:t xml:space="preserve">supply </w:t>
      </w:r>
      <w:r>
        <w:t xml:space="preserve">costs increased by </w:t>
      </w:r>
      <w:r w:rsidRPr="00AE79C1">
        <w:t>appro</w:t>
      </w:r>
      <w:r w:rsidR="009C286E" w:rsidRPr="00AE79C1">
        <w:t>x</w:t>
      </w:r>
      <w:r w:rsidRPr="00AE79C1">
        <w:t>im</w:t>
      </w:r>
      <w:r w:rsidR="009C286E" w:rsidRPr="00AE79C1">
        <w:t>a</w:t>
      </w:r>
      <w:r w:rsidRPr="00AE79C1">
        <w:t>tely $</w:t>
      </w:r>
      <w:r w:rsidR="00D15553" w:rsidRPr="00AE79C1">
        <w:t>2.3</w:t>
      </w:r>
      <w:r w:rsidR="00D15553">
        <w:t xml:space="preserve"> </w:t>
      </w:r>
      <w:r>
        <w:t xml:space="preserve">million on a </w:t>
      </w:r>
      <w:r w:rsidR="00D15553">
        <w:t>Washington-allocated</w:t>
      </w:r>
      <w:r w:rsidR="009D17FF">
        <w:t xml:space="preserve"> </w:t>
      </w:r>
      <w:r>
        <w:t xml:space="preserve">basis, largely </w:t>
      </w:r>
      <w:r w:rsidR="008268EF">
        <w:t>associated with the</w:t>
      </w:r>
      <w:r>
        <w:t xml:space="preserve"> Jim Bridger plant.  The </w:t>
      </w:r>
      <w:r w:rsidR="009C286E">
        <w:t xml:space="preserve">increase in fuel expense </w:t>
      </w:r>
      <w:r w:rsidR="008268EF">
        <w:t>at the Jim Bridger plant is a result of</w:t>
      </w:r>
      <w:r w:rsidR="009C286E">
        <w:t xml:space="preserve"> higher mining costs at </w:t>
      </w:r>
      <w:r>
        <w:t>both the Bridger Coal Company (BCC) underground mine and the Black Butte mine.</w:t>
      </w:r>
    </w:p>
    <w:p w14:paraId="4E342754" w14:textId="77777777" w:rsidR="00DD33B3" w:rsidRDefault="00DD33B3" w:rsidP="00073C5D">
      <w:pPr>
        <w:pStyle w:val="BodyTextIndent"/>
        <w:widowControl/>
        <w:numPr>
          <w:ilvl w:val="0"/>
          <w:numId w:val="32"/>
        </w:numPr>
        <w:tabs>
          <w:tab w:val="clear" w:pos="720"/>
          <w:tab w:val="left" w:pos="1080"/>
        </w:tabs>
        <w:ind w:left="1080"/>
        <w:jc w:val="left"/>
      </w:pPr>
      <w:r>
        <w:lastRenderedPageBreak/>
        <w:t>The NPC modeling in this case is largely consistent with past cases, with a f</w:t>
      </w:r>
      <w:r w:rsidR="008268EF">
        <w:t xml:space="preserve">ew exceptions.  </w:t>
      </w:r>
      <w:r w:rsidR="009D17FF">
        <w:t>T</w:t>
      </w:r>
      <w:r w:rsidR="008268EF">
        <w:t>he Company propose</w:t>
      </w:r>
      <w:r w:rsidR="009D17FF">
        <w:t>s</w:t>
      </w:r>
      <w:r w:rsidR="008268EF">
        <w:t xml:space="preserve"> a new approach to shaping wind generation on an hourly basis, designed to increase the accuracy of the Company’s wind generation forecast.  </w:t>
      </w:r>
    </w:p>
    <w:p w14:paraId="4E342755" w14:textId="77777777" w:rsidR="004D4370" w:rsidRDefault="008268EF" w:rsidP="00073C5D">
      <w:pPr>
        <w:pStyle w:val="BodyTextIndent"/>
        <w:widowControl/>
        <w:numPr>
          <w:ilvl w:val="0"/>
          <w:numId w:val="32"/>
        </w:numPr>
        <w:tabs>
          <w:tab w:val="clear" w:pos="720"/>
          <w:tab w:val="left" w:pos="1080"/>
        </w:tabs>
        <w:ind w:left="1080"/>
        <w:jc w:val="left"/>
      </w:pPr>
      <w:r>
        <w:t xml:space="preserve">In response to </w:t>
      </w:r>
      <w:r w:rsidR="00D92EEB">
        <w:t xml:space="preserve">the Commission’s order </w:t>
      </w:r>
      <w:r>
        <w:t>in the 2013 Rate Case</w:t>
      </w:r>
      <w:r w:rsidR="00D92EEB">
        <w:t xml:space="preserve"> (Order 05)</w:t>
      </w:r>
      <w:r>
        <w:t>, I</w:t>
      </w:r>
      <w:r w:rsidR="00D92EEB">
        <w:t xml:space="preserve"> support </w:t>
      </w:r>
      <w:r w:rsidR="004D4370">
        <w:t>the continued use of the G</w:t>
      </w:r>
      <w:r w:rsidR="00D92EEB">
        <w:t xml:space="preserve">eneration and Regulatory Initiative Decision Tools </w:t>
      </w:r>
      <w:r w:rsidR="004D4370">
        <w:t xml:space="preserve">model </w:t>
      </w:r>
      <w:r w:rsidR="00D92EEB">
        <w:t xml:space="preserve">(GRID) </w:t>
      </w:r>
      <w:r w:rsidR="004D4370">
        <w:t xml:space="preserve">and the application of market caps to regulate </w:t>
      </w:r>
      <w:r w:rsidR="00D92EEB">
        <w:t>GRID’s</w:t>
      </w:r>
      <w:r w:rsidR="004D4370">
        <w:t xml:space="preserve"> use of off-system sales.  </w:t>
      </w:r>
    </w:p>
    <w:p w14:paraId="4E342756" w14:textId="77777777" w:rsidR="005F7343" w:rsidRPr="005F7343" w:rsidRDefault="008948F8" w:rsidP="00073C5D">
      <w:pPr>
        <w:pStyle w:val="BodyTextIndent"/>
        <w:widowControl/>
        <w:numPr>
          <w:ilvl w:val="0"/>
          <w:numId w:val="32"/>
        </w:numPr>
        <w:tabs>
          <w:tab w:val="clear" w:pos="720"/>
          <w:tab w:val="left" w:pos="1080"/>
        </w:tabs>
        <w:ind w:left="1080"/>
        <w:jc w:val="left"/>
      </w:pPr>
      <w:r>
        <w:t>The Company propos</w:t>
      </w:r>
      <w:r w:rsidR="00D92EEB">
        <w:t>es</w:t>
      </w:r>
      <w:r>
        <w:t xml:space="preserve"> a </w:t>
      </w:r>
      <w:r w:rsidR="00293B3C">
        <w:t xml:space="preserve">renewable resource </w:t>
      </w:r>
      <w:r w:rsidR="00AB5840">
        <w:t>tr</w:t>
      </w:r>
      <w:r w:rsidR="00D92EEB">
        <w:t>acking</w:t>
      </w:r>
      <w:r w:rsidR="00293B3C">
        <w:t xml:space="preserve"> mechanism </w:t>
      </w:r>
      <w:r w:rsidR="00D92EEB">
        <w:t xml:space="preserve">(RRTM) </w:t>
      </w:r>
      <w:r>
        <w:t xml:space="preserve">to address the variability of </w:t>
      </w:r>
      <w:r w:rsidR="003965EE">
        <w:t>NPC</w:t>
      </w:r>
      <w:r w:rsidR="00293B3C">
        <w:t xml:space="preserve"> related to </w:t>
      </w:r>
      <w:r w:rsidR="00D92EEB">
        <w:t xml:space="preserve">the </w:t>
      </w:r>
      <w:r w:rsidR="000A1539">
        <w:t>increase</w:t>
      </w:r>
      <w:r w:rsidR="00D92EEB">
        <w:t xml:space="preserve"> in </w:t>
      </w:r>
      <w:r w:rsidR="00293B3C">
        <w:t xml:space="preserve">intermittent </w:t>
      </w:r>
      <w:r w:rsidR="000A1539">
        <w:t xml:space="preserve">wind resources </w:t>
      </w:r>
      <w:r w:rsidR="00293B3C">
        <w:t>in the Company’s resource portfolio</w:t>
      </w:r>
      <w:r w:rsidR="000A1539">
        <w:t xml:space="preserve">.  </w:t>
      </w:r>
      <w:r w:rsidR="00293B3C">
        <w:t xml:space="preserve">The </w:t>
      </w:r>
      <w:r w:rsidR="00D92EEB">
        <w:t>RRTM</w:t>
      </w:r>
      <w:r w:rsidR="00293B3C">
        <w:t xml:space="preserve"> will account for the difference between the normalized value of wind resources included in Washington customers’ base rates and the actual value of wind resources during a given year.  </w:t>
      </w:r>
      <w:bookmarkStart w:id="4" w:name="_Toc345427404"/>
    </w:p>
    <w:p w14:paraId="4E342757" w14:textId="77777777" w:rsidR="008010C2" w:rsidRPr="00073C5D" w:rsidRDefault="008010C2" w:rsidP="00073C5D">
      <w:pPr>
        <w:pStyle w:val="Heading1"/>
      </w:pPr>
      <w:bookmarkStart w:id="5" w:name="_Toc345427408"/>
      <w:bookmarkStart w:id="6" w:name="_Toc384202443"/>
      <w:bookmarkStart w:id="7" w:name="_Toc386609219"/>
      <w:bookmarkEnd w:id="4"/>
      <w:r w:rsidRPr="00073C5D">
        <w:t>PRO FORMA NPC</w:t>
      </w:r>
      <w:bookmarkEnd w:id="5"/>
      <w:bookmarkEnd w:id="6"/>
      <w:bookmarkEnd w:id="7"/>
    </w:p>
    <w:p w14:paraId="4E342758" w14:textId="77777777" w:rsidR="005F3876" w:rsidRPr="00852AEC" w:rsidRDefault="005F3876" w:rsidP="00BA0859">
      <w:pPr>
        <w:spacing w:line="480" w:lineRule="auto"/>
        <w:jc w:val="left"/>
        <w:rPr>
          <w:b/>
        </w:rPr>
      </w:pPr>
      <w:r w:rsidRPr="00852AEC">
        <w:rPr>
          <w:b/>
        </w:rPr>
        <w:t>Q.</w:t>
      </w:r>
      <w:r w:rsidRPr="00852AEC">
        <w:tab/>
      </w:r>
      <w:r w:rsidRPr="00852AEC">
        <w:rPr>
          <w:b/>
        </w:rPr>
        <w:t>Please provide an overview of NPC in the Company’s filing.</w:t>
      </w:r>
    </w:p>
    <w:p w14:paraId="4E342759" w14:textId="77777777" w:rsidR="00037C78" w:rsidRDefault="005F3876" w:rsidP="00037C78">
      <w:pPr>
        <w:pStyle w:val="BodyTextIndent2"/>
        <w:jc w:val="left"/>
      </w:pPr>
      <w:r w:rsidRPr="00852AEC">
        <w:t>A.</w:t>
      </w:r>
      <w:r w:rsidRPr="00852AEC">
        <w:tab/>
        <w:t xml:space="preserve">The </w:t>
      </w:r>
      <w:r w:rsidR="00D92EEB">
        <w:t>west control area</w:t>
      </w:r>
      <w:r w:rsidRPr="00852AEC">
        <w:t xml:space="preserve"> NPC for the </w:t>
      </w:r>
      <w:r w:rsidR="00D92EEB">
        <w:t>pro forma</w:t>
      </w:r>
      <w:r w:rsidRPr="00852AEC">
        <w:t xml:space="preserve"> period are approximately </w:t>
      </w:r>
      <w:r w:rsidRPr="00AE79C1">
        <w:t>$</w:t>
      </w:r>
      <w:r w:rsidR="009E1E31" w:rsidRPr="00AE79C1">
        <w:t>568.8</w:t>
      </w:r>
      <w:r w:rsidR="00D92EEB" w:rsidRPr="00AE79C1">
        <w:t> </w:t>
      </w:r>
      <w:r w:rsidRPr="00AE79C1">
        <w:t xml:space="preserve">million.  As discussed in </w:t>
      </w:r>
      <w:r w:rsidR="00BA36FC" w:rsidRPr="00AE79C1">
        <w:t>Ms. Natasha</w:t>
      </w:r>
      <w:r w:rsidR="00232229" w:rsidRPr="00AE79C1">
        <w:t xml:space="preserve"> </w:t>
      </w:r>
      <w:r w:rsidR="00073C5D">
        <w:t xml:space="preserve">C. </w:t>
      </w:r>
      <w:r w:rsidR="005D3AF3" w:rsidRPr="00AE79C1">
        <w:t>Siores’</w:t>
      </w:r>
      <w:r w:rsidR="00D92EEB" w:rsidRPr="00AE79C1">
        <w:t>s</w:t>
      </w:r>
      <w:r w:rsidRPr="00AE79C1">
        <w:t xml:space="preserve"> direct testimony, the Washington</w:t>
      </w:r>
      <w:r w:rsidR="00AC11BE" w:rsidRPr="00AE79C1">
        <w:t xml:space="preserve">-allocated </w:t>
      </w:r>
      <w:r w:rsidR="002E01C6" w:rsidRPr="00AE79C1">
        <w:t>NPC</w:t>
      </w:r>
      <w:r w:rsidRPr="00AE79C1">
        <w:t xml:space="preserve"> are approximately $</w:t>
      </w:r>
      <w:r w:rsidR="009E1E31" w:rsidRPr="00AE79C1">
        <w:t>130.2</w:t>
      </w:r>
      <w:r w:rsidRPr="00852AEC">
        <w:t xml:space="preserve"> million</w:t>
      </w:r>
      <w:r w:rsidR="00F82227">
        <w:t xml:space="preserve"> </w:t>
      </w:r>
      <w:r w:rsidR="00F82227" w:rsidRPr="00C677D0">
        <w:t>before applying</w:t>
      </w:r>
      <w:r w:rsidR="0082133A" w:rsidRPr="00C677D0">
        <w:t xml:space="preserve"> the production factor</w:t>
      </w:r>
      <w:r w:rsidRPr="00C677D0">
        <w:t>.</w:t>
      </w:r>
      <w:r w:rsidR="00612A6E" w:rsidRPr="00C677D0">
        <w:rPr>
          <w:rStyle w:val="FootnoteReference"/>
        </w:rPr>
        <w:footnoteReference w:id="2"/>
      </w:r>
      <w:r w:rsidRPr="00852AEC">
        <w:t xml:space="preserve"> </w:t>
      </w:r>
      <w:r w:rsidR="0082133A" w:rsidRPr="00852AEC">
        <w:t xml:space="preserve"> </w:t>
      </w:r>
      <w:r w:rsidR="005D3AF3">
        <w:t xml:space="preserve">The Company calculated </w:t>
      </w:r>
      <w:r w:rsidRPr="00852AEC">
        <w:t xml:space="preserve">NPC </w:t>
      </w:r>
      <w:r w:rsidR="005D3AF3">
        <w:t>by</w:t>
      </w:r>
      <w:r w:rsidRPr="00852AEC">
        <w:t xml:space="preserve"> using pro forma expenses and revenues for the </w:t>
      </w:r>
      <w:r w:rsidR="00AC11BE">
        <w:t>period April 2015 through March 2016</w:t>
      </w:r>
      <w:r w:rsidRPr="00852AEC">
        <w:t xml:space="preserve"> (</w:t>
      </w:r>
      <w:r w:rsidR="00D92EEB">
        <w:t>which corresponds to the rate effective period</w:t>
      </w:r>
      <w:r w:rsidRPr="00852AEC">
        <w:t xml:space="preserve">).  </w:t>
      </w:r>
      <w:r w:rsidR="007267C8" w:rsidRPr="00852AEC">
        <w:t>O</w:t>
      </w:r>
      <w:r w:rsidRPr="00852AEC">
        <w:t xml:space="preserve">nly costs and benefits attributed to the </w:t>
      </w:r>
      <w:r w:rsidR="00D92EEB">
        <w:t>west control area</w:t>
      </w:r>
      <w:r w:rsidR="00D92EEB" w:rsidRPr="00852AEC">
        <w:t xml:space="preserve"> </w:t>
      </w:r>
      <w:r w:rsidRPr="00852AEC">
        <w:t xml:space="preserve">are included, and the resulting NPC </w:t>
      </w:r>
      <w:r w:rsidR="0079058F">
        <w:t>are</w:t>
      </w:r>
      <w:r w:rsidR="00F454AD">
        <w:t xml:space="preserve"> then allocated to Washington</w:t>
      </w:r>
      <w:r w:rsidR="00D92EEB">
        <w:t xml:space="preserve"> using the Commission-approved WCA</w:t>
      </w:r>
      <w:r w:rsidRPr="00852AEC">
        <w:t>.  A</w:t>
      </w:r>
      <w:r w:rsidR="00D92EEB">
        <w:t> </w:t>
      </w:r>
      <w:r w:rsidRPr="00852AEC">
        <w:t>report detailing</w:t>
      </w:r>
      <w:r w:rsidR="006E29BC" w:rsidRPr="00852AEC">
        <w:t xml:space="preserve"> the</w:t>
      </w:r>
      <w:r w:rsidR="00A80C45" w:rsidRPr="00852AEC">
        <w:t xml:space="preserve"> NPC</w:t>
      </w:r>
      <w:r w:rsidRPr="00852AEC">
        <w:t xml:space="preserve"> </w:t>
      </w:r>
      <w:r w:rsidR="00A80C45" w:rsidRPr="00852AEC">
        <w:t xml:space="preserve">forecast </w:t>
      </w:r>
      <w:r w:rsidRPr="00852AEC">
        <w:t xml:space="preserve">on a </w:t>
      </w:r>
      <w:r w:rsidR="00D92EEB">
        <w:t>west</w:t>
      </w:r>
      <w:r w:rsidR="003317E2">
        <w:t xml:space="preserve"> </w:t>
      </w:r>
      <w:r w:rsidR="00D92EEB">
        <w:t>control</w:t>
      </w:r>
      <w:r w:rsidR="003317E2">
        <w:t xml:space="preserve"> </w:t>
      </w:r>
      <w:r w:rsidR="00D92EEB">
        <w:t xml:space="preserve">area </w:t>
      </w:r>
      <w:r>
        <w:t xml:space="preserve">basis is attached to my testimony </w:t>
      </w:r>
      <w:r w:rsidRPr="001C4772">
        <w:t xml:space="preserve">as </w:t>
      </w:r>
      <w:r w:rsidRPr="00AE79C1">
        <w:t>Exhibit No.___(GND-2).</w:t>
      </w:r>
    </w:p>
    <w:p w14:paraId="4E34275A" w14:textId="77777777" w:rsidR="00037C78" w:rsidRPr="00E834A1" w:rsidRDefault="00037C78" w:rsidP="00037C78">
      <w:pPr>
        <w:pStyle w:val="BodyTextIndent2"/>
        <w:jc w:val="left"/>
        <w:rPr>
          <w:b/>
        </w:rPr>
      </w:pPr>
      <w:r w:rsidRPr="00E834A1">
        <w:rPr>
          <w:b/>
        </w:rPr>
        <w:t>Q.</w:t>
      </w:r>
      <w:r w:rsidRPr="00E834A1">
        <w:rPr>
          <w:b/>
        </w:rPr>
        <w:tab/>
        <w:t xml:space="preserve">How do the pro forma </w:t>
      </w:r>
      <w:r>
        <w:rPr>
          <w:b/>
        </w:rPr>
        <w:t>NPC</w:t>
      </w:r>
      <w:r w:rsidRPr="00E834A1">
        <w:rPr>
          <w:b/>
        </w:rPr>
        <w:t xml:space="preserve"> in this </w:t>
      </w:r>
      <w:r w:rsidR="00D92EEB">
        <w:rPr>
          <w:b/>
        </w:rPr>
        <w:t>case</w:t>
      </w:r>
      <w:r w:rsidR="00D92EEB" w:rsidRPr="00E834A1">
        <w:rPr>
          <w:b/>
        </w:rPr>
        <w:t xml:space="preserve"> </w:t>
      </w:r>
      <w:r w:rsidRPr="00E834A1">
        <w:rPr>
          <w:b/>
        </w:rPr>
        <w:t xml:space="preserve">compare to the </w:t>
      </w:r>
      <w:r>
        <w:rPr>
          <w:b/>
        </w:rPr>
        <w:t xml:space="preserve">NPC </w:t>
      </w:r>
      <w:r w:rsidRPr="00E834A1">
        <w:rPr>
          <w:b/>
        </w:rPr>
        <w:t xml:space="preserve">authorized in the </w:t>
      </w:r>
      <w:r>
        <w:rPr>
          <w:b/>
        </w:rPr>
        <w:t>Company’s 2013</w:t>
      </w:r>
      <w:r w:rsidRPr="00E834A1">
        <w:rPr>
          <w:b/>
        </w:rPr>
        <w:t xml:space="preserve"> </w:t>
      </w:r>
      <w:r>
        <w:rPr>
          <w:b/>
        </w:rPr>
        <w:t>Rate Case</w:t>
      </w:r>
      <w:r w:rsidRPr="00E834A1">
        <w:rPr>
          <w:b/>
        </w:rPr>
        <w:t>?</w:t>
      </w:r>
    </w:p>
    <w:p w14:paraId="4E34275B" w14:textId="77777777" w:rsidR="00037C78" w:rsidRPr="00AE79C1" w:rsidRDefault="00037C78" w:rsidP="00037C78">
      <w:pPr>
        <w:pStyle w:val="BodyTextIndent"/>
        <w:tabs>
          <w:tab w:val="clear" w:pos="720"/>
        </w:tabs>
        <w:jc w:val="left"/>
      </w:pPr>
      <w:r w:rsidRPr="00E834A1">
        <w:t>A.</w:t>
      </w:r>
      <w:r w:rsidRPr="00E834A1">
        <w:tab/>
        <w:t xml:space="preserve">The pro forma </w:t>
      </w:r>
      <w:r>
        <w:t>Washington</w:t>
      </w:r>
      <w:r w:rsidR="00D92EEB">
        <w:t>-allocated</w:t>
      </w:r>
      <w:r>
        <w:t xml:space="preserve"> NPC</w:t>
      </w:r>
      <w:r w:rsidRPr="00E834A1">
        <w:t xml:space="preserve"> in </w:t>
      </w:r>
      <w:r w:rsidR="00D92EEB">
        <w:t>this case</w:t>
      </w:r>
      <w:r w:rsidRPr="00E834A1">
        <w:t xml:space="preserve"> are </w:t>
      </w:r>
      <w:r w:rsidRPr="00AE79C1">
        <w:t>approximately $12.0</w:t>
      </w:r>
      <w:r w:rsidR="005316B0">
        <w:t> </w:t>
      </w:r>
      <w:r w:rsidRPr="00AE79C1">
        <w:t>million higher than the level authorized in the Company’s 2013 Rate Case.</w:t>
      </w:r>
    </w:p>
    <w:p w14:paraId="4E34275C" w14:textId="77777777" w:rsidR="009214CC" w:rsidRPr="00AE79C1" w:rsidRDefault="009214CC" w:rsidP="009214CC">
      <w:pPr>
        <w:pStyle w:val="BodyTextIndent2"/>
        <w:widowControl/>
        <w:numPr>
          <w:ilvl w:val="0"/>
          <w:numId w:val="2"/>
        </w:numPr>
        <w:tabs>
          <w:tab w:val="left" w:pos="720"/>
        </w:tabs>
        <w:adjustRightInd/>
        <w:jc w:val="left"/>
        <w:textAlignment w:val="auto"/>
        <w:rPr>
          <w:b/>
        </w:rPr>
      </w:pPr>
      <w:r w:rsidRPr="00AE79C1">
        <w:rPr>
          <w:b/>
        </w:rPr>
        <w:t xml:space="preserve">Please explain </w:t>
      </w:r>
      <w:r w:rsidR="00F82227" w:rsidRPr="00AE79C1">
        <w:rPr>
          <w:b/>
        </w:rPr>
        <w:t>NPC</w:t>
      </w:r>
      <w:r w:rsidRPr="00AE79C1">
        <w:rPr>
          <w:b/>
        </w:rPr>
        <w:t>.</w:t>
      </w:r>
    </w:p>
    <w:p w14:paraId="4E34275D" w14:textId="77777777" w:rsidR="00553C64" w:rsidRPr="00553C64" w:rsidRDefault="00F82227" w:rsidP="00553C64">
      <w:pPr>
        <w:pStyle w:val="BodyTextIndent2"/>
        <w:widowControl/>
        <w:numPr>
          <w:ilvl w:val="0"/>
          <w:numId w:val="18"/>
        </w:numPr>
        <w:tabs>
          <w:tab w:val="clear" w:pos="720"/>
        </w:tabs>
        <w:adjustRightInd/>
        <w:ind w:hanging="720"/>
        <w:jc w:val="left"/>
        <w:textAlignment w:val="auto"/>
      </w:pPr>
      <w:r>
        <w:t>NPC</w:t>
      </w:r>
      <w:r w:rsidR="009214CC" w:rsidRPr="00E834A1">
        <w:t xml:space="preserve"> are defined as the sum of fuel expenses, wholesale purchase power expenses and wheeling expenses, less wholesale sales revenue.</w:t>
      </w:r>
      <w:r w:rsidR="009214CC">
        <w:t xml:space="preserve"> </w:t>
      </w:r>
      <w:r w:rsidR="009214CC" w:rsidRPr="009214CC">
        <w:t xml:space="preserve"> </w:t>
      </w:r>
      <w:r w:rsidR="009214CC">
        <w:t>NPC</w:t>
      </w:r>
      <w:r w:rsidR="009214CC" w:rsidRPr="00C464F8">
        <w:t xml:space="preserve"> are calculated for </w:t>
      </w:r>
      <w:r w:rsidR="00D92EEB">
        <w:t>the pro forma period</w:t>
      </w:r>
      <w:r w:rsidR="009214CC">
        <w:t xml:space="preserve"> </w:t>
      </w:r>
      <w:r w:rsidR="009214CC" w:rsidRPr="00C464F8">
        <w:t xml:space="preserve">based on projected data using GRID, a production cost model that simulates the operation of </w:t>
      </w:r>
      <w:r w:rsidR="00B95E0B">
        <w:t>PacifiCorp</w:t>
      </w:r>
      <w:r w:rsidR="009214CC" w:rsidRPr="00C464F8">
        <w:t>’s power system on an hourly basis.</w:t>
      </w:r>
    </w:p>
    <w:p w14:paraId="4E34275E" w14:textId="77777777" w:rsidR="00F41651" w:rsidRPr="00E834A1" w:rsidRDefault="00F41651" w:rsidP="00301CF0">
      <w:pPr>
        <w:pStyle w:val="BodyTextIndent2"/>
        <w:jc w:val="left"/>
        <w:rPr>
          <w:b/>
        </w:rPr>
      </w:pPr>
      <w:r w:rsidRPr="00E834A1">
        <w:rPr>
          <w:b/>
        </w:rPr>
        <w:t>Q.</w:t>
      </w:r>
      <w:r w:rsidRPr="00E834A1">
        <w:rPr>
          <w:b/>
        </w:rPr>
        <w:tab/>
        <w:t xml:space="preserve">Is the Company’s general approach to the calculation of </w:t>
      </w:r>
      <w:r w:rsidR="007267C8">
        <w:rPr>
          <w:b/>
        </w:rPr>
        <w:t>NPC</w:t>
      </w:r>
      <w:r w:rsidRPr="00E834A1">
        <w:rPr>
          <w:b/>
        </w:rPr>
        <w:t xml:space="preserve"> using GRID the same in this case as in the</w:t>
      </w:r>
      <w:r>
        <w:rPr>
          <w:b/>
        </w:rPr>
        <w:t xml:space="preserve"> Company’s</w:t>
      </w:r>
      <w:r w:rsidRPr="00E834A1">
        <w:rPr>
          <w:b/>
        </w:rPr>
        <w:t xml:space="preserve"> </w:t>
      </w:r>
      <w:r w:rsidR="009D754F">
        <w:rPr>
          <w:b/>
        </w:rPr>
        <w:t>2013 Rate Case</w:t>
      </w:r>
      <w:r>
        <w:rPr>
          <w:b/>
        </w:rPr>
        <w:t>?</w:t>
      </w:r>
    </w:p>
    <w:p w14:paraId="4E34275F" w14:textId="77777777" w:rsidR="00132607" w:rsidRDefault="00F41651" w:rsidP="00796934">
      <w:pPr>
        <w:tabs>
          <w:tab w:val="left" w:pos="720"/>
        </w:tabs>
        <w:spacing w:line="480" w:lineRule="auto"/>
        <w:ind w:left="720" w:hanging="720"/>
        <w:jc w:val="left"/>
        <w:rPr>
          <w:b/>
        </w:rPr>
      </w:pPr>
      <w:r w:rsidRPr="00E834A1">
        <w:t>A.</w:t>
      </w:r>
      <w:r w:rsidRPr="00E834A1">
        <w:tab/>
        <w:t xml:space="preserve">Yes.  The </w:t>
      </w:r>
      <w:r w:rsidR="00132607">
        <w:t xml:space="preserve">Company used the same version of </w:t>
      </w:r>
      <w:r w:rsidR="00B708D5">
        <w:t xml:space="preserve">GRID as the 2013 Rate Case and </w:t>
      </w:r>
      <w:r>
        <w:t>used</w:t>
      </w:r>
      <w:r w:rsidRPr="00E834A1">
        <w:t xml:space="preserve"> GRID </w:t>
      </w:r>
      <w:r w:rsidR="002B52AC">
        <w:t>consistent</w:t>
      </w:r>
      <w:r w:rsidR="00037C78">
        <w:t>ly</w:t>
      </w:r>
      <w:r w:rsidR="002B52AC">
        <w:t xml:space="preserve"> with </w:t>
      </w:r>
      <w:r w:rsidR="00B708D5">
        <w:t>past cases</w:t>
      </w:r>
      <w:r w:rsidR="000723A5">
        <w:t xml:space="preserve">.  </w:t>
      </w:r>
      <w:r w:rsidR="00F454AD">
        <w:t xml:space="preserve">As directed </w:t>
      </w:r>
      <w:r w:rsidR="002324FB">
        <w:t xml:space="preserve">by Order 05 </w:t>
      </w:r>
      <w:r w:rsidR="00F454AD">
        <w:t xml:space="preserve">in the 2013 Rate Case, </w:t>
      </w:r>
      <w:r w:rsidR="005D3AF3">
        <w:t>my testimony</w:t>
      </w:r>
      <w:r w:rsidR="00F454AD">
        <w:t xml:space="preserve"> provide</w:t>
      </w:r>
      <w:r w:rsidR="005D3AF3">
        <w:t>s</w:t>
      </w:r>
      <w:r w:rsidR="00F454AD">
        <w:t xml:space="preserve"> support for the continued use of GRID to determine NPC in the Company’s general rate cases.</w:t>
      </w:r>
    </w:p>
    <w:p w14:paraId="4E342760" w14:textId="77777777" w:rsidR="00F41651" w:rsidRPr="00C464F8" w:rsidRDefault="00F41651" w:rsidP="00301CF0">
      <w:pPr>
        <w:pStyle w:val="BodyTextIndent"/>
        <w:tabs>
          <w:tab w:val="clear" w:pos="720"/>
        </w:tabs>
        <w:jc w:val="left"/>
        <w:rPr>
          <w:b/>
        </w:rPr>
      </w:pPr>
      <w:r w:rsidRPr="00C464F8">
        <w:rPr>
          <w:b/>
        </w:rPr>
        <w:t>Q.</w:t>
      </w:r>
      <w:r w:rsidRPr="00C464F8">
        <w:rPr>
          <w:b/>
        </w:rPr>
        <w:tab/>
        <w:t>What GRID inputs were updated for this filing?</w:t>
      </w:r>
    </w:p>
    <w:p w14:paraId="4E342761" w14:textId="77777777" w:rsidR="00F41651" w:rsidRPr="00E834A1" w:rsidRDefault="00F41651" w:rsidP="00301CF0">
      <w:pPr>
        <w:tabs>
          <w:tab w:val="left" w:pos="720"/>
        </w:tabs>
        <w:spacing w:line="480" w:lineRule="auto"/>
        <w:ind w:left="720" w:hanging="720"/>
        <w:jc w:val="left"/>
      </w:pPr>
      <w:r w:rsidRPr="00E834A1">
        <w:t>A.</w:t>
      </w:r>
      <w:r w:rsidRPr="00E834A1">
        <w:tab/>
        <w:t xml:space="preserve">The </w:t>
      </w:r>
      <w:r w:rsidR="00057A43">
        <w:t xml:space="preserve">Company updated </w:t>
      </w:r>
      <w:r w:rsidR="00557406">
        <w:t xml:space="preserve">inputs to GRID </w:t>
      </w:r>
      <w:r w:rsidRPr="00E834A1">
        <w:t xml:space="preserve">to reflect the information available at the time the </w:t>
      </w:r>
      <w:r w:rsidR="00057A43">
        <w:t xml:space="preserve">Company prepared the </w:t>
      </w:r>
      <w:r>
        <w:t>NPC</w:t>
      </w:r>
      <w:r w:rsidRPr="00E834A1">
        <w:t xml:space="preserve"> study for the current filing.  </w:t>
      </w:r>
      <w:r>
        <w:t xml:space="preserve">In addition to </w:t>
      </w:r>
      <w:r w:rsidR="00D92EEB">
        <w:t>west control area</w:t>
      </w:r>
      <w:r w:rsidR="00D92EEB" w:rsidRPr="00E834A1">
        <w:t xml:space="preserve"> </w:t>
      </w:r>
      <w:r w:rsidRPr="00E834A1">
        <w:t xml:space="preserve">load, </w:t>
      </w:r>
      <w:r w:rsidR="00037C78">
        <w:t xml:space="preserve">discussed in more detail below, </w:t>
      </w:r>
      <w:r w:rsidR="00057A43">
        <w:t xml:space="preserve">the Company </w:t>
      </w:r>
      <w:r>
        <w:t>update</w:t>
      </w:r>
      <w:r w:rsidR="00057A43">
        <w:t>d</w:t>
      </w:r>
      <w:r>
        <w:t xml:space="preserve"> </w:t>
      </w:r>
      <w:r w:rsidRPr="00E834A1">
        <w:t>wholesale sales and purchase contracts for electricity</w:t>
      </w:r>
      <w:r w:rsidR="00D92EEB">
        <w:t>,</w:t>
      </w:r>
      <w:r w:rsidRPr="00E834A1">
        <w:t xml:space="preserve"> natural gas and wheeling</w:t>
      </w:r>
      <w:r w:rsidR="00D92EEB">
        <w:t>;</w:t>
      </w:r>
      <w:r w:rsidRPr="00E834A1">
        <w:t xml:space="preserve"> market prices for electricity and natural gas</w:t>
      </w:r>
      <w:r w:rsidR="00D92EEB">
        <w:t>;</w:t>
      </w:r>
      <w:r w:rsidRPr="00E834A1">
        <w:t xml:space="preserve"> fuel expenses</w:t>
      </w:r>
      <w:r w:rsidR="00D92EEB">
        <w:t>;</w:t>
      </w:r>
      <w:r w:rsidRPr="00E834A1">
        <w:t xml:space="preserve"> transmission capability</w:t>
      </w:r>
      <w:r w:rsidR="00D92EEB">
        <w:t>;</w:t>
      </w:r>
      <w:r w:rsidRPr="00E834A1">
        <w:t xml:space="preserve"> characteristics of </w:t>
      </w:r>
      <w:r w:rsidR="00FE6F0B">
        <w:t>PacifiCorp</w:t>
      </w:r>
      <w:r w:rsidRPr="00E834A1">
        <w:t>’s generation facilities</w:t>
      </w:r>
      <w:r w:rsidR="00D92EEB">
        <w:t>;</w:t>
      </w:r>
      <w:r w:rsidRPr="00E834A1">
        <w:t xml:space="preserve"> and planned and forced outages </w:t>
      </w:r>
      <w:r w:rsidR="00D92EEB">
        <w:t>at</w:t>
      </w:r>
      <w:r w:rsidR="00D92EEB" w:rsidRPr="00E834A1">
        <w:t xml:space="preserve"> </w:t>
      </w:r>
      <w:r w:rsidR="00FE6F0B">
        <w:t>PacifiCorp’s</w:t>
      </w:r>
      <w:r w:rsidRPr="00E834A1">
        <w:t xml:space="preserve"> generation resources.</w:t>
      </w:r>
    </w:p>
    <w:p w14:paraId="4E342762" w14:textId="77777777" w:rsidR="00F41651" w:rsidRPr="00E834A1" w:rsidRDefault="00F41651" w:rsidP="00301CF0">
      <w:pPr>
        <w:tabs>
          <w:tab w:val="left" w:pos="720"/>
        </w:tabs>
        <w:spacing w:line="480" w:lineRule="auto"/>
        <w:ind w:left="720" w:hanging="720"/>
        <w:jc w:val="left"/>
        <w:rPr>
          <w:b/>
        </w:rPr>
      </w:pPr>
      <w:r w:rsidRPr="00E834A1">
        <w:rPr>
          <w:b/>
        </w:rPr>
        <w:t>Q.</w:t>
      </w:r>
      <w:r w:rsidRPr="00E834A1">
        <w:rPr>
          <w:b/>
        </w:rPr>
        <w:tab/>
        <w:t>What reports does GRID produce?</w:t>
      </w:r>
    </w:p>
    <w:p w14:paraId="4E342763" w14:textId="77777777" w:rsidR="00F41651" w:rsidRDefault="00F41651" w:rsidP="00D407AF">
      <w:pPr>
        <w:tabs>
          <w:tab w:val="left" w:pos="720"/>
        </w:tabs>
        <w:spacing w:line="480" w:lineRule="auto"/>
        <w:ind w:left="720" w:hanging="720"/>
        <w:jc w:val="left"/>
      </w:pPr>
      <w:r w:rsidRPr="00E834A1">
        <w:t>A.</w:t>
      </w:r>
      <w:r w:rsidRPr="00E834A1">
        <w:tab/>
        <w:t xml:space="preserve">The major output from </w:t>
      </w:r>
      <w:r w:rsidRPr="001C4772">
        <w:t xml:space="preserve">GRID is the </w:t>
      </w:r>
      <w:r w:rsidR="00780238" w:rsidRPr="001C4772">
        <w:t>NPC</w:t>
      </w:r>
      <w:r w:rsidRPr="001C4772">
        <w:t xml:space="preserve"> report.  This is the same information contained in </w:t>
      </w:r>
      <w:r w:rsidRPr="00AE79C1">
        <w:t>Exhibit No.___(GND-2)</w:t>
      </w:r>
      <w:r w:rsidR="000723A5" w:rsidRPr="00FF29BB">
        <w:t>, a</w:t>
      </w:r>
      <w:r w:rsidR="000723A5" w:rsidRPr="00AE79C1">
        <w:t>nd</w:t>
      </w:r>
      <w:r w:rsidR="000723A5" w:rsidRPr="00852AEC">
        <w:t xml:space="preserve"> an electronic version is </w:t>
      </w:r>
      <w:r w:rsidR="00780238">
        <w:t>includ</w:t>
      </w:r>
      <w:r w:rsidR="000723A5" w:rsidRPr="00852AEC">
        <w:t xml:space="preserve">ed </w:t>
      </w:r>
      <w:r w:rsidR="00132607">
        <w:t xml:space="preserve">in my </w:t>
      </w:r>
      <w:r w:rsidR="000723A5" w:rsidRPr="00852AEC">
        <w:t>workpapers</w:t>
      </w:r>
      <w:r w:rsidRPr="000723A5">
        <w:t>.</w:t>
      </w:r>
      <w:r w:rsidRPr="00E834A1">
        <w:t xml:space="preserve">  Additional data with more detailed analyses are also available </w:t>
      </w:r>
      <w:r w:rsidR="00693178">
        <w:t xml:space="preserve">from GRID </w:t>
      </w:r>
      <w:r w:rsidRPr="00E834A1">
        <w:t>in hourly, daily, monthly</w:t>
      </w:r>
      <w:r w:rsidR="00D407AF">
        <w:t>,</w:t>
      </w:r>
      <w:r w:rsidRPr="00E834A1">
        <w:t xml:space="preserve"> and annual formats by heavy l</w:t>
      </w:r>
      <w:r w:rsidR="00780238">
        <w:t>oad hours and light load hours.</w:t>
      </w:r>
    </w:p>
    <w:p w14:paraId="4E342764" w14:textId="77777777" w:rsidR="00FC633C" w:rsidRPr="00C464F8" w:rsidRDefault="00BA0859" w:rsidP="00D407AF">
      <w:pPr>
        <w:pStyle w:val="BodyTextIndent"/>
        <w:tabs>
          <w:tab w:val="clear" w:pos="720"/>
        </w:tabs>
        <w:jc w:val="left"/>
        <w:rPr>
          <w:b/>
        </w:rPr>
      </w:pPr>
      <w:r>
        <w:rPr>
          <w:b/>
        </w:rPr>
        <w:t>Q.</w:t>
      </w:r>
      <w:r w:rsidR="00FC633C" w:rsidRPr="00C464F8">
        <w:rPr>
          <w:b/>
        </w:rPr>
        <w:tab/>
        <w:t xml:space="preserve">What are the main contributors to </w:t>
      </w:r>
      <w:r w:rsidR="00FC633C">
        <w:rPr>
          <w:b/>
        </w:rPr>
        <w:t>the increase in the pro forma NPC</w:t>
      </w:r>
      <w:r w:rsidR="00FC633C" w:rsidRPr="00C464F8">
        <w:rPr>
          <w:b/>
        </w:rPr>
        <w:t>?</w:t>
      </w:r>
    </w:p>
    <w:p w14:paraId="4E342765" w14:textId="77777777" w:rsidR="005B7B0D" w:rsidRDefault="00FC633C" w:rsidP="00D407AF">
      <w:pPr>
        <w:pStyle w:val="BodyTextIndent"/>
        <w:tabs>
          <w:tab w:val="clear" w:pos="720"/>
        </w:tabs>
        <w:jc w:val="left"/>
      </w:pPr>
      <w:r>
        <w:t>A.</w:t>
      </w:r>
      <w:r>
        <w:tab/>
      </w:r>
      <w:r w:rsidR="00F454AD">
        <w:t>T</w:t>
      </w:r>
      <w:r>
        <w:t>he main contributors to the increase in NPC</w:t>
      </w:r>
      <w:r w:rsidRPr="00C464F8">
        <w:t xml:space="preserve"> </w:t>
      </w:r>
      <w:r w:rsidRPr="005B7B0D">
        <w:t>are</w:t>
      </w:r>
      <w:r w:rsidR="00AA34AF" w:rsidRPr="005B7B0D">
        <w:t xml:space="preserve"> </w:t>
      </w:r>
      <w:r w:rsidRPr="005B7B0D">
        <w:t xml:space="preserve">a </w:t>
      </w:r>
      <w:r w:rsidR="005B7B0D" w:rsidRPr="005B7B0D">
        <w:t xml:space="preserve">reduction in wholesale sales revenue and an </w:t>
      </w:r>
      <w:r w:rsidRPr="005B7B0D">
        <w:t xml:space="preserve">increase in </w:t>
      </w:r>
      <w:r w:rsidR="005B7B0D" w:rsidRPr="005B7B0D">
        <w:t>purchased power</w:t>
      </w:r>
      <w:r w:rsidRPr="005B7B0D">
        <w:t xml:space="preserve"> expense</w:t>
      </w:r>
      <w:r w:rsidR="00250D8A" w:rsidRPr="005B7B0D">
        <w:t xml:space="preserve">, </w:t>
      </w:r>
      <w:r w:rsidR="005B7B0D" w:rsidRPr="005B7B0D">
        <w:t xml:space="preserve">partially offset by a reduction in natural gas fuel expense.  Table </w:t>
      </w:r>
      <w:r w:rsidR="00B81BD6">
        <w:t>1</w:t>
      </w:r>
      <w:r w:rsidR="00B81BD6" w:rsidRPr="005B7B0D">
        <w:t xml:space="preserve"> </w:t>
      </w:r>
      <w:r w:rsidR="005B7B0D" w:rsidRPr="005B7B0D">
        <w:t xml:space="preserve">below summarizes the changes by NPC category.  </w:t>
      </w:r>
    </w:p>
    <w:p w14:paraId="4E342766" w14:textId="77777777" w:rsidR="001E72B4" w:rsidRPr="001E72B4" w:rsidRDefault="001E72B4" w:rsidP="00073C5D">
      <w:pPr>
        <w:pStyle w:val="BodyTextIndent"/>
        <w:keepNext/>
        <w:keepLines/>
        <w:suppressLineNumbers/>
        <w:tabs>
          <w:tab w:val="clear" w:pos="720"/>
        </w:tabs>
        <w:spacing w:line="240" w:lineRule="auto"/>
        <w:jc w:val="center"/>
        <w:rPr>
          <w:b/>
        </w:rPr>
      </w:pPr>
      <w:r w:rsidRPr="001E72B4">
        <w:rPr>
          <w:b/>
        </w:rPr>
        <w:t xml:space="preserve">Table </w:t>
      </w:r>
      <w:r w:rsidR="00B81BD6">
        <w:rPr>
          <w:b/>
        </w:rPr>
        <w:t>1</w:t>
      </w:r>
    </w:p>
    <w:p w14:paraId="4E342767" w14:textId="77777777" w:rsidR="005B7B0D" w:rsidRDefault="00D15553" w:rsidP="00073C5D">
      <w:pPr>
        <w:pStyle w:val="BodyTextIndent"/>
        <w:keepNext/>
        <w:keepLines/>
        <w:suppressLineNumbers/>
        <w:tabs>
          <w:tab w:val="clear" w:pos="720"/>
        </w:tabs>
        <w:jc w:val="center"/>
        <w:rPr>
          <w:highlight w:val="yellow"/>
        </w:rPr>
      </w:pPr>
      <w:r w:rsidRPr="00D15553">
        <w:rPr>
          <w:noProof/>
        </w:rPr>
        <w:drawing>
          <wp:inline distT="0" distB="0" distL="0" distR="0" wp14:anchorId="4E34286D" wp14:editId="4E34286E">
            <wp:extent cx="3800901" cy="29552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2065" cy="2956192"/>
                    </a:xfrm>
                    <a:prstGeom prst="rect">
                      <a:avLst/>
                    </a:prstGeom>
                    <a:noFill/>
                    <a:ln>
                      <a:noFill/>
                    </a:ln>
                  </pic:spPr>
                </pic:pic>
              </a:graphicData>
            </a:graphic>
          </wp:inline>
        </w:drawing>
      </w:r>
      <w:r w:rsidRPr="00D15553" w:rsidDel="00693178">
        <w:t xml:space="preserve"> </w:t>
      </w:r>
    </w:p>
    <w:p w14:paraId="4E342768" w14:textId="77777777" w:rsidR="00073C5D" w:rsidRDefault="00073C5D" w:rsidP="00073C5D">
      <w:pPr>
        <w:suppressLineNumbers/>
        <w:spacing w:line="480" w:lineRule="auto"/>
        <w:ind w:left="720" w:hanging="720"/>
        <w:jc w:val="left"/>
        <w:rPr>
          <w:b/>
        </w:rPr>
      </w:pPr>
    </w:p>
    <w:p w14:paraId="4E342769" w14:textId="77777777" w:rsidR="000F7E7F" w:rsidRDefault="000F7E7F" w:rsidP="00D407AF">
      <w:pPr>
        <w:spacing w:line="480" w:lineRule="auto"/>
        <w:ind w:left="720" w:hanging="720"/>
        <w:jc w:val="left"/>
        <w:rPr>
          <w:b/>
        </w:rPr>
      </w:pPr>
      <w:r>
        <w:rPr>
          <w:b/>
        </w:rPr>
        <w:t>Q.</w:t>
      </w:r>
      <w:r>
        <w:rPr>
          <w:b/>
        </w:rPr>
        <w:tab/>
        <w:t>Please explain the reduction in wholesale sales revenue.</w:t>
      </w:r>
    </w:p>
    <w:p w14:paraId="4E34276A" w14:textId="77777777" w:rsidR="000F7E7F" w:rsidRPr="000F7E7F" w:rsidRDefault="000F7E7F" w:rsidP="00D407AF">
      <w:pPr>
        <w:spacing w:line="480" w:lineRule="auto"/>
        <w:ind w:left="720" w:hanging="720"/>
        <w:jc w:val="left"/>
      </w:pPr>
      <w:r>
        <w:t>A.</w:t>
      </w:r>
      <w:r>
        <w:tab/>
        <w:t xml:space="preserve">The reduction in wholesale sales revenue is </w:t>
      </w:r>
      <w:r w:rsidR="00132607">
        <w:t xml:space="preserve">primarily </w:t>
      </w:r>
      <w:r>
        <w:t>due</w:t>
      </w:r>
      <w:r w:rsidR="00132607">
        <w:t xml:space="preserve"> </w:t>
      </w:r>
      <w:r>
        <w:t xml:space="preserve">to the expiration of the </w:t>
      </w:r>
      <w:r w:rsidR="00AD08B5">
        <w:t xml:space="preserve">long-term </w:t>
      </w:r>
      <w:r>
        <w:t xml:space="preserve">contract with the Sacramento Municipal Utility District (SMUD) and a reduction in revenue from the assumed sale from </w:t>
      </w:r>
      <w:r w:rsidR="00132607">
        <w:t xml:space="preserve">the west control area to </w:t>
      </w:r>
      <w:r>
        <w:t xml:space="preserve">PacifiCorp’s </w:t>
      </w:r>
      <w:r w:rsidR="00132607">
        <w:t>east control area</w:t>
      </w:r>
      <w:r>
        <w:t xml:space="preserve">.  Revenue attributed to this sale is lower than in the 2013 Rate Case due </w:t>
      </w:r>
      <w:r w:rsidRPr="00A61759">
        <w:t xml:space="preserve">to </w:t>
      </w:r>
      <w:r w:rsidR="00236EBF" w:rsidRPr="00A61759">
        <w:t>a reduction in the price spread between the Mid</w:t>
      </w:r>
      <w:r w:rsidR="00275171">
        <w:t>-</w:t>
      </w:r>
      <w:r w:rsidR="00236EBF" w:rsidRPr="00A61759">
        <w:t xml:space="preserve">Columbia and </w:t>
      </w:r>
      <w:r w:rsidR="00A61759" w:rsidRPr="00A61759">
        <w:t xml:space="preserve">Four Corners wholesale markets, which is used under the WCA to determine when sales would be made into </w:t>
      </w:r>
      <w:r w:rsidR="00132607">
        <w:t>the east control area.</w:t>
      </w:r>
    </w:p>
    <w:p w14:paraId="4E34276B" w14:textId="77777777" w:rsidR="000F7E7F" w:rsidRDefault="000F7E7F" w:rsidP="00D407AF">
      <w:pPr>
        <w:spacing w:line="480" w:lineRule="auto"/>
        <w:ind w:left="720" w:hanging="720"/>
        <w:jc w:val="left"/>
        <w:rPr>
          <w:b/>
        </w:rPr>
      </w:pPr>
      <w:r>
        <w:rPr>
          <w:b/>
        </w:rPr>
        <w:t>Q.</w:t>
      </w:r>
      <w:r>
        <w:rPr>
          <w:b/>
        </w:rPr>
        <w:tab/>
      </w:r>
      <w:r w:rsidR="000C465E">
        <w:rPr>
          <w:b/>
        </w:rPr>
        <w:t xml:space="preserve">Is the increase in </w:t>
      </w:r>
      <w:r>
        <w:rPr>
          <w:b/>
        </w:rPr>
        <w:t>purchased power expense</w:t>
      </w:r>
      <w:r w:rsidR="000C465E">
        <w:rPr>
          <w:b/>
        </w:rPr>
        <w:t xml:space="preserve"> related to the </w:t>
      </w:r>
      <w:r w:rsidR="00293D2E">
        <w:rPr>
          <w:b/>
        </w:rPr>
        <w:t xml:space="preserve">inclusion </w:t>
      </w:r>
      <w:r w:rsidR="000C465E">
        <w:rPr>
          <w:b/>
        </w:rPr>
        <w:t xml:space="preserve">of QF </w:t>
      </w:r>
      <w:r w:rsidR="00293D2E">
        <w:rPr>
          <w:b/>
        </w:rPr>
        <w:t>PPAs from Oregon and California</w:t>
      </w:r>
      <w:r w:rsidR="00B95E0B">
        <w:rPr>
          <w:b/>
        </w:rPr>
        <w:t xml:space="preserve">, </w:t>
      </w:r>
      <w:r w:rsidR="002324FB">
        <w:rPr>
          <w:b/>
        </w:rPr>
        <w:t xml:space="preserve">an issue </w:t>
      </w:r>
      <w:r w:rsidR="00B95E0B">
        <w:rPr>
          <w:b/>
        </w:rPr>
        <w:t>discussed in more detail below?</w:t>
      </w:r>
      <w:r w:rsidR="00293D2E">
        <w:rPr>
          <w:b/>
        </w:rPr>
        <w:t xml:space="preserve"> </w:t>
      </w:r>
    </w:p>
    <w:p w14:paraId="4E34276C" w14:textId="77777777" w:rsidR="000F7E7F" w:rsidRPr="000F7E7F" w:rsidRDefault="000F7E7F" w:rsidP="00D407AF">
      <w:pPr>
        <w:spacing w:line="480" w:lineRule="auto"/>
        <w:ind w:left="720" w:hanging="720"/>
        <w:jc w:val="left"/>
      </w:pPr>
      <w:r>
        <w:t>A.</w:t>
      </w:r>
      <w:r>
        <w:tab/>
      </w:r>
      <w:r w:rsidR="000C465E">
        <w:t>Yes.  Total purchased power expense is higher than the final outcome of the 2013 Rate Case because the Company include</w:t>
      </w:r>
      <w:r w:rsidR="00132607">
        <w:t>s</w:t>
      </w:r>
      <w:r w:rsidR="000C465E">
        <w:t xml:space="preserve"> the cost</w:t>
      </w:r>
      <w:r w:rsidR="00132607">
        <w:t>s</w:t>
      </w:r>
      <w:r w:rsidR="000C465E">
        <w:t xml:space="preserve"> of</w:t>
      </w:r>
      <w:r w:rsidR="00132607">
        <w:t xml:space="preserve"> PPAs with QFs in</w:t>
      </w:r>
      <w:r w:rsidR="000C465E">
        <w:t xml:space="preserve"> Oregon and California in </w:t>
      </w:r>
      <w:r w:rsidR="00132607">
        <w:t xml:space="preserve">west control area </w:t>
      </w:r>
      <w:r w:rsidR="000C465E">
        <w:t>NPC.  The increased expenses related to QF</w:t>
      </w:r>
      <w:r w:rsidR="00293D2E">
        <w:t xml:space="preserve"> PPA</w:t>
      </w:r>
      <w:r w:rsidR="000C465E">
        <w:t>s are partially offset by reductions related to purchases from GP Camas and the portion of the Hermiston natural gas generator that is purchased by PacifiCorp.  In addition, the volume of short</w:t>
      </w:r>
      <w:r w:rsidR="00293D2E">
        <w:t>-</w:t>
      </w:r>
      <w:r w:rsidR="000C465E">
        <w:t xml:space="preserve">term market purchases (identified as system balancing purchases) is lower than in the 2013 Rate Case, </w:t>
      </w:r>
      <w:r w:rsidR="00132607">
        <w:t>which is attributable</w:t>
      </w:r>
      <w:r w:rsidR="000C465E">
        <w:t xml:space="preserve"> </w:t>
      </w:r>
      <w:r w:rsidR="000C465E" w:rsidRPr="007905C5">
        <w:t xml:space="preserve">to </w:t>
      </w:r>
      <w:r w:rsidR="007905C5" w:rsidRPr="007905C5">
        <w:t>the</w:t>
      </w:r>
      <w:r w:rsidR="007905C5">
        <w:t xml:space="preserve"> reduction in system requirements, such as the expiration of the SMUD contract.</w:t>
      </w:r>
    </w:p>
    <w:p w14:paraId="4E34276D" w14:textId="77777777" w:rsidR="000C465E" w:rsidRDefault="000C465E" w:rsidP="00D407AF">
      <w:pPr>
        <w:spacing w:line="480" w:lineRule="auto"/>
        <w:ind w:left="720" w:hanging="720"/>
        <w:jc w:val="left"/>
        <w:rPr>
          <w:b/>
        </w:rPr>
      </w:pPr>
      <w:r>
        <w:rPr>
          <w:b/>
        </w:rPr>
        <w:t>Q.</w:t>
      </w:r>
      <w:r>
        <w:rPr>
          <w:b/>
        </w:rPr>
        <w:tab/>
        <w:t>Please explain the reduction in natural gas fuel expense.</w:t>
      </w:r>
    </w:p>
    <w:p w14:paraId="4E34276E" w14:textId="77777777" w:rsidR="000C465E" w:rsidRDefault="000C465E" w:rsidP="00D407AF">
      <w:pPr>
        <w:spacing w:line="480" w:lineRule="auto"/>
        <w:ind w:left="720" w:hanging="720"/>
        <w:jc w:val="left"/>
      </w:pPr>
      <w:r>
        <w:t>A.</w:t>
      </w:r>
      <w:r>
        <w:tab/>
      </w:r>
      <w:r w:rsidR="00012B7A">
        <w:t>N</w:t>
      </w:r>
      <w:r w:rsidR="00AD186E">
        <w:t xml:space="preserve">atural gas fuel expense is lower </w:t>
      </w:r>
      <w:r w:rsidR="007905C5">
        <w:t xml:space="preserve">mainly </w:t>
      </w:r>
      <w:r w:rsidR="00AD186E">
        <w:t>due to a reduced volume of natural gas generation</w:t>
      </w:r>
      <w:r w:rsidR="00AD08B5">
        <w:t xml:space="preserve"> </w:t>
      </w:r>
      <w:r w:rsidR="00132607">
        <w:t xml:space="preserve">attributable </w:t>
      </w:r>
      <w:r w:rsidR="007905C5">
        <w:t xml:space="preserve">to fewer periods when the gas generation is economic in the GRID forecast compared to available wholesale market transactions for electricity.    </w:t>
      </w:r>
    </w:p>
    <w:p w14:paraId="4E34276F" w14:textId="77777777" w:rsidR="00073C5D" w:rsidRPr="000C465E" w:rsidRDefault="00073C5D" w:rsidP="00073C5D">
      <w:pPr>
        <w:suppressLineNumbers/>
        <w:spacing w:line="480" w:lineRule="auto"/>
        <w:ind w:left="720" w:hanging="720"/>
        <w:jc w:val="left"/>
      </w:pPr>
    </w:p>
    <w:p w14:paraId="4E342770" w14:textId="77777777" w:rsidR="00FC633C" w:rsidRPr="006B5B2A" w:rsidRDefault="00FC633C" w:rsidP="00D407AF">
      <w:pPr>
        <w:spacing w:line="480" w:lineRule="auto"/>
        <w:ind w:left="720" w:hanging="720"/>
        <w:jc w:val="left"/>
        <w:rPr>
          <w:b/>
        </w:rPr>
      </w:pPr>
      <w:r w:rsidRPr="006B5B2A">
        <w:rPr>
          <w:b/>
        </w:rPr>
        <w:t>Q.</w:t>
      </w:r>
      <w:r w:rsidRPr="006B5B2A">
        <w:rPr>
          <w:b/>
        </w:rPr>
        <w:tab/>
        <w:t xml:space="preserve">Have coal </w:t>
      </w:r>
      <w:r w:rsidR="00293D2E">
        <w:rPr>
          <w:b/>
        </w:rPr>
        <w:t>costs</w:t>
      </w:r>
      <w:r w:rsidRPr="006B5B2A">
        <w:rPr>
          <w:b/>
        </w:rPr>
        <w:t xml:space="preserve"> </w:t>
      </w:r>
      <w:r w:rsidR="00FB7210">
        <w:rPr>
          <w:b/>
        </w:rPr>
        <w:t xml:space="preserve">for the pro forma period </w:t>
      </w:r>
      <w:r w:rsidRPr="006B5B2A">
        <w:rPr>
          <w:b/>
        </w:rPr>
        <w:t xml:space="preserve">increased from the </w:t>
      </w:r>
      <w:r>
        <w:rPr>
          <w:b/>
        </w:rPr>
        <w:t>201</w:t>
      </w:r>
      <w:r w:rsidR="00FC3690">
        <w:rPr>
          <w:b/>
        </w:rPr>
        <w:t>3</w:t>
      </w:r>
      <w:r>
        <w:rPr>
          <w:b/>
        </w:rPr>
        <w:t xml:space="preserve"> </w:t>
      </w:r>
      <w:r w:rsidR="00232229">
        <w:rPr>
          <w:b/>
        </w:rPr>
        <w:t>Rate Case</w:t>
      </w:r>
      <w:r w:rsidR="004B394A">
        <w:rPr>
          <w:b/>
        </w:rPr>
        <w:t>?</w:t>
      </w:r>
    </w:p>
    <w:p w14:paraId="4E342771" w14:textId="77777777" w:rsidR="00FC633C" w:rsidRDefault="00FC633C" w:rsidP="00232229">
      <w:pPr>
        <w:spacing w:line="480" w:lineRule="auto"/>
        <w:ind w:left="720" w:hanging="720"/>
        <w:jc w:val="left"/>
      </w:pPr>
      <w:r w:rsidRPr="003E6D94">
        <w:t>A.</w:t>
      </w:r>
      <w:r w:rsidRPr="003E6D94">
        <w:tab/>
      </w:r>
      <w:r>
        <w:t xml:space="preserve">Yes. </w:t>
      </w:r>
      <w:r w:rsidR="00780238">
        <w:t xml:space="preserve"> </w:t>
      </w:r>
      <w:r w:rsidR="00B95E0B">
        <w:t xml:space="preserve">As </w:t>
      </w:r>
      <w:r w:rsidR="002324FB">
        <w:t xml:space="preserve">I </w:t>
      </w:r>
      <w:r w:rsidR="00B95E0B">
        <w:t>address in more detail below, c</w:t>
      </w:r>
      <w:r>
        <w:t>ompared to the 201</w:t>
      </w:r>
      <w:r w:rsidR="00293D2E">
        <w:t>3</w:t>
      </w:r>
      <w:r>
        <w:t xml:space="preserve"> </w:t>
      </w:r>
      <w:r w:rsidR="00232229">
        <w:t>Rate Case</w:t>
      </w:r>
      <w:r>
        <w:t xml:space="preserve">, coal </w:t>
      </w:r>
      <w:r w:rsidR="002324FB">
        <w:t>costs</w:t>
      </w:r>
      <w:r>
        <w:t xml:space="preserve"> </w:t>
      </w:r>
      <w:r w:rsidR="00A72471">
        <w:t>increase</w:t>
      </w:r>
      <w:r>
        <w:t xml:space="preserve"> </w:t>
      </w:r>
      <w:r w:rsidR="0079058F">
        <w:t>Washington</w:t>
      </w:r>
      <w:r w:rsidR="00132607">
        <w:t>-allocated</w:t>
      </w:r>
      <w:r w:rsidR="0079058F">
        <w:t xml:space="preserve"> </w:t>
      </w:r>
      <w:r>
        <w:t xml:space="preserve">NPC </w:t>
      </w:r>
      <w:r w:rsidR="00A72471">
        <w:t>by</w:t>
      </w:r>
      <w:r>
        <w:t xml:space="preserve"> approximately </w:t>
      </w:r>
      <w:r w:rsidRPr="00AE79C1">
        <w:t>$</w:t>
      </w:r>
      <w:r w:rsidR="00D15553" w:rsidRPr="00AE79C1">
        <w:t>2.3</w:t>
      </w:r>
      <w:r w:rsidRPr="00AE79C1">
        <w:t xml:space="preserve"> million</w:t>
      </w:r>
      <w:r w:rsidR="00780238" w:rsidRPr="00FF29BB">
        <w:t>.</w:t>
      </w:r>
      <w:r w:rsidR="005B7B0D">
        <w:t xml:space="preserve">  </w:t>
      </w:r>
    </w:p>
    <w:p w14:paraId="4E342772" w14:textId="77777777" w:rsidR="008406B3" w:rsidRPr="00706D8E" w:rsidRDefault="008406B3" w:rsidP="008406B3">
      <w:pPr>
        <w:tabs>
          <w:tab w:val="left" w:pos="720"/>
        </w:tabs>
        <w:spacing w:line="480" w:lineRule="auto"/>
        <w:ind w:left="720" w:hanging="720"/>
        <w:jc w:val="left"/>
        <w:rPr>
          <w:b/>
        </w:rPr>
      </w:pPr>
      <w:r w:rsidRPr="00706D8E">
        <w:rPr>
          <w:b/>
        </w:rPr>
        <w:t>Q.</w:t>
      </w:r>
      <w:r w:rsidRPr="00706D8E">
        <w:rPr>
          <w:b/>
        </w:rPr>
        <w:tab/>
      </w:r>
      <w:r>
        <w:rPr>
          <w:b/>
        </w:rPr>
        <w:t xml:space="preserve">Do NPC in this case </w:t>
      </w:r>
      <w:r w:rsidRPr="00706D8E">
        <w:rPr>
          <w:b/>
        </w:rPr>
        <w:t xml:space="preserve">include </w:t>
      </w:r>
      <w:r w:rsidR="006A7691">
        <w:rPr>
          <w:b/>
        </w:rPr>
        <w:t>the</w:t>
      </w:r>
      <w:r>
        <w:rPr>
          <w:b/>
        </w:rPr>
        <w:t xml:space="preserve"> </w:t>
      </w:r>
      <w:r w:rsidRPr="00706D8E">
        <w:rPr>
          <w:b/>
        </w:rPr>
        <w:t xml:space="preserve">impact of </w:t>
      </w:r>
      <w:r w:rsidR="00535D10">
        <w:rPr>
          <w:b/>
        </w:rPr>
        <w:t>PacifiCorp’</w:t>
      </w:r>
      <w:r>
        <w:rPr>
          <w:b/>
        </w:rPr>
        <w:t xml:space="preserve">s </w:t>
      </w:r>
      <w:r w:rsidRPr="00706D8E">
        <w:rPr>
          <w:b/>
        </w:rPr>
        <w:t xml:space="preserve">participation in an energy imbalance market (EIM) with the California Independent System Operator </w:t>
      </w:r>
      <w:r w:rsidR="00132607">
        <w:rPr>
          <w:b/>
        </w:rPr>
        <w:t xml:space="preserve">Corporation </w:t>
      </w:r>
      <w:r w:rsidRPr="00706D8E">
        <w:rPr>
          <w:b/>
        </w:rPr>
        <w:t>(CAISO)?</w:t>
      </w:r>
    </w:p>
    <w:p w14:paraId="4E342773" w14:textId="77777777" w:rsidR="00B95E0B" w:rsidRDefault="008406B3" w:rsidP="00093842">
      <w:pPr>
        <w:tabs>
          <w:tab w:val="left" w:pos="720"/>
        </w:tabs>
        <w:spacing w:line="480" w:lineRule="auto"/>
        <w:ind w:left="720" w:hanging="720"/>
        <w:jc w:val="left"/>
      </w:pPr>
      <w:r>
        <w:t>A.</w:t>
      </w:r>
      <w:r>
        <w:tab/>
        <w:t>No</w:t>
      </w:r>
      <w:r w:rsidRPr="00C677D0">
        <w:t xml:space="preserve">.  </w:t>
      </w:r>
      <w:r>
        <w:t xml:space="preserve">EIM costs and benefits </w:t>
      </w:r>
      <w:r w:rsidRPr="00C500C3">
        <w:t xml:space="preserve">are not </w:t>
      </w:r>
      <w:r w:rsidR="00535D10">
        <w:t xml:space="preserve">yet </w:t>
      </w:r>
      <w:r w:rsidRPr="00C500C3">
        <w:t xml:space="preserve">sufficiently known and measurable </w:t>
      </w:r>
      <w:r>
        <w:t>to include in th</w:t>
      </w:r>
      <w:r w:rsidR="00093842">
        <w:t>is filing</w:t>
      </w:r>
      <w:r w:rsidRPr="00D93E90">
        <w:t xml:space="preserve">.  </w:t>
      </w:r>
      <w:r>
        <w:t xml:space="preserve">The EIM is new and key EIM components are still being developed and implemented.  For example, </w:t>
      </w:r>
      <w:r w:rsidRPr="00D93E90">
        <w:t>the EIM</w:t>
      </w:r>
      <w:r w:rsidR="00093842">
        <w:t>’s</w:t>
      </w:r>
      <w:r w:rsidRPr="00D93E90">
        <w:t xml:space="preserve"> target date</w:t>
      </w:r>
      <w:r>
        <w:t xml:space="preserve"> for full operation</w:t>
      </w:r>
      <w:r w:rsidR="00093842">
        <w:t xml:space="preserve"> is</w:t>
      </w:r>
      <w:r w:rsidRPr="00D93E90">
        <w:t xml:space="preserve"> contingent on </w:t>
      </w:r>
      <w:r w:rsidRPr="008552F9">
        <w:t>Federal Energy Regulatory Commission (FERC)</w:t>
      </w:r>
      <w:r w:rsidRPr="00D93E90">
        <w:t xml:space="preserve"> approval of </w:t>
      </w:r>
      <w:r>
        <w:t>amendments to the CAISO tariff and PacifiCorp</w:t>
      </w:r>
      <w:r w:rsidRPr="00D93E90">
        <w:t xml:space="preserve"> </w:t>
      </w:r>
      <w:r>
        <w:t>O</w:t>
      </w:r>
      <w:r w:rsidRPr="00D93E90">
        <w:t xml:space="preserve">pen </w:t>
      </w:r>
      <w:r>
        <w:t>A</w:t>
      </w:r>
      <w:r w:rsidRPr="00D93E90">
        <w:t xml:space="preserve">ccess </w:t>
      </w:r>
      <w:r>
        <w:t>T</w:t>
      </w:r>
      <w:r w:rsidRPr="00D93E90">
        <w:t xml:space="preserve">ransmission </w:t>
      </w:r>
      <w:r>
        <w:t>T</w:t>
      </w:r>
      <w:r w:rsidRPr="00D93E90">
        <w:t xml:space="preserve">ariff </w:t>
      </w:r>
      <w:r>
        <w:t xml:space="preserve">(OATT), </w:t>
      </w:r>
      <w:r w:rsidRPr="00D93E90">
        <w:t xml:space="preserve">and the successful completion of EIM market simulation and testing.  Additionally, </w:t>
      </w:r>
      <w:r w:rsidR="00093842">
        <w:t xml:space="preserve">imbalance costs and benefits are difficult to forecast and they will vary depending on </w:t>
      </w:r>
      <w:r w:rsidRPr="00D93E90">
        <w:t>the amount of transfer capability available for EIM use on the California-Oregon Intertie</w:t>
      </w:r>
      <w:r>
        <w:t xml:space="preserve"> (COI)</w:t>
      </w:r>
      <w:r w:rsidRPr="00D93E90">
        <w:t xml:space="preserve">.  </w:t>
      </w:r>
      <w:r w:rsidRPr="00036425">
        <w:t>PacifiCorp, the Bonneville Power Administration (BPA)</w:t>
      </w:r>
      <w:r w:rsidR="00132607">
        <w:t>,</w:t>
      </w:r>
      <w:r w:rsidRPr="00036425">
        <w:t xml:space="preserve"> and CAISO </w:t>
      </w:r>
      <w:r w:rsidR="00132607">
        <w:t xml:space="preserve">are working </w:t>
      </w:r>
      <w:r w:rsidRPr="00036425">
        <w:t>to clarify operational procedures associated with PacifiCorp’s use of its existing transmission rights across the COI</w:t>
      </w:r>
      <w:r w:rsidR="00093842">
        <w:t xml:space="preserve">. </w:t>
      </w:r>
    </w:p>
    <w:p w14:paraId="4E342774" w14:textId="77777777" w:rsidR="00606F11" w:rsidRPr="008C319A" w:rsidRDefault="00606F11" w:rsidP="00606F11">
      <w:pPr>
        <w:keepNext/>
        <w:widowControl/>
        <w:tabs>
          <w:tab w:val="left" w:pos="720"/>
        </w:tabs>
        <w:spacing w:line="480" w:lineRule="auto"/>
        <w:ind w:left="720" w:hanging="720"/>
        <w:jc w:val="left"/>
        <w:rPr>
          <w:b/>
        </w:rPr>
      </w:pPr>
      <w:r w:rsidRPr="008C319A">
        <w:rPr>
          <w:b/>
        </w:rPr>
        <w:t>Q.</w:t>
      </w:r>
      <w:r w:rsidRPr="008C319A">
        <w:rPr>
          <w:b/>
        </w:rPr>
        <w:tab/>
        <w:t>H</w:t>
      </w:r>
      <w:r>
        <w:rPr>
          <w:b/>
        </w:rPr>
        <w:t>ow does the</w:t>
      </w:r>
      <w:r w:rsidRPr="008C319A">
        <w:rPr>
          <w:b/>
        </w:rPr>
        <w:t xml:space="preserve"> Company </w:t>
      </w:r>
      <w:r>
        <w:rPr>
          <w:b/>
        </w:rPr>
        <w:t>report its actual NPC?</w:t>
      </w:r>
    </w:p>
    <w:p w14:paraId="4E342775" w14:textId="77777777" w:rsidR="00606F11" w:rsidRDefault="00606F11" w:rsidP="00093842">
      <w:pPr>
        <w:tabs>
          <w:tab w:val="left" w:pos="720"/>
        </w:tabs>
        <w:spacing w:line="480" w:lineRule="auto"/>
        <w:ind w:left="720" w:hanging="720"/>
        <w:jc w:val="left"/>
      </w:pPr>
      <w:r>
        <w:t>A.</w:t>
      </w:r>
      <w:r>
        <w:tab/>
        <w:t xml:space="preserve">Consistent with the Company’s approach in the 2013 Rate Case (to which no party objected), the Company </w:t>
      </w:r>
      <w:r w:rsidRPr="008C319A">
        <w:t>report</w:t>
      </w:r>
      <w:r>
        <w:t>s</w:t>
      </w:r>
      <w:r w:rsidRPr="008C319A">
        <w:t xml:space="preserve"> actual NPC per the books and records of the Company for assets included in </w:t>
      </w:r>
      <w:r w:rsidR="0072651A">
        <w:t>the west control area</w:t>
      </w:r>
      <w:r w:rsidRPr="008C319A">
        <w:t xml:space="preserve">.  </w:t>
      </w:r>
      <w:r>
        <w:t>The a</w:t>
      </w:r>
      <w:r w:rsidRPr="008C319A">
        <w:t xml:space="preserve">ssets or proportions of assets included in the reporting of actual NPC </w:t>
      </w:r>
      <w:r>
        <w:t>are</w:t>
      </w:r>
      <w:r w:rsidRPr="008C319A">
        <w:t xml:space="preserve"> </w:t>
      </w:r>
      <w:r>
        <w:t xml:space="preserve">the same as </w:t>
      </w:r>
      <w:r w:rsidRPr="008C319A">
        <w:t xml:space="preserve">used to determine normalized NPC in the Company’s general rate cases.  </w:t>
      </w:r>
      <w:r w:rsidR="006A7691">
        <w:t>The Company accounts for d</w:t>
      </w:r>
      <w:r>
        <w:t>ifference</w:t>
      </w:r>
      <w:r w:rsidR="006A7691">
        <w:t xml:space="preserve">s in west control area loads and resources </w:t>
      </w:r>
      <w:r>
        <w:t>by reducing actual short-term balancing purchase or sales transactions.</w:t>
      </w:r>
    </w:p>
    <w:p w14:paraId="4E342776" w14:textId="77777777" w:rsidR="003D0A21" w:rsidRPr="00073C5D" w:rsidRDefault="00615E4A" w:rsidP="00073C5D">
      <w:pPr>
        <w:pStyle w:val="Heading1"/>
        <w:spacing w:line="240" w:lineRule="auto"/>
      </w:pPr>
      <w:bookmarkStart w:id="8" w:name="_Toc386609220"/>
      <w:bookmarkStart w:id="9" w:name="_Toc345427414"/>
      <w:bookmarkStart w:id="10" w:name="_Toc384202449"/>
      <w:r w:rsidRPr="00073C5D">
        <w:t>PROPOSED TREATMENT OF QF RESOURCES</w:t>
      </w:r>
      <w:bookmarkEnd w:id="8"/>
      <w:r w:rsidR="003D0A21" w:rsidRPr="00073C5D">
        <w:t xml:space="preserve"> </w:t>
      </w:r>
    </w:p>
    <w:p w14:paraId="4E342777" w14:textId="77777777" w:rsidR="00615E4A" w:rsidRDefault="003D0A21" w:rsidP="00073C5D">
      <w:pPr>
        <w:pStyle w:val="Heading1"/>
        <w:spacing w:line="240" w:lineRule="auto"/>
      </w:pPr>
      <w:bookmarkStart w:id="11" w:name="_Toc386609221"/>
      <w:r w:rsidRPr="00073C5D">
        <w:t>IN THE WEST CONTROL AREA</w:t>
      </w:r>
      <w:bookmarkEnd w:id="11"/>
    </w:p>
    <w:p w14:paraId="4E342778" w14:textId="77777777" w:rsidR="00073C5D" w:rsidRPr="00073C5D" w:rsidRDefault="00073C5D" w:rsidP="00073C5D">
      <w:pPr>
        <w:suppressLineNumbers/>
        <w:spacing w:line="240" w:lineRule="auto"/>
      </w:pPr>
    </w:p>
    <w:p w14:paraId="4E342779" w14:textId="77777777" w:rsidR="00615E4A" w:rsidRPr="00E834A1" w:rsidRDefault="00615E4A" w:rsidP="00615E4A">
      <w:pPr>
        <w:tabs>
          <w:tab w:val="left" w:pos="720"/>
        </w:tabs>
        <w:spacing w:line="480" w:lineRule="auto"/>
        <w:ind w:left="720" w:hanging="720"/>
        <w:jc w:val="left"/>
        <w:rPr>
          <w:b/>
        </w:rPr>
      </w:pPr>
      <w:r w:rsidRPr="00E834A1">
        <w:rPr>
          <w:b/>
        </w:rPr>
        <w:t>Q.</w:t>
      </w:r>
      <w:r w:rsidRPr="00E834A1">
        <w:rPr>
          <w:b/>
        </w:rPr>
        <w:tab/>
      </w:r>
      <w:r>
        <w:rPr>
          <w:b/>
        </w:rPr>
        <w:t xml:space="preserve">Please explain the Company’s proposed treatment of </w:t>
      </w:r>
      <w:r w:rsidR="00293D2E">
        <w:rPr>
          <w:b/>
        </w:rPr>
        <w:t>PPAs</w:t>
      </w:r>
      <w:r>
        <w:rPr>
          <w:b/>
        </w:rPr>
        <w:t xml:space="preserve"> </w:t>
      </w:r>
      <w:r w:rsidR="0072651A">
        <w:rPr>
          <w:b/>
        </w:rPr>
        <w:t>with west control area QFs</w:t>
      </w:r>
      <w:r>
        <w:rPr>
          <w:b/>
        </w:rPr>
        <w:t xml:space="preserve">.  </w:t>
      </w:r>
    </w:p>
    <w:p w14:paraId="4E34277A" w14:textId="77777777" w:rsidR="00615E4A" w:rsidRDefault="00615E4A" w:rsidP="00615E4A">
      <w:pPr>
        <w:tabs>
          <w:tab w:val="left" w:pos="720"/>
        </w:tabs>
        <w:spacing w:line="480" w:lineRule="auto"/>
        <w:ind w:left="720" w:hanging="720"/>
        <w:jc w:val="left"/>
      </w:pPr>
      <w:r w:rsidRPr="00E834A1">
        <w:t>A.</w:t>
      </w:r>
      <w:r w:rsidRPr="00E834A1">
        <w:tab/>
      </w:r>
      <w:r>
        <w:t>In this case, the Company renew</w:t>
      </w:r>
      <w:r w:rsidR="0072651A">
        <w:t>s</w:t>
      </w:r>
      <w:r>
        <w:t xml:space="preserve"> its proposal to include </w:t>
      </w:r>
      <w:r w:rsidR="0072651A">
        <w:t xml:space="preserve">Washington’s share of the </w:t>
      </w:r>
      <w:r>
        <w:t>costs and benefits associated with all PACW (Oregon, California, and Washington) QF PPAs</w:t>
      </w:r>
      <w:r w:rsidR="0072651A">
        <w:t xml:space="preserve"> </w:t>
      </w:r>
      <w:r>
        <w:t xml:space="preserve">in the calculation of </w:t>
      </w:r>
      <w:r w:rsidR="00BA7E5F">
        <w:t>west control area</w:t>
      </w:r>
      <w:r>
        <w:t xml:space="preserve"> NPC.  </w:t>
      </w:r>
    </w:p>
    <w:p w14:paraId="4E34277B" w14:textId="77777777" w:rsidR="00615E4A" w:rsidRPr="00B30AEF" w:rsidRDefault="00615E4A" w:rsidP="00615E4A">
      <w:pPr>
        <w:tabs>
          <w:tab w:val="left" w:pos="720"/>
        </w:tabs>
        <w:spacing w:line="480" w:lineRule="auto"/>
        <w:ind w:left="720" w:hanging="720"/>
        <w:jc w:val="left"/>
        <w:rPr>
          <w:b/>
        </w:rPr>
      </w:pPr>
      <w:r w:rsidRPr="00B30AEF">
        <w:rPr>
          <w:b/>
        </w:rPr>
        <w:t>Q.</w:t>
      </w:r>
      <w:r w:rsidRPr="00B30AEF">
        <w:rPr>
          <w:b/>
        </w:rPr>
        <w:tab/>
      </w:r>
      <w:r>
        <w:rPr>
          <w:b/>
        </w:rPr>
        <w:t xml:space="preserve">Did the Company originally propose this treatment in the 2013 Rate Case? </w:t>
      </w:r>
    </w:p>
    <w:p w14:paraId="4E34277C" w14:textId="77777777" w:rsidR="00615E4A" w:rsidRDefault="00615E4A" w:rsidP="00615E4A">
      <w:pPr>
        <w:tabs>
          <w:tab w:val="left" w:pos="720"/>
        </w:tabs>
        <w:spacing w:line="480" w:lineRule="auto"/>
        <w:ind w:left="720" w:hanging="720"/>
        <w:jc w:val="left"/>
      </w:pPr>
      <w:r w:rsidRPr="00E834A1">
        <w:t>A.</w:t>
      </w:r>
      <w:r w:rsidRPr="00E834A1">
        <w:tab/>
      </w:r>
      <w:r>
        <w:t>Yes.  The Commission rejected this proposal in Order 05 the 2013 Rate Case</w:t>
      </w:r>
      <w:r w:rsidR="0072651A">
        <w:t>,</w:t>
      </w:r>
      <w:r>
        <w:t xml:space="preserve"> and the </w:t>
      </w:r>
      <w:r w:rsidR="0072651A">
        <w:t xml:space="preserve">Company sought judicial review of this </w:t>
      </w:r>
      <w:r>
        <w:t>issue.</w:t>
      </w:r>
    </w:p>
    <w:p w14:paraId="4E34277D" w14:textId="77777777" w:rsidR="00615E4A" w:rsidRDefault="00615E4A" w:rsidP="00615E4A">
      <w:pPr>
        <w:tabs>
          <w:tab w:val="left" w:pos="720"/>
        </w:tabs>
        <w:spacing w:line="480" w:lineRule="auto"/>
        <w:ind w:left="720" w:hanging="720"/>
        <w:jc w:val="left"/>
        <w:rPr>
          <w:b/>
        </w:rPr>
      </w:pPr>
      <w:r>
        <w:rPr>
          <w:b/>
        </w:rPr>
        <w:t>Q.</w:t>
      </w:r>
      <w:r>
        <w:rPr>
          <w:b/>
        </w:rPr>
        <w:tab/>
        <w:t xml:space="preserve">Why is the Company again asking to include the cost of </w:t>
      </w:r>
      <w:r w:rsidR="0072651A">
        <w:rPr>
          <w:b/>
        </w:rPr>
        <w:t xml:space="preserve">PPAs with QFs in </w:t>
      </w:r>
      <w:r>
        <w:rPr>
          <w:b/>
        </w:rPr>
        <w:t>Oregon and California in this case?</w:t>
      </w:r>
    </w:p>
    <w:p w14:paraId="4E34277E" w14:textId="77777777" w:rsidR="00615E4A" w:rsidRDefault="00615E4A" w:rsidP="00615E4A">
      <w:pPr>
        <w:tabs>
          <w:tab w:val="left" w:pos="720"/>
        </w:tabs>
        <w:spacing w:line="480" w:lineRule="auto"/>
        <w:ind w:left="720" w:hanging="720"/>
        <w:jc w:val="left"/>
      </w:pPr>
      <w:r>
        <w:t>A.</w:t>
      </w:r>
      <w:r>
        <w:tab/>
        <w:t xml:space="preserve">The Company respectfully asks the Commission to reconsider its approach to </w:t>
      </w:r>
      <w:r w:rsidR="0072651A">
        <w:t>including PPAs</w:t>
      </w:r>
      <w:r w:rsidR="0072651A" w:rsidDel="0072651A">
        <w:t xml:space="preserve"> </w:t>
      </w:r>
      <w:r w:rsidR="0072651A">
        <w:t>with west control area QFs</w:t>
      </w:r>
      <w:r>
        <w:t xml:space="preserve"> in Washington rates for the following reasons: </w:t>
      </w:r>
    </w:p>
    <w:p w14:paraId="4E34277F" w14:textId="77777777" w:rsidR="00615E4A" w:rsidRDefault="00615E4A" w:rsidP="00073C5D">
      <w:pPr>
        <w:pStyle w:val="BodyText"/>
        <w:widowControl/>
        <w:numPr>
          <w:ilvl w:val="0"/>
          <w:numId w:val="29"/>
        </w:numPr>
        <w:tabs>
          <w:tab w:val="clear" w:pos="720"/>
        </w:tabs>
        <w:adjustRightInd/>
        <w:spacing w:after="240" w:line="240" w:lineRule="auto"/>
        <w:ind w:left="1080"/>
        <w:jc w:val="left"/>
        <w:textAlignment w:val="auto"/>
      </w:pPr>
      <w:r>
        <w:t>Inclu</w:t>
      </w:r>
      <w:r w:rsidR="0072651A">
        <w:t xml:space="preserve">ding </w:t>
      </w:r>
      <w:r>
        <w:t xml:space="preserve">all </w:t>
      </w:r>
      <w:r w:rsidR="0072651A">
        <w:t>PP</w:t>
      </w:r>
      <w:r>
        <w:t xml:space="preserve">As </w:t>
      </w:r>
      <w:r w:rsidR="0072651A">
        <w:t xml:space="preserve">with QFs in the west control area </w:t>
      </w:r>
      <w:r>
        <w:t xml:space="preserve">in the NPC calculation is consistent with the treatment of other generation resources </w:t>
      </w:r>
      <w:r w:rsidR="0072651A">
        <w:t xml:space="preserve">under the WCA </w:t>
      </w:r>
      <w:r>
        <w:t xml:space="preserve">and is a more accurate representation of the Company’s operations in </w:t>
      </w:r>
      <w:r w:rsidR="0072651A">
        <w:t>the west control area</w:t>
      </w:r>
      <w:r w:rsidR="0072651A" w:rsidRPr="000F7EE3">
        <w:t xml:space="preserve"> </w:t>
      </w:r>
      <w:r>
        <w:t xml:space="preserve">because these resources are all located </w:t>
      </w:r>
      <w:r w:rsidR="0072651A">
        <w:t>in the west control area</w:t>
      </w:r>
      <w:r>
        <w:t xml:space="preserve">, physically deliver power to meet Washington load in the same manner as any other </w:t>
      </w:r>
      <w:r w:rsidR="0072651A">
        <w:t>west control area</w:t>
      </w:r>
      <w:r>
        <w:t xml:space="preserve"> resource, and provide direct benefits to Washington customers.  </w:t>
      </w:r>
    </w:p>
    <w:p w14:paraId="4E342780" w14:textId="77777777" w:rsidR="0072651A" w:rsidRDefault="00615E4A" w:rsidP="00073C5D">
      <w:pPr>
        <w:pStyle w:val="BodyText"/>
        <w:widowControl/>
        <w:numPr>
          <w:ilvl w:val="0"/>
          <w:numId w:val="29"/>
        </w:numPr>
        <w:tabs>
          <w:tab w:val="clear" w:pos="720"/>
        </w:tabs>
        <w:adjustRightInd/>
        <w:spacing w:after="240" w:line="240" w:lineRule="auto"/>
        <w:ind w:left="1080"/>
        <w:jc w:val="left"/>
        <w:textAlignment w:val="auto"/>
      </w:pPr>
      <w:r>
        <w:t>The</w:t>
      </w:r>
      <w:r w:rsidRPr="002B74FF">
        <w:t>re a</w:t>
      </w:r>
      <w:r>
        <w:t>re</w:t>
      </w:r>
      <w:r w:rsidRPr="002B74FF">
        <w:t xml:space="preserve"> </w:t>
      </w:r>
      <w:r>
        <w:t xml:space="preserve">now a </w:t>
      </w:r>
      <w:r w:rsidRPr="002B74FF">
        <w:t>material number of QF</w:t>
      </w:r>
      <w:r w:rsidR="0072651A">
        <w:t>s</w:t>
      </w:r>
      <w:r w:rsidRPr="002B74FF">
        <w:t xml:space="preserve"> </w:t>
      </w:r>
      <w:r>
        <w:t>s</w:t>
      </w:r>
      <w:r w:rsidRPr="002B74FF">
        <w:t>erving Washington customers</w:t>
      </w:r>
      <w:r w:rsidR="0072651A">
        <w:t>, but the costs of the PPAs with these QFs</w:t>
      </w:r>
      <w:r w:rsidRPr="002B74FF">
        <w:t xml:space="preserve"> are not </w:t>
      </w:r>
      <w:r>
        <w:t xml:space="preserve">reflected in Washington rates. </w:t>
      </w:r>
      <w:r w:rsidR="0072651A">
        <w:t xml:space="preserve"> </w:t>
      </w:r>
      <w:r>
        <w:t xml:space="preserve">In the pro forma period, Oregon and California QFs are projected to supply 806,799 </w:t>
      </w:r>
      <w:r w:rsidR="00EE7AAD">
        <w:t>mega</w:t>
      </w:r>
      <w:r w:rsidR="00964E05">
        <w:t>watt-hours (</w:t>
      </w:r>
      <w:r>
        <w:t>MWh</w:t>
      </w:r>
      <w:r w:rsidR="00964E05">
        <w:t>)</w:t>
      </w:r>
      <w:r>
        <w:t xml:space="preserve"> of generation in the </w:t>
      </w:r>
      <w:r w:rsidR="0072651A">
        <w:t>west control area</w:t>
      </w:r>
      <w:r>
        <w:t xml:space="preserve">.  Collectively, </w:t>
      </w:r>
      <w:r w:rsidR="0072651A">
        <w:t xml:space="preserve">west control area </w:t>
      </w:r>
      <w:r>
        <w:t>QF</w:t>
      </w:r>
      <w:r w:rsidR="0072651A">
        <w:t>s</w:t>
      </w:r>
      <w:r>
        <w:t xml:space="preserve"> provide a significant source of power supply to Washington customers, </w:t>
      </w:r>
      <w:r w:rsidR="0072651A">
        <w:t xml:space="preserve">but Washington customers only pay for PPAs with QFs located in Washington.  </w:t>
      </w:r>
    </w:p>
    <w:p w14:paraId="4E342781" w14:textId="77777777" w:rsidR="00615E4A" w:rsidRDefault="0072651A" w:rsidP="00073C5D">
      <w:pPr>
        <w:pStyle w:val="BodyText"/>
        <w:widowControl/>
        <w:numPr>
          <w:ilvl w:val="0"/>
          <w:numId w:val="29"/>
        </w:numPr>
        <w:tabs>
          <w:tab w:val="clear" w:pos="720"/>
        </w:tabs>
        <w:adjustRightInd/>
        <w:spacing w:after="240" w:line="240" w:lineRule="auto"/>
        <w:ind w:left="1080"/>
        <w:jc w:val="left"/>
        <w:textAlignment w:val="auto"/>
      </w:pPr>
      <w:r>
        <w:t xml:space="preserve">Including west control area </w:t>
      </w:r>
      <w:r w:rsidR="00615E4A">
        <w:t xml:space="preserve">QF PPAs in Washington rates </w:t>
      </w:r>
      <w:r>
        <w:t xml:space="preserve">is consistent with the </w:t>
      </w:r>
      <w:r w:rsidR="00615E4A">
        <w:t xml:space="preserve">Public Utility Regulatory Policy Act of 1978 (PURPA).  The QF PPAs included in this case were executed at avoided cost prices calculated under PURPA, and no party has ever alleged that the prices exceed the Company’s actual avoided costs at the time the PPAs were executed. </w:t>
      </w:r>
      <w:r w:rsidR="002324FB">
        <w:t xml:space="preserve"> </w:t>
      </w:r>
      <w:r w:rsidR="00615E4A">
        <w:t>PURPA explicitly requires FERC to “ensure that an electric utility that purchases electric energy or capacity from a [QF] . . . recovers all prudently incurred costs associated with the purchase.”</w:t>
      </w:r>
      <w:r w:rsidR="00615E4A">
        <w:rPr>
          <w:rStyle w:val="FootnoteReference"/>
        </w:rPr>
        <w:footnoteReference w:id="3"/>
      </w:r>
      <w:r w:rsidR="00615E4A">
        <w:t xml:space="preserve">  </w:t>
      </w:r>
    </w:p>
    <w:p w14:paraId="4E342782" w14:textId="77777777" w:rsidR="00615E4A" w:rsidRDefault="00615E4A" w:rsidP="00073C5D">
      <w:pPr>
        <w:pStyle w:val="BodyText"/>
        <w:widowControl/>
        <w:numPr>
          <w:ilvl w:val="0"/>
          <w:numId w:val="29"/>
        </w:numPr>
        <w:tabs>
          <w:tab w:val="clear" w:pos="720"/>
        </w:tabs>
        <w:adjustRightInd/>
        <w:spacing w:after="240" w:line="240" w:lineRule="auto"/>
        <w:ind w:left="1080"/>
        <w:jc w:val="left"/>
        <w:textAlignment w:val="auto"/>
      </w:pPr>
      <w:r>
        <w:t xml:space="preserve">All of the </w:t>
      </w:r>
      <w:r w:rsidR="00AD74BF">
        <w:t xml:space="preserve">Oregon and California PPAs </w:t>
      </w:r>
      <w:r>
        <w:t xml:space="preserve">are </w:t>
      </w:r>
      <w:r w:rsidR="00AD74BF">
        <w:t xml:space="preserve">with QFs that are </w:t>
      </w:r>
      <w:r>
        <w:t xml:space="preserve">eligible resources under </w:t>
      </w:r>
      <w:r w:rsidR="00AD74BF">
        <w:t xml:space="preserve">Washington’s </w:t>
      </w:r>
      <w:r>
        <w:t xml:space="preserve">Energy Independence Act (EIA).  Allowing the Company to recover the costs of </w:t>
      </w:r>
      <w:r w:rsidR="00AD74BF">
        <w:t xml:space="preserve">these </w:t>
      </w:r>
      <w:r>
        <w:t xml:space="preserve">Oregon and California QF PPAs in rates implements the EIA’s policy of encouraging renewable resource development on a regional basis and diversifying the portfolio of renewable resources serving Washington customers. </w:t>
      </w:r>
    </w:p>
    <w:p w14:paraId="4E342783" w14:textId="77777777" w:rsidR="00615E4A" w:rsidRPr="00EC1F14" w:rsidRDefault="00615E4A" w:rsidP="00615E4A">
      <w:pPr>
        <w:widowControl/>
        <w:tabs>
          <w:tab w:val="left" w:pos="720"/>
        </w:tabs>
        <w:spacing w:line="480" w:lineRule="auto"/>
        <w:ind w:left="720" w:hanging="720"/>
        <w:jc w:val="left"/>
        <w:rPr>
          <w:b/>
        </w:rPr>
      </w:pPr>
      <w:r w:rsidRPr="00EC1F14">
        <w:rPr>
          <w:b/>
        </w:rPr>
        <w:t xml:space="preserve">Q. </w:t>
      </w:r>
      <w:r w:rsidRPr="00EC1F14">
        <w:rPr>
          <w:b/>
        </w:rPr>
        <w:tab/>
        <w:t>In the 2013 Rate Case</w:t>
      </w:r>
      <w:r>
        <w:rPr>
          <w:b/>
        </w:rPr>
        <w:t>,</w:t>
      </w:r>
      <w:r w:rsidRPr="00EC1F14">
        <w:rPr>
          <w:b/>
        </w:rPr>
        <w:t xml:space="preserve"> the Commission reasoned that the Company’s proposal was the equivalent of adopting the Revised Protocol method just for QF</w:t>
      </w:r>
      <w:r>
        <w:rPr>
          <w:b/>
        </w:rPr>
        <w:t xml:space="preserve"> resource</w:t>
      </w:r>
      <w:r w:rsidRPr="00EC1F14">
        <w:rPr>
          <w:b/>
        </w:rPr>
        <w:t>s.</w:t>
      </w:r>
      <w:r>
        <w:rPr>
          <w:rStyle w:val="FootnoteReference"/>
          <w:b/>
        </w:rPr>
        <w:footnoteReference w:id="4"/>
      </w:r>
      <w:r w:rsidRPr="00EC1F14">
        <w:rPr>
          <w:b/>
        </w:rPr>
        <w:t xml:space="preserve">  </w:t>
      </w:r>
      <w:r w:rsidR="00AD74BF">
        <w:rPr>
          <w:b/>
        </w:rPr>
        <w:t>Do you agree</w:t>
      </w:r>
      <w:r>
        <w:rPr>
          <w:b/>
        </w:rPr>
        <w:t>?</w:t>
      </w:r>
    </w:p>
    <w:p w14:paraId="4E342784" w14:textId="77777777" w:rsidR="00615E4A" w:rsidRDefault="00615E4A" w:rsidP="00615E4A">
      <w:pPr>
        <w:tabs>
          <w:tab w:val="left" w:pos="720"/>
        </w:tabs>
        <w:spacing w:line="480" w:lineRule="auto"/>
        <w:ind w:left="720" w:hanging="720"/>
        <w:jc w:val="left"/>
      </w:pPr>
      <w:r>
        <w:t>A.</w:t>
      </w:r>
      <w:r>
        <w:tab/>
      </w:r>
      <w:r w:rsidR="00AD74BF">
        <w:t>No</w:t>
      </w:r>
      <w:r>
        <w:t xml:space="preserve">.  </w:t>
      </w:r>
      <w:r w:rsidR="00AD74BF">
        <w:t>T</w:t>
      </w:r>
      <w:r>
        <w:t xml:space="preserve">he Company’s proposal to include </w:t>
      </w:r>
      <w:r w:rsidR="00AD74BF">
        <w:t xml:space="preserve">the costs of PPAs with QFs in </w:t>
      </w:r>
      <w:r>
        <w:t xml:space="preserve">Oregon and California in the calculation of </w:t>
      </w:r>
      <w:r w:rsidR="00AD74BF">
        <w:t>west control area</w:t>
      </w:r>
      <w:r>
        <w:t xml:space="preserve"> NPC </w:t>
      </w:r>
      <w:r w:rsidR="00AD74BF">
        <w:t xml:space="preserve">is consistent with the WCA and </w:t>
      </w:r>
      <w:r>
        <w:t>strictly tracks the Commission’s underlying rationale for the WCA.  As reiterated in the 2013 Rate Case Order, the WCA is based “on the generation resources that are actually used to keep the west control area in balance with its neighboring control areas.”</w:t>
      </w:r>
      <w:r>
        <w:rPr>
          <w:rStyle w:val="FootnoteReference"/>
        </w:rPr>
        <w:footnoteReference w:id="5"/>
      </w:r>
      <w:r>
        <w:t xml:space="preserve">  Oregon and California QFs are used to keep the west control area in balance just like all other </w:t>
      </w:r>
      <w:r w:rsidR="00AD74BF">
        <w:t xml:space="preserve">west control area </w:t>
      </w:r>
      <w:r>
        <w:t xml:space="preserve">generation resources.  The only distinguishing factor between QF resources and all other </w:t>
      </w:r>
      <w:r w:rsidR="005316B0">
        <w:t xml:space="preserve">west control area </w:t>
      </w:r>
      <w:r>
        <w:t xml:space="preserve">resources is the fact that </w:t>
      </w:r>
      <w:r w:rsidR="00AD74BF">
        <w:t>PURPA requires the Company to purchase power from QFs</w:t>
      </w:r>
      <w:r>
        <w:t xml:space="preserve"> at prices established by regulators in </w:t>
      </w:r>
      <w:r w:rsidR="00AD74BF">
        <w:t xml:space="preserve">west control area </w:t>
      </w:r>
      <w:r>
        <w:t>states.  This mandate make</w:t>
      </w:r>
      <w:r w:rsidR="00AD74BF">
        <w:t>s</w:t>
      </w:r>
      <w:r>
        <w:t xml:space="preserve"> </w:t>
      </w:r>
      <w:r w:rsidR="00AD74BF">
        <w:t xml:space="preserve">recovery of the costs of these resources more appropriate </w:t>
      </w:r>
      <w:r>
        <w:t xml:space="preserve">under the WCA, not less. </w:t>
      </w:r>
    </w:p>
    <w:p w14:paraId="4E342785" w14:textId="77777777" w:rsidR="00B97213" w:rsidRDefault="00B97213" w:rsidP="00615E4A">
      <w:pPr>
        <w:tabs>
          <w:tab w:val="left" w:pos="720"/>
        </w:tabs>
        <w:spacing w:line="480" w:lineRule="auto"/>
        <w:ind w:left="720" w:hanging="720"/>
        <w:jc w:val="left"/>
      </w:pPr>
      <w:r>
        <w:tab/>
      </w:r>
      <w:r>
        <w:tab/>
        <w:t xml:space="preserve">In addition, the 2010 Protocol, which is the current inter-jurisdictional allocation methodology used in the PacifiCorp’s other five state jurisdictions, allocates the costs of QF PPAs across PacifiCorp’s system.  In this case, the Company is not proposing to system-allocate </w:t>
      </w:r>
      <w:r w:rsidR="008F3AD2">
        <w:t xml:space="preserve">PPAs with </w:t>
      </w:r>
      <w:r>
        <w:t>QF</w:t>
      </w:r>
      <w:r w:rsidR="008F3AD2">
        <w:t>s in all six states served by the Company</w:t>
      </w:r>
      <w:r>
        <w:t>.</w:t>
      </w:r>
    </w:p>
    <w:p w14:paraId="4E342786" w14:textId="77777777" w:rsidR="00615E4A" w:rsidRDefault="00615E4A" w:rsidP="00615E4A">
      <w:pPr>
        <w:tabs>
          <w:tab w:val="left" w:pos="720"/>
        </w:tabs>
        <w:spacing w:line="480" w:lineRule="auto"/>
        <w:ind w:left="720" w:hanging="720"/>
        <w:jc w:val="left"/>
        <w:rPr>
          <w:b/>
        </w:rPr>
      </w:pPr>
      <w:r>
        <w:rPr>
          <w:b/>
        </w:rPr>
        <w:t>Q.</w:t>
      </w:r>
      <w:r>
        <w:rPr>
          <w:b/>
        </w:rPr>
        <w:tab/>
        <w:t xml:space="preserve">Are Washington customers harmed because </w:t>
      </w:r>
      <w:r w:rsidR="00AD74BF">
        <w:rPr>
          <w:b/>
        </w:rPr>
        <w:t xml:space="preserve">west control area </w:t>
      </w:r>
      <w:r>
        <w:rPr>
          <w:b/>
        </w:rPr>
        <w:t xml:space="preserve">NPC is higher when all </w:t>
      </w:r>
      <w:r w:rsidR="00AD74BF">
        <w:rPr>
          <w:b/>
        </w:rPr>
        <w:t xml:space="preserve">PPAs with west control area </w:t>
      </w:r>
      <w:r>
        <w:rPr>
          <w:b/>
        </w:rPr>
        <w:t>QFs are included?</w:t>
      </w:r>
    </w:p>
    <w:p w14:paraId="4E342787" w14:textId="77777777" w:rsidR="00AD74BF" w:rsidRDefault="00615E4A" w:rsidP="00615E4A">
      <w:pPr>
        <w:tabs>
          <w:tab w:val="left" w:pos="720"/>
        </w:tabs>
        <w:spacing w:line="480" w:lineRule="auto"/>
        <w:ind w:left="720" w:hanging="720"/>
        <w:jc w:val="left"/>
      </w:pPr>
      <w:r>
        <w:t>A.</w:t>
      </w:r>
      <w:r>
        <w:tab/>
        <w:t xml:space="preserve">No.  </w:t>
      </w:r>
      <w:r w:rsidR="00AD74BF">
        <w:t xml:space="preserve">Washington customers are not harmed by paying rates that more accurately represent the cost to serve </w:t>
      </w:r>
      <w:r w:rsidR="008A5AD2">
        <w:t>them</w:t>
      </w:r>
      <w:r w:rsidR="00AD74BF">
        <w:t xml:space="preserve">.  These resources are used in providing service to Washington customers, and including the costs of these resources in rates is fair, not harmful.  </w:t>
      </w:r>
    </w:p>
    <w:p w14:paraId="4E342788" w14:textId="77777777" w:rsidR="00615E4A" w:rsidRDefault="00AD74BF" w:rsidP="00615E4A">
      <w:pPr>
        <w:tabs>
          <w:tab w:val="left" w:pos="720"/>
        </w:tabs>
        <w:spacing w:line="480" w:lineRule="auto"/>
        <w:ind w:left="720" w:hanging="720"/>
        <w:jc w:val="left"/>
      </w:pPr>
      <w:r>
        <w:tab/>
      </w:r>
      <w:r>
        <w:tab/>
        <w:t>Furthermore, w</w:t>
      </w:r>
      <w:r w:rsidR="00615E4A">
        <w:t xml:space="preserve">hile </w:t>
      </w:r>
      <w:r>
        <w:t>including</w:t>
      </w:r>
      <w:r w:rsidR="00615E4A">
        <w:t xml:space="preserve"> all </w:t>
      </w:r>
      <w:r>
        <w:t xml:space="preserve">west control area </w:t>
      </w:r>
      <w:r w:rsidR="00615E4A">
        <w:t xml:space="preserve">QF PPAs increases </w:t>
      </w:r>
      <w:r w:rsidR="00615E4A" w:rsidRPr="00852AEC">
        <w:t>Washington</w:t>
      </w:r>
      <w:r>
        <w:t>-allocated</w:t>
      </w:r>
      <w:r w:rsidR="00615E4A" w:rsidRPr="00852AEC">
        <w:t xml:space="preserve"> NPC by </w:t>
      </w:r>
      <w:r w:rsidR="00535D10" w:rsidRPr="00AE79C1">
        <w:t xml:space="preserve">approximately </w:t>
      </w:r>
      <w:r w:rsidR="00615E4A" w:rsidRPr="00AE79C1">
        <w:t>$10.</w:t>
      </w:r>
      <w:r w:rsidRPr="00AE79C1">
        <w:t>0</w:t>
      </w:r>
      <w:r w:rsidR="00615E4A" w:rsidRPr="00AE79C1">
        <w:t xml:space="preserve"> million,</w:t>
      </w:r>
      <w:r w:rsidR="00615E4A">
        <w:t xml:space="preserve"> this </w:t>
      </w:r>
      <w:r>
        <w:t>only</w:t>
      </w:r>
      <w:r w:rsidR="00512993">
        <w:t xml:space="preserve"> shows </w:t>
      </w:r>
      <w:r w:rsidR="00615E4A">
        <w:t>that the prices paid for Oregon and California QF resources are higher than the variable cost of market purchases</w:t>
      </w:r>
      <w:r w:rsidR="00442B6B">
        <w:t xml:space="preserve"> and other resources used </w:t>
      </w:r>
      <w:r w:rsidR="00615E4A">
        <w:t xml:space="preserve">to balance the GRID study. </w:t>
      </w:r>
      <w:r w:rsidR="00442B6B">
        <w:t xml:space="preserve"> QF prices, on the other hand, are established in advance, consistent with PURPA, and are fixed for a number of years over the term of the PPA.  Long-term contract prices will inevitably be different from short-term market prices as time progresses. </w:t>
      </w:r>
      <w:r w:rsidR="00667D35">
        <w:t xml:space="preserve"> </w:t>
      </w:r>
      <w:r w:rsidR="00442B6B">
        <w:t xml:space="preserve">QF prices may also include a capacity component in addition to payment for energy. </w:t>
      </w:r>
      <w:r w:rsidR="0042219F">
        <w:t xml:space="preserve"> </w:t>
      </w:r>
      <w:r w:rsidR="00442B6B">
        <w:t xml:space="preserve">In Washington, for example, Schedule 37 rates compensate QFs for both energy and capacity, with energy payments based on the incremental cost of market transactions and thermal output, and capacity payments reflecting the fixed costs of a simple cycle combustion turbine for three months per year. </w:t>
      </w:r>
      <w:r w:rsidR="0042219F">
        <w:t xml:space="preserve"> </w:t>
      </w:r>
      <w:r w:rsidR="00667D35">
        <w:t xml:space="preserve">If avoided cost prices are greater than market prices years after the PPA was signed, it does not mean that the avoided cost prices in the QF PPA are excessive or otherwise violate PURPA’s strict requirements.  </w:t>
      </w:r>
    </w:p>
    <w:p w14:paraId="4E342789" w14:textId="77777777" w:rsidR="00615E4A" w:rsidRDefault="00615E4A" w:rsidP="00D4520F">
      <w:pPr>
        <w:tabs>
          <w:tab w:val="left" w:pos="720"/>
        </w:tabs>
        <w:spacing w:line="480" w:lineRule="auto"/>
        <w:ind w:left="720" w:hanging="720"/>
        <w:jc w:val="left"/>
      </w:pPr>
      <w:r>
        <w:tab/>
      </w:r>
      <w:r>
        <w:tab/>
        <w:t xml:space="preserve">PURPA requires that the prices paid to QFs be equal to a utility’s avoided cost of energy and capacity.  Each state has an approved method for calculating these avoided costs, and the resulting prices are heavily scrutinized and ultimately approved by the respective </w:t>
      </w:r>
      <w:r w:rsidR="00AD74BF">
        <w:t xml:space="preserve">regulatory </w:t>
      </w:r>
      <w:r>
        <w:t xml:space="preserve">commissions.  The avoided cost calculation is intended to ensure that customers are indifferent to QF generation, </w:t>
      </w:r>
      <w:r w:rsidRPr="004441D3">
        <w:rPr>
          <w:i/>
        </w:rPr>
        <w:t>i.e.,</w:t>
      </w:r>
      <w:r>
        <w:t xml:space="preserve"> that the price paid to the QF is the same as the price the utility would otherwise incur if it was generating the electricity itself.  </w:t>
      </w:r>
      <w:r w:rsidR="00667D35">
        <w:t xml:space="preserve">Comparing QF PPA prices for a single test year to the variable cost of market purchases or the Company’s existing resources is insufficient to determine whether QF prices are reasonable and prudent from a ratemaking standpoint.  </w:t>
      </w:r>
    </w:p>
    <w:p w14:paraId="4E34278A" w14:textId="77777777" w:rsidR="00615E4A" w:rsidRDefault="00615E4A" w:rsidP="00615E4A">
      <w:pPr>
        <w:tabs>
          <w:tab w:val="left" w:pos="720"/>
        </w:tabs>
        <w:spacing w:line="480" w:lineRule="auto"/>
        <w:ind w:left="720" w:hanging="720"/>
        <w:jc w:val="left"/>
        <w:rPr>
          <w:b/>
        </w:rPr>
      </w:pPr>
      <w:r>
        <w:rPr>
          <w:b/>
        </w:rPr>
        <w:t>Q.</w:t>
      </w:r>
      <w:r>
        <w:rPr>
          <w:b/>
        </w:rPr>
        <w:tab/>
        <w:t xml:space="preserve">In response to Order 05 in the 2013 Rate Case, </w:t>
      </w:r>
      <w:r w:rsidR="00B97213">
        <w:rPr>
          <w:b/>
        </w:rPr>
        <w:t>did the</w:t>
      </w:r>
      <w:r>
        <w:rPr>
          <w:b/>
        </w:rPr>
        <w:t xml:space="preserve"> Company analyze other approaches to </w:t>
      </w:r>
      <w:r w:rsidR="00B97213">
        <w:rPr>
          <w:b/>
        </w:rPr>
        <w:t xml:space="preserve">addressing </w:t>
      </w:r>
      <w:r>
        <w:rPr>
          <w:b/>
        </w:rPr>
        <w:t xml:space="preserve">Oregon and California QF PPAs </w:t>
      </w:r>
      <w:r w:rsidR="00B97213">
        <w:rPr>
          <w:b/>
        </w:rPr>
        <w:t>in Washington</w:t>
      </w:r>
      <w:r>
        <w:rPr>
          <w:b/>
        </w:rPr>
        <w:t>?</w:t>
      </w:r>
    </w:p>
    <w:p w14:paraId="4E34278B" w14:textId="77777777" w:rsidR="00615E4A" w:rsidRDefault="00615E4A" w:rsidP="00615E4A">
      <w:pPr>
        <w:tabs>
          <w:tab w:val="left" w:pos="720"/>
        </w:tabs>
        <w:spacing w:line="480" w:lineRule="auto"/>
        <w:ind w:left="720" w:hanging="720"/>
        <w:jc w:val="left"/>
      </w:pPr>
      <w:r>
        <w:t>A.</w:t>
      </w:r>
      <w:r>
        <w:tab/>
        <w:t xml:space="preserve">Yes.  In an effort to respond to the Commission’s concerns in Order 05 about including the energy and capacity costs of all </w:t>
      </w:r>
      <w:r w:rsidR="00B97213">
        <w:t xml:space="preserve">west control area </w:t>
      </w:r>
      <w:r>
        <w:t xml:space="preserve">QF PPAs in the determination of </w:t>
      </w:r>
      <w:r w:rsidR="00B97213">
        <w:t xml:space="preserve">west control area </w:t>
      </w:r>
      <w:r>
        <w:t>NPC, the Company examined two alternative approaches</w:t>
      </w:r>
      <w:r w:rsidR="00B97213">
        <w:t xml:space="preserve"> to addressing the Oregon and California QF PPAs</w:t>
      </w:r>
      <w:r>
        <w:t xml:space="preserve">: </w:t>
      </w:r>
    </w:p>
    <w:p w14:paraId="4E34278C" w14:textId="77777777" w:rsidR="00615E4A" w:rsidRDefault="00615E4A" w:rsidP="00073C5D">
      <w:pPr>
        <w:pStyle w:val="ListParagraph"/>
        <w:numPr>
          <w:ilvl w:val="0"/>
          <w:numId w:val="27"/>
        </w:numPr>
        <w:tabs>
          <w:tab w:val="left" w:pos="720"/>
        </w:tabs>
        <w:spacing w:line="480" w:lineRule="auto"/>
        <w:ind w:left="1080"/>
        <w:jc w:val="left"/>
      </w:pPr>
      <w:r>
        <w:t>A “load decrement” approach, which exclude</w:t>
      </w:r>
      <w:r w:rsidR="00094544">
        <w:t>s</w:t>
      </w:r>
      <w:r>
        <w:t xml:space="preserve"> the costs and energy of Oregon and California QF PPAs from the NPC calculation, and exclude</w:t>
      </w:r>
      <w:r w:rsidR="0042219F">
        <w:t>s</w:t>
      </w:r>
      <w:r>
        <w:t xml:space="preserve"> an equivalent amount of QF output from WCA loads used to calculate </w:t>
      </w:r>
      <w:r w:rsidR="00FE59F4">
        <w:t xml:space="preserve">NPC and </w:t>
      </w:r>
      <w:r w:rsidR="008A5AD2">
        <w:t>inter-</w:t>
      </w:r>
      <w:r>
        <w:t xml:space="preserve">jurisdictional allocation factors; and </w:t>
      </w:r>
    </w:p>
    <w:p w14:paraId="4E34278D" w14:textId="77777777" w:rsidR="00615E4A" w:rsidRDefault="00BA36FC" w:rsidP="00073C5D">
      <w:pPr>
        <w:pStyle w:val="ListParagraph"/>
        <w:numPr>
          <w:ilvl w:val="0"/>
          <w:numId w:val="27"/>
        </w:numPr>
        <w:tabs>
          <w:tab w:val="left" w:pos="720"/>
        </w:tabs>
        <w:spacing w:line="480" w:lineRule="auto"/>
        <w:ind w:left="1080"/>
        <w:jc w:val="left"/>
      </w:pPr>
      <w:r>
        <w:t>A “Washington re-pricing” approach, which include</w:t>
      </w:r>
      <w:r w:rsidR="0042219F">
        <w:t>s</w:t>
      </w:r>
      <w:r>
        <w:t xml:space="preserve"> Oregon and California QF PPAs in the NPC calculation</w:t>
      </w:r>
      <w:r w:rsidR="00B97213">
        <w:t xml:space="preserve"> but re-price</w:t>
      </w:r>
      <w:r w:rsidR="0042219F">
        <w:t>s them</w:t>
      </w:r>
      <w:r>
        <w:t xml:space="preserve"> using </w:t>
      </w:r>
      <w:r w:rsidR="00B97213">
        <w:t xml:space="preserve">the </w:t>
      </w:r>
      <w:r>
        <w:t>Washington avoided cost rates</w:t>
      </w:r>
      <w:r w:rsidR="00B97213">
        <w:t xml:space="preserve"> in effect at the time of PPA execution</w:t>
      </w:r>
      <w:r>
        <w:t xml:space="preserve">.  </w:t>
      </w:r>
    </w:p>
    <w:p w14:paraId="4E34278E" w14:textId="77777777" w:rsidR="00615E4A" w:rsidRDefault="00615E4A" w:rsidP="00615E4A">
      <w:pPr>
        <w:tabs>
          <w:tab w:val="left" w:pos="720"/>
        </w:tabs>
        <w:spacing w:line="480" w:lineRule="auto"/>
        <w:ind w:left="720"/>
        <w:jc w:val="left"/>
      </w:pPr>
      <w:r w:rsidRPr="00AE79C1">
        <w:t xml:space="preserve">Table </w:t>
      </w:r>
      <w:r w:rsidR="00B81BD6" w:rsidRPr="00AE79C1">
        <w:t>2</w:t>
      </w:r>
      <w:r w:rsidRPr="00F84845">
        <w:t xml:space="preserve"> below</w:t>
      </w:r>
      <w:r>
        <w:t xml:space="preserve"> compares the </w:t>
      </w:r>
      <w:r w:rsidR="00094544">
        <w:t xml:space="preserve">revenue requirement </w:t>
      </w:r>
      <w:r>
        <w:t xml:space="preserve">impact of these two alternative approaches with the Company’s proposal to include all </w:t>
      </w:r>
      <w:r w:rsidR="00B97213">
        <w:t xml:space="preserve">west control area </w:t>
      </w:r>
      <w:r>
        <w:t xml:space="preserve">QF PPAs as </w:t>
      </w:r>
      <w:r w:rsidR="00B97213">
        <w:t xml:space="preserve">west control area </w:t>
      </w:r>
      <w:r>
        <w:t>resources.</w:t>
      </w:r>
      <w:r w:rsidR="00FE59F4">
        <w:t xml:space="preserve"> </w:t>
      </w:r>
      <w:r w:rsidR="00073C5D">
        <w:t xml:space="preserve"> </w:t>
      </w:r>
      <w:r w:rsidR="00FE59F4">
        <w:t xml:space="preserve">This table, and supporting detail, is provided in </w:t>
      </w:r>
      <w:r w:rsidR="00FE59F4" w:rsidRPr="00F550BF">
        <w:t>Exhibit No.___(NCS-7) accompanying Ms. Siores testimony</w:t>
      </w:r>
      <w:r w:rsidR="00FE59F4">
        <w:t xml:space="preserve">.  </w:t>
      </w:r>
    </w:p>
    <w:p w14:paraId="4E34278F" w14:textId="77777777" w:rsidR="00787525" w:rsidRDefault="00615E4A" w:rsidP="00796934">
      <w:pPr>
        <w:suppressLineNumbers/>
        <w:tabs>
          <w:tab w:val="left" w:pos="0"/>
        </w:tabs>
        <w:spacing w:line="240" w:lineRule="auto"/>
        <w:jc w:val="center"/>
        <w:rPr>
          <w:b/>
        </w:rPr>
      </w:pPr>
      <w:r w:rsidRPr="00796934">
        <w:rPr>
          <w:b/>
        </w:rPr>
        <w:t xml:space="preserve">Table </w:t>
      </w:r>
      <w:r w:rsidR="00B81BD6" w:rsidRPr="00796934">
        <w:rPr>
          <w:b/>
        </w:rPr>
        <w:t>2</w:t>
      </w:r>
    </w:p>
    <w:tbl>
      <w:tblPr>
        <w:tblStyle w:val="TableGrid"/>
        <w:tblW w:w="0" w:type="auto"/>
        <w:tblInd w:w="828" w:type="dxa"/>
        <w:tblLook w:val="04A0" w:firstRow="1" w:lastRow="0" w:firstColumn="1" w:lastColumn="0" w:noHBand="0" w:noVBand="1"/>
      </w:tblPr>
      <w:tblGrid>
        <w:gridCol w:w="4590"/>
        <w:gridCol w:w="1710"/>
        <w:gridCol w:w="1620"/>
      </w:tblGrid>
      <w:tr w:rsidR="008A5AD2" w:rsidRPr="006D14A9" w14:paraId="4E342793" w14:textId="77777777" w:rsidTr="006D14A9">
        <w:trPr>
          <w:trHeight w:val="557"/>
        </w:trPr>
        <w:tc>
          <w:tcPr>
            <w:tcW w:w="4590" w:type="dxa"/>
          </w:tcPr>
          <w:p w14:paraId="4E342790" w14:textId="77777777" w:rsidR="008A5AD2" w:rsidRPr="006D14A9" w:rsidRDefault="008A5AD2" w:rsidP="006D14A9">
            <w:pPr>
              <w:suppressLineNumbers/>
              <w:tabs>
                <w:tab w:val="left" w:pos="720"/>
              </w:tabs>
              <w:spacing w:line="240" w:lineRule="auto"/>
              <w:ind w:left="720"/>
              <w:jc w:val="center"/>
              <w:rPr>
                <w:b/>
                <w:sz w:val="22"/>
                <w:szCs w:val="22"/>
              </w:rPr>
            </w:pPr>
          </w:p>
        </w:tc>
        <w:tc>
          <w:tcPr>
            <w:tcW w:w="1710" w:type="dxa"/>
          </w:tcPr>
          <w:p w14:paraId="4E342791" w14:textId="77777777" w:rsidR="008A5AD2" w:rsidRPr="006D14A9" w:rsidRDefault="008A5AD2" w:rsidP="00796934">
            <w:pPr>
              <w:suppressLineNumbers/>
              <w:tabs>
                <w:tab w:val="left" w:pos="0"/>
              </w:tabs>
              <w:spacing w:line="240" w:lineRule="auto"/>
              <w:jc w:val="center"/>
              <w:rPr>
                <w:sz w:val="22"/>
                <w:szCs w:val="22"/>
              </w:rPr>
            </w:pPr>
            <w:r w:rsidRPr="006D14A9">
              <w:rPr>
                <w:sz w:val="22"/>
                <w:szCs w:val="22"/>
              </w:rPr>
              <w:t>Revenue Requirement</w:t>
            </w:r>
          </w:p>
        </w:tc>
        <w:tc>
          <w:tcPr>
            <w:tcW w:w="1620" w:type="dxa"/>
          </w:tcPr>
          <w:p w14:paraId="4E342792" w14:textId="77777777" w:rsidR="008A5AD2" w:rsidRPr="006D14A9" w:rsidRDefault="008A5AD2" w:rsidP="00796934">
            <w:pPr>
              <w:suppressLineNumbers/>
              <w:tabs>
                <w:tab w:val="left" w:pos="0"/>
              </w:tabs>
              <w:spacing w:line="240" w:lineRule="auto"/>
              <w:jc w:val="center"/>
              <w:rPr>
                <w:sz w:val="22"/>
                <w:szCs w:val="22"/>
              </w:rPr>
            </w:pPr>
            <w:r>
              <w:rPr>
                <w:sz w:val="22"/>
                <w:szCs w:val="22"/>
              </w:rPr>
              <w:t xml:space="preserve">Variance </w:t>
            </w:r>
            <w:r w:rsidRPr="006D14A9">
              <w:rPr>
                <w:sz w:val="22"/>
                <w:szCs w:val="22"/>
              </w:rPr>
              <w:t>from Filed</w:t>
            </w:r>
          </w:p>
        </w:tc>
      </w:tr>
      <w:tr w:rsidR="008A5AD2" w:rsidRPr="006D14A9" w14:paraId="4E342797" w14:textId="77777777" w:rsidTr="006D14A9">
        <w:tc>
          <w:tcPr>
            <w:tcW w:w="4590" w:type="dxa"/>
          </w:tcPr>
          <w:p w14:paraId="4E342794" w14:textId="77777777" w:rsidR="008A5AD2" w:rsidRPr="006D14A9" w:rsidRDefault="008A5AD2" w:rsidP="006D14A9">
            <w:pPr>
              <w:suppressLineNumbers/>
              <w:tabs>
                <w:tab w:val="left" w:pos="0"/>
              </w:tabs>
              <w:spacing w:line="240" w:lineRule="auto"/>
              <w:rPr>
                <w:sz w:val="22"/>
                <w:szCs w:val="22"/>
              </w:rPr>
            </w:pPr>
            <w:r w:rsidRPr="006D14A9">
              <w:rPr>
                <w:sz w:val="22"/>
                <w:szCs w:val="22"/>
              </w:rPr>
              <w:t>As Filed</w:t>
            </w:r>
          </w:p>
        </w:tc>
        <w:tc>
          <w:tcPr>
            <w:tcW w:w="1710" w:type="dxa"/>
          </w:tcPr>
          <w:p w14:paraId="4E342795" w14:textId="77777777" w:rsidR="008A5AD2" w:rsidRPr="006D14A9" w:rsidRDefault="008A5AD2" w:rsidP="008A5AD2">
            <w:pPr>
              <w:suppressLineNumbers/>
              <w:tabs>
                <w:tab w:val="left" w:pos="0"/>
              </w:tabs>
              <w:spacing w:line="240" w:lineRule="auto"/>
              <w:jc w:val="center"/>
              <w:rPr>
                <w:sz w:val="22"/>
                <w:szCs w:val="22"/>
              </w:rPr>
            </w:pPr>
            <w:r>
              <w:rPr>
                <w:sz w:val="22"/>
                <w:szCs w:val="22"/>
              </w:rPr>
              <w:t>$</w:t>
            </w:r>
            <w:r w:rsidRPr="006D14A9">
              <w:rPr>
                <w:sz w:val="22"/>
                <w:szCs w:val="22"/>
              </w:rPr>
              <w:t>27</w:t>
            </w:r>
            <w:r>
              <w:rPr>
                <w:sz w:val="22"/>
                <w:szCs w:val="22"/>
              </w:rPr>
              <w:t>.2 million</w:t>
            </w:r>
          </w:p>
        </w:tc>
        <w:tc>
          <w:tcPr>
            <w:tcW w:w="1620" w:type="dxa"/>
          </w:tcPr>
          <w:p w14:paraId="4E342796" w14:textId="77777777" w:rsidR="008A5AD2" w:rsidRPr="006D14A9" w:rsidRDefault="008A5AD2" w:rsidP="00796934">
            <w:pPr>
              <w:suppressLineNumbers/>
              <w:tabs>
                <w:tab w:val="left" w:pos="0"/>
              </w:tabs>
              <w:spacing w:line="240" w:lineRule="auto"/>
              <w:jc w:val="center"/>
              <w:rPr>
                <w:sz w:val="22"/>
                <w:szCs w:val="22"/>
              </w:rPr>
            </w:pPr>
          </w:p>
        </w:tc>
      </w:tr>
      <w:tr w:rsidR="008A5AD2" w:rsidRPr="006D14A9" w14:paraId="4E34279B" w14:textId="77777777" w:rsidTr="006D14A9">
        <w:tc>
          <w:tcPr>
            <w:tcW w:w="4590" w:type="dxa"/>
          </w:tcPr>
          <w:p w14:paraId="4E342798" w14:textId="77777777" w:rsidR="008A5AD2" w:rsidRPr="006D14A9" w:rsidRDefault="008A5AD2" w:rsidP="006D14A9">
            <w:pPr>
              <w:suppressLineNumbers/>
              <w:tabs>
                <w:tab w:val="left" w:pos="0"/>
              </w:tabs>
              <w:spacing w:line="240" w:lineRule="auto"/>
              <w:rPr>
                <w:sz w:val="22"/>
                <w:szCs w:val="22"/>
              </w:rPr>
            </w:pPr>
            <w:r w:rsidRPr="006D14A9">
              <w:rPr>
                <w:sz w:val="22"/>
                <w:szCs w:val="22"/>
              </w:rPr>
              <w:t>Washington Re-Pricing</w:t>
            </w:r>
          </w:p>
        </w:tc>
        <w:tc>
          <w:tcPr>
            <w:tcW w:w="1710" w:type="dxa"/>
          </w:tcPr>
          <w:p w14:paraId="4E342799" w14:textId="77777777" w:rsidR="008A5AD2" w:rsidRPr="006D14A9" w:rsidRDefault="008A5AD2" w:rsidP="00796934">
            <w:pPr>
              <w:suppressLineNumbers/>
              <w:tabs>
                <w:tab w:val="left" w:pos="0"/>
              </w:tabs>
              <w:spacing w:line="240" w:lineRule="auto"/>
              <w:jc w:val="center"/>
              <w:rPr>
                <w:sz w:val="22"/>
                <w:szCs w:val="22"/>
              </w:rPr>
            </w:pPr>
            <w:r>
              <w:rPr>
                <w:sz w:val="22"/>
                <w:szCs w:val="22"/>
              </w:rPr>
              <w:t>$</w:t>
            </w:r>
            <w:r w:rsidRPr="008A5AD2">
              <w:rPr>
                <w:sz w:val="22"/>
                <w:szCs w:val="22"/>
              </w:rPr>
              <w:t>24</w:t>
            </w:r>
            <w:r>
              <w:rPr>
                <w:sz w:val="22"/>
                <w:szCs w:val="22"/>
              </w:rPr>
              <w:t>.9 million</w:t>
            </w:r>
          </w:p>
        </w:tc>
        <w:tc>
          <w:tcPr>
            <w:tcW w:w="1620" w:type="dxa"/>
          </w:tcPr>
          <w:p w14:paraId="4E34279A" w14:textId="77777777" w:rsidR="008A5AD2" w:rsidRPr="006D14A9" w:rsidRDefault="008A5AD2" w:rsidP="00796934">
            <w:pPr>
              <w:suppressLineNumbers/>
              <w:tabs>
                <w:tab w:val="left" w:pos="0"/>
              </w:tabs>
              <w:spacing w:line="240" w:lineRule="auto"/>
              <w:jc w:val="center"/>
              <w:rPr>
                <w:sz w:val="22"/>
                <w:szCs w:val="22"/>
              </w:rPr>
            </w:pPr>
            <w:r>
              <w:rPr>
                <w:sz w:val="22"/>
                <w:szCs w:val="22"/>
              </w:rPr>
              <w:t>($2.</w:t>
            </w:r>
            <w:r w:rsidRPr="008A5AD2">
              <w:rPr>
                <w:sz w:val="22"/>
                <w:szCs w:val="22"/>
              </w:rPr>
              <w:t>3</w:t>
            </w:r>
            <w:r>
              <w:rPr>
                <w:sz w:val="22"/>
                <w:szCs w:val="22"/>
              </w:rPr>
              <w:t xml:space="preserve"> million</w:t>
            </w:r>
            <w:r w:rsidRPr="006D14A9">
              <w:rPr>
                <w:sz w:val="22"/>
                <w:szCs w:val="22"/>
              </w:rPr>
              <w:t>)</w:t>
            </w:r>
          </w:p>
        </w:tc>
      </w:tr>
      <w:tr w:rsidR="008A5AD2" w:rsidRPr="006D14A9" w14:paraId="4E34279F" w14:textId="77777777" w:rsidTr="006D14A9">
        <w:tc>
          <w:tcPr>
            <w:tcW w:w="4590" w:type="dxa"/>
          </w:tcPr>
          <w:p w14:paraId="4E34279C" w14:textId="77777777" w:rsidR="008A5AD2" w:rsidRPr="006D14A9" w:rsidRDefault="008A5AD2" w:rsidP="006D14A9">
            <w:pPr>
              <w:suppressLineNumbers/>
              <w:tabs>
                <w:tab w:val="left" w:pos="0"/>
              </w:tabs>
              <w:spacing w:line="240" w:lineRule="auto"/>
              <w:rPr>
                <w:sz w:val="22"/>
                <w:szCs w:val="22"/>
              </w:rPr>
            </w:pPr>
            <w:r w:rsidRPr="006D14A9">
              <w:rPr>
                <w:sz w:val="22"/>
                <w:szCs w:val="22"/>
              </w:rPr>
              <w:t>Load Decrement</w:t>
            </w:r>
          </w:p>
        </w:tc>
        <w:tc>
          <w:tcPr>
            <w:tcW w:w="1710" w:type="dxa"/>
          </w:tcPr>
          <w:p w14:paraId="4E34279D" w14:textId="77777777" w:rsidR="008A5AD2" w:rsidRPr="006D14A9" w:rsidRDefault="008A5AD2" w:rsidP="008A5AD2">
            <w:pPr>
              <w:suppressLineNumbers/>
              <w:tabs>
                <w:tab w:val="left" w:pos="0"/>
              </w:tabs>
              <w:spacing w:line="240" w:lineRule="auto"/>
              <w:jc w:val="center"/>
              <w:rPr>
                <w:sz w:val="22"/>
                <w:szCs w:val="22"/>
              </w:rPr>
            </w:pPr>
            <w:r>
              <w:rPr>
                <w:sz w:val="22"/>
                <w:szCs w:val="22"/>
              </w:rPr>
              <w:t>$</w:t>
            </w:r>
            <w:r w:rsidRPr="008A5AD2">
              <w:rPr>
                <w:sz w:val="22"/>
                <w:szCs w:val="22"/>
              </w:rPr>
              <w:t>23</w:t>
            </w:r>
            <w:r>
              <w:rPr>
                <w:sz w:val="22"/>
                <w:szCs w:val="22"/>
              </w:rPr>
              <w:t>.1 million</w:t>
            </w:r>
          </w:p>
        </w:tc>
        <w:tc>
          <w:tcPr>
            <w:tcW w:w="1620" w:type="dxa"/>
          </w:tcPr>
          <w:p w14:paraId="4E34279E" w14:textId="77777777" w:rsidR="008A5AD2" w:rsidRPr="006D14A9" w:rsidRDefault="008A5AD2" w:rsidP="008A5AD2">
            <w:pPr>
              <w:suppressLineNumbers/>
              <w:tabs>
                <w:tab w:val="left" w:pos="0"/>
              </w:tabs>
              <w:spacing w:line="240" w:lineRule="auto"/>
              <w:jc w:val="center"/>
              <w:rPr>
                <w:sz w:val="22"/>
                <w:szCs w:val="22"/>
              </w:rPr>
            </w:pPr>
            <w:r w:rsidRPr="006D14A9">
              <w:rPr>
                <w:sz w:val="22"/>
                <w:szCs w:val="22"/>
              </w:rPr>
              <w:t>(</w:t>
            </w:r>
            <w:r>
              <w:rPr>
                <w:sz w:val="22"/>
                <w:szCs w:val="22"/>
              </w:rPr>
              <w:t>$</w:t>
            </w:r>
            <w:r w:rsidRPr="006D14A9">
              <w:rPr>
                <w:sz w:val="22"/>
                <w:szCs w:val="22"/>
              </w:rPr>
              <w:t>4</w:t>
            </w:r>
            <w:r>
              <w:rPr>
                <w:sz w:val="22"/>
                <w:szCs w:val="22"/>
              </w:rPr>
              <w:t>.1 million</w:t>
            </w:r>
            <w:r w:rsidRPr="006D14A9">
              <w:rPr>
                <w:sz w:val="22"/>
                <w:szCs w:val="22"/>
              </w:rPr>
              <w:t>)</w:t>
            </w:r>
          </w:p>
        </w:tc>
      </w:tr>
      <w:tr w:rsidR="008A5AD2" w:rsidRPr="006D14A9" w14:paraId="4E3427A3" w14:textId="77777777" w:rsidTr="006D14A9">
        <w:tc>
          <w:tcPr>
            <w:tcW w:w="4590" w:type="dxa"/>
          </w:tcPr>
          <w:p w14:paraId="4E3427A0" w14:textId="77777777" w:rsidR="008A5AD2" w:rsidRPr="006D14A9" w:rsidRDefault="008A5AD2" w:rsidP="006D14A9">
            <w:pPr>
              <w:suppressLineNumbers/>
              <w:tabs>
                <w:tab w:val="left" w:pos="0"/>
              </w:tabs>
              <w:spacing w:line="240" w:lineRule="auto"/>
              <w:jc w:val="left"/>
              <w:rPr>
                <w:sz w:val="22"/>
                <w:szCs w:val="22"/>
              </w:rPr>
            </w:pPr>
            <w:r w:rsidRPr="006D14A9">
              <w:rPr>
                <w:sz w:val="22"/>
                <w:szCs w:val="22"/>
              </w:rPr>
              <w:t>Situs Assigned (exclude O</w:t>
            </w:r>
            <w:r>
              <w:rPr>
                <w:sz w:val="22"/>
                <w:szCs w:val="22"/>
              </w:rPr>
              <w:t>R</w:t>
            </w:r>
            <w:r w:rsidRPr="006D14A9">
              <w:rPr>
                <w:sz w:val="22"/>
                <w:szCs w:val="22"/>
              </w:rPr>
              <w:t xml:space="preserve"> and C</w:t>
            </w:r>
            <w:r>
              <w:rPr>
                <w:sz w:val="22"/>
                <w:szCs w:val="22"/>
              </w:rPr>
              <w:t>A</w:t>
            </w:r>
            <w:r w:rsidRPr="006D14A9">
              <w:rPr>
                <w:sz w:val="22"/>
                <w:szCs w:val="22"/>
              </w:rPr>
              <w:t xml:space="preserve"> QF PPAs)</w:t>
            </w:r>
          </w:p>
        </w:tc>
        <w:tc>
          <w:tcPr>
            <w:tcW w:w="1710" w:type="dxa"/>
          </w:tcPr>
          <w:p w14:paraId="4E3427A1" w14:textId="77777777" w:rsidR="008A5AD2" w:rsidRPr="006D14A9" w:rsidRDefault="008A5AD2" w:rsidP="008A5AD2">
            <w:pPr>
              <w:suppressLineNumbers/>
              <w:tabs>
                <w:tab w:val="left" w:pos="0"/>
              </w:tabs>
              <w:spacing w:line="240" w:lineRule="auto"/>
              <w:jc w:val="center"/>
              <w:rPr>
                <w:sz w:val="22"/>
                <w:szCs w:val="22"/>
              </w:rPr>
            </w:pPr>
            <w:r>
              <w:rPr>
                <w:sz w:val="22"/>
                <w:szCs w:val="22"/>
              </w:rPr>
              <w:t>$</w:t>
            </w:r>
            <w:r w:rsidRPr="008A5AD2">
              <w:rPr>
                <w:sz w:val="22"/>
                <w:szCs w:val="22"/>
              </w:rPr>
              <w:t>17</w:t>
            </w:r>
            <w:r>
              <w:rPr>
                <w:sz w:val="22"/>
                <w:szCs w:val="22"/>
              </w:rPr>
              <w:t>.2 million</w:t>
            </w:r>
          </w:p>
        </w:tc>
        <w:tc>
          <w:tcPr>
            <w:tcW w:w="1620" w:type="dxa"/>
          </w:tcPr>
          <w:p w14:paraId="4E3427A2" w14:textId="77777777" w:rsidR="008A5AD2" w:rsidRPr="006D14A9" w:rsidRDefault="008A5AD2" w:rsidP="00796934">
            <w:pPr>
              <w:suppressLineNumbers/>
              <w:tabs>
                <w:tab w:val="left" w:pos="0"/>
              </w:tabs>
              <w:spacing w:line="240" w:lineRule="auto"/>
              <w:jc w:val="center"/>
              <w:rPr>
                <w:sz w:val="22"/>
                <w:szCs w:val="22"/>
              </w:rPr>
            </w:pPr>
            <w:r w:rsidRPr="008A5AD2">
              <w:rPr>
                <w:sz w:val="22"/>
                <w:szCs w:val="22"/>
              </w:rPr>
              <w:t>(</w:t>
            </w:r>
            <w:r>
              <w:rPr>
                <w:sz w:val="22"/>
                <w:szCs w:val="22"/>
              </w:rPr>
              <w:t>$10.0 million</w:t>
            </w:r>
            <w:r w:rsidRPr="006D14A9">
              <w:rPr>
                <w:sz w:val="22"/>
                <w:szCs w:val="22"/>
              </w:rPr>
              <w:t>)</w:t>
            </w:r>
          </w:p>
        </w:tc>
      </w:tr>
    </w:tbl>
    <w:p w14:paraId="4E3427A4" w14:textId="77777777" w:rsidR="0053551B" w:rsidRDefault="0053551B" w:rsidP="00796934">
      <w:pPr>
        <w:suppressLineNumbers/>
        <w:tabs>
          <w:tab w:val="left" w:pos="0"/>
        </w:tabs>
        <w:spacing w:line="240" w:lineRule="auto"/>
        <w:jc w:val="center"/>
      </w:pPr>
    </w:p>
    <w:p w14:paraId="4E3427A5" w14:textId="77777777" w:rsidR="00615E4A" w:rsidRDefault="00615E4A" w:rsidP="00615E4A">
      <w:pPr>
        <w:tabs>
          <w:tab w:val="left" w:pos="720"/>
        </w:tabs>
        <w:spacing w:line="480" w:lineRule="auto"/>
        <w:ind w:left="720" w:hanging="720"/>
        <w:jc w:val="left"/>
        <w:rPr>
          <w:b/>
        </w:rPr>
      </w:pPr>
      <w:r>
        <w:rPr>
          <w:b/>
        </w:rPr>
        <w:t>Q.</w:t>
      </w:r>
      <w:r>
        <w:rPr>
          <w:b/>
        </w:rPr>
        <w:tab/>
        <w:t xml:space="preserve">Please explain the load decrement </w:t>
      </w:r>
      <w:r w:rsidR="00F176DF">
        <w:rPr>
          <w:b/>
        </w:rPr>
        <w:t>approach</w:t>
      </w:r>
      <w:r>
        <w:rPr>
          <w:b/>
        </w:rPr>
        <w:t xml:space="preserve">. </w:t>
      </w:r>
    </w:p>
    <w:p w14:paraId="4E3427A6" w14:textId="77777777" w:rsidR="00094544" w:rsidRDefault="00615E4A" w:rsidP="00615E4A">
      <w:pPr>
        <w:tabs>
          <w:tab w:val="left" w:pos="720"/>
        </w:tabs>
        <w:spacing w:line="480" w:lineRule="auto"/>
        <w:ind w:left="720" w:hanging="720"/>
        <w:jc w:val="left"/>
      </w:pPr>
      <w:r>
        <w:t>A.</w:t>
      </w:r>
      <w:r>
        <w:tab/>
      </w:r>
      <w:r w:rsidR="00FE59F4">
        <w:t>Under this approach,</w:t>
      </w:r>
      <w:r w:rsidR="00F176DF">
        <w:t xml:space="preserve"> </w:t>
      </w:r>
      <w:r>
        <w:t>Oregon and California QF PPAs are deemed to serve customers in those states</w:t>
      </w:r>
      <w:r w:rsidR="0053551B">
        <w:t>, consisten</w:t>
      </w:r>
      <w:r w:rsidR="00A62CA6">
        <w:t>t</w:t>
      </w:r>
      <w:r w:rsidR="0053551B">
        <w:t xml:space="preserve"> with the situs treatment ordered by the Commission in the 2013 Rate Case</w:t>
      </w:r>
      <w:r>
        <w:t xml:space="preserve">. </w:t>
      </w:r>
      <w:r w:rsidR="00F176DF">
        <w:t xml:space="preserve"> </w:t>
      </w:r>
      <w:r w:rsidR="00FE59F4">
        <w:t>Because Oregon and California QF PPAs are not recognized as WCA resources</w:t>
      </w:r>
      <w:r w:rsidR="0042219F">
        <w:t>,</w:t>
      </w:r>
      <w:r w:rsidR="00FE59F4">
        <w:t xml:space="preserve"> the costs and related energy are removed from the calculation of west control area NPC.  </w:t>
      </w:r>
      <w:r w:rsidR="00F176DF">
        <w:t>Next, b</w:t>
      </w:r>
      <w:r>
        <w:t xml:space="preserve">ecause Oregon and California QF PPAs are </w:t>
      </w:r>
      <w:r w:rsidR="00094544">
        <w:t>deemed to serve customers in those states</w:t>
      </w:r>
      <w:r>
        <w:t>, the retail load in those state</w:t>
      </w:r>
      <w:r w:rsidR="00F176DF">
        <w:t xml:space="preserve">s served by these resources is </w:t>
      </w:r>
      <w:r w:rsidR="00094544">
        <w:t xml:space="preserve">also </w:t>
      </w:r>
      <w:r w:rsidR="00FE59F4">
        <w:t>removed from the calculation of</w:t>
      </w:r>
      <w:r w:rsidR="00094544">
        <w:t xml:space="preserve"> west control area</w:t>
      </w:r>
      <w:r w:rsidR="00FE59F4">
        <w:t xml:space="preserve"> NPC</w:t>
      </w:r>
      <w:r w:rsidR="00094544">
        <w:t xml:space="preserve">.  Finally, the retail load in Oregon and California served by QF resources </w:t>
      </w:r>
      <w:r w:rsidR="00FE59F4">
        <w:t xml:space="preserve">is </w:t>
      </w:r>
      <w:r>
        <w:t>subtracted (</w:t>
      </w:r>
      <w:r w:rsidRPr="006B01EC">
        <w:rPr>
          <w:i/>
        </w:rPr>
        <w:t>i.e.</w:t>
      </w:r>
      <w:r>
        <w:t xml:space="preserve"> decremented) from </w:t>
      </w:r>
      <w:r w:rsidR="00094544">
        <w:t xml:space="preserve">the energy and peak </w:t>
      </w:r>
      <w:r>
        <w:t xml:space="preserve">loads used to determine </w:t>
      </w:r>
      <w:r w:rsidR="00094544">
        <w:t xml:space="preserve">each </w:t>
      </w:r>
      <w:r>
        <w:t xml:space="preserve">state’s allocation factors under the WCA.  </w:t>
      </w:r>
    </w:p>
    <w:p w14:paraId="4E3427A7" w14:textId="77777777" w:rsidR="00094544" w:rsidRPr="00796934" w:rsidRDefault="00094544" w:rsidP="00615E4A">
      <w:pPr>
        <w:tabs>
          <w:tab w:val="left" w:pos="720"/>
        </w:tabs>
        <w:spacing w:line="480" w:lineRule="auto"/>
        <w:ind w:left="720" w:hanging="720"/>
        <w:jc w:val="left"/>
        <w:rPr>
          <w:b/>
        </w:rPr>
      </w:pPr>
      <w:r>
        <w:rPr>
          <w:b/>
        </w:rPr>
        <w:t>Q.</w:t>
      </w:r>
      <w:r>
        <w:rPr>
          <w:b/>
        </w:rPr>
        <w:tab/>
        <w:t xml:space="preserve">What is the impact </w:t>
      </w:r>
      <w:r w:rsidR="00D4520F">
        <w:rPr>
          <w:b/>
        </w:rPr>
        <w:t xml:space="preserve">to Washington </w:t>
      </w:r>
      <w:r w:rsidR="0042219F">
        <w:rPr>
          <w:b/>
        </w:rPr>
        <w:t>of</w:t>
      </w:r>
      <w:r w:rsidR="00D4520F">
        <w:rPr>
          <w:b/>
        </w:rPr>
        <w:t xml:space="preserve"> removing Oregon and California QF</w:t>
      </w:r>
      <w:r w:rsidR="0042219F">
        <w:rPr>
          <w:b/>
        </w:rPr>
        <w:t xml:space="preserve"> PPA</w:t>
      </w:r>
      <w:r w:rsidR="00D4520F">
        <w:rPr>
          <w:b/>
        </w:rPr>
        <w:t xml:space="preserve">s and load? </w:t>
      </w:r>
    </w:p>
    <w:p w14:paraId="4E3427A8" w14:textId="77777777" w:rsidR="00615E4A" w:rsidRDefault="00D4520F" w:rsidP="00615E4A">
      <w:pPr>
        <w:tabs>
          <w:tab w:val="left" w:pos="720"/>
        </w:tabs>
        <w:spacing w:line="480" w:lineRule="auto"/>
        <w:ind w:left="720" w:hanging="720"/>
        <w:jc w:val="left"/>
      </w:pPr>
      <w:r>
        <w:t>A.</w:t>
      </w:r>
      <w:r>
        <w:tab/>
        <w:t>Removing Oregon and California QF</w:t>
      </w:r>
      <w:r w:rsidR="0042219F">
        <w:t xml:space="preserve"> PPA</w:t>
      </w:r>
      <w:r>
        <w:t>s and load reduces west control area NPC</w:t>
      </w:r>
      <w:r w:rsidR="00072BA7">
        <w:t xml:space="preserve"> and </w:t>
      </w:r>
      <w:r w:rsidR="00AC0FD9">
        <w:t>reduces</w:t>
      </w:r>
      <w:r w:rsidR="00072BA7">
        <w:t xml:space="preserve"> the total load served by west control area resources</w:t>
      </w:r>
      <w:r>
        <w:t xml:space="preserve">.  </w:t>
      </w:r>
      <w:r w:rsidR="00072BA7">
        <w:t>The allocation of remaining west control area costs is adjusted to account for the decremented load</w:t>
      </w:r>
      <w:r w:rsidR="00AC0FD9">
        <w:t>—</w:t>
      </w:r>
      <w:r w:rsidR="00072BA7" w:rsidRPr="00F550BF">
        <w:rPr>
          <w:i/>
        </w:rPr>
        <w:t>i.e.</w:t>
      </w:r>
      <w:r w:rsidR="00072BA7">
        <w:t xml:space="preserve"> t</w:t>
      </w:r>
      <w:r>
        <w:t xml:space="preserve">he share of the total </w:t>
      </w:r>
      <w:r w:rsidR="006D3A69">
        <w:t xml:space="preserve">costs </w:t>
      </w:r>
      <w:r>
        <w:t xml:space="preserve">allocated to Oregon and California is </w:t>
      </w:r>
      <w:r w:rsidR="0042219F">
        <w:t>decreased</w:t>
      </w:r>
      <w:r>
        <w:t xml:space="preserve"> reflecting the reduced requirement to serve customers in those states.  </w:t>
      </w:r>
      <w:r w:rsidR="00615E4A">
        <w:t>Washington’s allocated share of</w:t>
      </w:r>
      <w:r>
        <w:t xml:space="preserve"> remaining</w:t>
      </w:r>
      <w:r w:rsidR="00615E4A">
        <w:t xml:space="preserve"> WCA costs is increased as a result of the QF</w:t>
      </w:r>
      <w:r w:rsidR="00AC0FD9">
        <w:t>-</w:t>
      </w:r>
      <w:r w:rsidR="00615E4A">
        <w:t xml:space="preserve">PPA-related decrements to Oregon and California load.  The net impact is a reduction to the Company’s current filing of </w:t>
      </w:r>
      <w:r w:rsidR="00615E4A" w:rsidRPr="00AE79C1">
        <w:t>approximately $</w:t>
      </w:r>
      <w:r w:rsidR="00B97213" w:rsidRPr="00AE79C1">
        <w:t>4.</w:t>
      </w:r>
      <w:r w:rsidR="002E0053">
        <w:t>1</w:t>
      </w:r>
      <w:r w:rsidR="00B97213" w:rsidRPr="00AE79C1">
        <w:t> </w:t>
      </w:r>
      <w:r w:rsidR="00615E4A" w:rsidRPr="00AE79C1">
        <w:t>million</w:t>
      </w:r>
      <w:r w:rsidR="00615E4A" w:rsidRPr="003D0A21">
        <w:t>.</w:t>
      </w:r>
      <w:r w:rsidR="00615E4A">
        <w:t xml:space="preserve"> </w:t>
      </w:r>
    </w:p>
    <w:p w14:paraId="4E3427A9" w14:textId="77777777" w:rsidR="00D4520F" w:rsidRDefault="00D4520F" w:rsidP="00D4520F">
      <w:pPr>
        <w:tabs>
          <w:tab w:val="left" w:pos="720"/>
        </w:tabs>
        <w:spacing w:line="480" w:lineRule="auto"/>
        <w:ind w:left="720" w:hanging="720"/>
        <w:jc w:val="left"/>
        <w:rPr>
          <w:b/>
        </w:rPr>
      </w:pPr>
      <w:r>
        <w:rPr>
          <w:b/>
        </w:rPr>
        <w:t>Q.</w:t>
      </w:r>
      <w:r>
        <w:rPr>
          <w:b/>
        </w:rPr>
        <w:tab/>
        <w:t xml:space="preserve">Why is an adjustment to the </w:t>
      </w:r>
      <w:r w:rsidR="00AC0FD9">
        <w:rPr>
          <w:b/>
        </w:rPr>
        <w:t xml:space="preserve">inter-jurisdictional </w:t>
      </w:r>
      <w:r>
        <w:rPr>
          <w:b/>
        </w:rPr>
        <w:t>allocation factors required under the load decrement approach?</w:t>
      </w:r>
    </w:p>
    <w:p w14:paraId="4E3427AA" w14:textId="77777777" w:rsidR="00D4520F" w:rsidRPr="00C8345B" w:rsidRDefault="00D4520F" w:rsidP="00D4520F">
      <w:pPr>
        <w:tabs>
          <w:tab w:val="left" w:pos="720"/>
        </w:tabs>
        <w:spacing w:line="480" w:lineRule="auto"/>
        <w:ind w:left="720" w:hanging="720"/>
        <w:jc w:val="left"/>
      </w:pPr>
      <w:r>
        <w:t>A.</w:t>
      </w:r>
      <w:r>
        <w:tab/>
        <w:t xml:space="preserve">Adjusting the </w:t>
      </w:r>
      <w:r w:rsidR="00AC0FD9">
        <w:t xml:space="preserve">inter-jurisdictional </w:t>
      </w:r>
      <w:r>
        <w:t xml:space="preserve">allocation factors under the load decrement approach ensures that the full impact of </w:t>
      </w:r>
      <w:r w:rsidR="0042219F">
        <w:t>treating</w:t>
      </w:r>
      <w:r>
        <w:t xml:space="preserve"> QF</w:t>
      </w:r>
      <w:r w:rsidR="0042219F">
        <w:t xml:space="preserve"> PPA</w:t>
      </w:r>
      <w:r>
        <w:t xml:space="preserve">s </w:t>
      </w:r>
      <w:r w:rsidR="0042219F">
        <w:t>as</w:t>
      </w:r>
      <w:r>
        <w:t xml:space="preserve"> situs resources is </w:t>
      </w:r>
      <w:r w:rsidR="00072BA7">
        <w:t>reflected</w:t>
      </w:r>
      <w:r>
        <w:t xml:space="preserve"> in Washington revenue requirement.  If </w:t>
      </w:r>
      <w:r w:rsidR="00072BA7">
        <w:t xml:space="preserve">Oregon and California </w:t>
      </w:r>
      <w:r>
        <w:t xml:space="preserve">customers are being served by specific resources, they should not also be allocated the cost of </w:t>
      </w:r>
      <w:r w:rsidR="00557406">
        <w:t>the remaining west control area</w:t>
      </w:r>
      <w:r>
        <w:t xml:space="preserve"> resources.  Decrementing Oregon and California load for allocation purposes appropriately reduces the share of west control area costs allocated to those states.  </w:t>
      </w:r>
    </w:p>
    <w:p w14:paraId="4E3427AB" w14:textId="77777777" w:rsidR="00615E4A" w:rsidRPr="00F31DD5" w:rsidRDefault="00615E4A" w:rsidP="00615E4A">
      <w:pPr>
        <w:tabs>
          <w:tab w:val="left" w:pos="720"/>
        </w:tabs>
        <w:spacing w:line="480" w:lineRule="auto"/>
        <w:ind w:left="720" w:hanging="720"/>
        <w:jc w:val="left"/>
        <w:rPr>
          <w:b/>
        </w:rPr>
      </w:pPr>
      <w:r w:rsidRPr="00F31DD5">
        <w:rPr>
          <w:b/>
        </w:rPr>
        <w:t>Q.</w:t>
      </w:r>
      <w:r w:rsidRPr="00F31DD5">
        <w:rPr>
          <w:b/>
        </w:rPr>
        <w:tab/>
      </w:r>
      <w:r>
        <w:rPr>
          <w:b/>
        </w:rPr>
        <w:t xml:space="preserve">Please explain </w:t>
      </w:r>
      <w:r w:rsidR="00072BA7">
        <w:rPr>
          <w:b/>
        </w:rPr>
        <w:t>the alternative approach</w:t>
      </w:r>
      <w:r>
        <w:rPr>
          <w:b/>
        </w:rPr>
        <w:t xml:space="preserve"> of </w:t>
      </w:r>
      <w:r w:rsidR="00BA36FC">
        <w:rPr>
          <w:b/>
        </w:rPr>
        <w:t>re-pricing</w:t>
      </w:r>
      <w:r>
        <w:rPr>
          <w:b/>
        </w:rPr>
        <w:t xml:space="preserve"> Oregon and California QF PPAs using Washington avoided costs.</w:t>
      </w:r>
    </w:p>
    <w:p w14:paraId="4E3427AC" w14:textId="77777777" w:rsidR="00E96EAE" w:rsidRDefault="00615E4A" w:rsidP="00072BA7">
      <w:pPr>
        <w:tabs>
          <w:tab w:val="left" w:pos="720"/>
        </w:tabs>
        <w:spacing w:line="480" w:lineRule="auto"/>
        <w:ind w:left="720" w:hanging="720"/>
        <w:jc w:val="left"/>
        <w:rPr>
          <w:b/>
        </w:rPr>
      </w:pPr>
      <w:r>
        <w:t>A.</w:t>
      </w:r>
      <w:r>
        <w:tab/>
        <w:t xml:space="preserve">Under this alternative, the Oregon and California QF PPAs are </w:t>
      </w:r>
      <w:r w:rsidR="00A40ABA">
        <w:t xml:space="preserve">included in west control area NPC but are </w:t>
      </w:r>
      <w:r w:rsidR="00BA36FC">
        <w:t>re-priced</w:t>
      </w:r>
      <w:r>
        <w:t xml:space="preserve"> using Washington avoided cost rates that were </w:t>
      </w:r>
      <w:r w:rsidR="005E279D">
        <w:t xml:space="preserve">calculated </w:t>
      </w:r>
      <w:r w:rsidR="00A40ABA">
        <w:t>at</w:t>
      </w:r>
      <w:r>
        <w:t xml:space="preserve"> the time the PPA was signed.  </w:t>
      </w:r>
      <w:r w:rsidR="00A40ABA">
        <w:t xml:space="preserve">This alternative removes the impact of differences in individual state commission approaches to determining avoided cost prices.  Some of the Oregon and California QF PPAs </w:t>
      </w:r>
      <w:r w:rsidR="00557007">
        <w:t xml:space="preserve">have contract terms that extend beyond the last year for which the Company had </w:t>
      </w:r>
      <w:r w:rsidR="00A40ABA">
        <w:t xml:space="preserve">calculated </w:t>
      </w:r>
      <w:r w:rsidR="00557007">
        <w:t xml:space="preserve">avoided cost </w:t>
      </w:r>
      <w:r>
        <w:t>prices in Washington</w:t>
      </w:r>
      <w:r w:rsidR="00557007">
        <w:t xml:space="preserve">. </w:t>
      </w:r>
      <w:r w:rsidR="00AC0FD9">
        <w:t xml:space="preserve"> </w:t>
      </w:r>
      <w:r w:rsidR="00557007">
        <w:t xml:space="preserve">For example, an Oregon QF PPA signed in June 2009 would be priced using the Washington Schedule 37 prices approved by the Commission in February 2009, which were only calculated through 2013.  In examples such as this, </w:t>
      </w:r>
      <w:r>
        <w:t>the last annual price was</w:t>
      </w:r>
      <w:r w:rsidR="00E96EAE">
        <w:t xml:space="preserve"> escalated </w:t>
      </w:r>
      <w:r w:rsidR="002E0053">
        <w:t>with</w:t>
      </w:r>
      <w:r w:rsidR="00F00CDC">
        <w:t xml:space="preserve"> inflation through</w:t>
      </w:r>
      <w:r w:rsidR="00E96EAE">
        <w:t xml:space="preserve"> the pro forma period</w:t>
      </w:r>
      <w:r>
        <w:t xml:space="preserve">.  </w:t>
      </w:r>
      <w:r w:rsidR="00072BA7">
        <w:t>S</w:t>
      </w:r>
      <w:r>
        <w:t xml:space="preserve">everal </w:t>
      </w:r>
      <w:r w:rsidR="00072BA7">
        <w:t xml:space="preserve">Oregon and California </w:t>
      </w:r>
      <w:r>
        <w:t xml:space="preserve">QF PPAs </w:t>
      </w:r>
      <w:r w:rsidR="00557007">
        <w:t xml:space="preserve">in the pro forma period </w:t>
      </w:r>
      <w:r>
        <w:t>were signed in the early 1980s</w:t>
      </w:r>
      <w:r w:rsidR="001000B4">
        <w:t>, and one was signed in the early 1990s</w:t>
      </w:r>
      <w:r>
        <w:t xml:space="preserve">.  At that time, the Company </w:t>
      </w:r>
      <w:r w:rsidR="00072BA7">
        <w:t xml:space="preserve">also </w:t>
      </w:r>
      <w:r>
        <w:t>ha</w:t>
      </w:r>
      <w:r w:rsidR="00072BA7">
        <w:t xml:space="preserve">d </w:t>
      </w:r>
      <w:r>
        <w:t>two</w:t>
      </w:r>
      <w:r w:rsidR="00B97213">
        <w:t>-</w:t>
      </w:r>
      <w:r>
        <w:t xml:space="preserve">long term QF PPAs in Washington, one with the City of Walla Walla </w:t>
      </w:r>
      <w:r w:rsidR="001000B4">
        <w:t xml:space="preserve">(signed in 1984) </w:t>
      </w:r>
      <w:r>
        <w:t>and one with Yakima-Tieton Irrigation District</w:t>
      </w:r>
      <w:r w:rsidR="001000B4">
        <w:t xml:space="preserve"> (signed in 1985)</w:t>
      </w:r>
      <w:r>
        <w:t xml:space="preserve">.  Prices paid under </w:t>
      </w:r>
      <w:r w:rsidR="001000B4">
        <w:t xml:space="preserve">the Walla Walla </w:t>
      </w:r>
      <w:r>
        <w:t xml:space="preserve">PPAs were applied to the </w:t>
      </w:r>
      <w:r w:rsidR="00A40ABA">
        <w:t xml:space="preserve">early-1980s </w:t>
      </w:r>
      <w:r>
        <w:t>contracts</w:t>
      </w:r>
      <w:r w:rsidR="00A40ABA">
        <w:t xml:space="preserve"> </w:t>
      </w:r>
      <w:r>
        <w:t>in Oregon and California</w:t>
      </w:r>
      <w:r w:rsidR="00072BA7">
        <w:t xml:space="preserve">, </w:t>
      </w:r>
      <w:r w:rsidR="001000B4">
        <w:t>and price</w:t>
      </w:r>
      <w:r w:rsidR="0042219F">
        <w:t>s</w:t>
      </w:r>
      <w:r w:rsidR="001000B4">
        <w:t xml:space="preserve"> paid under the Yakima Tieton PPA were applied to the PPA signed in 1993</w:t>
      </w:r>
      <w:r w:rsidR="00E96EAE">
        <w:rPr>
          <w:b/>
        </w:rPr>
        <w:t>.</w:t>
      </w:r>
    </w:p>
    <w:p w14:paraId="4E3427AD" w14:textId="77777777" w:rsidR="00677252" w:rsidRDefault="00677252" w:rsidP="00072BA7">
      <w:pPr>
        <w:tabs>
          <w:tab w:val="left" w:pos="720"/>
        </w:tabs>
        <w:spacing w:line="480" w:lineRule="auto"/>
        <w:ind w:left="720" w:hanging="720"/>
        <w:jc w:val="left"/>
        <w:rPr>
          <w:b/>
        </w:rPr>
      </w:pPr>
      <w:r>
        <w:rPr>
          <w:b/>
        </w:rPr>
        <w:t>Q.</w:t>
      </w:r>
      <w:r>
        <w:rPr>
          <w:b/>
        </w:rPr>
        <w:tab/>
        <w:t>Currently, the Company’s Schedule 37 only allows fixed-price contracts for a term of up to five years.  Has that always been the case?</w:t>
      </w:r>
    </w:p>
    <w:p w14:paraId="4E3427AE" w14:textId="77777777" w:rsidR="00677252" w:rsidRDefault="00677252" w:rsidP="00072BA7">
      <w:pPr>
        <w:tabs>
          <w:tab w:val="left" w:pos="720"/>
        </w:tabs>
        <w:spacing w:line="480" w:lineRule="auto"/>
        <w:ind w:left="720" w:hanging="720"/>
        <w:jc w:val="left"/>
        <w:rPr>
          <w:b/>
        </w:rPr>
      </w:pPr>
      <w:r>
        <w:t>A.</w:t>
      </w:r>
      <w:r>
        <w:tab/>
        <w:t xml:space="preserve">No.  </w:t>
      </w:r>
      <w:r w:rsidR="005E279D">
        <w:t>Schedule 37 was first implemented in 2004</w:t>
      </w:r>
      <w:r w:rsidR="000111E0">
        <w:t xml:space="preserve">, </w:t>
      </w:r>
      <w:r w:rsidR="0015629E">
        <w:t xml:space="preserve">and it </w:t>
      </w:r>
      <w:r w:rsidR="000111E0">
        <w:t>includ</w:t>
      </w:r>
      <w:r w:rsidR="0015629E">
        <w:t>ed</w:t>
      </w:r>
      <w:r w:rsidR="000111E0">
        <w:t xml:space="preserve"> a </w:t>
      </w:r>
      <w:r w:rsidR="0015629E">
        <w:t xml:space="preserve">five-year </w:t>
      </w:r>
      <w:r>
        <w:t>limit</w:t>
      </w:r>
      <w:r w:rsidR="000111E0">
        <w:t xml:space="preserve"> on</w:t>
      </w:r>
      <w:r>
        <w:t xml:space="preserve"> fixed-price </w:t>
      </w:r>
      <w:r w:rsidR="0015629E">
        <w:t>contracts</w:t>
      </w:r>
      <w:r w:rsidR="000111E0">
        <w:t xml:space="preserve">.  </w:t>
      </w:r>
      <w:r w:rsidR="0015629E">
        <w:t>However, t</w:t>
      </w:r>
      <w:r w:rsidR="000111E0">
        <w:t>he two long-term Washington QF PPA contracts signed in the 1980s mentioned above were for terms of 25 and 20 years, respectively.  Washington</w:t>
      </w:r>
      <w:r w:rsidR="0042219F">
        <w:t>’s</w:t>
      </w:r>
      <w:r w:rsidR="000111E0">
        <w:t xml:space="preserve"> </w:t>
      </w:r>
      <w:r w:rsidR="0042219F">
        <w:t>current a</w:t>
      </w:r>
      <w:r w:rsidR="000111E0">
        <w:t xml:space="preserve">dministrative </w:t>
      </w:r>
      <w:r w:rsidR="0042219F">
        <w:t>rules</w:t>
      </w:r>
      <w:r w:rsidR="000111E0">
        <w:t xml:space="preserve"> allow a utility to sign contracts for electricity purchases for any term up to twenty years.</w:t>
      </w:r>
      <w:r w:rsidR="000111E0">
        <w:rPr>
          <w:rStyle w:val="FootnoteReference"/>
        </w:rPr>
        <w:footnoteReference w:id="6"/>
      </w:r>
      <w:r w:rsidR="000111E0">
        <w:t xml:space="preserve"> </w:t>
      </w:r>
    </w:p>
    <w:p w14:paraId="4E3427AF" w14:textId="77777777" w:rsidR="00072BA7" w:rsidRPr="006E625A" w:rsidRDefault="00072BA7" w:rsidP="00072BA7">
      <w:pPr>
        <w:tabs>
          <w:tab w:val="left" w:pos="720"/>
        </w:tabs>
        <w:spacing w:line="480" w:lineRule="auto"/>
        <w:ind w:left="720" w:hanging="720"/>
        <w:jc w:val="left"/>
        <w:rPr>
          <w:b/>
        </w:rPr>
      </w:pPr>
      <w:r>
        <w:rPr>
          <w:b/>
        </w:rPr>
        <w:t>Q.</w:t>
      </w:r>
      <w:r>
        <w:rPr>
          <w:b/>
        </w:rPr>
        <w:tab/>
        <w:t xml:space="preserve">What is the impact to Washington </w:t>
      </w:r>
      <w:r w:rsidR="00064158">
        <w:rPr>
          <w:b/>
        </w:rPr>
        <w:t>NPC of</w:t>
      </w:r>
      <w:r w:rsidR="001000B4">
        <w:rPr>
          <w:b/>
        </w:rPr>
        <w:t xml:space="preserve"> re-pricing all of the Oregon and California QF PPAs</w:t>
      </w:r>
      <w:r>
        <w:rPr>
          <w:b/>
        </w:rPr>
        <w:t xml:space="preserve">? </w:t>
      </w:r>
    </w:p>
    <w:p w14:paraId="4E3427B0" w14:textId="77777777" w:rsidR="00615E4A" w:rsidRDefault="00072BA7" w:rsidP="00072BA7">
      <w:pPr>
        <w:tabs>
          <w:tab w:val="left" w:pos="720"/>
        </w:tabs>
        <w:spacing w:line="480" w:lineRule="auto"/>
        <w:ind w:left="720" w:hanging="720"/>
        <w:jc w:val="left"/>
      </w:pPr>
      <w:r>
        <w:t>A.</w:t>
      </w:r>
      <w:r>
        <w:tab/>
      </w:r>
      <w:r w:rsidR="001000B4">
        <w:t>As shown in Table 2, t</w:t>
      </w:r>
      <w:r w:rsidR="00615E4A">
        <w:t xml:space="preserve">he impact of </w:t>
      </w:r>
      <w:r w:rsidR="00BA36FC">
        <w:t>re-pricing</w:t>
      </w:r>
      <w:r w:rsidR="00615E4A">
        <w:t xml:space="preserve"> all of the Oregon and California QF PPAs using contemporaneous Washington </w:t>
      </w:r>
      <w:r w:rsidR="00F176DF">
        <w:t xml:space="preserve">avoided cost </w:t>
      </w:r>
      <w:r w:rsidR="00615E4A">
        <w:t xml:space="preserve">rates is a reduction to the Company’s current filing of approximately </w:t>
      </w:r>
      <w:r w:rsidR="00615E4A" w:rsidRPr="00796934">
        <w:t>$</w:t>
      </w:r>
      <w:r w:rsidR="00B97213" w:rsidRPr="00796934">
        <w:t>2.</w:t>
      </w:r>
      <w:r w:rsidR="002E0053">
        <w:t>3</w:t>
      </w:r>
      <w:r w:rsidR="00B97213" w:rsidRPr="00796934">
        <w:t xml:space="preserve"> </w:t>
      </w:r>
      <w:r w:rsidR="00615E4A" w:rsidRPr="00796934">
        <w:t>million</w:t>
      </w:r>
      <w:r w:rsidR="00615E4A">
        <w:t xml:space="preserve">.  </w:t>
      </w:r>
      <w:r w:rsidR="0015629E">
        <w:t xml:space="preserve">  </w:t>
      </w:r>
    </w:p>
    <w:p w14:paraId="4E3427B1" w14:textId="77777777" w:rsidR="00615E4A" w:rsidRPr="00F31DD5" w:rsidRDefault="00615E4A" w:rsidP="00615E4A">
      <w:pPr>
        <w:tabs>
          <w:tab w:val="left" w:pos="720"/>
        </w:tabs>
        <w:spacing w:line="480" w:lineRule="auto"/>
        <w:ind w:left="720" w:hanging="720"/>
        <w:jc w:val="left"/>
        <w:rPr>
          <w:b/>
        </w:rPr>
      </w:pPr>
      <w:r w:rsidRPr="00F31DD5">
        <w:rPr>
          <w:b/>
        </w:rPr>
        <w:t>Q.</w:t>
      </w:r>
      <w:r w:rsidRPr="00F31DD5">
        <w:rPr>
          <w:b/>
        </w:rPr>
        <w:tab/>
      </w:r>
      <w:r w:rsidR="00F176DF">
        <w:rPr>
          <w:b/>
        </w:rPr>
        <w:t>Why is t</w:t>
      </w:r>
      <w:r>
        <w:rPr>
          <w:b/>
        </w:rPr>
        <w:t xml:space="preserve">he Company </w:t>
      </w:r>
      <w:r w:rsidR="00B97213">
        <w:rPr>
          <w:b/>
        </w:rPr>
        <w:t xml:space="preserve">discussing </w:t>
      </w:r>
      <w:r>
        <w:rPr>
          <w:b/>
        </w:rPr>
        <w:t>these alternative methods in this case</w:t>
      </w:r>
      <w:r w:rsidRPr="00F31DD5">
        <w:rPr>
          <w:b/>
        </w:rPr>
        <w:t xml:space="preserve">? </w:t>
      </w:r>
    </w:p>
    <w:p w14:paraId="4E3427B2" w14:textId="77777777" w:rsidR="00615E4A" w:rsidRDefault="00615E4A" w:rsidP="00615E4A">
      <w:pPr>
        <w:tabs>
          <w:tab w:val="left" w:pos="720"/>
        </w:tabs>
        <w:spacing w:line="480" w:lineRule="auto"/>
        <w:ind w:left="720" w:hanging="720"/>
        <w:jc w:val="left"/>
      </w:pPr>
      <w:r>
        <w:t>A.</w:t>
      </w:r>
      <w:r>
        <w:tab/>
        <w:t xml:space="preserve">The Company’s proposal </w:t>
      </w:r>
      <w:r w:rsidR="0015629E">
        <w:t xml:space="preserve">for treatment of west control area QF PPAs </w:t>
      </w:r>
      <w:r w:rsidR="00B97213">
        <w:t xml:space="preserve">in this case </w:t>
      </w:r>
      <w:r>
        <w:t>is the same as in the Company’s 2013 Rate Case</w:t>
      </w:r>
      <w:r w:rsidR="00B97213">
        <w:t>—</w:t>
      </w:r>
      <w:r>
        <w:t xml:space="preserve">full recognition of the </w:t>
      </w:r>
      <w:r w:rsidR="00B97213">
        <w:t xml:space="preserve">costs of the </w:t>
      </w:r>
      <w:r>
        <w:t xml:space="preserve">Company’s </w:t>
      </w:r>
      <w:r w:rsidR="00B97213">
        <w:t xml:space="preserve">PPAs with </w:t>
      </w:r>
      <w:r>
        <w:t>Oregon and California QF</w:t>
      </w:r>
      <w:r w:rsidR="0015629E">
        <w:t>s</w:t>
      </w:r>
      <w:r>
        <w:t xml:space="preserve"> in Washington rates.  The Company renew</w:t>
      </w:r>
      <w:r w:rsidR="00B97213">
        <w:t xml:space="preserve">s </w:t>
      </w:r>
      <w:r>
        <w:t xml:space="preserve">this proposal because it best captures the prudent and reasonable costs to serve Washington customers. </w:t>
      </w:r>
      <w:r w:rsidR="00B97213">
        <w:t xml:space="preserve"> But in response to the Commission’s past criticism of its proposal, the Company </w:t>
      </w:r>
      <w:r w:rsidR="0015629E">
        <w:t>provides</w:t>
      </w:r>
      <w:r w:rsidR="00B97213">
        <w:t xml:space="preserve"> the alternative methods as a middle ground between full recovery or full disallowance of the costs of all west control area QFs in Washington NPC</w:t>
      </w:r>
      <w:r>
        <w:t xml:space="preserve">.  </w:t>
      </w:r>
    </w:p>
    <w:p w14:paraId="4E3427B3" w14:textId="77777777" w:rsidR="00143742" w:rsidRPr="000E7541" w:rsidRDefault="00143742" w:rsidP="00073C5D">
      <w:pPr>
        <w:pStyle w:val="Heading1"/>
      </w:pPr>
      <w:bookmarkStart w:id="12" w:name="_Toc386609222"/>
      <w:r w:rsidRPr="000E7541">
        <w:t>CHANGES IN SALES AND LOAD</w:t>
      </w:r>
      <w:r>
        <w:t>S</w:t>
      </w:r>
      <w:bookmarkEnd w:id="12"/>
    </w:p>
    <w:p w14:paraId="4E3427B4" w14:textId="77777777" w:rsidR="00143742" w:rsidRDefault="00143742" w:rsidP="00796934">
      <w:pPr>
        <w:pStyle w:val="BodyText2"/>
        <w:tabs>
          <w:tab w:val="clear" w:pos="720"/>
        </w:tabs>
        <w:ind w:left="720" w:hanging="720"/>
        <w:jc w:val="left"/>
        <w:rPr>
          <w:b/>
        </w:rPr>
      </w:pPr>
      <w:r>
        <w:rPr>
          <w:b/>
        </w:rPr>
        <w:t>Q.</w:t>
      </w:r>
      <w:r>
        <w:rPr>
          <w:b/>
        </w:rPr>
        <w:tab/>
        <w:t xml:space="preserve">Please summarize the changes in Washington sales in </w:t>
      </w:r>
      <w:r w:rsidR="00A62CA6">
        <w:rPr>
          <w:b/>
        </w:rPr>
        <w:t>this case</w:t>
      </w:r>
      <w:r>
        <w:rPr>
          <w:b/>
        </w:rPr>
        <w:t xml:space="preserve"> compared to the Company’s 2013 </w:t>
      </w:r>
      <w:r w:rsidR="00B81BD6">
        <w:rPr>
          <w:b/>
        </w:rPr>
        <w:t>Rate Case</w:t>
      </w:r>
      <w:r>
        <w:rPr>
          <w:b/>
        </w:rPr>
        <w:t>.</w:t>
      </w:r>
    </w:p>
    <w:p w14:paraId="4E3427B5" w14:textId="77777777" w:rsidR="00143742" w:rsidRDefault="00143742" w:rsidP="00796934">
      <w:pPr>
        <w:pStyle w:val="BodyText2"/>
        <w:tabs>
          <w:tab w:val="clear" w:pos="720"/>
        </w:tabs>
        <w:ind w:left="720" w:hanging="720"/>
        <w:jc w:val="left"/>
      </w:pPr>
      <w:r w:rsidRPr="00AA5441">
        <w:t>A.</w:t>
      </w:r>
      <w:r w:rsidRPr="00AA5441">
        <w:tab/>
      </w:r>
      <w:r>
        <w:t xml:space="preserve">As shown in Table </w:t>
      </w:r>
      <w:r w:rsidR="00B81BD6">
        <w:t>3</w:t>
      </w:r>
      <w:r>
        <w:t xml:space="preserve"> below, the Company’s Washington sales in the </w:t>
      </w:r>
      <w:r w:rsidR="00A62CA6">
        <w:t xml:space="preserve">historical </w:t>
      </w:r>
      <w:r>
        <w:t xml:space="preserve">test period </w:t>
      </w:r>
      <w:r w:rsidR="00A62CA6">
        <w:t xml:space="preserve">(the 12 months ended December 31, 2013) </w:t>
      </w:r>
      <w:r>
        <w:t xml:space="preserve">were </w:t>
      </w:r>
      <w:r w:rsidR="000B56DD">
        <w:t>9,549</w:t>
      </w:r>
      <w:r>
        <w:t xml:space="preserve"> MWh, or 0.</w:t>
      </w:r>
      <w:r w:rsidR="000B56DD">
        <w:t>2</w:t>
      </w:r>
      <w:r>
        <w:t xml:space="preserve"> percent higher than the sales included in the 2013 Rate Case on a weather</w:t>
      </w:r>
      <w:r w:rsidR="00A62CA6">
        <w:t>-</w:t>
      </w:r>
      <w:r>
        <w:t>normalized basis.</w:t>
      </w:r>
      <w:r>
        <w:rPr>
          <w:rStyle w:val="FootnoteReference"/>
        </w:rPr>
        <w:footnoteReference w:id="7"/>
      </w:r>
      <w:r>
        <w:t xml:space="preserve">  The increase in sales is largely driven by increased sales to the commercial class and is offset in part by a decrease in sales to the residential, industrial</w:t>
      </w:r>
      <w:r w:rsidR="00A62CA6">
        <w:t>,</w:t>
      </w:r>
      <w:r>
        <w:t xml:space="preserve"> and irrigation classes.</w:t>
      </w:r>
    </w:p>
    <w:p w14:paraId="4E3427B6" w14:textId="77777777" w:rsidR="00143742" w:rsidRDefault="007D124D" w:rsidP="000B56DD">
      <w:pPr>
        <w:pStyle w:val="BodyText2"/>
        <w:keepNext/>
        <w:keepLines/>
        <w:suppressLineNumbers/>
        <w:tabs>
          <w:tab w:val="clear" w:pos="720"/>
        </w:tabs>
        <w:spacing w:line="240" w:lineRule="auto"/>
        <w:ind w:left="720" w:hanging="720"/>
        <w:jc w:val="center"/>
        <w:rPr>
          <w:b/>
        </w:rPr>
      </w:pPr>
      <w:r>
        <w:rPr>
          <w:b/>
        </w:rPr>
        <w:t>Table</w:t>
      </w:r>
      <w:r w:rsidR="00A62CA6" w:rsidRPr="00604467">
        <w:rPr>
          <w:b/>
        </w:rPr>
        <w:t xml:space="preserve"> </w:t>
      </w:r>
      <w:r w:rsidR="00B81BD6">
        <w:rPr>
          <w:b/>
        </w:rPr>
        <w:t>3</w:t>
      </w:r>
    </w:p>
    <w:p w14:paraId="4E3427B7" w14:textId="77777777" w:rsidR="00143742" w:rsidRPr="00604467" w:rsidRDefault="000B56DD" w:rsidP="000B56DD">
      <w:pPr>
        <w:pStyle w:val="BodyText2"/>
        <w:keepNext/>
        <w:keepLines/>
        <w:suppressLineNumbers/>
        <w:tabs>
          <w:tab w:val="clear" w:pos="720"/>
        </w:tabs>
        <w:ind w:left="720" w:hanging="720"/>
        <w:jc w:val="center"/>
        <w:rPr>
          <w:b/>
        </w:rPr>
      </w:pPr>
      <w:r w:rsidRPr="000B56DD">
        <w:rPr>
          <w:noProof/>
        </w:rPr>
        <w:drawing>
          <wp:inline distT="0" distB="0" distL="0" distR="0" wp14:anchorId="4E34286F" wp14:editId="4E342870">
            <wp:extent cx="4827102" cy="203249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7392" cy="2032617"/>
                    </a:xfrm>
                    <a:prstGeom prst="rect">
                      <a:avLst/>
                    </a:prstGeom>
                    <a:noFill/>
                    <a:ln>
                      <a:noFill/>
                    </a:ln>
                  </pic:spPr>
                </pic:pic>
              </a:graphicData>
            </a:graphic>
          </wp:inline>
        </w:drawing>
      </w:r>
    </w:p>
    <w:p w14:paraId="4E3427B8" w14:textId="77777777" w:rsidR="00143742" w:rsidRPr="00D30318" w:rsidRDefault="00143742" w:rsidP="00796934">
      <w:pPr>
        <w:pStyle w:val="BodyText2"/>
        <w:tabs>
          <w:tab w:val="clear" w:pos="720"/>
        </w:tabs>
        <w:ind w:left="720" w:hanging="720"/>
        <w:jc w:val="left"/>
        <w:rPr>
          <w:b/>
        </w:rPr>
      </w:pPr>
      <w:r>
        <w:rPr>
          <w:b/>
        </w:rPr>
        <w:t>Q.</w:t>
      </w:r>
      <w:r>
        <w:rPr>
          <w:b/>
        </w:rPr>
        <w:tab/>
        <w:t>How are</w:t>
      </w:r>
      <w:r w:rsidRPr="00D30318">
        <w:rPr>
          <w:b/>
        </w:rPr>
        <w:t xml:space="preserve"> the temperature</w:t>
      </w:r>
      <w:r w:rsidR="00A62CA6">
        <w:rPr>
          <w:b/>
        </w:rPr>
        <w:t xml:space="preserve"> </w:t>
      </w:r>
      <w:r w:rsidRPr="00D30318">
        <w:rPr>
          <w:b/>
        </w:rPr>
        <w:t xml:space="preserve">normalized sales </w:t>
      </w:r>
      <w:r>
        <w:rPr>
          <w:b/>
        </w:rPr>
        <w:t xml:space="preserve">and load </w:t>
      </w:r>
      <w:r w:rsidRPr="00D30318">
        <w:rPr>
          <w:b/>
        </w:rPr>
        <w:t xml:space="preserve">for the </w:t>
      </w:r>
      <w:r w:rsidR="00A62CA6">
        <w:rPr>
          <w:b/>
        </w:rPr>
        <w:t xml:space="preserve">historical </w:t>
      </w:r>
      <w:r>
        <w:rPr>
          <w:b/>
        </w:rPr>
        <w:t>t</w:t>
      </w:r>
      <w:r w:rsidRPr="00D30318">
        <w:rPr>
          <w:b/>
        </w:rPr>
        <w:t xml:space="preserve">est </w:t>
      </w:r>
      <w:r>
        <w:rPr>
          <w:b/>
        </w:rPr>
        <w:t>p</w:t>
      </w:r>
      <w:r w:rsidRPr="00D30318">
        <w:rPr>
          <w:b/>
        </w:rPr>
        <w:t xml:space="preserve">eriod </w:t>
      </w:r>
      <w:r>
        <w:rPr>
          <w:b/>
        </w:rPr>
        <w:t>used</w:t>
      </w:r>
      <w:r w:rsidRPr="00D30318">
        <w:rPr>
          <w:b/>
        </w:rPr>
        <w:t xml:space="preserve"> in </w:t>
      </w:r>
      <w:r>
        <w:rPr>
          <w:b/>
        </w:rPr>
        <w:t>this case</w:t>
      </w:r>
      <w:r w:rsidRPr="00D30318">
        <w:rPr>
          <w:b/>
        </w:rPr>
        <w:t>?</w:t>
      </w:r>
    </w:p>
    <w:p w14:paraId="4E3427B9" w14:textId="77777777" w:rsidR="00143742" w:rsidRDefault="00143742" w:rsidP="00796934">
      <w:pPr>
        <w:pStyle w:val="BodyText2"/>
        <w:tabs>
          <w:tab w:val="clear" w:pos="720"/>
        </w:tabs>
        <w:ind w:left="720" w:hanging="720"/>
        <w:jc w:val="left"/>
      </w:pPr>
      <w:r>
        <w:t>A.</w:t>
      </w:r>
      <w:r>
        <w:tab/>
        <w:t>The temperature normalized retail sales are used by Ms. Joelle R. Steward to develop present revenues and proposed rates, and M</w:t>
      </w:r>
      <w:r w:rsidR="008821CE">
        <w:t>s.</w:t>
      </w:r>
      <w:r w:rsidR="00A62CA6">
        <w:t> </w:t>
      </w:r>
      <w:r w:rsidR="0015629E">
        <w:t>Siores</w:t>
      </w:r>
      <w:r>
        <w:t xml:space="preserve"> uses the test period </w:t>
      </w:r>
      <w:r w:rsidR="00A62CA6">
        <w:t xml:space="preserve">temperature </w:t>
      </w:r>
      <w:r>
        <w:t>normalized loads to calculate inter-jurisdictional allocation factors</w:t>
      </w:r>
      <w:r w:rsidR="00A62CA6">
        <w:t xml:space="preserve"> under the WCA</w:t>
      </w:r>
      <w:r>
        <w:t>.</w:t>
      </w:r>
    </w:p>
    <w:p w14:paraId="4E3427BA" w14:textId="77777777" w:rsidR="00143742" w:rsidRPr="00C67719" w:rsidRDefault="00143742" w:rsidP="00796934">
      <w:pPr>
        <w:pStyle w:val="BodyText2"/>
        <w:tabs>
          <w:tab w:val="clear" w:pos="720"/>
        </w:tabs>
        <w:ind w:left="720" w:hanging="720"/>
        <w:jc w:val="left"/>
        <w:rPr>
          <w:b/>
        </w:rPr>
      </w:pPr>
      <w:r w:rsidRPr="00C67719">
        <w:rPr>
          <w:b/>
        </w:rPr>
        <w:t>Q.</w:t>
      </w:r>
      <w:r w:rsidRPr="00C67719">
        <w:rPr>
          <w:b/>
        </w:rPr>
        <w:tab/>
        <w:t xml:space="preserve">Please summarize the changes in load </w:t>
      </w:r>
      <w:r w:rsidR="00A62CA6">
        <w:rPr>
          <w:b/>
        </w:rPr>
        <w:t xml:space="preserve">for the pro forma period </w:t>
      </w:r>
      <w:r w:rsidRPr="00C67719">
        <w:rPr>
          <w:b/>
        </w:rPr>
        <w:t>c</w:t>
      </w:r>
      <w:r>
        <w:rPr>
          <w:b/>
        </w:rPr>
        <w:t>ompared to the 2013 Rate Case.</w:t>
      </w:r>
    </w:p>
    <w:p w14:paraId="4E3427BB" w14:textId="77777777" w:rsidR="00143742" w:rsidRDefault="00143742" w:rsidP="00796934">
      <w:pPr>
        <w:pStyle w:val="BodyText2"/>
        <w:tabs>
          <w:tab w:val="clear" w:pos="720"/>
        </w:tabs>
        <w:ind w:left="720" w:hanging="720"/>
        <w:jc w:val="left"/>
      </w:pPr>
      <w:r>
        <w:t>A.</w:t>
      </w:r>
      <w:r>
        <w:tab/>
        <w:t xml:space="preserve">As shown in Table </w:t>
      </w:r>
      <w:r w:rsidR="008821CE">
        <w:t>4</w:t>
      </w:r>
      <w:r>
        <w:t xml:space="preserve"> below, the temperature normalized forecasted load for the 12 months ending March 2016 </w:t>
      </w:r>
      <w:r w:rsidR="008821CE">
        <w:t>is</w:t>
      </w:r>
      <w:r>
        <w:t xml:space="preserve"> higher than </w:t>
      </w:r>
      <w:r w:rsidR="008821CE">
        <w:t xml:space="preserve">the </w:t>
      </w:r>
      <w:r>
        <w:t xml:space="preserve">loads for Washington and the west control area </w:t>
      </w:r>
      <w:r w:rsidR="008821CE">
        <w:t>forecasted in t</w:t>
      </w:r>
      <w:r>
        <w:t>he 2013 Rate Case, which were based on the 12</w:t>
      </w:r>
      <w:r w:rsidR="00A62CA6">
        <w:t> </w:t>
      </w:r>
      <w:r>
        <w:t>months ending December 2014.</w:t>
      </w:r>
    </w:p>
    <w:p w14:paraId="4E3427BC" w14:textId="77777777" w:rsidR="00143742" w:rsidRPr="002F68F1" w:rsidRDefault="00143742" w:rsidP="00796934">
      <w:pPr>
        <w:pStyle w:val="BodyText2"/>
        <w:keepNext/>
        <w:keepLines/>
        <w:suppressLineNumbers/>
        <w:tabs>
          <w:tab w:val="clear" w:pos="720"/>
        </w:tabs>
        <w:spacing w:line="240" w:lineRule="auto"/>
        <w:ind w:left="720" w:hanging="720"/>
        <w:jc w:val="center"/>
        <w:rPr>
          <w:b/>
        </w:rPr>
      </w:pPr>
      <w:r>
        <w:rPr>
          <w:b/>
        </w:rPr>
        <w:t>T</w:t>
      </w:r>
      <w:r w:rsidR="008821CE">
        <w:rPr>
          <w:b/>
        </w:rPr>
        <w:t>able 4</w:t>
      </w:r>
    </w:p>
    <w:p w14:paraId="4E3427BD" w14:textId="77777777" w:rsidR="00143742" w:rsidRPr="001C35D3" w:rsidRDefault="00143742" w:rsidP="00796934">
      <w:pPr>
        <w:pStyle w:val="BodyText2"/>
        <w:keepNext/>
        <w:keepLines/>
        <w:suppressLineNumbers/>
        <w:tabs>
          <w:tab w:val="clear" w:pos="720"/>
        </w:tabs>
        <w:ind w:left="720" w:hanging="720"/>
        <w:jc w:val="center"/>
      </w:pPr>
      <w:r w:rsidRPr="00BD6122">
        <w:rPr>
          <w:noProof/>
        </w:rPr>
        <w:drawing>
          <wp:inline distT="0" distB="0" distL="0" distR="0" wp14:anchorId="4E342871" wp14:editId="4E342872">
            <wp:extent cx="5082362" cy="1993435"/>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2781" cy="1993599"/>
                    </a:xfrm>
                    <a:prstGeom prst="rect">
                      <a:avLst/>
                    </a:prstGeom>
                    <a:noFill/>
                    <a:ln>
                      <a:noFill/>
                    </a:ln>
                  </pic:spPr>
                </pic:pic>
              </a:graphicData>
            </a:graphic>
          </wp:inline>
        </w:drawing>
      </w:r>
    </w:p>
    <w:p w14:paraId="4E3427BE" w14:textId="77777777" w:rsidR="00143742" w:rsidRPr="001F185C" w:rsidRDefault="00143742" w:rsidP="00796934">
      <w:pPr>
        <w:pStyle w:val="BodyTextIndent2"/>
        <w:jc w:val="left"/>
      </w:pPr>
      <w:r>
        <w:rPr>
          <w:b/>
        </w:rPr>
        <w:tab/>
      </w:r>
      <w:r>
        <w:t xml:space="preserve">The increase in the load forecast in this case is driven by </w:t>
      </w:r>
      <w:r w:rsidR="008821CE">
        <w:t>greater</w:t>
      </w:r>
      <w:r>
        <w:t xml:space="preserve"> economic activity related to fruit processing and refrigeration in the Washington commercial class</w:t>
      </w:r>
      <w:r w:rsidR="008821CE">
        <w:t>,</w:t>
      </w:r>
      <w:r>
        <w:t xml:space="preserve"> offset by growth in energy efficiency and conservation programs in the residential class.</w:t>
      </w:r>
    </w:p>
    <w:p w14:paraId="4E3427BF" w14:textId="77777777" w:rsidR="00143742" w:rsidRDefault="00143742" w:rsidP="00796934">
      <w:pPr>
        <w:pStyle w:val="BodyTextIndent2"/>
        <w:keepNext/>
        <w:jc w:val="left"/>
        <w:rPr>
          <w:b/>
        </w:rPr>
      </w:pPr>
      <w:r>
        <w:rPr>
          <w:b/>
        </w:rPr>
        <w:t>Q.</w:t>
      </w:r>
      <w:r>
        <w:rPr>
          <w:b/>
        </w:rPr>
        <w:tab/>
        <w:t>How are the forecasted loads for the west control area used in preparing this case?</w:t>
      </w:r>
    </w:p>
    <w:p w14:paraId="4E3427C0" w14:textId="77777777" w:rsidR="00143742" w:rsidRDefault="00143742" w:rsidP="00796934">
      <w:pPr>
        <w:pStyle w:val="BodyTextIndent2"/>
        <w:jc w:val="left"/>
      </w:pPr>
      <w:r>
        <w:t>A.</w:t>
      </w:r>
      <w:r>
        <w:tab/>
      </w:r>
      <w:r w:rsidR="008821CE">
        <w:t>I use t</w:t>
      </w:r>
      <w:r>
        <w:t>he forecasted loads for the west control area to calculate net power costs.</w:t>
      </w:r>
    </w:p>
    <w:p w14:paraId="4E3427C1" w14:textId="77777777" w:rsidR="00143742" w:rsidRPr="00393B0B" w:rsidRDefault="00143742" w:rsidP="00143742">
      <w:pPr>
        <w:tabs>
          <w:tab w:val="left" w:pos="720"/>
        </w:tabs>
        <w:spacing w:line="480" w:lineRule="auto"/>
        <w:ind w:left="720" w:hanging="720"/>
        <w:rPr>
          <w:b/>
        </w:rPr>
      </w:pPr>
      <w:r w:rsidRPr="00393B0B">
        <w:rPr>
          <w:b/>
        </w:rPr>
        <w:t>Q.</w:t>
      </w:r>
      <w:r w:rsidRPr="00393B0B">
        <w:rPr>
          <w:b/>
        </w:rPr>
        <w:tab/>
        <w:t>Please list the assumptions and updates to the current load forecast.</w:t>
      </w:r>
    </w:p>
    <w:p w14:paraId="4E3427C2" w14:textId="77777777" w:rsidR="00143742" w:rsidRDefault="00143742" w:rsidP="00143742">
      <w:pPr>
        <w:tabs>
          <w:tab w:val="left" w:pos="720"/>
        </w:tabs>
        <w:spacing w:line="480" w:lineRule="auto"/>
        <w:ind w:left="720" w:hanging="720"/>
      </w:pPr>
      <w:r>
        <w:t>A.</w:t>
      </w:r>
      <w:r>
        <w:tab/>
        <w:t>The Company updated the following information in the current load forecast:</w:t>
      </w:r>
    </w:p>
    <w:p w14:paraId="4E3427C3" w14:textId="77777777" w:rsidR="00143742" w:rsidRPr="00393B0B" w:rsidRDefault="00143742" w:rsidP="00143742">
      <w:pPr>
        <w:pStyle w:val="ListParagraph"/>
        <w:widowControl/>
        <w:numPr>
          <w:ilvl w:val="0"/>
          <w:numId w:val="31"/>
        </w:numPr>
        <w:tabs>
          <w:tab w:val="left" w:pos="720"/>
        </w:tabs>
        <w:adjustRightInd/>
        <w:spacing w:line="480" w:lineRule="auto"/>
        <w:ind w:left="1080"/>
        <w:jc w:val="left"/>
        <w:textAlignment w:val="auto"/>
      </w:pPr>
      <w:r w:rsidRPr="00393B0B">
        <w:t xml:space="preserve">Actual sales January 1997 through </w:t>
      </w:r>
      <w:r w:rsidR="00F84845">
        <w:t>August 2013</w:t>
      </w:r>
      <w:r>
        <w:t>.</w:t>
      </w:r>
    </w:p>
    <w:p w14:paraId="4E3427C4" w14:textId="77777777" w:rsidR="00143742" w:rsidRDefault="00143742" w:rsidP="00143742">
      <w:pPr>
        <w:pStyle w:val="ListParagraph"/>
        <w:widowControl/>
        <w:numPr>
          <w:ilvl w:val="0"/>
          <w:numId w:val="31"/>
        </w:numPr>
        <w:tabs>
          <w:tab w:val="left" w:pos="720"/>
        </w:tabs>
        <w:adjustRightInd/>
        <w:spacing w:line="480" w:lineRule="auto"/>
        <w:ind w:left="1080"/>
        <w:jc w:val="left"/>
        <w:textAlignment w:val="auto"/>
      </w:pPr>
      <w:r w:rsidRPr="00554587">
        <w:t xml:space="preserve">Load research data through </w:t>
      </w:r>
      <w:r>
        <w:t>December</w:t>
      </w:r>
      <w:r w:rsidRPr="00554587">
        <w:t xml:space="preserve"> 201</w:t>
      </w:r>
      <w:r w:rsidR="00F84845">
        <w:t>2</w:t>
      </w:r>
      <w:r w:rsidRPr="00554587">
        <w:t xml:space="preserve"> updated in the temperature normalization model</w:t>
      </w:r>
      <w:r>
        <w:t>.</w:t>
      </w:r>
    </w:p>
    <w:p w14:paraId="4E3427C5" w14:textId="77777777" w:rsidR="00143742" w:rsidRPr="00554587" w:rsidRDefault="00143742" w:rsidP="00143742">
      <w:pPr>
        <w:pStyle w:val="ListParagraph"/>
        <w:widowControl/>
        <w:numPr>
          <w:ilvl w:val="0"/>
          <w:numId w:val="31"/>
        </w:numPr>
        <w:tabs>
          <w:tab w:val="left" w:pos="720"/>
        </w:tabs>
        <w:adjustRightInd/>
        <w:spacing w:line="480" w:lineRule="auto"/>
        <w:ind w:left="1080"/>
        <w:jc w:val="left"/>
        <w:textAlignment w:val="auto"/>
      </w:pPr>
      <w:r w:rsidRPr="00554587">
        <w:t xml:space="preserve">Actual weather was </w:t>
      </w:r>
      <w:r>
        <w:t xml:space="preserve">rolled forward one year </w:t>
      </w:r>
      <w:r w:rsidRPr="00554587">
        <w:t>to the 199</w:t>
      </w:r>
      <w:r w:rsidR="00F84845">
        <w:t>3</w:t>
      </w:r>
      <w:r w:rsidR="00AC0FD9">
        <w:t>-</w:t>
      </w:r>
      <w:r w:rsidRPr="00554587">
        <w:t>201</w:t>
      </w:r>
      <w:r w:rsidR="00F84845">
        <w:t>2</w:t>
      </w:r>
      <w:r>
        <w:t xml:space="preserve"> </w:t>
      </w:r>
      <w:r w:rsidRPr="00554587">
        <w:t xml:space="preserve">time period </w:t>
      </w:r>
      <w:r>
        <w:t>(measured at Yakima</w:t>
      </w:r>
      <w:r w:rsidR="00AC0FD9">
        <w:t>, Washington</w:t>
      </w:r>
      <w:r>
        <w:t>).</w:t>
      </w:r>
    </w:p>
    <w:p w14:paraId="4E3427C6" w14:textId="77777777" w:rsidR="00143742" w:rsidRPr="007A3ECA" w:rsidRDefault="00F84845" w:rsidP="00143742">
      <w:pPr>
        <w:pStyle w:val="ListParagraph"/>
        <w:widowControl/>
        <w:numPr>
          <w:ilvl w:val="0"/>
          <w:numId w:val="31"/>
        </w:numPr>
        <w:tabs>
          <w:tab w:val="left" w:pos="720"/>
        </w:tabs>
        <w:adjustRightInd/>
        <w:spacing w:line="480" w:lineRule="auto"/>
        <w:ind w:left="1080"/>
        <w:jc w:val="left"/>
        <w:textAlignment w:val="auto"/>
      </w:pPr>
      <w:r>
        <w:t>Updated information</w:t>
      </w:r>
      <w:r w:rsidR="00143742">
        <w:t xml:space="preserve"> from </w:t>
      </w:r>
      <w:r w:rsidR="00143742" w:rsidRPr="00554587">
        <w:t xml:space="preserve">IHS Global Insight </w:t>
      </w:r>
      <w:r w:rsidR="00143742">
        <w:t>of e</w:t>
      </w:r>
      <w:r w:rsidR="00143742" w:rsidRPr="00554587">
        <w:t>conomic data</w:t>
      </w:r>
      <w:r w:rsidR="00143742">
        <w:t>,</w:t>
      </w:r>
      <w:r w:rsidR="00143742" w:rsidRPr="00554587">
        <w:t xml:space="preserve"> such as households, population, and employment figures</w:t>
      </w:r>
      <w:r w:rsidR="00143742">
        <w:t>.</w:t>
      </w:r>
    </w:p>
    <w:p w14:paraId="4E3427C7" w14:textId="105A5B12" w:rsidR="00615E4A" w:rsidRDefault="00463AC9" w:rsidP="002443C0">
      <w:pPr>
        <w:pStyle w:val="Heading1"/>
      </w:pPr>
      <w:bookmarkStart w:id="13" w:name="_Toc386609223"/>
      <w:r>
        <w:t xml:space="preserve">PRO FORMA </w:t>
      </w:r>
      <w:r w:rsidR="00615E4A" w:rsidRPr="001A615F">
        <w:t xml:space="preserve">COAL </w:t>
      </w:r>
      <w:r w:rsidR="00615E4A">
        <w:t>C</w:t>
      </w:r>
      <w:r w:rsidR="00615E4A" w:rsidRPr="001A615F">
        <w:t>OST</w:t>
      </w:r>
      <w:r w:rsidR="00615E4A">
        <w:t>S</w:t>
      </w:r>
      <w:bookmarkEnd w:id="13"/>
    </w:p>
    <w:p w14:paraId="4E3427C8" w14:textId="7BA68393" w:rsidR="00615E4A" w:rsidRDefault="00615E4A" w:rsidP="00615E4A">
      <w:pPr>
        <w:widowControl/>
        <w:numPr>
          <w:ilvl w:val="0"/>
          <w:numId w:val="1"/>
        </w:numPr>
        <w:adjustRightInd/>
        <w:spacing w:line="480" w:lineRule="auto"/>
        <w:jc w:val="left"/>
        <w:textAlignment w:val="auto"/>
        <w:rPr>
          <w:b/>
        </w:rPr>
      </w:pPr>
      <w:r>
        <w:rPr>
          <w:b/>
        </w:rPr>
        <w:t>Ha</w:t>
      </w:r>
      <w:r w:rsidR="00F94118">
        <w:rPr>
          <w:b/>
        </w:rPr>
        <w:t xml:space="preserve">s the pro forma </w:t>
      </w:r>
      <w:r w:rsidRPr="001A615F">
        <w:rPr>
          <w:b/>
        </w:rPr>
        <w:t xml:space="preserve">coal </w:t>
      </w:r>
      <w:r w:rsidR="00F94118">
        <w:rPr>
          <w:b/>
        </w:rPr>
        <w:t xml:space="preserve">expense </w:t>
      </w:r>
      <w:r w:rsidRPr="001A615F">
        <w:rPr>
          <w:b/>
        </w:rPr>
        <w:t xml:space="preserve">in </w:t>
      </w:r>
      <w:r w:rsidR="00992C2E">
        <w:rPr>
          <w:b/>
        </w:rPr>
        <w:t>this case</w:t>
      </w:r>
      <w:r w:rsidRPr="001A615F">
        <w:rPr>
          <w:b/>
        </w:rPr>
        <w:t xml:space="preserve"> </w:t>
      </w:r>
      <w:r w:rsidR="00C661E6">
        <w:rPr>
          <w:b/>
        </w:rPr>
        <w:t>increased</w:t>
      </w:r>
      <w:r>
        <w:rPr>
          <w:b/>
        </w:rPr>
        <w:t xml:space="preserve"> </w:t>
      </w:r>
      <w:r w:rsidRPr="001A615F">
        <w:rPr>
          <w:b/>
        </w:rPr>
        <w:t xml:space="preserve">from levels reflected in the Company’s </w:t>
      </w:r>
      <w:r>
        <w:rPr>
          <w:b/>
        </w:rPr>
        <w:t xml:space="preserve">2013 </w:t>
      </w:r>
      <w:r w:rsidR="00992C2E">
        <w:rPr>
          <w:b/>
        </w:rPr>
        <w:t>Rate Case</w:t>
      </w:r>
      <w:r w:rsidRPr="001A615F">
        <w:rPr>
          <w:b/>
        </w:rPr>
        <w:t>?</w:t>
      </w:r>
    </w:p>
    <w:p w14:paraId="4E3427C9" w14:textId="1AC4C343" w:rsidR="00615E4A" w:rsidRPr="00867B35" w:rsidRDefault="00615E4A" w:rsidP="00F94118">
      <w:pPr>
        <w:tabs>
          <w:tab w:val="left" w:pos="720"/>
        </w:tabs>
        <w:spacing w:line="480" w:lineRule="auto"/>
        <w:ind w:left="720" w:hanging="720"/>
        <w:jc w:val="left"/>
      </w:pPr>
      <w:r w:rsidRPr="00867B35">
        <w:t>A.</w:t>
      </w:r>
      <w:r w:rsidRPr="00867B35">
        <w:tab/>
        <w:t xml:space="preserve">Yes.  </w:t>
      </w:r>
      <w:r w:rsidR="00D62D9D">
        <w:t>Pro forma c</w:t>
      </w:r>
      <w:r w:rsidRPr="00867B35">
        <w:t>oal fuel expense has increased by $</w:t>
      </w:r>
      <w:r w:rsidR="00D15553">
        <w:t>2.3</w:t>
      </w:r>
      <w:r w:rsidRPr="00867B35">
        <w:t xml:space="preserve"> million on a </w:t>
      </w:r>
      <w:r w:rsidR="00D15553">
        <w:t>Washington-allocate</w:t>
      </w:r>
      <w:r w:rsidR="00396AE0">
        <w:t>d</w:t>
      </w:r>
      <w:r w:rsidR="00D15553">
        <w:t xml:space="preserve"> </w:t>
      </w:r>
      <w:r w:rsidRPr="00867B35">
        <w:t>basis</w:t>
      </w:r>
      <w:r w:rsidR="00B86D34">
        <w:t>,</w:t>
      </w:r>
      <w:r w:rsidRPr="00867B35">
        <w:t xml:space="preserve"> from $</w:t>
      </w:r>
      <w:r w:rsidR="00D15553">
        <w:t>48.3</w:t>
      </w:r>
      <w:r w:rsidRPr="00867B35">
        <w:t xml:space="preserve"> million in the 2013 </w:t>
      </w:r>
      <w:r w:rsidR="008821CE">
        <w:t xml:space="preserve">Rate Case </w:t>
      </w:r>
      <w:r w:rsidRPr="00867B35">
        <w:t>to $</w:t>
      </w:r>
      <w:r w:rsidR="00D15553">
        <w:t>50.6</w:t>
      </w:r>
      <w:r w:rsidRPr="00867B35">
        <w:t xml:space="preserve"> million in </w:t>
      </w:r>
      <w:r w:rsidR="008821CE">
        <w:t>this case</w:t>
      </w:r>
      <w:r w:rsidRPr="00867B35">
        <w:t xml:space="preserve">.  Reduced volumes account for an approximate </w:t>
      </w:r>
      <w:r w:rsidRPr="00AE79C1">
        <w:t>$</w:t>
      </w:r>
      <w:r w:rsidR="00D15553" w:rsidRPr="00AE79C1">
        <w:t>0.</w:t>
      </w:r>
      <w:r w:rsidR="00AE79C1" w:rsidRPr="00AE79C1">
        <w:t>4</w:t>
      </w:r>
      <w:r w:rsidR="00D15553" w:rsidRPr="00AE79C1">
        <w:t xml:space="preserve"> </w:t>
      </w:r>
      <w:r w:rsidRPr="00AE79C1">
        <w:t xml:space="preserve">million decrease and higher coal </w:t>
      </w:r>
      <w:r w:rsidR="00F94118" w:rsidRPr="00AE79C1">
        <w:t>prices</w:t>
      </w:r>
      <w:r w:rsidRPr="00AE79C1">
        <w:t xml:space="preserve"> account for a $</w:t>
      </w:r>
      <w:r w:rsidR="00D15553" w:rsidRPr="00AE79C1">
        <w:t>2.7</w:t>
      </w:r>
      <w:r w:rsidRPr="00AE79C1">
        <w:t xml:space="preserve"> million increase.</w:t>
      </w:r>
    </w:p>
    <w:p w14:paraId="4E3427CA" w14:textId="7795D9F9" w:rsidR="00615E4A" w:rsidRDefault="00615E4A" w:rsidP="00615E4A">
      <w:pPr>
        <w:pStyle w:val="BodyTextIndent"/>
        <w:tabs>
          <w:tab w:val="clear" w:pos="720"/>
        </w:tabs>
        <w:jc w:val="left"/>
        <w:rPr>
          <w:b/>
        </w:rPr>
      </w:pPr>
      <w:r w:rsidRPr="009C5E12">
        <w:rPr>
          <w:b/>
        </w:rPr>
        <w:t>Q.</w:t>
      </w:r>
      <w:r w:rsidRPr="009C5E12">
        <w:rPr>
          <w:b/>
        </w:rPr>
        <w:tab/>
        <w:t>What are the primary drivers of the increase in coal prices?</w:t>
      </w:r>
    </w:p>
    <w:p w14:paraId="4E3427CB" w14:textId="60168CED" w:rsidR="00615E4A" w:rsidRPr="00EC6DFE" w:rsidRDefault="002443C0" w:rsidP="00615E4A">
      <w:pPr>
        <w:pStyle w:val="BodyTextIndent"/>
        <w:jc w:val="left"/>
      </w:pPr>
      <w:r>
        <w:t>A.</w:t>
      </w:r>
      <w:r>
        <w:tab/>
      </w:r>
      <w:r w:rsidR="00615E4A" w:rsidRPr="00EC6DFE">
        <w:t xml:space="preserve">The </w:t>
      </w:r>
      <w:r w:rsidR="00615E4A">
        <w:t>increase in coal prices reflect</w:t>
      </w:r>
      <w:r w:rsidR="00615E4A" w:rsidRPr="00EC6DFE">
        <w:t>:</w:t>
      </w:r>
    </w:p>
    <w:p w14:paraId="4E3427CC" w14:textId="11CB3427" w:rsidR="00615E4A" w:rsidRPr="00EC6DFE" w:rsidRDefault="00615E4A" w:rsidP="00615E4A">
      <w:pPr>
        <w:pStyle w:val="BodyTextIndent"/>
        <w:numPr>
          <w:ilvl w:val="0"/>
          <w:numId w:val="30"/>
        </w:numPr>
        <w:ind w:left="1080"/>
        <w:jc w:val="left"/>
      </w:pPr>
      <w:r>
        <w:t xml:space="preserve">A </w:t>
      </w:r>
      <w:r w:rsidR="008E193B" w:rsidRPr="008E193B">
        <w:rPr>
          <w:highlight w:val="black"/>
          <w:shd w:val="clear" w:color="auto" w:fill="F2F2F2" w:themeFill="background1" w:themeFillShade="F2"/>
        </w:rPr>
        <w:t>XXX</w:t>
      </w:r>
      <w:r w:rsidR="00D15553">
        <w:t xml:space="preserve"> </w:t>
      </w:r>
      <w:r>
        <w:t xml:space="preserve">million </w:t>
      </w:r>
      <w:r w:rsidR="00D15553">
        <w:t xml:space="preserve">Washington-allocated </w:t>
      </w:r>
      <w:r>
        <w:t xml:space="preserve">increase in </w:t>
      </w:r>
      <w:r w:rsidRPr="00EC6DFE">
        <w:t xml:space="preserve">Colstrip plant costs </w:t>
      </w:r>
      <w:r>
        <w:t xml:space="preserve">based on Westmoreland’s most recent Annual Operating Plan </w:t>
      </w:r>
      <w:r w:rsidR="006572B6">
        <w:t>(AOP).</w:t>
      </w:r>
    </w:p>
    <w:p w14:paraId="4E3427CD" w14:textId="546DC20A" w:rsidR="00615E4A" w:rsidRPr="00EC6DFE" w:rsidRDefault="00615E4A" w:rsidP="00615E4A">
      <w:pPr>
        <w:pStyle w:val="BodyTextIndent"/>
        <w:numPr>
          <w:ilvl w:val="0"/>
          <w:numId w:val="30"/>
        </w:numPr>
        <w:ind w:left="1080"/>
        <w:jc w:val="left"/>
      </w:pPr>
      <w:r>
        <w:t xml:space="preserve">A </w:t>
      </w:r>
      <w:r w:rsidR="008E193B" w:rsidRPr="008E193B">
        <w:rPr>
          <w:highlight w:val="black"/>
        </w:rPr>
        <w:t>XXX</w:t>
      </w:r>
      <w:r>
        <w:t xml:space="preserve"> million </w:t>
      </w:r>
      <w:r w:rsidR="00D15553">
        <w:t>Washington</w:t>
      </w:r>
      <w:r w:rsidR="00F84845">
        <w:t>-</w:t>
      </w:r>
      <w:r w:rsidR="00D15553">
        <w:t xml:space="preserve">allocated </w:t>
      </w:r>
      <w:r>
        <w:t>increase at the Jim Bridger plant reflecting price increases in both the B</w:t>
      </w:r>
      <w:r w:rsidR="00992C2E">
        <w:t xml:space="preserve">CC </w:t>
      </w:r>
      <w:r>
        <w:t>and Black Butte coal supplies.</w:t>
      </w:r>
    </w:p>
    <w:p w14:paraId="4E3427CE" w14:textId="6C6AEADF" w:rsidR="00615E4A" w:rsidRPr="00EC6DFE" w:rsidRDefault="00615E4A" w:rsidP="00615E4A">
      <w:pPr>
        <w:pStyle w:val="BodyTextIndent"/>
        <w:jc w:val="left"/>
        <w:rPr>
          <w:b/>
        </w:rPr>
      </w:pPr>
      <w:r w:rsidRPr="00EC6DFE">
        <w:rPr>
          <w:b/>
        </w:rPr>
        <w:t>Q.</w:t>
      </w:r>
      <w:r w:rsidRPr="00EC6DFE">
        <w:rPr>
          <w:b/>
        </w:rPr>
        <w:tab/>
        <w:t>Please explain the coal supply arrangements for the Colstrip plant.</w:t>
      </w:r>
    </w:p>
    <w:p w14:paraId="4E3427CF" w14:textId="4B53DBB4" w:rsidR="00615E4A" w:rsidRPr="00EC6DFE" w:rsidRDefault="00615E4A" w:rsidP="00615E4A">
      <w:pPr>
        <w:pStyle w:val="BodyTextIndent"/>
        <w:jc w:val="left"/>
      </w:pPr>
      <w:r w:rsidRPr="00EC6DFE">
        <w:t>A.</w:t>
      </w:r>
      <w:r w:rsidRPr="00EC6DFE">
        <w:tab/>
        <w:t xml:space="preserve">The Colstrip mine is supplied by Western Energy’s Rosebud mine.  </w:t>
      </w:r>
      <w:r w:rsidR="00D62D9D">
        <w:t xml:space="preserve">Pro forma </w:t>
      </w:r>
      <w:r>
        <w:t xml:space="preserve">period </w:t>
      </w:r>
      <w:r w:rsidRPr="00EC6DFE">
        <w:t xml:space="preserve">costs </w:t>
      </w:r>
      <w:r>
        <w:t xml:space="preserve">were </w:t>
      </w:r>
      <w:r w:rsidRPr="00EC6DFE">
        <w:t>developed based on Western Energy’s 2014 AOP for the Rosebud mine</w:t>
      </w:r>
      <w:r>
        <w:t xml:space="preserve"> published in fall 2013</w:t>
      </w:r>
      <w:r w:rsidRPr="00EC6DFE">
        <w:t xml:space="preserve">.  </w:t>
      </w:r>
    </w:p>
    <w:p w14:paraId="4E3427D0" w14:textId="086CB03F" w:rsidR="00615E4A" w:rsidRPr="00EC6DFE" w:rsidRDefault="00615E4A" w:rsidP="00615E4A">
      <w:pPr>
        <w:pStyle w:val="BodyTextIndent"/>
        <w:jc w:val="left"/>
        <w:rPr>
          <w:b/>
        </w:rPr>
      </w:pPr>
      <w:r w:rsidRPr="00EC6DFE">
        <w:rPr>
          <w:b/>
        </w:rPr>
        <w:t>Q.</w:t>
      </w:r>
      <w:r w:rsidRPr="00EC6DFE">
        <w:rPr>
          <w:b/>
        </w:rPr>
        <w:tab/>
        <w:t xml:space="preserve">Please describe the increase associated with the </w:t>
      </w:r>
      <w:r>
        <w:rPr>
          <w:b/>
        </w:rPr>
        <w:t>Colstrip supply</w:t>
      </w:r>
      <w:r w:rsidRPr="00EC6DFE">
        <w:rPr>
          <w:b/>
        </w:rPr>
        <w:t>.</w:t>
      </w:r>
    </w:p>
    <w:p w14:paraId="4E3427D1" w14:textId="566C1AED" w:rsidR="00615E4A" w:rsidRDefault="00DE53E6" w:rsidP="00615E4A">
      <w:pPr>
        <w:pStyle w:val="BodyTextIndent"/>
        <w:jc w:val="left"/>
      </w:pPr>
      <w:r>
        <w:rPr>
          <w:noProof/>
        </w:rPr>
        <mc:AlternateContent>
          <mc:Choice Requires="wps">
            <w:drawing>
              <wp:anchor distT="0" distB="0" distL="114300" distR="114300" simplePos="0" relativeHeight="251659264" behindDoc="0" locked="0" layoutInCell="1" allowOverlap="1" wp14:anchorId="4E342873" wp14:editId="3410A3D1">
                <wp:simplePos x="0" y="0"/>
                <wp:positionH relativeFrom="page">
                  <wp:align>left</wp:align>
                </wp:positionH>
                <wp:positionV relativeFrom="paragraph">
                  <wp:posOffset>2300349</wp:posOffset>
                </wp:positionV>
                <wp:extent cx="7753350" cy="581025"/>
                <wp:effectExtent l="0" t="0" r="0" b="0"/>
                <wp:wrapNone/>
                <wp:docPr id="3" name="Text Box 3"/>
                <wp:cNvGraphicFramePr/>
                <a:graphic xmlns:a="http://schemas.openxmlformats.org/drawingml/2006/main">
                  <a:graphicData uri="http://schemas.microsoft.com/office/word/2010/wordprocessingShape">
                    <wps:wsp>
                      <wps:cNvSpPr txBox="1"/>
                      <wps:spPr>
                        <a:xfrm>
                          <a:off x="0" y="0"/>
                          <a:ext cx="7753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428A9" w14:textId="2348EC9E" w:rsidR="002443C0" w:rsidRDefault="00DE53E6" w:rsidP="0055740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342873" id="_x0000_t202" coordsize="21600,21600" o:spt="202" path="m,l,21600r21600,l21600,xe">
                <v:stroke joinstyle="miter"/>
                <v:path gradientshapeok="t" o:connecttype="rect"/>
              </v:shapetype>
              <v:shape id="Text Box 3" o:spid="_x0000_s1026" type="#_x0000_t202" style="position:absolute;left:0;text-align:left;margin-left:0;margin-top:181.15pt;width:610.5pt;height:45.7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" filled="f" stroked="f" strokeweight=".5pt">
                <v:textbox>
                  <w:txbxContent>
                    <w:p w14:paraId="4E3428A9" w14:textId="2348EC9E" w:rsidR="002443C0" w:rsidRDefault="00DE53E6" w:rsidP="00557406">
                      <w:pPr>
                        <w:jc w:val="center"/>
                      </w:pPr>
                      <w:r>
                        <w:t>CONFIDENTIAL PER PROTECTIVE ORDER</w:t>
                      </w:r>
                    </w:p>
                  </w:txbxContent>
                </v:textbox>
                <w10:wrap anchorx="page"/>
              </v:shape>
            </w:pict>
          </mc:Fallback>
        </mc:AlternateContent>
      </w:r>
      <w:r w:rsidR="00615E4A" w:rsidRPr="00EC6DFE">
        <w:t>A.</w:t>
      </w:r>
      <w:r w:rsidR="00615E4A" w:rsidRPr="00EC6DFE">
        <w:tab/>
      </w:r>
      <w:r w:rsidR="00D62D9D">
        <w:t xml:space="preserve">Pro forma </w:t>
      </w:r>
      <w:r w:rsidR="00615E4A">
        <w:t xml:space="preserve">costs increased from </w:t>
      </w:r>
      <w:r w:rsidR="008E193B" w:rsidRPr="008E193B">
        <w:rPr>
          <w:highlight w:val="black"/>
        </w:rPr>
        <w:t>XXXX</w:t>
      </w:r>
      <w:r w:rsidR="00615E4A" w:rsidRPr="00557406">
        <w:rPr>
          <w:highlight w:val="lightGray"/>
        </w:rPr>
        <w:t xml:space="preserve"> </w:t>
      </w:r>
      <w:r w:rsidR="00615E4A">
        <w:t xml:space="preserve">per ton in the 2013 </w:t>
      </w:r>
      <w:r w:rsidR="00992C2E">
        <w:t xml:space="preserve">Rate Case </w:t>
      </w:r>
      <w:r w:rsidR="00615E4A">
        <w:t xml:space="preserve">to </w:t>
      </w:r>
      <w:r w:rsidR="008E193B" w:rsidRPr="008E193B">
        <w:rPr>
          <w:highlight w:val="black"/>
        </w:rPr>
        <w:t>XXXX</w:t>
      </w:r>
      <w:r w:rsidR="00615E4A" w:rsidRPr="00557406">
        <w:rPr>
          <w:highlight w:val="lightGray"/>
        </w:rPr>
        <w:t xml:space="preserve"> </w:t>
      </w:r>
      <w:r w:rsidR="00615E4A">
        <w:t xml:space="preserve">per ton in </w:t>
      </w:r>
      <w:r w:rsidR="00992C2E">
        <w:t>this case</w:t>
      </w:r>
      <w:r w:rsidR="006572B6">
        <w:t>,</w:t>
      </w:r>
      <w:r w:rsidR="00615E4A">
        <w:t xml:space="preserve"> or </w:t>
      </w:r>
      <w:r w:rsidR="006572B6">
        <w:t xml:space="preserve">by </w:t>
      </w:r>
      <w:r w:rsidR="008E193B" w:rsidRPr="008E193B">
        <w:rPr>
          <w:highlight w:val="black"/>
        </w:rPr>
        <w:t>XXX</w:t>
      </w:r>
      <w:r w:rsidR="00615E4A" w:rsidRPr="00557406">
        <w:rPr>
          <w:highlight w:val="lightGray"/>
        </w:rPr>
        <w:t xml:space="preserve"> </w:t>
      </w:r>
      <w:r w:rsidR="00615E4A">
        <w:t xml:space="preserve">per ton.  Approximately </w:t>
      </w:r>
      <w:r w:rsidR="008E193B" w:rsidRPr="008E193B">
        <w:rPr>
          <w:highlight w:val="black"/>
        </w:rPr>
        <w:t>XXX</w:t>
      </w:r>
      <w:r w:rsidR="00615E4A" w:rsidRPr="00557406">
        <w:rPr>
          <w:highlight w:val="lightGray"/>
        </w:rPr>
        <w:t xml:space="preserve"> </w:t>
      </w:r>
      <w:r w:rsidR="00615E4A" w:rsidRPr="00557406">
        <w:t>per ton</w:t>
      </w:r>
      <w:r w:rsidR="00615E4A">
        <w:t xml:space="preserve"> of the increase is associated with increase</w:t>
      </w:r>
      <w:r w:rsidR="00064158">
        <w:t>d</w:t>
      </w:r>
      <w:r w:rsidR="00615E4A">
        <w:t xml:space="preserve"> mine operating costs and </w:t>
      </w:r>
      <w:r w:rsidR="006572B6">
        <w:t xml:space="preserve">approximately </w:t>
      </w:r>
      <w:r w:rsidR="008E193B" w:rsidRPr="008E193B">
        <w:rPr>
          <w:highlight w:val="black"/>
        </w:rPr>
        <w:t>XXX</w:t>
      </w:r>
      <w:r w:rsidR="00615E4A" w:rsidRPr="00557406">
        <w:rPr>
          <w:highlight w:val="lightGray"/>
        </w:rPr>
        <w:t xml:space="preserve"> </w:t>
      </w:r>
      <w:r w:rsidR="00615E4A">
        <w:t xml:space="preserve">per ton </w:t>
      </w:r>
      <w:r w:rsidR="006572B6">
        <w:t xml:space="preserve">is associated </w:t>
      </w:r>
      <w:r w:rsidR="00615E4A">
        <w:t xml:space="preserve">with increased </w:t>
      </w:r>
      <w:r w:rsidR="006572B6">
        <w:t xml:space="preserve">royalties </w:t>
      </w:r>
      <w:r w:rsidR="00615E4A">
        <w:t>and taxes.  The increase in mine operating costs reflects a slight change in stripping ratio</w:t>
      </w:r>
      <w:r w:rsidR="006572B6">
        <w:t xml:space="preserve"> (</w:t>
      </w:r>
      <w:r w:rsidR="00615E4A">
        <w:t>6.8 to 7.0</w:t>
      </w:r>
      <w:r w:rsidR="00615E4A" w:rsidRPr="0006600E">
        <w:t xml:space="preserve"> b</w:t>
      </w:r>
      <w:r w:rsidR="00615E4A">
        <w:t>ank cubic yards</w:t>
      </w:r>
      <w:r w:rsidR="00615E4A" w:rsidRPr="0006600E">
        <w:t>/ton exposed)</w:t>
      </w:r>
      <w:r w:rsidR="006572B6">
        <w:t>,</w:t>
      </w:r>
      <w:r w:rsidR="00615E4A">
        <w:t xml:space="preserve"> increased interim reclamation expense</w:t>
      </w:r>
      <w:r w:rsidR="006572B6">
        <w:t>,</w:t>
      </w:r>
      <w:r w:rsidR="00615E4A">
        <w:t xml:space="preserve"> and increases in labor</w:t>
      </w:r>
      <w:r w:rsidR="006572B6">
        <w:t xml:space="preserve">, </w:t>
      </w:r>
      <w:r w:rsidR="00615E4A">
        <w:t>benefits</w:t>
      </w:r>
      <w:r w:rsidR="006572B6">
        <w:t xml:space="preserve">, </w:t>
      </w:r>
      <w:r w:rsidR="00615E4A">
        <w:t>materials</w:t>
      </w:r>
      <w:r w:rsidR="006572B6">
        <w:t>,</w:t>
      </w:r>
      <w:r w:rsidR="00615E4A">
        <w:t xml:space="preserve"> and supplies.</w:t>
      </w:r>
    </w:p>
    <w:p w14:paraId="4E3427D2" w14:textId="462F4099" w:rsidR="00615E4A" w:rsidRPr="00EC6DFE" w:rsidRDefault="00615E4A" w:rsidP="00615E4A">
      <w:pPr>
        <w:pStyle w:val="BodyTextIndent"/>
        <w:jc w:val="left"/>
        <w:rPr>
          <w:b/>
        </w:rPr>
      </w:pPr>
      <w:r w:rsidRPr="00EC6DFE">
        <w:rPr>
          <w:b/>
        </w:rPr>
        <w:t>Q.</w:t>
      </w:r>
      <w:r w:rsidRPr="00EC6DFE">
        <w:rPr>
          <w:b/>
        </w:rPr>
        <w:tab/>
        <w:t xml:space="preserve">Please explain the coal supply arrangements for the </w:t>
      </w:r>
      <w:r>
        <w:rPr>
          <w:b/>
        </w:rPr>
        <w:t>Jim Bridger</w:t>
      </w:r>
      <w:r w:rsidRPr="00EC6DFE">
        <w:rPr>
          <w:b/>
        </w:rPr>
        <w:t xml:space="preserve"> plant.</w:t>
      </w:r>
    </w:p>
    <w:p w14:paraId="4E3427D3" w14:textId="17BE5CB2" w:rsidR="00615E4A" w:rsidRDefault="00615E4A" w:rsidP="00615E4A">
      <w:pPr>
        <w:pStyle w:val="BodyTextIndent"/>
        <w:jc w:val="left"/>
      </w:pPr>
      <w:r w:rsidRPr="00EC6DFE">
        <w:t>A.</w:t>
      </w:r>
      <w:r w:rsidRPr="00EC6DFE">
        <w:tab/>
      </w:r>
      <w:r>
        <w:t xml:space="preserve">Similar to the 2013 </w:t>
      </w:r>
      <w:r w:rsidR="00992C2E">
        <w:t>Rate Case</w:t>
      </w:r>
      <w:r>
        <w:t>, t</w:t>
      </w:r>
      <w:r w:rsidRPr="00EC6DFE">
        <w:t xml:space="preserve">he </w:t>
      </w:r>
      <w:r>
        <w:t>Jim Bridger plant is expected to be supplied by a combination of supplies from B</w:t>
      </w:r>
      <w:r w:rsidR="00992C2E">
        <w:t>CC</w:t>
      </w:r>
      <w:r>
        <w:t xml:space="preserve"> and </w:t>
      </w:r>
      <w:r w:rsidR="00992C2E">
        <w:t xml:space="preserve">the </w:t>
      </w:r>
      <w:r>
        <w:t>Black Butte</w:t>
      </w:r>
      <w:r w:rsidR="00992C2E">
        <w:t xml:space="preserve"> mine</w:t>
      </w:r>
      <w:r>
        <w:t xml:space="preserve">.  In the 2013 </w:t>
      </w:r>
      <w:r w:rsidR="00992C2E">
        <w:t xml:space="preserve">Rate Case, </w:t>
      </w:r>
      <w:r>
        <w:t>68</w:t>
      </w:r>
      <w:r w:rsidR="00992C2E">
        <w:t xml:space="preserve"> percent</w:t>
      </w:r>
      <w:r>
        <w:t xml:space="preserve"> of the Jim Bridger plant was expected to be supplied by B</w:t>
      </w:r>
      <w:r w:rsidR="00992C2E">
        <w:t>CC</w:t>
      </w:r>
      <w:r>
        <w:t>; comparatively, B</w:t>
      </w:r>
      <w:r w:rsidR="00992C2E">
        <w:t>CC</w:t>
      </w:r>
      <w:r>
        <w:t xml:space="preserve"> suppl</w:t>
      </w:r>
      <w:r w:rsidR="00992C2E">
        <w:t>ies</w:t>
      </w:r>
      <w:r>
        <w:t xml:space="preserve"> 85</w:t>
      </w:r>
      <w:r w:rsidR="00992C2E">
        <w:t xml:space="preserve"> percent</w:t>
      </w:r>
      <w:r>
        <w:t xml:space="preserve"> of the plant requirements </w:t>
      </w:r>
      <w:r w:rsidR="00992C2E">
        <w:t>in this case</w:t>
      </w:r>
      <w:r>
        <w:t>.</w:t>
      </w:r>
    </w:p>
    <w:p w14:paraId="4E3427D4" w14:textId="77777777" w:rsidR="00615E4A" w:rsidRDefault="00615E4A" w:rsidP="00615E4A">
      <w:pPr>
        <w:pStyle w:val="BodyTextIndent"/>
        <w:jc w:val="left"/>
        <w:rPr>
          <w:b/>
        </w:rPr>
      </w:pPr>
      <w:r w:rsidRPr="00EC6DFE">
        <w:rPr>
          <w:b/>
        </w:rPr>
        <w:t>Q.</w:t>
      </w:r>
      <w:r w:rsidRPr="00EC6DFE">
        <w:rPr>
          <w:b/>
        </w:rPr>
        <w:tab/>
      </w:r>
      <w:r>
        <w:rPr>
          <w:b/>
        </w:rPr>
        <w:t>Why is B</w:t>
      </w:r>
      <w:r w:rsidR="00992C2E">
        <w:rPr>
          <w:b/>
        </w:rPr>
        <w:t xml:space="preserve">CC </w:t>
      </w:r>
      <w:r>
        <w:rPr>
          <w:b/>
        </w:rPr>
        <w:t>supplying a greater proportion of the plant requirements in th</w:t>
      </w:r>
      <w:r w:rsidR="00D62D9D">
        <w:rPr>
          <w:b/>
        </w:rPr>
        <w:t>is case</w:t>
      </w:r>
      <w:r>
        <w:rPr>
          <w:b/>
        </w:rPr>
        <w:t xml:space="preserve">? </w:t>
      </w:r>
    </w:p>
    <w:p w14:paraId="4E3427D5" w14:textId="5D83EDF9" w:rsidR="00615E4A" w:rsidRDefault="00615E4A" w:rsidP="00615E4A">
      <w:pPr>
        <w:pStyle w:val="BodyTextIndent"/>
        <w:jc w:val="left"/>
      </w:pPr>
      <w:r w:rsidRPr="004A5A5E">
        <w:t>A.</w:t>
      </w:r>
      <w:r w:rsidRPr="004A5A5E">
        <w:tab/>
        <w:t xml:space="preserve">The increased production reflects </w:t>
      </w:r>
      <w:r w:rsidR="0089332B">
        <w:t>PacifiCorp’s</w:t>
      </w:r>
      <w:r w:rsidRPr="004A5A5E">
        <w:t xml:space="preserve"> efforts to optimize production of </w:t>
      </w:r>
      <w:r w:rsidR="00992C2E">
        <w:t xml:space="preserve">BCC’s </w:t>
      </w:r>
      <w:r w:rsidRPr="004A5A5E">
        <w:t xml:space="preserve">surface and underground operations while it continues to evaluate Black Butte coal supplies </w:t>
      </w:r>
      <w:r w:rsidR="00992C2E">
        <w:t>after the</w:t>
      </w:r>
      <w:r w:rsidRPr="004A5A5E">
        <w:t xml:space="preserve"> expiration of the current coal supply agreement.   </w:t>
      </w:r>
    </w:p>
    <w:p w14:paraId="4E3427D6" w14:textId="6216F1D2" w:rsidR="00615E4A" w:rsidRPr="00EC6DFE" w:rsidRDefault="00615E4A" w:rsidP="00615E4A">
      <w:pPr>
        <w:pStyle w:val="BodyTextIndent"/>
        <w:jc w:val="left"/>
        <w:rPr>
          <w:b/>
        </w:rPr>
      </w:pPr>
      <w:r w:rsidRPr="00EC6DFE">
        <w:rPr>
          <w:b/>
        </w:rPr>
        <w:t>Q.</w:t>
      </w:r>
      <w:r w:rsidRPr="00EC6DFE">
        <w:rPr>
          <w:b/>
        </w:rPr>
        <w:tab/>
        <w:t xml:space="preserve">Please describe the increase </w:t>
      </w:r>
      <w:r w:rsidR="00992C2E">
        <w:rPr>
          <w:b/>
        </w:rPr>
        <w:t>in coal</w:t>
      </w:r>
      <w:r w:rsidR="00D62D9D">
        <w:rPr>
          <w:b/>
        </w:rPr>
        <w:t xml:space="preserve"> supply</w:t>
      </w:r>
      <w:r w:rsidR="00992C2E">
        <w:rPr>
          <w:b/>
        </w:rPr>
        <w:t xml:space="preserve"> to</w:t>
      </w:r>
      <w:r w:rsidRPr="00EC6DFE">
        <w:rPr>
          <w:b/>
        </w:rPr>
        <w:t xml:space="preserve"> the </w:t>
      </w:r>
      <w:r>
        <w:rPr>
          <w:b/>
        </w:rPr>
        <w:t>Jim Bridger plant</w:t>
      </w:r>
      <w:r w:rsidRPr="00EC6DFE">
        <w:rPr>
          <w:b/>
        </w:rPr>
        <w:t>.</w:t>
      </w:r>
    </w:p>
    <w:p w14:paraId="4E3427D7" w14:textId="0CA41D67" w:rsidR="00615E4A" w:rsidRDefault="00615E4A" w:rsidP="00615E4A">
      <w:pPr>
        <w:pStyle w:val="BodyTextIndent"/>
        <w:jc w:val="left"/>
      </w:pPr>
      <w:r w:rsidRPr="00EC6DFE">
        <w:t>A.</w:t>
      </w:r>
      <w:r w:rsidRPr="00EC6DFE">
        <w:tab/>
      </w:r>
      <w:r w:rsidR="00D62D9D">
        <w:t xml:space="preserve">Pro forma </w:t>
      </w:r>
      <w:r>
        <w:t>costs increased from $</w:t>
      </w:r>
      <w:r w:rsidR="0080021F" w:rsidRPr="0080021F">
        <w:rPr>
          <w:highlight w:val="black"/>
        </w:rPr>
        <w:t>XXX</w:t>
      </w:r>
      <w:r w:rsidRPr="00557406">
        <w:rPr>
          <w:highlight w:val="lightGray"/>
        </w:rPr>
        <w:t xml:space="preserve"> </w:t>
      </w:r>
      <w:r>
        <w:t xml:space="preserve">per ton in the 2013 </w:t>
      </w:r>
      <w:r w:rsidR="00D62D9D">
        <w:t>Rate Case</w:t>
      </w:r>
      <w:r>
        <w:t xml:space="preserve"> to $</w:t>
      </w:r>
      <w:r w:rsidR="0080021F" w:rsidRPr="0080021F">
        <w:rPr>
          <w:highlight w:val="black"/>
        </w:rPr>
        <w:t>XXXX</w:t>
      </w:r>
      <w:r w:rsidRPr="00557406">
        <w:rPr>
          <w:highlight w:val="lightGray"/>
        </w:rPr>
        <w:t xml:space="preserve"> </w:t>
      </w:r>
      <w:r>
        <w:t xml:space="preserve">per ton in </w:t>
      </w:r>
      <w:r w:rsidR="00D62D9D">
        <w:t>this case,</w:t>
      </w:r>
      <w:r>
        <w:t xml:space="preserve"> or </w:t>
      </w:r>
      <w:r w:rsidR="006572B6">
        <w:t xml:space="preserve">by </w:t>
      </w:r>
      <w:r>
        <w:t>$</w:t>
      </w:r>
      <w:r w:rsidR="0080021F" w:rsidRPr="0080021F">
        <w:rPr>
          <w:highlight w:val="black"/>
        </w:rPr>
        <w:t>XX</w:t>
      </w:r>
      <w:r w:rsidRPr="00557406">
        <w:rPr>
          <w:highlight w:val="lightGray"/>
        </w:rPr>
        <w:t xml:space="preserve"> </w:t>
      </w:r>
      <w:r>
        <w:t>per ton</w:t>
      </w:r>
      <w:r w:rsidR="00D62D9D">
        <w:t>,</w:t>
      </w:r>
      <w:r>
        <w:t xml:space="preserve"> </w:t>
      </w:r>
      <w:r w:rsidR="006572B6">
        <w:t>reflecting i</w:t>
      </w:r>
      <w:r>
        <w:t xml:space="preserve">ncreases in both </w:t>
      </w:r>
      <w:r w:rsidR="00C661E6">
        <w:t xml:space="preserve">BCC and </w:t>
      </w:r>
      <w:r>
        <w:t xml:space="preserve">Black Butte supply costs.  </w:t>
      </w:r>
    </w:p>
    <w:p w14:paraId="4E3427D8" w14:textId="4FB3B500" w:rsidR="00615E4A" w:rsidRPr="00477139" w:rsidRDefault="00615E4A" w:rsidP="00615E4A">
      <w:pPr>
        <w:pStyle w:val="BodyTextIndent"/>
        <w:jc w:val="left"/>
        <w:rPr>
          <w:b/>
        </w:rPr>
      </w:pPr>
      <w:r w:rsidRPr="00477139">
        <w:rPr>
          <w:b/>
        </w:rPr>
        <w:t xml:space="preserve">Q.  </w:t>
      </w:r>
      <w:r w:rsidRPr="00477139">
        <w:rPr>
          <w:b/>
        </w:rPr>
        <w:tab/>
      </w:r>
      <w:r>
        <w:rPr>
          <w:b/>
        </w:rPr>
        <w:t>Please explain the Black Butte coal supply agreement.</w:t>
      </w:r>
    </w:p>
    <w:p w14:paraId="4E3427D9" w14:textId="087B8580" w:rsidR="00615E4A" w:rsidRDefault="00615E4A" w:rsidP="00796934">
      <w:pPr>
        <w:pStyle w:val="BodyTextIndent"/>
        <w:widowControl/>
        <w:jc w:val="left"/>
      </w:pPr>
      <w:r w:rsidRPr="004A5A5E">
        <w:t>A.</w:t>
      </w:r>
      <w:r w:rsidRPr="004A5A5E">
        <w:tab/>
        <w:t xml:space="preserve">The </w:t>
      </w:r>
      <w:r>
        <w:t xml:space="preserve">current </w:t>
      </w:r>
      <w:r w:rsidRPr="004A5A5E">
        <w:t xml:space="preserve">Black Butte </w:t>
      </w:r>
      <w:r w:rsidR="006572B6" w:rsidRPr="004A5A5E">
        <w:t>co</w:t>
      </w:r>
      <w:r w:rsidR="006572B6">
        <w:t>al</w:t>
      </w:r>
      <w:r w:rsidR="006572B6" w:rsidRPr="004A5A5E">
        <w:t xml:space="preserve"> </w:t>
      </w:r>
      <w:r>
        <w:t>supply agreement extends through 2014</w:t>
      </w:r>
      <w:r w:rsidR="0089332B">
        <w:t>,</w:t>
      </w:r>
      <w:r>
        <w:t xml:space="preserve"> with extension into 2015 to allow for delivery of previously deferred contract tonnage.  The previously deferred contract tonnage is projected to be delivered in the first quarter of 2015.</w:t>
      </w:r>
    </w:p>
    <w:p w14:paraId="4E3427DA" w14:textId="7109F251" w:rsidR="002443C0" w:rsidRDefault="002443C0" w:rsidP="002443C0">
      <w:pPr>
        <w:pStyle w:val="BodyTextIndent"/>
        <w:widowControl/>
        <w:suppressLineNumbers/>
        <w:jc w:val="left"/>
      </w:pPr>
    </w:p>
    <w:p w14:paraId="4E3427DB" w14:textId="7048D8B9" w:rsidR="002443C0" w:rsidRDefault="00DE53E6" w:rsidP="002443C0">
      <w:pPr>
        <w:pStyle w:val="BodyTextIndent"/>
        <w:widowControl/>
        <w:suppressLineNumbers/>
        <w:jc w:val="left"/>
      </w:pPr>
      <w:r>
        <w:rPr>
          <w:noProof/>
        </w:rPr>
        <mc:AlternateContent>
          <mc:Choice Requires="wps">
            <w:drawing>
              <wp:anchor distT="0" distB="0" distL="114300" distR="114300" simplePos="0" relativeHeight="251667456" behindDoc="0" locked="0" layoutInCell="1" allowOverlap="1" wp14:anchorId="35AF33BC" wp14:editId="30E74D7E">
                <wp:simplePos x="0" y="0"/>
                <wp:positionH relativeFrom="page">
                  <wp:align>left</wp:align>
                </wp:positionH>
                <wp:positionV relativeFrom="paragraph">
                  <wp:posOffset>973142</wp:posOffset>
                </wp:positionV>
                <wp:extent cx="7753350" cy="5810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753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7A8F0" w14:textId="77777777" w:rsidR="00DE53E6" w:rsidRDefault="00DE53E6" w:rsidP="00DE53E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AF33BC" id="Text Box 10" o:spid="_x0000_s1027" type="#_x0000_t202" style="position:absolute;left:0;text-align:left;margin-left:0;margin-top:76.65pt;width:610.5pt;height:45.75pt;z-index:25166745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" filled="f" stroked="f" strokeweight=".5pt">
                <v:textbox>
                  <w:txbxContent>
                    <w:p w14:paraId="36E7A8F0" w14:textId="77777777" w:rsidR="00DE53E6" w:rsidRDefault="00DE53E6" w:rsidP="00DE53E6">
                      <w:pPr>
                        <w:jc w:val="center"/>
                      </w:pPr>
                      <w:r>
                        <w:t>CONFIDENTIAL PER PROTECTIVE ORDER</w:t>
                      </w:r>
                    </w:p>
                  </w:txbxContent>
                </v:textbox>
                <w10:wrap anchorx="page"/>
              </v:shape>
            </w:pict>
          </mc:Fallback>
        </mc:AlternateContent>
      </w:r>
    </w:p>
    <w:p w14:paraId="4E3427DC" w14:textId="7A390A1F" w:rsidR="00615E4A" w:rsidRPr="009F30DE" w:rsidRDefault="00615E4A" w:rsidP="00615E4A">
      <w:pPr>
        <w:pStyle w:val="BodyTextIndent"/>
        <w:jc w:val="left"/>
        <w:rPr>
          <w:b/>
        </w:rPr>
      </w:pPr>
      <w:r w:rsidRPr="009F30DE">
        <w:rPr>
          <w:b/>
        </w:rPr>
        <w:t>Q.</w:t>
      </w:r>
      <w:r w:rsidRPr="009F30DE">
        <w:rPr>
          <w:b/>
        </w:rPr>
        <w:tab/>
        <w:t>If the current Black Butte coal supply agreement terminates by the first quarter of 2015</w:t>
      </w:r>
      <w:r w:rsidR="00D62D9D">
        <w:rPr>
          <w:b/>
        </w:rPr>
        <w:t xml:space="preserve">, </w:t>
      </w:r>
      <w:r w:rsidRPr="009F30DE">
        <w:rPr>
          <w:b/>
        </w:rPr>
        <w:t xml:space="preserve">what is </w:t>
      </w:r>
      <w:r w:rsidR="00463AC9">
        <w:rPr>
          <w:b/>
        </w:rPr>
        <w:t xml:space="preserve">the basis for the pro forma </w:t>
      </w:r>
      <w:r w:rsidR="0089332B">
        <w:rPr>
          <w:b/>
        </w:rPr>
        <w:t xml:space="preserve">Black Butte </w:t>
      </w:r>
      <w:r w:rsidR="00463AC9">
        <w:rPr>
          <w:b/>
        </w:rPr>
        <w:t xml:space="preserve">costs </w:t>
      </w:r>
      <w:r w:rsidRPr="009F30DE">
        <w:rPr>
          <w:b/>
        </w:rPr>
        <w:t>in th</w:t>
      </w:r>
      <w:r w:rsidR="00463AC9">
        <w:rPr>
          <w:b/>
        </w:rPr>
        <w:t>is case</w:t>
      </w:r>
      <w:r w:rsidRPr="009F30DE">
        <w:rPr>
          <w:b/>
        </w:rPr>
        <w:t>?</w:t>
      </w:r>
    </w:p>
    <w:p w14:paraId="4E3427DD" w14:textId="2A95781A" w:rsidR="00615E4A" w:rsidRDefault="00615E4A" w:rsidP="00615E4A">
      <w:pPr>
        <w:pStyle w:val="BodyTextIndent"/>
        <w:jc w:val="left"/>
      </w:pPr>
      <w:r>
        <w:t>A.</w:t>
      </w:r>
      <w:r>
        <w:tab/>
        <w:t xml:space="preserve">The Company assumed the same pricing terms </w:t>
      </w:r>
      <w:r w:rsidR="006572B6">
        <w:t xml:space="preserve">used </w:t>
      </w:r>
      <w:r>
        <w:t xml:space="preserve">for delivery of contract deferred tonnage in the first quarter of 2015.  </w:t>
      </w:r>
      <w:r w:rsidR="00463AC9">
        <w:t xml:space="preserve">The Company used a </w:t>
      </w:r>
      <w:r w:rsidRPr="004A5A5E">
        <w:t>Black Butte Free-on-Board (F.O.B.) mine price of $</w:t>
      </w:r>
      <w:r w:rsidR="0080021F" w:rsidRPr="0080021F">
        <w:rPr>
          <w:highlight w:val="black"/>
        </w:rPr>
        <w:t>XXX</w:t>
      </w:r>
      <w:r w:rsidRPr="00557406">
        <w:rPr>
          <w:highlight w:val="lightGray"/>
        </w:rPr>
        <w:t xml:space="preserve"> </w:t>
      </w:r>
      <w:r w:rsidRPr="004A5A5E">
        <w:t>per ton</w:t>
      </w:r>
      <w:r w:rsidR="00463AC9">
        <w:t>,</w:t>
      </w:r>
      <w:r w:rsidRPr="004A5A5E">
        <w:t xml:space="preserve"> </w:t>
      </w:r>
      <w:r>
        <w:t xml:space="preserve">representing </w:t>
      </w:r>
      <w:bookmarkStart w:id="14" w:name="OLE_LINK7"/>
      <w:bookmarkStart w:id="15" w:name="OLE_LINK8"/>
      <w:r>
        <w:t>a $</w:t>
      </w:r>
      <w:r w:rsidR="0080021F" w:rsidRPr="0080021F">
        <w:rPr>
          <w:highlight w:val="black"/>
        </w:rPr>
        <w:t>XX</w:t>
      </w:r>
      <w:r w:rsidRPr="00557406">
        <w:rPr>
          <w:highlight w:val="lightGray"/>
        </w:rPr>
        <w:t xml:space="preserve"> </w:t>
      </w:r>
      <w:r>
        <w:t xml:space="preserve">per ton increase above the </w:t>
      </w:r>
      <w:r w:rsidRPr="004A5A5E">
        <w:t>$</w:t>
      </w:r>
      <w:r w:rsidR="0080021F" w:rsidRPr="0080021F">
        <w:rPr>
          <w:highlight w:val="black"/>
        </w:rPr>
        <w:t>XXX</w:t>
      </w:r>
      <w:r w:rsidRPr="00557406">
        <w:rPr>
          <w:highlight w:val="lightGray"/>
        </w:rPr>
        <w:t xml:space="preserve"> </w:t>
      </w:r>
      <w:r w:rsidRPr="004A5A5E">
        <w:t>per ton</w:t>
      </w:r>
      <w:r>
        <w:t xml:space="preserve"> F.O.B. mine price </w:t>
      </w:r>
      <w:r w:rsidR="006572B6">
        <w:t xml:space="preserve">used </w:t>
      </w:r>
      <w:r>
        <w:t xml:space="preserve">in 2013 </w:t>
      </w:r>
      <w:r w:rsidR="00463AC9">
        <w:t>Rate Case</w:t>
      </w:r>
      <w:r>
        <w:t xml:space="preserve">.  </w:t>
      </w:r>
    </w:p>
    <w:p w14:paraId="4E3427DE" w14:textId="70CB93F3" w:rsidR="00615E4A" w:rsidRDefault="00615E4A" w:rsidP="00615E4A">
      <w:pPr>
        <w:pStyle w:val="BodyTextIndent"/>
        <w:jc w:val="left"/>
        <w:rPr>
          <w:b/>
        </w:rPr>
      </w:pPr>
      <w:r>
        <w:tab/>
      </w:r>
      <w:r w:rsidR="00AC0FD9">
        <w:tab/>
      </w:r>
      <w:r>
        <w:t xml:space="preserve">Including Union Pacific </w:t>
      </w:r>
      <w:r w:rsidR="00064158">
        <w:t xml:space="preserve">rail </w:t>
      </w:r>
      <w:r>
        <w:t xml:space="preserve">transportation costs from the Black Butte mine to the Jim Bridger plant and application of anti-freeze agent to the railcars during the winter months, the delivered cost of Black Butte coal </w:t>
      </w:r>
      <w:r w:rsidR="006572B6">
        <w:t xml:space="preserve">will </w:t>
      </w:r>
      <w:r>
        <w:t>increase from $</w:t>
      </w:r>
      <w:r w:rsidR="0080021F" w:rsidRPr="0080021F">
        <w:rPr>
          <w:highlight w:val="black"/>
        </w:rPr>
        <w:t>XXX</w:t>
      </w:r>
      <w:r w:rsidRPr="00557406">
        <w:rPr>
          <w:highlight w:val="lightGray"/>
        </w:rPr>
        <w:t xml:space="preserve"> </w:t>
      </w:r>
      <w:r>
        <w:t xml:space="preserve">per ton in the 2013 </w:t>
      </w:r>
      <w:r w:rsidR="00463AC9">
        <w:t>Rate Case</w:t>
      </w:r>
      <w:r>
        <w:t xml:space="preserve"> to $</w:t>
      </w:r>
      <w:r w:rsidR="0080021F" w:rsidRPr="0080021F">
        <w:rPr>
          <w:highlight w:val="black"/>
        </w:rPr>
        <w:t>XXX</w:t>
      </w:r>
      <w:r w:rsidRPr="00557406">
        <w:rPr>
          <w:highlight w:val="lightGray"/>
        </w:rPr>
        <w:t xml:space="preserve"> </w:t>
      </w:r>
      <w:r>
        <w:t xml:space="preserve">per ton in </w:t>
      </w:r>
      <w:r w:rsidR="00463AC9">
        <w:t xml:space="preserve">this case, </w:t>
      </w:r>
      <w:r>
        <w:t xml:space="preserve">or </w:t>
      </w:r>
      <w:r w:rsidR="006572B6">
        <w:t xml:space="preserve">by </w:t>
      </w:r>
      <w:r>
        <w:t>$</w:t>
      </w:r>
      <w:r w:rsidR="0080021F" w:rsidRPr="0080021F">
        <w:rPr>
          <w:highlight w:val="black"/>
        </w:rPr>
        <w:t>XX</w:t>
      </w:r>
      <w:r w:rsidRPr="00557406">
        <w:rPr>
          <w:highlight w:val="lightGray"/>
        </w:rPr>
        <w:t xml:space="preserve"> </w:t>
      </w:r>
      <w:r>
        <w:t xml:space="preserve">per ton. </w:t>
      </w:r>
      <w:bookmarkEnd w:id="14"/>
      <w:bookmarkEnd w:id="15"/>
    </w:p>
    <w:p w14:paraId="4E3427DF" w14:textId="04CAAAC6" w:rsidR="00615E4A" w:rsidRDefault="00615E4A" w:rsidP="00615E4A">
      <w:pPr>
        <w:pStyle w:val="BodyTextIndent"/>
        <w:jc w:val="left"/>
        <w:rPr>
          <w:b/>
        </w:rPr>
      </w:pPr>
      <w:r w:rsidRPr="009F30DE">
        <w:rPr>
          <w:b/>
        </w:rPr>
        <w:t>Q.</w:t>
      </w:r>
      <w:r w:rsidRPr="009F30DE">
        <w:rPr>
          <w:b/>
        </w:rPr>
        <w:tab/>
      </w:r>
      <w:r w:rsidR="0031367B">
        <w:rPr>
          <w:b/>
        </w:rPr>
        <w:t>Is</w:t>
      </w:r>
      <w:r w:rsidR="0031367B" w:rsidRPr="009F30DE">
        <w:rPr>
          <w:b/>
        </w:rPr>
        <w:t xml:space="preserve"> </w:t>
      </w:r>
      <w:r w:rsidRPr="009F30DE">
        <w:rPr>
          <w:b/>
        </w:rPr>
        <w:t xml:space="preserve">the </w:t>
      </w:r>
      <w:r>
        <w:rPr>
          <w:b/>
        </w:rPr>
        <w:t xml:space="preserve">Company projecting a similar increase for </w:t>
      </w:r>
      <w:r w:rsidR="00463AC9">
        <w:rPr>
          <w:b/>
        </w:rPr>
        <w:t xml:space="preserve">pro forma </w:t>
      </w:r>
      <w:r>
        <w:rPr>
          <w:b/>
        </w:rPr>
        <w:t>B</w:t>
      </w:r>
      <w:r w:rsidR="00463AC9">
        <w:rPr>
          <w:b/>
        </w:rPr>
        <w:t>CC</w:t>
      </w:r>
      <w:r>
        <w:rPr>
          <w:b/>
        </w:rPr>
        <w:t xml:space="preserve"> costs?</w:t>
      </w:r>
    </w:p>
    <w:p w14:paraId="4E3427E0" w14:textId="6843DD15" w:rsidR="00615E4A" w:rsidRDefault="00615E4A" w:rsidP="00615E4A">
      <w:pPr>
        <w:pStyle w:val="BodyTextIndent"/>
        <w:jc w:val="left"/>
      </w:pPr>
      <w:r w:rsidRPr="00C607AA">
        <w:t>A.</w:t>
      </w:r>
      <w:r w:rsidRPr="00C607AA">
        <w:tab/>
        <w:t>Yes.  B</w:t>
      </w:r>
      <w:r w:rsidR="00463AC9">
        <w:t>CC</w:t>
      </w:r>
      <w:r w:rsidRPr="00C607AA">
        <w:t xml:space="preserve"> costs </w:t>
      </w:r>
      <w:r w:rsidR="006572B6">
        <w:t>will</w:t>
      </w:r>
      <w:r w:rsidR="006572B6" w:rsidRPr="00C607AA">
        <w:t xml:space="preserve"> </w:t>
      </w:r>
      <w:r w:rsidRPr="00C607AA">
        <w:t>increase from $</w:t>
      </w:r>
      <w:r w:rsidR="0080021F" w:rsidRPr="0080021F">
        <w:rPr>
          <w:highlight w:val="black"/>
        </w:rPr>
        <w:t>XXX</w:t>
      </w:r>
      <w:r w:rsidRPr="00557406">
        <w:rPr>
          <w:highlight w:val="lightGray"/>
        </w:rPr>
        <w:t xml:space="preserve"> </w:t>
      </w:r>
      <w:r w:rsidRPr="00C607AA">
        <w:t>per ton to $</w:t>
      </w:r>
      <w:r w:rsidR="0080021F" w:rsidRPr="0080021F">
        <w:rPr>
          <w:highlight w:val="black"/>
        </w:rPr>
        <w:t>XXX</w:t>
      </w:r>
      <w:r w:rsidR="00463AC9">
        <w:t>,</w:t>
      </w:r>
      <w:r w:rsidRPr="00C607AA">
        <w:t xml:space="preserve"> or </w:t>
      </w:r>
      <w:r w:rsidR="006572B6">
        <w:t xml:space="preserve">by </w:t>
      </w:r>
      <w:r w:rsidRPr="00C607AA">
        <w:t>$</w:t>
      </w:r>
      <w:r w:rsidR="0080021F" w:rsidRPr="0080021F">
        <w:rPr>
          <w:highlight w:val="black"/>
        </w:rPr>
        <w:t>XX</w:t>
      </w:r>
      <w:r w:rsidRPr="00557406">
        <w:rPr>
          <w:highlight w:val="lightGray"/>
        </w:rPr>
        <w:t xml:space="preserve"> </w:t>
      </w:r>
      <w:r w:rsidRPr="00C607AA">
        <w:t>per ton.</w:t>
      </w:r>
      <w:r>
        <w:t xml:space="preserve">  As reflected in </w:t>
      </w:r>
      <w:r w:rsidR="00463AC9">
        <w:t>Confidential T</w:t>
      </w:r>
      <w:r>
        <w:t xml:space="preserve">able </w:t>
      </w:r>
      <w:r w:rsidR="00463AC9">
        <w:t xml:space="preserve">5 </w:t>
      </w:r>
      <w:r>
        <w:t>below</w:t>
      </w:r>
      <w:r w:rsidR="00463AC9">
        <w:t>,</w:t>
      </w:r>
      <w:r>
        <w:t xml:space="preserve"> the increase in </w:t>
      </w:r>
      <w:r w:rsidR="00463AC9">
        <w:t xml:space="preserve">pro forma </w:t>
      </w:r>
      <w:r>
        <w:t>B</w:t>
      </w:r>
      <w:r w:rsidR="00463AC9">
        <w:t xml:space="preserve">CC </w:t>
      </w:r>
      <w:r>
        <w:t xml:space="preserve">costs is primarily associated with the </w:t>
      </w:r>
      <w:r w:rsidR="00E86394">
        <w:t>BCC</w:t>
      </w:r>
      <w:r>
        <w:t xml:space="preserve"> underground</w:t>
      </w:r>
      <w:r w:rsidR="00E86394">
        <w:t xml:space="preserve"> mine</w:t>
      </w:r>
      <w:r>
        <w:t>.</w:t>
      </w:r>
    </w:p>
    <w:p w14:paraId="4E3427E1" w14:textId="6502322D" w:rsidR="00615E4A" w:rsidRDefault="00E86394" w:rsidP="00D0367C">
      <w:pPr>
        <w:pStyle w:val="BodyTextIndent"/>
        <w:suppressLineNumbers/>
        <w:jc w:val="center"/>
        <w:rPr>
          <w:noProof/>
        </w:rPr>
      </w:pPr>
      <w:r w:rsidRPr="00557406">
        <w:rPr>
          <w:b/>
        </w:rPr>
        <w:t xml:space="preserve">Confidential </w:t>
      </w:r>
      <w:r w:rsidR="00463AC9" w:rsidRPr="00557406">
        <w:rPr>
          <w:b/>
        </w:rPr>
        <w:t>Table 5</w:t>
      </w:r>
    </w:p>
    <w:p w14:paraId="54B0E24D" w14:textId="77777777" w:rsidR="0080021F" w:rsidRDefault="0080021F" w:rsidP="00D0367C">
      <w:pPr>
        <w:pStyle w:val="BodyTextIndent"/>
        <w:suppressLineNumbers/>
        <w:jc w:val="center"/>
        <w:rPr>
          <w:noProof/>
        </w:rPr>
      </w:pPr>
    </w:p>
    <w:p w14:paraId="3690FE98" w14:textId="6A3CD817" w:rsidR="0080021F" w:rsidRPr="0080021F" w:rsidRDefault="0080021F" w:rsidP="00D0367C">
      <w:pPr>
        <w:pStyle w:val="BodyTextIndent"/>
        <w:suppressLineNumbers/>
        <w:jc w:val="center"/>
        <w:rPr>
          <w:b/>
          <w:noProof/>
        </w:rPr>
      </w:pPr>
      <w:r>
        <w:rPr>
          <w:b/>
          <w:noProof/>
        </w:rPr>
        <w:t>REDACTED IN ITS ENTIRETY</w:t>
      </w:r>
    </w:p>
    <w:p w14:paraId="7EA7F3B6" w14:textId="77777777" w:rsidR="0080021F" w:rsidRDefault="0080021F" w:rsidP="00D0367C">
      <w:pPr>
        <w:pStyle w:val="BodyTextIndent"/>
        <w:suppressLineNumbers/>
        <w:jc w:val="center"/>
        <w:rPr>
          <w:b/>
        </w:rPr>
      </w:pPr>
    </w:p>
    <w:p w14:paraId="4E3427E2" w14:textId="0CA35FB2" w:rsidR="00615E4A" w:rsidRPr="00EF7005" w:rsidRDefault="00615E4A" w:rsidP="00796934">
      <w:pPr>
        <w:pStyle w:val="BodyTextIndent"/>
        <w:keepNext/>
        <w:keepLines/>
        <w:widowControl/>
        <w:tabs>
          <w:tab w:val="clear" w:pos="720"/>
        </w:tabs>
        <w:jc w:val="left"/>
        <w:rPr>
          <w:b/>
        </w:rPr>
      </w:pPr>
      <w:r w:rsidRPr="00EF7005">
        <w:rPr>
          <w:b/>
        </w:rPr>
        <w:t>Q.</w:t>
      </w:r>
      <w:r w:rsidRPr="00EF7005">
        <w:rPr>
          <w:b/>
        </w:rPr>
        <w:tab/>
      </w:r>
      <w:r>
        <w:rPr>
          <w:b/>
        </w:rPr>
        <w:t xml:space="preserve">Please explain why coal production from </w:t>
      </w:r>
      <w:r w:rsidR="00E86394">
        <w:rPr>
          <w:b/>
        </w:rPr>
        <w:t>BCC’s</w:t>
      </w:r>
      <w:r>
        <w:rPr>
          <w:b/>
        </w:rPr>
        <w:t xml:space="preserve"> surface mine is increasing almost 300</w:t>
      </w:r>
      <w:r w:rsidR="00E86394">
        <w:rPr>
          <w:b/>
        </w:rPr>
        <w:t xml:space="preserve"> percent in the pro forma period</w:t>
      </w:r>
      <w:r w:rsidR="006572B6">
        <w:rPr>
          <w:b/>
        </w:rPr>
        <w:t>.</w:t>
      </w:r>
    </w:p>
    <w:p w14:paraId="4E3427E3" w14:textId="7D00958D" w:rsidR="00615E4A" w:rsidRPr="00EF7005" w:rsidRDefault="00DE53E6" w:rsidP="00615E4A">
      <w:pPr>
        <w:pStyle w:val="BodyTextIndent"/>
        <w:tabs>
          <w:tab w:val="clear" w:pos="720"/>
        </w:tabs>
        <w:jc w:val="left"/>
      </w:pPr>
      <w:r>
        <w:rPr>
          <w:noProof/>
        </w:rPr>
        <mc:AlternateContent>
          <mc:Choice Requires="wps">
            <w:drawing>
              <wp:anchor distT="0" distB="0" distL="114300" distR="114300" simplePos="0" relativeHeight="251669504" behindDoc="0" locked="0" layoutInCell="1" allowOverlap="1" wp14:anchorId="7C79A696" wp14:editId="52B1120B">
                <wp:simplePos x="0" y="0"/>
                <wp:positionH relativeFrom="page">
                  <wp:posOffset>-8906</wp:posOffset>
                </wp:positionH>
                <wp:positionV relativeFrom="paragraph">
                  <wp:posOffset>1496687</wp:posOffset>
                </wp:positionV>
                <wp:extent cx="7753350" cy="5810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753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072EF" w14:textId="77777777" w:rsidR="00DE53E6" w:rsidRDefault="00DE53E6" w:rsidP="00DE53E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9A696" id="Text Box 12" o:spid="_x0000_s1028" type="#_x0000_t202" style="position:absolute;left:0;text-align:left;margin-left:-.7pt;margin-top:117.85pt;width:610.5pt;height:45.75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" filled="f" stroked="f" strokeweight=".5pt">
                <v:textbox>
                  <w:txbxContent>
                    <w:p w14:paraId="440072EF" w14:textId="77777777" w:rsidR="00DE53E6" w:rsidRDefault="00DE53E6" w:rsidP="00DE53E6">
                      <w:pPr>
                        <w:jc w:val="center"/>
                      </w:pPr>
                      <w:r>
                        <w:t>CONFIDENTIAL PER PROTECTIVE ORDER</w:t>
                      </w:r>
                    </w:p>
                  </w:txbxContent>
                </v:textbox>
                <w10:wrap anchorx="page"/>
              </v:shape>
            </w:pict>
          </mc:Fallback>
        </mc:AlternateContent>
      </w:r>
      <w:r w:rsidR="00615E4A" w:rsidRPr="00EF7005">
        <w:t>A.</w:t>
      </w:r>
      <w:r w:rsidR="00615E4A" w:rsidRPr="00EF7005">
        <w:tab/>
      </w:r>
      <w:r w:rsidR="00615E4A">
        <w:t>The increase in B</w:t>
      </w:r>
      <w:r w:rsidR="00E86394">
        <w:t>CC</w:t>
      </w:r>
      <w:r w:rsidR="00615E4A">
        <w:t xml:space="preserve"> surface production coincides with the expiration of the current Black Butte coal supply agreement and reflects an increased optimization of </w:t>
      </w:r>
      <w:r w:rsidR="00E86394">
        <w:t>BCC</w:t>
      </w:r>
      <w:r w:rsidR="00615E4A">
        <w:t xml:space="preserve"> assets.  </w:t>
      </w:r>
      <w:r w:rsidR="00E86394">
        <w:t>BCC</w:t>
      </w:r>
      <w:r w:rsidR="00615E4A">
        <w:t xml:space="preserve"> is able to </w:t>
      </w:r>
      <w:r w:rsidR="006572B6">
        <w:t xml:space="preserve">use </w:t>
      </w:r>
      <w:r w:rsidR="00615E4A">
        <w:t xml:space="preserve">both draglines in surface coal production on a full time basis and distribute the fixed and non-variable charges over increased production.  </w:t>
      </w:r>
    </w:p>
    <w:p w14:paraId="4E3427E4" w14:textId="77777777" w:rsidR="00615E4A" w:rsidRPr="00EF7005" w:rsidRDefault="002443C0" w:rsidP="00615E4A">
      <w:pPr>
        <w:pStyle w:val="BodyTextIndent"/>
        <w:keepNext/>
        <w:tabs>
          <w:tab w:val="clear" w:pos="720"/>
        </w:tabs>
        <w:jc w:val="left"/>
        <w:rPr>
          <w:b/>
        </w:rPr>
      </w:pPr>
      <w:r>
        <w:rPr>
          <w:noProof/>
        </w:rPr>
        <mc:AlternateContent>
          <mc:Choice Requires="wps">
            <w:drawing>
              <wp:anchor distT="0" distB="0" distL="114300" distR="114300" simplePos="0" relativeHeight="251665408" behindDoc="0" locked="0" layoutInCell="1" allowOverlap="1" wp14:anchorId="4E34287B" wp14:editId="4E34287C">
                <wp:simplePos x="0" y="0"/>
                <wp:positionH relativeFrom="column">
                  <wp:posOffset>-1152525</wp:posOffset>
                </wp:positionH>
                <wp:positionV relativeFrom="paragraph">
                  <wp:posOffset>-931545</wp:posOffset>
                </wp:positionV>
                <wp:extent cx="7781925" cy="581025"/>
                <wp:effectExtent l="0" t="0" r="0" b="0"/>
                <wp:wrapNone/>
                <wp:docPr id="9" name="Text Box 9"/>
                <wp:cNvGraphicFramePr/>
                <a:graphic xmlns:a="http://schemas.openxmlformats.org/drawingml/2006/main">
                  <a:graphicData uri="http://schemas.microsoft.com/office/word/2010/wordprocessingShape">
                    <wps:wsp>
                      <wps:cNvSpPr txBox="1"/>
                      <wps:spPr>
                        <a:xfrm>
                          <a:off x="0" y="0"/>
                          <a:ext cx="77819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428AC" w14:textId="77777777" w:rsidR="002443C0" w:rsidRDefault="00557406" w:rsidP="00557406">
                            <w:pPr>
                              <w:jc w:val="center"/>
                            </w:pPr>
                            <w: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34287B" id="Text Box 9" o:spid="_x0000_s1029" type="#_x0000_t202" style="position:absolute;left:0;text-align:left;margin-left:-90.75pt;margin-top:-73.35pt;width:612.75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" filled="f" stroked="f" strokeweight=".5pt">
                <v:textbox>
                  <w:txbxContent>
                    <w:p w14:paraId="4E3428AC" w14:textId="77777777" w:rsidR="002443C0" w:rsidRDefault="00557406" w:rsidP="00557406">
                      <w:pPr>
                        <w:jc w:val="center"/>
                      </w:pPr>
                      <w:r>
                        <w:t>CONFIDENTIAL PER WAC 480-07-160</w:t>
                      </w:r>
                    </w:p>
                  </w:txbxContent>
                </v:textbox>
              </v:shape>
            </w:pict>
          </mc:Fallback>
        </mc:AlternateContent>
      </w:r>
      <w:r w:rsidR="00615E4A" w:rsidRPr="00EF7005">
        <w:rPr>
          <w:b/>
        </w:rPr>
        <w:t>Q.</w:t>
      </w:r>
      <w:r w:rsidR="00615E4A" w:rsidRPr="00EF7005">
        <w:rPr>
          <w:b/>
        </w:rPr>
        <w:tab/>
      </w:r>
      <w:r w:rsidR="00E86394">
        <w:rPr>
          <w:b/>
        </w:rPr>
        <w:t>Please explain the</w:t>
      </w:r>
      <w:r w:rsidR="00615E4A">
        <w:rPr>
          <w:b/>
        </w:rPr>
        <w:t xml:space="preserve"> </w:t>
      </w:r>
      <w:r w:rsidR="00E86394">
        <w:rPr>
          <w:b/>
        </w:rPr>
        <w:t xml:space="preserve">cause of the </w:t>
      </w:r>
      <w:r w:rsidR="00615E4A">
        <w:rPr>
          <w:b/>
        </w:rPr>
        <w:t xml:space="preserve">increased costs of </w:t>
      </w:r>
      <w:r w:rsidR="00E86394">
        <w:rPr>
          <w:b/>
        </w:rPr>
        <w:t xml:space="preserve">coal from the BCC </w:t>
      </w:r>
      <w:r w:rsidR="00615E4A">
        <w:rPr>
          <w:b/>
        </w:rPr>
        <w:t>underground</w:t>
      </w:r>
      <w:r w:rsidR="00E86394">
        <w:rPr>
          <w:b/>
        </w:rPr>
        <w:t xml:space="preserve"> mine.  </w:t>
      </w:r>
    </w:p>
    <w:p w14:paraId="4E3427E5" w14:textId="4700C696" w:rsidR="00615E4A" w:rsidRDefault="00615E4A" w:rsidP="006D14A9">
      <w:pPr>
        <w:spacing w:line="480" w:lineRule="auto"/>
        <w:ind w:left="720" w:hanging="720"/>
        <w:jc w:val="left"/>
      </w:pPr>
      <w:r w:rsidRPr="00EF7005">
        <w:t>A.</w:t>
      </w:r>
      <w:r w:rsidRPr="00EF7005">
        <w:tab/>
      </w:r>
      <w:r>
        <w:t>The increase in B</w:t>
      </w:r>
      <w:r w:rsidR="00E86394">
        <w:t>CC</w:t>
      </w:r>
      <w:r>
        <w:t xml:space="preserve"> underground </w:t>
      </w:r>
      <w:r w:rsidR="00E86394">
        <w:t xml:space="preserve">mine </w:t>
      </w:r>
      <w:r>
        <w:t xml:space="preserve">costs </w:t>
      </w:r>
      <w:r w:rsidR="00E86394">
        <w:t>in the pro forma period is a result of</w:t>
      </w:r>
      <w:r>
        <w:t xml:space="preserve"> significant changes in the underground mine plan.  The amount of coal produced by the continuous miners has increased from 17.6</w:t>
      </w:r>
      <w:r w:rsidR="00E86394">
        <w:t xml:space="preserve"> percent</w:t>
      </w:r>
      <w:r>
        <w:t xml:space="preserve"> of the underground mine production in the 2013</w:t>
      </w:r>
      <w:r w:rsidR="00E86394">
        <w:t xml:space="preserve"> Rate Case</w:t>
      </w:r>
      <w:r>
        <w:t xml:space="preserve"> to 23.7</w:t>
      </w:r>
      <w:r w:rsidR="00E86394">
        <w:t xml:space="preserve"> percent in this filing</w:t>
      </w:r>
      <w:r>
        <w:t xml:space="preserve">. </w:t>
      </w:r>
      <w:r w:rsidR="00E86394">
        <w:t xml:space="preserve"> </w:t>
      </w:r>
      <w:r>
        <w:t xml:space="preserve">This increase reflects the impact </w:t>
      </w:r>
      <w:r w:rsidR="00064158">
        <w:t xml:space="preserve">of </w:t>
      </w:r>
      <w:r>
        <w:t>bypass</w:t>
      </w:r>
      <w:r w:rsidR="006572B6">
        <w:t>ing</w:t>
      </w:r>
      <w:r>
        <w:t xml:space="preserve"> the 12</w:t>
      </w:r>
      <w:r w:rsidR="006572B6">
        <w:t>th</w:t>
      </w:r>
      <w:r>
        <w:t xml:space="preserve"> right longwall panel due to high ash content</w:t>
      </w:r>
      <w:r w:rsidR="006572B6">
        <w:t xml:space="preserve">, </w:t>
      </w:r>
      <w:r>
        <w:t>the shortening of the longwall panels</w:t>
      </w:r>
      <w:r w:rsidR="006572B6">
        <w:t xml:space="preserve">, </w:t>
      </w:r>
      <w:r>
        <w:t xml:space="preserve">and </w:t>
      </w:r>
      <w:r w:rsidR="006572B6">
        <w:t xml:space="preserve">three </w:t>
      </w:r>
      <w:r>
        <w:t>longwall move</w:t>
      </w:r>
      <w:r w:rsidR="006572B6">
        <w:t>s</w:t>
      </w:r>
      <w:r>
        <w:t xml:space="preserve"> in</w:t>
      </w:r>
      <w:r w:rsidR="006572B6">
        <w:t>stead of two in the pro forma period</w:t>
      </w:r>
      <w:r>
        <w:t>.</w:t>
      </w:r>
      <w:r w:rsidR="00F94118" w:rsidRPr="00F94118">
        <w:t xml:space="preserve"> </w:t>
      </w:r>
      <w:r w:rsidR="00F94118">
        <w:t xml:space="preserve"> Bypassing and shortening longwall panels require additional continuous miner production, which increases production costs.  T</w:t>
      </w:r>
      <w:r>
        <w:t>he variable cost of production for a longwall ton is within a range of $</w:t>
      </w:r>
      <w:r w:rsidR="0080021F" w:rsidRPr="0080021F">
        <w:rPr>
          <w:color w:val="000000" w:themeColor="text1"/>
          <w:highlight w:val="black"/>
        </w:rPr>
        <w:t>XX</w:t>
      </w:r>
      <w:r w:rsidRPr="00557406">
        <w:rPr>
          <w:highlight w:val="lightGray"/>
        </w:rPr>
        <w:t xml:space="preserve"> </w:t>
      </w:r>
      <w:r>
        <w:t>per ton to $</w:t>
      </w:r>
      <w:r w:rsidR="0080021F" w:rsidRPr="0080021F">
        <w:rPr>
          <w:color w:val="000000" w:themeColor="text1"/>
          <w:highlight w:val="black"/>
        </w:rPr>
        <w:t>XX</w:t>
      </w:r>
      <w:r>
        <w:t xml:space="preserve"> per ton</w:t>
      </w:r>
      <w:r w:rsidR="00F94118">
        <w:t>,</w:t>
      </w:r>
      <w:r>
        <w:t xml:space="preserve"> compared to $</w:t>
      </w:r>
      <w:r w:rsidR="0080021F" w:rsidRPr="0080021F">
        <w:rPr>
          <w:color w:val="000000" w:themeColor="text1"/>
          <w:highlight w:val="black"/>
        </w:rPr>
        <w:t>XX</w:t>
      </w:r>
      <w:r>
        <w:t xml:space="preserve"> per ton to $</w:t>
      </w:r>
      <w:r w:rsidR="0080021F" w:rsidRPr="0080021F">
        <w:rPr>
          <w:color w:val="000000" w:themeColor="text1"/>
          <w:highlight w:val="black"/>
        </w:rPr>
        <w:t>XX</w:t>
      </w:r>
      <w:r w:rsidR="00F94118" w:rsidRPr="00557406">
        <w:rPr>
          <w:color w:val="000000" w:themeColor="text1"/>
          <w:highlight w:val="lightGray"/>
        </w:rPr>
        <w:t xml:space="preserve"> </w:t>
      </w:r>
      <w:r w:rsidR="00F94118">
        <w:t>per ton for continuous miner production</w:t>
      </w:r>
      <w:r w:rsidR="006572B6">
        <w:t>.</w:t>
      </w:r>
    </w:p>
    <w:p w14:paraId="4E3427E6" w14:textId="77777777" w:rsidR="00615E4A" w:rsidRPr="00EC6DFE" w:rsidRDefault="00615E4A" w:rsidP="00615E4A">
      <w:pPr>
        <w:spacing w:line="480" w:lineRule="auto"/>
        <w:ind w:left="720" w:hanging="720"/>
        <w:jc w:val="left"/>
      </w:pPr>
      <w:r w:rsidRPr="00EC6DFE">
        <w:rPr>
          <w:b/>
        </w:rPr>
        <w:t>Q.</w:t>
      </w:r>
      <w:r w:rsidRPr="00EC6DFE">
        <w:rPr>
          <w:b/>
        </w:rPr>
        <w:tab/>
      </w:r>
      <w:r>
        <w:rPr>
          <w:b/>
        </w:rPr>
        <w:t>How do</w:t>
      </w:r>
      <w:r w:rsidR="00F94118">
        <w:rPr>
          <w:b/>
        </w:rPr>
        <w:t xml:space="preserve"> the pro forma BCC</w:t>
      </w:r>
      <w:r>
        <w:rPr>
          <w:b/>
        </w:rPr>
        <w:t xml:space="preserve"> cost</w:t>
      </w:r>
      <w:r w:rsidR="00F94118">
        <w:rPr>
          <w:b/>
        </w:rPr>
        <w:t>s</w:t>
      </w:r>
      <w:r>
        <w:rPr>
          <w:b/>
        </w:rPr>
        <w:t xml:space="preserve"> compare to Black Butte</w:t>
      </w:r>
      <w:r w:rsidR="00F94118">
        <w:rPr>
          <w:b/>
        </w:rPr>
        <w:t xml:space="preserve"> supply costs</w:t>
      </w:r>
      <w:r>
        <w:rPr>
          <w:b/>
        </w:rPr>
        <w:t>?</w:t>
      </w:r>
    </w:p>
    <w:p w14:paraId="4E3427E7" w14:textId="4DB3810B" w:rsidR="00615E4A" w:rsidRDefault="00615E4A" w:rsidP="00615E4A">
      <w:pPr>
        <w:spacing w:line="480" w:lineRule="auto"/>
        <w:ind w:left="720" w:hanging="720"/>
        <w:jc w:val="left"/>
      </w:pPr>
      <w:r w:rsidRPr="00EC6DFE">
        <w:t>A.</w:t>
      </w:r>
      <w:r w:rsidRPr="00EC6DFE">
        <w:tab/>
      </w:r>
      <w:r>
        <w:t xml:space="preserve">On a delivered cost basis, </w:t>
      </w:r>
      <w:r w:rsidR="00F94118">
        <w:t>BCC</w:t>
      </w:r>
      <w:r>
        <w:t xml:space="preserve"> and Black Butte are essentially the same, $</w:t>
      </w:r>
      <w:r w:rsidR="0080021F" w:rsidRPr="0080021F">
        <w:rPr>
          <w:color w:val="000000" w:themeColor="text1"/>
          <w:highlight w:val="black"/>
        </w:rPr>
        <w:t>XXX</w:t>
      </w:r>
      <w:r w:rsidRPr="00557406">
        <w:rPr>
          <w:color w:val="000000" w:themeColor="text1"/>
          <w:highlight w:val="lightGray"/>
        </w:rPr>
        <w:t xml:space="preserve"> </w:t>
      </w:r>
      <w:r>
        <w:t>per ton versus $</w:t>
      </w:r>
      <w:r w:rsidR="0080021F" w:rsidRPr="0080021F">
        <w:rPr>
          <w:color w:val="000000" w:themeColor="text1"/>
          <w:highlight w:val="black"/>
        </w:rPr>
        <w:t>XXX</w:t>
      </w:r>
      <w:r w:rsidRPr="00557406">
        <w:rPr>
          <w:color w:val="000000" w:themeColor="text1"/>
          <w:highlight w:val="lightGray"/>
        </w:rPr>
        <w:t xml:space="preserve"> </w:t>
      </w:r>
      <w:r>
        <w:t>per ton.</w:t>
      </w:r>
    </w:p>
    <w:p w14:paraId="4E3427E8" w14:textId="77777777" w:rsidR="00C8233A" w:rsidRPr="008010C2" w:rsidRDefault="00615E4A" w:rsidP="002443C0">
      <w:pPr>
        <w:pStyle w:val="Heading1"/>
      </w:pPr>
      <w:bookmarkStart w:id="16" w:name="_Toc386609224"/>
      <w:r>
        <w:t xml:space="preserve">SPECIFIC </w:t>
      </w:r>
      <w:r w:rsidR="00CA6FA2" w:rsidRPr="008010C2">
        <w:t xml:space="preserve">NPC MODELING </w:t>
      </w:r>
      <w:bookmarkEnd w:id="9"/>
      <w:bookmarkEnd w:id="10"/>
      <w:r>
        <w:t>ISSUES</w:t>
      </w:r>
      <w:bookmarkEnd w:id="16"/>
    </w:p>
    <w:p w14:paraId="4E3427E9" w14:textId="77777777" w:rsidR="003533F2" w:rsidRDefault="003533F2" w:rsidP="003533F2">
      <w:pPr>
        <w:pStyle w:val="BodyText2"/>
        <w:ind w:left="720" w:hanging="720"/>
        <w:jc w:val="left"/>
        <w:rPr>
          <w:b/>
        </w:rPr>
      </w:pPr>
      <w:r>
        <w:rPr>
          <w:b/>
        </w:rPr>
        <w:t>Q</w:t>
      </w:r>
      <w:r w:rsidRPr="00290358">
        <w:rPr>
          <w:b/>
        </w:rPr>
        <w:t>.</w:t>
      </w:r>
      <w:r w:rsidRPr="00290358">
        <w:rPr>
          <w:b/>
        </w:rPr>
        <w:tab/>
      </w:r>
      <w:r>
        <w:rPr>
          <w:b/>
          <w:bCs/>
        </w:rPr>
        <w:t xml:space="preserve">Has the Company modeled NPC in accordance with </w:t>
      </w:r>
      <w:r w:rsidR="00860D20">
        <w:rPr>
          <w:b/>
          <w:bCs/>
        </w:rPr>
        <w:t>O</w:t>
      </w:r>
      <w:r>
        <w:rPr>
          <w:b/>
          <w:bCs/>
        </w:rPr>
        <w:t xml:space="preserve">rder </w:t>
      </w:r>
      <w:r w:rsidR="00860D20">
        <w:rPr>
          <w:b/>
          <w:bCs/>
        </w:rPr>
        <w:t xml:space="preserve">05 </w:t>
      </w:r>
      <w:r>
        <w:rPr>
          <w:b/>
          <w:bCs/>
        </w:rPr>
        <w:t xml:space="preserve">in the 2013 </w:t>
      </w:r>
      <w:r w:rsidR="00860D20">
        <w:rPr>
          <w:b/>
          <w:bCs/>
        </w:rPr>
        <w:t>Rate Case</w:t>
      </w:r>
      <w:r>
        <w:rPr>
          <w:b/>
          <w:bCs/>
        </w:rPr>
        <w:t>?</w:t>
      </w:r>
    </w:p>
    <w:p w14:paraId="4E3427EA" w14:textId="77777777" w:rsidR="003533F2" w:rsidRDefault="003533F2" w:rsidP="003533F2">
      <w:pPr>
        <w:pStyle w:val="BodyText2"/>
        <w:ind w:left="720" w:hanging="720"/>
        <w:jc w:val="left"/>
      </w:pPr>
      <w:r>
        <w:t>A.</w:t>
      </w:r>
      <w:r>
        <w:tab/>
        <w:t xml:space="preserve">Yes.  The Company’s current filing is consistent with Order 05 in the 2013 </w:t>
      </w:r>
      <w:r w:rsidR="009D45EE">
        <w:t>Rate Case</w:t>
      </w:r>
      <w:r>
        <w:t xml:space="preserve">, as follows: </w:t>
      </w:r>
    </w:p>
    <w:p w14:paraId="4E3427EB" w14:textId="4841E7E2" w:rsidR="003533F2" w:rsidRDefault="00DE53E6" w:rsidP="00243E42">
      <w:pPr>
        <w:widowControl/>
        <w:numPr>
          <w:ilvl w:val="0"/>
          <w:numId w:val="25"/>
        </w:numPr>
        <w:adjustRightInd/>
        <w:spacing w:line="480" w:lineRule="auto"/>
        <w:ind w:left="1080"/>
        <w:jc w:val="left"/>
        <w:textAlignment w:val="auto"/>
      </w:pPr>
      <w:r>
        <w:rPr>
          <w:noProof/>
        </w:rPr>
        <mc:AlternateContent>
          <mc:Choice Requires="wps">
            <w:drawing>
              <wp:anchor distT="0" distB="0" distL="114300" distR="114300" simplePos="0" relativeHeight="251671552" behindDoc="0" locked="0" layoutInCell="1" allowOverlap="1" wp14:anchorId="741195DE" wp14:editId="59E26C84">
                <wp:simplePos x="0" y="0"/>
                <wp:positionH relativeFrom="page">
                  <wp:posOffset>-20782</wp:posOffset>
                </wp:positionH>
                <wp:positionV relativeFrom="paragraph">
                  <wp:posOffset>1335091</wp:posOffset>
                </wp:positionV>
                <wp:extent cx="7753350" cy="5810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753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1689B" w14:textId="77777777" w:rsidR="00DE53E6" w:rsidRDefault="00DE53E6" w:rsidP="00DE53E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1195DE" id="Text Box 13" o:spid="_x0000_s1030" type="#_x0000_t202" style="position:absolute;left:0;text-align:left;margin-left:-1.65pt;margin-top:105.15pt;width:610.5pt;height:45.75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" filled="f" stroked="f" strokeweight=".5pt">
                <v:textbox>
                  <w:txbxContent>
                    <w:p w14:paraId="3E51689B" w14:textId="77777777" w:rsidR="00DE53E6" w:rsidRDefault="00DE53E6" w:rsidP="00DE53E6">
                      <w:pPr>
                        <w:jc w:val="center"/>
                      </w:pPr>
                      <w:r>
                        <w:t>CONFIDENTIAL PER PROTECTIVE ORDER</w:t>
                      </w:r>
                    </w:p>
                  </w:txbxContent>
                </v:textbox>
                <w10:wrap anchorx="page"/>
              </v:shape>
            </w:pict>
          </mc:Fallback>
        </mc:AlternateContent>
      </w:r>
      <w:r w:rsidR="003533F2">
        <w:rPr>
          <w:i/>
        </w:rPr>
        <w:t>Imputed East Control Area (ECA) Sale</w:t>
      </w:r>
      <w:r w:rsidR="003533F2">
        <w:t xml:space="preserve">—An imputed sale from </w:t>
      </w:r>
      <w:r w:rsidR="006572B6">
        <w:t xml:space="preserve">the west control area </w:t>
      </w:r>
      <w:r w:rsidR="003533F2">
        <w:t xml:space="preserve">to </w:t>
      </w:r>
      <w:r w:rsidR="006572B6">
        <w:t xml:space="preserve">the east control area </w:t>
      </w:r>
      <w:r w:rsidR="003533F2">
        <w:t xml:space="preserve">is included.  </w:t>
      </w:r>
    </w:p>
    <w:p w14:paraId="4E3427EC" w14:textId="27D3384B" w:rsidR="003533F2" w:rsidRDefault="003533F2" w:rsidP="00243E42">
      <w:pPr>
        <w:widowControl/>
        <w:numPr>
          <w:ilvl w:val="0"/>
          <w:numId w:val="25"/>
        </w:numPr>
        <w:adjustRightInd/>
        <w:spacing w:line="480" w:lineRule="auto"/>
        <w:ind w:left="1080"/>
        <w:jc w:val="left"/>
        <w:textAlignment w:val="auto"/>
      </w:pPr>
      <w:r>
        <w:rPr>
          <w:i/>
        </w:rPr>
        <w:t>DC Intertie</w:t>
      </w:r>
      <w:r>
        <w:t>—The cost of transmission rights on the B</w:t>
      </w:r>
      <w:r w:rsidR="00860D20">
        <w:t>PA</w:t>
      </w:r>
      <w:r>
        <w:t xml:space="preserve"> Direct Current (DC) Intertie transmission line is included in NPC, and the related transmission capacity and access to the Nevada-Oregon Border market hub are included in the GRID topology.</w:t>
      </w:r>
    </w:p>
    <w:p w14:paraId="4E3427ED" w14:textId="77777777" w:rsidR="003533F2" w:rsidRDefault="003533F2" w:rsidP="00243E42">
      <w:pPr>
        <w:widowControl/>
        <w:numPr>
          <w:ilvl w:val="0"/>
          <w:numId w:val="25"/>
        </w:numPr>
        <w:adjustRightInd/>
        <w:spacing w:line="480" w:lineRule="auto"/>
        <w:ind w:left="1080"/>
        <w:jc w:val="left"/>
        <w:textAlignment w:val="auto"/>
      </w:pPr>
      <w:r>
        <w:rPr>
          <w:i/>
        </w:rPr>
        <w:t>Jim Bridger Coal Costs—</w:t>
      </w:r>
      <w:r w:rsidR="003D0A21">
        <w:t>C</w:t>
      </w:r>
      <w:r>
        <w:t>oal supplied by B</w:t>
      </w:r>
      <w:r w:rsidR="00860D20">
        <w:t>CC</w:t>
      </w:r>
      <w:r>
        <w:t xml:space="preserve">, an affiliate mine, to fuel the Jim Bridger plant is included based on the cost of production during the </w:t>
      </w:r>
      <w:r w:rsidR="003D0A21">
        <w:t>pro forma period</w:t>
      </w:r>
      <w:r>
        <w:t>.</w:t>
      </w:r>
    </w:p>
    <w:p w14:paraId="4E3427EE" w14:textId="77777777" w:rsidR="003533F2" w:rsidRDefault="003533F2" w:rsidP="00243E42">
      <w:pPr>
        <w:widowControl/>
        <w:numPr>
          <w:ilvl w:val="0"/>
          <w:numId w:val="25"/>
        </w:numPr>
        <w:adjustRightInd/>
        <w:spacing w:line="480" w:lineRule="auto"/>
        <w:ind w:left="1080"/>
        <w:jc w:val="left"/>
        <w:textAlignment w:val="auto"/>
      </w:pPr>
      <w:r>
        <w:rPr>
          <w:i/>
        </w:rPr>
        <w:t>Heat Rates—</w:t>
      </w:r>
      <w:r>
        <w:t>Normalized heat rates for thermal generating plants are based on a historical 48-month average</w:t>
      </w:r>
      <w:r w:rsidR="001000B4">
        <w:t>, with the exception of Colstrip Unit 4 as described below</w:t>
      </w:r>
      <w:r>
        <w:t>.</w:t>
      </w:r>
    </w:p>
    <w:p w14:paraId="4E3427EF" w14:textId="77777777" w:rsidR="003533F2" w:rsidRDefault="003533F2" w:rsidP="00243E42">
      <w:pPr>
        <w:widowControl/>
        <w:numPr>
          <w:ilvl w:val="0"/>
          <w:numId w:val="25"/>
        </w:numPr>
        <w:adjustRightInd/>
        <w:spacing w:line="480" w:lineRule="auto"/>
        <w:ind w:left="1080"/>
        <w:jc w:val="left"/>
        <w:textAlignment w:val="auto"/>
      </w:pPr>
      <w:r>
        <w:rPr>
          <w:i/>
        </w:rPr>
        <w:t>Hedging Costs—</w:t>
      </w:r>
      <w:r>
        <w:t>Hedging costs are included in NPC</w:t>
      </w:r>
      <w:r w:rsidR="008322E4">
        <w:t>, valued using the Company’s official forward price curve</w:t>
      </w:r>
      <w:r>
        <w:t>.</w:t>
      </w:r>
    </w:p>
    <w:p w14:paraId="4E3427F0" w14:textId="77777777" w:rsidR="003533F2" w:rsidRDefault="003533F2" w:rsidP="00243E42">
      <w:pPr>
        <w:widowControl/>
        <w:numPr>
          <w:ilvl w:val="0"/>
          <w:numId w:val="25"/>
        </w:numPr>
        <w:adjustRightInd/>
        <w:spacing w:line="480" w:lineRule="auto"/>
        <w:ind w:left="1080"/>
        <w:jc w:val="left"/>
        <w:textAlignment w:val="auto"/>
      </w:pPr>
      <w:r>
        <w:rPr>
          <w:i/>
        </w:rPr>
        <w:t>Market Caps—</w:t>
      </w:r>
      <w:r>
        <w:t>Market caps are modeled in GRID based on the 48-month historical average of short</w:t>
      </w:r>
      <w:r w:rsidR="00860D20">
        <w:t>-</w:t>
      </w:r>
      <w:r>
        <w:t xml:space="preserve">term firm sales </w:t>
      </w:r>
      <w:r w:rsidR="00860D20">
        <w:t xml:space="preserve">(STF) </w:t>
      </w:r>
      <w:r>
        <w:t xml:space="preserve">transactions at wholesale market hubs.  </w:t>
      </w:r>
      <w:r w:rsidRPr="00C677D0">
        <w:t xml:space="preserve">In response to the Commission’s directive, </w:t>
      </w:r>
      <w:r w:rsidR="001000B4">
        <w:t xml:space="preserve">later in my testimony I </w:t>
      </w:r>
      <w:r w:rsidRPr="00C677D0">
        <w:t>provide support for continued application of the 48-month average market caps.</w:t>
      </w:r>
      <w:r>
        <w:t xml:space="preserve">    </w:t>
      </w:r>
    </w:p>
    <w:p w14:paraId="4E3427F1" w14:textId="77777777" w:rsidR="003533F2" w:rsidRDefault="003533F2" w:rsidP="003D0A21">
      <w:pPr>
        <w:pStyle w:val="BodyText2"/>
        <w:ind w:left="720" w:hanging="720"/>
        <w:jc w:val="left"/>
      </w:pPr>
      <w:r>
        <w:tab/>
      </w:r>
      <w:r w:rsidR="003D0A21">
        <w:t>In addition, c</w:t>
      </w:r>
      <w:r>
        <w:t xml:space="preserve">onsistent with </w:t>
      </w:r>
      <w:r w:rsidR="00860D20">
        <w:t>Order</w:t>
      </w:r>
      <w:r w:rsidR="003D0A21">
        <w:t> </w:t>
      </w:r>
      <w:r w:rsidR="00860D20">
        <w:t>05</w:t>
      </w:r>
      <w:r w:rsidR="003D0A21">
        <w:t xml:space="preserve"> in the 2013 Rate Case</w:t>
      </w:r>
      <w:r w:rsidR="00860D20">
        <w:t>,</w:t>
      </w:r>
      <w:r>
        <w:t xml:space="preserve"> the Company has continued to reflect all costs and benefits associated with the full capacity of the 200 megawatt (MW) point-to-point wheeling contract with Idaho Power Company</w:t>
      </w:r>
      <w:r w:rsidR="00064158">
        <w:t>,</w:t>
      </w:r>
      <w:r>
        <w:t xml:space="preserve"> an</w:t>
      </w:r>
      <w:r w:rsidR="009D45EE">
        <w:t xml:space="preserve">d </w:t>
      </w:r>
      <w:r w:rsidR="001000B4">
        <w:t xml:space="preserve">holding reserves to </w:t>
      </w:r>
      <w:r w:rsidR="009D45EE">
        <w:t>integrat</w:t>
      </w:r>
      <w:r w:rsidR="001000B4">
        <w:t>e</w:t>
      </w:r>
      <w:r w:rsidR="009D45EE">
        <w:t xml:space="preserve"> third-</w:t>
      </w:r>
      <w:r>
        <w:t xml:space="preserve">party wind resources located in PacifiCorp’s </w:t>
      </w:r>
      <w:r w:rsidR="003D0A21">
        <w:t>west control area</w:t>
      </w:r>
      <w:r>
        <w:t xml:space="preserve">.  </w:t>
      </w:r>
    </w:p>
    <w:p w14:paraId="4E3427F2" w14:textId="77777777" w:rsidR="002443C0" w:rsidRDefault="002443C0" w:rsidP="002443C0">
      <w:pPr>
        <w:pStyle w:val="BodyText2"/>
        <w:suppressLineNumbers/>
        <w:ind w:left="720" w:hanging="720"/>
        <w:jc w:val="left"/>
      </w:pPr>
    </w:p>
    <w:p w14:paraId="4E3427F3" w14:textId="77777777" w:rsidR="002443C0" w:rsidRDefault="002443C0" w:rsidP="002443C0">
      <w:pPr>
        <w:pStyle w:val="BodyText2"/>
        <w:suppressLineNumbers/>
        <w:ind w:left="720" w:hanging="720"/>
        <w:jc w:val="left"/>
      </w:pPr>
    </w:p>
    <w:p w14:paraId="4E3427F4" w14:textId="77777777" w:rsidR="003533F2" w:rsidRPr="00E834A1" w:rsidRDefault="003533F2" w:rsidP="003533F2">
      <w:pPr>
        <w:pStyle w:val="BodyTextIndent"/>
        <w:tabs>
          <w:tab w:val="clear" w:pos="720"/>
        </w:tabs>
        <w:jc w:val="left"/>
        <w:rPr>
          <w:b/>
        </w:rPr>
      </w:pPr>
      <w:r w:rsidRPr="00E834A1">
        <w:rPr>
          <w:b/>
        </w:rPr>
        <w:t>Q.</w:t>
      </w:r>
      <w:r w:rsidRPr="00E834A1">
        <w:rPr>
          <w:b/>
        </w:rPr>
        <w:tab/>
        <w:t xml:space="preserve">Please describe how the Company reflected </w:t>
      </w:r>
      <w:r w:rsidR="000679AA">
        <w:rPr>
          <w:b/>
        </w:rPr>
        <w:t xml:space="preserve">other </w:t>
      </w:r>
      <w:r>
        <w:rPr>
          <w:b/>
        </w:rPr>
        <w:t>previous</w:t>
      </w:r>
      <w:r w:rsidRPr="00E834A1">
        <w:rPr>
          <w:b/>
        </w:rPr>
        <w:t xml:space="preserve"> Commission</w:t>
      </w:r>
      <w:r>
        <w:rPr>
          <w:b/>
        </w:rPr>
        <w:t>-</w:t>
      </w:r>
      <w:r w:rsidRPr="00E834A1">
        <w:rPr>
          <w:b/>
        </w:rPr>
        <w:t>ordered adjustments</w:t>
      </w:r>
      <w:r>
        <w:rPr>
          <w:b/>
        </w:rPr>
        <w:t xml:space="preserve">, </w:t>
      </w:r>
      <w:r w:rsidR="000679AA">
        <w:rPr>
          <w:b/>
        </w:rPr>
        <w:t>in addition to</w:t>
      </w:r>
      <w:r>
        <w:rPr>
          <w:b/>
        </w:rPr>
        <w:t xml:space="preserve"> those already discussed,</w:t>
      </w:r>
      <w:r w:rsidRPr="00E834A1">
        <w:rPr>
          <w:b/>
        </w:rPr>
        <w:t xml:space="preserve"> in the current filing.</w:t>
      </w:r>
    </w:p>
    <w:p w14:paraId="4E3427F5" w14:textId="77777777" w:rsidR="003533F2" w:rsidRPr="00E834A1" w:rsidRDefault="003533F2" w:rsidP="003533F2">
      <w:pPr>
        <w:pStyle w:val="BodyTextIndent"/>
        <w:tabs>
          <w:tab w:val="clear" w:pos="720"/>
        </w:tabs>
        <w:jc w:val="left"/>
      </w:pPr>
      <w:r w:rsidRPr="00E834A1">
        <w:t>A.</w:t>
      </w:r>
      <w:r w:rsidRPr="00E834A1">
        <w:tab/>
      </w:r>
      <w:r>
        <w:t>NPC</w:t>
      </w:r>
      <w:r w:rsidRPr="00E834A1">
        <w:t xml:space="preserve"> for the pro forma period in the current filing </w:t>
      </w:r>
      <w:r w:rsidR="00400006">
        <w:t>include</w:t>
      </w:r>
      <w:r w:rsidRPr="00E834A1">
        <w:t xml:space="preserve"> the </w:t>
      </w:r>
      <w:r>
        <w:t xml:space="preserve">following </w:t>
      </w:r>
      <w:r w:rsidRPr="00E834A1">
        <w:t>adjustments order</w:t>
      </w:r>
      <w:r>
        <w:t>ed by the Commission in past cases</w:t>
      </w:r>
      <w:r w:rsidRPr="00E834A1">
        <w:t>:</w:t>
      </w:r>
    </w:p>
    <w:p w14:paraId="4E3427F6" w14:textId="77777777" w:rsidR="003533F2" w:rsidRDefault="003533F2" w:rsidP="003533F2">
      <w:pPr>
        <w:pStyle w:val="BodyTextIndent"/>
        <w:widowControl/>
        <w:numPr>
          <w:ilvl w:val="0"/>
          <w:numId w:val="14"/>
        </w:numPr>
        <w:tabs>
          <w:tab w:val="clear" w:pos="720"/>
        </w:tabs>
        <w:adjustRightInd/>
        <w:ind w:left="1080"/>
        <w:jc w:val="left"/>
        <w:textAlignment w:val="auto"/>
      </w:pPr>
      <w:r w:rsidRPr="00E834A1">
        <w:t xml:space="preserve">Prorated wheeling expenses for Colstrip </w:t>
      </w:r>
      <w:r>
        <w:t xml:space="preserve">Unit </w:t>
      </w:r>
      <w:r w:rsidRPr="00E834A1">
        <w:t xml:space="preserve">4 based on the transmission capacity from Colstrip to the </w:t>
      </w:r>
      <w:r w:rsidR="003D0A21">
        <w:t>west control area</w:t>
      </w:r>
      <w:r>
        <w:t>,</w:t>
      </w:r>
      <w:r w:rsidRPr="00E834A1">
        <w:t xml:space="preserve"> instead of splitting equally between </w:t>
      </w:r>
      <w:r w:rsidR="003D0A21">
        <w:t>the west and east control areas</w:t>
      </w:r>
      <w:r w:rsidRPr="00E834A1">
        <w:t>;</w:t>
      </w:r>
    </w:p>
    <w:p w14:paraId="4E3427F7" w14:textId="77777777" w:rsidR="003533F2" w:rsidRPr="00E834A1" w:rsidRDefault="009443DE" w:rsidP="003533F2">
      <w:pPr>
        <w:pStyle w:val="BodyTextIndent"/>
        <w:widowControl/>
        <w:numPr>
          <w:ilvl w:val="0"/>
          <w:numId w:val="14"/>
        </w:numPr>
        <w:tabs>
          <w:tab w:val="clear" w:pos="720"/>
        </w:tabs>
        <w:adjustRightInd/>
        <w:ind w:left="1080"/>
        <w:jc w:val="left"/>
        <w:textAlignment w:val="auto"/>
      </w:pPr>
      <w:r>
        <w:t>M</w:t>
      </w:r>
      <w:r w:rsidR="003533F2">
        <w:t>argin on arbitrage transactions based on the four-year historical average;</w:t>
      </w:r>
    </w:p>
    <w:p w14:paraId="4E3427F8" w14:textId="77777777" w:rsidR="003533F2" w:rsidRPr="00E834A1" w:rsidRDefault="003533F2" w:rsidP="003533F2">
      <w:pPr>
        <w:pStyle w:val="BodyTextIndent"/>
        <w:widowControl/>
        <w:numPr>
          <w:ilvl w:val="0"/>
          <w:numId w:val="14"/>
        </w:numPr>
        <w:tabs>
          <w:tab w:val="clear" w:pos="720"/>
        </w:tabs>
        <w:adjustRightInd/>
        <w:ind w:left="1080"/>
        <w:jc w:val="left"/>
        <w:textAlignment w:val="auto"/>
      </w:pPr>
      <w:r w:rsidRPr="00E834A1">
        <w:t>Excluded non-firm transmission capability and expenses; and</w:t>
      </w:r>
    </w:p>
    <w:p w14:paraId="4E3427F9" w14:textId="77777777" w:rsidR="003533F2" w:rsidRDefault="003533F2" w:rsidP="003533F2">
      <w:pPr>
        <w:pStyle w:val="BodyTextIndent"/>
        <w:widowControl/>
        <w:numPr>
          <w:ilvl w:val="0"/>
          <w:numId w:val="14"/>
        </w:numPr>
        <w:tabs>
          <w:tab w:val="clear" w:pos="720"/>
        </w:tabs>
        <w:adjustRightInd/>
        <w:ind w:left="1080"/>
        <w:jc w:val="left"/>
        <w:textAlignment w:val="auto"/>
      </w:pPr>
      <w:r w:rsidRPr="00E834A1">
        <w:t>Adjusted heat rates and minimum generation levels of the thermal plants for outage derates.</w:t>
      </w:r>
    </w:p>
    <w:p w14:paraId="4E3427FA" w14:textId="77777777" w:rsidR="003533F2" w:rsidRDefault="003533F2" w:rsidP="00301CF0">
      <w:pPr>
        <w:pStyle w:val="BodyText2"/>
        <w:ind w:left="720" w:hanging="720"/>
        <w:jc w:val="left"/>
        <w:rPr>
          <w:b/>
        </w:rPr>
      </w:pPr>
      <w:r>
        <w:rPr>
          <w:b/>
        </w:rPr>
        <w:t>Q.</w:t>
      </w:r>
      <w:r>
        <w:rPr>
          <w:b/>
        </w:rPr>
        <w:tab/>
        <w:t xml:space="preserve">Have you continued to model the outage rate at Colstrip Unit 4 </w:t>
      </w:r>
      <w:r w:rsidR="00400006">
        <w:rPr>
          <w:b/>
        </w:rPr>
        <w:t xml:space="preserve">at </w:t>
      </w:r>
      <w:r w:rsidR="003D0A21">
        <w:rPr>
          <w:b/>
        </w:rPr>
        <w:t>eight</w:t>
      </w:r>
      <w:r w:rsidR="00400006">
        <w:rPr>
          <w:b/>
        </w:rPr>
        <w:t xml:space="preserve"> percent rather than relying on the historical 48-month average?</w:t>
      </w:r>
    </w:p>
    <w:p w14:paraId="4E3427FB" w14:textId="77777777" w:rsidR="003533F2" w:rsidRDefault="00400006" w:rsidP="00400006">
      <w:pPr>
        <w:pStyle w:val="BodyText2"/>
        <w:ind w:left="720" w:hanging="720"/>
        <w:jc w:val="left"/>
      </w:pPr>
      <w:r>
        <w:t>A.</w:t>
      </w:r>
      <w:r>
        <w:tab/>
        <w:t xml:space="preserve">Yes.  </w:t>
      </w:r>
      <w:r w:rsidRPr="0078107B">
        <w:t xml:space="preserve">In </w:t>
      </w:r>
      <w:r w:rsidR="009D45EE" w:rsidRPr="0078107B">
        <w:t>D</w:t>
      </w:r>
      <w:r w:rsidRPr="0078107B">
        <w:t xml:space="preserve">ocket </w:t>
      </w:r>
      <w:r w:rsidR="0078107B">
        <w:t>UE-100749</w:t>
      </w:r>
      <w:r w:rsidR="009D45EE">
        <w:t xml:space="preserve"> (2010 Rate Case)</w:t>
      </w:r>
      <w:r w:rsidR="008E2829">
        <w:t>,</w:t>
      </w:r>
      <w:r>
        <w:t xml:space="preserve"> the Commission approved an adjustment to limit the forced outage rate to </w:t>
      </w:r>
      <w:r w:rsidR="003D0A21">
        <w:t xml:space="preserve">eight </w:t>
      </w:r>
      <w:r>
        <w:t xml:space="preserve">percent for Colstrip Unit 4.  </w:t>
      </w:r>
      <w:r w:rsidR="0078107B">
        <w:t>In that case</w:t>
      </w:r>
      <w:r>
        <w:t xml:space="preserve">, </w:t>
      </w:r>
      <w:r w:rsidR="008E2829">
        <w:t xml:space="preserve">the Company included </w:t>
      </w:r>
      <w:r w:rsidR="0078107B">
        <w:t>a seven-month</w:t>
      </w:r>
      <w:r>
        <w:t xml:space="preserve"> outage at the plant during 2009 in the 48-month historical average</w:t>
      </w:r>
      <w:r w:rsidR="0078107B">
        <w:t xml:space="preserve">, increasing the calculated outage rate used in GRID.  </w:t>
      </w:r>
      <w:r>
        <w:t xml:space="preserve">The Commission </w:t>
      </w:r>
      <w:r w:rsidR="0078107B">
        <w:t>determined</w:t>
      </w:r>
      <w:r>
        <w:t xml:space="preserve"> that</w:t>
      </w:r>
      <w:r w:rsidR="0078107B">
        <w:t xml:space="preserve"> the extended outage should not be included in the historical average because the result was less predictive of what may occur in the future.  </w:t>
      </w:r>
    </w:p>
    <w:p w14:paraId="4E3427FC" w14:textId="77777777" w:rsidR="00400006" w:rsidRDefault="00400006" w:rsidP="00400006">
      <w:pPr>
        <w:pStyle w:val="BodyText2"/>
        <w:ind w:left="720" w:hanging="720"/>
        <w:jc w:val="left"/>
        <w:rPr>
          <w:b/>
        </w:rPr>
      </w:pPr>
      <w:r>
        <w:tab/>
      </w:r>
      <w:r>
        <w:tab/>
        <w:t>In the current filing, the 48-month historical outage rate for Colstrip Unit 4 is again influenced by an extended forced outage, this time during 2013.  Consequently, the Company has continued to limit the normalized outage rate to</w:t>
      </w:r>
      <w:r w:rsidR="003D0A21">
        <w:t> eight</w:t>
      </w:r>
      <w:r>
        <w:t xml:space="preserve"> percent.  On </w:t>
      </w:r>
      <w:r w:rsidR="004265CF" w:rsidRPr="004265CF">
        <w:t>July 26</w:t>
      </w:r>
      <w:r w:rsidRPr="004265CF">
        <w:t xml:space="preserve">, 2013, </w:t>
      </w:r>
      <w:r w:rsidR="00C661E6">
        <w:t>the Company</w:t>
      </w:r>
      <w:r>
        <w:t xml:space="preserve"> filed an application for deferred accounting </w:t>
      </w:r>
      <w:r w:rsidR="00C661E6">
        <w:t xml:space="preserve">in Washington </w:t>
      </w:r>
      <w:r>
        <w:t>seeking recovery of outage-related costs</w:t>
      </w:r>
      <w:r w:rsidR="003D0A21">
        <w:t xml:space="preserve"> (</w:t>
      </w:r>
      <w:r w:rsidR="006D14A9">
        <w:t>D</w:t>
      </w:r>
      <w:r w:rsidR="003D0A21">
        <w:t>ocket UE-131384)</w:t>
      </w:r>
      <w:r w:rsidR="00425AE9">
        <w:t>.</w:t>
      </w:r>
    </w:p>
    <w:p w14:paraId="4E3427FD" w14:textId="77777777" w:rsidR="00C0216C" w:rsidRDefault="00C0216C" w:rsidP="00301CF0">
      <w:pPr>
        <w:pStyle w:val="BodyText2"/>
        <w:ind w:left="720" w:hanging="720"/>
        <w:jc w:val="left"/>
        <w:rPr>
          <w:b/>
        </w:rPr>
      </w:pPr>
      <w:r>
        <w:rPr>
          <w:b/>
        </w:rPr>
        <w:t>Q</w:t>
      </w:r>
      <w:r w:rsidRPr="00290358">
        <w:rPr>
          <w:b/>
        </w:rPr>
        <w:t>.</w:t>
      </w:r>
      <w:r w:rsidRPr="00290358">
        <w:rPr>
          <w:b/>
        </w:rPr>
        <w:tab/>
      </w:r>
      <w:r w:rsidR="00FC3690">
        <w:rPr>
          <w:b/>
        </w:rPr>
        <w:t>Has the</w:t>
      </w:r>
      <w:r>
        <w:rPr>
          <w:b/>
        </w:rPr>
        <w:t xml:space="preserve"> Company made</w:t>
      </w:r>
      <w:r w:rsidR="00FC3690">
        <w:rPr>
          <w:b/>
        </w:rPr>
        <w:t xml:space="preserve"> any refinements</w:t>
      </w:r>
      <w:r>
        <w:rPr>
          <w:b/>
        </w:rPr>
        <w:t xml:space="preserve"> to the </w:t>
      </w:r>
      <w:r w:rsidR="00784ADF">
        <w:rPr>
          <w:b/>
        </w:rPr>
        <w:t xml:space="preserve">way it models </w:t>
      </w:r>
      <w:r>
        <w:rPr>
          <w:b/>
        </w:rPr>
        <w:t>NPC since the 201</w:t>
      </w:r>
      <w:r w:rsidR="003533F2">
        <w:rPr>
          <w:b/>
        </w:rPr>
        <w:t>3</w:t>
      </w:r>
      <w:r>
        <w:rPr>
          <w:b/>
        </w:rPr>
        <w:t xml:space="preserve"> </w:t>
      </w:r>
      <w:r w:rsidR="003533F2">
        <w:rPr>
          <w:b/>
        </w:rPr>
        <w:t>GRC</w:t>
      </w:r>
      <w:r>
        <w:rPr>
          <w:b/>
        </w:rPr>
        <w:t>?</w:t>
      </w:r>
    </w:p>
    <w:p w14:paraId="4E3427FE" w14:textId="77777777" w:rsidR="00C0216C" w:rsidRPr="00E834A1" w:rsidRDefault="00C0216C" w:rsidP="00C0216C">
      <w:pPr>
        <w:pStyle w:val="BodyTextIndent"/>
        <w:tabs>
          <w:tab w:val="clear" w:pos="720"/>
        </w:tabs>
        <w:jc w:val="left"/>
      </w:pPr>
      <w:r w:rsidRPr="00E834A1">
        <w:t>A.</w:t>
      </w:r>
      <w:r w:rsidRPr="00E834A1">
        <w:tab/>
      </w:r>
      <w:r w:rsidR="008D464F">
        <w:t xml:space="preserve">Yes. </w:t>
      </w:r>
      <w:r w:rsidR="003D0A21">
        <w:t xml:space="preserve"> </w:t>
      </w:r>
      <w:r w:rsidR="00CB1FC8">
        <w:t>Pro forma NPC</w:t>
      </w:r>
      <w:r w:rsidRPr="00E834A1">
        <w:t xml:space="preserve"> in the current filing </w:t>
      </w:r>
      <w:r>
        <w:t xml:space="preserve">include the following modeling </w:t>
      </w:r>
      <w:r w:rsidR="008552F9">
        <w:t>refinements</w:t>
      </w:r>
      <w:r w:rsidRPr="00E834A1">
        <w:t>:</w:t>
      </w:r>
    </w:p>
    <w:p w14:paraId="4E3427FF" w14:textId="77777777" w:rsidR="00C0216C" w:rsidRDefault="008552F9" w:rsidP="007A29A8">
      <w:pPr>
        <w:pStyle w:val="BodyTextIndent"/>
        <w:widowControl/>
        <w:numPr>
          <w:ilvl w:val="0"/>
          <w:numId w:val="14"/>
        </w:numPr>
        <w:tabs>
          <w:tab w:val="clear" w:pos="720"/>
          <w:tab w:val="left" w:pos="1080"/>
        </w:tabs>
        <w:adjustRightInd/>
        <w:ind w:left="1080"/>
        <w:jc w:val="left"/>
        <w:textAlignment w:val="auto"/>
      </w:pPr>
      <w:r>
        <w:rPr>
          <w:i/>
        </w:rPr>
        <w:t>Wind Generation Profile</w:t>
      </w:r>
      <w:r w:rsidR="003D0A21">
        <w:t>—T</w:t>
      </w:r>
      <w:r w:rsidR="008E2829">
        <w:t>he Company continued to model w</w:t>
      </w:r>
      <w:r w:rsidR="00243E42" w:rsidRPr="008E2829">
        <w:t>ind</w:t>
      </w:r>
      <w:r w:rsidR="00243E42">
        <w:t xml:space="preserve"> generation using the median</w:t>
      </w:r>
      <w:r w:rsidR="008E2829">
        <w:t>,</w:t>
      </w:r>
      <w:r w:rsidR="00243E42">
        <w:t xml:space="preserve"> long</w:t>
      </w:r>
      <w:r w:rsidR="008E2829">
        <w:t>-</w:t>
      </w:r>
      <w:r w:rsidR="00243E42">
        <w:t xml:space="preserve">term forecast to determine the total annual energy, </w:t>
      </w:r>
      <w:r w:rsidR="00243E42" w:rsidRPr="00822D9F">
        <w:t xml:space="preserve">but </w:t>
      </w:r>
      <w:r w:rsidR="008E2829">
        <w:t xml:space="preserve">shaped hourly wind generation profiles </w:t>
      </w:r>
      <w:r w:rsidR="003D0A21" w:rsidRPr="00822D9F">
        <w:t>u</w:t>
      </w:r>
      <w:r w:rsidR="003D0A21">
        <w:t>sing</w:t>
      </w:r>
      <w:r w:rsidR="003D0A21" w:rsidRPr="00822D9F">
        <w:t xml:space="preserve"> </w:t>
      </w:r>
      <w:r w:rsidR="00243E42" w:rsidRPr="00822D9F">
        <w:t xml:space="preserve">actual 2012 energy output data from </w:t>
      </w:r>
      <w:r w:rsidR="00C661E6">
        <w:t>PacifiCorp</w:t>
      </w:r>
      <w:r w:rsidR="00243E42" w:rsidRPr="00822D9F">
        <w:t>’s owned and purchased wind facilities</w:t>
      </w:r>
      <w:r w:rsidR="008E2829">
        <w:t>.</w:t>
      </w:r>
      <w:r w:rsidR="003533F2">
        <w:t xml:space="preserve">  </w:t>
      </w:r>
      <w:r w:rsidR="00425AE9">
        <w:t>The net impact of this change is an increase to Washington</w:t>
      </w:r>
      <w:r w:rsidR="006D14A9">
        <w:t>-</w:t>
      </w:r>
      <w:r w:rsidR="00425AE9">
        <w:t>allocated NPC of approximately $148</w:t>
      </w:r>
      <w:r w:rsidR="00064158">
        <w:t>,000</w:t>
      </w:r>
      <w:r w:rsidR="00425AE9">
        <w:t xml:space="preserve">. </w:t>
      </w:r>
      <w:r w:rsidR="00FC3690">
        <w:t xml:space="preserve">Additional details supporting this change </w:t>
      </w:r>
      <w:r w:rsidR="00FC3690" w:rsidRPr="00C677D0">
        <w:t>are provided below</w:t>
      </w:r>
      <w:r w:rsidR="00FC3690">
        <w:t>.</w:t>
      </w:r>
    </w:p>
    <w:p w14:paraId="4E342800" w14:textId="77777777" w:rsidR="001C404E" w:rsidRPr="001C404E" w:rsidRDefault="001C404E" w:rsidP="007A29A8">
      <w:pPr>
        <w:pStyle w:val="BodyTextIndent"/>
        <w:widowControl/>
        <w:numPr>
          <w:ilvl w:val="0"/>
          <w:numId w:val="14"/>
        </w:numPr>
        <w:tabs>
          <w:tab w:val="clear" w:pos="720"/>
          <w:tab w:val="left" w:pos="1080"/>
        </w:tabs>
        <w:adjustRightInd/>
        <w:ind w:left="1080"/>
        <w:jc w:val="left"/>
        <w:textAlignment w:val="auto"/>
      </w:pPr>
      <w:r w:rsidRPr="001C404E">
        <w:rPr>
          <w:i/>
        </w:rPr>
        <w:t>Leaning Juniper Output and Revenue</w:t>
      </w:r>
      <w:r w:rsidR="003D0A21">
        <w:t>—P</w:t>
      </w:r>
      <w:r w:rsidR="008E2829">
        <w:t>acifiCorp</w:t>
      </w:r>
      <w:r w:rsidRPr="001C404E">
        <w:t xml:space="preserve"> will receive a small amount of revenue associated with </w:t>
      </w:r>
      <w:r w:rsidR="00782698">
        <w:t>its</w:t>
      </w:r>
      <w:r w:rsidRPr="001C404E">
        <w:t xml:space="preserve"> Leaning Juniper facility due to a contract unique to that wind project. </w:t>
      </w:r>
      <w:r w:rsidR="003D0A21">
        <w:t xml:space="preserve"> </w:t>
      </w:r>
      <w:r w:rsidRPr="001C404E">
        <w:t xml:space="preserve">As a result of the contract, output at Leaning Juniper is forecast at a slightly reduced level. </w:t>
      </w:r>
      <w:r w:rsidR="003D0A21">
        <w:t xml:space="preserve"> </w:t>
      </w:r>
      <w:r w:rsidRPr="00AE79C1">
        <w:t xml:space="preserve">A confidential copy of the executed contract is provided </w:t>
      </w:r>
      <w:r w:rsidR="003D0A21" w:rsidRPr="00AE79C1">
        <w:t>in my</w:t>
      </w:r>
      <w:r w:rsidRPr="00AE79C1">
        <w:t xml:space="preserve"> workpapers.</w:t>
      </w:r>
      <w:r w:rsidRPr="001C404E">
        <w:t xml:space="preserve">  </w:t>
      </w:r>
      <w:r w:rsidR="00425AE9">
        <w:t>The net impact of this change is an increase to Washington</w:t>
      </w:r>
      <w:r w:rsidR="006D14A9">
        <w:t>-</w:t>
      </w:r>
      <w:r w:rsidR="00425AE9">
        <w:t>allocated NPC of approximately $1,325.</w:t>
      </w:r>
    </w:p>
    <w:p w14:paraId="4E342801" w14:textId="77777777" w:rsidR="00243E42" w:rsidRPr="008552F9" w:rsidRDefault="001C404E" w:rsidP="002443C0">
      <w:pPr>
        <w:pStyle w:val="BodyTextIndent"/>
        <w:widowControl/>
        <w:numPr>
          <w:ilvl w:val="0"/>
          <w:numId w:val="14"/>
        </w:numPr>
        <w:tabs>
          <w:tab w:val="clear" w:pos="720"/>
          <w:tab w:val="left" w:pos="1080"/>
        </w:tabs>
        <w:adjustRightInd/>
        <w:ind w:left="1080"/>
        <w:jc w:val="left"/>
        <w:textAlignment w:val="auto"/>
      </w:pPr>
      <w:r w:rsidRPr="008552F9">
        <w:rPr>
          <w:i/>
        </w:rPr>
        <w:t>Network Reliability</w:t>
      </w:r>
      <w:r w:rsidR="003D0A21">
        <w:t>—F</w:t>
      </w:r>
      <w:r w:rsidR="008552F9" w:rsidRPr="008552F9">
        <w:t>ERC</w:t>
      </w:r>
      <w:r w:rsidRPr="008552F9">
        <w:t xml:space="preserve"> </w:t>
      </w:r>
      <w:r w:rsidR="008552F9" w:rsidRPr="008552F9">
        <w:t>recently approved two changes to network reliability standard</w:t>
      </w:r>
      <w:r w:rsidR="008E2829">
        <w:t>s</w:t>
      </w:r>
      <w:r w:rsidR="008552F9" w:rsidRPr="008552F9">
        <w:t xml:space="preserve"> affecting the level of reserves the Company holds on its system.  First, changes to BAL-002-WECC-2 modify contingency reserve requirements, effective October 1, 2014.  The current </w:t>
      </w:r>
      <w:r w:rsidR="001B1150">
        <w:t xml:space="preserve">standard requires </w:t>
      </w:r>
      <w:r w:rsidR="008552F9" w:rsidRPr="008552F9">
        <w:t>contingency reserve</w:t>
      </w:r>
      <w:r w:rsidR="001B1150">
        <w:t>s</w:t>
      </w:r>
      <w:r w:rsidR="008552F9" w:rsidRPr="008552F9">
        <w:t xml:space="preserve"> </w:t>
      </w:r>
      <w:r w:rsidR="001B1150">
        <w:t xml:space="preserve">equal to </w:t>
      </w:r>
      <w:r w:rsidR="008552F9" w:rsidRPr="008552F9">
        <w:t xml:space="preserve">the sum of five percent of </w:t>
      </w:r>
      <w:r w:rsidR="00064158">
        <w:t xml:space="preserve">the </w:t>
      </w:r>
      <w:r w:rsidR="008552F9" w:rsidRPr="008552F9">
        <w:t>load responsibility served by hydro generation and seven percent of the load responsibility served by thermal generation.  Wind and solar are treated the same as hydro</w:t>
      </w:r>
      <w:r w:rsidR="008E2829">
        <w:t xml:space="preserve"> generation</w:t>
      </w:r>
      <w:r w:rsidR="008552F9" w:rsidRPr="008552F9">
        <w:t xml:space="preserve">.  The new </w:t>
      </w:r>
      <w:r w:rsidR="00CB54F2">
        <w:t xml:space="preserve">standard requires </w:t>
      </w:r>
      <w:r w:rsidR="008552F9" w:rsidRPr="008552F9">
        <w:t>contingency reserve</w:t>
      </w:r>
      <w:r w:rsidR="00CB54F2">
        <w:t xml:space="preserve">s equal to </w:t>
      </w:r>
      <w:r w:rsidR="008552F9" w:rsidRPr="008552F9">
        <w:t>the sum of three percent of hourly integrated load plus three percent of hourly integrated generation.  Second, BAL</w:t>
      </w:r>
      <w:r w:rsidR="008552F9" w:rsidRPr="008552F9">
        <w:noBreakHyphen/>
        <w:t>003-1 includes requirements pertaining to the provision of reserves for frequency response effective April 1, 2015.  The impact of both of these standards is included in GRID</w:t>
      </w:r>
      <w:r w:rsidR="00425AE9">
        <w:t>, increasing Washington</w:t>
      </w:r>
      <w:r w:rsidR="006D14A9">
        <w:t>-</w:t>
      </w:r>
      <w:r w:rsidR="00425AE9">
        <w:t>allocated NPC by approximately $97</w:t>
      </w:r>
      <w:r w:rsidR="00064158">
        <w:t>,000</w:t>
      </w:r>
      <w:r w:rsidR="008552F9" w:rsidRPr="008552F9">
        <w:t>.</w:t>
      </w:r>
    </w:p>
    <w:p w14:paraId="4E342802" w14:textId="77777777" w:rsidR="00FC3690" w:rsidRPr="002443C0" w:rsidRDefault="00FC3690" w:rsidP="002443C0">
      <w:pPr>
        <w:pStyle w:val="Heading2"/>
      </w:pPr>
      <w:bookmarkStart w:id="17" w:name="_Toc386609225"/>
      <w:r w:rsidRPr="002443C0">
        <w:t xml:space="preserve">Wind Generation </w:t>
      </w:r>
      <w:r w:rsidR="008552F9" w:rsidRPr="002443C0">
        <w:t>Profile</w:t>
      </w:r>
      <w:bookmarkEnd w:id="17"/>
    </w:p>
    <w:p w14:paraId="4E342803" w14:textId="77777777" w:rsidR="00243E42" w:rsidRPr="00822D9F" w:rsidRDefault="00243E42" w:rsidP="002443C0">
      <w:pPr>
        <w:spacing w:line="480" w:lineRule="auto"/>
        <w:ind w:left="720" w:hanging="720"/>
        <w:jc w:val="left"/>
      </w:pPr>
      <w:r w:rsidRPr="00822D9F">
        <w:rPr>
          <w:b/>
        </w:rPr>
        <w:t>Q.</w:t>
      </w:r>
      <w:r w:rsidRPr="00822D9F">
        <w:tab/>
      </w:r>
      <w:r w:rsidRPr="00822D9F">
        <w:rPr>
          <w:b/>
        </w:rPr>
        <w:t xml:space="preserve">Please explain how the Company </w:t>
      </w:r>
      <w:r w:rsidR="008E2829">
        <w:rPr>
          <w:b/>
        </w:rPr>
        <w:t xml:space="preserve">has historically </w:t>
      </w:r>
      <w:r w:rsidRPr="00822D9F">
        <w:rPr>
          <w:b/>
        </w:rPr>
        <w:t>model</w:t>
      </w:r>
      <w:r w:rsidR="008E2829">
        <w:rPr>
          <w:b/>
        </w:rPr>
        <w:t>ed</w:t>
      </w:r>
      <w:r w:rsidRPr="00822D9F">
        <w:rPr>
          <w:b/>
        </w:rPr>
        <w:t xml:space="preserve"> wind generation in GRID.</w:t>
      </w:r>
    </w:p>
    <w:p w14:paraId="4E342804" w14:textId="77777777" w:rsidR="008E2829" w:rsidRDefault="00243E42" w:rsidP="00796934">
      <w:pPr>
        <w:widowControl/>
        <w:spacing w:line="480" w:lineRule="auto"/>
        <w:ind w:left="720" w:hanging="720"/>
        <w:jc w:val="left"/>
      </w:pPr>
      <w:r w:rsidRPr="00822D9F">
        <w:t>A.</w:t>
      </w:r>
      <w:r w:rsidRPr="00822D9F">
        <w:tab/>
        <w:t xml:space="preserve">Total energy from wind generation is included in GRID </w:t>
      </w:r>
      <w:r w:rsidR="001C404E">
        <w:t xml:space="preserve">as a static profile </w:t>
      </w:r>
      <w:r w:rsidRPr="00822D9F">
        <w:t xml:space="preserve">based on a “P50” forecast. </w:t>
      </w:r>
      <w:r w:rsidR="00064158">
        <w:t xml:space="preserve"> </w:t>
      </w:r>
      <w:r w:rsidRPr="00822D9F">
        <w:t xml:space="preserve">A P50 forecast projects generation at a level that is expected to have an equal probability of being higher or lower than actual output. </w:t>
      </w:r>
      <w:r w:rsidR="00782698">
        <w:t xml:space="preserve"> </w:t>
      </w:r>
      <w:r w:rsidRPr="00822D9F">
        <w:t xml:space="preserve">Typically such a forecast is developed by a third party for an individual wind project by combining wind speed measurements taken </w:t>
      </w:r>
      <w:r w:rsidR="00782698">
        <w:t>before project construction</w:t>
      </w:r>
      <w:r w:rsidRPr="00822D9F">
        <w:t xml:space="preserve"> with a detailed model of turbine locations and performance characteristics. </w:t>
      </w:r>
      <w:r w:rsidR="00782698">
        <w:t xml:space="preserve"> </w:t>
      </w:r>
      <w:r w:rsidRPr="00822D9F">
        <w:t>The projected output in a given hour is then averaged across each month to develop a 12</w:t>
      </w:r>
      <w:r w:rsidR="00782698">
        <w:t>-</w:t>
      </w:r>
      <w:r w:rsidRPr="00822D9F">
        <w:t>month</w:t>
      </w:r>
      <w:r w:rsidR="008E2829">
        <w:t>-</w:t>
      </w:r>
      <w:r w:rsidRPr="00822D9F">
        <w:t>by</w:t>
      </w:r>
      <w:r w:rsidR="008E2829">
        <w:t>-</w:t>
      </w:r>
      <w:r w:rsidRPr="00822D9F">
        <w:t>24</w:t>
      </w:r>
      <w:r w:rsidR="00782698">
        <w:t>-</w:t>
      </w:r>
      <w:r w:rsidRPr="00822D9F">
        <w:t xml:space="preserve">hour matrix of average hourly output. </w:t>
      </w:r>
    </w:p>
    <w:p w14:paraId="4E342805" w14:textId="77777777" w:rsidR="00243E42" w:rsidRDefault="008E2829" w:rsidP="002443C0">
      <w:pPr>
        <w:widowControl/>
        <w:spacing w:line="480" w:lineRule="auto"/>
        <w:ind w:left="720" w:hanging="720"/>
        <w:jc w:val="left"/>
      </w:pPr>
      <w:r>
        <w:tab/>
      </w:r>
      <w:r>
        <w:tab/>
      </w:r>
      <w:r w:rsidR="00243E42" w:rsidRPr="00822D9F">
        <w:t>The Company previously input wind generation into GRID using the P50 forecast divided into six four-hour blocks per day. Generation was flat over each four-hour block, and each period was the same for every day during a month. Consequently, the wind generation in GRID exhibited very little variation</w:t>
      </w:r>
      <w:r w:rsidR="00374976">
        <w:t>,</w:t>
      </w:r>
      <w:r w:rsidR="00243E42" w:rsidRPr="00822D9F">
        <w:t xml:space="preserve"> which is </w:t>
      </w:r>
      <w:r w:rsidR="00396075">
        <w:t>in</w:t>
      </w:r>
      <w:r w:rsidR="00243E42" w:rsidRPr="00822D9F">
        <w:t xml:space="preserve">consistent with operational reality. </w:t>
      </w:r>
    </w:p>
    <w:p w14:paraId="4E342806" w14:textId="77777777" w:rsidR="008E2829" w:rsidRPr="008E2829" w:rsidRDefault="008E2829" w:rsidP="00796934">
      <w:pPr>
        <w:spacing w:line="480" w:lineRule="auto"/>
        <w:ind w:left="720" w:hanging="720"/>
        <w:jc w:val="left"/>
        <w:rPr>
          <w:b/>
        </w:rPr>
      </w:pPr>
      <w:r w:rsidRPr="008E2829">
        <w:rPr>
          <w:b/>
        </w:rPr>
        <w:t>Q.</w:t>
      </w:r>
      <w:r w:rsidRPr="008E2829">
        <w:rPr>
          <w:b/>
        </w:rPr>
        <w:tab/>
        <w:t xml:space="preserve">Please describe the wind modeling change you propose in this case. </w:t>
      </w:r>
    </w:p>
    <w:p w14:paraId="4E342807" w14:textId="77777777" w:rsidR="00243E42" w:rsidRPr="00822D9F" w:rsidRDefault="008E2829" w:rsidP="00796934">
      <w:pPr>
        <w:spacing w:line="480" w:lineRule="auto"/>
        <w:ind w:left="720" w:hanging="720"/>
        <w:jc w:val="left"/>
      </w:pPr>
      <w:r>
        <w:t>A.</w:t>
      </w:r>
      <w:r>
        <w:tab/>
        <w:t>T</w:t>
      </w:r>
      <w:r w:rsidR="00243E42" w:rsidRPr="00822D9F">
        <w:t>he Company continue</w:t>
      </w:r>
      <w:r w:rsidR="00782698">
        <w:t>s</w:t>
      </w:r>
      <w:r w:rsidR="00243E42" w:rsidRPr="00822D9F">
        <w:t xml:space="preserve"> to use the P50 forecast to determine total wind generation, but </w:t>
      </w:r>
      <w:r w:rsidR="00782698">
        <w:t xml:space="preserve">now </w:t>
      </w:r>
      <w:r w:rsidR="00782698" w:rsidRPr="00822D9F">
        <w:t>u</w:t>
      </w:r>
      <w:r w:rsidR="00782698">
        <w:t xml:space="preserve">ses </w:t>
      </w:r>
      <w:r w:rsidR="00243E42" w:rsidRPr="00822D9F">
        <w:t xml:space="preserve">the actual 2012 energy output data from the Company’s owned and purchased wind facilities to shape hourly wind generation profiles. </w:t>
      </w:r>
      <w:r w:rsidR="002443C0">
        <w:t xml:space="preserve"> </w:t>
      </w:r>
      <w:r w:rsidR="00243E42" w:rsidRPr="00822D9F">
        <w:t xml:space="preserve">The Company </w:t>
      </w:r>
      <w:r w:rsidR="00782698" w:rsidRPr="00822D9F">
        <w:t>scale</w:t>
      </w:r>
      <w:r w:rsidR="00782698">
        <w:t>s</w:t>
      </w:r>
      <w:r w:rsidR="00782698" w:rsidRPr="00822D9F">
        <w:t xml:space="preserve"> </w:t>
      </w:r>
      <w:r w:rsidR="00243E42" w:rsidRPr="00822D9F">
        <w:t xml:space="preserve">actual </w:t>
      </w:r>
      <w:r w:rsidR="008322E4">
        <w:t xml:space="preserve">hourly </w:t>
      </w:r>
      <w:r w:rsidR="00243E42" w:rsidRPr="00822D9F">
        <w:t>generation levels up or down so that when the output within the traditional four-hour blocks is averaged over the course of a month</w:t>
      </w:r>
      <w:r>
        <w:t>,</w:t>
      </w:r>
      <w:r w:rsidR="00243E42" w:rsidRPr="00822D9F">
        <w:t xml:space="preserve"> it is the same as the P50 forecast. </w:t>
      </w:r>
      <w:r>
        <w:t xml:space="preserve"> </w:t>
      </w:r>
      <w:r w:rsidR="00243E42" w:rsidRPr="00822D9F">
        <w:t>In other words, the total energy output of the wind facilities is the same as the P50 forecast energy output used in previous cases, but the shape of the generation varies on an hourly basis consistent with actual output during 2012.</w:t>
      </w:r>
      <w:r w:rsidR="00CB3054">
        <w:rPr>
          <w:rStyle w:val="FootnoteReference"/>
        </w:rPr>
        <w:footnoteReference w:id="8"/>
      </w:r>
      <w:r w:rsidR="00243E42" w:rsidRPr="00822D9F">
        <w:t xml:space="preserve"> </w:t>
      </w:r>
    </w:p>
    <w:p w14:paraId="4E342808" w14:textId="77777777" w:rsidR="00243E42" w:rsidRPr="00822D9F" w:rsidRDefault="00243E42" w:rsidP="00796934">
      <w:pPr>
        <w:spacing w:line="480" w:lineRule="auto"/>
        <w:ind w:left="720" w:hanging="720"/>
        <w:jc w:val="left"/>
      </w:pPr>
      <w:r w:rsidRPr="00822D9F">
        <w:rPr>
          <w:b/>
        </w:rPr>
        <w:t>Q.</w:t>
      </w:r>
      <w:r w:rsidRPr="00822D9F">
        <w:tab/>
      </w:r>
      <w:r w:rsidRPr="00822D9F">
        <w:rPr>
          <w:b/>
        </w:rPr>
        <w:t>Why did the Company refine the modeling of its hourly wind profiles to reflect historical performance?</w:t>
      </w:r>
    </w:p>
    <w:p w14:paraId="4E342809" w14:textId="77777777" w:rsidR="00243E42" w:rsidRPr="00822D9F" w:rsidRDefault="00243E42" w:rsidP="00796934">
      <w:pPr>
        <w:spacing w:line="480" w:lineRule="auto"/>
        <w:ind w:left="720" w:hanging="720"/>
        <w:jc w:val="left"/>
      </w:pPr>
      <w:r w:rsidRPr="00822D9F">
        <w:t>A.</w:t>
      </w:r>
      <w:r w:rsidRPr="00822D9F">
        <w:tab/>
        <w:t xml:space="preserve">The </w:t>
      </w:r>
      <w:r w:rsidR="005801B6">
        <w:t>refinement</w:t>
      </w:r>
      <w:r w:rsidRPr="00822D9F">
        <w:t xml:space="preserve"> improve</w:t>
      </w:r>
      <w:r w:rsidR="005801B6">
        <w:t>s</w:t>
      </w:r>
      <w:r w:rsidRPr="00822D9F">
        <w:t xml:space="preserve"> the accuracy of </w:t>
      </w:r>
      <w:r w:rsidR="005801B6">
        <w:t>the Company’s</w:t>
      </w:r>
      <w:r w:rsidRPr="00822D9F">
        <w:t xml:space="preserve"> NPC forecast</w:t>
      </w:r>
      <w:r w:rsidR="005801B6">
        <w:t xml:space="preserve"> by</w:t>
      </w:r>
      <w:r w:rsidRPr="00822D9F">
        <w:t xml:space="preserve"> using the most recent reliable data available to develop wind profiles that capture the volatility of wind generation in </w:t>
      </w:r>
      <w:r w:rsidR="00782698">
        <w:t>pro forma</w:t>
      </w:r>
      <w:r w:rsidRPr="00822D9F">
        <w:t xml:space="preserve"> NPC. </w:t>
      </w:r>
      <w:r w:rsidR="00782698">
        <w:t xml:space="preserve"> </w:t>
      </w:r>
      <w:r w:rsidRPr="00822D9F">
        <w:t xml:space="preserve">Figure 1 below illustrates the difference in the two approaches to developing wind generation profiles. </w:t>
      </w:r>
      <w:r w:rsidR="00782698">
        <w:t xml:space="preserve"> </w:t>
      </w:r>
      <w:r w:rsidRPr="00822D9F">
        <w:t xml:space="preserve">The darker line with smooth step changes represents the previous wind inputs using four-hour blocks. </w:t>
      </w:r>
      <w:r w:rsidR="00782698">
        <w:t xml:space="preserve"> </w:t>
      </w:r>
      <w:r w:rsidRPr="00822D9F">
        <w:t xml:space="preserve">The highly variable line represents the wind inputs that vary hourly based on historical volatility, with the same total wind generation volume as the P50 forecast. </w:t>
      </w:r>
    </w:p>
    <w:p w14:paraId="4E34280A" w14:textId="77777777" w:rsidR="00243E42" w:rsidRPr="00822D9F" w:rsidRDefault="00243E42" w:rsidP="002443C0">
      <w:pPr>
        <w:keepNext/>
        <w:keepLines/>
        <w:suppressLineNumbers/>
        <w:spacing w:after="240" w:line="240" w:lineRule="auto"/>
        <w:jc w:val="center"/>
      </w:pPr>
      <w:r w:rsidRPr="00822D9F">
        <w:rPr>
          <w:b/>
        </w:rPr>
        <w:t>Figure 1</w:t>
      </w:r>
      <w:r w:rsidR="00425AE9" w:rsidRPr="00425AE9">
        <w:t xml:space="preserve"> </w:t>
      </w:r>
      <w:r w:rsidR="00425AE9" w:rsidRPr="00425AE9">
        <w:rPr>
          <w:noProof/>
        </w:rPr>
        <w:drawing>
          <wp:inline distT="0" distB="0" distL="0" distR="0" wp14:anchorId="4E34287D" wp14:editId="4E34287E">
            <wp:extent cx="5486400" cy="3978414"/>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3978414"/>
                    </a:xfrm>
                    <a:prstGeom prst="rect">
                      <a:avLst/>
                    </a:prstGeom>
                    <a:noFill/>
                    <a:ln>
                      <a:noFill/>
                    </a:ln>
                  </pic:spPr>
                </pic:pic>
              </a:graphicData>
            </a:graphic>
          </wp:inline>
        </w:drawing>
      </w:r>
    </w:p>
    <w:p w14:paraId="4E34280B" w14:textId="77777777" w:rsidR="00243E42" w:rsidRPr="00822D9F" w:rsidRDefault="00425AE9" w:rsidP="00796934">
      <w:pPr>
        <w:widowControl/>
        <w:spacing w:line="480" w:lineRule="auto"/>
        <w:ind w:left="720"/>
        <w:jc w:val="left"/>
      </w:pPr>
      <w:r>
        <w:t>Figure 1 shows that</w:t>
      </w:r>
      <w:r w:rsidR="00243E42" w:rsidRPr="00822D9F">
        <w:t xml:space="preserve"> an average wind generation forecast shaped over flat</w:t>
      </w:r>
      <w:r w:rsidR="003D4029">
        <w:t>,</w:t>
      </w:r>
      <w:r w:rsidR="00243E42" w:rsidRPr="00822D9F">
        <w:t xml:space="preserve"> four-hour blocks does not capture the actual variability associated with wind generation on the system. </w:t>
      </w:r>
      <w:r w:rsidR="00782698">
        <w:t xml:space="preserve"> </w:t>
      </w:r>
      <w:r w:rsidR="00243E42" w:rsidRPr="00822D9F">
        <w:t xml:space="preserve">Applying the 2012 actual wind generation pattern to the total P50 volumes improves the accuracy of </w:t>
      </w:r>
      <w:r w:rsidR="001B62AA">
        <w:t>pro forma</w:t>
      </w:r>
      <w:r w:rsidR="00243E42" w:rsidRPr="00822D9F">
        <w:t xml:space="preserve"> NPC by capturing more of the cost impacts associated with intermittent wind generation on an hourly basis using the most recent data available.</w:t>
      </w:r>
    </w:p>
    <w:p w14:paraId="4E34280C" w14:textId="77777777" w:rsidR="00243E42" w:rsidRPr="00822D9F" w:rsidRDefault="00243E42" w:rsidP="00796934">
      <w:pPr>
        <w:widowControl/>
        <w:spacing w:line="480" w:lineRule="auto"/>
        <w:ind w:left="720" w:hanging="720"/>
        <w:jc w:val="left"/>
      </w:pPr>
      <w:r w:rsidRPr="00822D9F">
        <w:rPr>
          <w:b/>
        </w:rPr>
        <w:t>Q.</w:t>
      </w:r>
      <w:r w:rsidRPr="00822D9F">
        <w:tab/>
      </w:r>
      <w:r w:rsidRPr="00822D9F">
        <w:rPr>
          <w:b/>
        </w:rPr>
        <w:t xml:space="preserve">Why </w:t>
      </w:r>
      <w:r w:rsidR="00782698">
        <w:rPr>
          <w:b/>
        </w:rPr>
        <w:t>is</w:t>
      </w:r>
      <w:r w:rsidR="00782698" w:rsidRPr="00822D9F">
        <w:rPr>
          <w:b/>
        </w:rPr>
        <w:t xml:space="preserve"> </w:t>
      </w:r>
      <w:r w:rsidRPr="00822D9F">
        <w:rPr>
          <w:b/>
        </w:rPr>
        <w:t>the Company us</w:t>
      </w:r>
      <w:r w:rsidR="00782698">
        <w:rPr>
          <w:b/>
        </w:rPr>
        <w:t>ing</w:t>
      </w:r>
      <w:r w:rsidRPr="00822D9F">
        <w:rPr>
          <w:b/>
        </w:rPr>
        <w:t xml:space="preserve"> a single year, in this case 2012, to derive an hourly shape for wind energy?</w:t>
      </w:r>
    </w:p>
    <w:p w14:paraId="4E34280D" w14:textId="77777777" w:rsidR="00243E42" w:rsidRPr="00822D9F" w:rsidRDefault="00243E42" w:rsidP="00796934">
      <w:pPr>
        <w:widowControl/>
        <w:spacing w:line="480" w:lineRule="auto"/>
        <w:ind w:left="720" w:hanging="720"/>
        <w:jc w:val="left"/>
      </w:pPr>
      <w:r w:rsidRPr="00822D9F">
        <w:t>A.</w:t>
      </w:r>
      <w:r w:rsidRPr="00822D9F">
        <w:tab/>
        <w:t>The Company use</w:t>
      </w:r>
      <w:r w:rsidR="00782698">
        <w:t>s</w:t>
      </w:r>
      <w:r w:rsidRPr="00822D9F">
        <w:t xml:space="preserve"> 2012 data because it represents the most recent calendar year data available at the time </w:t>
      </w:r>
      <w:r w:rsidR="00913175">
        <w:t>NPC were prepared</w:t>
      </w:r>
      <w:r w:rsidRPr="00822D9F">
        <w:t xml:space="preserve">. </w:t>
      </w:r>
      <w:r w:rsidR="00782698">
        <w:t xml:space="preserve"> </w:t>
      </w:r>
      <w:r w:rsidRPr="00822D9F">
        <w:t xml:space="preserve">The use of </w:t>
      </w:r>
      <w:r w:rsidR="00913175">
        <w:t>a recent calendar year</w:t>
      </w:r>
      <w:r w:rsidR="00913175" w:rsidRPr="00822D9F">
        <w:t xml:space="preserve"> </w:t>
      </w:r>
      <w:r w:rsidRPr="00822D9F">
        <w:t xml:space="preserve">period </w:t>
      </w:r>
      <w:r w:rsidR="00913175">
        <w:t xml:space="preserve">enables </w:t>
      </w:r>
      <w:r w:rsidRPr="00822D9F">
        <w:t>consistent hourly shaping across the Company’s wind portfolio</w:t>
      </w:r>
      <w:r w:rsidR="00913175">
        <w:t xml:space="preserve"> as modeled for this case</w:t>
      </w:r>
      <w:r w:rsidRPr="00822D9F">
        <w:t>, as projects that came online more recently would not have data available from earlier periods.</w:t>
      </w:r>
    </w:p>
    <w:p w14:paraId="4E34280E" w14:textId="77777777" w:rsidR="00243E42" w:rsidRPr="00822D9F" w:rsidRDefault="00243E42" w:rsidP="00796934">
      <w:pPr>
        <w:spacing w:line="480" w:lineRule="auto"/>
        <w:ind w:left="720" w:hanging="720"/>
        <w:jc w:val="left"/>
      </w:pPr>
      <w:r w:rsidRPr="00822D9F">
        <w:rPr>
          <w:b/>
        </w:rPr>
        <w:t>Q.</w:t>
      </w:r>
      <w:r w:rsidRPr="00822D9F">
        <w:tab/>
      </w:r>
      <w:r w:rsidRPr="00822D9F">
        <w:rPr>
          <w:b/>
        </w:rPr>
        <w:t xml:space="preserve">Is there evidence </w:t>
      </w:r>
      <w:r w:rsidR="00782698">
        <w:rPr>
          <w:b/>
        </w:rPr>
        <w:t>supporting the</w:t>
      </w:r>
      <w:r w:rsidRPr="00822D9F">
        <w:rPr>
          <w:b/>
        </w:rPr>
        <w:t xml:space="preserve"> Company’s </w:t>
      </w:r>
      <w:r w:rsidR="003D4029">
        <w:rPr>
          <w:b/>
        </w:rPr>
        <w:t>proposed</w:t>
      </w:r>
      <w:r w:rsidR="00782698">
        <w:rPr>
          <w:b/>
        </w:rPr>
        <w:t xml:space="preserve"> </w:t>
      </w:r>
      <w:r w:rsidRPr="00822D9F">
        <w:rPr>
          <w:b/>
        </w:rPr>
        <w:t>wind shaping methodology?</w:t>
      </w:r>
    </w:p>
    <w:p w14:paraId="4E34280F" w14:textId="77777777" w:rsidR="00243E42" w:rsidRDefault="00243E42" w:rsidP="00796934">
      <w:pPr>
        <w:spacing w:line="480" w:lineRule="auto"/>
        <w:ind w:left="720" w:hanging="720"/>
        <w:jc w:val="left"/>
      </w:pPr>
      <w:r w:rsidRPr="00822D9F">
        <w:t>A.</w:t>
      </w:r>
      <w:r w:rsidRPr="00822D9F">
        <w:tab/>
        <w:t xml:space="preserve">Yes. </w:t>
      </w:r>
      <w:r w:rsidR="00782698">
        <w:t xml:space="preserve"> </w:t>
      </w:r>
      <w:r w:rsidR="00913175" w:rsidRPr="00AE79C1">
        <w:t>Exhibit No.___(GND-</w:t>
      </w:r>
      <w:r w:rsidR="00E96EAE" w:rsidRPr="00AE79C1">
        <w:t>3</w:t>
      </w:r>
      <w:r w:rsidR="00913175" w:rsidRPr="00AE79C1">
        <w:t>) includes</w:t>
      </w:r>
      <w:r w:rsidR="00913175" w:rsidRPr="00C90D83">
        <w:t xml:space="preserve"> a</w:t>
      </w:r>
      <w:r w:rsidRPr="00AE79C1">
        <w:t xml:space="preserve"> technical</w:t>
      </w:r>
      <w:r w:rsidRPr="00822D9F">
        <w:t xml:space="preserve"> report published by the National Renewable Energy Laboratory (NREL)</w:t>
      </w:r>
      <w:r w:rsidR="006D14A9">
        <w:t>,</w:t>
      </w:r>
      <w:r w:rsidRPr="00796934">
        <w:rPr>
          <w:rStyle w:val="FootnoteReference"/>
        </w:rPr>
        <w:footnoteReference w:id="9"/>
      </w:r>
      <w:r>
        <w:rPr>
          <w:rFonts w:ascii="Arial"/>
        </w:rPr>
        <w:t xml:space="preserve"> </w:t>
      </w:r>
      <w:r w:rsidR="00913175">
        <w:t>which e</w:t>
      </w:r>
      <w:r w:rsidRPr="00822D9F">
        <w:t xml:space="preserve">xamined the variability in wind generation over various lengths of time. </w:t>
      </w:r>
      <w:r w:rsidR="00782698">
        <w:t xml:space="preserve"> </w:t>
      </w:r>
      <w:r w:rsidRPr="000E6D77">
        <w:t>The report found that “one can expect relatively large inter-annual changes</w:t>
      </w:r>
      <w:r w:rsidR="00C330AB">
        <w:t>,</w:t>
      </w:r>
      <w:r w:rsidRPr="000E6D77">
        <w:t xml:space="preserve">” </w:t>
      </w:r>
      <w:r w:rsidR="00C330AB">
        <w:t xml:space="preserve">but </w:t>
      </w:r>
      <w:r w:rsidRPr="00822D9F">
        <w:t xml:space="preserve">concluded that </w:t>
      </w:r>
      <w:r w:rsidR="00C330AB">
        <w:t>“</w:t>
      </w:r>
      <w:r w:rsidRPr="00822D9F">
        <w:t>short-term wind power fluctuations do not exhibit year-to-year variability.”</w:t>
      </w:r>
      <w:r>
        <w:rPr>
          <w:rStyle w:val="FootnoteReference"/>
        </w:rPr>
        <w:footnoteReference w:id="10"/>
      </w:r>
    </w:p>
    <w:p w14:paraId="4E342810" w14:textId="77777777" w:rsidR="00243E42" w:rsidRDefault="00243E42" w:rsidP="00796934">
      <w:pPr>
        <w:spacing w:line="480" w:lineRule="auto"/>
        <w:ind w:left="720" w:hanging="720"/>
        <w:jc w:val="left"/>
        <w:rPr>
          <w:b/>
        </w:rPr>
      </w:pPr>
      <w:r w:rsidRPr="00822D9F">
        <w:rPr>
          <w:b/>
        </w:rPr>
        <w:t>Q.</w:t>
      </w:r>
      <w:r w:rsidRPr="00822D9F">
        <w:tab/>
      </w:r>
      <w:r w:rsidR="00FF1FC2">
        <w:rPr>
          <w:b/>
        </w:rPr>
        <w:t>How</w:t>
      </w:r>
      <w:r w:rsidRPr="00822D9F">
        <w:rPr>
          <w:b/>
        </w:rPr>
        <w:t xml:space="preserve"> does </w:t>
      </w:r>
      <w:r w:rsidR="00787525">
        <w:rPr>
          <w:b/>
        </w:rPr>
        <w:t xml:space="preserve">the NREL report </w:t>
      </w:r>
      <w:r w:rsidR="00FF1FC2">
        <w:rPr>
          <w:b/>
        </w:rPr>
        <w:t xml:space="preserve">support </w:t>
      </w:r>
      <w:r w:rsidRPr="00822D9F">
        <w:rPr>
          <w:b/>
        </w:rPr>
        <w:t>the Company’s wind shaping methodology?</w:t>
      </w:r>
    </w:p>
    <w:p w14:paraId="4E342811" w14:textId="77777777" w:rsidR="00243E42" w:rsidRPr="00822D9F" w:rsidRDefault="00243E42" w:rsidP="00796934">
      <w:pPr>
        <w:spacing w:line="480" w:lineRule="auto"/>
        <w:ind w:left="720" w:hanging="720"/>
        <w:jc w:val="left"/>
      </w:pPr>
      <w:r w:rsidRPr="00822D9F">
        <w:t>A.</w:t>
      </w:r>
      <w:r w:rsidRPr="00822D9F">
        <w:tab/>
        <w:t xml:space="preserve">The Company’s methodology ensures that average monthly energy output in each four-hour block remains at the P50 forecast, so it will not result in inter-annual changes in output. </w:t>
      </w:r>
      <w:r w:rsidR="00782698">
        <w:t xml:space="preserve"> </w:t>
      </w:r>
      <w:r w:rsidRPr="00822D9F">
        <w:t xml:space="preserve">Because short-term wind power fluctuations are not expected </w:t>
      </w:r>
      <w:r>
        <w:t xml:space="preserve">to vary significantly from year to </w:t>
      </w:r>
      <w:r w:rsidRPr="00822D9F">
        <w:t>year, the use of the most recent year will not have significant differences in variability compared to other years.</w:t>
      </w:r>
    </w:p>
    <w:p w14:paraId="4E342812" w14:textId="77777777" w:rsidR="00243E42" w:rsidRPr="00822D9F" w:rsidRDefault="00243E42" w:rsidP="00796934">
      <w:pPr>
        <w:widowControl/>
        <w:spacing w:line="480" w:lineRule="auto"/>
        <w:ind w:left="720" w:hanging="720"/>
        <w:jc w:val="left"/>
      </w:pPr>
      <w:r w:rsidRPr="00822D9F">
        <w:rPr>
          <w:b/>
        </w:rPr>
        <w:t>Q.</w:t>
      </w:r>
      <w:r w:rsidRPr="00822D9F">
        <w:tab/>
      </w:r>
      <w:r w:rsidRPr="00822D9F">
        <w:rPr>
          <w:b/>
        </w:rPr>
        <w:t>Has the Company prepared an analysis of the variability of its wind plants similar to the analysis presented in the NREL report?</w:t>
      </w:r>
    </w:p>
    <w:p w14:paraId="4E342813" w14:textId="77777777" w:rsidR="002A26F3" w:rsidRPr="00822D9F" w:rsidRDefault="00243E42" w:rsidP="00796934">
      <w:pPr>
        <w:widowControl/>
        <w:spacing w:line="480" w:lineRule="auto"/>
        <w:ind w:left="720" w:hanging="720"/>
        <w:jc w:val="left"/>
      </w:pPr>
      <w:r w:rsidRPr="00822D9F">
        <w:t>A.</w:t>
      </w:r>
      <w:r w:rsidRPr="00822D9F">
        <w:tab/>
        <w:t xml:space="preserve">Yes. </w:t>
      </w:r>
      <w:r w:rsidR="00C661E6">
        <w:t xml:space="preserve"> </w:t>
      </w:r>
      <w:r w:rsidRPr="00822D9F">
        <w:t xml:space="preserve">In its study, NREL calculated the coefficient of variation (COV), defined as the ratio of standard deviation value to plant nameplate capacity, to gauge the short-term variability of wind generation. </w:t>
      </w:r>
      <w:r w:rsidR="00782698">
        <w:t xml:space="preserve"> </w:t>
      </w:r>
      <w:r w:rsidRPr="00822D9F">
        <w:t xml:space="preserve">The Company applied this same calculation on </w:t>
      </w:r>
      <w:r w:rsidR="00C677D0">
        <w:t>four</w:t>
      </w:r>
      <w:r w:rsidRPr="00822D9F">
        <w:t xml:space="preserve"> of its wind resources</w:t>
      </w:r>
      <w:r w:rsidR="00B32705">
        <w:t xml:space="preserve"> located in the </w:t>
      </w:r>
      <w:r w:rsidR="00782698">
        <w:t>west control area</w:t>
      </w:r>
      <w:r w:rsidRPr="00822D9F">
        <w:t xml:space="preserve">. Table </w:t>
      </w:r>
      <w:r w:rsidR="00C330AB">
        <w:t>6</w:t>
      </w:r>
      <w:r w:rsidRPr="00822D9F">
        <w:t xml:space="preserve"> below shows that the COV of </w:t>
      </w:r>
      <w:r w:rsidR="00B32705">
        <w:t xml:space="preserve">the </w:t>
      </w:r>
      <w:r w:rsidRPr="00822D9F">
        <w:t xml:space="preserve">wind plants is fairly consistent over time. </w:t>
      </w:r>
      <w:r w:rsidR="00C661E6">
        <w:t xml:space="preserve"> </w:t>
      </w:r>
      <w:r w:rsidR="002A26F3" w:rsidRPr="00822D9F">
        <w:t>It also shows that the variability in the Company’s revised modeling is much closer to the historical levels.</w:t>
      </w:r>
    </w:p>
    <w:p w14:paraId="4E342814" w14:textId="77777777" w:rsidR="008E4717" w:rsidRPr="00822D9F" w:rsidRDefault="008E4717" w:rsidP="002443C0">
      <w:pPr>
        <w:keepNext/>
        <w:keepLines/>
        <w:suppressLineNumbers/>
        <w:spacing w:line="240" w:lineRule="auto"/>
        <w:jc w:val="center"/>
        <w:rPr>
          <w:b/>
        </w:rPr>
      </w:pPr>
      <w:r w:rsidRPr="00822D9F">
        <w:rPr>
          <w:b/>
        </w:rPr>
        <w:t xml:space="preserve">Table </w:t>
      </w:r>
      <w:r w:rsidR="00C330AB">
        <w:rPr>
          <w:b/>
        </w:rPr>
        <w:t>6</w:t>
      </w:r>
    </w:p>
    <w:p w14:paraId="4E342815" w14:textId="77777777" w:rsidR="008E4717" w:rsidRPr="00822D9F" w:rsidRDefault="008E4717" w:rsidP="002443C0">
      <w:pPr>
        <w:keepNext/>
        <w:keepLines/>
        <w:suppressLineNumbers/>
        <w:spacing w:line="240" w:lineRule="auto"/>
        <w:jc w:val="center"/>
        <w:rPr>
          <w:b/>
        </w:rPr>
      </w:pPr>
      <w:r w:rsidRPr="00822D9F">
        <w:rPr>
          <w:b/>
        </w:rPr>
        <w:t xml:space="preserve">Yearly COV Value of </w:t>
      </w:r>
      <w:r w:rsidR="00913175">
        <w:rPr>
          <w:b/>
        </w:rPr>
        <w:t>Hourly</w:t>
      </w:r>
      <w:r w:rsidR="00913175" w:rsidRPr="00822D9F">
        <w:rPr>
          <w:b/>
        </w:rPr>
        <w:t xml:space="preserve"> </w:t>
      </w:r>
      <w:r w:rsidRPr="00822D9F">
        <w:rPr>
          <w:b/>
        </w:rPr>
        <w:t>Wind Power</w:t>
      </w:r>
    </w:p>
    <w:p w14:paraId="4E342816" w14:textId="77777777" w:rsidR="008E4717" w:rsidRDefault="008E4717" w:rsidP="002443C0">
      <w:pPr>
        <w:keepNext/>
        <w:keepLines/>
        <w:suppressLineNumbers/>
        <w:spacing w:line="240" w:lineRule="auto"/>
        <w:jc w:val="center"/>
        <w:rPr>
          <w:b/>
        </w:rPr>
      </w:pPr>
      <w:r w:rsidRPr="00822D9F">
        <w:rPr>
          <w:b/>
        </w:rPr>
        <w:t>(Normalized to Plant Name</w:t>
      </w:r>
      <w:r w:rsidR="00782698">
        <w:rPr>
          <w:b/>
        </w:rPr>
        <w:t>p</w:t>
      </w:r>
      <w:r w:rsidRPr="00822D9F">
        <w:rPr>
          <w:b/>
        </w:rPr>
        <w:t>late Capacity)</w:t>
      </w:r>
    </w:p>
    <w:p w14:paraId="4E342817" w14:textId="77777777" w:rsidR="008E4717" w:rsidRPr="00822D9F" w:rsidRDefault="00913175" w:rsidP="002443C0">
      <w:pPr>
        <w:suppressLineNumbers/>
        <w:spacing w:line="240" w:lineRule="auto"/>
        <w:jc w:val="center"/>
        <w:rPr>
          <w:b/>
        </w:rPr>
      </w:pPr>
      <w:r w:rsidRPr="00913175">
        <w:rPr>
          <w:noProof/>
        </w:rPr>
        <w:drawing>
          <wp:inline distT="0" distB="0" distL="0" distR="0" wp14:anchorId="4E34287F" wp14:editId="4E342880">
            <wp:extent cx="4986655" cy="242443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6655" cy="2424430"/>
                    </a:xfrm>
                    <a:prstGeom prst="rect">
                      <a:avLst/>
                    </a:prstGeom>
                    <a:noFill/>
                    <a:ln>
                      <a:noFill/>
                    </a:ln>
                  </pic:spPr>
                </pic:pic>
              </a:graphicData>
            </a:graphic>
          </wp:inline>
        </w:drawing>
      </w:r>
    </w:p>
    <w:p w14:paraId="4E342818" w14:textId="77777777" w:rsidR="002A26F3" w:rsidRPr="002A26F3" w:rsidRDefault="002A26F3" w:rsidP="00796934">
      <w:pPr>
        <w:keepNext/>
        <w:widowControl/>
        <w:spacing w:before="240" w:line="480" w:lineRule="auto"/>
        <w:ind w:left="720" w:hanging="720"/>
        <w:jc w:val="left"/>
        <w:rPr>
          <w:b/>
        </w:rPr>
      </w:pPr>
      <w:r w:rsidRPr="002A26F3">
        <w:rPr>
          <w:b/>
        </w:rPr>
        <w:t>Q.</w:t>
      </w:r>
      <w:r w:rsidRPr="002A26F3">
        <w:rPr>
          <w:b/>
        </w:rPr>
        <w:tab/>
        <w:t xml:space="preserve">Has </w:t>
      </w:r>
      <w:r w:rsidR="00C661E6">
        <w:rPr>
          <w:b/>
        </w:rPr>
        <w:t>PacifiCorp</w:t>
      </w:r>
      <w:r w:rsidRPr="002A26F3">
        <w:rPr>
          <w:b/>
        </w:rPr>
        <w:t xml:space="preserve"> modeled wind generation using an actual hourly shape in filings in other states? </w:t>
      </w:r>
    </w:p>
    <w:p w14:paraId="4E342819" w14:textId="77777777" w:rsidR="00CB3054" w:rsidRPr="00CB3054" w:rsidRDefault="002A26F3" w:rsidP="00796934">
      <w:pPr>
        <w:widowControl/>
        <w:spacing w:line="480" w:lineRule="auto"/>
        <w:ind w:left="720" w:hanging="720"/>
        <w:jc w:val="left"/>
      </w:pPr>
      <w:r>
        <w:t>A.</w:t>
      </w:r>
      <w:r>
        <w:tab/>
        <w:t xml:space="preserve">Yes. </w:t>
      </w:r>
      <w:r w:rsidR="00782698">
        <w:t xml:space="preserve"> </w:t>
      </w:r>
      <w:r>
        <w:t xml:space="preserve">The </w:t>
      </w:r>
      <w:r w:rsidR="00913175">
        <w:t>C</w:t>
      </w:r>
      <w:r>
        <w:t xml:space="preserve">ompany began modeling wind generation using an actual hourly shape in its 2013 transition adjustment mechanism filing in Oregon, docket UE 264.  The </w:t>
      </w:r>
      <w:r w:rsidR="00782698">
        <w:t xml:space="preserve">Public Utility </w:t>
      </w:r>
      <w:r w:rsidR="00C330AB">
        <w:t>C</w:t>
      </w:r>
      <w:r w:rsidR="00522E14">
        <w:t xml:space="preserve">ommission </w:t>
      </w:r>
      <w:r w:rsidR="00782698">
        <w:t xml:space="preserve">of Oregon </w:t>
      </w:r>
      <w:r>
        <w:t xml:space="preserve">approved the </w:t>
      </w:r>
      <w:r w:rsidR="00C661E6">
        <w:t>c</w:t>
      </w:r>
      <w:r>
        <w:t xml:space="preserve">ompany’s proposal in that case.  The </w:t>
      </w:r>
      <w:r w:rsidR="00913175">
        <w:t>C</w:t>
      </w:r>
      <w:r>
        <w:t xml:space="preserve">ompany has since made filings in Oregon, Utah, and Wyoming using the same method.  </w:t>
      </w:r>
    </w:p>
    <w:p w14:paraId="4E34281A" w14:textId="77777777" w:rsidR="00FC3690" w:rsidRPr="008010C2" w:rsidRDefault="00FC3690" w:rsidP="00466489">
      <w:pPr>
        <w:pStyle w:val="Heading2"/>
      </w:pPr>
      <w:bookmarkStart w:id="18" w:name="_Toc386609226"/>
      <w:r>
        <w:t>Market Caps</w:t>
      </w:r>
      <w:bookmarkEnd w:id="18"/>
      <w:r w:rsidRPr="008010C2">
        <w:t xml:space="preserve"> </w:t>
      </w:r>
    </w:p>
    <w:p w14:paraId="4E34281B" w14:textId="77777777" w:rsidR="00B50B55" w:rsidRPr="00B50B55" w:rsidRDefault="00B50B55" w:rsidP="00002F80">
      <w:pPr>
        <w:pStyle w:val="BodyTextIndent"/>
        <w:widowControl/>
        <w:tabs>
          <w:tab w:val="clear" w:pos="720"/>
          <w:tab w:val="left" w:pos="1080"/>
        </w:tabs>
        <w:adjustRightInd/>
        <w:jc w:val="left"/>
        <w:textAlignment w:val="auto"/>
        <w:rPr>
          <w:b/>
        </w:rPr>
      </w:pPr>
      <w:r w:rsidRPr="00B50B55">
        <w:rPr>
          <w:b/>
        </w:rPr>
        <w:t>Q.</w:t>
      </w:r>
      <w:r w:rsidRPr="00B50B55">
        <w:rPr>
          <w:b/>
        </w:rPr>
        <w:tab/>
        <w:t xml:space="preserve">Please explain what is meant by the term </w:t>
      </w:r>
      <w:r w:rsidR="00C330AB">
        <w:rPr>
          <w:b/>
        </w:rPr>
        <w:t>“</w:t>
      </w:r>
      <w:r w:rsidRPr="00B50B55">
        <w:rPr>
          <w:b/>
        </w:rPr>
        <w:t>market caps.</w:t>
      </w:r>
      <w:r w:rsidR="00C330AB">
        <w:rPr>
          <w:b/>
        </w:rPr>
        <w:t>”</w:t>
      </w:r>
    </w:p>
    <w:p w14:paraId="4E34281C" w14:textId="77777777" w:rsidR="00AC3D00" w:rsidRDefault="00B50B55" w:rsidP="00796934">
      <w:pPr>
        <w:tabs>
          <w:tab w:val="left" w:pos="720"/>
        </w:tabs>
        <w:spacing w:line="480" w:lineRule="auto"/>
        <w:ind w:left="720" w:hanging="720"/>
        <w:jc w:val="left"/>
        <w:rPr>
          <w:bCs/>
        </w:rPr>
      </w:pPr>
      <w:r>
        <w:t>A.</w:t>
      </w:r>
      <w:r>
        <w:tab/>
      </w:r>
      <w:r w:rsidR="00444A73">
        <w:t xml:space="preserve">Market caps are limits placed on the potential volume of off-system sales transactions in GRID. </w:t>
      </w:r>
      <w:r w:rsidR="00002F80">
        <w:t xml:space="preserve"> These</w:t>
      </w:r>
      <w:r w:rsidR="00444A73">
        <w:t xml:space="preserve"> limits have always been included in the Company’s GRID modeling</w:t>
      </w:r>
      <w:r w:rsidR="00971E30">
        <w:t>,</w:t>
      </w:r>
      <w:r w:rsidR="0046790A">
        <w:t xml:space="preserve"> based on actual transaction data.  </w:t>
      </w:r>
      <w:r w:rsidR="0046790A">
        <w:rPr>
          <w:bCs/>
        </w:rPr>
        <w:t>Without market caps, GRID would allow sales at every market at any time of the day or night until transmission or generation constraints are met</w:t>
      </w:r>
      <w:r w:rsidR="009272E1">
        <w:rPr>
          <w:bCs/>
        </w:rPr>
        <w:t xml:space="preserve"> without regard to depth of wholesale market demand</w:t>
      </w:r>
      <w:r w:rsidR="0046790A">
        <w:rPr>
          <w:bCs/>
        </w:rPr>
        <w:t>.  Historical STF transactions show that this level of sales does not occur in actual operation.</w:t>
      </w:r>
    </w:p>
    <w:p w14:paraId="4E34281D" w14:textId="77777777" w:rsidR="00AC3D00" w:rsidRDefault="00AC3D00" w:rsidP="00AC3D00">
      <w:pPr>
        <w:pStyle w:val="BodyTextIndent"/>
        <w:widowControl/>
        <w:tabs>
          <w:tab w:val="clear" w:pos="720"/>
          <w:tab w:val="left" w:pos="1080"/>
        </w:tabs>
        <w:adjustRightInd/>
        <w:jc w:val="left"/>
        <w:textAlignment w:val="auto"/>
        <w:rPr>
          <w:b/>
        </w:rPr>
      </w:pPr>
      <w:r>
        <w:rPr>
          <w:b/>
        </w:rPr>
        <w:t>Q.</w:t>
      </w:r>
      <w:r>
        <w:rPr>
          <w:b/>
        </w:rPr>
        <w:tab/>
        <w:t>Do</w:t>
      </w:r>
      <w:r w:rsidR="00C330AB">
        <w:rPr>
          <w:b/>
        </w:rPr>
        <w:t>es</w:t>
      </w:r>
      <w:r>
        <w:rPr>
          <w:b/>
        </w:rPr>
        <w:t xml:space="preserve"> the inclusion of market caps </w:t>
      </w:r>
      <w:r w:rsidR="009B0890" w:rsidRPr="009B0890">
        <w:rPr>
          <w:b/>
        </w:rPr>
        <w:t xml:space="preserve">as an exogenously determined limit </w:t>
      </w:r>
      <w:r w:rsidRPr="009B0890">
        <w:rPr>
          <w:b/>
        </w:rPr>
        <w:t>i</w:t>
      </w:r>
      <w:r>
        <w:rPr>
          <w:b/>
        </w:rPr>
        <w:t>n GRID signif</w:t>
      </w:r>
      <w:r w:rsidR="00C330AB">
        <w:rPr>
          <w:b/>
        </w:rPr>
        <w:t>y that</w:t>
      </w:r>
      <w:r>
        <w:rPr>
          <w:b/>
        </w:rPr>
        <w:t xml:space="preserve"> the model is deficient?</w:t>
      </w:r>
    </w:p>
    <w:p w14:paraId="4E34281E" w14:textId="77777777" w:rsidR="00AC3D00" w:rsidRDefault="00AC3D00" w:rsidP="00AC3D00">
      <w:pPr>
        <w:pStyle w:val="BodyTextIndent"/>
        <w:widowControl/>
        <w:tabs>
          <w:tab w:val="clear" w:pos="720"/>
          <w:tab w:val="left" w:pos="1080"/>
        </w:tabs>
        <w:adjustRightInd/>
        <w:jc w:val="left"/>
        <w:textAlignment w:val="auto"/>
        <w:rPr>
          <w:b/>
        </w:rPr>
      </w:pPr>
      <w:r>
        <w:t>A.</w:t>
      </w:r>
      <w:r>
        <w:tab/>
        <w:t xml:space="preserve">No.  GRID was designed to replicate PacifiCorp’s system operations to the </w:t>
      </w:r>
      <w:r w:rsidR="009B0890">
        <w:t xml:space="preserve">greatest </w:t>
      </w:r>
      <w:r>
        <w:t xml:space="preserve">extent possible.  Market caps are a required parameter to increase the accuracy of the modeled interaction with off-system counterparties on the boundaries of PacifiCorp’s system.  Without a specified ability to transact at a given market hub, </w:t>
      </w:r>
      <w:r w:rsidRPr="000A4B80">
        <w:rPr>
          <w:bCs/>
        </w:rPr>
        <w:t xml:space="preserve">GRID assumes unlimited market depth for </w:t>
      </w:r>
      <w:r>
        <w:rPr>
          <w:bCs/>
        </w:rPr>
        <w:t xml:space="preserve">STF </w:t>
      </w:r>
      <w:r w:rsidRPr="000A4B80">
        <w:rPr>
          <w:bCs/>
        </w:rPr>
        <w:t xml:space="preserve">transactions; it does not consider </w:t>
      </w:r>
      <w:r>
        <w:rPr>
          <w:bCs/>
        </w:rPr>
        <w:t xml:space="preserve">regional </w:t>
      </w:r>
      <w:r w:rsidRPr="000A4B80">
        <w:rPr>
          <w:bCs/>
        </w:rPr>
        <w:t xml:space="preserve">load requirements, all </w:t>
      </w:r>
      <w:r w:rsidR="00913175">
        <w:rPr>
          <w:bCs/>
        </w:rPr>
        <w:t xml:space="preserve">third-party </w:t>
      </w:r>
      <w:r w:rsidRPr="000A4B80">
        <w:rPr>
          <w:bCs/>
        </w:rPr>
        <w:t>transmission constraints, market illiquidity, or</w:t>
      </w:r>
      <w:r>
        <w:rPr>
          <w:bCs/>
        </w:rPr>
        <w:t xml:space="preserve"> the dynamic response of market prices as volumes increase</w:t>
      </w:r>
      <w:r w:rsidRPr="000A4B80">
        <w:rPr>
          <w:bCs/>
        </w:rPr>
        <w:t xml:space="preserve">.  Market caps are </w:t>
      </w:r>
      <w:r>
        <w:rPr>
          <w:bCs/>
        </w:rPr>
        <w:t>a surrogate</w:t>
      </w:r>
      <w:r w:rsidRPr="000A4B80">
        <w:rPr>
          <w:bCs/>
        </w:rPr>
        <w:t xml:space="preserve"> for these actual market constraints to ensure that GRID does not model transactions and impute sales revenues that, in reality, are not available to the Company.</w:t>
      </w:r>
      <w:r>
        <w:rPr>
          <w:bCs/>
        </w:rPr>
        <w:t xml:space="preserve">  </w:t>
      </w:r>
    </w:p>
    <w:p w14:paraId="4E34281F" w14:textId="77777777" w:rsidR="00AC3D00" w:rsidRPr="00B50B55" w:rsidRDefault="00AC3D00" w:rsidP="00AC3D00">
      <w:pPr>
        <w:pStyle w:val="BodyTextIndent"/>
        <w:widowControl/>
        <w:tabs>
          <w:tab w:val="clear" w:pos="720"/>
          <w:tab w:val="left" w:pos="1080"/>
        </w:tabs>
        <w:adjustRightInd/>
        <w:jc w:val="left"/>
        <w:textAlignment w:val="auto"/>
        <w:rPr>
          <w:b/>
        </w:rPr>
      </w:pPr>
      <w:r w:rsidRPr="00B50B55">
        <w:rPr>
          <w:b/>
        </w:rPr>
        <w:t>Q.</w:t>
      </w:r>
      <w:r w:rsidRPr="00B50B55">
        <w:rPr>
          <w:b/>
        </w:rPr>
        <w:tab/>
        <w:t>How does the GRID model forecast off-system sales?</w:t>
      </w:r>
    </w:p>
    <w:p w14:paraId="4E342820" w14:textId="77777777" w:rsidR="00AC3D00" w:rsidRDefault="00AC3D00" w:rsidP="00AC3D00">
      <w:pPr>
        <w:pStyle w:val="BodyTextIndent"/>
        <w:widowControl/>
        <w:tabs>
          <w:tab w:val="clear" w:pos="720"/>
          <w:tab w:val="left" w:pos="1080"/>
        </w:tabs>
        <w:adjustRightInd/>
        <w:jc w:val="left"/>
        <w:textAlignment w:val="auto"/>
      </w:pPr>
      <w:r>
        <w:t>A.</w:t>
      </w:r>
      <w:r>
        <w:tab/>
        <w:t>On an hourly basis, GRID balances all loads and resources within individual areas, or “bubbles</w:t>
      </w:r>
      <w:r w:rsidR="00002F80">
        <w:t>,</w:t>
      </w:r>
      <w:r>
        <w:t xml:space="preserve">” included in the model topology.  The GRID topology represents only PacifiCorp’s balancing authority areas (BAAs) and does not include other BAAs in the surrounding region.  The GRID topology includes PacifiCorp’s access to various wholesale markets based on existing transmission rights.  After all </w:t>
      </w:r>
      <w:r w:rsidR="00913175">
        <w:t xml:space="preserve">PacifiCorp </w:t>
      </w:r>
      <w:r>
        <w:t>system obligations (</w:t>
      </w:r>
      <w:r w:rsidRPr="00796934">
        <w:rPr>
          <w:i/>
        </w:rPr>
        <w:t>i.e.</w:t>
      </w:r>
      <w:r w:rsidR="00C8554D">
        <w:t>,</w:t>
      </w:r>
      <w:r>
        <w:t xml:space="preserve"> retail load, wholesale obligations, </w:t>
      </w:r>
      <w:r w:rsidR="009B0890">
        <w:t xml:space="preserve">and </w:t>
      </w:r>
      <w:r>
        <w:t xml:space="preserve">reserve requirements) are met, GRID is able to sell any remaining economic resources into the wholesale markets up to the </w:t>
      </w:r>
      <w:r w:rsidR="00F23AC1">
        <w:t xml:space="preserve">Company’s </w:t>
      </w:r>
      <w:r>
        <w:t xml:space="preserve">available transmission </w:t>
      </w:r>
      <w:r w:rsidR="00913175">
        <w:t>rights</w:t>
      </w:r>
      <w:r>
        <w:t xml:space="preserve">.  GRID will also take advantage of price differences at distinct wholesale market hubs by buying power at a low price to sell at a higher price in another market, subject to transmission availability.  </w:t>
      </w:r>
    </w:p>
    <w:p w14:paraId="4E342821" w14:textId="77777777" w:rsidR="00AC3D00" w:rsidRDefault="00AC3D00" w:rsidP="00AC3D00">
      <w:pPr>
        <w:pStyle w:val="BodyTextIndent"/>
        <w:widowControl/>
        <w:tabs>
          <w:tab w:val="clear" w:pos="720"/>
          <w:tab w:val="left" w:pos="1080"/>
        </w:tabs>
        <w:adjustRightInd/>
        <w:jc w:val="left"/>
        <w:textAlignment w:val="auto"/>
        <w:rPr>
          <w:b/>
        </w:rPr>
      </w:pPr>
      <w:r>
        <w:rPr>
          <w:b/>
        </w:rPr>
        <w:t>Q.</w:t>
      </w:r>
      <w:r>
        <w:rPr>
          <w:b/>
        </w:rPr>
        <w:tab/>
        <w:t>Do all production cost models require the same type of market caps?</w:t>
      </w:r>
    </w:p>
    <w:p w14:paraId="4E342822" w14:textId="77777777" w:rsidR="00B50B55" w:rsidRDefault="00AC3D00" w:rsidP="00C661E6">
      <w:pPr>
        <w:tabs>
          <w:tab w:val="left" w:pos="720"/>
        </w:tabs>
        <w:spacing w:line="480" w:lineRule="auto"/>
        <w:ind w:left="720" w:hanging="720"/>
        <w:jc w:val="left"/>
      </w:pPr>
      <w:r>
        <w:t>A.</w:t>
      </w:r>
      <w:r>
        <w:tab/>
        <w:t>No.  Each model is unique and may or may not require an exogenously determined limit on wholesale market transactions like GRID.  For example, some models include loads and resources for an entire region.  Individual utility systems within the region are allowed to interact</w:t>
      </w:r>
      <w:r w:rsidR="00002F80">
        <w:t>,</w:t>
      </w:r>
      <w:r>
        <w:t xml:space="preserve"> and the model determines a market clearing price at different points based on the loads and resources of all the surrounding areas.  In such a model, a specified market cap is not needed because load and resources from all market participants are included in the model and balanced simultaneously.  However, market activity is limited by the surrounding load, resources, and transmission constraints.</w:t>
      </w:r>
      <w:r w:rsidR="0046790A">
        <w:rPr>
          <w:bCs/>
        </w:rPr>
        <w:tab/>
        <w:t xml:space="preserve"> </w:t>
      </w:r>
    </w:p>
    <w:p w14:paraId="4E342823" w14:textId="77777777" w:rsidR="00B50B55" w:rsidRDefault="00B50B55" w:rsidP="00243E42">
      <w:pPr>
        <w:pStyle w:val="BodyTextIndent"/>
        <w:widowControl/>
        <w:tabs>
          <w:tab w:val="clear" w:pos="720"/>
          <w:tab w:val="left" w:pos="1080"/>
        </w:tabs>
        <w:adjustRightInd/>
        <w:jc w:val="left"/>
        <w:textAlignment w:val="auto"/>
        <w:rPr>
          <w:b/>
        </w:rPr>
      </w:pPr>
      <w:r>
        <w:rPr>
          <w:b/>
        </w:rPr>
        <w:t>Q.</w:t>
      </w:r>
      <w:r>
        <w:rPr>
          <w:b/>
        </w:rPr>
        <w:tab/>
        <w:t>Did the Commission address market caps in the 2013 Rate Case?</w:t>
      </w:r>
    </w:p>
    <w:p w14:paraId="4E342824" w14:textId="77777777" w:rsidR="00B50B55" w:rsidRPr="00B50B55" w:rsidRDefault="00B50B55" w:rsidP="00243E42">
      <w:pPr>
        <w:pStyle w:val="BodyTextIndent"/>
        <w:widowControl/>
        <w:tabs>
          <w:tab w:val="clear" w:pos="720"/>
          <w:tab w:val="left" w:pos="1080"/>
        </w:tabs>
        <w:adjustRightInd/>
        <w:jc w:val="left"/>
        <w:textAlignment w:val="auto"/>
      </w:pPr>
      <w:r>
        <w:t>A.</w:t>
      </w:r>
      <w:r>
        <w:tab/>
      </w:r>
      <w:r w:rsidR="00444A73">
        <w:t>Yes.  In Order 05 in the 2013 Rate Case</w:t>
      </w:r>
      <w:r w:rsidR="00E15E1A">
        <w:t>,</w:t>
      </w:r>
      <w:r w:rsidR="00444A73">
        <w:t xml:space="preserve"> the Commission co</w:t>
      </w:r>
      <w:r w:rsidR="00E8232B">
        <w:t>nsidered the use of market caps as proposed by the Company along with an adjustment proposed by Boise White Paper to eliminate the market caps, or in the alternative</w:t>
      </w:r>
      <w:r w:rsidR="00E15E1A">
        <w:t>,</w:t>
      </w:r>
      <w:r w:rsidR="00E8232B">
        <w:t xml:space="preserve"> increase the cap levels based on the calculation adopted by the Oregon </w:t>
      </w:r>
      <w:r w:rsidR="00002F80">
        <w:t>commission</w:t>
      </w:r>
      <w:r w:rsidR="00E8232B">
        <w:t xml:space="preserve">.  </w:t>
      </w:r>
    </w:p>
    <w:p w14:paraId="4E342825" w14:textId="77777777" w:rsidR="00357C1B" w:rsidRDefault="00357C1B" w:rsidP="00243E42">
      <w:pPr>
        <w:pStyle w:val="BodyTextIndent"/>
        <w:widowControl/>
        <w:tabs>
          <w:tab w:val="clear" w:pos="720"/>
          <w:tab w:val="left" w:pos="1080"/>
        </w:tabs>
        <w:adjustRightInd/>
        <w:jc w:val="left"/>
        <w:textAlignment w:val="auto"/>
        <w:rPr>
          <w:b/>
        </w:rPr>
      </w:pPr>
      <w:r>
        <w:rPr>
          <w:b/>
        </w:rPr>
        <w:t>Q.</w:t>
      </w:r>
      <w:r>
        <w:rPr>
          <w:b/>
        </w:rPr>
        <w:tab/>
        <w:t xml:space="preserve">Did the Commission </w:t>
      </w:r>
      <w:r w:rsidR="00E15E1A">
        <w:rPr>
          <w:b/>
        </w:rPr>
        <w:t xml:space="preserve">reject Boise White Paper’s </w:t>
      </w:r>
      <w:r w:rsidR="00002F80">
        <w:rPr>
          <w:b/>
        </w:rPr>
        <w:t xml:space="preserve">adjustment to </w:t>
      </w:r>
      <w:r>
        <w:rPr>
          <w:b/>
        </w:rPr>
        <w:t>market caps</w:t>
      </w:r>
      <w:r w:rsidR="00E15E1A">
        <w:rPr>
          <w:b/>
        </w:rPr>
        <w:t>?</w:t>
      </w:r>
    </w:p>
    <w:p w14:paraId="4E342826" w14:textId="77777777" w:rsidR="00537571" w:rsidRPr="00537571" w:rsidRDefault="00357C1B" w:rsidP="00537571">
      <w:pPr>
        <w:pStyle w:val="BodyTextIndent"/>
        <w:widowControl/>
        <w:tabs>
          <w:tab w:val="clear" w:pos="720"/>
          <w:tab w:val="left" w:pos="1080"/>
        </w:tabs>
        <w:adjustRightInd/>
        <w:jc w:val="left"/>
        <w:textAlignment w:val="auto"/>
      </w:pPr>
      <w:r>
        <w:t>A.</w:t>
      </w:r>
      <w:r>
        <w:tab/>
      </w:r>
      <w:r w:rsidR="00E15E1A">
        <w:t xml:space="preserve">Yes. </w:t>
      </w:r>
      <w:r w:rsidR="00FF1FC2">
        <w:t xml:space="preserve"> </w:t>
      </w:r>
      <w:r w:rsidR="00E15E1A">
        <w:t>T</w:t>
      </w:r>
      <w:r>
        <w:t xml:space="preserve">he Commission found that eliminating the market caps </w:t>
      </w:r>
      <w:r w:rsidR="00444A08">
        <w:t>“</w:t>
      </w:r>
      <w:r>
        <w:t>does not appear to lead necessarily to more accurate results</w:t>
      </w:r>
      <w:r w:rsidR="00444A08">
        <w:t>”</w:t>
      </w:r>
      <w:r>
        <w:t xml:space="preserve"> and that </w:t>
      </w:r>
      <w:r w:rsidR="00444A08">
        <w:t>“</w:t>
      </w:r>
      <w:r>
        <w:t>eliminating market caps with no other refinements to the GRID model could lead to even more inaccurate results.”</w:t>
      </w:r>
      <w:r>
        <w:rPr>
          <w:rStyle w:val="FootnoteReference"/>
        </w:rPr>
        <w:footnoteReference w:id="11"/>
      </w:r>
      <w:r>
        <w:t xml:space="preserve">  </w:t>
      </w:r>
      <w:r w:rsidR="00802B93">
        <w:t>T</w:t>
      </w:r>
      <w:r w:rsidR="00E8232B">
        <w:t>he Commission found in favor of maintaining the Company’s method, but directed “the Commission’s regulatory staff to engage with PacifiCorp, and others if appropriate, to find a better, more accurate approach to this problem.”</w:t>
      </w:r>
      <w:r w:rsidR="00E8232B">
        <w:rPr>
          <w:rStyle w:val="FootnoteReference"/>
        </w:rPr>
        <w:footnoteReference w:id="12"/>
      </w:r>
    </w:p>
    <w:p w14:paraId="4E342827" w14:textId="77777777" w:rsidR="00B50B55" w:rsidRDefault="00B50B55" w:rsidP="00243E42">
      <w:pPr>
        <w:pStyle w:val="BodyTextIndent"/>
        <w:widowControl/>
        <w:tabs>
          <w:tab w:val="clear" w:pos="720"/>
          <w:tab w:val="left" w:pos="1080"/>
        </w:tabs>
        <w:adjustRightInd/>
        <w:jc w:val="left"/>
        <w:textAlignment w:val="auto"/>
        <w:rPr>
          <w:b/>
        </w:rPr>
      </w:pPr>
      <w:r>
        <w:rPr>
          <w:b/>
        </w:rPr>
        <w:t>Q.</w:t>
      </w:r>
      <w:r>
        <w:rPr>
          <w:b/>
        </w:rPr>
        <w:tab/>
        <w:t>Did the Company meet with the Commission staff and other</w:t>
      </w:r>
      <w:r w:rsidR="00EB7323">
        <w:rPr>
          <w:b/>
        </w:rPr>
        <w:t xml:space="preserve"> partie</w:t>
      </w:r>
      <w:r>
        <w:rPr>
          <w:b/>
        </w:rPr>
        <w:t>s to discuss the market cap issue?</w:t>
      </w:r>
    </w:p>
    <w:p w14:paraId="4E342828" w14:textId="77777777" w:rsidR="00B50B55" w:rsidRPr="00B50B55" w:rsidRDefault="00B50B55" w:rsidP="00243E42">
      <w:pPr>
        <w:pStyle w:val="BodyTextIndent"/>
        <w:widowControl/>
        <w:tabs>
          <w:tab w:val="clear" w:pos="720"/>
          <w:tab w:val="left" w:pos="1080"/>
        </w:tabs>
        <w:adjustRightInd/>
        <w:jc w:val="left"/>
        <w:textAlignment w:val="auto"/>
      </w:pPr>
      <w:r>
        <w:t>A.</w:t>
      </w:r>
      <w:r>
        <w:tab/>
      </w:r>
      <w:r w:rsidR="00357C1B">
        <w:t xml:space="preserve">Yes.  On March 19, 2014, the Company met with Staff, Public Counsel, and Boise White Paper to discuss the GRID model and the </w:t>
      </w:r>
      <w:r w:rsidR="005361D1">
        <w:t xml:space="preserve">market caps </w:t>
      </w:r>
      <w:r w:rsidR="00357C1B">
        <w:t>issue.</w:t>
      </w:r>
    </w:p>
    <w:p w14:paraId="4E342829" w14:textId="77777777" w:rsidR="00B50B55" w:rsidRDefault="00B50B55" w:rsidP="00796934">
      <w:pPr>
        <w:pStyle w:val="BodyTextIndent"/>
        <w:keepNext/>
        <w:widowControl/>
        <w:tabs>
          <w:tab w:val="clear" w:pos="720"/>
          <w:tab w:val="left" w:pos="1080"/>
        </w:tabs>
        <w:adjustRightInd/>
        <w:jc w:val="left"/>
        <w:textAlignment w:val="auto"/>
        <w:rPr>
          <w:b/>
        </w:rPr>
      </w:pPr>
      <w:r>
        <w:rPr>
          <w:b/>
        </w:rPr>
        <w:t>Q.</w:t>
      </w:r>
      <w:r>
        <w:rPr>
          <w:b/>
        </w:rPr>
        <w:tab/>
      </w:r>
      <w:r w:rsidR="002532E4">
        <w:rPr>
          <w:b/>
        </w:rPr>
        <w:t xml:space="preserve">Were parties able to agree on a </w:t>
      </w:r>
      <w:r w:rsidR="00802B93">
        <w:rPr>
          <w:b/>
        </w:rPr>
        <w:t>different</w:t>
      </w:r>
      <w:r w:rsidR="002532E4">
        <w:rPr>
          <w:b/>
        </w:rPr>
        <w:t xml:space="preserve"> approach to market caps</w:t>
      </w:r>
      <w:r w:rsidR="00E8232B">
        <w:rPr>
          <w:b/>
        </w:rPr>
        <w:t xml:space="preserve"> in GRID</w:t>
      </w:r>
      <w:r w:rsidR="002532E4">
        <w:rPr>
          <w:b/>
        </w:rPr>
        <w:t>?</w:t>
      </w:r>
    </w:p>
    <w:p w14:paraId="4E34282A" w14:textId="77777777" w:rsidR="002532E4" w:rsidRPr="002532E4" w:rsidRDefault="002532E4" w:rsidP="00243E42">
      <w:pPr>
        <w:pStyle w:val="BodyTextIndent"/>
        <w:widowControl/>
        <w:tabs>
          <w:tab w:val="clear" w:pos="720"/>
          <w:tab w:val="left" w:pos="1080"/>
        </w:tabs>
        <w:adjustRightInd/>
        <w:jc w:val="left"/>
        <w:textAlignment w:val="auto"/>
      </w:pPr>
      <w:r>
        <w:t>A.</w:t>
      </w:r>
      <w:r>
        <w:tab/>
      </w:r>
      <w:r w:rsidR="00357C1B">
        <w:t>No.  The discussion centered on the alternatives presented in the 2013 Rate Case (</w:t>
      </w:r>
      <w:r w:rsidR="00357C1B" w:rsidRPr="00FF1FC2">
        <w:rPr>
          <w:i/>
        </w:rPr>
        <w:t>i.e.</w:t>
      </w:r>
      <w:r w:rsidR="00C8554D" w:rsidRPr="00FF1FC2">
        <w:rPr>
          <w:i/>
        </w:rPr>
        <w:t>,</w:t>
      </w:r>
      <w:r w:rsidR="006D14A9">
        <w:t> </w:t>
      </w:r>
      <w:r w:rsidR="00357C1B">
        <w:t>computing the caps based on a</w:t>
      </w:r>
      <w:r w:rsidR="005D3B69">
        <w:t>n</w:t>
      </w:r>
      <w:r w:rsidR="00357C1B">
        <w:t xml:space="preserve"> historical average or historical maximum transaction volume)</w:t>
      </w:r>
      <w:r w:rsidR="0080152C">
        <w:t>,</w:t>
      </w:r>
      <w:r w:rsidR="00357C1B">
        <w:t xml:space="preserve"> but no agreement was reached on the appropriate method going forward.  </w:t>
      </w:r>
    </w:p>
    <w:p w14:paraId="4E34282B" w14:textId="77777777" w:rsidR="00B50B55" w:rsidRDefault="00B50B55" w:rsidP="00B50B55">
      <w:pPr>
        <w:pStyle w:val="BodyTextIndent"/>
        <w:widowControl/>
        <w:tabs>
          <w:tab w:val="clear" w:pos="720"/>
          <w:tab w:val="left" w:pos="1080"/>
        </w:tabs>
        <w:adjustRightInd/>
        <w:jc w:val="left"/>
        <w:textAlignment w:val="auto"/>
        <w:rPr>
          <w:b/>
        </w:rPr>
      </w:pPr>
      <w:r>
        <w:rPr>
          <w:b/>
        </w:rPr>
        <w:t>Q.</w:t>
      </w:r>
      <w:r>
        <w:rPr>
          <w:b/>
        </w:rPr>
        <w:tab/>
        <w:t xml:space="preserve">Please describe how the Company determines </w:t>
      </w:r>
      <w:r w:rsidR="00802B93">
        <w:rPr>
          <w:b/>
        </w:rPr>
        <w:t xml:space="preserve">market </w:t>
      </w:r>
      <w:r>
        <w:rPr>
          <w:b/>
        </w:rPr>
        <w:t>caps in GRID.</w:t>
      </w:r>
    </w:p>
    <w:p w14:paraId="4E34282C" w14:textId="77777777" w:rsidR="00B50B55" w:rsidRDefault="00B50B55" w:rsidP="00FF1FC2">
      <w:pPr>
        <w:tabs>
          <w:tab w:val="left" w:pos="720"/>
        </w:tabs>
        <w:spacing w:line="480" w:lineRule="auto"/>
        <w:ind w:left="720" w:hanging="720"/>
        <w:jc w:val="left"/>
        <w:rPr>
          <w:bCs/>
        </w:rPr>
      </w:pPr>
      <w:r>
        <w:t>A.</w:t>
      </w:r>
      <w:r>
        <w:tab/>
      </w:r>
      <w:r w:rsidR="00E8232B">
        <w:rPr>
          <w:bCs/>
        </w:rPr>
        <w:t xml:space="preserve">The Company’s market cap calculation first determines the market depth or potential amount of </w:t>
      </w:r>
      <w:r w:rsidR="00F23AC1">
        <w:rPr>
          <w:bCs/>
        </w:rPr>
        <w:t xml:space="preserve">market </w:t>
      </w:r>
      <w:r w:rsidR="00E8232B">
        <w:rPr>
          <w:bCs/>
        </w:rPr>
        <w:t xml:space="preserve">sales </w:t>
      </w:r>
      <w:r w:rsidR="00F23AC1">
        <w:rPr>
          <w:bCs/>
        </w:rPr>
        <w:t xml:space="preserve">historically transacted by </w:t>
      </w:r>
      <w:r w:rsidR="00802B93">
        <w:rPr>
          <w:bCs/>
        </w:rPr>
        <w:t>PacifiCorp.</w:t>
      </w:r>
      <w:r w:rsidR="00E8232B">
        <w:rPr>
          <w:bCs/>
        </w:rPr>
        <w:t xml:space="preserve">  </w:t>
      </w:r>
      <w:r w:rsidR="00002F80">
        <w:rPr>
          <w:bCs/>
        </w:rPr>
        <w:t>The</w:t>
      </w:r>
      <w:r w:rsidR="00E8232B">
        <w:rPr>
          <w:bCs/>
        </w:rPr>
        <w:t xml:space="preserve"> market depth is defined by the average level of STF sales transact</w:t>
      </w:r>
      <w:r w:rsidR="00F23AC1">
        <w:rPr>
          <w:bCs/>
        </w:rPr>
        <w:t xml:space="preserve">ed by </w:t>
      </w:r>
      <w:r w:rsidR="00802B93">
        <w:rPr>
          <w:bCs/>
        </w:rPr>
        <w:t>PacifiCorp</w:t>
      </w:r>
      <w:r w:rsidR="00E8232B">
        <w:rPr>
          <w:bCs/>
        </w:rPr>
        <w:t xml:space="preserve"> </w:t>
      </w:r>
      <w:r w:rsidR="00F23AC1">
        <w:rPr>
          <w:bCs/>
        </w:rPr>
        <w:t>during</w:t>
      </w:r>
      <w:r w:rsidR="00E8232B">
        <w:rPr>
          <w:bCs/>
        </w:rPr>
        <w:t xml:space="preserve"> the 48-month historical base period</w:t>
      </w:r>
      <w:r w:rsidR="00C677D0">
        <w:rPr>
          <w:bCs/>
        </w:rPr>
        <w:t xml:space="preserve"> (</w:t>
      </w:r>
      <w:r w:rsidR="00C677D0">
        <w:t xml:space="preserve">differentiated by month and by </w:t>
      </w:r>
      <w:r w:rsidR="00F23AC1">
        <w:t>on-</w:t>
      </w:r>
      <w:r w:rsidR="00C677D0">
        <w:t xml:space="preserve"> and </w:t>
      </w:r>
      <w:r w:rsidR="00F23AC1">
        <w:t>off-peak</w:t>
      </w:r>
      <w:r w:rsidR="00C677D0">
        <w:t xml:space="preserve"> periods)</w:t>
      </w:r>
      <w:r w:rsidR="00E8232B">
        <w:rPr>
          <w:bCs/>
        </w:rPr>
        <w:t xml:space="preserve">.  The average historical level of STF transactions is then reduced by </w:t>
      </w:r>
      <w:r w:rsidR="00C677D0">
        <w:rPr>
          <w:bCs/>
        </w:rPr>
        <w:t>any actua</w:t>
      </w:r>
      <w:r w:rsidR="00E8232B">
        <w:rPr>
          <w:bCs/>
        </w:rPr>
        <w:t xml:space="preserve">l STF transactions </w:t>
      </w:r>
      <w:r w:rsidR="00C677D0">
        <w:rPr>
          <w:bCs/>
        </w:rPr>
        <w:t xml:space="preserve">executed on a forward basis and </w:t>
      </w:r>
      <w:r w:rsidR="00E8232B">
        <w:rPr>
          <w:bCs/>
        </w:rPr>
        <w:t xml:space="preserve">included in the normalized NPC study in this case.  In other words, the market caps are defined by the potential level of transactions, net of transactions that </w:t>
      </w:r>
      <w:r w:rsidR="005D3B69">
        <w:rPr>
          <w:bCs/>
        </w:rPr>
        <w:t>PacifiCorp</w:t>
      </w:r>
      <w:r w:rsidR="00E8232B">
        <w:rPr>
          <w:bCs/>
        </w:rPr>
        <w:t xml:space="preserve"> has </w:t>
      </w:r>
      <w:r w:rsidR="00C677D0">
        <w:rPr>
          <w:bCs/>
        </w:rPr>
        <w:t xml:space="preserve">already </w:t>
      </w:r>
      <w:r w:rsidR="00E8232B">
        <w:rPr>
          <w:bCs/>
        </w:rPr>
        <w:t>entered into</w:t>
      </w:r>
      <w:r w:rsidR="00C677D0">
        <w:rPr>
          <w:bCs/>
        </w:rPr>
        <w:t xml:space="preserve"> for the </w:t>
      </w:r>
      <w:r w:rsidR="00802B93">
        <w:rPr>
          <w:bCs/>
        </w:rPr>
        <w:t>pro forma</w:t>
      </w:r>
      <w:r w:rsidR="00C677D0">
        <w:rPr>
          <w:bCs/>
        </w:rPr>
        <w:t xml:space="preserve"> period</w:t>
      </w:r>
      <w:r w:rsidR="00E8232B">
        <w:rPr>
          <w:bCs/>
        </w:rPr>
        <w:t>.</w:t>
      </w:r>
    </w:p>
    <w:p w14:paraId="4E34282D" w14:textId="77777777" w:rsidR="00466489" w:rsidRDefault="00466489" w:rsidP="00466489">
      <w:pPr>
        <w:suppressLineNumbers/>
        <w:tabs>
          <w:tab w:val="left" w:pos="720"/>
        </w:tabs>
        <w:spacing w:line="480" w:lineRule="auto"/>
        <w:ind w:left="720" w:hanging="720"/>
        <w:jc w:val="left"/>
      </w:pPr>
    </w:p>
    <w:p w14:paraId="4E34282E" w14:textId="77777777" w:rsidR="00C677D0" w:rsidRDefault="00C677D0" w:rsidP="002532E4">
      <w:pPr>
        <w:pStyle w:val="BodyTextIndent"/>
        <w:widowControl/>
        <w:tabs>
          <w:tab w:val="clear" w:pos="720"/>
          <w:tab w:val="left" w:pos="1080"/>
        </w:tabs>
        <w:adjustRightInd/>
        <w:jc w:val="left"/>
        <w:textAlignment w:val="auto"/>
        <w:rPr>
          <w:b/>
        </w:rPr>
      </w:pPr>
      <w:r>
        <w:rPr>
          <w:b/>
        </w:rPr>
        <w:t>Q.</w:t>
      </w:r>
      <w:r>
        <w:rPr>
          <w:b/>
        </w:rPr>
        <w:tab/>
        <w:t xml:space="preserve">Please describe the alternative method approved by the Oregon </w:t>
      </w:r>
      <w:r w:rsidR="00002F80">
        <w:rPr>
          <w:b/>
        </w:rPr>
        <w:t>commission</w:t>
      </w:r>
      <w:r w:rsidR="0043229C">
        <w:rPr>
          <w:b/>
        </w:rPr>
        <w:t>.</w:t>
      </w:r>
    </w:p>
    <w:p w14:paraId="4E34282F" w14:textId="77777777" w:rsidR="00C677D0" w:rsidRPr="00C677D0" w:rsidRDefault="00C677D0" w:rsidP="002532E4">
      <w:pPr>
        <w:pStyle w:val="BodyTextIndent"/>
        <w:widowControl/>
        <w:tabs>
          <w:tab w:val="clear" w:pos="720"/>
          <w:tab w:val="left" w:pos="1080"/>
        </w:tabs>
        <w:adjustRightInd/>
        <w:jc w:val="left"/>
        <w:textAlignment w:val="auto"/>
      </w:pPr>
      <w:r>
        <w:t>A.</w:t>
      </w:r>
      <w:r>
        <w:tab/>
        <w:t>Under the Oregon method</w:t>
      </w:r>
      <w:r w:rsidR="00802B93">
        <w:t>,</w:t>
      </w:r>
      <w:r w:rsidR="00FF1FC2">
        <w:t xml:space="preserve"> </w:t>
      </w:r>
      <w:r>
        <w:t xml:space="preserve">market caps are defined by the maximum </w:t>
      </w:r>
      <w:r w:rsidR="00E3762B">
        <w:t xml:space="preserve">volume of </w:t>
      </w:r>
      <w:r>
        <w:t xml:space="preserve">transactions during the 48-month historical base period, differentiated by month and by </w:t>
      </w:r>
      <w:r w:rsidR="00BA5148">
        <w:t>on-</w:t>
      </w:r>
      <w:r>
        <w:t xml:space="preserve"> and </w:t>
      </w:r>
      <w:r w:rsidR="00BA5148">
        <w:t>off-peak</w:t>
      </w:r>
      <w:r>
        <w:t xml:space="preserve"> periods.</w:t>
      </w:r>
      <w:r w:rsidR="00002F80">
        <w:rPr>
          <w:rStyle w:val="FootnoteReference"/>
        </w:rPr>
        <w:footnoteReference w:id="13"/>
      </w:r>
      <w:r>
        <w:t xml:space="preserve">  </w:t>
      </w:r>
      <w:r w:rsidR="00BA5148">
        <w:t>In the 2013 Rate Case</w:t>
      </w:r>
      <w:r w:rsidR="00400CC6">
        <w:t>,</w:t>
      </w:r>
      <w:r w:rsidR="00BA5148">
        <w:t xml:space="preserve"> Boise White Paper advocated for this method as an alternative to eliminating </w:t>
      </w:r>
      <w:r w:rsidR="00802B93">
        <w:t>market</w:t>
      </w:r>
      <w:r w:rsidR="00BA5148">
        <w:t xml:space="preserve"> caps altogether, arguing that setting the </w:t>
      </w:r>
      <w:r w:rsidR="00802B93">
        <w:t xml:space="preserve">market </w:t>
      </w:r>
      <w:r w:rsidR="00BA5148">
        <w:t>caps based on an average eliminates some transactions.</w:t>
      </w:r>
    </w:p>
    <w:p w14:paraId="4E342830" w14:textId="77777777" w:rsidR="00BA5148" w:rsidRDefault="00BA5148" w:rsidP="002532E4">
      <w:pPr>
        <w:pStyle w:val="BodyTextIndent"/>
        <w:widowControl/>
        <w:tabs>
          <w:tab w:val="clear" w:pos="720"/>
          <w:tab w:val="left" w:pos="1080"/>
        </w:tabs>
        <w:adjustRightInd/>
        <w:jc w:val="left"/>
        <w:textAlignment w:val="auto"/>
        <w:rPr>
          <w:b/>
        </w:rPr>
      </w:pPr>
      <w:r>
        <w:rPr>
          <w:b/>
        </w:rPr>
        <w:t>Q.</w:t>
      </w:r>
      <w:r>
        <w:rPr>
          <w:b/>
        </w:rPr>
        <w:tab/>
        <w:t>Do you agree that using a historical maximum is superior to the 48-month average?</w:t>
      </w:r>
    </w:p>
    <w:p w14:paraId="4E342831" w14:textId="77777777" w:rsidR="00D633CA" w:rsidRDefault="00BA5148" w:rsidP="002532E4">
      <w:pPr>
        <w:pStyle w:val="BodyTextIndent"/>
        <w:widowControl/>
        <w:tabs>
          <w:tab w:val="clear" w:pos="720"/>
          <w:tab w:val="left" w:pos="1080"/>
        </w:tabs>
        <w:adjustRightInd/>
        <w:jc w:val="left"/>
        <w:textAlignment w:val="auto"/>
        <w:rPr>
          <w:bCs/>
        </w:rPr>
      </w:pPr>
      <w:r>
        <w:t>A.</w:t>
      </w:r>
      <w:r>
        <w:tab/>
        <w:t xml:space="preserve">No.  </w:t>
      </w:r>
      <w:r w:rsidR="00620B67">
        <w:t xml:space="preserve">Basing the market cap on the </w:t>
      </w:r>
      <w:r w:rsidR="00F716C4">
        <w:t xml:space="preserve">maximum </w:t>
      </w:r>
      <w:r w:rsidR="00620B67">
        <w:t xml:space="preserve">transaction volume </w:t>
      </w:r>
      <w:r w:rsidR="00F716C4">
        <w:t xml:space="preserve">of any month and diurnal period within the 48-month historical period </w:t>
      </w:r>
      <w:r w:rsidR="00620B67">
        <w:rPr>
          <w:bCs/>
        </w:rPr>
        <w:t xml:space="preserve">does not reflect a normalized level of sales </w:t>
      </w:r>
      <w:r w:rsidR="00162D88">
        <w:rPr>
          <w:bCs/>
        </w:rPr>
        <w:t xml:space="preserve">that properly takes into account </w:t>
      </w:r>
      <w:r w:rsidR="00620B67">
        <w:rPr>
          <w:bCs/>
        </w:rPr>
        <w:t>changing market conditions over longer periods of time.</w:t>
      </w:r>
      <w:r w:rsidR="00C843E1">
        <w:rPr>
          <w:bCs/>
        </w:rPr>
        <w:t xml:space="preserve">  </w:t>
      </w:r>
      <w:r w:rsidR="00A3234D">
        <w:rPr>
          <w:bCs/>
        </w:rPr>
        <w:t>T</w:t>
      </w:r>
      <w:r w:rsidR="00A3234D" w:rsidRPr="00DF5AB1">
        <w:rPr>
          <w:bCs/>
        </w:rPr>
        <w:t>he peak volume of</w:t>
      </w:r>
      <w:r w:rsidR="00A3234D">
        <w:rPr>
          <w:bCs/>
        </w:rPr>
        <w:t xml:space="preserve"> historical</w:t>
      </w:r>
      <w:r w:rsidR="00A3234D" w:rsidRPr="00DF5AB1">
        <w:rPr>
          <w:bCs/>
        </w:rPr>
        <w:t xml:space="preserve"> actual wholesale </w:t>
      </w:r>
      <w:r w:rsidR="00A3234D">
        <w:rPr>
          <w:bCs/>
        </w:rPr>
        <w:t xml:space="preserve">transactions </w:t>
      </w:r>
      <w:r w:rsidR="00A3234D" w:rsidRPr="00DF5AB1">
        <w:rPr>
          <w:bCs/>
        </w:rPr>
        <w:t>may have been due to unexpected wind generation, changes in prices, or off-system contingency events</w:t>
      </w:r>
      <w:r w:rsidR="003B4895">
        <w:rPr>
          <w:bCs/>
        </w:rPr>
        <w:t xml:space="preserve">.  The GRID model, however, does not reflect these types of events because it uses </w:t>
      </w:r>
      <w:r w:rsidR="00A3234D">
        <w:rPr>
          <w:bCs/>
        </w:rPr>
        <w:t xml:space="preserve">static wind and market price forecasts </w:t>
      </w:r>
      <w:r w:rsidR="003B4895">
        <w:rPr>
          <w:bCs/>
        </w:rPr>
        <w:t xml:space="preserve">and </w:t>
      </w:r>
      <w:r w:rsidR="00A3234D">
        <w:rPr>
          <w:bCs/>
        </w:rPr>
        <w:t>normalized assumptions for thermal generating units</w:t>
      </w:r>
      <w:r w:rsidR="00A3234D" w:rsidRPr="00DF5AB1">
        <w:rPr>
          <w:bCs/>
        </w:rPr>
        <w:t xml:space="preserve">.  While there may be specific hours in which the </w:t>
      </w:r>
      <w:r w:rsidR="00802B93">
        <w:rPr>
          <w:bCs/>
        </w:rPr>
        <w:t xml:space="preserve">market </w:t>
      </w:r>
      <w:r w:rsidR="00A3234D" w:rsidRPr="00DF5AB1">
        <w:rPr>
          <w:bCs/>
        </w:rPr>
        <w:t xml:space="preserve">caps are set below actual sales levels, there are many more hours in which the </w:t>
      </w:r>
      <w:r w:rsidR="00802B93">
        <w:rPr>
          <w:bCs/>
        </w:rPr>
        <w:t xml:space="preserve">market </w:t>
      </w:r>
      <w:r w:rsidR="00A3234D" w:rsidRPr="00DF5AB1">
        <w:rPr>
          <w:bCs/>
        </w:rPr>
        <w:t xml:space="preserve">caps are set above actual sales levels.  </w:t>
      </w:r>
      <w:r w:rsidR="00D633CA">
        <w:rPr>
          <w:bCs/>
        </w:rPr>
        <w:t xml:space="preserve">In this way, the Oregon approach </w:t>
      </w:r>
      <w:r w:rsidR="00D633CA">
        <w:t xml:space="preserve">makes the </w:t>
      </w:r>
      <w:r w:rsidR="00802B93">
        <w:t xml:space="preserve">market </w:t>
      </w:r>
      <w:r w:rsidR="00D633CA">
        <w:t xml:space="preserve">caps less restrictive </w:t>
      </w:r>
      <w:r w:rsidR="00D633CA" w:rsidRPr="00DF5AB1">
        <w:rPr>
          <w:bCs/>
        </w:rPr>
        <w:t>without regard to whether the redesigned caps replicate actual market conditions.</w:t>
      </w:r>
    </w:p>
    <w:p w14:paraId="4E342832" w14:textId="77777777" w:rsidR="00466489" w:rsidRDefault="00466489" w:rsidP="00466489">
      <w:pPr>
        <w:pStyle w:val="BodyTextIndent"/>
        <w:widowControl/>
        <w:suppressLineNumbers/>
        <w:tabs>
          <w:tab w:val="clear" w:pos="720"/>
          <w:tab w:val="left" w:pos="1080"/>
        </w:tabs>
        <w:adjustRightInd/>
        <w:jc w:val="left"/>
        <w:textAlignment w:val="auto"/>
        <w:rPr>
          <w:bCs/>
        </w:rPr>
      </w:pPr>
    </w:p>
    <w:p w14:paraId="4E342833" w14:textId="77777777" w:rsidR="00A3234D" w:rsidRDefault="00A3234D" w:rsidP="002532E4">
      <w:pPr>
        <w:pStyle w:val="BodyTextIndent"/>
        <w:widowControl/>
        <w:tabs>
          <w:tab w:val="clear" w:pos="720"/>
          <w:tab w:val="left" w:pos="1080"/>
        </w:tabs>
        <w:adjustRightInd/>
        <w:jc w:val="left"/>
        <w:textAlignment w:val="auto"/>
        <w:rPr>
          <w:bCs/>
        </w:rPr>
      </w:pPr>
      <w:r>
        <w:rPr>
          <w:b/>
          <w:bCs/>
        </w:rPr>
        <w:t>Q.</w:t>
      </w:r>
      <w:r>
        <w:rPr>
          <w:b/>
          <w:bCs/>
        </w:rPr>
        <w:tab/>
        <w:t>Can you provide an example of how the Oregon approach fails to replicate actual market conditions?</w:t>
      </w:r>
    </w:p>
    <w:p w14:paraId="4E342834" w14:textId="77777777" w:rsidR="00F716C4" w:rsidRDefault="00A3234D" w:rsidP="002532E4">
      <w:pPr>
        <w:pStyle w:val="BodyTextIndent"/>
        <w:widowControl/>
        <w:tabs>
          <w:tab w:val="clear" w:pos="720"/>
          <w:tab w:val="left" w:pos="1080"/>
        </w:tabs>
        <w:adjustRightInd/>
        <w:jc w:val="left"/>
        <w:textAlignment w:val="auto"/>
        <w:rPr>
          <w:bCs/>
        </w:rPr>
      </w:pPr>
      <w:r>
        <w:rPr>
          <w:bCs/>
        </w:rPr>
        <w:t>A.</w:t>
      </w:r>
      <w:r>
        <w:rPr>
          <w:bCs/>
        </w:rPr>
        <w:tab/>
        <w:t xml:space="preserve">Yes.  </w:t>
      </w:r>
      <w:r w:rsidR="00F716C4" w:rsidRPr="00DF5AB1">
        <w:rPr>
          <w:bCs/>
        </w:rPr>
        <w:t xml:space="preserve">Consider a year where, due to weather or some other system condition, </w:t>
      </w:r>
      <w:r w:rsidR="005D3B69">
        <w:rPr>
          <w:bCs/>
        </w:rPr>
        <w:t>PacifiCorp’s</w:t>
      </w:r>
      <w:r w:rsidR="00F716C4" w:rsidRPr="00DF5AB1">
        <w:rPr>
          <w:bCs/>
        </w:rPr>
        <w:t xml:space="preserve"> sales at a particular market hub during March were exceptionally high, but returned to normal in April.  The next year, sales at the same market hub were normal in March but exceptionally high in April.  </w:t>
      </w:r>
      <w:r w:rsidR="00F716C4">
        <w:rPr>
          <w:bCs/>
        </w:rPr>
        <w:t>The Oregon approach</w:t>
      </w:r>
      <w:r w:rsidR="00F716C4" w:rsidRPr="00DF5AB1">
        <w:rPr>
          <w:bCs/>
        </w:rPr>
        <w:t xml:space="preserve"> would</w:t>
      </w:r>
      <w:r w:rsidR="006F672E">
        <w:rPr>
          <w:bCs/>
        </w:rPr>
        <w:t xml:space="preserve"> determine the market caps based on </w:t>
      </w:r>
      <w:r w:rsidR="00F716C4" w:rsidRPr="00DF5AB1">
        <w:rPr>
          <w:bCs/>
        </w:rPr>
        <w:t>the exceptionally high sales volumes in both March and April</w:t>
      </w:r>
      <w:r w:rsidR="006F672E">
        <w:rPr>
          <w:bCs/>
        </w:rPr>
        <w:t xml:space="preserve">.  This </w:t>
      </w:r>
      <w:r w:rsidR="00F716C4" w:rsidRPr="00DF5AB1">
        <w:rPr>
          <w:bCs/>
        </w:rPr>
        <w:t>distort</w:t>
      </w:r>
      <w:r w:rsidR="006F672E">
        <w:rPr>
          <w:bCs/>
        </w:rPr>
        <w:t>s</w:t>
      </w:r>
      <w:r w:rsidR="00F716C4" w:rsidRPr="00DF5AB1">
        <w:rPr>
          <w:bCs/>
        </w:rPr>
        <w:t xml:space="preserve"> the pattern of market behavior within a year</w:t>
      </w:r>
      <w:r w:rsidR="00F716C4">
        <w:rPr>
          <w:bCs/>
        </w:rPr>
        <w:t xml:space="preserve"> and </w:t>
      </w:r>
      <w:r w:rsidR="00F716C4" w:rsidRPr="00DF5AB1">
        <w:rPr>
          <w:bCs/>
        </w:rPr>
        <w:t>would allow an ongoing level of sales in GRID that is higher than historical actual sales,</w:t>
      </w:r>
      <w:r w:rsidR="006F672E">
        <w:rPr>
          <w:bCs/>
        </w:rPr>
        <w:t xml:space="preserve"> which</w:t>
      </w:r>
      <w:r w:rsidR="00F716C4" w:rsidRPr="00DF5AB1">
        <w:rPr>
          <w:bCs/>
        </w:rPr>
        <w:t xml:space="preserve"> undermin</w:t>
      </w:r>
      <w:r w:rsidR="006F672E">
        <w:rPr>
          <w:bCs/>
        </w:rPr>
        <w:t>es</w:t>
      </w:r>
      <w:r w:rsidR="00F716C4" w:rsidRPr="00DF5AB1">
        <w:rPr>
          <w:bCs/>
        </w:rPr>
        <w:t xml:space="preserve"> the accuracy of the NPC forecast.</w:t>
      </w:r>
      <w:r w:rsidR="00F716C4">
        <w:rPr>
          <w:bCs/>
        </w:rPr>
        <w:t xml:space="preserve">  </w:t>
      </w:r>
    </w:p>
    <w:p w14:paraId="4E342835" w14:textId="77777777" w:rsidR="008A7B8F" w:rsidRDefault="008A7B8F" w:rsidP="002532E4">
      <w:pPr>
        <w:pStyle w:val="BodyTextIndent"/>
        <w:widowControl/>
        <w:tabs>
          <w:tab w:val="clear" w:pos="720"/>
          <w:tab w:val="left" w:pos="1080"/>
        </w:tabs>
        <w:adjustRightInd/>
        <w:jc w:val="left"/>
        <w:textAlignment w:val="auto"/>
        <w:rPr>
          <w:bCs/>
        </w:rPr>
      </w:pPr>
      <w:r>
        <w:rPr>
          <w:b/>
          <w:bCs/>
        </w:rPr>
        <w:t>Q.</w:t>
      </w:r>
      <w:r>
        <w:rPr>
          <w:b/>
          <w:bCs/>
        </w:rPr>
        <w:tab/>
        <w:t>Do you have any other concerns over the use of the Oregon approach?</w:t>
      </w:r>
    </w:p>
    <w:p w14:paraId="4E342836" w14:textId="77777777" w:rsidR="00BA5148" w:rsidRDefault="008A7B8F" w:rsidP="002532E4">
      <w:pPr>
        <w:pStyle w:val="BodyTextIndent"/>
        <w:widowControl/>
        <w:tabs>
          <w:tab w:val="clear" w:pos="720"/>
          <w:tab w:val="left" w:pos="1080"/>
        </w:tabs>
        <w:adjustRightInd/>
        <w:jc w:val="left"/>
        <w:textAlignment w:val="auto"/>
        <w:rPr>
          <w:bCs/>
        </w:rPr>
      </w:pPr>
      <w:r>
        <w:rPr>
          <w:bCs/>
        </w:rPr>
        <w:t>A.</w:t>
      </w:r>
      <w:r>
        <w:rPr>
          <w:bCs/>
        </w:rPr>
        <w:tab/>
        <w:t xml:space="preserve">Yes.  </w:t>
      </w:r>
      <w:r w:rsidR="008D316A">
        <w:rPr>
          <w:bCs/>
        </w:rPr>
        <w:t>PacifiCorp’s</w:t>
      </w:r>
      <w:r w:rsidR="00F716C4">
        <w:rPr>
          <w:bCs/>
        </w:rPr>
        <w:t xml:space="preserve"> STF sales transactions have decreased significantly over time, as shown in Figure </w:t>
      </w:r>
      <w:r w:rsidR="001805A8">
        <w:rPr>
          <w:bCs/>
        </w:rPr>
        <w:t>2</w:t>
      </w:r>
      <w:r w:rsidR="00F716C4">
        <w:rPr>
          <w:bCs/>
        </w:rPr>
        <w:t xml:space="preserve"> below.  </w:t>
      </w:r>
      <w:r w:rsidR="00F23AC1">
        <w:rPr>
          <w:bCs/>
        </w:rPr>
        <w:t xml:space="preserve">Similar to other normalizing adjustments such as forced outage rates, using a 48-month average to calculate market caps results in a normalized level of sales that can reasonably be expected during the pro forma period based on recent experience.  </w:t>
      </w:r>
    </w:p>
    <w:p w14:paraId="4E342837" w14:textId="77777777" w:rsidR="00F716C4" w:rsidRDefault="00F716C4" w:rsidP="00466489">
      <w:pPr>
        <w:pStyle w:val="BodyTextIndent"/>
        <w:keepNext/>
        <w:keepLines/>
        <w:widowControl/>
        <w:suppressLineNumbers/>
        <w:tabs>
          <w:tab w:val="clear" w:pos="720"/>
          <w:tab w:val="left" w:pos="1080"/>
        </w:tabs>
        <w:adjustRightInd/>
        <w:spacing w:line="240" w:lineRule="auto"/>
        <w:jc w:val="center"/>
        <w:textAlignment w:val="auto"/>
        <w:rPr>
          <w:b/>
          <w:bCs/>
        </w:rPr>
      </w:pPr>
      <w:r w:rsidRPr="001805A8">
        <w:rPr>
          <w:b/>
          <w:bCs/>
        </w:rPr>
        <w:t xml:space="preserve">Figure </w:t>
      </w:r>
      <w:r w:rsidR="001805A8">
        <w:rPr>
          <w:b/>
          <w:bCs/>
        </w:rPr>
        <w:t>2</w:t>
      </w:r>
    </w:p>
    <w:p w14:paraId="4E342838" w14:textId="77777777" w:rsidR="001805A8" w:rsidRPr="001805A8" w:rsidRDefault="001805A8" w:rsidP="00466489">
      <w:pPr>
        <w:pStyle w:val="BodyTextIndent"/>
        <w:keepNext/>
        <w:keepLines/>
        <w:widowControl/>
        <w:suppressLineNumbers/>
        <w:tabs>
          <w:tab w:val="clear" w:pos="720"/>
          <w:tab w:val="left" w:pos="1080"/>
        </w:tabs>
        <w:adjustRightInd/>
        <w:spacing w:line="240" w:lineRule="auto"/>
        <w:jc w:val="center"/>
        <w:textAlignment w:val="auto"/>
        <w:rPr>
          <w:b/>
          <w:bCs/>
        </w:rPr>
      </w:pPr>
      <w:r>
        <w:rPr>
          <w:b/>
          <w:bCs/>
        </w:rPr>
        <w:t>STF Sales Transactions</w:t>
      </w:r>
    </w:p>
    <w:p w14:paraId="4E342839" w14:textId="77777777" w:rsidR="00F716C4" w:rsidRDefault="00F716C4" w:rsidP="00466489">
      <w:pPr>
        <w:pStyle w:val="BodyTextIndent"/>
        <w:suppressLineNumbers/>
        <w:tabs>
          <w:tab w:val="clear" w:pos="720"/>
          <w:tab w:val="left" w:pos="1080"/>
        </w:tabs>
        <w:adjustRightInd/>
        <w:jc w:val="center"/>
        <w:textAlignment w:val="auto"/>
      </w:pPr>
      <w:r w:rsidRPr="00F716C4">
        <w:rPr>
          <w:noProof/>
        </w:rPr>
        <w:drawing>
          <wp:inline distT="0" distB="0" distL="0" distR="0" wp14:anchorId="4E342881" wp14:editId="4E342882">
            <wp:extent cx="4581525" cy="2743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14:paraId="4E34283A" w14:textId="77777777" w:rsidR="00F23AC1" w:rsidRPr="00BA5148" w:rsidRDefault="00F23AC1" w:rsidP="00796934">
      <w:pPr>
        <w:pStyle w:val="BodyTextIndent"/>
        <w:widowControl/>
        <w:tabs>
          <w:tab w:val="clear" w:pos="720"/>
          <w:tab w:val="left" w:pos="1080"/>
        </w:tabs>
        <w:adjustRightInd/>
        <w:jc w:val="left"/>
        <w:textAlignment w:val="auto"/>
      </w:pPr>
      <w:r>
        <w:rPr>
          <w:bCs/>
        </w:rPr>
        <w:tab/>
        <w:t xml:space="preserve">Market caps calculated using the maximum transactions over the historical period would not appropriately account for trends such as the decline in sales at the Mid-Columbia market shown in Figure 2 because the maximum volume transactions would be concentrated in a single year rather than equally weighted to all years.  </w:t>
      </w:r>
    </w:p>
    <w:p w14:paraId="4E34283B" w14:textId="77777777" w:rsidR="002532E4" w:rsidRDefault="002532E4" w:rsidP="002532E4">
      <w:pPr>
        <w:pStyle w:val="BodyTextIndent"/>
        <w:widowControl/>
        <w:tabs>
          <w:tab w:val="clear" w:pos="720"/>
          <w:tab w:val="left" w:pos="1080"/>
        </w:tabs>
        <w:adjustRightInd/>
        <w:jc w:val="left"/>
        <w:textAlignment w:val="auto"/>
        <w:rPr>
          <w:b/>
        </w:rPr>
      </w:pPr>
      <w:r>
        <w:rPr>
          <w:b/>
        </w:rPr>
        <w:t>Q.</w:t>
      </w:r>
      <w:r>
        <w:rPr>
          <w:b/>
        </w:rPr>
        <w:tab/>
      </w:r>
      <w:r w:rsidR="00C677D0">
        <w:rPr>
          <w:b/>
        </w:rPr>
        <w:t xml:space="preserve">Has the Company </w:t>
      </w:r>
      <w:r w:rsidR="00F716C4">
        <w:rPr>
          <w:b/>
        </w:rPr>
        <w:t>quantified</w:t>
      </w:r>
      <w:r w:rsidR="00C677D0">
        <w:rPr>
          <w:b/>
        </w:rPr>
        <w:t xml:space="preserve"> the impact of the </w:t>
      </w:r>
      <w:r w:rsidR="00F716C4">
        <w:rPr>
          <w:b/>
        </w:rPr>
        <w:t>Oregon method in this case</w:t>
      </w:r>
      <w:r>
        <w:rPr>
          <w:b/>
        </w:rPr>
        <w:t>?</w:t>
      </w:r>
    </w:p>
    <w:p w14:paraId="4E34283C" w14:textId="77777777" w:rsidR="006B2F85" w:rsidRPr="002532E4" w:rsidRDefault="002532E4" w:rsidP="006B2F85">
      <w:pPr>
        <w:pStyle w:val="BodyTextIndent"/>
        <w:widowControl/>
        <w:tabs>
          <w:tab w:val="clear" w:pos="720"/>
          <w:tab w:val="left" w:pos="1080"/>
        </w:tabs>
        <w:adjustRightInd/>
        <w:jc w:val="left"/>
        <w:textAlignment w:val="auto"/>
      </w:pPr>
      <w:r>
        <w:t>A.</w:t>
      </w:r>
      <w:r>
        <w:tab/>
      </w:r>
      <w:r w:rsidR="001805A8">
        <w:t>Yes.  Using the highest average monthly on- and off-peak periods during the 48-month historical period to determine the market caps reduces Washington</w:t>
      </w:r>
      <w:r w:rsidR="00FD2B92">
        <w:t>-allocated</w:t>
      </w:r>
      <w:r w:rsidR="001805A8">
        <w:t xml:space="preserve"> NPC by approximately $1 million.  </w:t>
      </w:r>
    </w:p>
    <w:p w14:paraId="4E34283D" w14:textId="77777777" w:rsidR="00FC3690" w:rsidRDefault="00D16B09" w:rsidP="00466489">
      <w:pPr>
        <w:pStyle w:val="Heading2"/>
      </w:pPr>
      <w:bookmarkStart w:id="19" w:name="_Toc386609227"/>
      <w:bookmarkStart w:id="20" w:name="_Toc345427422"/>
      <w:bookmarkStart w:id="21" w:name="_Toc384202457"/>
      <w:r>
        <w:t xml:space="preserve">Continued </w:t>
      </w:r>
      <w:r w:rsidR="0035719A">
        <w:t>U</w:t>
      </w:r>
      <w:r>
        <w:t>se of GRID</w:t>
      </w:r>
      <w:bookmarkEnd w:id="19"/>
      <w:r>
        <w:t xml:space="preserve"> </w:t>
      </w:r>
    </w:p>
    <w:p w14:paraId="4E34283E" w14:textId="77777777" w:rsidR="00AB770D" w:rsidRDefault="002532E4" w:rsidP="00796934">
      <w:pPr>
        <w:keepNext/>
        <w:widowControl/>
        <w:tabs>
          <w:tab w:val="left" w:pos="720"/>
        </w:tabs>
        <w:spacing w:line="480" w:lineRule="auto"/>
        <w:ind w:left="720" w:hanging="720"/>
        <w:jc w:val="left"/>
        <w:rPr>
          <w:b/>
        </w:rPr>
      </w:pPr>
      <w:r>
        <w:rPr>
          <w:b/>
        </w:rPr>
        <w:t>Q.</w:t>
      </w:r>
      <w:r>
        <w:rPr>
          <w:b/>
        </w:rPr>
        <w:tab/>
      </w:r>
      <w:r w:rsidR="00BA36FC">
        <w:rPr>
          <w:b/>
        </w:rPr>
        <w:t>Did the</w:t>
      </w:r>
      <w:r w:rsidR="00AB770D">
        <w:rPr>
          <w:b/>
        </w:rPr>
        <w:t xml:space="preserve"> Commission </w:t>
      </w:r>
      <w:r w:rsidR="00802B93">
        <w:rPr>
          <w:b/>
        </w:rPr>
        <w:t xml:space="preserve">request further review of GRID in its </w:t>
      </w:r>
      <w:r w:rsidR="00AB770D">
        <w:rPr>
          <w:b/>
        </w:rPr>
        <w:t>order in the 2013 Rate Case?</w:t>
      </w:r>
    </w:p>
    <w:p w14:paraId="4E34283F" w14:textId="77777777" w:rsidR="00E32379" w:rsidRDefault="00AB770D" w:rsidP="00FC3690">
      <w:pPr>
        <w:tabs>
          <w:tab w:val="left" w:pos="720"/>
        </w:tabs>
        <w:spacing w:line="480" w:lineRule="auto"/>
        <w:ind w:left="720" w:hanging="720"/>
        <w:jc w:val="left"/>
      </w:pPr>
      <w:r>
        <w:t>A.</w:t>
      </w:r>
      <w:r>
        <w:tab/>
      </w:r>
      <w:r w:rsidR="00802B93">
        <w:t xml:space="preserve">Yes.  </w:t>
      </w:r>
      <w:r w:rsidRPr="00AB770D">
        <w:t>In the 2013 Rate Case</w:t>
      </w:r>
      <w:r w:rsidR="00802B93">
        <w:t>,</w:t>
      </w:r>
      <w:r w:rsidRPr="00AB770D">
        <w:t xml:space="preserve"> the Commission ordered the Company </w:t>
      </w:r>
      <w:r w:rsidR="00802B93">
        <w:t>to</w:t>
      </w:r>
      <w:r w:rsidRPr="00AB770D">
        <w:t xml:space="preserve"> </w:t>
      </w:r>
      <w:r w:rsidR="00E32379">
        <w:t>“</w:t>
      </w:r>
      <w:r w:rsidRPr="00AB770D">
        <w:t>engage with Staff, Public Counsel, and others</w:t>
      </w:r>
      <w:r w:rsidR="00E32379">
        <w:t>,</w:t>
      </w:r>
      <w:r w:rsidRPr="00AB770D">
        <w:t xml:space="preserve"> to discuss </w:t>
      </w:r>
      <w:r w:rsidR="00E32379">
        <w:t>whether the GRID model can be made more transparent, or should be replaced, to increase the Commission’s level of confidence in PacifiCorp’s net power cost forecasting</w:t>
      </w:r>
      <w:r w:rsidRPr="00AB770D">
        <w:t>.</w:t>
      </w:r>
      <w:r w:rsidR="00E32379">
        <w:t>”</w:t>
      </w:r>
      <w:r w:rsidR="006E60C2">
        <w:rPr>
          <w:rStyle w:val="FootnoteReference"/>
        </w:rPr>
        <w:footnoteReference w:id="14"/>
      </w:r>
      <w:r w:rsidR="00E32379">
        <w:t xml:space="preserve">  The Commission directed the Company </w:t>
      </w:r>
      <w:r w:rsidR="008D508F">
        <w:t>to</w:t>
      </w:r>
      <w:r w:rsidR="00E32379">
        <w:t xml:space="preserve"> address the continued use of GRID in its next general rate filing.</w:t>
      </w:r>
    </w:p>
    <w:p w14:paraId="4E342840" w14:textId="77777777" w:rsidR="00E32379" w:rsidRDefault="00E32379" w:rsidP="00FC3690">
      <w:pPr>
        <w:tabs>
          <w:tab w:val="left" w:pos="720"/>
        </w:tabs>
        <w:spacing w:line="480" w:lineRule="auto"/>
        <w:ind w:left="720" w:hanging="720"/>
        <w:jc w:val="left"/>
        <w:rPr>
          <w:b/>
        </w:rPr>
      </w:pPr>
      <w:r>
        <w:rPr>
          <w:b/>
        </w:rPr>
        <w:t>Q.</w:t>
      </w:r>
      <w:r>
        <w:rPr>
          <w:b/>
        </w:rPr>
        <w:tab/>
        <w:t>Did the Company discuss GRID and its use in rate cases with Staff, Public Counsel, and other</w:t>
      </w:r>
      <w:r w:rsidR="00EB7323">
        <w:rPr>
          <w:b/>
        </w:rPr>
        <w:t xml:space="preserve"> parties</w:t>
      </w:r>
      <w:r>
        <w:rPr>
          <w:b/>
        </w:rPr>
        <w:t xml:space="preserve"> as directed?</w:t>
      </w:r>
    </w:p>
    <w:p w14:paraId="4E342841" w14:textId="77777777" w:rsidR="00FC3690" w:rsidRPr="00AB770D" w:rsidRDefault="00E32379" w:rsidP="00FC3690">
      <w:pPr>
        <w:tabs>
          <w:tab w:val="left" w:pos="720"/>
        </w:tabs>
        <w:spacing w:line="480" w:lineRule="auto"/>
        <w:ind w:left="720" w:hanging="720"/>
        <w:jc w:val="left"/>
      </w:pPr>
      <w:r>
        <w:t>A.</w:t>
      </w:r>
      <w:r>
        <w:tab/>
        <w:t xml:space="preserve">Yes. </w:t>
      </w:r>
      <w:r w:rsidR="008D508F">
        <w:t xml:space="preserve"> </w:t>
      </w:r>
      <w:r>
        <w:t>On February 19, 2014, the Company met with the Staff and discussed, among other items, the Commission’s di</w:t>
      </w:r>
      <w:r w:rsidR="00AB5050">
        <w:t xml:space="preserve">rective regarding use of GRID.  </w:t>
      </w:r>
      <w:r w:rsidR="00002F80">
        <w:t>On March 19, 2014</w:t>
      </w:r>
      <w:r w:rsidR="001D0A38">
        <w:t xml:space="preserve">, as discussed above, </w:t>
      </w:r>
      <w:r w:rsidR="00AB5050">
        <w:t>the Company met with Staff, Public Counsel, and Boise White Paper to discuss GRID.</w:t>
      </w:r>
    </w:p>
    <w:p w14:paraId="4E342842" w14:textId="77777777" w:rsidR="002100A4" w:rsidRPr="002100A4" w:rsidRDefault="002100A4" w:rsidP="00FC3690">
      <w:pPr>
        <w:tabs>
          <w:tab w:val="left" w:pos="720"/>
        </w:tabs>
        <w:spacing w:line="480" w:lineRule="auto"/>
        <w:ind w:left="720" w:hanging="720"/>
        <w:jc w:val="left"/>
        <w:rPr>
          <w:b/>
        </w:rPr>
      </w:pPr>
      <w:r w:rsidRPr="002100A4">
        <w:rPr>
          <w:b/>
        </w:rPr>
        <w:t>Q.</w:t>
      </w:r>
      <w:r w:rsidRPr="002100A4">
        <w:rPr>
          <w:b/>
        </w:rPr>
        <w:tab/>
      </w:r>
      <w:r w:rsidR="00372A2B">
        <w:rPr>
          <w:b/>
        </w:rPr>
        <w:t xml:space="preserve">What feedback </w:t>
      </w:r>
      <w:r w:rsidR="008D508F">
        <w:rPr>
          <w:b/>
        </w:rPr>
        <w:t>did the Company</w:t>
      </w:r>
      <w:r w:rsidR="00372A2B">
        <w:rPr>
          <w:b/>
        </w:rPr>
        <w:t xml:space="preserve"> receive regarding the transparency of GRID and its continued use in rate filings?</w:t>
      </w:r>
      <w:r w:rsidRPr="002100A4">
        <w:rPr>
          <w:b/>
        </w:rPr>
        <w:t xml:space="preserve"> </w:t>
      </w:r>
    </w:p>
    <w:p w14:paraId="4E342843" w14:textId="77777777" w:rsidR="00FC3690" w:rsidRDefault="002100A4" w:rsidP="00FC3690">
      <w:pPr>
        <w:tabs>
          <w:tab w:val="left" w:pos="720"/>
        </w:tabs>
        <w:spacing w:line="480" w:lineRule="auto"/>
        <w:ind w:left="720" w:hanging="720"/>
        <w:jc w:val="left"/>
      </w:pPr>
      <w:r>
        <w:t>A.</w:t>
      </w:r>
      <w:r>
        <w:tab/>
      </w:r>
      <w:r w:rsidR="008D508F">
        <w:t>While t</w:t>
      </w:r>
      <w:r w:rsidR="004F5CCD">
        <w:t>he p</w:t>
      </w:r>
      <w:r w:rsidR="004954DA">
        <w:t>arties generally agreed that</w:t>
      </w:r>
      <w:r w:rsidR="004F5CCD">
        <w:t xml:space="preserve"> GRID’s</w:t>
      </w:r>
      <w:r w:rsidR="004954DA">
        <w:t xml:space="preserve"> modeling assumptions should be justified by the Company and scrutinized by intervenors</w:t>
      </w:r>
      <w:r w:rsidR="008D508F">
        <w:t xml:space="preserve">, </w:t>
      </w:r>
      <w:r w:rsidR="004954DA">
        <w:t xml:space="preserve">no party expressed concern that GRID was </w:t>
      </w:r>
      <w:r w:rsidR="008D508F">
        <w:t>seriously</w:t>
      </w:r>
      <w:r w:rsidR="004954DA">
        <w:t xml:space="preserve"> flawed or that it</w:t>
      </w:r>
      <w:r w:rsidR="008D508F">
        <w:t xml:space="preserve">s use </w:t>
      </w:r>
      <w:r w:rsidR="004F5CCD">
        <w:t xml:space="preserve">should </w:t>
      </w:r>
      <w:r w:rsidR="004954DA">
        <w:t xml:space="preserve">be </w:t>
      </w:r>
      <w:r w:rsidR="008D508F">
        <w:t>discontinued</w:t>
      </w:r>
      <w:r w:rsidR="004954DA">
        <w:t>.  The Company expressed its willingness to work with interested part</w:t>
      </w:r>
      <w:r w:rsidR="004F5CCD">
        <w:t>ies</w:t>
      </w:r>
      <w:r w:rsidR="004954DA">
        <w:t xml:space="preserve"> to increase </w:t>
      </w:r>
      <w:r w:rsidR="004F5CCD">
        <w:t xml:space="preserve">their </w:t>
      </w:r>
      <w:r w:rsidR="004954DA">
        <w:t xml:space="preserve">understanding and </w:t>
      </w:r>
      <w:r w:rsidR="004F5CCD">
        <w:t xml:space="preserve">the </w:t>
      </w:r>
      <w:r w:rsidR="004954DA">
        <w:t>transparency of GRID.</w:t>
      </w:r>
      <w:r w:rsidR="00372A2B">
        <w:t xml:space="preserve"> </w:t>
      </w:r>
    </w:p>
    <w:p w14:paraId="4E342844" w14:textId="77777777" w:rsidR="002100A4" w:rsidRPr="002100A4" w:rsidRDefault="002100A4" w:rsidP="002100A4">
      <w:pPr>
        <w:tabs>
          <w:tab w:val="left" w:pos="720"/>
        </w:tabs>
        <w:spacing w:line="480" w:lineRule="auto"/>
        <w:ind w:left="720" w:hanging="720"/>
        <w:jc w:val="left"/>
        <w:rPr>
          <w:b/>
        </w:rPr>
      </w:pPr>
      <w:r w:rsidRPr="002100A4">
        <w:rPr>
          <w:b/>
        </w:rPr>
        <w:t>Q.</w:t>
      </w:r>
      <w:r w:rsidRPr="002100A4">
        <w:rPr>
          <w:b/>
        </w:rPr>
        <w:tab/>
      </w:r>
      <w:r>
        <w:rPr>
          <w:b/>
        </w:rPr>
        <w:t xml:space="preserve">The Commission compared </w:t>
      </w:r>
      <w:r w:rsidR="00810270">
        <w:rPr>
          <w:b/>
        </w:rPr>
        <w:t>GRID to another forecasting model, AURORA, which is used by other Washington utilities.</w:t>
      </w:r>
      <w:r w:rsidR="005917ED">
        <w:rPr>
          <w:rStyle w:val="FootnoteReference"/>
          <w:b/>
        </w:rPr>
        <w:footnoteReference w:id="15"/>
      </w:r>
      <w:r w:rsidR="00810270">
        <w:rPr>
          <w:b/>
        </w:rPr>
        <w:t xml:space="preserve">  Has the Company reviewed the AURORA model?</w:t>
      </w:r>
      <w:r w:rsidRPr="002100A4">
        <w:rPr>
          <w:b/>
        </w:rPr>
        <w:t xml:space="preserve"> </w:t>
      </w:r>
    </w:p>
    <w:p w14:paraId="4E342845" w14:textId="77777777" w:rsidR="00C87E77" w:rsidRDefault="002100A4" w:rsidP="00FC3690">
      <w:pPr>
        <w:tabs>
          <w:tab w:val="left" w:pos="720"/>
        </w:tabs>
        <w:spacing w:line="480" w:lineRule="auto"/>
        <w:ind w:left="720" w:hanging="720"/>
        <w:jc w:val="left"/>
      </w:pPr>
      <w:r>
        <w:t>A.</w:t>
      </w:r>
      <w:r>
        <w:tab/>
      </w:r>
      <w:r w:rsidR="00810270">
        <w:t xml:space="preserve">Yes.  As part of the settlement approved in </w:t>
      </w:r>
      <w:r w:rsidR="00E02ABF">
        <w:t>D</w:t>
      </w:r>
      <w:r w:rsidR="00810270">
        <w:t>ocket UE-111190 (2011 Rate Case) the Company agreed to “</w:t>
      </w:r>
      <w:r w:rsidR="00391707">
        <w:t>[</w:t>
      </w:r>
      <w:r w:rsidR="00810270">
        <w:t>e</w:t>
      </w:r>
      <w:r w:rsidR="00391707">
        <w:t>]</w:t>
      </w:r>
      <w:r w:rsidR="00810270">
        <w:t xml:space="preserve">valuate </w:t>
      </w:r>
      <w:r w:rsidR="00810270" w:rsidRPr="00B77160">
        <w:t>the AURORA</w:t>
      </w:r>
      <w:r w:rsidR="00810270">
        <w:t xml:space="preserve"> power cost dispatch model for use in PacifiCorp’s future Washington general rate cases or other net power cost filings where the Company currently relies upon the GRID power cost dispatch model.”</w:t>
      </w:r>
      <w:r w:rsidR="000D1C43">
        <w:rPr>
          <w:rStyle w:val="FootnoteReference"/>
        </w:rPr>
        <w:footnoteReference w:id="16"/>
      </w:r>
      <w:r w:rsidR="00810270">
        <w:t xml:space="preserve">  </w:t>
      </w:r>
      <w:r w:rsidR="00975683">
        <w:t xml:space="preserve">Between May 2012 and August 2012, the Company worked directly with EPIS, Inc., owner of the AURORA model, </w:t>
      </w:r>
      <w:r w:rsidR="00B71F50">
        <w:t xml:space="preserve">to evaluate </w:t>
      </w:r>
      <w:r w:rsidR="00C87E77">
        <w:t xml:space="preserve">whether it was a viable alternative to GRID for calculating NPC in </w:t>
      </w:r>
      <w:r w:rsidR="00002F80">
        <w:t xml:space="preserve">the Company’s </w:t>
      </w:r>
      <w:r w:rsidR="00C87E77">
        <w:t xml:space="preserve">rate filings.  In August 2012, with the support of the stipulating parties in </w:t>
      </w:r>
      <w:r w:rsidR="00964E05">
        <w:t>d</w:t>
      </w:r>
      <w:r w:rsidR="00C87E77">
        <w:t xml:space="preserve">ocket UE-111190, the Company suspended its evaluation. </w:t>
      </w:r>
    </w:p>
    <w:p w14:paraId="4E342846" w14:textId="77777777" w:rsidR="00C87E77" w:rsidRPr="00C87E77" w:rsidRDefault="00C87E77" w:rsidP="00FC3690">
      <w:pPr>
        <w:tabs>
          <w:tab w:val="left" w:pos="720"/>
        </w:tabs>
        <w:spacing w:line="480" w:lineRule="auto"/>
        <w:ind w:left="720" w:hanging="720"/>
        <w:jc w:val="left"/>
        <w:rPr>
          <w:b/>
        </w:rPr>
      </w:pPr>
      <w:r w:rsidRPr="00C87E77">
        <w:rPr>
          <w:b/>
        </w:rPr>
        <w:t>Q.</w:t>
      </w:r>
      <w:r w:rsidRPr="00C87E77">
        <w:rPr>
          <w:b/>
        </w:rPr>
        <w:tab/>
        <w:t>Why did the Company suspend its evaluation of the AURORA model?</w:t>
      </w:r>
    </w:p>
    <w:p w14:paraId="4E342847" w14:textId="77777777" w:rsidR="002100A4" w:rsidRDefault="00C87E77" w:rsidP="00FC3690">
      <w:pPr>
        <w:tabs>
          <w:tab w:val="left" w:pos="720"/>
        </w:tabs>
        <w:spacing w:line="480" w:lineRule="auto"/>
        <w:ind w:left="720" w:hanging="720"/>
        <w:jc w:val="left"/>
      </w:pPr>
      <w:r>
        <w:t>A.</w:t>
      </w:r>
      <w:r>
        <w:tab/>
        <w:t xml:space="preserve">As of August 2012, after approximately </w:t>
      </w:r>
      <w:r w:rsidR="00002F80">
        <w:t>three</w:t>
      </w:r>
      <w:r>
        <w:t xml:space="preserve"> months of testing and evaluation, the Company could not conclude that the AURORA model accurately represented PacifiCorp’s system operation.  </w:t>
      </w:r>
      <w:r w:rsidR="001A0A98">
        <w:t xml:space="preserve">The Company </w:t>
      </w:r>
      <w:r>
        <w:t xml:space="preserve">and the parties agreed that significant time and effort would be required to continue testing </w:t>
      </w:r>
      <w:r w:rsidR="0097507C">
        <w:t xml:space="preserve">and refining </w:t>
      </w:r>
      <w:r>
        <w:t xml:space="preserve">the AURORA model for use in </w:t>
      </w:r>
      <w:r w:rsidR="001A0A98">
        <w:t>the Company’s</w:t>
      </w:r>
      <w:r>
        <w:t xml:space="preserve"> rate filings</w:t>
      </w:r>
      <w:r w:rsidR="0097507C">
        <w:t>.  Given the uncertainty of the outcome</w:t>
      </w:r>
      <w:r w:rsidR="008D508F">
        <w:t>,</w:t>
      </w:r>
      <w:r w:rsidR="00372A2B">
        <w:t xml:space="preserve"> </w:t>
      </w:r>
      <w:r w:rsidR="0097507C">
        <w:t>the parties agreed to suspend the evaluation.</w:t>
      </w:r>
    </w:p>
    <w:p w14:paraId="4E342848" w14:textId="77777777" w:rsidR="00810270" w:rsidRPr="00DF5AB1" w:rsidRDefault="00810270" w:rsidP="006D14A9">
      <w:pPr>
        <w:spacing w:line="480" w:lineRule="auto"/>
        <w:ind w:left="720" w:hanging="720"/>
        <w:jc w:val="left"/>
        <w:rPr>
          <w:b/>
        </w:rPr>
      </w:pPr>
      <w:r w:rsidRPr="00DF5AB1">
        <w:rPr>
          <w:b/>
        </w:rPr>
        <w:t>Q.</w:t>
      </w:r>
      <w:r w:rsidRPr="00DF5AB1">
        <w:rPr>
          <w:b/>
        </w:rPr>
        <w:tab/>
      </w:r>
      <w:r w:rsidR="00975683">
        <w:rPr>
          <w:b/>
        </w:rPr>
        <w:t xml:space="preserve">Does the Company </w:t>
      </w:r>
      <w:r w:rsidR="008D508F">
        <w:rPr>
          <w:b/>
        </w:rPr>
        <w:t xml:space="preserve">propose </w:t>
      </w:r>
      <w:r w:rsidR="001A0A98">
        <w:rPr>
          <w:b/>
        </w:rPr>
        <w:t xml:space="preserve">to </w:t>
      </w:r>
      <w:r w:rsidR="008D508F">
        <w:rPr>
          <w:b/>
        </w:rPr>
        <w:t xml:space="preserve">continue use of </w:t>
      </w:r>
      <w:r w:rsidR="00975683">
        <w:rPr>
          <w:b/>
        </w:rPr>
        <w:t>GRID to determine NPC in Washington rate filings?</w:t>
      </w:r>
    </w:p>
    <w:p w14:paraId="4E342849" w14:textId="77777777" w:rsidR="002100A4" w:rsidRPr="002100A4" w:rsidRDefault="00810270" w:rsidP="001A0A98">
      <w:pPr>
        <w:spacing w:line="480" w:lineRule="auto"/>
        <w:ind w:left="720" w:hanging="720"/>
        <w:jc w:val="left"/>
        <w:rPr>
          <w:b/>
        </w:rPr>
      </w:pPr>
      <w:r w:rsidRPr="00DF5AB1">
        <w:t>A.</w:t>
      </w:r>
      <w:r w:rsidRPr="00DF5AB1">
        <w:tab/>
      </w:r>
      <w:r w:rsidR="00975683">
        <w:t xml:space="preserve">Yes.  </w:t>
      </w:r>
      <w:r w:rsidRPr="00DF5AB1">
        <w:t xml:space="preserve">The Company believes GRID is a reasonable tool for developing normalized power costs specific to PacifiCorp’s unique system.  </w:t>
      </w:r>
      <w:r w:rsidR="00975683">
        <w:t>T</w:t>
      </w:r>
      <w:r w:rsidRPr="00DF5AB1">
        <w:t>he Company cannot reasonably predict if a third</w:t>
      </w:r>
      <w:r>
        <w:t>-</w:t>
      </w:r>
      <w:r w:rsidRPr="00DF5AB1">
        <w:t>party software package will have the ability to accurately represent the specific complexities of PacifiCorp’s system</w:t>
      </w:r>
      <w:r w:rsidR="00372A2B">
        <w:t>.  Furthermore, t</w:t>
      </w:r>
      <w:r w:rsidR="00975683">
        <w:t xml:space="preserve">he </w:t>
      </w:r>
      <w:r w:rsidR="00975683" w:rsidRPr="00DF5AB1">
        <w:t xml:space="preserve">complexity of determining </w:t>
      </w:r>
      <w:r w:rsidR="008D508F">
        <w:t>the Company</w:t>
      </w:r>
      <w:r w:rsidR="00975683" w:rsidRPr="00DF5AB1">
        <w:t>’s NPC will not diminish with the use of a different modeling tool</w:t>
      </w:r>
      <w:r w:rsidRPr="00DF5AB1">
        <w:t xml:space="preserve">.  GRID has been </w:t>
      </w:r>
      <w:r w:rsidR="00002F80" w:rsidRPr="00DF5AB1">
        <w:t>u</w:t>
      </w:r>
      <w:r w:rsidR="00002F80">
        <w:t>s</w:t>
      </w:r>
      <w:r w:rsidR="00002F80" w:rsidRPr="00DF5AB1">
        <w:t xml:space="preserve">ed </w:t>
      </w:r>
      <w:r w:rsidRPr="00DF5AB1">
        <w:t xml:space="preserve">in rate cases and numerous other regulatory filings in six states for over a decade and has been improved along the way in part based on feedback and adjustments proposed by intervenors and regulators.  </w:t>
      </w:r>
      <w:r w:rsidR="00372A2B">
        <w:t xml:space="preserve">The Company is committed to enabling access to the model and enhancing the transparency of its results.  </w:t>
      </w:r>
    </w:p>
    <w:p w14:paraId="4E34284A" w14:textId="77777777" w:rsidR="00275BA9" w:rsidRPr="00E02ABF" w:rsidRDefault="009443DE" w:rsidP="00E02ABF">
      <w:pPr>
        <w:pStyle w:val="Heading1"/>
      </w:pPr>
      <w:bookmarkStart w:id="22" w:name="_Toc386609228"/>
      <w:r w:rsidRPr="00E02ABF">
        <w:t xml:space="preserve">RENEWABLE RESOURCE </w:t>
      </w:r>
      <w:r w:rsidR="00EB7323" w:rsidRPr="00E02ABF">
        <w:t>TRACKING</w:t>
      </w:r>
      <w:r w:rsidR="00243E42" w:rsidRPr="00E02ABF">
        <w:t xml:space="preserve"> MECHANISM</w:t>
      </w:r>
      <w:bookmarkEnd w:id="22"/>
      <w:r w:rsidR="00D620B9" w:rsidRPr="00E02ABF">
        <w:t xml:space="preserve"> </w:t>
      </w:r>
      <w:bookmarkEnd w:id="20"/>
      <w:bookmarkEnd w:id="21"/>
    </w:p>
    <w:p w14:paraId="4E34284B" w14:textId="77777777" w:rsidR="00275BA9" w:rsidRPr="006B408E" w:rsidRDefault="00275BA9" w:rsidP="00301CF0">
      <w:pPr>
        <w:tabs>
          <w:tab w:val="left" w:pos="720"/>
        </w:tabs>
        <w:spacing w:line="480" w:lineRule="auto"/>
        <w:ind w:left="720" w:hanging="720"/>
        <w:jc w:val="left"/>
        <w:rPr>
          <w:b/>
        </w:rPr>
      </w:pPr>
      <w:r w:rsidRPr="006B408E">
        <w:rPr>
          <w:b/>
        </w:rPr>
        <w:t>Q.</w:t>
      </w:r>
      <w:r w:rsidRPr="006B408E">
        <w:rPr>
          <w:b/>
        </w:rPr>
        <w:tab/>
        <w:t>Please descri</w:t>
      </w:r>
      <w:r w:rsidR="004B394A">
        <w:rPr>
          <w:b/>
        </w:rPr>
        <w:t xml:space="preserve">be the Company’s proposed </w:t>
      </w:r>
      <w:r w:rsidR="007965D2">
        <w:rPr>
          <w:b/>
        </w:rPr>
        <w:t>RRTM</w:t>
      </w:r>
      <w:r w:rsidR="004B394A">
        <w:rPr>
          <w:b/>
        </w:rPr>
        <w:t>.</w:t>
      </w:r>
    </w:p>
    <w:p w14:paraId="4E34284C" w14:textId="77777777" w:rsidR="00275BA9" w:rsidRDefault="00275BA9" w:rsidP="00FF1FC2">
      <w:pPr>
        <w:spacing w:line="480" w:lineRule="auto"/>
        <w:ind w:left="720" w:hanging="720"/>
        <w:jc w:val="left"/>
      </w:pPr>
      <w:r w:rsidRPr="006B408E">
        <w:t>A.</w:t>
      </w:r>
      <w:r w:rsidRPr="006B408E">
        <w:tab/>
        <w:t xml:space="preserve">The </w:t>
      </w:r>
      <w:r w:rsidR="007965D2">
        <w:t xml:space="preserve">Company </w:t>
      </w:r>
      <w:r w:rsidRPr="006B408E">
        <w:t>propose</w:t>
      </w:r>
      <w:r w:rsidR="007965D2">
        <w:t>s to establish a</w:t>
      </w:r>
      <w:r w:rsidR="00BD1BDF">
        <w:t>n RRTM</w:t>
      </w:r>
      <w:r w:rsidR="007965D2">
        <w:t xml:space="preserve"> </w:t>
      </w:r>
      <w:r w:rsidRPr="006B408E">
        <w:t xml:space="preserve">to allow the Company to collect or credit the differences between the </w:t>
      </w:r>
      <w:r w:rsidR="007965D2">
        <w:t>value of resources included in Washington rates</w:t>
      </w:r>
      <w:r w:rsidR="00C44630">
        <w:t xml:space="preserve"> and eligible to comply with </w:t>
      </w:r>
      <w:r w:rsidR="00C44630" w:rsidRPr="002758E4">
        <w:rPr>
          <w:rFonts w:cs="Arial"/>
        </w:rPr>
        <w:t xml:space="preserve">Washington’s renewable portfolio standard (RPS) </w:t>
      </w:r>
      <w:r w:rsidR="00C44630">
        <w:rPr>
          <w:rFonts w:cs="Arial"/>
        </w:rPr>
        <w:t xml:space="preserve">established in </w:t>
      </w:r>
      <w:r w:rsidR="00C44630" w:rsidRPr="002758E4">
        <w:rPr>
          <w:rFonts w:cs="Arial"/>
        </w:rPr>
        <w:t>the EIA</w:t>
      </w:r>
      <w:r w:rsidR="00C44630">
        <w:rPr>
          <w:rFonts w:cs="Arial"/>
        </w:rPr>
        <w:t>,</w:t>
      </w:r>
      <w:r w:rsidR="00C44630" w:rsidRPr="002758E4">
        <w:rPr>
          <w:rStyle w:val="FootnoteReference"/>
          <w:rFonts w:cs="Arial"/>
        </w:rPr>
        <w:footnoteReference w:id="17"/>
      </w:r>
      <w:r w:rsidR="00C44630">
        <w:rPr>
          <w:rFonts w:cs="Arial"/>
        </w:rPr>
        <w:t xml:space="preserve"> </w:t>
      </w:r>
      <w:r w:rsidR="007965D2">
        <w:t xml:space="preserve">and the </w:t>
      </w:r>
      <w:r w:rsidRPr="006B408E">
        <w:t xml:space="preserve">actual </w:t>
      </w:r>
      <w:r w:rsidR="007965D2">
        <w:t xml:space="preserve">value of </w:t>
      </w:r>
      <w:r w:rsidR="00C44630">
        <w:t xml:space="preserve">these </w:t>
      </w:r>
      <w:r w:rsidR="007965D2">
        <w:t xml:space="preserve">resources used to </w:t>
      </w:r>
      <w:r w:rsidRPr="006B408E">
        <w:t xml:space="preserve">serve </w:t>
      </w:r>
      <w:r>
        <w:t>Washington</w:t>
      </w:r>
      <w:r w:rsidRPr="006B408E">
        <w:t xml:space="preserve"> customers.</w:t>
      </w:r>
      <w:r w:rsidR="001B7E3F">
        <w:t xml:space="preserve"> </w:t>
      </w:r>
      <w:r w:rsidR="001B7E3F" w:rsidRPr="001B7E3F">
        <w:t xml:space="preserve"> </w:t>
      </w:r>
      <w:r w:rsidR="001B7E3F">
        <w:t>On a monthly basis, the Company will compare the actual value</w:t>
      </w:r>
      <w:r w:rsidR="00E45F08">
        <w:t xml:space="preserve"> of </w:t>
      </w:r>
      <w:r w:rsidR="00C44630">
        <w:t xml:space="preserve">RPS-eligible </w:t>
      </w:r>
      <w:r w:rsidR="00E45F08">
        <w:t>generation</w:t>
      </w:r>
      <w:r w:rsidR="005E45E4">
        <w:t xml:space="preserve"> </w:t>
      </w:r>
      <w:r w:rsidR="00E45F08">
        <w:t>and related production tax credits</w:t>
      </w:r>
      <w:r w:rsidR="00132BBC">
        <w:t xml:space="preserve"> (PTCs)</w:t>
      </w:r>
      <w:r w:rsidR="00E45F08">
        <w:t xml:space="preserve"> </w:t>
      </w:r>
      <w:r w:rsidR="001B7E3F">
        <w:t>to the</w:t>
      </w:r>
      <w:r w:rsidR="00132BBC">
        <w:t xml:space="preserve"> forecasted</w:t>
      </w:r>
      <w:r w:rsidR="001B7E3F">
        <w:t xml:space="preserve"> level included in the GRID run used to set base rates.</w:t>
      </w:r>
      <w:r w:rsidR="00EB7323">
        <w:t xml:space="preserve"> </w:t>
      </w:r>
      <w:r w:rsidR="00456753">
        <w:t xml:space="preserve"> </w:t>
      </w:r>
      <w:r w:rsidR="001B7E3F">
        <w:t xml:space="preserve">Washington’s allocated share of any differences will be deferred in </w:t>
      </w:r>
      <w:r w:rsidR="00132BBC">
        <w:t>a</w:t>
      </w:r>
      <w:r w:rsidR="001B7E3F">
        <w:t xml:space="preserve"> balancing account, and the monthly under- or over-recovery will accumulate in the balancing account, with interest.</w:t>
      </w:r>
      <w:r w:rsidR="00FF1FC2">
        <w:t xml:space="preserve">  </w:t>
      </w:r>
      <w:r w:rsidR="008D508F">
        <w:t xml:space="preserve">The Company will make an annual filing </w:t>
      </w:r>
      <w:r w:rsidR="004C2771">
        <w:t xml:space="preserve">in July of each year </w:t>
      </w:r>
      <w:r w:rsidRPr="006B408E">
        <w:t xml:space="preserve">to collect from or credit to customers the accumulated balance over the </w:t>
      </w:r>
      <w:r w:rsidR="003B4132">
        <w:t xml:space="preserve">subsequent year. </w:t>
      </w:r>
      <w:r w:rsidR="007A29A8">
        <w:t xml:space="preserve"> </w:t>
      </w:r>
      <w:r w:rsidRPr="006B408E">
        <w:t xml:space="preserve">The Company proposes to implement the </w:t>
      </w:r>
      <w:r w:rsidR="007965D2">
        <w:t>RRTM</w:t>
      </w:r>
      <w:r w:rsidRPr="006B408E">
        <w:t xml:space="preserve"> </w:t>
      </w:r>
      <w:r w:rsidR="000769E9">
        <w:t xml:space="preserve">beginning with </w:t>
      </w:r>
      <w:r w:rsidR="007965D2">
        <w:t xml:space="preserve">the effective date of new rates </w:t>
      </w:r>
      <w:r w:rsidR="004C2771">
        <w:t>in</w:t>
      </w:r>
      <w:r w:rsidR="007965D2">
        <w:t xml:space="preserve"> this case</w:t>
      </w:r>
      <w:r w:rsidR="001B69F9">
        <w:t>.</w:t>
      </w:r>
      <w:r w:rsidRPr="006B408E">
        <w:t xml:space="preserve"> </w:t>
      </w:r>
      <w:r w:rsidR="007A29A8">
        <w:t xml:space="preserve"> </w:t>
      </w:r>
    </w:p>
    <w:p w14:paraId="4E34284D" w14:textId="77777777" w:rsidR="005E45E4" w:rsidRPr="006B408E" w:rsidRDefault="005E45E4" w:rsidP="005E45E4">
      <w:pPr>
        <w:tabs>
          <w:tab w:val="left" w:pos="720"/>
        </w:tabs>
        <w:spacing w:line="480" w:lineRule="auto"/>
        <w:ind w:left="720" w:hanging="720"/>
        <w:jc w:val="left"/>
        <w:rPr>
          <w:b/>
        </w:rPr>
      </w:pPr>
      <w:r w:rsidRPr="006B408E">
        <w:rPr>
          <w:b/>
        </w:rPr>
        <w:t>Q.</w:t>
      </w:r>
      <w:r w:rsidRPr="006B408E">
        <w:rPr>
          <w:b/>
        </w:rPr>
        <w:tab/>
        <w:t xml:space="preserve">Why </w:t>
      </w:r>
      <w:r>
        <w:rPr>
          <w:b/>
        </w:rPr>
        <w:t>is the Company proposing an RRTM in Washington</w:t>
      </w:r>
      <w:r w:rsidRPr="006B408E">
        <w:rPr>
          <w:b/>
        </w:rPr>
        <w:t>?</w:t>
      </w:r>
    </w:p>
    <w:p w14:paraId="4E34284E" w14:textId="77777777" w:rsidR="005E45E4" w:rsidRDefault="005E45E4" w:rsidP="005E45E4">
      <w:pPr>
        <w:tabs>
          <w:tab w:val="left" w:pos="720"/>
        </w:tabs>
        <w:spacing w:line="480" w:lineRule="auto"/>
        <w:ind w:left="720" w:hanging="720"/>
        <w:jc w:val="left"/>
      </w:pPr>
      <w:r w:rsidRPr="006B408E">
        <w:t>A.</w:t>
      </w:r>
      <w:r w:rsidRPr="006B408E">
        <w:tab/>
      </w:r>
      <w:r>
        <w:t xml:space="preserve">The Company’s </w:t>
      </w:r>
      <w:r w:rsidRPr="006B408E">
        <w:t xml:space="preserve">NPC is subject to a high degree of </w:t>
      </w:r>
      <w:r>
        <w:t xml:space="preserve">variability driven by factors </w:t>
      </w:r>
      <w:r w:rsidRPr="006B408E">
        <w:t>largely</w:t>
      </w:r>
      <w:r>
        <w:t xml:space="preserve"> </w:t>
      </w:r>
      <w:r w:rsidRPr="006B408E">
        <w:t>outside of the Company’s control</w:t>
      </w:r>
      <w:r>
        <w:t xml:space="preserve">, including variations in generation from resources used to comply with </w:t>
      </w:r>
      <w:r w:rsidRPr="002758E4">
        <w:rPr>
          <w:rFonts w:cs="Arial"/>
        </w:rPr>
        <w:t>Washington’s RPS</w:t>
      </w:r>
      <w:r w:rsidR="00C44630">
        <w:rPr>
          <w:rFonts w:cs="Arial"/>
        </w:rPr>
        <w:t xml:space="preserve">.  </w:t>
      </w:r>
      <w:r>
        <w:t xml:space="preserve">The passage of the EIA in 2006 removed a significant part of the Company’s discretion </w:t>
      </w:r>
      <w:r w:rsidR="00EB7323">
        <w:t>in selecting the</w:t>
      </w:r>
      <w:r>
        <w:t xml:space="preserve"> power supply </w:t>
      </w:r>
      <w:r w:rsidR="00EB7323">
        <w:t xml:space="preserve">used </w:t>
      </w:r>
      <w:r>
        <w:t xml:space="preserve">to serve Washington customers, mandating procurement of certain levels of renewable generation resources.  At the same time, the EIA requires customers to bear the costs of prudent compliance. </w:t>
      </w:r>
    </w:p>
    <w:p w14:paraId="4E34284F" w14:textId="77777777" w:rsidR="005E45E4" w:rsidRPr="00D503F8" w:rsidRDefault="005E45E4" w:rsidP="005E45E4">
      <w:pPr>
        <w:tabs>
          <w:tab w:val="left" w:pos="720"/>
        </w:tabs>
        <w:spacing w:line="480" w:lineRule="auto"/>
        <w:ind w:left="720" w:hanging="720"/>
        <w:rPr>
          <w:b/>
        </w:rPr>
      </w:pPr>
      <w:r w:rsidRPr="00D503F8">
        <w:rPr>
          <w:b/>
        </w:rPr>
        <w:t>Q.</w:t>
      </w:r>
      <w:r w:rsidRPr="00D503F8">
        <w:rPr>
          <w:b/>
        </w:rPr>
        <w:tab/>
        <w:t xml:space="preserve">Please provide the cost-recovery language to which you refer. </w:t>
      </w:r>
    </w:p>
    <w:p w14:paraId="4E342850" w14:textId="77777777" w:rsidR="005E45E4" w:rsidRDefault="005E45E4" w:rsidP="006D14A9">
      <w:pPr>
        <w:spacing w:line="480" w:lineRule="auto"/>
        <w:jc w:val="left"/>
      </w:pPr>
      <w:r w:rsidRPr="00F061C8">
        <w:t>A.</w:t>
      </w:r>
      <w:r w:rsidRPr="00F061C8">
        <w:tab/>
        <w:t xml:space="preserve">Under </w:t>
      </w:r>
      <w:r w:rsidRPr="00F061C8">
        <w:rPr>
          <w:rFonts w:cs="Arial"/>
        </w:rPr>
        <w:t>RCW 19.285.050(2)</w:t>
      </w:r>
      <w:r w:rsidR="00EB7323">
        <w:rPr>
          <w:rFonts w:cs="Arial"/>
        </w:rPr>
        <w:t>, an “</w:t>
      </w:r>
      <w:r w:rsidRPr="00122F5C">
        <w:t xml:space="preserve">investor-owned utility is entitled to recover all </w:t>
      </w:r>
      <w:r w:rsidR="00EB7323">
        <w:tab/>
      </w:r>
      <w:r w:rsidRPr="00122F5C">
        <w:t>prudently incurred costs associated with compliance with this chapter.</w:t>
      </w:r>
      <w:r w:rsidR="00EB7323">
        <w:t>”</w:t>
      </w:r>
      <w:r w:rsidRPr="00122F5C">
        <w:t xml:space="preserve"> </w:t>
      </w:r>
      <w:r>
        <w:t xml:space="preserve"> </w:t>
      </w:r>
    </w:p>
    <w:p w14:paraId="4E342851" w14:textId="77777777" w:rsidR="005E45E4" w:rsidRDefault="005E45E4" w:rsidP="00E72FE9">
      <w:pPr>
        <w:tabs>
          <w:tab w:val="left" w:pos="720"/>
        </w:tabs>
        <w:spacing w:line="480" w:lineRule="auto"/>
        <w:ind w:left="720" w:hanging="720"/>
        <w:jc w:val="left"/>
        <w:rPr>
          <w:b/>
        </w:rPr>
      </w:pPr>
      <w:r>
        <w:rPr>
          <w:b/>
        </w:rPr>
        <w:t>Q.</w:t>
      </w:r>
      <w:r>
        <w:rPr>
          <w:b/>
        </w:rPr>
        <w:tab/>
        <w:t xml:space="preserve">How will the </w:t>
      </w:r>
      <w:r w:rsidR="00004E92">
        <w:rPr>
          <w:b/>
        </w:rPr>
        <w:t xml:space="preserve">Company calculate the </w:t>
      </w:r>
      <w:r>
        <w:rPr>
          <w:b/>
        </w:rPr>
        <w:t>value of the resources</w:t>
      </w:r>
      <w:r w:rsidR="001A0A98">
        <w:rPr>
          <w:b/>
        </w:rPr>
        <w:t xml:space="preserve"> in the RRTM</w:t>
      </w:r>
      <w:r w:rsidR="00004E92">
        <w:rPr>
          <w:b/>
        </w:rPr>
        <w:t>?</w:t>
      </w:r>
    </w:p>
    <w:p w14:paraId="4E342852" w14:textId="77777777" w:rsidR="005E45E4" w:rsidRDefault="005E45E4" w:rsidP="00E72FE9">
      <w:pPr>
        <w:tabs>
          <w:tab w:val="left" w:pos="720"/>
        </w:tabs>
        <w:spacing w:line="480" w:lineRule="auto"/>
        <w:ind w:left="720" w:hanging="720"/>
        <w:jc w:val="left"/>
      </w:pPr>
      <w:r>
        <w:t>A.</w:t>
      </w:r>
      <w:r>
        <w:tab/>
      </w:r>
      <w:r w:rsidR="00132BBC">
        <w:t>For resource</w:t>
      </w:r>
      <w:r w:rsidR="00CC7857">
        <w:t>s</w:t>
      </w:r>
      <w:r w:rsidR="00132BBC">
        <w:t xml:space="preserve"> in </w:t>
      </w:r>
      <w:r w:rsidR="00EB7323">
        <w:t>the west control area</w:t>
      </w:r>
      <w:r w:rsidR="004C2771">
        <w:t>,</w:t>
      </w:r>
      <w:r w:rsidR="00132BBC">
        <w:t xml:space="preserve"> the Company will calculate forecast value of the output included in base rates by multiplying the forecast generation by the forecast market prices used in the GRID model.  The actual value will be calculated by multiplying actual generation by actual market prices.  </w:t>
      </w:r>
      <w:r w:rsidR="00CC7857">
        <w:t>For wind resources purchased from third</w:t>
      </w:r>
      <w:r w:rsidR="00EB7323">
        <w:t xml:space="preserve"> </w:t>
      </w:r>
      <w:r w:rsidR="00CC7857">
        <w:t xml:space="preserve">parties, the forecast and actual purchase costs will be subtracted from the respective market value.  </w:t>
      </w:r>
      <w:r w:rsidR="00132BBC">
        <w:t xml:space="preserve">The difference </w:t>
      </w:r>
      <w:r w:rsidR="00CC7857">
        <w:t xml:space="preserve">between the actual and forecast value of generation </w:t>
      </w:r>
      <w:r w:rsidR="00132BBC">
        <w:t>will be included in the balancing account for later recovery from or refund to customers</w:t>
      </w:r>
      <w:r w:rsidR="00004E92">
        <w:t>,</w:t>
      </w:r>
      <w:r w:rsidR="00CC7857">
        <w:t xml:space="preserve"> as described above</w:t>
      </w:r>
      <w:r w:rsidR="00132BBC">
        <w:t xml:space="preserve">.  The Company will also compare the amount of PTCs forecasted in rates </w:t>
      </w:r>
      <w:r w:rsidR="00153D57">
        <w:t xml:space="preserve">for Company-owned facilities </w:t>
      </w:r>
      <w:r w:rsidR="00132BBC">
        <w:t xml:space="preserve">to the actual PTCs received, with the difference included in the </w:t>
      </w:r>
      <w:r w:rsidR="00CC7857">
        <w:t>balancing account.</w:t>
      </w:r>
    </w:p>
    <w:p w14:paraId="4E342853" w14:textId="77777777" w:rsidR="00275BA9" w:rsidRPr="00B54CE5" w:rsidRDefault="00275BA9" w:rsidP="00301CF0">
      <w:pPr>
        <w:tabs>
          <w:tab w:val="left" w:pos="720"/>
        </w:tabs>
        <w:spacing w:line="480" w:lineRule="auto"/>
        <w:ind w:left="720" w:hanging="720"/>
        <w:jc w:val="left"/>
        <w:rPr>
          <w:b/>
        </w:rPr>
      </w:pPr>
      <w:r w:rsidRPr="00B54CE5">
        <w:rPr>
          <w:b/>
        </w:rPr>
        <w:t>Q.</w:t>
      </w:r>
      <w:r w:rsidRPr="00B54CE5">
        <w:rPr>
          <w:b/>
        </w:rPr>
        <w:tab/>
        <w:t xml:space="preserve">Does the Company’s </w:t>
      </w:r>
      <w:r>
        <w:rPr>
          <w:b/>
        </w:rPr>
        <w:t xml:space="preserve">proposed </w:t>
      </w:r>
      <w:r w:rsidR="007965D2">
        <w:rPr>
          <w:b/>
        </w:rPr>
        <w:t>RRTM</w:t>
      </w:r>
      <w:r w:rsidRPr="00B54CE5">
        <w:rPr>
          <w:b/>
        </w:rPr>
        <w:t xml:space="preserve"> include deadbands or sharing</w:t>
      </w:r>
      <w:r>
        <w:rPr>
          <w:b/>
        </w:rPr>
        <w:t xml:space="preserve"> bands</w:t>
      </w:r>
      <w:r w:rsidR="004B394A">
        <w:rPr>
          <w:b/>
        </w:rPr>
        <w:t>?</w:t>
      </w:r>
    </w:p>
    <w:p w14:paraId="4E342854" w14:textId="77777777" w:rsidR="007F13EF" w:rsidRPr="007F13EF" w:rsidRDefault="00275BA9" w:rsidP="00E02ABF">
      <w:pPr>
        <w:widowControl/>
        <w:tabs>
          <w:tab w:val="left" w:pos="720"/>
        </w:tabs>
        <w:spacing w:line="480" w:lineRule="auto"/>
        <w:ind w:left="720" w:hanging="720"/>
        <w:jc w:val="left"/>
      </w:pPr>
      <w:r>
        <w:t>A.</w:t>
      </w:r>
      <w:r>
        <w:tab/>
        <w:t>No.  The Company proposes a dollar-for-dollar true-up</w:t>
      </w:r>
      <w:r w:rsidR="00F20063">
        <w:t xml:space="preserve"> to</w:t>
      </w:r>
      <w:r w:rsidR="007965D2">
        <w:t xml:space="preserve"> the</w:t>
      </w:r>
      <w:r w:rsidR="00F20063">
        <w:t xml:space="preserve"> actual </w:t>
      </w:r>
      <w:r w:rsidR="007965D2">
        <w:t xml:space="preserve">value of </w:t>
      </w:r>
      <w:r w:rsidR="00BB7862">
        <w:t xml:space="preserve">RPS resources included in Washington rates </w:t>
      </w:r>
      <w:r w:rsidR="007965D2">
        <w:t>used to serve Washington customers</w:t>
      </w:r>
      <w:r w:rsidR="004B394A">
        <w:t>.</w:t>
      </w:r>
      <w:r w:rsidR="00BB7862">
        <w:t xml:space="preserve">  </w:t>
      </w:r>
      <w:r w:rsidR="001B7E3F">
        <w:t xml:space="preserve">The RRTM is </w:t>
      </w:r>
      <w:r w:rsidR="00BB7862">
        <w:t xml:space="preserve">a </w:t>
      </w:r>
      <w:r w:rsidR="00004E92">
        <w:t>more limited</w:t>
      </w:r>
      <w:r w:rsidR="00BB7862">
        <w:t xml:space="preserve"> mechanism than the power cost adjustment mechanisms (PCAMs) previously proposed by the Company</w:t>
      </w:r>
      <w:r w:rsidR="00004E92">
        <w:t xml:space="preserve">, focusing only on renewable resources and relying on </w:t>
      </w:r>
      <w:r w:rsidR="00F263C3">
        <w:t xml:space="preserve">the specific cost-recovery provisions of the EIA.  </w:t>
      </w:r>
    </w:p>
    <w:p w14:paraId="4E342855" w14:textId="77777777" w:rsidR="00275BA9" w:rsidRPr="00006543" w:rsidRDefault="00275BA9" w:rsidP="007E2B9F">
      <w:pPr>
        <w:tabs>
          <w:tab w:val="left" w:pos="720"/>
        </w:tabs>
        <w:spacing w:line="480" w:lineRule="auto"/>
        <w:ind w:left="720" w:hanging="720"/>
        <w:jc w:val="left"/>
        <w:rPr>
          <w:b/>
        </w:rPr>
      </w:pPr>
      <w:r w:rsidRPr="00006543">
        <w:rPr>
          <w:b/>
        </w:rPr>
        <w:t>Q.</w:t>
      </w:r>
      <w:r w:rsidRPr="00006543">
        <w:rPr>
          <w:b/>
        </w:rPr>
        <w:tab/>
        <w:t xml:space="preserve">Has the Commission required deadbands and sharing in </w:t>
      </w:r>
      <w:r>
        <w:rPr>
          <w:b/>
        </w:rPr>
        <w:t xml:space="preserve">all </w:t>
      </w:r>
      <w:r w:rsidRPr="00006543">
        <w:rPr>
          <w:b/>
        </w:rPr>
        <w:t>energy cost recovery mechanisms</w:t>
      </w:r>
      <w:r w:rsidR="004B394A">
        <w:rPr>
          <w:b/>
        </w:rPr>
        <w:t>?</w:t>
      </w:r>
    </w:p>
    <w:p w14:paraId="4E342856" w14:textId="77777777" w:rsidR="006A4CAD" w:rsidRDefault="00275BA9" w:rsidP="004B394A">
      <w:pPr>
        <w:tabs>
          <w:tab w:val="left" w:pos="720"/>
        </w:tabs>
        <w:spacing w:line="480" w:lineRule="auto"/>
        <w:ind w:left="720" w:hanging="720"/>
        <w:jc w:val="left"/>
        <w:rPr>
          <w:b/>
        </w:rPr>
      </w:pPr>
      <w:r>
        <w:t>A.</w:t>
      </w:r>
      <w:r>
        <w:tab/>
        <w:t xml:space="preserve">No.  </w:t>
      </w:r>
      <w:r w:rsidR="00BA457F">
        <w:t>The Commission did not require deadbands or sharing in allowing a hydro</w:t>
      </w:r>
      <w:r w:rsidR="00EB7323">
        <w:t xml:space="preserve"> </w:t>
      </w:r>
      <w:r w:rsidR="00BA457F">
        <w:t>generation deferral for PacifiCorp in the past</w:t>
      </w:r>
      <w:r w:rsidR="00153D57">
        <w:t>,</w:t>
      </w:r>
      <w:r w:rsidR="00666071">
        <w:rPr>
          <w:rStyle w:val="FootnoteReference"/>
        </w:rPr>
        <w:footnoteReference w:id="18"/>
      </w:r>
      <w:r w:rsidR="00153D57">
        <w:t xml:space="preserve"> </w:t>
      </w:r>
      <w:r>
        <w:t>demonstrat</w:t>
      </w:r>
      <w:r w:rsidR="00153D57">
        <w:t>ing</w:t>
      </w:r>
      <w:r>
        <w:t xml:space="preserve"> the Commission’s view that the design of </w:t>
      </w:r>
      <w:r w:rsidR="00153D57">
        <w:t>cost recovery</w:t>
      </w:r>
      <w:r>
        <w:t xml:space="preserve"> mechanisms “must take into account the specific circumstances facing the utility,” and that they “need not be the same.”</w:t>
      </w:r>
      <w:r>
        <w:rPr>
          <w:rStyle w:val="FootnoteReference"/>
        </w:rPr>
        <w:footnoteReference w:id="19"/>
      </w:r>
      <w:r>
        <w:t xml:space="preserve">  </w:t>
      </w:r>
    </w:p>
    <w:p w14:paraId="4E342857" w14:textId="77777777" w:rsidR="00275BA9" w:rsidRPr="00D04DD0" w:rsidRDefault="00275BA9" w:rsidP="00796934">
      <w:pPr>
        <w:keepNext/>
        <w:tabs>
          <w:tab w:val="left" w:pos="720"/>
        </w:tabs>
        <w:spacing w:line="480" w:lineRule="auto"/>
        <w:ind w:left="720" w:hanging="720"/>
        <w:jc w:val="left"/>
        <w:rPr>
          <w:b/>
        </w:rPr>
      </w:pPr>
      <w:r w:rsidRPr="00D04DD0">
        <w:rPr>
          <w:b/>
        </w:rPr>
        <w:t>Q.</w:t>
      </w:r>
      <w:r w:rsidRPr="00D04DD0">
        <w:rPr>
          <w:b/>
        </w:rPr>
        <w:tab/>
        <w:t>Is the Company now recovering all of its NPC-related costs of compliance with the EIA?</w:t>
      </w:r>
    </w:p>
    <w:p w14:paraId="4E342858" w14:textId="77777777" w:rsidR="00275BA9" w:rsidRDefault="00275BA9" w:rsidP="007E2B9F">
      <w:pPr>
        <w:tabs>
          <w:tab w:val="left" w:pos="720"/>
        </w:tabs>
        <w:spacing w:line="480" w:lineRule="auto"/>
        <w:ind w:left="720" w:hanging="720"/>
        <w:jc w:val="left"/>
      </w:pPr>
      <w:r>
        <w:t>A.</w:t>
      </w:r>
      <w:r>
        <w:tab/>
        <w:t xml:space="preserve">No.  Without a </w:t>
      </w:r>
      <w:r w:rsidR="003C1D7F">
        <w:t>PCAM</w:t>
      </w:r>
      <w:r>
        <w:t xml:space="preserve"> in place, the Company is subject to th</w:t>
      </w:r>
      <w:r w:rsidR="00013B1B">
        <w:t>e risk of significant NPC under-</w:t>
      </w:r>
      <w:r>
        <w:t xml:space="preserve">recovery.  In the years since enactment of the EIA, the Company’s Washington NPC recovery shortfall </w:t>
      </w:r>
      <w:r w:rsidRPr="00852AEC">
        <w:t>exceeded $</w:t>
      </w:r>
      <w:r w:rsidR="00791A87" w:rsidRPr="00852AEC">
        <w:t xml:space="preserve">50 </w:t>
      </w:r>
      <w:r w:rsidRPr="00852AEC">
        <w:t>million.</w:t>
      </w:r>
      <w:r w:rsidR="004E261A">
        <w:rPr>
          <w:rStyle w:val="FootnoteReference"/>
        </w:rPr>
        <w:footnoteReference w:id="20"/>
      </w:r>
      <w:r w:rsidRPr="00852AEC">
        <w:t xml:space="preserve"> </w:t>
      </w:r>
      <w:r w:rsidR="00013B1B">
        <w:t xml:space="preserve"> </w:t>
      </w:r>
      <w:r w:rsidR="00606F11">
        <w:t>PacifiCorp’s</w:t>
      </w:r>
      <w:r w:rsidRPr="00852AEC">
        <w:t xml:space="preserve"> renewable resources have contributed to this under</w:t>
      </w:r>
      <w:r w:rsidR="00013B1B">
        <w:t>-</w:t>
      </w:r>
      <w:r w:rsidRPr="00852AEC">
        <w:t xml:space="preserve">recovery by increasing the </w:t>
      </w:r>
      <w:r w:rsidR="00045B65" w:rsidRPr="00852AEC">
        <w:t>complexity and variability</w:t>
      </w:r>
      <w:r w:rsidRPr="00852AEC">
        <w:t xml:space="preserve"> of normal system operations and the challenges o</w:t>
      </w:r>
      <w:r w:rsidR="00013B1B">
        <w:t xml:space="preserve">f accurately forecasting NPC.  </w:t>
      </w:r>
      <w:r w:rsidRPr="00852AEC">
        <w:t>When the</w:t>
      </w:r>
      <w:r w:rsidR="00013B1B">
        <w:t xml:space="preserve"> Company under-</w:t>
      </w:r>
      <w:r w:rsidR="00CC5F8F">
        <w:t>recovers its NPC, this under-</w:t>
      </w:r>
      <w:r>
        <w:t>recovery includes EIA compliance costs such as wind PPAs and the costs of shaping, firming</w:t>
      </w:r>
      <w:r w:rsidR="00CC5F8F">
        <w:t>,</w:t>
      </w:r>
      <w:r>
        <w:t xml:space="preserve"> and integr</w:t>
      </w:r>
      <w:r w:rsidR="004B394A">
        <w:t>ating wind resources.</w:t>
      </w:r>
    </w:p>
    <w:p w14:paraId="4E342859" w14:textId="77777777" w:rsidR="00794CD0" w:rsidRDefault="00794CD0" w:rsidP="00794CD0">
      <w:pPr>
        <w:suppressLineNumbers/>
        <w:tabs>
          <w:tab w:val="left" w:pos="720"/>
        </w:tabs>
        <w:spacing w:line="480" w:lineRule="auto"/>
        <w:ind w:left="720" w:hanging="720"/>
        <w:jc w:val="left"/>
      </w:pPr>
    </w:p>
    <w:p w14:paraId="4E34285A" w14:textId="77777777" w:rsidR="00794CD0" w:rsidRDefault="00794CD0" w:rsidP="00794CD0">
      <w:pPr>
        <w:suppressLineNumbers/>
        <w:tabs>
          <w:tab w:val="left" w:pos="720"/>
        </w:tabs>
        <w:spacing w:line="480" w:lineRule="auto"/>
        <w:ind w:left="720" w:hanging="720"/>
        <w:jc w:val="left"/>
      </w:pPr>
    </w:p>
    <w:p w14:paraId="4E34285B" w14:textId="77777777" w:rsidR="00794CD0" w:rsidRDefault="005E45E4" w:rsidP="005E45E4">
      <w:pPr>
        <w:tabs>
          <w:tab w:val="left" w:pos="720"/>
        </w:tabs>
        <w:spacing w:line="480" w:lineRule="auto"/>
        <w:ind w:left="720" w:hanging="720"/>
        <w:jc w:val="left"/>
        <w:rPr>
          <w:b/>
        </w:rPr>
      </w:pPr>
      <w:r w:rsidRPr="00FE4104">
        <w:rPr>
          <w:b/>
        </w:rPr>
        <w:t>Q.</w:t>
      </w:r>
      <w:r w:rsidRPr="00FE4104">
        <w:rPr>
          <w:b/>
        </w:rPr>
        <w:tab/>
      </w:r>
      <w:r>
        <w:rPr>
          <w:b/>
        </w:rPr>
        <w:t>P</w:t>
      </w:r>
      <w:r w:rsidRPr="00FE4104">
        <w:rPr>
          <w:b/>
        </w:rPr>
        <w:t xml:space="preserve">lease describe the changes to </w:t>
      </w:r>
      <w:r>
        <w:rPr>
          <w:b/>
        </w:rPr>
        <w:t xml:space="preserve">wind resources in </w:t>
      </w:r>
      <w:r w:rsidR="00606F11">
        <w:rPr>
          <w:b/>
        </w:rPr>
        <w:t>PacifiCorp’s</w:t>
      </w:r>
      <w:r w:rsidRPr="00FE4104">
        <w:rPr>
          <w:b/>
        </w:rPr>
        <w:t xml:space="preserve"> </w:t>
      </w:r>
      <w:r w:rsidR="00EB7323">
        <w:rPr>
          <w:b/>
        </w:rPr>
        <w:t>west control area</w:t>
      </w:r>
      <w:r w:rsidR="00EB7323" w:rsidRPr="00FE4104">
        <w:rPr>
          <w:b/>
        </w:rPr>
        <w:t xml:space="preserve"> </w:t>
      </w:r>
      <w:r w:rsidRPr="00FE4104">
        <w:rPr>
          <w:b/>
        </w:rPr>
        <w:t xml:space="preserve">generation portfolio since </w:t>
      </w:r>
      <w:r>
        <w:rPr>
          <w:b/>
        </w:rPr>
        <w:t>2006.</w:t>
      </w:r>
    </w:p>
    <w:p w14:paraId="4E34285C" w14:textId="77777777" w:rsidR="005E45E4" w:rsidRPr="001C4772" w:rsidRDefault="005E45E4" w:rsidP="005E45E4">
      <w:pPr>
        <w:tabs>
          <w:tab w:val="left" w:pos="720"/>
        </w:tabs>
        <w:spacing w:line="480" w:lineRule="auto"/>
        <w:ind w:left="720" w:hanging="720"/>
        <w:jc w:val="left"/>
      </w:pPr>
      <w:r w:rsidRPr="00F81FA0">
        <w:t>A.</w:t>
      </w:r>
      <w:r w:rsidRPr="00F81FA0">
        <w:tab/>
        <w:t xml:space="preserve">Since 2006, </w:t>
      </w:r>
      <w:r w:rsidR="00606F11">
        <w:t>PacifiCorp</w:t>
      </w:r>
      <w:r w:rsidRPr="00F81FA0">
        <w:t xml:space="preserve"> has added </w:t>
      </w:r>
      <w:r w:rsidRPr="00852AEC">
        <w:t xml:space="preserve">approximately </w:t>
      </w:r>
      <w:r w:rsidRPr="00AE79C1">
        <w:t>405 MW</w:t>
      </w:r>
      <w:r w:rsidRPr="00C90D83">
        <w:t xml:space="preserve"> </w:t>
      </w:r>
      <w:r w:rsidRPr="00AE79C1">
        <w:t>of new wind resources (Leaning Juniper, Goodnoe Hills, Marengo I and Marengo II) and 74 MW</w:t>
      </w:r>
      <w:r w:rsidR="00BB7862" w:rsidRPr="00AE79C1">
        <w:rPr>
          <w:rStyle w:val="FootnoteReference"/>
        </w:rPr>
        <w:footnoteReference w:id="21"/>
      </w:r>
      <w:r w:rsidRPr="00C90D83">
        <w:t xml:space="preserve"> of wind PPAs in </w:t>
      </w:r>
      <w:r w:rsidR="00EE7AAD">
        <w:t xml:space="preserve">the </w:t>
      </w:r>
      <w:r w:rsidR="00EB7323" w:rsidRPr="00AE79C1">
        <w:t>west control area</w:t>
      </w:r>
      <w:r w:rsidRPr="00AE79C1">
        <w:t xml:space="preserve">.  In total, the </w:t>
      </w:r>
      <w:r w:rsidR="00606F11" w:rsidRPr="00AE79C1">
        <w:t>c</w:t>
      </w:r>
      <w:r w:rsidRPr="00AE79C1">
        <w:t>ompany now has 521 MW</w:t>
      </w:r>
      <w:r w:rsidRPr="00C90D83">
        <w:t xml:space="preserve"> o</w:t>
      </w:r>
      <w:r w:rsidRPr="00852AEC">
        <w:t xml:space="preserve">f owned and contracted wind resources used to serve load in </w:t>
      </w:r>
      <w:r w:rsidR="00EB7323">
        <w:t>west control area</w:t>
      </w:r>
      <w:r w:rsidRPr="00852AEC">
        <w:t>.</w:t>
      </w:r>
    </w:p>
    <w:p w14:paraId="4E34285D" w14:textId="77777777" w:rsidR="005E45E4" w:rsidRPr="00D07F4C" w:rsidRDefault="005E45E4" w:rsidP="005E45E4">
      <w:pPr>
        <w:pStyle w:val="Question"/>
        <w:jc w:val="left"/>
      </w:pPr>
      <w:r w:rsidRPr="00D07F4C">
        <w:t>Q.</w:t>
      </w:r>
      <w:r w:rsidRPr="00D07F4C">
        <w:tab/>
        <w:t xml:space="preserve">Beyond system balancing issues, do intermittent renewable resources cause other impacts to </w:t>
      </w:r>
      <w:r w:rsidR="00606F11">
        <w:t>PacifiCorp</w:t>
      </w:r>
      <w:r w:rsidRPr="00D07F4C">
        <w:t>’s operations?</w:t>
      </w:r>
    </w:p>
    <w:p w14:paraId="4E34285E" w14:textId="77777777" w:rsidR="005E45E4" w:rsidRPr="00553C64" w:rsidRDefault="005E45E4" w:rsidP="005E45E4">
      <w:pPr>
        <w:pStyle w:val="Answer0"/>
        <w:jc w:val="left"/>
      </w:pPr>
      <w:r w:rsidRPr="00D07F4C">
        <w:t>A.</w:t>
      </w:r>
      <w:r w:rsidRPr="00D07F4C">
        <w:tab/>
        <w:t xml:space="preserve">Yes.  The </w:t>
      </w:r>
      <w:r w:rsidR="00606F11">
        <w:t>c</w:t>
      </w:r>
      <w:r w:rsidRPr="00D07F4C">
        <w:t xml:space="preserve">ompany’s wind resources, as well as those owned by other market participants, are concentrated in high wind resource areas such as the Columbia River Gorge.  As the weather changes, this concentration results in large swings of unexpected increases or reductions in energy supply that can range from zero to full nameplate capacity.  Incremental supply reduces market prices, and reductions in supply increase market prices.  </w:t>
      </w:r>
    </w:p>
    <w:p w14:paraId="4E34285F" w14:textId="77777777" w:rsidR="008E7D81" w:rsidRPr="00F31803" w:rsidRDefault="008E7D81" w:rsidP="008E7D81">
      <w:pPr>
        <w:pStyle w:val="BodyTextIndent"/>
        <w:jc w:val="left"/>
        <w:rPr>
          <w:b/>
        </w:rPr>
      </w:pPr>
      <w:r w:rsidRPr="00F31803">
        <w:rPr>
          <w:b/>
        </w:rPr>
        <w:t>Q.</w:t>
      </w:r>
      <w:r w:rsidRPr="00F31803">
        <w:rPr>
          <w:b/>
        </w:rPr>
        <w:tab/>
      </w:r>
      <w:r>
        <w:rPr>
          <w:b/>
        </w:rPr>
        <w:t>Has the Company measured the variance between actual and forecast wind generation levels in its Washington NPC since enactment of the EIA?</w:t>
      </w:r>
    </w:p>
    <w:p w14:paraId="4E342860" w14:textId="77777777" w:rsidR="008E7D81" w:rsidRDefault="008E7D81" w:rsidP="008E7D81">
      <w:pPr>
        <w:pStyle w:val="BodyTextIndent"/>
        <w:jc w:val="left"/>
      </w:pPr>
      <w:r w:rsidRPr="00F31803">
        <w:t>A.</w:t>
      </w:r>
      <w:r w:rsidRPr="00F31803">
        <w:tab/>
      </w:r>
      <w:r>
        <w:t xml:space="preserve">Yes.  </w:t>
      </w:r>
      <w:r w:rsidR="00606F11">
        <w:t>The Company</w:t>
      </w:r>
      <w:r w:rsidRPr="00F31803">
        <w:t xml:space="preserve"> measured the </w:t>
      </w:r>
      <w:r>
        <w:t>change in the</w:t>
      </w:r>
      <w:r w:rsidRPr="00F31803">
        <w:t xml:space="preserve"> </w:t>
      </w:r>
      <w:r>
        <w:t xml:space="preserve">net market value of </w:t>
      </w:r>
      <w:r w:rsidR="00606F11">
        <w:t>PacifiCorp’s</w:t>
      </w:r>
      <w:r>
        <w:t xml:space="preserve"> </w:t>
      </w:r>
      <w:r w:rsidRPr="00F31803">
        <w:t>owned wind generation from 2007 to 201</w:t>
      </w:r>
      <w:r w:rsidR="00CD03EE">
        <w:t>2</w:t>
      </w:r>
      <w:r w:rsidRPr="00F31803">
        <w:t xml:space="preserve">, </w:t>
      </w:r>
      <w:r>
        <w:t xml:space="preserve">using actual and forecast wind generation levels and market prices.  As shown in </w:t>
      </w:r>
      <w:r w:rsidRPr="00A46722">
        <w:t xml:space="preserve">Table </w:t>
      </w:r>
      <w:r w:rsidR="00F263C3">
        <w:t>7</w:t>
      </w:r>
      <w:r w:rsidRPr="00A46722">
        <w:t xml:space="preserve"> below, the combined impact of variances in wind generation</w:t>
      </w:r>
      <w:r w:rsidR="006513E2">
        <w:t xml:space="preserve">, </w:t>
      </w:r>
      <w:r w:rsidRPr="00A46722">
        <w:t>market prices</w:t>
      </w:r>
      <w:r w:rsidR="006513E2">
        <w:t>, and PTCs</w:t>
      </w:r>
      <w:r w:rsidRPr="00A46722">
        <w:t xml:space="preserve"> over the historical period ranges </w:t>
      </w:r>
      <w:r w:rsidRPr="00C90D83">
        <w:t xml:space="preserve">from </w:t>
      </w:r>
      <w:r w:rsidRPr="00AE79C1">
        <w:t>$</w:t>
      </w:r>
      <w:r w:rsidR="006513E2" w:rsidRPr="00AE79C1">
        <w:t>0.2</w:t>
      </w:r>
      <w:r w:rsidRPr="00C90D83">
        <w:t xml:space="preserve"> million to </w:t>
      </w:r>
      <w:r w:rsidRPr="00AE79C1">
        <w:t>$</w:t>
      </w:r>
      <w:r w:rsidR="006513E2" w:rsidRPr="00AE79C1">
        <w:t>12.2</w:t>
      </w:r>
      <w:r w:rsidRPr="00C90D83">
        <w:t xml:space="preserve"> million of over-forecast value</w:t>
      </w:r>
      <w:r w:rsidR="00F263C3" w:rsidRPr="00C90D83">
        <w:t xml:space="preserve"> annually</w:t>
      </w:r>
      <w:r w:rsidRPr="00C90D83">
        <w:t xml:space="preserve"> on a </w:t>
      </w:r>
      <w:r w:rsidR="006513E2" w:rsidRPr="00C90D83">
        <w:t>Washington</w:t>
      </w:r>
      <w:r w:rsidR="00E420C0" w:rsidRPr="00C90D83">
        <w:t>-</w:t>
      </w:r>
      <w:r w:rsidR="006513E2" w:rsidRPr="00C90D83">
        <w:t>allocated</w:t>
      </w:r>
      <w:r w:rsidRPr="00AE79C1">
        <w:t xml:space="preserve"> basis, or a </w:t>
      </w:r>
      <w:r w:rsidR="00036FE1" w:rsidRPr="00AE79C1">
        <w:t xml:space="preserve">cumulative total of </w:t>
      </w:r>
      <w:r w:rsidRPr="00AE79C1">
        <w:t>$</w:t>
      </w:r>
      <w:r w:rsidR="00E420C0" w:rsidRPr="00AE79C1">
        <w:t>34.8</w:t>
      </w:r>
      <w:r w:rsidR="00EB7323" w:rsidRPr="00C90D83">
        <w:t> </w:t>
      </w:r>
      <w:r w:rsidRPr="00C90D83">
        <w:t>million.  Because the</w:t>
      </w:r>
      <w:r>
        <w:t xml:space="preserve"> Company’s wind penetration must increase under the EIA, the recovery risk associated with variances between forecast and actual wind generation is also expected to increase.</w:t>
      </w:r>
    </w:p>
    <w:p w14:paraId="4E342861" w14:textId="77777777" w:rsidR="008E7D81" w:rsidRDefault="008E7D81" w:rsidP="00C677D0">
      <w:pPr>
        <w:pStyle w:val="BodyTextIndent"/>
        <w:keepLines/>
        <w:suppressLineNumbers/>
        <w:tabs>
          <w:tab w:val="clear" w:pos="720"/>
        </w:tabs>
        <w:spacing w:after="240" w:line="240" w:lineRule="auto"/>
        <w:ind w:left="0" w:firstLine="0"/>
        <w:jc w:val="center"/>
        <w:rPr>
          <w:b/>
        </w:rPr>
      </w:pPr>
      <w:r>
        <w:rPr>
          <w:b/>
        </w:rPr>
        <w:t xml:space="preserve">Table </w:t>
      </w:r>
      <w:r w:rsidR="00F263C3">
        <w:rPr>
          <w:b/>
        </w:rPr>
        <w:t>7</w:t>
      </w:r>
      <w:r w:rsidR="00F263C3" w:rsidRPr="00EF48D9">
        <w:rPr>
          <w:b/>
        </w:rPr>
        <w:t xml:space="preserve"> </w:t>
      </w:r>
      <w:r w:rsidR="00C90D83" w:rsidRPr="00C90D83">
        <w:rPr>
          <w:noProof/>
        </w:rPr>
        <w:drawing>
          <wp:inline distT="0" distB="0" distL="0" distR="0" wp14:anchorId="4E342883" wp14:editId="4E342884">
            <wp:extent cx="5486400" cy="4135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4135717"/>
                    </a:xfrm>
                    <a:prstGeom prst="rect">
                      <a:avLst/>
                    </a:prstGeom>
                    <a:noFill/>
                    <a:ln>
                      <a:noFill/>
                    </a:ln>
                  </pic:spPr>
                </pic:pic>
              </a:graphicData>
            </a:graphic>
          </wp:inline>
        </w:drawing>
      </w:r>
      <w:r w:rsidR="00E420C0" w:rsidRPr="00E420C0" w:rsidDel="00E420C0">
        <w:t xml:space="preserve"> </w:t>
      </w:r>
    </w:p>
    <w:p w14:paraId="4E342862" w14:textId="77777777" w:rsidR="005E45E4" w:rsidRPr="000A0BD9" w:rsidRDefault="005E45E4" w:rsidP="005E45E4">
      <w:pPr>
        <w:tabs>
          <w:tab w:val="left" w:pos="720"/>
        </w:tabs>
        <w:spacing w:line="480" w:lineRule="auto"/>
        <w:ind w:left="720" w:hanging="720"/>
        <w:jc w:val="left"/>
        <w:rPr>
          <w:b/>
        </w:rPr>
      </w:pPr>
      <w:r w:rsidRPr="000A0BD9">
        <w:rPr>
          <w:b/>
        </w:rPr>
        <w:t>Q.</w:t>
      </w:r>
      <w:r w:rsidRPr="000A0BD9">
        <w:rPr>
          <w:b/>
        </w:rPr>
        <w:tab/>
        <w:t>How is the variability of wind generation different than the variabil</w:t>
      </w:r>
      <w:r>
        <w:rPr>
          <w:b/>
        </w:rPr>
        <w:t>ity created by changes in hydro</w:t>
      </w:r>
      <w:r w:rsidRPr="000A0BD9">
        <w:rPr>
          <w:b/>
        </w:rPr>
        <w:t>electric generation or loads?</w:t>
      </w:r>
    </w:p>
    <w:p w14:paraId="4E342863" w14:textId="77777777" w:rsidR="005E45E4" w:rsidRPr="00C10632" w:rsidRDefault="005E45E4" w:rsidP="005E45E4">
      <w:pPr>
        <w:tabs>
          <w:tab w:val="left" w:pos="720"/>
        </w:tabs>
        <w:spacing w:line="480" w:lineRule="auto"/>
        <w:ind w:left="720" w:hanging="720"/>
        <w:jc w:val="left"/>
      </w:pPr>
      <w:r>
        <w:t>A.</w:t>
      </w:r>
      <w:r>
        <w:tab/>
      </w:r>
      <w:r w:rsidRPr="000A0BD9">
        <w:t xml:space="preserve">Wind is intermittent and has </w:t>
      </w:r>
      <w:r>
        <w:t xml:space="preserve">little to </w:t>
      </w:r>
      <w:r w:rsidRPr="000A0BD9">
        <w:t xml:space="preserve">no predictable pattern of delivery.  It can start and stop quickly, and must be firmed, shaped, and integrated by </w:t>
      </w:r>
      <w:r w:rsidR="00606F11">
        <w:t>PacifiCorp’s</w:t>
      </w:r>
      <w:r w:rsidRPr="000A0BD9">
        <w:t xml:space="preserve"> dispatchable resources on a moment-to-moment basis.  The addition of wind has dramatically changed the way </w:t>
      </w:r>
      <w:r w:rsidR="00606F11">
        <w:t xml:space="preserve">PacifiCorp </w:t>
      </w:r>
      <w:r w:rsidRPr="000A0BD9">
        <w:t xml:space="preserve">operates its system.  Load, hydroelectric generation, and thermal generation all have some form of unpredictability, but they are not intermittent.  Loads are predictable in that they increase in the morning and decrease at night, and hydroelectric resources will produce more electricity when there is greater rainfall and during the spring runoff.  Wind has </w:t>
      </w:r>
      <w:r>
        <w:t xml:space="preserve">little to </w:t>
      </w:r>
      <w:r w:rsidRPr="000A0BD9">
        <w:t>no predictable pattern</w:t>
      </w:r>
      <w:r>
        <w:t xml:space="preserve"> of delivery</w:t>
      </w:r>
      <w:r w:rsidRPr="000A0BD9">
        <w:t xml:space="preserve">, and therefore its intermittency creates a more complex operating environment for </w:t>
      </w:r>
      <w:r w:rsidR="00934936">
        <w:t>PacifiCorp</w:t>
      </w:r>
      <w:r w:rsidRPr="000A0BD9">
        <w:t xml:space="preserve"> compa</w:t>
      </w:r>
      <w:r>
        <w:t>red to the variability of hydro</w:t>
      </w:r>
      <w:r w:rsidRPr="000A0BD9">
        <w:t xml:space="preserve">electric resources and loads.  Adding a significant amount of intermittent resources to the Company’s system in accordance with </w:t>
      </w:r>
      <w:r>
        <w:t>the EIA</w:t>
      </w:r>
      <w:r w:rsidRPr="000A0BD9">
        <w:t xml:space="preserve"> lessens the Company’s ability to pro</w:t>
      </w:r>
      <w:r>
        <w:t>duce reliable pro forma NPC.</w:t>
      </w:r>
    </w:p>
    <w:p w14:paraId="4E342864" w14:textId="77777777" w:rsidR="005E45E4" w:rsidRPr="005910FF" w:rsidRDefault="005E45E4" w:rsidP="005E45E4">
      <w:pPr>
        <w:pStyle w:val="Answer0"/>
        <w:widowControl w:val="0"/>
        <w:jc w:val="left"/>
        <w:rPr>
          <w:b/>
        </w:rPr>
      </w:pPr>
      <w:r w:rsidRPr="005910FF">
        <w:rPr>
          <w:b/>
        </w:rPr>
        <w:t>Q.</w:t>
      </w:r>
      <w:r w:rsidRPr="005910FF">
        <w:rPr>
          <w:b/>
        </w:rPr>
        <w:tab/>
      </w:r>
      <w:r>
        <w:rPr>
          <w:b/>
        </w:rPr>
        <w:t xml:space="preserve">Does the Company’s GRID model capture </w:t>
      </w:r>
      <w:r w:rsidRPr="005910FF">
        <w:rPr>
          <w:b/>
        </w:rPr>
        <w:t>the uncertainty of wind generation</w:t>
      </w:r>
      <w:r>
        <w:rPr>
          <w:b/>
        </w:rPr>
        <w:t>?</w:t>
      </w:r>
    </w:p>
    <w:p w14:paraId="4E342865" w14:textId="77777777" w:rsidR="005E45E4" w:rsidRDefault="005E45E4" w:rsidP="005E45E4">
      <w:pPr>
        <w:tabs>
          <w:tab w:val="left" w:pos="720"/>
        </w:tabs>
        <w:spacing w:line="480" w:lineRule="auto"/>
        <w:ind w:left="720" w:hanging="720"/>
        <w:jc w:val="left"/>
      </w:pPr>
      <w:r w:rsidRPr="00D07F4C">
        <w:t>A.</w:t>
      </w:r>
      <w:r w:rsidRPr="00D07F4C">
        <w:tab/>
      </w:r>
      <w:r>
        <w:t xml:space="preserve">No.  </w:t>
      </w:r>
      <w:r w:rsidRPr="00D07F4C">
        <w:t xml:space="preserve">GRID models wind </w:t>
      </w:r>
      <w:r>
        <w:t>generation</w:t>
      </w:r>
      <w:r w:rsidRPr="00D07F4C">
        <w:t xml:space="preserve"> </w:t>
      </w:r>
      <w:r w:rsidR="003C1AA0">
        <w:t xml:space="preserve">and market prices </w:t>
      </w:r>
      <w:r>
        <w:t>using a static forecast</w:t>
      </w:r>
      <w:r w:rsidRPr="00D07F4C">
        <w:t xml:space="preserve">.  Because wind </w:t>
      </w:r>
      <w:r w:rsidR="003C1AA0">
        <w:t>generation</w:t>
      </w:r>
      <w:r w:rsidRPr="00D07F4C">
        <w:t xml:space="preserve"> and market prices vary every hour of the year, it is certain that actual </w:t>
      </w:r>
      <w:r>
        <w:t xml:space="preserve">wind </w:t>
      </w:r>
      <w:r w:rsidR="003C1AA0">
        <w:t>output</w:t>
      </w:r>
      <w:r w:rsidRPr="00D07F4C">
        <w:t xml:space="preserve"> will vary from the GRID forecast</w:t>
      </w:r>
      <w:r>
        <w:t>, even with the modeling improvements implemented in this case</w:t>
      </w:r>
      <w:r w:rsidRPr="00D07F4C">
        <w:t>.</w:t>
      </w:r>
      <w:r>
        <w:t xml:space="preserve">  The RRTM will ensure that this component of the cost to comply with the EIA is appropriately reflected in customers’ rates.  </w:t>
      </w:r>
      <w:r w:rsidRPr="00D07F4C">
        <w:t xml:space="preserve"> </w:t>
      </w:r>
      <w:r>
        <w:t xml:space="preserve"> </w:t>
      </w:r>
    </w:p>
    <w:p w14:paraId="4E342866" w14:textId="77777777" w:rsidR="00DA7294" w:rsidRDefault="00DA7294" w:rsidP="005E45E4">
      <w:pPr>
        <w:tabs>
          <w:tab w:val="left" w:pos="720"/>
        </w:tabs>
        <w:spacing w:line="480" w:lineRule="auto"/>
        <w:ind w:left="720" w:hanging="720"/>
        <w:jc w:val="left"/>
        <w:rPr>
          <w:b/>
        </w:rPr>
      </w:pPr>
      <w:r w:rsidRPr="00103E0F">
        <w:rPr>
          <w:b/>
        </w:rPr>
        <w:t>Q.</w:t>
      </w:r>
      <w:r w:rsidRPr="00103E0F">
        <w:rPr>
          <w:b/>
        </w:rPr>
        <w:tab/>
        <w:t xml:space="preserve">Will the </w:t>
      </w:r>
      <w:r>
        <w:rPr>
          <w:b/>
        </w:rPr>
        <w:t>RRTM</w:t>
      </w:r>
      <w:r w:rsidRPr="00103E0F">
        <w:rPr>
          <w:b/>
        </w:rPr>
        <w:t xml:space="preserve"> include </w:t>
      </w:r>
      <w:r>
        <w:rPr>
          <w:b/>
        </w:rPr>
        <w:t>r</w:t>
      </w:r>
      <w:r w:rsidRPr="00103E0F">
        <w:rPr>
          <w:b/>
        </w:rPr>
        <w:t xml:space="preserve">ecovery of fixed costs related to </w:t>
      </w:r>
      <w:r>
        <w:rPr>
          <w:b/>
        </w:rPr>
        <w:t>wind generation</w:t>
      </w:r>
      <w:r w:rsidRPr="00103E0F">
        <w:rPr>
          <w:b/>
        </w:rPr>
        <w:t xml:space="preserve"> (</w:t>
      </w:r>
      <w:r w:rsidRPr="00796934">
        <w:rPr>
          <w:b/>
          <w:i/>
        </w:rPr>
        <w:t>i.e.</w:t>
      </w:r>
      <w:r>
        <w:rPr>
          <w:b/>
        </w:rPr>
        <w:t>, </w:t>
      </w:r>
      <w:r w:rsidRPr="00103E0F">
        <w:rPr>
          <w:b/>
        </w:rPr>
        <w:t>cap</w:t>
      </w:r>
      <w:r>
        <w:rPr>
          <w:b/>
        </w:rPr>
        <w:t>ital investment in rate base)?</w:t>
      </w:r>
    </w:p>
    <w:p w14:paraId="4E342867" w14:textId="77777777" w:rsidR="00DA7294" w:rsidRDefault="00DA7294" w:rsidP="00DA7294">
      <w:pPr>
        <w:tabs>
          <w:tab w:val="left" w:pos="720"/>
        </w:tabs>
        <w:spacing w:line="480" w:lineRule="auto"/>
        <w:ind w:left="720" w:hanging="720"/>
        <w:jc w:val="left"/>
        <w:rPr>
          <w:rFonts w:cs="Arial"/>
        </w:rPr>
      </w:pPr>
      <w:r w:rsidRPr="002758E4">
        <w:t>A.</w:t>
      </w:r>
      <w:r w:rsidRPr="002758E4">
        <w:tab/>
        <w:t xml:space="preserve">No.  The </w:t>
      </w:r>
      <w:r>
        <w:t>RRTM</w:t>
      </w:r>
      <w:r w:rsidRPr="002758E4">
        <w:t xml:space="preserve"> will address </w:t>
      </w:r>
      <w:r>
        <w:t xml:space="preserve">only the value of the wind energy </w:t>
      </w:r>
      <w:r w:rsidRPr="002758E4">
        <w:t xml:space="preserve">and will not include any recovery of capital investment.  </w:t>
      </w:r>
    </w:p>
    <w:p w14:paraId="4E342868" w14:textId="77777777" w:rsidR="005E45E4" w:rsidRPr="006B408E" w:rsidRDefault="005E45E4" w:rsidP="005E45E4">
      <w:pPr>
        <w:tabs>
          <w:tab w:val="left" w:pos="720"/>
        </w:tabs>
        <w:spacing w:line="480" w:lineRule="auto"/>
        <w:ind w:left="720" w:hanging="720"/>
        <w:jc w:val="left"/>
        <w:rPr>
          <w:b/>
        </w:rPr>
      </w:pPr>
      <w:r w:rsidRPr="006B408E">
        <w:rPr>
          <w:b/>
        </w:rPr>
        <w:t>Q.</w:t>
      </w:r>
      <w:r w:rsidRPr="006B408E">
        <w:rPr>
          <w:b/>
        </w:rPr>
        <w:tab/>
      </w:r>
      <w:r>
        <w:rPr>
          <w:b/>
        </w:rPr>
        <w:t xml:space="preserve">Is </w:t>
      </w:r>
      <w:r w:rsidR="00934936">
        <w:rPr>
          <w:b/>
        </w:rPr>
        <w:t>PacifiCorp</w:t>
      </w:r>
      <w:r>
        <w:rPr>
          <w:b/>
        </w:rPr>
        <w:t xml:space="preserve"> addressing recovery of RPS</w:t>
      </w:r>
      <w:r w:rsidR="00F263C3">
        <w:rPr>
          <w:b/>
        </w:rPr>
        <w:t>-</w:t>
      </w:r>
      <w:r>
        <w:rPr>
          <w:b/>
        </w:rPr>
        <w:t xml:space="preserve">related costs in any other states?  </w:t>
      </w:r>
    </w:p>
    <w:p w14:paraId="4E342869" w14:textId="77777777" w:rsidR="00275BA9" w:rsidRPr="00D21779" w:rsidRDefault="005E45E4" w:rsidP="005E45E4">
      <w:pPr>
        <w:tabs>
          <w:tab w:val="left" w:pos="720"/>
        </w:tabs>
        <w:spacing w:line="480" w:lineRule="auto"/>
        <w:ind w:left="720" w:hanging="720"/>
        <w:jc w:val="left"/>
      </w:pPr>
      <w:r>
        <w:t>A.</w:t>
      </w:r>
      <w:r>
        <w:tab/>
        <w:t xml:space="preserve">Yes.  On </w:t>
      </w:r>
      <w:r w:rsidRPr="00DA7294">
        <w:t>June 19, 2013</w:t>
      </w:r>
      <w:r w:rsidR="00934936">
        <w:t>, PacifiCorp</w:t>
      </w:r>
      <w:r>
        <w:t xml:space="preserve">, together with Portland General Electric </w:t>
      </w:r>
      <w:r w:rsidR="00794CD0">
        <w:t xml:space="preserve">Company </w:t>
      </w:r>
      <w:r>
        <w:t xml:space="preserve">(PGE), asked the Public Utility Commission </w:t>
      </w:r>
      <w:r w:rsidR="00F263C3">
        <w:t xml:space="preserve">of Oregon </w:t>
      </w:r>
      <w:r>
        <w:t xml:space="preserve">to establish a generic docket to examine policies and design of </w:t>
      </w:r>
      <w:r w:rsidR="006D606B">
        <w:t>PCAMs</w:t>
      </w:r>
      <w:r>
        <w:t xml:space="preserve">.  After communicating with interested parties in Oregon, </w:t>
      </w:r>
      <w:r w:rsidR="00934936">
        <w:t>PacifiCorp</w:t>
      </w:r>
      <w:r>
        <w:t xml:space="preserve"> and PGE narrowed the scope of the request to include a review of the ratemaking treatment of variable RPS compliance costs</w:t>
      </w:r>
      <w:r w:rsidR="00F263C3">
        <w:t xml:space="preserve"> only</w:t>
      </w:r>
      <w:r>
        <w:t xml:space="preserve">.  </w:t>
      </w:r>
      <w:r w:rsidR="00275BA9">
        <w:t xml:space="preserve"> </w:t>
      </w:r>
    </w:p>
    <w:p w14:paraId="4E34286A" w14:textId="77777777" w:rsidR="00D620B9" w:rsidRPr="00BD428F" w:rsidRDefault="00D620B9" w:rsidP="00BD428F">
      <w:pPr>
        <w:pStyle w:val="Heading1"/>
      </w:pPr>
      <w:bookmarkStart w:id="23" w:name="_Toc345427430"/>
      <w:bookmarkStart w:id="24" w:name="_Toc384202465"/>
      <w:bookmarkStart w:id="25" w:name="_Toc386609229"/>
      <w:r w:rsidRPr="00BD428F">
        <w:t>CONCLUSION</w:t>
      </w:r>
      <w:bookmarkEnd w:id="23"/>
      <w:bookmarkEnd w:id="24"/>
      <w:bookmarkEnd w:id="25"/>
    </w:p>
    <w:p w14:paraId="4E34286B" w14:textId="77777777" w:rsidR="00E30930" w:rsidRDefault="00AD3340">
      <w:pPr>
        <w:keepNext/>
        <w:spacing w:line="480" w:lineRule="auto"/>
        <w:ind w:left="720" w:hanging="720"/>
        <w:jc w:val="left"/>
        <w:rPr>
          <w:b/>
        </w:rPr>
      </w:pPr>
      <w:r w:rsidRPr="00C464F8">
        <w:rPr>
          <w:b/>
        </w:rPr>
        <w:t>Q.</w:t>
      </w:r>
      <w:r w:rsidRPr="00C464F8">
        <w:rPr>
          <w:b/>
        </w:rPr>
        <w:tab/>
        <w:t>Does this conclude your direct testimony?</w:t>
      </w:r>
    </w:p>
    <w:p w14:paraId="4E34286C" w14:textId="77777777" w:rsidR="007F31BD" w:rsidRPr="00AD3340" w:rsidRDefault="00AD3340" w:rsidP="00450D5B">
      <w:pPr>
        <w:spacing w:line="480" w:lineRule="auto"/>
        <w:ind w:left="720" w:hanging="720"/>
        <w:jc w:val="left"/>
      </w:pPr>
      <w:r w:rsidRPr="00C464F8">
        <w:t>A.</w:t>
      </w:r>
      <w:r w:rsidRPr="00C464F8">
        <w:tab/>
        <w:t>Yes.</w:t>
      </w:r>
    </w:p>
    <w:sectPr w:rsidR="007F31BD" w:rsidRPr="00AD3340" w:rsidSect="006A3044">
      <w:footerReference w:type="default" r:id="rId21"/>
      <w:pgSz w:w="12240" w:h="15840" w:code="1"/>
      <w:pgMar w:top="1440" w:right="1440" w:bottom="1440" w:left="1800" w:header="720" w:footer="720" w:gutter="0"/>
      <w:lnNumType w:countBy="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FA269" w14:textId="77777777" w:rsidR="00D33882" w:rsidRDefault="00D33882" w:rsidP="00477C5C">
      <w:pPr>
        <w:spacing w:line="240" w:lineRule="auto"/>
      </w:pPr>
      <w:r>
        <w:separator/>
      </w:r>
    </w:p>
  </w:endnote>
  <w:endnote w:type="continuationSeparator" w:id="0">
    <w:p w14:paraId="5554BA87" w14:textId="77777777" w:rsidR="00D33882" w:rsidRDefault="00D33882" w:rsidP="00477C5C">
      <w:pPr>
        <w:spacing w:line="240" w:lineRule="auto"/>
      </w:pPr>
      <w:r>
        <w:continuationSeparator/>
      </w:r>
    </w:p>
  </w:endnote>
  <w:endnote w:type="continuationNotice" w:id="1">
    <w:p w14:paraId="30B86CA6" w14:textId="77777777" w:rsidR="00D33882" w:rsidRDefault="00D338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288D" w14:textId="77777777" w:rsidR="006D14A9" w:rsidRDefault="006D1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E34288E" w14:textId="77777777" w:rsidR="006D14A9" w:rsidRDefault="006D14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288F" w14:textId="77777777" w:rsidR="006D14A9" w:rsidRDefault="006D14A9" w:rsidP="006D14A9">
    <w:pPr>
      <w:pStyle w:val="Footer"/>
      <w:tabs>
        <w:tab w:val="clear" w:pos="8640"/>
        <w:tab w:val="right" w:pos="9000"/>
      </w:tabs>
      <w:spacing w:line="240" w:lineRule="auto"/>
    </w:pPr>
    <w:r w:rsidRPr="00FF34E0">
      <w:t xml:space="preserve">Direct Testimony of </w:t>
    </w:r>
    <w:r>
      <w:t>Gregory N. Duvall</w:t>
    </w:r>
    <w:r>
      <w:tab/>
    </w:r>
    <w:r w:rsidR="005949A7">
      <w:tab/>
    </w:r>
    <w:r>
      <w:t>Exhibit No.___(GND-1CT)</w:t>
    </w:r>
  </w:p>
  <w:p w14:paraId="4E342890" w14:textId="77777777" w:rsidR="006D14A9" w:rsidRPr="00FF34E0" w:rsidRDefault="006D14A9" w:rsidP="006D14A9">
    <w:pPr>
      <w:pStyle w:val="Footer"/>
      <w:tabs>
        <w:tab w:val="clear" w:pos="8640"/>
        <w:tab w:val="right" w:pos="9000"/>
      </w:tabs>
      <w:spacing w:line="240" w:lineRule="auto"/>
    </w:pPr>
    <w:r>
      <w:tab/>
    </w:r>
    <w:r>
      <w:tab/>
      <w:t>P</w:t>
    </w:r>
    <w:r w:rsidRPr="00FF34E0">
      <w:t xml:space="preserve">age </w:t>
    </w:r>
    <w:r w:rsidRPr="00FF34E0">
      <w:rPr>
        <w:rStyle w:val="PageNumber"/>
      </w:rPr>
      <w:fldChar w:fldCharType="begin"/>
    </w:r>
    <w:r w:rsidRPr="00FF34E0">
      <w:rPr>
        <w:rStyle w:val="PageNumber"/>
      </w:rPr>
      <w:instrText xml:space="preserve"> PAGE </w:instrText>
    </w:r>
    <w:r w:rsidRPr="00FF34E0">
      <w:rPr>
        <w:rStyle w:val="PageNumber"/>
      </w:rPr>
      <w:fldChar w:fldCharType="separate"/>
    </w:r>
    <w:r w:rsidR="006A3044">
      <w:rPr>
        <w:rStyle w:val="PageNumber"/>
        <w:noProof/>
      </w:rPr>
      <w:t>1</w:t>
    </w:r>
    <w:r w:rsidRPr="00FF34E0">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2893" w14:textId="77777777" w:rsidR="00D10791" w:rsidRDefault="00D10791" w:rsidP="006D14A9">
    <w:pPr>
      <w:pStyle w:val="Footer"/>
      <w:tabs>
        <w:tab w:val="clear" w:pos="8640"/>
        <w:tab w:val="right" w:pos="9000"/>
      </w:tabs>
      <w:spacing w:line="240" w:lineRule="auto"/>
    </w:pPr>
    <w:r w:rsidRPr="00FF34E0">
      <w:t xml:space="preserve">Direct Testimony of </w:t>
    </w:r>
    <w:r>
      <w:t>Gregory N. Duvall</w:t>
    </w:r>
    <w:r>
      <w:tab/>
    </w:r>
    <w:r w:rsidR="005949A7">
      <w:tab/>
    </w:r>
    <w:r>
      <w:t>Exhibit No.___(GND-1CT)</w:t>
    </w:r>
  </w:p>
  <w:p w14:paraId="4E342894" w14:textId="77777777" w:rsidR="00D10791" w:rsidRPr="00FF34E0" w:rsidRDefault="00D10791" w:rsidP="006D14A9">
    <w:pPr>
      <w:pStyle w:val="Footer"/>
      <w:tabs>
        <w:tab w:val="clear" w:pos="8640"/>
        <w:tab w:val="right" w:pos="9000"/>
      </w:tabs>
      <w:spacing w:line="240" w:lineRule="auto"/>
    </w:pPr>
    <w:r>
      <w:tab/>
    </w:r>
    <w:r>
      <w:tab/>
      <w:t>P</w:t>
    </w:r>
    <w:r w:rsidRPr="00FF34E0">
      <w:t xml:space="preserve">age </w:t>
    </w:r>
    <w:r w:rsidRPr="00FF34E0">
      <w:rPr>
        <w:rStyle w:val="PageNumber"/>
      </w:rPr>
      <w:fldChar w:fldCharType="begin"/>
    </w:r>
    <w:r w:rsidRPr="00FF34E0">
      <w:rPr>
        <w:rStyle w:val="PageNumber"/>
      </w:rPr>
      <w:instrText xml:space="preserve"> PAGE </w:instrText>
    </w:r>
    <w:r w:rsidRPr="00FF34E0">
      <w:rPr>
        <w:rStyle w:val="PageNumber"/>
      </w:rPr>
      <w:fldChar w:fldCharType="separate"/>
    </w:r>
    <w:r w:rsidR="006A3044">
      <w:rPr>
        <w:rStyle w:val="PageNumber"/>
        <w:noProof/>
      </w:rPr>
      <w:t>46</w:t>
    </w:r>
    <w:r w:rsidRPr="00FF34E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C35AD" w14:textId="77777777" w:rsidR="00D33882" w:rsidRDefault="00D33882" w:rsidP="00477C5C">
      <w:pPr>
        <w:spacing w:line="240" w:lineRule="auto"/>
      </w:pPr>
      <w:r>
        <w:separator/>
      </w:r>
    </w:p>
  </w:footnote>
  <w:footnote w:type="continuationSeparator" w:id="0">
    <w:p w14:paraId="5A32497C" w14:textId="77777777" w:rsidR="00D33882" w:rsidRDefault="00D33882" w:rsidP="00477C5C">
      <w:pPr>
        <w:spacing w:line="240" w:lineRule="auto"/>
      </w:pPr>
      <w:r>
        <w:continuationSeparator/>
      </w:r>
    </w:p>
  </w:footnote>
  <w:footnote w:type="continuationNotice" w:id="1">
    <w:p w14:paraId="09D22BAE" w14:textId="77777777" w:rsidR="00D33882" w:rsidRDefault="00D33882">
      <w:pPr>
        <w:spacing w:line="240" w:lineRule="auto"/>
      </w:pPr>
    </w:p>
  </w:footnote>
  <w:footnote w:id="2">
    <w:p w14:paraId="4E342895" w14:textId="77777777" w:rsidR="006D14A9" w:rsidRPr="00301CF0" w:rsidRDefault="006D14A9" w:rsidP="00D407AF">
      <w:pPr>
        <w:pStyle w:val="FootnoteText"/>
        <w:jc w:val="left"/>
      </w:pPr>
      <w:r w:rsidRPr="005D3AF3">
        <w:rPr>
          <w:rStyle w:val="FootnoteReference"/>
        </w:rPr>
        <w:footnoteRef/>
      </w:r>
      <w:r w:rsidRPr="005D3AF3">
        <w:t xml:space="preserve"> </w:t>
      </w:r>
      <w:r w:rsidRPr="002E757C">
        <w:t>M</w:t>
      </w:r>
      <w:r>
        <w:t>s. Siores’s</w:t>
      </w:r>
      <w:r w:rsidRPr="00301CF0">
        <w:t xml:space="preserve"> testimony also addresses the Company’s application of the production factor in the calculation of pro forma NPC.</w:t>
      </w:r>
    </w:p>
  </w:footnote>
  <w:footnote w:id="3">
    <w:p w14:paraId="4E342896" w14:textId="77777777" w:rsidR="006D14A9" w:rsidRDefault="006D14A9" w:rsidP="006D14A9">
      <w:pPr>
        <w:pStyle w:val="FootnoteText"/>
        <w:jc w:val="left"/>
        <w:rPr>
          <w:i/>
        </w:rPr>
      </w:pPr>
      <w:r>
        <w:rPr>
          <w:rStyle w:val="FootnoteReference"/>
        </w:rPr>
        <w:footnoteRef/>
      </w:r>
      <w:r>
        <w:t xml:space="preserve"> </w:t>
      </w:r>
      <w:r>
        <w:fldChar w:fldCharType="begin"/>
      </w:r>
      <w:r>
        <w:instrText xml:space="preserve"> ADDIN BA \xc &lt;@st&gt; \xl 24 \s KBKQKB000054 \l "</w:instrText>
      </w:r>
      <w:r>
        <w:rPr>
          <w:sz w:val="24"/>
        </w:rPr>
        <w:instrText>16 U.S.C. § 824a-3(m)(7)</w:instrText>
      </w:r>
      <w:r>
        <w:instrText xml:space="preserve">" </w:instrText>
      </w:r>
      <w:r>
        <w:fldChar w:fldCharType="end"/>
      </w:r>
      <w:r>
        <w:t xml:space="preserve">16 U.S.C. § 824a-3(m)(7)(A); </w:t>
      </w:r>
      <w:r>
        <w:rPr>
          <w:i/>
        </w:rPr>
        <w:t xml:space="preserve">see also </w:t>
      </w:r>
      <w:r>
        <w:fldChar w:fldCharType="begin"/>
      </w:r>
      <w:r>
        <w:instrText xml:space="preserve"> ADDIN BA \xc &lt;@cs&gt; \xl 137 \s KBKQKB000055 \xhfl Rep \l "</w:instrText>
      </w:r>
      <w:r>
        <w:rPr>
          <w:i/>
          <w:sz w:val="24"/>
        </w:rPr>
        <w:instrText>Freehold Cogeneration Associates, L.P. v. Board of Regulatory Commissioners of the State of New Jersey</w:instrText>
      </w:r>
      <w:r>
        <w:rPr>
          <w:sz w:val="24"/>
        </w:rPr>
        <w:instrText>,&lt;SoftRt&gt; 44 F.3d 1178 (3d Cir. 1995)</w:instrText>
      </w:r>
      <w:r>
        <w:instrText xml:space="preserve">" </w:instrText>
      </w:r>
      <w:r>
        <w:fldChar w:fldCharType="end"/>
      </w:r>
      <w:r>
        <w:rPr>
          <w:i/>
        </w:rPr>
        <w:t>Freehold Cogeneration Assocs., L.P. v. Bd. of Regulatory Comm’rs of the State of N.J.</w:t>
      </w:r>
      <w:r>
        <w:t xml:space="preserve">, 44 F.3d 1178, 1194 (3d Cir. 1995) (“[A]ny action or order by the [state commission] to reconsider its approval or to deny the passage of those rates to [the utility’s] consumers under </w:t>
      </w:r>
      <w:r w:rsidRPr="00C009AE">
        <w:rPr>
          <w:rFonts w:cs="Arial"/>
        </w:rPr>
        <w:t>purported</w:t>
      </w:r>
      <w:r>
        <w:t xml:space="preserve"> state authority was preempted by federal law.”).</w:t>
      </w:r>
    </w:p>
  </w:footnote>
  <w:footnote w:id="4">
    <w:p w14:paraId="4E342897" w14:textId="77777777" w:rsidR="006D14A9" w:rsidRPr="006B2789" w:rsidRDefault="006D14A9" w:rsidP="00615E4A">
      <w:pPr>
        <w:pStyle w:val="FootnoteText"/>
      </w:pPr>
      <w:r>
        <w:rPr>
          <w:rStyle w:val="FootnoteReference"/>
        </w:rPr>
        <w:footnoteRef/>
      </w:r>
      <w:r>
        <w:t xml:space="preserve"> </w:t>
      </w:r>
      <w:r w:rsidRPr="0005681E">
        <w:rPr>
          <w:i/>
        </w:rPr>
        <w:t xml:space="preserve">Wash. Utils. </w:t>
      </w:r>
      <w:r>
        <w:rPr>
          <w:i/>
        </w:rPr>
        <w:t>&amp;</w:t>
      </w:r>
      <w:r w:rsidRPr="0005681E">
        <w:rPr>
          <w:i/>
        </w:rPr>
        <w:t xml:space="preserve"> Transp. Comm’n v. </w:t>
      </w:r>
      <w:r>
        <w:rPr>
          <w:i/>
        </w:rPr>
        <w:t xml:space="preserve">PacifiCorp d/b/a </w:t>
      </w:r>
      <w:r w:rsidRPr="0005681E">
        <w:rPr>
          <w:i/>
        </w:rPr>
        <w:t>Pacific Power &amp; Light Co.</w:t>
      </w:r>
      <w:r w:rsidR="00073C5D">
        <w:t>, Docket</w:t>
      </w:r>
      <w:r>
        <w:t xml:space="preserve"> UE-130043, Order 05, ¶ 110 (Dec.</w:t>
      </w:r>
      <w:r w:rsidR="00557406">
        <w:t xml:space="preserve"> 4, 2013)</w:t>
      </w:r>
      <w:r>
        <w:t>.</w:t>
      </w:r>
    </w:p>
  </w:footnote>
  <w:footnote w:id="5">
    <w:p w14:paraId="4E342898" w14:textId="77777777" w:rsidR="006D14A9" w:rsidRDefault="006D14A9" w:rsidP="00615E4A">
      <w:pPr>
        <w:pStyle w:val="FootnoteText"/>
      </w:pPr>
      <w:r>
        <w:rPr>
          <w:rStyle w:val="FootnoteReference"/>
        </w:rPr>
        <w:footnoteRef/>
      </w:r>
      <w:r>
        <w:t xml:space="preserve"> </w:t>
      </w:r>
      <w:r w:rsidR="00557406">
        <w:t>Order 05</w:t>
      </w:r>
      <w:r>
        <w:t xml:space="preserve"> ¶ 110 (quoting </w:t>
      </w:r>
      <w:r w:rsidRPr="0005681E">
        <w:rPr>
          <w:i/>
        </w:rPr>
        <w:t xml:space="preserve">Wash. Utils. </w:t>
      </w:r>
      <w:r>
        <w:rPr>
          <w:i/>
        </w:rPr>
        <w:t>&amp;</w:t>
      </w:r>
      <w:r w:rsidRPr="0005681E">
        <w:rPr>
          <w:i/>
        </w:rPr>
        <w:t xml:space="preserve"> Transp. Comm’n v. Pacific Power &amp; Light Co.</w:t>
      </w:r>
      <w:r w:rsidR="00073C5D">
        <w:t xml:space="preserve">, Docket </w:t>
      </w:r>
      <w:r>
        <w:t>UE-061546, Order 08, ¶ 53 (June 21, 2007).</w:t>
      </w:r>
    </w:p>
  </w:footnote>
  <w:footnote w:id="6">
    <w:p w14:paraId="4E342899" w14:textId="77777777" w:rsidR="006D14A9" w:rsidRDefault="006D14A9">
      <w:pPr>
        <w:pStyle w:val="FootnoteText"/>
      </w:pPr>
      <w:r>
        <w:rPr>
          <w:rStyle w:val="FootnoteReference"/>
        </w:rPr>
        <w:footnoteRef/>
      </w:r>
      <w:r>
        <w:t xml:space="preserve"> </w:t>
      </w:r>
      <w:r w:rsidRPr="00F550BF">
        <w:t>WAC 480-107-075(3).</w:t>
      </w:r>
    </w:p>
  </w:footnote>
  <w:footnote w:id="7">
    <w:p w14:paraId="4E34289A" w14:textId="77777777" w:rsidR="006D14A9" w:rsidRDefault="006D14A9" w:rsidP="00B81BD6">
      <w:pPr>
        <w:pStyle w:val="FootnoteText"/>
        <w:jc w:val="left"/>
      </w:pPr>
      <w:r>
        <w:rPr>
          <w:rStyle w:val="FootnoteReference"/>
        </w:rPr>
        <w:footnoteRef/>
      </w:r>
      <w:r>
        <w:t xml:space="preserve"> In this case, the Company calculated temperature normalization for the residential, commercial, and irrigation customers consistently with the methodology approved by the Commission in the Company’s 2005 general rate case, Docket UE-0</w:t>
      </w:r>
      <w:r w:rsidR="00073C5D">
        <w:t>50684, 2006 general rate case, D</w:t>
      </w:r>
      <w:r>
        <w:t>ocket UE-090205, and the Company’s 2013 Rate Case, Docket UE-130043.</w:t>
      </w:r>
    </w:p>
  </w:footnote>
  <w:footnote w:id="8">
    <w:p w14:paraId="4E34289B" w14:textId="77777777" w:rsidR="006D14A9" w:rsidRDefault="006D14A9" w:rsidP="00796934">
      <w:pPr>
        <w:pStyle w:val="FootnoteText"/>
        <w:jc w:val="left"/>
      </w:pPr>
      <w:r>
        <w:rPr>
          <w:rStyle w:val="FootnoteReference"/>
        </w:rPr>
        <w:footnoteRef/>
      </w:r>
      <w:r>
        <w:t xml:space="preserve"> The Company’s refinement here is not the same as its proposal in the 2013 Rate Case.  In the 2013 Rate Case, the Company proposed to model wind generation based on the 48-month average historical generation, rather than the P50 forecast.  In response to parties’ concerns, the Company agreed to continue to use the P50 forecast to determine wind generation levels.  The refinements in this case continue to use the P50 forecast, consistent with parties’ recommendations in the 2013 Rate Case.</w:t>
      </w:r>
    </w:p>
  </w:footnote>
  <w:footnote w:id="9">
    <w:p w14:paraId="4E34289C" w14:textId="77777777" w:rsidR="006D14A9" w:rsidRDefault="006D14A9" w:rsidP="00243E42">
      <w:pPr>
        <w:pStyle w:val="FootnoteText"/>
      </w:pPr>
      <w:r>
        <w:rPr>
          <w:rStyle w:val="FootnoteReference"/>
        </w:rPr>
        <w:footnoteRef/>
      </w:r>
      <w:r w:rsidRPr="002D4489">
        <w:t>Y. H. Wan</w:t>
      </w:r>
      <w:r>
        <w:t>,</w:t>
      </w:r>
      <w:r w:rsidRPr="002D4489">
        <w:t xml:space="preserve"> </w:t>
      </w:r>
      <w:r w:rsidRPr="00EB1853">
        <w:rPr>
          <w:i/>
        </w:rPr>
        <w:t>Long-Term Wind Power Variability</w:t>
      </w:r>
      <w:r w:rsidRPr="002D4489">
        <w:t>. Technical Report, NREL/TP-5500-53637</w:t>
      </w:r>
      <w:r>
        <w:t xml:space="preserve"> (Jan. 2012)</w:t>
      </w:r>
      <w:r w:rsidRPr="002D4489">
        <w:t xml:space="preserve">. Retrieved online at </w:t>
      </w:r>
      <w:hyperlink r:id="rId1" w:history="1">
        <w:r w:rsidRPr="001A235F">
          <w:rPr>
            <w:rStyle w:val="Hyperlink"/>
          </w:rPr>
          <w:t>http://www.nrel.gov/docs/fy12osti/53637.pdf</w:t>
        </w:r>
      </w:hyperlink>
      <w:r>
        <w:t xml:space="preserve">. </w:t>
      </w:r>
    </w:p>
  </w:footnote>
  <w:footnote w:id="10">
    <w:p w14:paraId="4E34289D" w14:textId="77777777" w:rsidR="006D14A9" w:rsidRDefault="006D14A9" w:rsidP="00243E42">
      <w:pPr>
        <w:pStyle w:val="FootnoteText"/>
      </w:pPr>
      <w:r>
        <w:rPr>
          <w:rStyle w:val="FootnoteReference"/>
        </w:rPr>
        <w:footnoteRef/>
      </w:r>
      <w:r w:rsidRPr="00677A8F">
        <w:rPr>
          <w:i/>
        </w:rPr>
        <w:t>Id</w:t>
      </w:r>
      <w:r>
        <w:rPr>
          <w:i/>
        </w:rPr>
        <w:t xml:space="preserve">. </w:t>
      </w:r>
      <w:r>
        <w:t>at 12</w:t>
      </w:r>
      <w:r w:rsidRPr="00677A8F">
        <w:rPr>
          <w:i/>
        </w:rPr>
        <w:t>.</w:t>
      </w:r>
    </w:p>
  </w:footnote>
  <w:footnote w:id="11">
    <w:p w14:paraId="4E34289E" w14:textId="77777777" w:rsidR="006D14A9" w:rsidRDefault="006D14A9">
      <w:pPr>
        <w:pStyle w:val="FootnoteText"/>
      </w:pPr>
      <w:r>
        <w:rPr>
          <w:rStyle w:val="FootnoteReference"/>
        </w:rPr>
        <w:footnoteRef/>
      </w:r>
      <w:r>
        <w:t xml:space="preserve"> </w:t>
      </w:r>
      <w:r w:rsidR="00557406">
        <w:t>Order 05</w:t>
      </w:r>
      <w:r>
        <w:t xml:space="preserve"> </w:t>
      </w:r>
      <w:r w:rsidRPr="00C10632">
        <w:t>¶</w:t>
      </w:r>
      <w:r>
        <w:t xml:space="preserve"> 154.</w:t>
      </w:r>
    </w:p>
  </w:footnote>
  <w:footnote w:id="12">
    <w:p w14:paraId="4E34289F" w14:textId="77777777" w:rsidR="006D14A9" w:rsidRDefault="006D14A9">
      <w:pPr>
        <w:pStyle w:val="FootnoteText"/>
      </w:pPr>
      <w:r>
        <w:rPr>
          <w:rStyle w:val="FootnoteReference"/>
        </w:rPr>
        <w:footnoteRef/>
      </w:r>
      <w:r>
        <w:t xml:space="preserve"> </w:t>
      </w:r>
      <w:r w:rsidRPr="00E8232B">
        <w:rPr>
          <w:i/>
        </w:rPr>
        <w:t>Id</w:t>
      </w:r>
      <w:r>
        <w:rPr>
          <w:i/>
        </w:rPr>
        <w:t>.</w:t>
      </w:r>
      <w:r w:rsidRPr="00E8232B">
        <w:t xml:space="preserve"> </w:t>
      </w:r>
      <w:r w:rsidRPr="00C10632">
        <w:t>¶</w:t>
      </w:r>
      <w:r>
        <w:t xml:space="preserve"> 155.</w:t>
      </w:r>
    </w:p>
  </w:footnote>
  <w:footnote w:id="13">
    <w:p w14:paraId="4E3428A0" w14:textId="77777777" w:rsidR="006D14A9" w:rsidRPr="002F20E4" w:rsidRDefault="006D14A9" w:rsidP="006D14A9">
      <w:pPr>
        <w:pStyle w:val="FootnoteText"/>
        <w:jc w:val="left"/>
      </w:pPr>
      <w:r>
        <w:rPr>
          <w:rStyle w:val="FootnoteReference"/>
        </w:rPr>
        <w:footnoteRef/>
      </w:r>
      <w:r>
        <w:t xml:space="preserve"> </w:t>
      </w:r>
      <w:r>
        <w:rPr>
          <w:i/>
        </w:rPr>
        <w:t>In the Matter of PacifiCorp d/b/a Pacific Power 2013 Transition Adjustment Mechanism</w:t>
      </w:r>
      <w:r>
        <w:t>, Docket No. UE 245, Order No. 12-409 at 5-8 (Oct. 29, 2012).</w:t>
      </w:r>
    </w:p>
  </w:footnote>
  <w:footnote w:id="14">
    <w:p w14:paraId="4E3428A1" w14:textId="77777777" w:rsidR="006D14A9" w:rsidRDefault="006D14A9">
      <w:pPr>
        <w:pStyle w:val="FootnoteText"/>
      </w:pPr>
      <w:r>
        <w:rPr>
          <w:rStyle w:val="FootnoteReference"/>
        </w:rPr>
        <w:footnoteRef/>
      </w:r>
      <w:r>
        <w:t xml:space="preserve"> </w:t>
      </w:r>
      <w:r w:rsidR="00557406">
        <w:t>Order 05</w:t>
      </w:r>
      <w:r>
        <w:t xml:space="preserve"> ¶ 156.</w:t>
      </w:r>
    </w:p>
  </w:footnote>
  <w:footnote w:id="15">
    <w:p w14:paraId="4E3428A2" w14:textId="77777777" w:rsidR="006D14A9" w:rsidRDefault="006D14A9">
      <w:pPr>
        <w:pStyle w:val="FootnoteText"/>
      </w:pPr>
      <w:r>
        <w:rPr>
          <w:rStyle w:val="FootnoteReference"/>
        </w:rPr>
        <w:footnoteRef/>
      </w:r>
      <w:r>
        <w:t xml:space="preserve"> </w:t>
      </w:r>
      <w:r>
        <w:rPr>
          <w:i/>
        </w:rPr>
        <w:t>Id.</w:t>
      </w:r>
      <w:r>
        <w:t xml:space="preserve"> ¶ 156.</w:t>
      </w:r>
    </w:p>
  </w:footnote>
  <w:footnote w:id="16">
    <w:p w14:paraId="4E3428A3" w14:textId="77777777" w:rsidR="006D14A9" w:rsidRPr="000D1C43" w:rsidRDefault="006D14A9">
      <w:pPr>
        <w:pStyle w:val="FootnoteText"/>
      </w:pPr>
      <w:r>
        <w:rPr>
          <w:rStyle w:val="FootnoteReference"/>
        </w:rPr>
        <w:footnoteRef/>
      </w:r>
      <w:r>
        <w:t xml:space="preserve"> </w:t>
      </w:r>
      <w:r w:rsidRPr="00E658F5">
        <w:rPr>
          <w:i/>
        </w:rPr>
        <w:t>W</w:t>
      </w:r>
      <w:r>
        <w:rPr>
          <w:i/>
        </w:rPr>
        <w:t>ash. Utils. &amp; Transp. Comm’n</w:t>
      </w:r>
      <w:r w:rsidR="00557406">
        <w:rPr>
          <w:i/>
        </w:rPr>
        <w:t xml:space="preserve"> v. PacifiCorp d/b/a Pacific Power &amp; Light Co., </w:t>
      </w:r>
      <w:r w:rsidR="00E02ABF">
        <w:t xml:space="preserve">Docket </w:t>
      </w:r>
      <w:r>
        <w:t>UE-111190, Order 07, ¶ 20 (Mar. 30, 2012) (footnotes omitted).</w:t>
      </w:r>
    </w:p>
  </w:footnote>
  <w:footnote w:id="17">
    <w:p w14:paraId="4E3428A4" w14:textId="77777777" w:rsidR="006D14A9" w:rsidRPr="007C0745" w:rsidRDefault="006D14A9" w:rsidP="00C44630">
      <w:pPr>
        <w:spacing w:line="240" w:lineRule="auto"/>
        <w:rPr>
          <w:i/>
          <w:sz w:val="20"/>
          <w:szCs w:val="20"/>
        </w:rPr>
      </w:pPr>
      <w:r w:rsidRPr="00301CF0">
        <w:rPr>
          <w:rStyle w:val="FootnoteReference"/>
          <w:sz w:val="20"/>
          <w:szCs w:val="20"/>
        </w:rPr>
        <w:footnoteRef/>
      </w:r>
      <w:r w:rsidRPr="00301CF0">
        <w:rPr>
          <w:sz w:val="20"/>
          <w:szCs w:val="20"/>
        </w:rPr>
        <w:t xml:space="preserve"> The EIA is codified</w:t>
      </w:r>
      <w:r>
        <w:rPr>
          <w:sz w:val="20"/>
          <w:szCs w:val="20"/>
        </w:rPr>
        <w:t xml:space="preserve"> at RCW 19.285.</w:t>
      </w:r>
    </w:p>
  </w:footnote>
  <w:footnote w:id="18">
    <w:p w14:paraId="4E3428A5" w14:textId="77777777" w:rsidR="006D14A9" w:rsidRPr="00C10632" w:rsidRDefault="006D14A9">
      <w:pPr>
        <w:pStyle w:val="FootnoteText"/>
      </w:pPr>
      <w:r w:rsidRPr="00C10632">
        <w:rPr>
          <w:rStyle w:val="FootnoteReference"/>
        </w:rPr>
        <w:footnoteRef/>
      </w:r>
      <w:r w:rsidRPr="00C10632">
        <w:rPr>
          <w:rStyle w:val="FootnoteReference"/>
        </w:rPr>
        <w:t xml:space="preserve"> </w:t>
      </w:r>
      <w:r w:rsidRPr="00C10632">
        <w:rPr>
          <w:i/>
          <w:iCs/>
        </w:rPr>
        <w:t>Wash. Utils. &amp; Transp. Comm</w:t>
      </w:r>
      <w:r>
        <w:rPr>
          <w:i/>
          <w:iCs/>
        </w:rPr>
        <w:t>’</w:t>
      </w:r>
      <w:r w:rsidRPr="00C10632">
        <w:rPr>
          <w:i/>
          <w:iCs/>
        </w:rPr>
        <w:t>n v. PacifiCorp</w:t>
      </w:r>
      <w:r w:rsidR="00794CD0">
        <w:rPr>
          <w:i/>
          <w:iCs/>
        </w:rPr>
        <w:t xml:space="preserve"> d/b/a Pacific Power &amp; Light Co.</w:t>
      </w:r>
      <w:r w:rsidRPr="00C10632">
        <w:t xml:space="preserve">, </w:t>
      </w:r>
      <w:r w:rsidR="00E02ABF">
        <w:t xml:space="preserve">Docket </w:t>
      </w:r>
      <w:r w:rsidRPr="00C10632">
        <w:t>UE-08</w:t>
      </w:r>
      <w:r>
        <w:t>0220, Order 05, ¶ 26</w:t>
      </w:r>
      <w:r w:rsidRPr="002F20E4">
        <w:t xml:space="preserve"> </w:t>
      </w:r>
      <w:r>
        <w:t>(Oct. 8, 2008).</w:t>
      </w:r>
    </w:p>
  </w:footnote>
  <w:footnote w:id="19">
    <w:p w14:paraId="4E3428A6" w14:textId="77777777" w:rsidR="006D14A9" w:rsidRPr="00C10632" w:rsidRDefault="006D14A9" w:rsidP="00275BA9">
      <w:pPr>
        <w:pStyle w:val="FootnoteText"/>
      </w:pPr>
      <w:r w:rsidRPr="00C10632">
        <w:rPr>
          <w:rStyle w:val="FootnoteReference"/>
        </w:rPr>
        <w:footnoteRef/>
      </w:r>
      <w:r w:rsidRPr="00C10632">
        <w:t xml:space="preserve"> </w:t>
      </w:r>
      <w:r w:rsidRPr="00C10632">
        <w:rPr>
          <w:i/>
          <w:iCs/>
        </w:rPr>
        <w:t>Wash. Utils. &amp; Transp. Comm'n v. PacifiCorp</w:t>
      </w:r>
      <w:r w:rsidR="00794CD0">
        <w:rPr>
          <w:i/>
          <w:iCs/>
        </w:rPr>
        <w:t xml:space="preserve"> d/b/a Pacific Power &amp; Light Co.</w:t>
      </w:r>
      <w:r>
        <w:t xml:space="preserve">, </w:t>
      </w:r>
      <w:r w:rsidRPr="002F20E4">
        <w:t>Docket UE-050684, Order 04</w:t>
      </w:r>
      <w:r>
        <w:t>, ¶ 91</w:t>
      </w:r>
      <w:r w:rsidRPr="002F20E4">
        <w:t xml:space="preserve"> (Apr. 17, 2006</w:t>
      </w:r>
      <w:r>
        <w:t>).</w:t>
      </w:r>
    </w:p>
  </w:footnote>
  <w:footnote w:id="20">
    <w:p w14:paraId="4E3428A7" w14:textId="77777777" w:rsidR="006D14A9" w:rsidRDefault="006D14A9">
      <w:pPr>
        <w:pStyle w:val="FootnoteText"/>
      </w:pPr>
      <w:r>
        <w:rPr>
          <w:rStyle w:val="FootnoteReference"/>
        </w:rPr>
        <w:footnoteRef/>
      </w:r>
      <w:r>
        <w:t xml:space="preserve"> D</w:t>
      </w:r>
      <w:r w:rsidR="00794CD0">
        <w:t>ocket UE-130043, Exhibit No.___</w:t>
      </w:r>
      <w:r>
        <w:t>(GND-1CT) at 36:21-22.</w:t>
      </w:r>
    </w:p>
  </w:footnote>
  <w:footnote w:id="21">
    <w:p w14:paraId="4E3428A8" w14:textId="77777777" w:rsidR="006D14A9" w:rsidRDefault="006D14A9">
      <w:pPr>
        <w:pStyle w:val="FootnoteText"/>
      </w:pPr>
      <w:r>
        <w:rPr>
          <w:rStyle w:val="FootnoteReference"/>
        </w:rPr>
        <w:footnoteRef/>
      </w:r>
      <w:r>
        <w:t xml:space="preserve"> The 74 MW of wind PPAs is comprised of ten QF PPAs located in Oregon.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288C" w14:textId="60F44FED" w:rsidR="005949A7" w:rsidRPr="006A3044" w:rsidRDefault="006A3044" w:rsidP="006A3044">
    <w:pPr>
      <w:pStyle w:val="Header"/>
      <w:spacing w:line="240" w:lineRule="auto"/>
      <w:jc w:val="right"/>
      <w:rPr>
        <w:b w:val="0"/>
        <w:sz w:val="20"/>
        <w:szCs w:val="20"/>
      </w:rPr>
    </w:pPr>
    <w:r w:rsidRPr="006A3044">
      <w:rPr>
        <w:b w:val="0"/>
        <w:sz w:val="20"/>
        <w:szCs w:val="20"/>
      </w:rPr>
      <w:t>Exhibit No. CAC-___CXC</w:t>
    </w:r>
  </w:p>
  <w:p w14:paraId="2C47FE52" w14:textId="3246CB1F" w:rsidR="006A3044" w:rsidRPr="006A3044" w:rsidRDefault="006A3044" w:rsidP="006A3044">
    <w:pPr>
      <w:pStyle w:val="Header"/>
      <w:spacing w:line="240" w:lineRule="auto"/>
      <w:jc w:val="right"/>
      <w:rPr>
        <w:b w:val="0"/>
        <w:sz w:val="20"/>
        <w:szCs w:val="20"/>
      </w:rPr>
    </w:pPr>
    <w:r w:rsidRPr="006A3044">
      <w:rPr>
        <w:b w:val="0"/>
        <w:sz w:val="20"/>
        <w:szCs w:val="20"/>
      </w:rPr>
      <w:t>Docket UE-152253</w:t>
    </w:r>
  </w:p>
  <w:p w14:paraId="72C95ECD" w14:textId="4DD14B0C" w:rsidR="006A3044" w:rsidRPr="006A3044" w:rsidRDefault="006A3044" w:rsidP="006A3044">
    <w:pPr>
      <w:pStyle w:val="Header"/>
      <w:spacing w:line="240" w:lineRule="auto"/>
      <w:jc w:val="right"/>
      <w:rPr>
        <w:b w:val="0"/>
        <w:sz w:val="20"/>
        <w:szCs w:val="20"/>
      </w:rPr>
    </w:pPr>
    <w:r w:rsidRPr="006A3044">
      <w:rPr>
        <w:b w:val="0"/>
        <w:sz w:val="20"/>
        <w:szCs w:val="20"/>
      </w:rPr>
      <w:t xml:space="preserve">Page </w:t>
    </w:r>
    <w:r w:rsidRPr="006A3044">
      <w:rPr>
        <w:b w:val="0"/>
        <w:sz w:val="20"/>
        <w:szCs w:val="20"/>
      </w:rPr>
      <w:fldChar w:fldCharType="begin"/>
    </w:r>
    <w:r w:rsidRPr="006A3044">
      <w:rPr>
        <w:b w:val="0"/>
        <w:sz w:val="20"/>
        <w:szCs w:val="20"/>
      </w:rPr>
      <w:instrText xml:space="preserve"> PAGE   \* MERGEFORMAT </w:instrText>
    </w:r>
    <w:r w:rsidRPr="006A3044">
      <w:rPr>
        <w:b w:val="0"/>
        <w:sz w:val="20"/>
        <w:szCs w:val="20"/>
      </w:rPr>
      <w:fldChar w:fldCharType="separate"/>
    </w:r>
    <w:r>
      <w:rPr>
        <w:b w:val="0"/>
        <w:noProof/>
        <w:sz w:val="20"/>
        <w:szCs w:val="20"/>
      </w:rPr>
      <w:t>1</w:t>
    </w:r>
    <w:r w:rsidRPr="006A3044">
      <w:rPr>
        <w:b w:val="0"/>
        <w:noProof/>
        <w:sz w:val="20"/>
        <w:szCs w:val="20"/>
      </w:rPr>
      <w:fldChar w:fldCharType="end"/>
    </w:r>
  </w:p>
  <w:p w14:paraId="4D02987E" w14:textId="4BBD0E96" w:rsidR="006A3044" w:rsidRPr="006A3044" w:rsidRDefault="006A3044" w:rsidP="006A3044">
    <w:pPr>
      <w:pStyle w:val="Header"/>
      <w:spacing w:line="240" w:lineRule="auto"/>
      <w:jc w:val="right"/>
      <w:rPr>
        <w:b w:val="0"/>
        <w:sz w:val="20"/>
        <w:szCs w:val="20"/>
      </w:rPr>
    </w:pPr>
    <w:r w:rsidRPr="006A3044">
      <w:rPr>
        <w:b w:val="0"/>
        <w:sz w:val="20"/>
        <w:szCs w:val="20"/>
      </w:rPr>
      <w:t>REDACTED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0130"/>
    <w:multiLevelType w:val="singleLevel"/>
    <w:tmpl w:val="75DCEAD2"/>
    <w:lvl w:ilvl="0">
      <w:start w:val="17"/>
      <w:numFmt w:val="upperLetter"/>
      <w:lvlText w:val="%1."/>
      <w:lvlJc w:val="left"/>
      <w:pPr>
        <w:tabs>
          <w:tab w:val="num" w:pos="720"/>
        </w:tabs>
        <w:ind w:left="720" w:hanging="720"/>
      </w:pPr>
      <w:rPr>
        <w:rFonts w:hint="default"/>
      </w:rPr>
    </w:lvl>
  </w:abstractNum>
  <w:abstractNum w:abstractNumId="1">
    <w:nsid w:val="051773C1"/>
    <w:multiLevelType w:val="hybridMultilevel"/>
    <w:tmpl w:val="DAD6C3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E50152"/>
    <w:multiLevelType w:val="hybridMultilevel"/>
    <w:tmpl w:val="6188F3F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566B51"/>
    <w:multiLevelType w:val="hybridMultilevel"/>
    <w:tmpl w:val="C4D4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35EBC"/>
    <w:multiLevelType w:val="singleLevel"/>
    <w:tmpl w:val="4A4CA5D4"/>
    <w:lvl w:ilvl="0">
      <w:start w:val="1"/>
      <w:numFmt w:val="upperLetter"/>
      <w:lvlText w:val="%1."/>
      <w:lvlJc w:val="left"/>
      <w:pPr>
        <w:tabs>
          <w:tab w:val="num" w:pos="360"/>
        </w:tabs>
        <w:ind w:left="360" w:hanging="360"/>
      </w:pPr>
      <w:rPr>
        <w:rFonts w:hint="default"/>
      </w:rPr>
    </w:lvl>
  </w:abstractNum>
  <w:abstractNum w:abstractNumId="5">
    <w:nsid w:val="18FF2F4B"/>
    <w:multiLevelType w:val="hybridMultilevel"/>
    <w:tmpl w:val="0FF2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6241F"/>
    <w:multiLevelType w:val="hybridMultilevel"/>
    <w:tmpl w:val="DA4AE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E1658"/>
    <w:multiLevelType w:val="hybridMultilevel"/>
    <w:tmpl w:val="B0EC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959D0"/>
    <w:multiLevelType w:val="hybridMultilevel"/>
    <w:tmpl w:val="8F90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05361"/>
    <w:multiLevelType w:val="hybridMultilevel"/>
    <w:tmpl w:val="F5789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572CCF"/>
    <w:multiLevelType w:val="hybridMultilevel"/>
    <w:tmpl w:val="CDEA3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92DD3"/>
    <w:multiLevelType w:val="hybridMultilevel"/>
    <w:tmpl w:val="9CB2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C32A6"/>
    <w:multiLevelType w:val="hybridMultilevel"/>
    <w:tmpl w:val="348C25A2"/>
    <w:lvl w:ilvl="0" w:tplc="C068097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C33C3"/>
    <w:multiLevelType w:val="singleLevel"/>
    <w:tmpl w:val="5BFA0EE0"/>
    <w:lvl w:ilvl="0">
      <w:start w:val="1"/>
      <w:numFmt w:val="upperLetter"/>
      <w:lvlText w:val="%1."/>
      <w:lvlJc w:val="left"/>
      <w:pPr>
        <w:tabs>
          <w:tab w:val="num" w:pos="720"/>
        </w:tabs>
        <w:ind w:left="720" w:hanging="720"/>
      </w:pPr>
      <w:rPr>
        <w:rFonts w:hint="default"/>
        <w:b w:val="0"/>
      </w:rPr>
    </w:lvl>
  </w:abstractNum>
  <w:abstractNum w:abstractNumId="14">
    <w:nsid w:val="3FCB7E85"/>
    <w:multiLevelType w:val="hybridMultilevel"/>
    <w:tmpl w:val="16169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8A5BAD"/>
    <w:multiLevelType w:val="hybridMultilevel"/>
    <w:tmpl w:val="7B0852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91315D0"/>
    <w:multiLevelType w:val="hybridMultilevel"/>
    <w:tmpl w:val="F418F974"/>
    <w:lvl w:ilvl="0" w:tplc="998C240C">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CF17862"/>
    <w:multiLevelType w:val="hybridMultilevel"/>
    <w:tmpl w:val="E4703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182E9F"/>
    <w:multiLevelType w:val="hybridMultilevel"/>
    <w:tmpl w:val="9D9ACA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4FFC3977"/>
    <w:multiLevelType w:val="hybridMultilevel"/>
    <w:tmpl w:val="B052AE7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0">
    <w:nsid w:val="51155D2A"/>
    <w:multiLevelType w:val="hybridMultilevel"/>
    <w:tmpl w:val="C1F447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5A69E0"/>
    <w:multiLevelType w:val="hybridMultilevel"/>
    <w:tmpl w:val="1076CB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405D07"/>
    <w:multiLevelType w:val="singleLevel"/>
    <w:tmpl w:val="C6068C22"/>
    <w:lvl w:ilvl="0">
      <w:start w:val="17"/>
      <w:numFmt w:val="upperLetter"/>
      <w:lvlText w:val="%1."/>
      <w:lvlJc w:val="left"/>
      <w:pPr>
        <w:tabs>
          <w:tab w:val="num" w:pos="720"/>
        </w:tabs>
        <w:ind w:left="720" w:hanging="720"/>
      </w:pPr>
      <w:rPr>
        <w:rFonts w:hint="default"/>
        <w:b/>
      </w:rPr>
    </w:lvl>
  </w:abstractNum>
  <w:abstractNum w:abstractNumId="23">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60263C"/>
    <w:multiLevelType w:val="hybridMultilevel"/>
    <w:tmpl w:val="F172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440D19"/>
    <w:multiLevelType w:val="hybridMultilevel"/>
    <w:tmpl w:val="76EA8A1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6">
    <w:nsid w:val="679C06FC"/>
    <w:multiLevelType w:val="singleLevel"/>
    <w:tmpl w:val="41E2F158"/>
    <w:lvl w:ilvl="0">
      <w:start w:val="17"/>
      <w:numFmt w:val="upperLetter"/>
      <w:lvlText w:val="%1."/>
      <w:lvlJc w:val="left"/>
      <w:pPr>
        <w:tabs>
          <w:tab w:val="num" w:pos="720"/>
        </w:tabs>
        <w:ind w:left="720" w:hanging="720"/>
      </w:pPr>
      <w:rPr>
        <w:rFonts w:hint="default"/>
        <w:b/>
      </w:rPr>
    </w:lvl>
  </w:abstractNum>
  <w:abstractNum w:abstractNumId="27">
    <w:nsid w:val="71CD1425"/>
    <w:multiLevelType w:val="hybridMultilevel"/>
    <w:tmpl w:val="C8503238"/>
    <w:lvl w:ilvl="0" w:tplc="167C112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625DC0"/>
    <w:multiLevelType w:val="hybridMultilevel"/>
    <w:tmpl w:val="A86CC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506824"/>
    <w:multiLevelType w:val="hybridMultilevel"/>
    <w:tmpl w:val="106A0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AC1ED6"/>
    <w:multiLevelType w:val="hybridMultilevel"/>
    <w:tmpl w:val="7DB89008"/>
    <w:lvl w:ilvl="0" w:tplc="5C78F0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DEE7163"/>
    <w:multiLevelType w:val="hybridMultilevel"/>
    <w:tmpl w:val="595A6C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26"/>
  </w:num>
  <w:num w:numId="4">
    <w:abstractNumId w:val="13"/>
  </w:num>
  <w:num w:numId="5">
    <w:abstractNumId w:val="23"/>
  </w:num>
  <w:num w:numId="6">
    <w:abstractNumId w:val="4"/>
  </w:num>
  <w:num w:numId="7">
    <w:abstractNumId w:val="27"/>
  </w:num>
  <w:num w:numId="8">
    <w:abstractNumId w:val="25"/>
  </w:num>
  <w:num w:numId="9">
    <w:abstractNumId w:val="12"/>
  </w:num>
  <w:num w:numId="10">
    <w:abstractNumId w:val="1"/>
  </w:num>
  <w:num w:numId="11">
    <w:abstractNumId w:val="19"/>
  </w:num>
  <w:num w:numId="12">
    <w:abstractNumId w:val="24"/>
  </w:num>
  <w:num w:numId="13">
    <w:abstractNumId w:val="3"/>
  </w:num>
  <w:num w:numId="14">
    <w:abstractNumId w:val="31"/>
  </w:num>
  <w:num w:numId="15">
    <w:abstractNumId w:val="9"/>
  </w:num>
  <w:num w:numId="16">
    <w:abstractNumId w:val="29"/>
  </w:num>
  <w:num w:numId="17">
    <w:abstractNumId w:val="17"/>
  </w:num>
  <w:num w:numId="18">
    <w:abstractNumId w:val="10"/>
  </w:num>
  <w:num w:numId="19">
    <w:abstractNumId w:val="16"/>
  </w:num>
  <w:num w:numId="20">
    <w:abstractNumId w:val="20"/>
  </w:num>
  <w:num w:numId="21">
    <w:abstractNumId w:val="28"/>
  </w:num>
  <w:num w:numId="22">
    <w:abstractNumId w:val="21"/>
  </w:num>
  <w:num w:numId="23">
    <w:abstractNumId w:val="30"/>
  </w:num>
  <w:num w:numId="24">
    <w:abstractNumId w:val="8"/>
  </w:num>
  <w:num w:numId="25">
    <w:abstractNumId w:val="14"/>
  </w:num>
  <w:num w:numId="26">
    <w:abstractNumId w:val="6"/>
  </w:num>
  <w:num w:numId="27">
    <w:abstractNumId w:val="2"/>
  </w:num>
  <w:num w:numId="28">
    <w:abstractNumId w:val="5"/>
  </w:num>
  <w:num w:numId="29">
    <w:abstractNumId w:val="11"/>
  </w:num>
  <w:num w:numId="30">
    <w:abstractNumId w:val="15"/>
  </w:num>
  <w:num w:numId="31">
    <w:abstractNumId w:val="1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1E"/>
    <w:rsid w:val="00002F80"/>
    <w:rsid w:val="00003319"/>
    <w:rsid w:val="00003CFB"/>
    <w:rsid w:val="00004E92"/>
    <w:rsid w:val="000111E0"/>
    <w:rsid w:val="00012B7A"/>
    <w:rsid w:val="00013B1B"/>
    <w:rsid w:val="00014C87"/>
    <w:rsid w:val="00016ECA"/>
    <w:rsid w:val="000202EA"/>
    <w:rsid w:val="00022871"/>
    <w:rsid w:val="0002437D"/>
    <w:rsid w:val="00032AC1"/>
    <w:rsid w:val="0003370A"/>
    <w:rsid w:val="00034D6C"/>
    <w:rsid w:val="00036FE1"/>
    <w:rsid w:val="00037C78"/>
    <w:rsid w:val="00040341"/>
    <w:rsid w:val="00042DD9"/>
    <w:rsid w:val="0004329C"/>
    <w:rsid w:val="000438EB"/>
    <w:rsid w:val="00043D9A"/>
    <w:rsid w:val="00045983"/>
    <w:rsid w:val="00045B65"/>
    <w:rsid w:val="00051954"/>
    <w:rsid w:val="0005570F"/>
    <w:rsid w:val="0005681E"/>
    <w:rsid w:val="00057A43"/>
    <w:rsid w:val="00057B79"/>
    <w:rsid w:val="00064158"/>
    <w:rsid w:val="000679AA"/>
    <w:rsid w:val="0007132A"/>
    <w:rsid w:val="00071E09"/>
    <w:rsid w:val="000723A5"/>
    <w:rsid w:val="00072BA7"/>
    <w:rsid w:val="00073530"/>
    <w:rsid w:val="00073C5D"/>
    <w:rsid w:val="0007519E"/>
    <w:rsid w:val="00075723"/>
    <w:rsid w:val="000769E9"/>
    <w:rsid w:val="00077228"/>
    <w:rsid w:val="00077F15"/>
    <w:rsid w:val="0008087D"/>
    <w:rsid w:val="00086260"/>
    <w:rsid w:val="00092220"/>
    <w:rsid w:val="00092539"/>
    <w:rsid w:val="000931E2"/>
    <w:rsid w:val="00093427"/>
    <w:rsid w:val="00093842"/>
    <w:rsid w:val="00094544"/>
    <w:rsid w:val="00095712"/>
    <w:rsid w:val="000A0346"/>
    <w:rsid w:val="000A1539"/>
    <w:rsid w:val="000A2FC8"/>
    <w:rsid w:val="000A3144"/>
    <w:rsid w:val="000A4E46"/>
    <w:rsid w:val="000A66AA"/>
    <w:rsid w:val="000A7225"/>
    <w:rsid w:val="000B0129"/>
    <w:rsid w:val="000B17F4"/>
    <w:rsid w:val="000B515A"/>
    <w:rsid w:val="000B56DD"/>
    <w:rsid w:val="000C2BFC"/>
    <w:rsid w:val="000C32E8"/>
    <w:rsid w:val="000C465E"/>
    <w:rsid w:val="000C771E"/>
    <w:rsid w:val="000D072E"/>
    <w:rsid w:val="000D1C43"/>
    <w:rsid w:val="000D2F86"/>
    <w:rsid w:val="000D3B48"/>
    <w:rsid w:val="000D4690"/>
    <w:rsid w:val="000D4743"/>
    <w:rsid w:val="000E0B8C"/>
    <w:rsid w:val="000E0E40"/>
    <w:rsid w:val="000E2ED7"/>
    <w:rsid w:val="000E45FD"/>
    <w:rsid w:val="000E56F0"/>
    <w:rsid w:val="000F2747"/>
    <w:rsid w:val="000F5790"/>
    <w:rsid w:val="000F6ECC"/>
    <w:rsid w:val="000F6FEF"/>
    <w:rsid w:val="000F7E7F"/>
    <w:rsid w:val="000F7EE3"/>
    <w:rsid w:val="001000B4"/>
    <w:rsid w:val="001057D4"/>
    <w:rsid w:val="001065B8"/>
    <w:rsid w:val="001148DF"/>
    <w:rsid w:val="00114D3A"/>
    <w:rsid w:val="00117A08"/>
    <w:rsid w:val="0012133C"/>
    <w:rsid w:val="001240E9"/>
    <w:rsid w:val="0012562E"/>
    <w:rsid w:val="00126128"/>
    <w:rsid w:val="00126B86"/>
    <w:rsid w:val="00132607"/>
    <w:rsid w:val="00132BBC"/>
    <w:rsid w:val="00134395"/>
    <w:rsid w:val="001360C2"/>
    <w:rsid w:val="00143742"/>
    <w:rsid w:val="001438F0"/>
    <w:rsid w:val="0015043C"/>
    <w:rsid w:val="00150935"/>
    <w:rsid w:val="00151B77"/>
    <w:rsid w:val="00152353"/>
    <w:rsid w:val="00152C26"/>
    <w:rsid w:val="00152D21"/>
    <w:rsid w:val="00153D57"/>
    <w:rsid w:val="00154210"/>
    <w:rsid w:val="0015629E"/>
    <w:rsid w:val="00160FAA"/>
    <w:rsid w:val="00162D88"/>
    <w:rsid w:val="00163CDD"/>
    <w:rsid w:val="00164D61"/>
    <w:rsid w:val="00166C86"/>
    <w:rsid w:val="00167716"/>
    <w:rsid w:val="001737C1"/>
    <w:rsid w:val="001805A8"/>
    <w:rsid w:val="001816FE"/>
    <w:rsid w:val="001831F8"/>
    <w:rsid w:val="0018653E"/>
    <w:rsid w:val="0019050A"/>
    <w:rsid w:val="00194319"/>
    <w:rsid w:val="0019527B"/>
    <w:rsid w:val="00195E87"/>
    <w:rsid w:val="001A0A98"/>
    <w:rsid w:val="001A5CB7"/>
    <w:rsid w:val="001B1150"/>
    <w:rsid w:val="001B13D5"/>
    <w:rsid w:val="001B205C"/>
    <w:rsid w:val="001B378A"/>
    <w:rsid w:val="001B56A5"/>
    <w:rsid w:val="001B56CE"/>
    <w:rsid w:val="001B62AA"/>
    <w:rsid w:val="001B69F9"/>
    <w:rsid w:val="001B7E3F"/>
    <w:rsid w:val="001C3B87"/>
    <w:rsid w:val="001C3E1B"/>
    <w:rsid w:val="001C3E4D"/>
    <w:rsid w:val="001C404E"/>
    <w:rsid w:val="001C45BD"/>
    <w:rsid w:val="001C4772"/>
    <w:rsid w:val="001C55FF"/>
    <w:rsid w:val="001D0A38"/>
    <w:rsid w:val="001D438F"/>
    <w:rsid w:val="001D7555"/>
    <w:rsid w:val="001D7A32"/>
    <w:rsid w:val="001E2B72"/>
    <w:rsid w:val="001E6CCE"/>
    <w:rsid w:val="001E72B4"/>
    <w:rsid w:val="001E7459"/>
    <w:rsid w:val="001F3165"/>
    <w:rsid w:val="001F66F9"/>
    <w:rsid w:val="001F7716"/>
    <w:rsid w:val="00204B60"/>
    <w:rsid w:val="002100A4"/>
    <w:rsid w:val="0021679E"/>
    <w:rsid w:val="00223208"/>
    <w:rsid w:val="0022334D"/>
    <w:rsid w:val="002251A5"/>
    <w:rsid w:val="002271F0"/>
    <w:rsid w:val="00230494"/>
    <w:rsid w:val="00232229"/>
    <w:rsid w:val="002324FB"/>
    <w:rsid w:val="00232B03"/>
    <w:rsid w:val="00233495"/>
    <w:rsid w:val="00236636"/>
    <w:rsid w:val="00236EBF"/>
    <w:rsid w:val="00243E42"/>
    <w:rsid w:val="002443C0"/>
    <w:rsid w:val="00245233"/>
    <w:rsid w:val="002477AD"/>
    <w:rsid w:val="00250D8A"/>
    <w:rsid w:val="00250E3E"/>
    <w:rsid w:val="002532E4"/>
    <w:rsid w:val="002552FD"/>
    <w:rsid w:val="00255FF5"/>
    <w:rsid w:val="00260787"/>
    <w:rsid w:val="002616A6"/>
    <w:rsid w:val="002632CD"/>
    <w:rsid w:val="002657A8"/>
    <w:rsid w:val="00265B82"/>
    <w:rsid w:val="002673E6"/>
    <w:rsid w:val="002703EE"/>
    <w:rsid w:val="00275171"/>
    <w:rsid w:val="00275BA9"/>
    <w:rsid w:val="002769AC"/>
    <w:rsid w:val="00281268"/>
    <w:rsid w:val="0028284D"/>
    <w:rsid w:val="00282E21"/>
    <w:rsid w:val="0028344B"/>
    <w:rsid w:val="00284823"/>
    <w:rsid w:val="00285302"/>
    <w:rsid w:val="00291138"/>
    <w:rsid w:val="002933BD"/>
    <w:rsid w:val="00293B3C"/>
    <w:rsid w:val="00293D2E"/>
    <w:rsid w:val="00295AF7"/>
    <w:rsid w:val="00296DF4"/>
    <w:rsid w:val="00297856"/>
    <w:rsid w:val="002A26F3"/>
    <w:rsid w:val="002A5DAC"/>
    <w:rsid w:val="002B5298"/>
    <w:rsid w:val="002B52AC"/>
    <w:rsid w:val="002B629A"/>
    <w:rsid w:val="002B6B8B"/>
    <w:rsid w:val="002B74FF"/>
    <w:rsid w:val="002C0580"/>
    <w:rsid w:val="002C23C3"/>
    <w:rsid w:val="002C35FC"/>
    <w:rsid w:val="002C5FF3"/>
    <w:rsid w:val="002C731E"/>
    <w:rsid w:val="002D498A"/>
    <w:rsid w:val="002E0053"/>
    <w:rsid w:val="002E01C6"/>
    <w:rsid w:val="002E27BD"/>
    <w:rsid w:val="002E3D6E"/>
    <w:rsid w:val="002E541C"/>
    <w:rsid w:val="002E757C"/>
    <w:rsid w:val="002E7FB8"/>
    <w:rsid w:val="002F20E4"/>
    <w:rsid w:val="002F5485"/>
    <w:rsid w:val="002F721E"/>
    <w:rsid w:val="00300A26"/>
    <w:rsid w:val="00300BAE"/>
    <w:rsid w:val="00301CF0"/>
    <w:rsid w:val="00305FF7"/>
    <w:rsid w:val="00307D11"/>
    <w:rsid w:val="003104CD"/>
    <w:rsid w:val="00312D38"/>
    <w:rsid w:val="00312D57"/>
    <w:rsid w:val="0031367B"/>
    <w:rsid w:val="00317228"/>
    <w:rsid w:val="00323E85"/>
    <w:rsid w:val="003250F9"/>
    <w:rsid w:val="0032522C"/>
    <w:rsid w:val="00327DDC"/>
    <w:rsid w:val="00330DAF"/>
    <w:rsid w:val="003317E2"/>
    <w:rsid w:val="00334614"/>
    <w:rsid w:val="003349AE"/>
    <w:rsid w:val="00337197"/>
    <w:rsid w:val="003376BC"/>
    <w:rsid w:val="00341B75"/>
    <w:rsid w:val="00344B68"/>
    <w:rsid w:val="00347042"/>
    <w:rsid w:val="00347405"/>
    <w:rsid w:val="00347BC2"/>
    <w:rsid w:val="0035264F"/>
    <w:rsid w:val="00352E19"/>
    <w:rsid w:val="003533F2"/>
    <w:rsid w:val="00353DFD"/>
    <w:rsid w:val="00353E73"/>
    <w:rsid w:val="00353EE2"/>
    <w:rsid w:val="0035719A"/>
    <w:rsid w:val="00357C1B"/>
    <w:rsid w:val="0036136E"/>
    <w:rsid w:val="00364889"/>
    <w:rsid w:val="00364D11"/>
    <w:rsid w:val="003665B5"/>
    <w:rsid w:val="003666A4"/>
    <w:rsid w:val="00366F99"/>
    <w:rsid w:val="0037129A"/>
    <w:rsid w:val="0037237F"/>
    <w:rsid w:val="00372A2B"/>
    <w:rsid w:val="003744CA"/>
    <w:rsid w:val="00374976"/>
    <w:rsid w:val="0038356F"/>
    <w:rsid w:val="00391707"/>
    <w:rsid w:val="00393977"/>
    <w:rsid w:val="00394B4B"/>
    <w:rsid w:val="00396075"/>
    <w:rsid w:val="003965EE"/>
    <w:rsid w:val="00396AE0"/>
    <w:rsid w:val="003A1A1E"/>
    <w:rsid w:val="003A293E"/>
    <w:rsid w:val="003A2A1F"/>
    <w:rsid w:val="003A4FB8"/>
    <w:rsid w:val="003A7807"/>
    <w:rsid w:val="003B4132"/>
    <w:rsid w:val="003B46E9"/>
    <w:rsid w:val="003B4895"/>
    <w:rsid w:val="003C1AA0"/>
    <w:rsid w:val="003C1D7F"/>
    <w:rsid w:val="003C7076"/>
    <w:rsid w:val="003D0A21"/>
    <w:rsid w:val="003D1529"/>
    <w:rsid w:val="003D2E11"/>
    <w:rsid w:val="003D4029"/>
    <w:rsid w:val="003E34E2"/>
    <w:rsid w:val="003E4C48"/>
    <w:rsid w:val="003E4CFF"/>
    <w:rsid w:val="003E71D2"/>
    <w:rsid w:val="003F2342"/>
    <w:rsid w:val="003F2924"/>
    <w:rsid w:val="003F2C11"/>
    <w:rsid w:val="003F5A33"/>
    <w:rsid w:val="00400006"/>
    <w:rsid w:val="00400CC6"/>
    <w:rsid w:val="00404C50"/>
    <w:rsid w:val="00407183"/>
    <w:rsid w:val="00411E0C"/>
    <w:rsid w:val="00412A2F"/>
    <w:rsid w:val="0042219F"/>
    <w:rsid w:val="00425AE9"/>
    <w:rsid w:val="004265CF"/>
    <w:rsid w:val="004309E2"/>
    <w:rsid w:val="00431087"/>
    <w:rsid w:val="0043229C"/>
    <w:rsid w:val="00433244"/>
    <w:rsid w:val="00434383"/>
    <w:rsid w:val="00434692"/>
    <w:rsid w:val="00434D41"/>
    <w:rsid w:val="00442B6B"/>
    <w:rsid w:val="00442CF6"/>
    <w:rsid w:val="004433C6"/>
    <w:rsid w:val="004439C2"/>
    <w:rsid w:val="004441D3"/>
    <w:rsid w:val="00444A08"/>
    <w:rsid w:val="00444A73"/>
    <w:rsid w:val="00444AEF"/>
    <w:rsid w:val="00446692"/>
    <w:rsid w:val="0045056C"/>
    <w:rsid w:val="00450D5B"/>
    <w:rsid w:val="0045370B"/>
    <w:rsid w:val="00454724"/>
    <w:rsid w:val="004552AB"/>
    <w:rsid w:val="00456753"/>
    <w:rsid w:val="004606BE"/>
    <w:rsid w:val="00463AC9"/>
    <w:rsid w:val="00466489"/>
    <w:rsid w:val="0046790A"/>
    <w:rsid w:val="00467DBF"/>
    <w:rsid w:val="00473A89"/>
    <w:rsid w:val="0047574B"/>
    <w:rsid w:val="004759F8"/>
    <w:rsid w:val="00475F96"/>
    <w:rsid w:val="004769DA"/>
    <w:rsid w:val="00477C5C"/>
    <w:rsid w:val="004810BD"/>
    <w:rsid w:val="00482E8A"/>
    <w:rsid w:val="00482EEC"/>
    <w:rsid w:val="00494B8C"/>
    <w:rsid w:val="004954DA"/>
    <w:rsid w:val="00496D51"/>
    <w:rsid w:val="004A53C6"/>
    <w:rsid w:val="004A67EE"/>
    <w:rsid w:val="004B0345"/>
    <w:rsid w:val="004B285E"/>
    <w:rsid w:val="004B394A"/>
    <w:rsid w:val="004B3BFB"/>
    <w:rsid w:val="004C2204"/>
    <w:rsid w:val="004C2771"/>
    <w:rsid w:val="004C53F3"/>
    <w:rsid w:val="004D178E"/>
    <w:rsid w:val="004D2C1B"/>
    <w:rsid w:val="004D2F9A"/>
    <w:rsid w:val="004D4370"/>
    <w:rsid w:val="004D5B68"/>
    <w:rsid w:val="004D5C83"/>
    <w:rsid w:val="004D733C"/>
    <w:rsid w:val="004E1046"/>
    <w:rsid w:val="004E261A"/>
    <w:rsid w:val="004E3525"/>
    <w:rsid w:val="004E774A"/>
    <w:rsid w:val="004F0D20"/>
    <w:rsid w:val="004F1D35"/>
    <w:rsid w:val="004F5CCD"/>
    <w:rsid w:val="00510AA5"/>
    <w:rsid w:val="005115F4"/>
    <w:rsid w:val="00512993"/>
    <w:rsid w:val="00512EC1"/>
    <w:rsid w:val="005137DE"/>
    <w:rsid w:val="00515004"/>
    <w:rsid w:val="00515778"/>
    <w:rsid w:val="00517CB2"/>
    <w:rsid w:val="00520B8A"/>
    <w:rsid w:val="00522E14"/>
    <w:rsid w:val="00524253"/>
    <w:rsid w:val="005258A5"/>
    <w:rsid w:val="00526E96"/>
    <w:rsid w:val="005316B0"/>
    <w:rsid w:val="005353BE"/>
    <w:rsid w:val="0053551B"/>
    <w:rsid w:val="00535D10"/>
    <w:rsid w:val="005361D1"/>
    <w:rsid w:val="00536C22"/>
    <w:rsid w:val="00537571"/>
    <w:rsid w:val="0054237D"/>
    <w:rsid w:val="00545B7B"/>
    <w:rsid w:val="00546251"/>
    <w:rsid w:val="00552C81"/>
    <w:rsid w:val="00553309"/>
    <w:rsid w:val="005536E7"/>
    <w:rsid w:val="00553C64"/>
    <w:rsid w:val="00557007"/>
    <w:rsid w:val="00557406"/>
    <w:rsid w:val="00560A33"/>
    <w:rsid w:val="0056131B"/>
    <w:rsid w:val="0056408D"/>
    <w:rsid w:val="00564C05"/>
    <w:rsid w:val="00565465"/>
    <w:rsid w:val="00566139"/>
    <w:rsid w:val="00570427"/>
    <w:rsid w:val="0057328E"/>
    <w:rsid w:val="005801B6"/>
    <w:rsid w:val="00581DD3"/>
    <w:rsid w:val="00585B89"/>
    <w:rsid w:val="00586EBF"/>
    <w:rsid w:val="005917ED"/>
    <w:rsid w:val="00591CE2"/>
    <w:rsid w:val="0059202B"/>
    <w:rsid w:val="005949A7"/>
    <w:rsid w:val="00594B28"/>
    <w:rsid w:val="005A1568"/>
    <w:rsid w:val="005A3784"/>
    <w:rsid w:val="005A4449"/>
    <w:rsid w:val="005A571B"/>
    <w:rsid w:val="005A69BC"/>
    <w:rsid w:val="005B1475"/>
    <w:rsid w:val="005B2489"/>
    <w:rsid w:val="005B5D37"/>
    <w:rsid w:val="005B7B0D"/>
    <w:rsid w:val="005C535F"/>
    <w:rsid w:val="005D2F4B"/>
    <w:rsid w:val="005D3AF3"/>
    <w:rsid w:val="005D3B69"/>
    <w:rsid w:val="005E10A1"/>
    <w:rsid w:val="005E17FB"/>
    <w:rsid w:val="005E240F"/>
    <w:rsid w:val="005E279D"/>
    <w:rsid w:val="005E45E4"/>
    <w:rsid w:val="005F3876"/>
    <w:rsid w:val="005F50B4"/>
    <w:rsid w:val="005F7343"/>
    <w:rsid w:val="00600A86"/>
    <w:rsid w:val="00604282"/>
    <w:rsid w:val="00604358"/>
    <w:rsid w:val="00604CC2"/>
    <w:rsid w:val="00606F11"/>
    <w:rsid w:val="006125BE"/>
    <w:rsid w:val="00612A6E"/>
    <w:rsid w:val="00613C4C"/>
    <w:rsid w:val="00615E4A"/>
    <w:rsid w:val="0061655A"/>
    <w:rsid w:val="00617437"/>
    <w:rsid w:val="0062008D"/>
    <w:rsid w:val="00620B67"/>
    <w:rsid w:val="00622381"/>
    <w:rsid w:val="006271F1"/>
    <w:rsid w:val="0063664A"/>
    <w:rsid w:val="00636D04"/>
    <w:rsid w:val="00637A39"/>
    <w:rsid w:val="006507DB"/>
    <w:rsid w:val="006513E2"/>
    <w:rsid w:val="006518C0"/>
    <w:rsid w:val="006568C2"/>
    <w:rsid w:val="006572B6"/>
    <w:rsid w:val="006578B4"/>
    <w:rsid w:val="00662857"/>
    <w:rsid w:val="00666071"/>
    <w:rsid w:val="00667D35"/>
    <w:rsid w:val="0067068F"/>
    <w:rsid w:val="00672F84"/>
    <w:rsid w:val="00674295"/>
    <w:rsid w:val="0067435F"/>
    <w:rsid w:val="00675AB5"/>
    <w:rsid w:val="00677252"/>
    <w:rsid w:val="00677607"/>
    <w:rsid w:val="00677EC0"/>
    <w:rsid w:val="006853B9"/>
    <w:rsid w:val="00690256"/>
    <w:rsid w:val="006902A6"/>
    <w:rsid w:val="00690B21"/>
    <w:rsid w:val="006920B1"/>
    <w:rsid w:val="00693178"/>
    <w:rsid w:val="006A03DD"/>
    <w:rsid w:val="006A2EB1"/>
    <w:rsid w:val="006A3044"/>
    <w:rsid w:val="006A4CAD"/>
    <w:rsid w:val="006A7691"/>
    <w:rsid w:val="006B008E"/>
    <w:rsid w:val="006B01EC"/>
    <w:rsid w:val="006B230B"/>
    <w:rsid w:val="006B2789"/>
    <w:rsid w:val="006B2F85"/>
    <w:rsid w:val="006B6C93"/>
    <w:rsid w:val="006D14A9"/>
    <w:rsid w:val="006D3A69"/>
    <w:rsid w:val="006D606B"/>
    <w:rsid w:val="006D60E7"/>
    <w:rsid w:val="006E29BC"/>
    <w:rsid w:val="006E60C2"/>
    <w:rsid w:val="006E7AF0"/>
    <w:rsid w:val="006F0205"/>
    <w:rsid w:val="006F055F"/>
    <w:rsid w:val="006F0903"/>
    <w:rsid w:val="006F0D33"/>
    <w:rsid w:val="006F172E"/>
    <w:rsid w:val="006F54E7"/>
    <w:rsid w:val="006F672E"/>
    <w:rsid w:val="006F6FBC"/>
    <w:rsid w:val="0070124B"/>
    <w:rsid w:val="00701DF2"/>
    <w:rsid w:val="007033BD"/>
    <w:rsid w:val="00706D8E"/>
    <w:rsid w:val="00707B16"/>
    <w:rsid w:val="00712761"/>
    <w:rsid w:val="00713B70"/>
    <w:rsid w:val="00716F90"/>
    <w:rsid w:val="0072651A"/>
    <w:rsid w:val="007267C8"/>
    <w:rsid w:val="00727E23"/>
    <w:rsid w:val="0073246A"/>
    <w:rsid w:val="00737005"/>
    <w:rsid w:val="00737C7F"/>
    <w:rsid w:val="00737EC1"/>
    <w:rsid w:val="00741D19"/>
    <w:rsid w:val="00741FC9"/>
    <w:rsid w:val="00743191"/>
    <w:rsid w:val="00743B40"/>
    <w:rsid w:val="00746771"/>
    <w:rsid w:val="00746B5A"/>
    <w:rsid w:val="00755E88"/>
    <w:rsid w:val="00761E47"/>
    <w:rsid w:val="00761FF0"/>
    <w:rsid w:val="00762A99"/>
    <w:rsid w:val="00763A16"/>
    <w:rsid w:val="00764A9B"/>
    <w:rsid w:val="00764E4A"/>
    <w:rsid w:val="00775216"/>
    <w:rsid w:val="007775CE"/>
    <w:rsid w:val="00777B68"/>
    <w:rsid w:val="00780238"/>
    <w:rsid w:val="0078107B"/>
    <w:rsid w:val="00782698"/>
    <w:rsid w:val="0078295D"/>
    <w:rsid w:val="00784ADF"/>
    <w:rsid w:val="00787525"/>
    <w:rsid w:val="0078793A"/>
    <w:rsid w:val="0079058F"/>
    <w:rsid w:val="007905C5"/>
    <w:rsid w:val="00791A87"/>
    <w:rsid w:val="00794CD0"/>
    <w:rsid w:val="007965D2"/>
    <w:rsid w:val="00796934"/>
    <w:rsid w:val="007A04DC"/>
    <w:rsid w:val="007A29A8"/>
    <w:rsid w:val="007A3BEC"/>
    <w:rsid w:val="007A536D"/>
    <w:rsid w:val="007A7044"/>
    <w:rsid w:val="007B49CE"/>
    <w:rsid w:val="007C0677"/>
    <w:rsid w:val="007C0745"/>
    <w:rsid w:val="007C3944"/>
    <w:rsid w:val="007C3FBB"/>
    <w:rsid w:val="007D124D"/>
    <w:rsid w:val="007D3BE2"/>
    <w:rsid w:val="007D6A89"/>
    <w:rsid w:val="007D745C"/>
    <w:rsid w:val="007E2B9F"/>
    <w:rsid w:val="007E4C3A"/>
    <w:rsid w:val="007F056F"/>
    <w:rsid w:val="007F13EF"/>
    <w:rsid w:val="007F25F5"/>
    <w:rsid w:val="007F31BD"/>
    <w:rsid w:val="007F3781"/>
    <w:rsid w:val="0080021F"/>
    <w:rsid w:val="008010C2"/>
    <w:rsid w:val="0080152C"/>
    <w:rsid w:val="00801868"/>
    <w:rsid w:val="00801D1C"/>
    <w:rsid w:val="00802B93"/>
    <w:rsid w:val="00805C6A"/>
    <w:rsid w:val="00810270"/>
    <w:rsid w:val="00811120"/>
    <w:rsid w:val="0081216D"/>
    <w:rsid w:val="0081643D"/>
    <w:rsid w:val="0081752F"/>
    <w:rsid w:val="0082133A"/>
    <w:rsid w:val="0082158C"/>
    <w:rsid w:val="00822023"/>
    <w:rsid w:val="00825849"/>
    <w:rsid w:val="008268EF"/>
    <w:rsid w:val="008322E4"/>
    <w:rsid w:val="00835F69"/>
    <w:rsid w:val="0083621F"/>
    <w:rsid w:val="008406B3"/>
    <w:rsid w:val="00841C71"/>
    <w:rsid w:val="008432E3"/>
    <w:rsid w:val="00843F0A"/>
    <w:rsid w:val="0085199E"/>
    <w:rsid w:val="00851B81"/>
    <w:rsid w:val="00852AEC"/>
    <w:rsid w:val="008552F9"/>
    <w:rsid w:val="00855D31"/>
    <w:rsid w:val="00857753"/>
    <w:rsid w:val="00857A24"/>
    <w:rsid w:val="00860D20"/>
    <w:rsid w:val="008636FD"/>
    <w:rsid w:val="00866E6C"/>
    <w:rsid w:val="00867B35"/>
    <w:rsid w:val="00867E29"/>
    <w:rsid w:val="008821CE"/>
    <w:rsid w:val="008836D7"/>
    <w:rsid w:val="008902D1"/>
    <w:rsid w:val="00891A6F"/>
    <w:rsid w:val="0089332B"/>
    <w:rsid w:val="008948F8"/>
    <w:rsid w:val="008973A5"/>
    <w:rsid w:val="008A2CB3"/>
    <w:rsid w:val="008A5AD2"/>
    <w:rsid w:val="008A7B8F"/>
    <w:rsid w:val="008B084C"/>
    <w:rsid w:val="008B45C2"/>
    <w:rsid w:val="008C358B"/>
    <w:rsid w:val="008C3900"/>
    <w:rsid w:val="008C4A3C"/>
    <w:rsid w:val="008C55D0"/>
    <w:rsid w:val="008C5E09"/>
    <w:rsid w:val="008C7A11"/>
    <w:rsid w:val="008D316A"/>
    <w:rsid w:val="008D3416"/>
    <w:rsid w:val="008D464F"/>
    <w:rsid w:val="008D508F"/>
    <w:rsid w:val="008D5A99"/>
    <w:rsid w:val="008E193B"/>
    <w:rsid w:val="008E2829"/>
    <w:rsid w:val="008E3DEC"/>
    <w:rsid w:val="008E4717"/>
    <w:rsid w:val="008E7D81"/>
    <w:rsid w:val="008F3AD2"/>
    <w:rsid w:val="008F653E"/>
    <w:rsid w:val="00901519"/>
    <w:rsid w:val="0090161D"/>
    <w:rsid w:val="009018BD"/>
    <w:rsid w:val="0090279D"/>
    <w:rsid w:val="00902EF2"/>
    <w:rsid w:val="00907A68"/>
    <w:rsid w:val="00913175"/>
    <w:rsid w:val="009164C9"/>
    <w:rsid w:val="009177FD"/>
    <w:rsid w:val="00920ADB"/>
    <w:rsid w:val="009214CC"/>
    <w:rsid w:val="0092207D"/>
    <w:rsid w:val="0092236C"/>
    <w:rsid w:val="009245EC"/>
    <w:rsid w:val="009272E1"/>
    <w:rsid w:val="00927453"/>
    <w:rsid w:val="00934352"/>
    <w:rsid w:val="00934936"/>
    <w:rsid w:val="00936360"/>
    <w:rsid w:val="00937A35"/>
    <w:rsid w:val="009443DE"/>
    <w:rsid w:val="009469F8"/>
    <w:rsid w:val="00947E75"/>
    <w:rsid w:val="0095400C"/>
    <w:rsid w:val="009545C6"/>
    <w:rsid w:val="00957852"/>
    <w:rsid w:val="00960254"/>
    <w:rsid w:val="00960313"/>
    <w:rsid w:val="0096165F"/>
    <w:rsid w:val="00964E05"/>
    <w:rsid w:val="00967A0A"/>
    <w:rsid w:val="009701D6"/>
    <w:rsid w:val="00971E30"/>
    <w:rsid w:val="00974CFA"/>
    <w:rsid w:val="0097507C"/>
    <w:rsid w:val="00975683"/>
    <w:rsid w:val="00976A05"/>
    <w:rsid w:val="009771F3"/>
    <w:rsid w:val="00980715"/>
    <w:rsid w:val="00982016"/>
    <w:rsid w:val="009833DB"/>
    <w:rsid w:val="00986954"/>
    <w:rsid w:val="00990E6B"/>
    <w:rsid w:val="009924FF"/>
    <w:rsid w:val="00992C2E"/>
    <w:rsid w:val="00994243"/>
    <w:rsid w:val="00994888"/>
    <w:rsid w:val="00994D08"/>
    <w:rsid w:val="009A19BF"/>
    <w:rsid w:val="009A652D"/>
    <w:rsid w:val="009B0890"/>
    <w:rsid w:val="009B454E"/>
    <w:rsid w:val="009B5803"/>
    <w:rsid w:val="009B72BB"/>
    <w:rsid w:val="009C08B6"/>
    <w:rsid w:val="009C1059"/>
    <w:rsid w:val="009C286E"/>
    <w:rsid w:val="009C2B58"/>
    <w:rsid w:val="009C5635"/>
    <w:rsid w:val="009C606D"/>
    <w:rsid w:val="009D17FF"/>
    <w:rsid w:val="009D2D6A"/>
    <w:rsid w:val="009D45EE"/>
    <w:rsid w:val="009D607C"/>
    <w:rsid w:val="009D754F"/>
    <w:rsid w:val="009E1E31"/>
    <w:rsid w:val="009E2A4E"/>
    <w:rsid w:val="009E3219"/>
    <w:rsid w:val="009E404D"/>
    <w:rsid w:val="009E4A7F"/>
    <w:rsid w:val="009F1D63"/>
    <w:rsid w:val="009F6FF7"/>
    <w:rsid w:val="009F7B6F"/>
    <w:rsid w:val="00A01461"/>
    <w:rsid w:val="00A072E8"/>
    <w:rsid w:val="00A13AA0"/>
    <w:rsid w:val="00A20DD7"/>
    <w:rsid w:val="00A25C36"/>
    <w:rsid w:val="00A3234D"/>
    <w:rsid w:val="00A3286D"/>
    <w:rsid w:val="00A33825"/>
    <w:rsid w:val="00A40424"/>
    <w:rsid w:val="00A40ABA"/>
    <w:rsid w:val="00A436C5"/>
    <w:rsid w:val="00A45538"/>
    <w:rsid w:val="00A55A85"/>
    <w:rsid w:val="00A61759"/>
    <w:rsid w:val="00A61EEF"/>
    <w:rsid w:val="00A62CA6"/>
    <w:rsid w:val="00A62D7D"/>
    <w:rsid w:val="00A72471"/>
    <w:rsid w:val="00A72506"/>
    <w:rsid w:val="00A75B6C"/>
    <w:rsid w:val="00A768F7"/>
    <w:rsid w:val="00A80144"/>
    <w:rsid w:val="00A80C45"/>
    <w:rsid w:val="00A82A34"/>
    <w:rsid w:val="00A90392"/>
    <w:rsid w:val="00A93288"/>
    <w:rsid w:val="00A94A7D"/>
    <w:rsid w:val="00AA0550"/>
    <w:rsid w:val="00AA152F"/>
    <w:rsid w:val="00AA34AF"/>
    <w:rsid w:val="00AA459C"/>
    <w:rsid w:val="00AA4FBB"/>
    <w:rsid w:val="00AA6AEC"/>
    <w:rsid w:val="00AB4F6F"/>
    <w:rsid w:val="00AB5050"/>
    <w:rsid w:val="00AB5840"/>
    <w:rsid w:val="00AB5F01"/>
    <w:rsid w:val="00AB770D"/>
    <w:rsid w:val="00AC0FD9"/>
    <w:rsid w:val="00AC11BE"/>
    <w:rsid w:val="00AC3D00"/>
    <w:rsid w:val="00AC4967"/>
    <w:rsid w:val="00AD08B5"/>
    <w:rsid w:val="00AD101F"/>
    <w:rsid w:val="00AD1036"/>
    <w:rsid w:val="00AD184C"/>
    <w:rsid w:val="00AD186E"/>
    <w:rsid w:val="00AD1D2F"/>
    <w:rsid w:val="00AD3340"/>
    <w:rsid w:val="00AD74BF"/>
    <w:rsid w:val="00AE004E"/>
    <w:rsid w:val="00AE79C1"/>
    <w:rsid w:val="00AF2A23"/>
    <w:rsid w:val="00AF3203"/>
    <w:rsid w:val="00AF327F"/>
    <w:rsid w:val="00B020A9"/>
    <w:rsid w:val="00B10182"/>
    <w:rsid w:val="00B1110E"/>
    <w:rsid w:val="00B171BC"/>
    <w:rsid w:val="00B23555"/>
    <w:rsid w:val="00B30AEF"/>
    <w:rsid w:val="00B30EB8"/>
    <w:rsid w:val="00B32705"/>
    <w:rsid w:val="00B33FDC"/>
    <w:rsid w:val="00B3605C"/>
    <w:rsid w:val="00B3757A"/>
    <w:rsid w:val="00B44B07"/>
    <w:rsid w:val="00B450F0"/>
    <w:rsid w:val="00B50B1F"/>
    <w:rsid w:val="00B50B55"/>
    <w:rsid w:val="00B552B8"/>
    <w:rsid w:val="00B5536E"/>
    <w:rsid w:val="00B65A40"/>
    <w:rsid w:val="00B67079"/>
    <w:rsid w:val="00B67C38"/>
    <w:rsid w:val="00B708D5"/>
    <w:rsid w:val="00B70AC6"/>
    <w:rsid w:val="00B71A5D"/>
    <w:rsid w:val="00B71F50"/>
    <w:rsid w:val="00B72928"/>
    <w:rsid w:val="00B754D0"/>
    <w:rsid w:val="00B81BD6"/>
    <w:rsid w:val="00B833AC"/>
    <w:rsid w:val="00B8680C"/>
    <w:rsid w:val="00B86D34"/>
    <w:rsid w:val="00B86E29"/>
    <w:rsid w:val="00B90DBE"/>
    <w:rsid w:val="00B93822"/>
    <w:rsid w:val="00B95E0B"/>
    <w:rsid w:val="00B97213"/>
    <w:rsid w:val="00BA0859"/>
    <w:rsid w:val="00BA10C8"/>
    <w:rsid w:val="00BA28DD"/>
    <w:rsid w:val="00BA36FC"/>
    <w:rsid w:val="00BA457F"/>
    <w:rsid w:val="00BA4EB9"/>
    <w:rsid w:val="00BA5148"/>
    <w:rsid w:val="00BA596F"/>
    <w:rsid w:val="00BA7E5F"/>
    <w:rsid w:val="00BB026B"/>
    <w:rsid w:val="00BB275F"/>
    <w:rsid w:val="00BB47F6"/>
    <w:rsid w:val="00BB6E27"/>
    <w:rsid w:val="00BB72C1"/>
    <w:rsid w:val="00BB7862"/>
    <w:rsid w:val="00BC05BF"/>
    <w:rsid w:val="00BC36C1"/>
    <w:rsid w:val="00BC3BE5"/>
    <w:rsid w:val="00BC4BEB"/>
    <w:rsid w:val="00BC6952"/>
    <w:rsid w:val="00BD1BDF"/>
    <w:rsid w:val="00BD2526"/>
    <w:rsid w:val="00BD35FD"/>
    <w:rsid w:val="00BD3CB4"/>
    <w:rsid w:val="00BD428F"/>
    <w:rsid w:val="00BD4D9F"/>
    <w:rsid w:val="00BE0711"/>
    <w:rsid w:val="00BE3CC0"/>
    <w:rsid w:val="00BF11CC"/>
    <w:rsid w:val="00BF3566"/>
    <w:rsid w:val="00BF365D"/>
    <w:rsid w:val="00C019E0"/>
    <w:rsid w:val="00C0216C"/>
    <w:rsid w:val="00C02E27"/>
    <w:rsid w:val="00C07793"/>
    <w:rsid w:val="00C10632"/>
    <w:rsid w:val="00C12259"/>
    <w:rsid w:val="00C12C4D"/>
    <w:rsid w:val="00C16D08"/>
    <w:rsid w:val="00C17A54"/>
    <w:rsid w:val="00C219E8"/>
    <w:rsid w:val="00C227B5"/>
    <w:rsid w:val="00C22F61"/>
    <w:rsid w:val="00C30108"/>
    <w:rsid w:val="00C30C13"/>
    <w:rsid w:val="00C3147E"/>
    <w:rsid w:val="00C330AB"/>
    <w:rsid w:val="00C347B0"/>
    <w:rsid w:val="00C43445"/>
    <w:rsid w:val="00C44630"/>
    <w:rsid w:val="00C464F8"/>
    <w:rsid w:val="00C46A8C"/>
    <w:rsid w:val="00C5487C"/>
    <w:rsid w:val="00C57518"/>
    <w:rsid w:val="00C661E6"/>
    <w:rsid w:val="00C668F4"/>
    <w:rsid w:val="00C677D0"/>
    <w:rsid w:val="00C72DD7"/>
    <w:rsid w:val="00C74C3C"/>
    <w:rsid w:val="00C75332"/>
    <w:rsid w:val="00C75FEE"/>
    <w:rsid w:val="00C8233A"/>
    <w:rsid w:val="00C84194"/>
    <w:rsid w:val="00C843E1"/>
    <w:rsid w:val="00C8554D"/>
    <w:rsid w:val="00C87E77"/>
    <w:rsid w:val="00C9044E"/>
    <w:rsid w:val="00C90D83"/>
    <w:rsid w:val="00C91BBE"/>
    <w:rsid w:val="00C93F58"/>
    <w:rsid w:val="00C9450B"/>
    <w:rsid w:val="00CA03BB"/>
    <w:rsid w:val="00CA2E5F"/>
    <w:rsid w:val="00CA5AD4"/>
    <w:rsid w:val="00CA6FA2"/>
    <w:rsid w:val="00CA7C37"/>
    <w:rsid w:val="00CB0118"/>
    <w:rsid w:val="00CB0DBA"/>
    <w:rsid w:val="00CB1FC8"/>
    <w:rsid w:val="00CB3054"/>
    <w:rsid w:val="00CB3E5B"/>
    <w:rsid w:val="00CB52B1"/>
    <w:rsid w:val="00CB54F2"/>
    <w:rsid w:val="00CB62C1"/>
    <w:rsid w:val="00CB7BD2"/>
    <w:rsid w:val="00CC476C"/>
    <w:rsid w:val="00CC5F8F"/>
    <w:rsid w:val="00CC6A6B"/>
    <w:rsid w:val="00CC7857"/>
    <w:rsid w:val="00CC7A18"/>
    <w:rsid w:val="00CD0030"/>
    <w:rsid w:val="00CD03EE"/>
    <w:rsid w:val="00CD1C75"/>
    <w:rsid w:val="00CE0A7D"/>
    <w:rsid w:val="00CE17D9"/>
    <w:rsid w:val="00CE5664"/>
    <w:rsid w:val="00CE7AF1"/>
    <w:rsid w:val="00CE7E93"/>
    <w:rsid w:val="00CF1356"/>
    <w:rsid w:val="00CF1EF1"/>
    <w:rsid w:val="00CF630B"/>
    <w:rsid w:val="00D0367C"/>
    <w:rsid w:val="00D0440D"/>
    <w:rsid w:val="00D07B85"/>
    <w:rsid w:val="00D10791"/>
    <w:rsid w:val="00D12ED4"/>
    <w:rsid w:val="00D137A2"/>
    <w:rsid w:val="00D1442E"/>
    <w:rsid w:val="00D15553"/>
    <w:rsid w:val="00D16B09"/>
    <w:rsid w:val="00D214F1"/>
    <w:rsid w:val="00D240D0"/>
    <w:rsid w:val="00D335E8"/>
    <w:rsid w:val="00D33882"/>
    <w:rsid w:val="00D35139"/>
    <w:rsid w:val="00D371B2"/>
    <w:rsid w:val="00D407AF"/>
    <w:rsid w:val="00D41051"/>
    <w:rsid w:val="00D415AD"/>
    <w:rsid w:val="00D45134"/>
    <w:rsid w:val="00D4520F"/>
    <w:rsid w:val="00D474AB"/>
    <w:rsid w:val="00D50893"/>
    <w:rsid w:val="00D620B9"/>
    <w:rsid w:val="00D62D9D"/>
    <w:rsid w:val="00D633CA"/>
    <w:rsid w:val="00D72E32"/>
    <w:rsid w:val="00D81009"/>
    <w:rsid w:val="00D82AD4"/>
    <w:rsid w:val="00D8336B"/>
    <w:rsid w:val="00D860FA"/>
    <w:rsid w:val="00D92EEB"/>
    <w:rsid w:val="00D9408D"/>
    <w:rsid w:val="00DA0917"/>
    <w:rsid w:val="00DA7294"/>
    <w:rsid w:val="00DB39C4"/>
    <w:rsid w:val="00DB5767"/>
    <w:rsid w:val="00DB5E1E"/>
    <w:rsid w:val="00DC4268"/>
    <w:rsid w:val="00DC4CFD"/>
    <w:rsid w:val="00DD33B3"/>
    <w:rsid w:val="00DE01E5"/>
    <w:rsid w:val="00DE02D2"/>
    <w:rsid w:val="00DE09D7"/>
    <w:rsid w:val="00DE53E6"/>
    <w:rsid w:val="00DF417C"/>
    <w:rsid w:val="00DF4370"/>
    <w:rsid w:val="00DF60F7"/>
    <w:rsid w:val="00DF7724"/>
    <w:rsid w:val="00E02ABF"/>
    <w:rsid w:val="00E03A24"/>
    <w:rsid w:val="00E15E1A"/>
    <w:rsid w:val="00E15FC4"/>
    <w:rsid w:val="00E202B1"/>
    <w:rsid w:val="00E20955"/>
    <w:rsid w:val="00E20D16"/>
    <w:rsid w:val="00E24571"/>
    <w:rsid w:val="00E30930"/>
    <w:rsid w:val="00E32379"/>
    <w:rsid w:val="00E3762B"/>
    <w:rsid w:val="00E420C0"/>
    <w:rsid w:val="00E42C14"/>
    <w:rsid w:val="00E45F08"/>
    <w:rsid w:val="00E46220"/>
    <w:rsid w:val="00E563B1"/>
    <w:rsid w:val="00E5750D"/>
    <w:rsid w:val="00E57C07"/>
    <w:rsid w:val="00E6261D"/>
    <w:rsid w:val="00E6343F"/>
    <w:rsid w:val="00E65476"/>
    <w:rsid w:val="00E656D0"/>
    <w:rsid w:val="00E67E76"/>
    <w:rsid w:val="00E70BD8"/>
    <w:rsid w:val="00E72FE9"/>
    <w:rsid w:val="00E744E7"/>
    <w:rsid w:val="00E75759"/>
    <w:rsid w:val="00E774A9"/>
    <w:rsid w:val="00E8232B"/>
    <w:rsid w:val="00E838E6"/>
    <w:rsid w:val="00E84937"/>
    <w:rsid w:val="00E86394"/>
    <w:rsid w:val="00E87085"/>
    <w:rsid w:val="00E96EAE"/>
    <w:rsid w:val="00EA1601"/>
    <w:rsid w:val="00EA2E4C"/>
    <w:rsid w:val="00EB315E"/>
    <w:rsid w:val="00EB67C2"/>
    <w:rsid w:val="00EB6AAC"/>
    <w:rsid w:val="00EB7323"/>
    <w:rsid w:val="00EC1549"/>
    <w:rsid w:val="00EC1F14"/>
    <w:rsid w:val="00EC202A"/>
    <w:rsid w:val="00EC51B3"/>
    <w:rsid w:val="00ED0C62"/>
    <w:rsid w:val="00ED0F8A"/>
    <w:rsid w:val="00ED3418"/>
    <w:rsid w:val="00ED5EF6"/>
    <w:rsid w:val="00EE2142"/>
    <w:rsid w:val="00EE7AAD"/>
    <w:rsid w:val="00EF1473"/>
    <w:rsid w:val="00EF453B"/>
    <w:rsid w:val="00EF48D9"/>
    <w:rsid w:val="00EF619D"/>
    <w:rsid w:val="00F00CDC"/>
    <w:rsid w:val="00F02649"/>
    <w:rsid w:val="00F061C8"/>
    <w:rsid w:val="00F15187"/>
    <w:rsid w:val="00F16E99"/>
    <w:rsid w:val="00F176DF"/>
    <w:rsid w:val="00F20063"/>
    <w:rsid w:val="00F23AC1"/>
    <w:rsid w:val="00F258DD"/>
    <w:rsid w:val="00F263C3"/>
    <w:rsid w:val="00F27048"/>
    <w:rsid w:val="00F31DD5"/>
    <w:rsid w:val="00F32043"/>
    <w:rsid w:val="00F35D49"/>
    <w:rsid w:val="00F409CE"/>
    <w:rsid w:val="00F41651"/>
    <w:rsid w:val="00F454AD"/>
    <w:rsid w:val="00F52255"/>
    <w:rsid w:val="00F550BF"/>
    <w:rsid w:val="00F55791"/>
    <w:rsid w:val="00F578A0"/>
    <w:rsid w:val="00F640F5"/>
    <w:rsid w:val="00F65727"/>
    <w:rsid w:val="00F716C4"/>
    <w:rsid w:val="00F720A3"/>
    <w:rsid w:val="00F72B9B"/>
    <w:rsid w:val="00F74490"/>
    <w:rsid w:val="00F75DD2"/>
    <w:rsid w:val="00F776D0"/>
    <w:rsid w:val="00F82227"/>
    <w:rsid w:val="00F83CC5"/>
    <w:rsid w:val="00F84845"/>
    <w:rsid w:val="00F8524F"/>
    <w:rsid w:val="00F87E24"/>
    <w:rsid w:val="00F909C7"/>
    <w:rsid w:val="00F923E4"/>
    <w:rsid w:val="00F93DA7"/>
    <w:rsid w:val="00F94118"/>
    <w:rsid w:val="00F96A28"/>
    <w:rsid w:val="00F96EB4"/>
    <w:rsid w:val="00F976EB"/>
    <w:rsid w:val="00FA041A"/>
    <w:rsid w:val="00FA22A3"/>
    <w:rsid w:val="00FA2C66"/>
    <w:rsid w:val="00FA35EC"/>
    <w:rsid w:val="00FA6A20"/>
    <w:rsid w:val="00FB1DC8"/>
    <w:rsid w:val="00FB2A70"/>
    <w:rsid w:val="00FB3E08"/>
    <w:rsid w:val="00FB7210"/>
    <w:rsid w:val="00FC100A"/>
    <w:rsid w:val="00FC3690"/>
    <w:rsid w:val="00FC633C"/>
    <w:rsid w:val="00FC66E2"/>
    <w:rsid w:val="00FC6A74"/>
    <w:rsid w:val="00FD2B92"/>
    <w:rsid w:val="00FD7E6E"/>
    <w:rsid w:val="00FE59F4"/>
    <w:rsid w:val="00FE5DBF"/>
    <w:rsid w:val="00FE6009"/>
    <w:rsid w:val="00FE62F0"/>
    <w:rsid w:val="00FE6F0B"/>
    <w:rsid w:val="00FF1185"/>
    <w:rsid w:val="00FF1FC2"/>
    <w:rsid w:val="00FF29BB"/>
    <w:rsid w:val="00FF3E9B"/>
    <w:rsid w:val="00FF42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4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0"/>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3C5D"/>
    <w:pPr>
      <w:keepNext/>
      <w:spacing w:line="480" w:lineRule="auto"/>
      <w:jc w:val="center"/>
      <w:outlineLvl w:val="0"/>
    </w:pPr>
    <w:rPr>
      <w:b/>
      <w:caps/>
      <w:szCs w:val="20"/>
    </w:rPr>
  </w:style>
  <w:style w:type="paragraph" w:styleId="Heading2">
    <w:name w:val="heading 2"/>
    <w:basedOn w:val="Normal"/>
    <w:next w:val="Normal"/>
    <w:link w:val="Heading2Char"/>
    <w:qFormat/>
    <w:rsid w:val="002443C0"/>
    <w:pPr>
      <w:keepNext/>
      <w:spacing w:line="480" w:lineRule="auto"/>
      <w:jc w:val="left"/>
      <w:outlineLvl w:val="1"/>
    </w:pPr>
    <w:rPr>
      <w:b/>
    </w:rPr>
  </w:style>
  <w:style w:type="paragraph" w:styleId="Heading3">
    <w:name w:val="heading 3"/>
    <w:basedOn w:val="Normal"/>
    <w:next w:val="Normal"/>
    <w:link w:val="Heading3Char"/>
    <w:qFormat/>
    <w:rsid w:val="009C5635"/>
    <w:pPr>
      <w:keepNext/>
      <w:spacing w:after="240" w:line="240" w:lineRule="auto"/>
      <w:ind w:left="720" w:hanging="720"/>
      <w:jc w:val="left"/>
      <w:outlineLvl w:val="2"/>
    </w:pPr>
    <w:rPr>
      <w:b/>
      <w:szCs w:val="20"/>
    </w:rPr>
  </w:style>
  <w:style w:type="paragraph" w:styleId="Heading4">
    <w:name w:val="heading 4"/>
    <w:basedOn w:val="Normal"/>
    <w:next w:val="Normal"/>
    <w:link w:val="Heading4Char"/>
    <w:qFormat/>
    <w:rsid w:val="002F721E"/>
    <w:pPr>
      <w:keepNext/>
      <w:tabs>
        <w:tab w:val="left" w:pos="720"/>
      </w:tabs>
      <w:spacing w:line="480" w:lineRule="auto"/>
      <w:ind w:left="72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C5D"/>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2443C0"/>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C563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F721E"/>
    <w:rPr>
      <w:rFonts w:ascii="Times New Roman" w:eastAsia="Times New Roman" w:hAnsi="Times New Roman" w:cs="Times New Roman"/>
      <w:b/>
      <w:sz w:val="24"/>
      <w:szCs w:val="20"/>
    </w:rPr>
  </w:style>
  <w:style w:type="character" w:styleId="LineNumber">
    <w:name w:val="line number"/>
    <w:basedOn w:val="DefaultParagraphFont"/>
    <w:uiPriority w:val="99"/>
    <w:rsid w:val="002F721E"/>
    <w:rPr>
      <w:rFonts w:ascii="Times New Roman" w:hAnsi="Times New Roman"/>
      <w:sz w:val="24"/>
    </w:rPr>
  </w:style>
  <w:style w:type="paragraph" w:styleId="Header">
    <w:name w:val="header"/>
    <w:basedOn w:val="Normal"/>
    <w:link w:val="HeaderChar"/>
    <w:rsid w:val="004F0D20"/>
    <w:pPr>
      <w:spacing w:line="480" w:lineRule="auto"/>
      <w:jc w:val="center"/>
    </w:pPr>
    <w:rPr>
      <w:b/>
    </w:rPr>
  </w:style>
  <w:style w:type="character" w:customStyle="1" w:styleId="HeaderChar">
    <w:name w:val="Header Char"/>
    <w:basedOn w:val="DefaultParagraphFont"/>
    <w:link w:val="Header"/>
    <w:rsid w:val="004F0D20"/>
    <w:rPr>
      <w:rFonts w:ascii="Times New Roman" w:eastAsia="Times New Roman" w:hAnsi="Times New Roman" w:cs="Times New Roman"/>
      <w:b/>
      <w:sz w:val="24"/>
      <w:szCs w:val="24"/>
    </w:rPr>
  </w:style>
  <w:style w:type="paragraph" w:styleId="Footer">
    <w:name w:val="footer"/>
    <w:basedOn w:val="Normal"/>
    <w:link w:val="FooterChar"/>
    <w:rsid w:val="002F721E"/>
    <w:pPr>
      <w:tabs>
        <w:tab w:val="center" w:pos="4320"/>
        <w:tab w:val="right" w:pos="8640"/>
      </w:tabs>
    </w:pPr>
  </w:style>
  <w:style w:type="character" w:customStyle="1" w:styleId="FooterChar">
    <w:name w:val="Footer Char"/>
    <w:basedOn w:val="DefaultParagraphFont"/>
    <w:link w:val="Footer"/>
    <w:uiPriority w:val="99"/>
    <w:rsid w:val="002F721E"/>
    <w:rPr>
      <w:rFonts w:ascii="Times New Roman" w:eastAsia="Times New Roman" w:hAnsi="Times New Roman" w:cs="Times New Roman"/>
      <w:sz w:val="24"/>
      <w:szCs w:val="24"/>
    </w:rPr>
  </w:style>
  <w:style w:type="character" w:styleId="PageNumber">
    <w:name w:val="page number"/>
    <w:basedOn w:val="DefaultParagraphFont"/>
    <w:rsid w:val="002F721E"/>
  </w:style>
  <w:style w:type="paragraph" w:styleId="BodyTextIndent">
    <w:name w:val="Body Text Indent"/>
    <w:basedOn w:val="Normal"/>
    <w:link w:val="BodyTextIndentChar"/>
    <w:rsid w:val="002F721E"/>
    <w:pPr>
      <w:tabs>
        <w:tab w:val="left" w:pos="720"/>
      </w:tabs>
      <w:spacing w:line="480" w:lineRule="auto"/>
      <w:ind w:left="720" w:hanging="720"/>
    </w:pPr>
  </w:style>
  <w:style w:type="character" w:customStyle="1" w:styleId="BodyTextIndentChar">
    <w:name w:val="Body Text Indent Char"/>
    <w:basedOn w:val="DefaultParagraphFont"/>
    <w:link w:val="BodyTextIndent"/>
    <w:rsid w:val="002F721E"/>
    <w:rPr>
      <w:rFonts w:ascii="Times New Roman" w:eastAsia="Times New Roman" w:hAnsi="Times New Roman" w:cs="Times New Roman"/>
      <w:sz w:val="24"/>
      <w:szCs w:val="24"/>
    </w:rPr>
  </w:style>
  <w:style w:type="paragraph" w:styleId="BodyText">
    <w:name w:val="Body Text"/>
    <w:basedOn w:val="Normal"/>
    <w:link w:val="BodyTextChar"/>
    <w:rsid w:val="002F721E"/>
    <w:pPr>
      <w:tabs>
        <w:tab w:val="left" w:pos="720"/>
      </w:tabs>
      <w:spacing w:line="480" w:lineRule="auto"/>
    </w:pPr>
  </w:style>
  <w:style w:type="character" w:customStyle="1" w:styleId="BodyTextChar">
    <w:name w:val="Body Text Char"/>
    <w:basedOn w:val="DefaultParagraphFont"/>
    <w:link w:val="BodyText"/>
    <w:rsid w:val="002F721E"/>
    <w:rPr>
      <w:rFonts w:ascii="Times New Roman" w:eastAsia="Times New Roman" w:hAnsi="Times New Roman" w:cs="Times New Roman"/>
      <w:sz w:val="24"/>
      <w:szCs w:val="24"/>
    </w:rPr>
  </w:style>
  <w:style w:type="paragraph" w:styleId="BodyText2">
    <w:name w:val="Body Text 2"/>
    <w:basedOn w:val="Normal"/>
    <w:link w:val="BodyText2Char"/>
    <w:uiPriority w:val="99"/>
    <w:rsid w:val="002F721E"/>
    <w:pPr>
      <w:tabs>
        <w:tab w:val="left" w:pos="720"/>
      </w:tabs>
      <w:spacing w:line="480" w:lineRule="auto"/>
    </w:pPr>
  </w:style>
  <w:style w:type="character" w:customStyle="1" w:styleId="BodyText2Char">
    <w:name w:val="Body Text 2 Char"/>
    <w:basedOn w:val="DefaultParagraphFont"/>
    <w:link w:val="BodyText2"/>
    <w:uiPriority w:val="99"/>
    <w:rsid w:val="002F721E"/>
    <w:rPr>
      <w:rFonts w:ascii="Times New Roman" w:eastAsia="Times New Roman" w:hAnsi="Times New Roman" w:cs="Times New Roman"/>
      <w:sz w:val="24"/>
      <w:szCs w:val="24"/>
    </w:rPr>
  </w:style>
  <w:style w:type="paragraph" w:styleId="BodyTextIndent2">
    <w:name w:val="Body Text Indent 2"/>
    <w:basedOn w:val="Normal"/>
    <w:link w:val="BodyTextIndent2Char"/>
    <w:rsid w:val="002F721E"/>
    <w:pPr>
      <w:tabs>
        <w:tab w:val="left" w:pos="720"/>
      </w:tabs>
      <w:spacing w:line="480" w:lineRule="auto"/>
      <w:ind w:left="720" w:hanging="720"/>
    </w:pPr>
  </w:style>
  <w:style w:type="character" w:customStyle="1" w:styleId="BodyTextIndent2Char">
    <w:name w:val="Body Text Indent 2 Char"/>
    <w:basedOn w:val="DefaultParagraphFont"/>
    <w:link w:val="BodyTextIndent2"/>
    <w:rsid w:val="002F721E"/>
    <w:rPr>
      <w:rFonts w:ascii="Times New Roman" w:eastAsia="Times New Roman" w:hAnsi="Times New Roman" w:cs="Times New Roman"/>
      <w:sz w:val="24"/>
      <w:szCs w:val="24"/>
    </w:rPr>
  </w:style>
  <w:style w:type="paragraph" w:styleId="BalloonText">
    <w:name w:val="Balloon Text"/>
    <w:basedOn w:val="Normal"/>
    <w:link w:val="BalloonTextChar"/>
    <w:semiHidden/>
    <w:rsid w:val="002F721E"/>
    <w:rPr>
      <w:rFonts w:ascii="Tahoma" w:hAnsi="Tahoma" w:cs="Tahoma"/>
      <w:sz w:val="16"/>
      <w:szCs w:val="16"/>
    </w:rPr>
  </w:style>
  <w:style w:type="character" w:customStyle="1" w:styleId="BalloonTextChar">
    <w:name w:val="Balloon Text Char"/>
    <w:basedOn w:val="DefaultParagraphFont"/>
    <w:link w:val="BalloonText"/>
    <w:semiHidden/>
    <w:rsid w:val="002F721E"/>
    <w:rPr>
      <w:rFonts w:ascii="Tahoma" w:eastAsia="Times New Roman" w:hAnsi="Tahoma" w:cs="Tahoma"/>
      <w:sz w:val="16"/>
      <w:szCs w:val="16"/>
    </w:rPr>
  </w:style>
  <w:style w:type="paragraph" w:styleId="DocumentMap">
    <w:name w:val="Document Map"/>
    <w:basedOn w:val="Normal"/>
    <w:link w:val="DocumentMapChar"/>
    <w:semiHidden/>
    <w:rsid w:val="002F72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F721E"/>
    <w:rPr>
      <w:rFonts w:ascii="Tahoma" w:eastAsia="Times New Roman" w:hAnsi="Tahoma" w:cs="Tahoma"/>
      <w:sz w:val="20"/>
      <w:szCs w:val="20"/>
      <w:shd w:val="clear" w:color="auto" w:fill="000080"/>
    </w:rPr>
  </w:style>
  <w:style w:type="paragraph" w:customStyle="1" w:styleId="answer">
    <w:name w:val="answer"/>
    <w:basedOn w:val="Normal"/>
    <w:rsid w:val="002F721E"/>
    <w:pPr>
      <w:spacing w:before="120" w:after="120" w:line="480" w:lineRule="auto"/>
      <w:ind w:left="720" w:hanging="720"/>
    </w:pPr>
    <w:rPr>
      <w:szCs w:val="20"/>
    </w:rPr>
  </w:style>
  <w:style w:type="character" w:styleId="CommentReference">
    <w:name w:val="annotation reference"/>
    <w:basedOn w:val="DefaultParagraphFont"/>
    <w:semiHidden/>
    <w:rsid w:val="002F721E"/>
    <w:rPr>
      <w:sz w:val="16"/>
      <w:szCs w:val="16"/>
    </w:rPr>
  </w:style>
  <w:style w:type="paragraph" w:styleId="CommentText">
    <w:name w:val="annotation text"/>
    <w:basedOn w:val="Normal"/>
    <w:link w:val="CommentTextChar"/>
    <w:uiPriority w:val="99"/>
    <w:semiHidden/>
    <w:rsid w:val="002F721E"/>
    <w:rPr>
      <w:sz w:val="20"/>
      <w:szCs w:val="20"/>
    </w:rPr>
  </w:style>
  <w:style w:type="character" w:customStyle="1" w:styleId="CommentTextChar">
    <w:name w:val="Comment Text Char"/>
    <w:basedOn w:val="DefaultParagraphFont"/>
    <w:link w:val="CommentText"/>
    <w:uiPriority w:val="99"/>
    <w:semiHidden/>
    <w:rsid w:val="002F72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F721E"/>
    <w:rPr>
      <w:b/>
      <w:bCs/>
    </w:rPr>
  </w:style>
  <w:style w:type="character" w:customStyle="1" w:styleId="CommentSubjectChar">
    <w:name w:val="Comment Subject Char"/>
    <w:basedOn w:val="CommentTextChar"/>
    <w:link w:val="CommentSubject"/>
    <w:semiHidden/>
    <w:rsid w:val="002F721E"/>
    <w:rPr>
      <w:rFonts w:ascii="Times New Roman" w:eastAsia="Times New Roman" w:hAnsi="Times New Roman" w:cs="Times New Roman"/>
      <w:b/>
      <w:bCs/>
      <w:sz w:val="20"/>
      <w:szCs w:val="20"/>
    </w:rPr>
  </w:style>
  <w:style w:type="character" w:customStyle="1" w:styleId="zzmpTrailerItem">
    <w:name w:val="zzmpTrailerItem"/>
    <w:basedOn w:val="DefaultParagraphFont"/>
    <w:rsid w:val="002F721E"/>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paragraph" w:customStyle="1" w:styleId="CharCharCharCharCharCharCharChar">
    <w:name w:val="Char Char Char 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CharCharChar">
    <w:name w:val="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
    <w:name w:val="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1">
    <w:name w:val="Char Char1"/>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1CharCharChar1CharChar">
    <w:name w:val="Char Char1 Char Char Char1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2CharCharCharCharCharChar">
    <w:name w:val="Char Char2 Char 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styleId="Revision">
    <w:name w:val="Revision"/>
    <w:hidden/>
    <w:uiPriority w:val="99"/>
    <w:semiHidden/>
    <w:rsid w:val="002F721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F721E"/>
    <w:pPr>
      <w:ind w:left="720"/>
      <w:contextualSpacing/>
    </w:pPr>
  </w:style>
  <w:style w:type="character" w:customStyle="1" w:styleId="ListParagraphChar">
    <w:name w:val="List Paragraph Char"/>
    <w:basedOn w:val="DefaultParagraphFont"/>
    <w:link w:val="ListParagraph"/>
    <w:uiPriority w:val="34"/>
    <w:locked/>
    <w:rsid w:val="002F721E"/>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unhideWhenUsed/>
    <w:qFormat/>
    <w:rsid w:val="00C93F58"/>
    <w:pPr>
      <w:spacing w:line="240" w:lineRule="auto"/>
    </w:pPr>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C93F58"/>
    <w:rPr>
      <w:rFonts w:ascii="Times New Roman" w:eastAsia="Times New Roman"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
    <w:basedOn w:val="DefaultParagraphFont"/>
    <w:unhideWhenUsed/>
    <w:qFormat/>
    <w:rsid w:val="00C93F58"/>
    <w:rPr>
      <w:vertAlign w:val="superscript"/>
    </w:rPr>
  </w:style>
  <w:style w:type="character" w:styleId="Hyperlink">
    <w:name w:val="Hyperlink"/>
    <w:basedOn w:val="DefaultParagraphFont"/>
    <w:uiPriority w:val="99"/>
    <w:unhideWhenUsed/>
    <w:rsid w:val="00976A05"/>
    <w:rPr>
      <w:color w:val="0000FF" w:themeColor="hyperlink"/>
      <w:u w:val="single"/>
    </w:rPr>
  </w:style>
  <w:style w:type="paragraph" w:customStyle="1" w:styleId="Question">
    <w:name w:val="Question"/>
    <w:basedOn w:val="Normal"/>
    <w:link w:val="QuestionChar"/>
    <w:rsid w:val="00275BA9"/>
    <w:pPr>
      <w:widowControl/>
      <w:adjustRightInd/>
      <w:spacing w:line="480" w:lineRule="auto"/>
      <w:ind w:left="720" w:hanging="720"/>
      <w:textAlignment w:val="auto"/>
    </w:pPr>
    <w:rPr>
      <w:b/>
      <w:bCs/>
      <w:szCs w:val="20"/>
    </w:rPr>
  </w:style>
  <w:style w:type="character" w:customStyle="1" w:styleId="QuestionChar">
    <w:name w:val="Question Char"/>
    <w:basedOn w:val="DefaultParagraphFont"/>
    <w:link w:val="Question"/>
    <w:rsid w:val="00275BA9"/>
    <w:rPr>
      <w:rFonts w:ascii="Times New Roman" w:eastAsia="Times New Roman" w:hAnsi="Times New Roman" w:cs="Times New Roman"/>
      <w:b/>
      <w:bCs/>
      <w:sz w:val="24"/>
      <w:szCs w:val="20"/>
    </w:rPr>
  </w:style>
  <w:style w:type="paragraph" w:customStyle="1" w:styleId="Answer0">
    <w:name w:val="Answer"/>
    <w:basedOn w:val="Normal"/>
    <w:link w:val="AnswerChar1"/>
    <w:qFormat/>
    <w:rsid w:val="00275BA9"/>
    <w:pPr>
      <w:widowControl/>
      <w:adjustRightInd/>
      <w:spacing w:line="480" w:lineRule="auto"/>
      <w:ind w:left="720" w:hanging="720"/>
      <w:textAlignment w:val="auto"/>
    </w:pPr>
    <w:rPr>
      <w:szCs w:val="20"/>
    </w:rPr>
  </w:style>
  <w:style w:type="character" w:customStyle="1" w:styleId="AnswerChar1">
    <w:name w:val="Answer Char1"/>
    <w:basedOn w:val="DefaultParagraphFont"/>
    <w:link w:val="Answer0"/>
    <w:rsid w:val="00275BA9"/>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D620B9"/>
    <w:pPr>
      <w:keepLines/>
      <w:widowControl/>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AD184C"/>
    <w:pPr>
      <w:suppressLineNumbers/>
      <w:tabs>
        <w:tab w:val="left" w:pos="480"/>
        <w:tab w:val="right" w:leader="dot" w:pos="8630"/>
      </w:tabs>
      <w:spacing w:line="360" w:lineRule="auto"/>
      <w:ind w:right="360"/>
      <w:jc w:val="left"/>
    </w:pPr>
  </w:style>
  <w:style w:type="paragraph" w:styleId="TOC2">
    <w:name w:val="toc 2"/>
    <w:basedOn w:val="Normal"/>
    <w:next w:val="Normal"/>
    <w:autoRedefine/>
    <w:uiPriority w:val="39"/>
    <w:unhideWhenUsed/>
    <w:rsid w:val="00D620B9"/>
    <w:pPr>
      <w:spacing w:after="100"/>
      <w:ind w:left="240"/>
    </w:pPr>
  </w:style>
  <w:style w:type="paragraph" w:styleId="TOC3">
    <w:name w:val="toc 3"/>
    <w:basedOn w:val="Normal"/>
    <w:next w:val="Normal"/>
    <w:autoRedefine/>
    <w:uiPriority w:val="39"/>
    <w:unhideWhenUsed/>
    <w:rsid w:val="00D620B9"/>
    <w:pPr>
      <w:spacing w:after="100"/>
      <w:ind w:left="480"/>
    </w:pPr>
  </w:style>
  <w:style w:type="paragraph" w:styleId="Closing">
    <w:name w:val="Closing"/>
    <w:basedOn w:val="Normal"/>
    <w:link w:val="ClosingChar"/>
    <w:uiPriority w:val="99"/>
    <w:rsid w:val="0046790A"/>
    <w:pPr>
      <w:widowControl/>
      <w:adjustRightInd/>
      <w:spacing w:line="240" w:lineRule="auto"/>
      <w:ind w:left="4320"/>
      <w:jc w:val="left"/>
      <w:textAlignment w:val="auto"/>
    </w:pPr>
    <w:rPr>
      <w:sz w:val="20"/>
      <w:szCs w:val="20"/>
    </w:rPr>
  </w:style>
  <w:style w:type="character" w:customStyle="1" w:styleId="ClosingChar">
    <w:name w:val="Closing Char"/>
    <w:basedOn w:val="DefaultParagraphFont"/>
    <w:link w:val="Closing"/>
    <w:uiPriority w:val="99"/>
    <w:rsid w:val="0046790A"/>
    <w:rPr>
      <w:rFonts w:ascii="Times New Roman" w:eastAsia="Times New Roman" w:hAnsi="Times New Roman" w:cs="Times New Roman"/>
      <w:sz w:val="20"/>
      <w:szCs w:val="20"/>
    </w:rPr>
  </w:style>
  <w:style w:type="character" w:customStyle="1" w:styleId="FootnoteTextChar2">
    <w:name w:val="Footnote Text Char2"/>
    <w:aliases w:val="Footnote Text Char Char,Footnote Text Char1 Char Char,Footnote Text Char Char Char Char,Footnote Text Char1 Char Char Char Char,Footnote Text Char Char Char Char Char Char,Footnote Text Char Char1 Char Char,Footnote Text Char1 Char1"/>
    <w:basedOn w:val="DefaultParagraphFont"/>
    <w:uiPriority w:val="99"/>
    <w:rsid w:val="00AB5840"/>
  </w:style>
  <w:style w:type="character" w:styleId="FollowedHyperlink">
    <w:name w:val="FollowedHyperlink"/>
    <w:basedOn w:val="DefaultParagraphFont"/>
    <w:uiPriority w:val="99"/>
    <w:semiHidden/>
    <w:unhideWhenUsed/>
    <w:rsid w:val="00E96EAE"/>
    <w:rPr>
      <w:color w:val="800080" w:themeColor="followedHyperlink"/>
      <w:u w:val="single"/>
    </w:rPr>
  </w:style>
  <w:style w:type="paragraph" w:customStyle="1" w:styleId="Default">
    <w:name w:val="Default"/>
    <w:rsid w:val="0074677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A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5210">
      <w:bodyDiv w:val="1"/>
      <w:marLeft w:val="0"/>
      <w:marRight w:val="0"/>
      <w:marTop w:val="0"/>
      <w:marBottom w:val="0"/>
      <w:divBdr>
        <w:top w:val="none" w:sz="0" w:space="0" w:color="auto"/>
        <w:left w:val="none" w:sz="0" w:space="0" w:color="auto"/>
        <w:bottom w:val="none" w:sz="0" w:space="0" w:color="auto"/>
        <w:right w:val="none" w:sz="0" w:space="0" w:color="auto"/>
      </w:divBdr>
    </w:div>
    <w:div w:id="770858215">
      <w:bodyDiv w:val="1"/>
      <w:marLeft w:val="0"/>
      <w:marRight w:val="0"/>
      <w:marTop w:val="0"/>
      <w:marBottom w:val="0"/>
      <w:divBdr>
        <w:top w:val="none" w:sz="0" w:space="0" w:color="auto"/>
        <w:left w:val="none" w:sz="0" w:space="0" w:color="auto"/>
        <w:bottom w:val="none" w:sz="0" w:space="0" w:color="auto"/>
        <w:right w:val="none" w:sz="0" w:space="0" w:color="auto"/>
      </w:divBdr>
    </w:div>
    <w:div w:id="804003502">
      <w:bodyDiv w:val="1"/>
      <w:marLeft w:val="0"/>
      <w:marRight w:val="0"/>
      <w:marTop w:val="0"/>
      <w:marBottom w:val="0"/>
      <w:divBdr>
        <w:top w:val="none" w:sz="0" w:space="0" w:color="auto"/>
        <w:left w:val="none" w:sz="0" w:space="0" w:color="auto"/>
        <w:bottom w:val="none" w:sz="0" w:space="0" w:color="auto"/>
        <w:right w:val="none" w:sz="0" w:space="0" w:color="auto"/>
      </w:divBdr>
    </w:div>
    <w:div w:id="917059735">
      <w:bodyDiv w:val="1"/>
      <w:marLeft w:val="0"/>
      <w:marRight w:val="0"/>
      <w:marTop w:val="0"/>
      <w:marBottom w:val="0"/>
      <w:divBdr>
        <w:top w:val="none" w:sz="0" w:space="0" w:color="auto"/>
        <w:left w:val="none" w:sz="0" w:space="0" w:color="auto"/>
        <w:bottom w:val="none" w:sz="0" w:space="0" w:color="auto"/>
        <w:right w:val="none" w:sz="0" w:space="0" w:color="auto"/>
      </w:divBdr>
    </w:div>
    <w:div w:id="1185940735">
      <w:bodyDiv w:val="1"/>
      <w:marLeft w:val="0"/>
      <w:marRight w:val="0"/>
      <w:marTop w:val="0"/>
      <w:marBottom w:val="0"/>
      <w:divBdr>
        <w:top w:val="none" w:sz="0" w:space="0" w:color="auto"/>
        <w:left w:val="none" w:sz="0" w:space="0" w:color="auto"/>
        <w:bottom w:val="none" w:sz="0" w:space="0" w:color="auto"/>
        <w:right w:val="none" w:sz="0" w:space="0" w:color="auto"/>
      </w:divBdr>
      <w:divsChild>
        <w:div w:id="364215507">
          <w:marLeft w:val="0"/>
          <w:marRight w:val="0"/>
          <w:marTop w:val="0"/>
          <w:marBottom w:val="0"/>
          <w:divBdr>
            <w:top w:val="none" w:sz="0" w:space="0" w:color="auto"/>
            <w:left w:val="single" w:sz="6" w:space="0" w:color="BBBBBB"/>
            <w:bottom w:val="single" w:sz="6" w:space="0" w:color="BBBBBB"/>
            <w:right w:val="single" w:sz="6" w:space="0" w:color="BBBBBB"/>
          </w:divBdr>
          <w:divsChild>
            <w:div w:id="1139764142">
              <w:marLeft w:val="0"/>
              <w:marRight w:val="0"/>
              <w:marTop w:val="0"/>
              <w:marBottom w:val="0"/>
              <w:divBdr>
                <w:top w:val="none" w:sz="0" w:space="0" w:color="auto"/>
                <w:left w:val="none" w:sz="0" w:space="0" w:color="auto"/>
                <w:bottom w:val="none" w:sz="0" w:space="0" w:color="auto"/>
                <w:right w:val="none" w:sz="0" w:space="0" w:color="auto"/>
              </w:divBdr>
              <w:divsChild>
                <w:div w:id="272253191">
                  <w:marLeft w:val="0"/>
                  <w:marRight w:val="0"/>
                  <w:marTop w:val="0"/>
                  <w:marBottom w:val="0"/>
                  <w:divBdr>
                    <w:top w:val="none" w:sz="0" w:space="0" w:color="auto"/>
                    <w:left w:val="none" w:sz="0" w:space="0" w:color="auto"/>
                    <w:bottom w:val="none" w:sz="0" w:space="0" w:color="auto"/>
                    <w:right w:val="none" w:sz="0" w:space="0" w:color="auto"/>
                  </w:divBdr>
                  <w:divsChild>
                    <w:div w:id="995844590">
                      <w:marLeft w:val="0"/>
                      <w:marRight w:val="0"/>
                      <w:marTop w:val="0"/>
                      <w:marBottom w:val="0"/>
                      <w:divBdr>
                        <w:top w:val="none" w:sz="0" w:space="0" w:color="auto"/>
                        <w:left w:val="none" w:sz="0" w:space="0" w:color="auto"/>
                        <w:bottom w:val="none" w:sz="0" w:space="0" w:color="auto"/>
                        <w:right w:val="none" w:sz="0" w:space="0" w:color="auto"/>
                      </w:divBdr>
                      <w:divsChild>
                        <w:div w:id="1411193065">
                          <w:marLeft w:val="0"/>
                          <w:marRight w:val="0"/>
                          <w:marTop w:val="0"/>
                          <w:marBottom w:val="0"/>
                          <w:divBdr>
                            <w:top w:val="none" w:sz="0" w:space="0" w:color="auto"/>
                            <w:left w:val="none" w:sz="0" w:space="0" w:color="auto"/>
                            <w:bottom w:val="none" w:sz="0" w:space="0" w:color="auto"/>
                            <w:right w:val="none" w:sz="0" w:space="0" w:color="auto"/>
                          </w:divBdr>
                          <w:divsChild>
                            <w:div w:id="47654440">
                              <w:marLeft w:val="0"/>
                              <w:marRight w:val="0"/>
                              <w:marTop w:val="0"/>
                              <w:marBottom w:val="0"/>
                              <w:divBdr>
                                <w:top w:val="none" w:sz="0" w:space="0" w:color="auto"/>
                                <w:left w:val="none" w:sz="0" w:space="0" w:color="auto"/>
                                <w:bottom w:val="none" w:sz="0" w:space="0" w:color="auto"/>
                                <w:right w:val="none" w:sz="0" w:space="0" w:color="auto"/>
                              </w:divBdr>
                              <w:divsChild>
                                <w:div w:id="1313565430">
                                  <w:marLeft w:val="0"/>
                                  <w:marRight w:val="0"/>
                                  <w:marTop w:val="0"/>
                                  <w:marBottom w:val="0"/>
                                  <w:divBdr>
                                    <w:top w:val="none" w:sz="0" w:space="0" w:color="auto"/>
                                    <w:left w:val="none" w:sz="0" w:space="0" w:color="auto"/>
                                    <w:bottom w:val="none" w:sz="0" w:space="0" w:color="auto"/>
                                    <w:right w:val="none" w:sz="0" w:space="0" w:color="auto"/>
                                  </w:divBdr>
                                  <w:divsChild>
                                    <w:div w:id="2125348970">
                                      <w:marLeft w:val="0"/>
                                      <w:marRight w:val="0"/>
                                      <w:marTop w:val="0"/>
                                      <w:marBottom w:val="0"/>
                                      <w:divBdr>
                                        <w:top w:val="none" w:sz="0" w:space="0" w:color="auto"/>
                                        <w:left w:val="none" w:sz="0" w:space="0" w:color="auto"/>
                                        <w:bottom w:val="none" w:sz="0" w:space="0" w:color="auto"/>
                                        <w:right w:val="none" w:sz="0" w:space="0" w:color="auto"/>
                                      </w:divBdr>
                                      <w:divsChild>
                                        <w:div w:id="258485595">
                                          <w:marLeft w:val="1200"/>
                                          <w:marRight w:val="1200"/>
                                          <w:marTop w:val="0"/>
                                          <w:marBottom w:val="0"/>
                                          <w:divBdr>
                                            <w:top w:val="none" w:sz="0" w:space="0" w:color="auto"/>
                                            <w:left w:val="none" w:sz="0" w:space="0" w:color="auto"/>
                                            <w:bottom w:val="none" w:sz="0" w:space="0" w:color="auto"/>
                                            <w:right w:val="none" w:sz="0" w:space="0" w:color="auto"/>
                                          </w:divBdr>
                                          <w:divsChild>
                                            <w:div w:id="918100474">
                                              <w:marLeft w:val="0"/>
                                              <w:marRight w:val="0"/>
                                              <w:marTop w:val="0"/>
                                              <w:marBottom w:val="0"/>
                                              <w:divBdr>
                                                <w:top w:val="none" w:sz="0" w:space="0" w:color="auto"/>
                                                <w:left w:val="none" w:sz="0" w:space="0" w:color="auto"/>
                                                <w:bottom w:val="none" w:sz="0" w:space="0" w:color="auto"/>
                                                <w:right w:val="none" w:sz="0" w:space="0" w:color="auto"/>
                                              </w:divBdr>
                                              <w:divsChild>
                                                <w:div w:id="507672766">
                                                  <w:marLeft w:val="0"/>
                                                  <w:marRight w:val="0"/>
                                                  <w:marTop w:val="240"/>
                                                  <w:marBottom w:val="0"/>
                                                  <w:divBdr>
                                                    <w:top w:val="none" w:sz="0" w:space="0" w:color="auto"/>
                                                    <w:left w:val="none" w:sz="0" w:space="0" w:color="auto"/>
                                                    <w:bottom w:val="none" w:sz="0" w:space="0" w:color="auto"/>
                                                    <w:right w:val="none" w:sz="0" w:space="0" w:color="auto"/>
                                                  </w:divBdr>
                                                  <w:divsChild>
                                                    <w:div w:id="331376001">
                                                      <w:marLeft w:val="0"/>
                                                      <w:marRight w:val="0"/>
                                                      <w:marTop w:val="0"/>
                                                      <w:marBottom w:val="0"/>
                                                      <w:divBdr>
                                                        <w:top w:val="none" w:sz="0" w:space="0" w:color="auto"/>
                                                        <w:left w:val="none" w:sz="0" w:space="0" w:color="auto"/>
                                                        <w:bottom w:val="none" w:sz="0" w:space="0" w:color="auto"/>
                                                        <w:right w:val="none" w:sz="0" w:space="0" w:color="auto"/>
                                                      </w:divBdr>
                                                      <w:divsChild>
                                                        <w:div w:id="1468206859">
                                                          <w:marLeft w:val="1275"/>
                                                          <w:marRight w:val="0"/>
                                                          <w:marTop w:val="0"/>
                                                          <w:marBottom w:val="0"/>
                                                          <w:divBdr>
                                                            <w:top w:val="none" w:sz="0" w:space="0" w:color="auto"/>
                                                            <w:left w:val="none" w:sz="0" w:space="0" w:color="auto"/>
                                                            <w:bottom w:val="none" w:sz="0" w:space="0" w:color="auto"/>
                                                            <w:right w:val="none" w:sz="0" w:space="0" w:color="auto"/>
                                                          </w:divBdr>
                                                          <w:divsChild>
                                                            <w:div w:id="660432879">
                                                              <w:marLeft w:val="0"/>
                                                              <w:marRight w:val="0"/>
                                                              <w:marTop w:val="0"/>
                                                              <w:marBottom w:val="0"/>
                                                              <w:divBdr>
                                                                <w:top w:val="none" w:sz="0" w:space="0" w:color="auto"/>
                                                                <w:left w:val="none" w:sz="0" w:space="0" w:color="auto"/>
                                                                <w:bottom w:val="none" w:sz="0" w:space="0" w:color="auto"/>
                                                                <w:right w:val="none" w:sz="0" w:space="0" w:color="auto"/>
                                                              </w:divBdr>
                                                              <w:divsChild>
                                                                <w:div w:id="15990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175094">
      <w:bodyDiv w:val="1"/>
      <w:marLeft w:val="0"/>
      <w:marRight w:val="0"/>
      <w:marTop w:val="0"/>
      <w:marBottom w:val="0"/>
      <w:divBdr>
        <w:top w:val="none" w:sz="0" w:space="0" w:color="auto"/>
        <w:left w:val="none" w:sz="0" w:space="0" w:color="auto"/>
        <w:bottom w:val="none" w:sz="0" w:space="0" w:color="auto"/>
        <w:right w:val="none" w:sz="0" w:space="0" w:color="auto"/>
      </w:divBdr>
      <w:divsChild>
        <w:div w:id="1584535739">
          <w:marLeft w:val="0"/>
          <w:marRight w:val="0"/>
          <w:marTop w:val="0"/>
          <w:marBottom w:val="0"/>
          <w:divBdr>
            <w:top w:val="none" w:sz="0" w:space="0" w:color="auto"/>
            <w:left w:val="single" w:sz="6" w:space="0" w:color="BBBBBB"/>
            <w:bottom w:val="single" w:sz="6" w:space="0" w:color="BBBBBB"/>
            <w:right w:val="single" w:sz="6" w:space="0" w:color="BBBBBB"/>
          </w:divBdr>
          <w:divsChild>
            <w:div w:id="305670303">
              <w:marLeft w:val="0"/>
              <w:marRight w:val="0"/>
              <w:marTop w:val="0"/>
              <w:marBottom w:val="0"/>
              <w:divBdr>
                <w:top w:val="none" w:sz="0" w:space="0" w:color="auto"/>
                <w:left w:val="none" w:sz="0" w:space="0" w:color="auto"/>
                <w:bottom w:val="none" w:sz="0" w:space="0" w:color="auto"/>
                <w:right w:val="none" w:sz="0" w:space="0" w:color="auto"/>
              </w:divBdr>
              <w:divsChild>
                <w:div w:id="2084444385">
                  <w:marLeft w:val="0"/>
                  <w:marRight w:val="0"/>
                  <w:marTop w:val="0"/>
                  <w:marBottom w:val="0"/>
                  <w:divBdr>
                    <w:top w:val="none" w:sz="0" w:space="0" w:color="auto"/>
                    <w:left w:val="none" w:sz="0" w:space="0" w:color="auto"/>
                    <w:bottom w:val="none" w:sz="0" w:space="0" w:color="auto"/>
                    <w:right w:val="none" w:sz="0" w:space="0" w:color="auto"/>
                  </w:divBdr>
                  <w:divsChild>
                    <w:div w:id="1363821980">
                      <w:marLeft w:val="0"/>
                      <w:marRight w:val="0"/>
                      <w:marTop w:val="0"/>
                      <w:marBottom w:val="0"/>
                      <w:divBdr>
                        <w:top w:val="none" w:sz="0" w:space="0" w:color="auto"/>
                        <w:left w:val="none" w:sz="0" w:space="0" w:color="auto"/>
                        <w:bottom w:val="none" w:sz="0" w:space="0" w:color="auto"/>
                        <w:right w:val="none" w:sz="0" w:space="0" w:color="auto"/>
                      </w:divBdr>
                      <w:divsChild>
                        <w:div w:id="1361396583">
                          <w:marLeft w:val="0"/>
                          <w:marRight w:val="0"/>
                          <w:marTop w:val="0"/>
                          <w:marBottom w:val="0"/>
                          <w:divBdr>
                            <w:top w:val="none" w:sz="0" w:space="0" w:color="auto"/>
                            <w:left w:val="none" w:sz="0" w:space="0" w:color="auto"/>
                            <w:bottom w:val="none" w:sz="0" w:space="0" w:color="auto"/>
                            <w:right w:val="none" w:sz="0" w:space="0" w:color="auto"/>
                          </w:divBdr>
                          <w:divsChild>
                            <w:div w:id="1660041122">
                              <w:marLeft w:val="0"/>
                              <w:marRight w:val="0"/>
                              <w:marTop w:val="0"/>
                              <w:marBottom w:val="0"/>
                              <w:divBdr>
                                <w:top w:val="none" w:sz="0" w:space="0" w:color="auto"/>
                                <w:left w:val="none" w:sz="0" w:space="0" w:color="auto"/>
                                <w:bottom w:val="none" w:sz="0" w:space="0" w:color="auto"/>
                                <w:right w:val="none" w:sz="0" w:space="0" w:color="auto"/>
                              </w:divBdr>
                              <w:divsChild>
                                <w:div w:id="1030303196">
                                  <w:marLeft w:val="0"/>
                                  <w:marRight w:val="0"/>
                                  <w:marTop w:val="0"/>
                                  <w:marBottom w:val="0"/>
                                  <w:divBdr>
                                    <w:top w:val="none" w:sz="0" w:space="0" w:color="auto"/>
                                    <w:left w:val="none" w:sz="0" w:space="0" w:color="auto"/>
                                    <w:bottom w:val="none" w:sz="0" w:space="0" w:color="auto"/>
                                    <w:right w:val="none" w:sz="0" w:space="0" w:color="auto"/>
                                  </w:divBdr>
                                  <w:divsChild>
                                    <w:div w:id="400565389">
                                      <w:marLeft w:val="0"/>
                                      <w:marRight w:val="0"/>
                                      <w:marTop w:val="0"/>
                                      <w:marBottom w:val="0"/>
                                      <w:divBdr>
                                        <w:top w:val="none" w:sz="0" w:space="0" w:color="auto"/>
                                        <w:left w:val="none" w:sz="0" w:space="0" w:color="auto"/>
                                        <w:bottom w:val="none" w:sz="0" w:space="0" w:color="auto"/>
                                        <w:right w:val="none" w:sz="0" w:space="0" w:color="auto"/>
                                      </w:divBdr>
                                      <w:divsChild>
                                        <w:div w:id="1526138407">
                                          <w:marLeft w:val="1200"/>
                                          <w:marRight w:val="1200"/>
                                          <w:marTop w:val="0"/>
                                          <w:marBottom w:val="0"/>
                                          <w:divBdr>
                                            <w:top w:val="none" w:sz="0" w:space="0" w:color="auto"/>
                                            <w:left w:val="none" w:sz="0" w:space="0" w:color="auto"/>
                                            <w:bottom w:val="none" w:sz="0" w:space="0" w:color="auto"/>
                                            <w:right w:val="none" w:sz="0" w:space="0" w:color="auto"/>
                                          </w:divBdr>
                                          <w:divsChild>
                                            <w:div w:id="930312255">
                                              <w:marLeft w:val="0"/>
                                              <w:marRight w:val="0"/>
                                              <w:marTop w:val="0"/>
                                              <w:marBottom w:val="0"/>
                                              <w:divBdr>
                                                <w:top w:val="none" w:sz="0" w:space="0" w:color="auto"/>
                                                <w:left w:val="none" w:sz="0" w:space="0" w:color="auto"/>
                                                <w:bottom w:val="none" w:sz="0" w:space="0" w:color="auto"/>
                                                <w:right w:val="none" w:sz="0" w:space="0" w:color="auto"/>
                                              </w:divBdr>
                                              <w:divsChild>
                                                <w:div w:id="768963043">
                                                  <w:marLeft w:val="0"/>
                                                  <w:marRight w:val="0"/>
                                                  <w:marTop w:val="240"/>
                                                  <w:marBottom w:val="0"/>
                                                  <w:divBdr>
                                                    <w:top w:val="none" w:sz="0" w:space="0" w:color="auto"/>
                                                    <w:left w:val="none" w:sz="0" w:space="0" w:color="auto"/>
                                                    <w:bottom w:val="none" w:sz="0" w:space="0" w:color="auto"/>
                                                    <w:right w:val="none" w:sz="0" w:space="0" w:color="auto"/>
                                                  </w:divBdr>
                                                  <w:divsChild>
                                                    <w:div w:id="2015985023">
                                                      <w:marLeft w:val="0"/>
                                                      <w:marRight w:val="0"/>
                                                      <w:marTop w:val="0"/>
                                                      <w:marBottom w:val="0"/>
                                                      <w:divBdr>
                                                        <w:top w:val="none" w:sz="0" w:space="0" w:color="auto"/>
                                                        <w:left w:val="none" w:sz="0" w:space="0" w:color="auto"/>
                                                        <w:bottom w:val="none" w:sz="0" w:space="0" w:color="auto"/>
                                                        <w:right w:val="none" w:sz="0" w:space="0" w:color="auto"/>
                                                      </w:divBdr>
                                                      <w:divsChild>
                                                        <w:div w:id="480462336">
                                                          <w:marLeft w:val="1275"/>
                                                          <w:marRight w:val="0"/>
                                                          <w:marTop w:val="0"/>
                                                          <w:marBottom w:val="0"/>
                                                          <w:divBdr>
                                                            <w:top w:val="none" w:sz="0" w:space="0" w:color="auto"/>
                                                            <w:left w:val="none" w:sz="0" w:space="0" w:color="auto"/>
                                                            <w:bottom w:val="none" w:sz="0" w:space="0" w:color="auto"/>
                                                            <w:right w:val="none" w:sz="0" w:space="0" w:color="auto"/>
                                                          </w:divBdr>
                                                          <w:divsChild>
                                                            <w:div w:id="1983458047">
                                                              <w:marLeft w:val="0"/>
                                                              <w:marRight w:val="0"/>
                                                              <w:marTop w:val="0"/>
                                                              <w:marBottom w:val="0"/>
                                                              <w:divBdr>
                                                                <w:top w:val="none" w:sz="0" w:space="0" w:color="auto"/>
                                                                <w:left w:val="none" w:sz="0" w:space="0" w:color="auto"/>
                                                                <w:bottom w:val="none" w:sz="0" w:space="0" w:color="auto"/>
                                                                <w:right w:val="none" w:sz="0" w:space="0" w:color="auto"/>
                                                              </w:divBdr>
                                                              <w:divsChild>
                                                                <w:div w:id="13195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0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rel.gov/docs/fy12osti/536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55A597-6868-4330-9AD5-1895891F6B0B}"/>
</file>

<file path=customXml/itemProps2.xml><?xml version="1.0" encoding="utf-8"?>
<ds:datastoreItem xmlns:ds="http://schemas.openxmlformats.org/officeDocument/2006/customXml" ds:itemID="{2A45BFBE-5757-4B5D-B829-AB0BB3882ACC}"/>
</file>

<file path=customXml/itemProps3.xml><?xml version="1.0" encoding="utf-8"?>
<ds:datastoreItem xmlns:ds="http://schemas.openxmlformats.org/officeDocument/2006/customXml" ds:itemID="{CED88218-E111-4E0A-BBDD-D615A78EF6EC}"/>
</file>

<file path=customXml/itemProps4.xml><?xml version="1.0" encoding="utf-8"?>
<ds:datastoreItem xmlns:ds="http://schemas.openxmlformats.org/officeDocument/2006/customXml" ds:itemID="{822698B9-32C4-4A90-8B33-6D21E48BB847}"/>
</file>

<file path=docProps/app.xml><?xml version="1.0" encoding="utf-8"?>
<Properties xmlns="http://schemas.openxmlformats.org/officeDocument/2006/extended-properties" xmlns:vt="http://schemas.openxmlformats.org/officeDocument/2006/docPropsVTypes">
  <Template>Normal.dotm</Template>
  <TotalTime>0</TotalTime>
  <Pages>46</Pages>
  <Words>9618</Words>
  <Characters>54828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2016-04-26T20:18:00Z</dcterms:created>
  <dcterms:modified xsi:type="dcterms:W3CDTF">2016-04-26T20:21:00Z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