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F8070" w14:textId="77777777" w:rsidR="00D93BD6" w:rsidRPr="00F954C7" w:rsidRDefault="00D93BD6" w:rsidP="00D93BD6">
      <w:pPr>
        <w:jc w:val="center"/>
        <w:rPr>
          <w:rFonts w:ascii="Times New Roman" w:hAnsi="Times New Roman" w:cs="Times New Roman"/>
          <w:b/>
        </w:rPr>
      </w:pPr>
      <w:r w:rsidRPr="00F954C7">
        <w:rPr>
          <w:rFonts w:ascii="Times New Roman" w:hAnsi="Times New Roman" w:cs="Times New Roman"/>
          <w:b/>
        </w:rPr>
        <w:t xml:space="preserve">BEFORE THE WASHINGTON STATE </w:t>
      </w:r>
    </w:p>
    <w:p w14:paraId="231F4632" w14:textId="77777777" w:rsidR="00D93BD6" w:rsidRPr="00F954C7" w:rsidRDefault="00D93BD6" w:rsidP="00D93BD6">
      <w:pPr>
        <w:jc w:val="center"/>
        <w:rPr>
          <w:rFonts w:ascii="Times New Roman" w:hAnsi="Times New Roman" w:cs="Times New Roman"/>
          <w:b/>
        </w:rPr>
      </w:pPr>
      <w:r w:rsidRPr="00F954C7">
        <w:rPr>
          <w:rFonts w:ascii="Times New Roman" w:hAnsi="Times New Roman" w:cs="Times New Roman"/>
          <w:b/>
        </w:rPr>
        <w:t>UTILITIES AND TRANSPORTATION COMMISSION</w:t>
      </w:r>
    </w:p>
    <w:p w14:paraId="01D4A93C" w14:textId="77777777" w:rsidR="00D93BD6" w:rsidRPr="00F954C7" w:rsidRDefault="00D93BD6" w:rsidP="00D93BD6">
      <w:pPr>
        <w:pStyle w:val="CourtName"/>
        <w:rPr>
          <w:b/>
          <w:caps/>
        </w:rPr>
      </w:pPr>
    </w:p>
    <w:p w14:paraId="566D17B2" w14:textId="77777777" w:rsidR="00D93BD6" w:rsidRPr="00F954C7" w:rsidRDefault="00D93BD6" w:rsidP="00D93BD6">
      <w:pPr>
        <w:jc w:val="center"/>
        <w:rPr>
          <w:rFonts w:ascii="Times New Roman" w:hAnsi="Times New Roman" w:cs="Times New Roman"/>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770"/>
      </w:tblGrid>
      <w:tr w:rsidR="00D93BD6" w:rsidRPr="00F954C7" w14:paraId="480BA5C9" w14:textId="77777777" w:rsidTr="00D93BD6">
        <w:tc>
          <w:tcPr>
            <w:tcW w:w="4500" w:type="dxa"/>
            <w:tcBorders>
              <w:bottom w:val="single" w:sz="4" w:space="0" w:color="auto"/>
              <w:right w:val="single" w:sz="6" w:space="0" w:color="auto"/>
            </w:tcBorders>
          </w:tcPr>
          <w:p w14:paraId="3232EAA6" w14:textId="77777777" w:rsidR="00D93BD6" w:rsidRPr="00F954C7" w:rsidRDefault="00D93BD6" w:rsidP="00D93BD6">
            <w:pPr>
              <w:ind w:left="-360"/>
              <w:rPr>
                <w:rFonts w:ascii="Times New Roman" w:hAnsi="Times New Roman" w:cs="Times New Roman"/>
              </w:rPr>
            </w:pPr>
            <w:bookmarkStart w:id="0" w:name="Appellant_Name"/>
            <w:bookmarkStart w:id="1" w:name="tag2"/>
            <w:bookmarkStart w:id="2" w:name="Caption"/>
            <w:bookmarkEnd w:id="0"/>
            <w:bookmarkEnd w:id="1"/>
            <w:r w:rsidRPr="00F954C7">
              <w:rPr>
                <w:rFonts w:ascii="Times New Roman" w:hAnsi="Times New Roman" w:cs="Times New Roman"/>
              </w:rPr>
              <w:t xml:space="preserve">WASHINGTON UTILITIES AND TRANSPORTATION COMMISSION, </w:t>
            </w:r>
          </w:p>
          <w:p w14:paraId="6660AAC2" w14:textId="77777777" w:rsidR="00D93BD6" w:rsidRPr="00F954C7" w:rsidRDefault="00D93BD6" w:rsidP="00D93BD6">
            <w:pPr>
              <w:ind w:left="-360"/>
              <w:rPr>
                <w:rFonts w:ascii="Times New Roman" w:hAnsi="Times New Roman" w:cs="Times New Roman"/>
              </w:rPr>
            </w:pPr>
          </w:p>
          <w:p w14:paraId="2583C71E"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t xml:space="preserve">Complainant, </w:t>
            </w:r>
          </w:p>
          <w:p w14:paraId="4B7AA04A" w14:textId="77777777" w:rsidR="00D93BD6" w:rsidRPr="00F954C7" w:rsidRDefault="00D93BD6" w:rsidP="00D93BD6">
            <w:pPr>
              <w:ind w:left="-360"/>
              <w:rPr>
                <w:rFonts w:ascii="Times New Roman" w:hAnsi="Times New Roman" w:cs="Times New Roman"/>
              </w:rPr>
            </w:pPr>
          </w:p>
          <w:p w14:paraId="3A642148"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v. </w:t>
            </w:r>
          </w:p>
          <w:p w14:paraId="2E5D9E4D" w14:textId="77777777" w:rsidR="00D93BD6" w:rsidRPr="00F954C7" w:rsidRDefault="00D93BD6" w:rsidP="00D93BD6">
            <w:pPr>
              <w:ind w:left="-360"/>
              <w:rPr>
                <w:rFonts w:ascii="Times New Roman" w:hAnsi="Times New Roman" w:cs="Times New Roman"/>
              </w:rPr>
            </w:pPr>
          </w:p>
          <w:p w14:paraId="588EACF7"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PACIFIC POWER &amp; LIGHT COMPANY, d/b/a PACIFICORP, </w:t>
            </w:r>
          </w:p>
          <w:p w14:paraId="748E5406" w14:textId="77777777" w:rsidR="00D93BD6" w:rsidRPr="00F954C7" w:rsidRDefault="00D93BD6" w:rsidP="00D93BD6">
            <w:pPr>
              <w:ind w:left="-360"/>
              <w:rPr>
                <w:rFonts w:ascii="Times New Roman" w:hAnsi="Times New Roman" w:cs="Times New Roman"/>
              </w:rPr>
            </w:pPr>
          </w:p>
          <w:p w14:paraId="133A5149" w14:textId="77777777" w:rsidR="00D93BD6" w:rsidRPr="00F954C7" w:rsidRDefault="00D93BD6" w:rsidP="00D93BD6">
            <w:pPr>
              <w:spacing w:line="240" w:lineRule="exact"/>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t xml:space="preserve">Respondent. </w:t>
            </w:r>
          </w:p>
          <w:p w14:paraId="3F4D0E99" w14:textId="77777777" w:rsidR="00D93BD6" w:rsidRPr="00F954C7" w:rsidRDefault="00D93BD6" w:rsidP="00D93BD6">
            <w:pPr>
              <w:spacing w:line="240" w:lineRule="exact"/>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t xml:space="preserve">        </w:t>
            </w:r>
          </w:p>
        </w:tc>
        <w:tc>
          <w:tcPr>
            <w:tcW w:w="4770" w:type="dxa"/>
            <w:tcBorders>
              <w:left w:val="nil"/>
            </w:tcBorders>
          </w:tcPr>
          <w:p w14:paraId="0A35DC73" w14:textId="77777777" w:rsidR="00D93BD6" w:rsidRPr="00F954C7" w:rsidRDefault="00D93BD6" w:rsidP="00D93BD6">
            <w:pPr>
              <w:rPr>
                <w:rFonts w:ascii="Times New Roman" w:hAnsi="Times New Roman" w:cs="Times New Roman"/>
              </w:rPr>
            </w:pPr>
            <w:bookmarkStart w:id="3" w:name="Court_Doc_Number"/>
            <w:bookmarkEnd w:id="3"/>
            <w:r w:rsidRPr="00F954C7">
              <w:rPr>
                <w:rFonts w:ascii="Times New Roman" w:hAnsi="Times New Roman" w:cs="Times New Roman"/>
              </w:rPr>
              <w:t>DOCKET UE-140762 and UE-140617 (</w:t>
            </w:r>
            <w:r w:rsidRPr="00F954C7">
              <w:rPr>
                <w:rFonts w:ascii="Times New Roman" w:hAnsi="Times New Roman" w:cs="Times New Roman"/>
                <w:i/>
              </w:rPr>
              <w:t>consolidated</w:t>
            </w:r>
            <w:r w:rsidRPr="00F954C7">
              <w:rPr>
                <w:rFonts w:ascii="Times New Roman" w:hAnsi="Times New Roman" w:cs="Times New Roman"/>
              </w:rPr>
              <w:t xml:space="preserve">) </w:t>
            </w:r>
          </w:p>
          <w:p w14:paraId="4F56EB96" w14:textId="77777777" w:rsidR="00D93BD6" w:rsidRPr="00F954C7" w:rsidRDefault="00D93BD6" w:rsidP="00D93BD6">
            <w:pPr>
              <w:rPr>
                <w:rFonts w:ascii="Times New Roman" w:hAnsi="Times New Roman" w:cs="Times New Roman"/>
              </w:rPr>
            </w:pPr>
          </w:p>
          <w:p w14:paraId="5498C217" w14:textId="77777777" w:rsidR="00D93BD6" w:rsidRPr="00F954C7" w:rsidRDefault="00D93BD6" w:rsidP="00D93BD6">
            <w:pPr>
              <w:rPr>
                <w:rFonts w:ascii="Times New Roman" w:hAnsi="Times New Roman" w:cs="Times New Roman"/>
              </w:rPr>
            </w:pPr>
          </w:p>
          <w:p w14:paraId="035ADC14" w14:textId="77777777" w:rsidR="00D93BD6" w:rsidRPr="00F954C7" w:rsidRDefault="00D93BD6" w:rsidP="00D93BD6">
            <w:pPr>
              <w:rPr>
                <w:rFonts w:ascii="Times New Roman" w:hAnsi="Times New Roman" w:cs="Times New Roman"/>
              </w:rPr>
            </w:pPr>
          </w:p>
          <w:p w14:paraId="4FB99812" w14:textId="77777777" w:rsidR="00D93BD6" w:rsidRPr="00F954C7" w:rsidRDefault="00D93BD6" w:rsidP="00D93BD6">
            <w:pPr>
              <w:rPr>
                <w:rFonts w:ascii="Times New Roman" w:hAnsi="Times New Roman" w:cs="Times New Roman"/>
              </w:rPr>
            </w:pPr>
          </w:p>
          <w:p w14:paraId="1E0BDC35" w14:textId="77777777" w:rsidR="00D93BD6" w:rsidRPr="00F954C7" w:rsidRDefault="00D93BD6" w:rsidP="00D93BD6">
            <w:pPr>
              <w:spacing w:line="240" w:lineRule="exact"/>
              <w:rPr>
                <w:rFonts w:ascii="Times New Roman" w:hAnsi="Times New Roman" w:cs="Times New Roman"/>
              </w:rPr>
            </w:pPr>
          </w:p>
        </w:tc>
      </w:tr>
      <w:tr w:rsidR="00D93BD6" w:rsidRPr="00F954C7" w14:paraId="69708D96" w14:textId="77777777" w:rsidTr="00D93BD6">
        <w:tc>
          <w:tcPr>
            <w:tcW w:w="4500" w:type="dxa"/>
            <w:tcBorders>
              <w:top w:val="single" w:sz="4" w:space="0" w:color="auto"/>
              <w:bottom w:val="single" w:sz="4" w:space="0" w:color="auto"/>
              <w:right w:val="single" w:sz="6" w:space="0" w:color="auto"/>
            </w:tcBorders>
          </w:tcPr>
          <w:p w14:paraId="01E3E345" w14:textId="77777777" w:rsidR="00D93BD6" w:rsidRPr="00F954C7" w:rsidRDefault="00D93BD6" w:rsidP="00D93BD6">
            <w:pPr>
              <w:ind w:left="-360"/>
              <w:rPr>
                <w:rFonts w:ascii="Times New Roman" w:hAnsi="Times New Roman" w:cs="Times New Roman"/>
              </w:rPr>
            </w:pPr>
          </w:p>
          <w:p w14:paraId="1E9279FA"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In the Matter of the Petition of </w:t>
            </w:r>
          </w:p>
          <w:p w14:paraId="745E303B" w14:textId="77777777" w:rsidR="00D93BD6" w:rsidRPr="00F954C7" w:rsidRDefault="00D93BD6" w:rsidP="00D93BD6">
            <w:pPr>
              <w:ind w:left="-360"/>
              <w:rPr>
                <w:rFonts w:ascii="Times New Roman" w:hAnsi="Times New Roman" w:cs="Times New Roman"/>
              </w:rPr>
            </w:pPr>
          </w:p>
          <w:p w14:paraId="5C6D320E"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PACIFIC POWER &amp; LIGHT COMPANY, </w:t>
            </w:r>
          </w:p>
          <w:p w14:paraId="64262F35" w14:textId="77777777" w:rsidR="00D93BD6" w:rsidRPr="00F954C7" w:rsidRDefault="00D93BD6" w:rsidP="00D93BD6">
            <w:pPr>
              <w:ind w:left="-360"/>
              <w:rPr>
                <w:rFonts w:ascii="Times New Roman" w:hAnsi="Times New Roman" w:cs="Times New Roman"/>
              </w:rPr>
            </w:pPr>
          </w:p>
          <w:p w14:paraId="27EDE237"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For an Order Approving Deferral of Costs Related to Colstrip Outage.</w:t>
            </w:r>
          </w:p>
          <w:p w14:paraId="6C0C2946" w14:textId="77777777" w:rsidR="00D93BD6" w:rsidRPr="00F954C7" w:rsidRDefault="00D93BD6" w:rsidP="00D93BD6">
            <w:pPr>
              <w:ind w:left="-360"/>
              <w:rPr>
                <w:rFonts w:ascii="Times New Roman" w:hAnsi="Times New Roman" w:cs="Times New Roman"/>
              </w:rPr>
            </w:pPr>
          </w:p>
        </w:tc>
        <w:tc>
          <w:tcPr>
            <w:tcW w:w="4770" w:type="dxa"/>
            <w:tcBorders>
              <w:left w:val="nil"/>
            </w:tcBorders>
          </w:tcPr>
          <w:p w14:paraId="299865B5" w14:textId="77777777" w:rsidR="00D93BD6" w:rsidRPr="00F954C7" w:rsidRDefault="00D93BD6" w:rsidP="00D93BD6">
            <w:pPr>
              <w:rPr>
                <w:rFonts w:ascii="Times New Roman" w:hAnsi="Times New Roman" w:cs="Times New Roman"/>
              </w:rPr>
            </w:pPr>
          </w:p>
          <w:p w14:paraId="56828D38" w14:textId="77777777" w:rsidR="00D93BD6" w:rsidRPr="00F954C7" w:rsidRDefault="00D93BD6" w:rsidP="00D93BD6">
            <w:pPr>
              <w:rPr>
                <w:rFonts w:ascii="Times New Roman" w:hAnsi="Times New Roman" w:cs="Times New Roman"/>
              </w:rPr>
            </w:pPr>
            <w:r w:rsidRPr="00F954C7">
              <w:rPr>
                <w:rFonts w:ascii="Times New Roman" w:hAnsi="Times New Roman" w:cs="Times New Roman"/>
              </w:rPr>
              <w:t>DOCKET UE-131384 (</w:t>
            </w:r>
            <w:r w:rsidRPr="00F954C7">
              <w:rPr>
                <w:rFonts w:ascii="Times New Roman" w:hAnsi="Times New Roman" w:cs="Times New Roman"/>
                <w:i/>
              </w:rPr>
              <w:t>consolidated</w:t>
            </w:r>
            <w:r w:rsidRPr="00F954C7">
              <w:rPr>
                <w:rFonts w:ascii="Times New Roman" w:hAnsi="Times New Roman" w:cs="Times New Roman"/>
              </w:rPr>
              <w:t xml:space="preserve">) </w:t>
            </w:r>
          </w:p>
        </w:tc>
      </w:tr>
      <w:tr w:rsidR="00D93BD6" w:rsidRPr="00F954C7" w14:paraId="01C8C926" w14:textId="77777777" w:rsidTr="00D93BD6">
        <w:tc>
          <w:tcPr>
            <w:tcW w:w="4500" w:type="dxa"/>
            <w:tcBorders>
              <w:top w:val="single" w:sz="4" w:space="0" w:color="auto"/>
              <w:bottom w:val="single" w:sz="4" w:space="0" w:color="auto"/>
              <w:right w:val="single" w:sz="6" w:space="0" w:color="auto"/>
            </w:tcBorders>
          </w:tcPr>
          <w:p w14:paraId="1DF49114" w14:textId="77777777" w:rsidR="00D93BD6" w:rsidRPr="00F954C7" w:rsidRDefault="00D93BD6" w:rsidP="00D93BD6">
            <w:pPr>
              <w:ind w:left="-360"/>
              <w:rPr>
                <w:rFonts w:ascii="Times New Roman" w:hAnsi="Times New Roman" w:cs="Times New Roman"/>
              </w:rPr>
            </w:pPr>
          </w:p>
          <w:p w14:paraId="4A6E8116"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In the Matter of the Petition of </w:t>
            </w:r>
          </w:p>
          <w:p w14:paraId="0C5AF426" w14:textId="77777777" w:rsidR="00D93BD6" w:rsidRPr="00F954C7" w:rsidRDefault="00D93BD6" w:rsidP="00D93BD6">
            <w:pPr>
              <w:ind w:left="-360"/>
              <w:rPr>
                <w:rFonts w:ascii="Times New Roman" w:hAnsi="Times New Roman" w:cs="Times New Roman"/>
              </w:rPr>
            </w:pPr>
          </w:p>
          <w:p w14:paraId="18551067"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PACIFIC POWER &amp; LIGHT COMPANY,</w:t>
            </w:r>
          </w:p>
          <w:p w14:paraId="1262F48C" w14:textId="77777777" w:rsidR="00D93BD6" w:rsidRPr="00F954C7" w:rsidRDefault="00D93BD6" w:rsidP="00D93BD6">
            <w:pPr>
              <w:ind w:left="-360"/>
              <w:rPr>
                <w:rFonts w:ascii="Times New Roman" w:hAnsi="Times New Roman" w:cs="Times New Roman"/>
              </w:rPr>
            </w:pPr>
          </w:p>
          <w:p w14:paraId="794C4A04"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For an Order Approving Deferral of Costs Related to Declining Hydro Generation. </w:t>
            </w:r>
          </w:p>
          <w:p w14:paraId="7EC06D44" w14:textId="77777777" w:rsidR="00D93BD6" w:rsidRPr="00F954C7" w:rsidRDefault="00D93BD6" w:rsidP="00D93BD6">
            <w:pPr>
              <w:ind w:left="-360"/>
              <w:rPr>
                <w:rFonts w:ascii="Times New Roman" w:hAnsi="Times New Roman" w:cs="Times New Roman"/>
              </w:rPr>
            </w:pPr>
          </w:p>
        </w:tc>
        <w:tc>
          <w:tcPr>
            <w:tcW w:w="4770" w:type="dxa"/>
            <w:tcBorders>
              <w:left w:val="nil"/>
              <w:bottom w:val="nil"/>
            </w:tcBorders>
          </w:tcPr>
          <w:p w14:paraId="372CC69C" w14:textId="77777777" w:rsidR="00D93BD6" w:rsidRPr="00F954C7" w:rsidRDefault="00D93BD6" w:rsidP="00D93BD6">
            <w:pPr>
              <w:rPr>
                <w:rFonts w:ascii="Times New Roman" w:hAnsi="Times New Roman" w:cs="Times New Roman"/>
              </w:rPr>
            </w:pPr>
          </w:p>
          <w:p w14:paraId="4BCC20B8" w14:textId="77777777" w:rsidR="00D93BD6" w:rsidRPr="00F954C7" w:rsidRDefault="00D93BD6" w:rsidP="00D93BD6">
            <w:pPr>
              <w:rPr>
                <w:rFonts w:ascii="Times New Roman" w:hAnsi="Times New Roman" w:cs="Times New Roman"/>
              </w:rPr>
            </w:pPr>
            <w:r w:rsidRPr="00F954C7">
              <w:rPr>
                <w:rFonts w:ascii="Times New Roman" w:hAnsi="Times New Roman" w:cs="Times New Roman"/>
              </w:rPr>
              <w:t>Docket UE-140094 (</w:t>
            </w:r>
            <w:r w:rsidRPr="00F954C7">
              <w:rPr>
                <w:rFonts w:ascii="Times New Roman" w:hAnsi="Times New Roman" w:cs="Times New Roman"/>
                <w:i/>
              </w:rPr>
              <w:t>consolidated</w:t>
            </w:r>
            <w:r w:rsidRPr="00F954C7">
              <w:rPr>
                <w:rFonts w:ascii="Times New Roman" w:hAnsi="Times New Roman" w:cs="Times New Roman"/>
              </w:rPr>
              <w:t>)</w:t>
            </w:r>
          </w:p>
          <w:p w14:paraId="711008B5" w14:textId="77777777" w:rsidR="00D93BD6" w:rsidRPr="00F954C7" w:rsidRDefault="00D93BD6" w:rsidP="00D93BD6">
            <w:pPr>
              <w:rPr>
                <w:rFonts w:ascii="Times New Roman" w:hAnsi="Times New Roman" w:cs="Times New Roman"/>
              </w:rPr>
            </w:pPr>
          </w:p>
          <w:p w14:paraId="0F2B0E1B" w14:textId="47E2E5E8" w:rsidR="00D93BD6" w:rsidRPr="00F954C7" w:rsidRDefault="00D93BD6" w:rsidP="00D93BD6">
            <w:pPr>
              <w:rPr>
                <w:rFonts w:ascii="Times New Roman" w:hAnsi="Times New Roman" w:cs="Times New Roman"/>
              </w:rPr>
            </w:pPr>
          </w:p>
        </w:tc>
      </w:tr>
      <w:bookmarkEnd w:id="2"/>
    </w:tbl>
    <w:p w14:paraId="46D89977" w14:textId="77777777" w:rsidR="009A54C7" w:rsidRPr="00F954C7" w:rsidRDefault="009A54C7" w:rsidP="00D93BD6">
      <w:pPr>
        <w:rPr>
          <w:rFonts w:ascii="Times New Roman" w:hAnsi="Times New Roman" w:cs="Times New Roman"/>
          <w:b/>
          <w:u w:val="single"/>
        </w:rPr>
      </w:pPr>
    </w:p>
    <w:p w14:paraId="7E843BE6" w14:textId="77777777" w:rsidR="009A54C7" w:rsidRPr="00F954C7" w:rsidRDefault="009A54C7">
      <w:pPr>
        <w:rPr>
          <w:rFonts w:ascii="Times New Roman" w:hAnsi="Times New Roman" w:cs="Times New Roman"/>
          <w:b/>
          <w:u w:val="single"/>
        </w:rPr>
      </w:pPr>
    </w:p>
    <w:p w14:paraId="1EBE4A1D" w14:textId="2A8AC6D9" w:rsidR="00D93BD6" w:rsidRPr="00F954C7" w:rsidRDefault="00300C2B" w:rsidP="00D93BD6">
      <w:pPr>
        <w:jc w:val="center"/>
        <w:rPr>
          <w:rFonts w:ascii="Times New Roman" w:hAnsi="Times New Roman" w:cs="Times New Roman"/>
          <w:b/>
        </w:rPr>
      </w:pPr>
      <w:r>
        <w:rPr>
          <w:rFonts w:ascii="Times New Roman" w:hAnsi="Times New Roman" w:cs="Times New Roman"/>
          <w:b/>
        </w:rPr>
        <w:t>REPLY</w:t>
      </w:r>
      <w:r w:rsidR="007C3774">
        <w:rPr>
          <w:rFonts w:ascii="Times New Roman" w:hAnsi="Times New Roman" w:cs="Times New Roman"/>
          <w:b/>
        </w:rPr>
        <w:t xml:space="preserve"> </w:t>
      </w:r>
      <w:r w:rsidR="00D93BD6" w:rsidRPr="00F954C7">
        <w:rPr>
          <w:rFonts w:ascii="Times New Roman" w:hAnsi="Times New Roman" w:cs="Times New Roman"/>
          <w:b/>
        </w:rPr>
        <w:t xml:space="preserve">BRIEF ON BEHALF OF </w:t>
      </w:r>
    </w:p>
    <w:p w14:paraId="6D02C6C9" w14:textId="2C547BC2" w:rsidR="00463A40" w:rsidRPr="00F954C7" w:rsidRDefault="00D93BD6" w:rsidP="00463A40">
      <w:pPr>
        <w:jc w:val="center"/>
        <w:rPr>
          <w:rFonts w:ascii="Times New Roman" w:hAnsi="Times New Roman" w:cs="Times New Roman"/>
          <w:b/>
        </w:rPr>
      </w:pPr>
      <w:r w:rsidRPr="00F954C7">
        <w:rPr>
          <w:rFonts w:ascii="Times New Roman" w:hAnsi="Times New Roman" w:cs="Times New Roman"/>
          <w:b/>
        </w:rPr>
        <w:t>THE ALLIANCE FOR SOLAR CHOICE</w:t>
      </w:r>
    </w:p>
    <w:p w14:paraId="1E175BD8" w14:textId="77777777" w:rsidR="00D93BD6" w:rsidRPr="00F954C7" w:rsidRDefault="00D93BD6" w:rsidP="00D93BD6">
      <w:pPr>
        <w:rPr>
          <w:rFonts w:ascii="Times New Roman" w:hAnsi="Times New Roman" w:cs="Times New Roman"/>
          <w:b/>
        </w:rPr>
      </w:pPr>
    </w:p>
    <w:p w14:paraId="471B78F5" w14:textId="7CAC7F3D" w:rsidR="00D93BD6" w:rsidRPr="00F954C7" w:rsidRDefault="00300C2B" w:rsidP="00D93BD6">
      <w:pPr>
        <w:jc w:val="center"/>
        <w:rPr>
          <w:rFonts w:ascii="Times New Roman" w:hAnsi="Times New Roman" w:cs="Times New Roman"/>
          <w:b/>
        </w:rPr>
      </w:pPr>
      <w:r>
        <w:rPr>
          <w:rFonts w:ascii="Times New Roman" w:hAnsi="Times New Roman" w:cs="Times New Roman"/>
          <w:b/>
        </w:rPr>
        <w:t>February 3</w:t>
      </w:r>
      <w:r w:rsidR="00D93BD6" w:rsidRPr="00F954C7">
        <w:rPr>
          <w:rFonts w:ascii="Times New Roman" w:hAnsi="Times New Roman" w:cs="Times New Roman"/>
          <w:b/>
        </w:rPr>
        <w:t>, 2015</w:t>
      </w:r>
    </w:p>
    <w:p w14:paraId="01623301" w14:textId="77777777" w:rsidR="009A54C7" w:rsidRPr="00F954C7" w:rsidRDefault="009A54C7">
      <w:pPr>
        <w:rPr>
          <w:rFonts w:ascii="Times New Roman" w:hAnsi="Times New Roman" w:cs="Times New Roman"/>
          <w:b/>
          <w:u w:val="single"/>
        </w:rPr>
      </w:pPr>
    </w:p>
    <w:p w14:paraId="2F4B59B9" w14:textId="77777777" w:rsidR="009A54C7" w:rsidRPr="00F954C7" w:rsidRDefault="009A54C7">
      <w:pPr>
        <w:rPr>
          <w:rFonts w:ascii="Times New Roman" w:hAnsi="Times New Roman" w:cs="Times New Roman"/>
          <w:b/>
          <w:u w:val="single"/>
        </w:rPr>
      </w:pPr>
    </w:p>
    <w:p w14:paraId="7675B8ED" w14:textId="77777777" w:rsidR="00300C2B" w:rsidRPr="00300C2B" w:rsidRDefault="00300C2B" w:rsidP="00300C2B">
      <w:pPr>
        <w:pStyle w:val="BodyText"/>
        <w:kinsoku w:val="0"/>
        <w:overflowPunct w:val="0"/>
        <w:spacing w:line="245" w:lineRule="exact"/>
        <w:ind w:left="5040"/>
        <w:rPr>
          <w:b/>
          <w:bCs/>
        </w:rPr>
      </w:pPr>
      <w:r w:rsidRPr="00300C2B">
        <w:rPr>
          <w:b/>
        </w:rPr>
        <w:t>Kathleen</w:t>
      </w:r>
      <w:r w:rsidRPr="00300C2B">
        <w:rPr>
          <w:b/>
          <w:spacing w:val="-4"/>
        </w:rPr>
        <w:t xml:space="preserve"> </w:t>
      </w:r>
      <w:r w:rsidRPr="00300C2B">
        <w:rPr>
          <w:b/>
        </w:rPr>
        <w:t>D.</w:t>
      </w:r>
      <w:r w:rsidRPr="00300C2B">
        <w:rPr>
          <w:b/>
          <w:spacing w:val="-4"/>
        </w:rPr>
        <w:t xml:space="preserve"> </w:t>
      </w:r>
      <w:proofErr w:type="spellStart"/>
      <w:r w:rsidRPr="00300C2B">
        <w:rPr>
          <w:b/>
        </w:rPr>
        <w:t>Kapla</w:t>
      </w:r>
      <w:proofErr w:type="spellEnd"/>
    </w:p>
    <w:p w14:paraId="1D446080" w14:textId="5FAAF1EA" w:rsidR="00300C2B" w:rsidRPr="00300C2B" w:rsidRDefault="00300C2B" w:rsidP="00300C2B">
      <w:pPr>
        <w:pStyle w:val="BodyText"/>
        <w:kinsoku w:val="0"/>
        <w:overflowPunct w:val="0"/>
        <w:spacing w:line="310" w:lineRule="exact"/>
        <w:ind w:left="5040"/>
        <w:rPr>
          <w:b/>
          <w:bCs/>
        </w:rPr>
      </w:pPr>
      <w:r w:rsidRPr="00300C2B">
        <w:rPr>
          <w:b/>
        </w:rPr>
        <w:t>8205</w:t>
      </w:r>
      <w:r w:rsidRPr="00300C2B">
        <w:rPr>
          <w:b/>
          <w:spacing w:val="-2"/>
        </w:rPr>
        <w:t xml:space="preserve"> </w:t>
      </w:r>
      <w:r w:rsidRPr="00300C2B">
        <w:rPr>
          <w:b/>
        </w:rPr>
        <w:t>3</w:t>
      </w:r>
      <w:r>
        <w:rPr>
          <w:b/>
        </w:rPr>
        <w:t>1</w:t>
      </w:r>
      <w:r w:rsidRPr="00300C2B">
        <w:rPr>
          <w:b/>
          <w:vertAlign w:val="superscript"/>
        </w:rPr>
        <w:t>st</w:t>
      </w:r>
      <w:r w:rsidRPr="00300C2B">
        <w:rPr>
          <w:b/>
          <w:spacing w:val="18"/>
          <w:position w:val="11"/>
        </w:rPr>
        <w:t xml:space="preserve"> </w:t>
      </w:r>
      <w:r w:rsidRPr="00300C2B">
        <w:rPr>
          <w:b/>
        </w:rPr>
        <w:t>Ave.</w:t>
      </w:r>
      <w:r w:rsidRPr="00300C2B">
        <w:rPr>
          <w:b/>
          <w:spacing w:val="-2"/>
        </w:rPr>
        <w:t xml:space="preserve"> </w:t>
      </w:r>
      <w:r w:rsidRPr="00300C2B">
        <w:rPr>
          <w:b/>
        </w:rPr>
        <w:t>NE</w:t>
      </w:r>
    </w:p>
    <w:p w14:paraId="6336C07A" w14:textId="77777777" w:rsidR="00300C2B" w:rsidRPr="00300C2B" w:rsidRDefault="00300C2B" w:rsidP="00300C2B">
      <w:pPr>
        <w:pStyle w:val="BodyText"/>
        <w:kinsoku w:val="0"/>
        <w:overflowPunct w:val="0"/>
        <w:spacing w:line="275" w:lineRule="exact"/>
        <w:ind w:left="5040"/>
        <w:rPr>
          <w:b/>
          <w:bCs/>
        </w:rPr>
      </w:pPr>
      <w:r w:rsidRPr="00300C2B">
        <w:rPr>
          <w:b/>
        </w:rPr>
        <w:t>Seattle,</w:t>
      </w:r>
      <w:r w:rsidRPr="00300C2B">
        <w:rPr>
          <w:b/>
          <w:spacing w:val="-4"/>
        </w:rPr>
        <w:t xml:space="preserve"> </w:t>
      </w:r>
      <w:r w:rsidRPr="00300C2B">
        <w:rPr>
          <w:b/>
        </w:rPr>
        <w:t>Washington</w:t>
      </w:r>
      <w:r w:rsidRPr="00300C2B">
        <w:rPr>
          <w:b/>
          <w:spacing w:val="-3"/>
        </w:rPr>
        <w:t xml:space="preserve"> </w:t>
      </w:r>
      <w:r w:rsidRPr="00300C2B">
        <w:rPr>
          <w:b/>
        </w:rPr>
        <w:t>98115</w:t>
      </w:r>
    </w:p>
    <w:p w14:paraId="4682E814" w14:textId="77777777" w:rsidR="00300C2B" w:rsidRPr="00300C2B" w:rsidRDefault="00300C2B" w:rsidP="00300C2B">
      <w:pPr>
        <w:pStyle w:val="BodyText"/>
        <w:kinsoku w:val="0"/>
        <w:overflowPunct w:val="0"/>
        <w:spacing w:before="2"/>
        <w:ind w:left="5040"/>
        <w:rPr>
          <w:b/>
          <w:bCs/>
        </w:rPr>
      </w:pPr>
      <w:r w:rsidRPr="00300C2B">
        <w:rPr>
          <w:b/>
        </w:rPr>
        <w:t>(206) 419-3632</w:t>
      </w:r>
    </w:p>
    <w:p w14:paraId="270E265A" w14:textId="77777777" w:rsidR="00300C2B" w:rsidRDefault="002F4A05" w:rsidP="00300C2B">
      <w:pPr>
        <w:pStyle w:val="BodyText"/>
        <w:kinsoku w:val="0"/>
        <w:overflowPunct w:val="0"/>
        <w:ind w:left="5040"/>
        <w:rPr>
          <w:b/>
          <w:bCs/>
        </w:rPr>
      </w:pPr>
      <w:hyperlink r:id="rId9" w:history="1">
        <w:r w:rsidR="00300C2B" w:rsidRPr="00300C2B">
          <w:rPr>
            <w:b/>
            <w:spacing w:val="-1"/>
          </w:rPr>
          <w:t>kkapla@kfwlaw.com</w:t>
        </w:r>
      </w:hyperlink>
    </w:p>
    <w:p w14:paraId="66A19DC2" w14:textId="5B051096" w:rsidR="009A54C7" w:rsidRPr="00F954C7" w:rsidRDefault="009A54C7" w:rsidP="00032A02">
      <w:pPr>
        <w:rPr>
          <w:rFonts w:ascii="Times New Roman" w:hAnsi="Times New Roman" w:cs="Times New Roman"/>
          <w:b/>
        </w:rPr>
      </w:pPr>
    </w:p>
    <w:p w14:paraId="53F5C2AC" w14:textId="51DE10B4" w:rsidR="00920AF3" w:rsidRPr="00F954C7" w:rsidRDefault="00920AF3" w:rsidP="00920AF3">
      <w:pPr>
        <w:jc w:val="center"/>
        <w:rPr>
          <w:rFonts w:ascii="Times New Roman" w:hAnsi="Times New Roman" w:cs="Times New Roman"/>
          <w:b/>
        </w:rPr>
      </w:pPr>
      <w:r w:rsidRPr="00F954C7">
        <w:rPr>
          <w:rFonts w:ascii="Times New Roman" w:hAnsi="Times New Roman" w:cs="Times New Roman"/>
          <w:b/>
        </w:rPr>
        <w:t>TABLE OF CONTENTS</w:t>
      </w:r>
    </w:p>
    <w:p w14:paraId="163A209F" w14:textId="77777777" w:rsidR="00920AF3" w:rsidRPr="00F954C7" w:rsidRDefault="00920AF3" w:rsidP="00920AF3">
      <w:pPr>
        <w:pStyle w:val="ListParagraph"/>
        <w:rPr>
          <w:rFonts w:ascii="Times New Roman" w:hAnsi="Times New Roman" w:cs="Times New Roman"/>
          <w:b/>
        </w:rPr>
      </w:pPr>
    </w:p>
    <w:p w14:paraId="58563DCF" w14:textId="77777777" w:rsidR="0002094D" w:rsidRPr="00271D1A" w:rsidRDefault="0002094D" w:rsidP="0002094D">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1</w:t>
      </w:r>
      <w:r w:rsidRPr="00271D1A">
        <w:rPr>
          <w:rFonts w:ascii="Times New Roman" w:hAnsi="Times New Roman" w:cs="Times New Roman"/>
        </w:rPr>
        <w:t>.</w:t>
      </w:r>
      <w:r w:rsidRPr="00271D1A">
        <w:rPr>
          <w:rFonts w:ascii="Times New Roman" w:hAnsi="Times New Roman" w:cs="Times New Roman"/>
        </w:rPr>
        <w:tab/>
        <w:t>INTRODUCTION</w:t>
      </w:r>
      <w:r>
        <w:rPr>
          <w:rFonts w:ascii="Times New Roman" w:hAnsi="Times New Roman" w:cs="Times New Roman"/>
        </w:rPr>
        <w:t xml:space="preserve"> AND SUMMARY</w:t>
      </w:r>
      <w:r w:rsidRPr="00271D1A">
        <w:rPr>
          <w:rFonts w:ascii="Times New Roman" w:hAnsi="Times New Roman" w:cs="Times New Roman"/>
        </w:rPr>
        <w:tab/>
      </w:r>
      <w:r>
        <w:rPr>
          <w:rFonts w:ascii="Times New Roman" w:hAnsi="Times New Roman" w:cs="Times New Roman"/>
        </w:rPr>
        <w:t>1</w:t>
      </w:r>
    </w:p>
    <w:p w14:paraId="3A011091" w14:textId="77777777" w:rsidR="0002094D" w:rsidRDefault="0002094D" w:rsidP="0002094D">
      <w:pPr>
        <w:tabs>
          <w:tab w:val="left" w:pos="720"/>
          <w:tab w:val="left" w:pos="1440"/>
          <w:tab w:val="left" w:pos="2160"/>
          <w:tab w:val="right" w:leader="dot" w:pos="9180"/>
        </w:tabs>
        <w:ind w:left="720" w:hanging="720"/>
        <w:rPr>
          <w:rFonts w:ascii="Times New Roman" w:hAnsi="Times New Roman" w:cs="Times New Roman"/>
        </w:rPr>
      </w:pPr>
    </w:p>
    <w:p w14:paraId="4AE0DC41" w14:textId="3E191F67" w:rsidR="0002094D" w:rsidRPr="00271D1A" w:rsidRDefault="0002094D" w:rsidP="0002094D">
      <w:pPr>
        <w:tabs>
          <w:tab w:val="left" w:pos="720"/>
          <w:tab w:val="left" w:pos="1440"/>
          <w:tab w:val="left" w:pos="2160"/>
          <w:tab w:val="right" w:leader="dot" w:pos="9180"/>
        </w:tabs>
        <w:ind w:left="720" w:hanging="720"/>
        <w:rPr>
          <w:rFonts w:ascii="Times New Roman" w:hAnsi="Times New Roman" w:cs="Times New Roman"/>
        </w:rPr>
      </w:pPr>
      <w:r>
        <w:rPr>
          <w:rFonts w:ascii="Times New Roman" w:hAnsi="Times New Roman" w:cs="Times New Roman"/>
        </w:rPr>
        <w:t>2</w:t>
      </w:r>
      <w:r w:rsidRPr="00271D1A">
        <w:rPr>
          <w:rFonts w:ascii="Times New Roman" w:hAnsi="Times New Roman" w:cs="Times New Roman"/>
        </w:rPr>
        <w:t>.</w:t>
      </w:r>
      <w:r w:rsidRPr="00271D1A">
        <w:rPr>
          <w:rFonts w:ascii="Times New Roman" w:hAnsi="Times New Roman" w:cs="Times New Roman"/>
        </w:rPr>
        <w:tab/>
      </w:r>
      <w:r>
        <w:rPr>
          <w:rFonts w:ascii="Times New Roman" w:hAnsi="Times New Roman" w:cs="Times New Roman"/>
        </w:rPr>
        <w:t>PACIFICORP’S INITIAL BRIEF REGARDING</w:t>
      </w:r>
      <w:r w:rsidR="002F4A05">
        <w:rPr>
          <w:rFonts w:ascii="Times New Roman" w:hAnsi="Times New Roman" w:cs="Times New Roman"/>
        </w:rPr>
        <w:t xml:space="preserve"> THE</w:t>
      </w:r>
      <w:bookmarkStart w:id="4" w:name="_GoBack"/>
      <w:bookmarkEnd w:id="4"/>
      <w:r>
        <w:rPr>
          <w:rFonts w:ascii="Times New Roman" w:hAnsi="Times New Roman" w:cs="Times New Roman"/>
        </w:rPr>
        <w:t xml:space="preserve"> BASIC CHARGE INAPPROPRIATELY SCAPEGOATS CUSTOMERS WITH DISTRIBUTED GENERATION, </w:t>
      </w:r>
      <w:r w:rsidR="002F4A05">
        <w:rPr>
          <w:rFonts w:ascii="Times New Roman" w:hAnsi="Times New Roman" w:cs="Times New Roman"/>
        </w:rPr>
        <w:t>IS</w:t>
      </w:r>
      <w:r>
        <w:rPr>
          <w:rFonts w:ascii="Times New Roman" w:hAnsi="Times New Roman" w:cs="Times New Roman"/>
        </w:rPr>
        <w:t xml:space="preserve"> MISLEADING, AND LACKS EVIDENTIARY SUPPORT</w:t>
      </w:r>
      <w:r w:rsidRPr="00271D1A">
        <w:rPr>
          <w:rFonts w:ascii="Times New Roman" w:hAnsi="Times New Roman" w:cs="Times New Roman"/>
        </w:rPr>
        <w:tab/>
      </w:r>
      <w:r>
        <w:rPr>
          <w:rFonts w:ascii="Times New Roman" w:hAnsi="Times New Roman" w:cs="Times New Roman"/>
        </w:rPr>
        <w:t>2</w:t>
      </w:r>
      <w:r w:rsidRPr="00271D1A">
        <w:rPr>
          <w:rFonts w:ascii="Times New Roman" w:hAnsi="Times New Roman" w:cs="Times New Roman"/>
        </w:rPr>
        <w:tab/>
      </w:r>
    </w:p>
    <w:p w14:paraId="2F6E98CF" w14:textId="77777777" w:rsidR="0002094D" w:rsidRPr="00271D1A" w:rsidRDefault="0002094D" w:rsidP="0002094D">
      <w:pPr>
        <w:tabs>
          <w:tab w:val="right" w:leader="dot" w:pos="9180"/>
        </w:tabs>
        <w:rPr>
          <w:rFonts w:ascii="Times New Roman" w:hAnsi="Times New Roman" w:cs="Times New Roman"/>
        </w:rPr>
      </w:pPr>
    </w:p>
    <w:p w14:paraId="40E905F4" w14:textId="7F0EC102" w:rsidR="0002094D" w:rsidRDefault="0002094D" w:rsidP="0002094D">
      <w:pPr>
        <w:tabs>
          <w:tab w:val="left" w:pos="720"/>
          <w:tab w:val="left" w:pos="1440"/>
          <w:tab w:val="left" w:pos="2160"/>
          <w:tab w:val="right" w:leader="dot" w:pos="9180"/>
        </w:tabs>
        <w:ind w:left="1440" w:hanging="720"/>
        <w:rPr>
          <w:rFonts w:ascii="Times New Roman" w:hAnsi="Times New Roman"/>
        </w:rPr>
      </w:pPr>
      <w:r w:rsidRPr="004F2315">
        <w:rPr>
          <w:rFonts w:ascii="Times New Roman" w:hAnsi="Times New Roman" w:cs="Times New Roman"/>
        </w:rPr>
        <w:t xml:space="preserve">a.  </w:t>
      </w:r>
      <w:r>
        <w:rPr>
          <w:rFonts w:ascii="Times New Roman" w:hAnsi="Times New Roman" w:cs="Times New Roman"/>
        </w:rPr>
        <w:tab/>
      </w:r>
      <w:r>
        <w:rPr>
          <w:rFonts w:ascii="Times New Roman" w:hAnsi="Times New Roman"/>
        </w:rPr>
        <w:t>PacifiCorp Continues to Make Inappropriate and Unsupported Claims About Customers With Distributed Generation</w:t>
      </w:r>
      <w:r>
        <w:rPr>
          <w:rFonts w:ascii="Times New Roman" w:hAnsi="Times New Roman"/>
        </w:rPr>
        <w:tab/>
        <w:t>2</w:t>
      </w:r>
    </w:p>
    <w:p w14:paraId="469649CA" w14:textId="77777777" w:rsidR="0002094D" w:rsidRDefault="0002094D" w:rsidP="0002094D">
      <w:pPr>
        <w:tabs>
          <w:tab w:val="left" w:pos="720"/>
          <w:tab w:val="left" w:pos="1440"/>
          <w:tab w:val="left" w:pos="2160"/>
          <w:tab w:val="right" w:leader="dot" w:pos="9180"/>
        </w:tabs>
        <w:rPr>
          <w:rFonts w:ascii="Times New Roman" w:hAnsi="Times New Roman"/>
        </w:rPr>
      </w:pPr>
    </w:p>
    <w:p w14:paraId="0E99B6A8" w14:textId="1C11DABF" w:rsidR="0002094D" w:rsidRDefault="0002094D" w:rsidP="009E3C59">
      <w:pPr>
        <w:tabs>
          <w:tab w:val="left" w:pos="720"/>
          <w:tab w:val="left" w:pos="1440"/>
          <w:tab w:val="left" w:pos="2160"/>
          <w:tab w:val="right" w:leader="dot" w:pos="9180"/>
        </w:tabs>
        <w:ind w:left="1440" w:right="270" w:hanging="720"/>
        <w:rPr>
          <w:rFonts w:ascii="Times New Roman" w:hAnsi="Times New Roman"/>
        </w:rPr>
      </w:pPr>
      <w:r>
        <w:rPr>
          <w:rFonts w:ascii="Times New Roman" w:hAnsi="Times New Roman"/>
        </w:rPr>
        <w:t>b.</w:t>
      </w:r>
      <w:r>
        <w:rPr>
          <w:rFonts w:ascii="Times New Roman" w:hAnsi="Times New Roman"/>
        </w:rPr>
        <w:tab/>
      </w:r>
      <w:r w:rsidR="009E3C59">
        <w:rPr>
          <w:rFonts w:ascii="Times New Roman" w:hAnsi="Times New Roman"/>
        </w:rPr>
        <w:t>PacifiCorp Fails to Provide Evidence that its Requested Fixed Charge Increase is Consistent With Washington’s Energy Efficiency Policies and Goals</w:t>
      </w:r>
      <w:r>
        <w:rPr>
          <w:rFonts w:ascii="Times New Roman" w:hAnsi="Times New Roman"/>
        </w:rPr>
        <w:tab/>
      </w:r>
      <w:r w:rsidR="009E3C59">
        <w:rPr>
          <w:rFonts w:ascii="Times New Roman" w:hAnsi="Times New Roman"/>
        </w:rPr>
        <w:t>4</w:t>
      </w:r>
    </w:p>
    <w:p w14:paraId="7A5B580E" w14:textId="77777777" w:rsidR="009E3C59" w:rsidRPr="00271D1A" w:rsidRDefault="009E3C59" w:rsidP="009E3C59">
      <w:pPr>
        <w:tabs>
          <w:tab w:val="right" w:leader="dot" w:pos="9180"/>
        </w:tabs>
        <w:ind w:right="270"/>
        <w:rPr>
          <w:rFonts w:ascii="Times New Roman" w:hAnsi="Times New Roman" w:cs="Times New Roman"/>
        </w:rPr>
      </w:pPr>
    </w:p>
    <w:p w14:paraId="1D4E157D" w14:textId="60D4E84C" w:rsidR="009E3C59" w:rsidRDefault="009E3C59" w:rsidP="009E3C59">
      <w:pPr>
        <w:tabs>
          <w:tab w:val="left" w:pos="720"/>
          <w:tab w:val="left" w:pos="1440"/>
          <w:tab w:val="left" w:pos="2160"/>
          <w:tab w:val="right" w:leader="dot" w:pos="9180"/>
        </w:tabs>
        <w:ind w:left="1440" w:right="270" w:hanging="720"/>
        <w:rPr>
          <w:rFonts w:ascii="Times New Roman" w:hAnsi="Times New Roman"/>
        </w:rPr>
      </w:pPr>
      <w:r>
        <w:rPr>
          <w:rFonts w:ascii="Times New Roman" w:hAnsi="Times New Roman" w:cs="Times New Roman"/>
        </w:rPr>
        <w:t>c</w:t>
      </w:r>
      <w:r w:rsidRPr="004F2315">
        <w:rPr>
          <w:rFonts w:ascii="Times New Roman" w:hAnsi="Times New Roman" w:cs="Times New Roman"/>
        </w:rPr>
        <w:t xml:space="preserve">.  </w:t>
      </w:r>
      <w:r>
        <w:rPr>
          <w:rFonts w:ascii="Times New Roman" w:hAnsi="Times New Roman" w:cs="Times New Roman"/>
        </w:rPr>
        <w:tab/>
      </w:r>
      <w:r>
        <w:rPr>
          <w:rFonts w:ascii="Times New Roman" w:hAnsi="Times New Roman"/>
        </w:rPr>
        <w:t xml:space="preserve">PacifiCorp Confuses Fixed Costs with Long-Run Marginal Costs and Incorrectly Insists that Fixed Costs Should Always Be Recovered Through Fixed Charges </w:t>
      </w:r>
      <w:r>
        <w:rPr>
          <w:rFonts w:ascii="Times New Roman" w:hAnsi="Times New Roman"/>
        </w:rPr>
        <w:tab/>
        <w:t>6</w:t>
      </w:r>
    </w:p>
    <w:p w14:paraId="579B0E63" w14:textId="77777777" w:rsidR="009E3C59" w:rsidRDefault="009E3C59" w:rsidP="009E3C59">
      <w:pPr>
        <w:tabs>
          <w:tab w:val="left" w:pos="720"/>
          <w:tab w:val="left" w:pos="1440"/>
          <w:tab w:val="left" w:pos="2160"/>
          <w:tab w:val="right" w:leader="dot" w:pos="9180"/>
        </w:tabs>
        <w:rPr>
          <w:rFonts w:ascii="Times New Roman" w:hAnsi="Times New Roman"/>
        </w:rPr>
      </w:pPr>
    </w:p>
    <w:p w14:paraId="7283CBB8" w14:textId="2461C900" w:rsidR="009E3C59" w:rsidRDefault="00844116" w:rsidP="009E3C59">
      <w:pPr>
        <w:tabs>
          <w:tab w:val="left" w:pos="720"/>
          <w:tab w:val="left" w:pos="1440"/>
          <w:tab w:val="left" w:pos="2160"/>
          <w:tab w:val="right" w:leader="dot" w:pos="9180"/>
        </w:tabs>
        <w:ind w:left="1440" w:hanging="720"/>
        <w:rPr>
          <w:rFonts w:ascii="Times New Roman" w:hAnsi="Times New Roman"/>
        </w:rPr>
      </w:pPr>
      <w:r>
        <w:rPr>
          <w:rFonts w:ascii="Times New Roman" w:hAnsi="Times New Roman"/>
        </w:rPr>
        <w:t>d</w:t>
      </w:r>
      <w:r w:rsidR="009E3C59">
        <w:rPr>
          <w:rFonts w:ascii="Times New Roman" w:hAnsi="Times New Roman"/>
        </w:rPr>
        <w:t>.</w:t>
      </w:r>
      <w:r w:rsidR="009E3C59">
        <w:rPr>
          <w:rFonts w:ascii="Times New Roman" w:hAnsi="Times New Roman"/>
        </w:rPr>
        <w:tab/>
      </w:r>
      <w:r>
        <w:rPr>
          <w:rFonts w:ascii="Times New Roman" w:hAnsi="Times New Roman"/>
        </w:rPr>
        <w:t>PacifiCorp Cites to Information Not in the Record</w:t>
      </w:r>
      <w:r w:rsidR="009E3C59">
        <w:rPr>
          <w:rFonts w:ascii="Times New Roman" w:hAnsi="Times New Roman"/>
        </w:rPr>
        <w:tab/>
      </w:r>
      <w:r>
        <w:rPr>
          <w:rFonts w:ascii="Times New Roman" w:hAnsi="Times New Roman"/>
        </w:rPr>
        <w:t>7</w:t>
      </w:r>
    </w:p>
    <w:p w14:paraId="69CFB883" w14:textId="77777777" w:rsidR="0019652F" w:rsidRDefault="0019652F" w:rsidP="0019652F">
      <w:pPr>
        <w:rPr>
          <w:rFonts w:ascii="Times New Roman" w:hAnsi="Times New Roman" w:cs="Times New Roman"/>
        </w:rPr>
      </w:pPr>
    </w:p>
    <w:p w14:paraId="0CB31864" w14:textId="3F6ACF18" w:rsidR="00844116" w:rsidRPr="00271D1A" w:rsidRDefault="00844116" w:rsidP="00844116">
      <w:pPr>
        <w:tabs>
          <w:tab w:val="left" w:pos="720"/>
          <w:tab w:val="left" w:pos="1440"/>
          <w:tab w:val="left" w:pos="2160"/>
          <w:tab w:val="right" w:leader="dot" w:pos="9180"/>
        </w:tabs>
        <w:ind w:left="720" w:hanging="720"/>
        <w:rPr>
          <w:rFonts w:ascii="Times New Roman" w:hAnsi="Times New Roman" w:cs="Times New Roman"/>
        </w:rPr>
      </w:pPr>
      <w:r>
        <w:rPr>
          <w:rFonts w:ascii="Times New Roman" w:hAnsi="Times New Roman" w:cs="Times New Roman"/>
        </w:rPr>
        <w:t>3</w:t>
      </w:r>
      <w:r w:rsidRPr="00271D1A">
        <w:rPr>
          <w:rFonts w:ascii="Times New Roman" w:hAnsi="Times New Roman" w:cs="Times New Roman"/>
        </w:rPr>
        <w:t>.</w:t>
      </w:r>
      <w:r w:rsidRPr="00271D1A">
        <w:rPr>
          <w:rFonts w:ascii="Times New Roman" w:hAnsi="Times New Roman" w:cs="Times New Roman"/>
        </w:rPr>
        <w:tab/>
      </w:r>
      <w:r w:rsidR="00487637">
        <w:rPr>
          <w:rFonts w:ascii="Times New Roman" w:hAnsi="Times New Roman" w:cs="Times New Roman"/>
        </w:rPr>
        <w:t>STAFF ACKNOWLEDGES MANY FLAWS WITH INCREASING THE RESIDENTIAL BASIC CHARGE, YET CONTINUES TO SUPPORT IT</w:t>
      </w:r>
      <w:r w:rsidRPr="00271D1A">
        <w:rPr>
          <w:rFonts w:ascii="Times New Roman" w:hAnsi="Times New Roman" w:cs="Times New Roman"/>
        </w:rPr>
        <w:tab/>
      </w:r>
      <w:r w:rsidR="00487637">
        <w:rPr>
          <w:rFonts w:ascii="Times New Roman" w:hAnsi="Times New Roman" w:cs="Times New Roman"/>
        </w:rPr>
        <w:t>7</w:t>
      </w:r>
      <w:r w:rsidRPr="00271D1A">
        <w:rPr>
          <w:rFonts w:ascii="Times New Roman" w:hAnsi="Times New Roman" w:cs="Times New Roman"/>
        </w:rPr>
        <w:tab/>
      </w:r>
    </w:p>
    <w:p w14:paraId="03DE3DCD" w14:textId="77777777" w:rsidR="0019652F" w:rsidRDefault="0019652F" w:rsidP="0019652F">
      <w:pPr>
        <w:rPr>
          <w:rFonts w:ascii="Times New Roman" w:hAnsi="Times New Roman" w:cs="Times New Roman"/>
        </w:rPr>
      </w:pPr>
    </w:p>
    <w:p w14:paraId="039B86A7" w14:textId="31E32B52" w:rsidR="00487637" w:rsidRPr="00271D1A" w:rsidRDefault="00487637" w:rsidP="00487637">
      <w:pPr>
        <w:tabs>
          <w:tab w:val="left" w:pos="720"/>
          <w:tab w:val="left" w:pos="1440"/>
          <w:tab w:val="left" w:pos="2160"/>
          <w:tab w:val="right" w:leader="dot" w:pos="9180"/>
        </w:tabs>
        <w:ind w:left="720" w:hanging="720"/>
        <w:rPr>
          <w:rFonts w:ascii="Times New Roman" w:hAnsi="Times New Roman" w:cs="Times New Roman"/>
        </w:rPr>
      </w:pPr>
      <w:r>
        <w:rPr>
          <w:rFonts w:ascii="Times New Roman" w:hAnsi="Times New Roman" w:cs="Times New Roman"/>
        </w:rPr>
        <w:t>4</w:t>
      </w:r>
      <w:r w:rsidRPr="00271D1A">
        <w:rPr>
          <w:rFonts w:ascii="Times New Roman" w:hAnsi="Times New Roman" w:cs="Times New Roman"/>
        </w:rPr>
        <w:t>.</w:t>
      </w:r>
      <w:r w:rsidRPr="00271D1A">
        <w:rPr>
          <w:rFonts w:ascii="Times New Roman" w:hAnsi="Times New Roman" w:cs="Times New Roman"/>
        </w:rPr>
        <w:tab/>
      </w:r>
      <w:r>
        <w:rPr>
          <w:rFonts w:ascii="Times New Roman" w:hAnsi="Times New Roman" w:cs="Times New Roman"/>
        </w:rPr>
        <w:t>TASC CONTINUES TO SUPPORT STAFF’S THREE TIER RATE DESIGN</w:t>
      </w:r>
      <w:r w:rsidRPr="00271D1A">
        <w:rPr>
          <w:rFonts w:ascii="Times New Roman" w:hAnsi="Times New Roman" w:cs="Times New Roman"/>
        </w:rPr>
        <w:tab/>
      </w:r>
      <w:r>
        <w:rPr>
          <w:rFonts w:ascii="Times New Roman" w:hAnsi="Times New Roman" w:cs="Times New Roman"/>
        </w:rPr>
        <w:t>9</w:t>
      </w:r>
      <w:r w:rsidRPr="00271D1A">
        <w:rPr>
          <w:rFonts w:ascii="Times New Roman" w:hAnsi="Times New Roman" w:cs="Times New Roman"/>
        </w:rPr>
        <w:tab/>
      </w:r>
    </w:p>
    <w:p w14:paraId="1BA77E0D" w14:textId="77777777" w:rsidR="00487637" w:rsidRDefault="00487637" w:rsidP="0019652F">
      <w:pPr>
        <w:rPr>
          <w:rFonts w:ascii="Times New Roman" w:hAnsi="Times New Roman" w:cs="Times New Roman"/>
        </w:rPr>
      </w:pPr>
    </w:p>
    <w:p w14:paraId="4DBB5D04" w14:textId="1A3D6FB5" w:rsidR="00844116" w:rsidRPr="00271D1A" w:rsidRDefault="00E94726" w:rsidP="00844116">
      <w:pPr>
        <w:tabs>
          <w:tab w:val="left" w:pos="720"/>
          <w:tab w:val="left" w:pos="1440"/>
          <w:tab w:val="left" w:pos="2160"/>
          <w:tab w:val="right" w:leader="dot" w:pos="9180"/>
        </w:tabs>
        <w:ind w:left="720" w:hanging="720"/>
        <w:rPr>
          <w:rFonts w:ascii="Times New Roman" w:hAnsi="Times New Roman" w:cs="Times New Roman"/>
        </w:rPr>
      </w:pPr>
      <w:r>
        <w:rPr>
          <w:rFonts w:ascii="Times New Roman" w:hAnsi="Times New Roman" w:cs="Times New Roman"/>
        </w:rPr>
        <w:t>5</w:t>
      </w:r>
      <w:r w:rsidR="00844116" w:rsidRPr="00271D1A">
        <w:rPr>
          <w:rFonts w:ascii="Times New Roman" w:hAnsi="Times New Roman" w:cs="Times New Roman"/>
        </w:rPr>
        <w:t>.</w:t>
      </w:r>
      <w:r w:rsidR="00844116" w:rsidRPr="00271D1A">
        <w:rPr>
          <w:rFonts w:ascii="Times New Roman" w:hAnsi="Times New Roman" w:cs="Times New Roman"/>
        </w:rPr>
        <w:tab/>
      </w:r>
      <w:r w:rsidR="00844116">
        <w:rPr>
          <w:rFonts w:ascii="Times New Roman" w:hAnsi="Times New Roman" w:cs="Times New Roman"/>
        </w:rPr>
        <w:t xml:space="preserve">CONCLUSION </w:t>
      </w:r>
      <w:r w:rsidR="00844116" w:rsidRPr="00271D1A">
        <w:rPr>
          <w:rFonts w:ascii="Times New Roman" w:hAnsi="Times New Roman" w:cs="Times New Roman"/>
        </w:rPr>
        <w:tab/>
      </w:r>
      <w:r w:rsidR="00EF2B35">
        <w:rPr>
          <w:rFonts w:ascii="Times New Roman" w:hAnsi="Times New Roman" w:cs="Times New Roman"/>
        </w:rPr>
        <w:t>9</w:t>
      </w:r>
      <w:r w:rsidR="00844116" w:rsidRPr="00271D1A">
        <w:rPr>
          <w:rFonts w:ascii="Times New Roman" w:hAnsi="Times New Roman" w:cs="Times New Roman"/>
        </w:rPr>
        <w:tab/>
      </w:r>
    </w:p>
    <w:p w14:paraId="0DE9A2BA" w14:textId="77777777" w:rsidR="0019652F" w:rsidRDefault="0019652F" w:rsidP="0019652F">
      <w:pPr>
        <w:rPr>
          <w:rFonts w:ascii="Times New Roman" w:hAnsi="Times New Roman" w:cs="Times New Roman"/>
        </w:rPr>
      </w:pPr>
    </w:p>
    <w:p w14:paraId="571461F5" w14:textId="77777777" w:rsidR="0019652F" w:rsidRDefault="0019652F" w:rsidP="0019652F">
      <w:pPr>
        <w:rPr>
          <w:rFonts w:ascii="Times New Roman" w:hAnsi="Times New Roman" w:cs="Times New Roman"/>
        </w:rPr>
      </w:pPr>
    </w:p>
    <w:p w14:paraId="43FECA2C" w14:textId="77777777" w:rsidR="0019652F" w:rsidRDefault="0019652F" w:rsidP="0019652F">
      <w:pPr>
        <w:rPr>
          <w:rFonts w:ascii="Times New Roman" w:hAnsi="Times New Roman" w:cs="Times New Roman"/>
        </w:rPr>
      </w:pPr>
    </w:p>
    <w:p w14:paraId="209ECF7B" w14:textId="77777777" w:rsidR="0019652F" w:rsidRDefault="0019652F" w:rsidP="0019652F">
      <w:pPr>
        <w:rPr>
          <w:rFonts w:ascii="Times New Roman" w:hAnsi="Times New Roman" w:cs="Times New Roman"/>
        </w:rPr>
      </w:pPr>
    </w:p>
    <w:p w14:paraId="078A5ED4" w14:textId="77777777" w:rsidR="0019652F" w:rsidRDefault="0019652F" w:rsidP="0019652F">
      <w:pPr>
        <w:rPr>
          <w:rFonts w:ascii="Times New Roman" w:hAnsi="Times New Roman" w:cs="Times New Roman"/>
        </w:rPr>
      </w:pPr>
    </w:p>
    <w:p w14:paraId="6264A6E2" w14:textId="77777777" w:rsidR="0019652F" w:rsidRDefault="0019652F" w:rsidP="0019652F">
      <w:pPr>
        <w:rPr>
          <w:rFonts w:ascii="Times New Roman" w:hAnsi="Times New Roman" w:cs="Times New Roman"/>
        </w:rPr>
      </w:pPr>
    </w:p>
    <w:p w14:paraId="4A630AF6" w14:textId="77777777" w:rsidR="0019652F" w:rsidRDefault="0019652F" w:rsidP="0019652F">
      <w:pPr>
        <w:rPr>
          <w:rFonts w:ascii="Times New Roman" w:hAnsi="Times New Roman" w:cs="Times New Roman"/>
        </w:rPr>
      </w:pPr>
    </w:p>
    <w:p w14:paraId="54A8578F" w14:textId="77777777" w:rsidR="0019652F" w:rsidRDefault="0019652F" w:rsidP="0019652F">
      <w:pPr>
        <w:rPr>
          <w:rFonts w:ascii="Times New Roman" w:hAnsi="Times New Roman" w:cs="Times New Roman"/>
        </w:rPr>
      </w:pPr>
    </w:p>
    <w:p w14:paraId="355C9EE5" w14:textId="77777777" w:rsidR="0019652F" w:rsidRPr="0019652F" w:rsidRDefault="0019652F" w:rsidP="0019652F">
      <w:pPr>
        <w:rPr>
          <w:rFonts w:ascii="Times New Roman" w:hAnsi="Times New Roman" w:cs="Times New Roman"/>
          <w:b/>
        </w:rPr>
      </w:pPr>
    </w:p>
    <w:p w14:paraId="249BD24A" w14:textId="77777777" w:rsidR="00920AF3" w:rsidRPr="00323F8A" w:rsidRDefault="00920AF3" w:rsidP="00323F8A">
      <w:pPr>
        <w:rPr>
          <w:rFonts w:ascii="Times New Roman" w:hAnsi="Times New Roman" w:cs="Times New Roman"/>
          <w:b/>
        </w:rPr>
      </w:pPr>
    </w:p>
    <w:p w14:paraId="08DF2F43" w14:textId="77777777" w:rsidR="00920AF3" w:rsidRPr="00F954C7" w:rsidRDefault="00920AF3" w:rsidP="00920AF3">
      <w:pPr>
        <w:pStyle w:val="ListParagraph"/>
        <w:rPr>
          <w:rFonts w:ascii="Times New Roman" w:hAnsi="Times New Roman" w:cs="Times New Roman"/>
          <w:b/>
        </w:rPr>
      </w:pPr>
    </w:p>
    <w:p w14:paraId="7524D0AA" w14:textId="77777777" w:rsidR="00920AF3" w:rsidRDefault="00920AF3" w:rsidP="00920AF3">
      <w:pPr>
        <w:pStyle w:val="ListParagraph"/>
        <w:rPr>
          <w:rFonts w:ascii="Times New Roman" w:hAnsi="Times New Roman" w:cs="Times New Roman"/>
          <w:b/>
        </w:rPr>
      </w:pPr>
    </w:p>
    <w:p w14:paraId="329F3BE4" w14:textId="77777777" w:rsidR="00323F8A" w:rsidRDefault="00323F8A" w:rsidP="00920AF3">
      <w:pPr>
        <w:pStyle w:val="ListParagraph"/>
        <w:rPr>
          <w:rFonts w:ascii="Times New Roman" w:hAnsi="Times New Roman" w:cs="Times New Roman"/>
          <w:b/>
        </w:rPr>
      </w:pPr>
    </w:p>
    <w:p w14:paraId="21C979F7" w14:textId="77777777" w:rsidR="00323F8A" w:rsidRDefault="00323F8A" w:rsidP="00920AF3">
      <w:pPr>
        <w:pStyle w:val="ListParagraph"/>
        <w:rPr>
          <w:rFonts w:ascii="Times New Roman" w:hAnsi="Times New Roman" w:cs="Times New Roman"/>
          <w:b/>
        </w:rPr>
      </w:pPr>
    </w:p>
    <w:p w14:paraId="4958ADEE" w14:textId="77777777" w:rsidR="00323F8A" w:rsidRDefault="00323F8A" w:rsidP="00920AF3">
      <w:pPr>
        <w:pStyle w:val="ListParagraph"/>
        <w:rPr>
          <w:rFonts w:ascii="Times New Roman" w:hAnsi="Times New Roman" w:cs="Times New Roman"/>
          <w:b/>
        </w:rPr>
      </w:pPr>
    </w:p>
    <w:p w14:paraId="6A155BF3" w14:textId="77777777" w:rsidR="00323F8A" w:rsidRDefault="00323F8A" w:rsidP="00920AF3">
      <w:pPr>
        <w:pStyle w:val="ListParagraph"/>
        <w:rPr>
          <w:rFonts w:ascii="Times New Roman" w:hAnsi="Times New Roman" w:cs="Times New Roman"/>
          <w:b/>
        </w:rPr>
      </w:pPr>
    </w:p>
    <w:p w14:paraId="507566F9" w14:textId="77777777" w:rsidR="00323F8A" w:rsidRDefault="00323F8A" w:rsidP="00920AF3">
      <w:pPr>
        <w:pStyle w:val="ListParagraph"/>
        <w:rPr>
          <w:rFonts w:ascii="Times New Roman" w:hAnsi="Times New Roman" w:cs="Times New Roman"/>
          <w:b/>
        </w:rPr>
      </w:pPr>
    </w:p>
    <w:p w14:paraId="42FC354D" w14:textId="77777777" w:rsidR="00323F8A" w:rsidRDefault="00323F8A" w:rsidP="00920AF3">
      <w:pPr>
        <w:pStyle w:val="ListParagraph"/>
        <w:rPr>
          <w:rFonts w:ascii="Times New Roman" w:hAnsi="Times New Roman" w:cs="Times New Roman"/>
          <w:b/>
        </w:rPr>
      </w:pPr>
    </w:p>
    <w:p w14:paraId="60959274" w14:textId="77777777" w:rsidR="00323F8A" w:rsidRDefault="00323F8A" w:rsidP="00920AF3">
      <w:pPr>
        <w:pStyle w:val="ListParagraph"/>
        <w:rPr>
          <w:rFonts w:ascii="Times New Roman" w:hAnsi="Times New Roman" w:cs="Times New Roman"/>
          <w:b/>
        </w:rPr>
      </w:pPr>
    </w:p>
    <w:p w14:paraId="652050EB" w14:textId="77777777" w:rsidR="00323F8A" w:rsidRDefault="00323F8A" w:rsidP="00920AF3">
      <w:pPr>
        <w:pStyle w:val="ListParagraph"/>
        <w:rPr>
          <w:rFonts w:ascii="Times New Roman" w:hAnsi="Times New Roman" w:cs="Times New Roman"/>
          <w:b/>
        </w:rPr>
      </w:pPr>
    </w:p>
    <w:p w14:paraId="1409EFEF" w14:textId="77777777" w:rsidR="00FC263E" w:rsidRPr="002A6A1D" w:rsidRDefault="00FC263E" w:rsidP="002A6A1D">
      <w:pPr>
        <w:rPr>
          <w:rFonts w:ascii="Times New Roman" w:hAnsi="Times New Roman" w:cs="Times New Roman"/>
          <w:b/>
        </w:rPr>
      </w:pPr>
    </w:p>
    <w:p w14:paraId="5C465F77" w14:textId="77777777" w:rsidR="00FC263E" w:rsidRPr="00F954C7" w:rsidRDefault="00FC263E" w:rsidP="00920AF3">
      <w:pPr>
        <w:pStyle w:val="ListParagraph"/>
        <w:rPr>
          <w:rFonts w:ascii="Times New Roman" w:hAnsi="Times New Roman" w:cs="Times New Roman"/>
          <w:b/>
        </w:rPr>
      </w:pPr>
    </w:p>
    <w:p w14:paraId="1BF334A5" w14:textId="77777777" w:rsidR="00920AF3" w:rsidRPr="002F15C0" w:rsidRDefault="00920AF3" w:rsidP="002F15C0">
      <w:pPr>
        <w:rPr>
          <w:rFonts w:ascii="Times New Roman" w:hAnsi="Times New Roman" w:cs="Times New Roman"/>
          <w:b/>
        </w:rPr>
      </w:pPr>
    </w:p>
    <w:p w14:paraId="7626F9CD" w14:textId="3C72D701" w:rsidR="000431B6" w:rsidRPr="00F954C7" w:rsidRDefault="000431B6" w:rsidP="00F933AA">
      <w:pPr>
        <w:pStyle w:val="ListParagraph"/>
        <w:ind w:hanging="720"/>
        <w:jc w:val="center"/>
        <w:rPr>
          <w:rFonts w:ascii="Times New Roman" w:hAnsi="Times New Roman" w:cs="Times New Roman"/>
          <w:b/>
        </w:rPr>
      </w:pPr>
      <w:r w:rsidRPr="00F954C7">
        <w:rPr>
          <w:rFonts w:ascii="Times New Roman" w:hAnsi="Times New Roman" w:cs="Times New Roman"/>
          <w:b/>
        </w:rPr>
        <w:t>TABLE OF AUTHORITIES</w:t>
      </w:r>
    </w:p>
    <w:p w14:paraId="504A2907" w14:textId="77777777" w:rsidR="000431B6" w:rsidRPr="00F954C7" w:rsidRDefault="000431B6" w:rsidP="00F933AA">
      <w:pPr>
        <w:pStyle w:val="ListParagraph"/>
        <w:jc w:val="center"/>
        <w:rPr>
          <w:rFonts w:ascii="Times New Roman" w:hAnsi="Times New Roman" w:cs="Times New Roman"/>
          <w:b/>
        </w:rPr>
      </w:pPr>
    </w:p>
    <w:p w14:paraId="05A56F29" w14:textId="77777777" w:rsidR="003E4949" w:rsidRPr="00FA3DC1" w:rsidRDefault="003E4949" w:rsidP="003E4949">
      <w:pPr>
        <w:tabs>
          <w:tab w:val="left" w:pos="720"/>
          <w:tab w:val="left" w:pos="1440"/>
          <w:tab w:val="left" w:pos="2160"/>
          <w:tab w:val="right" w:leader="dot" w:pos="9180"/>
        </w:tabs>
        <w:jc w:val="center"/>
        <w:rPr>
          <w:rFonts w:ascii="Times New Roman" w:hAnsi="Times New Roman" w:cs="Times New Roman"/>
          <w:u w:val="single"/>
        </w:rPr>
      </w:pPr>
      <w:r w:rsidRPr="00FA3DC1">
        <w:rPr>
          <w:rFonts w:ascii="Times New Roman" w:hAnsi="Times New Roman" w:cs="Times New Roman"/>
          <w:i/>
          <w:u w:val="single"/>
        </w:rPr>
        <w:t>Table of Cases</w:t>
      </w:r>
    </w:p>
    <w:p w14:paraId="36A63A95" w14:textId="77777777" w:rsidR="003E4949" w:rsidRDefault="003E4949" w:rsidP="003E4949">
      <w:pPr>
        <w:tabs>
          <w:tab w:val="left" w:pos="720"/>
          <w:tab w:val="left" w:pos="1440"/>
          <w:tab w:val="left" w:pos="2160"/>
          <w:tab w:val="right" w:leader="dot" w:pos="9180"/>
        </w:tabs>
        <w:rPr>
          <w:rFonts w:ascii="Times New Roman" w:hAnsi="Times New Roman" w:cs="Times New Roman"/>
        </w:rPr>
      </w:pPr>
    </w:p>
    <w:p w14:paraId="222232EF" w14:textId="24D31828" w:rsidR="003E4949" w:rsidRDefault="003E4949" w:rsidP="003E4949">
      <w:pPr>
        <w:tabs>
          <w:tab w:val="left" w:pos="720"/>
          <w:tab w:val="left" w:pos="1440"/>
          <w:tab w:val="left" w:pos="2160"/>
          <w:tab w:val="right" w:leader="dot" w:pos="9180"/>
        </w:tabs>
        <w:rPr>
          <w:rFonts w:ascii="Times New Roman" w:hAnsi="Times New Roman" w:cs="Times New Roman"/>
          <w:i/>
        </w:rPr>
      </w:pPr>
      <w:r>
        <w:rPr>
          <w:rFonts w:ascii="Times New Roman" w:hAnsi="Times New Roman" w:cs="Times New Roman"/>
          <w:i/>
        </w:rPr>
        <w:t>Illinois Commerce Commission</w:t>
      </w:r>
      <w:r w:rsidRPr="00060EA4">
        <w:rPr>
          <w:rFonts w:ascii="Times New Roman" w:hAnsi="Times New Roman" w:cs="Times New Roman"/>
          <w:i/>
        </w:rPr>
        <w:t xml:space="preserve"> v. </w:t>
      </w:r>
      <w:r>
        <w:rPr>
          <w:rFonts w:ascii="Times New Roman" w:hAnsi="Times New Roman" w:cs="Times New Roman"/>
          <w:i/>
        </w:rPr>
        <w:t>Commonwealth Edison Company</w:t>
      </w:r>
      <w:r w:rsidRPr="00060EA4">
        <w:rPr>
          <w:rFonts w:ascii="Times New Roman" w:hAnsi="Times New Roman" w:cs="Times New Roman"/>
          <w:i/>
        </w:rPr>
        <w:t xml:space="preserve">, </w:t>
      </w:r>
    </w:p>
    <w:p w14:paraId="1508B545" w14:textId="3608E700" w:rsidR="003E4949" w:rsidRDefault="003E4949" w:rsidP="003E4949">
      <w:pPr>
        <w:tabs>
          <w:tab w:val="left" w:pos="720"/>
          <w:tab w:val="left" w:pos="1440"/>
          <w:tab w:val="left" w:pos="2160"/>
          <w:tab w:val="right" w:leader="dot" w:pos="9180"/>
        </w:tabs>
        <w:rPr>
          <w:rFonts w:ascii="Times New Roman" w:hAnsi="Times New Roman" w:cs="Times New Roman"/>
        </w:rPr>
      </w:pPr>
      <w:r w:rsidRPr="00060EA4">
        <w:rPr>
          <w:rFonts w:ascii="Times New Roman" w:hAnsi="Times New Roman" w:cs="Times New Roman"/>
        </w:rPr>
        <w:tab/>
      </w:r>
      <w:r>
        <w:rPr>
          <w:rFonts w:ascii="Times New Roman" w:hAnsi="Times New Roman" w:cs="Times New Roman"/>
        </w:rPr>
        <w:t>Docket No. 13-0387, Final Decision (December 18, 2013)</w:t>
      </w:r>
      <w:r w:rsidRPr="00060EA4">
        <w:rPr>
          <w:rFonts w:ascii="Times New Roman" w:hAnsi="Times New Roman" w:cs="Times New Roman"/>
        </w:rPr>
        <w:t xml:space="preserve"> </w:t>
      </w:r>
      <w:r w:rsidRPr="00060EA4">
        <w:rPr>
          <w:rFonts w:ascii="Times New Roman" w:hAnsi="Times New Roman" w:cs="Times New Roman"/>
        </w:rPr>
        <w:tab/>
      </w:r>
      <w:r>
        <w:rPr>
          <w:rFonts w:ascii="Times New Roman" w:hAnsi="Times New Roman" w:cs="Times New Roman"/>
        </w:rPr>
        <w:t>5</w:t>
      </w:r>
      <w:r w:rsidR="00132C9D">
        <w:rPr>
          <w:rFonts w:ascii="Times New Roman" w:hAnsi="Times New Roman" w:cs="Times New Roman"/>
        </w:rPr>
        <w:t>, 6</w:t>
      </w:r>
    </w:p>
    <w:p w14:paraId="10379A57" w14:textId="77777777" w:rsidR="003E4949" w:rsidRDefault="003E4949" w:rsidP="003E4949">
      <w:pPr>
        <w:tabs>
          <w:tab w:val="left" w:pos="720"/>
          <w:tab w:val="left" w:pos="1440"/>
          <w:tab w:val="left" w:pos="2160"/>
          <w:tab w:val="right" w:leader="dot" w:pos="9180"/>
        </w:tabs>
        <w:rPr>
          <w:rFonts w:ascii="Times New Roman" w:hAnsi="Times New Roman" w:cs="Times New Roman"/>
        </w:rPr>
      </w:pPr>
    </w:p>
    <w:p w14:paraId="35C6EFEC" w14:textId="515289ED" w:rsidR="003E4949" w:rsidRDefault="003E4949" w:rsidP="003E4949">
      <w:pPr>
        <w:tabs>
          <w:tab w:val="left" w:pos="720"/>
          <w:tab w:val="left" w:pos="1440"/>
          <w:tab w:val="left" w:pos="2160"/>
          <w:tab w:val="right" w:leader="dot" w:pos="9180"/>
        </w:tabs>
        <w:rPr>
          <w:rFonts w:ascii="Times New Roman" w:hAnsi="Times New Roman" w:cs="Times New Roman"/>
          <w:i/>
        </w:rPr>
      </w:pPr>
      <w:r>
        <w:rPr>
          <w:rFonts w:ascii="Times New Roman" w:hAnsi="Times New Roman" w:cs="Times New Roman"/>
          <w:i/>
        </w:rPr>
        <w:t>Illinois Commerce Commission</w:t>
      </w:r>
      <w:r w:rsidRPr="00060EA4">
        <w:rPr>
          <w:rFonts w:ascii="Times New Roman" w:hAnsi="Times New Roman" w:cs="Times New Roman"/>
          <w:i/>
        </w:rPr>
        <w:t xml:space="preserve"> v. </w:t>
      </w:r>
      <w:r>
        <w:rPr>
          <w:rFonts w:ascii="Times New Roman" w:hAnsi="Times New Roman" w:cs="Times New Roman"/>
          <w:i/>
        </w:rPr>
        <w:t>North Shore Gas Company and Peoples Gas Light and Coke Company</w:t>
      </w:r>
      <w:r w:rsidRPr="00060EA4">
        <w:rPr>
          <w:rFonts w:ascii="Times New Roman" w:hAnsi="Times New Roman" w:cs="Times New Roman"/>
          <w:i/>
        </w:rPr>
        <w:t xml:space="preserve">, </w:t>
      </w:r>
    </w:p>
    <w:p w14:paraId="09EBCA92" w14:textId="2F7B35FE" w:rsidR="003E4949" w:rsidRPr="00060EA4" w:rsidRDefault="003E4949" w:rsidP="003E4949">
      <w:pPr>
        <w:tabs>
          <w:tab w:val="left" w:pos="720"/>
          <w:tab w:val="left" w:pos="1440"/>
          <w:tab w:val="left" w:pos="2160"/>
          <w:tab w:val="right" w:leader="dot" w:pos="9180"/>
        </w:tabs>
        <w:rPr>
          <w:rFonts w:ascii="Times New Roman" w:hAnsi="Times New Roman" w:cs="Times New Roman"/>
        </w:rPr>
      </w:pPr>
      <w:r w:rsidRPr="00060EA4">
        <w:rPr>
          <w:rFonts w:ascii="Times New Roman" w:hAnsi="Times New Roman" w:cs="Times New Roman"/>
        </w:rPr>
        <w:tab/>
      </w:r>
      <w:r>
        <w:rPr>
          <w:rFonts w:ascii="Times New Roman" w:hAnsi="Times New Roman" w:cs="Times New Roman"/>
        </w:rPr>
        <w:t>Docket No. 14-0224, Final Decision (</w:t>
      </w:r>
      <w:r w:rsidR="00132C9D">
        <w:rPr>
          <w:rFonts w:ascii="Times New Roman" w:hAnsi="Times New Roman" w:cs="Times New Roman"/>
        </w:rPr>
        <w:t>January 26, 2015</w:t>
      </w:r>
      <w:r>
        <w:rPr>
          <w:rFonts w:ascii="Times New Roman" w:hAnsi="Times New Roman" w:cs="Times New Roman"/>
        </w:rPr>
        <w:t>)</w:t>
      </w:r>
      <w:r w:rsidRPr="00060EA4">
        <w:rPr>
          <w:rFonts w:ascii="Times New Roman" w:hAnsi="Times New Roman" w:cs="Times New Roman"/>
        </w:rPr>
        <w:t xml:space="preserve"> </w:t>
      </w:r>
      <w:r w:rsidRPr="00060EA4">
        <w:rPr>
          <w:rFonts w:ascii="Times New Roman" w:hAnsi="Times New Roman" w:cs="Times New Roman"/>
        </w:rPr>
        <w:tab/>
      </w:r>
      <w:r>
        <w:rPr>
          <w:rFonts w:ascii="Times New Roman" w:hAnsi="Times New Roman" w:cs="Times New Roman"/>
        </w:rPr>
        <w:t>5</w:t>
      </w:r>
    </w:p>
    <w:p w14:paraId="0A1EE59F" w14:textId="77777777" w:rsidR="003E4949" w:rsidRDefault="003E4949" w:rsidP="003E4949">
      <w:pPr>
        <w:tabs>
          <w:tab w:val="left" w:pos="720"/>
          <w:tab w:val="left" w:pos="1440"/>
          <w:tab w:val="left" w:pos="2160"/>
          <w:tab w:val="right" w:leader="dot" w:pos="9180"/>
        </w:tabs>
        <w:rPr>
          <w:rFonts w:ascii="Times New Roman" w:hAnsi="Times New Roman" w:cs="Times New Roman"/>
          <w:i/>
        </w:rPr>
      </w:pPr>
    </w:p>
    <w:p w14:paraId="08E22C98" w14:textId="26921976" w:rsidR="003E4949" w:rsidRDefault="00132C9D" w:rsidP="003E4949">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i/>
        </w:rPr>
        <w:t>Public Service Commission of Maryland</w:t>
      </w:r>
      <w:r w:rsidR="003E4949" w:rsidRPr="00CF677B">
        <w:rPr>
          <w:rFonts w:ascii="Times New Roman" w:hAnsi="Times New Roman" w:cs="Times New Roman"/>
          <w:i/>
        </w:rPr>
        <w:t xml:space="preserve"> v.</w:t>
      </w:r>
      <w:r>
        <w:rPr>
          <w:rFonts w:ascii="Times New Roman" w:hAnsi="Times New Roman" w:cs="Times New Roman"/>
          <w:i/>
        </w:rPr>
        <w:t xml:space="preserve"> Baltimore Gas and Eclectic Company</w:t>
      </w:r>
      <w:r w:rsidR="003E4949" w:rsidRPr="00CF677B">
        <w:rPr>
          <w:rFonts w:ascii="Times New Roman" w:hAnsi="Times New Roman" w:cs="Times New Roman"/>
        </w:rPr>
        <w:t xml:space="preserve">, </w:t>
      </w:r>
    </w:p>
    <w:p w14:paraId="67D56C21" w14:textId="5CCB3CCF" w:rsidR="003E4949" w:rsidRDefault="003E4949" w:rsidP="003E4949">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00132C9D">
        <w:rPr>
          <w:rFonts w:ascii="Times New Roman" w:hAnsi="Times New Roman" w:cs="Times New Roman"/>
        </w:rPr>
        <w:t>Case No. 9326, Order No. 86060</w:t>
      </w:r>
      <w:r>
        <w:rPr>
          <w:rFonts w:ascii="Times New Roman" w:hAnsi="Times New Roman" w:cs="Times New Roman"/>
        </w:rPr>
        <w:t xml:space="preserve"> </w:t>
      </w:r>
      <w:r w:rsidRPr="00CF677B">
        <w:rPr>
          <w:rFonts w:ascii="Times New Roman" w:hAnsi="Times New Roman" w:cs="Times New Roman"/>
        </w:rPr>
        <w:t>(</w:t>
      </w:r>
      <w:r w:rsidR="00132C9D">
        <w:rPr>
          <w:rFonts w:ascii="Times New Roman" w:hAnsi="Times New Roman" w:cs="Times New Roman"/>
        </w:rPr>
        <w:t>December 13, 2013</w:t>
      </w:r>
      <w:r w:rsidRPr="00CF677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00132C9D">
        <w:rPr>
          <w:rFonts w:ascii="Times New Roman" w:hAnsi="Times New Roman" w:cs="Times New Roman"/>
        </w:rPr>
        <w:t>6</w:t>
      </w:r>
    </w:p>
    <w:p w14:paraId="41F33A03" w14:textId="77777777" w:rsidR="00E94726" w:rsidRDefault="00E94726" w:rsidP="003E4949">
      <w:pPr>
        <w:tabs>
          <w:tab w:val="left" w:pos="720"/>
          <w:tab w:val="left" w:pos="1440"/>
          <w:tab w:val="left" w:pos="2160"/>
          <w:tab w:val="right" w:leader="dot" w:pos="9180"/>
        </w:tabs>
        <w:rPr>
          <w:rFonts w:ascii="Times New Roman" w:hAnsi="Times New Roman" w:cs="Times New Roman"/>
        </w:rPr>
      </w:pPr>
    </w:p>
    <w:p w14:paraId="1C18ACEE" w14:textId="06601994" w:rsidR="00E94726" w:rsidRDefault="00E94726" w:rsidP="00E94726">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i/>
        </w:rPr>
        <w:t>Virginia State Corporation Commission</w:t>
      </w:r>
      <w:r w:rsidRPr="00CF677B">
        <w:rPr>
          <w:rFonts w:ascii="Times New Roman" w:hAnsi="Times New Roman" w:cs="Times New Roman"/>
          <w:i/>
        </w:rPr>
        <w:t xml:space="preserve"> v.</w:t>
      </w:r>
      <w:r>
        <w:rPr>
          <w:rFonts w:ascii="Times New Roman" w:hAnsi="Times New Roman" w:cs="Times New Roman"/>
          <w:i/>
        </w:rPr>
        <w:t xml:space="preserve"> </w:t>
      </w:r>
      <w:r>
        <w:rPr>
          <w:rFonts w:ascii="Times New Roman" w:hAnsi="Times New Roman" w:cs="Times New Roman"/>
          <w:i/>
        </w:rPr>
        <w:t>Appalachian Power</w:t>
      </w:r>
      <w:r>
        <w:rPr>
          <w:rFonts w:ascii="Times New Roman" w:hAnsi="Times New Roman" w:cs="Times New Roman"/>
          <w:i/>
        </w:rPr>
        <w:t xml:space="preserve"> Company</w:t>
      </w:r>
      <w:r w:rsidRPr="00CF677B">
        <w:rPr>
          <w:rFonts w:ascii="Times New Roman" w:hAnsi="Times New Roman" w:cs="Times New Roman"/>
        </w:rPr>
        <w:t xml:space="preserve">, </w:t>
      </w:r>
    </w:p>
    <w:p w14:paraId="79AEDCC8" w14:textId="204F8B13" w:rsidR="00E94726" w:rsidRDefault="00E94726" w:rsidP="00E94726">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 xml:space="preserve">Case No. </w:t>
      </w:r>
      <w:r>
        <w:rPr>
          <w:rFonts w:ascii="Times New Roman" w:hAnsi="Times New Roman" w:cs="Times New Roman"/>
        </w:rPr>
        <w:t>PUE-2014-00026</w:t>
      </w:r>
      <w:r>
        <w:rPr>
          <w:rFonts w:ascii="Times New Roman" w:hAnsi="Times New Roman" w:cs="Times New Roman"/>
        </w:rPr>
        <w:t xml:space="preserve">, </w:t>
      </w:r>
      <w:r>
        <w:rPr>
          <w:rFonts w:ascii="Times New Roman" w:hAnsi="Times New Roman" w:cs="Times New Roman"/>
        </w:rPr>
        <w:t>Final Order</w:t>
      </w:r>
      <w:r>
        <w:rPr>
          <w:rFonts w:ascii="Times New Roman" w:hAnsi="Times New Roman" w:cs="Times New Roman"/>
        </w:rPr>
        <w:t xml:space="preserve"> </w:t>
      </w:r>
      <w:r w:rsidRPr="00CF677B">
        <w:rPr>
          <w:rFonts w:ascii="Times New Roman" w:hAnsi="Times New Roman" w:cs="Times New Roman"/>
        </w:rPr>
        <w:t>(</w:t>
      </w:r>
      <w:r>
        <w:rPr>
          <w:rFonts w:ascii="Times New Roman" w:hAnsi="Times New Roman" w:cs="Times New Roman"/>
        </w:rPr>
        <w:t>November</w:t>
      </w:r>
      <w:r>
        <w:rPr>
          <w:rFonts w:ascii="Times New Roman" w:hAnsi="Times New Roman" w:cs="Times New Roman"/>
        </w:rPr>
        <w:t xml:space="preserve"> </w:t>
      </w:r>
      <w:r>
        <w:rPr>
          <w:rFonts w:ascii="Times New Roman" w:hAnsi="Times New Roman" w:cs="Times New Roman"/>
        </w:rPr>
        <w:t>26, 2014</w:t>
      </w:r>
      <w:r w:rsidRPr="00CF677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6</w:t>
      </w:r>
    </w:p>
    <w:p w14:paraId="2B0554F7" w14:textId="77777777" w:rsidR="00E94726" w:rsidRDefault="00E94726" w:rsidP="003E4949">
      <w:pPr>
        <w:tabs>
          <w:tab w:val="left" w:pos="720"/>
          <w:tab w:val="left" w:pos="1440"/>
          <w:tab w:val="left" w:pos="2160"/>
          <w:tab w:val="right" w:leader="dot" w:pos="9180"/>
        </w:tabs>
        <w:rPr>
          <w:rFonts w:ascii="Times New Roman" w:hAnsi="Times New Roman" w:cs="Times New Roman"/>
        </w:rPr>
      </w:pPr>
    </w:p>
    <w:p w14:paraId="173C76C7" w14:textId="77777777" w:rsidR="003E4949" w:rsidRDefault="003E4949" w:rsidP="00F933AA">
      <w:pPr>
        <w:tabs>
          <w:tab w:val="left" w:pos="720"/>
          <w:tab w:val="left" w:pos="1440"/>
          <w:tab w:val="left" w:pos="2160"/>
          <w:tab w:val="right" w:leader="dot" w:pos="9180"/>
        </w:tabs>
        <w:jc w:val="center"/>
        <w:rPr>
          <w:rFonts w:ascii="Times New Roman" w:hAnsi="Times New Roman" w:cs="Times New Roman"/>
          <w:i/>
          <w:u w:val="single"/>
        </w:rPr>
      </w:pPr>
    </w:p>
    <w:p w14:paraId="389C9F50" w14:textId="77777777" w:rsidR="00E5402F" w:rsidRPr="00FA3DC1" w:rsidRDefault="00E5402F" w:rsidP="00F933AA">
      <w:pPr>
        <w:tabs>
          <w:tab w:val="left" w:pos="720"/>
          <w:tab w:val="left" w:pos="1440"/>
          <w:tab w:val="left" w:pos="2160"/>
          <w:tab w:val="right" w:leader="dot" w:pos="9180"/>
        </w:tabs>
        <w:jc w:val="center"/>
        <w:rPr>
          <w:rFonts w:ascii="Times New Roman" w:hAnsi="Times New Roman" w:cs="Times New Roman"/>
          <w:i/>
          <w:u w:val="single"/>
        </w:rPr>
      </w:pPr>
      <w:r w:rsidRPr="00FA3DC1">
        <w:rPr>
          <w:rFonts w:ascii="Times New Roman" w:hAnsi="Times New Roman" w:cs="Times New Roman"/>
          <w:i/>
          <w:u w:val="single"/>
        </w:rPr>
        <w:t>Table of Commission Cases</w:t>
      </w:r>
    </w:p>
    <w:p w14:paraId="6B989EEB"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24F39B1D"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48B989FB" w14:textId="7C268D89" w:rsidR="003E4949" w:rsidRDefault="003E4949" w:rsidP="00536E76">
      <w:pPr>
        <w:rPr>
          <w:rFonts w:ascii="Times New Roman" w:hAnsi="Times New Roman" w:cs="Times New Roman"/>
          <w:i/>
        </w:rPr>
      </w:pPr>
      <w:r>
        <w:rPr>
          <w:rFonts w:ascii="Times New Roman" w:hAnsi="Times New Roman" w:cs="Times New Roman"/>
          <w:i/>
        </w:rPr>
        <w:t>In the Matter of the Washington Utilities and Transportation Commission’s Amending and Repealing Rules in WAC 480-108 Relating to Electric Companies-Interconnection with Electric Generators,</w:t>
      </w:r>
    </w:p>
    <w:p w14:paraId="596A8B20" w14:textId="6CB285FE" w:rsidR="003E4949" w:rsidRPr="003E4949" w:rsidRDefault="003E4949" w:rsidP="003E4949">
      <w:pPr>
        <w:tabs>
          <w:tab w:val="left" w:pos="720"/>
          <w:tab w:val="left" w:pos="1440"/>
          <w:tab w:val="left" w:pos="2160"/>
          <w:tab w:val="right" w:leader="dot" w:pos="9180"/>
        </w:tabs>
        <w:ind w:left="720" w:right="630"/>
        <w:rPr>
          <w:rFonts w:ascii="Times New Roman" w:hAnsi="Times New Roman" w:cs="Times New Roman"/>
        </w:rPr>
      </w:pPr>
      <w:r w:rsidRPr="003E4949">
        <w:rPr>
          <w:rFonts w:ascii="Times New Roman" w:hAnsi="Times New Roman" w:cs="Times New Roman"/>
        </w:rPr>
        <w:t>Docket UE-112133, Interpretive Statement Concerning Commission Jurisdiction and Regulation of Third-Party Owners of Net Metering Facilities (July 30, 2014</w:t>
      </w:r>
      <w:r>
        <w:rPr>
          <w:rFonts w:ascii="Times New Roman" w:hAnsi="Times New Roman" w:cs="Times New Roman"/>
        </w:rPr>
        <w:t>)</w:t>
      </w:r>
      <w:r w:rsidRPr="003E4949">
        <w:rPr>
          <w:rFonts w:ascii="Times New Roman" w:hAnsi="Times New Roman" w:cs="Times New Roman"/>
        </w:rPr>
        <w:tab/>
      </w:r>
      <w:r>
        <w:rPr>
          <w:rFonts w:ascii="Times New Roman" w:hAnsi="Times New Roman" w:cs="Times New Roman"/>
        </w:rPr>
        <w:t>2</w:t>
      </w:r>
    </w:p>
    <w:p w14:paraId="3B63BBC0" w14:textId="6E10CA56" w:rsidR="003E4949" w:rsidRDefault="003E4949" w:rsidP="00536E76">
      <w:pPr>
        <w:rPr>
          <w:rFonts w:ascii="Times New Roman" w:hAnsi="Times New Roman" w:cs="Times New Roman"/>
          <w:i/>
        </w:rPr>
      </w:pPr>
    </w:p>
    <w:p w14:paraId="0A33FB25" w14:textId="77777777" w:rsidR="00536E76" w:rsidRPr="00931AD0" w:rsidRDefault="00536E76" w:rsidP="00536E76">
      <w:pPr>
        <w:rPr>
          <w:rFonts w:ascii="Times" w:eastAsia="Times New Roman" w:hAnsi="Times" w:cs="Times New Roman"/>
          <w:sz w:val="20"/>
          <w:szCs w:val="20"/>
        </w:rPr>
      </w:pPr>
      <w:r w:rsidRPr="00931AD0">
        <w:rPr>
          <w:rFonts w:ascii="Times New Roman" w:hAnsi="Times New Roman" w:cs="Times New Roman"/>
          <w:i/>
        </w:rPr>
        <w:t xml:space="preserve">In the Matter of the Washington Utilities and Transportation Commission’s Investigation into </w:t>
      </w:r>
      <w:r w:rsidRPr="00931AD0">
        <w:rPr>
          <w:rFonts w:ascii="Times New Roman" w:eastAsia="Times New Roman" w:hAnsi="Times New Roman" w:cs="Times New Roman"/>
          <w:i/>
          <w:color w:val="333333"/>
        </w:rPr>
        <w:t>the Potential for Distributed Energy in Washington State</w:t>
      </w:r>
      <w:r w:rsidRPr="00141E7D">
        <w:rPr>
          <w:rFonts w:ascii="Times New Roman" w:hAnsi="Times New Roman" w:cs="Times New Roman"/>
        </w:rPr>
        <w:t xml:space="preserve">, </w:t>
      </w:r>
    </w:p>
    <w:p w14:paraId="07367C15" w14:textId="77777777" w:rsidR="00536E76" w:rsidRDefault="00536E76" w:rsidP="00536E76">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Docket UE-110667</w:t>
      </w:r>
      <w:r w:rsidRPr="00141E7D">
        <w:rPr>
          <w:rFonts w:ascii="Times New Roman" w:hAnsi="Times New Roman" w:cs="Times New Roman"/>
        </w:rPr>
        <w:t xml:space="preserve">, </w:t>
      </w:r>
      <w:r>
        <w:rPr>
          <w:rFonts w:ascii="Times New Roman" w:hAnsi="Times New Roman" w:cs="Times New Roman"/>
        </w:rPr>
        <w:t xml:space="preserve">UTC Report on the Potential For Cost-Effective Distributed </w:t>
      </w:r>
    </w:p>
    <w:p w14:paraId="5042E99A" w14:textId="77777777" w:rsidR="00536E76" w:rsidRDefault="00536E76" w:rsidP="00536E76">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 xml:space="preserve">Generation in Areas Served by Investor-Owned Utilities in </w:t>
      </w:r>
    </w:p>
    <w:p w14:paraId="320886B9" w14:textId="099C994C" w:rsidR="00536E76" w:rsidRPr="00931AD0" w:rsidRDefault="00536E76" w:rsidP="00536E76">
      <w:pPr>
        <w:tabs>
          <w:tab w:val="left" w:pos="720"/>
          <w:tab w:val="left" w:pos="1440"/>
          <w:tab w:val="left" w:pos="2160"/>
          <w:tab w:val="right" w:leader="dot" w:pos="9180"/>
        </w:tabs>
        <w:rPr>
          <w:rFonts w:ascii="Times New Roman" w:hAnsi="Times New Roman" w:cs="Times New Roman"/>
        </w:rPr>
      </w:pPr>
      <w:r w:rsidRPr="00931AD0">
        <w:rPr>
          <w:rFonts w:ascii="Times New Roman" w:hAnsi="Times New Roman" w:cs="Times New Roman"/>
        </w:rPr>
        <w:tab/>
        <w:t xml:space="preserve">Washington State (October 7, 2011) </w:t>
      </w:r>
      <w:r w:rsidRPr="00931AD0">
        <w:rPr>
          <w:rFonts w:ascii="Times New Roman" w:hAnsi="Times New Roman" w:cs="Times New Roman"/>
        </w:rPr>
        <w:tab/>
      </w:r>
      <w:r>
        <w:rPr>
          <w:rFonts w:ascii="Times New Roman" w:hAnsi="Times New Roman" w:cs="Times New Roman"/>
        </w:rPr>
        <w:t>4</w:t>
      </w:r>
    </w:p>
    <w:p w14:paraId="0E753852" w14:textId="77777777" w:rsidR="001B0366" w:rsidRDefault="001B0366" w:rsidP="00B97904">
      <w:pPr>
        <w:tabs>
          <w:tab w:val="left" w:pos="720"/>
          <w:tab w:val="left" w:pos="1440"/>
          <w:tab w:val="left" w:pos="2160"/>
          <w:tab w:val="right" w:leader="dot" w:pos="9180"/>
          <w:tab w:val="right" w:pos="9360"/>
        </w:tabs>
        <w:rPr>
          <w:rFonts w:ascii="Times New Roman" w:hAnsi="Times New Roman" w:cs="Times New Roman"/>
        </w:rPr>
      </w:pPr>
    </w:p>
    <w:p w14:paraId="17A07E63" w14:textId="40D132AC" w:rsidR="00E5402F" w:rsidRDefault="00E5402F" w:rsidP="00E5402F">
      <w:pPr>
        <w:rPr>
          <w:rFonts w:ascii="Times New Roman" w:hAnsi="Times New Roman" w:cs="Times New Roman"/>
        </w:rPr>
      </w:pPr>
    </w:p>
    <w:p w14:paraId="051EF70A" w14:textId="77777777" w:rsidR="0002094D" w:rsidRPr="00FA3DC1" w:rsidRDefault="0002094D" w:rsidP="0002094D">
      <w:pPr>
        <w:tabs>
          <w:tab w:val="left" w:pos="720"/>
          <w:tab w:val="left" w:pos="1440"/>
          <w:tab w:val="left" w:pos="2160"/>
          <w:tab w:val="right" w:leader="dot" w:pos="9180"/>
        </w:tabs>
        <w:jc w:val="center"/>
        <w:rPr>
          <w:rFonts w:ascii="Times New Roman" w:hAnsi="Times New Roman" w:cs="Times New Roman"/>
          <w:i/>
          <w:u w:val="single"/>
        </w:rPr>
      </w:pPr>
      <w:r w:rsidRPr="00FA3DC1">
        <w:rPr>
          <w:rFonts w:ascii="Times New Roman" w:hAnsi="Times New Roman" w:cs="Times New Roman"/>
          <w:i/>
          <w:u w:val="single"/>
        </w:rPr>
        <w:t>Statutes</w:t>
      </w:r>
      <w:r>
        <w:rPr>
          <w:rFonts w:ascii="Times New Roman" w:hAnsi="Times New Roman" w:cs="Times New Roman"/>
          <w:i/>
          <w:u w:val="single"/>
        </w:rPr>
        <w:t xml:space="preserve"> and Rules</w:t>
      </w:r>
    </w:p>
    <w:p w14:paraId="0FF7E50C" w14:textId="77777777" w:rsidR="0002094D" w:rsidRDefault="0002094D" w:rsidP="0002094D">
      <w:pPr>
        <w:tabs>
          <w:tab w:val="left" w:pos="720"/>
          <w:tab w:val="left" w:pos="1440"/>
          <w:tab w:val="left" w:pos="2160"/>
          <w:tab w:val="right" w:leader="dot" w:pos="9180"/>
        </w:tabs>
        <w:rPr>
          <w:rFonts w:ascii="Times New Roman" w:hAnsi="Times New Roman" w:cs="Times New Roman"/>
        </w:rPr>
      </w:pPr>
    </w:p>
    <w:p w14:paraId="341AA97E" w14:textId="77777777" w:rsidR="0002094D" w:rsidRDefault="0002094D" w:rsidP="0002094D">
      <w:pPr>
        <w:tabs>
          <w:tab w:val="left" w:pos="720"/>
          <w:tab w:val="left" w:pos="1440"/>
          <w:tab w:val="left" w:pos="2160"/>
          <w:tab w:val="right" w:leader="dot" w:pos="9180"/>
        </w:tabs>
        <w:rPr>
          <w:rFonts w:ascii="Times New Roman" w:hAnsi="Times New Roman" w:cs="Times New Roman"/>
        </w:rPr>
      </w:pPr>
    </w:p>
    <w:p w14:paraId="7DE52016" w14:textId="7283A02E" w:rsidR="0002094D" w:rsidRDefault="0002094D" w:rsidP="0002094D">
      <w:pPr>
        <w:tabs>
          <w:tab w:val="left" w:pos="720"/>
          <w:tab w:val="left" w:pos="1440"/>
          <w:tab w:val="right" w:leader="dot" w:pos="9180"/>
        </w:tabs>
        <w:rPr>
          <w:rFonts w:ascii="Times New Roman" w:hAnsi="Times New Roman" w:cs="Times New Roman"/>
        </w:rPr>
      </w:pPr>
      <w:r w:rsidRPr="00D964F3">
        <w:rPr>
          <w:rFonts w:ascii="Times New Roman" w:hAnsi="Times New Roman" w:cs="Times New Roman"/>
        </w:rPr>
        <w:t>WAC 480-07-</w:t>
      </w:r>
      <w:r>
        <w:rPr>
          <w:rFonts w:ascii="Times New Roman" w:hAnsi="Times New Roman" w:cs="Times New Roman"/>
        </w:rPr>
        <w:t xml:space="preserve">495(2) </w:t>
      </w:r>
      <w:r>
        <w:rPr>
          <w:rFonts w:ascii="Times New Roman" w:hAnsi="Times New Roman" w:cs="Times New Roman"/>
        </w:rPr>
        <w:tab/>
        <w:t>7</w:t>
      </w:r>
    </w:p>
    <w:p w14:paraId="19A24F84"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4814DF9D" w14:textId="77777777" w:rsidR="000431B6" w:rsidRPr="003E4949" w:rsidRDefault="000431B6" w:rsidP="003E4949">
      <w:pPr>
        <w:rPr>
          <w:rFonts w:ascii="Times New Roman" w:hAnsi="Times New Roman" w:cs="Times New Roman"/>
          <w:b/>
        </w:rPr>
      </w:pPr>
    </w:p>
    <w:p w14:paraId="63D35D5B" w14:textId="77777777" w:rsidR="000431B6" w:rsidRPr="00F954C7" w:rsidRDefault="000431B6" w:rsidP="00920AF3">
      <w:pPr>
        <w:pStyle w:val="ListParagraph"/>
        <w:rPr>
          <w:rFonts w:ascii="Times New Roman" w:hAnsi="Times New Roman" w:cs="Times New Roman"/>
          <w:b/>
        </w:rPr>
      </w:pPr>
    </w:p>
    <w:p w14:paraId="62FA5A0D" w14:textId="77777777" w:rsidR="00032A02" w:rsidRPr="00E5402F" w:rsidRDefault="00032A02" w:rsidP="00E5402F">
      <w:pPr>
        <w:rPr>
          <w:rFonts w:ascii="Times New Roman" w:hAnsi="Times New Roman" w:cs="Times New Roman"/>
          <w:b/>
        </w:rPr>
        <w:sectPr w:rsidR="00032A02" w:rsidRPr="00E5402F" w:rsidSect="002916DE">
          <w:footerReference w:type="even" r:id="rId10"/>
          <w:footerReference w:type="default" r:id="rId11"/>
          <w:pgSz w:w="12240" w:h="15840"/>
          <w:pgMar w:top="1440" w:right="1440" w:bottom="1440" w:left="1440" w:header="720" w:footer="720" w:gutter="0"/>
          <w:pgNumType w:fmt="lowerRoman" w:start="1"/>
          <w:cols w:space="720"/>
          <w:docGrid w:linePitch="360"/>
        </w:sectPr>
      </w:pPr>
    </w:p>
    <w:p w14:paraId="183D8C0D" w14:textId="1E2B46C5" w:rsidR="003D2183" w:rsidRPr="006232A3" w:rsidRDefault="006232A3" w:rsidP="006232A3">
      <w:pPr>
        <w:pStyle w:val="ListParagraph"/>
        <w:numPr>
          <w:ilvl w:val="1"/>
          <w:numId w:val="16"/>
        </w:num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3D2183" w:rsidRPr="006232A3">
        <w:rPr>
          <w:rFonts w:ascii="Times New Roman" w:hAnsi="Times New Roman" w:cs="Times New Roman"/>
        </w:rPr>
        <w:t>The Alliance for Solar Choice (</w:t>
      </w:r>
      <w:r w:rsidR="00C540D7" w:rsidRPr="006232A3">
        <w:rPr>
          <w:rFonts w:ascii="Times New Roman" w:hAnsi="Times New Roman" w:cs="Times New Roman"/>
        </w:rPr>
        <w:t>“</w:t>
      </w:r>
      <w:r w:rsidR="003D2183" w:rsidRPr="006232A3">
        <w:rPr>
          <w:rFonts w:ascii="Times New Roman" w:hAnsi="Times New Roman" w:cs="Times New Roman"/>
        </w:rPr>
        <w:t>TASC</w:t>
      </w:r>
      <w:r w:rsidR="00C540D7" w:rsidRPr="006232A3">
        <w:rPr>
          <w:rFonts w:ascii="Times New Roman" w:hAnsi="Times New Roman" w:cs="Times New Roman"/>
        </w:rPr>
        <w:t>”</w:t>
      </w:r>
      <w:r w:rsidR="003D2183" w:rsidRPr="006232A3">
        <w:rPr>
          <w:rFonts w:ascii="Times New Roman" w:hAnsi="Times New Roman" w:cs="Times New Roman"/>
        </w:rPr>
        <w:t xml:space="preserve">) respectfully submits this </w:t>
      </w:r>
      <w:r w:rsidR="00433725" w:rsidRPr="006232A3">
        <w:rPr>
          <w:rFonts w:ascii="Times New Roman" w:hAnsi="Times New Roman" w:cs="Times New Roman"/>
        </w:rPr>
        <w:t>reply</w:t>
      </w:r>
      <w:r w:rsidR="003D2183" w:rsidRPr="006232A3">
        <w:rPr>
          <w:rFonts w:ascii="Times New Roman" w:hAnsi="Times New Roman" w:cs="Times New Roman"/>
        </w:rPr>
        <w:t xml:space="preserve"> brief in the above docket pursuant to the Administrative Law Judge’s </w:t>
      </w:r>
      <w:r w:rsidR="006A52A7" w:rsidRPr="006232A3">
        <w:rPr>
          <w:rFonts w:ascii="Times New Roman" w:hAnsi="Times New Roman" w:cs="Times New Roman"/>
        </w:rPr>
        <w:t>Prehearing Conference Order</w:t>
      </w:r>
      <w:r w:rsidR="003D2183" w:rsidRPr="006232A3">
        <w:rPr>
          <w:rFonts w:ascii="Times New Roman" w:hAnsi="Times New Roman" w:cs="Times New Roman"/>
        </w:rPr>
        <w:t xml:space="preserve"> of </w:t>
      </w:r>
      <w:r w:rsidR="006A52A7" w:rsidRPr="006232A3">
        <w:rPr>
          <w:rFonts w:ascii="Times New Roman" w:hAnsi="Times New Roman" w:cs="Times New Roman"/>
        </w:rPr>
        <w:t>June 10</w:t>
      </w:r>
      <w:r w:rsidR="003D2183" w:rsidRPr="006232A3">
        <w:rPr>
          <w:rFonts w:ascii="Times New Roman" w:hAnsi="Times New Roman" w:cs="Times New Roman"/>
        </w:rPr>
        <w:t xml:space="preserve">, 2014. </w:t>
      </w:r>
      <w:r w:rsidR="006A52A7" w:rsidRPr="006232A3">
        <w:rPr>
          <w:rFonts w:ascii="Times New Roman" w:hAnsi="Times New Roman" w:cs="Times New Roman"/>
        </w:rPr>
        <w:t xml:space="preserve"> </w:t>
      </w:r>
      <w:r w:rsidR="003D2183" w:rsidRPr="006232A3">
        <w:rPr>
          <w:rFonts w:ascii="Times New Roman" w:hAnsi="Times New Roman" w:cs="Times New Roman"/>
        </w:rPr>
        <w:t xml:space="preserve">TASC advocates for maintaining successful distributed solar energy policies throughout the United States.  Founding members represent the majority of the nation’s rooftop solar market and include Demeter Power, SolarCity, Solar Universe, </w:t>
      </w:r>
      <w:proofErr w:type="spellStart"/>
      <w:r w:rsidR="003D2183" w:rsidRPr="006232A3">
        <w:rPr>
          <w:rFonts w:ascii="Times New Roman" w:hAnsi="Times New Roman" w:cs="Times New Roman"/>
        </w:rPr>
        <w:t>Sunrun</w:t>
      </w:r>
      <w:proofErr w:type="spellEnd"/>
      <w:r w:rsidR="003D2183" w:rsidRPr="006232A3">
        <w:rPr>
          <w:rFonts w:ascii="Times New Roman" w:hAnsi="Times New Roman" w:cs="Times New Roman"/>
        </w:rPr>
        <w:t xml:space="preserve">, and </w:t>
      </w:r>
      <w:proofErr w:type="spellStart"/>
      <w:r w:rsidR="003D2183" w:rsidRPr="006232A3">
        <w:rPr>
          <w:rFonts w:ascii="Times New Roman" w:hAnsi="Times New Roman" w:cs="Times New Roman"/>
        </w:rPr>
        <w:t>Verengo</w:t>
      </w:r>
      <w:proofErr w:type="spellEnd"/>
      <w:r w:rsidR="003D2183" w:rsidRPr="006232A3">
        <w:rPr>
          <w:rFonts w:ascii="Times New Roman" w:hAnsi="Times New Roman" w:cs="Times New Roman"/>
        </w:rPr>
        <w:t xml:space="preserve">.  These companies are responsible for tens of thousands of residential, school, and commercial solar installations </w:t>
      </w:r>
      <w:r w:rsidR="006A52A7" w:rsidRPr="006232A3">
        <w:rPr>
          <w:rFonts w:ascii="Times New Roman" w:hAnsi="Times New Roman" w:cs="Times New Roman"/>
        </w:rPr>
        <w:t>across the country</w:t>
      </w:r>
      <w:r w:rsidR="003D2183" w:rsidRPr="006232A3">
        <w:rPr>
          <w:rFonts w:ascii="Times New Roman" w:hAnsi="Times New Roman" w:cs="Times New Roman"/>
        </w:rPr>
        <w:t xml:space="preserve"> and have brought thousands of jobs and many tens of millions of dollars of investment to </w:t>
      </w:r>
      <w:r w:rsidR="006A52A7" w:rsidRPr="006232A3">
        <w:rPr>
          <w:rFonts w:ascii="Times New Roman" w:hAnsi="Times New Roman" w:cs="Times New Roman"/>
        </w:rPr>
        <w:t>America</w:t>
      </w:r>
      <w:r w:rsidR="003D2183" w:rsidRPr="006232A3">
        <w:rPr>
          <w:rFonts w:ascii="Times New Roman" w:hAnsi="Times New Roman" w:cs="Times New Roman"/>
        </w:rPr>
        <w:t xml:space="preserve">’s cities and towns. </w:t>
      </w:r>
    </w:p>
    <w:p w14:paraId="2CB811B9" w14:textId="77777777" w:rsidR="00433725" w:rsidRPr="001B229E" w:rsidRDefault="001947A4" w:rsidP="00433725">
      <w:pPr>
        <w:pStyle w:val="ListParagraph"/>
        <w:numPr>
          <w:ilvl w:val="0"/>
          <w:numId w:val="1"/>
        </w:numPr>
        <w:rPr>
          <w:rFonts w:ascii="Times New Roman" w:hAnsi="Times New Roman" w:cs="Times New Roman"/>
          <w:b/>
        </w:rPr>
      </w:pPr>
      <w:r w:rsidRPr="001B229E">
        <w:rPr>
          <w:rFonts w:ascii="Times New Roman" w:hAnsi="Times New Roman" w:cs="Times New Roman"/>
          <w:b/>
        </w:rPr>
        <w:t>Introduction</w:t>
      </w:r>
      <w:r w:rsidR="00E735D6" w:rsidRPr="001B229E">
        <w:rPr>
          <w:rFonts w:ascii="Times New Roman" w:hAnsi="Times New Roman" w:cs="Times New Roman"/>
          <w:b/>
        </w:rPr>
        <w:t xml:space="preserve"> and </w:t>
      </w:r>
      <w:r w:rsidR="007C3774" w:rsidRPr="001B229E">
        <w:rPr>
          <w:rFonts w:ascii="Times New Roman" w:hAnsi="Times New Roman" w:cs="Times New Roman"/>
          <w:b/>
        </w:rPr>
        <w:t>Summary</w:t>
      </w:r>
    </w:p>
    <w:p w14:paraId="1CFFB5D8" w14:textId="77777777" w:rsidR="00293936" w:rsidRPr="001B229E" w:rsidRDefault="00293936" w:rsidP="00293936">
      <w:pPr>
        <w:rPr>
          <w:rFonts w:ascii="Times New Roman" w:hAnsi="Times New Roman" w:cs="Times New Roman"/>
          <w:b/>
        </w:rPr>
      </w:pPr>
    </w:p>
    <w:p w14:paraId="01E8B99B" w14:textId="5C3542D7" w:rsidR="00293936"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325A5" w:rsidRPr="006232A3">
        <w:rPr>
          <w:rFonts w:ascii="Times New Roman" w:hAnsi="Times New Roman" w:cs="Times New Roman"/>
        </w:rPr>
        <w:t xml:space="preserve">By this reply, </w:t>
      </w:r>
      <w:r w:rsidR="00293936" w:rsidRPr="006232A3">
        <w:rPr>
          <w:rFonts w:ascii="Times New Roman" w:hAnsi="Times New Roman" w:cs="Times New Roman"/>
        </w:rPr>
        <w:t>TASC responds to the</w:t>
      </w:r>
      <w:r w:rsidR="006D31FD" w:rsidRPr="006232A3">
        <w:rPr>
          <w:rFonts w:ascii="Times New Roman" w:hAnsi="Times New Roman" w:cs="Times New Roman"/>
        </w:rPr>
        <w:t xml:space="preserve"> portions of the</w:t>
      </w:r>
      <w:r w:rsidR="00293936" w:rsidRPr="006232A3">
        <w:rPr>
          <w:rFonts w:ascii="Times New Roman" w:hAnsi="Times New Roman" w:cs="Times New Roman"/>
        </w:rPr>
        <w:t xml:space="preserve"> initial briefs of Pacific Power and Light Company (“PacifiCorp” or the “Company”) and Commission Staff (“Staff”)</w:t>
      </w:r>
      <w:r w:rsidR="006D31FD" w:rsidRPr="006232A3">
        <w:rPr>
          <w:rFonts w:ascii="Times New Roman" w:hAnsi="Times New Roman" w:cs="Times New Roman"/>
        </w:rPr>
        <w:t xml:space="preserve"> concerning</w:t>
      </w:r>
      <w:r w:rsidR="00E31B6C" w:rsidRPr="006232A3">
        <w:rPr>
          <w:rFonts w:ascii="Times New Roman" w:hAnsi="Times New Roman" w:cs="Times New Roman"/>
        </w:rPr>
        <w:t xml:space="preserve"> residential rate d</w:t>
      </w:r>
      <w:r w:rsidR="006D31FD" w:rsidRPr="006232A3">
        <w:rPr>
          <w:rFonts w:ascii="Times New Roman" w:hAnsi="Times New Roman" w:cs="Times New Roman"/>
        </w:rPr>
        <w:t>esign</w:t>
      </w:r>
      <w:r w:rsidR="00293936" w:rsidRPr="006232A3">
        <w:rPr>
          <w:rFonts w:ascii="Times New Roman" w:hAnsi="Times New Roman" w:cs="Times New Roman"/>
        </w:rPr>
        <w:t>.</w:t>
      </w:r>
      <w:r w:rsidR="007325A5" w:rsidRPr="006232A3">
        <w:rPr>
          <w:rFonts w:ascii="Times New Roman" w:hAnsi="Times New Roman" w:cs="Times New Roman"/>
        </w:rPr>
        <w:t xml:space="preserve">  With regard to the Company’s br</w:t>
      </w:r>
      <w:r w:rsidR="00584152" w:rsidRPr="006232A3">
        <w:rPr>
          <w:rFonts w:ascii="Times New Roman" w:hAnsi="Times New Roman" w:cs="Times New Roman"/>
        </w:rPr>
        <w:t>ief, TASC demonstrates below that PacifiCorp: a</w:t>
      </w:r>
      <w:r w:rsidR="007325A5" w:rsidRPr="006232A3">
        <w:rPr>
          <w:rFonts w:ascii="Times New Roman" w:hAnsi="Times New Roman" w:cs="Times New Roman"/>
        </w:rPr>
        <w:t xml:space="preserve">) continues to make inappropriate and unsupported claims about </w:t>
      </w:r>
      <w:r w:rsidR="00B940DD" w:rsidRPr="006232A3">
        <w:rPr>
          <w:rFonts w:ascii="Times New Roman" w:hAnsi="Times New Roman" w:cs="Times New Roman"/>
        </w:rPr>
        <w:t xml:space="preserve">its </w:t>
      </w:r>
      <w:r w:rsidR="007325A5" w:rsidRPr="006232A3">
        <w:rPr>
          <w:rFonts w:ascii="Times New Roman" w:hAnsi="Times New Roman" w:cs="Times New Roman"/>
        </w:rPr>
        <w:t>custom</w:t>
      </w:r>
      <w:r w:rsidR="00584152" w:rsidRPr="006232A3">
        <w:rPr>
          <w:rFonts w:ascii="Times New Roman" w:hAnsi="Times New Roman" w:cs="Times New Roman"/>
        </w:rPr>
        <w:t xml:space="preserve">ers </w:t>
      </w:r>
      <w:r w:rsidR="00B940DD" w:rsidRPr="006232A3">
        <w:rPr>
          <w:rFonts w:ascii="Times New Roman" w:hAnsi="Times New Roman" w:cs="Times New Roman"/>
        </w:rPr>
        <w:t>that have installed</w:t>
      </w:r>
      <w:r w:rsidR="00584152" w:rsidRPr="006232A3">
        <w:rPr>
          <w:rFonts w:ascii="Times New Roman" w:hAnsi="Times New Roman" w:cs="Times New Roman"/>
        </w:rPr>
        <w:t xml:space="preserve"> distributed generation; b) provide</w:t>
      </w:r>
      <w:r w:rsidR="00B940DD" w:rsidRPr="006232A3">
        <w:rPr>
          <w:rFonts w:ascii="Times New Roman" w:hAnsi="Times New Roman" w:cs="Times New Roman"/>
        </w:rPr>
        <w:t>s no</w:t>
      </w:r>
      <w:r w:rsidR="00584152" w:rsidRPr="006232A3">
        <w:rPr>
          <w:rFonts w:ascii="Times New Roman" w:hAnsi="Times New Roman" w:cs="Times New Roman"/>
        </w:rPr>
        <w:t xml:space="preserve"> evidence that its requested fixed charge increase is consistent with Washington’s energy efficiency policies and goals; c) confuses fixed costs with long-run marginal costs and incorrectly insists that fixed costs should be recovered through fixed charges</w:t>
      </w:r>
      <w:r w:rsidR="00E85B4E" w:rsidRPr="006232A3">
        <w:rPr>
          <w:rFonts w:ascii="Times New Roman" w:hAnsi="Times New Roman" w:cs="Times New Roman"/>
        </w:rPr>
        <w:t xml:space="preserve">; and d) relies on extra record evidence to support its position.  </w:t>
      </w:r>
      <w:r w:rsidR="00E31B6C" w:rsidRPr="006232A3">
        <w:rPr>
          <w:rFonts w:ascii="Times New Roman" w:hAnsi="Times New Roman" w:cs="Times New Roman"/>
        </w:rPr>
        <w:t>In response to Staff</w:t>
      </w:r>
      <w:r w:rsidR="006D31FD" w:rsidRPr="006232A3">
        <w:rPr>
          <w:rFonts w:ascii="Times New Roman" w:hAnsi="Times New Roman" w:cs="Times New Roman"/>
        </w:rPr>
        <w:t>’s Initial Brief</w:t>
      </w:r>
      <w:r w:rsidR="00E31B6C" w:rsidRPr="006232A3">
        <w:rPr>
          <w:rFonts w:ascii="Times New Roman" w:hAnsi="Times New Roman" w:cs="Times New Roman"/>
        </w:rPr>
        <w:t xml:space="preserve">, TASC notes </w:t>
      </w:r>
      <w:r w:rsidR="00B940DD" w:rsidRPr="006232A3">
        <w:rPr>
          <w:rFonts w:ascii="Times New Roman" w:hAnsi="Times New Roman" w:cs="Times New Roman"/>
        </w:rPr>
        <w:t xml:space="preserve">that Staff expressly acknowledges </w:t>
      </w:r>
      <w:r w:rsidR="00E31B6C" w:rsidRPr="006232A3">
        <w:rPr>
          <w:rFonts w:ascii="Times New Roman" w:hAnsi="Times New Roman" w:cs="Times New Roman"/>
        </w:rPr>
        <w:t xml:space="preserve">the various pitfalls and shortcomings </w:t>
      </w:r>
      <w:r w:rsidR="00B940DD" w:rsidRPr="006232A3">
        <w:rPr>
          <w:rFonts w:ascii="Times New Roman" w:hAnsi="Times New Roman" w:cs="Times New Roman"/>
        </w:rPr>
        <w:t>of</w:t>
      </w:r>
      <w:r w:rsidR="00E31B6C" w:rsidRPr="006232A3">
        <w:rPr>
          <w:rFonts w:ascii="Times New Roman" w:hAnsi="Times New Roman" w:cs="Times New Roman"/>
        </w:rPr>
        <w:t xml:space="preserve"> raising the residential basic service charge</w:t>
      </w:r>
      <w:r w:rsidR="00B940DD" w:rsidRPr="006232A3">
        <w:rPr>
          <w:rFonts w:ascii="Times New Roman" w:hAnsi="Times New Roman" w:cs="Times New Roman"/>
        </w:rPr>
        <w:t>, but nonetheless supports the Company’s desire to do so</w:t>
      </w:r>
      <w:r w:rsidR="00E31B6C" w:rsidRPr="006232A3">
        <w:rPr>
          <w:rFonts w:ascii="Times New Roman" w:hAnsi="Times New Roman" w:cs="Times New Roman"/>
        </w:rPr>
        <w:t>.</w:t>
      </w:r>
      <w:r w:rsidR="006D31FD" w:rsidRPr="006232A3">
        <w:rPr>
          <w:rFonts w:ascii="Times New Roman" w:hAnsi="Times New Roman" w:cs="Times New Roman"/>
        </w:rPr>
        <w:t xml:space="preserve">  Finally TASC emphasizes that the Commission should let the energy policies of the state guide its residential rate design decisions, </w:t>
      </w:r>
      <w:r w:rsidR="00B940DD" w:rsidRPr="006232A3">
        <w:rPr>
          <w:rFonts w:ascii="Times New Roman" w:hAnsi="Times New Roman" w:cs="Times New Roman"/>
        </w:rPr>
        <w:t xml:space="preserve">which would </w:t>
      </w:r>
      <w:r w:rsidR="006D31FD" w:rsidRPr="006232A3">
        <w:rPr>
          <w:rFonts w:ascii="Times New Roman" w:hAnsi="Times New Roman" w:cs="Times New Roman"/>
        </w:rPr>
        <w:t>includ</w:t>
      </w:r>
      <w:r w:rsidR="00B940DD" w:rsidRPr="006232A3">
        <w:rPr>
          <w:rFonts w:ascii="Times New Roman" w:hAnsi="Times New Roman" w:cs="Times New Roman"/>
        </w:rPr>
        <w:t>e</w:t>
      </w:r>
      <w:r w:rsidR="006D31FD" w:rsidRPr="006232A3">
        <w:rPr>
          <w:rFonts w:ascii="Times New Roman" w:hAnsi="Times New Roman" w:cs="Times New Roman"/>
        </w:rPr>
        <w:t xml:space="preserve"> </w:t>
      </w:r>
      <w:r w:rsidR="00A11BD4" w:rsidRPr="006232A3">
        <w:rPr>
          <w:rFonts w:ascii="Times New Roman" w:hAnsi="Times New Roman" w:cs="Times New Roman"/>
        </w:rPr>
        <w:t>approv</w:t>
      </w:r>
      <w:r w:rsidR="00B940DD" w:rsidRPr="006232A3">
        <w:rPr>
          <w:rFonts w:ascii="Times New Roman" w:hAnsi="Times New Roman" w:cs="Times New Roman"/>
        </w:rPr>
        <w:t>ing</w:t>
      </w:r>
      <w:r w:rsidR="006D31FD" w:rsidRPr="006232A3">
        <w:rPr>
          <w:rFonts w:ascii="Times New Roman" w:hAnsi="Times New Roman" w:cs="Times New Roman"/>
        </w:rPr>
        <w:t xml:space="preserve"> a third</w:t>
      </w:r>
      <w:r w:rsidR="00675266" w:rsidRPr="006232A3">
        <w:rPr>
          <w:rFonts w:ascii="Times New Roman" w:hAnsi="Times New Roman" w:cs="Times New Roman"/>
        </w:rPr>
        <w:t xml:space="preserve"> </w:t>
      </w:r>
      <w:r w:rsidR="00397298" w:rsidRPr="006232A3">
        <w:rPr>
          <w:rFonts w:ascii="Times New Roman" w:hAnsi="Times New Roman" w:cs="Times New Roman"/>
        </w:rPr>
        <w:t xml:space="preserve">rate </w:t>
      </w:r>
      <w:r w:rsidR="00675266" w:rsidRPr="006232A3">
        <w:rPr>
          <w:rFonts w:ascii="Times New Roman" w:hAnsi="Times New Roman" w:cs="Times New Roman"/>
        </w:rPr>
        <w:t>tier</w:t>
      </w:r>
      <w:r w:rsidR="00FC29F2" w:rsidRPr="006232A3">
        <w:rPr>
          <w:rFonts w:ascii="Times New Roman" w:hAnsi="Times New Roman" w:cs="Times New Roman"/>
        </w:rPr>
        <w:t xml:space="preserve"> for residential </w:t>
      </w:r>
      <w:r w:rsidR="00397298" w:rsidRPr="006232A3">
        <w:rPr>
          <w:rFonts w:ascii="Times New Roman" w:hAnsi="Times New Roman" w:cs="Times New Roman"/>
        </w:rPr>
        <w:t>customers</w:t>
      </w:r>
      <w:r w:rsidR="00675266" w:rsidRPr="006232A3">
        <w:rPr>
          <w:rFonts w:ascii="Times New Roman" w:hAnsi="Times New Roman" w:cs="Times New Roman"/>
        </w:rPr>
        <w:t>.  TASC will attempt to no</w:t>
      </w:r>
      <w:r w:rsidR="0056453C" w:rsidRPr="006232A3">
        <w:rPr>
          <w:rFonts w:ascii="Times New Roman" w:hAnsi="Times New Roman" w:cs="Times New Roman"/>
        </w:rPr>
        <w:t>t</w:t>
      </w:r>
      <w:r w:rsidR="00675266" w:rsidRPr="006232A3">
        <w:rPr>
          <w:rFonts w:ascii="Times New Roman" w:hAnsi="Times New Roman" w:cs="Times New Roman"/>
        </w:rPr>
        <w:t xml:space="preserve"> repeat arguments contained in its Initial Brief, but incorporates that document by reference. </w:t>
      </w:r>
      <w:r w:rsidR="006D31FD" w:rsidRPr="006232A3">
        <w:rPr>
          <w:rFonts w:ascii="Times New Roman" w:hAnsi="Times New Roman" w:cs="Times New Roman"/>
        </w:rPr>
        <w:t xml:space="preserve"> </w:t>
      </w:r>
    </w:p>
    <w:p w14:paraId="39FF8833" w14:textId="1AED197D" w:rsidR="00433725" w:rsidRPr="001B229E" w:rsidRDefault="00433725" w:rsidP="00433725">
      <w:pPr>
        <w:pStyle w:val="ListParagraph"/>
        <w:numPr>
          <w:ilvl w:val="0"/>
          <w:numId w:val="1"/>
        </w:numPr>
        <w:rPr>
          <w:rFonts w:ascii="Times New Roman" w:hAnsi="Times New Roman" w:cs="Times New Roman"/>
          <w:b/>
        </w:rPr>
      </w:pPr>
      <w:r w:rsidRPr="001B229E">
        <w:rPr>
          <w:rFonts w:ascii="Times New Roman" w:hAnsi="Times New Roman" w:cs="Times New Roman"/>
          <w:b/>
        </w:rPr>
        <w:lastRenderedPageBreak/>
        <w:t xml:space="preserve">PacifiCorp’s Initial Brief Regarding </w:t>
      </w:r>
      <w:r w:rsidR="00B940DD">
        <w:rPr>
          <w:rFonts w:ascii="Times New Roman" w:hAnsi="Times New Roman" w:cs="Times New Roman"/>
          <w:b/>
        </w:rPr>
        <w:t>t</w:t>
      </w:r>
      <w:r w:rsidRPr="001B229E">
        <w:rPr>
          <w:rFonts w:ascii="Times New Roman" w:hAnsi="Times New Roman" w:cs="Times New Roman"/>
          <w:b/>
        </w:rPr>
        <w:t>he Residential Basic Charge Inappropriately Scapegoats Customers with Distributed Generation, is Misleading, and Lacks Evidentiary Support</w:t>
      </w:r>
    </w:p>
    <w:p w14:paraId="0026D092" w14:textId="77777777" w:rsidR="00433725" w:rsidRPr="001B229E" w:rsidRDefault="00433725" w:rsidP="00433725">
      <w:pPr>
        <w:rPr>
          <w:rFonts w:ascii="Times New Roman" w:hAnsi="Times New Roman" w:cs="Times New Roman"/>
          <w:b/>
        </w:rPr>
      </w:pPr>
    </w:p>
    <w:p w14:paraId="4854B48F" w14:textId="6DD47A13" w:rsidR="000B6A28"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B6A28" w:rsidRPr="006232A3">
        <w:rPr>
          <w:rFonts w:ascii="Times New Roman" w:hAnsi="Times New Roman" w:cs="Times New Roman"/>
        </w:rPr>
        <w:t>PacifiCorp’s Opening Brief fails to</w:t>
      </w:r>
      <w:r w:rsidR="00956093" w:rsidRPr="006232A3">
        <w:rPr>
          <w:rFonts w:ascii="Times New Roman" w:hAnsi="Times New Roman" w:cs="Times New Roman"/>
        </w:rPr>
        <w:t xml:space="preserve"> demonstrate that </w:t>
      </w:r>
      <w:r w:rsidR="000B6A28" w:rsidRPr="006232A3">
        <w:rPr>
          <w:rFonts w:ascii="Times New Roman" w:hAnsi="Times New Roman" w:cs="Times New Roman"/>
        </w:rPr>
        <w:t>its request to raise the residential basic service charge by 81% from $7.75 to $14.00 per month</w:t>
      </w:r>
      <w:r w:rsidR="00FC2FF4" w:rsidRPr="006232A3">
        <w:rPr>
          <w:rFonts w:ascii="Times New Roman" w:hAnsi="Times New Roman" w:cs="Times New Roman"/>
        </w:rPr>
        <w:t xml:space="preserve"> is reasonable or justified by the evidence in the record</w:t>
      </w:r>
      <w:r w:rsidR="00956093" w:rsidRPr="006232A3">
        <w:rPr>
          <w:rFonts w:ascii="Times New Roman" w:hAnsi="Times New Roman" w:cs="Times New Roman"/>
        </w:rPr>
        <w:t xml:space="preserve">.  The Company provides no </w:t>
      </w:r>
      <w:r w:rsidR="000B6A28" w:rsidRPr="006232A3">
        <w:rPr>
          <w:rFonts w:ascii="Times New Roman" w:hAnsi="Times New Roman" w:cs="Times New Roman"/>
        </w:rPr>
        <w:t>support</w:t>
      </w:r>
      <w:r w:rsidR="00956093" w:rsidRPr="006232A3">
        <w:rPr>
          <w:rFonts w:ascii="Times New Roman" w:hAnsi="Times New Roman" w:cs="Times New Roman"/>
        </w:rPr>
        <w:t xml:space="preserve"> for</w:t>
      </w:r>
      <w:r w:rsidR="000B6A28" w:rsidRPr="006232A3">
        <w:rPr>
          <w:rFonts w:ascii="Times New Roman" w:hAnsi="Times New Roman" w:cs="Times New Roman"/>
        </w:rPr>
        <w:t xml:space="preserve"> its claims that solar DG is a cause of its inability to earn its commission authorized rate of return.  The Company</w:t>
      </w:r>
      <w:r w:rsidR="001B229E" w:rsidRPr="006232A3">
        <w:rPr>
          <w:rFonts w:ascii="Times New Roman" w:hAnsi="Times New Roman" w:cs="Times New Roman"/>
        </w:rPr>
        <w:t>’s arguments</w:t>
      </w:r>
      <w:r w:rsidR="000B6A28" w:rsidRPr="006232A3">
        <w:rPr>
          <w:rFonts w:ascii="Times New Roman" w:hAnsi="Times New Roman" w:cs="Times New Roman"/>
        </w:rPr>
        <w:t xml:space="preserve"> in support of its proposal</w:t>
      </w:r>
      <w:r w:rsidR="001B229E" w:rsidRPr="006232A3">
        <w:rPr>
          <w:rFonts w:ascii="Times New Roman" w:hAnsi="Times New Roman" w:cs="Times New Roman"/>
        </w:rPr>
        <w:t xml:space="preserve"> are misleading, lack</w:t>
      </w:r>
      <w:r w:rsidR="000B6A28" w:rsidRPr="006232A3">
        <w:rPr>
          <w:rFonts w:ascii="Times New Roman" w:hAnsi="Times New Roman" w:cs="Times New Roman"/>
        </w:rPr>
        <w:t xml:space="preserve"> citations, </w:t>
      </w:r>
      <w:r w:rsidR="001B229E" w:rsidRPr="006232A3">
        <w:rPr>
          <w:rFonts w:ascii="Times New Roman" w:hAnsi="Times New Roman" w:cs="Times New Roman"/>
        </w:rPr>
        <w:t>ignore</w:t>
      </w:r>
      <w:r w:rsidR="00AE4DBB" w:rsidRPr="006232A3">
        <w:rPr>
          <w:rFonts w:ascii="Times New Roman" w:hAnsi="Times New Roman" w:cs="Times New Roman"/>
        </w:rPr>
        <w:t xml:space="preserve"> precedent</w:t>
      </w:r>
      <w:r w:rsidR="001B229E" w:rsidRPr="006232A3">
        <w:rPr>
          <w:rFonts w:ascii="Times New Roman" w:hAnsi="Times New Roman" w:cs="Times New Roman"/>
        </w:rPr>
        <w:t xml:space="preserve"> and traditional rate design principles, and partially rely on </w:t>
      </w:r>
      <w:r w:rsidR="00AE4DBB" w:rsidRPr="006232A3">
        <w:rPr>
          <w:rFonts w:ascii="Times New Roman" w:hAnsi="Times New Roman" w:cs="Times New Roman"/>
        </w:rPr>
        <w:t>extra-record evidence.</w:t>
      </w:r>
      <w:r w:rsidR="00956093" w:rsidRPr="006232A3">
        <w:rPr>
          <w:rFonts w:ascii="Times New Roman" w:hAnsi="Times New Roman" w:cs="Times New Roman"/>
        </w:rPr>
        <w:t xml:space="preserve">  TASC continues to recommend that the Commission reject PacifiCorp’s proposed fixed charge increase.</w:t>
      </w:r>
      <w:r w:rsidR="00AE4DBB" w:rsidRPr="006232A3">
        <w:rPr>
          <w:rFonts w:ascii="Times New Roman" w:hAnsi="Times New Roman" w:cs="Times New Roman"/>
        </w:rPr>
        <w:t xml:space="preserve"> </w:t>
      </w:r>
    </w:p>
    <w:p w14:paraId="1B18D450" w14:textId="57B4B0D3" w:rsidR="00433725" w:rsidRPr="001B229E" w:rsidRDefault="00433725" w:rsidP="00433725">
      <w:pPr>
        <w:pStyle w:val="ListParagraph"/>
        <w:numPr>
          <w:ilvl w:val="1"/>
          <w:numId w:val="11"/>
        </w:numPr>
        <w:rPr>
          <w:rFonts w:ascii="Times New Roman" w:hAnsi="Times New Roman" w:cs="Times New Roman"/>
          <w:b/>
        </w:rPr>
      </w:pPr>
      <w:r w:rsidRPr="001B229E">
        <w:rPr>
          <w:rFonts w:ascii="Times New Roman" w:hAnsi="Times New Roman" w:cs="Times New Roman"/>
          <w:b/>
        </w:rPr>
        <w:t xml:space="preserve">PacifiCorp </w:t>
      </w:r>
      <w:r w:rsidR="00D36BC8" w:rsidRPr="001B229E">
        <w:rPr>
          <w:rFonts w:ascii="Times New Roman" w:hAnsi="Times New Roman" w:cs="Times New Roman"/>
          <w:b/>
        </w:rPr>
        <w:t>Continues to Make Inappropriate and Unsupported Claims A</w:t>
      </w:r>
      <w:r w:rsidRPr="001B229E">
        <w:rPr>
          <w:rFonts w:ascii="Times New Roman" w:hAnsi="Times New Roman" w:cs="Times New Roman"/>
          <w:b/>
        </w:rPr>
        <w:t xml:space="preserve">bout </w:t>
      </w:r>
      <w:r w:rsidR="00D36BC8" w:rsidRPr="001B229E">
        <w:rPr>
          <w:rFonts w:ascii="Times New Roman" w:hAnsi="Times New Roman" w:cs="Times New Roman"/>
          <w:b/>
        </w:rPr>
        <w:t>Customers With Distributed Generation</w:t>
      </w:r>
    </w:p>
    <w:p w14:paraId="49F063B2" w14:textId="77777777" w:rsidR="00D36BC8" w:rsidRPr="001B229E" w:rsidRDefault="00D36BC8" w:rsidP="00D36BC8">
      <w:pPr>
        <w:ind w:left="720"/>
        <w:rPr>
          <w:rFonts w:ascii="Times New Roman" w:hAnsi="Times New Roman" w:cs="Times New Roman"/>
        </w:rPr>
      </w:pPr>
    </w:p>
    <w:p w14:paraId="518E2BE9" w14:textId="5E352F5C" w:rsidR="004452DB"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36BC8" w:rsidRPr="006232A3">
        <w:rPr>
          <w:rFonts w:ascii="Times New Roman" w:hAnsi="Times New Roman" w:cs="Times New Roman"/>
        </w:rPr>
        <w:t>In attempting to justify its proposed 81% increase to the Residential Basic Charge, PacifiCorp</w:t>
      </w:r>
      <w:r w:rsidR="00DB2C8C" w:rsidRPr="006232A3">
        <w:rPr>
          <w:rFonts w:ascii="Times New Roman" w:hAnsi="Times New Roman" w:cs="Times New Roman"/>
        </w:rPr>
        <w:t xml:space="preserve"> asserts without proof that the increase “will also mitigate cost-shifting from increased DG resulting from state policies.”</w:t>
      </w:r>
      <w:r w:rsidR="00D15805" w:rsidRPr="001B229E">
        <w:rPr>
          <w:rStyle w:val="FootnoteReference"/>
          <w:rFonts w:ascii="Times New Roman" w:hAnsi="Times New Roman" w:cs="Times New Roman"/>
        </w:rPr>
        <w:footnoteReference w:id="1"/>
      </w:r>
      <w:r w:rsidR="00D15805" w:rsidRPr="006232A3">
        <w:rPr>
          <w:rFonts w:ascii="Times New Roman" w:hAnsi="Times New Roman" w:cs="Times New Roman"/>
        </w:rPr>
        <w:t xml:space="preserve">  In support of this bare assertion, the Company</w:t>
      </w:r>
      <w:r w:rsidR="004452DB" w:rsidRPr="006232A3">
        <w:rPr>
          <w:rFonts w:ascii="Times New Roman" w:hAnsi="Times New Roman" w:cs="Times New Roman"/>
        </w:rPr>
        <w:t xml:space="preserve"> cites to three sources.  However none of the Company’s citations support its assertion that DG customers create a cost shift, or that its</w:t>
      </w:r>
      <w:r w:rsidR="007633D7" w:rsidRPr="006232A3">
        <w:rPr>
          <w:rFonts w:ascii="Times New Roman" w:hAnsi="Times New Roman" w:cs="Times New Roman"/>
        </w:rPr>
        <w:t>’</w:t>
      </w:r>
      <w:r w:rsidR="004452DB" w:rsidRPr="006232A3">
        <w:rPr>
          <w:rFonts w:ascii="Times New Roman" w:hAnsi="Times New Roman" w:cs="Times New Roman"/>
        </w:rPr>
        <w:t xml:space="preserve"> proposal would mitigate such a s</w:t>
      </w:r>
      <w:r w:rsidR="00FC2FF4" w:rsidRPr="006232A3">
        <w:rPr>
          <w:rFonts w:ascii="Times New Roman" w:hAnsi="Times New Roman" w:cs="Times New Roman"/>
        </w:rPr>
        <w:t>hift</w:t>
      </w:r>
      <w:r w:rsidR="007633D7" w:rsidRPr="006232A3">
        <w:rPr>
          <w:rFonts w:ascii="Times New Roman" w:hAnsi="Times New Roman" w:cs="Times New Roman"/>
        </w:rPr>
        <w:t xml:space="preserve"> if it did exist</w:t>
      </w:r>
      <w:r w:rsidR="004452DB" w:rsidRPr="006232A3">
        <w:rPr>
          <w:rFonts w:ascii="Times New Roman" w:hAnsi="Times New Roman" w:cs="Times New Roman"/>
        </w:rPr>
        <w:t xml:space="preserve">.  </w:t>
      </w:r>
      <w:r w:rsidR="00D15805" w:rsidRPr="006232A3">
        <w:rPr>
          <w:rFonts w:ascii="Times New Roman" w:hAnsi="Times New Roman" w:cs="Times New Roman"/>
        </w:rPr>
        <w:t xml:space="preserve"> </w:t>
      </w:r>
    </w:p>
    <w:p w14:paraId="29C1B1C0" w14:textId="039BEF7E" w:rsidR="004452DB"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C2FF4" w:rsidRPr="006232A3">
        <w:rPr>
          <w:rFonts w:ascii="Times New Roman" w:hAnsi="Times New Roman" w:cs="Times New Roman"/>
        </w:rPr>
        <w:t>First, PacifiCorp</w:t>
      </w:r>
      <w:r w:rsidR="00D15805" w:rsidRPr="006232A3">
        <w:rPr>
          <w:rFonts w:ascii="Times New Roman" w:hAnsi="Times New Roman" w:cs="Times New Roman"/>
        </w:rPr>
        <w:t xml:space="preserve"> cites to </w:t>
      </w:r>
      <w:r w:rsidR="00206D4B" w:rsidRPr="006232A3">
        <w:rPr>
          <w:rFonts w:ascii="Times New Roman" w:hAnsi="Times New Roman" w:cs="Times New Roman"/>
        </w:rPr>
        <w:t xml:space="preserve">the Commission’s Interpretative Statement in Docket UE-112133.  </w:t>
      </w:r>
      <w:r w:rsidR="008D6D3E" w:rsidRPr="006232A3">
        <w:rPr>
          <w:rFonts w:ascii="Times New Roman" w:hAnsi="Times New Roman" w:cs="Times New Roman"/>
        </w:rPr>
        <w:t>T</w:t>
      </w:r>
      <w:r w:rsidR="00206D4B" w:rsidRPr="006232A3">
        <w:rPr>
          <w:rFonts w:ascii="Times New Roman" w:hAnsi="Times New Roman" w:cs="Times New Roman"/>
        </w:rPr>
        <w:t>his document discusses</w:t>
      </w:r>
      <w:r w:rsidR="008D6D3E" w:rsidRPr="006232A3">
        <w:rPr>
          <w:rFonts w:ascii="Times New Roman" w:hAnsi="Times New Roman" w:cs="Times New Roman"/>
        </w:rPr>
        <w:t xml:space="preserve"> only</w:t>
      </w:r>
      <w:r w:rsidR="00206D4B" w:rsidRPr="006232A3">
        <w:rPr>
          <w:rFonts w:ascii="Times New Roman" w:hAnsi="Times New Roman" w:cs="Times New Roman"/>
        </w:rPr>
        <w:t xml:space="preserve"> the Commission’s authority and jurisdiction with regard to third party owners of net metering facilities</w:t>
      </w:r>
      <w:r w:rsidR="00397298" w:rsidRPr="006232A3">
        <w:rPr>
          <w:rFonts w:ascii="Times New Roman" w:hAnsi="Times New Roman" w:cs="Times New Roman"/>
        </w:rPr>
        <w:t xml:space="preserve"> </w:t>
      </w:r>
      <w:r w:rsidR="008D6D3E" w:rsidRPr="006232A3">
        <w:rPr>
          <w:rFonts w:ascii="Times New Roman" w:hAnsi="Times New Roman" w:cs="Times New Roman"/>
        </w:rPr>
        <w:t>and</w:t>
      </w:r>
      <w:r w:rsidR="00FC2FF4" w:rsidRPr="006232A3">
        <w:rPr>
          <w:rFonts w:ascii="Times New Roman" w:hAnsi="Times New Roman" w:cs="Times New Roman"/>
        </w:rPr>
        <w:t xml:space="preserve"> contains</w:t>
      </w:r>
      <w:r w:rsidR="00AD49C0" w:rsidRPr="006232A3">
        <w:rPr>
          <w:rFonts w:ascii="Times New Roman" w:hAnsi="Times New Roman" w:cs="Times New Roman"/>
        </w:rPr>
        <w:t xml:space="preserve"> no discussion of cost shifting.</w:t>
      </w:r>
      <w:r w:rsidR="00397298" w:rsidRPr="001B229E">
        <w:rPr>
          <w:rStyle w:val="FootnoteReference"/>
          <w:rFonts w:ascii="Times New Roman" w:hAnsi="Times New Roman" w:cs="Times New Roman"/>
        </w:rPr>
        <w:footnoteReference w:id="2"/>
      </w:r>
      <w:r w:rsidR="00AD49C0" w:rsidRPr="006232A3">
        <w:rPr>
          <w:rFonts w:ascii="Times New Roman" w:hAnsi="Times New Roman" w:cs="Times New Roman"/>
        </w:rPr>
        <w:t xml:space="preserve">  </w:t>
      </w:r>
      <w:r w:rsidR="00206D4B" w:rsidRPr="006232A3">
        <w:rPr>
          <w:rFonts w:ascii="Times New Roman" w:hAnsi="Times New Roman" w:cs="Times New Roman"/>
        </w:rPr>
        <w:t xml:space="preserve">  </w:t>
      </w:r>
    </w:p>
    <w:p w14:paraId="501BF13B" w14:textId="103870E7" w:rsidR="004452DB"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06D4B" w:rsidRPr="006232A3">
        <w:rPr>
          <w:rFonts w:ascii="Times New Roman" w:hAnsi="Times New Roman" w:cs="Times New Roman"/>
        </w:rPr>
        <w:t xml:space="preserve">Second, </w:t>
      </w:r>
      <w:r w:rsidR="00E84820" w:rsidRPr="006232A3">
        <w:rPr>
          <w:rFonts w:ascii="Times New Roman" w:hAnsi="Times New Roman" w:cs="Times New Roman"/>
        </w:rPr>
        <w:t>PacifiCorp</w:t>
      </w:r>
      <w:r w:rsidR="00206D4B" w:rsidRPr="006232A3">
        <w:rPr>
          <w:rFonts w:ascii="Times New Roman" w:hAnsi="Times New Roman" w:cs="Times New Roman"/>
        </w:rPr>
        <w:t xml:space="preserve"> cites to Ms. Steward’s rebuttal testimony, </w:t>
      </w:r>
      <w:r w:rsidR="00AD49C0" w:rsidRPr="006232A3">
        <w:rPr>
          <w:rFonts w:ascii="Times New Roman" w:hAnsi="Times New Roman" w:cs="Times New Roman"/>
        </w:rPr>
        <w:t>which indicate</w:t>
      </w:r>
      <w:r w:rsidR="001B5427" w:rsidRPr="006232A3">
        <w:rPr>
          <w:rFonts w:ascii="Times New Roman" w:hAnsi="Times New Roman" w:cs="Times New Roman"/>
        </w:rPr>
        <w:t>s</w:t>
      </w:r>
      <w:r w:rsidR="00206D4B" w:rsidRPr="006232A3">
        <w:rPr>
          <w:rFonts w:ascii="Times New Roman" w:hAnsi="Times New Roman" w:cs="Times New Roman"/>
        </w:rPr>
        <w:t xml:space="preserve"> that DG adoption has grown substantially</w:t>
      </w:r>
      <w:r w:rsidR="00AD49C0" w:rsidRPr="006232A3">
        <w:rPr>
          <w:rFonts w:ascii="Times New Roman" w:hAnsi="Times New Roman" w:cs="Times New Roman"/>
        </w:rPr>
        <w:t xml:space="preserve"> in recent months</w:t>
      </w:r>
      <w:r w:rsidR="00206D4B" w:rsidRPr="006232A3">
        <w:rPr>
          <w:rFonts w:ascii="Times New Roman" w:hAnsi="Times New Roman" w:cs="Times New Roman"/>
        </w:rPr>
        <w:t>.</w:t>
      </w:r>
      <w:r w:rsidR="00AD49C0" w:rsidRPr="001B229E">
        <w:rPr>
          <w:rStyle w:val="FootnoteReference"/>
          <w:rFonts w:ascii="Times New Roman" w:hAnsi="Times New Roman" w:cs="Times New Roman"/>
        </w:rPr>
        <w:footnoteReference w:id="3"/>
      </w:r>
      <w:r w:rsidR="001B5427" w:rsidRPr="006232A3">
        <w:rPr>
          <w:rFonts w:ascii="Times New Roman" w:hAnsi="Times New Roman" w:cs="Times New Roman"/>
        </w:rPr>
        <w:t xml:space="preserve">  </w:t>
      </w:r>
      <w:r w:rsidR="008D6D3E" w:rsidRPr="006232A3">
        <w:rPr>
          <w:rFonts w:ascii="Times New Roman" w:hAnsi="Times New Roman" w:cs="Times New Roman"/>
        </w:rPr>
        <w:t>A</w:t>
      </w:r>
      <w:r w:rsidR="00206D4B" w:rsidRPr="006232A3">
        <w:rPr>
          <w:rFonts w:ascii="Times New Roman" w:hAnsi="Times New Roman" w:cs="Times New Roman"/>
        </w:rPr>
        <w:t xml:space="preserve">s explained in TASC’s Initial Brief, </w:t>
      </w:r>
      <w:r w:rsidR="008D6D3E" w:rsidRPr="006232A3">
        <w:rPr>
          <w:rFonts w:ascii="Times New Roman" w:hAnsi="Times New Roman" w:cs="Times New Roman"/>
        </w:rPr>
        <w:t xml:space="preserve">this </w:t>
      </w:r>
      <w:r w:rsidR="008D6D3E" w:rsidRPr="006232A3">
        <w:rPr>
          <w:rFonts w:ascii="Times New Roman" w:hAnsi="Times New Roman" w:cs="Times New Roman"/>
        </w:rPr>
        <w:lastRenderedPageBreak/>
        <w:t>growth must be placed in context to demonstrate its lack of substance: despite any “substantial” growth, net-metered residences still account for less than .02% of PacifiCorp’s customer base</w:t>
      </w:r>
      <w:r w:rsidR="001B5427" w:rsidRPr="006232A3">
        <w:rPr>
          <w:rFonts w:ascii="Times New Roman" w:hAnsi="Times New Roman" w:cs="Times New Roman"/>
        </w:rPr>
        <w:t>.</w:t>
      </w:r>
      <w:r w:rsidR="001B5427">
        <w:rPr>
          <w:rStyle w:val="FootnoteReference"/>
          <w:rFonts w:ascii="Times New Roman" w:hAnsi="Times New Roman" w:cs="Times New Roman"/>
        </w:rPr>
        <w:footnoteReference w:id="4"/>
      </w:r>
      <w:r w:rsidR="001B5427" w:rsidRPr="006232A3">
        <w:rPr>
          <w:rFonts w:ascii="Times New Roman" w:hAnsi="Times New Roman" w:cs="Times New Roman"/>
        </w:rPr>
        <w:t xml:space="preserve"> </w:t>
      </w:r>
    </w:p>
    <w:p w14:paraId="17D10615" w14:textId="74FE7E5B" w:rsidR="00E84820"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A425B" w:rsidRPr="006232A3">
        <w:rPr>
          <w:rFonts w:ascii="Times New Roman" w:hAnsi="Times New Roman" w:cs="Times New Roman"/>
        </w:rPr>
        <w:t xml:space="preserve">Third, the </w:t>
      </w:r>
      <w:r w:rsidR="006B0E30" w:rsidRPr="006232A3">
        <w:rPr>
          <w:rFonts w:ascii="Times New Roman" w:hAnsi="Times New Roman" w:cs="Times New Roman"/>
        </w:rPr>
        <w:t>Company</w:t>
      </w:r>
      <w:r w:rsidR="00FA425B" w:rsidRPr="006232A3">
        <w:rPr>
          <w:rFonts w:ascii="Times New Roman" w:hAnsi="Times New Roman" w:cs="Times New Roman"/>
        </w:rPr>
        <w:t xml:space="preserve"> cites the </w:t>
      </w:r>
      <w:r w:rsidR="004452DB" w:rsidRPr="006232A3">
        <w:rPr>
          <w:rFonts w:ascii="Times New Roman" w:hAnsi="Times New Roman" w:cs="Times New Roman"/>
        </w:rPr>
        <w:t>hearing</w:t>
      </w:r>
      <w:r w:rsidR="00FA425B" w:rsidRPr="006232A3">
        <w:rPr>
          <w:rFonts w:ascii="Times New Roman" w:hAnsi="Times New Roman" w:cs="Times New Roman"/>
        </w:rPr>
        <w:t xml:space="preserve"> testimony of Staff witness, Mr. Jeremy </w:t>
      </w:r>
      <w:proofErr w:type="spellStart"/>
      <w:r w:rsidR="00FA425B" w:rsidRPr="006232A3">
        <w:rPr>
          <w:rFonts w:ascii="Times New Roman" w:hAnsi="Times New Roman" w:cs="Times New Roman"/>
        </w:rPr>
        <w:t>Twitchell</w:t>
      </w:r>
      <w:proofErr w:type="spellEnd"/>
      <w:r w:rsidR="00FA425B" w:rsidRPr="006232A3">
        <w:rPr>
          <w:rFonts w:ascii="Times New Roman" w:hAnsi="Times New Roman" w:cs="Times New Roman"/>
        </w:rPr>
        <w:t xml:space="preserve"> </w:t>
      </w:r>
      <w:r w:rsidR="006B0E30" w:rsidRPr="006232A3">
        <w:rPr>
          <w:rFonts w:ascii="Times New Roman" w:hAnsi="Times New Roman" w:cs="Times New Roman"/>
        </w:rPr>
        <w:t xml:space="preserve">and grossly mischaracterizes his testimony.  In footnote 400 of its Opening Brief, the Company </w:t>
      </w:r>
      <w:r w:rsidR="00DC7499" w:rsidRPr="006232A3">
        <w:rPr>
          <w:rFonts w:ascii="Times New Roman" w:hAnsi="Times New Roman" w:cs="Times New Roman"/>
        </w:rPr>
        <w:t xml:space="preserve">interprets </w:t>
      </w:r>
      <w:r w:rsidR="006B0E30" w:rsidRPr="006232A3">
        <w:rPr>
          <w:rFonts w:ascii="Times New Roman" w:hAnsi="Times New Roman" w:cs="Times New Roman"/>
        </w:rPr>
        <w:t xml:space="preserve">Mr. </w:t>
      </w:r>
      <w:proofErr w:type="spellStart"/>
      <w:r w:rsidR="006B0E30" w:rsidRPr="006232A3">
        <w:rPr>
          <w:rFonts w:ascii="Times New Roman" w:hAnsi="Times New Roman" w:cs="Times New Roman"/>
        </w:rPr>
        <w:t>Twitchell’s</w:t>
      </w:r>
      <w:proofErr w:type="spellEnd"/>
      <w:r w:rsidR="006B0E30" w:rsidRPr="006232A3">
        <w:rPr>
          <w:rFonts w:ascii="Times New Roman" w:hAnsi="Times New Roman" w:cs="Times New Roman"/>
        </w:rPr>
        <w:t xml:space="preserve"> testimony to mean that the Commission should “address DG now.”  However, Mr. </w:t>
      </w:r>
      <w:proofErr w:type="spellStart"/>
      <w:r w:rsidR="006B0E30" w:rsidRPr="006232A3">
        <w:rPr>
          <w:rFonts w:ascii="Times New Roman" w:hAnsi="Times New Roman" w:cs="Times New Roman"/>
        </w:rPr>
        <w:t>Twitchell</w:t>
      </w:r>
      <w:r w:rsidR="00DC7499" w:rsidRPr="006232A3">
        <w:rPr>
          <w:rFonts w:ascii="Times New Roman" w:hAnsi="Times New Roman" w:cs="Times New Roman"/>
        </w:rPr>
        <w:t>’s</w:t>
      </w:r>
      <w:proofErr w:type="spellEnd"/>
      <w:r w:rsidR="00DC7499" w:rsidRPr="006232A3">
        <w:rPr>
          <w:rFonts w:ascii="Times New Roman" w:hAnsi="Times New Roman" w:cs="Times New Roman"/>
        </w:rPr>
        <w:t xml:space="preserve"> testimony discussed </w:t>
      </w:r>
      <w:r w:rsidR="006B0E30" w:rsidRPr="006232A3">
        <w:rPr>
          <w:rFonts w:ascii="Times New Roman" w:hAnsi="Times New Roman" w:cs="Times New Roman"/>
        </w:rPr>
        <w:t>energy efficiency measures very broadly</w:t>
      </w:r>
      <w:r w:rsidR="001B5427" w:rsidRPr="006232A3">
        <w:rPr>
          <w:rFonts w:ascii="Times New Roman" w:hAnsi="Times New Roman" w:cs="Times New Roman"/>
        </w:rPr>
        <w:t>, a</w:t>
      </w:r>
      <w:r w:rsidR="006B0E30" w:rsidRPr="006232A3">
        <w:rPr>
          <w:rFonts w:ascii="Times New Roman" w:hAnsi="Times New Roman" w:cs="Times New Roman"/>
        </w:rPr>
        <w:t xml:space="preserve">nd </w:t>
      </w:r>
      <w:r w:rsidR="00DC7499" w:rsidRPr="006232A3">
        <w:rPr>
          <w:rFonts w:ascii="Times New Roman" w:hAnsi="Times New Roman" w:cs="Times New Roman"/>
        </w:rPr>
        <w:t xml:space="preserve">did not expressly or implicitly state </w:t>
      </w:r>
      <w:r w:rsidR="006B0E30" w:rsidRPr="006232A3">
        <w:rPr>
          <w:rFonts w:ascii="Times New Roman" w:hAnsi="Times New Roman" w:cs="Times New Roman"/>
        </w:rPr>
        <w:t>that DG customer</w:t>
      </w:r>
      <w:r w:rsidR="00DC7499" w:rsidRPr="006232A3">
        <w:rPr>
          <w:rFonts w:ascii="Times New Roman" w:hAnsi="Times New Roman" w:cs="Times New Roman"/>
        </w:rPr>
        <w:t>s</w:t>
      </w:r>
      <w:r w:rsidR="006B0E30" w:rsidRPr="006232A3">
        <w:rPr>
          <w:rFonts w:ascii="Times New Roman" w:hAnsi="Times New Roman" w:cs="Times New Roman"/>
        </w:rPr>
        <w:t xml:space="preserve"> create a cost-shift.</w:t>
      </w:r>
      <w:r w:rsidR="001B5427" w:rsidRPr="006232A3">
        <w:rPr>
          <w:rStyle w:val="FootnoteReference"/>
          <w:rFonts w:ascii="Times New Roman" w:hAnsi="Times New Roman" w:cs="Times New Roman"/>
        </w:rPr>
        <w:t xml:space="preserve"> </w:t>
      </w:r>
      <w:r w:rsidR="001B5427">
        <w:rPr>
          <w:rStyle w:val="FootnoteReference"/>
          <w:rFonts w:ascii="Times New Roman" w:hAnsi="Times New Roman" w:cs="Times New Roman"/>
        </w:rPr>
        <w:footnoteReference w:id="5"/>
      </w:r>
      <w:r w:rsidR="006B0E30" w:rsidRPr="006232A3">
        <w:rPr>
          <w:rFonts w:ascii="Times New Roman" w:hAnsi="Times New Roman" w:cs="Times New Roman"/>
        </w:rPr>
        <w:t xml:space="preserve">  In fact, as </w:t>
      </w:r>
      <w:r w:rsidR="00E84820" w:rsidRPr="006232A3">
        <w:rPr>
          <w:rFonts w:ascii="Times New Roman" w:hAnsi="Times New Roman" w:cs="Times New Roman"/>
        </w:rPr>
        <w:t>explained</w:t>
      </w:r>
      <w:r w:rsidR="006B0E30" w:rsidRPr="006232A3">
        <w:rPr>
          <w:rFonts w:ascii="Times New Roman" w:hAnsi="Times New Roman" w:cs="Times New Roman"/>
        </w:rPr>
        <w:t xml:space="preserve"> in TASC’s Initial Brief, Mr. </w:t>
      </w:r>
      <w:proofErr w:type="spellStart"/>
      <w:r w:rsidR="006B0E30" w:rsidRPr="006232A3">
        <w:rPr>
          <w:rFonts w:ascii="Times New Roman" w:hAnsi="Times New Roman" w:cs="Times New Roman"/>
        </w:rPr>
        <w:t>Twitchell</w:t>
      </w:r>
      <w:proofErr w:type="spellEnd"/>
      <w:r w:rsidR="006B0E30" w:rsidRPr="006232A3">
        <w:rPr>
          <w:rFonts w:ascii="Times New Roman" w:hAnsi="Times New Roman" w:cs="Times New Roman"/>
        </w:rPr>
        <w:t xml:space="preserve"> specifically </w:t>
      </w:r>
      <w:r w:rsidR="00E84820" w:rsidRPr="006232A3">
        <w:rPr>
          <w:rFonts w:ascii="Times New Roman" w:hAnsi="Times New Roman" w:cs="Times New Roman"/>
        </w:rPr>
        <w:t xml:space="preserve">acknowledged on cross-examination that </w:t>
      </w:r>
      <w:r w:rsidR="00DC7499" w:rsidRPr="006232A3">
        <w:rPr>
          <w:rFonts w:ascii="Times New Roman" w:hAnsi="Times New Roman" w:cs="Times New Roman"/>
        </w:rPr>
        <w:t>the low</w:t>
      </w:r>
      <w:r w:rsidR="00E84820" w:rsidRPr="006232A3">
        <w:rPr>
          <w:rFonts w:ascii="Times New Roman" w:hAnsi="Times New Roman" w:cs="Times New Roman"/>
        </w:rPr>
        <w:t xml:space="preserve"> number of DG customers </w:t>
      </w:r>
      <w:r w:rsidR="00DC7499" w:rsidRPr="006232A3">
        <w:rPr>
          <w:rFonts w:ascii="Times New Roman" w:hAnsi="Times New Roman" w:cs="Times New Roman"/>
        </w:rPr>
        <w:t>have no significant impact on</w:t>
      </w:r>
      <w:r w:rsidR="00E84820" w:rsidRPr="006232A3">
        <w:rPr>
          <w:rFonts w:ascii="Times New Roman" w:hAnsi="Times New Roman" w:cs="Times New Roman"/>
        </w:rPr>
        <w:t xml:space="preserve"> PacifiCorp’s ability to recover fixed costs.</w:t>
      </w:r>
      <w:r w:rsidR="00E84820" w:rsidRPr="001B229E">
        <w:rPr>
          <w:rStyle w:val="FootnoteReference"/>
          <w:rFonts w:ascii="Times New Roman" w:hAnsi="Times New Roman" w:cs="Times New Roman"/>
        </w:rPr>
        <w:footnoteReference w:id="6"/>
      </w:r>
      <w:r w:rsidR="00E84820" w:rsidRPr="006232A3">
        <w:rPr>
          <w:rFonts w:ascii="Times New Roman" w:hAnsi="Times New Roman" w:cs="Times New Roman"/>
        </w:rPr>
        <w:t xml:space="preserve"> </w:t>
      </w:r>
      <w:r w:rsidR="00000509" w:rsidRPr="006232A3">
        <w:rPr>
          <w:rFonts w:ascii="Times New Roman" w:hAnsi="Times New Roman" w:cs="Times New Roman"/>
        </w:rPr>
        <w:t xml:space="preserve"> </w:t>
      </w:r>
      <w:r w:rsidR="00E84820" w:rsidRPr="006232A3">
        <w:rPr>
          <w:rFonts w:ascii="Times New Roman" w:hAnsi="Times New Roman" w:cs="Times New Roman"/>
        </w:rPr>
        <w:t xml:space="preserve">Mr. </w:t>
      </w:r>
      <w:proofErr w:type="spellStart"/>
      <w:r w:rsidR="00E84820" w:rsidRPr="006232A3">
        <w:rPr>
          <w:rFonts w:ascii="Times New Roman" w:hAnsi="Times New Roman" w:cs="Times New Roman"/>
        </w:rPr>
        <w:t>Twitchell</w:t>
      </w:r>
      <w:proofErr w:type="spellEnd"/>
      <w:r w:rsidR="00E84820" w:rsidRPr="006232A3">
        <w:rPr>
          <w:rFonts w:ascii="Times New Roman" w:hAnsi="Times New Roman" w:cs="Times New Roman"/>
        </w:rPr>
        <w:t xml:space="preserve"> specifically </w:t>
      </w:r>
      <w:proofErr w:type="gramStart"/>
      <w:r w:rsidR="00E84820" w:rsidRPr="006232A3">
        <w:rPr>
          <w:rFonts w:ascii="Times New Roman" w:hAnsi="Times New Roman" w:cs="Times New Roman"/>
        </w:rPr>
        <w:t>testified that</w:t>
      </w:r>
      <w:proofErr w:type="gramEnd"/>
      <w:r w:rsidR="00E84820" w:rsidRPr="006232A3">
        <w:rPr>
          <w:rFonts w:ascii="Times New Roman" w:hAnsi="Times New Roman" w:cs="Times New Roman"/>
        </w:rPr>
        <w:t xml:space="preserve"> “Staff's position is that at 0.2 percent of the customers, there are just not enough </w:t>
      </w:r>
      <w:r w:rsidR="004452DB" w:rsidRPr="006232A3">
        <w:rPr>
          <w:rFonts w:ascii="Times New Roman" w:hAnsi="Times New Roman" w:cs="Times New Roman"/>
        </w:rPr>
        <w:t xml:space="preserve">[DG] </w:t>
      </w:r>
      <w:r w:rsidR="00E84820" w:rsidRPr="006232A3">
        <w:rPr>
          <w:rFonts w:ascii="Times New Roman" w:hAnsi="Times New Roman" w:cs="Times New Roman"/>
        </w:rPr>
        <w:t>customers to be materially impacting the Company's system in any way to be creating any kind of cost shift.</w:t>
      </w:r>
      <w:r w:rsidR="004452DB" w:rsidRPr="006232A3">
        <w:rPr>
          <w:rFonts w:ascii="Times New Roman" w:hAnsi="Times New Roman" w:cs="Times New Roman"/>
        </w:rPr>
        <w:t>”</w:t>
      </w:r>
      <w:r w:rsidR="00000509">
        <w:rPr>
          <w:rStyle w:val="FootnoteReference"/>
          <w:rFonts w:ascii="Times New Roman" w:hAnsi="Times New Roman" w:cs="Times New Roman"/>
        </w:rPr>
        <w:footnoteReference w:id="7"/>
      </w:r>
      <w:r w:rsidR="004452DB" w:rsidRPr="006232A3">
        <w:rPr>
          <w:rFonts w:ascii="Times New Roman" w:hAnsi="Times New Roman" w:cs="Times New Roman"/>
        </w:rPr>
        <w:t xml:space="preserve">  In fact, Mr. </w:t>
      </w:r>
      <w:proofErr w:type="spellStart"/>
      <w:r w:rsidR="004452DB" w:rsidRPr="006232A3">
        <w:rPr>
          <w:rFonts w:ascii="Times New Roman" w:hAnsi="Times New Roman" w:cs="Times New Roman"/>
        </w:rPr>
        <w:t>Twitchell</w:t>
      </w:r>
      <w:proofErr w:type="spellEnd"/>
      <w:r w:rsidR="004452DB" w:rsidRPr="006232A3">
        <w:rPr>
          <w:rFonts w:ascii="Times New Roman" w:hAnsi="Times New Roman" w:cs="Times New Roman"/>
        </w:rPr>
        <w:t xml:space="preserve"> further testified that if anything, DG customers provide a benefit to other customers.</w:t>
      </w:r>
      <w:r w:rsidR="004452DB" w:rsidRPr="001B229E">
        <w:rPr>
          <w:rStyle w:val="FootnoteReference"/>
          <w:rFonts w:ascii="Times New Roman" w:hAnsi="Times New Roman" w:cs="Times New Roman"/>
        </w:rPr>
        <w:footnoteReference w:id="8"/>
      </w:r>
      <w:r w:rsidR="004452DB" w:rsidRPr="006232A3">
        <w:rPr>
          <w:rFonts w:ascii="Times New Roman" w:hAnsi="Times New Roman" w:cs="Times New Roman"/>
        </w:rPr>
        <w:t xml:space="preserve">  </w:t>
      </w:r>
    </w:p>
    <w:p w14:paraId="769D4AB5" w14:textId="24E0C880" w:rsidR="006173DA" w:rsidRPr="006232A3" w:rsidRDefault="006232A3" w:rsidP="006232A3">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4E1156" w:rsidRPr="006232A3">
        <w:rPr>
          <w:rFonts w:ascii="Times New Roman" w:hAnsi="Times New Roman" w:cs="Times New Roman"/>
        </w:rPr>
        <w:t xml:space="preserve">The Company also continues to </w:t>
      </w:r>
      <w:r w:rsidR="007C12D3" w:rsidRPr="006232A3">
        <w:rPr>
          <w:rFonts w:ascii="Times New Roman" w:hAnsi="Times New Roman" w:cs="Times New Roman"/>
        </w:rPr>
        <w:t>claim that the Commission itself has recognized “that the growth in DG should not compromise a utility’s ability to recover fixed costs nor unreasonably shift costs</w:t>
      </w:r>
      <w:r w:rsidR="00DC7499" w:rsidRPr="006232A3">
        <w:rPr>
          <w:rFonts w:ascii="Times New Roman" w:hAnsi="Times New Roman" w:cs="Times New Roman"/>
        </w:rPr>
        <w:t>,</w:t>
      </w:r>
      <w:r w:rsidR="007C12D3" w:rsidRPr="006232A3">
        <w:rPr>
          <w:rFonts w:ascii="Times New Roman" w:hAnsi="Times New Roman" w:cs="Times New Roman"/>
        </w:rPr>
        <w:t>”</w:t>
      </w:r>
      <w:r w:rsidR="007C12D3" w:rsidRPr="001B229E">
        <w:rPr>
          <w:rStyle w:val="FootnoteReference"/>
          <w:rFonts w:ascii="Times New Roman" w:hAnsi="Times New Roman" w:cs="Times New Roman"/>
        </w:rPr>
        <w:footnoteReference w:id="9"/>
      </w:r>
      <w:r w:rsidR="00B524C3" w:rsidRPr="006232A3">
        <w:rPr>
          <w:rFonts w:ascii="Times New Roman" w:hAnsi="Times New Roman" w:cs="Times New Roman"/>
        </w:rPr>
        <w:t xml:space="preserve"> </w:t>
      </w:r>
      <w:r w:rsidR="00DC7499" w:rsidRPr="006232A3">
        <w:rPr>
          <w:rFonts w:ascii="Times New Roman" w:hAnsi="Times New Roman" w:cs="Times New Roman"/>
        </w:rPr>
        <w:t>citing for support</w:t>
      </w:r>
      <w:r w:rsidR="007C12D3" w:rsidRPr="006232A3">
        <w:rPr>
          <w:rFonts w:ascii="Times New Roman" w:hAnsi="Times New Roman" w:cs="Times New Roman"/>
        </w:rPr>
        <w:t xml:space="preserve"> to</w:t>
      </w:r>
      <w:r w:rsidR="006173DA" w:rsidRPr="006232A3">
        <w:rPr>
          <w:rFonts w:ascii="Times New Roman" w:hAnsi="Times New Roman" w:cs="Times New Roman"/>
        </w:rPr>
        <w:t xml:space="preserve"> page 5 of the UTC Report on the Potential for Cost-Effective Distributed Generation in Areas Served by Investor Owned Utilities in Washington State, from Docket UE-110667.  </w:t>
      </w:r>
      <w:r w:rsidR="007C12D3" w:rsidRPr="006232A3">
        <w:rPr>
          <w:rFonts w:ascii="Times New Roman" w:hAnsi="Times New Roman" w:cs="Times New Roman"/>
        </w:rPr>
        <w:t xml:space="preserve">However, this citation </w:t>
      </w:r>
      <w:r w:rsidR="004C0849" w:rsidRPr="006232A3">
        <w:rPr>
          <w:rFonts w:ascii="Times New Roman" w:hAnsi="Times New Roman" w:cs="Times New Roman"/>
        </w:rPr>
        <w:t xml:space="preserve">provides no support for the Company on this point </w:t>
      </w:r>
      <w:r w:rsidR="004C0849" w:rsidRPr="006232A3">
        <w:rPr>
          <w:rFonts w:ascii="Times New Roman" w:hAnsi="Times New Roman" w:cs="Times New Roman"/>
        </w:rPr>
        <w:lastRenderedPageBreak/>
        <w:t xml:space="preserve">because the Commission has made no such statement.  The Report summarizes stakeholder—not </w:t>
      </w:r>
      <w:r w:rsidR="004C0849" w:rsidRPr="006232A3">
        <w:rPr>
          <w:rFonts w:ascii="Times New Roman" w:hAnsi="Times New Roman" w:cs="Times New Roman"/>
          <w:i/>
        </w:rPr>
        <w:t>Commission</w:t>
      </w:r>
      <w:r w:rsidR="004C0849" w:rsidRPr="006232A3">
        <w:rPr>
          <w:rFonts w:ascii="Times New Roman" w:hAnsi="Times New Roman" w:cs="Times New Roman"/>
        </w:rPr>
        <w:t>—findings</w:t>
      </w:r>
      <w:proofErr w:type="gramStart"/>
      <w:r w:rsidR="004C0849" w:rsidRPr="006232A3">
        <w:rPr>
          <w:rFonts w:ascii="Times New Roman" w:hAnsi="Times New Roman" w:cs="Times New Roman"/>
        </w:rPr>
        <w:t>:</w:t>
      </w:r>
      <w:r w:rsidR="006173DA" w:rsidRPr="006232A3">
        <w:rPr>
          <w:rFonts w:ascii="Times New Roman" w:hAnsi="Times New Roman" w:cs="Times New Roman"/>
        </w:rPr>
        <w:t>,</w:t>
      </w:r>
      <w:proofErr w:type="gramEnd"/>
      <w:r w:rsidR="006173DA" w:rsidRPr="006232A3">
        <w:rPr>
          <w:rFonts w:ascii="Times New Roman" w:hAnsi="Times New Roman" w:cs="Times New Roman"/>
        </w:rPr>
        <w:t xml:space="preserve"> </w:t>
      </w:r>
    </w:p>
    <w:p w14:paraId="54E28BA7" w14:textId="50AB2028" w:rsidR="006173DA" w:rsidRPr="001B229E" w:rsidRDefault="006173DA" w:rsidP="003676EE">
      <w:pPr>
        <w:ind w:left="720" w:right="720"/>
        <w:jc w:val="both"/>
        <w:rPr>
          <w:rFonts w:ascii="Times New Roman" w:hAnsi="Times New Roman" w:cs="Times New Roman"/>
        </w:rPr>
      </w:pPr>
      <w:r w:rsidRPr="001B229E">
        <w:rPr>
          <w:rFonts w:ascii="Times New Roman" w:hAnsi="Times New Roman" w:cs="Times New Roman"/>
        </w:rPr>
        <w:t xml:space="preserve">There are several stated goals and purposes of distributed generation, which follow the goals established in statute and rule for the state’s electric system. </w:t>
      </w:r>
      <w:r w:rsidRPr="001B229E">
        <w:rPr>
          <w:rFonts w:ascii="Times New Roman" w:hAnsi="Times New Roman" w:cs="Times New Roman"/>
          <w:b/>
          <w:i/>
        </w:rPr>
        <w:t>The stakeholders identified a number of purposes</w:t>
      </w:r>
      <w:r w:rsidRPr="001B229E">
        <w:rPr>
          <w:rFonts w:ascii="Times New Roman" w:hAnsi="Times New Roman" w:cs="Times New Roman"/>
        </w:rPr>
        <w:t>.  These goals include:</w:t>
      </w:r>
    </w:p>
    <w:p w14:paraId="77C0D891" w14:textId="77777777" w:rsidR="006173DA" w:rsidRPr="001B229E" w:rsidRDefault="006173DA" w:rsidP="003676EE">
      <w:pPr>
        <w:ind w:left="720" w:right="720"/>
        <w:jc w:val="both"/>
        <w:rPr>
          <w:rFonts w:ascii="Times New Roman" w:hAnsi="Times New Roman" w:cs="Times New Roman"/>
        </w:rPr>
      </w:pPr>
    </w:p>
    <w:p w14:paraId="12145FCF" w14:textId="77777777" w:rsidR="006173DA" w:rsidRPr="001B229E" w:rsidRDefault="006173DA" w:rsidP="003676EE">
      <w:pPr>
        <w:pStyle w:val="ListParagraph"/>
        <w:numPr>
          <w:ilvl w:val="0"/>
          <w:numId w:val="13"/>
        </w:numPr>
        <w:spacing w:line="276" w:lineRule="auto"/>
        <w:ind w:left="720" w:right="720" w:firstLine="720"/>
        <w:jc w:val="both"/>
        <w:rPr>
          <w:rFonts w:ascii="Times New Roman" w:hAnsi="Times New Roman" w:cs="Times New Roman"/>
        </w:rPr>
      </w:pPr>
      <w:r w:rsidRPr="001B229E">
        <w:rPr>
          <w:rFonts w:ascii="Times New Roman" w:hAnsi="Times New Roman" w:cs="Times New Roman"/>
        </w:rPr>
        <w:t>Maintaining low retail electric rates;</w:t>
      </w:r>
    </w:p>
    <w:p w14:paraId="0087F9B0" w14:textId="77777777" w:rsidR="006173DA" w:rsidRPr="001B229E" w:rsidRDefault="006173DA" w:rsidP="003676EE">
      <w:pPr>
        <w:pStyle w:val="ListParagraph"/>
        <w:numPr>
          <w:ilvl w:val="0"/>
          <w:numId w:val="13"/>
        </w:numPr>
        <w:spacing w:line="276" w:lineRule="auto"/>
        <w:ind w:left="720" w:right="720" w:firstLine="720"/>
        <w:jc w:val="both"/>
        <w:rPr>
          <w:rFonts w:ascii="Times New Roman" w:hAnsi="Times New Roman" w:cs="Times New Roman"/>
        </w:rPr>
      </w:pPr>
      <w:r w:rsidRPr="001B229E">
        <w:rPr>
          <w:rFonts w:ascii="Times New Roman" w:hAnsi="Times New Roman" w:cs="Times New Roman"/>
        </w:rPr>
        <w:t>Maintaining reliability of the electric system;</w:t>
      </w:r>
    </w:p>
    <w:p w14:paraId="1BFD991B" w14:textId="47ABC96E" w:rsidR="006173DA" w:rsidRPr="001B229E" w:rsidRDefault="006173DA" w:rsidP="003676EE">
      <w:pPr>
        <w:pStyle w:val="ListParagraph"/>
        <w:numPr>
          <w:ilvl w:val="0"/>
          <w:numId w:val="13"/>
        </w:numPr>
        <w:spacing w:line="276" w:lineRule="auto"/>
        <w:ind w:left="720" w:right="720" w:firstLine="720"/>
        <w:jc w:val="both"/>
        <w:rPr>
          <w:rFonts w:ascii="Times New Roman" w:hAnsi="Times New Roman" w:cs="Times New Roman"/>
        </w:rPr>
      </w:pPr>
      <w:r w:rsidRPr="001B229E">
        <w:rPr>
          <w:rFonts w:ascii="Times New Roman" w:hAnsi="Times New Roman" w:cs="Times New Roman"/>
        </w:rPr>
        <w:t>Fostering econom</w:t>
      </w:r>
      <w:r w:rsidR="008D3323">
        <w:rPr>
          <w:rFonts w:ascii="Times New Roman" w:hAnsi="Times New Roman" w:cs="Times New Roman"/>
        </w:rPr>
        <w:t>ic development and job creation;</w:t>
      </w:r>
    </w:p>
    <w:p w14:paraId="017C53FD" w14:textId="77777777" w:rsidR="006173DA" w:rsidRPr="001B229E" w:rsidRDefault="006173DA" w:rsidP="003676EE">
      <w:pPr>
        <w:pStyle w:val="ListParagraph"/>
        <w:numPr>
          <w:ilvl w:val="0"/>
          <w:numId w:val="13"/>
        </w:numPr>
        <w:spacing w:line="276" w:lineRule="auto"/>
        <w:ind w:left="720" w:right="720" w:firstLine="720"/>
        <w:jc w:val="both"/>
        <w:rPr>
          <w:rFonts w:ascii="Times New Roman" w:hAnsi="Times New Roman" w:cs="Times New Roman"/>
        </w:rPr>
      </w:pPr>
      <w:r w:rsidRPr="001B229E">
        <w:rPr>
          <w:rFonts w:ascii="Times New Roman" w:hAnsi="Times New Roman" w:cs="Times New Roman"/>
        </w:rPr>
        <w:t xml:space="preserve">Protecting the environment; </w:t>
      </w:r>
    </w:p>
    <w:p w14:paraId="58CFC888" w14:textId="77777777" w:rsidR="001D56E9" w:rsidRPr="001B229E" w:rsidRDefault="006173DA" w:rsidP="003676EE">
      <w:pPr>
        <w:pStyle w:val="ListParagraph"/>
        <w:numPr>
          <w:ilvl w:val="0"/>
          <w:numId w:val="13"/>
        </w:numPr>
        <w:spacing w:line="276" w:lineRule="auto"/>
        <w:ind w:left="720" w:right="720" w:firstLine="720"/>
        <w:jc w:val="both"/>
        <w:rPr>
          <w:rFonts w:ascii="Times New Roman" w:hAnsi="Times New Roman" w:cs="Times New Roman"/>
        </w:rPr>
      </w:pPr>
      <w:r w:rsidRPr="001B229E">
        <w:rPr>
          <w:rFonts w:ascii="Times New Roman" w:hAnsi="Times New Roman" w:cs="Times New Roman"/>
        </w:rPr>
        <w:t xml:space="preserve">Ensuring energy independence; </w:t>
      </w:r>
    </w:p>
    <w:p w14:paraId="5A64E729" w14:textId="77777777" w:rsidR="001D56E9" w:rsidRPr="001B229E" w:rsidRDefault="006173DA" w:rsidP="003676EE">
      <w:pPr>
        <w:pStyle w:val="ListParagraph"/>
        <w:numPr>
          <w:ilvl w:val="0"/>
          <w:numId w:val="13"/>
        </w:numPr>
        <w:spacing w:line="276" w:lineRule="auto"/>
        <w:ind w:left="2160" w:right="720" w:hanging="720"/>
        <w:jc w:val="both"/>
        <w:rPr>
          <w:rFonts w:ascii="Times New Roman" w:hAnsi="Times New Roman" w:cs="Times New Roman"/>
        </w:rPr>
      </w:pPr>
      <w:r w:rsidRPr="001B229E">
        <w:rPr>
          <w:rFonts w:ascii="Times New Roman" w:hAnsi="Times New Roman" w:cs="Times New Roman"/>
        </w:rPr>
        <w:t>Protecting consumers (includ</w:t>
      </w:r>
      <w:r w:rsidR="001D56E9" w:rsidRPr="001B229E">
        <w:rPr>
          <w:rFonts w:ascii="Times New Roman" w:hAnsi="Times New Roman" w:cs="Times New Roman"/>
        </w:rPr>
        <w:t xml:space="preserve">ing protection from cost-shifts </w:t>
      </w:r>
      <w:r w:rsidRPr="001B229E">
        <w:rPr>
          <w:rFonts w:ascii="Times New Roman" w:hAnsi="Times New Roman" w:cs="Times New Roman"/>
        </w:rPr>
        <w:t>between rate classes and types of customers); and</w:t>
      </w:r>
    </w:p>
    <w:p w14:paraId="2049DC6E" w14:textId="47259B9C" w:rsidR="006173DA" w:rsidRPr="001B229E" w:rsidRDefault="006173DA" w:rsidP="003676EE">
      <w:pPr>
        <w:pStyle w:val="ListParagraph"/>
        <w:numPr>
          <w:ilvl w:val="0"/>
          <w:numId w:val="13"/>
        </w:numPr>
        <w:spacing w:line="276" w:lineRule="auto"/>
        <w:ind w:left="2160" w:right="720" w:hanging="720"/>
        <w:jc w:val="both"/>
        <w:rPr>
          <w:rFonts w:ascii="Times New Roman" w:hAnsi="Times New Roman" w:cs="Times New Roman"/>
        </w:rPr>
      </w:pPr>
      <w:r w:rsidRPr="001B229E">
        <w:rPr>
          <w:rFonts w:ascii="Times New Roman" w:hAnsi="Times New Roman" w:cs="Times New Roman"/>
        </w:rPr>
        <w:t>Ensuring sufficient returns for utility investors.</w:t>
      </w:r>
      <w:r w:rsidR="001D56E9" w:rsidRPr="001B229E">
        <w:rPr>
          <w:rStyle w:val="FootnoteReference"/>
          <w:rFonts w:ascii="Times New Roman" w:hAnsi="Times New Roman" w:cs="Times New Roman"/>
        </w:rPr>
        <w:footnoteReference w:id="10"/>
      </w:r>
    </w:p>
    <w:p w14:paraId="09ED8ECC" w14:textId="77777777" w:rsidR="003676EE" w:rsidRPr="001B229E" w:rsidRDefault="003676EE" w:rsidP="003676EE">
      <w:pPr>
        <w:pStyle w:val="ListParagraph"/>
        <w:spacing w:line="276" w:lineRule="auto"/>
        <w:ind w:left="2160" w:right="720"/>
        <w:jc w:val="both"/>
        <w:rPr>
          <w:rFonts w:ascii="Times New Roman" w:hAnsi="Times New Roman" w:cs="Times New Roman"/>
        </w:rPr>
      </w:pPr>
    </w:p>
    <w:p w14:paraId="0B37A459" w14:textId="17A2509C" w:rsidR="00511B95" w:rsidRPr="001B229E" w:rsidRDefault="004C0849" w:rsidP="001D56E9">
      <w:pPr>
        <w:spacing w:line="480" w:lineRule="auto"/>
        <w:ind w:right="720"/>
        <w:jc w:val="both"/>
        <w:rPr>
          <w:rFonts w:ascii="Times New Roman" w:hAnsi="Times New Roman" w:cs="Times New Roman"/>
        </w:rPr>
      </w:pPr>
      <w:r>
        <w:rPr>
          <w:rFonts w:ascii="Times New Roman" w:hAnsi="Times New Roman" w:cs="Times New Roman"/>
        </w:rPr>
        <w:t xml:space="preserve">Not only is the cited document plainly </w:t>
      </w:r>
      <w:r w:rsidRPr="001B229E">
        <w:rPr>
          <w:rFonts w:ascii="Times New Roman" w:hAnsi="Times New Roman" w:cs="Times New Roman"/>
        </w:rPr>
        <w:t>not an order, decision, or policy statement signed by the Commissioners themselves</w:t>
      </w:r>
      <w:r>
        <w:rPr>
          <w:rFonts w:ascii="Times New Roman" w:hAnsi="Times New Roman" w:cs="Times New Roman"/>
        </w:rPr>
        <w:t xml:space="preserve"> </w:t>
      </w:r>
      <w:proofErr w:type="gramStart"/>
      <w:r>
        <w:rPr>
          <w:rFonts w:ascii="Times New Roman" w:hAnsi="Times New Roman" w:cs="Times New Roman"/>
        </w:rPr>
        <w:t>but</w:t>
      </w:r>
      <w:proofErr w:type="gramEnd"/>
      <w:r>
        <w:rPr>
          <w:rFonts w:ascii="Times New Roman" w:hAnsi="Times New Roman" w:cs="Times New Roman"/>
        </w:rPr>
        <w:t xml:space="preserve"> a report by UTC Staff, the report clearly identifies the matters listed as is</w:t>
      </w:r>
      <w:r w:rsidR="00B524C3">
        <w:rPr>
          <w:rFonts w:ascii="Times New Roman" w:hAnsi="Times New Roman" w:cs="Times New Roman"/>
        </w:rPr>
        <w:t>sues identified by stakeholders</w:t>
      </w:r>
      <w:r w:rsidRPr="001B229E">
        <w:rPr>
          <w:rFonts w:ascii="Times New Roman" w:hAnsi="Times New Roman" w:cs="Times New Roman"/>
        </w:rPr>
        <w:t xml:space="preserve">.  </w:t>
      </w:r>
      <w:r w:rsidR="00511B95" w:rsidRPr="001B229E">
        <w:rPr>
          <w:rFonts w:ascii="Times New Roman" w:hAnsi="Times New Roman" w:cs="Times New Roman"/>
        </w:rPr>
        <w:t xml:space="preserve">  </w:t>
      </w:r>
    </w:p>
    <w:p w14:paraId="17EED0BE" w14:textId="45EA22A9" w:rsidR="00433725" w:rsidRPr="006232A3" w:rsidRDefault="006232A3" w:rsidP="006232A3">
      <w:pPr>
        <w:pStyle w:val="ListParagraph"/>
        <w:numPr>
          <w:ilvl w:val="1"/>
          <w:numId w:val="18"/>
        </w:numPr>
        <w:spacing w:line="480" w:lineRule="auto"/>
        <w:ind w:right="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11B95" w:rsidRPr="006232A3">
        <w:rPr>
          <w:rFonts w:ascii="Times New Roman" w:hAnsi="Times New Roman" w:cs="Times New Roman"/>
        </w:rPr>
        <w:t xml:space="preserve">PacifiCorp’s repeated mischaracterization of the </w:t>
      </w:r>
      <w:proofErr w:type="gramStart"/>
      <w:r w:rsidR="00511B95" w:rsidRPr="006232A3">
        <w:rPr>
          <w:rFonts w:ascii="Times New Roman" w:hAnsi="Times New Roman" w:cs="Times New Roman"/>
        </w:rPr>
        <w:t>Commission’s</w:t>
      </w:r>
      <w:proofErr w:type="gramEnd"/>
      <w:r w:rsidR="00511B95" w:rsidRPr="006232A3">
        <w:rPr>
          <w:rFonts w:ascii="Times New Roman" w:hAnsi="Times New Roman" w:cs="Times New Roman"/>
        </w:rPr>
        <w:t xml:space="preserve"> and Staff’s positions on this issue is disingenuous.  The Company</w:t>
      </w:r>
      <w:r w:rsidR="002807DE" w:rsidRPr="006232A3">
        <w:rPr>
          <w:rFonts w:ascii="Times New Roman" w:hAnsi="Times New Roman" w:cs="Times New Roman"/>
        </w:rPr>
        <w:t xml:space="preserve"> has</w:t>
      </w:r>
      <w:r w:rsidR="00511B95" w:rsidRPr="006232A3">
        <w:rPr>
          <w:rFonts w:ascii="Times New Roman" w:hAnsi="Times New Roman" w:cs="Times New Roman"/>
        </w:rPr>
        <w:t xml:space="preserve"> </w:t>
      </w:r>
      <w:r w:rsidR="004C0849" w:rsidRPr="006232A3">
        <w:rPr>
          <w:rFonts w:ascii="Times New Roman" w:hAnsi="Times New Roman" w:cs="Times New Roman"/>
        </w:rPr>
        <w:t xml:space="preserve">simply and repeatedly </w:t>
      </w:r>
      <w:r w:rsidR="00511B95" w:rsidRPr="006232A3">
        <w:rPr>
          <w:rFonts w:ascii="Times New Roman" w:hAnsi="Times New Roman" w:cs="Times New Roman"/>
        </w:rPr>
        <w:t xml:space="preserve">failed to </w:t>
      </w:r>
      <w:r w:rsidR="002807DE" w:rsidRPr="006232A3">
        <w:rPr>
          <w:rFonts w:ascii="Times New Roman" w:hAnsi="Times New Roman" w:cs="Times New Roman"/>
        </w:rPr>
        <w:t>provide compelling evidence t</w:t>
      </w:r>
      <w:r w:rsidR="00511B95" w:rsidRPr="006232A3">
        <w:rPr>
          <w:rFonts w:ascii="Times New Roman" w:hAnsi="Times New Roman" w:cs="Times New Roman"/>
        </w:rPr>
        <w:t>hat DG customers cause the Company’s inability to recover fixed costs, or that they create intra-class cost shifts.</w:t>
      </w:r>
      <w:r w:rsidR="00B524C3" w:rsidRPr="006232A3">
        <w:rPr>
          <w:rFonts w:ascii="Times New Roman" w:hAnsi="Times New Roman" w:cs="Times New Roman"/>
        </w:rPr>
        <w:t xml:space="preserve"> </w:t>
      </w:r>
      <w:r w:rsidR="00511B95" w:rsidRPr="006232A3">
        <w:rPr>
          <w:rFonts w:ascii="Times New Roman" w:hAnsi="Times New Roman" w:cs="Times New Roman"/>
        </w:rPr>
        <w:t xml:space="preserve"> </w:t>
      </w:r>
      <w:r w:rsidR="002807DE" w:rsidRPr="006232A3">
        <w:rPr>
          <w:rFonts w:ascii="Times New Roman" w:hAnsi="Times New Roman" w:cs="Times New Roman"/>
        </w:rPr>
        <w:t xml:space="preserve">Therefore, </w:t>
      </w:r>
      <w:r w:rsidR="00511B95" w:rsidRPr="006232A3">
        <w:rPr>
          <w:rFonts w:ascii="Times New Roman" w:hAnsi="Times New Roman" w:cs="Times New Roman"/>
        </w:rPr>
        <w:t>TASC continues to request that</w:t>
      </w:r>
      <w:r w:rsidR="004C0849" w:rsidRPr="006232A3">
        <w:rPr>
          <w:rFonts w:ascii="Times New Roman" w:hAnsi="Times New Roman" w:cs="Times New Roman"/>
        </w:rPr>
        <w:t>,</w:t>
      </w:r>
      <w:r w:rsidR="00511B95" w:rsidRPr="006232A3">
        <w:rPr>
          <w:rFonts w:ascii="Times New Roman" w:hAnsi="Times New Roman" w:cs="Times New Roman"/>
        </w:rPr>
        <w:t xml:space="preserve"> </w:t>
      </w:r>
      <w:r w:rsidR="00000509" w:rsidRPr="006232A3">
        <w:rPr>
          <w:rFonts w:ascii="Times New Roman" w:hAnsi="Times New Roman" w:cs="Times New Roman"/>
        </w:rPr>
        <w:t>in its final written decision</w:t>
      </w:r>
      <w:r w:rsidR="004C0849" w:rsidRPr="006232A3">
        <w:rPr>
          <w:rFonts w:ascii="Times New Roman" w:hAnsi="Times New Roman" w:cs="Times New Roman"/>
        </w:rPr>
        <w:t>,</w:t>
      </w:r>
      <w:r w:rsidR="00000509" w:rsidRPr="006232A3">
        <w:rPr>
          <w:rFonts w:ascii="Times New Roman" w:hAnsi="Times New Roman" w:cs="Times New Roman"/>
        </w:rPr>
        <w:t xml:space="preserve"> </w:t>
      </w:r>
      <w:r w:rsidR="00511B95" w:rsidRPr="006232A3">
        <w:rPr>
          <w:rFonts w:ascii="Times New Roman" w:hAnsi="Times New Roman" w:cs="Times New Roman"/>
        </w:rPr>
        <w:t>the Commission</w:t>
      </w:r>
      <w:r w:rsidR="002807DE" w:rsidRPr="006232A3">
        <w:rPr>
          <w:rFonts w:ascii="Times New Roman" w:hAnsi="Times New Roman" w:cs="Times New Roman"/>
        </w:rPr>
        <w:t xml:space="preserve"> specifically note the Company’s failure to meet its burden of proof on this issue.  </w:t>
      </w:r>
      <w:r w:rsidR="00511B95" w:rsidRPr="006232A3">
        <w:rPr>
          <w:rFonts w:ascii="Times New Roman" w:hAnsi="Times New Roman" w:cs="Times New Roman"/>
        </w:rPr>
        <w:t xml:space="preserve">    </w:t>
      </w:r>
      <w:r w:rsidR="001D56E9" w:rsidRPr="006232A3">
        <w:rPr>
          <w:rFonts w:ascii="Times New Roman" w:hAnsi="Times New Roman" w:cs="Times New Roman"/>
        </w:rPr>
        <w:t xml:space="preserve"> </w:t>
      </w:r>
    </w:p>
    <w:p w14:paraId="46EC2AAD" w14:textId="1BC5D0E8" w:rsidR="00433725" w:rsidRPr="001B229E" w:rsidRDefault="00433725" w:rsidP="00433725">
      <w:pPr>
        <w:pStyle w:val="ListParagraph"/>
        <w:numPr>
          <w:ilvl w:val="1"/>
          <w:numId w:val="11"/>
        </w:numPr>
        <w:rPr>
          <w:rFonts w:ascii="Times New Roman" w:hAnsi="Times New Roman" w:cs="Times New Roman"/>
          <w:b/>
        </w:rPr>
      </w:pPr>
      <w:r w:rsidRPr="001B229E">
        <w:rPr>
          <w:rFonts w:ascii="Times New Roman" w:hAnsi="Times New Roman" w:cs="Times New Roman"/>
          <w:b/>
        </w:rPr>
        <w:t xml:space="preserve">PaciCorp </w:t>
      </w:r>
      <w:r w:rsidR="003B386C" w:rsidRPr="001B229E">
        <w:rPr>
          <w:rFonts w:ascii="Times New Roman" w:hAnsi="Times New Roman" w:cs="Times New Roman"/>
          <w:b/>
        </w:rPr>
        <w:t>Fails to Provide Evidence that its Requested Fixed Charge Increase</w:t>
      </w:r>
      <w:r w:rsidRPr="001B229E">
        <w:rPr>
          <w:rFonts w:ascii="Times New Roman" w:hAnsi="Times New Roman" w:cs="Times New Roman"/>
          <w:b/>
        </w:rPr>
        <w:t xml:space="preserve"> </w:t>
      </w:r>
      <w:r w:rsidR="00213DFB" w:rsidRPr="001B229E">
        <w:rPr>
          <w:rFonts w:ascii="Times New Roman" w:hAnsi="Times New Roman" w:cs="Times New Roman"/>
          <w:b/>
        </w:rPr>
        <w:t>Is Consistent With</w:t>
      </w:r>
      <w:r w:rsidR="003B386C" w:rsidRPr="001B229E">
        <w:rPr>
          <w:rFonts w:ascii="Times New Roman" w:hAnsi="Times New Roman" w:cs="Times New Roman"/>
          <w:b/>
        </w:rPr>
        <w:t xml:space="preserve"> </w:t>
      </w:r>
      <w:r w:rsidR="00213DFB" w:rsidRPr="001B229E">
        <w:rPr>
          <w:rFonts w:ascii="Times New Roman" w:hAnsi="Times New Roman" w:cs="Times New Roman"/>
          <w:b/>
        </w:rPr>
        <w:t xml:space="preserve">Washington’s </w:t>
      </w:r>
      <w:r w:rsidR="003B386C" w:rsidRPr="001B229E">
        <w:rPr>
          <w:rFonts w:ascii="Times New Roman" w:hAnsi="Times New Roman" w:cs="Times New Roman"/>
          <w:b/>
        </w:rPr>
        <w:t xml:space="preserve">Energy </w:t>
      </w:r>
      <w:r w:rsidR="00213DFB" w:rsidRPr="001B229E">
        <w:rPr>
          <w:rFonts w:ascii="Times New Roman" w:hAnsi="Times New Roman" w:cs="Times New Roman"/>
          <w:b/>
        </w:rPr>
        <w:t>Efficiency Policies and Goals</w:t>
      </w:r>
    </w:p>
    <w:p w14:paraId="792B104A" w14:textId="77777777" w:rsidR="003B386C" w:rsidRPr="001B229E" w:rsidRDefault="003B386C" w:rsidP="003B386C">
      <w:pPr>
        <w:rPr>
          <w:rFonts w:ascii="Times New Roman" w:hAnsi="Times New Roman" w:cs="Times New Roman"/>
        </w:rPr>
      </w:pPr>
    </w:p>
    <w:p w14:paraId="65E0B4CE" w14:textId="43963FAD" w:rsidR="00700E23" w:rsidRPr="006232A3" w:rsidRDefault="006232A3" w:rsidP="006232A3">
      <w:pPr>
        <w:pStyle w:val="ListParagraph"/>
        <w:numPr>
          <w:ilvl w:val="1"/>
          <w:numId w:val="18"/>
        </w:numPr>
        <w:spacing w:line="480" w:lineRule="auto"/>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rPr>
        <w:tab/>
      </w:r>
      <w:r w:rsidR="00A22FD2" w:rsidRPr="006232A3">
        <w:rPr>
          <w:rFonts w:ascii="Times New Roman" w:hAnsi="Times New Roman" w:cs="Times New Roman"/>
        </w:rPr>
        <w:t>The Company acknowledges that st</w:t>
      </w:r>
      <w:r w:rsidR="00E50894" w:rsidRPr="006232A3">
        <w:rPr>
          <w:rFonts w:ascii="Times New Roman" w:hAnsi="Times New Roman" w:cs="Times New Roman"/>
        </w:rPr>
        <w:t>ate and federal policy</w:t>
      </w:r>
      <w:r w:rsidR="00A22FD2" w:rsidRPr="006232A3">
        <w:rPr>
          <w:rFonts w:ascii="Times New Roman" w:hAnsi="Times New Roman" w:cs="Times New Roman"/>
        </w:rPr>
        <w:t xml:space="preserve"> encourage</w:t>
      </w:r>
      <w:r w:rsidR="00E50894" w:rsidRPr="006232A3">
        <w:rPr>
          <w:rFonts w:ascii="Times New Roman" w:hAnsi="Times New Roman" w:cs="Times New Roman"/>
        </w:rPr>
        <w:t>s</w:t>
      </w:r>
      <w:r w:rsidR="00A22FD2" w:rsidRPr="006232A3">
        <w:rPr>
          <w:rFonts w:ascii="Times New Roman" w:hAnsi="Times New Roman" w:cs="Times New Roman"/>
        </w:rPr>
        <w:t xml:space="preserve"> </w:t>
      </w:r>
      <w:r w:rsidR="00E50894" w:rsidRPr="006232A3">
        <w:rPr>
          <w:rFonts w:ascii="Times New Roman" w:hAnsi="Times New Roman" w:cs="Times New Roman"/>
        </w:rPr>
        <w:t xml:space="preserve">increasing </w:t>
      </w:r>
      <w:r w:rsidR="00A22FD2" w:rsidRPr="006232A3">
        <w:rPr>
          <w:rFonts w:ascii="Times New Roman" w:hAnsi="Times New Roman" w:cs="Times New Roman"/>
        </w:rPr>
        <w:t xml:space="preserve">energy efficiency and conservation </w:t>
      </w:r>
      <w:r w:rsidR="00E50894" w:rsidRPr="006232A3">
        <w:rPr>
          <w:rFonts w:ascii="Times New Roman" w:hAnsi="Times New Roman" w:cs="Times New Roman"/>
        </w:rPr>
        <w:t xml:space="preserve">and </w:t>
      </w:r>
      <w:r w:rsidR="00B524C3" w:rsidRPr="006232A3">
        <w:rPr>
          <w:rFonts w:ascii="Times New Roman" w:hAnsi="Times New Roman" w:cs="Times New Roman"/>
        </w:rPr>
        <w:t>that new regulation</w:t>
      </w:r>
      <w:r w:rsidR="00E50894" w:rsidRPr="006232A3">
        <w:rPr>
          <w:rFonts w:ascii="Times New Roman" w:hAnsi="Times New Roman" w:cs="Times New Roman"/>
        </w:rPr>
        <w:t xml:space="preserve"> under </w:t>
      </w:r>
      <w:r w:rsidR="004C0849" w:rsidRPr="006232A3">
        <w:rPr>
          <w:rFonts w:ascii="Times New Roman" w:hAnsi="Times New Roman" w:cs="Times New Roman"/>
        </w:rPr>
        <w:t>S</w:t>
      </w:r>
      <w:r w:rsidR="00E50894" w:rsidRPr="006232A3">
        <w:rPr>
          <w:rFonts w:ascii="Times New Roman" w:hAnsi="Times New Roman" w:cs="Times New Roman"/>
        </w:rPr>
        <w:t xml:space="preserve">ection 111(d) </w:t>
      </w:r>
      <w:r w:rsidR="004C0849" w:rsidRPr="006232A3">
        <w:rPr>
          <w:rFonts w:ascii="Times New Roman" w:hAnsi="Times New Roman" w:cs="Times New Roman"/>
        </w:rPr>
        <w:t xml:space="preserve">of the Clean Air Act </w:t>
      </w:r>
      <w:r w:rsidR="00E50894" w:rsidRPr="006232A3">
        <w:rPr>
          <w:rFonts w:ascii="Times New Roman" w:hAnsi="Times New Roman" w:cs="Times New Roman"/>
        </w:rPr>
        <w:lastRenderedPageBreak/>
        <w:t>may require additional measures</w:t>
      </w:r>
      <w:r w:rsidR="004C0849" w:rsidRPr="006232A3">
        <w:rPr>
          <w:rFonts w:ascii="Times New Roman" w:hAnsi="Times New Roman" w:cs="Times New Roman"/>
        </w:rPr>
        <w:t xml:space="preserve"> to reduce carbon emissions</w:t>
      </w:r>
      <w:r w:rsidR="00A22FD2" w:rsidRPr="006232A3">
        <w:rPr>
          <w:rFonts w:ascii="Times New Roman" w:hAnsi="Times New Roman" w:cs="Times New Roman"/>
        </w:rPr>
        <w:t>.</w:t>
      </w:r>
      <w:r w:rsidR="00A22FD2" w:rsidRPr="001B229E">
        <w:rPr>
          <w:rStyle w:val="FootnoteReference"/>
          <w:rFonts w:ascii="Times New Roman" w:hAnsi="Times New Roman" w:cs="Times New Roman"/>
        </w:rPr>
        <w:footnoteReference w:id="11"/>
      </w:r>
      <w:r w:rsidR="00E50894" w:rsidRPr="006232A3">
        <w:rPr>
          <w:rFonts w:ascii="Times New Roman" w:hAnsi="Times New Roman" w:cs="Times New Roman"/>
        </w:rPr>
        <w:t xml:space="preserve">  </w:t>
      </w:r>
      <w:r w:rsidR="00510F77" w:rsidRPr="006232A3">
        <w:rPr>
          <w:rFonts w:ascii="Times New Roman" w:hAnsi="Times New Roman" w:cs="Times New Roman"/>
        </w:rPr>
        <w:t>As demonstrated in TASC’s Initial Brief,</w:t>
      </w:r>
      <w:r w:rsidR="00E50894" w:rsidRPr="006232A3">
        <w:rPr>
          <w:rFonts w:ascii="Times New Roman" w:hAnsi="Times New Roman" w:cs="Times New Roman"/>
        </w:rPr>
        <w:t xml:space="preserve"> </w:t>
      </w:r>
      <w:r w:rsidR="000A778C" w:rsidRPr="006232A3">
        <w:rPr>
          <w:rFonts w:ascii="Times New Roman" w:hAnsi="Times New Roman" w:cs="Times New Roman"/>
        </w:rPr>
        <w:t>PacifiCorp’</w:t>
      </w:r>
      <w:r w:rsidR="00E50894" w:rsidRPr="006232A3">
        <w:rPr>
          <w:rFonts w:ascii="Times New Roman" w:hAnsi="Times New Roman" w:cs="Times New Roman"/>
        </w:rPr>
        <w:t>s proposal sends the wrong price signals to customers to fac</w:t>
      </w:r>
      <w:r w:rsidR="00AE4DBB" w:rsidRPr="006232A3">
        <w:rPr>
          <w:rFonts w:ascii="Times New Roman" w:hAnsi="Times New Roman" w:cs="Times New Roman"/>
        </w:rPr>
        <w:t>ilitate efficiency objectives.</w:t>
      </w:r>
      <w:r w:rsidR="00510F77" w:rsidRPr="001B229E">
        <w:rPr>
          <w:rStyle w:val="FootnoteReference"/>
          <w:rFonts w:ascii="Times New Roman" w:hAnsi="Times New Roman" w:cs="Times New Roman"/>
        </w:rPr>
        <w:footnoteReference w:id="12"/>
      </w:r>
      <w:r w:rsidR="00510F77" w:rsidRPr="006232A3">
        <w:rPr>
          <w:rFonts w:ascii="Times New Roman" w:hAnsi="Times New Roman" w:cs="Times New Roman"/>
        </w:rPr>
        <w:t xml:space="preserve"> </w:t>
      </w:r>
      <w:r w:rsidR="004739DE" w:rsidRPr="006232A3">
        <w:rPr>
          <w:rFonts w:ascii="Times New Roman" w:hAnsi="Times New Roman" w:cs="Times New Roman"/>
        </w:rPr>
        <w:t xml:space="preserve"> </w:t>
      </w:r>
      <w:r w:rsidR="00E50894" w:rsidRPr="006232A3">
        <w:rPr>
          <w:rFonts w:ascii="Times New Roman" w:hAnsi="Times New Roman" w:cs="Times New Roman"/>
        </w:rPr>
        <w:t xml:space="preserve">Without providing evidence or citation to the record, PacifiCorp flatly claims that its recommended basic service charge “does </w:t>
      </w:r>
      <w:r w:rsidR="00433725" w:rsidRPr="006232A3">
        <w:rPr>
          <w:rFonts w:ascii="Times New Roman" w:hAnsi="Times New Roman" w:cs="Times New Roman"/>
          <w:color w:val="000000"/>
        </w:rPr>
        <w:t>not diminish incentives to conserve</w:t>
      </w:r>
      <w:r w:rsidR="004C246D" w:rsidRPr="006232A3">
        <w:rPr>
          <w:rFonts w:ascii="Times New Roman" w:hAnsi="Times New Roman" w:cs="Times New Roman"/>
          <w:color w:val="000000"/>
        </w:rPr>
        <w:t>.</w:t>
      </w:r>
      <w:r w:rsidR="00433725" w:rsidRPr="006232A3">
        <w:rPr>
          <w:rFonts w:ascii="Times New Roman" w:hAnsi="Times New Roman" w:cs="Times New Roman"/>
          <w:color w:val="000000"/>
        </w:rPr>
        <w:t>”</w:t>
      </w:r>
      <w:r w:rsidR="004C246D" w:rsidRPr="001B229E">
        <w:rPr>
          <w:rStyle w:val="FootnoteReference"/>
          <w:rFonts w:ascii="Times New Roman" w:hAnsi="Times New Roman" w:cs="Times New Roman"/>
          <w:color w:val="000000"/>
        </w:rPr>
        <w:footnoteReference w:id="13"/>
      </w:r>
      <w:r w:rsidR="00D60D1B" w:rsidRPr="006232A3">
        <w:rPr>
          <w:rFonts w:ascii="Times New Roman" w:hAnsi="Times New Roman" w:cs="Times New Roman"/>
          <w:color w:val="000000"/>
        </w:rPr>
        <w:t xml:space="preserve">  Yet this bare assertion is immediately followed by </w:t>
      </w:r>
      <w:r w:rsidR="00ED41E3" w:rsidRPr="006232A3">
        <w:rPr>
          <w:rFonts w:ascii="Times New Roman" w:hAnsi="Times New Roman" w:cs="Times New Roman"/>
          <w:color w:val="000000"/>
        </w:rPr>
        <w:t xml:space="preserve">an implicit acknowledgement that volumetric charges encourage efficiency.  Any rate design that diminishes the portion of an electric bill that a customer can control with usage will also diminish a </w:t>
      </w:r>
      <w:r w:rsidR="000A778C" w:rsidRPr="006232A3">
        <w:rPr>
          <w:rFonts w:ascii="Times New Roman" w:hAnsi="Times New Roman" w:cs="Times New Roman"/>
          <w:color w:val="000000"/>
        </w:rPr>
        <w:t>customer’s</w:t>
      </w:r>
      <w:r w:rsidR="00ED41E3" w:rsidRPr="006232A3">
        <w:rPr>
          <w:rFonts w:ascii="Times New Roman" w:hAnsi="Times New Roman" w:cs="Times New Roman"/>
          <w:color w:val="000000"/>
        </w:rPr>
        <w:t xml:space="preserve"> incentive to conserve.</w:t>
      </w:r>
      <w:r w:rsidR="000A778C" w:rsidRPr="001B229E">
        <w:rPr>
          <w:rStyle w:val="FootnoteReference"/>
          <w:rFonts w:ascii="Times New Roman" w:hAnsi="Times New Roman" w:cs="Times New Roman"/>
          <w:color w:val="000000"/>
        </w:rPr>
        <w:footnoteReference w:id="14"/>
      </w:r>
      <w:r w:rsidR="00373879" w:rsidRPr="006232A3">
        <w:rPr>
          <w:rFonts w:ascii="Times New Roman" w:hAnsi="Times New Roman" w:cs="Times New Roman"/>
          <w:color w:val="000000"/>
        </w:rPr>
        <w:t xml:space="preserve"> </w:t>
      </w:r>
    </w:p>
    <w:p w14:paraId="0648AD92" w14:textId="25E2C00A" w:rsidR="006A6F12" w:rsidRPr="006232A3" w:rsidRDefault="006232A3" w:rsidP="006232A3">
      <w:pPr>
        <w:pStyle w:val="ListParagraph"/>
        <w:numPr>
          <w:ilvl w:val="1"/>
          <w:numId w:val="18"/>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A1A8F" w:rsidRPr="006232A3">
        <w:rPr>
          <w:rFonts w:ascii="Times New Roman" w:hAnsi="Times New Roman" w:cs="Times New Roman"/>
        </w:rPr>
        <w:t>Sister c</w:t>
      </w:r>
      <w:r w:rsidR="00672A02" w:rsidRPr="006232A3">
        <w:rPr>
          <w:rFonts w:ascii="Times New Roman" w:hAnsi="Times New Roman" w:cs="Times New Roman"/>
        </w:rPr>
        <w:t xml:space="preserve">ommissions reviewing utility rate cases have reached similar conclusions. </w:t>
      </w:r>
      <w:r w:rsidR="00BA1A8F" w:rsidRPr="006232A3">
        <w:rPr>
          <w:rFonts w:ascii="Times New Roman" w:hAnsi="Times New Roman" w:cs="Times New Roman"/>
        </w:rPr>
        <w:t xml:space="preserve"> </w:t>
      </w:r>
      <w:r w:rsidR="00672A02" w:rsidRPr="006232A3">
        <w:rPr>
          <w:rFonts w:ascii="Times New Roman" w:hAnsi="Times New Roman" w:cs="Times New Roman"/>
        </w:rPr>
        <w:t xml:space="preserve">For example, </w:t>
      </w:r>
      <w:r w:rsidR="006A6F12" w:rsidRPr="006232A3">
        <w:rPr>
          <w:rFonts w:ascii="Times New Roman" w:hAnsi="Times New Roman" w:cs="Times New Roman"/>
        </w:rPr>
        <w:t xml:space="preserve">with regard to </w:t>
      </w:r>
      <w:r w:rsidR="00ED62CD" w:rsidRPr="006232A3">
        <w:rPr>
          <w:rFonts w:ascii="Times New Roman" w:hAnsi="Times New Roman" w:cs="Times New Roman"/>
        </w:rPr>
        <w:t xml:space="preserve">Commonwealth Edison’s 2013 </w:t>
      </w:r>
      <w:r w:rsidR="00CD7C5E" w:rsidRPr="006232A3">
        <w:rPr>
          <w:rFonts w:ascii="Times New Roman" w:hAnsi="Times New Roman" w:cs="Times New Roman"/>
        </w:rPr>
        <w:t xml:space="preserve">electric </w:t>
      </w:r>
      <w:r w:rsidR="00ED62CD" w:rsidRPr="006232A3">
        <w:rPr>
          <w:rFonts w:ascii="Times New Roman" w:hAnsi="Times New Roman" w:cs="Times New Roman"/>
        </w:rPr>
        <w:t xml:space="preserve">rate case, the </w:t>
      </w:r>
      <w:r w:rsidR="00672A02" w:rsidRPr="006232A3">
        <w:rPr>
          <w:rFonts w:ascii="Times New Roman" w:hAnsi="Times New Roman" w:cs="Times New Roman"/>
        </w:rPr>
        <w:t xml:space="preserve">Illinois Commerce Commission </w:t>
      </w:r>
      <w:r w:rsidR="006A6F12" w:rsidRPr="006232A3">
        <w:rPr>
          <w:rFonts w:ascii="Times New Roman" w:hAnsi="Times New Roman" w:cs="Times New Roman"/>
        </w:rPr>
        <w:t xml:space="preserve">concluded, </w:t>
      </w:r>
    </w:p>
    <w:p w14:paraId="1E27C6BA" w14:textId="7EEB0C88" w:rsidR="00672A02" w:rsidRPr="006A6F12" w:rsidRDefault="006A6F12" w:rsidP="00FC29F2">
      <w:pPr>
        <w:ind w:left="720" w:right="720"/>
        <w:jc w:val="both"/>
        <w:rPr>
          <w:rFonts w:ascii="Times New Roman" w:eastAsia="Times New Roman" w:hAnsi="Times New Roman" w:cs="Times New Roman"/>
        </w:rPr>
      </w:pPr>
      <w:r w:rsidRPr="00FC29F2">
        <w:rPr>
          <w:rFonts w:ascii="Times New Roman" w:hAnsi="Times New Roman" w:cs="Times New Roman"/>
        </w:rPr>
        <w:t xml:space="preserve">… </w:t>
      </w:r>
      <w:proofErr w:type="gramStart"/>
      <w:r w:rsidRPr="00FC29F2">
        <w:rPr>
          <w:rFonts w:ascii="Times New Roman" w:hAnsi="Times New Roman" w:cs="Times New Roman"/>
        </w:rPr>
        <w:t>it</w:t>
      </w:r>
      <w:proofErr w:type="gramEnd"/>
      <w:r w:rsidRPr="00FC29F2">
        <w:rPr>
          <w:rFonts w:ascii="Times New Roman" w:hAnsi="Times New Roman" w:cs="Times New Roman"/>
        </w:rPr>
        <w:t xml:space="preserve"> is not reasonable or consistent with public policy to structure rates so that the poor, the frugal and the energy efficient are required to subsidize those who are not, when a more equitable method of allocation exists. A more reasonable policy allocates the same aggregate costs so that individual customer costs are reasonably proportionate to the demands that their use places on the system.</w:t>
      </w:r>
      <w:r w:rsidR="006B64A8" w:rsidRPr="006A6F12">
        <w:rPr>
          <w:rStyle w:val="FootnoteReference"/>
          <w:rFonts w:ascii="Times New Roman" w:eastAsia="Times New Roman" w:hAnsi="Times New Roman" w:cs="Times New Roman"/>
        </w:rPr>
        <w:footnoteReference w:id="15"/>
      </w:r>
    </w:p>
    <w:p w14:paraId="7B0BF36E" w14:textId="77777777" w:rsidR="00BA1A8F" w:rsidRPr="00CB4B5C" w:rsidRDefault="00BA1A8F" w:rsidP="00672A02">
      <w:pPr>
        <w:ind w:left="1440" w:right="1440"/>
        <w:rPr>
          <w:rFonts w:ascii="Times New Roman" w:eastAsia="Times New Roman" w:hAnsi="Times New Roman" w:cs="Times New Roman"/>
        </w:rPr>
      </w:pPr>
    </w:p>
    <w:p w14:paraId="665759D6" w14:textId="1A4CAB1B" w:rsidR="00672A02" w:rsidRPr="00FC263E" w:rsidRDefault="00BA1A8F" w:rsidP="00FC263E">
      <w:pPr>
        <w:spacing w:line="480" w:lineRule="auto"/>
        <w:rPr>
          <w:rFonts w:ascii="Times New Roman" w:eastAsia="Times New Roman" w:hAnsi="Times New Roman" w:cs="Times New Roman"/>
        </w:rPr>
      </w:pPr>
      <w:r w:rsidRPr="00FC263E">
        <w:rPr>
          <w:rFonts w:ascii="Times New Roman" w:hAnsi="Times New Roman" w:cs="Times New Roman"/>
        </w:rPr>
        <w:t>Similarly, the Maryland Service Commission recently rejected Baltimore Gas and Electric’s proposal to increase fixed customer charges because doing so was contrary to state efficiency goals stating</w:t>
      </w:r>
      <w:r w:rsidR="00CD7C5E">
        <w:rPr>
          <w:rFonts w:ascii="Times New Roman" w:hAnsi="Times New Roman" w:cs="Times New Roman"/>
        </w:rPr>
        <w:t>,</w:t>
      </w:r>
      <w:r w:rsidRPr="00FC263E">
        <w:rPr>
          <w:rFonts w:ascii="Times New Roman" w:hAnsi="Times New Roman" w:cs="Times New Roman"/>
        </w:rPr>
        <w:t xml:space="preserve"> “we reject BGE’s proposal to increase either residential or non-residential customer charges. </w:t>
      </w:r>
      <w:r w:rsidR="00CD7C5E">
        <w:rPr>
          <w:rFonts w:ascii="Times New Roman" w:hAnsi="Times New Roman" w:cs="Times New Roman"/>
        </w:rPr>
        <w:t xml:space="preserve"> </w:t>
      </w:r>
      <w:r w:rsidRPr="00FC263E">
        <w:rPr>
          <w:rFonts w:ascii="Times New Roman" w:hAnsi="Times New Roman" w:cs="Times New Roman"/>
        </w:rPr>
        <w:t xml:space="preserve">This decision will afford ratepayers a better opportunity to control their </w:t>
      </w:r>
      <w:r w:rsidRPr="00FC263E">
        <w:rPr>
          <w:rFonts w:ascii="Times New Roman" w:hAnsi="Times New Roman" w:cs="Times New Roman"/>
        </w:rPr>
        <w:lastRenderedPageBreak/>
        <w:t xml:space="preserve">monthly bills by controlling their energy usage. This decision is consistent with </w:t>
      </w:r>
      <w:proofErr w:type="spellStart"/>
      <w:r w:rsidRPr="00FC263E">
        <w:rPr>
          <w:rFonts w:ascii="Times New Roman" w:hAnsi="Times New Roman" w:cs="Times New Roman"/>
        </w:rPr>
        <w:t>EmPOWER</w:t>
      </w:r>
      <w:proofErr w:type="spellEnd"/>
      <w:r w:rsidRPr="00FC263E">
        <w:rPr>
          <w:rFonts w:ascii="Times New Roman" w:hAnsi="Times New Roman" w:cs="Times New Roman"/>
        </w:rPr>
        <w:t xml:space="preserve"> Maryland goals and with our decision in BGE’s last base rate case.”</w:t>
      </w:r>
      <w:r w:rsidRPr="00FC263E">
        <w:rPr>
          <w:rStyle w:val="FootnoteReference"/>
          <w:rFonts w:ascii="Times New Roman" w:hAnsi="Times New Roman" w:cs="Times New Roman"/>
        </w:rPr>
        <w:footnoteReference w:id="16"/>
      </w:r>
    </w:p>
    <w:p w14:paraId="562E5F15" w14:textId="04223783" w:rsidR="007325A5" w:rsidRPr="001B229E" w:rsidRDefault="007325A5" w:rsidP="007325A5">
      <w:pPr>
        <w:pStyle w:val="ListParagraph"/>
        <w:numPr>
          <w:ilvl w:val="1"/>
          <w:numId w:val="11"/>
        </w:numPr>
        <w:rPr>
          <w:rFonts w:ascii="Times New Roman" w:hAnsi="Times New Roman" w:cs="Times New Roman"/>
          <w:b/>
        </w:rPr>
      </w:pPr>
      <w:r w:rsidRPr="001B229E">
        <w:rPr>
          <w:rFonts w:ascii="Times New Roman" w:hAnsi="Times New Roman" w:cs="Times New Roman"/>
          <w:b/>
        </w:rPr>
        <w:t xml:space="preserve">PacifiCorp Confuses Fixed Costs with Long-Run Marginal Costs and Incorrectly Insists that Fixed Costs Should Always Be Recovered Through Fixed Charges.   </w:t>
      </w:r>
    </w:p>
    <w:p w14:paraId="4C027FB2" w14:textId="77777777" w:rsidR="007325A5" w:rsidRPr="001B229E" w:rsidRDefault="007325A5" w:rsidP="007325A5">
      <w:pPr>
        <w:pStyle w:val="ListParagraph"/>
        <w:ind w:left="1440"/>
        <w:rPr>
          <w:rFonts w:ascii="Times New Roman" w:hAnsi="Times New Roman" w:cs="Times New Roman"/>
          <w:b/>
        </w:rPr>
      </w:pPr>
    </w:p>
    <w:p w14:paraId="16E9AC0E" w14:textId="3D7F7B30" w:rsidR="007325A5" w:rsidRPr="006232A3" w:rsidRDefault="006232A3" w:rsidP="006232A3">
      <w:pPr>
        <w:pStyle w:val="ListParagraph"/>
        <w:numPr>
          <w:ilvl w:val="0"/>
          <w:numId w:val="22"/>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00509" w:rsidRPr="006232A3">
        <w:rPr>
          <w:rFonts w:ascii="Times New Roman" w:hAnsi="Times New Roman" w:cs="Times New Roman"/>
        </w:rPr>
        <w:t>The Company’s Opening B</w:t>
      </w:r>
      <w:r w:rsidR="007325A5" w:rsidRPr="006232A3">
        <w:rPr>
          <w:rFonts w:ascii="Times New Roman" w:hAnsi="Times New Roman" w:cs="Times New Roman"/>
        </w:rPr>
        <w:t>rief continues to characterize all of its distribution costs as “fixed costs”</w:t>
      </w:r>
      <w:r w:rsidR="007325A5" w:rsidRPr="001B229E">
        <w:rPr>
          <w:rStyle w:val="FootnoteReference"/>
          <w:rFonts w:ascii="Times New Roman" w:hAnsi="Times New Roman" w:cs="Times New Roman"/>
        </w:rPr>
        <w:footnoteReference w:id="17"/>
      </w:r>
      <w:r w:rsidR="007325A5" w:rsidRPr="006232A3">
        <w:rPr>
          <w:rFonts w:ascii="Times New Roman" w:hAnsi="Times New Roman" w:cs="Times New Roman"/>
        </w:rPr>
        <w:t xml:space="preserve"> </w:t>
      </w:r>
      <w:r w:rsidR="00660712" w:rsidRPr="006232A3">
        <w:rPr>
          <w:rFonts w:ascii="Times New Roman" w:hAnsi="Times New Roman" w:cs="Times New Roman"/>
        </w:rPr>
        <w:t>even though</w:t>
      </w:r>
      <w:r w:rsidR="007325A5" w:rsidRPr="006232A3">
        <w:rPr>
          <w:rFonts w:ascii="Times New Roman" w:hAnsi="Times New Roman" w:cs="Times New Roman"/>
        </w:rPr>
        <w:t xml:space="preserve"> several parties provided testimony and evidence that many of these costs are actually long-run marginal costs that vary over time.</w:t>
      </w:r>
      <w:r w:rsidR="007325A5" w:rsidRPr="001B229E">
        <w:rPr>
          <w:rStyle w:val="FootnoteReference"/>
          <w:rFonts w:ascii="Times New Roman" w:hAnsi="Times New Roman" w:cs="Times New Roman"/>
        </w:rPr>
        <w:footnoteReference w:id="18"/>
      </w:r>
      <w:r w:rsidR="007325A5" w:rsidRPr="006232A3">
        <w:rPr>
          <w:rFonts w:ascii="Times New Roman" w:hAnsi="Times New Roman" w:cs="Times New Roman"/>
        </w:rPr>
        <w:t xml:space="preserve">  The Company </w:t>
      </w:r>
      <w:r w:rsidR="00660712" w:rsidRPr="006232A3">
        <w:rPr>
          <w:rFonts w:ascii="Times New Roman" w:hAnsi="Times New Roman" w:cs="Times New Roman"/>
        </w:rPr>
        <w:t xml:space="preserve">hedges by </w:t>
      </w:r>
      <w:r w:rsidR="007325A5" w:rsidRPr="006232A3">
        <w:rPr>
          <w:rFonts w:ascii="Times New Roman" w:hAnsi="Times New Roman" w:cs="Times New Roman"/>
        </w:rPr>
        <w:t>noting that distribution assets will not vary in the “</w:t>
      </w:r>
      <w:r w:rsidR="007325A5" w:rsidRPr="006232A3">
        <w:rPr>
          <w:rFonts w:ascii="Times New Roman" w:hAnsi="Times New Roman" w:cs="Times New Roman"/>
          <w:i/>
        </w:rPr>
        <w:t>near term,</w:t>
      </w:r>
      <w:r w:rsidR="007325A5" w:rsidRPr="006232A3">
        <w:rPr>
          <w:rFonts w:ascii="Times New Roman" w:hAnsi="Times New Roman" w:cs="Times New Roman"/>
        </w:rPr>
        <w:t xml:space="preserve">” </w:t>
      </w:r>
      <w:r w:rsidR="00660712" w:rsidRPr="006232A3">
        <w:rPr>
          <w:rFonts w:ascii="Times New Roman" w:hAnsi="Times New Roman" w:cs="Times New Roman"/>
        </w:rPr>
        <w:t xml:space="preserve">thereby </w:t>
      </w:r>
      <w:r w:rsidR="007325A5" w:rsidRPr="006232A3">
        <w:rPr>
          <w:rFonts w:ascii="Times New Roman" w:hAnsi="Times New Roman" w:cs="Times New Roman"/>
        </w:rPr>
        <w:t>implicitly acknowledging that such co</w:t>
      </w:r>
      <w:r w:rsidR="00B940DD" w:rsidRPr="006232A3">
        <w:rPr>
          <w:rFonts w:ascii="Times New Roman" w:hAnsi="Times New Roman" w:cs="Times New Roman"/>
        </w:rPr>
        <w:t>sts</w:t>
      </w:r>
      <w:r w:rsidR="007325A5" w:rsidRPr="006232A3">
        <w:rPr>
          <w:rFonts w:ascii="Times New Roman" w:hAnsi="Times New Roman" w:cs="Times New Roman"/>
        </w:rPr>
        <w:t xml:space="preserve"> do vary over longer periods.</w:t>
      </w:r>
      <w:r w:rsidR="007325A5" w:rsidRPr="001B229E">
        <w:rPr>
          <w:rStyle w:val="FootnoteReference"/>
          <w:rFonts w:ascii="Times New Roman" w:hAnsi="Times New Roman" w:cs="Times New Roman"/>
        </w:rPr>
        <w:footnoteReference w:id="19"/>
      </w:r>
      <w:r w:rsidR="00000509" w:rsidRPr="006232A3">
        <w:rPr>
          <w:rFonts w:ascii="Times New Roman" w:hAnsi="Times New Roman" w:cs="Times New Roman"/>
        </w:rPr>
        <w:t xml:space="preserve">  </w:t>
      </w:r>
      <w:r w:rsidR="00076587" w:rsidRPr="006232A3">
        <w:rPr>
          <w:rFonts w:ascii="Times New Roman" w:hAnsi="Times New Roman" w:cs="Times New Roman"/>
        </w:rPr>
        <w:t>The Illinois Commerce Commission has also recently come to the conclusion that deliver</w:t>
      </w:r>
      <w:r w:rsidR="00A57450" w:rsidRPr="006232A3">
        <w:rPr>
          <w:rFonts w:ascii="Times New Roman" w:hAnsi="Times New Roman" w:cs="Times New Roman"/>
        </w:rPr>
        <w:t>y</w:t>
      </w:r>
      <w:r w:rsidR="00076587" w:rsidRPr="006232A3">
        <w:rPr>
          <w:rFonts w:ascii="Times New Roman" w:hAnsi="Times New Roman" w:cs="Times New Roman"/>
        </w:rPr>
        <w:t xml:space="preserve"> charges are </w:t>
      </w:r>
      <w:r w:rsidR="00A57450" w:rsidRPr="006232A3">
        <w:rPr>
          <w:rFonts w:ascii="Times New Roman" w:hAnsi="Times New Roman" w:cs="Times New Roman"/>
        </w:rPr>
        <w:t xml:space="preserve">not fixed and are </w:t>
      </w:r>
      <w:r w:rsidR="00076587" w:rsidRPr="006232A3">
        <w:rPr>
          <w:rFonts w:ascii="Times New Roman" w:hAnsi="Times New Roman" w:cs="Times New Roman"/>
        </w:rPr>
        <w:t>directly impacted by customer usage.</w:t>
      </w:r>
      <w:r w:rsidR="00076587">
        <w:rPr>
          <w:rStyle w:val="FootnoteReference"/>
          <w:rFonts w:ascii="Times New Roman" w:hAnsi="Times New Roman" w:cs="Times New Roman"/>
        </w:rPr>
        <w:footnoteReference w:id="20"/>
      </w:r>
      <w:r w:rsidR="00076587" w:rsidRPr="006232A3">
        <w:rPr>
          <w:rFonts w:ascii="Times New Roman" w:hAnsi="Times New Roman" w:cs="Times New Roman"/>
        </w:rPr>
        <w:t xml:space="preserve">  </w:t>
      </w:r>
      <w:r w:rsidR="007325A5" w:rsidRPr="006232A3">
        <w:rPr>
          <w:rFonts w:ascii="Times New Roman" w:hAnsi="Times New Roman" w:cs="Times New Roman"/>
        </w:rPr>
        <w:t xml:space="preserve">     </w:t>
      </w:r>
    </w:p>
    <w:p w14:paraId="2064CD8D" w14:textId="381163BD" w:rsidR="007325A5" w:rsidRPr="006232A3" w:rsidRDefault="006232A3" w:rsidP="006232A3">
      <w:pPr>
        <w:pStyle w:val="ListParagraph"/>
        <w:numPr>
          <w:ilvl w:val="0"/>
          <w:numId w:val="22"/>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325A5" w:rsidRPr="006232A3">
        <w:rPr>
          <w:rFonts w:ascii="Times New Roman" w:hAnsi="Times New Roman" w:cs="Times New Roman"/>
        </w:rPr>
        <w:t>Even if one assumed that all distribution costs are “fixed,” PacifiCorp continues to miss the point by insisting “it is unreasonable to recover these costs through a variable rate.”</w:t>
      </w:r>
      <w:r w:rsidR="007325A5" w:rsidRPr="001B229E">
        <w:rPr>
          <w:rStyle w:val="FootnoteReference"/>
          <w:rFonts w:ascii="Times New Roman" w:hAnsi="Times New Roman" w:cs="Times New Roman"/>
        </w:rPr>
        <w:footnoteReference w:id="21"/>
      </w:r>
      <w:r w:rsidR="007325A5" w:rsidRPr="006232A3">
        <w:rPr>
          <w:rFonts w:ascii="Times New Roman" w:hAnsi="Times New Roman" w:cs="Times New Roman"/>
        </w:rPr>
        <w:t xml:space="preserve">  This position ignores the fact that the Company has traditionally recovered most of its fixed costs through volumetric rates, just as most competitive industries do.</w:t>
      </w:r>
      <w:r w:rsidR="007325A5" w:rsidRPr="001B229E">
        <w:rPr>
          <w:rStyle w:val="FootnoteReference"/>
          <w:rFonts w:ascii="Times New Roman" w:hAnsi="Times New Roman" w:cs="Times New Roman"/>
        </w:rPr>
        <w:footnoteReference w:id="22"/>
      </w:r>
      <w:r w:rsidR="007325A5" w:rsidRPr="006232A3">
        <w:rPr>
          <w:rFonts w:ascii="Times New Roman" w:hAnsi="Times New Roman" w:cs="Times New Roman"/>
        </w:rPr>
        <w:t xml:space="preserve">  Because regulation is supposed to be a surrogate for competition, electric utility rates should largely mirror those of unregulated firms.</w:t>
      </w:r>
      <w:r w:rsidR="007325A5" w:rsidRPr="001B229E">
        <w:rPr>
          <w:rStyle w:val="FootnoteReference"/>
          <w:rFonts w:ascii="Times New Roman" w:hAnsi="Times New Roman" w:cs="Times New Roman"/>
        </w:rPr>
        <w:footnoteReference w:id="23"/>
      </w:r>
      <w:r w:rsidR="007325A5" w:rsidRPr="006232A3">
        <w:rPr>
          <w:rFonts w:ascii="Times New Roman" w:hAnsi="Times New Roman" w:cs="Times New Roman"/>
        </w:rPr>
        <w:t xml:space="preserve">     </w:t>
      </w:r>
    </w:p>
    <w:p w14:paraId="1C05EC36" w14:textId="77777777" w:rsidR="00433725" w:rsidRPr="001B229E" w:rsidRDefault="00433725" w:rsidP="007325A5">
      <w:pPr>
        <w:pStyle w:val="ListParagraph"/>
        <w:numPr>
          <w:ilvl w:val="1"/>
          <w:numId w:val="11"/>
        </w:numPr>
        <w:rPr>
          <w:rFonts w:ascii="Times New Roman" w:hAnsi="Times New Roman" w:cs="Times New Roman"/>
          <w:b/>
        </w:rPr>
      </w:pPr>
      <w:r w:rsidRPr="001B229E">
        <w:rPr>
          <w:rFonts w:ascii="Times New Roman" w:hAnsi="Times New Roman" w:cs="Times New Roman"/>
          <w:b/>
        </w:rPr>
        <w:lastRenderedPageBreak/>
        <w:t>PacifiCorp Cites to Information Not in the Record</w:t>
      </w:r>
    </w:p>
    <w:p w14:paraId="67036BD3" w14:textId="77777777" w:rsidR="00C92617" w:rsidRPr="001B229E" w:rsidRDefault="00C92617" w:rsidP="00C92617">
      <w:pPr>
        <w:rPr>
          <w:rFonts w:ascii="Times New Roman" w:hAnsi="Times New Roman" w:cs="Times New Roman"/>
        </w:rPr>
      </w:pPr>
    </w:p>
    <w:p w14:paraId="16271C85" w14:textId="34771299" w:rsidR="00A650A9" w:rsidRPr="006232A3" w:rsidRDefault="006232A3" w:rsidP="006232A3">
      <w:pPr>
        <w:pStyle w:val="ListParagraph"/>
        <w:numPr>
          <w:ilvl w:val="1"/>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650A9" w:rsidRPr="006232A3">
        <w:rPr>
          <w:rFonts w:ascii="Times New Roman" w:hAnsi="Times New Roman" w:cs="Times New Roman"/>
        </w:rPr>
        <w:t>In rebutting Public Counsel’s arguments against increasing the residential fixed charge, PacifiCorp surreptitiously cites to evidence that is not contained in the record of this proceeding.</w:t>
      </w:r>
      <w:r w:rsidR="003D00A2" w:rsidRPr="006232A3">
        <w:rPr>
          <w:rFonts w:ascii="Times New Roman" w:hAnsi="Times New Roman" w:cs="Times New Roman"/>
        </w:rPr>
        <w:t xml:space="preserve">  On page 57, paragraph 152 of its Opening Brief, the Company attempts to rebut evidence put forth by Public Counsel, which demonstrates that Pacif</w:t>
      </w:r>
      <w:r w:rsidR="00E205D9" w:rsidRPr="006232A3">
        <w:rPr>
          <w:rFonts w:ascii="Times New Roman" w:hAnsi="Times New Roman" w:cs="Times New Roman"/>
        </w:rPr>
        <w:t>iCorp’s residential Washington l</w:t>
      </w:r>
      <w:r w:rsidR="003D00A2" w:rsidRPr="006232A3">
        <w:rPr>
          <w:rFonts w:ascii="Times New Roman" w:hAnsi="Times New Roman" w:cs="Times New Roman"/>
        </w:rPr>
        <w:t>oads are increasing and are expected to increase in the near future.</w:t>
      </w:r>
      <w:r w:rsidR="003D00A2" w:rsidRPr="001B229E">
        <w:rPr>
          <w:rStyle w:val="FootnoteReference"/>
          <w:rFonts w:ascii="Times New Roman" w:hAnsi="Times New Roman" w:cs="Times New Roman"/>
        </w:rPr>
        <w:footnoteReference w:id="24"/>
      </w:r>
      <w:r w:rsidR="003D00A2" w:rsidRPr="006232A3">
        <w:rPr>
          <w:rFonts w:ascii="Times New Roman" w:hAnsi="Times New Roman" w:cs="Times New Roman"/>
        </w:rPr>
        <w:t xml:space="preserve">  </w:t>
      </w:r>
      <w:r w:rsidR="00660712" w:rsidRPr="006232A3">
        <w:rPr>
          <w:rFonts w:ascii="Times New Roman" w:hAnsi="Times New Roman" w:cs="Times New Roman"/>
        </w:rPr>
        <w:t>T</w:t>
      </w:r>
      <w:r w:rsidR="003D00A2" w:rsidRPr="006232A3">
        <w:rPr>
          <w:rFonts w:ascii="Times New Roman" w:hAnsi="Times New Roman" w:cs="Times New Roman"/>
        </w:rPr>
        <w:t>he Company states “Pacif</w:t>
      </w:r>
      <w:r w:rsidR="00660712" w:rsidRPr="006232A3">
        <w:rPr>
          <w:rFonts w:ascii="Times New Roman" w:hAnsi="Times New Roman" w:cs="Times New Roman"/>
        </w:rPr>
        <w:t>i</w:t>
      </w:r>
      <w:r w:rsidR="003D00A2" w:rsidRPr="006232A3">
        <w:rPr>
          <w:rFonts w:ascii="Times New Roman" w:hAnsi="Times New Roman" w:cs="Times New Roman"/>
        </w:rPr>
        <w:t>c Power’s temperature normalized</w:t>
      </w:r>
      <w:r w:rsidR="00E205D9" w:rsidRPr="006232A3">
        <w:rPr>
          <w:rFonts w:ascii="Times New Roman" w:hAnsi="Times New Roman" w:cs="Times New Roman"/>
        </w:rPr>
        <w:t xml:space="preserve"> residential sales decreased 5.1 percent between 2010 and 2013” and cites to four separate Results of Operations reports.</w:t>
      </w:r>
      <w:r w:rsidR="00E205D9" w:rsidRPr="001B229E">
        <w:rPr>
          <w:rStyle w:val="FootnoteReference"/>
          <w:rFonts w:ascii="Times New Roman" w:hAnsi="Times New Roman" w:cs="Times New Roman"/>
        </w:rPr>
        <w:footnoteReference w:id="25"/>
      </w:r>
      <w:r w:rsidR="00E205D9" w:rsidRPr="006232A3">
        <w:rPr>
          <w:rFonts w:ascii="Times New Roman" w:hAnsi="Times New Roman" w:cs="Times New Roman"/>
        </w:rPr>
        <w:t xml:space="preserve">  H</w:t>
      </w:r>
      <w:r w:rsidR="00A57450" w:rsidRPr="006232A3">
        <w:rPr>
          <w:rFonts w:ascii="Times New Roman" w:hAnsi="Times New Roman" w:cs="Times New Roman"/>
        </w:rPr>
        <w:t xml:space="preserve">owever these reports </w:t>
      </w:r>
      <w:r w:rsidR="00660712" w:rsidRPr="006232A3">
        <w:rPr>
          <w:rFonts w:ascii="Times New Roman" w:hAnsi="Times New Roman" w:cs="Times New Roman"/>
        </w:rPr>
        <w:t xml:space="preserve">do not </w:t>
      </w:r>
      <w:r w:rsidR="00A57450" w:rsidRPr="006232A3">
        <w:rPr>
          <w:rFonts w:ascii="Times New Roman" w:hAnsi="Times New Roman" w:cs="Times New Roman"/>
        </w:rPr>
        <w:t>have</w:t>
      </w:r>
      <w:r w:rsidR="00E205D9" w:rsidRPr="006232A3">
        <w:rPr>
          <w:rFonts w:ascii="Times New Roman" w:hAnsi="Times New Roman" w:cs="Times New Roman"/>
        </w:rPr>
        <w:t xml:space="preserve"> exhibit number</w:t>
      </w:r>
      <w:r w:rsidR="00A57450" w:rsidRPr="006232A3">
        <w:rPr>
          <w:rFonts w:ascii="Times New Roman" w:hAnsi="Times New Roman" w:cs="Times New Roman"/>
        </w:rPr>
        <w:t>s</w:t>
      </w:r>
      <w:r w:rsidR="00E205D9" w:rsidRPr="006232A3">
        <w:rPr>
          <w:rFonts w:ascii="Times New Roman" w:hAnsi="Times New Roman" w:cs="Times New Roman"/>
        </w:rPr>
        <w:t xml:space="preserve"> in this proceeding because they are not in the evidentiary record.  </w:t>
      </w:r>
      <w:r w:rsidR="00D82DAE" w:rsidRPr="006232A3">
        <w:rPr>
          <w:rFonts w:ascii="Times New Roman" w:hAnsi="Times New Roman" w:cs="Times New Roman"/>
        </w:rPr>
        <w:t>Whi</w:t>
      </w:r>
      <w:r w:rsidR="001374E3" w:rsidRPr="006232A3">
        <w:rPr>
          <w:rFonts w:ascii="Times New Roman" w:hAnsi="Times New Roman" w:cs="Times New Roman"/>
        </w:rPr>
        <w:t xml:space="preserve">le PacifiCorp could have </w:t>
      </w:r>
      <w:r w:rsidR="00D82DAE" w:rsidRPr="006232A3">
        <w:rPr>
          <w:rFonts w:ascii="Times New Roman" w:hAnsi="Times New Roman" w:cs="Times New Roman"/>
        </w:rPr>
        <w:t xml:space="preserve">requested official notice of these records pursuant to </w:t>
      </w:r>
      <w:r w:rsidR="00FC26B8" w:rsidRPr="006232A3">
        <w:rPr>
          <w:rFonts w:ascii="Times New Roman" w:hAnsi="Times New Roman" w:cs="Times New Roman"/>
        </w:rPr>
        <w:t>Commission</w:t>
      </w:r>
      <w:r w:rsidR="00D82DAE" w:rsidRPr="006232A3">
        <w:rPr>
          <w:rFonts w:ascii="Times New Roman" w:hAnsi="Times New Roman" w:cs="Times New Roman"/>
        </w:rPr>
        <w:t xml:space="preserve"> Rule, it did not.</w:t>
      </w:r>
      <w:r w:rsidR="00D82DAE">
        <w:rPr>
          <w:rStyle w:val="FootnoteReference"/>
          <w:rFonts w:ascii="Times New Roman" w:hAnsi="Times New Roman" w:cs="Times New Roman"/>
        </w:rPr>
        <w:footnoteReference w:id="26"/>
      </w:r>
      <w:r w:rsidR="00D82DAE" w:rsidRPr="006232A3">
        <w:rPr>
          <w:rFonts w:ascii="Times New Roman" w:hAnsi="Times New Roman" w:cs="Times New Roman"/>
        </w:rPr>
        <w:t xml:space="preserve">  </w:t>
      </w:r>
      <w:r w:rsidR="00E205D9" w:rsidRPr="006232A3">
        <w:rPr>
          <w:rFonts w:ascii="Times New Roman" w:hAnsi="Times New Roman" w:cs="Times New Roman"/>
        </w:rPr>
        <w:t xml:space="preserve">Because the </w:t>
      </w:r>
      <w:r w:rsidR="006B5D56" w:rsidRPr="006232A3">
        <w:rPr>
          <w:rFonts w:ascii="Times New Roman" w:hAnsi="Times New Roman" w:cs="Times New Roman"/>
        </w:rPr>
        <w:t>Administrative Law Judge closed the</w:t>
      </w:r>
      <w:r w:rsidR="00E205D9" w:rsidRPr="006232A3">
        <w:rPr>
          <w:rFonts w:ascii="Times New Roman" w:hAnsi="Times New Roman" w:cs="Times New Roman"/>
        </w:rPr>
        <w:t xml:space="preserve"> evidentiary record </w:t>
      </w:r>
      <w:r w:rsidR="006B5D56" w:rsidRPr="006232A3">
        <w:rPr>
          <w:rFonts w:ascii="Times New Roman" w:hAnsi="Times New Roman" w:cs="Times New Roman"/>
        </w:rPr>
        <w:t>at the conclusion of hearing, the Commission</w:t>
      </w:r>
      <w:r w:rsidR="00E205D9" w:rsidRPr="006232A3">
        <w:rPr>
          <w:rFonts w:ascii="Times New Roman" w:hAnsi="Times New Roman" w:cs="Times New Roman"/>
        </w:rPr>
        <w:t xml:space="preserve"> should </w:t>
      </w:r>
      <w:r w:rsidR="00D96211" w:rsidRPr="006232A3">
        <w:rPr>
          <w:rFonts w:ascii="Times New Roman" w:hAnsi="Times New Roman" w:cs="Times New Roman"/>
        </w:rPr>
        <w:t>refuse to consider this information.</w:t>
      </w:r>
      <w:r w:rsidR="008417F3" w:rsidRPr="001B229E">
        <w:rPr>
          <w:rStyle w:val="FootnoteReference"/>
          <w:rFonts w:ascii="Times New Roman" w:hAnsi="Times New Roman" w:cs="Times New Roman"/>
        </w:rPr>
        <w:footnoteReference w:id="27"/>
      </w:r>
      <w:r w:rsidR="008417F3" w:rsidRPr="006232A3">
        <w:rPr>
          <w:rFonts w:ascii="Times New Roman" w:hAnsi="Times New Roman" w:cs="Times New Roman"/>
        </w:rPr>
        <w:t xml:space="preserve">  </w:t>
      </w:r>
      <w:r w:rsidR="00A650A9" w:rsidRPr="006232A3">
        <w:rPr>
          <w:rFonts w:ascii="Times New Roman" w:hAnsi="Times New Roman" w:cs="Times New Roman"/>
        </w:rPr>
        <w:t xml:space="preserve">  </w:t>
      </w:r>
    </w:p>
    <w:p w14:paraId="15E46166" w14:textId="757DCAA4" w:rsidR="00A650A9" w:rsidRPr="001B229E" w:rsidRDefault="00A650A9" w:rsidP="00A650A9">
      <w:pPr>
        <w:ind w:firstLine="720"/>
        <w:rPr>
          <w:rFonts w:ascii="Times New Roman" w:hAnsi="Times New Roman" w:cs="Times New Roman"/>
        </w:rPr>
      </w:pPr>
      <w:r w:rsidRPr="001B229E">
        <w:rPr>
          <w:rFonts w:ascii="Times New Roman" w:hAnsi="Times New Roman" w:cs="Times New Roman"/>
        </w:rPr>
        <w:t xml:space="preserve"> </w:t>
      </w:r>
    </w:p>
    <w:p w14:paraId="4E261E2E" w14:textId="2DB5F0E3" w:rsidR="006C4156" w:rsidRPr="001B229E" w:rsidRDefault="00433725" w:rsidP="00487637">
      <w:pPr>
        <w:pStyle w:val="ListParagraph"/>
        <w:numPr>
          <w:ilvl w:val="0"/>
          <w:numId w:val="1"/>
        </w:numPr>
        <w:rPr>
          <w:rFonts w:ascii="Times New Roman" w:hAnsi="Times New Roman" w:cs="Times New Roman"/>
          <w:b/>
        </w:rPr>
      </w:pPr>
      <w:r w:rsidRPr="001B229E">
        <w:rPr>
          <w:rFonts w:ascii="Times New Roman" w:hAnsi="Times New Roman" w:cs="Times New Roman"/>
          <w:b/>
        </w:rPr>
        <w:t>Staff Acknowledges Many Flaws with Increasing The Residential Basic Charge</w:t>
      </w:r>
      <w:r w:rsidR="00373879" w:rsidRPr="001B229E">
        <w:rPr>
          <w:rFonts w:ascii="Times New Roman" w:hAnsi="Times New Roman" w:cs="Times New Roman"/>
          <w:b/>
        </w:rPr>
        <w:t>, Yet Continues to Support it</w:t>
      </w:r>
    </w:p>
    <w:p w14:paraId="37E6F0A2" w14:textId="77777777" w:rsidR="00373879" w:rsidRPr="001B229E" w:rsidRDefault="00373879" w:rsidP="00373879">
      <w:pPr>
        <w:pStyle w:val="ListParagraph"/>
        <w:rPr>
          <w:rFonts w:ascii="Times New Roman" w:hAnsi="Times New Roman" w:cs="Times New Roman"/>
          <w:b/>
        </w:rPr>
      </w:pPr>
    </w:p>
    <w:p w14:paraId="0CF35B57" w14:textId="7D3ABE1F" w:rsidR="00DC42A8" w:rsidRPr="006232A3" w:rsidRDefault="006232A3" w:rsidP="006232A3">
      <w:pPr>
        <w:pStyle w:val="ListParagraph"/>
        <w:numPr>
          <w:ilvl w:val="1"/>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96211" w:rsidRPr="006232A3">
        <w:rPr>
          <w:rFonts w:ascii="Times New Roman" w:hAnsi="Times New Roman" w:cs="Times New Roman"/>
        </w:rPr>
        <w:t>Staff is the only par</w:t>
      </w:r>
      <w:r w:rsidR="00A57450" w:rsidRPr="006232A3">
        <w:rPr>
          <w:rFonts w:ascii="Times New Roman" w:hAnsi="Times New Roman" w:cs="Times New Roman"/>
        </w:rPr>
        <w:t xml:space="preserve">ty besides PacifiCorp </w:t>
      </w:r>
      <w:r w:rsidR="00D96211" w:rsidRPr="006232A3">
        <w:rPr>
          <w:rFonts w:ascii="Times New Roman" w:hAnsi="Times New Roman" w:cs="Times New Roman"/>
        </w:rPr>
        <w:t xml:space="preserve">that supports any increase to </w:t>
      </w:r>
      <w:r w:rsidR="00DC42A8" w:rsidRPr="006232A3">
        <w:rPr>
          <w:rFonts w:ascii="Times New Roman" w:hAnsi="Times New Roman" w:cs="Times New Roman"/>
        </w:rPr>
        <w:t>t</w:t>
      </w:r>
      <w:r w:rsidR="00D96211" w:rsidRPr="006232A3">
        <w:rPr>
          <w:rFonts w:ascii="Times New Roman" w:hAnsi="Times New Roman" w:cs="Times New Roman"/>
        </w:rPr>
        <w:t>he residential basic</w:t>
      </w:r>
      <w:r w:rsidR="00A52804" w:rsidRPr="006232A3">
        <w:rPr>
          <w:rFonts w:ascii="Times New Roman" w:hAnsi="Times New Roman" w:cs="Times New Roman"/>
        </w:rPr>
        <w:t xml:space="preserve"> charge</w:t>
      </w:r>
      <w:r w:rsidR="00341DF5" w:rsidRPr="006232A3">
        <w:rPr>
          <w:rFonts w:ascii="Times New Roman" w:hAnsi="Times New Roman" w:cs="Times New Roman"/>
        </w:rPr>
        <w:t xml:space="preserve"> and only because the Company failed to propose other alternatives, such as decoupling</w:t>
      </w:r>
      <w:r w:rsidR="005F1F9D" w:rsidRPr="006232A3">
        <w:rPr>
          <w:rFonts w:ascii="Times New Roman" w:hAnsi="Times New Roman" w:cs="Times New Roman"/>
        </w:rPr>
        <w:t>.</w:t>
      </w:r>
      <w:r w:rsidR="00A52804" w:rsidRPr="006232A3">
        <w:rPr>
          <w:rFonts w:ascii="Times New Roman" w:hAnsi="Times New Roman" w:cs="Times New Roman"/>
        </w:rPr>
        <w:t xml:space="preserve">  </w:t>
      </w:r>
      <w:r w:rsidR="00DC42A8" w:rsidRPr="006232A3">
        <w:rPr>
          <w:rFonts w:ascii="Times New Roman" w:hAnsi="Times New Roman" w:cs="Times New Roman"/>
        </w:rPr>
        <w:t>However, S</w:t>
      </w:r>
      <w:r w:rsidR="00A52804" w:rsidRPr="006232A3">
        <w:rPr>
          <w:rFonts w:ascii="Times New Roman" w:hAnsi="Times New Roman" w:cs="Times New Roman"/>
        </w:rPr>
        <w:t xml:space="preserve">taff is </w:t>
      </w:r>
      <w:r w:rsidR="005263A2" w:rsidRPr="006232A3">
        <w:rPr>
          <w:rFonts w:ascii="Times New Roman" w:hAnsi="Times New Roman" w:cs="Times New Roman"/>
        </w:rPr>
        <w:t>careful</w:t>
      </w:r>
      <w:r w:rsidR="00A52804" w:rsidRPr="006232A3">
        <w:rPr>
          <w:rFonts w:ascii="Times New Roman" w:hAnsi="Times New Roman" w:cs="Times New Roman"/>
        </w:rPr>
        <w:t xml:space="preserve"> to note that it supports such an </w:t>
      </w:r>
      <w:r w:rsidR="005263A2" w:rsidRPr="006232A3">
        <w:rPr>
          <w:rFonts w:ascii="Times New Roman" w:hAnsi="Times New Roman" w:cs="Times New Roman"/>
        </w:rPr>
        <w:t>increase</w:t>
      </w:r>
      <w:r w:rsidR="00660712" w:rsidRPr="006232A3">
        <w:rPr>
          <w:rFonts w:ascii="Times New Roman" w:hAnsi="Times New Roman" w:cs="Times New Roman"/>
        </w:rPr>
        <w:t xml:space="preserve"> only</w:t>
      </w:r>
      <w:r w:rsidR="005263A2" w:rsidRPr="006232A3">
        <w:rPr>
          <w:rFonts w:ascii="Times New Roman" w:hAnsi="Times New Roman" w:cs="Times New Roman"/>
        </w:rPr>
        <w:t xml:space="preserve"> in conjunction with the creation of a third rate tier for residential customers.</w:t>
      </w:r>
      <w:r w:rsidR="005263A2" w:rsidRPr="001B229E">
        <w:rPr>
          <w:rStyle w:val="FootnoteReference"/>
          <w:rFonts w:ascii="Times New Roman" w:hAnsi="Times New Roman" w:cs="Times New Roman"/>
        </w:rPr>
        <w:footnoteReference w:id="28"/>
      </w:r>
      <w:r w:rsidR="00531579" w:rsidRPr="006232A3">
        <w:rPr>
          <w:rFonts w:ascii="Times New Roman" w:hAnsi="Times New Roman" w:cs="Times New Roman"/>
        </w:rPr>
        <w:t xml:space="preserve">  </w:t>
      </w:r>
      <w:r w:rsidR="00660712" w:rsidRPr="006232A3">
        <w:rPr>
          <w:rFonts w:ascii="Times New Roman" w:hAnsi="Times New Roman" w:cs="Times New Roman"/>
        </w:rPr>
        <w:t>Its support is conditional</w:t>
      </w:r>
      <w:r w:rsidR="00531579" w:rsidRPr="006232A3">
        <w:rPr>
          <w:rFonts w:ascii="Times New Roman" w:hAnsi="Times New Roman" w:cs="Times New Roman"/>
        </w:rPr>
        <w:t xml:space="preserve"> because Staff recognizes that without an </w:t>
      </w:r>
      <w:proofErr w:type="gramStart"/>
      <w:r w:rsidR="00531579" w:rsidRPr="006232A3">
        <w:rPr>
          <w:rFonts w:ascii="Times New Roman" w:hAnsi="Times New Roman" w:cs="Times New Roman"/>
        </w:rPr>
        <w:t>off-setting</w:t>
      </w:r>
      <w:proofErr w:type="gramEnd"/>
      <w:r w:rsidR="00531579" w:rsidRPr="006232A3">
        <w:rPr>
          <w:rFonts w:ascii="Times New Roman" w:hAnsi="Times New Roman" w:cs="Times New Roman"/>
        </w:rPr>
        <w:t xml:space="preserve"> measure to promote efficiency, “the price signal to support efficiency would be diluted.”</w:t>
      </w:r>
      <w:r w:rsidR="00531579" w:rsidRPr="001B229E">
        <w:rPr>
          <w:rStyle w:val="FootnoteReference"/>
          <w:rFonts w:ascii="Times New Roman" w:hAnsi="Times New Roman" w:cs="Times New Roman"/>
        </w:rPr>
        <w:footnoteReference w:id="29"/>
      </w:r>
      <w:r w:rsidR="00531579" w:rsidRPr="006232A3">
        <w:rPr>
          <w:rFonts w:ascii="Times New Roman" w:hAnsi="Times New Roman" w:cs="Times New Roman"/>
        </w:rPr>
        <w:t xml:space="preserve"> </w:t>
      </w:r>
      <w:r w:rsidR="00FC263E" w:rsidRPr="006232A3">
        <w:rPr>
          <w:rFonts w:ascii="Times New Roman" w:hAnsi="Times New Roman" w:cs="Times New Roman"/>
        </w:rPr>
        <w:t xml:space="preserve"> </w:t>
      </w:r>
      <w:r w:rsidR="00DC42A8" w:rsidRPr="006232A3">
        <w:rPr>
          <w:rFonts w:ascii="Times New Roman" w:hAnsi="Times New Roman" w:cs="Times New Roman"/>
        </w:rPr>
        <w:t xml:space="preserve">In other words, Staff continues to </w:t>
      </w:r>
      <w:r w:rsidR="00DC42A8" w:rsidRPr="006232A3">
        <w:rPr>
          <w:rFonts w:ascii="Times New Roman" w:hAnsi="Times New Roman" w:cs="Times New Roman"/>
        </w:rPr>
        <w:lastRenderedPageBreak/>
        <w:t>recognize that raising the basic charge is in</w:t>
      </w:r>
      <w:r w:rsidR="00DC42A8" w:rsidRPr="006232A3">
        <w:rPr>
          <w:rFonts w:ascii="Times New Roman" w:hAnsi="Times New Roman" w:cs="Times New Roman"/>
          <w:b/>
          <w:i/>
        </w:rPr>
        <w:t xml:space="preserve"> “</w:t>
      </w:r>
      <w:r w:rsidR="00DC42A8" w:rsidRPr="006232A3">
        <w:rPr>
          <w:rFonts w:ascii="Times New Roman" w:hAnsi="Times New Roman" w:cs="Times New Roman"/>
        </w:rPr>
        <w:t>direct conflict”</w:t>
      </w:r>
      <w:r w:rsidR="00DC42A8" w:rsidRPr="006232A3">
        <w:rPr>
          <w:rFonts w:ascii="Times New Roman" w:hAnsi="Times New Roman" w:cs="Times New Roman"/>
          <w:b/>
          <w:i/>
        </w:rPr>
        <w:t xml:space="preserve"> </w:t>
      </w:r>
      <w:r w:rsidR="00DC42A8" w:rsidRPr="006232A3">
        <w:rPr>
          <w:rFonts w:ascii="Times New Roman" w:hAnsi="Times New Roman" w:cs="Times New Roman"/>
        </w:rPr>
        <w:t>with the “goal of creating price signals for customers that</w:t>
      </w:r>
      <w:r w:rsidR="00DC42A8" w:rsidRPr="006232A3">
        <w:rPr>
          <w:rFonts w:ascii="Times New Roman" w:hAnsi="Times New Roman" w:cs="Times New Roman"/>
          <w:b/>
          <w:i/>
        </w:rPr>
        <w:t xml:space="preserve"> </w:t>
      </w:r>
      <w:r w:rsidR="00DC42A8" w:rsidRPr="006232A3">
        <w:rPr>
          <w:rFonts w:ascii="Times New Roman" w:hAnsi="Times New Roman" w:cs="Times New Roman"/>
        </w:rPr>
        <w:t>encourage investments in energy efficiency and distributed energy.”</w:t>
      </w:r>
      <w:r w:rsidR="00DC42A8" w:rsidRPr="001B229E">
        <w:rPr>
          <w:rStyle w:val="FootnoteReference"/>
          <w:rFonts w:ascii="Times New Roman" w:hAnsi="Times New Roman" w:cs="Times New Roman"/>
        </w:rPr>
        <w:footnoteReference w:id="30"/>
      </w:r>
    </w:p>
    <w:p w14:paraId="04CF821D" w14:textId="2CD11424" w:rsidR="00F3100D" w:rsidRPr="006232A3" w:rsidRDefault="006232A3" w:rsidP="006232A3">
      <w:pPr>
        <w:pStyle w:val="ListParagraph"/>
        <w:numPr>
          <w:ilvl w:val="1"/>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6C4156" w:rsidRPr="006232A3">
        <w:rPr>
          <w:rFonts w:ascii="Times New Roman" w:hAnsi="Times New Roman" w:cs="Times New Roman"/>
        </w:rPr>
        <w:t xml:space="preserve">Staff’s primary argument in favor of raising the </w:t>
      </w:r>
      <w:r w:rsidR="00DC42A8" w:rsidRPr="006232A3">
        <w:rPr>
          <w:rFonts w:ascii="Times New Roman" w:hAnsi="Times New Roman" w:cs="Times New Roman"/>
        </w:rPr>
        <w:t xml:space="preserve">basic </w:t>
      </w:r>
      <w:r w:rsidR="006C4156" w:rsidRPr="006232A3">
        <w:rPr>
          <w:rFonts w:ascii="Times New Roman" w:hAnsi="Times New Roman" w:cs="Times New Roman"/>
        </w:rPr>
        <w:t xml:space="preserve">charge is </w:t>
      </w:r>
      <w:r w:rsidR="00447BA3" w:rsidRPr="006232A3">
        <w:rPr>
          <w:rFonts w:ascii="Times New Roman" w:hAnsi="Times New Roman" w:cs="Times New Roman"/>
        </w:rPr>
        <w:t xml:space="preserve">not that </w:t>
      </w:r>
      <w:r w:rsidR="008A53B9" w:rsidRPr="006232A3">
        <w:rPr>
          <w:rFonts w:ascii="Times New Roman" w:hAnsi="Times New Roman" w:cs="Times New Roman"/>
        </w:rPr>
        <w:t>it i</w:t>
      </w:r>
      <w:r w:rsidR="00447BA3" w:rsidRPr="006232A3">
        <w:rPr>
          <w:rFonts w:ascii="Times New Roman" w:hAnsi="Times New Roman" w:cs="Times New Roman"/>
        </w:rPr>
        <w:t xml:space="preserve">s a good price signal, but that </w:t>
      </w:r>
      <w:r w:rsidR="006C4156" w:rsidRPr="006232A3">
        <w:rPr>
          <w:rFonts w:ascii="Times New Roman" w:hAnsi="Times New Roman" w:cs="Times New Roman"/>
        </w:rPr>
        <w:t>it would “improve the company’s cost recovery.”</w:t>
      </w:r>
      <w:r w:rsidR="006C4156" w:rsidRPr="001B229E">
        <w:rPr>
          <w:rStyle w:val="FootnoteReference"/>
          <w:rFonts w:ascii="Times New Roman" w:hAnsi="Times New Roman" w:cs="Times New Roman"/>
        </w:rPr>
        <w:footnoteReference w:id="31"/>
      </w:r>
      <w:r w:rsidR="00DC42A8" w:rsidRPr="006232A3">
        <w:rPr>
          <w:rFonts w:ascii="Times New Roman" w:hAnsi="Times New Roman" w:cs="Times New Roman"/>
        </w:rPr>
        <w:t xml:space="preserve">  </w:t>
      </w:r>
      <w:r w:rsidR="00447BA3" w:rsidRPr="006232A3">
        <w:rPr>
          <w:rFonts w:ascii="Times New Roman" w:hAnsi="Times New Roman" w:cs="Times New Roman"/>
        </w:rPr>
        <w:t xml:space="preserve">Staff’s other proposal – to create a third rate block </w:t>
      </w:r>
      <w:r w:rsidR="000B4BB7" w:rsidRPr="006232A3">
        <w:rPr>
          <w:rFonts w:ascii="Times New Roman" w:hAnsi="Times New Roman" w:cs="Times New Roman"/>
        </w:rPr>
        <w:t xml:space="preserve">- </w:t>
      </w:r>
      <w:r w:rsidR="00447BA3" w:rsidRPr="006232A3">
        <w:rPr>
          <w:rFonts w:ascii="Times New Roman" w:hAnsi="Times New Roman" w:cs="Times New Roman"/>
        </w:rPr>
        <w:t>is intended to counteract</w:t>
      </w:r>
      <w:r w:rsidR="00DC42A8" w:rsidRPr="006232A3">
        <w:rPr>
          <w:rFonts w:ascii="Times New Roman" w:hAnsi="Times New Roman" w:cs="Times New Roman"/>
        </w:rPr>
        <w:t xml:space="preserve"> any negative price signal that incr</w:t>
      </w:r>
      <w:r w:rsidR="00447BA3" w:rsidRPr="006232A3">
        <w:rPr>
          <w:rFonts w:ascii="Times New Roman" w:hAnsi="Times New Roman" w:cs="Times New Roman"/>
        </w:rPr>
        <w:t>easing fixed charges would have in an effort to “balance two opposing policies.”</w:t>
      </w:r>
      <w:r w:rsidR="00447BA3" w:rsidRPr="001B229E">
        <w:rPr>
          <w:rStyle w:val="FootnoteReference"/>
          <w:rFonts w:ascii="Times New Roman" w:hAnsi="Times New Roman" w:cs="Times New Roman"/>
        </w:rPr>
        <w:footnoteReference w:id="32"/>
      </w:r>
      <w:r w:rsidR="00FC263E" w:rsidRPr="006232A3">
        <w:rPr>
          <w:rFonts w:ascii="Times New Roman" w:hAnsi="Times New Roman" w:cs="Times New Roman"/>
        </w:rPr>
        <w:t xml:space="preserve"> </w:t>
      </w:r>
      <w:r w:rsidR="00447BA3" w:rsidRPr="006232A3">
        <w:rPr>
          <w:rFonts w:ascii="Times New Roman" w:hAnsi="Times New Roman" w:cs="Times New Roman"/>
        </w:rPr>
        <w:t xml:space="preserve"> Staff </w:t>
      </w:r>
      <w:r w:rsidR="00675266" w:rsidRPr="006232A3">
        <w:rPr>
          <w:rFonts w:ascii="Times New Roman" w:hAnsi="Times New Roman" w:cs="Times New Roman"/>
        </w:rPr>
        <w:t>therefore appears to acknowledge</w:t>
      </w:r>
      <w:r w:rsidR="00447BA3" w:rsidRPr="006232A3">
        <w:rPr>
          <w:rFonts w:ascii="Times New Roman" w:hAnsi="Times New Roman" w:cs="Times New Roman"/>
        </w:rPr>
        <w:t xml:space="preserve"> that its </w:t>
      </w:r>
      <w:r w:rsidR="008A53B9" w:rsidRPr="006232A3">
        <w:rPr>
          <w:rFonts w:ascii="Times New Roman" w:hAnsi="Times New Roman" w:cs="Times New Roman"/>
        </w:rPr>
        <w:t xml:space="preserve">overall </w:t>
      </w:r>
      <w:r w:rsidR="00447BA3" w:rsidRPr="006232A3">
        <w:rPr>
          <w:rFonts w:ascii="Times New Roman" w:hAnsi="Times New Roman" w:cs="Times New Roman"/>
        </w:rPr>
        <w:t>rate design proposal sends mixed signals.</w:t>
      </w:r>
      <w:r w:rsidR="00447BA3" w:rsidRPr="001B229E">
        <w:rPr>
          <w:rStyle w:val="FootnoteReference"/>
          <w:rFonts w:ascii="Times New Roman" w:hAnsi="Times New Roman" w:cs="Times New Roman"/>
        </w:rPr>
        <w:footnoteReference w:id="33"/>
      </w:r>
      <w:r w:rsidR="00341DF5" w:rsidRPr="006232A3">
        <w:rPr>
          <w:rFonts w:ascii="Times New Roman" w:hAnsi="Times New Roman" w:cs="Times New Roman"/>
        </w:rPr>
        <w:t xml:space="preserve"> </w:t>
      </w:r>
    </w:p>
    <w:p w14:paraId="234254F1" w14:textId="38C341CE" w:rsidR="00F3100D" w:rsidRPr="006232A3" w:rsidRDefault="006232A3" w:rsidP="006232A3">
      <w:pPr>
        <w:pStyle w:val="ListParagraph"/>
        <w:numPr>
          <w:ilvl w:val="1"/>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41DF5" w:rsidRPr="006232A3">
        <w:rPr>
          <w:rFonts w:ascii="Times New Roman" w:hAnsi="Times New Roman" w:cs="Times New Roman"/>
        </w:rPr>
        <w:t>Staff also acknowledges that raising the basic charge is an incomplete solution compared to other revenue stabilizing measures, such as decoupling.</w:t>
      </w:r>
      <w:r w:rsidR="00341DF5" w:rsidRPr="001B229E">
        <w:rPr>
          <w:rStyle w:val="FootnoteReference"/>
          <w:rFonts w:ascii="Times New Roman" w:hAnsi="Times New Roman" w:cs="Times New Roman"/>
        </w:rPr>
        <w:footnoteReference w:id="34"/>
      </w:r>
      <w:r w:rsidR="000A1EF0" w:rsidRPr="006232A3">
        <w:rPr>
          <w:rFonts w:ascii="Times New Roman" w:hAnsi="Times New Roman" w:cs="Times New Roman"/>
        </w:rPr>
        <w:t xml:space="preserve"> </w:t>
      </w:r>
      <w:r w:rsidR="000B4BB7" w:rsidRPr="006232A3">
        <w:rPr>
          <w:rFonts w:ascii="Times New Roman" w:hAnsi="Times New Roman" w:cs="Times New Roman"/>
        </w:rPr>
        <w:t xml:space="preserve"> </w:t>
      </w:r>
      <w:r w:rsidR="000A1EF0" w:rsidRPr="006232A3">
        <w:rPr>
          <w:rFonts w:ascii="Times New Roman" w:hAnsi="Times New Roman" w:cs="Times New Roman"/>
        </w:rPr>
        <w:t xml:space="preserve">Fortunately, the Commission </w:t>
      </w:r>
      <w:r w:rsidR="009E1C4A" w:rsidRPr="006232A3">
        <w:rPr>
          <w:rFonts w:ascii="Times New Roman" w:hAnsi="Times New Roman" w:cs="Times New Roman"/>
        </w:rPr>
        <w:t xml:space="preserve">has the option to send proper price signals to customers </w:t>
      </w:r>
      <w:r w:rsidR="009E1C4A" w:rsidRPr="006232A3">
        <w:rPr>
          <w:rFonts w:ascii="Times New Roman" w:hAnsi="Times New Roman" w:cs="Times New Roman"/>
          <w:i/>
        </w:rPr>
        <w:t>and</w:t>
      </w:r>
      <w:r w:rsidR="009E1C4A" w:rsidRPr="006232A3">
        <w:rPr>
          <w:rFonts w:ascii="Times New Roman" w:hAnsi="Times New Roman" w:cs="Times New Roman"/>
        </w:rPr>
        <w:t xml:space="preserve"> to address the Company’s f</w:t>
      </w:r>
      <w:r w:rsidR="00675266" w:rsidRPr="006232A3">
        <w:rPr>
          <w:rFonts w:ascii="Times New Roman" w:hAnsi="Times New Roman" w:cs="Times New Roman"/>
        </w:rPr>
        <w:t>ixed cost recovery issues.  As fully explained</w:t>
      </w:r>
      <w:r w:rsidR="009E1C4A" w:rsidRPr="006232A3">
        <w:rPr>
          <w:rFonts w:ascii="Times New Roman" w:hAnsi="Times New Roman" w:cs="Times New Roman"/>
        </w:rPr>
        <w:t xml:space="preserve"> in TASC’s Initial </w:t>
      </w:r>
      <w:r w:rsidR="00B940DD" w:rsidRPr="006232A3">
        <w:rPr>
          <w:rFonts w:ascii="Times New Roman" w:hAnsi="Times New Roman" w:cs="Times New Roman"/>
        </w:rPr>
        <w:t>B</w:t>
      </w:r>
      <w:r w:rsidR="009E1C4A" w:rsidRPr="006232A3">
        <w:rPr>
          <w:rFonts w:ascii="Times New Roman" w:hAnsi="Times New Roman" w:cs="Times New Roman"/>
        </w:rPr>
        <w:t>rief, the Commission should maintain current fixed charges</w:t>
      </w:r>
      <w:r w:rsidR="00E60257" w:rsidRPr="006232A3">
        <w:rPr>
          <w:rFonts w:ascii="Times New Roman" w:hAnsi="Times New Roman" w:cs="Times New Roman"/>
        </w:rPr>
        <w:t>,</w:t>
      </w:r>
      <w:r w:rsidR="007633C0" w:rsidRPr="006232A3">
        <w:rPr>
          <w:rFonts w:ascii="Times New Roman" w:hAnsi="Times New Roman" w:cs="Times New Roman"/>
        </w:rPr>
        <w:t xml:space="preserve"> adopt Staff’s</w:t>
      </w:r>
      <w:r w:rsidR="00675266" w:rsidRPr="006232A3">
        <w:rPr>
          <w:rFonts w:ascii="Times New Roman" w:hAnsi="Times New Roman" w:cs="Times New Roman"/>
        </w:rPr>
        <w:t xml:space="preserve"> proposed</w:t>
      </w:r>
      <w:r w:rsidR="007633C0" w:rsidRPr="006232A3">
        <w:rPr>
          <w:rFonts w:ascii="Times New Roman" w:hAnsi="Times New Roman" w:cs="Times New Roman"/>
        </w:rPr>
        <w:t xml:space="preserve"> third tier,</w:t>
      </w:r>
      <w:r w:rsidR="009E1C4A" w:rsidRPr="006232A3">
        <w:rPr>
          <w:rFonts w:ascii="Times New Roman" w:hAnsi="Times New Roman" w:cs="Times New Roman"/>
        </w:rPr>
        <w:t xml:space="preserve"> and encourage PacifiCorp to file a </w:t>
      </w:r>
      <w:r w:rsidR="000B4BB7" w:rsidRPr="006232A3">
        <w:rPr>
          <w:rFonts w:ascii="Times New Roman" w:hAnsi="Times New Roman" w:cs="Times New Roman"/>
        </w:rPr>
        <w:t>separate</w:t>
      </w:r>
      <w:r w:rsidR="009E1C4A" w:rsidRPr="006232A3">
        <w:rPr>
          <w:rFonts w:ascii="Times New Roman" w:hAnsi="Times New Roman" w:cs="Times New Roman"/>
        </w:rPr>
        <w:t xml:space="preserve"> application to address fixed cost recovery issues in a way that </w:t>
      </w:r>
      <w:r w:rsidR="00F3100D" w:rsidRPr="006232A3">
        <w:rPr>
          <w:rFonts w:ascii="Times New Roman" w:hAnsi="Times New Roman" w:cs="Times New Roman"/>
        </w:rPr>
        <w:t>continues to encourage</w:t>
      </w:r>
      <w:r w:rsidR="009E1C4A" w:rsidRPr="006232A3">
        <w:rPr>
          <w:rFonts w:ascii="Times New Roman" w:hAnsi="Times New Roman" w:cs="Times New Roman"/>
        </w:rPr>
        <w:t xml:space="preserve"> efficiency and conservation.  Decoupling could be one so</w:t>
      </w:r>
      <w:r w:rsidR="00675266" w:rsidRPr="006232A3">
        <w:rPr>
          <w:rFonts w:ascii="Times New Roman" w:hAnsi="Times New Roman" w:cs="Times New Roman"/>
        </w:rPr>
        <w:t>lution among others</w:t>
      </w:r>
      <w:r w:rsidR="00660712" w:rsidRPr="006232A3">
        <w:rPr>
          <w:rFonts w:ascii="Times New Roman" w:hAnsi="Times New Roman" w:cs="Times New Roman"/>
        </w:rPr>
        <w:t>,</w:t>
      </w:r>
      <w:r w:rsidR="00675266" w:rsidRPr="006232A3">
        <w:rPr>
          <w:rFonts w:ascii="Times New Roman" w:hAnsi="Times New Roman" w:cs="Times New Roman"/>
        </w:rPr>
        <w:t xml:space="preserve"> as discussed in TASC’s Initial Brief.</w:t>
      </w:r>
      <w:r w:rsidR="00F3100D" w:rsidRPr="006232A3">
        <w:rPr>
          <w:rFonts w:ascii="Times New Roman" w:hAnsi="Times New Roman" w:cs="Times New Roman"/>
        </w:rPr>
        <w:t xml:space="preserve"> </w:t>
      </w:r>
    </w:p>
    <w:p w14:paraId="3C3C6438" w14:textId="494EE772" w:rsidR="003229E6" w:rsidRPr="006232A3" w:rsidRDefault="006232A3" w:rsidP="006232A3">
      <w:pPr>
        <w:pStyle w:val="ListParagraph"/>
        <w:numPr>
          <w:ilvl w:val="1"/>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3100D" w:rsidRPr="006232A3">
        <w:rPr>
          <w:rFonts w:ascii="Times New Roman" w:hAnsi="Times New Roman" w:cs="Times New Roman"/>
        </w:rPr>
        <w:t xml:space="preserve">It is also important to note that unlike PacifiCorp, Staff fully </w:t>
      </w:r>
      <w:r w:rsidR="00433725" w:rsidRPr="006232A3">
        <w:rPr>
          <w:rFonts w:ascii="Times New Roman" w:hAnsi="Times New Roman" w:cs="Times New Roman"/>
        </w:rPr>
        <w:t xml:space="preserve">acknowledges that raising the </w:t>
      </w:r>
      <w:r w:rsidR="00F3100D" w:rsidRPr="006232A3">
        <w:rPr>
          <w:rFonts w:ascii="Times New Roman" w:hAnsi="Times New Roman" w:cs="Times New Roman"/>
        </w:rPr>
        <w:t xml:space="preserve">residential basic charge to include more fixed </w:t>
      </w:r>
      <w:r w:rsidR="001A5482" w:rsidRPr="006232A3">
        <w:rPr>
          <w:rFonts w:ascii="Times New Roman" w:hAnsi="Times New Roman" w:cs="Times New Roman"/>
        </w:rPr>
        <w:t>costs</w:t>
      </w:r>
      <w:r w:rsidR="00433725" w:rsidRPr="006232A3">
        <w:rPr>
          <w:rFonts w:ascii="Times New Roman" w:hAnsi="Times New Roman" w:cs="Times New Roman"/>
        </w:rPr>
        <w:t xml:space="preserve"> is a </w:t>
      </w:r>
      <w:r w:rsidR="00F3100D" w:rsidRPr="006232A3">
        <w:rPr>
          <w:rFonts w:ascii="Times New Roman" w:hAnsi="Times New Roman" w:cs="Times New Roman"/>
        </w:rPr>
        <w:t xml:space="preserve">substantial </w:t>
      </w:r>
      <w:r w:rsidR="00433725" w:rsidRPr="006232A3">
        <w:rPr>
          <w:rFonts w:ascii="Times New Roman" w:hAnsi="Times New Roman" w:cs="Times New Roman"/>
        </w:rPr>
        <w:t>departure from Commission history and general rate making principles</w:t>
      </w:r>
      <w:r w:rsidR="001A5482" w:rsidRPr="006232A3">
        <w:rPr>
          <w:rFonts w:ascii="Times New Roman" w:hAnsi="Times New Roman" w:cs="Times New Roman"/>
        </w:rPr>
        <w:t>.</w:t>
      </w:r>
      <w:r w:rsidR="00133560" w:rsidRPr="001B229E">
        <w:rPr>
          <w:rStyle w:val="FootnoteReference"/>
          <w:rFonts w:ascii="Times New Roman" w:hAnsi="Times New Roman" w:cs="Times New Roman"/>
        </w:rPr>
        <w:footnoteReference w:id="35"/>
      </w:r>
      <w:r w:rsidR="001A5482" w:rsidRPr="006232A3">
        <w:rPr>
          <w:rFonts w:ascii="Times New Roman" w:hAnsi="Times New Roman" w:cs="Times New Roman"/>
        </w:rPr>
        <w:t xml:space="preserve">  Staff notes that “[</w:t>
      </w:r>
      <w:proofErr w:type="spellStart"/>
      <w:proofErr w:type="gramStart"/>
      <w:r w:rsidR="001A5482" w:rsidRPr="006232A3">
        <w:rPr>
          <w:rFonts w:ascii="Times New Roman" w:hAnsi="Times New Roman" w:cs="Times New Roman"/>
        </w:rPr>
        <w:t>i</w:t>
      </w:r>
      <w:proofErr w:type="spellEnd"/>
      <w:r w:rsidR="001A5482" w:rsidRPr="006232A3">
        <w:rPr>
          <w:rFonts w:ascii="Times New Roman" w:hAnsi="Times New Roman" w:cs="Times New Roman"/>
        </w:rPr>
        <w:t>]n</w:t>
      </w:r>
      <w:proofErr w:type="gramEnd"/>
      <w:r w:rsidR="001A5482" w:rsidRPr="006232A3">
        <w:rPr>
          <w:rFonts w:ascii="Times New Roman" w:hAnsi="Times New Roman" w:cs="Times New Roman"/>
        </w:rPr>
        <w:t xml:space="preserve"> general, basic charges (including the Company’s) only include costs that vary with the addition of another customer, such as service drops, meters, billing, etc.”</w:t>
      </w:r>
      <w:r w:rsidR="001A5482" w:rsidRPr="001B229E">
        <w:rPr>
          <w:rStyle w:val="FootnoteReference"/>
          <w:rFonts w:ascii="Times New Roman" w:hAnsi="Times New Roman" w:cs="Times New Roman"/>
        </w:rPr>
        <w:footnoteReference w:id="36"/>
      </w:r>
      <w:r w:rsidR="00C40DE0" w:rsidRPr="006232A3">
        <w:rPr>
          <w:rFonts w:ascii="Times New Roman" w:hAnsi="Times New Roman" w:cs="Times New Roman"/>
        </w:rPr>
        <w:t xml:space="preserve">  Staff defends this departure from </w:t>
      </w:r>
      <w:r w:rsidR="00C40DE0" w:rsidRPr="006232A3">
        <w:rPr>
          <w:rFonts w:ascii="Times New Roman" w:hAnsi="Times New Roman" w:cs="Times New Roman"/>
        </w:rPr>
        <w:lastRenderedPageBreak/>
        <w:t>traditional practice by stating that it is reasonable in light of the Company’s negligible customer growth</w:t>
      </w:r>
      <w:r w:rsidR="008B02C0" w:rsidRPr="006232A3">
        <w:rPr>
          <w:rFonts w:ascii="Times New Roman" w:hAnsi="Times New Roman" w:cs="Times New Roman"/>
        </w:rPr>
        <w:t>,</w:t>
      </w:r>
      <w:r w:rsidR="005168F8" w:rsidRPr="006232A3">
        <w:rPr>
          <w:rFonts w:ascii="Times New Roman" w:hAnsi="Times New Roman" w:cs="Times New Roman"/>
        </w:rPr>
        <w:t xml:space="preserve"> and concludes that the Commission should therefore begin the practice of including the cost of transformers in fixed charges</w:t>
      </w:r>
      <w:r w:rsidR="00C40DE0" w:rsidRPr="006232A3">
        <w:rPr>
          <w:rFonts w:ascii="Times New Roman" w:hAnsi="Times New Roman" w:cs="Times New Roman"/>
        </w:rPr>
        <w:t>.</w:t>
      </w:r>
      <w:r w:rsidR="00C40DE0" w:rsidRPr="001B229E">
        <w:rPr>
          <w:rStyle w:val="FootnoteReference"/>
          <w:rFonts w:ascii="Times New Roman" w:hAnsi="Times New Roman" w:cs="Times New Roman"/>
        </w:rPr>
        <w:footnoteReference w:id="37"/>
      </w:r>
      <w:r w:rsidR="00133560" w:rsidRPr="006232A3">
        <w:rPr>
          <w:rFonts w:ascii="Times New Roman" w:hAnsi="Times New Roman" w:cs="Times New Roman"/>
        </w:rPr>
        <w:t xml:space="preserve">  Again, this suggestion is somewhat baffling given Staff’s acknowledgement that </w:t>
      </w:r>
      <w:r w:rsidR="007633C0" w:rsidRPr="006232A3">
        <w:rPr>
          <w:rFonts w:ascii="Times New Roman" w:hAnsi="Times New Roman" w:cs="Times New Roman"/>
        </w:rPr>
        <w:t>other</w:t>
      </w:r>
      <w:r w:rsidR="00133560" w:rsidRPr="006232A3">
        <w:rPr>
          <w:rFonts w:ascii="Times New Roman" w:hAnsi="Times New Roman" w:cs="Times New Roman"/>
        </w:rPr>
        <w:t xml:space="preserve"> option</w:t>
      </w:r>
      <w:r w:rsidR="007633C0" w:rsidRPr="006232A3">
        <w:rPr>
          <w:rFonts w:ascii="Times New Roman" w:hAnsi="Times New Roman" w:cs="Times New Roman"/>
        </w:rPr>
        <w:t>s exist, such as decoupling, that would</w:t>
      </w:r>
      <w:r w:rsidR="00133560" w:rsidRPr="006232A3">
        <w:rPr>
          <w:rFonts w:ascii="Times New Roman" w:hAnsi="Times New Roman" w:cs="Times New Roman"/>
        </w:rPr>
        <w:t xml:space="preserve"> address fixed cost recovery more broadly </w:t>
      </w:r>
      <w:r w:rsidR="007633C0" w:rsidRPr="006232A3">
        <w:rPr>
          <w:rFonts w:ascii="Times New Roman" w:hAnsi="Times New Roman" w:cs="Times New Roman"/>
        </w:rPr>
        <w:t>and</w:t>
      </w:r>
      <w:r w:rsidR="00133560" w:rsidRPr="006232A3">
        <w:rPr>
          <w:rFonts w:ascii="Times New Roman" w:hAnsi="Times New Roman" w:cs="Times New Roman"/>
        </w:rPr>
        <w:t xml:space="preserve"> would</w:t>
      </w:r>
      <w:r w:rsidR="000B4BB7" w:rsidRPr="006232A3">
        <w:rPr>
          <w:rFonts w:ascii="Times New Roman" w:hAnsi="Times New Roman" w:cs="Times New Roman"/>
        </w:rPr>
        <w:t xml:space="preserve"> not require</w:t>
      </w:r>
      <w:r w:rsidR="007633C0" w:rsidRPr="006232A3">
        <w:rPr>
          <w:rFonts w:ascii="Times New Roman" w:hAnsi="Times New Roman" w:cs="Times New Roman"/>
        </w:rPr>
        <w:t xml:space="preserve"> such a</w:t>
      </w:r>
      <w:r w:rsidR="00133560" w:rsidRPr="006232A3">
        <w:rPr>
          <w:rFonts w:ascii="Times New Roman" w:hAnsi="Times New Roman" w:cs="Times New Roman"/>
        </w:rPr>
        <w:t xml:space="preserve"> “</w:t>
      </w:r>
      <w:r w:rsidR="000B4BB7" w:rsidRPr="006232A3">
        <w:rPr>
          <w:rFonts w:ascii="Times New Roman" w:hAnsi="Times New Roman" w:cs="Times New Roman"/>
        </w:rPr>
        <w:t>diversion from current practice</w:t>
      </w:r>
      <w:r w:rsidR="007633C0" w:rsidRPr="006232A3">
        <w:rPr>
          <w:rFonts w:ascii="Times New Roman" w:hAnsi="Times New Roman" w:cs="Times New Roman"/>
        </w:rPr>
        <w:t>.</w:t>
      </w:r>
      <w:r w:rsidR="00133560" w:rsidRPr="006232A3">
        <w:rPr>
          <w:rFonts w:ascii="Times New Roman" w:hAnsi="Times New Roman" w:cs="Times New Roman"/>
        </w:rPr>
        <w:t>”</w:t>
      </w:r>
      <w:r w:rsidR="000B4BB7" w:rsidRPr="001B229E">
        <w:rPr>
          <w:rStyle w:val="FootnoteReference"/>
          <w:rFonts w:ascii="Times New Roman" w:hAnsi="Times New Roman" w:cs="Times New Roman"/>
        </w:rPr>
        <w:footnoteReference w:id="38"/>
      </w:r>
    </w:p>
    <w:p w14:paraId="29CB5C03" w14:textId="537E739B" w:rsidR="00433725" w:rsidRPr="008D3323" w:rsidRDefault="00433725" w:rsidP="00487637">
      <w:pPr>
        <w:pStyle w:val="ListParagraph"/>
        <w:numPr>
          <w:ilvl w:val="0"/>
          <w:numId w:val="1"/>
        </w:numPr>
        <w:rPr>
          <w:rFonts w:ascii="Times New Roman" w:hAnsi="Times New Roman" w:cs="Times New Roman"/>
          <w:b/>
        </w:rPr>
      </w:pPr>
      <w:r w:rsidRPr="008D3323">
        <w:rPr>
          <w:rFonts w:ascii="Times New Roman" w:hAnsi="Times New Roman" w:cs="Times New Roman"/>
          <w:b/>
        </w:rPr>
        <w:t xml:space="preserve">TASC Continues to Support </w:t>
      </w:r>
      <w:r w:rsidR="007633C0" w:rsidRPr="008D3323">
        <w:rPr>
          <w:rFonts w:ascii="Times New Roman" w:hAnsi="Times New Roman" w:cs="Times New Roman"/>
          <w:b/>
        </w:rPr>
        <w:t>Staff’s Three Tier Rate Design</w:t>
      </w:r>
    </w:p>
    <w:p w14:paraId="3525D741" w14:textId="77777777" w:rsidR="007633C0" w:rsidRPr="001B229E" w:rsidRDefault="007633C0" w:rsidP="007633C0">
      <w:pPr>
        <w:rPr>
          <w:rFonts w:ascii="Times New Roman" w:hAnsi="Times New Roman" w:cs="Times New Roman"/>
          <w:b/>
          <w:u w:val="single"/>
        </w:rPr>
      </w:pPr>
    </w:p>
    <w:p w14:paraId="12C33D11" w14:textId="6D90C782" w:rsidR="00D038D5" w:rsidRPr="006232A3" w:rsidRDefault="006232A3" w:rsidP="006232A3">
      <w:pPr>
        <w:pStyle w:val="ListParagraph"/>
        <w:numPr>
          <w:ilvl w:val="0"/>
          <w:numId w:val="3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633C0" w:rsidRPr="006232A3">
        <w:rPr>
          <w:rFonts w:ascii="Times New Roman" w:hAnsi="Times New Roman" w:cs="Times New Roman"/>
        </w:rPr>
        <w:t xml:space="preserve">The Commission should approve rate designs that are consistent with </w:t>
      </w:r>
      <w:r w:rsidR="00D038D5" w:rsidRPr="006232A3">
        <w:rPr>
          <w:rFonts w:ascii="Times New Roman" w:hAnsi="Times New Roman" w:cs="Times New Roman"/>
        </w:rPr>
        <w:t>Washington</w:t>
      </w:r>
      <w:r w:rsidR="004600DF" w:rsidRPr="006232A3">
        <w:rPr>
          <w:rFonts w:ascii="Times New Roman" w:hAnsi="Times New Roman" w:cs="Times New Roman"/>
        </w:rPr>
        <w:t>’</w:t>
      </w:r>
      <w:r w:rsidR="007633C0" w:rsidRPr="006232A3">
        <w:rPr>
          <w:rFonts w:ascii="Times New Roman" w:hAnsi="Times New Roman" w:cs="Times New Roman"/>
        </w:rPr>
        <w:t>s policy goa</w:t>
      </w:r>
      <w:r w:rsidR="004600DF" w:rsidRPr="006232A3">
        <w:rPr>
          <w:rFonts w:ascii="Times New Roman" w:hAnsi="Times New Roman" w:cs="Times New Roman"/>
        </w:rPr>
        <w:t>ls of increasing efficiency and</w:t>
      </w:r>
      <w:r w:rsidR="007633C0" w:rsidRPr="006232A3">
        <w:rPr>
          <w:rFonts w:ascii="Times New Roman" w:hAnsi="Times New Roman" w:cs="Times New Roman"/>
        </w:rPr>
        <w:t xml:space="preserve"> </w:t>
      </w:r>
      <w:r w:rsidR="004600DF" w:rsidRPr="006232A3">
        <w:rPr>
          <w:rFonts w:ascii="Times New Roman" w:hAnsi="Times New Roman" w:cs="Times New Roman"/>
        </w:rPr>
        <w:t xml:space="preserve">promoting conservation and the development of </w:t>
      </w:r>
      <w:r w:rsidR="00D038D5" w:rsidRPr="006232A3">
        <w:rPr>
          <w:rFonts w:ascii="Times New Roman" w:hAnsi="Times New Roman" w:cs="Times New Roman"/>
        </w:rPr>
        <w:t>DG</w:t>
      </w:r>
      <w:r w:rsidR="004600DF" w:rsidRPr="006232A3">
        <w:rPr>
          <w:rFonts w:ascii="Times New Roman" w:hAnsi="Times New Roman" w:cs="Times New Roman"/>
        </w:rPr>
        <w:t>.</w:t>
      </w:r>
      <w:r w:rsidR="00373879" w:rsidRPr="006232A3">
        <w:rPr>
          <w:rFonts w:ascii="Times New Roman" w:hAnsi="Times New Roman" w:cs="Times New Roman"/>
        </w:rPr>
        <w:t xml:space="preserve"> </w:t>
      </w:r>
      <w:r w:rsidR="004739DE" w:rsidRPr="006232A3">
        <w:rPr>
          <w:rFonts w:ascii="Times New Roman" w:hAnsi="Times New Roman" w:cs="Times New Roman"/>
        </w:rPr>
        <w:t xml:space="preserve"> </w:t>
      </w:r>
      <w:r w:rsidR="004600DF" w:rsidRPr="006232A3">
        <w:rPr>
          <w:rFonts w:ascii="Times New Roman" w:hAnsi="Times New Roman" w:cs="Times New Roman"/>
        </w:rPr>
        <w:t>As such, it should adopt Staff’s proposal to create a third t</w:t>
      </w:r>
      <w:r w:rsidR="00D038D5" w:rsidRPr="006232A3">
        <w:rPr>
          <w:rFonts w:ascii="Times New Roman" w:hAnsi="Times New Roman" w:cs="Times New Roman"/>
        </w:rPr>
        <w:t xml:space="preserve">ier because it is designed to achieve Washington’s policy </w:t>
      </w:r>
      <w:r w:rsidR="004600DF" w:rsidRPr="006232A3">
        <w:rPr>
          <w:rFonts w:ascii="Times New Roman" w:hAnsi="Times New Roman" w:cs="Times New Roman"/>
        </w:rPr>
        <w:t>goals.</w:t>
      </w:r>
      <w:r w:rsidR="00D038D5" w:rsidRPr="006232A3">
        <w:rPr>
          <w:rFonts w:ascii="Times New Roman" w:hAnsi="Times New Roman" w:cs="Times New Roman"/>
        </w:rPr>
        <w:t xml:space="preserve">  As Staff correctly</w:t>
      </w:r>
      <w:r w:rsidR="00675266" w:rsidRPr="006232A3">
        <w:rPr>
          <w:rFonts w:ascii="Times New Roman" w:hAnsi="Times New Roman" w:cs="Times New Roman"/>
        </w:rPr>
        <w:t xml:space="preserve"> notes in its Opening B</w:t>
      </w:r>
      <w:r w:rsidR="00D038D5" w:rsidRPr="006232A3">
        <w:rPr>
          <w:rFonts w:ascii="Times New Roman" w:hAnsi="Times New Roman" w:cs="Times New Roman"/>
        </w:rPr>
        <w:t>rief, “the new rate block would incent investment in energy efficiency by providing high use customers a stronger and more aggressive price signal.”</w:t>
      </w:r>
      <w:r w:rsidR="00675266">
        <w:rPr>
          <w:rStyle w:val="FootnoteReference"/>
          <w:rFonts w:ascii="Times New Roman" w:hAnsi="Times New Roman" w:cs="Times New Roman"/>
        </w:rPr>
        <w:footnoteReference w:id="39"/>
      </w:r>
      <w:r w:rsidR="00D038D5" w:rsidRPr="006232A3">
        <w:rPr>
          <w:rFonts w:ascii="Times New Roman" w:hAnsi="Times New Roman" w:cs="Times New Roman"/>
        </w:rPr>
        <w:t xml:space="preserve">  </w:t>
      </w:r>
      <w:r w:rsidR="009559A8" w:rsidRPr="006232A3">
        <w:rPr>
          <w:rFonts w:ascii="Times New Roman" w:hAnsi="Times New Roman" w:cs="Times New Roman"/>
        </w:rPr>
        <w:t>Given TASC’s recommendation that the residential basic charge should be no higher than $9 per month, TASC proposes slightly different rates as detailed in its Initial Brief.</w:t>
      </w:r>
      <w:r w:rsidR="009559A8" w:rsidRPr="001B229E">
        <w:rPr>
          <w:rStyle w:val="FootnoteReference"/>
          <w:rFonts w:ascii="Times New Roman" w:hAnsi="Times New Roman" w:cs="Times New Roman"/>
        </w:rPr>
        <w:footnoteReference w:id="40"/>
      </w:r>
    </w:p>
    <w:p w14:paraId="48B910B1" w14:textId="77777777" w:rsidR="00433725" w:rsidRPr="008D3323" w:rsidRDefault="00433725" w:rsidP="00487637">
      <w:pPr>
        <w:pStyle w:val="ListParagraph"/>
        <w:numPr>
          <w:ilvl w:val="0"/>
          <w:numId w:val="1"/>
        </w:numPr>
        <w:rPr>
          <w:rFonts w:ascii="Times New Roman" w:hAnsi="Times New Roman" w:cs="Times New Roman"/>
          <w:b/>
        </w:rPr>
      </w:pPr>
      <w:r w:rsidRPr="008D3323">
        <w:rPr>
          <w:rFonts w:ascii="Times New Roman" w:hAnsi="Times New Roman" w:cs="Times New Roman"/>
          <w:b/>
        </w:rPr>
        <w:t>Conclusion</w:t>
      </w:r>
    </w:p>
    <w:p w14:paraId="4423A947" w14:textId="77777777" w:rsidR="00FA4A3B" w:rsidRDefault="00FA4A3B" w:rsidP="00FA4A3B">
      <w:pPr>
        <w:rPr>
          <w:rFonts w:ascii="Times New Roman" w:hAnsi="Times New Roman" w:cs="Times New Roman"/>
          <w:b/>
          <w:u w:val="single"/>
        </w:rPr>
      </w:pPr>
    </w:p>
    <w:p w14:paraId="701CC998" w14:textId="00B5AE6E" w:rsidR="00FA4A3B" w:rsidRPr="006232A3" w:rsidRDefault="006232A3" w:rsidP="006232A3">
      <w:pPr>
        <w:pStyle w:val="ListParagraph"/>
        <w:numPr>
          <w:ilvl w:val="0"/>
          <w:numId w:val="3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A4A3B" w:rsidRPr="006232A3">
        <w:rPr>
          <w:rFonts w:ascii="Times New Roman" w:hAnsi="Times New Roman" w:cs="Times New Roman"/>
        </w:rPr>
        <w:t xml:space="preserve">For all of the reasons stated herein and in TASC’s Initial Brief, TASC makes the following requests: </w:t>
      </w:r>
    </w:p>
    <w:p w14:paraId="1B6ECEBF" w14:textId="77777777" w:rsidR="00FA4A3B" w:rsidRDefault="00FA4A3B" w:rsidP="00FA4A3B">
      <w:pPr>
        <w:pStyle w:val="ListParagraph"/>
        <w:numPr>
          <w:ilvl w:val="0"/>
          <w:numId w:val="10"/>
        </w:numPr>
        <w:spacing w:line="480" w:lineRule="auto"/>
        <w:rPr>
          <w:rFonts w:ascii="Times New Roman" w:hAnsi="Times New Roman" w:cs="Times New Roman"/>
        </w:rPr>
      </w:pPr>
      <w:r w:rsidRPr="007C3774">
        <w:rPr>
          <w:rFonts w:ascii="Times New Roman" w:hAnsi="Times New Roman" w:cs="Times New Roman"/>
        </w:rPr>
        <w:t xml:space="preserve">TASC requests that that the Commission deny PacifiCorp’s request to increase the residential basic service charge.  </w:t>
      </w:r>
    </w:p>
    <w:p w14:paraId="04FE390D" w14:textId="77777777" w:rsidR="00FA4A3B" w:rsidRDefault="00FA4A3B" w:rsidP="00FA4A3B">
      <w:pPr>
        <w:pStyle w:val="ListParagraph"/>
        <w:numPr>
          <w:ilvl w:val="0"/>
          <w:numId w:val="10"/>
        </w:numPr>
        <w:spacing w:line="480" w:lineRule="auto"/>
        <w:rPr>
          <w:rFonts w:ascii="Times New Roman" w:hAnsi="Times New Roman" w:cs="Times New Roman"/>
        </w:rPr>
      </w:pPr>
      <w:r>
        <w:rPr>
          <w:rFonts w:ascii="Times New Roman" w:hAnsi="Times New Roman" w:cs="Times New Roman"/>
        </w:rPr>
        <w:t xml:space="preserve">TASC requests that the Commission find that PacifiCorp has failed to demonstrate that DG is a cause of its inability to recover fixed costs. </w:t>
      </w:r>
    </w:p>
    <w:p w14:paraId="27DF5C06" w14:textId="33A5709F" w:rsidR="00FA4A3B" w:rsidRDefault="00FA4A3B" w:rsidP="00FA4A3B">
      <w:pPr>
        <w:pStyle w:val="ListParagraph"/>
        <w:numPr>
          <w:ilvl w:val="0"/>
          <w:numId w:val="10"/>
        </w:numPr>
        <w:spacing w:line="480" w:lineRule="auto"/>
        <w:rPr>
          <w:rFonts w:ascii="Times New Roman" w:hAnsi="Times New Roman" w:cs="Times New Roman"/>
        </w:rPr>
      </w:pPr>
      <w:r>
        <w:rPr>
          <w:rFonts w:ascii="Times New Roman" w:hAnsi="Times New Roman" w:cs="Times New Roman"/>
        </w:rPr>
        <w:lastRenderedPageBreak/>
        <w:t>TASC recommends that the Commission</w:t>
      </w:r>
      <w:r w:rsidRPr="007C3774">
        <w:rPr>
          <w:rFonts w:ascii="Times New Roman" w:hAnsi="Times New Roman" w:cs="Times New Roman"/>
        </w:rPr>
        <w:t xml:space="preserve"> </w:t>
      </w:r>
      <w:r>
        <w:rPr>
          <w:rFonts w:ascii="Times New Roman" w:hAnsi="Times New Roman" w:cs="Times New Roman"/>
        </w:rPr>
        <w:t>encourage</w:t>
      </w:r>
      <w:r w:rsidRPr="007C3774">
        <w:rPr>
          <w:rFonts w:ascii="Times New Roman" w:hAnsi="Times New Roman" w:cs="Times New Roman"/>
        </w:rPr>
        <w:t xml:space="preserve"> the Company to file a separate application to institute an alternative approach to fixed cost recovery issues</w:t>
      </w:r>
      <w:r w:rsidR="008B02C0">
        <w:rPr>
          <w:rFonts w:ascii="Times New Roman" w:hAnsi="Times New Roman" w:cs="Times New Roman"/>
        </w:rPr>
        <w:t>,</w:t>
      </w:r>
      <w:r w:rsidRPr="007C3774">
        <w:rPr>
          <w:rFonts w:ascii="Times New Roman" w:hAnsi="Times New Roman" w:cs="Times New Roman"/>
        </w:rPr>
        <w:t xml:space="preserve"> such as revenue decoupling, a properly designed PCAM, a minimum bill approach, or use of a forward looking test year.  </w:t>
      </w:r>
    </w:p>
    <w:p w14:paraId="3EDA23C7" w14:textId="77777777" w:rsidR="00FA4A3B" w:rsidRDefault="00FA4A3B" w:rsidP="00FA4A3B">
      <w:pPr>
        <w:pStyle w:val="ListParagraph"/>
        <w:numPr>
          <w:ilvl w:val="0"/>
          <w:numId w:val="10"/>
        </w:numPr>
        <w:spacing w:line="480" w:lineRule="auto"/>
        <w:rPr>
          <w:rFonts w:ascii="Times New Roman" w:hAnsi="Times New Roman" w:cs="Times New Roman"/>
        </w:rPr>
      </w:pPr>
      <w:r w:rsidRPr="007C3774">
        <w:rPr>
          <w:rFonts w:ascii="Times New Roman" w:hAnsi="Times New Roman" w:cs="Times New Roman"/>
        </w:rPr>
        <w:t xml:space="preserve">If the Commission nevertheless decides that an increase to the residential basic charge is justified in this proceeding, </w:t>
      </w:r>
      <w:r>
        <w:rPr>
          <w:rFonts w:ascii="Times New Roman" w:hAnsi="Times New Roman" w:cs="Times New Roman"/>
        </w:rPr>
        <w:t>TASC requests that it</w:t>
      </w:r>
      <w:r w:rsidRPr="007C3774">
        <w:rPr>
          <w:rFonts w:ascii="Times New Roman" w:hAnsi="Times New Roman" w:cs="Times New Roman"/>
        </w:rPr>
        <w:t xml:space="preserve"> only allow such a charge to be based on actual customer related costs, not to exceed $9.00 per month.  </w:t>
      </w:r>
    </w:p>
    <w:p w14:paraId="519B5BB7" w14:textId="77777777" w:rsidR="00FA4A3B" w:rsidRDefault="00FA4A3B" w:rsidP="00FA4A3B">
      <w:pPr>
        <w:pStyle w:val="ListParagraph"/>
        <w:numPr>
          <w:ilvl w:val="0"/>
          <w:numId w:val="10"/>
        </w:numPr>
        <w:spacing w:line="480" w:lineRule="auto"/>
        <w:rPr>
          <w:rFonts w:ascii="Times New Roman" w:hAnsi="Times New Roman" w:cs="Times New Roman"/>
        </w:rPr>
      </w:pPr>
      <w:r>
        <w:rPr>
          <w:rFonts w:ascii="Times New Roman" w:hAnsi="Times New Roman" w:cs="Times New Roman"/>
        </w:rPr>
        <w:t xml:space="preserve">TASC requests that the Commission specifically </w:t>
      </w:r>
      <w:r w:rsidRPr="007C3774">
        <w:rPr>
          <w:rFonts w:ascii="Times New Roman" w:hAnsi="Times New Roman" w:cs="Times New Roman"/>
        </w:rPr>
        <w:t xml:space="preserve">instruct the Company not to propose demand charges for DG customers in its next rate case.  </w:t>
      </w:r>
    </w:p>
    <w:p w14:paraId="501A4DD3" w14:textId="77777777" w:rsidR="00FA4A3B" w:rsidRPr="00F954C7" w:rsidRDefault="00FA4A3B" w:rsidP="00FA4A3B">
      <w:pPr>
        <w:pStyle w:val="ListParagraph"/>
        <w:numPr>
          <w:ilvl w:val="0"/>
          <w:numId w:val="10"/>
        </w:numPr>
        <w:spacing w:line="480" w:lineRule="auto"/>
      </w:pPr>
      <w:r>
        <w:rPr>
          <w:rFonts w:ascii="Times New Roman" w:hAnsi="Times New Roman" w:cs="Times New Roman"/>
        </w:rPr>
        <w:t xml:space="preserve">TASC requests that the Commission </w:t>
      </w:r>
      <w:r w:rsidRPr="007C3774">
        <w:rPr>
          <w:rFonts w:ascii="Times New Roman" w:hAnsi="Times New Roman" w:cs="Times New Roman"/>
        </w:rPr>
        <w:t xml:space="preserve">adopt Staff’s proposal to move to a three-tier rate design for residential customers.    </w:t>
      </w:r>
    </w:p>
    <w:p w14:paraId="437E02A4" w14:textId="77777777" w:rsidR="00433725" w:rsidRPr="001B229E" w:rsidRDefault="00433725" w:rsidP="007C3774">
      <w:pPr>
        <w:rPr>
          <w:rFonts w:ascii="Times New Roman" w:hAnsi="Times New Roman" w:cs="Times New Roman"/>
        </w:rPr>
      </w:pPr>
    </w:p>
    <w:p w14:paraId="54381EE0" w14:textId="77777777" w:rsidR="00433725" w:rsidRPr="001B229E" w:rsidRDefault="00433725" w:rsidP="007C3774">
      <w:pPr>
        <w:rPr>
          <w:rFonts w:ascii="Times New Roman" w:hAnsi="Times New Roman" w:cs="Times New Roman"/>
        </w:rPr>
      </w:pPr>
    </w:p>
    <w:p w14:paraId="7134A732" w14:textId="741A6FCC" w:rsidR="000431B6" w:rsidRPr="001B229E" w:rsidRDefault="00544C44" w:rsidP="007E7DEE">
      <w:pPr>
        <w:ind w:left="360"/>
        <w:rPr>
          <w:rFonts w:ascii="Times New Roman" w:hAnsi="Times New Roman" w:cs="Times New Roman"/>
        </w:rPr>
      </w:pPr>
      <w:r w:rsidRPr="001B229E">
        <w:rPr>
          <w:rFonts w:ascii="Times New Roman" w:hAnsi="Times New Roman" w:cs="Times New Roman"/>
        </w:rPr>
        <w:t>DATED this</w:t>
      </w:r>
      <w:r w:rsidR="008B02C0">
        <w:rPr>
          <w:rFonts w:ascii="Times New Roman" w:hAnsi="Times New Roman" w:cs="Times New Roman"/>
          <w:vertAlign w:val="superscript"/>
        </w:rPr>
        <w:t xml:space="preserve"> </w:t>
      </w:r>
      <w:r w:rsidR="008B02C0">
        <w:rPr>
          <w:rFonts w:ascii="Times New Roman" w:hAnsi="Times New Roman" w:cs="Times New Roman"/>
        </w:rPr>
        <w:t>3</w:t>
      </w:r>
      <w:r w:rsidR="008B02C0" w:rsidRPr="00FC29F2">
        <w:rPr>
          <w:rFonts w:ascii="Times New Roman" w:hAnsi="Times New Roman" w:cs="Times New Roman"/>
          <w:vertAlign w:val="superscript"/>
        </w:rPr>
        <w:t>rd</w:t>
      </w:r>
      <w:r w:rsidRPr="001B229E">
        <w:rPr>
          <w:rFonts w:ascii="Times New Roman" w:hAnsi="Times New Roman" w:cs="Times New Roman"/>
        </w:rPr>
        <w:t xml:space="preserve"> day of </w:t>
      </w:r>
      <w:r w:rsidR="008B02C0">
        <w:rPr>
          <w:rFonts w:ascii="Times New Roman" w:hAnsi="Times New Roman" w:cs="Times New Roman"/>
        </w:rPr>
        <w:t>February</w:t>
      </w:r>
      <w:r w:rsidR="008B02C0" w:rsidRPr="001B229E">
        <w:rPr>
          <w:rFonts w:ascii="Times New Roman" w:hAnsi="Times New Roman" w:cs="Times New Roman"/>
        </w:rPr>
        <w:t xml:space="preserve"> </w:t>
      </w:r>
      <w:r w:rsidRPr="001B229E">
        <w:rPr>
          <w:rFonts w:ascii="Times New Roman" w:hAnsi="Times New Roman" w:cs="Times New Roman"/>
        </w:rPr>
        <w:t>2015.</w:t>
      </w:r>
    </w:p>
    <w:p w14:paraId="151572AD" w14:textId="77777777" w:rsidR="000431B6" w:rsidRDefault="000431B6" w:rsidP="007E7DEE">
      <w:pPr>
        <w:ind w:left="360"/>
        <w:rPr>
          <w:rFonts w:ascii="Times New Roman" w:hAnsi="Times New Roman" w:cs="Times New Roman"/>
        </w:rPr>
      </w:pPr>
    </w:p>
    <w:p w14:paraId="2D0E5ADB" w14:textId="77777777" w:rsidR="00FA4A3B" w:rsidRPr="001B229E" w:rsidRDefault="00FA4A3B" w:rsidP="007E7DEE">
      <w:pPr>
        <w:ind w:left="360"/>
        <w:rPr>
          <w:rFonts w:ascii="Times New Roman" w:hAnsi="Times New Roman" w:cs="Times New Roman"/>
        </w:rPr>
      </w:pPr>
    </w:p>
    <w:p w14:paraId="5A3CABB6" w14:textId="77777777" w:rsidR="00544C44" w:rsidRPr="001B229E" w:rsidRDefault="000431B6" w:rsidP="007E7DEE">
      <w:pPr>
        <w:ind w:left="360"/>
        <w:rPr>
          <w:rFonts w:ascii="Times New Roman" w:hAnsi="Times New Roman" w:cs="Times New Roman"/>
        </w:rPr>
      </w:pPr>
      <w:r w:rsidRPr="001B229E">
        <w:rPr>
          <w:rFonts w:ascii="Times New Roman" w:hAnsi="Times New Roman" w:cs="Times New Roman"/>
        </w:rPr>
        <w:tab/>
      </w:r>
      <w:r w:rsidRPr="001B229E">
        <w:rPr>
          <w:rFonts w:ascii="Times New Roman" w:hAnsi="Times New Roman" w:cs="Times New Roman"/>
        </w:rPr>
        <w:tab/>
      </w:r>
      <w:r w:rsidRPr="001B229E">
        <w:rPr>
          <w:rFonts w:ascii="Times New Roman" w:hAnsi="Times New Roman" w:cs="Times New Roman"/>
        </w:rPr>
        <w:tab/>
      </w:r>
      <w:r w:rsidRPr="001B229E">
        <w:rPr>
          <w:rFonts w:ascii="Times New Roman" w:hAnsi="Times New Roman" w:cs="Times New Roman"/>
        </w:rPr>
        <w:tab/>
      </w:r>
      <w:r w:rsidRPr="001B229E">
        <w:rPr>
          <w:rFonts w:ascii="Times New Roman" w:hAnsi="Times New Roman" w:cs="Times New Roman"/>
        </w:rPr>
        <w:tab/>
      </w:r>
      <w:r w:rsidRPr="001B229E">
        <w:rPr>
          <w:rFonts w:ascii="Times New Roman" w:hAnsi="Times New Roman" w:cs="Times New Roman"/>
        </w:rPr>
        <w:tab/>
      </w:r>
      <w:r w:rsidRPr="001B229E">
        <w:rPr>
          <w:rFonts w:ascii="Times New Roman" w:hAnsi="Times New Roman" w:cs="Times New Roman"/>
        </w:rPr>
        <w:tab/>
      </w:r>
    </w:p>
    <w:p w14:paraId="6D62F3B0" w14:textId="77777777" w:rsidR="00433725" w:rsidRPr="001B229E" w:rsidRDefault="00433725" w:rsidP="00433725">
      <w:pPr>
        <w:widowControl w:val="0"/>
        <w:autoSpaceDE w:val="0"/>
        <w:autoSpaceDN w:val="0"/>
        <w:adjustRightInd w:val="0"/>
        <w:ind w:left="5760"/>
        <w:rPr>
          <w:rFonts w:ascii="Times New Roman" w:hAnsi="Times New Roman" w:cs="Times New Roman"/>
        </w:rPr>
      </w:pPr>
      <w:r w:rsidRPr="001B229E">
        <w:rPr>
          <w:rFonts w:ascii="Times New Roman" w:hAnsi="Times New Roman" w:cs="Times New Roman"/>
        </w:rPr>
        <w:t>/s/ KATHLEEN KAPLA</w:t>
      </w:r>
    </w:p>
    <w:p w14:paraId="082BA01A" w14:textId="77777777" w:rsidR="00433725" w:rsidRPr="001B229E" w:rsidRDefault="00433725" w:rsidP="00433725">
      <w:pPr>
        <w:widowControl w:val="0"/>
        <w:autoSpaceDE w:val="0"/>
        <w:autoSpaceDN w:val="0"/>
        <w:adjustRightInd w:val="0"/>
        <w:ind w:left="5760"/>
        <w:rPr>
          <w:rFonts w:ascii="Times New Roman" w:hAnsi="Times New Roman" w:cs="Times New Roman"/>
        </w:rPr>
      </w:pPr>
      <w:r w:rsidRPr="001B229E">
        <w:rPr>
          <w:rFonts w:ascii="Times New Roman" w:hAnsi="Times New Roman" w:cs="Times New Roman"/>
        </w:rPr>
        <w:t>___________________________</w:t>
      </w:r>
    </w:p>
    <w:p w14:paraId="0CA9ADFC" w14:textId="77777777" w:rsidR="00433725" w:rsidRPr="001B229E" w:rsidRDefault="00433725" w:rsidP="00433725">
      <w:pPr>
        <w:widowControl w:val="0"/>
        <w:autoSpaceDE w:val="0"/>
        <w:autoSpaceDN w:val="0"/>
        <w:adjustRightInd w:val="0"/>
        <w:ind w:left="5760"/>
        <w:rPr>
          <w:rFonts w:ascii="Times New Roman" w:hAnsi="Times New Roman" w:cs="Times New Roman"/>
        </w:rPr>
      </w:pPr>
      <w:r w:rsidRPr="001B229E">
        <w:rPr>
          <w:rFonts w:ascii="Times New Roman" w:hAnsi="Times New Roman" w:cs="Times New Roman"/>
        </w:rPr>
        <w:t xml:space="preserve">Kathleen D. </w:t>
      </w:r>
      <w:proofErr w:type="spellStart"/>
      <w:r w:rsidRPr="001B229E">
        <w:rPr>
          <w:rFonts w:ascii="Times New Roman" w:hAnsi="Times New Roman" w:cs="Times New Roman"/>
        </w:rPr>
        <w:t>Kapla</w:t>
      </w:r>
      <w:proofErr w:type="spellEnd"/>
    </w:p>
    <w:p w14:paraId="64845A49" w14:textId="353FCF49" w:rsidR="00433725" w:rsidRPr="001B229E" w:rsidRDefault="00433725" w:rsidP="00433725">
      <w:pPr>
        <w:widowControl w:val="0"/>
        <w:autoSpaceDE w:val="0"/>
        <w:autoSpaceDN w:val="0"/>
        <w:adjustRightInd w:val="0"/>
        <w:ind w:left="5760"/>
        <w:rPr>
          <w:rFonts w:ascii="Times New Roman" w:hAnsi="Times New Roman" w:cs="Times New Roman"/>
        </w:rPr>
      </w:pPr>
      <w:r w:rsidRPr="001B229E">
        <w:rPr>
          <w:rFonts w:ascii="Times New Roman" w:hAnsi="Times New Roman" w:cs="Times New Roman"/>
        </w:rPr>
        <w:t>8205 31st Ave. NE</w:t>
      </w:r>
    </w:p>
    <w:p w14:paraId="44889622" w14:textId="77777777" w:rsidR="00433725" w:rsidRPr="001B229E" w:rsidRDefault="00433725" w:rsidP="00433725">
      <w:pPr>
        <w:widowControl w:val="0"/>
        <w:autoSpaceDE w:val="0"/>
        <w:autoSpaceDN w:val="0"/>
        <w:adjustRightInd w:val="0"/>
        <w:ind w:left="5760"/>
        <w:rPr>
          <w:rFonts w:ascii="Times New Roman" w:hAnsi="Times New Roman" w:cs="Times New Roman"/>
        </w:rPr>
      </w:pPr>
      <w:r w:rsidRPr="001B229E">
        <w:rPr>
          <w:rFonts w:ascii="Times New Roman" w:hAnsi="Times New Roman" w:cs="Times New Roman"/>
        </w:rPr>
        <w:t>Seattle, Washington 98115</w:t>
      </w:r>
    </w:p>
    <w:p w14:paraId="46F47A9B" w14:textId="77777777" w:rsidR="00433725" w:rsidRPr="001B229E" w:rsidRDefault="00433725" w:rsidP="00433725">
      <w:pPr>
        <w:widowControl w:val="0"/>
        <w:autoSpaceDE w:val="0"/>
        <w:autoSpaceDN w:val="0"/>
        <w:adjustRightInd w:val="0"/>
        <w:ind w:left="5760"/>
        <w:rPr>
          <w:rFonts w:ascii="Times New Roman" w:hAnsi="Times New Roman" w:cs="Times New Roman"/>
        </w:rPr>
      </w:pPr>
      <w:r w:rsidRPr="001B229E">
        <w:rPr>
          <w:rFonts w:ascii="Times New Roman" w:hAnsi="Times New Roman" w:cs="Times New Roman"/>
        </w:rPr>
        <w:t>(206) 419-3632</w:t>
      </w:r>
    </w:p>
    <w:p w14:paraId="247A687B" w14:textId="2C10677F" w:rsidR="000431B6" w:rsidRPr="001B229E" w:rsidRDefault="00433725" w:rsidP="00433725">
      <w:pPr>
        <w:ind w:left="5400" w:firstLine="360"/>
        <w:rPr>
          <w:rFonts w:ascii="Times New Roman" w:hAnsi="Times New Roman" w:cs="Times New Roman"/>
        </w:rPr>
      </w:pPr>
      <w:r w:rsidRPr="001B229E">
        <w:rPr>
          <w:rFonts w:ascii="Times New Roman" w:hAnsi="Times New Roman" w:cs="Times New Roman"/>
        </w:rPr>
        <w:t>kkapla@kfwlaw.com</w:t>
      </w:r>
    </w:p>
    <w:sectPr w:rsidR="000431B6" w:rsidRPr="001B229E" w:rsidSect="006D664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2DC54" w14:textId="77777777" w:rsidR="003E4949" w:rsidRDefault="003E4949" w:rsidP="00784EE5">
      <w:r>
        <w:separator/>
      </w:r>
    </w:p>
  </w:endnote>
  <w:endnote w:type="continuationSeparator" w:id="0">
    <w:p w14:paraId="070D1070" w14:textId="77777777" w:rsidR="003E4949" w:rsidRDefault="003E4949" w:rsidP="0078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00500000000000000"/>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8460" w14:textId="77777777" w:rsidR="003E4949" w:rsidRDefault="003E4949" w:rsidP="00291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5108E88" w14:textId="1326A09B" w:rsidR="003E4949" w:rsidRDefault="002F4A05" w:rsidP="001A583A">
    <w:pPr>
      <w:pStyle w:val="Footer"/>
      <w:ind w:right="360"/>
    </w:pPr>
    <w:sdt>
      <w:sdtPr>
        <w:id w:val="969400743"/>
        <w:placeholder>
          <w:docPart w:val="3DA6E53DBD71B54A85056A03B7966B3E"/>
        </w:placeholder>
        <w:temporary/>
        <w:showingPlcHdr/>
      </w:sdtPr>
      <w:sdtEndPr/>
      <w:sdtContent>
        <w:r w:rsidR="003E4949">
          <w:t>[Type text]</w:t>
        </w:r>
      </w:sdtContent>
    </w:sdt>
    <w:r w:rsidR="003E4949">
      <w:ptab w:relativeTo="margin" w:alignment="center" w:leader="none"/>
    </w:r>
    <w:sdt>
      <w:sdtPr>
        <w:id w:val="969400748"/>
        <w:placeholder>
          <w:docPart w:val="D1E722344940EB4ABB39F301DF279738"/>
        </w:placeholder>
        <w:temporary/>
        <w:showingPlcHdr/>
      </w:sdtPr>
      <w:sdtEndPr/>
      <w:sdtContent>
        <w:r w:rsidR="003E4949">
          <w:t>[Type text]</w:t>
        </w:r>
      </w:sdtContent>
    </w:sdt>
    <w:r w:rsidR="003E4949">
      <w:ptab w:relativeTo="margin" w:alignment="right" w:leader="none"/>
    </w:r>
    <w:sdt>
      <w:sdtPr>
        <w:id w:val="969400753"/>
        <w:placeholder>
          <w:docPart w:val="288E37D8D075CA4BADBE72C99BF8A5CF"/>
        </w:placeholder>
        <w:temporary/>
        <w:showingPlcHdr/>
      </w:sdtPr>
      <w:sdtEndPr/>
      <w:sdtContent>
        <w:r w:rsidR="003E494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2DAE1" w14:textId="4436BA4A" w:rsidR="003E4949" w:rsidRPr="00F954C7" w:rsidRDefault="003E4949" w:rsidP="000415F2">
    <w:pPr>
      <w:pStyle w:val="Footer"/>
      <w:rPr>
        <w:rFonts w:ascii="Times New Roman" w:hAnsi="Times New Roman" w:cs="Times New Roman"/>
        <w:sz w:val="20"/>
        <w:szCs w:val="20"/>
      </w:rPr>
    </w:pPr>
    <w:r w:rsidRPr="00F954C7">
      <w:rPr>
        <w:rFonts w:ascii="Times New Roman" w:hAnsi="Times New Roman" w:cs="Times New Roman"/>
        <w:sz w:val="20"/>
        <w:szCs w:val="20"/>
      </w:rPr>
      <w:t xml:space="preserve">THE ALLIANCE FOR SOLAR CHOICE BRIEF- </w:t>
    </w:r>
    <w:r w:rsidRPr="00F954C7">
      <w:rPr>
        <w:rStyle w:val="PageNumber"/>
        <w:rFonts w:ascii="Times New Roman" w:hAnsi="Times New Roman" w:cs="Times New Roman"/>
        <w:sz w:val="20"/>
        <w:szCs w:val="20"/>
      </w:rPr>
      <w:fldChar w:fldCharType="begin"/>
    </w:r>
    <w:r w:rsidRPr="00F954C7">
      <w:rPr>
        <w:rStyle w:val="PageNumber"/>
        <w:rFonts w:ascii="Times New Roman" w:hAnsi="Times New Roman" w:cs="Times New Roman"/>
        <w:sz w:val="20"/>
        <w:szCs w:val="20"/>
      </w:rPr>
      <w:instrText xml:space="preserve"> PAGE </w:instrText>
    </w:r>
    <w:r w:rsidRPr="00F954C7">
      <w:rPr>
        <w:rStyle w:val="PageNumber"/>
        <w:rFonts w:ascii="Times New Roman" w:hAnsi="Times New Roman" w:cs="Times New Roman"/>
        <w:sz w:val="20"/>
        <w:szCs w:val="20"/>
      </w:rPr>
      <w:fldChar w:fldCharType="separate"/>
    </w:r>
    <w:r w:rsidR="002F4A05">
      <w:rPr>
        <w:rStyle w:val="PageNumber"/>
        <w:rFonts w:ascii="Times New Roman" w:hAnsi="Times New Roman" w:cs="Times New Roman"/>
        <w:noProof/>
        <w:sz w:val="20"/>
        <w:szCs w:val="20"/>
      </w:rPr>
      <w:t>iii</w:t>
    </w:r>
    <w:r w:rsidRPr="00F954C7">
      <w:rPr>
        <w:rStyle w:val="PageNumber"/>
        <w:rFonts w:ascii="Times New Roman" w:hAnsi="Times New Roman" w:cs="Times New Roman"/>
        <w:sz w:val="20"/>
        <w:szCs w:val="20"/>
      </w:rPr>
      <w:fldChar w:fldCharType="end"/>
    </w:r>
  </w:p>
  <w:p w14:paraId="06313911" w14:textId="582E59AB" w:rsidR="003E4949" w:rsidRPr="000415F2" w:rsidRDefault="003E4949" w:rsidP="000415F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A5897" w14:textId="17AB9EEC" w:rsidR="003E4949" w:rsidRPr="00F954C7" w:rsidRDefault="003E4949" w:rsidP="000415F2">
    <w:pPr>
      <w:pStyle w:val="Footer"/>
      <w:rPr>
        <w:rFonts w:ascii="Times New Roman" w:hAnsi="Times New Roman" w:cs="Times New Roman"/>
        <w:sz w:val="20"/>
        <w:szCs w:val="20"/>
      </w:rPr>
    </w:pPr>
    <w:r w:rsidRPr="00F954C7">
      <w:rPr>
        <w:rFonts w:ascii="Times New Roman" w:hAnsi="Times New Roman" w:cs="Times New Roman"/>
        <w:sz w:val="20"/>
        <w:szCs w:val="20"/>
      </w:rPr>
      <w:t>THE ALLIANCE FOR SOLAR CHOICE BRI</w:t>
    </w:r>
    <w:r>
      <w:rPr>
        <w:rFonts w:ascii="Times New Roman" w:hAnsi="Times New Roman" w:cs="Times New Roman"/>
        <w:sz w:val="20"/>
        <w:szCs w:val="20"/>
      </w:rPr>
      <w:t>E</w:t>
    </w:r>
    <w:r w:rsidRPr="00F954C7">
      <w:rPr>
        <w:rFonts w:ascii="Times New Roman" w:hAnsi="Times New Roman" w:cs="Times New Roman"/>
        <w:sz w:val="20"/>
        <w:szCs w:val="20"/>
      </w:rPr>
      <w:t xml:space="preserve">F- </w:t>
    </w:r>
    <w:r w:rsidRPr="00F954C7">
      <w:rPr>
        <w:rStyle w:val="PageNumber"/>
        <w:rFonts w:ascii="Times New Roman" w:hAnsi="Times New Roman" w:cs="Times New Roman"/>
        <w:sz w:val="20"/>
        <w:szCs w:val="20"/>
      </w:rPr>
      <w:fldChar w:fldCharType="begin"/>
    </w:r>
    <w:r w:rsidRPr="00F954C7">
      <w:rPr>
        <w:rStyle w:val="PageNumber"/>
        <w:rFonts w:ascii="Times New Roman" w:hAnsi="Times New Roman" w:cs="Times New Roman"/>
        <w:sz w:val="20"/>
        <w:szCs w:val="20"/>
      </w:rPr>
      <w:instrText xml:space="preserve"> PAGE </w:instrText>
    </w:r>
    <w:r w:rsidRPr="00F954C7">
      <w:rPr>
        <w:rStyle w:val="PageNumber"/>
        <w:rFonts w:ascii="Times New Roman" w:hAnsi="Times New Roman" w:cs="Times New Roman"/>
        <w:sz w:val="20"/>
        <w:szCs w:val="20"/>
      </w:rPr>
      <w:fldChar w:fldCharType="separate"/>
    </w:r>
    <w:r w:rsidR="002F4A05">
      <w:rPr>
        <w:rStyle w:val="PageNumber"/>
        <w:rFonts w:ascii="Times New Roman" w:hAnsi="Times New Roman" w:cs="Times New Roman"/>
        <w:noProof/>
        <w:sz w:val="20"/>
        <w:szCs w:val="20"/>
      </w:rPr>
      <w:t>10</w:t>
    </w:r>
    <w:r w:rsidRPr="00F954C7">
      <w:rPr>
        <w:rStyle w:val="PageNumber"/>
        <w:rFonts w:ascii="Times New Roman" w:hAnsi="Times New Roman" w:cs="Times New Roman"/>
        <w:sz w:val="20"/>
        <w:szCs w:val="20"/>
      </w:rPr>
      <w:fldChar w:fldCharType="end"/>
    </w:r>
  </w:p>
  <w:p w14:paraId="419550D4" w14:textId="77777777" w:rsidR="003E4949" w:rsidRPr="000415F2" w:rsidRDefault="003E4949" w:rsidP="000415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66EFB" w14:textId="77777777" w:rsidR="003E4949" w:rsidRDefault="003E4949" w:rsidP="00784EE5">
      <w:r>
        <w:separator/>
      </w:r>
    </w:p>
  </w:footnote>
  <w:footnote w:type="continuationSeparator" w:id="0">
    <w:p w14:paraId="03AA8BC6" w14:textId="77777777" w:rsidR="003E4949" w:rsidRDefault="003E4949" w:rsidP="00784EE5">
      <w:r>
        <w:continuationSeparator/>
      </w:r>
    </w:p>
  </w:footnote>
  <w:footnote w:id="1">
    <w:p w14:paraId="1CC4C581" w14:textId="320DC4D1"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148.</w:t>
      </w:r>
    </w:p>
  </w:footnote>
  <w:footnote w:id="2">
    <w:p w14:paraId="6FB05BD3" w14:textId="77777777" w:rsidR="003E4949" w:rsidRPr="001B229E" w:rsidRDefault="003E4949" w:rsidP="00397298">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r w:rsidRPr="001B229E">
        <w:rPr>
          <w:rFonts w:ascii="Times New Roman" w:hAnsi="Times New Roman" w:cs="Times New Roman"/>
          <w:i/>
          <w:sz w:val="20"/>
          <w:szCs w:val="20"/>
        </w:rPr>
        <w:t>Re Amending and Repealing Rules in WAC 480-108 Relating to Electric Companies-Interconnection With Electric Generators</w:t>
      </w:r>
      <w:r w:rsidRPr="001B229E">
        <w:rPr>
          <w:rFonts w:ascii="Times New Roman" w:hAnsi="Times New Roman" w:cs="Times New Roman"/>
          <w:sz w:val="20"/>
          <w:szCs w:val="20"/>
        </w:rPr>
        <w:t xml:space="preserve">, Docket UE-112133, Interpretive Statement Concerning Commission Jurisdiction and Regulation of Third-Party Owners of Net Metering Facilities (July 30, 2014), </w:t>
      </w:r>
      <w:r w:rsidRPr="001B229E">
        <w:rPr>
          <w:rFonts w:ascii="Times New Roman" w:hAnsi="Times New Roman" w:cs="Times New Roman"/>
          <w:color w:val="000000"/>
          <w:sz w:val="20"/>
          <w:szCs w:val="20"/>
        </w:rPr>
        <w:t>¶ 6 (“</w:t>
      </w:r>
      <w:r w:rsidRPr="001B229E">
        <w:rPr>
          <w:rFonts w:ascii="Times New Roman" w:hAnsi="Times New Roman" w:cs="Times New Roman"/>
          <w:sz w:val="20"/>
          <w:szCs w:val="20"/>
        </w:rPr>
        <w:t>This statement provides our current opinion regarding the Commission’s jurisdiction over third-party owners of net-metered systems</w:t>
      </w:r>
      <w:r w:rsidRPr="001B229E">
        <w:rPr>
          <w:rFonts w:ascii="Times New Roman" w:hAnsi="Times New Roman" w:cs="Times New Roman"/>
          <w:color w:val="000000"/>
          <w:sz w:val="20"/>
          <w:szCs w:val="20"/>
        </w:rPr>
        <w:t xml:space="preserve">.”) </w:t>
      </w:r>
    </w:p>
  </w:footnote>
  <w:footnote w:id="3">
    <w:p w14:paraId="090465E2" w14:textId="0CFCDB6C" w:rsidR="003E4949" w:rsidRPr="00822537" w:rsidRDefault="003E4949">
      <w:pPr>
        <w:pStyle w:val="FootnoteText"/>
        <w:rPr>
          <w:rFonts w:ascii="Times New Roman" w:hAnsi="Times New Roman" w:cs="Times New Roman"/>
          <w:sz w:val="20"/>
          <w:szCs w:val="20"/>
        </w:rPr>
      </w:pPr>
      <w:r w:rsidRPr="00822537">
        <w:rPr>
          <w:rStyle w:val="FootnoteReference"/>
          <w:rFonts w:ascii="Times New Roman" w:hAnsi="Times New Roman" w:cs="Times New Roman"/>
          <w:sz w:val="20"/>
          <w:szCs w:val="20"/>
        </w:rPr>
        <w:footnoteRef/>
      </w:r>
      <w:r w:rsidRPr="00822537">
        <w:rPr>
          <w:rFonts w:ascii="Times New Roman" w:hAnsi="Times New Roman" w:cs="Times New Roman"/>
          <w:sz w:val="20"/>
          <w:szCs w:val="20"/>
        </w:rPr>
        <w:t xml:space="preserve"> </w:t>
      </w:r>
      <w:proofErr w:type="gramStart"/>
      <w:r w:rsidRPr="00822537">
        <w:rPr>
          <w:rFonts w:ascii="Times New Roman" w:hAnsi="Times New Roman" w:cs="Times New Roman"/>
          <w:sz w:val="20"/>
          <w:szCs w:val="20"/>
        </w:rPr>
        <w:t xml:space="preserve">Steward, </w:t>
      </w:r>
      <w:proofErr w:type="spellStart"/>
      <w:r w:rsidRPr="00822537">
        <w:rPr>
          <w:rFonts w:ascii="Times New Roman" w:hAnsi="Times New Roman" w:cs="Times New Roman"/>
          <w:sz w:val="20"/>
          <w:szCs w:val="20"/>
        </w:rPr>
        <w:t>Exh</w:t>
      </w:r>
      <w:proofErr w:type="spellEnd"/>
      <w:r w:rsidRPr="00822537">
        <w:rPr>
          <w:rFonts w:ascii="Times New Roman" w:hAnsi="Times New Roman" w:cs="Times New Roman"/>
          <w:sz w:val="20"/>
          <w:szCs w:val="20"/>
        </w:rPr>
        <w:t>.</w:t>
      </w:r>
      <w:proofErr w:type="gramEnd"/>
      <w:r w:rsidRPr="00822537">
        <w:rPr>
          <w:rFonts w:ascii="Times New Roman" w:hAnsi="Times New Roman" w:cs="Times New Roman"/>
          <w:sz w:val="20"/>
          <w:szCs w:val="20"/>
        </w:rPr>
        <w:t xml:space="preserve"> No. JRS-13T 24:5-7 (60 percent growth in DG from 2013 through October 2014)</w:t>
      </w:r>
      <w:r>
        <w:rPr>
          <w:rFonts w:ascii="Times New Roman" w:hAnsi="Times New Roman" w:cs="Times New Roman"/>
          <w:sz w:val="20"/>
          <w:szCs w:val="20"/>
        </w:rPr>
        <w:t>.</w:t>
      </w:r>
    </w:p>
  </w:footnote>
  <w:footnote w:id="4">
    <w:p w14:paraId="39C24048" w14:textId="62A88971" w:rsidR="003E4949" w:rsidRPr="00822537" w:rsidRDefault="003E4949" w:rsidP="001B5427">
      <w:pPr>
        <w:pStyle w:val="BodyText"/>
        <w:kinsoku w:val="0"/>
        <w:overflowPunct w:val="0"/>
        <w:spacing w:line="199" w:lineRule="exact"/>
        <w:ind w:left="0"/>
        <w:rPr>
          <w:sz w:val="20"/>
          <w:szCs w:val="20"/>
        </w:rPr>
      </w:pPr>
      <w:r w:rsidRPr="00822537">
        <w:rPr>
          <w:rStyle w:val="FootnoteReference"/>
          <w:sz w:val="20"/>
          <w:szCs w:val="20"/>
        </w:rPr>
        <w:footnoteRef/>
      </w:r>
      <w:r w:rsidRPr="00822537">
        <w:rPr>
          <w:sz w:val="20"/>
          <w:szCs w:val="20"/>
        </w:rPr>
        <w:t xml:space="preserve"> </w:t>
      </w:r>
      <w:proofErr w:type="spellStart"/>
      <w:r w:rsidRPr="00822537">
        <w:rPr>
          <w:w w:val="105"/>
          <w:sz w:val="20"/>
          <w:szCs w:val="20"/>
        </w:rPr>
        <w:t>Twitchell</w:t>
      </w:r>
      <w:proofErr w:type="spellEnd"/>
      <w:r w:rsidRPr="00822537">
        <w:rPr>
          <w:w w:val="105"/>
          <w:sz w:val="20"/>
          <w:szCs w:val="20"/>
        </w:rPr>
        <w:t>,</w:t>
      </w:r>
      <w:r w:rsidRPr="00822537">
        <w:rPr>
          <w:spacing w:val="-10"/>
          <w:w w:val="105"/>
          <w:sz w:val="20"/>
          <w:szCs w:val="20"/>
        </w:rPr>
        <w:t xml:space="preserve"> </w:t>
      </w:r>
      <w:r w:rsidRPr="00822537">
        <w:rPr>
          <w:spacing w:val="1"/>
          <w:w w:val="105"/>
          <w:sz w:val="20"/>
          <w:szCs w:val="20"/>
        </w:rPr>
        <w:t>TR.</w:t>
      </w:r>
      <w:r w:rsidRPr="00822537">
        <w:rPr>
          <w:spacing w:val="-10"/>
          <w:w w:val="105"/>
          <w:sz w:val="20"/>
          <w:szCs w:val="20"/>
        </w:rPr>
        <w:t xml:space="preserve"> </w:t>
      </w:r>
      <w:r w:rsidRPr="00822537">
        <w:rPr>
          <w:w w:val="105"/>
          <w:sz w:val="20"/>
          <w:szCs w:val="20"/>
        </w:rPr>
        <w:t>652:</w:t>
      </w:r>
      <w:r w:rsidRPr="00822537">
        <w:rPr>
          <w:spacing w:val="-10"/>
          <w:w w:val="105"/>
          <w:sz w:val="20"/>
          <w:szCs w:val="20"/>
        </w:rPr>
        <w:t xml:space="preserve"> </w:t>
      </w:r>
      <w:r w:rsidRPr="00822537">
        <w:rPr>
          <w:w w:val="105"/>
          <w:sz w:val="20"/>
          <w:szCs w:val="20"/>
        </w:rPr>
        <w:t>5.</w:t>
      </w:r>
    </w:p>
  </w:footnote>
  <w:footnote w:id="5">
    <w:p w14:paraId="0095CFA0" w14:textId="7A6843C5" w:rsidR="003E4949" w:rsidRPr="00822537" w:rsidRDefault="003E4949" w:rsidP="001B5427">
      <w:pPr>
        <w:pStyle w:val="FootnoteText"/>
        <w:rPr>
          <w:rFonts w:ascii="Times New Roman" w:hAnsi="Times New Roman" w:cs="Times New Roman"/>
          <w:sz w:val="20"/>
          <w:szCs w:val="20"/>
        </w:rPr>
      </w:pPr>
      <w:r w:rsidRPr="00822537">
        <w:rPr>
          <w:rStyle w:val="FootnoteReference"/>
          <w:rFonts w:ascii="Times New Roman" w:hAnsi="Times New Roman" w:cs="Times New Roman"/>
          <w:sz w:val="20"/>
          <w:szCs w:val="20"/>
        </w:rPr>
        <w:footnoteRef/>
      </w:r>
      <w:r w:rsidRPr="00822537">
        <w:rPr>
          <w:rFonts w:ascii="Times New Roman" w:hAnsi="Times New Roman" w:cs="Times New Roman"/>
          <w:sz w:val="20"/>
          <w:szCs w:val="20"/>
        </w:rPr>
        <w:t xml:space="preserve"> </w:t>
      </w:r>
      <w:proofErr w:type="spellStart"/>
      <w:r w:rsidRPr="00822537">
        <w:rPr>
          <w:rFonts w:ascii="Times New Roman" w:hAnsi="Times New Roman" w:cs="Times New Roman"/>
          <w:sz w:val="20"/>
          <w:szCs w:val="20"/>
        </w:rPr>
        <w:t>Twitchell</w:t>
      </w:r>
      <w:proofErr w:type="spellEnd"/>
      <w:r w:rsidRPr="00822537">
        <w:rPr>
          <w:rFonts w:ascii="Times New Roman" w:hAnsi="Times New Roman" w:cs="Times New Roman"/>
          <w:sz w:val="20"/>
          <w:szCs w:val="20"/>
        </w:rPr>
        <w:t>, TR. 631:2-14</w:t>
      </w:r>
      <w:r>
        <w:rPr>
          <w:rFonts w:ascii="Times New Roman" w:hAnsi="Times New Roman" w:cs="Times New Roman"/>
          <w:sz w:val="20"/>
          <w:szCs w:val="20"/>
        </w:rPr>
        <w:t>.</w:t>
      </w:r>
    </w:p>
  </w:footnote>
  <w:footnote w:id="6">
    <w:p w14:paraId="13867DE9" w14:textId="7D2D29E0" w:rsidR="003E4949" w:rsidRPr="00822537" w:rsidRDefault="003E4949" w:rsidP="00E84820">
      <w:pPr>
        <w:pStyle w:val="FootnoteText"/>
        <w:rPr>
          <w:rFonts w:ascii="Times New Roman" w:hAnsi="Times New Roman" w:cs="Times New Roman"/>
          <w:sz w:val="20"/>
          <w:szCs w:val="20"/>
        </w:rPr>
      </w:pPr>
      <w:r w:rsidRPr="00822537">
        <w:rPr>
          <w:rStyle w:val="FootnoteReference"/>
          <w:rFonts w:ascii="Times New Roman" w:hAnsi="Times New Roman" w:cs="Times New Roman"/>
          <w:sz w:val="20"/>
          <w:szCs w:val="20"/>
        </w:rPr>
        <w:footnoteRef/>
      </w:r>
      <w:r w:rsidRPr="00822537">
        <w:rPr>
          <w:rFonts w:ascii="Times New Roman" w:hAnsi="Times New Roman" w:cs="Times New Roman"/>
          <w:sz w:val="20"/>
          <w:szCs w:val="20"/>
        </w:rPr>
        <w:t xml:space="preserve"> </w:t>
      </w:r>
      <w:proofErr w:type="spellStart"/>
      <w:r w:rsidRPr="00822537">
        <w:rPr>
          <w:rFonts w:ascii="Times New Roman" w:hAnsi="Times New Roman" w:cs="Times New Roman"/>
          <w:sz w:val="20"/>
          <w:szCs w:val="20"/>
        </w:rPr>
        <w:t>Twitchell</w:t>
      </w:r>
      <w:proofErr w:type="spellEnd"/>
      <w:r w:rsidRPr="00822537">
        <w:rPr>
          <w:rFonts w:ascii="Times New Roman" w:hAnsi="Times New Roman" w:cs="Times New Roman"/>
          <w:sz w:val="20"/>
          <w:szCs w:val="20"/>
        </w:rPr>
        <w:t>, TR. 615: 9-17.</w:t>
      </w:r>
    </w:p>
  </w:footnote>
  <w:footnote w:id="7">
    <w:p w14:paraId="45D6A0DD" w14:textId="4C4F7F5B" w:rsidR="003E4949" w:rsidRPr="00822537" w:rsidRDefault="003E4949">
      <w:pPr>
        <w:pStyle w:val="FootnoteText"/>
        <w:rPr>
          <w:rFonts w:ascii="Times New Roman" w:hAnsi="Times New Roman" w:cs="Times New Roman"/>
          <w:sz w:val="20"/>
          <w:szCs w:val="20"/>
        </w:rPr>
      </w:pPr>
      <w:r w:rsidRPr="00822537">
        <w:rPr>
          <w:rStyle w:val="FootnoteReference"/>
          <w:rFonts w:ascii="Times New Roman" w:hAnsi="Times New Roman" w:cs="Times New Roman"/>
          <w:sz w:val="20"/>
          <w:szCs w:val="20"/>
        </w:rPr>
        <w:footnoteRef/>
      </w:r>
      <w:r w:rsidRPr="00822537">
        <w:rPr>
          <w:rFonts w:ascii="Times New Roman" w:hAnsi="Times New Roman" w:cs="Times New Roman"/>
          <w:sz w:val="20"/>
          <w:szCs w:val="20"/>
        </w:rPr>
        <w:t xml:space="preserve">  </w:t>
      </w:r>
      <w:proofErr w:type="spellStart"/>
      <w:r w:rsidRPr="00822537">
        <w:rPr>
          <w:rFonts w:ascii="Times New Roman" w:hAnsi="Times New Roman" w:cs="Times New Roman"/>
          <w:sz w:val="20"/>
          <w:szCs w:val="20"/>
        </w:rPr>
        <w:t>Twitchell</w:t>
      </w:r>
      <w:proofErr w:type="spellEnd"/>
      <w:r w:rsidRPr="00822537">
        <w:rPr>
          <w:rFonts w:ascii="Times New Roman" w:hAnsi="Times New Roman" w:cs="Times New Roman"/>
          <w:sz w:val="20"/>
          <w:szCs w:val="20"/>
        </w:rPr>
        <w:t>, TR. 652: 5-8.</w:t>
      </w:r>
    </w:p>
  </w:footnote>
  <w:footnote w:id="8">
    <w:p w14:paraId="33124CB7" w14:textId="5A70A07A" w:rsidR="003E4949" w:rsidRPr="00822537" w:rsidRDefault="003E4949" w:rsidP="007C12D3">
      <w:pPr>
        <w:pStyle w:val="BodyText"/>
        <w:kinsoku w:val="0"/>
        <w:overflowPunct w:val="0"/>
        <w:spacing w:line="265" w:lineRule="exact"/>
        <w:ind w:left="0"/>
        <w:rPr>
          <w:sz w:val="20"/>
          <w:szCs w:val="20"/>
        </w:rPr>
      </w:pPr>
      <w:r w:rsidRPr="00822537">
        <w:rPr>
          <w:rStyle w:val="FootnoteReference"/>
          <w:sz w:val="20"/>
          <w:szCs w:val="20"/>
        </w:rPr>
        <w:footnoteRef/>
      </w:r>
      <w:r w:rsidRPr="00822537">
        <w:rPr>
          <w:sz w:val="20"/>
          <w:szCs w:val="20"/>
        </w:rPr>
        <w:t xml:space="preserve"> </w:t>
      </w:r>
      <w:proofErr w:type="spellStart"/>
      <w:r w:rsidRPr="00822537">
        <w:rPr>
          <w:sz w:val="20"/>
          <w:szCs w:val="20"/>
        </w:rPr>
        <w:t>Twitchell</w:t>
      </w:r>
      <w:proofErr w:type="spellEnd"/>
      <w:r w:rsidRPr="00822537">
        <w:rPr>
          <w:sz w:val="20"/>
          <w:szCs w:val="20"/>
        </w:rPr>
        <w:t>, TR. 652: 17-24 (</w:t>
      </w:r>
      <w:r w:rsidRPr="00822537">
        <w:rPr>
          <w:i/>
          <w:sz w:val="20"/>
          <w:szCs w:val="20"/>
        </w:rPr>
        <w:t xml:space="preserve">stating </w:t>
      </w:r>
      <w:r w:rsidRPr="00822537">
        <w:rPr>
          <w:sz w:val="20"/>
          <w:szCs w:val="20"/>
        </w:rPr>
        <w:t>“[</w:t>
      </w:r>
      <w:proofErr w:type="gramStart"/>
      <w:r w:rsidRPr="00822537">
        <w:rPr>
          <w:sz w:val="20"/>
          <w:szCs w:val="20"/>
        </w:rPr>
        <w:t>s]</w:t>
      </w:r>
      <w:proofErr w:type="spellStart"/>
      <w:r w:rsidRPr="00822537">
        <w:rPr>
          <w:sz w:val="20"/>
          <w:szCs w:val="20"/>
        </w:rPr>
        <w:t>taff's</w:t>
      </w:r>
      <w:proofErr w:type="spellEnd"/>
      <w:proofErr w:type="gramEnd"/>
      <w:r w:rsidRPr="00822537">
        <w:rPr>
          <w:sz w:val="20"/>
          <w:szCs w:val="20"/>
        </w:rPr>
        <w:t xml:space="preserve"> </w:t>
      </w:r>
      <w:bookmarkStart w:id="5" w:name="652:5"/>
      <w:bookmarkStart w:id="6" w:name="652:9"/>
      <w:bookmarkStart w:id="7" w:name="652:10"/>
      <w:bookmarkStart w:id="8" w:name="652:3"/>
      <w:bookmarkStart w:id="9" w:name="652:4"/>
      <w:bookmarkStart w:id="10" w:name="652:2"/>
      <w:bookmarkStart w:id="11" w:name="652:11"/>
      <w:bookmarkStart w:id="12" w:name="652:17"/>
      <w:bookmarkStart w:id="13" w:name="652:23"/>
      <w:bookmarkStart w:id="14" w:name="652:22"/>
      <w:bookmarkStart w:id="15" w:name="652:7"/>
      <w:bookmarkStart w:id="16" w:name="652:13"/>
      <w:bookmarkStart w:id="17" w:name="652:14"/>
      <w:bookmarkStart w:id="18" w:name="652:16"/>
      <w:bookmarkStart w:id="19" w:name="652:8"/>
      <w:bookmarkStart w:id="20" w:name="652:15"/>
      <w:bookmarkStart w:id="21" w:name="652:6"/>
      <w:bookmarkStart w:id="22" w:name="652:18"/>
      <w:bookmarkStart w:id="23" w:name="652:20"/>
      <w:bookmarkStart w:id="24" w:name="652:19"/>
      <w:bookmarkStart w:id="25" w:name="652:21"/>
      <w:bookmarkStart w:id="26" w:name="652:25"/>
      <w:bookmarkStart w:id="27" w:name="652:24"/>
      <w:bookmarkStart w:id="28" w:name="652: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22537">
        <w:rPr>
          <w:sz w:val="20"/>
          <w:szCs w:val="20"/>
        </w:rPr>
        <w:t>position, based on the data we looked at, is during heavy load hours these customers are actually producing energy that offsets the energy that PacifiCorp needs to provide for its customers.  And any production that takes place during heavy load hours, even if it's just a fraction of the capacity, even if it's just a few hundred watts, has a benefit to PacifiCorp, to its investors, to ratepayers.”)</w:t>
      </w:r>
    </w:p>
  </w:footnote>
  <w:footnote w:id="9">
    <w:p w14:paraId="2B91AE16" w14:textId="7BDCA346" w:rsidR="003E4949" w:rsidRPr="00822537" w:rsidRDefault="003E4949">
      <w:pPr>
        <w:pStyle w:val="FootnoteText"/>
        <w:rPr>
          <w:rFonts w:ascii="Times New Roman" w:hAnsi="Times New Roman" w:cs="Times New Roman"/>
          <w:sz w:val="20"/>
          <w:szCs w:val="20"/>
        </w:rPr>
      </w:pPr>
      <w:r w:rsidRPr="00822537">
        <w:rPr>
          <w:rStyle w:val="FootnoteReference"/>
          <w:rFonts w:ascii="Times New Roman" w:hAnsi="Times New Roman" w:cs="Times New Roman"/>
          <w:sz w:val="20"/>
          <w:szCs w:val="20"/>
        </w:rPr>
        <w:footnoteRef/>
      </w:r>
      <w:r w:rsidRPr="00822537">
        <w:rPr>
          <w:rFonts w:ascii="Times New Roman" w:hAnsi="Times New Roman" w:cs="Times New Roman"/>
          <w:sz w:val="20"/>
          <w:szCs w:val="20"/>
        </w:rPr>
        <w:t xml:space="preserve"> PacifiCorp Opening Brief, </w:t>
      </w:r>
      <w:r w:rsidRPr="00822537">
        <w:rPr>
          <w:rFonts w:ascii="Times New Roman" w:hAnsi="Times New Roman" w:cs="Times New Roman"/>
          <w:color w:val="000000"/>
          <w:sz w:val="20"/>
          <w:szCs w:val="20"/>
        </w:rPr>
        <w:t>¶ 148.</w:t>
      </w:r>
    </w:p>
  </w:footnote>
  <w:footnote w:id="10">
    <w:p w14:paraId="08CF8192" w14:textId="2264B779"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proofErr w:type="gramStart"/>
      <w:r w:rsidRPr="001B229E">
        <w:rPr>
          <w:rFonts w:ascii="Times New Roman" w:hAnsi="Times New Roman" w:cs="Times New Roman"/>
          <w:i/>
          <w:sz w:val="20"/>
          <w:szCs w:val="20"/>
        </w:rPr>
        <w:t>UTC Report on the Potential for Cost-Effective Distributed Generation in Areas Served by Investor Owned Utilities in Washington State</w:t>
      </w:r>
      <w:r w:rsidRPr="001B229E">
        <w:rPr>
          <w:rFonts w:ascii="Times New Roman" w:hAnsi="Times New Roman" w:cs="Times New Roman"/>
          <w:sz w:val="20"/>
          <w:szCs w:val="20"/>
        </w:rPr>
        <w:t>, Docket UE-110667 at 5, 29 (October 7, 2011).</w:t>
      </w:r>
      <w:proofErr w:type="gramEnd"/>
      <w:r w:rsidRPr="001B229E">
        <w:rPr>
          <w:rFonts w:ascii="Times New Roman" w:hAnsi="Times New Roman" w:cs="Times New Roman"/>
          <w:sz w:val="20"/>
          <w:szCs w:val="20"/>
        </w:rPr>
        <w:t xml:space="preserve"> </w:t>
      </w:r>
      <w:proofErr w:type="gramStart"/>
      <w:r w:rsidRPr="001B229E">
        <w:rPr>
          <w:rFonts w:ascii="Times New Roman" w:hAnsi="Times New Roman" w:cs="Times New Roman"/>
          <w:sz w:val="20"/>
          <w:szCs w:val="20"/>
        </w:rPr>
        <w:t>(Emphasis added, internal citations omitted).</w:t>
      </w:r>
      <w:proofErr w:type="gramEnd"/>
      <w:r w:rsidRPr="001B229E">
        <w:rPr>
          <w:rFonts w:ascii="Times New Roman" w:hAnsi="Times New Roman" w:cs="Times New Roman"/>
          <w:sz w:val="20"/>
          <w:szCs w:val="20"/>
        </w:rPr>
        <w:t xml:space="preserve"> </w:t>
      </w:r>
    </w:p>
  </w:footnote>
  <w:footnote w:id="11">
    <w:p w14:paraId="60773E6A" w14:textId="1D55F6FA"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xml:space="preserve">¶ 152.  </w:t>
      </w:r>
    </w:p>
  </w:footnote>
  <w:footnote w:id="12">
    <w:p w14:paraId="6EC4B3BA" w14:textId="1EA60DBC"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TASC Initial Brief, </w:t>
      </w:r>
      <w:r w:rsidRPr="001B229E">
        <w:rPr>
          <w:rFonts w:ascii="Times New Roman" w:hAnsi="Times New Roman" w:cs="Times New Roman"/>
          <w:color w:val="000000"/>
          <w:sz w:val="20"/>
          <w:szCs w:val="20"/>
        </w:rPr>
        <w:t>¶ 16-21.</w:t>
      </w:r>
    </w:p>
  </w:footnote>
  <w:footnote w:id="13">
    <w:p w14:paraId="696BCC12" w14:textId="6F7732DB"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xml:space="preserve">¶ 148.  </w:t>
      </w:r>
    </w:p>
  </w:footnote>
  <w:footnote w:id="14">
    <w:p w14:paraId="0E370B28" w14:textId="42F96F65" w:rsidR="003E4949" w:rsidRPr="001B229E" w:rsidRDefault="003E4949" w:rsidP="00A84E3B">
      <w:pPr>
        <w:widowControl w:val="0"/>
        <w:autoSpaceDE w:val="0"/>
        <w:autoSpaceDN w:val="0"/>
        <w:adjustRightInd w:val="0"/>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r w:rsidRPr="001B229E">
        <w:rPr>
          <w:rFonts w:ascii="Times New Roman" w:hAnsi="Times New Roman" w:cs="Times New Roman"/>
          <w:i/>
          <w:sz w:val="20"/>
          <w:szCs w:val="20"/>
        </w:rPr>
        <w:t>See</w:t>
      </w:r>
      <w:r w:rsidRPr="001B229E">
        <w:rPr>
          <w:rFonts w:ascii="Times New Roman" w:hAnsi="Times New Roman" w:cs="Times New Roman"/>
          <w:sz w:val="20"/>
          <w:szCs w:val="20"/>
        </w:rPr>
        <w:t xml:space="preserve">, Fulmer,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 No. MEF-1Tr, 10: 10-12 (stating the converse: “any variable costs provides some level incentive to conserve consumption of a good.”)</w:t>
      </w:r>
    </w:p>
  </w:footnote>
  <w:footnote w:id="15">
    <w:p w14:paraId="07875B64" w14:textId="47691621" w:rsidR="003E4949" w:rsidRPr="00FC29F2" w:rsidRDefault="003E4949" w:rsidP="00FC29F2">
      <w:pPr>
        <w:rPr>
          <w:rFonts w:ascii="Times New Roman" w:hAnsi="Times New Roman" w:cs="Times New Roman"/>
          <w:sz w:val="20"/>
          <w:szCs w:val="20"/>
        </w:rPr>
      </w:pPr>
      <w:r w:rsidRPr="00FC29F2">
        <w:rPr>
          <w:rStyle w:val="FootnoteReference"/>
          <w:rFonts w:ascii="Times New Roman" w:hAnsi="Times New Roman" w:cs="Times New Roman"/>
          <w:sz w:val="20"/>
          <w:szCs w:val="20"/>
        </w:rPr>
        <w:footnoteRef/>
      </w:r>
      <w:r w:rsidRPr="00FC29F2">
        <w:rPr>
          <w:rFonts w:ascii="Times New Roman" w:hAnsi="Times New Roman" w:cs="Times New Roman"/>
          <w:sz w:val="20"/>
          <w:szCs w:val="20"/>
        </w:rPr>
        <w:t xml:space="preserve"> </w:t>
      </w:r>
      <w:r w:rsidRPr="006A6F12">
        <w:rPr>
          <w:rFonts w:ascii="Times New Roman" w:hAnsi="Times New Roman" w:cs="Times New Roman"/>
          <w:sz w:val="20"/>
          <w:szCs w:val="20"/>
        </w:rPr>
        <w:t>Illinois Commerce Commission</w:t>
      </w:r>
      <w:r>
        <w:rPr>
          <w:rFonts w:ascii="Times New Roman" w:hAnsi="Times New Roman" w:cs="Times New Roman"/>
          <w:sz w:val="20"/>
          <w:szCs w:val="20"/>
        </w:rPr>
        <w:t xml:space="preserve"> Final Decision in Docket No. 13-0387, issued on</w:t>
      </w:r>
      <w:r w:rsidRPr="00FC29F2">
        <w:rPr>
          <w:rFonts w:ascii="Times New Roman" w:hAnsi="Times New Roman" w:cs="Times New Roman"/>
          <w:sz w:val="20"/>
          <w:szCs w:val="20"/>
        </w:rPr>
        <w:t xml:space="preserve"> </w:t>
      </w:r>
      <w:r w:rsidRPr="00CD7C5E">
        <w:rPr>
          <w:rFonts w:ascii="Times New Roman" w:hAnsi="Times New Roman" w:cs="Times New Roman"/>
          <w:sz w:val="20"/>
          <w:szCs w:val="20"/>
        </w:rPr>
        <w:t>12/18/2013</w:t>
      </w:r>
      <w:r w:rsidRPr="00ED62CD">
        <w:rPr>
          <w:rFonts w:ascii="Times New Roman" w:hAnsi="Times New Roman" w:cs="Times New Roman"/>
          <w:sz w:val="20"/>
          <w:szCs w:val="20"/>
        </w:rPr>
        <w:t xml:space="preserve">, p. 75, </w:t>
      </w:r>
      <w:r w:rsidRPr="00FC29F2">
        <w:rPr>
          <w:rFonts w:ascii="Times New Roman" w:hAnsi="Times New Roman" w:cs="Times New Roman"/>
          <w:i/>
          <w:sz w:val="20"/>
          <w:szCs w:val="20"/>
        </w:rPr>
        <w:t>available at</w:t>
      </w:r>
      <w:r w:rsidRPr="00ED62CD">
        <w:rPr>
          <w:rFonts w:ascii="Times New Roman" w:hAnsi="Times New Roman" w:cs="Times New Roman"/>
          <w:sz w:val="20"/>
          <w:szCs w:val="20"/>
        </w:rPr>
        <w:t xml:space="preserve">, </w:t>
      </w:r>
      <w:hyperlink r:id="rId1" w:history="1">
        <w:r w:rsidRPr="00C90C5C">
          <w:rPr>
            <w:rStyle w:val="Hyperlink"/>
            <w:rFonts w:ascii="Times New Roman" w:hAnsi="Times New Roman" w:cs="Times New Roman"/>
            <w:sz w:val="20"/>
            <w:szCs w:val="20"/>
          </w:rPr>
          <w:t>http://www.icc.illinois.gov/docket/files.aspx?no=13-0387&amp;docId=207265</w:t>
        </w:r>
      </w:hyperlink>
      <w:r>
        <w:rPr>
          <w:rFonts w:ascii="Times New Roman" w:hAnsi="Times New Roman" w:cs="Times New Roman"/>
          <w:sz w:val="20"/>
          <w:szCs w:val="20"/>
        </w:rPr>
        <w:t xml:space="preserve">; </w:t>
      </w:r>
      <w:r>
        <w:rPr>
          <w:rFonts w:ascii="Times New Roman" w:hAnsi="Times New Roman" w:cs="Times New Roman"/>
          <w:i/>
          <w:sz w:val="20"/>
          <w:szCs w:val="20"/>
        </w:rPr>
        <w:t xml:space="preserve">See also, </w:t>
      </w:r>
      <w:r>
        <w:rPr>
          <w:rFonts w:ascii="Times New Roman" w:hAnsi="Times New Roman" w:cs="Times New Roman"/>
          <w:sz w:val="20"/>
          <w:szCs w:val="20"/>
        </w:rPr>
        <w:t>Illinois Commerce Commission</w:t>
      </w:r>
      <w:r w:rsidRPr="00CD7C5E">
        <w:rPr>
          <w:rFonts w:ascii="Times New Roman" w:hAnsi="Times New Roman" w:cs="Times New Roman"/>
          <w:sz w:val="20"/>
          <w:szCs w:val="20"/>
        </w:rPr>
        <w:t xml:space="preserve"> </w:t>
      </w:r>
      <w:r>
        <w:rPr>
          <w:rFonts w:ascii="Times New Roman" w:hAnsi="Times New Roman" w:cs="Times New Roman"/>
          <w:sz w:val="20"/>
          <w:szCs w:val="20"/>
        </w:rPr>
        <w:t xml:space="preserve">Final Decision </w:t>
      </w:r>
      <w:r w:rsidRPr="007577C7">
        <w:rPr>
          <w:rFonts w:ascii="Times New Roman" w:hAnsi="Times New Roman" w:cs="Times New Roman"/>
          <w:sz w:val="20"/>
          <w:szCs w:val="20"/>
        </w:rPr>
        <w:t>in 2014 Peoples Gas Rate Case, Docket No. 14-0224, issued on 1/26/15, p. 176,</w:t>
      </w:r>
      <w:r>
        <w:rPr>
          <w:rFonts w:ascii="Times New Roman" w:hAnsi="Times New Roman" w:cs="Times New Roman"/>
          <w:color w:val="453CCC"/>
          <w:sz w:val="20"/>
          <w:szCs w:val="20"/>
        </w:rPr>
        <w:t xml:space="preserve"> </w:t>
      </w:r>
      <w:r w:rsidRPr="00DD0258">
        <w:rPr>
          <w:rFonts w:ascii="Times New Roman" w:hAnsi="Times New Roman" w:cs="Times New Roman"/>
          <w:i/>
          <w:sz w:val="20"/>
          <w:szCs w:val="20"/>
        </w:rPr>
        <w:t>available at,</w:t>
      </w:r>
      <w:r>
        <w:rPr>
          <w:rFonts w:ascii="Times New Roman" w:hAnsi="Times New Roman" w:cs="Times New Roman"/>
          <w:color w:val="453CCC"/>
          <w:sz w:val="20"/>
          <w:szCs w:val="20"/>
        </w:rPr>
        <w:t xml:space="preserve"> </w:t>
      </w:r>
      <w:hyperlink r:id="rId2" w:history="1">
        <w:r w:rsidRPr="00B92485">
          <w:rPr>
            <w:rStyle w:val="Hyperlink"/>
            <w:rFonts w:ascii="Times New Roman" w:hAnsi="Times New Roman" w:cs="Times New Roman"/>
            <w:sz w:val="20"/>
            <w:szCs w:val="20"/>
          </w:rPr>
          <w:t>http://www.icc.illinois.gov/docket/files.aspx?no=14-0224&amp;docId=224001</w:t>
        </w:r>
      </w:hyperlink>
      <w:r>
        <w:rPr>
          <w:rFonts w:ascii="Times New Roman" w:hAnsi="Times New Roman" w:cs="Times New Roman"/>
          <w:color w:val="453CCC"/>
          <w:sz w:val="20"/>
          <w:szCs w:val="20"/>
        </w:rPr>
        <w:t xml:space="preserve"> </w:t>
      </w:r>
      <w:r w:rsidRPr="003E4949">
        <w:rPr>
          <w:rFonts w:ascii="Times New Roman" w:hAnsi="Times New Roman" w:cs="Times New Roman"/>
          <w:sz w:val="20"/>
          <w:szCs w:val="20"/>
        </w:rPr>
        <w:t>(</w:t>
      </w:r>
      <w:r w:rsidRPr="003E4949">
        <w:rPr>
          <w:rFonts w:ascii="Times New Roman" w:hAnsi="Times New Roman" w:cs="Times New Roman"/>
          <w:i/>
          <w:sz w:val="20"/>
          <w:szCs w:val="20"/>
        </w:rPr>
        <w:t>stating</w:t>
      </w:r>
      <w:r w:rsidRPr="003E4949">
        <w:rPr>
          <w:rFonts w:ascii="Times New Roman" w:hAnsi="Times New Roman" w:cs="Times New Roman"/>
          <w:sz w:val="20"/>
          <w:szCs w:val="20"/>
        </w:rPr>
        <w:t>, “</w:t>
      </w:r>
      <w:r w:rsidRPr="003E4949">
        <w:rPr>
          <w:rFonts w:ascii="Times New Roman" w:eastAsia="Times New Roman" w:hAnsi="Times New Roman" w:cs="Times New Roman"/>
          <w:sz w:val="20"/>
          <w:szCs w:val="20"/>
        </w:rPr>
        <w:t>It is patent</w:t>
      </w:r>
      <w:r w:rsidRPr="00FC29F2">
        <w:rPr>
          <w:rFonts w:ascii="Times New Roman" w:eastAsia="Times New Roman" w:hAnsi="Times New Roman" w:cs="Times New Roman"/>
          <w:sz w:val="20"/>
          <w:szCs w:val="20"/>
        </w:rPr>
        <w:t xml:space="preserve"> that high customer charges mean the Companies’ lowest users bear the brunt of rate increases, and subsidize the highest energy users.  Steadily increasing customer charges diminish the incentives to engage in conservation and energy efficiency because a smaller portion of the bill is subject to variable usage charges and cu</w:t>
      </w:r>
      <w:r w:rsidRPr="006A6F12">
        <w:rPr>
          <w:rFonts w:ascii="Times New Roman" w:eastAsia="Times New Roman" w:hAnsi="Times New Roman" w:cs="Times New Roman"/>
          <w:sz w:val="20"/>
          <w:szCs w:val="20"/>
        </w:rPr>
        <w:t>stomer efforts to reduce usage.</w:t>
      </w:r>
      <w:r>
        <w:rPr>
          <w:rFonts w:ascii="Times New Roman" w:eastAsia="Times New Roman" w:hAnsi="Times New Roman" w:cs="Times New Roman"/>
          <w:sz w:val="20"/>
          <w:szCs w:val="20"/>
        </w:rPr>
        <w:t>”)</w:t>
      </w:r>
    </w:p>
    <w:p w14:paraId="7B5FD6DD" w14:textId="1DF8C8EB" w:rsidR="003E4949" w:rsidRDefault="003E4949">
      <w:pPr>
        <w:pStyle w:val="FootnoteText"/>
      </w:pPr>
    </w:p>
  </w:footnote>
  <w:footnote w:id="16">
    <w:p w14:paraId="43FE5896" w14:textId="2B1F4496" w:rsidR="003E4949" w:rsidRPr="001B229E" w:rsidRDefault="003E4949" w:rsidP="00BA1A8F">
      <w:pPr>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Maryland Public Service Commission,</w:t>
      </w:r>
      <w:r>
        <w:rPr>
          <w:rFonts w:ascii="Times New Roman" w:hAnsi="Times New Roman" w:cs="Times New Roman"/>
          <w:sz w:val="20"/>
          <w:szCs w:val="20"/>
        </w:rPr>
        <w:t xml:space="preserve"> Order No. 8060 in Case No. 9326 issued on 12/13/</w:t>
      </w:r>
      <w:r w:rsidRPr="001B229E">
        <w:rPr>
          <w:rFonts w:ascii="Times New Roman" w:hAnsi="Times New Roman" w:cs="Times New Roman"/>
          <w:sz w:val="20"/>
          <w:szCs w:val="20"/>
        </w:rPr>
        <w:t xml:space="preserve">13), </w:t>
      </w:r>
      <w:r>
        <w:rPr>
          <w:rFonts w:ascii="Times New Roman" w:hAnsi="Times New Roman" w:cs="Times New Roman"/>
          <w:sz w:val="20"/>
          <w:szCs w:val="20"/>
        </w:rPr>
        <w:t xml:space="preserve">p. </w:t>
      </w:r>
      <w:r w:rsidRPr="001B229E">
        <w:rPr>
          <w:rFonts w:ascii="Times New Roman" w:hAnsi="Times New Roman" w:cs="Times New Roman"/>
          <w:sz w:val="20"/>
          <w:szCs w:val="20"/>
        </w:rPr>
        <w:t>105</w:t>
      </w:r>
      <w:r>
        <w:rPr>
          <w:rFonts w:ascii="Times New Roman" w:hAnsi="Times New Roman" w:cs="Times New Roman"/>
          <w:sz w:val="20"/>
          <w:szCs w:val="20"/>
        </w:rPr>
        <w:t xml:space="preserve">, </w:t>
      </w:r>
      <w:r>
        <w:rPr>
          <w:rFonts w:ascii="Times New Roman" w:hAnsi="Times New Roman" w:cs="Times New Roman"/>
          <w:i/>
          <w:sz w:val="20"/>
          <w:szCs w:val="20"/>
        </w:rPr>
        <w:t xml:space="preserve">available at, </w:t>
      </w:r>
      <w:hyperlink r:id="rId3" w:history="1">
        <w:r w:rsidRPr="00D81D69">
          <w:rPr>
            <w:rStyle w:val="Hyperlink"/>
            <w:rFonts w:ascii="Times New Roman" w:hAnsi="Times New Roman" w:cs="Times New Roman"/>
            <w:sz w:val="20"/>
            <w:szCs w:val="20"/>
          </w:rPr>
          <w:t>http://webapp.psc.state.md.us/Intranet/casenum/CaseAction_new.cfm?CaseNumber=9326</w:t>
        </w:r>
      </w:hyperlink>
      <w:r>
        <w:rPr>
          <w:rFonts w:ascii="Times New Roman" w:hAnsi="Times New Roman" w:cs="Times New Roman"/>
          <w:sz w:val="20"/>
          <w:szCs w:val="20"/>
        </w:rPr>
        <w:t xml:space="preserve"> (</w:t>
      </w:r>
      <w:r w:rsidRPr="001B229E">
        <w:rPr>
          <w:rFonts w:ascii="Times New Roman" w:hAnsi="Times New Roman" w:cs="Times New Roman"/>
          <w:sz w:val="20"/>
          <w:szCs w:val="20"/>
        </w:rPr>
        <w:t>Note: EMPOWER Maryland is the state energy efficiency/reduc</w:t>
      </w:r>
      <w:r w:rsidRPr="007360E2">
        <w:rPr>
          <w:rFonts w:ascii="Times New Roman" w:hAnsi="Times New Roman" w:cs="Times New Roman"/>
          <w:sz w:val="20"/>
          <w:szCs w:val="20"/>
        </w:rPr>
        <w:t xml:space="preserve">tion </w:t>
      </w:r>
      <w:r w:rsidRPr="00AD2214">
        <w:rPr>
          <w:rFonts w:ascii="Times New Roman" w:hAnsi="Times New Roman" w:cs="Times New Roman"/>
          <w:sz w:val="20"/>
          <w:szCs w:val="20"/>
        </w:rPr>
        <w:t>requirement for investor owned utilities</w:t>
      </w:r>
      <w:r>
        <w:rPr>
          <w:rFonts w:ascii="Times New Roman" w:hAnsi="Times New Roman" w:cs="Times New Roman"/>
          <w:sz w:val="20"/>
          <w:szCs w:val="20"/>
        </w:rPr>
        <w:t>)</w:t>
      </w:r>
      <w:r w:rsidRPr="00703E06">
        <w:rPr>
          <w:rFonts w:ascii="Times New Roman" w:hAnsi="Times New Roman" w:cs="Times New Roman"/>
          <w:sz w:val="20"/>
          <w:szCs w:val="20"/>
        </w:rPr>
        <w:t xml:space="preserve">; </w:t>
      </w:r>
      <w:r w:rsidRPr="00FC29F2">
        <w:rPr>
          <w:rFonts w:ascii="Times New Roman" w:hAnsi="Times New Roman" w:cs="Times New Roman"/>
          <w:i/>
          <w:sz w:val="20"/>
          <w:szCs w:val="20"/>
        </w:rPr>
        <w:t>See also</w:t>
      </w:r>
      <w:r w:rsidRPr="00AD2214">
        <w:rPr>
          <w:rFonts w:ascii="Times New Roman" w:hAnsi="Times New Roman" w:cs="Times New Roman"/>
          <w:sz w:val="20"/>
          <w:szCs w:val="20"/>
        </w:rPr>
        <w:t xml:space="preserve">, </w:t>
      </w:r>
      <w:r w:rsidRPr="00703E06">
        <w:rPr>
          <w:rFonts w:ascii="Times New Roman" w:hAnsi="Times New Roman" w:cs="Times New Roman"/>
          <w:sz w:val="20"/>
          <w:szCs w:val="20"/>
        </w:rPr>
        <w:t>Commonwealth of Virginia State Corporation Commission, Final Order in Appalachian Power Company Rate Case, Case No</w:t>
      </w:r>
      <w:r w:rsidRPr="00FC29F2">
        <w:rPr>
          <w:rFonts w:ascii="Times New Roman" w:hAnsi="Times New Roman" w:cs="Times New Roman"/>
          <w:sz w:val="20"/>
          <w:szCs w:val="20"/>
        </w:rPr>
        <w:t>. PUE-2014-00026, issued on 11/26/14, p. 33</w:t>
      </w:r>
      <w:r w:rsidRPr="00AD2214">
        <w:rPr>
          <w:rFonts w:ascii="Times New Roman" w:hAnsi="Times New Roman" w:cs="Times New Roman"/>
          <w:sz w:val="20"/>
          <w:szCs w:val="20"/>
        </w:rPr>
        <w:t xml:space="preserve"> </w:t>
      </w:r>
      <w:r>
        <w:rPr>
          <w:rFonts w:ascii="Times New Roman" w:hAnsi="Times New Roman" w:cs="Times New Roman"/>
          <w:sz w:val="20"/>
          <w:szCs w:val="20"/>
        </w:rPr>
        <w:t xml:space="preserve">available at, </w:t>
      </w:r>
      <w:hyperlink r:id="rId4" w:history="1">
        <w:r w:rsidRPr="00822537">
          <w:rPr>
            <w:rStyle w:val="Hyperlink"/>
            <w:rFonts w:ascii="Times New Roman" w:hAnsi="Times New Roman" w:cs="Times New Roman"/>
            <w:sz w:val="20"/>
            <w:szCs w:val="20"/>
          </w:rPr>
          <w:t>http://docket.scc.virginia.gov/vaprod/main.asp</w:t>
        </w:r>
      </w:hyperlink>
      <w:r w:rsidRPr="007C68F3">
        <w:rPr>
          <w:rFonts w:ascii="Times New Roman" w:hAnsi="Times New Roman" w:cs="Times New Roman"/>
          <w:sz w:val="20"/>
          <w:szCs w:val="20"/>
        </w:rPr>
        <w:t xml:space="preserve"> </w:t>
      </w:r>
      <w:r w:rsidRPr="00FC29F2">
        <w:rPr>
          <w:rFonts w:ascii="Times New Roman" w:hAnsi="Times New Roman" w:cs="Times New Roman"/>
          <w:sz w:val="20"/>
          <w:szCs w:val="20"/>
        </w:rPr>
        <w:t>(rejecting proposed fixed charge).</w:t>
      </w:r>
    </w:p>
  </w:footnote>
  <w:footnote w:id="17">
    <w:p w14:paraId="7707F070" w14:textId="77777777" w:rsidR="003E4949" w:rsidRPr="001B229E" w:rsidRDefault="003E4949" w:rsidP="007325A5">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147.</w:t>
      </w:r>
    </w:p>
  </w:footnote>
  <w:footnote w:id="18">
    <w:p w14:paraId="069FFA04" w14:textId="77777777" w:rsidR="003E4949" w:rsidRPr="001B229E" w:rsidRDefault="003E4949" w:rsidP="007325A5">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Fulmer,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 xml:space="preserve">. No. </w:t>
      </w:r>
      <w:proofErr w:type="gramStart"/>
      <w:r w:rsidRPr="001B229E">
        <w:rPr>
          <w:rFonts w:ascii="Times New Roman" w:hAnsi="Times New Roman" w:cs="Times New Roman"/>
          <w:sz w:val="20"/>
          <w:szCs w:val="20"/>
        </w:rPr>
        <w:t xml:space="preserve">MEF-1Tr, 7: 4-6; Watkins,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w:t>
      </w:r>
      <w:proofErr w:type="gramEnd"/>
      <w:r w:rsidRPr="001B229E">
        <w:rPr>
          <w:rFonts w:ascii="Times New Roman" w:hAnsi="Times New Roman" w:cs="Times New Roman"/>
          <w:sz w:val="20"/>
          <w:szCs w:val="20"/>
        </w:rPr>
        <w:t xml:space="preserve"> No. </w:t>
      </w:r>
      <w:proofErr w:type="gramStart"/>
      <w:r w:rsidRPr="001B229E">
        <w:rPr>
          <w:rFonts w:ascii="Times New Roman" w:hAnsi="Times New Roman" w:cs="Times New Roman"/>
          <w:sz w:val="20"/>
          <w:szCs w:val="20"/>
        </w:rPr>
        <w:t xml:space="preserve">GAW-1T, 18: 14; Watkins,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w:t>
      </w:r>
      <w:proofErr w:type="gramEnd"/>
      <w:r w:rsidRPr="001B229E">
        <w:rPr>
          <w:rFonts w:ascii="Times New Roman" w:hAnsi="Times New Roman" w:cs="Times New Roman"/>
          <w:sz w:val="20"/>
          <w:szCs w:val="20"/>
        </w:rPr>
        <w:t xml:space="preserve"> No. GAW-6T, 18: 15-16. </w:t>
      </w:r>
    </w:p>
  </w:footnote>
  <w:footnote w:id="19">
    <w:p w14:paraId="424732B6" w14:textId="77777777" w:rsidR="003E4949" w:rsidRPr="001B229E" w:rsidRDefault="003E4949" w:rsidP="007325A5">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proofErr w:type="gramStart"/>
      <w:r w:rsidRPr="001B229E">
        <w:rPr>
          <w:rFonts w:ascii="Times New Roman" w:hAnsi="Times New Roman" w:cs="Times New Roman"/>
          <w:sz w:val="20"/>
          <w:szCs w:val="20"/>
        </w:rPr>
        <w:t xml:space="preserve">Steward,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w:t>
      </w:r>
      <w:proofErr w:type="gramEnd"/>
      <w:r w:rsidRPr="001B229E">
        <w:rPr>
          <w:rFonts w:ascii="Times New Roman" w:hAnsi="Times New Roman" w:cs="Times New Roman"/>
          <w:sz w:val="20"/>
          <w:szCs w:val="20"/>
        </w:rPr>
        <w:t xml:space="preserve"> No. JRS-13T, 27: 6. (Emphasis added). </w:t>
      </w:r>
    </w:p>
  </w:footnote>
  <w:footnote w:id="20">
    <w:p w14:paraId="059A28E1" w14:textId="6B95F2FF" w:rsidR="003E4949" w:rsidRPr="00A57450" w:rsidRDefault="003E4949">
      <w:pPr>
        <w:pStyle w:val="FootnoteText"/>
        <w:rPr>
          <w:rFonts w:ascii="Times New Roman" w:hAnsi="Times New Roman" w:cs="Times New Roman"/>
          <w:sz w:val="20"/>
          <w:szCs w:val="20"/>
        </w:rPr>
      </w:pPr>
      <w:r w:rsidRPr="00A57450">
        <w:rPr>
          <w:rStyle w:val="FootnoteReference"/>
          <w:rFonts w:ascii="Times New Roman" w:hAnsi="Times New Roman" w:cs="Times New Roman"/>
          <w:sz w:val="20"/>
          <w:szCs w:val="20"/>
        </w:rPr>
        <w:footnoteRef/>
      </w:r>
      <w:r w:rsidRPr="00A57450">
        <w:rPr>
          <w:rFonts w:ascii="Times New Roman" w:hAnsi="Times New Roman" w:cs="Times New Roman"/>
          <w:sz w:val="20"/>
          <w:szCs w:val="20"/>
        </w:rPr>
        <w:t xml:space="preserve"> </w:t>
      </w:r>
      <w:r w:rsidRPr="006A6F12">
        <w:rPr>
          <w:rFonts w:ascii="Times New Roman" w:hAnsi="Times New Roman" w:cs="Times New Roman"/>
          <w:sz w:val="20"/>
          <w:szCs w:val="20"/>
        </w:rPr>
        <w:t>Illinois Commerce Commission</w:t>
      </w:r>
      <w:r>
        <w:rPr>
          <w:rFonts w:ascii="Times New Roman" w:hAnsi="Times New Roman" w:cs="Times New Roman"/>
          <w:sz w:val="20"/>
          <w:szCs w:val="20"/>
        </w:rPr>
        <w:t xml:space="preserve"> Final Decision in Docket No. 13-0387, issued on</w:t>
      </w:r>
      <w:r w:rsidRPr="00D81D69">
        <w:rPr>
          <w:rFonts w:ascii="Times New Roman" w:hAnsi="Times New Roman" w:cs="Times New Roman"/>
          <w:sz w:val="20"/>
          <w:szCs w:val="20"/>
        </w:rPr>
        <w:t xml:space="preserve"> </w:t>
      </w:r>
      <w:r w:rsidRPr="00CD7C5E">
        <w:rPr>
          <w:rFonts w:ascii="Times New Roman" w:hAnsi="Times New Roman" w:cs="Times New Roman"/>
          <w:sz w:val="20"/>
          <w:szCs w:val="20"/>
        </w:rPr>
        <w:t>12/18/2013</w:t>
      </w:r>
      <w:r w:rsidRPr="00ED62CD">
        <w:rPr>
          <w:rFonts w:ascii="Times New Roman" w:hAnsi="Times New Roman" w:cs="Times New Roman"/>
          <w:sz w:val="20"/>
          <w:szCs w:val="20"/>
        </w:rPr>
        <w:t xml:space="preserve">, p. 75, </w:t>
      </w:r>
      <w:r w:rsidRPr="00D81D69">
        <w:rPr>
          <w:rFonts w:ascii="Times New Roman" w:hAnsi="Times New Roman" w:cs="Times New Roman"/>
          <w:i/>
          <w:sz w:val="20"/>
          <w:szCs w:val="20"/>
        </w:rPr>
        <w:t>available at</w:t>
      </w:r>
      <w:r w:rsidRPr="00ED62CD">
        <w:rPr>
          <w:rFonts w:ascii="Times New Roman" w:hAnsi="Times New Roman" w:cs="Times New Roman"/>
          <w:sz w:val="20"/>
          <w:szCs w:val="20"/>
        </w:rPr>
        <w:t xml:space="preserve">, </w:t>
      </w:r>
      <w:hyperlink r:id="rId5" w:history="1">
        <w:r w:rsidRPr="00C90C5C">
          <w:rPr>
            <w:rStyle w:val="Hyperlink"/>
            <w:rFonts w:ascii="Times New Roman" w:hAnsi="Times New Roman" w:cs="Times New Roman"/>
            <w:sz w:val="20"/>
            <w:szCs w:val="20"/>
          </w:rPr>
          <w:t>http://www.icc.illinois.gov/docket/files.aspx?no=13-0387&amp;docId=207265</w:t>
        </w:r>
      </w:hyperlink>
      <w:r>
        <w:rPr>
          <w:rFonts w:ascii="Times New Roman" w:hAnsi="Times New Roman" w:cs="Times New Roman"/>
          <w:sz w:val="20"/>
          <w:szCs w:val="20"/>
        </w:rPr>
        <w:t>.</w:t>
      </w:r>
    </w:p>
  </w:footnote>
  <w:footnote w:id="21">
    <w:p w14:paraId="40713FFE" w14:textId="77777777" w:rsidR="003E4949" w:rsidRPr="001B229E" w:rsidRDefault="003E4949" w:rsidP="007325A5">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150.</w:t>
      </w:r>
    </w:p>
  </w:footnote>
  <w:footnote w:id="22">
    <w:p w14:paraId="53B0BEE0" w14:textId="44E759AE" w:rsidR="003E4949" w:rsidRPr="001B229E" w:rsidRDefault="003E4949" w:rsidP="007325A5">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Initial Brief of Public Counsel, </w:t>
      </w:r>
      <w:r w:rsidRPr="001B229E">
        <w:rPr>
          <w:rFonts w:ascii="Times New Roman" w:hAnsi="Times New Roman" w:cs="Times New Roman"/>
          <w:color w:val="000000"/>
          <w:sz w:val="20"/>
          <w:szCs w:val="20"/>
        </w:rPr>
        <w:t>¶110</w:t>
      </w:r>
      <w:r>
        <w:rPr>
          <w:rFonts w:ascii="Times New Roman" w:hAnsi="Times New Roman" w:cs="Times New Roman"/>
          <w:color w:val="000000"/>
          <w:sz w:val="20"/>
          <w:szCs w:val="20"/>
        </w:rPr>
        <w:t>.</w:t>
      </w:r>
    </w:p>
  </w:footnote>
  <w:footnote w:id="23">
    <w:p w14:paraId="3E977BC8" w14:textId="61102EFC" w:rsidR="003E4949" w:rsidRPr="001B229E" w:rsidRDefault="003E4949" w:rsidP="007325A5">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Initial Brief of Public Counsel, </w:t>
      </w:r>
      <w:r w:rsidRPr="001B229E">
        <w:rPr>
          <w:rFonts w:ascii="Times New Roman" w:hAnsi="Times New Roman" w:cs="Times New Roman"/>
          <w:color w:val="000000"/>
          <w:sz w:val="20"/>
          <w:szCs w:val="20"/>
        </w:rPr>
        <w:t>¶110</w:t>
      </w:r>
      <w:r>
        <w:rPr>
          <w:rFonts w:ascii="Times New Roman" w:hAnsi="Times New Roman" w:cs="Times New Roman"/>
          <w:color w:val="000000"/>
          <w:sz w:val="20"/>
          <w:szCs w:val="20"/>
        </w:rPr>
        <w:t>.</w:t>
      </w:r>
    </w:p>
  </w:footnote>
  <w:footnote w:id="24">
    <w:p w14:paraId="52F0CB3E" w14:textId="1FE05793"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152.</w:t>
      </w:r>
    </w:p>
  </w:footnote>
  <w:footnote w:id="25">
    <w:p w14:paraId="22CD684F" w14:textId="3EEA96B2"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PacifiCorp Opening Brief, </w:t>
      </w:r>
      <w:r w:rsidRPr="001B229E">
        <w:rPr>
          <w:rFonts w:ascii="Times New Roman" w:hAnsi="Times New Roman" w:cs="Times New Roman"/>
          <w:color w:val="000000"/>
          <w:sz w:val="20"/>
          <w:szCs w:val="20"/>
        </w:rPr>
        <w:t xml:space="preserve">FN 417. </w:t>
      </w:r>
    </w:p>
  </w:footnote>
  <w:footnote w:id="26">
    <w:p w14:paraId="79C392EA" w14:textId="5C6772DB" w:rsidR="003E4949" w:rsidRPr="00FC26B8" w:rsidRDefault="003E4949">
      <w:pPr>
        <w:pStyle w:val="FootnoteText"/>
        <w:rPr>
          <w:rFonts w:ascii="Times New Roman" w:hAnsi="Times New Roman" w:cs="Times New Roman"/>
          <w:sz w:val="20"/>
          <w:szCs w:val="20"/>
        </w:rPr>
      </w:pPr>
      <w:r w:rsidRPr="00FC26B8">
        <w:rPr>
          <w:rStyle w:val="FootnoteReference"/>
          <w:rFonts w:ascii="Times New Roman" w:hAnsi="Times New Roman" w:cs="Times New Roman"/>
          <w:sz w:val="20"/>
          <w:szCs w:val="20"/>
        </w:rPr>
        <w:footnoteRef/>
      </w:r>
      <w:r w:rsidRPr="00FC26B8">
        <w:rPr>
          <w:rFonts w:ascii="Times New Roman" w:hAnsi="Times New Roman" w:cs="Times New Roman"/>
          <w:sz w:val="20"/>
          <w:szCs w:val="20"/>
        </w:rPr>
        <w:t xml:space="preserve"> WAC </w:t>
      </w:r>
      <w:r w:rsidRPr="00FC26B8">
        <w:rPr>
          <w:rFonts w:ascii="Times New Roman" w:hAnsi="Times New Roman" w:cs="Times New Roman"/>
          <w:color w:val="18376A"/>
          <w:sz w:val="20"/>
          <w:szCs w:val="20"/>
        </w:rPr>
        <w:t>480-07-495 </w:t>
      </w:r>
      <w:r w:rsidRPr="00FC26B8">
        <w:rPr>
          <w:rFonts w:ascii="Times New Roman" w:hAnsi="Times New Roman" w:cs="Times New Roman"/>
          <w:sz w:val="20"/>
          <w:szCs w:val="20"/>
        </w:rPr>
        <w:t>(2), regarding Official Notice</w:t>
      </w:r>
      <w:r>
        <w:rPr>
          <w:rFonts w:ascii="Times New Roman" w:hAnsi="Times New Roman" w:cs="Times New Roman"/>
          <w:sz w:val="20"/>
          <w:szCs w:val="20"/>
        </w:rPr>
        <w:t>.</w:t>
      </w:r>
    </w:p>
  </w:footnote>
  <w:footnote w:id="27">
    <w:p w14:paraId="3004B02D" w14:textId="54E2C66D" w:rsidR="003E4949" w:rsidRPr="001B229E" w:rsidRDefault="003E4949" w:rsidP="008417F3">
      <w:pPr>
        <w:widowControl w:val="0"/>
        <w:autoSpaceDE w:val="0"/>
        <w:autoSpaceDN w:val="0"/>
        <w:adjustRightInd w:val="0"/>
        <w:rPr>
          <w:rFonts w:ascii="Times New Roman" w:hAnsi="Times New Roman" w:cs="Times New Roman"/>
          <w:b/>
          <w:bCs/>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r>
        <w:rPr>
          <w:rFonts w:ascii="Times New Roman" w:hAnsi="Times New Roman" w:cs="Times New Roman"/>
          <w:sz w:val="20"/>
          <w:szCs w:val="20"/>
        </w:rPr>
        <w:t>TR. 764: 7-9.</w:t>
      </w:r>
    </w:p>
  </w:footnote>
  <w:footnote w:id="28">
    <w:p w14:paraId="4B0DC34A" w14:textId="4D3423F6"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 </w:t>
      </w:r>
      <w:r w:rsidRPr="001B229E">
        <w:rPr>
          <w:rFonts w:ascii="Times New Roman" w:hAnsi="Times New Roman" w:cs="Times New Roman"/>
          <w:color w:val="000000"/>
          <w:sz w:val="20"/>
          <w:szCs w:val="20"/>
        </w:rPr>
        <w:t>¶130.</w:t>
      </w:r>
    </w:p>
  </w:footnote>
  <w:footnote w:id="29">
    <w:p w14:paraId="15AE4CAC" w14:textId="5E4CC175" w:rsidR="003E4949" w:rsidRPr="001B229E" w:rsidRDefault="003E4949">
      <w:pPr>
        <w:pStyle w:val="FootnoteText"/>
        <w:rPr>
          <w:rFonts w:ascii="Times New Roman" w:hAnsi="Times New Roman" w:cs="Times New Roman"/>
          <w:color w:val="000000"/>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 Initial Brief, </w:t>
      </w:r>
      <w:r w:rsidRPr="001B229E">
        <w:rPr>
          <w:rFonts w:ascii="Times New Roman" w:hAnsi="Times New Roman" w:cs="Times New Roman"/>
          <w:color w:val="000000"/>
          <w:sz w:val="20"/>
          <w:szCs w:val="20"/>
        </w:rPr>
        <w:t>¶ 130.</w:t>
      </w:r>
    </w:p>
  </w:footnote>
  <w:footnote w:id="30">
    <w:p w14:paraId="5686B20B" w14:textId="77777777" w:rsidR="003E4949" w:rsidRPr="001B229E" w:rsidRDefault="003E4949" w:rsidP="00DC42A8">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proofErr w:type="spellStart"/>
      <w:r w:rsidRPr="001B229E">
        <w:rPr>
          <w:rFonts w:ascii="Times New Roman" w:hAnsi="Times New Roman" w:cs="Times New Roman"/>
          <w:sz w:val="20"/>
          <w:szCs w:val="20"/>
        </w:rPr>
        <w:t>Twitchell</w:t>
      </w:r>
      <w:proofErr w:type="spellEnd"/>
      <w:r w:rsidRPr="001B229E">
        <w:rPr>
          <w:rFonts w:ascii="Times New Roman" w:hAnsi="Times New Roman" w:cs="Times New Roman"/>
          <w:sz w:val="20"/>
          <w:szCs w:val="20"/>
        </w:rPr>
        <w:t xml:space="preserve">,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 xml:space="preserve">. No. JBT-1T, 25: 8-11.  (Emphasis added).  </w:t>
      </w:r>
    </w:p>
  </w:footnote>
  <w:footnote w:id="31">
    <w:p w14:paraId="727719ED" w14:textId="13313D95" w:rsidR="003E4949" w:rsidRPr="001B229E" w:rsidRDefault="003E4949" w:rsidP="006C4156">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w:t>
      </w:r>
      <w:proofErr w:type="gramStart"/>
      <w:r w:rsidRPr="001B229E">
        <w:rPr>
          <w:rFonts w:ascii="Times New Roman" w:hAnsi="Times New Roman" w:cs="Times New Roman"/>
          <w:sz w:val="20"/>
          <w:szCs w:val="20"/>
        </w:rPr>
        <w:t xml:space="preserve">Staff Initial Brief, </w:t>
      </w:r>
      <w:r w:rsidRPr="001B229E">
        <w:rPr>
          <w:rFonts w:ascii="Times New Roman" w:hAnsi="Times New Roman" w:cs="Times New Roman"/>
          <w:color w:val="000000"/>
          <w:sz w:val="20"/>
          <w:szCs w:val="20"/>
        </w:rPr>
        <w:t>Section VII, B.</w:t>
      </w:r>
      <w:proofErr w:type="gramEnd"/>
      <w:r w:rsidRPr="001B229E">
        <w:rPr>
          <w:rFonts w:ascii="Times New Roman" w:hAnsi="Times New Roman" w:cs="Times New Roman"/>
          <w:color w:val="000000"/>
          <w:sz w:val="20"/>
          <w:szCs w:val="20"/>
        </w:rPr>
        <w:t xml:space="preserve"> </w:t>
      </w:r>
    </w:p>
  </w:footnote>
  <w:footnote w:id="32">
    <w:p w14:paraId="569BD03C" w14:textId="31D13198"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 </w:t>
      </w:r>
      <w:r w:rsidRPr="001B229E">
        <w:rPr>
          <w:rFonts w:ascii="Times New Roman" w:hAnsi="Times New Roman" w:cs="Times New Roman"/>
          <w:color w:val="000000"/>
          <w:sz w:val="20"/>
          <w:szCs w:val="20"/>
        </w:rPr>
        <w:t>¶130.</w:t>
      </w:r>
    </w:p>
  </w:footnote>
  <w:footnote w:id="33">
    <w:p w14:paraId="46D0C7CD" w14:textId="38D51194"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Energy Project’s Initial Brief, p.4</w:t>
      </w:r>
      <w:r>
        <w:rPr>
          <w:rFonts w:ascii="Times New Roman" w:hAnsi="Times New Roman" w:cs="Times New Roman"/>
          <w:sz w:val="20"/>
          <w:szCs w:val="20"/>
        </w:rPr>
        <w:t>.</w:t>
      </w:r>
    </w:p>
  </w:footnote>
  <w:footnote w:id="34">
    <w:p w14:paraId="6384B648" w14:textId="486A809E"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w:t>
      </w:r>
      <w:r w:rsidRPr="001B229E">
        <w:rPr>
          <w:rFonts w:ascii="Times New Roman" w:hAnsi="Times New Roman" w:cs="Times New Roman"/>
          <w:color w:val="000000"/>
          <w:sz w:val="20"/>
          <w:szCs w:val="20"/>
        </w:rPr>
        <w:t>, ¶ 117</w:t>
      </w:r>
      <w:r>
        <w:rPr>
          <w:rFonts w:ascii="Times New Roman" w:hAnsi="Times New Roman" w:cs="Times New Roman"/>
          <w:color w:val="000000"/>
          <w:sz w:val="20"/>
          <w:szCs w:val="20"/>
        </w:rPr>
        <w:t>.</w:t>
      </w:r>
    </w:p>
  </w:footnote>
  <w:footnote w:id="35">
    <w:p w14:paraId="07C82E6E" w14:textId="4AF8DE07"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w:t>
      </w:r>
      <w:r w:rsidRPr="001B229E">
        <w:rPr>
          <w:rFonts w:ascii="Times New Roman" w:hAnsi="Times New Roman" w:cs="Times New Roman"/>
          <w:color w:val="000000"/>
          <w:sz w:val="20"/>
          <w:szCs w:val="20"/>
        </w:rPr>
        <w:t>, ¶ 114</w:t>
      </w:r>
      <w:r>
        <w:rPr>
          <w:rFonts w:ascii="Times New Roman" w:hAnsi="Times New Roman" w:cs="Times New Roman"/>
          <w:color w:val="000000"/>
          <w:sz w:val="20"/>
          <w:szCs w:val="20"/>
        </w:rPr>
        <w:t>.</w:t>
      </w:r>
    </w:p>
  </w:footnote>
  <w:footnote w:id="36">
    <w:p w14:paraId="72EF1023" w14:textId="42D04521"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w:t>
      </w:r>
      <w:r w:rsidRPr="001B229E">
        <w:rPr>
          <w:rFonts w:ascii="Times New Roman" w:hAnsi="Times New Roman" w:cs="Times New Roman"/>
          <w:color w:val="000000"/>
          <w:sz w:val="20"/>
          <w:szCs w:val="20"/>
        </w:rPr>
        <w:t>, ¶ 114</w:t>
      </w:r>
      <w:r>
        <w:rPr>
          <w:rFonts w:ascii="Times New Roman" w:hAnsi="Times New Roman" w:cs="Times New Roman"/>
          <w:color w:val="000000"/>
          <w:sz w:val="20"/>
          <w:szCs w:val="20"/>
        </w:rPr>
        <w:t>.</w:t>
      </w:r>
    </w:p>
  </w:footnote>
  <w:footnote w:id="37">
    <w:p w14:paraId="723C63B4" w14:textId="1AE33185" w:rsidR="003E4949" w:rsidRPr="001B229E" w:rsidRDefault="003E4949">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w:t>
      </w:r>
      <w:r w:rsidRPr="001B229E">
        <w:rPr>
          <w:rFonts w:ascii="Times New Roman" w:hAnsi="Times New Roman" w:cs="Times New Roman"/>
          <w:color w:val="000000"/>
          <w:sz w:val="20"/>
          <w:szCs w:val="20"/>
        </w:rPr>
        <w:t>, ¶ 114</w:t>
      </w:r>
      <w:r>
        <w:rPr>
          <w:rFonts w:ascii="Times New Roman" w:hAnsi="Times New Roman" w:cs="Times New Roman"/>
          <w:color w:val="000000"/>
          <w:sz w:val="20"/>
          <w:szCs w:val="20"/>
        </w:rPr>
        <w:t>.</w:t>
      </w:r>
    </w:p>
  </w:footnote>
  <w:footnote w:id="38">
    <w:p w14:paraId="366649D6" w14:textId="18EF80B4" w:rsidR="003E4949" w:rsidRPr="001B229E" w:rsidRDefault="003E4949" w:rsidP="000B4BB7">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Staff’s Initial Brief</w:t>
      </w:r>
      <w:r w:rsidRPr="001B229E">
        <w:rPr>
          <w:rFonts w:ascii="Times New Roman" w:hAnsi="Times New Roman" w:cs="Times New Roman"/>
          <w:color w:val="000000"/>
          <w:sz w:val="20"/>
          <w:szCs w:val="20"/>
        </w:rPr>
        <w:t>, ¶ 114</w:t>
      </w:r>
      <w:r>
        <w:rPr>
          <w:rFonts w:ascii="Times New Roman" w:hAnsi="Times New Roman" w:cs="Times New Roman"/>
          <w:color w:val="000000"/>
          <w:sz w:val="20"/>
          <w:szCs w:val="20"/>
        </w:rPr>
        <w:t>.</w:t>
      </w:r>
    </w:p>
  </w:footnote>
  <w:footnote w:id="39">
    <w:p w14:paraId="65B87615" w14:textId="6499CB69" w:rsidR="003E4949" w:rsidRPr="00675266" w:rsidRDefault="003E4949">
      <w:pPr>
        <w:pStyle w:val="FootnoteText"/>
        <w:rPr>
          <w:rFonts w:ascii="Times New Roman" w:hAnsi="Times New Roman" w:cs="Times New Roman"/>
          <w:sz w:val="20"/>
          <w:szCs w:val="20"/>
        </w:rPr>
      </w:pPr>
      <w:r w:rsidRPr="00675266">
        <w:rPr>
          <w:rStyle w:val="FootnoteReference"/>
          <w:rFonts w:ascii="Times New Roman" w:hAnsi="Times New Roman" w:cs="Times New Roman"/>
          <w:sz w:val="20"/>
          <w:szCs w:val="20"/>
        </w:rPr>
        <w:footnoteRef/>
      </w:r>
      <w:r w:rsidRPr="00675266">
        <w:rPr>
          <w:rFonts w:ascii="Times New Roman" w:hAnsi="Times New Roman" w:cs="Times New Roman"/>
          <w:sz w:val="20"/>
          <w:szCs w:val="20"/>
        </w:rPr>
        <w:t xml:space="preserve"> Staff’s Initial Brief</w:t>
      </w:r>
      <w:r w:rsidRPr="00675266">
        <w:rPr>
          <w:rFonts w:ascii="Times New Roman" w:hAnsi="Times New Roman" w:cs="Times New Roman"/>
          <w:color w:val="000000"/>
          <w:sz w:val="20"/>
          <w:szCs w:val="20"/>
        </w:rPr>
        <w:t>, ¶ 11</w:t>
      </w:r>
      <w:r>
        <w:rPr>
          <w:rFonts w:ascii="Times New Roman" w:hAnsi="Times New Roman" w:cs="Times New Roman"/>
          <w:color w:val="000000"/>
          <w:sz w:val="20"/>
          <w:szCs w:val="20"/>
        </w:rPr>
        <w:t>8.</w:t>
      </w:r>
    </w:p>
  </w:footnote>
  <w:footnote w:id="40">
    <w:p w14:paraId="271E2B94" w14:textId="37293483" w:rsidR="003E4949" w:rsidRPr="002275CC" w:rsidRDefault="003E4949" w:rsidP="009559A8">
      <w:pPr>
        <w:pStyle w:val="FootnoteText"/>
        <w:rPr>
          <w:rFonts w:ascii="Times New Roman" w:hAnsi="Times New Roman" w:cs="Times New Roman"/>
          <w:sz w:val="20"/>
          <w:szCs w:val="20"/>
        </w:rPr>
      </w:pPr>
      <w:r w:rsidRPr="001B229E">
        <w:rPr>
          <w:rStyle w:val="FootnoteReference"/>
          <w:rFonts w:ascii="Times New Roman" w:hAnsi="Times New Roman" w:cs="Times New Roman"/>
          <w:sz w:val="20"/>
          <w:szCs w:val="20"/>
        </w:rPr>
        <w:footnoteRef/>
      </w:r>
      <w:r w:rsidRPr="001B229E">
        <w:rPr>
          <w:rFonts w:ascii="Times New Roman" w:hAnsi="Times New Roman" w:cs="Times New Roman"/>
          <w:sz w:val="20"/>
          <w:szCs w:val="20"/>
        </w:rPr>
        <w:t xml:space="preserve"> Fulmer, </w:t>
      </w:r>
      <w:proofErr w:type="spellStart"/>
      <w:r w:rsidRPr="001B229E">
        <w:rPr>
          <w:rFonts w:ascii="Times New Roman" w:hAnsi="Times New Roman" w:cs="Times New Roman"/>
          <w:sz w:val="20"/>
          <w:szCs w:val="20"/>
        </w:rPr>
        <w:t>Exh</w:t>
      </w:r>
      <w:proofErr w:type="spellEnd"/>
      <w:r w:rsidRPr="001B229E">
        <w:rPr>
          <w:rFonts w:ascii="Times New Roman" w:hAnsi="Times New Roman" w:cs="Times New Roman"/>
          <w:sz w:val="20"/>
          <w:szCs w:val="20"/>
        </w:rPr>
        <w:t xml:space="preserve">. No. </w:t>
      </w:r>
      <w:proofErr w:type="gramStart"/>
      <w:r w:rsidRPr="001B229E">
        <w:rPr>
          <w:rFonts w:ascii="Times New Roman" w:hAnsi="Times New Roman" w:cs="Times New Roman"/>
          <w:sz w:val="20"/>
          <w:szCs w:val="20"/>
        </w:rPr>
        <w:t xml:space="preserve">MEF-6T, 4: 17-22; TASC Initial Brief, </w:t>
      </w:r>
      <w:r w:rsidRPr="001B229E">
        <w:rPr>
          <w:rFonts w:ascii="Times New Roman" w:hAnsi="Times New Roman" w:cs="Times New Roman"/>
          <w:color w:val="000000"/>
          <w:sz w:val="20"/>
          <w:szCs w:val="20"/>
        </w:rPr>
        <w:t>¶ 51</w:t>
      </w:r>
      <w:r>
        <w:rPr>
          <w:rFonts w:ascii="Times New Roman" w:hAnsi="Times New Roman" w:cs="Times New Roman"/>
          <w:color w:val="000000"/>
          <w:sz w:val="20"/>
          <w:szCs w:val="20"/>
        </w:rPr>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8"/>
      <w:numFmt w:val="decimal"/>
      <w:lvlText w:val="%1"/>
      <w:lvlJc w:val="left"/>
      <w:pPr>
        <w:ind w:left="860" w:hanging="756"/>
      </w:pPr>
      <w:rPr>
        <w:rFonts w:ascii="Courier" w:hAnsi="Courier" w:cs="Courier"/>
        <w:b w:val="0"/>
        <w:bCs w:val="0"/>
        <w:position w:val="2"/>
        <w:sz w:val="24"/>
        <w:szCs w:val="24"/>
      </w:rPr>
    </w:lvl>
    <w:lvl w:ilvl="1">
      <w:numFmt w:val="bullet"/>
      <w:lvlText w:val="ï"/>
      <w:lvlJc w:val="left"/>
      <w:pPr>
        <w:ind w:left="1844" w:hanging="756"/>
      </w:pPr>
    </w:lvl>
    <w:lvl w:ilvl="2">
      <w:numFmt w:val="bullet"/>
      <w:lvlText w:val="ï"/>
      <w:lvlJc w:val="left"/>
      <w:pPr>
        <w:ind w:left="2828" w:hanging="756"/>
      </w:pPr>
    </w:lvl>
    <w:lvl w:ilvl="3">
      <w:numFmt w:val="bullet"/>
      <w:lvlText w:val="ï"/>
      <w:lvlJc w:val="left"/>
      <w:pPr>
        <w:ind w:left="3812" w:hanging="756"/>
      </w:pPr>
    </w:lvl>
    <w:lvl w:ilvl="4">
      <w:numFmt w:val="bullet"/>
      <w:lvlText w:val="ï"/>
      <w:lvlJc w:val="left"/>
      <w:pPr>
        <w:ind w:left="4796" w:hanging="756"/>
      </w:pPr>
    </w:lvl>
    <w:lvl w:ilvl="5">
      <w:numFmt w:val="bullet"/>
      <w:lvlText w:val="ï"/>
      <w:lvlJc w:val="left"/>
      <w:pPr>
        <w:ind w:left="5780" w:hanging="756"/>
      </w:pPr>
    </w:lvl>
    <w:lvl w:ilvl="6">
      <w:numFmt w:val="bullet"/>
      <w:lvlText w:val="ï"/>
      <w:lvlJc w:val="left"/>
      <w:pPr>
        <w:ind w:left="6764" w:hanging="756"/>
      </w:pPr>
    </w:lvl>
    <w:lvl w:ilvl="7">
      <w:numFmt w:val="bullet"/>
      <w:lvlText w:val="ï"/>
      <w:lvlJc w:val="left"/>
      <w:pPr>
        <w:ind w:left="7748" w:hanging="756"/>
      </w:pPr>
    </w:lvl>
    <w:lvl w:ilvl="8">
      <w:numFmt w:val="bullet"/>
      <w:lvlText w:val="ï"/>
      <w:lvlJc w:val="left"/>
      <w:pPr>
        <w:ind w:left="8732" w:hanging="756"/>
      </w:pPr>
    </w:lvl>
  </w:abstractNum>
  <w:abstractNum w:abstractNumId="1">
    <w:nsid w:val="06E10F2C"/>
    <w:multiLevelType w:val="multilevel"/>
    <w:tmpl w:val="2714A0EC"/>
    <w:lvl w:ilvl="0">
      <w:start w:val="9"/>
      <w:numFmt w:val="decimal"/>
      <w:lvlText w:val="%1."/>
      <w:lvlJc w:val="left"/>
      <w:pPr>
        <w:tabs>
          <w:tab w:val="num" w:pos="1440"/>
        </w:tabs>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ED731A"/>
    <w:multiLevelType w:val="hybridMultilevel"/>
    <w:tmpl w:val="ECDE9EBC"/>
    <w:lvl w:ilvl="0" w:tplc="2850E7B0">
      <w:start w:val="9"/>
      <w:numFmt w:val="decimal"/>
      <w:lvlText w:val="%1."/>
      <w:lvlJc w:val="left"/>
      <w:pPr>
        <w:tabs>
          <w:tab w:val="num" w:pos="1440"/>
        </w:tabs>
        <w:ind w:left="72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500B5D"/>
    <w:multiLevelType w:val="hybridMultilevel"/>
    <w:tmpl w:val="500E7E80"/>
    <w:lvl w:ilvl="0" w:tplc="7768652A">
      <w:start w:val="19"/>
      <w:numFmt w:val="decimal"/>
      <w:lvlText w:val="%1."/>
      <w:lvlJc w:val="left"/>
      <w:pPr>
        <w:tabs>
          <w:tab w:val="num" w:pos="1440"/>
        </w:tabs>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86D8B"/>
    <w:multiLevelType w:val="multilevel"/>
    <w:tmpl w:val="0F904544"/>
    <w:lvl w:ilvl="0">
      <w:start w:val="14"/>
      <w:numFmt w:val="decimal"/>
      <w:lvlText w:val="%1."/>
      <w:lvlJc w:val="left"/>
      <w:pPr>
        <w:tabs>
          <w:tab w:val="num" w:pos="1440"/>
        </w:tabs>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DA1732"/>
    <w:multiLevelType w:val="hybridMultilevel"/>
    <w:tmpl w:val="EC287230"/>
    <w:lvl w:ilvl="0" w:tplc="00E83322">
      <w:start w:val="9"/>
      <w:numFmt w:val="decimal"/>
      <w:lvlText w:val="%1."/>
      <w:lvlJc w:val="left"/>
      <w:pPr>
        <w:tabs>
          <w:tab w:val="num" w:pos="1440"/>
        </w:tabs>
        <w:ind w:left="720" w:hanging="360"/>
      </w:pPr>
      <w:rPr>
        <w:rFonts w:hint="default"/>
        <w:i/>
      </w:rPr>
    </w:lvl>
    <w:lvl w:ilvl="1" w:tplc="2850E7B0">
      <w:start w:val="9"/>
      <w:numFmt w:val="decimal"/>
      <w:lvlText w:val="%2."/>
      <w:lvlJc w:val="left"/>
      <w:pPr>
        <w:tabs>
          <w:tab w:val="num" w:pos="720"/>
        </w:tabs>
        <w:ind w:left="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2397B"/>
    <w:multiLevelType w:val="hybridMultilevel"/>
    <w:tmpl w:val="A2D089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9A5798"/>
    <w:multiLevelType w:val="hybridMultilevel"/>
    <w:tmpl w:val="F976A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A1656"/>
    <w:multiLevelType w:val="hybridMultilevel"/>
    <w:tmpl w:val="0A141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7FD4131"/>
    <w:multiLevelType w:val="hybridMultilevel"/>
    <w:tmpl w:val="68CE27F8"/>
    <w:lvl w:ilvl="0" w:tplc="4EA45500">
      <w:start w:val="19"/>
      <w:numFmt w:val="decimal"/>
      <w:lvlText w:val="%1."/>
      <w:lvlJc w:val="left"/>
      <w:pPr>
        <w:tabs>
          <w:tab w:val="num" w:pos="720"/>
        </w:tabs>
        <w:ind w:left="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A4233"/>
    <w:multiLevelType w:val="hybridMultilevel"/>
    <w:tmpl w:val="2F2E41DA"/>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1">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78331F"/>
    <w:multiLevelType w:val="hybridMultilevel"/>
    <w:tmpl w:val="B04C0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44C0F"/>
    <w:multiLevelType w:val="multilevel"/>
    <w:tmpl w:val="500E7E80"/>
    <w:lvl w:ilvl="0">
      <w:start w:val="19"/>
      <w:numFmt w:val="decimal"/>
      <w:lvlText w:val="%1."/>
      <w:lvlJc w:val="left"/>
      <w:pPr>
        <w:tabs>
          <w:tab w:val="num" w:pos="1440"/>
        </w:tabs>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6006C0"/>
    <w:multiLevelType w:val="multilevel"/>
    <w:tmpl w:val="CC825124"/>
    <w:lvl w:ilvl="0">
      <w:start w:val="14"/>
      <w:numFmt w:val="decimal"/>
      <w:lvlText w:val="%1."/>
      <w:lvlJc w:val="left"/>
      <w:pPr>
        <w:tabs>
          <w:tab w:val="num" w:pos="720"/>
        </w:tabs>
        <w:ind w:left="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332A3B"/>
    <w:multiLevelType w:val="hybridMultilevel"/>
    <w:tmpl w:val="1FBE2492"/>
    <w:lvl w:ilvl="0" w:tplc="718A49A4">
      <w:start w:val="1"/>
      <w:numFmt w:val="lowerRoman"/>
      <w:lvlText w:val="%1."/>
      <w:lvlJc w:val="left"/>
      <w:pPr>
        <w:ind w:left="2880" w:hanging="72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19A00DF"/>
    <w:multiLevelType w:val="hybridMultilevel"/>
    <w:tmpl w:val="0D0C00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46F16132"/>
    <w:multiLevelType w:val="multilevel"/>
    <w:tmpl w:val="ECDE9EBC"/>
    <w:lvl w:ilvl="0">
      <w:start w:val="9"/>
      <w:numFmt w:val="decimal"/>
      <w:lvlText w:val="%1."/>
      <w:lvlJc w:val="left"/>
      <w:pPr>
        <w:tabs>
          <w:tab w:val="num" w:pos="1440"/>
        </w:tabs>
        <w:ind w:left="720" w:hanging="360"/>
      </w:pPr>
      <w:rPr>
        <w:rFonts w:hint="default"/>
        <w: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4EF1EFE"/>
    <w:multiLevelType w:val="multilevel"/>
    <w:tmpl w:val="330E2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C90968"/>
    <w:multiLevelType w:val="hybridMultilevel"/>
    <w:tmpl w:val="A7B41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84E38"/>
    <w:multiLevelType w:val="hybridMultilevel"/>
    <w:tmpl w:val="6B7E5AEA"/>
    <w:lvl w:ilvl="0" w:tplc="B8B473AA">
      <w:start w:val="14"/>
      <w:numFmt w:val="decimal"/>
      <w:lvlText w:val="%1."/>
      <w:lvlJc w:val="left"/>
      <w:pPr>
        <w:tabs>
          <w:tab w:val="num" w:pos="1440"/>
        </w:tabs>
        <w:ind w:left="720" w:hanging="360"/>
      </w:pPr>
      <w:rPr>
        <w:rFonts w:hint="default"/>
        <w:i/>
      </w:rPr>
    </w:lvl>
    <w:lvl w:ilvl="1" w:tplc="5EF2F40C">
      <w:start w:val="14"/>
      <w:numFmt w:val="decimal"/>
      <w:lvlText w:val="%2."/>
      <w:lvlJc w:val="left"/>
      <w:pPr>
        <w:tabs>
          <w:tab w:val="num" w:pos="720"/>
        </w:tabs>
        <w:ind w:left="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551D0"/>
    <w:multiLevelType w:val="hybridMultilevel"/>
    <w:tmpl w:val="6E786A7E"/>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7D7CE6"/>
    <w:multiLevelType w:val="multilevel"/>
    <w:tmpl w:val="A2D089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642E744B"/>
    <w:multiLevelType w:val="hybridMultilevel"/>
    <w:tmpl w:val="C4824D82"/>
    <w:lvl w:ilvl="0" w:tplc="174293AC">
      <w:start w:val="1"/>
      <w:numFmt w:val="decimal"/>
      <w:lvlText w:val="%1."/>
      <w:lvlJc w:val="left"/>
      <w:pPr>
        <w:tabs>
          <w:tab w:val="num" w:pos="720"/>
        </w:tabs>
        <w:ind w:left="0" w:hanging="360"/>
      </w:pPr>
      <w:rPr>
        <w:rFonts w:hint="default"/>
      </w:rPr>
    </w:lvl>
    <w:lvl w:ilvl="1" w:tplc="5ED8DF1A">
      <w:start w:val="1"/>
      <w:numFmt w:val="decimal"/>
      <w:lvlText w:val="%2."/>
      <w:lvlJc w:val="left"/>
      <w:pPr>
        <w:tabs>
          <w:tab w:val="num" w:pos="720"/>
        </w:tabs>
        <w:ind w:left="0" w:hanging="360"/>
      </w:pPr>
      <w:rPr>
        <w:rFonts w:hint="default"/>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7427B"/>
    <w:multiLevelType w:val="hybridMultilevel"/>
    <w:tmpl w:val="CC825124"/>
    <w:lvl w:ilvl="0" w:tplc="0E4273F4">
      <w:start w:val="14"/>
      <w:numFmt w:val="decimal"/>
      <w:lvlText w:val="%1."/>
      <w:lvlJc w:val="left"/>
      <w:pPr>
        <w:tabs>
          <w:tab w:val="num" w:pos="720"/>
        </w:tabs>
        <w:ind w:left="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90A98"/>
    <w:multiLevelType w:val="hybridMultilevel"/>
    <w:tmpl w:val="2AA4198E"/>
    <w:lvl w:ilvl="0" w:tplc="04090001">
      <w:start w:val="1"/>
      <w:numFmt w:val="bullet"/>
      <w:lvlText w:val=""/>
      <w:lvlJc w:val="left"/>
      <w:pPr>
        <w:ind w:left="3290" w:hanging="360"/>
      </w:pPr>
      <w:rPr>
        <w:rFonts w:ascii="Symbol" w:hAnsi="Symbol" w:hint="default"/>
      </w:rPr>
    </w:lvl>
    <w:lvl w:ilvl="1" w:tplc="04090003">
      <w:start w:val="1"/>
      <w:numFmt w:val="bullet"/>
      <w:lvlText w:val="o"/>
      <w:lvlJc w:val="left"/>
      <w:pPr>
        <w:ind w:left="4010" w:hanging="360"/>
      </w:pPr>
      <w:rPr>
        <w:rFonts w:ascii="Courier New" w:hAnsi="Courier New" w:cs="Courier New" w:hint="default"/>
      </w:rPr>
    </w:lvl>
    <w:lvl w:ilvl="2" w:tplc="04090005" w:tentative="1">
      <w:start w:val="1"/>
      <w:numFmt w:val="bullet"/>
      <w:lvlText w:val=""/>
      <w:lvlJc w:val="left"/>
      <w:pPr>
        <w:ind w:left="4730" w:hanging="360"/>
      </w:pPr>
      <w:rPr>
        <w:rFonts w:ascii="Wingdings" w:hAnsi="Wingdings" w:hint="default"/>
      </w:rPr>
    </w:lvl>
    <w:lvl w:ilvl="3" w:tplc="04090001" w:tentative="1">
      <w:start w:val="1"/>
      <w:numFmt w:val="bullet"/>
      <w:lvlText w:val=""/>
      <w:lvlJc w:val="left"/>
      <w:pPr>
        <w:ind w:left="5450" w:hanging="360"/>
      </w:pPr>
      <w:rPr>
        <w:rFonts w:ascii="Symbol" w:hAnsi="Symbol" w:hint="default"/>
      </w:rPr>
    </w:lvl>
    <w:lvl w:ilvl="4" w:tplc="04090003" w:tentative="1">
      <w:start w:val="1"/>
      <w:numFmt w:val="bullet"/>
      <w:lvlText w:val="o"/>
      <w:lvlJc w:val="left"/>
      <w:pPr>
        <w:ind w:left="6170" w:hanging="360"/>
      </w:pPr>
      <w:rPr>
        <w:rFonts w:ascii="Courier New" w:hAnsi="Courier New" w:cs="Courier New" w:hint="default"/>
      </w:rPr>
    </w:lvl>
    <w:lvl w:ilvl="5" w:tplc="04090005" w:tentative="1">
      <w:start w:val="1"/>
      <w:numFmt w:val="bullet"/>
      <w:lvlText w:val=""/>
      <w:lvlJc w:val="left"/>
      <w:pPr>
        <w:ind w:left="6890" w:hanging="360"/>
      </w:pPr>
      <w:rPr>
        <w:rFonts w:ascii="Wingdings" w:hAnsi="Wingdings" w:hint="default"/>
      </w:rPr>
    </w:lvl>
    <w:lvl w:ilvl="6" w:tplc="04090001" w:tentative="1">
      <w:start w:val="1"/>
      <w:numFmt w:val="bullet"/>
      <w:lvlText w:val=""/>
      <w:lvlJc w:val="left"/>
      <w:pPr>
        <w:ind w:left="7610" w:hanging="360"/>
      </w:pPr>
      <w:rPr>
        <w:rFonts w:ascii="Symbol" w:hAnsi="Symbol" w:hint="default"/>
      </w:rPr>
    </w:lvl>
    <w:lvl w:ilvl="7" w:tplc="04090003" w:tentative="1">
      <w:start w:val="1"/>
      <w:numFmt w:val="bullet"/>
      <w:lvlText w:val="o"/>
      <w:lvlJc w:val="left"/>
      <w:pPr>
        <w:ind w:left="8330" w:hanging="360"/>
      </w:pPr>
      <w:rPr>
        <w:rFonts w:ascii="Courier New" w:hAnsi="Courier New" w:cs="Courier New" w:hint="default"/>
      </w:rPr>
    </w:lvl>
    <w:lvl w:ilvl="8" w:tplc="04090005" w:tentative="1">
      <w:start w:val="1"/>
      <w:numFmt w:val="bullet"/>
      <w:lvlText w:val=""/>
      <w:lvlJc w:val="left"/>
      <w:pPr>
        <w:ind w:left="9050" w:hanging="360"/>
      </w:pPr>
      <w:rPr>
        <w:rFonts w:ascii="Wingdings" w:hAnsi="Wingdings" w:hint="default"/>
      </w:rPr>
    </w:lvl>
  </w:abstractNum>
  <w:abstractNum w:abstractNumId="26">
    <w:nsid w:val="6B47586F"/>
    <w:multiLevelType w:val="multilevel"/>
    <w:tmpl w:val="ED625506"/>
    <w:lvl w:ilvl="0">
      <w:start w:val="14"/>
      <w:numFmt w:val="decimal"/>
      <w:lvlText w:val="%1."/>
      <w:lvlJc w:val="left"/>
      <w:pPr>
        <w:tabs>
          <w:tab w:val="num" w:pos="1440"/>
        </w:tabs>
        <w:ind w:left="720" w:hanging="360"/>
      </w:pPr>
      <w:rPr>
        <w:rFonts w:hint="default"/>
        <w: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6D9D683B"/>
    <w:multiLevelType w:val="multilevel"/>
    <w:tmpl w:val="77FC7A50"/>
    <w:lvl w:ilvl="0">
      <w:start w:val="1"/>
      <w:numFmt w:val="decimal"/>
      <w:lvlText w:val="%1."/>
      <w:lvlJc w:val="left"/>
      <w:pPr>
        <w:tabs>
          <w:tab w:val="num" w:pos="720"/>
        </w:tabs>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100DCC"/>
    <w:multiLevelType w:val="hybridMultilevel"/>
    <w:tmpl w:val="ED625506"/>
    <w:lvl w:ilvl="0" w:tplc="5EF2F40C">
      <w:start w:val="14"/>
      <w:numFmt w:val="decimal"/>
      <w:lvlText w:val="%1."/>
      <w:lvlJc w:val="left"/>
      <w:pPr>
        <w:tabs>
          <w:tab w:val="num" w:pos="1440"/>
        </w:tabs>
        <w:ind w:left="72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611BA2"/>
    <w:multiLevelType w:val="hybridMultilevel"/>
    <w:tmpl w:val="BD48289E"/>
    <w:lvl w:ilvl="0" w:tplc="DCEA85E2">
      <w:start w:val="12"/>
      <w:numFmt w:val="decimal"/>
      <w:lvlText w:val="%1."/>
      <w:lvlJc w:val="left"/>
      <w:pPr>
        <w:tabs>
          <w:tab w:val="num" w:pos="720"/>
        </w:tabs>
        <w:ind w:left="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B2F6C"/>
    <w:multiLevelType w:val="hybridMultilevel"/>
    <w:tmpl w:val="D838812C"/>
    <w:lvl w:ilvl="0" w:tplc="70C0E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21"/>
  </w:num>
  <w:num w:numId="6">
    <w:abstractNumId w:val="16"/>
  </w:num>
  <w:num w:numId="7">
    <w:abstractNumId w:val="30"/>
  </w:num>
  <w:num w:numId="8">
    <w:abstractNumId w:val="11"/>
  </w:num>
  <w:num w:numId="9">
    <w:abstractNumId w:val="18"/>
  </w:num>
  <w:num w:numId="10">
    <w:abstractNumId w:val="8"/>
  </w:num>
  <w:num w:numId="11">
    <w:abstractNumId w:val="19"/>
  </w:num>
  <w:num w:numId="12">
    <w:abstractNumId w:val="0"/>
  </w:num>
  <w:num w:numId="13">
    <w:abstractNumId w:val="25"/>
  </w:num>
  <w:num w:numId="14">
    <w:abstractNumId w:val="6"/>
  </w:num>
  <w:num w:numId="15">
    <w:abstractNumId w:val="22"/>
  </w:num>
  <w:num w:numId="16">
    <w:abstractNumId w:val="23"/>
  </w:num>
  <w:num w:numId="17">
    <w:abstractNumId w:val="27"/>
  </w:num>
  <w:num w:numId="18">
    <w:abstractNumId w:val="5"/>
  </w:num>
  <w:num w:numId="19">
    <w:abstractNumId w:val="1"/>
  </w:num>
  <w:num w:numId="20">
    <w:abstractNumId w:val="2"/>
  </w:num>
  <w:num w:numId="21">
    <w:abstractNumId w:val="17"/>
  </w:num>
  <w:num w:numId="22">
    <w:abstractNumId w:val="29"/>
  </w:num>
  <w:num w:numId="23">
    <w:abstractNumId w:val="20"/>
  </w:num>
  <w:num w:numId="24">
    <w:abstractNumId w:val="4"/>
  </w:num>
  <w:num w:numId="25">
    <w:abstractNumId w:val="28"/>
  </w:num>
  <w:num w:numId="26">
    <w:abstractNumId w:val="26"/>
  </w:num>
  <w:num w:numId="27">
    <w:abstractNumId w:val="24"/>
  </w:num>
  <w:num w:numId="28">
    <w:abstractNumId w:val="14"/>
  </w:num>
  <w:num w:numId="29">
    <w:abstractNumId w:val="3"/>
  </w:num>
  <w:num w:numId="30">
    <w:abstractNumId w:val="1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A4"/>
    <w:rsid w:val="00000509"/>
    <w:rsid w:val="00002CB7"/>
    <w:rsid w:val="0000641F"/>
    <w:rsid w:val="0002094D"/>
    <w:rsid w:val="00022DF2"/>
    <w:rsid w:val="00032A02"/>
    <w:rsid w:val="00036C3A"/>
    <w:rsid w:val="000378CF"/>
    <w:rsid w:val="000415F2"/>
    <w:rsid w:val="000431B6"/>
    <w:rsid w:val="0004454F"/>
    <w:rsid w:val="00076587"/>
    <w:rsid w:val="000842E4"/>
    <w:rsid w:val="00084A95"/>
    <w:rsid w:val="000A1EF0"/>
    <w:rsid w:val="000A2E65"/>
    <w:rsid w:val="000A778C"/>
    <w:rsid w:val="000B17A8"/>
    <w:rsid w:val="000B4BB7"/>
    <w:rsid w:val="000B6A28"/>
    <w:rsid w:val="000F4C15"/>
    <w:rsid w:val="00112053"/>
    <w:rsid w:val="001168DC"/>
    <w:rsid w:val="00132465"/>
    <w:rsid w:val="00132C9D"/>
    <w:rsid w:val="00133560"/>
    <w:rsid w:val="001374E3"/>
    <w:rsid w:val="001404AA"/>
    <w:rsid w:val="0016248F"/>
    <w:rsid w:val="0016785D"/>
    <w:rsid w:val="00175856"/>
    <w:rsid w:val="001947A4"/>
    <w:rsid w:val="0019652F"/>
    <w:rsid w:val="001A3D12"/>
    <w:rsid w:val="001A4B7E"/>
    <w:rsid w:val="001A5482"/>
    <w:rsid w:val="001A583A"/>
    <w:rsid w:val="001B01A6"/>
    <w:rsid w:val="001B0366"/>
    <w:rsid w:val="001B229E"/>
    <w:rsid w:val="001B5427"/>
    <w:rsid w:val="001D0913"/>
    <w:rsid w:val="001D0A96"/>
    <w:rsid w:val="001D4433"/>
    <w:rsid w:val="001D4CD1"/>
    <w:rsid w:val="001D56E9"/>
    <w:rsid w:val="001D77BD"/>
    <w:rsid w:val="001E10D8"/>
    <w:rsid w:val="001F7A96"/>
    <w:rsid w:val="00203FC1"/>
    <w:rsid w:val="00206D4B"/>
    <w:rsid w:val="00210D98"/>
    <w:rsid w:val="00213DFB"/>
    <w:rsid w:val="002275CC"/>
    <w:rsid w:val="00232DE3"/>
    <w:rsid w:val="00232F3D"/>
    <w:rsid w:val="00241BDF"/>
    <w:rsid w:val="00241E7B"/>
    <w:rsid w:val="00244E7A"/>
    <w:rsid w:val="002454F9"/>
    <w:rsid w:val="00252452"/>
    <w:rsid w:val="00253746"/>
    <w:rsid w:val="00254243"/>
    <w:rsid w:val="00267C85"/>
    <w:rsid w:val="00273E3E"/>
    <w:rsid w:val="002757E4"/>
    <w:rsid w:val="002807DE"/>
    <w:rsid w:val="00283080"/>
    <w:rsid w:val="00287FC8"/>
    <w:rsid w:val="002916DE"/>
    <w:rsid w:val="00293936"/>
    <w:rsid w:val="002A6A1D"/>
    <w:rsid w:val="002E47F3"/>
    <w:rsid w:val="002F15C0"/>
    <w:rsid w:val="002F1B8A"/>
    <w:rsid w:val="002F3D8C"/>
    <w:rsid w:val="002F4A05"/>
    <w:rsid w:val="00300C2B"/>
    <w:rsid w:val="0031415E"/>
    <w:rsid w:val="003213B3"/>
    <w:rsid w:val="003229E6"/>
    <w:rsid w:val="00323F8A"/>
    <w:rsid w:val="00334340"/>
    <w:rsid w:val="00341DF5"/>
    <w:rsid w:val="00345C53"/>
    <w:rsid w:val="00354BB4"/>
    <w:rsid w:val="003676EE"/>
    <w:rsid w:val="00372885"/>
    <w:rsid w:val="00373879"/>
    <w:rsid w:val="00380EEB"/>
    <w:rsid w:val="0038516A"/>
    <w:rsid w:val="00387F4B"/>
    <w:rsid w:val="00390116"/>
    <w:rsid w:val="00395619"/>
    <w:rsid w:val="00397298"/>
    <w:rsid w:val="003A2C8E"/>
    <w:rsid w:val="003B386C"/>
    <w:rsid w:val="003C15A7"/>
    <w:rsid w:val="003D00A2"/>
    <w:rsid w:val="003D0A52"/>
    <w:rsid w:val="003D2183"/>
    <w:rsid w:val="003D4453"/>
    <w:rsid w:val="003E4949"/>
    <w:rsid w:val="003E54AA"/>
    <w:rsid w:val="003F5C5C"/>
    <w:rsid w:val="003F5D6F"/>
    <w:rsid w:val="003F759C"/>
    <w:rsid w:val="00407034"/>
    <w:rsid w:val="00411C51"/>
    <w:rsid w:val="004130FC"/>
    <w:rsid w:val="00413654"/>
    <w:rsid w:val="00420627"/>
    <w:rsid w:val="004305AA"/>
    <w:rsid w:val="00433725"/>
    <w:rsid w:val="00436795"/>
    <w:rsid w:val="004452DB"/>
    <w:rsid w:val="00447BA3"/>
    <w:rsid w:val="00452D0D"/>
    <w:rsid w:val="004600DF"/>
    <w:rsid w:val="00463A40"/>
    <w:rsid w:val="00464B6E"/>
    <w:rsid w:val="00470309"/>
    <w:rsid w:val="004739DE"/>
    <w:rsid w:val="00473EA0"/>
    <w:rsid w:val="00477229"/>
    <w:rsid w:val="00487637"/>
    <w:rsid w:val="004A7548"/>
    <w:rsid w:val="004B0717"/>
    <w:rsid w:val="004B3EAF"/>
    <w:rsid w:val="004C0849"/>
    <w:rsid w:val="004C246D"/>
    <w:rsid w:val="004C6D8D"/>
    <w:rsid w:val="004D0E38"/>
    <w:rsid w:val="004D1249"/>
    <w:rsid w:val="004D1627"/>
    <w:rsid w:val="004E1156"/>
    <w:rsid w:val="004F2315"/>
    <w:rsid w:val="00502C1B"/>
    <w:rsid w:val="00510F77"/>
    <w:rsid w:val="00511B95"/>
    <w:rsid w:val="00513899"/>
    <w:rsid w:val="00514835"/>
    <w:rsid w:val="005168F8"/>
    <w:rsid w:val="005216D0"/>
    <w:rsid w:val="005263A2"/>
    <w:rsid w:val="00531579"/>
    <w:rsid w:val="00536E76"/>
    <w:rsid w:val="00544C44"/>
    <w:rsid w:val="00550678"/>
    <w:rsid w:val="00554DAE"/>
    <w:rsid w:val="0056453C"/>
    <w:rsid w:val="005645E8"/>
    <w:rsid w:val="005651F6"/>
    <w:rsid w:val="00574985"/>
    <w:rsid w:val="00584152"/>
    <w:rsid w:val="00584A29"/>
    <w:rsid w:val="00592A43"/>
    <w:rsid w:val="00595A9A"/>
    <w:rsid w:val="0059781F"/>
    <w:rsid w:val="005B62DF"/>
    <w:rsid w:val="005D7C3F"/>
    <w:rsid w:val="005E206A"/>
    <w:rsid w:val="005E4775"/>
    <w:rsid w:val="005F1F9D"/>
    <w:rsid w:val="005F515A"/>
    <w:rsid w:val="00602992"/>
    <w:rsid w:val="00603537"/>
    <w:rsid w:val="00610759"/>
    <w:rsid w:val="0061710C"/>
    <w:rsid w:val="006173DA"/>
    <w:rsid w:val="006232A3"/>
    <w:rsid w:val="00630D40"/>
    <w:rsid w:val="0064579E"/>
    <w:rsid w:val="00651366"/>
    <w:rsid w:val="006557DB"/>
    <w:rsid w:val="00656862"/>
    <w:rsid w:val="00660712"/>
    <w:rsid w:val="0066753D"/>
    <w:rsid w:val="00672A02"/>
    <w:rsid w:val="00673E39"/>
    <w:rsid w:val="00675266"/>
    <w:rsid w:val="006901BA"/>
    <w:rsid w:val="00691ABB"/>
    <w:rsid w:val="00696AD1"/>
    <w:rsid w:val="006A52A7"/>
    <w:rsid w:val="006A5A46"/>
    <w:rsid w:val="006A65E1"/>
    <w:rsid w:val="006A6F12"/>
    <w:rsid w:val="006B0E30"/>
    <w:rsid w:val="006B5D56"/>
    <w:rsid w:val="006B61E6"/>
    <w:rsid w:val="006B63CB"/>
    <w:rsid w:val="006B64A8"/>
    <w:rsid w:val="006C1592"/>
    <w:rsid w:val="006C4156"/>
    <w:rsid w:val="006D2F64"/>
    <w:rsid w:val="006D31FD"/>
    <w:rsid w:val="006D6647"/>
    <w:rsid w:val="006E00DF"/>
    <w:rsid w:val="006E7722"/>
    <w:rsid w:val="00700E23"/>
    <w:rsid w:val="00703E06"/>
    <w:rsid w:val="007264B4"/>
    <w:rsid w:val="00727C56"/>
    <w:rsid w:val="007325A5"/>
    <w:rsid w:val="007360E2"/>
    <w:rsid w:val="00743B51"/>
    <w:rsid w:val="007577C7"/>
    <w:rsid w:val="007633C0"/>
    <w:rsid w:val="007633D7"/>
    <w:rsid w:val="00766DA0"/>
    <w:rsid w:val="00781432"/>
    <w:rsid w:val="00784EE5"/>
    <w:rsid w:val="00785C3F"/>
    <w:rsid w:val="007A3D59"/>
    <w:rsid w:val="007A5237"/>
    <w:rsid w:val="007C12D3"/>
    <w:rsid w:val="007C32E7"/>
    <w:rsid w:val="007C3774"/>
    <w:rsid w:val="007C68F3"/>
    <w:rsid w:val="007E793A"/>
    <w:rsid w:val="007E7DEE"/>
    <w:rsid w:val="008021BF"/>
    <w:rsid w:val="008113B8"/>
    <w:rsid w:val="008118C2"/>
    <w:rsid w:val="00815DFE"/>
    <w:rsid w:val="0082182C"/>
    <w:rsid w:val="00822537"/>
    <w:rsid w:val="00826CF1"/>
    <w:rsid w:val="00835D01"/>
    <w:rsid w:val="008417F3"/>
    <w:rsid w:val="00844116"/>
    <w:rsid w:val="00845690"/>
    <w:rsid w:val="00847134"/>
    <w:rsid w:val="008518F2"/>
    <w:rsid w:val="00861928"/>
    <w:rsid w:val="00895D56"/>
    <w:rsid w:val="00897636"/>
    <w:rsid w:val="00897A08"/>
    <w:rsid w:val="008A3AE6"/>
    <w:rsid w:val="008A53B9"/>
    <w:rsid w:val="008B02C0"/>
    <w:rsid w:val="008B29A7"/>
    <w:rsid w:val="008D06D6"/>
    <w:rsid w:val="008D0727"/>
    <w:rsid w:val="008D3323"/>
    <w:rsid w:val="008D6D3E"/>
    <w:rsid w:val="008E4A35"/>
    <w:rsid w:val="008E7710"/>
    <w:rsid w:val="008F6C52"/>
    <w:rsid w:val="008F7B69"/>
    <w:rsid w:val="00906589"/>
    <w:rsid w:val="0092083D"/>
    <w:rsid w:val="00920AF3"/>
    <w:rsid w:val="00931AD0"/>
    <w:rsid w:val="00936240"/>
    <w:rsid w:val="00940122"/>
    <w:rsid w:val="009559A8"/>
    <w:rsid w:val="00956093"/>
    <w:rsid w:val="00970239"/>
    <w:rsid w:val="00971A58"/>
    <w:rsid w:val="00986318"/>
    <w:rsid w:val="009931EF"/>
    <w:rsid w:val="009A156D"/>
    <w:rsid w:val="009A208F"/>
    <w:rsid w:val="009A4D84"/>
    <w:rsid w:val="009A54C7"/>
    <w:rsid w:val="009A7A11"/>
    <w:rsid w:val="009B1AA0"/>
    <w:rsid w:val="009B39D4"/>
    <w:rsid w:val="009B706B"/>
    <w:rsid w:val="009C79D9"/>
    <w:rsid w:val="009E19C7"/>
    <w:rsid w:val="009E1C4A"/>
    <w:rsid w:val="009E3C59"/>
    <w:rsid w:val="009F2EC5"/>
    <w:rsid w:val="00A00E67"/>
    <w:rsid w:val="00A0700D"/>
    <w:rsid w:val="00A11BD4"/>
    <w:rsid w:val="00A16CF2"/>
    <w:rsid w:val="00A22FD2"/>
    <w:rsid w:val="00A33C64"/>
    <w:rsid w:val="00A3565F"/>
    <w:rsid w:val="00A432F2"/>
    <w:rsid w:val="00A52804"/>
    <w:rsid w:val="00A53B07"/>
    <w:rsid w:val="00A57450"/>
    <w:rsid w:val="00A650A9"/>
    <w:rsid w:val="00A66A56"/>
    <w:rsid w:val="00A721FA"/>
    <w:rsid w:val="00A84E3B"/>
    <w:rsid w:val="00A8501D"/>
    <w:rsid w:val="00A8516E"/>
    <w:rsid w:val="00A92507"/>
    <w:rsid w:val="00AA47A5"/>
    <w:rsid w:val="00AB1957"/>
    <w:rsid w:val="00AB279D"/>
    <w:rsid w:val="00AB2E79"/>
    <w:rsid w:val="00AB4D82"/>
    <w:rsid w:val="00AC29F9"/>
    <w:rsid w:val="00AD2214"/>
    <w:rsid w:val="00AD3612"/>
    <w:rsid w:val="00AD3E07"/>
    <w:rsid w:val="00AD49C0"/>
    <w:rsid w:val="00AE4DBB"/>
    <w:rsid w:val="00B00A9D"/>
    <w:rsid w:val="00B10167"/>
    <w:rsid w:val="00B23D04"/>
    <w:rsid w:val="00B37EDA"/>
    <w:rsid w:val="00B4361F"/>
    <w:rsid w:val="00B50D5E"/>
    <w:rsid w:val="00B524C3"/>
    <w:rsid w:val="00B54116"/>
    <w:rsid w:val="00B6427B"/>
    <w:rsid w:val="00B82E89"/>
    <w:rsid w:val="00B92485"/>
    <w:rsid w:val="00B940DD"/>
    <w:rsid w:val="00B97653"/>
    <w:rsid w:val="00B97904"/>
    <w:rsid w:val="00BA1A8F"/>
    <w:rsid w:val="00BA6EF8"/>
    <w:rsid w:val="00BB1C59"/>
    <w:rsid w:val="00BB3714"/>
    <w:rsid w:val="00BC553F"/>
    <w:rsid w:val="00BD0ED2"/>
    <w:rsid w:val="00BD4D96"/>
    <w:rsid w:val="00BD7C6B"/>
    <w:rsid w:val="00BE0CAF"/>
    <w:rsid w:val="00BE2663"/>
    <w:rsid w:val="00BF211D"/>
    <w:rsid w:val="00BF4B90"/>
    <w:rsid w:val="00C01D58"/>
    <w:rsid w:val="00C10A1E"/>
    <w:rsid w:val="00C20DBB"/>
    <w:rsid w:val="00C24DE2"/>
    <w:rsid w:val="00C354E5"/>
    <w:rsid w:val="00C40DE0"/>
    <w:rsid w:val="00C43B56"/>
    <w:rsid w:val="00C44717"/>
    <w:rsid w:val="00C447AC"/>
    <w:rsid w:val="00C46155"/>
    <w:rsid w:val="00C540D7"/>
    <w:rsid w:val="00C603F4"/>
    <w:rsid w:val="00C60C1C"/>
    <w:rsid w:val="00C911BF"/>
    <w:rsid w:val="00C92617"/>
    <w:rsid w:val="00CB4B5C"/>
    <w:rsid w:val="00CB70DB"/>
    <w:rsid w:val="00CC7554"/>
    <w:rsid w:val="00CD14B2"/>
    <w:rsid w:val="00CD7C5E"/>
    <w:rsid w:val="00CF3A64"/>
    <w:rsid w:val="00D038D5"/>
    <w:rsid w:val="00D15805"/>
    <w:rsid w:val="00D2059B"/>
    <w:rsid w:val="00D24AAA"/>
    <w:rsid w:val="00D36BC8"/>
    <w:rsid w:val="00D51BD4"/>
    <w:rsid w:val="00D600A7"/>
    <w:rsid w:val="00D60D1B"/>
    <w:rsid w:val="00D6298B"/>
    <w:rsid w:val="00D673F9"/>
    <w:rsid w:val="00D82DAE"/>
    <w:rsid w:val="00D87200"/>
    <w:rsid w:val="00D92DDA"/>
    <w:rsid w:val="00D93BD6"/>
    <w:rsid w:val="00D949FA"/>
    <w:rsid w:val="00D96211"/>
    <w:rsid w:val="00DB2C8C"/>
    <w:rsid w:val="00DC33DD"/>
    <w:rsid w:val="00DC42A8"/>
    <w:rsid w:val="00DC659A"/>
    <w:rsid w:val="00DC7499"/>
    <w:rsid w:val="00DD0258"/>
    <w:rsid w:val="00DD144A"/>
    <w:rsid w:val="00E04723"/>
    <w:rsid w:val="00E12D77"/>
    <w:rsid w:val="00E14D2C"/>
    <w:rsid w:val="00E174C7"/>
    <w:rsid w:val="00E205D9"/>
    <w:rsid w:val="00E23C61"/>
    <w:rsid w:val="00E31B6C"/>
    <w:rsid w:val="00E42307"/>
    <w:rsid w:val="00E50894"/>
    <w:rsid w:val="00E51217"/>
    <w:rsid w:val="00E5402F"/>
    <w:rsid w:val="00E60257"/>
    <w:rsid w:val="00E615D1"/>
    <w:rsid w:val="00E630C3"/>
    <w:rsid w:val="00E64329"/>
    <w:rsid w:val="00E7342E"/>
    <w:rsid w:val="00E735D6"/>
    <w:rsid w:val="00E84820"/>
    <w:rsid w:val="00E85B4E"/>
    <w:rsid w:val="00E8796F"/>
    <w:rsid w:val="00E90BE0"/>
    <w:rsid w:val="00E92BFA"/>
    <w:rsid w:val="00E93D19"/>
    <w:rsid w:val="00E94522"/>
    <w:rsid w:val="00E94726"/>
    <w:rsid w:val="00EA332E"/>
    <w:rsid w:val="00EA73CF"/>
    <w:rsid w:val="00EC13F1"/>
    <w:rsid w:val="00EC3BC0"/>
    <w:rsid w:val="00ED41E3"/>
    <w:rsid w:val="00ED62CD"/>
    <w:rsid w:val="00EE1A9D"/>
    <w:rsid w:val="00EE6EB1"/>
    <w:rsid w:val="00EF2B35"/>
    <w:rsid w:val="00F1789E"/>
    <w:rsid w:val="00F20C7D"/>
    <w:rsid w:val="00F233D9"/>
    <w:rsid w:val="00F237A9"/>
    <w:rsid w:val="00F2477E"/>
    <w:rsid w:val="00F26F00"/>
    <w:rsid w:val="00F30963"/>
    <w:rsid w:val="00F30CDC"/>
    <w:rsid w:val="00F3100D"/>
    <w:rsid w:val="00F340DE"/>
    <w:rsid w:val="00F51627"/>
    <w:rsid w:val="00F52249"/>
    <w:rsid w:val="00F53600"/>
    <w:rsid w:val="00F62A08"/>
    <w:rsid w:val="00F72400"/>
    <w:rsid w:val="00F7487A"/>
    <w:rsid w:val="00F769FC"/>
    <w:rsid w:val="00F91F05"/>
    <w:rsid w:val="00F933AA"/>
    <w:rsid w:val="00F954C7"/>
    <w:rsid w:val="00FA2C9D"/>
    <w:rsid w:val="00FA425B"/>
    <w:rsid w:val="00FA4A3B"/>
    <w:rsid w:val="00FA4E25"/>
    <w:rsid w:val="00FC263E"/>
    <w:rsid w:val="00FC26B8"/>
    <w:rsid w:val="00FC29F2"/>
    <w:rsid w:val="00FC2FF4"/>
    <w:rsid w:val="00FC5B00"/>
    <w:rsid w:val="00FD495C"/>
    <w:rsid w:val="00FD52A4"/>
    <w:rsid w:val="00FF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AA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5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35D01"/>
    <w:pPr>
      <w:keepNext/>
      <w:keepLines/>
      <w:spacing w:before="20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Normal"/>
    <w:link w:val="FootnoteTextChar"/>
    <w:uiPriority w:val="99"/>
    <w:unhideWhenUsed/>
    <w:qFormat/>
    <w:rsid w:val="00784EE5"/>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784EE5"/>
  </w:style>
  <w:style w:type="character" w:styleId="FootnoteReference">
    <w:name w:val="footnote reference"/>
    <w:basedOn w:val="DefaultParagraphFont"/>
    <w:uiPriority w:val="99"/>
    <w:unhideWhenUsed/>
    <w:qFormat/>
    <w:rsid w:val="00784EE5"/>
    <w:rPr>
      <w:vertAlign w:val="superscript"/>
    </w:rPr>
  </w:style>
  <w:style w:type="paragraph" w:styleId="BodyText">
    <w:name w:val="Body Text"/>
    <w:basedOn w:val="Normal"/>
    <w:link w:val="BodyTextChar"/>
    <w:uiPriority w:val="1"/>
    <w:qFormat/>
    <w:rsid w:val="001F7A96"/>
    <w:pPr>
      <w:widowControl w:val="0"/>
      <w:autoSpaceDE w:val="0"/>
      <w:autoSpaceDN w:val="0"/>
      <w:adjustRightInd w:val="0"/>
      <w:ind w:left="100"/>
    </w:pPr>
    <w:rPr>
      <w:rFonts w:ascii="Times New Roman" w:hAnsi="Times New Roman" w:cs="Times New Roman"/>
    </w:rPr>
  </w:style>
  <w:style w:type="character" w:customStyle="1" w:styleId="BodyTextChar">
    <w:name w:val="Body Text Char"/>
    <w:basedOn w:val="DefaultParagraphFont"/>
    <w:link w:val="BodyText"/>
    <w:uiPriority w:val="1"/>
    <w:rsid w:val="001F7A96"/>
    <w:rPr>
      <w:rFonts w:ascii="Times New Roman" w:hAnsi="Times New Roman" w:cs="Times New Roman"/>
    </w:rPr>
  </w:style>
  <w:style w:type="paragraph" w:styleId="Footer">
    <w:name w:val="footer"/>
    <w:basedOn w:val="Normal"/>
    <w:link w:val="FooterChar"/>
    <w:unhideWhenUsed/>
    <w:rsid w:val="009B706B"/>
    <w:pPr>
      <w:tabs>
        <w:tab w:val="center" w:pos="4320"/>
        <w:tab w:val="right" w:pos="8640"/>
      </w:tabs>
    </w:pPr>
  </w:style>
  <w:style w:type="character" w:customStyle="1" w:styleId="FooterChar">
    <w:name w:val="Footer Char"/>
    <w:basedOn w:val="DefaultParagraphFont"/>
    <w:link w:val="Footer"/>
    <w:rsid w:val="009B706B"/>
  </w:style>
  <w:style w:type="character" w:styleId="PageNumber">
    <w:name w:val="page number"/>
    <w:basedOn w:val="DefaultParagraphFont"/>
    <w:unhideWhenUsed/>
    <w:rsid w:val="009B706B"/>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uiPriority w:val="99"/>
    <w:rsid w:val="007C32E7"/>
    <w:rPr>
      <w:sz w:val="22"/>
    </w:rPr>
  </w:style>
  <w:style w:type="character" w:styleId="CommentReference">
    <w:name w:val="annotation reference"/>
    <w:basedOn w:val="DefaultParagraphFont"/>
    <w:uiPriority w:val="99"/>
    <w:semiHidden/>
    <w:unhideWhenUsed/>
    <w:rsid w:val="00895D56"/>
    <w:rPr>
      <w:sz w:val="18"/>
      <w:szCs w:val="18"/>
    </w:rPr>
  </w:style>
  <w:style w:type="paragraph" w:styleId="CommentText">
    <w:name w:val="annotation text"/>
    <w:basedOn w:val="Normal"/>
    <w:link w:val="CommentTextChar"/>
    <w:uiPriority w:val="99"/>
    <w:semiHidden/>
    <w:unhideWhenUsed/>
    <w:rsid w:val="00895D56"/>
  </w:style>
  <w:style w:type="character" w:customStyle="1" w:styleId="CommentTextChar">
    <w:name w:val="Comment Text Char"/>
    <w:basedOn w:val="DefaultParagraphFont"/>
    <w:link w:val="CommentText"/>
    <w:uiPriority w:val="99"/>
    <w:semiHidden/>
    <w:rsid w:val="00895D56"/>
  </w:style>
  <w:style w:type="paragraph" w:styleId="CommentSubject">
    <w:name w:val="annotation subject"/>
    <w:basedOn w:val="CommentText"/>
    <w:next w:val="CommentText"/>
    <w:link w:val="CommentSubjectChar"/>
    <w:uiPriority w:val="99"/>
    <w:semiHidden/>
    <w:unhideWhenUsed/>
    <w:rsid w:val="00895D56"/>
    <w:rPr>
      <w:b/>
      <w:bCs/>
      <w:sz w:val="20"/>
      <w:szCs w:val="20"/>
    </w:rPr>
  </w:style>
  <w:style w:type="character" w:customStyle="1" w:styleId="CommentSubjectChar">
    <w:name w:val="Comment Subject Char"/>
    <w:basedOn w:val="CommentTextChar"/>
    <w:link w:val="CommentSubject"/>
    <w:uiPriority w:val="99"/>
    <w:semiHidden/>
    <w:rsid w:val="00895D56"/>
    <w:rPr>
      <w:b/>
      <w:bCs/>
      <w:sz w:val="20"/>
      <w:szCs w:val="20"/>
    </w:rPr>
  </w:style>
  <w:style w:type="paragraph" w:styleId="BalloonText">
    <w:name w:val="Balloon Text"/>
    <w:basedOn w:val="Normal"/>
    <w:link w:val="BalloonTextChar"/>
    <w:uiPriority w:val="99"/>
    <w:semiHidden/>
    <w:unhideWhenUsed/>
    <w:rsid w:val="00895D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D56"/>
    <w:rPr>
      <w:rFonts w:ascii="Lucida Grande" w:hAnsi="Lucida Grande" w:cs="Lucida Grande"/>
      <w:sz w:val="18"/>
      <w:szCs w:val="18"/>
    </w:rPr>
  </w:style>
  <w:style w:type="character" w:customStyle="1" w:styleId="Heading3Char">
    <w:name w:val="Heading 3 Char"/>
    <w:basedOn w:val="DefaultParagraphFont"/>
    <w:link w:val="Heading3"/>
    <w:uiPriority w:val="9"/>
    <w:rsid w:val="00835D01"/>
    <w:rPr>
      <w:rFonts w:ascii="Times New Roman" w:eastAsiaTheme="majorEastAsia" w:hAnsi="Times New Roman" w:cstheme="majorBidi"/>
      <w:b/>
      <w:bCs/>
    </w:rPr>
  </w:style>
  <w:style w:type="table" w:styleId="TableGrid">
    <w:name w:val="Table Grid"/>
    <w:basedOn w:val="TableNormal"/>
    <w:uiPriority w:val="59"/>
    <w:rsid w:val="00835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D01"/>
    <w:rPr>
      <w:color w:val="0000FF" w:themeColor="hyperlink"/>
      <w:u w:val="single"/>
    </w:rPr>
  </w:style>
  <w:style w:type="paragraph" w:customStyle="1" w:styleId="CourtName">
    <w:name w:val="CourtName"/>
    <w:basedOn w:val="Normal"/>
    <w:rsid w:val="00D93BD6"/>
    <w:pPr>
      <w:jc w:val="center"/>
    </w:pPr>
    <w:rPr>
      <w:rFonts w:ascii="Times New Roman" w:eastAsia="Times New Roman" w:hAnsi="Times New Roman" w:cs="Times New Roman"/>
    </w:rPr>
  </w:style>
  <w:style w:type="paragraph" w:styleId="Header">
    <w:name w:val="header"/>
    <w:basedOn w:val="Normal"/>
    <w:link w:val="HeaderChar"/>
    <w:uiPriority w:val="99"/>
    <w:unhideWhenUsed/>
    <w:rsid w:val="00D93BD6"/>
    <w:pPr>
      <w:tabs>
        <w:tab w:val="center" w:pos="4320"/>
        <w:tab w:val="right" w:pos="8640"/>
      </w:tabs>
    </w:pPr>
  </w:style>
  <w:style w:type="character" w:customStyle="1" w:styleId="HeaderChar">
    <w:name w:val="Header Char"/>
    <w:basedOn w:val="DefaultParagraphFont"/>
    <w:link w:val="Header"/>
    <w:uiPriority w:val="99"/>
    <w:rsid w:val="00D93BD6"/>
  </w:style>
  <w:style w:type="table" w:styleId="LightShading-Accent1">
    <w:name w:val="Light Shading Accent 1"/>
    <w:basedOn w:val="TableNormal"/>
    <w:uiPriority w:val="60"/>
    <w:rsid w:val="00032A02"/>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9652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9652F"/>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19652F"/>
    <w:pPr>
      <w:ind w:left="480"/>
    </w:pPr>
    <w:rPr>
      <w:sz w:val="22"/>
      <w:szCs w:val="22"/>
    </w:rPr>
  </w:style>
  <w:style w:type="paragraph" w:styleId="TOC1">
    <w:name w:val="toc 1"/>
    <w:basedOn w:val="Normal"/>
    <w:next w:val="Normal"/>
    <w:autoRedefine/>
    <w:uiPriority w:val="39"/>
    <w:semiHidden/>
    <w:unhideWhenUsed/>
    <w:rsid w:val="0019652F"/>
    <w:pPr>
      <w:spacing w:before="120"/>
    </w:pPr>
    <w:rPr>
      <w:b/>
    </w:rPr>
  </w:style>
  <w:style w:type="paragraph" w:styleId="TOC2">
    <w:name w:val="toc 2"/>
    <w:basedOn w:val="Normal"/>
    <w:next w:val="Normal"/>
    <w:autoRedefine/>
    <w:uiPriority w:val="39"/>
    <w:semiHidden/>
    <w:unhideWhenUsed/>
    <w:rsid w:val="0019652F"/>
    <w:pPr>
      <w:ind w:left="240"/>
    </w:pPr>
    <w:rPr>
      <w:b/>
      <w:sz w:val="22"/>
      <w:szCs w:val="22"/>
    </w:rPr>
  </w:style>
  <w:style w:type="paragraph" w:styleId="TOC4">
    <w:name w:val="toc 4"/>
    <w:basedOn w:val="Normal"/>
    <w:next w:val="Normal"/>
    <w:autoRedefine/>
    <w:uiPriority w:val="39"/>
    <w:semiHidden/>
    <w:unhideWhenUsed/>
    <w:rsid w:val="0019652F"/>
    <w:pPr>
      <w:ind w:left="720"/>
    </w:pPr>
    <w:rPr>
      <w:sz w:val="20"/>
      <w:szCs w:val="20"/>
    </w:rPr>
  </w:style>
  <w:style w:type="paragraph" w:styleId="TOC5">
    <w:name w:val="toc 5"/>
    <w:basedOn w:val="Normal"/>
    <w:next w:val="Normal"/>
    <w:autoRedefine/>
    <w:uiPriority w:val="39"/>
    <w:semiHidden/>
    <w:unhideWhenUsed/>
    <w:rsid w:val="0019652F"/>
    <w:pPr>
      <w:ind w:left="960"/>
    </w:pPr>
    <w:rPr>
      <w:sz w:val="20"/>
      <w:szCs w:val="20"/>
    </w:rPr>
  </w:style>
  <w:style w:type="paragraph" w:styleId="TOC6">
    <w:name w:val="toc 6"/>
    <w:basedOn w:val="Normal"/>
    <w:next w:val="Normal"/>
    <w:autoRedefine/>
    <w:uiPriority w:val="39"/>
    <w:semiHidden/>
    <w:unhideWhenUsed/>
    <w:rsid w:val="0019652F"/>
    <w:pPr>
      <w:ind w:left="1200"/>
    </w:pPr>
    <w:rPr>
      <w:sz w:val="20"/>
      <w:szCs w:val="20"/>
    </w:rPr>
  </w:style>
  <w:style w:type="paragraph" w:styleId="TOC7">
    <w:name w:val="toc 7"/>
    <w:basedOn w:val="Normal"/>
    <w:next w:val="Normal"/>
    <w:autoRedefine/>
    <w:uiPriority w:val="39"/>
    <w:semiHidden/>
    <w:unhideWhenUsed/>
    <w:rsid w:val="0019652F"/>
    <w:pPr>
      <w:ind w:left="1440"/>
    </w:pPr>
    <w:rPr>
      <w:sz w:val="20"/>
      <w:szCs w:val="20"/>
    </w:rPr>
  </w:style>
  <w:style w:type="paragraph" w:styleId="TOC8">
    <w:name w:val="toc 8"/>
    <w:basedOn w:val="Normal"/>
    <w:next w:val="Normal"/>
    <w:autoRedefine/>
    <w:uiPriority w:val="39"/>
    <w:semiHidden/>
    <w:unhideWhenUsed/>
    <w:rsid w:val="0019652F"/>
    <w:pPr>
      <w:ind w:left="1680"/>
    </w:pPr>
    <w:rPr>
      <w:sz w:val="20"/>
      <w:szCs w:val="20"/>
    </w:rPr>
  </w:style>
  <w:style w:type="paragraph" w:styleId="TOC9">
    <w:name w:val="toc 9"/>
    <w:basedOn w:val="Normal"/>
    <w:next w:val="Normal"/>
    <w:autoRedefine/>
    <w:uiPriority w:val="39"/>
    <w:semiHidden/>
    <w:unhideWhenUsed/>
    <w:rsid w:val="0019652F"/>
    <w:pPr>
      <w:ind w:left="1920"/>
    </w:pPr>
    <w:rPr>
      <w:sz w:val="20"/>
      <w:szCs w:val="20"/>
    </w:rPr>
  </w:style>
  <w:style w:type="character" w:styleId="FollowedHyperlink">
    <w:name w:val="FollowedHyperlink"/>
    <w:basedOn w:val="DefaultParagraphFont"/>
    <w:uiPriority w:val="99"/>
    <w:semiHidden/>
    <w:unhideWhenUsed/>
    <w:rsid w:val="00076587"/>
    <w:rPr>
      <w:color w:val="800080" w:themeColor="followedHyperlink"/>
      <w:u w:val="single"/>
    </w:rPr>
  </w:style>
  <w:style w:type="paragraph" w:styleId="Revision">
    <w:name w:val="Revision"/>
    <w:hidden/>
    <w:uiPriority w:val="99"/>
    <w:semiHidden/>
    <w:rsid w:val="007C68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5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35D01"/>
    <w:pPr>
      <w:keepNext/>
      <w:keepLines/>
      <w:spacing w:before="20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Normal"/>
    <w:link w:val="FootnoteTextChar"/>
    <w:uiPriority w:val="99"/>
    <w:unhideWhenUsed/>
    <w:qFormat/>
    <w:rsid w:val="00784EE5"/>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784EE5"/>
  </w:style>
  <w:style w:type="character" w:styleId="FootnoteReference">
    <w:name w:val="footnote reference"/>
    <w:basedOn w:val="DefaultParagraphFont"/>
    <w:uiPriority w:val="99"/>
    <w:unhideWhenUsed/>
    <w:qFormat/>
    <w:rsid w:val="00784EE5"/>
    <w:rPr>
      <w:vertAlign w:val="superscript"/>
    </w:rPr>
  </w:style>
  <w:style w:type="paragraph" w:styleId="BodyText">
    <w:name w:val="Body Text"/>
    <w:basedOn w:val="Normal"/>
    <w:link w:val="BodyTextChar"/>
    <w:uiPriority w:val="1"/>
    <w:qFormat/>
    <w:rsid w:val="001F7A96"/>
    <w:pPr>
      <w:widowControl w:val="0"/>
      <w:autoSpaceDE w:val="0"/>
      <w:autoSpaceDN w:val="0"/>
      <w:adjustRightInd w:val="0"/>
      <w:ind w:left="100"/>
    </w:pPr>
    <w:rPr>
      <w:rFonts w:ascii="Times New Roman" w:hAnsi="Times New Roman" w:cs="Times New Roman"/>
    </w:rPr>
  </w:style>
  <w:style w:type="character" w:customStyle="1" w:styleId="BodyTextChar">
    <w:name w:val="Body Text Char"/>
    <w:basedOn w:val="DefaultParagraphFont"/>
    <w:link w:val="BodyText"/>
    <w:uiPriority w:val="1"/>
    <w:rsid w:val="001F7A96"/>
    <w:rPr>
      <w:rFonts w:ascii="Times New Roman" w:hAnsi="Times New Roman" w:cs="Times New Roman"/>
    </w:rPr>
  </w:style>
  <w:style w:type="paragraph" w:styleId="Footer">
    <w:name w:val="footer"/>
    <w:basedOn w:val="Normal"/>
    <w:link w:val="FooterChar"/>
    <w:unhideWhenUsed/>
    <w:rsid w:val="009B706B"/>
    <w:pPr>
      <w:tabs>
        <w:tab w:val="center" w:pos="4320"/>
        <w:tab w:val="right" w:pos="8640"/>
      </w:tabs>
    </w:pPr>
  </w:style>
  <w:style w:type="character" w:customStyle="1" w:styleId="FooterChar">
    <w:name w:val="Footer Char"/>
    <w:basedOn w:val="DefaultParagraphFont"/>
    <w:link w:val="Footer"/>
    <w:rsid w:val="009B706B"/>
  </w:style>
  <w:style w:type="character" w:styleId="PageNumber">
    <w:name w:val="page number"/>
    <w:basedOn w:val="DefaultParagraphFont"/>
    <w:unhideWhenUsed/>
    <w:rsid w:val="009B706B"/>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uiPriority w:val="99"/>
    <w:rsid w:val="007C32E7"/>
    <w:rPr>
      <w:sz w:val="22"/>
    </w:rPr>
  </w:style>
  <w:style w:type="character" w:styleId="CommentReference">
    <w:name w:val="annotation reference"/>
    <w:basedOn w:val="DefaultParagraphFont"/>
    <w:uiPriority w:val="99"/>
    <w:semiHidden/>
    <w:unhideWhenUsed/>
    <w:rsid w:val="00895D56"/>
    <w:rPr>
      <w:sz w:val="18"/>
      <w:szCs w:val="18"/>
    </w:rPr>
  </w:style>
  <w:style w:type="paragraph" w:styleId="CommentText">
    <w:name w:val="annotation text"/>
    <w:basedOn w:val="Normal"/>
    <w:link w:val="CommentTextChar"/>
    <w:uiPriority w:val="99"/>
    <w:semiHidden/>
    <w:unhideWhenUsed/>
    <w:rsid w:val="00895D56"/>
  </w:style>
  <w:style w:type="character" w:customStyle="1" w:styleId="CommentTextChar">
    <w:name w:val="Comment Text Char"/>
    <w:basedOn w:val="DefaultParagraphFont"/>
    <w:link w:val="CommentText"/>
    <w:uiPriority w:val="99"/>
    <w:semiHidden/>
    <w:rsid w:val="00895D56"/>
  </w:style>
  <w:style w:type="paragraph" w:styleId="CommentSubject">
    <w:name w:val="annotation subject"/>
    <w:basedOn w:val="CommentText"/>
    <w:next w:val="CommentText"/>
    <w:link w:val="CommentSubjectChar"/>
    <w:uiPriority w:val="99"/>
    <w:semiHidden/>
    <w:unhideWhenUsed/>
    <w:rsid w:val="00895D56"/>
    <w:rPr>
      <w:b/>
      <w:bCs/>
      <w:sz w:val="20"/>
      <w:szCs w:val="20"/>
    </w:rPr>
  </w:style>
  <w:style w:type="character" w:customStyle="1" w:styleId="CommentSubjectChar">
    <w:name w:val="Comment Subject Char"/>
    <w:basedOn w:val="CommentTextChar"/>
    <w:link w:val="CommentSubject"/>
    <w:uiPriority w:val="99"/>
    <w:semiHidden/>
    <w:rsid w:val="00895D56"/>
    <w:rPr>
      <w:b/>
      <w:bCs/>
      <w:sz w:val="20"/>
      <w:szCs w:val="20"/>
    </w:rPr>
  </w:style>
  <w:style w:type="paragraph" w:styleId="BalloonText">
    <w:name w:val="Balloon Text"/>
    <w:basedOn w:val="Normal"/>
    <w:link w:val="BalloonTextChar"/>
    <w:uiPriority w:val="99"/>
    <w:semiHidden/>
    <w:unhideWhenUsed/>
    <w:rsid w:val="00895D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D56"/>
    <w:rPr>
      <w:rFonts w:ascii="Lucida Grande" w:hAnsi="Lucida Grande" w:cs="Lucida Grande"/>
      <w:sz w:val="18"/>
      <w:szCs w:val="18"/>
    </w:rPr>
  </w:style>
  <w:style w:type="character" w:customStyle="1" w:styleId="Heading3Char">
    <w:name w:val="Heading 3 Char"/>
    <w:basedOn w:val="DefaultParagraphFont"/>
    <w:link w:val="Heading3"/>
    <w:uiPriority w:val="9"/>
    <w:rsid w:val="00835D01"/>
    <w:rPr>
      <w:rFonts w:ascii="Times New Roman" w:eastAsiaTheme="majorEastAsia" w:hAnsi="Times New Roman" w:cstheme="majorBidi"/>
      <w:b/>
      <w:bCs/>
    </w:rPr>
  </w:style>
  <w:style w:type="table" w:styleId="TableGrid">
    <w:name w:val="Table Grid"/>
    <w:basedOn w:val="TableNormal"/>
    <w:uiPriority w:val="59"/>
    <w:rsid w:val="00835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D01"/>
    <w:rPr>
      <w:color w:val="0000FF" w:themeColor="hyperlink"/>
      <w:u w:val="single"/>
    </w:rPr>
  </w:style>
  <w:style w:type="paragraph" w:customStyle="1" w:styleId="CourtName">
    <w:name w:val="CourtName"/>
    <w:basedOn w:val="Normal"/>
    <w:rsid w:val="00D93BD6"/>
    <w:pPr>
      <w:jc w:val="center"/>
    </w:pPr>
    <w:rPr>
      <w:rFonts w:ascii="Times New Roman" w:eastAsia="Times New Roman" w:hAnsi="Times New Roman" w:cs="Times New Roman"/>
    </w:rPr>
  </w:style>
  <w:style w:type="paragraph" w:styleId="Header">
    <w:name w:val="header"/>
    <w:basedOn w:val="Normal"/>
    <w:link w:val="HeaderChar"/>
    <w:uiPriority w:val="99"/>
    <w:unhideWhenUsed/>
    <w:rsid w:val="00D93BD6"/>
    <w:pPr>
      <w:tabs>
        <w:tab w:val="center" w:pos="4320"/>
        <w:tab w:val="right" w:pos="8640"/>
      </w:tabs>
    </w:pPr>
  </w:style>
  <w:style w:type="character" w:customStyle="1" w:styleId="HeaderChar">
    <w:name w:val="Header Char"/>
    <w:basedOn w:val="DefaultParagraphFont"/>
    <w:link w:val="Header"/>
    <w:uiPriority w:val="99"/>
    <w:rsid w:val="00D93BD6"/>
  </w:style>
  <w:style w:type="table" w:styleId="LightShading-Accent1">
    <w:name w:val="Light Shading Accent 1"/>
    <w:basedOn w:val="TableNormal"/>
    <w:uiPriority w:val="60"/>
    <w:rsid w:val="00032A02"/>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9652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9652F"/>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19652F"/>
    <w:pPr>
      <w:ind w:left="480"/>
    </w:pPr>
    <w:rPr>
      <w:sz w:val="22"/>
      <w:szCs w:val="22"/>
    </w:rPr>
  </w:style>
  <w:style w:type="paragraph" w:styleId="TOC1">
    <w:name w:val="toc 1"/>
    <w:basedOn w:val="Normal"/>
    <w:next w:val="Normal"/>
    <w:autoRedefine/>
    <w:uiPriority w:val="39"/>
    <w:semiHidden/>
    <w:unhideWhenUsed/>
    <w:rsid w:val="0019652F"/>
    <w:pPr>
      <w:spacing w:before="120"/>
    </w:pPr>
    <w:rPr>
      <w:b/>
    </w:rPr>
  </w:style>
  <w:style w:type="paragraph" w:styleId="TOC2">
    <w:name w:val="toc 2"/>
    <w:basedOn w:val="Normal"/>
    <w:next w:val="Normal"/>
    <w:autoRedefine/>
    <w:uiPriority w:val="39"/>
    <w:semiHidden/>
    <w:unhideWhenUsed/>
    <w:rsid w:val="0019652F"/>
    <w:pPr>
      <w:ind w:left="240"/>
    </w:pPr>
    <w:rPr>
      <w:b/>
      <w:sz w:val="22"/>
      <w:szCs w:val="22"/>
    </w:rPr>
  </w:style>
  <w:style w:type="paragraph" w:styleId="TOC4">
    <w:name w:val="toc 4"/>
    <w:basedOn w:val="Normal"/>
    <w:next w:val="Normal"/>
    <w:autoRedefine/>
    <w:uiPriority w:val="39"/>
    <w:semiHidden/>
    <w:unhideWhenUsed/>
    <w:rsid w:val="0019652F"/>
    <w:pPr>
      <w:ind w:left="720"/>
    </w:pPr>
    <w:rPr>
      <w:sz w:val="20"/>
      <w:szCs w:val="20"/>
    </w:rPr>
  </w:style>
  <w:style w:type="paragraph" w:styleId="TOC5">
    <w:name w:val="toc 5"/>
    <w:basedOn w:val="Normal"/>
    <w:next w:val="Normal"/>
    <w:autoRedefine/>
    <w:uiPriority w:val="39"/>
    <w:semiHidden/>
    <w:unhideWhenUsed/>
    <w:rsid w:val="0019652F"/>
    <w:pPr>
      <w:ind w:left="960"/>
    </w:pPr>
    <w:rPr>
      <w:sz w:val="20"/>
      <w:szCs w:val="20"/>
    </w:rPr>
  </w:style>
  <w:style w:type="paragraph" w:styleId="TOC6">
    <w:name w:val="toc 6"/>
    <w:basedOn w:val="Normal"/>
    <w:next w:val="Normal"/>
    <w:autoRedefine/>
    <w:uiPriority w:val="39"/>
    <w:semiHidden/>
    <w:unhideWhenUsed/>
    <w:rsid w:val="0019652F"/>
    <w:pPr>
      <w:ind w:left="1200"/>
    </w:pPr>
    <w:rPr>
      <w:sz w:val="20"/>
      <w:szCs w:val="20"/>
    </w:rPr>
  </w:style>
  <w:style w:type="paragraph" w:styleId="TOC7">
    <w:name w:val="toc 7"/>
    <w:basedOn w:val="Normal"/>
    <w:next w:val="Normal"/>
    <w:autoRedefine/>
    <w:uiPriority w:val="39"/>
    <w:semiHidden/>
    <w:unhideWhenUsed/>
    <w:rsid w:val="0019652F"/>
    <w:pPr>
      <w:ind w:left="1440"/>
    </w:pPr>
    <w:rPr>
      <w:sz w:val="20"/>
      <w:szCs w:val="20"/>
    </w:rPr>
  </w:style>
  <w:style w:type="paragraph" w:styleId="TOC8">
    <w:name w:val="toc 8"/>
    <w:basedOn w:val="Normal"/>
    <w:next w:val="Normal"/>
    <w:autoRedefine/>
    <w:uiPriority w:val="39"/>
    <w:semiHidden/>
    <w:unhideWhenUsed/>
    <w:rsid w:val="0019652F"/>
    <w:pPr>
      <w:ind w:left="1680"/>
    </w:pPr>
    <w:rPr>
      <w:sz w:val="20"/>
      <w:szCs w:val="20"/>
    </w:rPr>
  </w:style>
  <w:style w:type="paragraph" w:styleId="TOC9">
    <w:name w:val="toc 9"/>
    <w:basedOn w:val="Normal"/>
    <w:next w:val="Normal"/>
    <w:autoRedefine/>
    <w:uiPriority w:val="39"/>
    <w:semiHidden/>
    <w:unhideWhenUsed/>
    <w:rsid w:val="0019652F"/>
    <w:pPr>
      <w:ind w:left="1920"/>
    </w:pPr>
    <w:rPr>
      <w:sz w:val="20"/>
      <w:szCs w:val="20"/>
    </w:rPr>
  </w:style>
  <w:style w:type="character" w:styleId="FollowedHyperlink">
    <w:name w:val="FollowedHyperlink"/>
    <w:basedOn w:val="DefaultParagraphFont"/>
    <w:uiPriority w:val="99"/>
    <w:semiHidden/>
    <w:unhideWhenUsed/>
    <w:rsid w:val="00076587"/>
    <w:rPr>
      <w:color w:val="800080" w:themeColor="followedHyperlink"/>
      <w:u w:val="single"/>
    </w:rPr>
  </w:style>
  <w:style w:type="paragraph" w:styleId="Revision">
    <w:name w:val="Revision"/>
    <w:hidden/>
    <w:uiPriority w:val="99"/>
    <w:semiHidden/>
    <w:rsid w:val="007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7054">
      <w:bodyDiv w:val="1"/>
      <w:marLeft w:val="0"/>
      <w:marRight w:val="0"/>
      <w:marTop w:val="0"/>
      <w:marBottom w:val="0"/>
      <w:divBdr>
        <w:top w:val="none" w:sz="0" w:space="0" w:color="auto"/>
        <w:left w:val="none" w:sz="0" w:space="0" w:color="auto"/>
        <w:bottom w:val="none" w:sz="0" w:space="0" w:color="auto"/>
        <w:right w:val="none" w:sz="0" w:space="0" w:color="auto"/>
      </w:divBdr>
    </w:div>
    <w:div w:id="1106001103">
      <w:bodyDiv w:val="1"/>
      <w:marLeft w:val="0"/>
      <w:marRight w:val="0"/>
      <w:marTop w:val="0"/>
      <w:marBottom w:val="0"/>
      <w:divBdr>
        <w:top w:val="none" w:sz="0" w:space="0" w:color="auto"/>
        <w:left w:val="none" w:sz="0" w:space="0" w:color="auto"/>
        <w:bottom w:val="none" w:sz="0" w:space="0" w:color="auto"/>
        <w:right w:val="none" w:sz="0" w:space="0" w:color="auto"/>
      </w:divBdr>
      <w:divsChild>
        <w:div w:id="1831750053">
          <w:marLeft w:val="720"/>
          <w:marRight w:val="0"/>
          <w:marTop w:val="0"/>
          <w:marBottom w:val="0"/>
          <w:divBdr>
            <w:top w:val="none" w:sz="0" w:space="0" w:color="auto"/>
            <w:left w:val="none" w:sz="0" w:space="0" w:color="auto"/>
            <w:bottom w:val="none" w:sz="0" w:space="0" w:color="auto"/>
            <w:right w:val="none" w:sz="0" w:space="0" w:color="auto"/>
          </w:divBdr>
        </w:div>
        <w:div w:id="1466393541">
          <w:marLeft w:val="0"/>
          <w:marRight w:val="0"/>
          <w:marTop w:val="0"/>
          <w:marBottom w:val="0"/>
          <w:divBdr>
            <w:top w:val="none" w:sz="0" w:space="0" w:color="auto"/>
            <w:left w:val="none" w:sz="0" w:space="0" w:color="auto"/>
            <w:bottom w:val="none" w:sz="0" w:space="0" w:color="auto"/>
            <w:right w:val="none" w:sz="0" w:space="0" w:color="auto"/>
          </w:divBdr>
        </w:div>
        <w:div w:id="811171130">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3.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5.xml"/><Relationship Id="rId1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kkapla@kfwlaw.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ebapp.psc.state.md.us/Intranet/casenum/CaseAction_new.cfm?CaseNumber=9326" TargetMode="External"/><Relationship Id="rId4" Type="http://schemas.openxmlformats.org/officeDocument/2006/relationships/hyperlink" Target="http://docket.scc.virginia.gov/vaprod/main.asp" TargetMode="External"/><Relationship Id="rId5" Type="http://schemas.openxmlformats.org/officeDocument/2006/relationships/hyperlink" Target="http://www.icc.illinois.gov/docket/files.aspx?no=13-0387&amp;docId=207265" TargetMode="External"/><Relationship Id="rId1" Type="http://schemas.openxmlformats.org/officeDocument/2006/relationships/hyperlink" Target="http://www.icc.illinois.gov/docket/files.aspx?no=13-0387&amp;docId=207265" TargetMode="External"/><Relationship Id="rId2" Type="http://schemas.openxmlformats.org/officeDocument/2006/relationships/hyperlink" Target="http://www.icc.illinois.gov/docket/files.aspx?no=14-0224&amp;docId=22400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6E53DBD71B54A85056A03B7966B3E"/>
        <w:category>
          <w:name w:val="General"/>
          <w:gallery w:val="placeholder"/>
        </w:category>
        <w:types>
          <w:type w:val="bbPlcHdr"/>
        </w:types>
        <w:behaviors>
          <w:behavior w:val="content"/>
        </w:behaviors>
        <w:guid w:val="{F113715B-6327-BB4D-A8DC-18513CA90B4F}"/>
      </w:docPartPr>
      <w:docPartBody>
        <w:p w:rsidR="00144C9F" w:rsidRDefault="00144C9F" w:rsidP="00144C9F">
          <w:pPr>
            <w:pStyle w:val="3DA6E53DBD71B54A85056A03B7966B3E"/>
          </w:pPr>
          <w:r>
            <w:t>[Type text]</w:t>
          </w:r>
        </w:p>
      </w:docPartBody>
    </w:docPart>
    <w:docPart>
      <w:docPartPr>
        <w:name w:val="D1E722344940EB4ABB39F301DF279738"/>
        <w:category>
          <w:name w:val="General"/>
          <w:gallery w:val="placeholder"/>
        </w:category>
        <w:types>
          <w:type w:val="bbPlcHdr"/>
        </w:types>
        <w:behaviors>
          <w:behavior w:val="content"/>
        </w:behaviors>
        <w:guid w:val="{32C4D3FC-4DF7-6847-B7E3-1ECB69E85F6A}"/>
      </w:docPartPr>
      <w:docPartBody>
        <w:p w:rsidR="00144C9F" w:rsidRDefault="00144C9F" w:rsidP="00144C9F">
          <w:pPr>
            <w:pStyle w:val="D1E722344940EB4ABB39F301DF279738"/>
          </w:pPr>
          <w:r>
            <w:t>[Type text]</w:t>
          </w:r>
        </w:p>
      </w:docPartBody>
    </w:docPart>
    <w:docPart>
      <w:docPartPr>
        <w:name w:val="288E37D8D075CA4BADBE72C99BF8A5CF"/>
        <w:category>
          <w:name w:val="General"/>
          <w:gallery w:val="placeholder"/>
        </w:category>
        <w:types>
          <w:type w:val="bbPlcHdr"/>
        </w:types>
        <w:behaviors>
          <w:behavior w:val="content"/>
        </w:behaviors>
        <w:guid w:val="{68DF2A21-4E32-B541-8A1A-75F62124183E}"/>
      </w:docPartPr>
      <w:docPartBody>
        <w:p w:rsidR="00144C9F" w:rsidRDefault="00144C9F" w:rsidP="00144C9F">
          <w:pPr>
            <w:pStyle w:val="288E37D8D075CA4BADBE72C99BF8A5C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00500000000000000"/>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9F"/>
    <w:rsid w:val="000707AD"/>
    <w:rsid w:val="00081E7D"/>
    <w:rsid w:val="000B6FB3"/>
    <w:rsid w:val="0010252A"/>
    <w:rsid w:val="00144C9F"/>
    <w:rsid w:val="001E62C6"/>
    <w:rsid w:val="003314AE"/>
    <w:rsid w:val="00395099"/>
    <w:rsid w:val="003F596D"/>
    <w:rsid w:val="008C35A1"/>
    <w:rsid w:val="008F4255"/>
    <w:rsid w:val="009039BC"/>
    <w:rsid w:val="009F5A87"/>
    <w:rsid w:val="00A04B95"/>
    <w:rsid w:val="00BC6E9B"/>
    <w:rsid w:val="00C462A9"/>
    <w:rsid w:val="00DC24F3"/>
    <w:rsid w:val="00E1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A6E53DBD71B54A85056A03B7966B3E">
    <w:name w:val="3DA6E53DBD71B54A85056A03B7966B3E"/>
    <w:rsid w:val="00144C9F"/>
  </w:style>
  <w:style w:type="paragraph" w:customStyle="1" w:styleId="D1E722344940EB4ABB39F301DF279738">
    <w:name w:val="D1E722344940EB4ABB39F301DF279738"/>
    <w:rsid w:val="00144C9F"/>
  </w:style>
  <w:style w:type="paragraph" w:customStyle="1" w:styleId="288E37D8D075CA4BADBE72C99BF8A5CF">
    <w:name w:val="288E37D8D075CA4BADBE72C99BF8A5CF"/>
    <w:rsid w:val="00144C9F"/>
  </w:style>
  <w:style w:type="paragraph" w:customStyle="1" w:styleId="CD71B6A2E62ECB419E18C03D1CDD1643">
    <w:name w:val="CD71B6A2E62ECB419E18C03D1CDD1643"/>
    <w:rsid w:val="00144C9F"/>
  </w:style>
  <w:style w:type="paragraph" w:customStyle="1" w:styleId="DF58169E39C34649989436401A883245">
    <w:name w:val="DF58169E39C34649989436401A883245"/>
    <w:rsid w:val="00144C9F"/>
  </w:style>
  <w:style w:type="paragraph" w:customStyle="1" w:styleId="0AADBD1F4324B448A5E1F27A74A1032C">
    <w:name w:val="0AADBD1F4324B448A5E1F27A74A1032C"/>
    <w:rsid w:val="00144C9F"/>
  </w:style>
  <w:style w:type="paragraph" w:customStyle="1" w:styleId="B618CB4562D8F64AB390D9BCBF6C24D0">
    <w:name w:val="B618CB4562D8F64AB390D9BCBF6C24D0"/>
    <w:rsid w:val="00144C9F"/>
  </w:style>
  <w:style w:type="paragraph" w:customStyle="1" w:styleId="B9AF96F49B69524EB416F403A6BF2DB9">
    <w:name w:val="B9AF96F49B69524EB416F403A6BF2DB9"/>
    <w:rsid w:val="00144C9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A6E53DBD71B54A85056A03B7966B3E">
    <w:name w:val="3DA6E53DBD71B54A85056A03B7966B3E"/>
    <w:rsid w:val="00144C9F"/>
  </w:style>
  <w:style w:type="paragraph" w:customStyle="1" w:styleId="D1E722344940EB4ABB39F301DF279738">
    <w:name w:val="D1E722344940EB4ABB39F301DF279738"/>
    <w:rsid w:val="00144C9F"/>
  </w:style>
  <w:style w:type="paragraph" w:customStyle="1" w:styleId="288E37D8D075CA4BADBE72C99BF8A5CF">
    <w:name w:val="288E37D8D075CA4BADBE72C99BF8A5CF"/>
    <w:rsid w:val="00144C9F"/>
  </w:style>
  <w:style w:type="paragraph" w:customStyle="1" w:styleId="CD71B6A2E62ECB419E18C03D1CDD1643">
    <w:name w:val="CD71B6A2E62ECB419E18C03D1CDD1643"/>
    <w:rsid w:val="00144C9F"/>
  </w:style>
  <w:style w:type="paragraph" w:customStyle="1" w:styleId="DF58169E39C34649989436401A883245">
    <w:name w:val="DF58169E39C34649989436401A883245"/>
    <w:rsid w:val="00144C9F"/>
  </w:style>
  <w:style w:type="paragraph" w:customStyle="1" w:styleId="0AADBD1F4324B448A5E1F27A74A1032C">
    <w:name w:val="0AADBD1F4324B448A5E1F27A74A1032C"/>
    <w:rsid w:val="00144C9F"/>
  </w:style>
  <w:style w:type="paragraph" w:customStyle="1" w:styleId="B618CB4562D8F64AB390D9BCBF6C24D0">
    <w:name w:val="B618CB4562D8F64AB390D9BCBF6C24D0"/>
    <w:rsid w:val="00144C9F"/>
  </w:style>
  <w:style w:type="paragraph" w:customStyle="1" w:styleId="B9AF96F49B69524EB416F403A6BF2DB9">
    <w:name w:val="B9AF96F49B69524EB416F403A6BF2DB9"/>
    <w:rsid w:val="00144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2015-02-03T08:00:00+00:00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3C512B-2591-4470-9848-8AED7BC2EADD}"/>
</file>

<file path=customXml/itemProps2.xml><?xml version="1.0" encoding="utf-8"?>
<ds:datastoreItem xmlns:ds="http://schemas.openxmlformats.org/officeDocument/2006/customXml" ds:itemID="{CB6A9813-0CF8-4B08-BF29-8E63DDDBE051}"/>
</file>

<file path=customXml/itemProps3.xml><?xml version="1.0" encoding="utf-8"?>
<ds:datastoreItem xmlns:ds="http://schemas.openxmlformats.org/officeDocument/2006/customXml" ds:itemID="{CA9CAA3E-6412-284A-B3D3-CC7E32085DE6}"/>
</file>

<file path=customXml/itemProps4.xml><?xml version="1.0" encoding="utf-8"?>
<ds:datastoreItem xmlns:ds="http://schemas.openxmlformats.org/officeDocument/2006/customXml" ds:itemID="{84429BF1-89CC-4028-9CCB-5A28F3B905E6}"/>
</file>

<file path=customXml/itemProps5.xml><?xml version="1.0" encoding="utf-8"?>
<ds:datastoreItem xmlns:ds="http://schemas.openxmlformats.org/officeDocument/2006/customXml" ds:itemID="{78E1FEC2-8576-4711-AE73-220C6AA9BF3D}"/>
</file>

<file path=docProps/app.xml><?xml version="1.0" encoding="utf-8"?>
<Properties xmlns="http://schemas.openxmlformats.org/officeDocument/2006/extended-properties" xmlns:vt="http://schemas.openxmlformats.org/officeDocument/2006/docPropsVTypes">
  <Template>Normal.dotm</Template>
  <TotalTime>34</TotalTime>
  <Pages>13</Pages>
  <Words>2917</Words>
  <Characters>16633</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Keyes, Fox &amp; Wiedman, LLC</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Schlesinger</dc:creator>
  <cp:lastModifiedBy>Kimberly Kooles</cp:lastModifiedBy>
  <cp:revision>14</cp:revision>
  <cp:lastPrinted>2015-02-03T16:06:00Z</cp:lastPrinted>
  <dcterms:created xsi:type="dcterms:W3CDTF">2015-02-03T14:03:00Z</dcterms:created>
  <dcterms:modified xsi:type="dcterms:W3CDTF">2015-02-03T16:18:00Z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