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6CBE5F9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7264B4">
        <w:rPr>
          <w:rFonts w:ascii="Times New Roman" w:hAnsi="Times New Roman"/>
          <w:sz w:val="24"/>
        </w:rPr>
        <w:t>Revised Exhibits CSH-2 and CSH-3 of</w:t>
      </w:r>
      <w:r w:rsidR="00A53A80">
        <w:rPr>
          <w:rFonts w:ascii="Times New Roman" w:hAnsi="Times New Roman"/>
          <w:sz w:val="24"/>
        </w:rPr>
        <w:t xml:space="preserve"> </w:t>
      </w:r>
      <w:r w:rsidR="004F5231" w:rsidRPr="004F5231">
        <w:rPr>
          <w:rFonts w:ascii="Times New Roman" w:hAnsi="Times New Roman"/>
          <w:sz w:val="24"/>
        </w:rPr>
        <w:t>Christopher Hancock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7F07702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46F9A">
        <w:rPr>
          <w:rFonts w:ascii="Times New Roman" w:hAnsi="Times New Roman"/>
          <w:sz w:val="24"/>
        </w:rPr>
        <w:t>13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264B4">
        <w:rPr>
          <w:rFonts w:ascii="Times New Roman" w:hAnsi="Times New Roman"/>
          <w:sz w:val="24"/>
        </w:rPr>
        <w:t>October</w:t>
      </w:r>
      <w:r w:rsidR="00A53A8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203D40BE" w:rsidR="00A711DF" w:rsidRDefault="00A53A8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1C721477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  <w:r w:rsidR="007264B4">
        <w:rPr>
          <w:rFonts w:ascii="Times New Roman" w:hAnsi="Times New Roman"/>
          <w:sz w:val="24"/>
          <w:szCs w:val="24"/>
        </w:rPr>
        <w:t>.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446F9A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446F9A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446F9A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446F9A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46F9A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46F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1F2321"/>
    <w:rsid w:val="0028515D"/>
    <w:rsid w:val="003370E9"/>
    <w:rsid w:val="00346E16"/>
    <w:rsid w:val="00366392"/>
    <w:rsid w:val="003B7309"/>
    <w:rsid w:val="0043637B"/>
    <w:rsid w:val="00446F9A"/>
    <w:rsid w:val="004F5231"/>
    <w:rsid w:val="005E6E6F"/>
    <w:rsid w:val="007264B4"/>
    <w:rsid w:val="00814463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2015-10-13T17:53:34+00:00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7CD571-85D9-4D13-A438-F25EFDF60E3E}"/>
</file>

<file path=customXml/itemProps2.xml><?xml version="1.0" encoding="utf-8"?>
<ds:datastoreItem xmlns:ds="http://schemas.openxmlformats.org/officeDocument/2006/customXml" ds:itemID="{DB741584-00FD-4A3E-8A9E-E4B11241BA67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4</cp:revision>
  <dcterms:created xsi:type="dcterms:W3CDTF">2015-10-09T16:31:00Z</dcterms:created>
  <dcterms:modified xsi:type="dcterms:W3CDTF">2015-10-13T15:28:00Z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