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FD4" w:rsidRDefault="005B1FD4"/>
    <w:p w:rsidR="00387C66" w:rsidRPr="00463481" w:rsidRDefault="00EE0AE7" w:rsidP="003A7CFB">
      <w:pPr>
        <w:spacing w:before="120"/>
        <w:jc w:val="both"/>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-409575</wp:posOffset>
            </wp:positionH>
            <wp:positionV relativeFrom="page">
              <wp:posOffset>685800</wp:posOffset>
            </wp:positionV>
            <wp:extent cx="6581775"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pic:spPr>
                </pic:pic>
              </a:graphicData>
            </a:graphic>
          </wp:anchor>
        </w:drawing>
      </w:r>
      <w:r w:rsidR="003666D6" w:rsidRPr="003666D6">
        <w:rPr>
          <w:rFonts w:ascii="Times New Roman" w:hAnsi="Times New Roman" w:cs="Times New Roman"/>
        </w:rPr>
        <w:t>December 30, 2011</w:t>
      </w:r>
    </w:p>
    <w:p w:rsidR="003A7CFB" w:rsidRPr="00463481" w:rsidRDefault="003A7CFB" w:rsidP="003A7CFB">
      <w:pPr>
        <w:spacing w:before="120"/>
        <w:jc w:val="both"/>
        <w:rPr>
          <w:rFonts w:ascii="Times New Roman" w:hAnsi="Times New Roman" w:cs="Times New Roman"/>
        </w:rPr>
      </w:pPr>
    </w:p>
    <w:p w:rsidR="00387C66" w:rsidRPr="00463481" w:rsidRDefault="003666D6" w:rsidP="003A7CFB">
      <w:pPr>
        <w:spacing w:before="120"/>
        <w:jc w:val="both"/>
        <w:rPr>
          <w:rFonts w:ascii="Times New Roman" w:hAnsi="Times New Roman" w:cs="Times New Roman"/>
        </w:rPr>
      </w:pPr>
      <w:r w:rsidRPr="003666D6">
        <w:rPr>
          <w:rFonts w:ascii="Times New Roman" w:hAnsi="Times New Roman" w:cs="Times New Roman"/>
        </w:rPr>
        <w:t>Washington Demand-side Management Advisory Group and other interested parties:</w:t>
      </w:r>
    </w:p>
    <w:p w:rsidR="00463481" w:rsidRPr="00463481" w:rsidRDefault="003666D6" w:rsidP="003A7CFB">
      <w:pPr>
        <w:spacing w:before="120"/>
        <w:jc w:val="both"/>
        <w:rPr>
          <w:rFonts w:ascii="Times New Roman" w:hAnsi="Times New Roman" w:cs="Times New Roman"/>
        </w:rPr>
      </w:pPr>
      <w:r w:rsidRPr="003666D6">
        <w:rPr>
          <w:rFonts w:ascii="Times New Roman" w:hAnsi="Times New Roman" w:cs="Times New Roman"/>
        </w:rPr>
        <w:t xml:space="preserve">In compliance with Washington Utilities and Transportation Commission (“WUTC”) Order 02 in Docket UE-100170, PacifiCorp (the “Company”) provides herein its projected cumulative ten-year conservation potential, including information related to distribution efficiency initiatives (“DEI”) and production efficiency potential in non-hydro generation facilities, for the period of 2012 through 2021. This projection reflects only conservation resources that are projected by the Company to be cost-effective, reliable and feasible during this period. </w:t>
      </w:r>
    </w:p>
    <w:p w:rsidR="00387C66" w:rsidRPr="00463481" w:rsidRDefault="003666D6" w:rsidP="003A7CFB">
      <w:pPr>
        <w:spacing w:before="120"/>
        <w:jc w:val="both"/>
        <w:rPr>
          <w:rFonts w:ascii="Times New Roman" w:hAnsi="Times New Roman" w:cs="Times New Roman"/>
        </w:rPr>
      </w:pPr>
      <w:r w:rsidRPr="003666D6">
        <w:rPr>
          <w:rFonts w:ascii="Times New Roman" w:hAnsi="Times New Roman" w:cs="Times New Roman"/>
        </w:rPr>
        <w:t>As allowed by WAC 480-109-010 (1</w:t>
      </w:r>
      <w:proofErr w:type="gramStart"/>
      <w:r w:rsidRPr="003666D6">
        <w:rPr>
          <w:rFonts w:ascii="Times New Roman" w:hAnsi="Times New Roman" w:cs="Times New Roman"/>
        </w:rPr>
        <w:t>)(</w:t>
      </w:r>
      <w:proofErr w:type="gramEnd"/>
      <w:r w:rsidRPr="003666D6">
        <w:rPr>
          <w:rFonts w:ascii="Times New Roman" w:hAnsi="Times New Roman" w:cs="Times New Roman"/>
        </w:rPr>
        <w:t xml:space="preserve">b)(i), the source of the demand-side energy efficiency projection is the Company’s 2011 Integrated Resource Plan (filed with the WUTC on March 31, 2011, in Docket No. </w:t>
      </w:r>
      <w:proofErr w:type="gramStart"/>
      <w:r w:rsidRPr="003666D6">
        <w:rPr>
          <w:rFonts w:ascii="Times New Roman" w:hAnsi="Times New Roman" w:cs="Times New Roman"/>
        </w:rPr>
        <w:t>UE-100514).</w:t>
      </w:r>
      <w:proofErr w:type="gramEnd"/>
      <w:r w:rsidRPr="003666D6">
        <w:rPr>
          <w:rFonts w:ascii="Times New Roman" w:hAnsi="Times New Roman" w:cs="Times New Roman"/>
        </w:rPr>
        <w:t xml:space="preserve"> The demand-side energy efficiency projection has been adjusted to address key measure savings differences between the Company’s IRP, evolving Regional Technical Forum (“RTF”) data and Company evaluation data. DEI and production efficiency are respectively based on third-party potential studies conducted by Commonwealth Associates and Cascade Energy Inc. The results from these studies have been adjusted for matters ranging from extrapolating study savings to circuits and plants not fully studied in the initial analysis work, to challenges regarding the interpretation of Washington’s Initiative 937 compliance requirements as it pertains to issues such as joint ownership of generating facilities and cost recovery of project work at generating facility serving loads outside the state of Washington. The filing to be submitted to the WUTC on or before January 31, 2012, in compliance with WAC 480-109-010 (3) and Order 02 in Docket UE-100170 will detail the adjustments made to the Company’s IRP resource selections as well as those to the findings of the distribution and production efficiency studies to arrive at the 10-year potential provided herein.</w:t>
      </w:r>
    </w:p>
    <w:p w:rsidR="003A7CFB" w:rsidRPr="00463481" w:rsidRDefault="003666D6" w:rsidP="003A7CFB">
      <w:pPr>
        <w:spacing w:before="120"/>
        <w:jc w:val="both"/>
        <w:rPr>
          <w:rFonts w:ascii="Times New Roman" w:hAnsi="Times New Roman" w:cs="Times New Roman"/>
        </w:rPr>
      </w:pPr>
      <w:r w:rsidRPr="003666D6">
        <w:rPr>
          <w:rFonts w:ascii="Times New Roman" w:hAnsi="Times New Roman" w:cs="Times New Roman"/>
        </w:rPr>
        <w:t xml:space="preserve">The table below provides PacifiCorp’s ten-year conservation potential by year and in total as defined above, building off the preliminary energy efficiency conservation forecast provided September 15, 2011. PacifiCorp’s ten-year conservation resource potential for the period of 2012 through 2021 is </w:t>
      </w:r>
      <w:r w:rsidR="00255028">
        <w:rPr>
          <w:rFonts w:ascii="Times New Roman" w:hAnsi="Times New Roman" w:cs="Times New Roman"/>
        </w:rPr>
        <w:t xml:space="preserve">estimated at between </w:t>
      </w:r>
      <w:r w:rsidR="001941E6" w:rsidRPr="00255028">
        <w:rPr>
          <w:rFonts w:ascii="Times New Roman" w:hAnsi="Times New Roman" w:cs="Times New Roman"/>
          <w:b/>
        </w:rPr>
        <w:t>45.8</w:t>
      </w:r>
      <w:r w:rsidR="001941E6">
        <w:rPr>
          <w:rFonts w:ascii="Times New Roman" w:hAnsi="Times New Roman" w:cs="Times New Roman"/>
        </w:rPr>
        <w:t xml:space="preserve"> </w:t>
      </w:r>
      <w:r w:rsidR="00255028">
        <w:rPr>
          <w:rFonts w:ascii="Times New Roman" w:hAnsi="Times New Roman" w:cs="Times New Roman"/>
        </w:rPr>
        <w:t xml:space="preserve">and </w:t>
      </w:r>
      <w:r w:rsidRPr="003666D6">
        <w:rPr>
          <w:rFonts w:ascii="Times New Roman" w:hAnsi="Times New Roman" w:cs="Times New Roman"/>
          <w:b/>
          <w:bCs/>
        </w:rPr>
        <w:t xml:space="preserve">46.2 </w:t>
      </w:r>
      <w:proofErr w:type="spellStart"/>
      <w:r w:rsidRPr="003666D6">
        <w:rPr>
          <w:rFonts w:ascii="Times New Roman" w:hAnsi="Times New Roman" w:cs="Times New Roman"/>
          <w:b/>
          <w:bCs/>
        </w:rPr>
        <w:t>aMW</w:t>
      </w:r>
      <w:proofErr w:type="spellEnd"/>
      <w:r w:rsidRPr="003666D6">
        <w:rPr>
          <w:rFonts w:ascii="Times New Roman" w:hAnsi="Times New Roman" w:cs="Times New Roman"/>
        </w:rPr>
        <w:t>.</w:t>
      </w:r>
    </w:p>
    <w:p w:rsidR="00463481" w:rsidRPr="004A25C3" w:rsidRDefault="00463481" w:rsidP="003A7CFB">
      <w:pPr>
        <w:spacing w:before="120"/>
        <w:jc w:val="both"/>
        <w:rPr>
          <w:rFonts w:ascii="Times New Roman" w:hAnsi="Times New Roman" w:cs="Times New Roman"/>
          <w:sz w:val="24"/>
          <w:szCs w:val="24"/>
        </w:rPr>
      </w:pPr>
    </w:p>
    <w:tbl>
      <w:tblPr>
        <w:tblStyle w:val="TableGrid"/>
        <w:tblW w:w="0" w:type="auto"/>
        <w:tblLook w:val="04A0"/>
      </w:tblPr>
      <w:tblGrid>
        <w:gridCol w:w="1443"/>
        <w:gridCol w:w="861"/>
        <w:gridCol w:w="861"/>
        <w:gridCol w:w="576"/>
        <w:gridCol w:w="576"/>
        <w:gridCol w:w="576"/>
        <w:gridCol w:w="576"/>
        <w:gridCol w:w="576"/>
        <w:gridCol w:w="576"/>
        <w:gridCol w:w="576"/>
        <w:gridCol w:w="576"/>
        <w:gridCol w:w="982"/>
        <w:gridCol w:w="821"/>
      </w:tblGrid>
      <w:tr w:rsidR="001941E6" w:rsidRPr="00F92232" w:rsidTr="00F92232">
        <w:trPr>
          <w:trHeight w:val="323"/>
        </w:trPr>
        <w:tc>
          <w:tcPr>
            <w:tcW w:w="0" w:type="auto"/>
          </w:tcPr>
          <w:p w:rsidR="001941E6" w:rsidRPr="00F92232" w:rsidRDefault="001941E6" w:rsidP="007B061C">
            <w:pPr>
              <w:rPr>
                <w:rFonts w:ascii="Times New Roman" w:hAnsi="Times New Roman" w:cs="Times New Roman"/>
                <w:sz w:val="16"/>
                <w:szCs w:val="16"/>
              </w:rPr>
            </w:pPr>
          </w:p>
        </w:tc>
        <w:tc>
          <w:tcPr>
            <w:tcW w:w="0" w:type="auto"/>
          </w:tcPr>
          <w:p w:rsidR="001941E6" w:rsidRPr="00F92232" w:rsidRDefault="00AB70AA" w:rsidP="007B061C">
            <w:pPr>
              <w:rPr>
                <w:rFonts w:ascii="Times New Roman" w:hAnsi="Times New Roman" w:cs="Times New Roman"/>
                <w:b/>
                <w:sz w:val="16"/>
                <w:szCs w:val="16"/>
              </w:rPr>
            </w:pPr>
            <w:r w:rsidRPr="00F92232">
              <w:rPr>
                <w:rFonts w:ascii="Times New Roman" w:hAnsi="Times New Roman" w:cs="Times New Roman"/>
                <w:b/>
                <w:sz w:val="16"/>
                <w:szCs w:val="16"/>
              </w:rPr>
              <w:t>2012</w:t>
            </w:r>
          </w:p>
        </w:tc>
        <w:tc>
          <w:tcPr>
            <w:tcW w:w="0" w:type="auto"/>
          </w:tcPr>
          <w:p w:rsidR="001941E6" w:rsidRPr="00F92232" w:rsidRDefault="00AB70AA" w:rsidP="007B061C">
            <w:pPr>
              <w:rPr>
                <w:rFonts w:ascii="Times New Roman" w:hAnsi="Times New Roman" w:cs="Times New Roman"/>
                <w:b/>
                <w:sz w:val="16"/>
                <w:szCs w:val="16"/>
              </w:rPr>
            </w:pPr>
            <w:r w:rsidRPr="00F92232">
              <w:rPr>
                <w:rFonts w:ascii="Times New Roman" w:hAnsi="Times New Roman" w:cs="Times New Roman"/>
                <w:b/>
                <w:sz w:val="16"/>
                <w:szCs w:val="16"/>
              </w:rPr>
              <w:t>2013</w:t>
            </w:r>
          </w:p>
        </w:tc>
        <w:tc>
          <w:tcPr>
            <w:tcW w:w="0" w:type="auto"/>
          </w:tcPr>
          <w:p w:rsidR="001941E6" w:rsidRPr="00F92232" w:rsidRDefault="00AB70AA" w:rsidP="007B061C">
            <w:pPr>
              <w:rPr>
                <w:rFonts w:ascii="Times New Roman" w:hAnsi="Times New Roman" w:cs="Times New Roman"/>
                <w:b/>
                <w:sz w:val="16"/>
                <w:szCs w:val="16"/>
              </w:rPr>
            </w:pPr>
            <w:r w:rsidRPr="00F92232">
              <w:rPr>
                <w:rFonts w:ascii="Times New Roman" w:hAnsi="Times New Roman" w:cs="Times New Roman"/>
                <w:b/>
                <w:sz w:val="16"/>
                <w:szCs w:val="16"/>
              </w:rPr>
              <w:t>2014</w:t>
            </w:r>
          </w:p>
        </w:tc>
        <w:tc>
          <w:tcPr>
            <w:tcW w:w="0" w:type="auto"/>
          </w:tcPr>
          <w:p w:rsidR="001941E6" w:rsidRPr="00F92232" w:rsidRDefault="00AB70AA" w:rsidP="007B061C">
            <w:pPr>
              <w:rPr>
                <w:rFonts w:ascii="Times New Roman" w:hAnsi="Times New Roman" w:cs="Times New Roman"/>
                <w:b/>
                <w:sz w:val="16"/>
                <w:szCs w:val="16"/>
              </w:rPr>
            </w:pPr>
            <w:r w:rsidRPr="00F92232">
              <w:rPr>
                <w:rFonts w:ascii="Times New Roman" w:hAnsi="Times New Roman" w:cs="Times New Roman"/>
                <w:b/>
                <w:sz w:val="16"/>
                <w:szCs w:val="16"/>
              </w:rPr>
              <w:t>2015</w:t>
            </w:r>
          </w:p>
        </w:tc>
        <w:tc>
          <w:tcPr>
            <w:tcW w:w="0" w:type="auto"/>
          </w:tcPr>
          <w:p w:rsidR="001941E6" w:rsidRPr="00F92232" w:rsidRDefault="00AB70AA" w:rsidP="007B061C">
            <w:pPr>
              <w:rPr>
                <w:rFonts w:ascii="Times New Roman" w:hAnsi="Times New Roman" w:cs="Times New Roman"/>
                <w:b/>
                <w:sz w:val="16"/>
                <w:szCs w:val="16"/>
              </w:rPr>
            </w:pPr>
            <w:r w:rsidRPr="00F92232">
              <w:rPr>
                <w:rFonts w:ascii="Times New Roman" w:hAnsi="Times New Roman" w:cs="Times New Roman"/>
                <w:b/>
                <w:sz w:val="16"/>
                <w:szCs w:val="16"/>
              </w:rPr>
              <w:t>2016</w:t>
            </w:r>
          </w:p>
        </w:tc>
        <w:tc>
          <w:tcPr>
            <w:tcW w:w="0" w:type="auto"/>
          </w:tcPr>
          <w:p w:rsidR="001941E6" w:rsidRPr="00F92232" w:rsidRDefault="00AB70AA" w:rsidP="007B061C">
            <w:pPr>
              <w:rPr>
                <w:rFonts w:ascii="Times New Roman" w:hAnsi="Times New Roman" w:cs="Times New Roman"/>
                <w:b/>
                <w:sz w:val="16"/>
                <w:szCs w:val="16"/>
              </w:rPr>
            </w:pPr>
            <w:r w:rsidRPr="00F92232">
              <w:rPr>
                <w:rFonts w:ascii="Times New Roman" w:hAnsi="Times New Roman" w:cs="Times New Roman"/>
                <w:b/>
                <w:sz w:val="16"/>
                <w:szCs w:val="16"/>
              </w:rPr>
              <w:t>2017</w:t>
            </w:r>
          </w:p>
        </w:tc>
        <w:tc>
          <w:tcPr>
            <w:tcW w:w="0" w:type="auto"/>
          </w:tcPr>
          <w:p w:rsidR="001941E6" w:rsidRPr="00F92232" w:rsidRDefault="00AB70AA" w:rsidP="007B061C">
            <w:pPr>
              <w:rPr>
                <w:rFonts w:ascii="Times New Roman" w:hAnsi="Times New Roman" w:cs="Times New Roman"/>
                <w:b/>
                <w:sz w:val="16"/>
                <w:szCs w:val="16"/>
              </w:rPr>
            </w:pPr>
            <w:r w:rsidRPr="00F92232">
              <w:rPr>
                <w:rFonts w:ascii="Times New Roman" w:hAnsi="Times New Roman" w:cs="Times New Roman"/>
                <w:b/>
                <w:sz w:val="16"/>
                <w:szCs w:val="16"/>
              </w:rPr>
              <w:t>2018</w:t>
            </w:r>
          </w:p>
        </w:tc>
        <w:tc>
          <w:tcPr>
            <w:tcW w:w="0" w:type="auto"/>
          </w:tcPr>
          <w:p w:rsidR="001941E6" w:rsidRPr="00F92232" w:rsidRDefault="00AB70AA" w:rsidP="007B061C">
            <w:pPr>
              <w:rPr>
                <w:rFonts w:ascii="Times New Roman" w:hAnsi="Times New Roman" w:cs="Times New Roman"/>
                <w:b/>
                <w:sz w:val="16"/>
                <w:szCs w:val="16"/>
              </w:rPr>
            </w:pPr>
            <w:r w:rsidRPr="00F92232">
              <w:rPr>
                <w:rFonts w:ascii="Times New Roman" w:hAnsi="Times New Roman" w:cs="Times New Roman"/>
                <w:b/>
                <w:sz w:val="16"/>
                <w:szCs w:val="16"/>
              </w:rPr>
              <w:t>2019</w:t>
            </w:r>
          </w:p>
        </w:tc>
        <w:tc>
          <w:tcPr>
            <w:tcW w:w="0" w:type="auto"/>
          </w:tcPr>
          <w:p w:rsidR="001941E6" w:rsidRPr="00F92232" w:rsidRDefault="00AB70AA" w:rsidP="007B061C">
            <w:pPr>
              <w:rPr>
                <w:rFonts w:ascii="Times New Roman" w:hAnsi="Times New Roman" w:cs="Times New Roman"/>
                <w:b/>
                <w:sz w:val="16"/>
                <w:szCs w:val="16"/>
              </w:rPr>
            </w:pPr>
            <w:r w:rsidRPr="00F92232">
              <w:rPr>
                <w:rFonts w:ascii="Times New Roman" w:hAnsi="Times New Roman" w:cs="Times New Roman"/>
                <w:b/>
                <w:sz w:val="16"/>
                <w:szCs w:val="16"/>
              </w:rPr>
              <w:t>2020</w:t>
            </w:r>
          </w:p>
        </w:tc>
        <w:tc>
          <w:tcPr>
            <w:tcW w:w="0" w:type="auto"/>
          </w:tcPr>
          <w:p w:rsidR="001941E6" w:rsidRPr="00F92232" w:rsidRDefault="00AB70AA" w:rsidP="007B061C">
            <w:pPr>
              <w:rPr>
                <w:rFonts w:ascii="Times New Roman" w:hAnsi="Times New Roman" w:cs="Times New Roman"/>
                <w:b/>
                <w:sz w:val="16"/>
                <w:szCs w:val="16"/>
              </w:rPr>
            </w:pPr>
            <w:r w:rsidRPr="00F92232">
              <w:rPr>
                <w:rFonts w:ascii="Times New Roman" w:hAnsi="Times New Roman" w:cs="Times New Roman"/>
                <w:b/>
                <w:sz w:val="16"/>
                <w:szCs w:val="16"/>
              </w:rPr>
              <w:t>2021</w:t>
            </w:r>
          </w:p>
        </w:tc>
        <w:tc>
          <w:tcPr>
            <w:tcW w:w="0" w:type="auto"/>
          </w:tcPr>
          <w:p w:rsidR="001941E6" w:rsidRPr="00F92232" w:rsidRDefault="00AB70AA" w:rsidP="007B061C">
            <w:pPr>
              <w:rPr>
                <w:rFonts w:ascii="Times New Roman" w:hAnsi="Times New Roman" w:cs="Times New Roman"/>
                <w:b/>
                <w:sz w:val="16"/>
                <w:szCs w:val="16"/>
              </w:rPr>
            </w:pPr>
            <w:r w:rsidRPr="00F92232">
              <w:rPr>
                <w:rFonts w:ascii="Times New Roman" w:hAnsi="Times New Roman" w:cs="Times New Roman"/>
                <w:b/>
                <w:sz w:val="16"/>
                <w:szCs w:val="16"/>
              </w:rPr>
              <w:t>10-yr</w:t>
            </w:r>
          </w:p>
        </w:tc>
        <w:tc>
          <w:tcPr>
            <w:tcW w:w="0" w:type="auto"/>
          </w:tcPr>
          <w:p w:rsidR="001941E6" w:rsidRPr="00F92232" w:rsidRDefault="00AB70AA" w:rsidP="007B061C">
            <w:pPr>
              <w:rPr>
                <w:rFonts w:ascii="Times New Roman" w:hAnsi="Times New Roman" w:cs="Times New Roman"/>
                <w:b/>
                <w:sz w:val="16"/>
                <w:szCs w:val="16"/>
              </w:rPr>
            </w:pPr>
            <w:r w:rsidRPr="00F92232">
              <w:rPr>
                <w:rFonts w:ascii="Times New Roman" w:hAnsi="Times New Roman" w:cs="Times New Roman"/>
                <w:b/>
                <w:sz w:val="16"/>
                <w:szCs w:val="16"/>
              </w:rPr>
              <w:t>2-yr</w:t>
            </w:r>
          </w:p>
        </w:tc>
      </w:tr>
      <w:tr w:rsidR="001941E6" w:rsidRPr="00F92232" w:rsidTr="00F92232">
        <w:trPr>
          <w:trHeight w:val="440"/>
        </w:trPr>
        <w:tc>
          <w:tcPr>
            <w:tcW w:w="0" w:type="auto"/>
          </w:tcPr>
          <w:p w:rsidR="001941E6" w:rsidRPr="00F92232" w:rsidRDefault="001941E6" w:rsidP="007B061C">
            <w:pPr>
              <w:rPr>
                <w:rFonts w:ascii="Times New Roman" w:hAnsi="Times New Roman" w:cs="Times New Roman"/>
                <w:b/>
                <w:sz w:val="16"/>
                <w:szCs w:val="16"/>
              </w:rPr>
            </w:pPr>
            <w:r w:rsidRPr="00F92232">
              <w:rPr>
                <w:rFonts w:ascii="Times New Roman" w:hAnsi="Times New Roman" w:cs="Times New Roman"/>
                <w:b/>
                <w:sz w:val="16"/>
                <w:szCs w:val="16"/>
              </w:rPr>
              <w:t>Energy Efficiency</w:t>
            </w:r>
            <w:r w:rsidRPr="00F92232">
              <w:rPr>
                <w:rStyle w:val="FootnoteReference"/>
                <w:rFonts w:ascii="Times New Roman" w:hAnsi="Times New Roman" w:cs="Times New Roman"/>
                <w:b/>
                <w:sz w:val="16"/>
                <w:szCs w:val="16"/>
              </w:rPr>
              <w:footnoteReference w:id="1"/>
            </w:r>
            <w:r w:rsidRPr="00F92232">
              <w:rPr>
                <w:rFonts w:ascii="Times New Roman" w:hAnsi="Times New Roman" w:cs="Times New Roman"/>
                <w:b/>
                <w:sz w:val="16"/>
                <w:szCs w:val="16"/>
              </w:rPr>
              <w:t xml:space="preserve"> </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4.0</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4.7</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4.4</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4.6</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4.4</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4.4</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4.4</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4.5</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4.6</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5.1</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45.1</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8.7</w:t>
            </w:r>
          </w:p>
        </w:tc>
      </w:tr>
      <w:tr w:rsidR="001941E6" w:rsidRPr="00F92232" w:rsidTr="00F92232">
        <w:trPr>
          <w:trHeight w:val="440"/>
        </w:trPr>
        <w:tc>
          <w:tcPr>
            <w:tcW w:w="0" w:type="auto"/>
          </w:tcPr>
          <w:p w:rsidR="001941E6" w:rsidRPr="00F92232" w:rsidRDefault="001941E6" w:rsidP="007B061C">
            <w:pPr>
              <w:rPr>
                <w:rFonts w:ascii="Times New Roman" w:hAnsi="Times New Roman" w:cs="Times New Roman"/>
                <w:b/>
                <w:sz w:val="16"/>
                <w:szCs w:val="16"/>
              </w:rPr>
            </w:pPr>
            <w:r w:rsidRPr="00F92232">
              <w:rPr>
                <w:rFonts w:ascii="Times New Roman" w:hAnsi="Times New Roman" w:cs="Times New Roman"/>
                <w:b/>
                <w:sz w:val="16"/>
                <w:szCs w:val="16"/>
              </w:rPr>
              <w:t>Distribution Efficiency</w:t>
            </w:r>
            <w:r w:rsidRPr="00F92232">
              <w:rPr>
                <w:rStyle w:val="FootnoteReference"/>
                <w:rFonts w:ascii="Times New Roman" w:hAnsi="Times New Roman" w:cs="Times New Roman"/>
                <w:b/>
                <w:sz w:val="16"/>
                <w:szCs w:val="16"/>
              </w:rPr>
              <w:footnoteReference w:id="2"/>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0.000 to 0.111</w:t>
            </w:r>
          </w:p>
        </w:tc>
        <w:tc>
          <w:tcPr>
            <w:tcW w:w="0" w:type="auto"/>
          </w:tcPr>
          <w:p w:rsidR="001941E6" w:rsidRPr="00F92232" w:rsidRDefault="00AB70AA" w:rsidP="00F92232">
            <w:pPr>
              <w:rPr>
                <w:rFonts w:ascii="Times New Roman" w:hAnsi="Times New Roman" w:cs="Times New Roman"/>
                <w:sz w:val="16"/>
                <w:szCs w:val="16"/>
              </w:rPr>
            </w:pPr>
            <w:r w:rsidRPr="00F92232">
              <w:rPr>
                <w:rFonts w:ascii="Times New Roman" w:hAnsi="Times New Roman" w:cs="Times New Roman"/>
                <w:sz w:val="16"/>
                <w:szCs w:val="16"/>
              </w:rPr>
              <w:t>0.000 to 0.235</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0.140</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0.100</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0.060</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0.055</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0.020</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0.000</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0.000</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0.000</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0.375</w:t>
            </w:r>
          </w:p>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 xml:space="preserve"> to 0.721</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 to 0.346</w:t>
            </w:r>
          </w:p>
        </w:tc>
      </w:tr>
      <w:tr w:rsidR="001941E6" w:rsidRPr="00F92232" w:rsidTr="00F92232">
        <w:trPr>
          <w:trHeight w:val="440"/>
        </w:trPr>
        <w:tc>
          <w:tcPr>
            <w:tcW w:w="0" w:type="auto"/>
          </w:tcPr>
          <w:p w:rsidR="001941E6" w:rsidRPr="00F92232" w:rsidRDefault="001941E6" w:rsidP="007B061C">
            <w:pPr>
              <w:rPr>
                <w:rFonts w:ascii="Times New Roman" w:hAnsi="Times New Roman" w:cs="Times New Roman"/>
                <w:b/>
                <w:sz w:val="16"/>
                <w:szCs w:val="16"/>
              </w:rPr>
            </w:pPr>
            <w:r w:rsidRPr="00F92232">
              <w:rPr>
                <w:rFonts w:ascii="Times New Roman" w:hAnsi="Times New Roman" w:cs="Times New Roman"/>
                <w:b/>
                <w:sz w:val="16"/>
                <w:szCs w:val="16"/>
              </w:rPr>
              <w:t xml:space="preserve">Production Efficiency </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0.012</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0.028</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0.051</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0.243</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0.000</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0.000</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0.000</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0.000</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0.000</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0.000</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0.334</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0.04</w:t>
            </w:r>
          </w:p>
        </w:tc>
      </w:tr>
      <w:tr w:rsidR="001941E6" w:rsidRPr="00F92232" w:rsidTr="00F92232">
        <w:trPr>
          <w:trHeight w:val="440"/>
        </w:trPr>
        <w:tc>
          <w:tcPr>
            <w:tcW w:w="0" w:type="auto"/>
          </w:tcPr>
          <w:p w:rsidR="001941E6" w:rsidRPr="00F92232" w:rsidRDefault="001941E6" w:rsidP="007B061C">
            <w:pPr>
              <w:rPr>
                <w:rFonts w:ascii="Times New Roman" w:hAnsi="Times New Roman" w:cs="Times New Roman"/>
                <w:b/>
                <w:sz w:val="16"/>
                <w:szCs w:val="16"/>
              </w:rPr>
            </w:pPr>
            <w:r w:rsidRPr="00F92232">
              <w:rPr>
                <w:rFonts w:ascii="Times New Roman" w:hAnsi="Times New Roman" w:cs="Times New Roman"/>
                <w:b/>
                <w:sz w:val="16"/>
                <w:szCs w:val="16"/>
              </w:rPr>
              <w:t xml:space="preserve">Total </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4.012 to 4.123</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4.728 to 4.963</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4.591</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4.943</w:t>
            </w:r>
          </w:p>
          <w:p w:rsidR="001941E6" w:rsidRPr="00F92232" w:rsidRDefault="001941E6" w:rsidP="007B061C">
            <w:pPr>
              <w:rPr>
                <w:rFonts w:ascii="Times New Roman" w:hAnsi="Times New Roman" w:cs="Times New Roman"/>
                <w:sz w:val="16"/>
                <w:szCs w:val="16"/>
              </w:rPr>
            </w:pP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4.46</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4.455</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4.420</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4.5</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4.6</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5.1</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45.809 to 46.155</w:t>
            </w:r>
          </w:p>
        </w:tc>
        <w:tc>
          <w:tcPr>
            <w:tcW w:w="0" w:type="auto"/>
          </w:tcPr>
          <w:p w:rsidR="001941E6" w:rsidRPr="00F92232" w:rsidRDefault="00AB70AA" w:rsidP="007B061C">
            <w:pPr>
              <w:rPr>
                <w:rFonts w:ascii="Times New Roman" w:hAnsi="Times New Roman" w:cs="Times New Roman"/>
                <w:sz w:val="16"/>
                <w:szCs w:val="16"/>
              </w:rPr>
            </w:pPr>
            <w:r w:rsidRPr="00F92232">
              <w:rPr>
                <w:rFonts w:ascii="Times New Roman" w:hAnsi="Times New Roman" w:cs="Times New Roman"/>
                <w:sz w:val="16"/>
                <w:szCs w:val="16"/>
              </w:rPr>
              <w:t>8.74 to 9.086</w:t>
            </w:r>
          </w:p>
        </w:tc>
      </w:tr>
    </w:tbl>
    <w:p w:rsidR="005B1FD4" w:rsidRPr="004A25C3" w:rsidRDefault="005B1FD4" w:rsidP="005B1FD4">
      <w:pPr>
        <w:rPr>
          <w:rFonts w:ascii="Times New Roman" w:hAnsi="Times New Roman" w:cs="Times New Roman"/>
          <w:sz w:val="24"/>
          <w:szCs w:val="24"/>
        </w:rPr>
      </w:pPr>
    </w:p>
    <w:p w:rsidR="00047594" w:rsidRPr="00463481" w:rsidRDefault="003666D6">
      <w:pPr>
        <w:jc w:val="both"/>
        <w:rPr>
          <w:rFonts w:ascii="Times New Roman" w:hAnsi="Times New Roman" w:cs="Times New Roman"/>
        </w:rPr>
      </w:pPr>
      <w:r w:rsidRPr="003666D6">
        <w:rPr>
          <w:rFonts w:ascii="Times New Roman" w:hAnsi="Times New Roman" w:cs="Times New Roman"/>
        </w:rPr>
        <w:t>PacifiCorp is appreciative of the input provided by the advisory group and other interested parties during the process of identifying the ten-year conservation potential. Please contact Beau Brown, demand-side regulatory manager, at (503) 813-6489 should you have any questions.</w:t>
      </w:r>
    </w:p>
    <w:sectPr w:rsidR="00047594" w:rsidRPr="00463481" w:rsidSect="006F25CE">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0C2" w:rsidRDefault="005250C2" w:rsidP="00C364F8">
      <w:r>
        <w:separator/>
      </w:r>
    </w:p>
  </w:endnote>
  <w:endnote w:type="continuationSeparator" w:id="0">
    <w:p w:rsidR="005250C2" w:rsidRDefault="005250C2" w:rsidP="00C364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0C2" w:rsidRDefault="005250C2" w:rsidP="00C364F8">
      <w:r>
        <w:separator/>
      </w:r>
    </w:p>
  </w:footnote>
  <w:footnote w:type="continuationSeparator" w:id="0">
    <w:p w:rsidR="005250C2" w:rsidRDefault="005250C2" w:rsidP="00C364F8">
      <w:r>
        <w:continuationSeparator/>
      </w:r>
    </w:p>
  </w:footnote>
  <w:footnote w:id="1">
    <w:p w:rsidR="001941E6" w:rsidRPr="00F92232" w:rsidRDefault="001941E6" w:rsidP="001941E6">
      <w:pPr>
        <w:pStyle w:val="FootnoteText"/>
        <w:jc w:val="both"/>
        <w:rPr>
          <w:rFonts w:ascii="Times New Roman" w:hAnsi="Times New Roman" w:cs="Times New Roman"/>
          <w:sz w:val="16"/>
          <w:szCs w:val="16"/>
        </w:rPr>
      </w:pPr>
      <w:r>
        <w:rPr>
          <w:rStyle w:val="FootnoteReference"/>
        </w:rPr>
        <w:footnoteRef/>
      </w:r>
      <w:r>
        <w:t xml:space="preserve"> </w:t>
      </w:r>
      <w:r w:rsidRPr="00F92232">
        <w:rPr>
          <w:rFonts w:ascii="Times New Roman" w:hAnsi="Times New Roman" w:cs="Times New Roman"/>
          <w:sz w:val="16"/>
          <w:szCs w:val="16"/>
        </w:rPr>
        <w:t>The Energy Efficiency conservation potential provided herein is predicated on the assumption that quantifiable naturally occurring conservation is an eligible resource, in addition to savings from utility programs, for the purposes of meeting a utility’s biennial target.</w:t>
      </w:r>
    </w:p>
    <w:p w:rsidR="001941E6" w:rsidRPr="00F92232" w:rsidRDefault="001941E6">
      <w:pPr>
        <w:pStyle w:val="FootnoteText"/>
        <w:rPr>
          <w:sz w:val="16"/>
          <w:szCs w:val="16"/>
        </w:rPr>
      </w:pPr>
    </w:p>
  </w:footnote>
  <w:footnote w:id="2">
    <w:p w:rsidR="001941E6" w:rsidRPr="00F92232" w:rsidRDefault="001941E6" w:rsidP="001941E6">
      <w:pPr>
        <w:pStyle w:val="FootnoteText"/>
        <w:jc w:val="both"/>
        <w:rPr>
          <w:rFonts w:ascii="Times New Roman" w:hAnsi="Times New Roman" w:cs="Times New Roman"/>
          <w:sz w:val="16"/>
          <w:szCs w:val="16"/>
        </w:rPr>
      </w:pPr>
      <w:r w:rsidRPr="00F92232">
        <w:rPr>
          <w:rStyle w:val="FootnoteReference"/>
          <w:sz w:val="16"/>
          <w:szCs w:val="16"/>
        </w:rPr>
        <w:footnoteRef/>
      </w:r>
      <w:r w:rsidRPr="00F92232">
        <w:rPr>
          <w:sz w:val="16"/>
          <w:szCs w:val="16"/>
        </w:rPr>
        <w:t xml:space="preserve"> </w:t>
      </w:r>
      <w:r w:rsidRPr="00F92232">
        <w:rPr>
          <w:rFonts w:ascii="Times New Roman" w:hAnsi="Times New Roman" w:cs="Times New Roman"/>
          <w:sz w:val="16"/>
          <w:szCs w:val="16"/>
        </w:rPr>
        <w:t>As discussed with the Company’s demand-side Advisory Group in the preparation of the conservation forecast, the Company intends to state the 2012-2013 biennial savings target in the form of a range in recognition of the potential challenge the Company may have in measuring savings associated with distribution efficiency project work. The range represents a pilot effort to measure and verify project savings in this biennium before fixing a target savings value for the next biennium.</w:t>
      </w:r>
    </w:p>
    <w:p w:rsidR="001941E6" w:rsidRDefault="001941E6">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rsids>
    <w:rsidRoot w:val="005B1FD4"/>
    <w:rsid w:val="00026C25"/>
    <w:rsid w:val="000363CF"/>
    <w:rsid w:val="0004037D"/>
    <w:rsid w:val="00047594"/>
    <w:rsid w:val="000F297D"/>
    <w:rsid w:val="000F3F09"/>
    <w:rsid w:val="00110316"/>
    <w:rsid w:val="001133A3"/>
    <w:rsid w:val="00113C45"/>
    <w:rsid w:val="00116FA9"/>
    <w:rsid w:val="00120000"/>
    <w:rsid w:val="001941E6"/>
    <w:rsid w:val="00200F9C"/>
    <w:rsid w:val="00255028"/>
    <w:rsid w:val="002603BD"/>
    <w:rsid w:val="002B68A7"/>
    <w:rsid w:val="002E39CB"/>
    <w:rsid w:val="00311064"/>
    <w:rsid w:val="00326089"/>
    <w:rsid w:val="00344A5F"/>
    <w:rsid w:val="003469FE"/>
    <w:rsid w:val="003666D6"/>
    <w:rsid w:val="0037466D"/>
    <w:rsid w:val="00387C66"/>
    <w:rsid w:val="003A232D"/>
    <w:rsid w:val="003A3139"/>
    <w:rsid w:val="003A5347"/>
    <w:rsid w:val="003A7CFB"/>
    <w:rsid w:val="003B4CBD"/>
    <w:rsid w:val="003C401E"/>
    <w:rsid w:val="003E1B03"/>
    <w:rsid w:val="00433894"/>
    <w:rsid w:val="00463481"/>
    <w:rsid w:val="004914C2"/>
    <w:rsid w:val="004A25C3"/>
    <w:rsid w:val="004A56CB"/>
    <w:rsid w:val="005250C2"/>
    <w:rsid w:val="0058466A"/>
    <w:rsid w:val="005B1FD4"/>
    <w:rsid w:val="005C0660"/>
    <w:rsid w:val="005D2951"/>
    <w:rsid w:val="005F29AE"/>
    <w:rsid w:val="006907AD"/>
    <w:rsid w:val="006A7142"/>
    <w:rsid w:val="006B5C84"/>
    <w:rsid w:val="006F25CE"/>
    <w:rsid w:val="00703F7B"/>
    <w:rsid w:val="0072636C"/>
    <w:rsid w:val="0075475A"/>
    <w:rsid w:val="0084397D"/>
    <w:rsid w:val="008519C9"/>
    <w:rsid w:val="009018AB"/>
    <w:rsid w:val="009300F6"/>
    <w:rsid w:val="009763CF"/>
    <w:rsid w:val="00997F32"/>
    <w:rsid w:val="00A72982"/>
    <w:rsid w:val="00AB70AA"/>
    <w:rsid w:val="00B2038C"/>
    <w:rsid w:val="00B25946"/>
    <w:rsid w:val="00B315BF"/>
    <w:rsid w:val="00B51FEF"/>
    <w:rsid w:val="00BA58BA"/>
    <w:rsid w:val="00BC62C7"/>
    <w:rsid w:val="00BF2D8C"/>
    <w:rsid w:val="00C364F8"/>
    <w:rsid w:val="00C5084D"/>
    <w:rsid w:val="00D41D9B"/>
    <w:rsid w:val="00D613FE"/>
    <w:rsid w:val="00D71C5B"/>
    <w:rsid w:val="00DA3B2A"/>
    <w:rsid w:val="00DA744A"/>
    <w:rsid w:val="00DE1D75"/>
    <w:rsid w:val="00E046EE"/>
    <w:rsid w:val="00E10A06"/>
    <w:rsid w:val="00E23292"/>
    <w:rsid w:val="00EC1E88"/>
    <w:rsid w:val="00EE0AE7"/>
    <w:rsid w:val="00EF79CD"/>
    <w:rsid w:val="00F009DD"/>
    <w:rsid w:val="00F11D37"/>
    <w:rsid w:val="00F5537C"/>
    <w:rsid w:val="00F92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5CE"/>
    <w:rPr>
      <w:rFonts w:ascii="Tahoma" w:hAnsi="Tahoma" w:cs="Tahoma"/>
      <w:sz w:val="16"/>
      <w:szCs w:val="16"/>
    </w:rPr>
  </w:style>
  <w:style w:type="character" w:customStyle="1" w:styleId="BalloonTextChar">
    <w:name w:val="Balloon Text Char"/>
    <w:basedOn w:val="DefaultParagraphFont"/>
    <w:link w:val="BalloonText"/>
    <w:uiPriority w:val="99"/>
    <w:semiHidden/>
    <w:rsid w:val="006F25CE"/>
    <w:rPr>
      <w:rFonts w:ascii="Tahoma" w:hAnsi="Tahoma" w:cs="Tahoma"/>
      <w:sz w:val="16"/>
      <w:szCs w:val="16"/>
    </w:rPr>
  </w:style>
  <w:style w:type="paragraph" w:styleId="Header">
    <w:name w:val="header"/>
    <w:basedOn w:val="Normal"/>
    <w:link w:val="HeaderChar"/>
    <w:uiPriority w:val="99"/>
    <w:semiHidden/>
    <w:unhideWhenUsed/>
    <w:rsid w:val="00C364F8"/>
    <w:pPr>
      <w:tabs>
        <w:tab w:val="center" w:pos="4680"/>
        <w:tab w:val="right" w:pos="9360"/>
      </w:tabs>
    </w:pPr>
  </w:style>
  <w:style w:type="character" w:customStyle="1" w:styleId="HeaderChar">
    <w:name w:val="Header Char"/>
    <w:basedOn w:val="DefaultParagraphFont"/>
    <w:link w:val="Header"/>
    <w:uiPriority w:val="99"/>
    <w:semiHidden/>
    <w:rsid w:val="00C364F8"/>
  </w:style>
  <w:style w:type="paragraph" w:styleId="Footer">
    <w:name w:val="footer"/>
    <w:basedOn w:val="Normal"/>
    <w:link w:val="FooterChar"/>
    <w:uiPriority w:val="99"/>
    <w:semiHidden/>
    <w:unhideWhenUsed/>
    <w:rsid w:val="00C364F8"/>
    <w:pPr>
      <w:tabs>
        <w:tab w:val="center" w:pos="4680"/>
        <w:tab w:val="right" w:pos="9360"/>
      </w:tabs>
    </w:pPr>
  </w:style>
  <w:style w:type="character" w:customStyle="1" w:styleId="FooterChar">
    <w:name w:val="Footer Char"/>
    <w:basedOn w:val="DefaultParagraphFont"/>
    <w:link w:val="Footer"/>
    <w:uiPriority w:val="99"/>
    <w:semiHidden/>
    <w:rsid w:val="00C364F8"/>
  </w:style>
  <w:style w:type="character" w:styleId="CommentReference">
    <w:name w:val="annotation reference"/>
    <w:basedOn w:val="DefaultParagraphFont"/>
    <w:uiPriority w:val="99"/>
    <w:semiHidden/>
    <w:unhideWhenUsed/>
    <w:rsid w:val="000F3F09"/>
    <w:rPr>
      <w:sz w:val="16"/>
      <w:szCs w:val="16"/>
    </w:rPr>
  </w:style>
  <w:style w:type="paragraph" w:styleId="CommentText">
    <w:name w:val="annotation text"/>
    <w:basedOn w:val="Normal"/>
    <w:link w:val="CommentTextChar"/>
    <w:uiPriority w:val="99"/>
    <w:semiHidden/>
    <w:unhideWhenUsed/>
    <w:rsid w:val="000F3F09"/>
    <w:rPr>
      <w:sz w:val="20"/>
      <w:szCs w:val="20"/>
    </w:rPr>
  </w:style>
  <w:style w:type="character" w:customStyle="1" w:styleId="CommentTextChar">
    <w:name w:val="Comment Text Char"/>
    <w:basedOn w:val="DefaultParagraphFont"/>
    <w:link w:val="CommentText"/>
    <w:uiPriority w:val="99"/>
    <w:semiHidden/>
    <w:rsid w:val="000F3F09"/>
    <w:rPr>
      <w:sz w:val="20"/>
      <w:szCs w:val="20"/>
    </w:rPr>
  </w:style>
  <w:style w:type="paragraph" w:styleId="CommentSubject">
    <w:name w:val="annotation subject"/>
    <w:basedOn w:val="CommentText"/>
    <w:next w:val="CommentText"/>
    <w:link w:val="CommentSubjectChar"/>
    <w:uiPriority w:val="99"/>
    <w:semiHidden/>
    <w:unhideWhenUsed/>
    <w:rsid w:val="000F3F09"/>
    <w:rPr>
      <w:b/>
      <w:bCs/>
    </w:rPr>
  </w:style>
  <w:style w:type="character" w:customStyle="1" w:styleId="CommentSubjectChar">
    <w:name w:val="Comment Subject Char"/>
    <w:basedOn w:val="CommentTextChar"/>
    <w:link w:val="CommentSubject"/>
    <w:uiPriority w:val="99"/>
    <w:semiHidden/>
    <w:rsid w:val="000F3F09"/>
    <w:rPr>
      <w:b/>
      <w:bCs/>
    </w:rPr>
  </w:style>
  <w:style w:type="table" w:styleId="TableGrid">
    <w:name w:val="Table Grid"/>
    <w:basedOn w:val="TableNormal"/>
    <w:uiPriority w:val="59"/>
    <w:rsid w:val="00E23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519C9"/>
    <w:rPr>
      <w:sz w:val="20"/>
      <w:szCs w:val="20"/>
    </w:rPr>
  </w:style>
  <w:style w:type="character" w:customStyle="1" w:styleId="FootnoteTextChar">
    <w:name w:val="Footnote Text Char"/>
    <w:basedOn w:val="DefaultParagraphFont"/>
    <w:link w:val="FootnoteText"/>
    <w:uiPriority w:val="99"/>
    <w:semiHidden/>
    <w:rsid w:val="008519C9"/>
    <w:rPr>
      <w:sz w:val="20"/>
      <w:szCs w:val="20"/>
    </w:rPr>
  </w:style>
  <w:style w:type="character" w:styleId="FootnoteReference">
    <w:name w:val="footnote reference"/>
    <w:basedOn w:val="DefaultParagraphFont"/>
    <w:uiPriority w:val="99"/>
    <w:semiHidden/>
    <w:unhideWhenUsed/>
    <w:rsid w:val="008519C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BE089650263A4BBB0BF02FB6333EAD" ma:contentTypeVersion="131" ma:contentTypeDescription="" ma:contentTypeScope="" ma:versionID="f8b6365998eca13bd4bdc0a7e77349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2011-12-29T08:00:00+00:00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91F523B-2CF7-401F-AEB3-6891ACC957F4}"/>
</file>

<file path=customXml/itemProps2.xml><?xml version="1.0" encoding="utf-8"?>
<ds:datastoreItem xmlns:ds="http://schemas.openxmlformats.org/officeDocument/2006/customXml" ds:itemID="{3064F19E-873C-4B2E-BE64-B6EB5CB8D107}"/>
</file>

<file path=customXml/itemProps3.xml><?xml version="1.0" encoding="utf-8"?>
<ds:datastoreItem xmlns:ds="http://schemas.openxmlformats.org/officeDocument/2006/customXml" ds:itemID="{B7B71B92-52CC-422A-8D1D-3811139997D8}"/>
</file>

<file path=customXml/itemProps4.xml><?xml version="1.0" encoding="utf-8"?>
<ds:datastoreItem xmlns:ds="http://schemas.openxmlformats.org/officeDocument/2006/customXml" ds:itemID="{63FEA973-655B-40DA-AEC0-C7CDBEC61555}"/>
</file>

<file path=customXml/itemProps5.xml><?xml version="1.0" encoding="utf-8"?>
<ds:datastoreItem xmlns:ds="http://schemas.openxmlformats.org/officeDocument/2006/customXml" ds:itemID="{CFB549E3-FA94-4E9E-8829-DDA9EFDBEFD9}"/>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2011-12-29T18:44:00Z</dcterms:created>
  <dcterms:modified xsi:type="dcterms:W3CDTF">2011-12-29T18:44:00Z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0x0101006E56B4D1795A2E4DB2F0B01679ED314A004EBE089650263A4BBB0BF02FB6333EAD</vt:lpwstr>
  </property>
  <property fmtid="{D5CDD505-2E9C-101B-9397-08002B2CF9AE}" pid="3" name="_docset_NoMedatataSyncRequired">
    <vt:lpwstr>False</vt:lpwstr>
  </property>
</Properties>
</file>