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Default="00D0390D">
      <w:pPr>
        <w:sectPr w:rsidR="008A048F" w:rsidSect="005449A4">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rsidR="00964072" w:rsidRPr="00C456C2" w:rsidRDefault="00DD1D88" w:rsidP="000B3DB4">
      <w:pPr>
        <w:jc w:val="both"/>
        <w:rPr>
          <w:rFonts w:ascii="Times New Roman" w:hAnsi="Times New Roman"/>
          <w:szCs w:val="24"/>
        </w:rPr>
      </w:pPr>
      <w:r w:rsidRPr="00C456C2">
        <w:rPr>
          <w:rFonts w:ascii="Times New Roman" w:hAnsi="Times New Roman"/>
          <w:szCs w:val="24"/>
        </w:rPr>
        <w:lastRenderedPageBreak/>
        <w:t>December</w:t>
      </w:r>
      <w:r w:rsidR="00830EE8" w:rsidRPr="00C456C2">
        <w:rPr>
          <w:rFonts w:ascii="Times New Roman" w:hAnsi="Times New Roman"/>
          <w:szCs w:val="24"/>
        </w:rPr>
        <w:t xml:space="preserve"> </w:t>
      </w:r>
      <w:r w:rsidR="00C50380" w:rsidRPr="00C456C2">
        <w:rPr>
          <w:rFonts w:ascii="Times New Roman" w:hAnsi="Times New Roman"/>
          <w:szCs w:val="24"/>
        </w:rPr>
        <w:t>6</w:t>
      </w:r>
      <w:r w:rsidR="00800B4E" w:rsidRPr="00C456C2">
        <w:rPr>
          <w:rFonts w:ascii="Times New Roman" w:hAnsi="Times New Roman"/>
          <w:szCs w:val="24"/>
        </w:rPr>
        <w:t xml:space="preserve">, </w:t>
      </w:r>
      <w:r w:rsidR="00BC716A" w:rsidRPr="00C456C2">
        <w:rPr>
          <w:rFonts w:ascii="Times New Roman" w:hAnsi="Times New Roman"/>
          <w:szCs w:val="24"/>
        </w:rPr>
        <w:t>201</w:t>
      </w:r>
      <w:r w:rsidR="00D604AC" w:rsidRPr="00C456C2">
        <w:rPr>
          <w:rFonts w:ascii="Times New Roman" w:hAnsi="Times New Roman"/>
          <w:szCs w:val="24"/>
        </w:rPr>
        <w:t>3</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964072" w:rsidRPr="00C456C2" w:rsidRDefault="00964072" w:rsidP="000B3DB4">
      <w:pPr>
        <w:jc w:val="both"/>
        <w:rPr>
          <w:rFonts w:ascii="Times New Roman" w:hAnsi="Times New Roman"/>
          <w:szCs w:val="24"/>
        </w:rPr>
      </w:pPr>
    </w:p>
    <w:p w:rsidR="00FF7F41" w:rsidRPr="00C456C2" w:rsidRDefault="00E61028">
      <w:pPr>
        <w:ind w:left="1440" w:hanging="1440"/>
        <w:jc w:val="both"/>
        <w:rPr>
          <w:rFonts w:ascii="Times New Roman" w:hAnsi="Times New Roman"/>
          <w:szCs w:val="24"/>
        </w:rPr>
      </w:pPr>
      <w:r w:rsidRPr="00C456C2">
        <w:rPr>
          <w:rFonts w:ascii="Times New Roman" w:hAnsi="Times New Roman"/>
          <w:szCs w:val="24"/>
        </w:rPr>
        <w:t xml:space="preserve">Attention: </w:t>
      </w:r>
      <w:r w:rsidRPr="00C456C2">
        <w:rPr>
          <w:rFonts w:ascii="Times New Roman" w:hAnsi="Times New Roman"/>
          <w:szCs w:val="24"/>
        </w:rPr>
        <w:tab/>
      </w:r>
      <w:r w:rsidR="00264351" w:rsidRPr="00C456C2">
        <w:rPr>
          <w:rFonts w:ascii="Times New Roman" w:hAnsi="Times New Roman"/>
          <w:szCs w:val="24"/>
        </w:rPr>
        <w:t>Steven V. King</w:t>
      </w:r>
    </w:p>
    <w:p w:rsidR="00FF7F41" w:rsidRPr="00C456C2" w:rsidRDefault="00E61028">
      <w:pPr>
        <w:ind w:left="1440" w:hanging="1440"/>
        <w:jc w:val="both"/>
        <w:rPr>
          <w:rFonts w:ascii="Times New Roman" w:hAnsi="Times New Roman"/>
          <w:szCs w:val="24"/>
        </w:rPr>
      </w:pPr>
      <w:r w:rsidRPr="00C456C2">
        <w:rPr>
          <w:rFonts w:ascii="Times New Roman" w:hAnsi="Times New Roman"/>
          <w:szCs w:val="24"/>
        </w:rPr>
        <w:tab/>
        <w:t>Executive Director and Secretary</w:t>
      </w:r>
    </w:p>
    <w:p w:rsidR="00FF7F41" w:rsidRPr="00C456C2" w:rsidRDefault="00FF7F41">
      <w:pPr>
        <w:ind w:left="1440" w:hanging="1440"/>
        <w:jc w:val="both"/>
        <w:rPr>
          <w:rFonts w:ascii="Times New Roman" w:hAnsi="Times New Roman"/>
          <w:szCs w:val="24"/>
        </w:rPr>
      </w:pPr>
    </w:p>
    <w:p w:rsidR="00DD5BAC" w:rsidRPr="00C456C2" w:rsidRDefault="00964072" w:rsidP="006D0410">
      <w:pPr>
        <w:ind w:left="1440" w:hanging="1440"/>
        <w:jc w:val="both"/>
        <w:rPr>
          <w:rFonts w:ascii="Times New Roman" w:hAnsi="Times New Roman"/>
          <w:b/>
          <w:szCs w:val="24"/>
        </w:rPr>
      </w:pPr>
      <w:r w:rsidRPr="00C456C2">
        <w:rPr>
          <w:rFonts w:ascii="Times New Roman" w:hAnsi="Times New Roman"/>
          <w:szCs w:val="24"/>
        </w:rPr>
        <w:t>RE:</w:t>
      </w:r>
      <w:r w:rsidRPr="00C456C2">
        <w:rPr>
          <w:rFonts w:ascii="Times New Roman" w:hAnsi="Times New Roman"/>
          <w:szCs w:val="24"/>
        </w:rPr>
        <w:tab/>
      </w:r>
      <w:r w:rsidR="006D0410" w:rsidRPr="00C456C2">
        <w:rPr>
          <w:rFonts w:ascii="Times New Roman" w:hAnsi="Times New Roman"/>
          <w:b/>
          <w:szCs w:val="24"/>
        </w:rPr>
        <w:t>Compliance Filing</w:t>
      </w:r>
      <w:r w:rsidR="00056E80" w:rsidRPr="00C456C2">
        <w:rPr>
          <w:rFonts w:ascii="Times New Roman" w:hAnsi="Times New Roman"/>
          <w:b/>
          <w:szCs w:val="24"/>
        </w:rPr>
        <w:t>—</w:t>
      </w:r>
      <w:r w:rsidR="004757EC">
        <w:rPr>
          <w:rFonts w:ascii="Times New Roman" w:hAnsi="Times New Roman"/>
          <w:b/>
          <w:szCs w:val="24"/>
        </w:rPr>
        <w:t>Order 05 in Docket UE-130043</w:t>
      </w:r>
    </w:p>
    <w:p w:rsidR="00DD5BAC" w:rsidRPr="00C456C2" w:rsidRDefault="004757EC" w:rsidP="00DD5BAC">
      <w:pPr>
        <w:ind w:left="1440"/>
        <w:jc w:val="both"/>
        <w:rPr>
          <w:rFonts w:ascii="Times New Roman" w:hAnsi="Times New Roman"/>
          <w:b/>
          <w:szCs w:val="24"/>
        </w:rPr>
      </w:pPr>
      <w:r>
        <w:rPr>
          <w:rFonts w:ascii="Times New Roman" w:hAnsi="Times New Roman"/>
          <w:b/>
          <w:szCs w:val="24"/>
        </w:rPr>
        <w:t>Revisions to PacifiCorp’s General Tariffs</w:t>
      </w:r>
    </w:p>
    <w:p w:rsidR="00FF7F41" w:rsidRPr="00C456C2" w:rsidRDefault="00FF7F41" w:rsidP="009719A3">
      <w:pPr>
        <w:ind w:left="1440"/>
        <w:jc w:val="both"/>
        <w:rPr>
          <w:rFonts w:ascii="Times New Roman" w:hAnsi="Times New Roman"/>
          <w:b/>
          <w:szCs w:val="24"/>
        </w:rPr>
      </w:pPr>
    </w:p>
    <w:p w:rsidR="00DD5BAC" w:rsidRPr="00EF219F" w:rsidRDefault="004757EC" w:rsidP="00406824">
      <w:pPr>
        <w:rPr>
          <w:rFonts w:ascii="Times New Roman" w:hAnsi="Times New Roman"/>
          <w:szCs w:val="24"/>
        </w:rPr>
      </w:pPr>
      <w:r w:rsidRPr="00EF219F">
        <w:rPr>
          <w:rFonts w:ascii="Times New Roman" w:hAnsi="Times New Roman"/>
          <w:szCs w:val="24"/>
        </w:rPr>
        <w:t>In accordance with RCW 80.28.060, WAC 480-07-550, WAC 480-07-880, and WAC Chapter 480-80, PacifiCorp d/b/a Pacific Power &amp; Light Company (Company) submits the following revised tariff sheets in compliance with Washington Utilities and Transportation Commission Order 05 in Docket UE-130043.</w:t>
      </w:r>
    </w:p>
    <w:p w:rsidR="006D0410" w:rsidRPr="00EF219F" w:rsidRDefault="006D0410" w:rsidP="00406824">
      <w:pPr>
        <w:rPr>
          <w:rFonts w:ascii="Times New Roman" w:hAnsi="Times New Roman"/>
          <w:szCs w:val="24"/>
        </w:rPr>
      </w:pPr>
    </w:p>
    <w:p w:rsidR="009719A3" w:rsidRPr="00C456C2" w:rsidRDefault="00056475" w:rsidP="009719A3">
      <w:pPr>
        <w:pStyle w:val="Heading1"/>
        <w:spacing w:before="0" w:after="0"/>
        <w:rPr>
          <w:rFonts w:ascii="Times New Roman" w:hAnsi="Times New Roman" w:cs="Times New Roman"/>
          <w:b w:val="0"/>
          <w:bCs w:val="0"/>
          <w:sz w:val="24"/>
          <w:szCs w:val="24"/>
        </w:rPr>
      </w:pPr>
      <w:r w:rsidRPr="00C456C2">
        <w:rPr>
          <w:rFonts w:ascii="Times New Roman" w:hAnsi="Times New Roman" w:cs="Times New Roman"/>
          <w:b w:val="0"/>
          <w:bCs w:val="0"/>
          <w:sz w:val="24"/>
          <w:szCs w:val="24"/>
        </w:rPr>
        <w:t xml:space="preserve">The revised tariff sheets </w:t>
      </w:r>
      <w:r w:rsidR="004757EC">
        <w:rPr>
          <w:rFonts w:ascii="Times New Roman" w:hAnsi="Times New Roman" w:cs="Times New Roman"/>
          <w:b w:val="0"/>
          <w:bCs w:val="0"/>
          <w:sz w:val="24"/>
          <w:szCs w:val="24"/>
        </w:rPr>
        <w:t>are designated as follows:</w:t>
      </w:r>
    </w:p>
    <w:p w:rsidR="005449A4" w:rsidRPr="00EF219F" w:rsidRDefault="005449A4" w:rsidP="005449A4">
      <w:pPr>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620"/>
        <w:gridCol w:w="4158"/>
      </w:tblGrid>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15.1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15</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Outdoor Area Lighting Service – No New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16.1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16</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Residential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17.1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17</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 xml:space="preserve">Low Income Bill Assistance Program – Residential Service Optional for Qualifying Customers </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18.1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18</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Three Phase Residential Service Rider</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24.1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24</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Small General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24.2</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24</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Small General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33.1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33</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Partial Requirements Service – Less than 1,000 kW</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36.1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36</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Large General Service – Less than 1,000 kW</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36.2</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36</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Large General Service – Less than 1,000 kW</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Second Revision of Sheet No. 40.1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40</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Agricultural Pumping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47T.1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47T</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Large General Service – Partial Requirements Service Metered Time of Use 1,000 kW and Over</w:t>
            </w:r>
          </w:p>
        </w:tc>
      </w:tr>
    </w:tbl>
    <w:p w:rsidR="00056E80" w:rsidRPr="00EF219F" w:rsidRDefault="004757EC">
      <w:pPr>
        <w:rPr>
          <w:rFonts w:ascii="Times New Roman" w:hAnsi="Times New Roman"/>
          <w:szCs w:val="24"/>
        </w:rPr>
      </w:pPr>
      <w:r w:rsidRPr="00EF219F">
        <w:rPr>
          <w:rFonts w:ascii="Times New Roman" w:hAnsi="Times New Roman"/>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620"/>
        <w:gridCol w:w="4158"/>
      </w:tblGrid>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lastRenderedPageBreak/>
              <w:t>Second Revision of Sheet No. 48T.1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48T</w:t>
            </w:r>
          </w:p>
        </w:tc>
        <w:tc>
          <w:tcPr>
            <w:tcW w:w="4158" w:type="dxa"/>
          </w:tcPr>
          <w:p w:rsidR="005449A4" w:rsidRPr="00EF219F" w:rsidRDefault="004757EC" w:rsidP="00056E80">
            <w:pPr>
              <w:keepNext/>
              <w:keepLines/>
              <w:rPr>
                <w:rFonts w:ascii="Times New Roman" w:hAnsi="Times New Roman"/>
                <w:szCs w:val="24"/>
              </w:rPr>
            </w:pPr>
            <w:r w:rsidRPr="00EF219F">
              <w:rPr>
                <w:rFonts w:ascii="Times New Roman" w:hAnsi="Times New Roman"/>
                <w:szCs w:val="24"/>
              </w:rPr>
              <w:t>Large General Service – Metered Time of Use 1,000 kW and Over</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51.1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51</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Street Lighting Service – Company-Owned System</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52.1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52</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Street Lighting Service – Company-Owned System No New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53.1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53</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 xml:space="preserve">Street Lighting Service – Customer-Owned System </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54.1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54</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Recreational Field Lighting – Restricted</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First Revision of Sheet No. 57.1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57</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Mercury Vapor Street Lighting Service No New Service</w:t>
            </w:r>
          </w:p>
        </w:tc>
      </w:tr>
      <w:tr w:rsidR="005449A4" w:rsidRPr="00C456C2" w:rsidTr="005449A4">
        <w:tc>
          <w:tcPr>
            <w:tcW w:w="3798" w:type="dxa"/>
          </w:tcPr>
          <w:p w:rsidR="005449A4" w:rsidRPr="00EF219F" w:rsidRDefault="004757EC" w:rsidP="005449A4">
            <w:pPr>
              <w:rPr>
                <w:rFonts w:ascii="Times New Roman" w:hAnsi="Times New Roman"/>
                <w:szCs w:val="24"/>
              </w:rPr>
            </w:pPr>
            <w:r w:rsidRPr="00EF219F">
              <w:rPr>
                <w:rFonts w:ascii="Times New Roman" w:hAnsi="Times New Roman"/>
                <w:szCs w:val="24"/>
              </w:rPr>
              <w:t>Third Revision of Sheet No. 91.1</w:t>
            </w:r>
          </w:p>
        </w:tc>
        <w:tc>
          <w:tcPr>
            <w:tcW w:w="1620" w:type="dxa"/>
          </w:tcPr>
          <w:p w:rsidR="005449A4" w:rsidRPr="00EF219F" w:rsidRDefault="004757EC" w:rsidP="005449A4">
            <w:pPr>
              <w:rPr>
                <w:rFonts w:ascii="Times New Roman" w:hAnsi="Times New Roman"/>
                <w:szCs w:val="24"/>
              </w:rPr>
            </w:pPr>
            <w:r w:rsidRPr="00EF219F">
              <w:rPr>
                <w:rFonts w:ascii="Times New Roman" w:hAnsi="Times New Roman"/>
                <w:szCs w:val="24"/>
              </w:rPr>
              <w:t>Schedule 91</w:t>
            </w:r>
          </w:p>
        </w:tc>
        <w:tc>
          <w:tcPr>
            <w:tcW w:w="4158" w:type="dxa"/>
          </w:tcPr>
          <w:p w:rsidR="005449A4" w:rsidRPr="00EF219F" w:rsidRDefault="004757EC" w:rsidP="005449A4">
            <w:pPr>
              <w:rPr>
                <w:rFonts w:ascii="Times New Roman" w:hAnsi="Times New Roman"/>
                <w:szCs w:val="24"/>
              </w:rPr>
            </w:pPr>
            <w:r w:rsidRPr="00EF219F">
              <w:rPr>
                <w:rFonts w:ascii="Times New Roman" w:hAnsi="Times New Roman"/>
                <w:szCs w:val="24"/>
              </w:rPr>
              <w:t>Surcharge to Fund Low Income Bill Assistance Program</w:t>
            </w:r>
          </w:p>
        </w:tc>
      </w:tr>
    </w:tbl>
    <w:p w:rsidR="005449A4" w:rsidRPr="00C456C2" w:rsidRDefault="005449A4" w:rsidP="00601AAB">
      <w:pPr>
        <w:rPr>
          <w:rFonts w:ascii="Times New Roman" w:hAnsi="Times New Roman"/>
          <w:szCs w:val="24"/>
        </w:rPr>
      </w:pPr>
    </w:p>
    <w:p w:rsidR="00460A86" w:rsidRDefault="005449A4" w:rsidP="000A1770">
      <w:pPr>
        <w:rPr>
          <w:rFonts w:ascii="Times New Roman" w:hAnsi="Times New Roman"/>
          <w:szCs w:val="24"/>
        </w:rPr>
      </w:pPr>
      <w:r w:rsidRPr="00C456C2">
        <w:rPr>
          <w:rFonts w:ascii="Times New Roman" w:hAnsi="Times New Roman"/>
          <w:szCs w:val="24"/>
        </w:rPr>
        <w:t>The Co</w:t>
      </w:r>
      <w:r w:rsidR="00373D33" w:rsidRPr="00C456C2">
        <w:rPr>
          <w:rFonts w:ascii="Times New Roman" w:hAnsi="Times New Roman"/>
          <w:szCs w:val="24"/>
        </w:rPr>
        <w:t>mmission’s Order 05 authorized a revenue requirement increase of approximately $16.7</w:t>
      </w:r>
      <w:r w:rsidR="007B291D" w:rsidRPr="00C456C2">
        <w:rPr>
          <w:rFonts w:ascii="Times New Roman" w:hAnsi="Times New Roman"/>
          <w:szCs w:val="24"/>
        </w:rPr>
        <w:t> </w:t>
      </w:r>
      <w:r w:rsidR="004757EC" w:rsidRPr="00EF219F">
        <w:rPr>
          <w:rFonts w:ascii="Times New Roman" w:hAnsi="Times New Roman"/>
          <w:szCs w:val="24"/>
        </w:rPr>
        <w:t>million to the Company’s base rates.  The order also required the Company to “rerun its revenue requirement study for purposes of its compliance filing[.]”</w:t>
      </w:r>
      <w:r w:rsidR="00460A86">
        <w:rPr>
          <w:rStyle w:val="FootnoteReference"/>
          <w:rFonts w:ascii="Times New Roman" w:hAnsi="Times New Roman"/>
          <w:szCs w:val="24"/>
        </w:rPr>
        <w:footnoteReference w:id="2"/>
      </w:r>
      <w:r w:rsidR="004757EC" w:rsidRPr="00EF219F">
        <w:rPr>
          <w:rFonts w:ascii="Times New Roman" w:hAnsi="Times New Roman"/>
          <w:szCs w:val="24"/>
        </w:rPr>
        <w:t xml:space="preserve">  The Company reran its revenue requirement and jurisdictional allocation models to include all of the adjustments required by Order 05.  The Company’s calculations resulted in a revenue requirement of $</w:t>
      </w:r>
      <w:r w:rsidR="00460A86">
        <w:rPr>
          <w:rFonts w:ascii="Times New Roman" w:hAnsi="Times New Roman"/>
          <w:szCs w:val="24"/>
        </w:rPr>
        <w:t>16,996,743</w:t>
      </w:r>
      <w:r w:rsidR="004757EC" w:rsidRPr="00EF219F">
        <w:rPr>
          <w:rFonts w:ascii="Times New Roman" w:hAnsi="Times New Roman"/>
          <w:szCs w:val="24"/>
        </w:rPr>
        <w:t>.  The deviation from the $16.7 million revenue requirement stated in Order</w:t>
      </w:r>
      <w:r w:rsidR="0026251F">
        <w:rPr>
          <w:rFonts w:ascii="Times New Roman" w:hAnsi="Times New Roman"/>
          <w:szCs w:val="24"/>
        </w:rPr>
        <w:t> </w:t>
      </w:r>
      <w:r w:rsidR="004757EC" w:rsidRPr="00EF219F">
        <w:rPr>
          <w:rFonts w:ascii="Times New Roman" w:hAnsi="Times New Roman"/>
          <w:szCs w:val="24"/>
        </w:rPr>
        <w:t xml:space="preserve">05 </w:t>
      </w:r>
      <w:r w:rsidR="0026251F" w:rsidRPr="00EF219F">
        <w:rPr>
          <w:rFonts w:ascii="Times New Roman" w:hAnsi="Times New Roman"/>
          <w:szCs w:val="24"/>
        </w:rPr>
        <w:t>result</w:t>
      </w:r>
      <w:r w:rsidR="0026251F">
        <w:rPr>
          <w:rFonts w:ascii="Times New Roman" w:hAnsi="Times New Roman"/>
          <w:szCs w:val="24"/>
        </w:rPr>
        <w:t>s</w:t>
      </w:r>
      <w:r w:rsidR="0026251F" w:rsidRPr="00EF219F">
        <w:rPr>
          <w:rFonts w:ascii="Times New Roman" w:hAnsi="Times New Roman"/>
          <w:szCs w:val="24"/>
        </w:rPr>
        <w:t xml:space="preserve"> </w:t>
      </w:r>
      <w:r w:rsidR="004757EC" w:rsidRPr="00EF219F">
        <w:rPr>
          <w:rFonts w:ascii="Times New Roman" w:hAnsi="Times New Roman"/>
          <w:szCs w:val="24"/>
        </w:rPr>
        <w:t xml:space="preserve">from a </w:t>
      </w:r>
      <w:r w:rsidR="0026251F">
        <w:rPr>
          <w:rFonts w:ascii="Times New Roman" w:hAnsi="Times New Roman"/>
          <w:szCs w:val="24"/>
        </w:rPr>
        <w:t>variance associated with</w:t>
      </w:r>
      <w:r w:rsidR="004757EC" w:rsidRPr="00EF219F">
        <w:rPr>
          <w:rFonts w:ascii="Times New Roman" w:hAnsi="Times New Roman"/>
          <w:szCs w:val="24"/>
        </w:rPr>
        <w:t xml:space="preserve"> deferred income tax</w:t>
      </w:r>
      <w:r w:rsidR="0026251F">
        <w:rPr>
          <w:rFonts w:ascii="Times New Roman" w:hAnsi="Times New Roman"/>
          <w:szCs w:val="24"/>
        </w:rPr>
        <w:t>es</w:t>
      </w:r>
      <w:r w:rsidR="004757EC" w:rsidRPr="00EF219F">
        <w:rPr>
          <w:rFonts w:ascii="Times New Roman" w:hAnsi="Times New Roman"/>
          <w:szCs w:val="24"/>
        </w:rPr>
        <w:t xml:space="preserve">. </w:t>
      </w:r>
      <w:r w:rsidR="00460A86">
        <w:rPr>
          <w:rFonts w:ascii="Times New Roman" w:hAnsi="Times New Roman"/>
          <w:szCs w:val="24"/>
        </w:rPr>
        <w:t xml:space="preserve"> In the order, the Commission rejected the inclusion of the Company’s investment in the </w:t>
      </w:r>
      <w:proofErr w:type="spellStart"/>
      <w:r w:rsidR="00460A86">
        <w:rPr>
          <w:rFonts w:ascii="Times New Roman" w:hAnsi="Times New Roman"/>
          <w:szCs w:val="24"/>
        </w:rPr>
        <w:t>Merwin</w:t>
      </w:r>
      <w:proofErr w:type="spellEnd"/>
      <w:r w:rsidR="00460A86">
        <w:rPr>
          <w:rFonts w:ascii="Times New Roman" w:hAnsi="Times New Roman"/>
          <w:szCs w:val="24"/>
        </w:rPr>
        <w:t xml:space="preserve"> Fish Collector from rate base.</w:t>
      </w:r>
      <w:r w:rsidR="00460A86">
        <w:rPr>
          <w:rStyle w:val="FootnoteReference"/>
          <w:rFonts w:ascii="Times New Roman" w:hAnsi="Times New Roman"/>
          <w:szCs w:val="24"/>
        </w:rPr>
        <w:footnoteReference w:id="3"/>
      </w:r>
      <w:r w:rsidR="00460A86">
        <w:rPr>
          <w:rFonts w:ascii="Times New Roman" w:hAnsi="Times New Roman"/>
          <w:szCs w:val="24"/>
        </w:rPr>
        <w:t xml:space="preserve">  Accordingly, in preparing this compliance filing, the Company removed all revenue requirement components associated with the </w:t>
      </w:r>
      <w:proofErr w:type="spellStart"/>
      <w:r w:rsidR="00460A86">
        <w:rPr>
          <w:rFonts w:ascii="Times New Roman" w:hAnsi="Times New Roman"/>
          <w:szCs w:val="24"/>
        </w:rPr>
        <w:t>Merwin</w:t>
      </w:r>
      <w:proofErr w:type="spellEnd"/>
      <w:r w:rsidR="00460A86">
        <w:rPr>
          <w:rFonts w:ascii="Times New Roman" w:hAnsi="Times New Roman"/>
          <w:szCs w:val="24"/>
        </w:rPr>
        <w:t xml:space="preserve"> Fish Collector</w:t>
      </w:r>
      <w:r w:rsidR="00EF219F">
        <w:rPr>
          <w:rFonts w:ascii="Times New Roman" w:hAnsi="Times New Roman"/>
          <w:szCs w:val="24"/>
        </w:rPr>
        <w:t xml:space="preserve">, which were </w:t>
      </w:r>
      <w:r w:rsidR="00460A86">
        <w:rPr>
          <w:rFonts w:ascii="Times New Roman" w:hAnsi="Times New Roman"/>
          <w:szCs w:val="24"/>
        </w:rPr>
        <w:t>included in Adjustment 8.4 in Exhibit</w:t>
      </w:r>
      <w:r w:rsidR="00EF219F">
        <w:rPr>
          <w:rFonts w:ascii="Times New Roman" w:hAnsi="Times New Roman"/>
          <w:szCs w:val="24"/>
        </w:rPr>
        <w:t>s SRM-3 and</w:t>
      </w:r>
      <w:r w:rsidR="00460A86">
        <w:rPr>
          <w:rFonts w:ascii="Times New Roman" w:hAnsi="Times New Roman"/>
          <w:szCs w:val="24"/>
        </w:rPr>
        <w:t xml:space="preserve"> SRM-7.  In addition, the Company reflected the impact of this change on Adjustment 7.7</w:t>
      </w:r>
      <w:r w:rsidR="0026251F">
        <w:rPr>
          <w:rFonts w:ascii="Times New Roman" w:hAnsi="Times New Roman"/>
          <w:szCs w:val="24"/>
        </w:rPr>
        <w:t xml:space="preserve"> (</w:t>
      </w:r>
      <w:r w:rsidR="00460A86">
        <w:rPr>
          <w:rFonts w:ascii="Times New Roman" w:hAnsi="Times New Roman"/>
          <w:szCs w:val="24"/>
        </w:rPr>
        <w:t>Remove Deferred State Tax Expense and Ba</w:t>
      </w:r>
      <w:r w:rsidR="0026251F">
        <w:rPr>
          <w:rFonts w:ascii="Times New Roman" w:hAnsi="Times New Roman"/>
          <w:szCs w:val="24"/>
        </w:rPr>
        <w:t>lance</w:t>
      </w:r>
      <w:r w:rsidR="00EF219F">
        <w:rPr>
          <w:rFonts w:ascii="Times New Roman" w:hAnsi="Times New Roman"/>
          <w:szCs w:val="24"/>
        </w:rPr>
        <w:t xml:space="preserve">), </w:t>
      </w:r>
      <w:r w:rsidR="0026251F">
        <w:rPr>
          <w:rFonts w:ascii="Times New Roman" w:hAnsi="Times New Roman"/>
          <w:szCs w:val="24"/>
        </w:rPr>
        <w:t xml:space="preserve">which is necessary </w:t>
      </w:r>
      <w:r w:rsidR="00460A86">
        <w:rPr>
          <w:rFonts w:ascii="Times New Roman" w:hAnsi="Times New Roman"/>
          <w:szCs w:val="24"/>
        </w:rPr>
        <w:t xml:space="preserve">because the deferred tax components associated with the </w:t>
      </w:r>
      <w:proofErr w:type="spellStart"/>
      <w:r w:rsidR="00460A86">
        <w:rPr>
          <w:rFonts w:ascii="Times New Roman" w:hAnsi="Times New Roman"/>
          <w:szCs w:val="24"/>
        </w:rPr>
        <w:t>Merwin</w:t>
      </w:r>
      <w:proofErr w:type="spellEnd"/>
      <w:r w:rsidR="00460A86">
        <w:rPr>
          <w:rFonts w:ascii="Times New Roman" w:hAnsi="Times New Roman"/>
          <w:szCs w:val="24"/>
        </w:rPr>
        <w:t xml:space="preserve"> Fish Collector </w:t>
      </w:r>
      <w:r w:rsidR="0026251F">
        <w:rPr>
          <w:rFonts w:ascii="Times New Roman" w:hAnsi="Times New Roman"/>
          <w:szCs w:val="24"/>
        </w:rPr>
        <w:t xml:space="preserve">included in Adjustment 8.4 </w:t>
      </w:r>
      <w:r w:rsidR="00460A86">
        <w:rPr>
          <w:rFonts w:ascii="Times New Roman" w:hAnsi="Times New Roman"/>
          <w:szCs w:val="24"/>
        </w:rPr>
        <w:t>were calculated using a composite state and federal tax rate.</w:t>
      </w:r>
      <w:r w:rsidR="0026251F">
        <w:rPr>
          <w:rStyle w:val="FootnoteReference"/>
          <w:rFonts w:ascii="Times New Roman" w:hAnsi="Times New Roman"/>
          <w:szCs w:val="24"/>
        </w:rPr>
        <w:footnoteReference w:id="4"/>
      </w:r>
      <w:r w:rsidR="00460A86">
        <w:rPr>
          <w:rFonts w:ascii="Times New Roman" w:hAnsi="Times New Roman"/>
          <w:szCs w:val="24"/>
        </w:rPr>
        <w:t xml:space="preserve">  Under the West Control Area inter-jurisdictional allocation methodology</w:t>
      </w:r>
      <w:r w:rsidR="0026251F">
        <w:rPr>
          <w:rFonts w:ascii="Times New Roman" w:hAnsi="Times New Roman"/>
          <w:szCs w:val="24"/>
        </w:rPr>
        <w:t xml:space="preserve"> (WCA)</w:t>
      </w:r>
      <w:r w:rsidR="00460A86">
        <w:rPr>
          <w:rFonts w:ascii="Times New Roman" w:hAnsi="Times New Roman"/>
          <w:szCs w:val="24"/>
        </w:rPr>
        <w:t xml:space="preserve">, state income taxes are not allocated to Washington.  </w:t>
      </w:r>
      <w:r w:rsidR="0026251F">
        <w:rPr>
          <w:rFonts w:ascii="Times New Roman" w:hAnsi="Times New Roman"/>
          <w:szCs w:val="24"/>
        </w:rPr>
        <w:t>To comply with the WCA</w:t>
      </w:r>
      <w:r w:rsidR="00460A86">
        <w:rPr>
          <w:rFonts w:ascii="Times New Roman" w:hAnsi="Times New Roman"/>
          <w:szCs w:val="24"/>
        </w:rPr>
        <w:t xml:space="preserve">, as a final step in the Company’s modeling, </w:t>
      </w:r>
      <w:r w:rsidR="0026251F">
        <w:rPr>
          <w:rFonts w:ascii="Times New Roman" w:hAnsi="Times New Roman"/>
          <w:szCs w:val="24"/>
        </w:rPr>
        <w:t>A</w:t>
      </w:r>
      <w:r w:rsidR="00460A86">
        <w:rPr>
          <w:rFonts w:ascii="Times New Roman" w:hAnsi="Times New Roman"/>
          <w:szCs w:val="24"/>
        </w:rPr>
        <w:t>djustment 7.7 removes the deferred tax components associated with state income tax.</w:t>
      </w:r>
      <w:r w:rsidR="0026251F">
        <w:rPr>
          <w:rFonts w:ascii="Times New Roman" w:hAnsi="Times New Roman"/>
          <w:szCs w:val="24"/>
        </w:rPr>
        <w:t xml:space="preserve">  In Order 05, </w:t>
      </w:r>
      <w:r w:rsidR="00EF219F">
        <w:rPr>
          <w:rFonts w:ascii="Times New Roman" w:hAnsi="Times New Roman"/>
          <w:szCs w:val="24"/>
        </w:rPr>
        <w:t xml:space="preserve">the change in Adjustment 7.7 due to the exclusion of the </w:t>
      </w:r>
      <w:proofErr w:type="spellStart"/>
      <w:r w:rsidR="00EF219F">
        <w:rPr>
          <w:rFonts w:ascii="Times New Roman" w:hAnsi="Times New Roman"/>
          <w:szCs w:val="24"/>
        </w:rPr>
        <w:t>Merwin</w:t>
      </w:r>
      <w:proofErr w:type="spellEnd"/>
      <w:r w:rsidR="00EF219F">
        <w:rPr>
          <w:rFonts w:ascii="Times New Roman" w:hAnsi="Times New Roman"/>
          <w:szCs w:val="24"/>
        </w:rPr>
        <w:t xml:space="preserve"> Fish Collector was </w:t>
      </w:r>
      <w:r w:rsidR="0026251F">
        <w:rPr>
          <w:rFonts w:ascii="Times New Roman" w:hAnsi="Times New Roman"/>
          <w:szCs w:val="24"/>
        </w:rPr>
        <w:t>not reflected in the determination of the authorized revenue requirement increase, understating the overall revenue deficiency by $294,323.</w:t>
      </w:r>
    </w:p>
    <w:p w:rsidR="00460A86" w:rsidRDefault="00460A86" w:rsidP="000A1770">
      <w:pPr>
        <w:rPr>
          <w:rFonts w:ascii="Times New Roman" w:hAnsi="Times New Roman"/>
          <w:szCs w:val="24"/>
        </w:rPr>
      </w:pPr>
    </w:p>
    <w:p w:rsidR="000A1770" w:rsidRPr="00C456C2" w:rsidRDefault="004757EC" w:rsidP="000A1770">
      <w:pPr>
        <w:rPr>
          <w:rFonts w:ascii="Times New Roman" w:hAnsi="Times New Roman"/>
          <w:szCs w:val="24"/>
        </w:rPr>
      </w:pPr>
      <w:r w:rsidRPr="00EF219F">
        <w:rPr>
          <w:rFonts w:ascii="Times New Roman" w:hAnsi="Times New Roman"/>
          <w:szCs w:val="24"/>
        </w:rPr>
        <w:lastRenderedPageBreak/>
        <w:t xml:space="preserve">The Company discussed this discrepancy with Commission </w:t>
      </w:r>
      <w:r w:rsidR="00460A86">
        <w:rPr>
          <w:rFonts w:ascii="Times New Roman" w:hAnsi="Times New Roman"/>
          <w:szCs w:val="24"/>
        </w:rPr>
        <w:t>advisory and advocacy s</w:t>
      </w:r>
      <w:r w:rsidRPr="00EF219F">
        <w:rPr>
          <w:rFonts w:ascii="Times New Roman" w:hAnsi="Times New Roman"/>
          <w:szCs w:val="24"/>
        </w:rPr>
        <w:t>taff, who indicated that the Company’s compliance filing could reflect the results of the Company’s revised revenue requirement calculations</w:t>
      </w:r>
      <w:r w:rsidR="00EF219F">
        <w:rPr>
          <w:rFonts w:ascii="Times New Roman" w:hAnsi="Times New Roman"/>
          <w:szCs w:val="24"/>
        </w:rPr>
        <w:t xml:space="preserve"> because these calculations are more accurate</w:t>
      </w:r>
      <w:r w:rsidR="00980616">
        <w:rPr>
          <w:rFonts w:ascii="Times New Roman" w:hAnsi="Times New Roman"/>
          <w:szCs w:val="24"/>
        </w:rPr>
        <w:t xml:space="preserve"> and materially comply with Order 05</w:t>
      </w:r>
      <w:r w:rsidRPr="00EF219F">
        <w:rPr>
          <w:rFonts w:ascii="Times New Roman" w:hAnsi="Times New Roman"/>
          <w:szCs w:val="24"/>
        </w:rPr>
        <w:t>.  Electronic copies of the Company’s revenue requirement models are included in the work papers accompanying this filing.  Also included in the enclosed work papers are a summary of the revenue requirement calculation and the estimated effect of the ordered prices, including billing determinants an</w:t>
      </w:r>
      <w:r w:rsidR="00980616">
        <w:rPr>
          <w:rFonts w:ascii="Times New Roman" w:hAnsi="Times New Roman"/>
          <w:szCs w:val="24"/>
        </w:rPr>
        <w:t>d monthly billing comparisons. </w:t>
      </w:r>
    </w:p>
    <w:p w:rsidR="000A1770" w:rsidRPr="00C456C2" w:rsidRDefault="000A1770" w:rsidP="00601AAB">
      <w:pPr>
        <w:rPr>
          <w:rFonts w:ascii="Times New Roman" w:hAnsi="Times New Roman"/>
          <w:szCs w:val="24"/>
        </w:rPr>
      </w:pPr>
    </w:p>
    <w:p w:rsidR="00C456C2" w:rsidRPr="00C456C2" w:rsidRDefault="004757EC" w:rsidP="00601AAB">
      <w:pPr>
        <w:rPr>
          <w:rFonts w:ascii="Times New Roman" w:hAnsi="Times New Roman"/>
          <w:szCs w:val="24"/>
        </w:rPr>
      </w:pPr>
      <w:r w:rsidRPr="00EF219F">
        <w:rPr>
          <w:rFonts w:ascii="Times New Roman" w:hAnsi="Times New Roman"/>
          <w:szCs w:val="24"/>
        </w:rPr>
        <w:t xml:space="preserve">The revised revenue requirement increase reflected in the attached compliance tariffs is </w:t>
      </w:r>
      <w:r w:rsidR="00980616" w:rsidRPr="00EF219F">
        <w:rPr>
          <w:rFonts w:ascii="Times New Roman" w:hAnsi="Times New Roman"/>
          <w:szCs w:val="24"/>
        </w:rPr>
        <w:t>$</w:t>
      </w:r>
      <w:r w:rsidR="00980616">
        <w:rPr>
          <w:rFonts w:ascii="Times New Roman" w:hAnsi="Times New Roman"/>
          <w:szCs w:val="24"/>
        </w:rPr>
        <w:t>16,996,743</w:t>
      </w:r>
      <w:r w:rsidRPr="00EF219F">
        <w:rPr>
          <w:rFonts w:ascii="Times New Roman" w:hAnsi="Times New Roman"/>
          <w:szCs w:val="24"/>
        </w:rPr>
        <w:t>, or 5.6 percent.  The average residential customer using 1300 kWh per month would see an increase of $6.12.  The filing also reflects an increase in PacifiCorp’s Low Income Bill Assistance Program benefits per participant of 11 percent.</w:t>
      </w:r>
      <w:r w:rsidR="00C456C2" w:rsidRPr="00C456C2">
        <w:rPr>
          <w:rFonts w:ascii="Times New Roman" w:hAnsi="Times New Roman"/>
          <w:szCs w:val="24"/>
        </w:rPr>
        <w:t xml:space="preserve">  As directed in the </w:t>
      </w:r>
      <w:r w:rsidR="00EF219F">
        <w:rPr>
          <w:rFonts w:ascii="Times New Roman" w:hAnsi="Times New Roman"/>
          <w:szCs w:val="24"/>
        </w:rPr>
        <w:t>o</w:t>
      </w:r>
      <w:r w:rsidR="00C456C2" w:rsidRPr="00C456C2">
        <w:rPr>
          <w:rFonts w:ascii="Times New Roman" w:hAnsi="Times New Roman"/>
          <w:szCs w:val="24"/>
        </w:rPr>
        <w:t>rder, the compliance filing includes revised Schedule 91 rates that reflect the increased funding to the Low Income Bill Assistance Program of 9.3 perc</w:t>
      </w:r>
      <w:r w:rsidRPr="00EF219F">
        <w:rPr>
          <w:rFonts w:ascii="Times New Roman" w:hAnsi="Times New Roman"/>
          <w:szCs w:val="24"/>
        </w:rPr>
        <w:t xml:space="preserve">ent, which is </w:t>
      </w:r>
      <w:r w:rsidR="00EF219F" w:rsidRPr="00EF219F">
        <w:rPr>
          <w:rFonts w:ascii="Times New Roman" w:hAnsi="Times New Roman"/>
          <w:szCs w:val="24"/>
        </w:rPr>
        <w:t>attributable</w:t>
      </w:r>
      <w:r w:rsidR="00EF219F">
        <w:rPr>
          <w:rFonts w:ascii="Times New Roman" w:hAnsi="Times New Roman"/>
          <w:szCs w:val="24"/>
        </w:rPr>
        <w:t xml:space="preserve"> to</w:t>
      </w:r>
      <w:r w:rsidRPr="00EF219F">
        <w:rPr>
          <w:rFonts w:ascii="Times New Roman" w:hAnsi="Times New Roman"/>
          <w:szCs w:val="24"/>
        </w:rPr>
        <w:t xml:space="preserve"> the increase in the participant benefits.</w:t>
      </w:r>
      <w:r w:rsidR="00B05CE1" w:rsidRPr="00C456C2">
        <w:rPr>
          <w:rStyle w:val="FootnoteReference"/>
          <w:rFonts w:ascii="Times New Roman" w:hAnsi="Times New Roman"/>
          <w:szCs w:val="24"/>
        </w:rPr>
        <w:footnoteReference w:id="5"/>
      </w:r>
    </w:p>
    <w:p w:rsidR="00C456C2" w:rsidRPr="00C456C2" w:rsidRDefault="00C456C2" w:rsidP="00601AAB">
      <w:pPr>
        <w:rPr>
          <w:rFonts w:ascii="Times New Roman" w:hAnsi="Times New Roman"/>
          <w:szCs w:val="24"/>
        </w:rPr>
      </w:pPr>
    </w:p>
    <w:p w:rsidR="003B2223" w:rsidRPr="00C456C2" w:rsidRDefault="004757EC" w:rsidP="00601AAB">
      <w:pPr>
        <w:rPr>
          <w:rFonts w:ascii="Times New Roman" w:hAnsi="Times New Roman"/>
          <w:szCs w:val="24"/>
        </w:rPr>
      </w:pPr>
      <w:r w:rsidRPr="00EF219F">
        <w:rPr>
          <w:rFonts w:ascii="Times New Roman" w:hAnsi="Times New Roman"/>
          <w:szCs w:val="24"/>
        </w:rPr>
        <w:t xml:space="preserve">The Company requests an effective date of December 11, 2013, for the tariff revisions.  </w:t>
      </w:r>
    </w:p>
    <w:p w:rsidR="003B2223" w:rsidRPr="00C456C2" w:rsidRDefault="003B2223"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Please direct any informal inquiries regarding this filing to Gary Tawwater, Regulatory Affairs Manager, at 503-813-6805.</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William R. Griffith</w:t>
      </w:r>
    </w:p>
    <w:p w:rsidR="00601AAB" w:rsidRPr="00C456C2" w:rsidRDefault="004757EC" w:rsidP="00601AAB">
      <w:pPr>
        <w:rPr>
          <w:rFonts w:ascii="Times New Roman" w:hAnsi="Times New Roman"/>
          <w:szCs w:val="24"/>
        </w:rPr>
      </w:pPr>
      <w:r w:rsidRPr="00EF219F">
        <w:rPr>
          <w:rFonts w:ascii="Times New Roman" w:hAnsi="Times New Roman"/>
          <w:szCs w:val="24"/>
        </w:rPr>
        <w:t>Vice President, Regulation</w:t>
      </w:r>
    </w:p>
    <w:p w:rsidR="00601AAB" w:rsidRPr="00C456C2" w:rsidRDefault="00601AAB"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t>Enclosures</w:t>
      </w:r>
    </w:p>
    <w:sectPr w:rsidR="006A47C5" w:rsidSect="005449A4">
      <w:headerReference w:type="default" r:id="rId15"/>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9D" w:rsidRDefault="0017049D" w:rsidP="00964072">
      <w:r>
        <w:separator/>
      </w:r>
    </w:p>
  </w:endnote>
  <w:endnote w:type="continuationSeparator" w:id="0">
    <w:p w:rsidR="0017049D" w:rsidRDefault="0017049D" w:rsidP="00964072">
      <w:r>
        <w:continuationSeparator/>
      </w:r>
    </w:p>
  </w:endnote>
  <w:endnote w:type="continuationNotice" w:id="1">
    <w:p w:rsidR="0017049D" w:rsidRDefault="00170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9D" w:rsidRDefault="0017049D" w:rsidP="00964072">
      <w:r>
        <w:separator/>
      </w:r>
    </w:p>
  </w:footnote>
  <w:footnote w:type="continuationSeparator" w:id="0">
    <w:p w:rsidR="0017049D" w:rsidRDefault="0017049D" w:rsidP="00964072">
      <w:r>
        <w:continuationSeparator/>
      </w:r>
    </w:p>
  </w:footnote>
  <w:footnote w:type="continuationNotice" w:id="1">
    <w:p w:rsidR="0017049D" w:rsidRDefault="0017049D"/>
  </w:footnote>
  <w:footnote w:id="2">
    <w:p w:rsidR="00460A86" w:rsidRPr="00EF219F" w:rsidRDefault="00460A86">
      <w:pPr>
        <w:pStyle w:val="FootnoteText"/>
        <w:rPr>
          <w:rFonts w:ascii="Times New Roman" w:hAnsi="Times New Roman" w:cs="Times New Roman"/>
        </w:rPr>
      </w:pPr>
      <w:r w:rsidRPr="00EF219F">
        <w:rPr>
          <w:rStyle w:val="FootnoteReference"/>
          <w:rFonts w:ascii="Times New Roman" w:hAnsi="Times New Roman" w:cs="Times New Roman"/>
        </w:rPr>
        <w:footnoteRef/>
      </w:r>
      <w:r w:rsidRPr="00EF219F">
        <w:rPr>
          <w:rFonts w:ascii="Times New Roman" w:hAnsi="Times New Roman" w:cs="Times New Roman"/>
        </w:rPr>
        <w:t xml:space="preserve"> Order 05, ¶ 7.</w:t>
      </w:r>
    </w:p>
  </w:footnote>
  <w:footnote w:id="3">
    <w:p w:rsidR="00460A86" w:rsidRPr="00EF219F" w:rsidRDefault="00460A86">
      <w:pPr>
        <w:pStyle w:val="FootnoteText"/>
        <w:rPr>
          <w:rFonts w:ascii="Times New Roman" w:hAnsi="Times New Roman" w:cs="Times New Roman"/>
        </w:rPr>
      </w:pPr>
      <w:r w:rsidRPr="00EF219F">
        <w:rPr>
          <w:rStyle w:val="FootnoteReference"/>
          <w:rFonts w:ascii="Times New Roman" w:hAnsi="Times New Roman" w:cs="Times New Roman"/>
        </w:rPr>
        <w:footnoteRef/>
      </w:r>
      <w:r w:rsidRPr="00EF219F">
        <w:rPr>
          <w:rFonts w:ascii="Times New Roman" w:hAnsi="Times New Roman" w:cs="Times New Roman"/>
        </w:rPr>
        <w:t xml:space="preserve"> </w:t>
      </w:r>
      <w:proofErr w:type="gramStart"/>
      <w:r w:rsidRPr="00EF219F">
        <w:rPr>
          <w:rFonts w:ascii="Times New Roman" w:hAnsi="Times New Roman" w:cs="Times New Roman"/>
          <w:i/>
        </w:rPr>
        <w:t>Id</w:t>
      </w:r>
      <w:r w:rsidRPr="00EF219F">
        <w:rPr>
          <w:rFonts w:ascii="Times New Roman" w:hAnsi="Times New Roman" w:cs="Times New Roman"/>
        </w:rPr>
        <w:t>. ¶ 206.</w:t>
      </w:r>
      <w:proofErr w:type="gramEnd"/>
    </w:p>
  </w:footnote>
  <w:footnote w:id="4">
    <w:p w:rsidR="0026251F" w:rsidRDefault="0026251F">
      <w:pPr>
        <w:pStyle w:val="FootnoteText"/>
      </w:pPr>
      <w:r w:rsidRPr="00EF219F">
        <w:rPr>
          <w:rStyle w:val="FootnoteReference"/>
          <w:rFonts w:ascii="Times New Roman" w:hAnsi="Times New Roman" w:cs="Times New Roman"/>
        </w:rPr>
        <w:footnoteRef/>
      </w:r>
      <w:r w:rsidRPr="00EF219F">
        <w:rPr>
          <w:rFonts w:ascii="Times New Roman" w:hAnsi="Times New Roman" w:cs="Times New Roman"/>
        </w:rPr>
        <w:t xml:space="preserve"> </w:t>
      </w:r>
      <w:r w:rsidR="00EF219F" w:rsidRPr="00EF219F">
        <w:rPr>
          <w:rFonts w:ascii="Times New Roman" w:hAnsi="Times New Roman" w:cs="Times New Roman"/>
        </w:rPr>
        <w:t>In the development of deferred income tax components, t</w:t>
      </w:r>
      <w:r w:rsidRPr="00EF219F">
        <w:rPr>
          <w:rFonts w:ascii="Times New Roman" w:hAnsi="Times New Roman" w:cs="Times New Roman"/>
        </w:rPr>
        <w:t xml:space="preserve">he Company uses a composite federal and state income tax rate, which reflects the federal tax rate of 35.0 percent and the Company’s combined state income tax rate of 4.54 percent.  Because of the tax deductibility of state income taxes for federal tax purposes, the composite tax rate is </w:t>
      </w:r>
      <w:r w:rsidR="00EF219F" w:rsidRPr="00EF219F">
        <w:rPr>
          <w:rFonts w:ascii="Times New Roman" w:hAnsi="Times New Roman" w:cs="Times New Roman"/>
        </w:rPr>
        <w:t>37.951 percent.  In the Company’s accounting system, deferred tax components are calculated using this composite rate.  For filings in Washington, the Company includes a restating adjustment to remove the state income tax component consistent with the WCA.  This adjustment was presented in Exhibits SRM-3 and SRM-7 as Adjustment 7.7.</w:t>
      </w:r>
    </w:p>
  </w:footnote>
  <w:footnote w:id="5">
    <w:p w:rsidR="00B05CE1" w:rsidRDefault="00B05CE1" w:rsidP="00B05CE1">
      <w:pPr>
        <w:pStyle w:val="FootnoteText"/>
      </w:pPr>
      <w:r>
        <w:rPr>
          <w:rStyle w:val="FootnoteReference"/>
        </w:rPr>
        <w:footnoteRef/>
      </w:r>
      <w:r>
        <w:t xml:space="preserve"> </w:t>
      </w:r>
      <w:r w:rsidRPr="00C456C2">
        <w:rPr>
          <w:rFonts w:ascii="Times New Roman" w:hAnsi="Times New Roman"/>
          <w:szCs w:val="24"/>
        </w:rPr>
        <w:t xml:space="preserve">The 18 percent program funding increase noted in Order </w:t>
      </w:r>
      <w:r>
        <w:rPr>
          <w:rFonts w:ascii="Times New Roman" w:hAnsi="Times New Roman"/>
          <w:szCs w:val="24"/>
        </w:rPr>
        <w:t xml:space="preserve">05 </w:t>
      </w:r>
      <w:r w:rsidRPr="00C456C2">
        <w:rPr>
          <w:rFonts w:ascii="Times New Roman" w:hAnsi="Times New Roman"/>
          <w:szCs w:val="24"/>
        </w:rPr>
        <w:t>was based on the funding level at the time of the initial filing.  Since that time, an increase related to program administrative costs went into effect June 20, 2013, consistent with the five-year plan.  Therefore, this compliance filing reflects the increase to the participant benefits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5" w:rsidRDefault="00E823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33" w:rsidRDefault="00373D33">
    <w:pPr>
      <w:pStyle w:val="Header"/>
    </w:pPr>
    <w:r>
      <w:t>Washington Utilities and Transportation Commission</w:t>
    </w:r>
  </w:p>
  <w:p w:rsidR="00373D33" w:rsidRDefault="00373D33">
    <w:pPr>
      <w:pStyle w:val="Header"/>
    </w:pPr>
    <w:r>
      <w:t>December 6, 2013</w:t>
    </w:r>
  </w:p>
  <w:p w:rsidR="00373D33" w:rsidRDefault="00373D33">
    <w:pPr>
      <w:pStyle w:val="Header"/>
    </w:pPr>
    <w:r>
      <w:t xml:space="preserve">Page </w:t>
    </w:r>
    <w:r w:rsidR="004757EC">
      <w:fldChar w:fldCharType="begin"/>
    </w:r>
    <w:r>
      <w:instrText xml:space="preserve"> PAGE   \* MERGEFORMAT </w:instrText>
    </w:r>
    <w:r w:rsidR="004757EC">
      <w:fldChar w:fldCharType="separate"/>
    </w:r>
    <w:r w:rsidR="00E82305">
      <w:rPr>
        <w:noProof/>
      </w:rPr>
      <w:t>3</w:t>
    </w:r>
    <w:r w:rsidR="004757EC">
      <w:rPr>
        <w:noProof/>
      </w:rPr>
      <w:fldChar w:fldCharType="end"/>
    </w:r>
  </w:p>
  <w:p w:rsidR="00373D33" w:rsidRDefault="00373D33">
    <w:pPr>
      <w:pStyle w:val="Header"/>
    </w:pPr>
  </w:p>
  <w:p w:rsidR="00373D33" w:rsidRDefault="00373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56475"/>
    <w:rsid w:val="00056E80"/>
    <w:rsid w:val="00073485"/>
    <w:rsid w:val="00087031"/>
    <w:rsid w:val="00093756"/>
    <w:rsid w:val="000A039D"/>
    <w:rsid w:val="000A1770"/>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08C7"/>
    <w:rsid w:val="00161A49"/>
    <w:rsid w:val="0017049D"/>
    <w:rsid w:val="001711C6"/>
    <w:rsid w:val="001810B6"/>
    <w:rsid w:val="00184DEC"/>
    <w:rsid w:val="001867CD"/>
    <w:rsid w:val="00194B73"/>
    <w:rsid w:val="001A0E4F"/>
    <w:rsid w:val="001A1AAA"/>
    <w:rsid w:val="001B5731"/>
    <w:rsid w:val="001C03CC"/>
    <w:rsid w:val="001D3F1E"/>
    <w:rsid w:val="001D5E3E"/>
    <w:rsid w:val="001E5191"/>
    <w:rsid w:val="001E7A07"/>
    <w:rsid w:val="001F666C"/>
    <w:rsid w:val="0020053B"/>
    <w:rsid w:val="002023C3"/>
    <w:rsid w:val="00204C32"/>
    <w:rsid w:val="00223901"/>
    <w:rsid w:val="0023742A"/>
    <w:rsid w:val="00245893"/>
    <w:rsid w:val="00246066"/>
    <w:rsid w:val="00256D1D"/>
    <w:rsid w:val="0026251F"/>
    <w:rsid w:val="00264351"/>
    <w:rsid w:val="002732B3"/>
    <w:rsid w:val="00294D95"/>
    <w:rsid w:val="00295285"/>
    <w:rsid w:val="002A5F22"/>
    <w:rsid w:val="002B6E29"/>
    <w:rsid w:val="002C4FF5"/>
    <w:rsid w:val="002C5379"/>
    <w:rsid w:val="002D4B38"/>
    <w:rsid w:val="002D558C"/>
    <w:rsid w:val="002D566A"/>
    <w:rsid w:val="002E2100"/>
    <w:rsid w:val="0030206E"/>
    <w:rsid w:val="00324462"/>
    <w:rsid w:val="00336116"/>
    <w:rsid w:val="003529A2"/>
    <w:rsid w:val="0036142F"/>
    <w:rsid w:val="00362362"/>
    <w:rsid w:val="003725D8"/>
    <w:rsid w:val="00373D33"/>
    <w:rsid w:val="003953C1"/>
    <w:rsid w:val="003B2223"/>
    <w:rsid w:val="003C06E2"/>
    <w:rsid w:val="003C0961"/>
    <w:rsid w:val="003C3A72"/>
    <w:rsid w:val="003D1750"/>
    <w:rsid w:val="003F1BF1"/>
    <w:rsid w:val="003F46BF"/>
    <w:rsid w:val="00401389"/>
    <w:rsid w:val="00406824"/>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E21BD"/>
    <w:rsid w:val="004F2A17"/>
    <w:rsid w:val="005032F4"/>
    <w:rsid w:val="00512797"/>
    <w:rsid w:val="005333D1"/>
    <w:rsid w:val="0054156C"/>
    <w:rsid w:val="005449A4"/>
    <w:rsid w:val="0055510F"/>
    <w:rsid w:val="00567B61"/>
    <w:rsid w:val="00570932"/>
    <w:rsid w:val="005809A3"/>
    <w:rsid w:val="005B5656"/>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9250E"/>
    <w:rsid w:val="006970F0"/>
    <w:rsid w:val="006A47C5"/>
    <w:rsid w:val="006C4A31"/>
    <w:rsid w:val="006D0410"/>
    <w:rsid w:val="006E0B27"/>
    <w:rsid w:val="006E26AB"/>
    <w:rsid w:val="00707CB4"/>
    <w:rsid w:val="0071709D"/>
    <w:rsid w:val="00726CC1"/>
    <w:rsid w:val="00736C33"/>
    <w:rsid w:val="00740321"/>
    <w:rsid w:val="007557AB"/>
    <w:rsid w:val="00761271"/>
    <w:rsid w:val="00761853"/>
    <w:rsid w:val="00761CD2"/>
    <w:rsid w:val="007644B8"/>
    <w:rsid w:val="00765F30"/>
    <w:rsid w:val="00786A19"/>
    <w:rsid w:val="00797F5A"/>
    <w:rsid w:val="007A1865"/>
    <w:rsid w:val="007A2B12"/>
    <w:rsid w:val="007B291D"/>
    <w:rsid w:val="007B7BE5"/>
    <w:rsid w:val="007D4D94"/>
    <w:rsid w:val="007D7BC6"/>
    <w:rsid w:val="007E22BC"/>
    <w:rsid w:val="007E2AA1"/>
    <w:rsid w:val="007E5F59"/>
    <w:rsid w:val="007E7BD7"/>
    <w:rsid w:val="00800B4E"/>
    <w:rsid w:val="00813422"/>
    <w:rsid w:val="0081496A"/>
    <w:rsid w:val="00816E57"/>
    <w:rsid w:val="008256E3"/>
    <w:rsid w:val="00830EE8"/>
    <w:rsid w:val="0083371F"/>
    <w:rsid w:val="00846DFE"/>
    <w:rsid w:val="00855EAC"/>
    <w:rsid w:val="00856D02"/>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3083A"/>
    <w:rsid w:val="00932772"/>
    <w:rsid w:val="0094413D"/>
    <w:rsid w:val="00953370"/>
    <w:rsid w:val="00964072"/>
    <w:rsid w:val="009719A3"/>
    <w:rsid w:val="00980616"/>
    <w:rsid w:val="00985F57"/>
    <w:rsid w:val="00990199"/>
    <w:rsid w:val="009A7E4D"/>
    <w:rsid w:val="009B187B"/>
    <w:rsid w:val="009B2806"/>
    <w:rsid w:val="009B35AF"/>
    <w:rsid w:val="009B4F02"/>
    <w:rsid w:val="009B6768"/>
    <w:rsid w:val="009C778E"/>
    <w:rsid w:val="009D7379"/>
    <w:rsid w:val="009E2BC0"/>
    <w:rsid w:val="009E4426"/>
    <w:rsid w:val="009F1DA9"/>
    <w:rsid w:val="00A00F2B"/>
    <w:rsid w:val="00A046E4"/>
    <w:rsid w:val="00A165B3"/>
    <w:rsid w:val="00A73B8D"/>
    <w:rsid w:val="00A76DD3"/>
    <w:rsid w:val="00A86A08"/>
    <w:rsid w:val="00A94D36"/>
    <w:rsid w:val="00AA6891"/>
    <w:rsid w:val="00AB6B55"/>
    <w:rsid w:val="00AC175E"/>
    <w:rsid w:val="00AC5065"/>
    <w:rsid w:val="00AC713D"/>
    <w:rsid w:val="00AD525E"/>
    <w:rsid w:val="00AD5E3D"/>
    <w:rsid w:val="00AE3851"/>
    <w:rsid w:val="00AF35A9"/>
    <w:rsid w:val="00AF4DE3"/>
    <w:rsid w:val="00AF75D1"/>
    <w:rsid w:val="00B05CE1"/>
    <w:rsid w:val="00B32FF3"/>
    <w:rsid w:val="00B37839"/>
    <w:rsid w:val="00B428AA"/>
    <w:rsid w:val="00B44A3F"/>
    <w:rsid w:val="00B45451"/>
    <w:rsid w:val="00B7372B"/>
    <w:rsid w:val="00B74533"/>
    <w:rsid w:val="00B95E36"/>
    <w:rsid w:val="00BA4CEE"/>
    <w:rsid w:val="00BC61BC"/>
    <w:rsid w:val="00BC716A"/>
    <w:rsid w:val="00BD22FD"/>
    <w:rsid w:val="00BD3612"/>
    <w:rsid w:val="00C02FB1"/>
    <w:rsid w:val="00C05C76"/>
    <w:rsid w:val="00C17024"/>
    <w:rsid w:val="00C20FF6"/>
    <w:rsid w:val="00C219B7"/>
    <w:rsid w:val="00C456C2"/>
    <w:rsid w:val="00C50380"/>
    <w:rsid w:val="00C52A4A"/>
    <w:rsid w:val="00C559C9"/>
    <w:rsid w:val="00C56CB3"/>
    <w:rsid w:val="00C64F06"/>
    <w:rsid w:val="00C66AEE"/>
    <w:rsid w:val="00C76B10"/>
    <w:rsid w:val="00C8212F"/>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1474"/>
    <w:rsid w:val="00DA3AED"/>
    <w:rsid w:val="00DD1D88"/>
    <w:rsid w:val="00DD322E"/>
    <w:rsid w:val="00DD5BAC"/>
    <w:rsid w:val="00DF610A"/>
    <w:rsid w:val="00DF786C"/>
    <w:rsid w:val="00E03255"/>
    <w:rsid w:val="00E10ABB"/>
    <w:rsid w:val="00E204F2"/>
    <w:rsid w:val="00E24619"/>
    <w:rsid w:val="00E25622"/>
    <w:rsid w:val="00E27A65"/>
    <w:rsid w:val="00E27ABE"/>
    <w:rsid w:val="00E30A0E"/>
    <w:rsid w:val="00E32459"/>
    <w:rsid w:val="00E340E8"/>
    <w:rsid w:val="00E41497"/>
    <w:rsid w:val="00E5529C"/>
    <w:rsid w:val="00E60AA9"/>
    <w:rsid w:val="00E61028"/>
    <w:rsid w:val="00E648C5"/>
    <w:rsid w:val="00E67AF3"/>
    <w:rsid w:val="00E76F0B"/>
    <w:rsid w:val="00E8112C"/>
    <w:rsid w:val="00E82305"/>
    <w:rsid w:val="00E927DA"/>
    <w:rsid w:val="00E9388C"/>
    <w:rsid w:val="00E96C13"/>
    <w:rsid w:val="00EA38AA"/>
    <w:rsid w:val="00EA44CE"/>
    <w:rsid w:val="00EB2F1F"/>
    <w:rsid w:val="00EC13EE"/>
    <w:rsid w:val="00EC1407"/>
    <w:rsid w:val="00ED3559"/>
    <w:rsid w:val="00ED434E"/>
    <w:rsid w:val="00EE1FC0"/>
    <w:rsid w:val="00EF0CF7"/>
    <w:rsid w:val="00EF1147"/>
    <w:rsid w:val="00EF219F"/>
    <w:rsid w:val="00F050E2"/>
    <w:rsid w:val="00F179BA"/>
    <w:rsid w:val="00F3529F"/>
    <w:rsid w:val="00F35A44"/>
    <w:rsid w:val="00F4002C"/>
    <w:rsid w:val="00F5586E"/>
    <w:rsid w:val="00F61D02"/>
    <w:rsid w:val="00F63A42"/>
    <w:rsid w:val="00FA61BD"/>
    <w:rsid w:val="00FC1B0A"/>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E13B8-DDCE-4400-A8E4-A2AF4642F5DB}"/>
</file>

<file path=customXml/itemProps2.xml><?xml version="1.0" encoding="utf-8"?>
<ds:datastoreItem xmlns:ds="http://schemas.openxmlformats.org/officeDocument/2006/customXml" ds:itemID="{BFD2D789-1F0C-48CD-AB14-A9F252718D9D}"/>
</file>

<file path=customXml/itemProps3.xml><?xml version="1.0" encoding="utf-8"?>
<ds:datastoreItem xmlns:ds="http://schemas.openxmlformats.org/officeDocument/2006/customXml" ds:itemID="{09318D01-5425-44ED-9A90-17D757FA7FF7}"/>
</file>

<file path=customXml/itemProps4.xml><?xml version="1.0" encoding="utf-8"?>
<ds:datastoreItem xmlns:ds="http://schemas.openxmlformats.org/officeDocument/2006/customXml" ds:itemID="{BCA61D6F-E2BD-4781-A740-610E02A02792}"/>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4851</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2013-12-06T23:00:00Z</dcterms:created>
  <dcterms:modified xsi:type="dcterms:W3CDTF">2013-12-06T23:00:00Z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