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0" w:type="dxa"/>
        <w:tblCellMar>
          <w:left w:w="0" w:type="dxa"/>
          <w:right w:w="0" w:type="dxa"/>
        </w:tblCellMar>
        <w:tblLook w:val="04A0"/>
      </w:tblPr>
      <w:tblGrid>
        <w:gridCol w:w="7500"/>
        <w:gridCol w:w="300"/>
        <w:gridCol w:w="75"/>
        <w:gridCol w:w="300"/>
        <w:gridCol w:w="150"/>
        <w:gridCol w:w="525"/>
      </w:tblGrid>
      <w:tr w:rsidR="004223D9" w:rsidRPr="004223D9" w:rsidTr="004223D9">
        <w:trPr>
          <w:trHeight w:val="375"/>
        </w:trPr>
        <w:tc>
          <w:tcPr>
            <w:tcW w:w="7500" w:type="dxa"/>
            <w:shd w:val="clear" w:color="auto" w:fill="CCCCCC"/>
            <w:vAlign w:val="cente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 </w:t>
            </w:r>
          </w:p>
        </w:tc>
        <w:tc>
          <w:tcPr>
            <w:tcW w:w="300" w:type="dxa"/>
            <w:shd w:val="clear" w:color="auto" w:fill="CCCCCC"/>
            <w:vAlign w:val="center"/>
            <w:hideMark/>
          </w:tcPr>
          <w:p w:rsidR="004223D9" w:rsidRPr="004223D9" w:rsidRDefault="004223D9" w:rsidP="004223D9">
            <w:pPr>
              <w:spacing w:after="0" w:line="240" w:lineRule="auto"/>
              <w:jc w:val="right"/>
              <w:rPr>
                <w:rFonts w:ascii="inherit" w:eastAsia="Times New Roman" w:hAnsi="inherit" w:cs="Arial"/>
                <w:color w:val="333333"/>
                <w:sz w:val="15"/>
                <w:szCs w:val="15"/>
              </w:rPr>
            </w:pPr>
            <w:r>
              <w:rPr>
                <w:rFonts w:ascii="inherit" w:eastAsia="Times New Roman" w:hAnsi="inherit" w:cs="Arial"/>
                <w:noProof/>
                <w:vanish/>
                <w:color w:val="0000FF"/>
                <w:sz w:val="15"/>
                <w:szCs w:val="15"/>
              </w:rPr>
              <w:drawing>
                <wp:inline distT="0" distB="0" distL="0" distR="0">
                  <wp:extent cx="171450" cy="171450"/>
                  <wp:effectExtent l="19050" t="0" r="0" b="0"/>
                  <wp:docPr id="1" name="Picture 1" descr="Prin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a:hlinkClick r:id="rId5"/>
                          </pic:cNvPr>
                          <pic:cNvPicPr>
                            <a:picLocks noChangeAspect="1" noChangeArrowheads="1"/>
                          </pic:cNvPicPr>
                        </pic:nvPicPr>
                        <pic:blipFill>
                          <a:blip r:embed="rId6"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75" w:type="dxa"/>
            <w:shd w:val="clear" w:color="auto" w:fill="CCCCCC"/>
            <w:vAlign w:val="cente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 </w:t>
            </w:r>
          </w:p>
        </w:tc>
        <w:tc>
          <w:tcPr>
            <w:tcW w:w="300" w:type="dxa"/>
            <w:shd w:val="clear" w:color="auto" w:fill="CCCCCC"/>
            <w:vAlign w:val="center"/>
            <w:hideMark/>
          </w:tcPr>
          <w:p w:rsidR="004223D9" w:rsidRPr="004223D9" w:rsidRDefault="00F96F6D" w:rsidP="004223D9">
            <w:pPr>
              <w:spacing w:after="0" w:line="240" w:lineRule="auto"/>
              <w:rPr>
                <w:rFonts w:ascii="inherit" w:eastAsia="Times New Roman" w:hAnsi="inherit" w:cs="Arial"/>
                <w:color w:val="333333"/>
                <w:sz w:val="15"/>
                <w:szCs w:val="15"/>
              </w:rPr>
            </w:pPr>
            <w:hyperlink r:id="rId7" w:history="1">
              <w:r w:rsidR="004223D9" w:rsidRPr="004223D9">
                <w:rPr>
                  <w:rFonts w:ascii="inherit" w:eastAsia="Times New Roman" w:hAnsi="inherit" w:cs="Arial"/>
                  <w:vanish/>
                  <w:color w:val="660099"/>
                  <w:sz w:val="15"/>
                </w:rPr>
                <w:t>Print</w:t>
              </w:r>
            </w:hyperlink>
          </w:p>
        </w:tc>
        <w:tc>
          <w:tcPr>
            <w:tcW w:w="150" w:type="dxa"/>
            <w:shd w:val="clear" w:color="auto" w:fill="CCCCCC"/>
            <w:vAlign w:val="center"/>
            <w:hideMark/>
          </w:tcPr>
          <w:p w:rsidR="004223D9" w:rsidRPr="004223D9" w:rsidRDefault="004223D9" w:rsidP="004223D9">
            <w:pPr>
              <w:spacing w:after="0" w:line="240" w:lineRule="auto"/>
              <w:rPr>
                <w:rFonts w:ascii="inherit" w:eastAsia="Times New Roman" w:hAnsi="inherit" w:cs="Arial"/>
                <w:color w:val="333333"/>
                <w:sz w:val="15"/>
                <w:szCs w:val="15"/>
              </w:rPr>
            </w:pPr>
            <w:r>
              <w:rPr>
                <w:rFonts w:ascii="inherit" w:eastAsia="Times New Roman" w:hAnsi="inherit" w:cs="Arial"/>
                <w:noProof/>
                <w:color w:val="333333"/>
                <w:sz w:val="15"/>
                <w:szCs w:val="15"/>
              </w:rPr>
              <w:drawing>
                <wp:inline distT="0" distB="0" distL="0" distR="0">
                  <wp:extent cx="95250" cy="285750"/>
                  <wp:effectExtent l="0" t="0" r="0" b="0"/>
                  <wp:docPr id="2" name="Picture 2" descr="http://www.fedex.com/images/ascend/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edex.com/images/ascend/shared/spacer.gif"/>
                          <pic:cNvPicPr>
                            <a:picLocks noChangeAspect="1" noChangeArrowheads="1"/>
                          </pic:cNvPicPr>
                        </pic:nvPicPr>
                        <pic:blipFill>
                          <a:blip r:embed="rId8"/>
                          <a:srcRect/>
                          <a:stretch>
                            <a:fillRect/>
                          </a:stretch>
                        </pic:blipFill>
                        <pic:spPr bwMode="auto">
                          <a:xfrm>
                            <a:off x="0" y="0"/>
                            <a:ext cx="95250" cy="285750"/>
                          </a:xfrm>
                          <a:prstGeom prst="rect">
                            <a:avLst/>
                          </a:prstGeom>
                          <a:noFill/>
                          <a:ln w="9525">
                            <a:noFill/>
                            <a:miter lim="800000"/>
                            <a:headEnd/>
                            <a:tailEnd/>
                          </a:ln>
                        </pic:spPr>
                      </pic:pic>
                    </a:graphicData>
                  </a:graphic>
                </wp:inline>
              </w:drawing>
            </w:r>
          </w:p>
        </w:tc>
        <w:tc>
          <w:tcPr>
            <w:tcW w:w="0" w:type="auto"/>
            <w:shd w:val="clear" w:color="auto" w:fill="CCCCCC"/>
            <w:vAlign w:val="center"/>
            <w:hideMark/>
          </w:tcPr>
          <w:p w:rsidR="004223D9" w:rsidRPr="004223D9" w:rsidRDefault="00F96F6D" w:rsidP="004223D9">
            <w:pPr>
              <w:spacing w:after="0" w:line="240" w:lineRule="auto"/>
              <w:rPr>
                <w:rFonts w:ascii="inherit" w:eastAsia="Times New Roman" w:hAnsi="inherit" w:cs="Arial"/>
                <w:color w:val="333333"/>
                <w:sz w:val="15"/>
                <w:szCs w:val="15"/>
              </w:rPr>
            </w:pPr>
            <w:hyperlink r:id="rId9" w:history="1">
              <w:r w:rsidR="004223D9" w:rsidRPr="004223D9">
                <w:rPr>
                  <w:rFonts w:ascii="inherit" w:eastAsia="Times New Roman" w:hAnsi="inherit" w:cs="Arial"/>
                  <w:color w:val="660099"/>
                  <w:sz w:val="15"/>
                  <w:szCs w:val="15"/>
                </w:rPr>
                <w:t>Close</w:t>
              </w:r>
            </w:hyperlink>
          </w:p>
        </w:tc>
      </w:tr>
    </w:tbl>
    <w:p w:rsidR="004223D9" w:rsidRPr="004223D9" w:rsidRDefault="004223D9" w:rsidP="004223D9">
      <w:pPr>
        <w:spacing w:after="0" w:line="240" w:lineRule="auto"/>
        <w:rPr>
          <w:rFonts w:ascii="Times New Roman" w:eastAsia="Times New Roman" w:hAnsi="Times New Roman" w:cs="Times New Roman"/>
        </w:rPr>
      </w:pPr>
    </w:p>
    <w:tbl>
      <w:tblPr>
        <w:tblW w:w="8325" w:type="dxa"/>
        <w:tblCellMar>
          <w:top w:w="15" w:type="dxa"/>
          <w:left w:w="15" w:type="dxa"/>
          <w:bottom w:w="15" w:type="dxa"/>
          <w:right w:w="15" w:type="dxa"/>
        </w:tblCellMar>
        <w:tblLook w:val="04A0"/>
      </w:tblPr>
      <w:tblGrid>
        <w:gridCol w:w="8325"/>
      </w:tblGrid>
      <w:tr w:rsidR="004223D9" w:rsidRPr="004223D9" w:rsidTr="004223D9">
        <w:tc>
          <w:tcPr>
            <w:tcW w:w="0" w:type="auto"/>
            <w:vAlign w:val="center"/>
            <w:hideMark/>
          </w:tcPr>
          <w:p w:rsidR="004223D9" w:rsidRPr="004223D9" w:rsidRDefault="004223D9" w:rsidP="004223D9">
            <w:pPr>
              <w:spacing w:after="0" w:line="240" w:lineRule="auto"/>
              <w:rPr>
                <w:rFonts w:ascii="inherit" w:eastAsia="Times New Roman" w:hAnsi="inherit" w:cs="Arial"/>
                <w:color w:val="333333"/>
                <w:sz w:val="15"/>
                <w:szCs w:val="15"/>
              </w:rPr>
            </w:pPr>
            <w:r>
              <w:rPr>
                <w:rFonts w:ascii="inherit" w:eastAsia="Times New Roman" w:hAnsi="inherit" w:cs="Arial"/>
                <w:noProof/>
                <w:color w:val="333333"/>
                <w:sz w:val="15"/>
                <w:szCs w:val="15"/>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95400" cy="466725"/>
                  <wp:effectExtent l="19050" t="0" r="0" b="0"/>
                  <wp:wrapSquare wrapText="bothSides"/>
                  <wp:docPr id="6" name="Picture 2" descr="http://images.fedex.com/images/ascend/shared/cor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fedex.com/images/ascend/shared/corp_logo.gif"/>
                          <pic:cNvPicPr>
                            <a:picLocks noChangeAspect="1" noChangeArrowheads="1"/>
                          </pic:cNvPicPr>
                        </pic:nvPicPr>
                        <pic:blipFill>
                          <a:blip r:embed="rId10" cstate="print"/>
                          <a:srcRect/>
                          <a:stretch>
                            <a:fillRect/>
                          </a:stretch>
                        </pic:blipFill>
                        <pic:spPr bwMode="auto">
                          <a:xfrm>
                            <a:off x="0" y="0"/>
                            <a:ext cx="1295400" cy="466725"/>
                          </a:xfrm>
                          <a:prstGeom prst="rect">
                            <a:avLst/>
                          </a:prstGeom>
                          <a:noFill/>
                          <a:ln w="9525">
                            <a:noFill/>
                            <a:miter lim="800000"/>
                            <a:headEnd/>
                            <a:tailEnd/>
                          </a:ln>
                        </pic:spPr>
                      </pic:pic>
                    </a:graphicData>
                  </a:graphic>
                </wp:anchor>
              </w:drawing>
            </w:r>
          </w:p>
        </w:tc>
      </w:tr>
    </w:tbl>
    <w:p w:rsidR="004223D9" w:rsidRPr="004223D9" w:rsidRDefault="004223D9" w:rsidP="004223D9">
      <w:pPr>
        <w:spacing w:after="0" w:line="240" w:lineRule="auto"/>
        <w:rPr>
          <w:rFonts w:ascii="Arial" w:eastAsia="Times New Roman" w:hAnsi="Arial" w:cs="Arial"/>
          <w:color w:val="333333"/>
          <w:sz w:val="15"/>
          <w:szCs w:val="15"/>
        </w:rPr>
      </w:pPr>
    </w:p>
    <w:p w:rsidR="004223D9" w:rsidRPr="004223D9" w:rsidRDefault="00F96F6D" w:rsidP="004223D9">
      <w:pPr>
        <w:pBdr>
          <w:bottom w:val="single" w:sz="6" w:space="2" w:color="999999"/>
        </w:pBdr>
        <w:spacing w:before="100" w:beforeAutospacing="1" w:after="120" w:line="240" w:lineRule="atLeast"/>
        <w:outlineLvl w:val="1"/>
        <w:rPr>
          <w:rFonts w:ascii="Arial" w:eastAsia="Times New Roman" w:hAnsi="Arial" w:cs="Arial"/>
          <w:b/>
          <w:bCs/>
          <w:color w:val="660099"/>
          <w:kern w:val="36"/>
          <w:sz w:val="29"/>
          <w:szCs w:val="29"/>
        </w:rPr>
      </w:pPr>
      <w:hyperlink r:id="rId11" w:history="1">
        <w:r w:rsidR="004223D9" w:rsidRPr="004223D9">
          <w:rPr>
            <w:rFonts w:ascii="Arial" w:eastAsia="Times New Roman" w:hAnsi="Arial" w:cs="Arial"/>
            <w:vanish/>
            <w:color w:val="660099"/>
            <w:kern w:val="36"/>
            <w:sz w:val="17"/>
            <w:szCs w:val="17"/>
          </w:rPr>
          <w:t>Printer-Friendly</w:t>
        </w:r>
      </w:hyperlink>
      <w:r w:rsidR="004223D9" w:rsidRPr="004223D9">
        <w:rPr>
          <w:rFonts w:ascii="Arial" w:eastAsia="Times New Roman" w:hAnsi="Arial" w:cs="Arial"/>
          <w:b/>
          <w:bCs/>
          <w:color w:val="660099"/>
          <w:kern w:val="36"/>
          <w:sz w:val="29"/>
          <w:szCs w:val="29"/>
        </w:rPr>
        <w:t xml:space="preserve"> Fuel Surcharges</w:t>
      </w:r>
    </w:p>
    <w:p w:rsidR="004223D9" w:rsidRPr="004223D9" w:rsidRDefault="004223D9" w:rsidP="004223D9">
      <w:pPr>
        <w:spacing w:after="0" w:line="264" w:lineRule="atLeast"/>
        <w:rPr>
          <w:rFonts w:ascii="Arial" w:eastAsia="Times New Roman" w:hAnsi="Arial" w:cs="Arial"/>
          <w:color w:val="333333"/>
          <w:sz w:val="17"/>
          <w:szCs w:val="17"/>
        </w:rPr>
      </w:pPr>
    </w:p>
    <w:tbl>
      <w:tblPr>
        <w:tblW w:w="8325" w:type="dxa"/>
        <w:tblCellMar>
          <w:left w:w="0" w:type="dxa"/>
          <w:right w:w="0" w:type="dxa"/>
        </w:tblCellMar>
        <w:tblLook w:val="04A0"/>
      </w:tblPr>
      <w:tblGrid>
        <w:gridCol w:w="4130"/>
        <w:gridCol w:w="150"/>
        <w:gridCol w:w="4045"/>
      </w:tblGrid>
      <w:tr w:rsidR="004223D9" w:rsidRPr="004223D9" w:rsidTr="004223D9">
        <w:tc>
          <w:tcPr>
            <w:tcW w:w="0" w:type="auto"/>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 xml:space="preserve">The fuel surcharge percentage for FedEx Express services is subject to monthly adjustment based on a rounded average of the </w:t>
            </w:r>
            <w:hyperlink r:id="rId12" w:history="1">
              <w:r w:rsidRPr="004223D9">
                <w:rPr>
                  <w:rFonts w:ascii="inherit" w:eastAsia="Times New Roman" w:hAnsi="inherit" w:cs="Arial"/>
                  <w:color w:val="660099"/>
                  <w:sz w:val="15"/>
                  <w:szCs w:val="15"/>
                </w:rPr>
                <w:t>U.S. Gulf Coast (USGC)</w:t>
              </w:r>
            </w:hyperlink>
            <w:r w:rsidRPr="004223D9">
              <w:rPr>
                <w:rFonts w:ascii="inherit" w:eastAsia="Times New Roman" w:hAnsi="inherit" w:cs="Arial"/>
                <w:color w:val="333333"/>
                <w:sz w:val="15"/>
                <w:szCs w:val="15"/>
              </w:rPr>
              <w:t xml:space="preserve"> spot price for a gallon of kerosene-type jet fuel.</w:t>
            </w:r>
          </w:p>
        </w:tc>
        <w:tc>
          <w:tcPr>
            <w:tcW w:w="0" w:type="auto"/>
            <w:hideMark/>
          </w:tcPr>
          <w:p w:rsidR="004223D9" w:rsidRPr="004223D9" w:rsidRDefault="004223D9" w:rsidP="004223D9">
            <w:pPr>
              <w:spacing w:after="0" w:line="240" w:lineRule="auto"/>
              <w:rPr>
                <w:rFonts w:ascii="inherit" w:eastAsia="Times New Roman" w:hAnsi="inherit" w:cs="Arial"/>
                <w:color w:val="333333"/>
                <w:sz w:val="15"/>
                <w:szCs w:val="15"/>
              </w:rPr>
            </w:pPr>
          </w:p>
        </w:tc>
        <w:tc>
          <w:tcPr>
            <w:tcW w:w="0" w:type="auto"/>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 xml:space="preserve">The fuel surcharge percentage for FedEx Ground services is subject to monthly adjustment based on a rounded average of the national U.S. </w:t>
            </w:r>
            <w:hyperlink r:id="rId13" w:tgtFrame="_blank" w:history="1">
              <w:r w:rsidRPr="004223D9">
                <w:rPr>
                  <w:rFonts w:ascii="inherit" w:eastAsia="Times New Roman" w:hAnsi="inherit" w:cs="Arial"/>
                  <w:color w:val="660099"/>
                  <w:sz w:val="15"/>
                  <w:szCs w:val="15"/>
                </w:rPr>
                <w:t>on-highway average price</w:t>
              </w:r>
            </w:hyperlink>
            <w:r w:rsidRPr="004223D9">
              <w:rPr>
                <w:rFonts w:ascii="inherit" w:eastAsia="Times New Roman" w:hAnsi="inherit" w:cs="Arial"/>
                <w:color w:val="333333"/>
                <w:sz w:val="15"/>
                <w:szCs w:val="15"/>
              </w:rPr>
              <w:t xml:space="preserve"> for a gallon of diesel fuel.</w:t>
            </w:r>
          </w:p>
        </w:tc>
      </w:tr>
      <w:tr w:rsidR="004223D9" w:rsidRPr="004223D9" w:rsidTr="004223D9">
        <w:tc>
          <w:tcPr>
            <w:tcW w:w="3975" w:type="dxa"/>
            <w:hideMark/>
          </w:tcPr>
          <w:p w:rsidR="004223D9" w:rsidRPr="004223D9" w:rsidRDefault="004223D9" w:rsidP="004223D9">
            <w:pPr>
              <w:spacing w:after="24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br/>
            </w:r>
            <w:r>
              <w:rPr>
                <w:rFonts w:ascii="inherit" w:eastAsia="Times New Roman" w:hAnsi="inherit" w:cs="Arial"/>
                <w:noProof/>
                <w:color w:val="333333"/>
                <w:sz w:val="15"/>
                <w:szCs w:val="15"/>
              </w:rPr>
              <w:drawing>
                <wp:inline distT="0" distB="0" distL="0" distR="0">
                  <wp:extent cx="742950" cy="361950"/>
                  <wp:effectExtent l="19050" t="0" r="0" b="0"/>
                  <wp:docPr id="3" name="Picture 3" descr="http://images.fedex.com/images/us/services/us_services_fedexexpre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fedex.com/images/us/services/us_services_fedexexpresslogo.gif"/>
                          <pic:cNvPicPr>
                            <a:picLocks noChangeAspect="1" noChangeArrowheads="1"/>
                          </pic:cNvPicPr>
                        </pic:nvPicPr>
                        <pic:blipFill>
                          <a:blip r:embed="rId14" cstate="print"/>
                          <a:srcRect/>
                          <a:stretch>
                            <a:fillRect/>
                          </a:stretch>
                        </pic:blipFill>
                        <pic:spPr bwMode="auto">
                          <a:xfrm>
                            <a:off x="0" y="0"/>
                            <a:ext cx="742950" cy="361950"/>
                          </a:xfrm>
                          <a:prstGeom prst="rect">
                            <a:avLst/>
                          </a:prstGeom>
                          <a:noFill/>
                          <a:ln w="9525">
                            <a:noFill/>
                            <a:miter lim="800000"/>
                            <a:headEnd/>
                            <a:tailEnd/>
                          </a:ln>
                        </pic:spPr>
                      </pic:pic>
                    </a:graphicData>
                  </a:graphic>
                </wp:inline>
              </w:drawing>
            </w:r>
          </w:p>
          <w:tbl>
            <w:tblPr>
              <w:tblW w:w="3975" w:type="dxa"/>
              <w:tblCellMar>
                <w:left w:w="0" w:type="dxa"/>
                <w:right w:w="0" w:type="dxa"/>
              </w:tblCellMar>
              <w:tblLook w:val="04A0"/>
            </w:tblPr>
            <w:tblGrid>
              <w:gridCol w:w="3975"/>
            </w:tblGrid>
            <w:tr w:rsidR="004223D9" w:rsidRPr="004223D9">
              <w:tc>
                <w:tcPr>
                  <w:tcW w:w="0" w:type="auto"/>
                  <w:shd w:val="clear" w:color="auto" w:fill="660099"/>
                  <w:tcMar>
                    <w:top w:w="60" w:type="dxa"/>
                    <w:left w:w="150" w:type="dxa"/>
                    <w:bottom w:w="75" w:type="dxa"/>
                    <w:right w:w="0" w:type="dxa"/>
                  </w:tcMar>
                  <w:vAlign w:val="cente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Arial" w:eastAsia="Times New Roman" w:hAnsi="Arial" w:cs="Arial"/>
                      <w:b/>
                      <w:bCs/>
                      <w:color w:val="FFFFFF"/>
                      <w:sz w:val="20"/>
                    </w:rPr>
                    <w:t>FedEx Express</w:t>
                  </w:r>
                </w:p>
              </w:tc>
            </w:tr>
          </w:tbl>
          <w:p w:rsidR="004223D9" w:rsidRPr="004223D9" w:rsidRDefault="004223D9" w:rsidP="004223D9">
            <w:pPr>
              <w:spacing w:after="0" w:line="240" w:lineRule="auto"/>
              <w:rPr>
                <w:rFonts w:ascii="inherit" w:eastAsia="Times New Roman" w:hAnsi="inherit" w:cs="Arial"/>
                <w:vanish/>
                <w:color w:val="333333"/>
                <w:sz w:val="15"/>
                <w:szCs w:val="15"/>
              </w:rPr>
            </w:pPr>
          </w:p>
          <w:tbl>
            <w:tblPr>
              <w:tblW w:w="3975" w:type="dxa"/>
              <w:tblCellMar>
                <w:left w:w="0" w:type="dxa"/>
                <w:right w:w="0" w:type="dxa"/>
              </w:tblCellMar>
              <w:tblLook w:val="04A0"/>
            </w:tblPr>
            <w:tblGrid>
              <w:gridCol w:w="1298"/>
              <w:gridCol w:w="2677"/>
            </w:tblGrid>
            <w:tr w:rsidR="004223D9" w:rsidRPr="004223D9">
              <w:tc>
                <w:tcPr>
                  <w:tcW w:w="0" w:type="auto"/>
                  <w:tcBorders>
                    <w:left w:val="nil"/>
                    <w:bottom w:val="single" w:sz="6" w:space="0" w:color="CCCCCC"/>
                    <w:right w:val="single" w:sz="6" w:space="0" w:color="CCCCCC"/>
                  </w:tcBorders>
                  <w:shd w:val="clear" w:color="auto" w:fill="66666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FFFFFF"/>
                      <w:sz w:val="15"/>
                      <w:szCs w:val="15"/>
                    </w:rPr>
                  </w:pPr>
                  <w:r w:rsidRPr="004223D9">
                    <w:rPr>
                      <w:rFonts w:ascii="inherit" w:eastAsia="Times New Roman" w:hAnsi="inherit" w:cs="Times New Roman"/>
                      <w:b/>
                      <w:bCs/>
                      <w:color w:val="FFFFFF"/>
                      <w:sz w:val="15"/>
                    </w:rPr>
                    <w:t>Surcharge</w:t>
                  </w:r>
                </w:p>
              </w:tc>
              <w:tc>
                <w:tcPr>
                  <w:tcW w:w="0" w:type="auto"/>
                  <w:tcBorders>
                    <w:left w:val="nil"/>
                    <w:bottom w:val="single" w:sz="6" w:space="0" w:color="CCCCCC"/>
                  </w:tcBorders>
                  <w:shd w:val="clear" w:color="auto" w:fill="66666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FFFFFF"/>
                      <w:sz w:val="15"/>
                      <w:szCs w:val="15"/>
                    </w:rPr>
                  </w:pPr>
                  <w:r w:rsidRPr="004223D9">
                    <w:rPr>
                      <w:rFonts w:ascii="inherit" w:eastAsia="Times New Roman" w:hAnsi="inherit" w:cs="Times New Roman"/>
                      <w:b/>
                      <w:bCs/>
                      <w:color w:val="FFFFFF"/>
                      <w:sz w:val="15"/>
                    </w:rPr>
                    <w:t>Effective Date</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10.00%</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Dec. 6, 2010–Jan. 2, 2011</w:t>
                  </w:r>
                </w:p>
              </w:tc>
            </w:tr>
          </w:tbl>
          <w:p w:rsidR="004223D9" w:rsidRPr="004223D9" w:rsidRDefault="004223D9" w:rsidP="004223D9">
            <w:pPr>
              <w:spacing w:after="0" w:line="240" w:lineRule="auto"/>
              <w:rPr>
                <w:rFonts w:ascii="inherit" w:eastAsia="Times New Roman" w:hAnsi="inherit" w:cs="Arial"/>
                <w:color w:val="333333"/>
                <w:sz w:val="15"/>
                <w:szCs w:val="15"/>
              </w:rPr>
            </w:pPr>
          </w:p>
        </w:tc>
        <w:tc>
          <w:tcPr>
            <w:tcW w:w="0" w:type="auto"/>
            <w:hideMark/>
          </w:tcPr>
          <w:p w:rsidR="004223D9" w:rsidRPr="004223D9" w:rsidRDefault="004223D9" w:rsidP="004223D9">
            <w:pPr>
              <w:spacing w:after="0" w:line="240" w:lineRule="auto"/>
              <w:rPr>
                <w:rFonts w:ascii="inherit" w:eastAsia="Times New Roman" w:hAnsi="inherit" w:cs="Arial"/>
                <w:color w:val="333333"/>
                <w:sz w:val="15"/>
                <w:szCs w:val="15"/>
              </w:rPr>
            </w:pPr>
            <w:r>
              <w:rPr>
                <w:rFonts w:ascii="inherit" w:eastAsia="Times New Roman" w:hAnsi="inherit" w:cs="Arial"/>
                <w:noProof/>
                <w:color w:val="333333"/>
                <w:sz w:val="15"/>
                <w:szCs w:val="15"/>
              </w:rPr>
              <w:drawing>
                <wp:inline distT="0" distB="0" distL="0" distR="0">
                  <wp:extent cx="95250" cy="9525"/>
                  <wp:effectExtent l="0" t="0" r="0" b="0"/>
                  <wp:docPr id="4" name="Picture 4" descr="http://images.fedex.com/images/shared/shared_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fedex.com/images/shared/shared_dot_clear.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3975" w:type="dxa"/>
            <w:hideMark/>
          </w:tcPr>
          <w:p w:rsidR="004223D9" w:rsidRPr="004223D9" w:rsidRDefault="004223D9" w:rsidP="004223D9">
            <w:pPr>
              <w:spacing w:after="24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br/>
            </w:r>
            <w:r>
              <w:rPr>
                <w:rFonts w:ascii="inherit" w:eastAsia="Times New Roman" w:hAnsi="inherit" w:cs="Arial"/>
                <w:noProof/>
                <w:color w:val="333333"/>
                <w:sz w:val="15"/>
                <w:szCs w:val="15"/>
              </w:rPr>
              <w:drawing>
                <wp:inline distT="0" distB="0" distL="0" distR="0">
                  <wp:extent cx="742950" cy="361950"/>
                  <wp:effectExtent l="19050" t="0" r="0" b="0"/>
                  <wp:docPr id="5" name="Picture 5" descr="FedEx 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dEx Ground"/>
                          <pic:cNvPicPr>
                            <a:picLocks noChangeAspect="1" noChangeArrowheads="1"/>
                          </pic:cNvPicPr>
                        </pic:nvPicPr>
                        <pic:blipFill>
                          <a:blip r:embed="rId15" cstate="print"/>
                          <a:srcRect/>
                          <a:stretch>
                            <a:fillRect/>
                          </a:stretch>
                        </pic:blipFill>
                        <pic:spPr bwMode="auto">
                          <a:xfrm>
                            <a:off x="0" y="0"/>
                            <a:ext cx="742950" cy="361950"/>
                          </a:xfrm>
                          <a:prstGeom prst="rect">
                            <a:avLst/>
                          </a:prstGeom>
                          <a:noFill/>
                          <a:ln w="9525">
                            <a:noFill/>
                            <a:miter lim="800000"/>
                            <a:headEnd/>
                            <a:tailEnd/>
                          </a:ln>
                        </pic:spPr>
                      </pic:pic>
                    </a:graphicData>
                  </a:graphic>
                </wp:inline>
              </w:drawing>
            </w:r>
          </w:p>
          <w:tbl>
            <w:tblPr>
              <w:tblW w:w="3975" w:type="dxa"/>
              <w:tblCellMar>
                <w:left w:w="0" w:type="dxa"/>
                <w:right w:w="0" w:type="dxa"/>
              </w:tblCellMar>
              <w:tblLook w:val="04A0"/>
            </w:tblPr>
            <w:tblGrid>
              <w:gridCol w:w="3975"/>
            </w:tblGrid>
            <w:tr w:rsidR="004223D9" w:rsidRPr="004223D9">
              <w:tc>
                <w:tcPr>
                  <w:tcW w:w="0" w:type="auto"/>
                  <w:shd w:val="clear" w:color="auto" w:fill="660099"/>
                  <w:tcMar>
                    <w:top w:w="60" w:type="dxa"/>
                    <w:left w:w="150" w:type="dxa"/>
                    <w:bottom w:w="75" w:type="dxa"/>
                    <w:right w:w="0" w:type="dxa"/>
                  </w:tcMar>
                  <w:vAlign w:val="cente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Arial" w:eastAsia="Times New Roman" w:hAnsi="Arial" w:cs="Arial"/>
                      <w:b/>
                      <w:bCs/>
                      <w:color w:val="FFFFFF"/>
                      <w:sz w:val="20"/>
                    </w:rPr>
                    <w:t>FedEx Ground</w:t>
                  </w:r>
                </w:p>
              </w:tc>
            </w:tr>
          </w:tbl>
          <w:p w:rsidR="004223D9" w:rsidRPr="004223D9" w:rsidRDefault="004223D9" w:rsidP="004223D9">
            <w:pPr>
              <w:spacing w:after="0" w:line="240" w:lineRule="auto"/>
              <w:rPr>
                <w:rFonts w:ascii="inherit" w:eastAsia="Times New Roman" w:hAnsi="inherit" w:cs="Arial"/>
                <w:vanish/>
                <w:color w:val="333333"/>
                <w:sz w:val="15"/>
                <w:szCs w:val="15"/>
              </w:rPr>
            </w:pPr>
          </w:p>
          <w:tbl>
            <w:tblPr>
              <w:tblW w:w="3975" w:type="dxa"/>
              <w:tblCellMar>
                <w:left w:w="0" w:type="dxa"/>
                <w:right w:w="0" w:type="dxa"/>
              </w:tblCellMar>
              <w:tblLook w:val="04A0"/>
            </w:tblPr>
            <w:tblGrid>
              <w:gridCol w:w="1298"/>
              <w:gridCol w:w="2677"/>
            </w:tblGrid>
            <w:tr w:rsidR="004223D9" w:rsidRPr="004223D9">
              <w:tc>
                <w:tcPr>
                  <w:tcW w:w="0" w:type="auto"/>
                  <w:tcBorders>
                    <w:left w:val="nil"/>
                    <w:bottom w:val="single" w:sz="6" w:space="0" w:color="CCCCCC"/>
                    <w:right w:val="single" w:sz="6" w:space="0" w:color="CCCCCC"/>
                  </w:tcBorders>
                  <w:shd w:val="clear" w:color="auto" w:fill="66666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FFFFFF"/>
                      <w:sz w:val="15"/>
                      <w:szCs w:val="15"/>
                    </w:rPr>
                  </w:pPr>
                  <w:r w:rsidRPr="004223D9">
                    <w:rPr>
                      <w:rFonts w:ascii="inherit" w:eastAsia="Times New Roman" w:hAnsi="inherit" w:cs="Times New Roman"/>
                      <w:b/>
                      <w:bCs/>
                      <w:color w:val="FFFFFF"/>
                      <w:sz w:val="15"/>
                    </w:rPr>
                    <w:t>Surcharge</w:t>
                  </w:r>
                </w:p>
              </w:tc>
              <w:tc>
                <w:tcPr>
                  <w:tcW w:w="0" w:type="auto"/>
                  <w:tcBorders>
                    <w:left w:val="nil"/>
                    <w:bottom w:val="single" w:sz="6" w:space="0" w:color="CCCCCC"/>
                  </w:tcBorders>
                  <w:shd w:val="clear" w:color="auto" w:fill="66666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FFFFFF"/>
                      <w:sz w:val="15"/>
                      <w:szCs w:val="15"/>
                    </w:rPr>
                  </w:pPr>
                  <w:r w:rsidRPr="004223D9">
                    <w:rPr>
                      <w:rFonts w:ascii="inherit" w:eastAsia="Times New Roman" w:hAnsi="inherit" w:cs="Times New Roman"/>
                      <w:b/>
                      <w:bCs/>
                      <w:color w:val="FFFFFF"/>
                      <w:sz w:val="15"/>
                    </w:rPr>
                    <w:t>Effective Date</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6.00%</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Dec. 6, 2010–Jan. 2, 2011</w:t>
                  </w:r>
                </w:p>
              </w:tc>
            </w:tr>
          </w:tbl>
          <w:p w:rsidR="004223D9" w:rsidRPr="004223D9" w:rsidRDefault="004223D9" w:rsidP="004223D9">
            <w:pPr>
              <w:spacing w:after="0" w:line="240" w:lineRule="auto"/>
              <w:rPr>
                <w:rFonts w:ascii="inherit" w:eastAsia="Times New Roman" w:hAnsi="inherit" w:cs="Arial"/>
                <w:color w:val="333333"/>
                <w:sz w:val="15"/>
                <w:szCs w:val="15"/>
              </w:rPr>
            </w:pPr>
          </w:p>
        </w:tc>
      </w:tr>
      <w:tr w:rsidR="004223D9" w:rsidRPr="004223D9" w:rsidTr="004223D9">
        <w:tc>
          <w:tcPr>
            <w:tcW w:w="0" w:type="auto"/>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br/>
            </w:r>
            <w:hyperlink r:id="rId16" w:anchor="historical" w:history="1">
              <w:r w:rsidRPr="004223D9">
                <w:rPr>
                  <w:rFonts w:ascii="inherit" w:eastAsia="Times New Roman" w:hAnsi="inherit" w:cs="Arial"/>
                  <w:color w:val="660099"/>
                  <w:sz w:val="15"/>
                  <w:szCs w:val="15"/>
                </w:rPr>
                <w:t>See Previous Fuel Surcharges</w:t>
              </w:r>
            </w:hyperlink>
          </w:p>
        </w:tc>
        <w:tc>
          <w:tcPr>
            <w:tcW w:w="0" w:type="auto"/>
            <w:hideMark/>
          </w:tcPr>
          <w:p w:rsidR="004223D9" w:rsidRPr="004223D9" w:rsidRDefault="004223D9" w:rsidP="004223D9">
            <w:pPr>
              <w:spacing w:after="0" w:line="240" w:lineRule="auto"/>
              <w:rPr>
                <w:rFonts w:ascii="inherit" w:eastAsia="Times New Roman" w:hAnsi="inherit" w:cs="Arial"/>
                <w:color w:val="333333"/>
                <w:sz w:val="15"/>
                <w:szCs w:val="15"/>
              </w:rPr>
            </w:pPr>
          </w:p>
        </w:tc>
        <w:tc>
          <w:tcPr>
            <w:tcW w:w="0" w:type="auto"/>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br/>
            </w:r>
            <w:hyperlink r:id="rId17" w:anchor="historical" w:history="1">
              <w:r w:rsidRPr="004223D9">
                <w:rPr>
                  <w:rFonts w:ascii="inherit" w:eastAsia="Times New Roman" w:hAnsi="inherit" w:cs="Arial"/>
                  <w:color w:val="660099"/>
                  <w:sz w:val="15"/>
                  <w:szCs w:val="15"/>
                </w:rPr>
                <w:t>See Previous Fuel Surcharges</w:t>
              </w:r>
            </w:hyperlink>
          </w:p>
        </w:tc>
      </w:tr>
      <w:tr w:rsidR="004223D9" w:rsidRPr="004223D9" w:rsidTr="004223D9">
        <w:tc>
          <w:tcPr>
            <w:tcW w:w="0" w:type="auto"/>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br/>
              <w:t>The fuel surcharge rate for FedEx Express</w:t>
            </w:r>
            <w:r w:rsidRPr="004223D9">
              <w:rPr>
                <w:rFonts w:ascii="inherit" w:eastAsia="Times New Roman" w:hAnsi="inherit" w:cs="Arial"/>
                <w:color w:val="333333"/>
                <w:sz w:val="14"/>
                <w:szCs w:val="14"/>
                <w:vertAlign w:val="superscript"/>
              </w:rPr>
              <w:t>®</w:t>
            </w:r>
            <w:r w:rsidRPr="004223D9">
              <w:rPr>
                <w:rFonts w:ascii="inherit" w:eastAsia="Times New Roman" w:hAnsi="inherit" w:cs="Arial"/>
                <w:color w:val="333333"/>
                <w:sz w:val="15"/>
                <w:szCs w:val="15"/>
              </w:rPr>
              <w:t xml:space="preserve"> services applies to U.S., U.S. export, U.S. import, and U.S. to Puerto Rico shipments.</w:t>
            </w:r>
            <w:r w:rsidRPr="004223D9">
              <w:rPr>
                <w:rFonts w:ascii="inherit" w:eastAsia="Times New Roman" w:hAnsi="inherit" w:cs="Arial"/>
                <w:color w:val="333333"/>
                <w:sz w:val="15"/>
                <w:szCs w:val="15"/>
              </w:rPr>
              <w:br/>
            </w:r>
            <w:r w:rsidRPr="004223D9">
              <w:rPr>
                <w:rFonts w:ascii="inherit" w:eastAsia="Times New Roman" w:hAnsi="inherit" w:cs="Arial"/>
                <w:color w:val="333333"/>
                <w:sz w:val="15"/>
                <w:szCs w:val="15"/>
              </w:rPr>
              <w:br/>
              <w:t>This fuel surcharge does not apply to FedEx International Express Freight</w:t>
            </w:r>
            <w:r w:rsidRPr="004223D9">
              <w:rPr>
                <w:rFonts w:ascii="inherit" w:eastAsia="Times New Roman" w:hAnsi="inherit" w:cs="Arial"/>
                <w:color w:val="333333"/>
                <w:sz w:val="14"/>
                <w:szCs w:val="14"/>
                <w:vertAlign w:val="superscript"/>
              </w:rPr>
              <w:t>®</w:t>
            </w:r>
            <w:r w:rsidRPr="004223D9">
              <w:rPr>
                <w:rFonts w:ascii="inherit" w:eastAsia="Times New Roman" w:hAnsi="inherit" w:cs="Arial"/>
                <w:color w:val="333333"/>
                <w:sz w:val="15"/>
                <w:szCs w:val="15"/>
              </w:rPr>
              <w:t xml:space="preserve"> (IXF) and FedEx International Airport-to-</w:t>
            </w:r>
            <w:proofErr w:type="spellStart"/>
            <w:r w:rsidRPr="004223D9">
              <w:rPr>
                <w:rFonts w:ascii="inherit" w:eastAsia="Times New Roman" w:hAnsi="inherit" w:cs="Arial"/>
                <w:color w:val="333333"/>
                <w:sz w:val="15"/>
                <w:szCs w:val="15"/>
              </w:rPr>
              <w:t>Airport</w:t>
            </w:r>
            <w:r w:rsidRPr="004223D9">
              <w:rPr>
                <w:rFonts w:ascii="inherit" w:eastAsia="Times New Roman" w:hAnsi="inherit" w:cs="Arial"/>
                <w:color w:val="333333"/>
                <w:sz w:val="14"/>
                <w:szCs w:val="14"/>
                <w:vertAlign w:val="superscript"/>
              </w:rPr>
              <w:t>SM</w:t>
            </w:r>
            <w:proofErr w:type="spellEnd"/>
            <w:r w:rsidRPr="004223D9">
              <w:rPr>
                <w:rFonts w:ascii="inherit" w:eastAsia="Times New Roman" w:hAnsi="inherit" w:cs="Arial"/>
                <w:color w:val="333333"/>
                <w:sz w:val="15"/>
                <w:szCs w:val="15"/>
              </w:rPr>
              <w:t xml:space="preserve"> (ATA) services.</w:t>
            </w:r>
            <w:r w:rsidRPr="004223D9">
              <w:rPr>
                <w:rFonts w:ascii="inherit" w:eastAsia="Times New Roman" w:hAnsi="inherit" w:cs="Arial"/>
                <w:color w:val="333333"/>
                <w:sz w:val="15"/>
                <w:szCs w:val="15"/>
              </w:rPr>
              <w:br/>
            </w:r>
            <w:hyperlink r:id="rId18" w:history="1">
              <w:r w:rsidRPr="004223D9">
                <w:rPr>
                  <w:rFonts w:ascii="inherit" w:eastAsia="Times New Roman" w:hAnsi="inherit" w:cs="Arial"/>
                  <w:color w:val="660099"/>
                  <w:sz w:val="15"/>
                  <w:szCs w:val="15"/>
                </w:rPr>
                <w:t>See the IXF and ATA fuel surcharge.</w:t>
              </w:r>
            </w:hyperlink>
          </w:p>
        </w:tc>
        <w:tc>
          <w:tcPr>
            <w:tcW w:w="0" w:type="auto"/>
            <w:hideMark/>
          </w:tcPr>
          <w:p w:rsidR="004223D9" w:rsidRPr="004223D9" w:rsidRDefault="004223D9" w:rsidP="004223D9">
            <w:pPr>
              <w:spacing w:after="0" w:line="240" w:lineRule="auto"/>
              <w:rPr>
                <w:rFonts w:ascii="inherit" w:eastAsia="Times New Roman" w:hAnsi="inherit" w:cs="Arial"/>
                <w:color w:val="333333"/>
                <w:sz w:val="15"/>
                <w:szCs w:val="15"/>
              </w:rPr>
            </w:pPr>
          </w:p>
        </w:tc>
        <w:tc>
          <w:tcPr>
            <w:tcW w:w="0" w:type="auto"/>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br/>
              <w:t>The fuel surcharge rate for FedEx Ground</w:t>
            </w:r>
            <w:r w:rsidRPr="004223D9">
              <w:rPr>
                <w:rFonts w:ascii="inherit" w:eastAsia="Times New Roman" w:hAnsi="inherit" w:cs="Arial"/>
                <w:color w:val="333333"/>
                <w:sz w:val="14"/>
                <w:szCs w:val="14"/>
                <w:vertAlign w:val="superscript"/>
              </w:rPr>
              <w:t>®</w:t>
            </w:r>
            <w:r w:rsidRPr="004223D9">
              <w:rPr>
                <w:rFonts w:ascii="inherit" w:eastAsia="Times New Roman" w:hAnsi="inherit" w:cs="Arial"/>
                <w:color w:val="333333"/>
                <w:sz w:val="15"/>
                <w:szCs w:val="15"/>
              </w:rPr>
              <w:t xml:space="preserve"> services applies to both U.S. and international shipments.</w:t>
            </w:r>
          </w:p>
        </w:tc>
      </w:tr>
    </w:tbl>
    <w:p w:rsidR="004223D9" w:rsidRPr="004223D9" w:rsidRDefault="004223D9" w:rsidP="004223D9">
      <w:pPr>
        <w:spacing w:after="240" w:line="264" w:lineRule="atLeast"/>
        <w:rPr>
          <w:rFonts w:ascii="Arial" w:eastAsia="Times New Roman" w:hAnsi="Arial" w:cs="Arial"/>
          <w:color w:val="333333"/>
          <w:sz w:val="17"/>
          <w:szCs w:val="17"/>
        </w:rPr>
      </w:pPr>
    </w:p>
    <w:tbl>
      <w:tblPr>
        <w:tblW w:w="8325" w:type="dxa"/>
        <w:tblCellMar>
          <w:left w:w="0" w:type="dxa"/>
          <w:right w:w="0" w:type="dxa"/>
        </w:tblCellMar>
        <w:tblLook w:val="04A0"/>
      </w:tblPr>
      <w:tblGrid>
        <w:gridCol w:w="8325"/>
      </w:tblGrid>
      <w:tr w:rsidR="004223D9" w:rsidRPr="004223D9" w:rsidTr="004223D9">
        <w:tc>
          <w:tcPr>
            <w:tcW w:w="0" w:type="auto"/>
            <w:hideMark/>
          </w:tcPr>
          <w:tbl>
            <w:tblPr>
              <w:tblW w:w="3975" w:type="dxa"/>
              <w:tblCellMar>
                <w:left w:w="0" w:type="dxa"/>
                <w:right w:w="0" w:type="dxa"/>
              </w:tblCellMar>
              <w:tblLook w:val="04A0"/>
            </w:tblPr>
            <w:tblGrid>
              <w:gridCol w:w="8226"/>
            </w:tblGrid>
            <w:tr w:rsidR="004223D9" w:rsidRPr="004223D9">
              <w:tc>
                <w:tcPr>
                  <w:tcW w:w="0" w:type="auto"/>
                  <w:vAlign w:val="center"/>
                  <w:hideMark/>
                </w:tcPr>
                <w:tbl>
                  <w:tblPr>
                    <w:tblW w:w="3975" w:type="dxa"/>
                    <w:tblCellMar>
                      <w:top w:w="45" w:type="dxa"/>
                      <w:left w:w="45" w:type="dxa"/>
                      <w:bottom w:w="45" w:type="dxa"/>
                      <w:right w:w="45" w:type="dxa"/>
                    </w:tblCellMar>
                    <w:tblLook w:val="04A0"/>
                  </w:tblPr>
                  <w:tblGrid>
                    <w:gridCol w:w="4065"/>
                    <w:gridCol w:w="96"/>
                    <w:gridCol w:w="4065"/>
                  </w:tblGrid>
                  <w:tr w:rsidR="004223D9" w:rsidRPr="004223D9">
                    <w:tc>
                      <w:tcPr>
                        <w:tcW w:w="3975" w:type="dxa"/>
                        <w:hideMark/>
                      </w:tcPr>
                      <w:tbl>
                        <w:tblPr>
                          <w:tblW w:w="3975" w:type="dxa"/>
                          <w:tblCellMar>
                            <w:left w:w="0" w:type="dxa"/>
                            <w:right w:w="0" w:type="dxa"/>
                          </w:tblCellMar>
                          <w:tblLook w:val="04A0"/>
                        </w:tblPr>
                        <w:tblGrid>
                          <w:gridCol w:w="3975"/>
                        </w:tblGrid>
                        <w:tr w:rsidR="004223D9" w:rsidRPr="004223D9">
                          <w:tc>
                            <w:tcPr>
                              <w:tcW w:w="0" w:type="auto"/>
                              <w:shd w:val="clear" w:color="auto" w:fill="660099"/>
                              <w:tcMar>
                                <w:top w:w="60" w:type="dxa"/>
                                <w:left w:w="150" w:type="dxa"/>
                                <w:bottom w:w="75" w:type="dxa"/>
                                <w:right w:w="0" w:type="dxa"/>
                              </w:tcMar>
                              <w:vAlign w:val="center"/>
                              <w:hideMark/>
                            </w:tcPr>
                            <w:p w:rsidR="004223D9" w:rsidRPr="004223D9" w:rsidRDefault="004223D9" w:rsidP="004223D9">
                              <w:pPr>
                                <w:spacing w:after="0" w:line="240" w:lineRule="auto"/>
                                <w:rPr>
                                  <w:rFonts w:ascii="inherit" w:eastAsia="Times New Roman" w:hAnsi="inherit" w:cs="Arial"/>
                                  <w:color w:val="FFFFFF"/>
                                  <w:sz w:val="15"/>
                                  <w:szCs w:val="15"/>
                                </w:rPr>
                              </w:pPr>
                              <w:bookmarkStart w:id="0" w:name="jan0708"/>
                              <w:bookmarkEnd w:id="0"/>
                              <w:r w:rsidRPr="004223D9">
                                <w:rPr>
                                  <w:rFonts w:ascii="Arial" w:eastAsia="Times New Roman" w:hAnsi="Arial" w:cs="Arial"/>
                                  <w:b/>
                                  <w:bCs/>
                                  <w:color w:val="FFFFFF"/>
                                  <w:sz w:val="20"/>
                                </w:rPr>
                                <w:t>FedEx Express Fuel Surcharge Table</w:t>
                              </w:r>
                              <w:r w:rsidRPr="004223D9">
                                <w:rPr>
                                  <w:rFonts w:ascii="Arial" w:eastAsia="Times New Roman" w:hAnsi="Arial" w:cs="Arial"/>
                                  <w:b/>
                                  <w:bCs/>
                                  <w:color w:val="FFFFFF"/>
                                  <w:sz w:val="20"/>
                                  <w:szCs w:val="20"/>
                                </w:rPr>
                                <w:br/>
                              </w:r>
                              <w:r w:rsidRPr="004223D9">
                                <w:rPr>
                                  <w:rFonts w:ascii="inherit" w:eastAsia="Times New Roman" w:hAnsi="inherit" w:cs="Arial"/>
                                  <w:b/>
                                  <w:bCs/>
                                  <w:color w:val="FFFFFF"/>
                                  <w:sz w:val="12"/>
                                </w:rPr>
                                <w:t>(prices per gallon)</w:t>
                              </w:r>
                              <w:r w:rsidRPr="004223D9">
                                <w:rPr>
                                  <w:rFonts w:ascii="inherit" w:eastAsia="Times New Roman" w:hAnsi="inherit" w:cs="Times New Roman"/>
                                  <w:b/>
                                  <w:bCs/>
                                  <w:color w:val="FFFFFF"/>
                                  <w:sz w:val="15"/>
                                </w:rPr>
                                <w:t xml:space="preserve"> </w:t>
                              </w:r>
                            </w:p>
                          </w:tc>
                        </w:tr>
                      </w:tbl>
                      <w:p w:rsidR="004223D9" w:rsidRPr="004223D9" w:rsidRDefault="004223D9" w:rsidP="004223D9">
                        <w:pPr>
                          <w:spacing w:after="0" w:line="240" w:lineRule="auto"/>
                          <w:rPr>
                            <w:rFonts w:ascii="inherit" w:eastAsia="Times New Roman" w:hAnsi="inherit" w:cs="Arial"/>
                            <w:vanish/>
                            <w:color w:val="333333"/>
                            <w:sz w:val="15"/>
                            <w:szCs w:val="15"/>
                          </w:rPr>
                        </w:pPr>
                      </w:p>
                      <w:tbl>
                        <w:tblPr>
                          <w:tblW w:w="3975" w:type="dxa"/>
                          <w:tblCellMar>
                            <w:left w:w="0" w:type="dxa"/>
                            <w:right w:w="0" w:type="dxa"/>
                          </w:tblCellMar>
                          <w:tblLook w:val="04A0"/>
                        </w:tblPr>
                        <w:tblGrid>
                          <w:gridCol w:w="1074"/>
                          <w:gridCol w:w="1648"/>
                          <w:gridCol w:w="1253"/>
                        </w:tblGrid>
                        <w:tr w:rsidR="004223D9" w:rsidRPr="004223D9">
                          <w:tc>
                            <w:tcPr>
                              <w:tcW w:w="0" w:type="auto"/>
                              <w:tcBorders>
                                <w:left w:val="nil"/>
                                <w:bottom w:val="single" w:sz="6" w:space="0" w:color="CCCCCC"/>
                                <w:right w:val="single" w:sz="6" w:space="0" w:color="CCCCCC"/>
                              </w:tcBorders>
                              <w:shd w:val="clear" w:color="auto" w:fill="66666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FFFFFF"/>
                                  <w:sz w:val="15"/>
                                  <w:szCs w:val="15"/>
                                </w:rPr>
                              </w:pPr>
                              <w:r w:rsidRPr="004223D9">
                                <w:rPr>
                                  <w:rFonts w:ascii="inherit" w:eastAsia="Times New Roman" w:hAnsi="inherit" w:cs="Times New Roman"/>
                                  <w:b/>
                                  <w:bCs/>
                                  <w:color w:val="FFFFFF"/>
                                  <w:sz w:val="15"/>
                                </w:rPr>
                                <w:t>At Least</w:t>
                              </w:r>
                            </w:p>
                          </w:tc>
                          <w:tc>
                            <w:tcPr>
                              <w:tcW w:w="0" w:type="auto"/>
                              <w:tcBorders>
                                <w:left w:val="nil"/>
                                <w:bottom w:val="single" w:sz="6" w:space="0" w:color="CCCCCC"/>
                                <w:right w:val="single" w:sz="6" w:space="0" w:color="CCCCCC"/>
                              </w:tcBorders>
                              <w:shd w:val="clear" w:color="auto" w:fill="66666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FFFFFF"/>
                                  <w:sz w:val="15"/>
                                  <w:szCs w:val="15"/>
                                </w:rPr>
                              </w:pPr>
                              <w:r w:rsidRPr="004223D9">
                                <w:rPr>
                                  <w:rFonts w:ascii="inherit" w:eastAsia="Times New Roman" w:hAnsi="inherit" w:cs="Times New Roman"/>
                                  <w:b/>
                                  <w:bCs/>
                                  <w:color w:val="FFFFFF"/>
                                  <w:sz w:val="15"/>
                                </w:rPr>
                                <w:t>But Less Than</w:t>
                              </w:r>
                            </w:p>
                          </w:tc>
                          <w:tc>
                            <w:tcPr>
                              <w:tcW w:w="0" w:type="auto"/>
                              <w:tcBorders>
                                <w:left w:val="nil"/>
                                <w:bottom w:val="single" w:sz="6" w:space="0" w:color="CCCCCC"/>
                              </w:tcBorders>
                              <w:shd w:val="clear" w:color="auto" w:fill="66666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FFFFFF"/>
                                  <w:sz w:val="15"/>
                                  <w:szCs w:val="15"/>
                                </w:rPr>
                              </w:pPr>
                              <w:r w:rsidRPr="004223D9">
                                <w:rPr>
                                  <w:rFonts w:ascii="inherit" w:eastAsia="Times New Roman" w:hAnsi="inherit" w:cs="Times New Roman"/>
                                  <w:b/>
                                  <w:bCs/>
                                  <w:color w:val="FFFFFF"/>
                                  <w:sz w:val="15"/>
                                </w:rPr>
                                <w:t>Surcharge</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$1.46</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0.00%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$1.46</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$1.50</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0.50%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$1.50</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$1.54</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1.00%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$1.54</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$1.58</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1.50%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$1.58</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$1.62</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2.00%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$1.62</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$1.66</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2.50%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$1.66</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$1.70</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3.00%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$1.70</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$1.74</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3.50%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$1.74</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$1.78</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4.00%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$1.78</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$1.82</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4.50%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$1.82</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$1.86</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5.00%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$1.86</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$1.90</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5.50%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$1.90</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$1.94</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6.00%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$1.94</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$1.98</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6.50%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$1.98</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$2.02</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7.00%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$2.02</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$2.06</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7.50%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$2.06</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$2.10</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8.00%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$2.10</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$2.14</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8.50%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lastRenderedPageBreak/>
                                <w:t>$2.14</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$2.18</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9.00%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$2.18</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$2.22</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9.50%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$2.22</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$2.26</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10.00%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$2.26</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$2.32</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10.50%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$2.32</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$2.38</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11.00%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$2.38</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$2.44</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11.50%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$2.44</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$2.50</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12.00%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$2.50</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$2.56</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12.50%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$2.56</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$2.62</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13.00%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$2.62</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$2.68</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13.50%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$2.68</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$2.74</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14.00%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$2.74</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$2.80</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14.50%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$2.80</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$2.86</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15.00%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$2.86</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$2.92</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15.50%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$2.92</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$2.98</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16.00%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$2.98</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$3.04</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16.50%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$3.04</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$3.10</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17.00%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$3.10</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$3.16</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17.50%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$3.16</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$3.22</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18.00%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$3.22</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$3.28</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18.50%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$3.28</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19.00%</w:t>
                              </w:r>
                            </w:p>
                          </w:tc>
                        </w:tr>
                      </w:tbl>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br/>
                          <w:t xml:space="preserve">Fuel surcharge percentages and associated trigger points are subject to change without notice. See the </w:t>
                        </w:r>
                        <w:hyperlink r:id="rId19" w:history="1">
                          <w:r w:rsidRPr="004223D9">
                            <w:rPr>
                              <w:rFonts w:ascii="inherit" w:eastAsia="Times New Roman" w:hAnsi="inherit" w:cs="Arial"/>
                              <w:color w:val="660099"/>
                              <w:sz w:val="15"/>
                              <w:szCs w:val="15"/>
                            </w:rPr>
                            <w:t>FedEx Express U.S. Terms and Conditions</w:t>
                          </w:r>
                        </w:hyperlink>
                        <w:r w:rsidRPr="004223D9">
                          <w:rPr>
                            <w:rFonts w:ascii="inherit" w:eastAsia="Times New Roman" w:hAnsi="inherit" w:cs="Arial"/>
                            <w:color w:val="333333"/>
                            <w:sz w:val="15"/>
                            <w:szCs w:val="15"/>
                          </w:rPr>
                          <w:t xml:space="preserve"> and the </w:t>
                        </w:r>
                        <w:hyperlink r:id="rId20" w:history="1">
                          <w:r w:rsidRPr="004223D9">
                            <w:rPr>
                              <w:rFonts w:ascii="inherit" w:eastAsia="Times New Roman" w:hAnsi="inherit" w:cs="Arial"/>
                              <w:color w:val="660099"/>
                              <w:sz w:val="15"/>
                              <w:szCs w:val="15"/>
                            </w:rPr>
                            <w:t>FedEx Express International Terms and Conditions</w:t>
                          </w:r>
                        </w:hyperlink>
                        <w:r w:rsidRPr="004223D9">
                          <w:rPr>
                            <w:rFonts w:ascii="inherit" w:eastAsia="Times New Roman" w:hAnsi="inherit" w:cs="Arial"/>
                            <w:color w:val="333333"/>
                            <w:sz w:val="15"/>
                            <w:szCs w:val="15"/>
                          </w:rPr>
                          <w:t xml:space="preserve"> for more details. If the fuel surcharge rises above 19.00% or there are changes to the trigger points, the table above will be updated.</w:t>
                        </w:r>
                      </w:p>
                    </w:tc>
                    <w:tc>
                      <w:tcPr>
                        <w:tcW w:w="0" w:type="auto"/>
                        <w:hideMark/>
                      </w:tcPr>
                      <w:p w:rsidR="004223D9" w:rsidRPr="004223D9" w:rsidRDefault="004223D9" w:rsidP="004223D9">
                        <w:pPr>
                          <w:spacing w:after="0" w:line="240" w:lineRule="auto"/>
                          <w:rPr>
                            <w:rFonts w:ascii="inherit" w:eastAsia="Times New Roman" w:hAnsi="inherit" w:cs="Arial"/>
                            <w:color w:val="333333"/>
                            <w:sz w:val="15"/>
                            <w:szCs w:val="15"/>
                          </w:rPr>
                        </w:pPr>
                      </w:p>
                    </w:tc>
                    <w:tc>
                      <w:tcPr>
                        <w:tcW w:w="0" w:type="auto"/>
                        <w:hideMark/>
                      </w:tcPr>
                      <w:tbl>
                        <w:tblPr>
                          <w:tblW w:w="3975" w:type="dxa"/>
                          <w:tblCellMar>
                            <w:left w:w="0" w:type="dxa"/>
                            <w:right w:w="0" w:type="dxa"/>
                          </w:tblCellMar>
                          <w:tblLook w:val="04A0"/>
                        </w:tblPr>
                        <w:tblGrid>
                          <w:gridCol w:w="3975"/>
                        </w:tblGrid>
                        <w:tr w:rsidR="004223D9" w:rsidRPr="004223D9">
                          <w:tc>
                            <w:tcPr>
                              <w:tcW w:w="0" w:type="auto"/>
                              <w:vAlign w:val="center"/>
                              <w:hideMark/>
                            </w:tcPr>
                            <w:tbl>
                              <w:tblPr>
                                <w:tblW w:w="3975" w:type="dxa"/>
                                <w:tblCellMar>
                                  <w:left w:w="0" w:type="dxa"/>
                                  <w:right w:w="0" w:type="dxa"/>
                                </w:tblCellMar>
                                <w:tblLook w:val="04A0"/>
                              </w:tblPr>
                              <w:tblGrid>
                                <w:gridCol w:w="3975"/>
                              </w:tblGrid>
                              <w:tr w:rsidR="004223D9" w:rsidRPr="004223D9">
                                <w:tc>
                                  <w:tcPr>
                                    <w:tcW w:w="0" w:type="auto"/>
                                    <w:shd w:val="clear" w:color="auto" w:fill="660099"/>
                                    <w:tcMar>
                                      <w:top w:w="60" w:type="dxa"/>
                                      <w:left w:w="150" w:type="dxa"/>
                                      <w:bottom w:w="75" w:type="dxa"/>
                                      <w:right w:w="0" w:type="dxa"/>
                                    </w:tcMar>
                                    <w:vAlign w:val="center"/>
                                    <w:hideMark/>
                                  </w:tcPr>
                                  <w:p w:rsidR="004223D9" w:rsidRPr="004223D9" w:rsidRDefault="004223D9" w:rsidP="004223D9">
                                    <w:pPr>
                                      <w:spacing w:after="0" w:line="240" w:lineRule="auto"/>
                                      <w:rPr>
                                        <w:rFonts w:ascii="inherit" w:eastAsia="Times New Roman" w:hAnsi="inherit" w:cs="Arial"/>
                                        <w:color w:val="FFFFFF"/>
                                        <w:sz w:val="15"/>
                                        <w:szCs w:val="15"/>
                                      </w:rPr>
                                    </w:pPr>
                                    <w:r w:rsidRPr="004223D9">
                                      <w:rPr>
                                        <w:rFonts w:ascii="Arial" w:eastAsia="Times New Roman" w:hAnsi="Arial" w:cs="Arial"/>
                                        <w:b/>
                                        <w:bCs/>
                                        <w:color w:val="FFFFFF"/>
                                        <w:sz w:val="20"/>
                                      </w:rPr>
                                      <w:t>FedEx Ground Fuel Surcharge Table</w:t>
                                    </w:r>
                                    <w:r w:rsidRPr="004223D9">
                                      <w:rPr>
                                        <w:rFonts w:ascii="Arial" w:eastAsia="Times New Roman" w:hAnsi="Arial" w:cs="Arial"/>
                                        <w:b/>
                                        <w:bCs/>
                                        <w:color w:val="FFFFFF"/>
                                        <w:sz w:val="20"/>
                                        <w:szCs w:val="20"/>
                                      </w:rPr>
                                      <w:br/>
                                    </w:r>
                                    <w:r w:rsidRPr="004223D9">
                                      <w:rPr>
                                        <w:rFonts w:ascii="inherit" w:eastAsia="Times New Roman" w:hAnsi="inherit" w:cs="Arial"/>
                                        <w:b/>
                                        <w:bCs/>
                                        <w:color w:val="FFFFFF"/>
                                        <w:sz w:val="12"/>
                                      </w:rPr>
                                      <w:t>(prices per gallon)</w:t>
                                    </w:r>
                                    <w:r w:rsidRPr="004223D9">
                                      <w:rPr>
                                        <w:rFonts w:ascii="inherit" w:eastAsia="Times New Roman" w:hAnsi="inherit" w:cs="Times New Roman"/>
                                        <w:b/>
                                        <w:bCs/>
                                        <w:color w:val="FFFFFF"/>
                                        <w:sz w:val="15"/>
                                      </w:rPr>
                                      <w:t xml:space="preserve"> </w:t>
                                    </w:r>
                                  </w:p>
                                </w:tc>
                              </w:tr>
                            </w:tbl>
                            <w:p w:rsidR="004223D9" w:rsidRPr="004223D9" w:rsidRDefault="004223D9" w:rsidP="004223D9">
                              <w:pPr>
                                <w:spacing w:after="0" w:line="240" w:lineRule="auto"/>
                                <w:rPr>
                                  <w:rFonts w:ascii="inherit" w:eastAsia="Times New Roman" w:hAnsi="inherit" w:cs="Arial"/>
                                  <w:vanish/>
                                  <w:color w:val="333333"/>
                                  <w:sz w:val="15"/>
                                  <w:szCs w:val="15"/>
                                </w:rPr>
                              </w:pPr>
                            </w:p>
                            <w:tbl>
                              <w:tblPr>
                                <w:tblW w:w="3975" w:type="dxa"/>
                                <w:tblCellMar>
                                  <w:left w:w="0" w:type="dxa"/>
                                  <w:right w:w="0" w:type="dxa"/>
                                </w:tblCellMar>
                                <w:tblLook w:val="04A0"/>
                              </w:tblPr>
                              <w:tblGrid>
                                <w:gridCol w:w="1074"/>
                                <w:gridCol w:w="1648"/>
                                <w:gridCol w:w="1253"/>
                              </w:tblGrid>
                              <w:tr w:rsidR="004223D9" w:rsidRPr="004223D9">
                                <w:tc>
                                  <w:tcPr>
                                    <w:tcW w:w="0" w:type="auto"/>
                                    <w:tcBorders>
                                      <w:left w:val="nil"/>
                                      <w:right w:val="single" w:sz="6" w:space="0" w:color="CCCCCC"/>
                                    </w:tcBorders>
                                    <w:shd w:val="clear" w:color="auto" w:fill="66666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FFFFFF"/>
                                        <w:sz w:val="15"/>
                                        <w:szCs w:val="15"/>
                                      </w:rPr>
                                    </w:pPr>
                                    <w:r w:rsidRPr="004223D9">
                                      <w:rPr>
                                        <w:rFonts w:ascii="inherit" w:eastAsia="Times New Roman" w:hAnsi="inherit" w:cs="Times New Roman"/>
                                        <w:b/>
                                        <w:bCs/>
                                        <w:color w:val="FFFFFF"/>
                                        <w:sz w:val="15"/>
                                      </w:rPr>
                                      <w:t>At Least</w:t>
                                    </w:r>
                                  </w:p>
                                </w:tc>
                                <w:tc>
                                  <w:tcPr>
                                    <w:tcW w:w="0" w:type="auto"/>
                                    <w:tcBorders>
                                      <w:left w:val="nil"/>
                                      <w:right w:val="single" w:sz="6" w:space="0" w:color="CCCCCC"/>
                                    </w:tcBorders>
                                    <w:shd w:val="clear" w:color="auto" w:fill="66666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FFFFFF"/>
                                        <w:sz w:val="15"/>
                                        <w:szCs w:val="15"/>
                                      </w:rPr>
                                    </w:pPr>
                                    <w:r w:rsidRPr="004223D9">
                                      <w:rPr>
                                        <w:rFonts w:ascii="inherit" w:eastAsia="Times New Roman" w:hAnsi="inherit" w:cs="Times New Roman"/>
                                        <w:b/>
                                        <w:bCs/>
                                        <w:color w:val="FFFFFF"/>
                                        <w:sz w:val="15"/>
                                      </w:rPr>
                                      <w:t>But Less Than</w:t>
                                    </w:r>
                                  </w:p>
                                </w:tc>
                                <w:tc>
                                  <w:tcPr>
                                    <w:tcW w:w="0" w:type="auto"/>
                                    <w:tcBorders>
                                      <w:left w:val="nil"/>
                                    </w:tcBorders>
                                    <w:shd w:val="clear" w:color="auto" w:fill="66666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FFFFFF"/>
                                        <w:sz w:val="15"/>
                                        <w:szCs w:val="15"/>
                                      </w:rPr>
                                    </w:pPr>
                                    <w:r w:rsidRPr="004223D9">
                                      <w:rPr>
                                        <w:rFonts w:ascii="inherit" w:eastAsia="Times New Roman" w:hAnsi="inherit" w:cs="Times New Roman"/>
                                        <w:b/>
                                        <w:bCs/>
                                        <w:color w:val="FFFFFF"/>
                                        <w:sz w:val="15"/>
                                      </w:rPr>
                                      <w:t>Surcharge</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$1.75</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0.00%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$1.75</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$1.87</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1.00%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$1.87</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$1.99</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1.50%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$1.99</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$2.11</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2.00%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$2.11</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$2.23</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2.50%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$2.23</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$2.35</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3.00%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$2.35</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$2.47</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3.50%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$2.47</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$2.59</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4.00%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$2.59</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$2.71</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4.50%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$2.71</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$2.83</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5.00%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$2.83</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$2.95</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5.50%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$2.95</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$3.07</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6.00%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$3.07</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$3.19</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6.50%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$3.19</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$3.31</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7.00%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$3.31</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$3.43</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7.50%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$3.43</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$3.55</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8.00%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$3.55</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$3.67</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8.50%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$3.67</w:t>
                                    </w:r>
                                  </w:p>
                                </w:tc>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$3.79</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9.00%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lastRenderedPageBreak/>
                                      <w:t>$3.79</w:t>
                                    </w:r>
                                  </w:p>
                                </w:tc>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9.50%</w:t>
                                    </w:r>
                                  </w:p>
                                </w:tc>
                              </w:tr>
                            </w:tbl>
                            <w:p w:rsidR="004223D9" w:rsidRPr="004223D9" w:rsidRDefault="004223D9" w:rsidP="004223D9">
                              <w:pPr>
                                <w:spacing w:after="0" w:line="240" w:lineRule="auto"/>
                                <w:rPr>
                                  <w:rFonts w:ascii="inherit" w:eastAsia="Times New Roman" w:hAnsi="inherit" w:cs="Arial"/>
                                  <w:color w:val="333333"/>
                                  <w:sz w:val="15"/>
                                  <w:szCs w:val="15"/>
                                </w:rPr>
                              </w:pPr>
                            </w:p>
                          </w:tc>
                        </w:tr>
                      </w:tbl>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lastRenderedPageBreak/>
                          <w:br/>
                          <w:t xml:space="preserve">Fuel surcharge percentages and associated trigger points are subject to change without notice. See the </w:t>
                        </w:r>
                        <w:hyperlink r:id="rId21" w:history="1">
                          <w:r w:rsidRPr="004223D9">
                            <w:rPr>
                              <w:rFonts w:ascii="inherit" w:eastAsia="Times New Roman" w:hAnsi="inherit" w:cs="Arial"/>
                              <w:color w:val="660099"/>
                              <w:sz w:val="15"/>
                              <w:szCs w:val="15"/>
                            </w:rPr>
                            <w:t>FedEx Ground Tariff</w:t>
                          </w:r>
                        </w:hyperlink>
                        <w:r w:rsidRPr="004223D9">
                          <w:rPr>
                            <w:rFonts w:ascii="inherit" w:eastAsia="Times New Roman" w:hAnsi="inherit" w:cs="Arial"/>
                            <w:color w:val="333333"/>
                            <w:sz w:val="15"/>
                            <w:szCs w:val="15"/>
                          </w:rPr>
                          <w:t xml:space="preserve"> for more details. If the fuel surcharge rises above 9.50% or there are changes to the trigger points, the table above will be updated.</w:t>
                        </w:r>
                      </w:p>
                    </w:tc>
                  </w:tr>
                </w:tbl>
                <w:p w:rsidR="004223D9" w:rsidRPr="004223D9" w:rsidRDefault="004223D9" w:rsidP="004223D9">
                  <w:pPr>
                    <w:spacing w:after="0" w:line="240" w:lineRule="auto"/>
                    <w:rPr>
                      <w:rFonts w:ascii="inherit" w:eastAsia="Times New Roman" w:hAnsi="inherit" w:cs="Arial"/>
                      <w:color w:val="333333"/>
                      <w:sz w:val="15"/>
                      <w:szCs w:val="15"/>
                    </w:rPr>
                  </w:pPr>
                </w:p>
              </w:tc>
            </w:tr>
          </w:tbl>
          <w:p w:rsidR="004223D9" w:rsidRPr="004223D9" w:rsidRDefault="004223D9" w:rsidP="004223D9">
            <w:pPr>
              <w:spacing w:after="0" w:line="240" w:lineRule="auto"/>
              <w:rPr>
                <w:rFonts w:ascii="inherit" w:eastAsia="Times New Roman" w:hAnsi="inherit" w:cs="Arial"/>
                <w:color w:val="333333"/>
                <w:sz w:val="15"/>
                <w:szCs w:val="15"/>
              </w:rPr>
            </w:pPr>
          </w:p>
        </w:tc>
      </w:tr>
    </w:tbl>
    <w:p w:rsidR="004223D9" w:rsidRPr="004223D9" w:rsidRDefault="004223D9" w:rsidP="004223D9">
      <w:pPr>
        <w:spacing w:after="0" w:line="264" w:lineRule="atLeast"/>
        <w:rPr>
          <w:rFonts w:ascii="Arial" w:eastAsia="Times New Roman" w:hAnsi="Arial" w:cs="Arial"/>
          <w:color w:val="333333"/>
          <w:sz w:val="17"/>
          <w:szCs w:val="17"/>
        </w:rPr>
      </w:pPr>
    </w:p>
    <w:p w:rsidR="004223D9" w:rsidRPr="004223D9" w:rsidRDefault="00F96F6D" w:rsidP="004223D9">
      <w:pPr>
        <w:spacing w:after="0" w:line="264" w:lineRule="atLeast"/>
        <w:rPr>
          <w:rFonts w:ascii="Arial" w:eastAsia="Times New Roman" w:hAnsi="Arial" w:cs="Arial"/>
          <w:color w:val="333333"/>
          <w:sz w:val="17"/>
          <w:szCs w:val="17"/>
        </w:rPr>
      </w:pPr>
      <w:r w:rsidRPr="00F96F6D">
        <w:rPr>
          <w:rFonts w:ascii="Arial" w:eastAsia="Times New Roman" w:hAnsi="Arial" w:cs="Arial"/>
          <w:color w:val="333333"/>
          <w:sz w:val="17"/>
          <w:szCs w:val="17"/>
        </w:rPr>
        <w:pict>
          <v:rect id="_x0000_i1025" style="width:0;height:1.5pt" o:hralign="center" o:hrstd="t" o:hr="t" fillcolor="#aca899" stroked="f"/>
        </w:pict>
      </w:r>
    </w:p>
    <w:p w:rsidR="004223D9" w:rsidRPr="004223D9" w:rsidRDefault="004223D9" w:rsidP="004223D9">
      <w:pPr>
        <w:spacing w:after="0" w:line="264" w:lineRule="atLeast"/>
        <w:rPr>
          <w:rFonts w:ascii="Arial" w:eastAsia="Times New Roman" w:hAnsi="Arial" w:cs="Arial"/>
          <w:color w:val="333333"/>
          <w:sz w:val="17"/>
          <w:szCs w:val="17"/>
        </w:rPr>
      </w:pPr>
    </w:p>
    <w:tbl>
      <w:tblPr>
        <w:tblW w:w="8325" w:type="dxa"/>
        <w:tblCellMar>
          <w:left w:w="0" w:type="dxa"/>
          <w:right w:w="0" w:type="dxa"/>
        </w:tblCellMar>
        <w:tblLook w:val="04A0"/>
      </w:tblPr>
      <w:tblGrid>
        <w:gridCol w:w="4162"/>
        <w:gridCol w:w="4163"/>
      </w:tblGrid>
      <w:tr w:rsidR="004223D9" w:rsidRPr="004223D9" w:rsidTr="004223D9">
        <w:tc>
          <w:tcPr>
            <w:tcW w:w="2500" w:type="pct"/>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Arial" w:eastAsia="Times New Roman" w:hAnsi="Arial" w:cs="Arial"/>
                <w:b/>
                <w:bCs/>
                <w:color w:val="000000"/>
                <w:sz w:val="20"/>
              </w:rPr>
              <w:t>Additional Information</w:t>
            </w:r>
            <w:r w:rsidRPr="004223D9">
              <w:rPr>
                <w:rFonts w:ascii="inherit" w:eastAsia="Times New Roman" w:hAnsi="inherit" w:cs="Arial"/>
                <w:color w:val="333333"/>
                <w:sz w:val="15"/>
                <w:szCs w:val="15"/>
              </w:rPr>
              <w:t> </w:t>
            </w:r>
            <w:r w:rsidRPr="004223D9">
              <w:rPr>
                <w:rFonts w:ascii="inherit" w:eastAsia="Times New Roman" w:hAnsi="inherit" w:cs="Arial"/>
                <w:color w:val="333333"/>
                <w:sz w:val="15"/>
                <w:szCs w:val="15"/>
              </w:rPr>
              <w:br/>
            </w:r>
            <w:r w:rsidRPr="004223D9">
              <w:rPr>
                <w:rFonts w:ascii="inherit" w:eastAsia="Times New Roman" w:hAnsi="inherit" w:cs="Arial"/>
                <w:color w:val="333333"/>
                <w:sz w:val="15"/>
                <w:szCs w:val="15"/>
              </w:rPr>
              <w:br/>
              <w:t>For FedEx Express shipments, the related fuel surcharge is assessed on the net package rate plus applicable transportation-related surcharges.</w:t>
            </w:r>
            <w:r w:rsidRPr="004223D9">
              <w:rPr>
                <w:rFonts w:ascii="inherit" w:eastAsia="Times New Roman" w:hAnsi="inherit" w:cs="Arial"/>
                <w:color w:val="333333"/>
                <w:sz w:val="15"/>
                <w:szCs w:val="15"/>
              </w:rPr>
              <w:br/>
            </w:r>
            <w:r w:rsidRPr="004223D9">
              <w:rPr>
                <w:rFonts w:ascii="inherit" w:eastAsia="Times New Roman" w:hAnsi="inherit" w:cs="Arial"/>
                <w:color w:val="333333"/>
                <w:sz w:val="15"/>
                <w:szCs w:val="15"/>
              </w:rPr>
              <w:br/>
              <w:t xml:space="preserve">For shipments within the U.S., and from the U.S. to Puerto Rico, this applies to the following transportation-related surcharges: courier pickup, delivery area surcharge, freight delivery reattempt, freight extended service area delivery, freight extended service area pickup, freight residential delivery, freight residential pickup, freight Saturday delivery, oversize, residential delivery, return on-call pickup (FedEx </w:t>
            </w:r>
            <w:proofErr w:type="spellStart"/>
            <w:r w:rsidRPr="004223D9">
              <w:rPr>
                <w:rFonts w:ascii="inherit" w:eastAsia="Times New Roman" w:hAnsi="inherit" w:cs="Arial"/>
                <w:color w:val="333333"/>
                <w:sz w:val="15"/>
                <w:szCs w:val="15"/>
              </w:rPr>
              <w:t>ExpressTag</w:t>
            </w:r>
            <w:proofErr w:type="spellEnd"/>
            <w:r w:rsidRPr="004223D9">
              <w:rPr>
                <w:rFonts w:ascii="inherit" w:eastAsia="Times New Roman" w:hAnsi="inherit" w:cs="Arial"/>
                <w:color w:val="333333"/>
                <w:sz w:val="14"/>
                <w:szCs w:val="14"/>
                <w:vertAlign w:val="superscript"/>
              </w:rPr>
              <w:t>®</w:t>
            </w:r>
            <w:r w:rsidRPr="004223D9">
              <w:rPr>
                <w:rFonts w:ascii="inherit" w:eastAsia="Times New Roman" w:hAnsi="inherit" w:cs="Arial"/>
                <w:color w:val="333333"/>
                <w:sz w:val="15"/>
                <w:szCs w:val="15"/>
              </w:rPr>
              <w:t>), Saturday delivery and Saturday pickup.</w:t>
            </w:r>
            <w:r w:rsidRPr="004223D9">
              <w:rPr>
                <w:rFonts w:ascii="inherit" w:eastAsia="Times New Roman" w:hAnsi="inherit" w:cs="Arial"/>
                <w:color w:val="333333"/>
                <w:sz w:val="15"/>
                <w:szCs w:val="15"/>
              </w:rPr>
              <w:br/>
            </w:r>
            <w:r w:rsidRPr="004223D9">
              <w:rPr>
                <w:rFonts w:ascii="inherit" w:eastAsia="Times New Roman" w:hAnsi="inherit" w:cs="Arial"/>
                <w:color w:val="333333"/>
                <w:sz w:val="15"/>
                <w:szCs w:val="15"/>
              </w:rPr>
              <w:br/>
              <w:t>For FedEx Express U.S. export and U.S. import shipments, this applies to the following transportation-related surcharges: broker routing fee, courier pickup, extended service area delivery, extended service area pickup, FedEx International Premium</w:t>
            </w:r>
            <w:r w:rsidRPr="004223D9">
              <w:rPr>
                <w:rFonts w:ascii="inherit" w:eastAsia="Times New Roman" w:hAnsi="inherit" w:cs="Arial"/>
                <w:color w:val="333333"/>
                <w:sz w:val="14"/>
                <w:szCs w:val="14"/>
                <w:vertAlign w:val="superscript"/>
              </w:rPr>
              <w:t>®</w:t>
            </w:r>
            <w:r w:rsidRPr="004223D9">
              <w:rPr>
                <w:rFonts w:ascii="inherit" w:eastAsia="Times New Roman" w:hAnsi="inherit" w:cs="Arial"/>
                <w:color w:val="333333"/>
                <w:sz w:val="15"/>
                <w:szCs w:val="15"/>
              </w:rPr>
              <w:t xml:space="preserve"> pickup, FedEx International Premium residential delivery, FedEx International Premium residential pickup, Saturday delivery and Saturday pickup.</w:t>
            </w:r>
          </w:p>
        </w:tc>
        <w:tc>
          <w:tcPr>
            <w:tcW w:w="2500" w:type="pct"/>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Arial" w:eastAsia="Times New Roman" w:hAnsi="Arial" w:cs="Arial"/>
                <w:b/>
                <w:bCs/>
                <w:color w:val="000000"/>
                <w:sz w:val="20"/>
              </w:rPr>
              <w:t>Additional Information</w:t>
            </w:r>
            <w:r w:rsidRPr="004223D9">
              <w:rPr>
                <w:rFonts w:ascii="inherit" w:eastAsia="Times New Roman" w:hAnsi="inherit" w:cs="Arial"/>
                <w:b/>
                <w:bCs/>
                <w:color w:val="333333"/>
                <w:sz w:val="15"/>
                <w:szCs w:val="15"/>
              </w:rPr>
              <w:br/>
            </w:r>
            <w:r w:rsidRPr="004223D9">
              <w:rPr>
                <w:rFonts w:ascii="inherit" w:eastAsia="Times New Roman" w:hAnsi="inherit" w:cs="Arial"/>
                <w:b/>
                <w:bCs/>
                <w:color w:val="333333"/>
                <w:sz w:val="15"/>
                <w:szCs w:val="15"/>
              </w:rPr>
              <w:br/>
            </w:r>
            <w:r w:rsidRPr="004223D9">
              <w:rPr>
                <w:rFonts w:ascii="inherit" w:eastAsia="Times New Roman" w:hAnsi="inherit" w:cs="Arial"/>
                <w:color w:val="333333"/>
                <w:sz w:val="15"/>
                <w:szCs w:val="15"/>
              </w:rPr>
              <w:t>For FedEx Ground shipments, the related fuel</w:t>
            </w:r>
            <w:r w:rsidRPr="004223D9">
              <w:rPr>
                <w:rFonts w:ascii="inherit" w:eastAsia="Times New Roman" w:hAnsi="inherit" w:cs="Arial"/>
                <w:color w:val="333333"/>
                <w:sz w:val="15"/>
                <w:szCs w:val="15"/>
              </w:rPr>
              <w:br/>
              <w:t>surcharge is assessed on the net package rate</w:t>
            </w:r>
            <w:r w:rsidRPr="004223D9">
              <w:rPr>
                <w:rFonts w:ascii="inherit" w:eastAsia="Times New Roman" w:hAnsi="inherit" w:cs="Arial"/>
                <w:color w:val="333333"/>
                <w:sz w:val="15"/>
                <w:szCs w:val="15"/>
              </w:rPr>
              <w:br/>
              <w:t>plus applicable transportation-related</w:t>
            </w:r>
            <w:r w:rsidRPr="004223D9">
              <w:rPr>
                <w:rFonts w:ascii="inherit" w:eastAsia="Times New Roman" w:hAnsi="inherit" w:cs="Arial"/>
                <w:color w:val="333333"/>
                <w:sz w:val="15"/>
                <w:szCs w:val="15"/>
              </w:rPr>
              <w:br/>
              <w:t>surcharges.</w:t>
            </w:r>
            <w:r w:rsidRPr="004223D9">
              <w:rPr>
                <w:rFonts w:ascii="inherit" w:eastAsia="Times New Roman" w:hAnsi="inherit" w:cs="Arial"/>
                <w:color w:val="333333"/>
                <w:sz w:val="15"/>
                <w:szCs w:val="15"/>
              </w:rPr>
              <w:br/>
            </w:r>
            <w:r w:rsidRPr="004223D9">
              <w:rPr>
                <w:rFonts w:ascii="inherit" w:eastAsia="Times New Roman" w:hAnsi="inherit" w:cs="Arial"/>
                <w:color w:val="333333"/>
                <w:sz w:val="15"/>
                <w:szCs w:val="15"/>
              </w:rPr>
              <w:br/>
              <w:t>For FedEx Ground shipments this applies to the following transportation-related surcharges: on-call pickup, electronic call tag, manual call tag, oversize and unauthorized oversize packages, delivery area surcharge and residential delivery.</w:t>
            </w:r>
          </w:p>
        </w:tc>
      </w:tr>
    </w:tbl>
    <w:p w:rsidR="004223D9" w:rsidRPr="004223D9" w:rsidRDefault="004223D9" w:rsidP="004223D9">
      <w:pPr>
        <w:spacing w:after="0" w:line="264" w:lineRule="atLeast"/>
        <w:rPr>
          <w:rFonts w:ascii="Arial" w:eastAsia="Times New Roman" w:hAnsi="Arial" w:cs="Arial"/>
          <w:color w:val="333333"/>
          <w:sz w:val="17"/>
          <w:szCs w:val="17"/>
        </w:rPr>
      </w:pPr>
    </w:p>
    <w:p w:rsidR="004223D9" w:rsidRPr="004223D9" w:rsidRDefault="00F96F6D" w:rsidP="004223D9">
      <w:pPr>
        <w:spacing w:after="0" w:line="264" w:lineRule="atLeast"/>
        <w:rPr>
          <w:rFonts w:ascii="Arial" w:eastAsia="Times New Roman" w:hAnsi="Arial" w:cs="Arial"/>
          <w:color w:val="333333"/>
          <w:sz w:val="17"/>
          <w:szCs w:val="17"/>
        </w:rPr>
      </w:pPr>
      <w:r w:rsidRPr="00F96F6D">
        <w:rPr>
          <w:rFonts w:ascii="Arial" w:eastAsia="Times New Roman" w:hAnsi="Arial" w:cs="Arial"/>
          <w:color w:val="333333"/>
          <w:sz w:val="17"/>
          <w:szCs w:val="17"/>
        </w:rPr>
        <w:pict>
          <v:rect id="_x0000_i1026" style="width:0;height:1.5pt" o:hralign="center" o:hrstd="t" o:hr="t" fillcolor="#aca899" stroked="f"/>
        </w:pict>
      </w:r>
    </w:p>
    <w:p w:rsidR="004223D9" w:rsidRPr="004223D9" w:rsidRDefault="004223D9" w:rsidP="004223D9">
      <w:pPr>
        <w:spacing w:after="0" w:line="264" w:lineRule="atLeast"/>
        <w:rPr>
          <w:rFonts w:ascii="Arial" w:eastAsia="Times New Roman" w:hAnsi="Arial" w:cs="Arial"/>
          <w:color w:val="333333"/>
          <w:sz w:val="17"/>
          <w:szCs w:val="17"/>
        </w:rPr>
      </w:pPr>
    </w:p>
    <w:p w:rsidR="004223D9" w:rsidRPr="004223D9" w:rsidRDefault="004223D9" w:rsidP="004223D9">
      <w:pPr>
        <w:spacing w:before="100" w:beforeAutospacing="1" w:after="100" w:afterAutospacing="1" w:line="264" w:lineRule="atLeast"/>
        <w:outlineLvl w:val="3"/>
        <w:rPr>
          <w:rFonts w:ascii="Arial" w:eastAsia="Times New Roman" w:hAnsi="Arial" w:cs="Arial"/>
          <w:b/>
          <w:bCs/>
          <w:color w:val="000000"/>
          <w:sz w:val="20"/>
          <w:szCs w:val="20"/>
        </w:rPr>
      </w:pPr>
      <w:r w:rsidRPr="004223D9">
        <w:rPr>
          <w:rFonts w:ascii="Arial" w:eastAsia="Times New Roman" w:hAnsi="Arial" w:cs="Arial"/>
          <w:b/>
          <w:bCs/>
          <w:color w:val="000000"/>
          <w:sz w:val="20"/>
          <w:szCs w:val="20"/>
        </w:rPr>
        <w:t>Fuel Surcharge Updates</w:t>
      </w:r>
    </w:p>
    <w:p w:rsidR="004223D9" w:rsidRPr="004223D9" w:rsidRDefault="004223D9" w:rsidP="004223D9">
      <w:pPr>
        <w:spacing w:after="240" w:line="264" w:lineRule="atLeast"/>
        <w:rPr>
          <w:rFonts w:ascii="Arial" w:eastAsia="Times New Roman" w:hAnsi="Arial" w:cs="Arial"/>
          <w:color w:val="333333"/>
          <w:sz w:val="17"/>
          <w:szCs w:val="17"/>
        </w:rPr>
      </w:pPr>
      <w:r w:rsidRPr="004223D9">
        <w:rPr>
          <w:rFonts w:ascii="Arial" w:eastAsia="Times New Roman" w:hAnsi="Arial" w:cs="Arial"/>
          <w:color w:val="333333"/>
          <w:sz w:val="17"/>
          <w:szCs w:val="17"/>
        </w:rPr>
        <w:lastRenderedPageBreak/>
        <w:br/>
      </w:r>
      <w:r w:rsidRPr="004223D9">
        <w:rPr>
          <w:rFonts w:ascii="Arial" w:eastAsia="Times New Roman" w:hAnsi="Arial" w:cs="Arial"/>
          <w:color w:val="333333"/>
          <w:sz w:val="17"/>
          <w:szCs w:val="17"/>
        </w:rPr>
        <w:br/>
        <w:t>Changes to the FedEx Express and FedEx Ground fuel surcharges will be applied effective the first Monday of each month. The surcharge percentage will be reflected on your FedEx invoice. Information on the fuel surcharge for each month will be available approximately two weeks before the surcharge is applicable.</w:t>
      </w:r>
    </w:p>
    <w:p w:rsidR="004223D9" w:rsidRPr="004223D9" w:rsidRDefault="004223D9" w:rsidP="004223D9">
      <w:pPr>
        <w:numPr>
          <w:ilvl w:val="0"/>
          <w:numId w:val="1"/>
        </w:numPr>
        <w:spacing w:before="100" w:beforeAutospacing="1" w:after="100" w:afterAutospacing="1" w:line="264" w:lineRule="atLeast"/>
        <w:ind w:left="1185"/>
        <w:rPr>
          <w:rFonts w:ascii="Arial" w:eastAsia="Times New Roman" w:hAnsi="Arial" w:cs="Arial"/>
          <w:color w:val="333333"/>
          <w:sz w:val="17"/>
          <w:szCs w:val="17"/>
        </w:rPr>
      </w:pPr>
      <w:r w:rsidRPr="004223D9">
        <w:rPr>
          <w:rFonts w:ascii="Arial" w:eastAsia="Times New Roman" w:hAnsi="Arial" w:cs="Arial"/>
          <w:color w:val="333333"/>
          <w:sz w:val="17"/>
          <w:szCs w:val="17"/>
        </w:rPr>
        <w:t xml:space="preserve">For FedEx Express, see the </w:t>
      </w:r>
      <w:hyperlink r:id="rId22" w:history="1">
        <w:r w:rsidRPr="004223D9">
          <w:rPr>
            <w:rFonts w:ascii="Arial" w:eastAsia="Times New Roman" w:hAnsi="Arial" w:cs="Arial"/>
            <w:color w:val="660099"/>
            <w:sz w:val="17"/>
            <w:szCs w:val="17"/>
          </w:rPr>
          <w:t>USGC index</w:t>
        </w:r>
      </w:hyperlink>
      <w:r w:rsidRPr="004223D9">
        <w:rPr>
          <w:rFonts w:ascii="Arial" w:eastAsia="Times New Roman" w:hAnsi="Arial" w:cs="Arial"/>
          <w:color w:val="333333"/>
          <w:sz w:val="17"/>
          <w:szCs w:val="17"/>
        </w:rPr>
        <w:t xml:space="preserve"> for the spot price per gallon of kerosene-type jet fuel. </w:t>
      </w:r>
    </w:p>
    <w:p w:rsidR="004223D9" w:rsidRPr="004223D9" w:rsidRDefault="004223D9" w:rsidP="004223D9">
      <w:pPr>
        <w:numPr>
          <w:ilvl w:val="0"/>
          <w:numId w:val="1"/>
        </w:numPr>
        <w:spacing w:before="100" w:beforeAutospacing="1" w:after="100" w:afterAutospacing="1" w:line="264" w:lineRule="atLeast"/>
        <w:ind w:left="1185"/>
        <w:rPr>
          <w:rFonts w:ascii="Arial" w:eastAsia="Times New Roman" w:hAnsi="Arial" w:cs="Arial"/>
          <w:color w:val="333333"/>
          <w:sz w:val="17"/>
          <w:szCs w:val="17"/>
        </w:rPr>
      </w:pPr>
      <w:r w:rsidRPr="004223D9">
        <w:rPr>
          <w:rFonts w:ascii="Arial" w:eastAsia="Times New Roman" w:hAnsi="Arial" w:cs="Arial"/>
          <w:color w:val="333333"/>
          <w:sz w:val="17"/>
          <w:szCs w:val="17"/>
        </w:rPr>
        <w:t xml:space="preserve">For FedEx Ground, see the </w:t>
      </w:r>
      <w:hyperlink r:id="rId23" w:tgtFrame="_new" w:history="1">
        <w:r w:rsidRPr="004223D9">
          <w:rPr>
            <w:rFonts w:ascii="Arial" w:eastAsia="Times New Roman" w:hAnsi="Arial" w:cs="Arial"/>
            <w:color w:val="660099"/>
            <w:sz w:val="17"/>
            <w:szCs w:val="17"/>
          </w:rPr>
          <w:t>on-highway index</w:t>
        </w:r>
      </w:hyperlink>
      <w:r w:rsidRPr="004223D9">
        <w:rPr>
          <w:rFonts w:ascii="Arial" w:eastAsia="Times New Roman" w:hAnsi="Arial" w:cs="Arial"/>
          <w:color w:val="333333"/>
          <w:sz w:val="17"/>
          <w:szCs w:val="17"/>
        </w:rPr>
        <w:t xml:space="preserve"> for the price of a gallon of diesel fuel. </w:t>
      </w:r>
    </w:p>
    <w:p w:rsidR="004223D9" w:rsidRPr="004223D9" w:rsidRDefault="004223D9" w:rsidP="004223D9">
      <w:pPr>
        <w:numPr>
          <w:ilvl w:val="0"/>
          <w:numId w:val="1"/>
        </w:numPr>
        <w:spacing w:before="100" w:beforeAutospacing="1" w:after="100" w:afterAutospacing="1" w:line="264" w:lineRule="atLeast"/>
        <w:ind w:left="1185"/>
        <w:rPr>
          <w:rFonts w:ascii="Arial" w:eastAsia="Times New Roman" w:hAnsi="Arial" w:cs="Arial"/>
          <w:color w:val="333333"/>
          <w:sz w:val="17"/>
          <w:szCs w:val="17"/>
        </w:rPr>
      </w:pPr>
      <w:r w:rsidRPr="004223D9">
        <w:rPr>
          <w:rFonts w:ascii="Arial" w:eastAsia="Times New Roman" w:hAnsi="Arial" w:cs="Arial"/>
          <w:color w:val="333333"/>
          <w:sz w:val="17"/>
          <w:szCs w:val="17"/>
        </w:rPr>
        <w:t xml:space="preserve">The prices in these indexes are published by the </w:t>
      </w:r>
      <w:hyperlink r:id="rId24" w:tgtFrame="_new" w:history="1">
        <w:r w:rsidRPr="004223D9">
          <w:rPr>
            <w:rFonts w:ascii="Arial" w:eastAsia="Times New Roman" w:hAnsi="Arial" w:cs="Arial"/>
            <w:color w:val="660099"/>
            <w:sz w:val="17"/>
            <w:szCs w:val="17"/>
          </w:rPr>
          <w:t>U.S. Department of Energy</w:t>
        </w:r>
      </w:hyperlink>
      <w:r w:rsidRPr="004223D9">
        <w:rPr>
          <w:rFonts w:ascii="Arial" w:eastAsia="Times New Roman" w:hAnsi="Arial" w:cs="Arial"/>
          <w:color w:val="333333"/>
          <w:sz w:val="17"/>
          <w:szCs w:val="17"/>
        </w:rPr>
        <w:t xml:space="preserve"> and FedEx is not responsible for the information provided. </w:t>
      </w:r>
    </w:p>
    <w:p w:rsidR="004223D9" w:rsidRPr="004223D9" w:rsidRDefault="004223D9" w:rsidP="004223D9">
      <w:pPr>
        <w:numPr>
          <w:ilvl w:val="0"/>
          <w:numId w:val="1"/>
        </w:numPr>
        <w:spacing w:before="100" w:beforeAutospacing="1" w:after="100" w:afterAutospacing="1" w:line="264" w:lineRule="atLeast"/>
        <w:ind w:left="1185"/>
        <w:rPr>
          <w:rFonts w:ascii="Arial" w:eastAsia="Times New Roman" w:hAnsi="Arial" w:cs="Arial"/>
          <w:color w:val="333333"/>
          <w:sz w:val="17"/>
          <w:szCs w:val="17"/>
        </w:rPr>
      </w:pPr>
      <w:r w:rsidRPr="004223D9">
        <w:rPr>
          <w:rFonts w:ascii="Arial" w:eastAsia="Times New Roman" w:hAnsi="Arial" w:cs="Arial"/>
          <w:color w:val="333333"/>
          <w:sz w:val="17"/>
          <w:szCs w:val="17"/>
        </w:rPr>
        <w:t>There is a two-month lag between the fuel price index and the fuel surcharge. For example, the fuel surcharge for November 2009 is based on the September 2009 average spot price of fuel.</w:t>
      </w:r>
      <w:r w:rsidRPr="004223D9">
        <w:rPr>
          <w:rFonts w:ascii="Arial" w:eastAsia="Times New Roman" w:hAnsi="Arial" w:cs="Arial"/>
          <w:color w:val="333333"/>
          <w:sz w:val="17"/>
          <w:szCs w:val="17"/>
        </w:rPr>
        <w:br/>
      </w:r>
      <w:r w:rsidRPr="004223D9">
        <w:rPr>
          <w:rFonts w:ascii="Arial" w:eastAsia="Times New Roman" w:hAnsi="Arial" w:cs="Arial"/>
          <w:color w:val="333333"/>
          <w:sz w:val="17"/>
          <w:szCs w:val="17"/>
        </w:rPr>
        <w:br/>
        <w:t xml:space="preserve">NOTE: </w:t>
      </w:r>
      <w:r w:rsidRPr="004223D9">
        <w:rPr>
          <w:rFonts w:ascii="Arial" w:eastAsia="Times New Roman" w:hAnsi="Arial" w:cs="Arial"/>
          <w:i/>
          <w:iCs/>
          <w:color w:val="333333"/>
          <w:sz w:val="17"/>
        </w:rPr>
        <w:t>Clicking on the index links above will open a PDF file or a new Web site external to fedex.com in a new browser window</w:t>
      </w:r>
      <w:r w:rsidRPr="004223D9">
        <w:rPr>
          <w:rFonts w:ascii="Arial" w:eastAsia="Times New Roman" w:hAnsi="Arial" w:cs="Arial"/>
          <w:color w:val="333333"/>
          <w:sz w:val="17"/>
          <w:szCs w:val="17"/>
        </w:rPr>
        <w:t xml:space="preserve">. </w:t>
      </w:r>
    </w:p>
    <w:p w:rsidR="004223D9" w:rsidRPr="004223D9" w:rsidRDefault="004223D9" w:rsidP="004223D9">
      <w:pPr>
        <w:spacing w:after="0" w:line="264" w:lineRule="atLeast"/>
        <w:rPr>
          <w:rFonts w:ascii="Arial" w:eastAsia="Times New Roman" w:hAnsi="Arial" w:cs="Arial"/>
          <w:color w:val="333333"/>
          <w:sz w:val="17"/>
          <w:szCs w:val="17"/>
        </w:rPr>
      </w:pPr>
    </w:p>
    <w:p w:rsidR="004223D9" w:rsidRPr="004223D9" w:rsidRDefault="00F96F6D" w:rsidP="004223D9">
      <w:pPr>
        <w:spacing w:after="0" w:line="264" w:lineRule="atLeast"/>
        <w:rPr>
          <w:rFonts w:ascii="Arial" w:eastAsia="Times New Roman" w:hAnsi="Arial" w:cs="Arial"/>
          <w:color w:val="333333"/>
          <w:sz w:val="17"/>
          <w:szCs w:val="17"/>
        </w:rPr>
      </w:pPr>
      <w:r w:rsidRPr="00F96F6D">
        <w:rPr>
          <w:rFonts w:ascii="Arial" w:eastAsia="Times New Roman" w:hAnsi="Arial" w:cs="Arial"/>
          <w:color w:val="333333"/>
          <w:sz w:val="17"/>
          <w:szCs w:val="17"/>
        </w:rPr>
        <w:pict>
          <v:rect id="_x0000_i1027" style="width:0;height:1.5pt" o:hralign="center" o:hrstd="t" o:hr="t" fillcolor="#aca899" stroked="f"/>
        </w:pict>
      </w:r>
    </w:p>
    <w:p w:rsidR="004223D9" w:rsidRPr="004223D9" w:rsidRDefault="004223D9" w:rsidP="004223D9">
      <w:pPr>
        <w:spacing w:after="0" w:line="264" w:lineRule="atLeast"/>
        <w:rPr>
          <w:rFonts w:ascii="Arial" w:eastAsia="Times New Roman" w:hAnsi="Arial" w:cs="Arial"/>
          <w:color w:val="333333"/>
          <w:sz w:val="17"/>
          <w:szCs w:val="17"/>
        </w:rPr>
      </w:pPr>
    </w:p>
    <w:p w:rsidR="004223D9" w:rsidRPr="004223D9" w:rsidRDefault="004223D9" w:rsidP="004223D9">
      <w:pPr>
        <w:spacing w:before="100" w:beforeAutospacing="1" w:after="100" w:afterAutospacing="1" w:line="264" w:lineRule="atLeast"/>
        <w:outlineLvl w:val="3"/>
        <w:rPr>
          <w:rFonts w:ascii="Arial" w:eastAsia="Times New Roman" w:hAnsi="Arial" w:cs="Arial"/>
          <w:b/>
          <w:bCs/>
          <w:color w:val="000000"/>
          <w:sz w:val="20"/>
          <w:szCs w:val="20"/>
        </w:rPr>
      </w:pPr>
      <w:r w:rsidRPr="004223D9">
        <w:rPr>
          <w:rFonts w:ascii="Arial" w:eastAsia="Times New Roman" w:hAnsi="Arial" w:cs="Arial"/>
          <w:b/>
          <w:bCs/>
          <w:color w:val="000000"/>
          <w:sz w:val="20"/>
          <w:szCs w:val="20"/>
        </w:rPr>
        <w:t>Historical Fuel Surcharge Rates</w:t>
      </w:r>
    </w:p>
    <w:p w:rsidR="004223D9" w:rsidRPr="004223D9" w:rsidRDefault="004223D9" w:rsidP="004223D9">
      <w:pPr>
        <w:spacing w:after="0" w:line="264" w:lineRule="atLeast"/>
        <w:rPr>
          <w:rFonts w:ascii="Arial" w:eastAsia="Times New Roman" w:hAnsi="Arial" w:cs="Arial"/>
          <w:color w:val="333333"/>
          <w:sz w:val="17"/>
          <w:szCs w:val="17"/>
        </w:rPr>
      </w:pPr>
      <w:r w:rsidRPr="004223D9">
        <w:rPr>
          <w:rFonts w:ascii="Arial" w:eastAsia="Times New Roman" w:hAnsi="Arial" w:cs="Arial"/>
          <w:color w:val="333333"/>
          <w:sz w:val="17"/>
          <w:szCs w:val="17"/>
        </w:rPr>
        <w:br/>
      </w:r>
      <w:r w:rsidRPr="004223D9">
        <w:rPr>
          <w:rFonts w:ascii="Arial" w:eastAsia="Times New Roman" w:hAnsi="Arial" w:cs="Arial"/>
          <w:color w:val="333333"/>
          <w:sz w:val="17"/>
          <w:szCs w:val="17"/>
        </w:rPr>
        <w:br/>
      </w:r>
      <w:bookmarkStart w:id="1" w:name="historical"/>
      <w:bookmarkEnd w:id="1"/>
    </w:p>
    <w:tbl>
      <w:tblPr>
        <w:tblW w:w="8325" w:type="dxa"/>
        <w:tblCellMar>
          <w:top w:w="45" w:type="dxa"/>
          <w:left w:w="45" w:type="dxa"/>
          <w:bottom w:w="45" w:type="dxa"/>
          <w:right w:w="45" w:type="dxa"/>
        </w:tblCellMar>
        <w:tblLook w:val="04A0"/>
      </w:tblPr>
      <w:tblGrid>
        <w:gridCol w:w="4065"/>
        <w:gridCol w:w="195"/>
        <w:gridCol w:w="4065"/>
      </w:tblGrid>
      <w:tr w:rsidR="004223D9" w:rsidRPr="004223D9" w:rsidTr="004223D9">
        <w:tc>
          <w:tcPr>
            <w:tcW w:w="3975" w:type="dxa"/>
            <w:hideMark/>
          </w:tcPr>
          <w:tbl>
            <w:tblPr>
              <w:tblW w:w="3975" w:type="dxa"/>
              <w:tblCellMar>
                <w:left w:w="0" w:type="dxa"/>
                <w:right w:w="0" w:type="dxa"/>
              </w:tblCellMar>
              <w:tblLook w:val="04A0"/>
            </w:tblPr>
            <w:tblGrid>
              <w:gridCol w:w="3975"/>
            </w:tblGrid>
            <w:tr w:rsidR="004223D9" w:rsidRPr="004223D9">
              <w:tc>
                <w:tcPr>
                  <w:tcW w:w="0" w:type="auto"/>
                  <w:shd w:val="clear" w:color="auto" w:fill="660099"/>
                  <w:tcMar>
                    <w:top w:w="60" w:type="dxa"/>
                    <w:left w:w="150" w:type="dxa"/>
                    <w:bottom w:w="75" w:type="dxa"/>
                    <w:right w:w="0" w:type="dxa"/>
                  </w:tcMar>
                  <w:vAlign w:val="cente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Arial" w:eastAsia="Times New Roman" w:hAnsi="Arial" w:cs="Arial"/>
                      <w:b/>
                      <w:bCs/>
                      <w:color w:val="FFFFFF"/>
                      <w:sz w:val="20"/>
                    </w:rPr>
                    <w:t>FedEx Express</w:t>
                  </w:r>
                  <w:r w:rsidRPr="004223D9">
                    <w:rPr>
                      <w:rFonts w:ascii="inherit" w:eastAsia="Times New Roman" w:hAnsi="inherit" w:cs="Arial"/>
                      <w:color w:val="333333"/>
                      <w:sz w:val="15"/>
                      <w:szCs w:val="15"/>
                    </w:rPr>
                    <w:t xml:space="preserve"> </w:t>
                  </w:r>
                </w:p>
              </w:tc>
            </w:tr>
          </w:tbl>
          <w:p w:rsidR="004223D9" w:rsidRPr="004223D9" w:rsidRDefault="004223D9" w:rsidP="004223D9">
            <w:pPr>
              <w:spacing w:after="0" w:line="240" w:lineRule="auto"/>
              <w:rPr>
                <w:rFonts w:ascii="inherit" w:eastAsia="Times New Roman" w:hAnsi="inherit" w:cs="Arial"/>
                <w:vanish/>
                <w:color w:val="333333"/>
                <w:sz w:val="15"/>
                <w:szCs w:val="15"/>
              </w:rPr>
            </w:pPr>
          </w:p>
          <w:tbl>
            <w:tblPr>
              <w:tblW w:w="3975" w:type="dxa"/>
              <w:tblCellMar>
                <w:left w:w="0" w:type="dxa"/>
                <w:right w:w="0" w:type="dxa"/>
              </w:tblCellMar>
              <w:tblLook w:val="04A0"/>
            </w:tblPr>
            <w:tblGrid>
              <w:gridCol w:w="1265"/>
              <w:gridCol w:w="2710"/>
            </w:tblGrid>
            <w:tr w:rsidR="004223D9" w:rsidRPr="004223D9">
              <w:tc>
                <w:tcPr>
                  <w:tcW w:w="0" w:type="auto"/>
                  <w:tcBorders>
                    <w:left w:val="nil"/>
                    <w:bottom w:val="single" w:sz="6" w:space="0" w:color="CCCCCC"/>
                    <w:right w:val="single" w:sz="6" w:space="0" w:color="CCCCCC"/>
                  </w:tcBorders>
                  <w:shd w:val="clear" w:color="auto" w:fill="66666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FFFFFF"/>
                      <w:sz w:val="15"/>
                      <w:szCs w:val="15"/>
                    </w:rPr>
                  </w:pPr>
                  <w:r w:rsidRPr="004223D9">
                    <w:rPr>
                      <w:rFonts w:ascii="inherit" w:eastAsia="Times New Roman" w:hAnsi="inherit" w:cs="Times New Roman"/>
                      <w:b/>
                      <w:bCs/>
                      <w:color w:val="FFFFFF"/>
                      <w:sz w:val="15"/>
                    </w:rPr>
                    <w:t>Surcharge</w:t>
                  </w:r>
                </w:p>
              </w:tc>
              <w:tc>
                <w:tcPr>
                  <w:tcW w:w="0" w:type="auto"/>
                  <w:tcBorders>
                    <w:left w:val="nil"/>
                    <w:bottom w:val="single" w:sz="6" w:space="0" w:color="CCCCCC"/>
                  </w:tcBorders>
                  <w:shd w:val="clear" w:color="auto" w:fill="66666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FFFFFF"/>
                      <w:sz w:val="15"/>
                      <w:szCs w:val="15"/>
                    </w:rPr>
                  </w:pPr>
                  <w:r w:rsidRPr="004223D9">
                    <w:rPr>
                      <w:rFonts w:ascii="inherit" w:eastAsia="Times New Roman" w:hAnsi="inherit" w:cs="Times New Roman"/>
                      <w:b/>
                      <w:bCs/>
                      <w:color w:val="FFFFFF"/>
                      <w:sz w:val="15"/>
                    </w:rPr>
                    <w:t>Effective Date</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8.50%</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Nov. 1, 2010–Dec. 5, 2010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8.00%</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Oct. 4, 2010–Oct. 31, 2010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7.00%</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Sept. 6, 2010–Oct. 3, 2010</w:t>
                  </w:r>
                </w:p>
              </w:tc>
            </w:tr>
          </w:tbl>
          <w:p w:rsidR="004223D9" w:rsidRPr="004223D9" w:rsidRDefault="004223D9" w:rsidP="004223D9">
            <w:pPr>
              <w:spacing w:after="0" w:line="240" w:lineRule="auto"/>
              <w:rPr>
                <w:rFonts w:ascii="inherit" w:eastAsia="Times New Roman" w:hAnsi="inherit" w:cs="Arial"/>
                <w:color w:val="333333"/>
                <w:sz w:val="15"/>
                <w:szCs w:val="15"/>
              </w:rPr>
            </w:pPr>
          </w:p>
        </w:tc>
        <w:tc>
          <w:tcPr>
            <w:tcW w:w="0" w:type="auto"/>
            <w:hideMark/>
          </w:tcPr>
          <w:p w:rsidR="004223D9" w:rsidRPr="004223D9" w:rsidRDefault="004223D9" w:rsidP="004223D9">
            <w:pPr>
              <w:spacing w:after="0" w:line="240" w:lineRule="auto"/>
              <w:rPr>
                <w:rFonts w:ascii="inherit" w:eastAsia="Times New Roman" w:hAnsi="inherit" w:cs="Arial"/>
                <w:color w:val="333333"/>
                <w:sz w:val="15"/>
                <w:szCs w:val="15"/>
              </w:rPr>
            </w:pPr>
          </w:p>
        </w:tc>
        <w:tc>
          <w:tcPr>
            <w:tcW w:w="3975" w:type="dxa"/>
            <w:hideMark/>
          </w:tcPr>
          <w:tbl>
            <w:tblPr>
              <w:tblW w:w="3975" w:type="dxa"/>
              <w:tblCellMar>
                <w:left w:w="0" w:type="dxa"/>
                <w:right w:w="0" w:type="dxa"/>
              </w:tblCellMar>
              <w:tblLook w:val="04A0"/>
            </w:tblPr>
            <w:tblGrid>
              <w:gridCol w:w="3975"/>
            </w:tblGrid>
            <w:tr w:rsidR="004223D9" w:rsidRPr="004223D9">
              <w:tc>
                <w:tcPr>
                  <w:tcW w:w="0" w:type="auto"/>
                  <w:shd w:val="clear" w:color="auto" w:fill="660099"/>
                  <w:tcMar>
                    <w:top w:w="60" w:type="dxa"/>
                    <w:left w:w="120" w:type="dxa"/>
                    <w:bottom w:w="75" w:type="dxa"/>
                    <w:right w:w="0" w:type="dxa"/>
                  </w:tcMar>
                  <w:vAlign w:val="cente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Arial" w:eastAsia="Times New Roman" w:hAnsi="Arial" w:cs="Arial"/>
                      <w:b/>
                      <w:bCs/>
                      <w:color w:val="FFFFFF"/>
                      <w:sz w:val="20"/>
                    </w:rPr>
                    <w:t>FedEx Ground</w:t>
                  </w:r>
                  <w:r w:rsidRPr="004223D9">
                    <w:rPr>
                      <w:rFonts w:ascii="inherit" w:eastAsia="Times New Roman" w:hAnsi="inherit" w:cs="Arial"/>
                      <w:color w:val="333333"/>
                      <w:sz w:val="15"/>
                      <w:szCs w:val="15"/>
                    </w:rPr>
                    <w:t xml:space="preserve"> </w:t>
                  </w:r>
                </w:p>
              </w:tc>
            </w:tr>
          </w:tbl>
          <w:p w:rsidR="004223D9" w:rsidRPr="004223D9" w:rsidRDefault="004223D9" w:rsidP="004223D9">
            <w:pPr>
              <w:spacing w:after="0" w:line="240" w:lineRule="auto"/>
              <w:rPr>
                <w:rFonts w:ascii="inherit" w:eastAsia="Times New Roman" w:hAnsi="inherit" w:cs="Arial"/>
                <w:vanish/>
                <w:color w:val="333333"/>
                <w:sz w:val="15"/>
                <w:szCs w:val="15"/>
              </w:rPr>
            </w:pPr>
          </w:p>
          <w:tbl>
            <w:tblPr>
              <w:tblW w:w="3975" w:type="dxa"/>
              <w:tblCellMar>
                <w:left w:w="0" w:type="dxa"/>
                <w:right w:w="0" w:type="dxa"/>
              </w:tblCellMar>
              <w:tblLook w:val="04A0"/>
            </w:tblPr>
            <w:tblGrid>
              <w:gridCol w:w="1265"/>
              <w:gridCol w:w="2710"/>
            </w:tblGrid>
            <w:tr w:rsidR="004223D9" w:rsidRPr="004223D9">
              <w:tc>
                <w:tcPr>
                  <w:tcW w:w="0" w:type="auto"/>
                  <w:tcBorders>
                    <w:left w:val="nil"/>
                    <w:bottom w:val="single" w:sz="6" w:space="0" w:color="CCCCCC"/>
                    <w:right w:val="single" w:sz="6" w:space="0" w:color="CCCCCC"/>
                  </w:tcBorders>
                  <w:shd w:val="clear" w:color="auto" w:fill="66666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FFFFFF"/>
                      <w:sz w:val="15"/>
                      <w:szCs w:val="15"/>
                    </w:rPr>
                  </w:pPr>
                  <w:r w:rsidRPr="004223D9">
                    <w:rPr>
                      <w:rFonts w:ascii="inherit" w:eastAsia="Times New Roman" w:hAnsi="inherit" w:cs="Times New Roman"/>
                      <w:b/>
                      <w:bCs/>
                      <w:color w:val="FFFFFF"/>
                      <w:sz w:val="15"/>
                    </w:rPr>
                    <w:t>Surcharge</w:t>
                  </w:r>
                </w:p>
              </w:tc>
              <w:tc>
                <w:tcPr>
                  <w:tcW w:w="0" w:type="auto"/>
                  <w:tcBorders>
                    <w:left w:val="nil"/>
                    <w:bottom w:val="single" w:sz="6" w:space="0" w:color="CCCCCC"/>
                  </w:tcBorders>
                  <w:shd w:val="clear" w:color="auto" w:fill="66666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FFFFFF"/>
                      <w:sz w:val="15"/>
                      <w:szCs w:val="15"/>
                    </w:rPr>
                  </w:pPr>
                  <w:r w:rsidRPr="004223D9">
                    <w:rPr>
                      <w:rFonts w:ascii="inherit" w:eastAsia="Times New Roman" w:hAnsi="inherit" w:cs="Times New Roman"/>
                      <w:b/>
                      <w:bCs/>
                      <w:color w:val="FFFFFF"/>
                      <w:sz w:val="15"/>
                    </w:rPr>
                    <w:t>Effective Date</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5.50%</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Nov. 1, 2010–Dec. 5, 2010</w:t>
                  </w:r>
                </w:p>
              </w:tc>
            </w:tr>
            <w:tr w:rsidR="004223D9" w:rsidRPr="004223D9">
              <w:tc>
                <w:tcPr>
                  <w:tcW w:w="0" w:type="auto"/>
                  <w:tcBorders>
                    <w:left w:val="nil"/>
                    <w:bottom w:val="single" w:sz="6" w:space="0" w:color="CCCCCC"/>
                    <w:right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6.00%</w:t>
                  </w:r>
                </w:p>
              </w:tc>
              <w:tc>
                <w:tcPr>
                  <w:tcW w:w="0" w:type="auto"/>
                  <w:tcBorders>
                    <w:left w:val="nil"/>
                    <w:bottom w:val="single" w:sz="6" w:space="0" w:color="CCCCCC"/>
                  </w:tcBorders>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Oct. 4, 2010–Oct. 31, 2010</w:t>
                  </w:r>
                </w:p>
              </w:tc>
            </w:tr>
            <w:tr w:rsidR="004223D9" w:rsidRPr="004223D9">
              <w:tc>
                <w:tcPr>
                  <w:tcW w:w="0" w:type="auto"/>
                  <w:tcBorders>
                    <w:left w:val="nil"/>
                    <w:bottom w:val="single" w:sz="6" w:space="0" w:color="CCCCCC"/>
                    <w:right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5.50%</w:t>
                  </w:r>
                </w:p>
              </w:tc>
              <w:tc>
                <w:tcPr>
                  <w:tcW w:w="0" w:type="auto"/>
                  <w:tcBorders>
                    <w:left w:val="nil"/>
                    <w:bottom w:val="single" w:sz="6" w:space="0" w:color="CCCCCC"/>
                  </w:tcBorders>
                  <w:shd w:val="clear" w:color="auto" w:fill="E6E6E6"/>
                  <w:tcMar>
                    <w:top w:w="30" w:type="dxa"/>
                    <w:left w:w="150" w:type="dxa"/>
                    <w:bottom w:w="60" w:type="dxa"/>
                    <w:right w:w="30" w:type="dxa"/>
                  </w:tcMar>
                  <w:hideMark/>
                </w:tcPr>
                <w:p w:rsidR="004223D9" w:rsidRPr="004223D9" w:rsidRDefault="004223D9" w:rsidP="004223D9">
                  <w:pPr>
                    <w:spacing w:after="0" w:line="240" w:lineRule="auto"/>
                    <w:rPr>
                      <w:rFonts w:ascii="inherit" w:eastAsia="Times New Roman" w:hAnsi="inherit" w:cs="Arial"/>
                      <w:color w:val="333333"/>
                      <w:sz w:val="15"/>
                      <w:szCs w:val="15"/>
                    </w:rPr>
                  </w:pPr>
                  <w:r w:rsidRPr="004223D9">
                    <w:rPr>
                      <w:rFonts w:ascii="inherit" w:eastAsia="Times New Roman" w:hAnsi="inherit" w:cs="Arial"/>
                      <w:color w:val="333333"/>
                      <w:sz w:val="15"/>
                      <w:szCs w:val="15"/>
                    </w:rPr>
                    <w:t>Sept. 6, 2010–Oct. 3, 2010</w:t>
                  </w:r>
                </w:p>
              </w:tc>
            </w:tr>
          </w:tbl>
          <w:p w:rsidR="004223D9" w:rsidRPr="004223D9" w:rsidRDefault="004223D9" w:rsidP="004223D9">
            <w:pPr>
              <w:spacing w:after="0" w:line="240" w:lineRule="auto"/>
              <w:rPr>
                <w:rFonts w:ascii="inherit" w:eastAsia="Times New Roman" w:hAnsi="inherit" w:cs="Arial"/>
                <w:color w:val="333333"/>
                <w:sz w:val="15"/>
                <w:szCs w:val="15"/>
              </w:rPr>
            </w:pPr>
          </w:p>
        </w:tc>
      </w:tr>
    </w:tbl>
    <w:p w:rsidR="004223D9" w:rsidRPr="004223D9" w:rsidRDefault="004223D9" w:rsidP="004223D9">
      <w:pPr>
        <w:spacing w:after="0" w:line="264" w:lineRule="atLeast"/>
        <w:rPr>
          <w:rFonts w:ascii="Arial" w:eastAsia="Times New Roman" w:hAnsi="Arial" w:cs="Arial"/>
          <w:color w:val="333333"/>
          <w:sz w:val="17"/>
          <w:szCs w:val="17"/>
        </w:rPr>
      </w:pPr>
      <w:r w:rsidRPr="004223D9">
        <w:rPr>
          <w:rFonts w:ascii="Arial" w:eastAsia="Times New Roman" w:hAnsi="Arial" w:cs="Arial"/>
          <w:color w:val="333333"/>
          <w:sz w:val="17"/>
          <w:szCs w:val="17"/>
        </w:rPr>
        <w:br/>
      </w:r>
    </w:p>
    <w:p w:rsidR="004223D9" w:rsidRPr="004223D9" w:rsidRDefault="004223D9" w:rsidP="004223D9">
      <w:pPr>
        <w:spacing w:line="240" w:lineRule="auto"/>
        <w:rPr>
          <w:rFonts w:ascii="Arial" w:eastAsia="Times New Roman" w:hAnsi="Arial" w:cs="Arial"/>
          <w:color w:val="333333"/>
          <w:sz w:val="2"/>
          <w:szCs w:val="2"/>
        </w:rPr>
      </w:pPr>
      <w:r w:rsidRPr="004223D9">
        <w:rPr>
          <w:rFonts w:ascii="Arial" w:eastAsia="Times New Roman" w:hAnsi="Arial" w:cs="Arial"/>
          <w:color w:val="333333"/>
          <w:sz w:val="2"/>
          <w:szCs w:val="2"/>
        </w:rPr>
        <w:t> </w:t>
      </w:r>
    </w:p>
    <w:p w:rsidR="0086539B" w:rsidRDefault="0086539B"/>
    <w:sectPr w:rsidR="0086539B" w:rsidSect="008653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A3798"/>
    <w:multiLevelType w:val="multilevel"/>
    <w:tmpl w:val="F834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23D9"/>
    <w:rsid w:val="004223D9"/>
    <w:rsid w:val="007728FB"/>
    <w:rsid w:val="0086539B"/>
    <w:rsid w:val="00A274CE"/>
    <w:rsid w:val="00A52AA5"/>
    <w:rsid w:val="00D71589"/>
    <w:rsid w:val="00E01410"/>
    <w:rsid w:val="00E5764F"/>
    <w:rsid w:val="00F0626F"/>
    <w:rsid w:val="00F96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4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410"/>
    <w:pPr>
      <w:spacing w:after="0" w:line="240" w:lineRule="auto"/>
    </w:pPr>
  </w:style>
  <w:style w:type="paragraph" w:styleId="ListParagraph">
    <w:name w:val="List Paragraph"/>
    <w:basedOn w:val="Normal"/>
    <w:uiPriority w:val="34"/>
    <w:qFormat/>
    <w:rsid w:val="00E01410"/>
    <w:pPr>
      <w:ind w:left="720"/>
      <w:contextualSpacing/>
    </w:pPr>
  </w:style>
  <w:style w:type="character" w:styleId="Hyperlink">
    <w:name w:val="Hyperlink"/>
    <w:basedOn w:val="DefaultParagraphFont"/>
    <w:uiPriority w:val="99"/>
    <w:semiHidden/>
    <w:unhideWhenUsed/>
    <w:rsid w:val="004223D9"/>
    <w:rPr>
      <w:color w:val="0000FF"/>
      <w:u w:val="single"/>
    </w:rPr>
  </w:style>
  <w:style w:type="character" w:styleId="Strong">
    <w:name w:val="Strong"/>
    <w:basedOn w:val="DefaultParagraphFont"/>
    <w:uiPriority w:val="22"/>
    <w:qFormat/>
    <w:rsid w:val="004223D9"/>
    <w:rPr>
      <w:b/>
      <w:bCs/>
    </w:rPr>
  </w:style>
  <w:style w:type="character" w:customStyle="1" w:styleId="subbuttons1">
    <w:name w:val="subbuttons1"/>
    <w:basedOn w:val="DefaultParagraphFont"/>
    <w:rsid w:val="004223D9"/>
  </w:style>
  <w:style w:type="character" w:customStyle="1" w:styleId="subheaderwhite11">
    <w:name w:val="subheaderwhite11"/>
    <w:basedOn w:val="DefaultParagraphFont"/>
    <w:rsid w:val="004223D9"/>
    <w:rPr>
      <w:rFonts w:ascii="Arial" w:hAnsi="Arial" w:cs="Arial" w:hint="default"/>
      <w:b/>
      <w:bCs/>
      <w:color w:val="FFFFFF"/>
      <w:sz w:val="20"/>
      <w:szCs w:val="20"/>
    </w:rPr>
  </w:style>
  <w:style w:type="character" w:customStyle="1" w:styleId="disclaimer1">
    <w:name w:val="disclaimer1"/>
    <w:basedOn w:val="DefaultParagraphFont"/>
    <w:rsid w:val="004223D9"/>
    <w:rPr>
      <w:sz w:val="19"/>
      <w:szCs w:val="19"/>
    </w:rPr>
  </w:style>
  <w:style w:type="character" w:customStyle="1" w:styleId="subheader11">
    <w:name w:val="subheader11"/>
    <w:basedOn w:val="DefaultParagraphFont"/>
    <w:rsid w:val="004223D9"/>
    <w:rPr>
      <w:rFonts w:ascii="Arial" w:hAnsi="Arial" w:cs="Arial" w:hint="default"/>
      <w:b/>
      <w:bCs/>
      <w:color w:val="000000"/>
      <w:sz w:val="20"/>
      <w:szCs w:val="20"/>
    </w:rPr>
  </w:style>
  <w:style w:type="character" w:styleId="Emphasis">
    <w:name w:val="Emphasis"/>
    <w:basedOn w:val="DefaultParagraphFont"/>
    <w:uiPriority w:val="20"/>
    <w:qFormat/>
    <w:rsid w:val="004223D9"/>
    <w:rPr>
      <w:i/>
      <w:iCs/>
    </w:rPr>
  </w:style>
  <w:style w:type="paragraph" w:styleId="BalloonText">
    <w:name w:val="Balloon Text"/>
    <w:basedOn w:val="Normal"/>
    <w:link w:val="BalloonTextChar"/>
    <w:uiPriority w:val="99"/>
    <w:semiHidden/>
    <w:unhideWhenUsed/>
    <w:rsid w:val="00422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3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1140664">
      <w:bodyDiv w:val="1"/>
      <w:marLeft w:val="0"/>
      <w:marRight w:val="0"/>
      <w:marTop w:val="0"/>
      <w:marBottom w:val="0"/>
      <w:divBdr>
        <w:top w:val="none" w:sz="0" w:space="0" w:color="auto"/>
        <w:left w:val="none" w:sz="0" w:space="0" w:color="auto"/>
        <w:bottom w:val="none" w:sz="0" w:space="0" w:color="auto"/>
        <w:right w:val="none" w:sz="0" w:space="0" w:color="auto"/>
      </w:divBdr>
      <w:divsChild>
        <w:div w:id="1926717869">
          <w:marLeft w:val="225"/>
          <w:marRight w:val="0"/>
          <w:marTop w:val="0"/>
          <w:marBottom w:val="0"/>
          <w:divBdr>
            <w:top w:val="none" w:sz="0" w:space="0" w:color="auto"/>
            <w:left w:val="none" w:sz="0" w:space="0" w:color="auto"/>
            <w:bottom w:val="none" w:sz="0" w:space="0" w:color="auto"/>
            <w:right w:val="none" w:sz="0" w:space="0" w:color="auto"/>
          </w:divBdr>
        </w:div>
        <w:div w:id="807816506">
          <w:marLeft w:val="225"/>
          <w:marRight w:val="225"/>
          <w:marTop w:val="0"/>
          <w:marBottom w:val="0"/>
          <w:divBdr>
            <w:top w:val="none" w:sz="0" w:space="0" w:color="auto"/>
            <w:left w:val="none" w:sz="0" w:space="0" w:color="auto"/>
            <w:bottom w:val="none" w:sz="0" w:space="0" w:color="auto"/>
            <w:right w:val="none" w:sz="0" w:space="0" w:color="auto"/>
          </w:divBdr>
          <w:divsChild>
            <w:div w:id="284626696">
              <w:marLeft w:val="0"/>
              <w:marRight w:val="0"/>
              <w:marTop w:val="0"/>
              <w:marBottom w:val="0"/>
              <w:divBdr>
                <w:top w:val="none" w:sz="0" w:space="0" w:color="auto"/>
                <w:left w:val="none" w:sz="0" w:space="0" w:color="auto"/>
                <w:bottom w:val="none" w:sz="0" w:space="0" w:color="auto"/>
                <w:right w:val="none" w:sz="0" w:space="0" w:color="auto"/>
              </w:divBdr>
              <w:divsChild>
                <w:div w:id="94812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31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eia.gov/dnav/pet/pet_pri_gnd_dcus_nus_m.htm" TargetMode="External"/><Relationship Id="rId18" Type="http://schemas.openxmlformats.org/officeDocument/2006/relationships/hyperlink" Target="http://www.fedex.com/us/services/fuelsurchargeixfata.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fedex.com/us/services/terms/index.html?tsid=s3" TargetMode="External"/><Relationship Id="rId7" Type="http://schemas.openxmlformats.org/officeDocument/2006/relationships/hyperlink" Target="javascript:window.print()" TargetMode="External"/><Relationship Id="rId12" Type="http://schemas.openxmlformats.org/officeDocument/2006/relationships/hyperlink" Target="http://www.eia.gov/dnav/pet/pet_pri_spt_s1_m.htm" TargetMode="External"/><Relationship Id="rId17" Type="http://schemas.openxmlformats.org/officeDocument/2006/relationships/hyperlink" Target="http://www.fedex.com/us/services/fuelsurcharge.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edex.com/us/services/fuelsurcharge.html" TargetMode="External"/><Relationship Id="rId20" Type="http://schemas.openxmlformats.org/officeDocument/2006/relationships/hyperlink" Target="http://www.fedex.com/us/services/terms/index.html?tsid=s2"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javascript:void(prntRahFunc_Regional('Print','Close','basecontent'));" TargetMode="External"/><Relationship Id="rId24" Type="http://schemas.openxmlformats.org/officeDocument/2006/relationships/hyperlink" Target="http://www.eia.doe.gov/" TargetMode="External"/><Relationship Id="rId5" Type="http://schemas.openxmlformats.org/officeDocument/2006/relationships/hyperlink" Target="javascript:window.print()" TargetMode="External"/><Relationship Id="rId15" Type="http://schemas.openxmlformats.org/officeDocument/2006/relationships/image" Target="media/image5.gif"/><Relationship Id="rId23" Type="http://schemas.openxmlformats.org/officeDocument/2006/relationships/hyperlink" Target="http://www.eia.gov/dnav/pet/pet_pri_gnd_dcus_nus_m.htm" TargetMode="External"/><Relationship Id="rId28" Type="http://schemas.openxmlformats.org/officeDocument/2006/relationships/customXml" Target="../customXml/item2.xml"/><Relationship Id="rId10" Type="http://schemas.openxmlformats.org/officeDocument/2006/relationships/image" Target="media/image3.gif"/><Relationship Id="rId19" Type="http://schemas.openxmlformats.org/officeDocument/2006/relationships/hyperlink" Target="http://www.fedex.com/us/services/terms/index.html?tsid=s1" TargetMode="External"/><Relationship Id="rId4" Type="http://schemas.openxmlformats.org/officeDocument/2006/relationships/webSettings" Target="webSettings.xml"/><Relationship Id="rId9" Type="http://schemas.openxmlformats.org/officeDocument/2006/relationships/hyperlink" Target="javascript:window.close()" TargetMode="External"/><Relationship Id="rId14" Type="http://schemas.openxmlformats.org/officeDocument/2006/relationships/image" Target="media/image4.gif"/><Relationship Id="rId22" Type="http://schemas.openxmlformats.org/officeDocument/2006/relationships/hyperlink" Target="http://www.eia.gov/dnav/pet/pet_pri_spt_s1_m.htm" TargetMode="External"/><Relationship Id="rId27" Type="http://schemas.openxmlformats.org/officeDocument/2006/relationships/customXml" Target="../customXml/item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2010-12-20T08:00:00+00:00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57E7843-6130-4A3B-929A-264C20BCE2DD}"/>
</file>

<file path=customXml/itemProps2.xml><?xml version="1.0" encoding="utf-8"?>
<ds:datastoreItem xmlns:ds="http://schemas.openxmlformats.org/officeDocument/2006/customXml" ds:itemID="{83E5F9BE-B6B6-43AB-A5FE-7DCEC78CF568}"/>
</file>

<file path=customXml/itemProps3.xml><?xml version="1.0" encoding="utf-8"?>
<ds:datastoreItem xmlns:ds="http://schemas.openxmlformats.org/officeDocument/2006/customXml" ds:itemID="{696F8131-FD76-469C-9375-F45B14FCAA03}"/>
</file>

<file path=customXml/itemProps4.xml><?xml version="1.0" encoding="utf-8"?>
<ds:datastoreItem xmlns:ds="http://schemas.openxmlformats.org/officeDocument/2006/customXml" ds:itemID="{1BD68CA3-4C02-418C-8EC4-B440FE349522}"/>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5691</Characters>
  <Application>Microsoft Office Word</Application>
  <DocSecurity>0</DocSecurity>
  <Lines>47</Lines>
  <Paragraphs>13</Paragraphs>
  <ScaleCrop>false</ScaleCrop>
  <Company>Microsoft</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dc:creator>
  <cp:lastModifiedBy>John S</cp:lastModifiedBy>
  <cp:revision>2</cp:revision>
  <dcterms:created xsi:type="dcterms:W3CDTF">2010-12-14T20:41:00Z</dcterms:created>
  <dcterms:modified xsi:type="dcterms:W3CDTF">2010-12-14T20:41:00Z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