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2C83" w14:textId="2AB2E2DE" w:rsidR="00FD536A" w:rsidRDefault="00FD536A">
      <w:pPr>
        <w:ind w:right="720"/>
        <w:jc w:val="center"/>
        <w:rPr>
          <w:b/>
          <w:bCs/>
          <w:sz w:val="24"/>
          <w:szCs w:val="24"/>
        </w:rPr>
      </w:pPr>
      <w:bookmarkStart w:id="0" w:name="_GoBack"/>
      <w:bookmarkEnd w:id="0"/>
      <w:r>
        <w:rPr>
          <w:b/>
          <w:bCs/>
          <w:sz w:val="24"/>
          <w:szCs w:val="24"/>
        </w:rPr>
        <w:t>AVISTA CORP.</w:t>
      </w:r>
    </w:p>
    <w:p w14:paraId="2A7162E6" w14:textId="77777777" w:rsidR="00FD536A" w:rsidRDefault="00FD536A">
      <w:pPr>
        <w:pStyle w:val="Heading3"/>
      </w:pPr>
      <w:r>
        <w:t>RESPONSE TO REQUEST FOR INFORMATION</w:t>
      </w:r>
    </w:p>
    <w:p w14:paraId="5AEBEC11" w14:textId="77777777" w:rsidR="00FD536A" w:rsidRDefault="00FD536A">
      <w:pPr>
        <w:jc w:val="center"/>
        <w:rPr>
          <w:b/>
          <w:bCs/>
          <w:sz w:val="24"/>
          <w:szCs w:val="24"/>
        </w:rPr>
      </w:pPr>
    </w:p>
    <w:p w14:paraId="27CC3233" w14:textId="18AE0887"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A81E40">
        <w:t>1/18</w:t>
      </w:r>
      <w:r w:rsidR="00AE5001">
        <w:t>/2018</w:t>
      </w:r>
    </w:p>
    <w:p w14:paraId="5FAEA930" w14:textId="1CAEC81F" w:rsidR="00FD536A" w:rsidRDefault="00FD536A" w:rsidP="00F731E6">
      <w:pPr>
        <w:pStyle w:val="Heading1"/>
        <w:tabs>
          <w:tab w:val="clear" w:pos="4320"/>
          <w:tab w:val="left" w:pos="4770"/>
        </w:tabs>
      </w:pPr>
      <w:r>
        <w:t>CASE NO</w:t>
      </w:r>
      <w:r w:rsidR="00A92E80">
        <w:t>.</w:t>
      </w:r>
      <w:r>
        <w:t>:</w:t>
      </w:r>
      <w:r>
        <w:tab/>
      </w:r>
      <w:r w:rsidRPr="00941853">
        <w:t>U</w:t>
      </w:r>
      <w:r w:rsidR="00E64D12" w:rsidRPr="00941853">
        <w:t>E-</w:t>
      </w:r>
      <w:r w:rsidR="009727ED">
        <w:t>1</w:t>
      </w:r>
      <w:r w:rsidR="007D6101">
        <w:t>70485</w:t>
      </w:r>
      <w:r w:rsidR="00E64D12" w:rsidRPr="00941853">
        <w:t xml:space="preserve"> &amp; </w:t>
      </w:r>
      <w:r w:rsidR="00C73FA6" w:rsidRPr="00941853">
        <w:t>UG-</w:t>
      </w:r>
      <w:r w:rsidR="00B76EAC">
        <w:t>1</w:t>
      </w:r>
      <w:r w:rsidR="007D6101">
        <w:t>70486</w:t>
      </w:r>
      <w:r>
        <w:tab/>
        <w:t>WITNESS:</w:t>
      </w:r>
      <w:r>
        <w:tab/>
      </w:r>
      <w:r w:rsidR="00F731E6">
        <w:tab/>
      </w:r>
      <w:r w:rsidR="00F731E6">
        <w:tab/>
      </w:r>
      <w:r w:rsidR="00A81E40">
        <w:t>Scott Kinney</w:t>
      </w:r>
    </w:p>
    <w:p w14:paraId="4A9D8E66" w14:textId="07E9B0B6" w:rsidR="001004DE" w:rsidRDefault="00C73FA6" w:rsidP="00F731E6">
      <w:pPr>
        <w:pStyle w:val="Heading1"/>
        <w:tabs>
          <w:tab w:val="clear" w:pos="4320"/>
          <w:tab w:val="left" w:pos="4770"/>
        </w:tabs>
      </w:pPr>
      <w:r>
        <w:t>REQUESTER:</w:t>
      </w:r>
      <w:r>
        <w:tab/>
      </w:r>
      <w:r w:rsidR="007D6101">
        <w:t>UTC Staff</w:t>
      </w:r>
      <w:r w:rsidR="00FD536A">
        <w:tab/>
        <w:t>RESPONDER:</w:t>
      </w:r>
      <w:r w:rsidR="00FD536A">
        <w:tab/>
      </w:r>
      <w:r w:rsidR="00F731E6">
        <w:tab/>
      </w:r>
      <w:r w:rsidR="00F731E6">
        <w:tab/>
      </w:r>
      <w:r w:rsidR="00A81E40">
        <w:t>Scott Kinney</w:t>
      </w:r>
    </w:p>
    <w:p w14:paraId="196CB17A" w14:textId="1D574D4D" w:rsidR="002C4999" w:rsidRDefault="00FD536A" w:rsidP="002C4999">
      <w:pPr>
        <w:pStyle w:val="Heading1"/>
        <w:tabs>
          <w:tab w:val="clear" w:pos="4320"/>
          <w:tab w:val="left" w:pos="4770"/>
        </w:tabs>
      </w:pPr>
      <w:r>
        <w:t>TYPE:</w:t>
      </w:r>
      <w:r>
        <w:tab/>
      </w:r>
      <w:r w:rsidR="002C4999">
        <w:t>Bench Request</w:t>
      </w:r>
      <w:r w:rsidR="002C4999">
        <w:tab/>
        <w:t>DEPT:</w:t>
      </w:r>
      <w:r w:rsidR="002C4999">
        <w:tab/>
      </w:r>
      <w:r w:rsidR="002C4999">
        <w:tab/>
      </w:r>
      <w:r w:rsidR="002C4999">
        <w:tab/>
      </w:r>
      <w:r w:rsidR="00A81E40">
        <w:t>Power Supply</w:t>
      </w:r>
    </w:p>
    <w:p w14:paraId="79E167AA" w14:textId="393D44C3" w:rsidR="00FD536A" w:rsidRDefault="002C4999" w:rsidP="002C4999">
      <w:pPr>
        <w:pStyle w:val="Heading1"/>
        <w:tabs>
          <w:tab w:val="clear" w:pos="4320"/>
          <w:tab w:val="left" w:pos="4770"/>
        </w:tabs>
      </w:pPr>
      <w:r>
        <w:t>REQUEST NO.</w:t>
      </w:r>
      <w:r w:rsidRPr="008E3932">
        <w:t>:</w:t>
      </w:r>
      <w:r w:rsidRPr="008E3932">
        <w:tab/>
      </w:r>
      <w:r w:rsidR="00A81E40">
        <w:t>Bench Request No. 6</w:t>
      </w:r>
      <w:r w:rsidR="004A7704">
        <w:tab/>
      </w:r>
      <w:r w:rsidR="00FD536A">
        <w:t>TELEPHONE:</w:t>
      </w:r>
      <w:r w:rsidR="00FD536A">
        <w:tab/>
      </w:r>
      <w:r w:rsidR="00F731E6">
        <w:tab/>
      </w:r>
      <w:r w:rsidR="00F731E6">
        <w:tab/>
      </w:r>
      <w:r w:rsidR="00FD536A">
        <w:t>(509) 495</w:t>
      </w:r>
      <w:r w:rsidR="00FE3E7F">
        <w:t>-</w:t>
      </w:r>
      <w:r w:rsidR="00A81E40">
        <w:t>4494</w:t>
      </w:r>
    </w:p>
    <w:p w14:paraId="5752D67F" w14:textId="0879BC9B" w:rsidR="00FD536A" w:rsidRDefault="00AA791F" w:rsidP="00FE3E7F">
      <w:pPr>
        <w:tabs>
          <w:tab w:val="left" w:pos="1890"/>
          <w:tab w:val="left" w:pos="4770"/>
          <w:tab w:val="left" w:pos="6480"/>
        </w:tabs>
        <w:ind w:right="-216"/>
        <w:rPr>
          <w:sz w:val="24"/>
          <w:szCs w:val="24"/>
        </w:rPr>
      </w:pPr>
      <w:r>
        <w:rPr>
          <w:sz w:val="24"/>
          <w:szCs w:val="24"/>
        </w:rPr>
        <w:tab/>
      </w:r>
      <w:r>
        <w:rPr>
          <w:sz w:val="24"/>
          <w:szCs w:val="24"/>
        </w:rPr>
        <w:tab/>
        <w:t>EMAIL:</w:t>
      </w:r>
      <w:r>
        <w:rPr>
          <w:sz w:val="24"/>
          <w:szCs w:val="24"/>
        </w:rPr>
        <w:tab/>
      </w:r>
      <w:r w:rsidR="00941853">
        <w:rPr>
          <w:sz w:val="24"/>
          <w:szCs w:val="24"/>
        </w:rPr>
        <w:tab/>
      </w:r>
      <w:r w:rsidR="00A81E40">
        <w:rPr>
          <w:sz w:val="24"/>
          <w:szCs w:val="24"/>
        </w:rPr>
        <w:t>Scott.Kinney</w:t>
      </w:r>
      <w:r w:rsidR="001D4BE0">
        <w:rPr>
          <w:sz w:val="24"/>
          <w:szCs w:val="24"/>
        </w:rPr>
        <w:t>@avistacorp.com</w:t>
      </w:r>
    </w:p>
    <w:p w14:paraId="1FFBBC27" w14:textId="77777777" w:rsidR="000E629D" w:rsidRDefault="000E629D">
      <w:pPr>
        <w:tabs>
          <w:tab w:val="left" w:pos="1890"/>
          <w:tab w:val="left" w:pos="4320"/>
          <w:tab w:val="left" w:pos="6480"/>
        </w:tabs>
        <w:rPr>
          <w:sz w:val="24"/>
          <w:szCs w:val="24"/>
        </w:rPr>
      </w:pPr>
    </w:p>
    <w:p w14:paraId="176DDADE" w14:textId="77777777" w:rsidR="00FD536A" w:rsidRDefault="00FD536A">
      <w:pPr>
        <w:tabs>
          <w:tab w:val="left" w:pos="1890"/>
          <w:tab w:val="left" w:pos="4320"/>
          <w:tab w:val="left" w:pos="6480"/>
        </w:tabs>
        <w:jc w:val="both"/>
        <w:rPr>
          <w:b/>
          <w:bCs/>
          <w:sz w:val="24"/>
          <w:szCs w:val="24"/>
        </w:rPr>
      </w:pPr>
      <w:r>
        <w:rPr>
          <w:b/>
          <w:bCs/>
          <w:sz w:val="24"/>
          <w:szCs w:val="24"/>
        </w:rPr>
        <w:t>REQUEST:</w:t>
      </w:r>
    </w:p>
    <w:p w14:paraId="52720A05" w14:textId="3ECA2BDE" w:rsidR="00A81E40" w:rsidRPr="00673C2D" w:rsidRDefault="00A81E40" w:rsidP="00AB5B3F">
      <w:pPr>
        <w:tabs>
          <w:tab w:val="left" w:pos="1890"/>
          <w:tab w:val="left" w:pos="4320"/>
          <w:tab w:val="left" w:pos="6480"/>
        </w:tabs>
        <w:jc w:val="both"/>
        <w:rPr>
          <w:b/>
          <w:sz w:val="24"/>
          <w:szCs w:val="24"/>
        </w:rPr>
      </w:pPr>
      <w:r w:rsidRPr="00673C2D">
        <w:rPr>
          <w:sz w:val="24"/>
          <w:szCs w:val="24"/>
        </w:rPr>
        <w:t xml:space="preserve">Regarding Colstrip Thermal capital projects, please provide a description of the categories used to identify projects </w:t>
      </w:r>
      <w:r w:rsidR="00673C2D" w:rsidRPr="00673C2D">
        <w:rPr>
          <w:sz w:val="24"/>
          <w:szCs w:val="24"/>
        </w:rPr>
        <w:t>that are completed or planned for completion to Units 3 and 4 in which Avista is 15% owner.</w:t>
      </w:r>
    </w:p>
    <w:p w14:paraId="7BF750B5" w14:textId="77777777" w:rsidR="00A81E40" w:rsidRPr="00673C2D" w:rsidRDefault="00A81E40" w:rsidP="00AB5B3F">
      <w:pPr>
        <w:tabs>
          <w:tab w:val="left" w:pos="1890"/>
          <w:tab w:val="left" w:pos="4320"/>
          <w:tab w:val="left" w:pos="6480"/>
        </w:tabs>
        <w:jc w:val="both"/>
        <w:rPr>
          <w:b/>
          <w:sz w:val="24"/>
          <w:szCs w:val="24"/>
        </w:rPr>
      </w:pPr>
    </w:p>
    <w:p w14:paraId="61F33397" w14:textId="77777777" w:rsidR="00637CFC" w:rsidRDefault="00FD536A" w:rsidP="00AB5B3F">
      <w:pPr>
        <w:tabs>
          <w:tab w:val="left" w:pos="1890"/>
          <w:tab w:val="left" w:pos="4320"/>
          <w:tab w:val="left" w:pos="6480"/>
        </w:tabs>
        <w:jc w:val="both"/>
        <w:rPr>
          <w:b/>
          <w:sz w:val="24"/>
          <w:szCs w:val="24"/>
        </w:rPr>
      </w:pPr>
      <w:r w:rsidRPr="002C4999">
        <w:rPr>
          <w:b/>
          <w:sz w:val="24"/>
          <w:szCs w:val="24"/>
        </w:rPr>
        <w:t>RESPONSE:</w:t>
      </w:r>
    </w:p>
    <w:p w14:paraId="63E98268" w14:textId="7E24AE3C" w:rsidR="00673C2D" w:rsidRDefault="00BF1EC3" w:rsidP="00AB5B3F">
      <w:pPr>
        <w:jc w:val="both"/>
        <w:rPr>
          <w:bCs/>
          <w:sz w:val="24"/>
          <w:szCs w:val="24"/>
        </w:rPr>
      </w:pPr>
      <w:r>
        <w:rPr>
          <w:bCs/>
          <w:sz w:val="24"/>
          <w:szCs w:val="24"/>
        </w:rPr>
        <w:t>As explained in Company witness Mr. Kinney’s direct testimony Exh. SJK-1T, page 25, and Colstrip 3 &amp; 4 capital project business case at Exh. SJK-4, page 100, the</w:t>
      </w:r>
      <w:r w:rsidR="00673C2D" w:rsidRPr="0064072B">
        <w:rPr>
          <w:bCs/>
          <w:sz w:val="24"/>
          <w:szCs w:val="24"/>
        </w:rPr>
        <w:t xml:space="preserve"> category description and categorization of projects completed at Colstrip Unit 3 and 4 </w:t>
      </w:r>
      <w:r w:rsidR="0064072B" w:rsidRPr="0064072B">
        <w:rPr>
          <w:bCs/>
          <w:sz w:val="24"/>
          <w:szCs w:val="24"/>
        </w:rPr>
        <w:t>are</w:t>
      </w:r>
      <w:r w:rsidR="00673C2D" w:rsidRPr="0064072B">
        <w:rPr>
          <w:bCs/>
          <w:sz w:val="24"/>
          <w:szCs w:val="24"/>
        </w:rPr>
        <w:t xml:space="preserve"> provided by Talen as Colstrip Operator. </w:t>
      </w:r>
      <w:r w:rsidR="0064072B" w:rsidRPr="0064072B">
        <w:rPr>
          <w:bCs/>
          <w:sz w:val="24"/>
          <w:szCs w:val="24"/>
        </w:rPr>
        <w:t>In recent years</w:t>
      </w:r>
      <w:r w:rsidR="00673C2D" w:rsidRPr="0064072B">
        <w:rPr>
          <w:bCs/>
          <w:sz w:val="24"/>
          <w:szCs w:val="24"/>
        </w:rPr>
        <w:t>,</w:t>
      </w:r>
      <w:r w:rsidR="0064072B" w:rsidRPr="0064072B">
        <w:rPr>
          <w:bCs/>
          <w:sz w:val="24"/>
          <w:szCs w:val="24"/>
        </w:rPr>
        <w:t xml:space="preserve"> </w:t>
      </w:r>
      <w:r w:rsidR="00673C2D" w:rsidRPr="0064072B">
        <w:rPr>
          <w:bCs/>
          <w:sz w:val="24"/>
          <w:szCs w:val="24"/>
        </w:rPr>
        <w:t xml:space="preserve">Talen </w:t>
      </w:r>
      <w:r>
        <w:rPr>
          <w:bCs/>
          <w:sz w:val="24"/>
          <w:szCs w:val="24"/>
        </w:rPr>
        <w:t xml:space="preserve">characterized the </w:t>
      </w:r>
      <w:r w:rsidR="00673C2D" w:rsidRPr="0064072B">
        <w:rPr>
          <w:bCs/>
          <w:sz w:val="24"/>
          <w:szCs w:val="24"/>
        </w:rPr>
        <w:t xml:space="preserve">capital projects </w:t>
      </w:r>
      <w:r>
        <w:rPr>
          <w:bCs/>
          <w:sz w:val="24"/>
          <w:szCs w:val="24"/>
        </w:rPr>
        <w:t>using the following categories:</w:t>
      </w:r>
    </w:p>
    <w:p w14:paraId="76396205" w14:textId="77777777" w:rsidR="001B1972" w:rsidRDefault="001B1972" w:rsidP="00AB5B3F">
      <w:pPr>
        <w:jc w:val="both"/>
        <w:rPr>
          <w:bCs/>
          <w:sz w:val="24"/>
          <w:szCs w:val="24"/>
        </w:rPr>
      </w:pPr>
    </w:p>
    <w:p w14:paraId="17C722D1" w14:textId="1A2E48BC" w:rsidR="001B1972" w:rsidRPr="0064072B" w:rsidRDefault="00673C2D" w:rsidP="009A15D5">
      <w:pPr>
        <w:pStyle w:val="ListParagraph"/>
        <w:numPr>
          <w:ilvl w:val="0"/>
          <w:numId w:val="29"/>
        </w:numPr>
        <w:jc w:val="both"/>
      </w:pPr>
      <w:r w:rsidRPr="00927C23">
        <w:rPr>
          <w:bCs/>
          <w:sz w:val="24"/>
          <w:szCs w:val="24"/>
        </w:rPr>
        <w:t xml:space="preserve">Regulatory </w:t>
      </w:r>
      <w:r w:rsidR="0064072B" w:rsidRPr="00927C23">
        <w:rPr>
          <w:bCs/>
          <w:sz w:val="24"/>
          <w:szCs w:val="24"/>
        </w:rPr>
        <w:t xml:space="preserve">– </w:t>
      </w:r>
      <w:r w:rsidRPr="00927C23">
        <w:rPr>
          <w:bCs/>
          <w:sz w:val="24"/>
          <w:szCs w:val="24"/>
        </w:rPr>
        <w:t xml:space="preserve">projects </w:t>
      </w:r>
      <w:r w:rsidR="0064072B" w:rsidRPr="00927C23">
        <w:rPr>
          <w:bCs/>
          <w:sz w:val="24"/>
          <w:szCs w:val="24"/>
        </w:rPr>
        <w:t xml:space="preserve">that </w:t>
      </w:r>
      <w:r w:rsidRPr="00927C23">
        <w:rPr>
          <w:bCs/>
          <w:sz w:val="24"/>
          <w:szCs w:val="24"/>
        </w:rPr>
        <w:t>are generally required due to reg</w:t>
      </w:r>
      <w:r w:rsidR="0064072B" w:rsidRPr="00927C23">
        <w:rPr>
          <w:bCs/>
          <w:sz w:val="24"/>
          <w:szCs w:val="24"/>
        </w:rPr>
        <w:t xml:space="preserve">ulatory or legal obligations. For example, projects </w:t>
      </w:r>
      <w:r w:rsidR="00AB5B3F" w:rsidRPr="00927C23">
        <w:rPr>
          <w:bCs/>
          <w:sz w:val="24"/>
          <w:szCs w:val="24"/>
        </w:rPr>
        <w:t>related</w:t>
      </w:r>
      <w:r w:rsidR="0064072B" w:rsidRPr="00927C23">
        <w:rPr>
          <w:bCs/>
          <w:sz w:val="24"/>
          <w:szCs w:val="24"/>
        </w:rPr>
        <w:t xml:space="preserve"> to meeting WECC </w:t>
      </w:r>
      <w:r w:rsidR="00610B31" w:rsidRPr="00927C23">
        <w:rPr>
          <w:bCs/>
          <w:sz w:val="24"/>
          <w:szCs w:val="24"/>
        </w:rPr>
        <w:t xml:space="preserve">or NERC CIP infrastructure </w:t>
      </w:r>
      <w:r w:rsidR="0064072B" w:rsidRPr="00927C23">
        <w:rPr>
          <w:bCs/>
          <w:sz w:val="24"/>
          <w:szCs w:val="24"/>
        </w:rPr>
        <w:t>Compliance</w:t>
      </w:r>
      <w:r w:rsidR="001B1972" w:rsidRPr="00927C23">
        <w:rPr>
          <w:bCs/>
          <w:sz w:val="24"/>
          <w:szCs w:val="24"/>
        </w:rPr>
        <w:t xml:space="preserve">, such as a security </w:t>
      </w:r>
      <w:r w:rsidR="00610B31" w:rsidRPr="00927C23">
        <w:rPr>
          <w:bCs/>
          <w:sz w:val="24"/>
          <w:szCs w:val="24"/>
        </w:rPr>
        <w:t xml:space="preserve">card reader installation </w:t>
      </w:r>
      <w:r w:rsidR="00B050C2" w:rsidRPr="00927C23">
        <w:rPr>
          <w:bCs/>
          <w:sz w:val="24"/>
          <w:szCs w:val="24"/>
        </w:rPr>
        <w:t>project</w:t>
      </w:r>
      <w:r w:rsidR="00927C23" w:rsidRPr="00927C23">
        <w:rPr>
          <w:bCs/>
          <w:sz w:val="24"/>
          <w:szCs w:val="24"/>
        </w:rPr>
        <w:t xml:space="preserve"> to meet NERC CIP compliance</w:t>
      </w:r>
      <w:r w:rsidR="0064072B" w:rsidRPr="00927C23">
        <w:rPr>
          <w:bCs/>
          <w:sz w:val="24"/>
          <w:szCs w:val="24"/>
        </w:rPr>
        <w:t xml:space="preserve">. </w:t>
      </w:r>
    </w:p>
    <w:p w14:paraId="20248D0E" w14:textId="39D61BF9" w:rsidR="0064072B" w:rsidRPr="0064072B" w:rsidRDefault="001B1972" w:rsidP="00A71A81">
      <w:pPr>
        <w:pStyle w:val="ListParagraph"/>
        <w:numPr>
          <w:ilvl w:val="0"/>
          <w:numId w:val="29"/>
        </w:numPr>
        <w:jc w:val="both"/>
      </w:pPr>
      <w:r w:rsidRPr="00927C23">
        <w:rPr>
          <w:bCs/>
          <w:sz w:val="24"/>
          <w:szCs w:val="24"/>
        </w:rPr>
        <w:t>Environmental</w:t>
      </w:r>
      <w:r w:rsidR="0064072B" w:rsidRPr="00927C23">
        <w:rPr>
          <w:bCs/>
          <w:sz w:val="24"/>
          <w:szCs w:val="24"/>
        </w:rPr>
        <w:t>– p</w:t>
      </w:r>
      <w:r w:rsidR="00673C2D" w:rsidRPr="00927C23">
        <w:rPr>
          <w:bCs/>
          <w:sz w:val="24"/>
          <w:szCs w:val="24"/>
        </w:rPr>
        <w:t xml:space="preserve">rojects </w:t>
      </w:r>
      <w:r w:rsidR="0064072B" w:rsidRPr="00927C23">
        <w:rPr>
          <w:bCs/>
          <w:sz w:val="24"/>
          <w:szCs w:val="24"/>
        </w:rPr>
        <w:t xml:space="preserve">that </w:t>
      </w:r>
      <w:r w:rsidR="00673C2D" w:rsidRPr="00927C23">
        <w:rPr>
          <w:bCs/>
          <w:sz w:val="24"/>
          <w:szCs w:val="24"/>
        </w:rPr>
        <w:t>are related to environmental controls and measures. For example, Talen classified the SmartBurn investment as Environmental because it reduced NOx emissions in support of the Regional Haze Rule</w:t>
      </w:r>
      <w:r w:rsidR="0064072B" w:rsidRPr="00927C23">
        <w:rPr>
          <w:bCs/>
          <w:sz w:val="24"/>
          <w:szCs w:val="24"/>
        </w:rPr>
        <w:t xml:space="preserve">. </w:t>
      </w:r>
    </w:p>
    <w:p w14:paraId="68C00DB8" w14:textId="3858CEAA" w:rsidR="00BF1EC3" w:rsidRPr="0064072B" w:rsidRDefault="00BF1EC3" w:rsidP="00BF1EC3">
      <w:pPr>
        <w:pStyle w:val="ListParagraph"/>
        <w:numPr>
          <w:ilvl w:val="0"/>
          <w:numId w:val="29"/>
        </w:numPr>
        <w:jc w:val="both"/>
      </w:pPr>
      <w:r w:rsidRPr="0064072B">
        <w:rPr>
          <w:bCs/>
          <w:sz w:val="24"/>
          <w:szCs w:val="24"/>
        </w:rPr>
        <w:t xml:space="preserve">Reliability Must Do </w:t>
      </w:r>
      <w:r>
        <w:rPr>
          <w:bCs/>
          <w:sz w:val="24"/>
          <w:szCs w:val="24"/>
        </w:rPr>
        <w:t>– p</w:t>
      </w:r>
      <w:r w:rsidRPr="0064072B">
        <w:rPr>
          <w:bCs/>
          <w:sz w:val="24"/>
          <w:szCs w:val="24"/>
        </w:rPr>
        <w:t xml:space="preserve">rojects </w:t>
      </w:r>
      <w:r>
        <w:rPr>
          <w:bCs/>
          <w:sz w:val="24"/>
          <w:szCs w:val="24"/>
        </w:rPr>
        <w:t xml:space="preserve">that </w:t>
      </w:r>
      <w:r w:rsidRPr="0064072B">
        <w:rPr>
          <w:bCs/>
          <w:sz w:val="24"/>
          <w:szCs w:val="24"/>
        </w:rPr>
        <w:t>generally are required to keep the project operating. Without investments in this category, the project may not be able to gen</w:t>
      </w:r>
      <w:r>
        <w:rPr>
          <w:bCs/>
          <w:sz w:val="24"/>
          <w:szCs w:val="24"/>
        </w:rPr>
        <w:t xml:space="preserve">erate power in the near term. An example of a </w:t>
      </w:r>
      <w:r w:rsidRPr="00610B31">
        <w:rPr>
          <w:bCs/>
          <w:sz w:val="24"/>
          <w:szCs w:val="24"/>
        </w:rPr>
        <w:t xml:space="preserve">project </w:t>
      </w:r>
      <w:r>
        <w:rPr>
          <w:bCs/>
          <w:sz w:val="24"/>
          <w:szCs w:val="24"/>
        </w:rPr>
        <w:t>in this category would be a</w:t>
      </w:r>
      <w:r w:rsidRPr="00610B31">
        <w:rPr>
          <w:bCs/>
          <w:sz w:val="24"/>
          <w:szCs w:val="24"/>
        </w:rPr>
        <w:t xml:space="preserve"> replacement of a transformer that has sustained damage</w:t>
      </w:r>
      <w:r>
        <w:rPr>
          <w:bCs/>
          <w:sz w:val="24"/>
          <w:szCs w:val="24"/>
        </w:rPr>
        <w:t xml:space="preserve"> and has </w:t>
      </w:r>
      <w:r w:rsidRPr="00610B31">
        <w:rPr>
          <w:bCs/>
          <w:sz w:val="24"/>
          <w:szCs w:val="24"/>
        </w:rPr>
        <w:t>a high risk of failure in the near future.</w:t>
      </w:r>
      <w:r>
        <w:rPr>
          <w:bCs/>
          <w:sz w:val="24"/>
          <w:szCs w:val="24"/>
        </w:rPr>
        <w:t xml:space="preserve"> </w:t>
      </w:r>
    </w:p>
    <w:p w14:paraId="173A3726" w14:textId="77777777" w:rsidR="002178D6" w:rsidRPr="002178D6" w:rsidRDefault="00BF1EC3" w:rsidP="00A128D5">
      <w:pPr>
        <w:pStyle w:val="ListParagraph"/>
        <w:numPr>
          <w:ilvl w:val="0"/>
          <w:numId w:val="29"/>
        </w:numPr>
        <w:jc w:val="both"/>
      </w:pPr>
      <w:r w:rsidRPr="002178D6">
        <w:rPr>
          <w:bCs/>
          <w:sz w:val="24"/>
          <w:szCs w:val="24"/>
        </w:rPr>
        <w:t>Sustenance – projects that are intended to ensure ongoing safe and reliable operation. If investments in this category are not made, there will not necessarily be an immediate outage, but the safe and reliable operation may be at risk over time if these investments are not made. A non-generation example could be changing the tires on a car. The new tires don’t extend the life of the car, and you can still drive the car with bald tires, but changing the tires ensures the car will continue to operate in a safe and reliable manner.  Sustenance projects also include routine activities such as HVAC system replacement, battery bank replacement, and replacement of sub-systems that have a different life than the plant as a whole.</w:t>
      </w:r>
      <w:r w:rsidR="002F0C32" w:rsidRPr="002178D6">
        <w:rPr>
          <w:bCs/>
          <w:sz w:val="24"/>
          <w:szCs w:val="24"/>
        </w:rPr>
        <w:t xml:space="preserve">  </w:t>
      </w:r>
    </w:p>
    <w:p w14:paraId="2CBC2C7D" w14:textId="1C1D5394" w:rsidR="00673C2D" w:rsidRPr="0064072B" w:rsidRDefault="00673C2D" w:rsidP="002178D6">
      <w:pPr>
        <w:jc w:val="both"/>
      </w:pPr>
    </w:p>
    <w:p w14:paraId="4599D0EC" w14:textId="55B77887" w:rsidR="00325802" w:rsidRDefault="00673C2D" w:rsidP="00AB5B3F">
      <w:pPr>
        <w:tabs>
          <w:tab w:val="left" w:pos="1890"/>
          <w:tab w:val="left" w:pos="4320"/>
          <w:tab w:val="left" w:pos="6480"/>
        </w:tabs>
        <w:jc w:val="both"/>
        <w:rPr>
          <w:bCs/>
          <w:sz w:val="24"/>
          <w:szCs w:val="24"/>
        </w:rPr>
      </w:pPr>
      <w:r w:rsidRPr="0064072B">
        <w:rPr>
          <w:bCs/>
          <w:sz w:val="24"/>
          <w:szCs w:val="24"/>
        </w:rPr>
        <w:t xml:space="preserve">None of the categories </w:t>
      </w:r>
      <w:r w:rsidR="00AB5B3F">
        <w:rPr>
          <w:bCs/>
          <w:sz w:val="24"/>
          <w:szCs w:val="24"/>
        </w:rPr>
        <w:t xml:space="preserve">described above </w:t>
      </w:r>
      <w:r w:rsidRPr="0064072B">
        <w:rPr>
          <w:bCs/>
          <w:sz w:val="24"/>
          <w:szCs w:val="24"/>
        </w:rPr>
        <w:t xml:space="preserve">anticipate investments that extend the life of the project. Rather, they are being made to either: 1) </w:t>
      </w:r>
      <w:r w:rsidR="00AB5B3F">
        <w:rPr>
          <w:bCs/>
          <w:sz w:val="24"/>
          <w:szCs w:val="24"/>
        </w:rPr>
        <w:t>c</w:t>
      </w:r>
      <w:r w:rsidRPr="0064072B">
        <w:rPr>
          <w:bCs/>
          <w:sz w:val="24"/>
          <w:szCs w:val="24"/>
        </w:rPr>
        <w:t xml:space="preserve">omply with current laws, rules, </w:t>
      </w:r>
      <w:r w:rsidR="00AB5B3F">
        <w:rPr>
          <w:bCs/>
          <w:sz w:val="24"/>
          <w:szCs w:val="24"/>
        </w:rPr>
        <w:t xml:space="preserve">and </w:t>
      </w:r>
      <w:r w:rsidRPr="0064072B">
        <w:rPr>
          <w:bCs/>
          <w:sz w:val="24"/>
          <w:szCs w:val="24"/>
        </w:rPr>
        <w:t xml:space="preserve">regulations, 2) </w:t>
      </w:r>
      <w:r w:rsidR="00AB5B3F">
        <w:rPr>
          <w:bCs/>
          <w:sz w:val="24"/>
          <w:szCs w:val="24"/>
        </w:rPr>
        <w:t>e</w:t>
      </w:r>
      <w:r w:rsidRPr="0064072B">
        <w:rPr>
          <w:bCs/>
          <w:sz w:val="24"/>
          <w:szCs w:val="24"/>
        </w:rPr>
        <w:t xml:space="preserve">nsure ongoing compliance with environmental goals, or 3) </w:t>
      </w:r>
      <w:r w:rsidR="00AB5B3F">
        <w:rPr>
          <w:bCs/>
          <w:sz w:val="24"/>
          <w:szCs w:val="24"/>
        </w:rPr>
        <w:t>e</w:t>
      </w:r>
      <w:r w:rsidRPr="0064072B">
        <w:rPr>
          <w:bCs/>
          <w:sz w:val="24"/>
          <w:szCs w:val="24"/>
        </w:rPr>
        <w:t>nsure the safe and reliable operation of the project, both immediately and for the foreseeable future.</w:t>
      </w:r>
    </w:p>
    <w:p w14:paraId="63AE88E7" w14:textId="77777777" w:rsidR="00AB5B3F" w:rsidRDefault="00AB5B3F" w:rsidP="00AB5B3F">
      <w:pPr>
        <w:tabs>
          <w:tab w:val="left" w:pos="1890"/>
          <w:tab w:val="left" w:pos="4320"/>
          <w:tab w:val="left" w:pos="6480"/>
        </w:tabs>
        <w:jc w:val="both"/>
        <w:rPr>
          <w:bCs/>
          <w:sz w:val="24"/>
          <w:szCs w:val="24"/>
        </w:rPr>
      </w:pPr>
    </w:p>
    <w:p w14:paraId="6C15C46B" w14:textId="2938CD8B" w:rsidR="00927C23" w:rsidRPr="0064072B" w:rsidRDefault="00AB5B3F" w:rsidP="00AB5B3F">
      <w:pPr>
        <w:tabs>
          <w:tab w:val="left" w:pos="1890"/>
          <w:tab w:val="left" w:pos="4320"/>
          <w:tab w:val="left" w:pos="6480"/>
        </w:tabs>
        <w:jc w:val="both"/>
        <w:rPr>
          <w:sz w:val="24"/>
          <w:szCs w:val="24"/>
        </w:rPr>
      </w:pPr>
      <w:r>
        <w:rPr>
          <w:bCs/>
          <w:sz w:val="24"/>
          <w:szCs w:val="24"/>
        </w:rPr>
        <w:t>Please see Staff witness Scanlan Exh. KBS-11C which includes a listing of Colstrip Thermal capital projects from 2017 through 2021. Each project included in the listing have been identified as REG (Regulatory), ENV (Environmental Must Do) or SUS (</w:t>
      </w:r>
      <w:r w:rsidR="00927C23">
        <w:rPr>
          <w:bCs/>
          <w:sz w:val="24"/>
          <w:szCs w:val="24"/>
        </w:rPr>
        <w:t>Sustenance</w:t>
      </w:r>
      <w:r w:rsidR="002F0C32">
        <w:rPr>
          <w:bCs/>
          <w:sz w:val="24"/>
          <w:szCs w:val="24"/>
        </w:rPr>
        <w:t>, including safety and reliability must do</w:t>
      </w:r>
      <w:r>
        <w:rPr>
          <w:bCs/>
          <w:sz w:val="24"/>
          <w:szCs w:val="24"/>
        </w:rPr>
        <w:t>).  The majority of projects as identified fall within the category SUS.</w:t>
      </w:r>
    </w:p>
    <w:sectPr w:rsidR="00927C23" w:rsidRPr="0064072B" w:rsidSect="00941853">
      <w:headerReference w:type="default" r:id="rId11"/>
      <w:footerReference w:type="default" r:id="rId12"/>
      <w:footerReference w:type="first" r:id="rId13"/>
      <w:pgSz w:w="12240" w:h="15840" w:code="1"/>
      <w:pgMar w:top="72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C30F6" w14:textId="77777777" w:rsidR="00F44AED" w:rsidRDefault="00F44AED">
      <w:r>
        <w:separator/>
      </w:r>
    </w:p>
  </w:endnote>
  <w:endnote w:type="continuationSeparator" w:id="0">
    <w:p w14:paraId="01F54619" w14:textId="77777777" w:rsidR="00F44AED" w:rsidRDefault="00F4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0D305" w14:textId="77777777" w:rsidR="00DA234F" w:rsidRDefault="00DA234F" w:rsidP="00056C64">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sidR="00817BB5">
      <w:rPr>
        <w:rStyle w:val="PageNumber"/>
        <w:noProof/>
      </w:rPr>
      <w:t>1</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817BB5">
      <w:rPr>
        <w:rStyle w:val="PageNumber"/>
        <w:noProof/>
      </w:rPr>
      <w:t>1</w:t>
    </w:r>
    <w:r w:rsidR="00A0351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F8B61" w14:textId="77777777" w:rsidR="00DA234F" w:rsidRDefault="00DA234F" w:rsidP="00E64D12">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Pr>
        <w:rStyle w:val="PageNumber"/>
        <w:noProof/>
      </w:rPr>
      <w:t>1</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480158">
      <w:rPr>
        <w:rStyle w:val="PageNumber"/>
        <w:noProof/>
      </w:rPr>
      <w:t>4</w:t>
    </w:r>
    <w:r w:rsidR="00A0351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C3381" w14:textId="77777777" w:rsidR="00F44AED" w:rsidRDefault="00F44AED">
      <w:r>
        <w:separator/>
      </w:r>
    </w:p>
  </w:footnote>
  <w:footnote w:type="continuationSeparator" w:id="0">
    <w:p w14:paraId="2109AF3E" w14:textId="77777777" w:rsidR="00F44AED" w:rsidRDefault="00F44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C2D0" w14:textId="77777777" w:rsidR="00DA234F" w:rsidRDefault="00DA234F">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15:restartNumberingAfterBreak="0">
    <w:nsid w:val="3C5A012C"/>
    <w:multiLevelType w:val="hybridMultilevel"/>
    <w:tmpl w:val="0AC445B4"/>
    <w:lvl w:ilvl="0" w:tplc="04090015">
      <w:start w:val="1"/>
      <w:numFmt w:val="upperLetter"/>
      <w:lvlText w:val="%1."/>
      <w:lvlJc w:val="left"/>
      <w:pPr>
        <w:ind w:left="450" w:hanging="360"/>
      </w:pPr>
    </w:lvl>
    <w:lvl w:ilvl="1" w:tplc="0409000F">
      <w:start w:val="1"/>
      <w:numFmt w:val="decimal"/>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CB93801"/>
    <w:multiLevelType w:val="hybridMultilevel"/>
    <w:tmpl w:val="5C76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7"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1"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3"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72950226"/>
    <w:multiLevelType w:val="hybridMultilevel"/>
    <w:tmpl w:val="C96E0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7"/>
  </w:num>
  <w:num w:numId="2">
    <w:abstractNumId w:val="19"/>
  </w:num>
  <w:num w:numId="3">
    <w:abstractNumId w:val="11"/>
  </w:num>
  <w:num w:numId="4">
    <w:abstractNumId w:val="0"/>
  </w:num>
  <w:num w:numId="5">
    <w:abstractNumId w:val="26"/>
  </w:num>
  <w:num w:numId="6">
    <w:abstractNumId w:val="23"/>
  </w:num>
  <w:num w:numId="7">
    <w:abstractNumId w:val="7"/>
  </w:num>
  <w:num w:numId="8">
    <w:abstractNumId w:val="25"/>
  </w:num>
  <w:num w:numId="9">
    <w:abstractNumId w:val="3"/>
  </w:num>
  <w:num w:numId="10">
    <w:abstractNumId w:val="18"/>
  </w:num>
  <w:num w:numId="11">
    <w:abstractNumId w:val="2"/>
  </w:num>
  <w:num w:numId="12">
    <w:abstractNumId w:val="8"/>
  </w:num>
  <w:num w:numId="13">
    <w:abstractNumId w:val="28"/>
  </w:num>
  <w:num w:numId="14">
    <w:abstractNumId w:val="4"/>
  </w:num>
  <w:num w:numId="15">
    <w:abstractNumId w:val="5"/>
  </w:num>
  <w:num w:numId="16">
    <w:abstractNumId w:val="6"/>
  </w:num>
  <w:num w:numId="17">
    <w:abstractNumId w:val="16"/>
  </w:num>
  <w:num w:numId="18">
    <w:abstractNumId w:val="22"/>
  </w:num>
  <w:num w:numId="19">
    <w:abstractNumId w:val="9"/>
  </w:num>
  <w:num w:numId="20">
    <w:abstractNumId w:val="12"/>
  </w:num>
  <w:num w:numId="21">
    <w:abstractNumId w:val="1"/>
  </w:num>
  <w:num w:numId="22">
    <w:abstractNumId w:val="20"/>
  </w:num>
  <w:num w:numId="23">
    <w:abstractNumId w:val="15"/>
  </w:num>
  <w:num w:numId="24">
    <w:abstractNumId w:val="10"/>
  </w:num>
  <w:num w:numId="25">
    <w:abstractNumId w:val="24"/>
  </w:num>
  <w:num w:numId="26">
    <w:abstractNumId w:val="21"/>
  </w:num>
  <w:num w:numId="27">
    <w:abstractNumId w:val="13"/>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142D"/>
    <w:rsid w:val="000121D0"/>
    <w:rsid w:val="000177E6"/>
    <w:rsid w:val="00023B8E"/>
    <w:rsid w:val="00056C64"/>
    <w:rsid w:val="00075B4F"/>
    <w:rsid w:val="00081D52"/>
    <w:rsid w:val="00094E6D"/>
    <w:rsid w:val="000B68A0"/>
    <w:rsid w:val="000E629D"/>
    <w:rsid w:val="000E7289"/>
    <w:rsid w:val="001004DE"/>
    <w:rsid w:val="001034DE"/>
    <w:rsid w:val="0011273E"/>
    <w:rsid w:val="00121D5B"/>
    <w:rsid w:val="0012408C"/>
    <w:rsid w:val="00144F53"/>
    <w:rsid w:val="00147CD2"/>
    <w:rsid w:val="00153C42"/>
    <w:rsid w:val="00177390"/>
    <w:rsid w:val="00186A26"/>
    <w:rsid w:val="001A3F42"/>
    <w:rsid w:val="001A5E72"/>
    <w:rsid w:val="001B03C0"/>
    <w:rsid w:val="001B1972"/>
    <w:rsid w:val="001C7388"/>
    <w:rsid w:val="001D4BE0"/>
    <w:rsid w:val="001E06F3"/>
    <w:rsid w:val="001E07A6"/>
    <w:rsid w:val="001E0915"/>
    <w:rsid w:val="001F2C4B"/>
    <w:rsid w:val="001F6472"/>
    <w:rsid w:val="002146D9"/>
    <w:rsid w:val="002178D6"/>
    <w:rsid w:val="00236EDE"/>
    <w:rsid w:val="002677D5"/>
    <w:rsid w:val="00285078"/>
    <w:rsid w:val="00292F69"/>
    <w:rsid w:val="002B16E6"/>
    <w:rsid w:val="002C1F99"/>
    <w:rsid w:val="002C4999"/>
    <w:rsid w:val="002D46AB"/>
    <w:rsid w:val="002D4804"/>
    <w:rsid w:val="002E674E"/>
    <w:rsid w:val="002F0C32"/>
    <w:rsid w:val="0031159E"/>
    <w:rsid w:val="00325802"/>
    <w:rsid w:val="00332BDD"/>
    <w:rsid w:val="003348C4"/>
    <w:rsid w:val="00350EBE"/>
    <w:rsid w:val="00375C8C"/>
    <w:rsid w:val="0038329F"/>
    <w:rsid w:val="00383DD3"/>
    <w:rsid w:val="0039280C"/>
    <w:rsid w:val="003B4C5A"/>
    <w:rsid w:val="003B4E20"/>
    <w:rsid w:val="003C0AED"/>
    <w:rsid w:val="003C1D9A"/>
    <w:rsid w:val="003E487F"/>
    <w:rsid w:val="003E50F1"/>
    <w:rsid w:val="00417AA4"/>
    <w:rsid w:val="00422CC4"/>
    <w:rsid w:val="0043739B"/>
    <w:rsid w:val="00446369"/>
    <w:rsid w:val="00480158"/>
    <w:rsid w:val="004929A8"/>
    <w:rsid w:val="004A7704"/>
    <w:rsid w:val="004C436E"/>
    <w:rsid w:val="004D1D24"/>
    <w:rsid w:val="004E0D3B"/>
    <w:rsid w:val="004F03CE"/>
    <w:rsid w:val="004F0E06"/>
    <w:rsid w:val="004F7DA8"/>
    <w:rsid w:val="00500F1F"/>
    <w:rsid w:val="005048A8"/>
    <w:rsid w:val="005050C4"/>
    <w:rsid w:val="0055045F"/>
    <w:rsid w:val="005906BD"/>
    <w:rsid w:val="00591481"/>
    <w:rsid w:val="005A2255"/>
    <w:rsid w:val="005A49F0"/>
    <w:rsid w:val="005C0BD8"/>
    <w:rsid w:val="005C1EDF"/>
    <w:rsid w:val="005D72D7"/>
    <w:rsid w:val="005E7C5F"/>
    <w:rsid w:val="006045D3"/>
    <w:rsid w:val="00610B31"/>
    <w:rsid w:val="00633F9B"/>
    <w:rsid w:val="00637CFC"/>
    <w:rsid w:val="0064072B"/>
    <w:rsid w:val="00663AE9"/>
    <w:rsid w:val="006709C3"/>
    <w:rsid w:val="00673C2D"/>
    <w:rsid w:val="006769D2"/>
    <w:rsid w:val="00684ADD"/>
    <w:rsid w:val="00692B66"/>
    <w:rsid w:val="006A15D9"/>
    <w:rsid w:val="006A19E8"/>
    <w:rsid w:val="006F13F1"/>
    <w:rsid w:val="00733AB8"/>
    <w:rsid w:val="00735EAE"/>
    <w:rsid w:val="00741CF2"/>
    <w:rsid w:val="00753FE9"/>
    <w:rsid w:val="00754422"/>
    <w:rsid w:val="00774EC0"/>
    <w:rsid w:val="007A30D4"/>
    <w:rsid w:val="007B5EE6"/>
    <w:rsid w:val="007B663D"/>
    <w:rsid w:val="007D2738"/>
    <w:rsid w:val="007D6101"/>
    <w:rsid w:val="007E3A66"/>
    <w:rsid w:val="008022DE"/>
    <w:rsid w:val="008074FC"/>
    <w:rsid w:val="00817BB5"/>
    <w:rsid w:val="0083692C"/>
    <w:rsid w:val="008907E8"/>
    <w:rsid w:val="00893D6F"/>
    <w:rsid w:val="0089450C"/>
    <w:rsid w:val="008D1DFC"/>
    <w:rsid w:val="008D31F0"/>
    <w:rsid w:val="008D5534"/>
    <w:rsid w:val="008E3932"/>
    <w:rsid w:val="009052D2"/>
    <w:rsid w:val="00925428"/>
    <w:rsid w:val="009257B1"/>
    <w:rsid w:val="00926EF7"/>
    <w:rsid w:val="00927C23"/>
    <w:rsid w:val="00941853"/>
    <w:rsid w:val="00950F46"/>
    <w:rsid w:val="00951C9B"/>
    <w:rsid w:val="0095650D"/>
    <w:rsid w:val="00957712"/>
    <w:rsid w:val="009727ED"/>
    <w:rsid w:val="009838B3"/>
    <w:rsid w:val="009D4D8E"/>
    <w:rsid w:val="009D7503"/>
    <w:rsid w:val="00A0351B"/>
    <w:rsid w:val="00A42C25"/>
    <w:rsid w:val="00A6577B"/>
    <w:rsid w:val="00A81E40"/>
    <w:rsid w:val="00A825B8"/>
    <w:rsid w:val="00A82D5A"/>
    <w:rsid w:val="00A846B8"/>
    <w:rsid w:val="00A92E80"/>
    <w:rsid w:val="00A96A19"/>
    <w:rsid w:val="00AA212B"/>
    <w:rsid w:val="00AA791F"/>
    <w:rsid w:val="00AB15F5"/>
    <w:rsid w:val="00AB5B3F"/>
    <w:rsid w:val="00AB5D5A"/>
    <w:rsid w:val="00AE5001"/>
    <w:rsid w:val="00AF27DE"/>
    <w:rsid w:val="00B03F8E"/>
    <w:rsid w:val="00B050C2"/>
    <w:rsid w:val="00B16DCE"/>
    <w:rsid w:val="00B25021"/>
    <w:rsid w:val="00B41482"/>
    <w:rsid w:val="00B72352"/>
    <w:rsid w:val="00B76EAC"/>
    <w:rsid w:val="00B94201"/>
    <w:rsid w:val="00BA6F23"/>
    <w:rsid w:val="00BB73DC"/>
    <w:rsid w:val="00BD5789"/>
    <w:rsid w:val="00BF1EC3"/>
    <w:rsid w:val="00BF784C"/>
    <w:rsid w:val="00C040A5"/>
    <w:rsid w:val="00C35E6B"/>
    <w:rsid w:val="00C3641F"/>
    <w:rsid w:val="00C41F75"/>
    <w:rsid w:val="00C73FA6"/>
    <w:rsid w:val="00C83E18"/>
    <w:rsid w:val="00CA15F9"/>
    <w:rsid w:val="00CB380D"/>
    <w:rsid w:val="00CD4D4E"/>
    <w:rsid w:val="00D04046"/>
    <w:rsid w:val="00D323DF"/>
    <w:rsid w:val="00D376F6"/>
    <w:rsid w:val="00D40664"/>
    <w:rsid w:val="00D41724"/>
    <w:rsid w:val="00D47F90"/>
    <w:rsid w:val="00D75120"/>
    <w:rsid w:val="00D77A4E"/>
    <w:rsid w:val="00D81FE7"/>
    <w:rsid w:val="00D82930"/>
    <w:rsid w:val="00D95FB0"/>
    <w:rsid w:val="00DA234F"/>
    <w:rsid w:val="00DB4781"/>
    <w:rsid w:val="00DB7036"/>
    <w:rsid w:val="00DD06FC"/>
    <w:rsid w:val="00DE5D38"/>
    <w:rsid w:val="00E1479F"/>
    <w:rsid w:val="00E37823"/>
    <w:rsid w:val="00E404F2"/>
    <w:rsid w:val="00E43DB3"/>
    <w:rsid w:val="00E64D12"/>
    <w:rsid w:val="00E84C7F"/>
    <w:rsid w:val="00E94E42"/>
    <w:rsid w:val="00EA2239"/>
    <w:rsid w:val="00EC527F"/>
    <w:rsid w:val="00ED1DE2"/>
    <w:rsid w:val="00ED6C6D"/>
    <w:rsid w:val="00EE30BA"/>
    <w:rsid w:val="00F036AB"/>
    <w:rsid w:val="00F06D34"/>
    <w:rsid w:val="00F266FA"/>
    <w:rsid w:val="00F268AE"/>
    <w:rsid w:val="00F44AED"/>
    <w:rsid w:val="00F45461"/>
    <w:rsid w:val="00F514A7"/>
    <w:rsid w:val="00F731E6"/>
    <w:rsid w:val="00F87AEC"/>
    <w:rsid w:val="00FA4AFD"/>
    <w:rsid w:val="00FC099B"/>
    <w:rsid w:val="00FC1828"/>
    <w:rsid w:val="00FC3B36"/>
    <w:rsid w:val="00FD0075"/>
    <w:rsid w:val="00FD0578"/>
    <w:rsid w:val="00FD159D"/>
    <w:rsid w:val="00FD536A"/>
    <w:rsid w:val="00FD6FAC"/>
    <w:rsid w:val="00FE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4DE9A"/>
  <w15:docId w15:val="{CB7C2EF7-9A75-4E85-8211-6BFEF8BF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customStyle="1" w:styleId="Default">
    <w:name w:val="Default"/>
    <w:rsid w:val="002C4999"/>
    <w:pPr>
      <w:autoSpaceDE w:val="0"/>
      <w:autoSpaceDN w:val="0"/>
      <w:adjustRightInd w:val="0"/>
    </w:pPr>
    <w:rPr>
      <w:color w:val="000000"/>
      <w:sz w:val="24"/>
      <w:szCs w:val="24"/>
    </w:rPr>
  </w:style>
  <w:style w:type="paragraph" w:styleId="ListParagraph">
    <w:name w:val="List Paragraph"/>
    <w:basedOn w:val="Normal"/>
    <w:uiPriority w:val="34"/>
    <w:qFormat/>
    <w:rsid w:val="002C4999"/>
    <w:pPr>
      <w:ind w:left="720"/>
      <w:contextualSpacing/>
    </w:pPr>
  </w:style>
  <w:style w:type="character" w:styleId="CommentReference">
    <w:name w:val="annotation reference"/>
    <w:basedOn w:val="DefaultParagraphFont"/>
    <w:semiHidden/>
    <w:unhideWhenUsed/>
    <w:rsid w:val="00FD0075"/>
    <w:rPr>
      <w:sz w:val="16"/>
      <w:szCs w:val="16"/>
    </w:rPr>
  </w:style>
  <w:style w:type="paragraph" w:styleId="CommentText">
    <w:name w:val="annotation text"/>
    <w:basedOn w:val="Normal"/>
    <w:link w:val="CommentTextChar"/>
    <w:semiHidden/>
    <w:unhideWhenUsed/>
    <w:rsid w:val="00FD0075"/>
  </w:style>
  <w:style w:type="character" w:customStyle="1" w:styleId="CommentTextChar">
    <w:name w:val="Comment Text Char"/>
    <w:basedOn w:val="DefaultParagraphFont"/>
    <w:link w:val="CommentText"/>
    <w:semiHidden/>
    <w:rsid w:val="00FD0075"/>
  </w:style>
  <w:style w:type="paragraph" w:styleId="CommentSubject">
    <w:name w:val="annotation subject"/>
    <w:basedOn w:val="CommentText"/>
    <w:next w:val="CommentText"/>
    <w:link w:val="CommentSubjectChar"/>
    <w:semiHidden/>
    <w:unhideWhenUsed/>
    <w:rsid w:val="00FD0075"/>
    <w:rPr>
      <w:b/>
      <w:bCs/>
    </w:rPr>
  </w:style>
  <w:style w:type="character" w:customStyle="1" w:styleId="CommentSubjectChar">
    <w:name w:val="Comment Subject Char"/>
    <w:basedOn w:val="CommentTextChar"/>
    <w:link w:val="CommentSubject"/>
    <w:semiHidden/>
    <w:rsid w:val="00FD0075"/>
    <w:rPr>
      <w:b/>
      <w:bCs/>
    </w:rPr>
  </w:style>
  <w:style w:type="paragraph" w:styleId="Revision">
    <w:name w:val="Revision"/>
    <w:hidden/>
    <w:uiPriority w:val="99"/>
    <w:semiHidden/>
    <w:rsid w:val="00FD0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769202026">
      <w:bodyDiv w:val="1"/>
      <w:marLeft w:val="0"/>
      <w:marRight w:val="0"/>
      <w:marTop w:val="0"/>
      <w:marBottom w:val="0"/>
      <w:divBdr>
        <w:top w:val="none" w:sz="0" w:space="0" w:color="auto"/>
        <w:left w:val="none" w:sz="0" w:space="0" w:color="auto"/>
        <w:bottom w:val="none" w:sz="0" w:space="0" w:color="auto"/>
        <w:right w:val="none" w:sz="0" w:space="0" w:color="auto"/>
      </w:divBdr>
    </w:div>
    <w:div w:id="1135291503">
      <w:bodyDiv w:val="1"/>
      <w:marLeft w:val="0"/>
      <w:marRight w:val="0"/>
      <w:marTop w:val="0"/>
      <w:marBottom w:val="0"/>
      <w:divBdr>
        <w:top w:val="none" w:sz="0" w:space="0" w:color="auto"/>
        <w:left w:val="none" w:sz="0" w:space="0" w:color="auto"/>
        <w:bottom w:val="none" w:sz="0" w:space="0" w:color="auto"/>
        <w:right w:val="none" w:sz="0" w:space="0" w:color="auto"/>
      </w:divBdr>
    </w:div>
    <w:div w:id="16192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SignificantOrder xmlns="dc463f71-b30c-4ab2-9473-d307f9d35888">false</SignificantOrder>
    <Date1 xmlns="dc463f71-b30c-4ab2-9473-d307f9d35888">2018-01-19T08:00:00+00:00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9F69578-B737-459F-9F1C-68A46955EF77}">
  <ds:schemaRef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EF69B60-F462-46A8-A6AF-54C31A4EBF36}">
  <ds:schemaRefs>
    <ds:schemaRef ds:uri="http://schemas.microsoft.com/sharepoint/v3/contenttype/forms"/>
  </ds:schemaRefs>
</ds:datastoreItem>
</file>

<file path=customXml/itemProps3.xml><?xml version="1.0" encoding="utf-8"?>
<ds:datastoreItem xmlns:ds="http://schemas.openxmlformats.org/officeDocument/2006/customXml" ds:itemID="{161E008C-5490-4BB4-A259-C02532BED30E}"/>
</file>

<file path=customXml/itemProps4.xml><?xml version="1.0" encoding="utf-8"?>
<ds:datastoreItem xmlns:ds="http://schemas.openxmlformats.org/officeDocument/2006/customXml" ds:itemID="{8ACABF85-BDCE-43DB-BD1A-22A2A604084A}">
  <ds:schemaRefs>
    <ds:schemaRef ds:uri="http://schemas.openxmlformats.org/officeDocument/2006/bibliography"/>
  </ds:schemaRefs>
</ds:datastoreItem>
</file>

<file path=customXml/itemProps5.xml><?xml version="1.0" encoding="utf-8"?>
<ds:datastoreItem xmlns:ds="http://schemas.openxmlformats.org/officeDocument/2006/customXml" ds:itemID="{FCAB88B9-082A-4B00-8002-805C3776C24D}"/>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Huey, Lorilyn (UTC)</cp:lastModifiedBy>
  <cp:revision>2</cp:revision>
  <cp:lastPrinted>2018-01-11T23:33:00Z</cp:lastPrinted>
  <dcterms:created xsi:type="dcterms:W3CDTF">2018-01-19T19:51:00Z</dcterms:created>
  <dcterms:modified xsi:type="dcterms:W3CDTF">2018-01-19T19:51:00Z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