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w:t>
      </w:r>
      <w:r w:rsidR="003E039E">
        <w:t>7</w:t>
      </w:r>
      <w:r w:rsidRPr="00BA18B1">
        <w:t>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052930">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26"/>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rsidP="00DE4DD1">
      <w:pPr>
        <w:pStyle w:val="BodyTextIndent3"/>
        <w:tabs>
          <w:tab w:val="clear" w:pos="1260"/>
          <w:tab w:val="left" w:pos="144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 xml:space="preserve">I am responsible for preparing the </w:t>
      </w:r>
      <w:r w:rsidR="004D6200">
        <w:rPr>
          <w:rStyle w:val="LineNumber"/>
        </w:rPr>
        <w:t xml:space="preserve">electric </w:t>
      </w:r>
      <w:r w:rsidRPr="00BA18B1">
        <w:rPr>
          <w:rStyle w:val="LineNumber"/>
        </w:rPr>
        <w:t>regulatory cost of service model for the Company, as well as providing support for the preparation of results of operations reports.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w:t>
      </w:r>
      <w:r w:rsidR="00877BFE">
        <w:rPr>
          <w:rStyle w:val="LineNumber"/>
        </w:rPr>
        <w:t>am also</w:t>
      </w:r>
      <w:r w:rsidRPr="00BA18B1">
        <w:rPr>
          <w:rStyle w:val="LineNumber"/>
        </w:rPr>
        <w:t xml:space="preserve">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utilities throughout the United States and Canada concerned with cost of service issues.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DE4DD1" w:rsidP="00DE4DD1">
      <w:pPr>
        <w:tabs>
          <w:tab w:val="left" w:pos="1440"/>
        </w:tabs>
        <w:spacing w:line="480" w:lineRule="auto"/>
        <w:ind w:firstLine="720"/>
        <w:jc w:val="both"/>
        <w:rPr>
          <w:rStyle w:val="LineNumber"/>
        </w:rPr>
      </w:pPr>
      <w:r>
        <w:rPr>
          <w:rStyle w:val="LineNumber"/>
        </w:rPr>
        <w:t>A.</w:t>
      </w:r>
      <w:r>
        <w:rPr>
          <w:rStyle w:val="LineNumber"/>
        </w:rPr>
        <w:tab/>
      </w:r>
      <w:r w:rsidR="0045522A" w:rsidRPr="00BA18B1">
        <w:rPr>
          <w:rStyle w:val="LineNumber"/>
        </w:rPr>
        <w:t xml:space="preserve">My testimony and exhibits will cover the Company’s electric </w:t>
      </w:r>
      <w:r w:rsidR="00E87DF8">
        <w:rPr>
          <w:rStyle w:val="LineNumber"/>
        </w:rPr>
        <w:t xml:space="preserve">revenue normalization adjustments and the electric </w:t>
      </w:r>
      <w:r w:rsidR="0045522A" w:rsidRPr="00BA18B1">
        <w:rPr>
          <w:rStyle w:val="LineNumber"/>
        </w:rPr>
        <w:t>cost of service stud</w:t>
      </w:r>
      <w:r w:rsidR="004D6200">
        <w:rPr>
          <w:rStyle w:val="LineNumber"/>
        </w:rPr>
        <w:t>y</w:t>
      </w:r>
      <w:r w:rsidR="0045522A" w:rsidRPr="00BA18B1">
        <w:rPr>
          <w:rStyle w:val="LineNumber"/>
        </w:rPr>
        <w:t xml:space="preserve"> performed for this proceeding</w:t>
      </w:r>
      <w:r w:rsidR="00750EA9" w:rsidRPr="00BA18B1">
        <w:rPr>
          <w:rStyle w:val="LineNumber"/>
        </w:rPr>
        <w:t>.</w:t>
      </w:r>
      <w:r w:rsidR="0045522A" w:rsidRPr="00BA18B1">
        <w:rPr>
          <w:rStyle w:val="LineNumber"/>
        </w:rPr>
        <w:t xml:space="preserve"> </w:t>
      </w:r>
      <w:r w:rsidR="00750EA9" w:rsidRPr="00BA18B1">
        <w:rPr>
          <w:rStyle w:val="LineNumber"/>
        </w:rPr>
        <w:t xml:space="preserve"> </w:t>
      </w:r>
      <w:r w:rsidR="002C2EBA">
        <w:rPr>
          <w:rStyle w:val="LineNumber"/>
        </w:rPr>
        <w:t>A table of contents for my testimony is as follows:</w:t>
      </w:r>
    </w:p>
    <w:p w:rsidR="0014724A" w:rsidRPr="004E6B01" w:rsidRDefault="00D75064" w:rsidP="002C2EBA">
      <w:pPr>
        <w:tabs>
          <w:tab w:val="right" w:pos="8820"/>
        </w:tabs>
        <w:spacing w:line="480" w:lineRule="auto"/>
        <w:ind w:firstLine="720"/>
        <w:jc w:val="both"/>
        <w:rPr>
          <w:rStyle w:val="LineNumber"/>
          <w:b/>
          <w:u w:val="single"/>
        </w:rPr>
      </w:pPr>
      <w:r w:rsidRPr="004E6B01">
        <w:rPr>
          <w:rStyle w:val="LineNumber"/>
          <w:b/>
          <w:u w:val="single"/>
        </w:rPr>
        <w:lastRenderedPageBreak/>
        <w:t>Description</w:t>
      </w:r>
      <w:r w:rsidR="002C2EBA" w:rsidRPr="004E6B01">
        <w:rPr>
          <w:rStyle w:val="LineNumber"/>
          <w:b/>
          <w:u w:val="single"/>
        </w:rPr>
        <w:tab/>
        <w:t>Page</w:t>
      </w:r>
    </w:p>
    <w:p w:rsidR="00A353B0" w:rsidRDefault="00A353B0" w:rsidP="004E6B01">
      <w:pPr>
        <w:tabs>
          <w:tab w:val="left" w:pos="1440"/>
          <w:tab w:val="right" w:pos="8730"/>
        </w:tabs>
        <w:spacing w:line="360" w:lineRule="auto"/>
        <w:ind w:firstLine="720"/>
        <w:jc w:val="both"/>
        <w:rPr>
          <w:rStyle w:val="LineNumber"/>
        </w:rPr>
      </w:pPr>
      <w:r>
        <w:rPr>
          <w:rStyle w:val="LineNumber"/>
        </w:rPr>
        <w:t>I.</w:t>
      </w:r>
      <w:r>
        <w:rPr>
          <w:rStyle w:val="LineNumber"/>
        </w:rPr>
        <w:tab/>
        <w:t>Introduction</w:t>
      </w:r>
      <w:r>
        <w:rPr>
          <w:rStyle w:val="LineNumber"/>
        </w:rPr>
        <w:tab/>
        <w:t>1</w:t>
      </w:r>
    </w:p>
    <w:p w:rsidR="007C1657" w:rsidRDefault="007C1657" w:rsidP="007C1657">
      <w:pPr>
        <w:tabs>
          <w:tab w:val="left" w:pos="1440"/>
          <w:tab w:val="left" w:pos="2160"/>
          <w:tab w:val="right" w:pos="8730"/>
        </w:tabs>
        <w:spacing w:line="360" w:lineRule="auto"/>
        <w:ind w:firstLine="720"/>
        <w:jc w:val="both"/>
        <w:rPr>
          <w:rStyle w:val="LineNumber"/>
        </w:rPr>
      </w:pPr>
      <w:r>
        <w:rPr>
          <w:rStyle w:val="LineNumber"/>
        </w:rPr>
        <w:t>II.</w:t>
      </w:r>
      <w:r>
        <w:rPr>
          <w:rStyle w:val="LineNumber"/>
        </w:rPr>
        <w:tab/>
      </w:r>
      <w:r w:rsidR="00DD4D14">
        <w:rPr>
          <w:rStyle w:val="LineNumber"/>
        </w:rPr>
        <w:t>Summary</w:t>
      </w:r>
      <w:r>
        <w:rPr>
          <w:rStyle w:val="LineNumber"/>
        </w:rPr>
        <w:tab/>
        <w:t>2</w:t>
      </w:r>
    </w:p>
    <w:p w:rsidR="00BA18B1" w:rsidRDefault="00A353B0" w:rsidP="004E6B01">
      <w:pPr>
        <w:tabs>
          <w:tab w:val="left" w:pos="1440"/>
          <w:tab w:val="left" w:pos="2160"/>
          <w:tab w:val="right" w:pos="8730"/>
        </w:tabs>
        <w:spacing w:line="360" w:lineRule="auto"/>
        <w:ind w:firstLine="720"/>
        <w:jc w:val="both"/>
        <w:rPr>
          <w:rStyle w:val="LineNumber"/>
        </w:rPr>
      </w:pPr>
      <w:r>
        <w:rPr>
          <w:rStyle w:val="LineNumber"/>
        </w:rPr>
        <w:t>I</w:t>
      </w:r>
      <w:r w:rsidR="007C1657">
        <w:rPr>
          <w:rStyle w:val="LineNumber"/>
        </w:rPr>
        <w:t>I</w:t>
      </w:r>
      <w:r>
        <w:rPr>
          <w:rStyle w:val="LineNumber"/>
        </w:rPr>
        <w:t>I.</w:t>
      </w:r>
      <w:r>
        <w:rPr>
          <w:rStyle w:val="LineNumber"/>
        </w:rPr>
        <w:tab/>
      </w:r>
      <w:r w:rsidR="004D6200">
        <w:rPr>
          <w:rStyle w:val="LineNumber"/>
        </w:rPr>
        <w:t xml:space="preserve">Electric </w:t>
      </w:r>
      <w:r w:rsidR="00BA18B1">
        <w:rPr>
          <w:rStyle w:val="LineNumber"/>
        </w:rPr>
        <w:t>Revenue Normalization</w:t>
      </w:r>
      <w:r w:rsidR="00BA18B1">
        <w:rPr>
          <w:rStyle w:val="LineNumber"/>
        </w:rPr>
        <w:tab/>
      </w:r>
      <w:r w:rsidR="007C1657">
        <w:rPr>
          <w:rStyle w:val="LineNumber"/>
        </w:rPr>
        <w:t>3</w:t>
      </w:r>
    </w:p>
    <w:p w:rsidR="007C1657" w:rsidRDefault="00A353B0" w:rsidP="00D45779">
      <w:pPr>
        <w:tabs>
          <w:tab w:val="left" w:pos="1440"/>
          <w:tab w:val="right" w:pos="8730"/>
        </w:tabs>
        <w:spacing w:line="360" w:lineRule="auto"/>
        <w:ind w:firstLine="720"/>
        <w:jc w:val="both"/>
        <w:rPr>
          <w:rStyle w:val="LineNumber"/>
        </w:rPr>
      </w:pPr>
      <w:r>
        <w:rPr>
          <w:rStyle w:val="LineNumber"/>
        </w:rPr>
        <w:t>I</w:t>
      </w:r>
      <w:r w:rsidR="007C1657">
        <w:rPr>
          <w:rStyle w:val="LineNumber"/>
        </w:rPr>
        <w:t>V</w:t>
      </w:r>
      <w:r>
        <w:rPr>
          <w:rStyle w:val="LineNumber"/>
        </w:rPr>
        <w:t>.</w:t>
      </w:r>
      <w:r>
        <w:rPr>
          <w:rStyle w:val="LineNumber"/>
        </w:rPr>
        <w:tab/>
      </w:r>
      <w:r w:rsidR="009B4C8F" w:rsidRPr="00BA18B1">
        <w:rPr>
          <w:rStyle w:val="LineNumber"/>
        </w:rPr>
        <w:t>Electric Cost of Service</w:t>
      </w:r>
      <w:r w:rsidR="009B4C8F" w:rsidRPr="00BA18B1">
        <w:rPr>
          <w:rStyle w:val="LineNumber"/>
        </w:rPr>
        <w:tab/>
      </w:r>
      <w:r w:rsidR="008107C4">
        <w:rPr>
          <w:rStyle w:val="LineNumber"/>
        </w:rPr>
        <w:t>10</w:t>
      </w:r>
    </w:p>
    <w:p w:rsidR="00D45779" w:rsidRPr="00D45779" w:rsidRDefault="00D45779" w:rsidP="00D45779">
      <w:pPr>
        <w:tabs>
          <w:tab w:val="left" w:pos="1440"/>
          <w:tab w:val="right" w:pos="8730"/>
        </w:tabs>
        <w:spacing w:line="360" w:lineRule="auto"/>
        <w:ind w:firstLine="720"/>
        <w:jc w:val="both"/>
        <w:rPr>
          <w:rStyle w:val="LineNumber"/>
        </w:rPr>
      </w:pPr>
    </w:p>
    <w:p w:rsidR="000D5190" w:rsidRPr="000D5190" w:rsidRDefault="000D5190" w:rsidP="00DE4DD1">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3E039E">
        <w:rPr>
          <w:rStyle w:val="LineNumber"/>
        </w:rPr>
        <w:t>.  I am sponsoring Exh. TLK-2</w:t>
      </w:r>
      <w:r w:rsidR="00E87DF8">
        <w:rPr>
          <w:rStyle w:val="LineNumber"/>
        </w:rPr>
        <w:t xml:space="preserve"> which</w:t>
      </w:r>
      <w:r w:rsidR="00687F22">
        <w:rPr>
          <w:rStyle w:val="LineNumber"/>
        </w:rPr>
        <w:t xml:space="preserve"> </w:t>
      </w:r>
      <w:r w:rsidR="00D75064">
        <w:rPr>
          <w:rStyle w:val="LineNumber"/>
        </w:rPr>
        <w:t>includes a narrative of</w:t>
      </w:r>
      <w:r>
        <w:rPr>
          <w:rStyle w:val="LineNumber"/>
        </w:rPr>
        <w:t xml:space="preserve"> </w:t>
      </w:r>
      <w:r w:rsidR="0050645E">
        <w:rPr>
          <w:rStyle w:val="LineNumber"/>
        </w:rPr>
        <w:t xml:space="preserve">the </w:t>
      </w:r>
      <w:r>
        <w:rPr>
          <w:rStyle w:val="LineNumber"/>
        </w:rPr>
        <w:t>electric cost of service study process</w:t>
      </w:r>
      <w:r w:rsidR="009E559A">
        <w:rPr>
          <w:rStyle w:val="LineNumber"/>
        </w:rPr>
        <w:t>, and</w:t>
      </w:r>
      <w:r w:rsidR="003E039E">
        <w:rPr>
          <w:rStyle w:val="LineNumber"/>
        </w:rPr>
        <w:t xml:space="preserve"> Exh. </w:t>
      </w:r>
      <w:r>
        <w:rPr>
          <w:rStyle w:val="LineNumber"/>
        </w:rPr>
        <w:t>TLK-</w:t>
      </w:r>
      <w:r w:rsidR="00687F22">
        <w:rPr>
          <w:rStyle w:val="LineNumber"/>
        </w:rPr>
        <w:t>3</w:t>
      </w:r>
      <w:r w:rsidR="00D75064">
        <w:rPr>
          <w:rStyle w:val="LineNumber"/>
        </w:rPr>
        <w:t xml:space="preserve"> presents</w:t>
      </w:r>
      <w:r>
        <w:rPr>
          <w:rStyle w:val="LineNumber"/>
        </w:rPr>
        <w:t xml:space="preserve"> </w:t>
      </w:r>
      <w:r w:rsidR="0050645E">
        <w:rPr>
          <w:rStyle w:val="LineNumber"/>
        </w:rPr>
        <w:t xml:space="preserve">the </w:t>
      </w:r>
      <w:r>
        <w:rPr>
          <w:rStyle w:val="LineNumber"/>
        </w:rPr>
        <w:t>electric cost of service study summary results.</w:t>
      </w:r>
      <w:r w:rsidR="0050645E">
        <w:rPr>
          <w:rStyle w:val="LineNumber"/>
        </w:rPr>
        <w:t xml:space="preserve">  </w:t>
      </w:r>
    </w:p>
    <w:p w:rsidR="0050645E" w:rsidRPr="0050645E" w:rsidRDefault="0050645E" w:rsidP="00DE4DD1">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D45779" w:rsidRDefault="00D45779" w:rsidP="00363154">
      <w:pPr>
        <w:pStyle w:val="Heading5"/>
        <w:rPr>
          <w:rStyle w:val="PageNumber"/>
          <w:u w:val="single"/>
        </w:rPr>
      </w:pPr>
    </w:p>
    <w:p w:rsidR="00D75064" w:rsidRDefault="00363154" w:rsidP="00363154">
      <w:pPr>
        <w:pStyle w:val="Heading5"/>
        <w:rPr>
          <w:rStyle w:val="LineNumber"/>
        </w:rPr>
      </w:pPr>
      <w:r w:rsidRPr="00046DF0">
        <w:rPr>
          <w:rStyle w:val="PageNumber"/>
          <w:u w:val="single"/>
        </w:rPr>
        <w:t xml:space="preserve">II.  </w:t>
      </w:r>
      <w:r>
        <w:rPr>
          <w:rStyle w:val="PageNumber"/>
          <w:u w:val="single"/>
        </w:rPr>
        <w:t>SUMMARY</w:t>
      </w:r>
    </w:p>
    <w:p w:rsidR="00363154" w:rsidRPr="00EC2DA1" w:rsidRDefault="00363154" w:rsidP="00363154">
      <w:pPr>
        <w:pStyle w:val="BodyText2"/>
        <w:tabs>
          <w:tab w:val="left" w:pos="1440"/>
        </w:tabs>
        <w:ind w:firstLine="720"/>
        <w:rPr>
          <w:rStyle w:val="LineNumber"/>
          <w:b/>
          <w:bCs/>
        </w:rPr>
      </w:pPr>
      <w:r w:rsidRPr="00EC2DA1">
        <w:rPr>
          <w:rStyle w:val="LineNumber"/>
          <w:b/>
          <w:bCs/>
        </w:rPr>
        <w:t>Q.</w:t>
      </w:r>
      <w:r w:rsidRPr="00EC2DA1">
        <w:rPr>
          <w:rStyle w:val="LineNumber"/>
          <w:b/>
          <w:bCs/>
        </w:rPr>
        <w:tab/>
        <w:t>Please briefly summarize your testimony related to the electric cost of service study.</w:t>
      </w:r>
    </w:p>
    <w:p w:rsidR="00F50778" w:rsidRDefault="00363154" w:rsidP="00F50778">
      <w:pPr>
        <w:pStyle w:val="BodyText2"/>
        <w:tabs>
          <w:tab w:val="left" w:pos="1440"/>
        </w:tabs>
        <w:ind w:firstLine="720"/>
        <w:rPr>
          <w:rStyle w:val="LineNumber"/>
        </w:rPr>
      </w:pPr>
      <w:r w:rsidRPr="00EC2DA1">
        <w:rPr>
          <w:rStyle w:val="LineNumber"/>
        </w:rPr>
        <w:t>A.</w:t>
      </w:r>
      <w:r w:rsidRPr="00EC2DA1">
        <w:rPr>
          <w:rStyle w:val="LineNumber"/>
        </w:rPr>
        <w:tab/>
        <w:t>I believe the Base Case cost of service study presented in this case is a fair representation of the costs to serve each customer group.  The Base Case study shows Residential Service Schedule</w:t>
      </w:r>
      <w:r w:rsidR="00321B27">
        <w:rPr>
          <w:rStyle w:val="LineNumber"/>
        </w:rPr>
        <w:t>s</w:t>
      </w:r>
      <w:r w:rsidRPr="00EC2DA1">
        <w:rPr>
          <w:rStyle w:val="LineNumber"/>
        </w:rPr>
        <w:t xml:space="preserve"> 1</w:t>
      </w:r>
      <w:r w:rsidR="00321B27">
        <w:rPr>
          <w:rStyle w:val="LineNumber"/>
        </w:rPr>
        <w:t>/2</w:t>
      </w:r>
      <w:r w:rsidRPr="00EC2DA1">
        <w:rPr>
          <w:rStyle w:val="LineNumber"/>
        </w:rPr>
        <w:t>, Pumping Service Schedules 31/32 and Street and Area Lighting Service Schedules 41 - 4</w:t>
      </w:r>
      <w:r w:rsidR="00DB4DE6">
        <w:rPr>
          <w:rStyle w:val="LineNumber"/>
        </w:rPr>
        <w:t>8</w:t>
      </w:r>
      <w:r w:rsidRPr="00EC2DA1">
        <w:rPr>
          <w:rStyle w:val="LineNumber"/>
        </w:rPr>
        <w:t xml:space="preserve"> provide less than the overall rate of return under present rates.  General Service Schedules 11/12 and Large General Service Schedules 21/22 provide more than the overall rate of return under present rates.  </w:t>
      </w:r>
      <w:r w:rsidR="00EC2DA1" w:rsidRPr="00EC2DA1">
        <w:rPr>
          <w:rStyle w:val="LineNumber"/>
        </w:rPr>
        <w:t>Extra Large General Service Schedule 25</w:t>
      </w:r>
      <w:r w:rsidR="00EC2DA1">
        <w:rPr>
          <w:rStyle w:val="LineNumber"/>
        </w:rPr>
        <w:t xml:space="preserve"> provides very close to the overall rate of return under present rates. </w:t>
      </w:r>
      <w:r w:rsidRPr="00BA18B1">
        <w:rPr>
          <w:rStyle w:val="LineNumber"/>
        </w:rPr>
        <w:t xml:space="preserve"> </w:t>
      </w:r>
      <w:r w:rsidR="00F50778">
        <w:rPr>
          <w:rStyle w:val="LineNumber"/>
        </w:rPr>
        <w:t xml:space="preserve">Table No. </w:t>
      </w:r>
      <w:r w:rsidR="00F50778">
        <w:rPr>
          <w:rStyle w:val="LineNumber"/>
        </w:rPr>
        <w:lastRenderedPageBreak/>
        <w:t xml:space="preserve">1 below </w:t>
      </w:r>
      <w:r w:rsidR="00F50778" w:rsidRPr="00BA18B1">
        <w:rPr>
          <w:rStyle w:val="LineNumber"/>
        </w:rPr>
        <w:t xml:space="preserve">shows the rate of return and the relationship of the customer class return to the overall return (relative return ratio) at </w:t>
      </w:r>
      <w:r w:rsidR="00F50778" w:rsidRPr="00BA18B1">
        <w:rPr>
          <w:rStyle w:val="LineNumber"/>
          <w:u w:val="single"/>
        </w:rPr>
        <w:t>present rates</w:t>
      </w:r>
      <w:r w:rsidR="00F50778" w:rsidRPr="00BA18B1">
        <w:rPr>
          <w:rStyle w:val="LineNumber"/>
        </w:rPr>
        <w:t xml:space="preserve"> for each rate schedule:</w:t>
      </w:r>
    </w:p>
    <w:p w:rsidR="00F50778" w:rsidRPr="00F50778" w:rsidRDefault="00F50778" w:rsidP="00F50778">
      <w:pPr>
        <w:pStyle w:val="BodyText2"/>
        <w:tabs>
          <w:tab w:val="left" w:pos="1440"/>
        </w:tabs>
        <w:rPr>
          <w:rStyle w:val="LineNumber"/>
          <w:b/>
          <w:u w:val="single"/>
        </w:rPr>
      </w:pPr>
      <w:r w:rsidRPr="00EC2DA1">
        <w:rPr>
          <w:rStyle w:val="LineNumber"/>
          <w:b/>
          <w:u w:val="single"/>
        </w:rPr>
        <w:t>Table No. 1</w:t>
      </w:r>
    </w:p>
    <w:p w:rsidR="00F50778" w:rsidRDefault="004145FC" w:rsidP="00363154">
      <w:pPr>
        <w:pStyle w:val="BodyText2"/>
        <w:tabs>
          <w:tab w:val="left" w:pos="1440"/>
        </w:tabs>
        <w:ind w:firstLine="720"/>
        <w:rPr>
          <w:rStyle w:val="LineNumber"/>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pt;margin-top:6.75pt;width:457pt;height:180.25pt;z-index:251661312;mso-position-horizontal-relative:text;mso-position-vertical-relative:text">
            <v:imagedata r:id="rId12" o:title=""/>
          </v:shape>
          <o:OLEObject Type="Embed" ProgID="Word.Document.12" ShapeID="_x0000_s1027" DrawAspect="Content" ObjectID="_1556522759" r:id="rId13">
            <o:FieldCodes>\s</o:FieldCodes>
          </o:OLEObject>
        </w:object>
      </w: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D45779" w:rsidRDefault="00D45779" w:rsidP="00D75064">
      <w:pPr>
        <w:pStyle w:val="Heading5"/>
        <w:rPr>
          <w:rStyle w:val="PageNumber"/>
          <w:u w:val="single"/>
        </w:rPr>
      </w:pPr>
    </w:p>
    <w:p w:rsidR="00D75064" w:rsidRPr="00046DF0" w:rsidRDefault="0045522A" w:rsidP="00D75064">
      <w:pPr>
        <w:pStyle w:val="Heading5"/>
        <w:rPr>
          <w:rStyle w:val="PageNumber"/>
          <w:u w:val="single"/>
        </w:rPr>
      </w:pPr>
      <w:r w:rsidRPr="00046DF0">
        <w:rPr>
          <w:rStyle w:val="PageNumber"/>
          <w:u w:val="single"/>
        </w:rPr>
        <w:t>I</w:t>
      </w:r>
      <w:r w:rsidR="00363154">
        <w:rPr>
          <w:rStyle w:val="PageNumber"/>
          <w:u w:val="single"/>
        </w:rPr>
        <w:t>I</w:t>
      </w:r>
      <w:r w:rsidRPr="00046DF0">
        <w:rPr>
          <w:rStyle w:val="PageNumber"/>
          <w:u w:val="single"/>
        </w:rPr>
        <w:t xml:space="preserve">I.  </w:t>
      </w:r>
      <w:r w:rsidR="00E87DF8" w:rsidRPr="00046DF0">
        <w:rPr>
          <w:rStyle w:val="PageNumber"/>
          <w:u w:val="single"/>
        </w:rPr>
        <w:t xml:space="preserve">ELECTRIC </w:t>
      </w:r>
      <w:r w:rsidR="00750EA9" w:rsidRPr="00046DF0">
        <w:rPr>
          <w:rStyle w:val="PageNumber"/>
          <w:u w:val="single"/>
        </w:rPr>
        <w:t>REVENUE</w:t>
      </w:r>
      <w:r w:rsidRPr="00046DF0">
        <w:rPr>
          <w:rStyle w:val="PageNumber"/>
          <w:u w:val="single"/>
        </w:rPr>
        <w:t xml:space="preserve"> NORMALIZATION</w:t>
      </w:r>
    </w:p>
    <w:p w:rsidR="009B4C8F" w:rsidRPr="00046DF0" w:rsidRDefault="009B4C8F">
      <w:pPr>
        <w:pStyle w:val="BodyText2"/>
        <w:tabs>
          <w:tab w:val="left" w:pos="1440"/>
        </w:tabs>
        <w:ind w:firstLine="720"/>
        <w:rPr>
          <w:rStyle w:val="LineNumber"/>
          <w:b/>
          <w:bCs/>
        </w:rPr>
      </w:pPr>
      <w:r w:rsidRPr="00046DF0">
        <w:rPr>
          <w:rStyle w:val="LineNumber"/>
          <w:b/>
          <w:bCs/>
        </w:rPr>
        <w:t>Q.</w:t>
      </w:r>
      <w:r w:rsidRPr="00046DF0">
        <w:rPr>
          <w:rStyle w:val="LineNumber"/>
          <w:b/>
          <w:bCs/>
        </w:rPr>
        <w:tab/>
        <w:t>Would you please</w:t>
      </w:r>
      <w:r w:rsidR="002D310E" w:rsidRPr="00046DF0">
        <w:rPr>
          <w:rStyle w:val="LineNumber"/>
          <w:b/>
          <w:bCs/>
        </w:rPr>
        <w:t xml:space="preserve"> </w:t>
      </w:r>
      <w:r w:rsidR="00815443" w:rsidRPr="00046DF0">
        <w:rPr>
          <w:rStyle w:val="LineNumber"/>
          <w:b/>
          <w:bCs/>
        </w:rPr>
        <w:t>describe</w:t>
      </w:r>
      <w:r w:rsidRPr="00046DF0">
        <w:rPr>
          <w:rStyle w:val="LineNumber"/>
          <w:b/>
          <w:bCs/>
        </w:rPr>
        <w:t xml:space="preserve"> the electric revenue </w:t>
      </w:r>
      <w:r w:rsidR="00541A1B" w:rsidRPr="00046DF0">
        <w:rPr>
          <w:rStyle w:val="LineNumber"/>
          <w:b/>
          <w:bCs/>
        </w:rPr>
        <w:t xml:space="preserve">normalization </w:t>
      </w:r>
      <w:r w:rsidRPr="00046DF0">
        <w:rPr>
          <w:rStyle w:val="LineNumber"/>
          <w:b/>
          <w:bCs/>
        </w:rPr>
        <w:t>adjustment</w:t>
      </w:r>
      <w:r w:rsidR="00CC2CB8" w:rsidRPr="00046DF0">
        <w:rPr>
          <w:rStyle w:val="LineNumber"/>
          <w:b/>
          <w:bCs/>
        </w:rPr>
        <w:t>s</w:t>
      </w:r>
      <w:r w:rsidR="00E12248" w:rsidRPr="00046DF0">
        <w:rPr>
          <w:rStyle w:val="LineNumber"/>
          <w:b/>
          <w:bCs/>
        </w:rPr>
        <w:t xml:space="preserve"> included in </w:t>
      </w:r>
      <w:r w:rsidR="00E37C4B" w:rsidRPr="00046DF0">
        <w:rPr>
          <w:rStyle w:val="LineNumber"/>
          <w:b/>
          <w:bCs/>
        </w:rPr>
        <w:t xml:space="preserve">Company witness </w:t>
      </w:r>
      <w:r w:rsidR="00815443" w:rsidRPr="00046DF0">
        <w:rPr>
          <w:rStyle w:val="LineNumber"/>
          <w:b/>
          <w:bCs/>
        </w:rPr>
        <w:t>Ms. Andrews</w:t>
      </w:r>
      <w:r w:rsidR="002447E9">
        <w:rPr>
          <w:rStyle w:val="LineNumber"/>
          <w:b/>
          <w:bCs/>
        </w:rPr>
        <w:t>’</w:t>
      </w:r>
      <w:r w:rsidR="00815443" w:rsidRPr="00046DF0">
        <w:rPr>
          <w:rStyle w:val="LineNumber"/>
          <w:b/>
          <w:bCs/>
        </w:rPr>
        <w:t xml:space="preserve"> </w:t>
      </w:r>
      <w:r w:rsidR="002447E9">
        <w:rPr>
          <w:rStyle w:val="LineNumber"/>
          <w:b/>
          <w:bCs/>
        </w:rPr>
        <w:t>Revenue Requirement</w:t>
      </w:r>
      <w:r w:rsidR="00F56BB5" w:rsidRPr="00046DF0">
        <w:rPr>
          <w:rStyle w:val="LineNumber"/>
          <w:b/>
          <w:bCs/>
        </w:rPr>
        <w:t xml:space="preserve"> </w:t>
      </w:r>
      <w:r w:rsidR="00CC2CB8" w:rsidRPr="00046DF0">
        <w:rPr>
          <w:rStyle w:val="LineNumber"/>
          <w:b/>
          <w:bCs/>
        </w:rPr>
        <w:t>S</w:t>
      </w:r>
      <w:r w:rsidR="00F56BB5" w:rsidRPr="00046DF0">
        <w:rPr>
          <w:rStyle w:val="LineNumber"/>
          <w:b/>
          <w:bCs/>
        </w:rPr>
        <w:t>tud</w:t>
      </w:r>
      <w:r w:rsidR="008959F0">
        <w:rPr>
          <w:rStyle w:val="LineNumber"/>
          <w:b/>
          <w:bCs/>
        </w:rPr>
        <w:t>ies</w:t>
      </w:r>
      <w:r w:rsidR="00815443" w:rsidRPr="00046DF0">
        <w:rPr>
          <w:rStyle w:val="LineNumber"/>
          <w:b/>
          <w:bCs/>
        </w:rPr>
        <w:t>?</w:t>
      </w:r>
    </w:p>
    <w:p w:rsidR="00352530" w:rsidRPr="00046DF0" w:rsidRDefault="00815443" w:rsidP="00352530">
      <w:pPr>
        <w:pStyle w:val="BodyText2"/>
        <w:tabs>
          <w:tab w:val="left" w:pos="1440"/>
        </w:tabs>
        <w:ind w:firstLine="720"/>
        <w:rPr>
          <w:rStyle w:val="LineNumber"/>
          <w:bCs/>
        </w:rPr>
      </w:pPr>
      <w:r w:rsidRPr="00046DF0">
        <w:rPr>
          <w:rStyle w:val="LineNumber"/>
          <w:bCs/>
        </w:rPr>
        <w:t>A.</w:t>
      </w:r>
      <w:r w:rsidRPr="00046DF0">
        <w:rPr>
          <w:rStyle w:val="LineNumber"/>
          <w:bCs/>
        </w:rPr>
        <w:tab/>
        <w:t xml:space="preserve">Yes.  </w:t>
      </w:r>
      <w:r w:rsidR="002447E9">
        <w:rPr>
          <w:rStyle w:val="LineNumber"/>
          <w:bCs/>
        </w:rPr>
        <w:t xml:space="preserve">As Ms. Andrews includes the same </w:t>
      </w:r>
      <w:r w:rsidR="00D40056">
        <w:rPr>
          <w:rStyle w:val="LineNumber"/>
          <w:bCs/>
        </w:rPr>
        <w:t xml:space="preserve">revenue </w:t>
      </w:r>
      <w:r w:rsidR="002447E9">
        <w:rPr>
          <w:rStyle w:val="LineNumber"/>
          <w:bCs/>
        </w:rPr>
        <w:t>adjustments in multiple studies</w:t>
      </w:r>
      <w:r w:rsidR="002C0DFA">
        <w:rPr>
          <w:rStyle w:val="FootnoteReference"/>
          <w:bCs/>
        </w:rPr>
        <w:footnoteReference w:id="1"/>
      </w:r>
      <w:r w:rsidR="002447E9">
        <w:rPr>
          <w:rStyle w:val="LineNumber"/>
          <w:bCs/>
        </w:rPr>
        <w:t xml:space="preserve">, for ease of reference </w:t>
      </w:r>
      <w:r w:rsidR="00D40056">
        <w:rPr>
          <w:rStyle w:val="LineNumber"/>
          <w:bCs/>
        </w:rPr>
        <w:t xml:space="preserve">unless otherwise stated, </w:t>
      </w:r>
      <w:r w:rsidR="002447E9">
        <w:rPr>
          <w:rStyle w:val="LineNumber"/>
          <w:bCs/>
        </w:rPr>
        <w:t>my testimony</w:t>
      </w:r>
      <w:r w:rsidR="00D40056">
        <w:rPr>
          <w:rStyle w:val="LineNumber"/>
          <w:bCs/>
        </w:rPr>
        <w:t xml:space="preserve"> will refer specifically to</w:t>
      </w:r>
      <w:r w:rsidR="002447E9">
        <w:rPr>
          <w:rStyle w:val="LineNumber"/>
          <w:bCs/>
        </w:rPr>
        <w:t xml:space="preserve"> </w:t>
      </w:r>
      <w:r w:rsidR="00E1396F">
        <w:rPr>
          <w:rStyle w:val="LineNumber"/>
          <w:bCs/>
        </w:rPr>
        <w:t>her Exh.</w:t>
      </w:r>
      <w:r w:rsidR="00D40056">
        <w:rPr>
          <w:rStyle w:val="LineNumber"/>
          <w:bCs/>
        </w:rPr>
        <w:t xml:space="preserve"> EMA-3 Electric </w:t>
      </w:r>
      <w:r w:rsidR="00E1396F">
        <w:rPr>
          <w:rStyle w:val="LineNumber"/>
          <w:bCs/>
        </w:rPr>
        <w:t>EOP</w:t>
      </w:r>
      <w:r w:rsidR="00D40056">
        <w:rPr>
          <w:rStyle w:val="LineNumber"/>
          <w:bCs/>
        </w:rPr>
        <w:t xml:space="preserve"> </w:t>
      </w:r>
      <w:r w:rsidR="005B3530">
        <w:rPr>
          <w:rStyle w:val="LineNumber"/>
          <w:bCs/>
        </w:rPr>
        <w:t xml:space="preserve">Rate Base </w:t>
      </w:r>
      <w:r w:rsidR="00D40056">
        <w:rPr>
          <w:rStyle w:val="LineNumber"/>
          <w:bCs/>
        </w:rPr>
        <w:t xml:space="preserve">Study.  </w:t>
      </w:r>
      <w:r w:rsidR="00046DF0" w:rsidRPr="00046DF0">
        <w:rPr>
          <w:rStyle w:val="LineNumber"/>
          <w:bCs/>
        </w:rPr>
        <w:t xml:space="preserve">Similar to the natural gas revenue normalization adjustment, sponsored by Company witness Mr. Miller, there are three separate adjustments that normalize </w:t>
      </w:r>
      <w:r w:rsidR="00FC7767">
        <w:rPr>
          <w:rStyle w:val="LineNumber"/>
          <w:bCs/>
        </w:rPr>
        <w:t xml:space="preserve">revenue as part of </w:t>
      </w:r>
      <w:r w:rsidR="002447E9">
        <w:rPr>
          <w:rStyle w:val="LineNumber"/>
          <w:bCs/>
        </w:rPr>
        <w:t>Ms. Andrews’</w:t>
      </w:r>
      <w:r w:rsidR="00FC7767">
        <w:rPr>
          <w:rStyle w:val="LineNumber"/>
          <w:bCs/>
        </w:rPr>
        <w:t xml:space="preserve"> electric</w:t>
      </w:r>
      <w:r w:rsidR="002447E9">
        <w:rPr>
          <w:rStyle w:val="LineNumber"/>
          <w:bCs/>
        </w:rPr>
        <w:t xml:space="preserve"> </w:t>
      </w:r>
      <w:r w:rsidR="005B3530">
        <w:rPr>
          <w:rStyle w:val="LineNumber"/>
          <w:bCs/>
        </w:rPr>
        <w:t>EOP Rate Base S</w:t>
      </w:r>
      <w:r w:rsidR="002447E9">
        <w:rPr>
          <w:rStyle w:val="LineNumber"/>
          <w:bCs/>
        </w:rPr>
        <w:t>tud</w:t>
      </w:r>
      <w:r w:rsidR="005B3530">
        <w:rPr>
          <w:rStyle w:val="LineNumber"/>
          <w:bCs/>
        </w:rPr>
        <w:t>y</w:t>
      </w:r>
      <w:r w:rsidR="00046DF0" w:rsidRPr="00046DF0">
        <w:rPr>
          <w:rStyle w:val="LineNumber"/>
          <w:bCs/>
        </w:rPr>
        <w:t>:</w:t>
      </w:r>
    </w:p>
    <w:p w:rsidR="00352530" w:rsidRPr="00046DF0" w:rsidRDefault="00352530" w:rsidP="00352530">
      <w:pPr>
        <w:pStyle w:val="BodyText2"/>
        <w:tabs>
          <w:tab w:val="left" w:pos="1440"/>
        </w:tabs>
        <w:ind w:firstLine="720"/>
        <w:rPr>
          <w:rStyle w:val="LineNumber"/>
          <w:bCs/>
        </w:rPr>
      </w:pPr>
      <w:r w:rsidRPr="00A6717C">
        <w:rPr>
          <w:rStyle w:val="LineNumber"/>
          <w:b/>
          <w:bCs/>
        </w:rPr>
        <w:lastRenderedPageBreak/>
        <w:t>1</w:t>
      </w:r>
      <w:r w:rsidR="00B73AA3">
        <w:rPr>
          <w:rStyle w:val="LineNumber"/>
          <w:b/>
          <w:bCs/>
        </w:rPr>
        <w:t>.</w:t>
      </w:r>
      <w:r w:rsidR="00BE672F" w:rsidRPr="00046DF0">
        <w:rPr>
          <w:rStyle w:val="LineNumber"/>
          <w:bCs/>
        </w:rPr>
        <w:t xml:space="preserve"> </w:t>
      </w:r>
      <w:r w:rsidR="005F5D7B" w:rsidRPr="005F5D7B">
        <w:rPr>
          <w:rStyle w:val="LineNumber"/>
          <w:b/>
          <w:bCs/>
        </w:rPr>
        <w:t>Weather Normalization</w:t>
      </w:r>
      <w:r w:rsidR="005F5D7B">
        <w:rPr>
          <w:rStyle w:val="LineNumber"/>
          <w:bCs/>
        </w:rPr>
        <w:t xml:space="preserve">:  </w:t>
      </w:r>
      <w:r w:rsidR="00572BB5">
        <w:rPr>
          <w:rStyle w:val="LineNumber"/>
          <w:bCs/>
        </w:rPr>
        <w:t xml:space="preserve">Column 2.10 </w:t>
      </w:r>
      <w:r w:rsidR="00D40056">
        <w:rPr>
          <w:rStyle w:val="LineNumber"/>
          <w:bCs/>
        </w:rPr>
        <w:t>of</w:t>
      </w:r>
      <w:r w:rsidR="00572BB5">
        <w:rPr>
          <w:rStyle w:val="LineNumber"/>
          <w:bCs/>
        </w:rPr>
        <w:t xml:space="preserve"> Ms. Andrews’ </w:t>
      </w:r>
      <w:r w:rsidR="00E1396F">
        <w:rPr>
          <w:rStyle w:val="LineNumber"/>
          <w:bCs/>
        </w:rPr>
        <w:t>Exh.</w:t>
      </w:r>
      <w:r w:rsidR="00D40056">
        <w:rPr>
          <w:rStyle w:val="LineNumber"/>
          <w:bCs/>
        </w:rPr>
        <w:t xml:space="preserve"> EMA-3, page </w:t>
      </w:r>
      <w:r w:rsidR="003918E4">
        <w:rPr>
          <w:rStyle w:val="LineNumber"/>
          <w:bCs/>
        </w:rPr>
        <w:t>6</w:t>
      </w:r>
      <w:r w:rsidR="00572BB5">
        <w:rPr>
          <w:rStyle w:val="LineNumber"/>
          <w:bCs/>
        </w:rPr>
        <w:t xml:space="preserve"> is</w:t>
      </w:r>
      <w:r w:rsidRPr="00046DF0">
        <w:rPr>
          <w:rStyle w:val="LineNumber"/>
          <w:bCs/>
        </w:rPr>
        <w:t xml:space="preserve"> a Commission Basis weather normalization </w:t>
      </w:r>
      <w:r w:rsidR="00572BB5">
        <w:rPr>
          <w:rStyle w:val="LineNumber"/>
          <w:bCs/>
        </w:rPr>
        <w:t xml:space="preserve">restating </w:t>
      </w:r>
      <w:r w:rsidRPr="00046DF0">
        <w:rPr>
          <w:rStyle w:val="LineNumber"/>
          <w:bCs/>
        </w:rPr>
        <w:t>adjustment.</w:t>
      </w:r>
      <w:r w:rsidR="00BE672F" w:rsidRPr="00046DF0">
        <w:rPr>
          <w:rStyle w:val="LineNumber"/>
          <w:bCs/>
        </w:rPr>
        <w:t xml:space="preserve">  Revenues </w:t>
      </w:r>
      <w:r w:rsidR="00AD3589" w:rsidRPr="00046DF0">
        <w:rPr>
          <w:rStyle w:val="LineNumber"/>
          <w:bCs/>
        </w:rPr>
        <w:t xml:space="preserve">for this adjustment </w:t>
      </w:r>
      <w:r w:rsidR="00BE672F" w:rsidRPr="00046DF0">
        <w:rPr>
          <w:rStyle w:val="LineNumber"/>
          <w:bCs/>
        </w:rPr>
        <w:t xml:space="preserve">are based on rates that were in effect during the </w:t>
      </w:r>
      <w:r w:rsidR="00F345C4">
        <w:rPr>
          <w:rStyle w:val="LineNumber"/>
          <w:bCs/>
        </w:rPr>
        <w:t>January</w:t>
      </w:r>
      <w:r w:rsidR="00BE672F" w:rsidRPr="00046DF0">
        <w:rPr>
          <w:rStyle w:val="LineNumber"/>
          <w:bCs/>
        </w:rPr>
        <w:t xml:space="preserve"> 201</w:t>
      </w:r>
      <w:r w:rsidR="00F345C4">
        <w:rPr>
          <w:rStyle w:val="LineNumber"/>
          <w:bCs/>
        </w:rPr>
        <w:t>6</w:t>
      </w:r>
      <w:r w:rsidR="00BE672F" w:rsidRPr="00046DF0">
        <w:rPr>
          <w:rStyle w:val="LineNumber"/>
          <w:bCs/>
        </w:rPr>
        <w:t xml:space="preserve"> through </w:t>
      </w:r>
      <w:r w:rsidR="00F345C4">
        <w:rPr>
          <w:rStyle w:val="LineNumber"/>
          <w:bCs/>
        </w:rPr>
        <w:t>December</w:t>
      </w:r>
      <w:r w:rsidR="00E87DF8" w:rsidRPr="00046DF0">
        <w:rPr>
          <w:rStyle w:val="LineNumber"/>
          <w:bCs/>
        </w:rPr>
        <w:t xml:space="preserve"> 201</w:t>
      </w:r>
      <w:r w:rsidR="00F345C4">
        <w:rPr>
          <w:rStyle w:val="LineNumber"/>
          <w:bCs/>
        </w:rPr>
        <w:t>6</w:t>
      </w:r>
      <w:r w:rsidR="007B4971">
        <w:rPr>
          <w:rStyle w:val="LineNumber"/>
          <w:bCs/>
        </w:rPr>
        <w:t xml:space="preserve"> test period, and kWh sales and revenues</w:t>
      </w:r>
      <w:r w:rsidR="00FF55A2">
        <w:rPr>
          <w:rStyle w:val="LineNumber"/>
          <w:bCs/>
        </w:rPr>
        <w:t xml:space="preserve"> have been adjusted</w:t>
      </w:r>
      <w:r w:rsidR="007B4971">
        <w:rPr>
          <w:rStyle w:val="LineNumber"/>
          <w:bCs/>
        </w:rPr>
        <w:t xml:space="preserve"> to reflect normal weather conditions.</w:t>
      </w:r>
      <w:r w:rsidR="00572BB5">
        <w:rPr>
          <w:rStyle w:val="LineNumber"/>
          <w:bCs/>
        </w:rPr>
        <w:t xml:space="preserve">  </w:t>
      </w:r>
      <w:r w:rsidR="002426F1">
        <w:rPr>
          <w:rStyle w:val="LineNumber"/>
          <w:bCs/>
        </w:rPr>
        <w:t xml:space="preserve">The </w:t>
      </w:r>
      <w:r w:rsidR="00332DAD">
        <w:rPr>
          <w:rStyle w:val="LineNumber"/>
          <w:bCs/>
        </w:rPr>
        <w:t xml:space="preserve">weather-related </w:t>
      </w:r>
      <w:r w:rsidR="002426F1">
        <w:rPr>
          <w:rStyle w:val="LineNumber"/>
          <w:bCs/>
        </w:rPr>
        <w:t>revenues associated with the Company’s electric decoupling mechanism are removed</w:t>
      </w:r>
      <w:r w:rsidR="00332DAD">
        <w:rPr>
          <w:rStyle w:val="LineNumber"/>
          <w:bCs/>
        </w:rPr>
        <w:t xml:space="preserve"> in this adjustment</w:t>
      </w:r>
      <w:r w:rsidR="002426F1">
        <w:rPr>
          <w:rStyle w:val="LineNumber"/>
          <w:bCs/>
        </w:rPr>
        <w:t xml:space="preserve">, as </w:t>
      </w:r>
      <w:r w:rsidR="00EA4C29">
        <w:rPr>
          <w:rStyle w:val="LineNumber"/>
          <w:bCs/>
        </w:rPr>
        <w:t>kWh sales and revenues have been normalized to reflect normal weather conditions.</w:t>
      </w:r>
    </w:p>
    <w:p w:rsidR="003A321C" w:rsidRPr="00046DF0" w:rsidRDefault="00352530">
      <w:pPr>
        <w:pStyle w:val="BodyText2"/>
        <w:tabs>
          <w:tab w:val="left" w:pos="1440"/>
        </w:tabs>
        <w:ind w:firstLine="720"/>
        <w:rPr>
          <w:rStyle w:val="LineNumber"/>
          <w:bCs/>
        </w:rPr>
      </w:pPr>
      <w:r w:rsidRPr="00A6717C">
        <w:rPr>
          <w:rStyle w:val="LineNumber"/>
          <w:b/>
          <w:bCs/>
        </w:rPr>
        <w:t>2</w:t>
      </w:r>
      <w:r w:rsidR="00B73AA3">
        <w:rPr>
          <w:rStyle w:val="LineNumber"/>
          <w:b/>
          <w:bCs/>
        </w:rPr>
        <w:t>.</w:t>
      </w:r>
      <w:r w:rsidR="00BE672F" w:rsidRPr="00046DF0">
        <w:rPr>
          <w:rStyle w:val="LineNumber"/>
          <w:bCs/>
        </w:rPr>
        <w:t xml:space="preserve"> </w:t>
      </w:r>
      <w:r w:rsidR="005F5D7B" w:rsidRPr="005F5D7B">
        <w:rPr>
          <w:rStyle w:val="LineNumber"/>
          <w:b/>
          <w:bCs/>
        </w:rPr>
        <w:t>Eliminate Adder Schedules</w:t>
      </w:r>
      <w:r w:rsidR="005F5D7B">
        <w:rPr>
          <w:rStyle w:val="LineNumber"/>
          <w:bCs/>
        </w:rPr>
        <w:t xml:space="preserve">:  </w:t>
      </w:r>
      <w:r w:rsidR="00E87DF8" w:rsidRPr="00046DF0">
        <w:rPr>
          <w:rStyle w:val="LineNumber"/>
          <w:bCs/>
        </w:rPr>
        <w:t xml:space="preserve">In addition to the weather normalization adjustment, </w:t>
      </w:r>
      <w:r w:rsidR="008959F0">
        <w:rPr>
          <w:rStyle w:val="LineNumber"/>
          <w:bCs/>
        </w:rPr>
        <w:t>Ms. Andrews’</w:t>
      </w:r>
      <w:r w:rsidR="006B53CA">
        <w:rPr>
          <w:rStyle w:val="LineNumber"/>
          <w:bCs/>
        </w:rPr>
        <w:t xml:space="preserve"> study</w:t>
      </w:r>
      <w:r w:rsidR="00E87DF8" w:rsidRPr="00046DF0">
        <w:rPr>
          <w:rStyle w:val="LineNumber"/>
          <w:bCs/>
        </w:rPr>
        <w:t xml:space="preserve"> also include</w:t>
      </w:r>
      <w:r w:rsidR="006B53CA">
        <w:rPr>
          <w:rStyle w:val="LineNumber"/>
          <w:bCs/>
        </w:rPr>
        <w:t>s</w:t>
      </w:r>
      <w:r w:rsidR="00E87DF8" w:rsidRPr="00046DF0">
        <w:rPr>
          <w:rStyle w:val="LineNumber"/>
          <w:bCs/>
        </w:rPr>
        <w:t xml:space="preserve"> an Eliminate Adder Schedules </w:t>
      </w:r>
      <w:r w:rsidR="008959F0">
        <w:rPr>
          <w:rStyle w:val="LineNumber"/>
          <w:bCs/>
        </w:rPr>
        <w:t xml:space="preserve">restating </w:t>
      </w:r>
      <w:r w:rsidR="00E87DF8" w:rsidRPr="00046DF0">
        <w:rPr>
          <w:rStyle w:val="LineNumber"/>
          <w:bCs/>
        </w:rPr>
        <w:t>adjustment</w:t>
      </w:r>
      <w:r w:rsidR="008959F0">
        <w:rPr>
          <w:rStyle w:val="LineNumber"/>
          <w:bCs/>
        </w:rPr>
        <w:t xml:space="preserve"> in column 2.11</w:t>
      </w:r>
      <w:r w:rsidR="00E1396F">
        <w:rPr>
          <w:rStyle w:val="LineNumber"/>
          <w:bCs/>
        </w:rPr>
        <w:t xml:space="preserve"> of Exh.</w:t>
      </w:r>
      <w:r w:rsidR="006B53CA">
        <w:rPr>
          <w:rStyle w:val="LineNumber"/>
          <w:bCs/>
        </w:rPr>
        <w:t xml:space="preserve"> EMA-3</w:t>
      </w:r>
      <w:r w:rsidR="00E312D7">
        <w:rPr>
          <w:rStyle w:val="LineNumber"/>
          <w:bCs/>
        </w:rPr>
        <w:t xml:space="preserve">, page </w:t>
      </w:r>
      <w:r w:rsidR="003918E4">
        <w:rPr>
          <w:rStyle w:val="LineNumber"/>
          <w:bCs/>
        </w:rPr>
        <w:t>6</w:t>
      </w:r>
      <w:r w:rsidR="00E312D7">
        <w:rPr>
          <w:rStyle w:val="LineNumber"/>
          <w:bCs/>
        </w:rPr>
        <w:t>,</w:t>
      </w:r>
      <w:r w:rsidR="00E87DF8" w:rsidRPr="00046DF0">
        <w:rPr>
          <w:rStyle w:val="LineNumber"/>
          <w:bCs/>
        </w:rPr>
        <w:t xml:space="preserve"> which removes the impact of adder schedule revenues and related expenses during the </w:t>
      </w:r>
      <w:r w:rsidR="00F345C4">
        <w:rPr>
          <w:rStyle w:val="LineNumber"/>
          <w:bCs/>
        </w:rPr>
        <w:t>January</w:t>
      </w:r>
      <w:r w:rsidR="00E87DF8" w:rsidRPr="00046DF0">
        <w:rPr>
          <w:rStyle w:val="LineNumber"/>
          <w:bCs/>
        </w:rPr>
        <w:t xml:space="preserve"> 201</w:t>
      </w:r>
      <w:r w:rsidR="00F345C4">
        <w:rPr>
          <w:rStyle w:val="LineNumber"/>
          <w:bCs/>
        </w:rPr>
        <w:t>6</w:t>
      </w:r>
      <w:r w:rsidR="00E87DF8" w:rsidRPr="00046DF0">
        <w:rPr>
          <w:rStyle w:val="LineNumber"/>
          <w:bCs/>
        </w:rPr>
        <w:t xml:space="preserve"> through </w:t>
      </w:r>
      <w:r w:rsidR="00F345C4">
        <w:rPr>
          <w:rStyle w:val="LineNumber"/>
          <w:bCs/>
        </w:rPr>
        <w:t>December</w:t>
      </w:r>
      <w:r w:rsidR="00E87DF8" w:rsidRPr="00046DF0">
        <w:rPr>
          <w:rStyle w:val="LineNumber"/>
          <w:bCs/>
        </w:rPr>
        <w:t xml:space="preserve"> 201</w:t>
      </w:r>
      <w:r w:rsidR="00F345C4">
        <w:rPr>
          <w:rStyle w:val="LineNumber"/>
          <w:bCs/>
        </w:rPr>
        <w:t>6</w:t>
      </w:r>
      <w:r w:rsidR="00046DF0" w:rsidRPr="00046DF0">
        <w:rPr>
          <w:rStyle w:val="LineNumber"/>
          <w:bCs/>
        </w:rPr>
        <w:t xml:space="preserve"> </w:t>
      </w:r>
      <w:r w:rsidR="00E87DF8" w:rsidRPr="00046DF0">
        <w:rPr>
          <w:rStyle w:val="LineNumber"/>
          <w:bCs/>
        </w:rPr>
        <w:t>test period.</w:t>
      </w:r>
    </w:p>
    <w:p w:rsidR="00352530" w:rsidRDefault="003A321C" w:rsidP="00F87315">
      <w:pPr>
        <w:pStyle w:val="BodyText2"/>
        <w:tabs>
          <w:tab w:val="left" w:pos="1440"/>
        </w:tabs>
        <w:ind w:firstLine="720"/>
        <w:rPr>
          <w:rStyle w:val="LineNumber"/>
          <w:bCs/>
        </w:rPr>
      </w:pPr>
      <w:r w:rsidRPr="00A6717C">
        <w:rPr>
          <w:rStyle w:val="LineNumber"/>
          <w:b/>
          <w:bCs/>
        </w:rPr>
        <w:t>3</w:t>
      </w:r>
      <w:r w:rsidR="00B73AA3">
        <w:rPr>
          <w:rStyle w:val="LineNumber"/>
          <w:b/>
          <w:bCs/>
        </w:rPr>
        <w:t>.</w:t>
      </w:r>
      <w:r w:rsidRPr="00046DF0">
        <w:rPr>
          <w:rStyle w:val="LineNumber"/>
          <w:bCs/>
        </w:rPr>
        <w:t xml:space="preserve"> </w:t>
      </w:r>
      <w:r w:rsidR="005F5D7B" w:rsidRPr="005F5D7B">
        <w:rPr>
          <w:rStyle w:val="LineNumber"/>
          <w:b/>
          <w:bCs/>
        </w:rPr>
        <w:t>Pro Forma Revenue</w:t>
      </w:r>
      <w:r w:rsidR="005F5D7B">
        <w:rPr>
          <w:rStyle w:val="LineNumber"/>
          <w:bCs/>
        </w:rPr>
        <w:t xml:space="preserve">: </w:t>
      </w:r>
      <w:r w:rsidR="009A190C">
        <w:rPr>
          <w:rStyle w:val="LineNumber"/>
          <w:bCs/>
        </w:rPr>
        <w:t xml:space="preserve"> </w:t>
      </w:r>
      <w:r w:rsidRPr="00046DF0">
        <w:rPr>
          <w:rStyle w:val="LineNumber"/>
          <w:bCs/>
        </w:rPr>
        <w:t xml:space="preserve"> The Pro Forma </w:t>
      </w:r>
      <w:r w:rsidR="00352530" w:rsidRPr="00046DF0">
        <w:rPr>
          <w:rStyle w:val="LineNumber"/>
          <w:bCs/>
        </w:rPr>
        <w:t xml:space="preserve">Revenue Normalization Adjustment in </w:t>
      </w:r>
      <w:r w:rsidR="00352530" w:rsidRPr="008959F0">
        <w:rPr>
          <w:rStyle w:val="LineNumber"/>
          <w:bCs/>
        </w:rPr>
        <w:t xml:space="preserve">column </w:t>
      </w:r>
      <w:r w:rsidR="008959F0">
        <w:rPr>
          <w:rStyle w:val="LineNumber"/>
          <w:bCs/>
        </w:rPr>
        <w:t>3.08</w:t>
      </w:r>
      <w:r w:rsidR="00352530" w:rsidRPr="008959F0">
        <w:rPr>
          <w:rStyle w:val="LineNumber"/>
          <w:bCs/>
        </w:rPr>
        <w:t xml:space="preserve"> of</w:t>
      </w:r>
      <w:r w:rsidR="00590442" w:rsidRPr="008959F0">
        <w:rPr>
          <w:rStyle w:val="LineNumber"/>
          <w:bCs/>
        </w:rPr>
        <w:t xml:space="preserve"> </w:t>
      </w:r>
      <w:r w:rsidR="006B53CA">
        <w:rPr>
          <w:rStyle w:val="LineNumber"/>
          <w:bCs/>
        </w:rPr>
        <w:t>Exh</w:t>
      </w:r>
      <w:r w:rsidR="00E1396F">
        <w:rPr>
          <w:rStyle w:val="LineNumber"/>
          <w:bCs/>
        </w:rPr>
        <w:t>.</w:t>
      </w:r>
      <w:r w:rsidR="006B53CA">
        <w:rPr>
          <w:rStyle w:val="LineNumber"/>
          <w:bCs/>
        </w:rPr>
        <w:t xml:space="preserve"> EMA-3, page </w:t>
      </w:r>
      <w:r w:rsidR="003918E4">
        <w:rPr>
          <w:rStyle w:val="LineNumber"/>
          <w:bCs/>
        </w:rPr>
        <w:t>8</w:t>
      </w:r>
      <w:r w:rsidR="001665D9" w:rsidRPr="008959F0">
        <w:rPr>
          <w:rStyle w:val="LineNumber"/>
          <w:bCs/>
        </w:rPr>
        <w:t>,</w:t>
      </w:r>
      <w:r w:rsidR="00590442" w:rsidRPr="00046DF0">
        <w:rPr>
          <w:rStyle w:val="LineNumber"/>
          <w:bCs/>
        </w:rPr>
        <w:t xml:space="preserve"> adjusts </w:t>
      </w:r>
      <w:r w:rsidR="00F345C4">
        <w:rPr>
          <w:rStyle w:val="LineNumber"/>
          <w:bCs/>
        </w:rPr>
        <w:t>January</w:t>
      </w:r>
      <w:r w:rsidRPr="00046DF0">
        <w:rPr>
          <w:rStyle w:val="LineNumber"/>
          <w:bCs/>
        </w:rPr>
        <w:t xml:space="preserve"> </w:t>
      </w:r>
      <w:r w:rsidR="00AD3589" w:rsidRPr="00046DF0">
        <w:rPr>
          <w:rStyle w:val="LineNumber"/>
          <w:bCs/>
        </w:rPr>
        <w:t>201</w:t>
      </w:r>
      <w:r w:rsidR="00F345C4">
        <w:rPr>
          <w:rStyle w:val="LineNumber"/>
          <w:bCs/>
        </w:rPr>
        <w:t>6</w:t>
      </w:r>
      <w:r w:rsidR="00AD3589" w:rsidRPr="00046DF0">
        <w:rPr>
          <w:rStyle w:val="LineNumber"/>
          <w:bCs/>
        </w:rPr>
        <w:t xml:space="preserve"> through </w:t>
      </w:r>
      <w:r w:rsidR="00F345C4">
        <w:rPr>
          <w:rStyle w:val="LineNumber"/>
          <w:bCs/>
        </w:rPr>
        <w:t>December</w:t>
      </w:r>
      <w:r w:rsidRPr="00046DF0">
        <w:rPr>
          <w:rStyle w:val="LineNumber"/>
          <w:bCs/>
        </w:rPr>
        <w:t xml:space="preserve"> 201</w:t>
      </w:r>
      <w:r w:rsidR="00F345C4">
        <w:rPr>
          <w:rStyle w:val="LineNumber"/>
          <w:bCs/>
        </w:rPr>
        <w:t>6</w:t>
      </w:r>
      <w:r w:rsidR="00AD3589" w:rsidRPr="00046DF0">
        <w:rPr>
          <w:rStyle w:val="LineNumber"/>
          <w:bCs/>
        </w:rPr>
        <w:t xml:space="preserve"> </w:t>
      </w:r>
      <w:r w:rsidR="00590442" w:rsidRPr="00046DF0">
        <w:rPr>
          <w:rStyle w:val="LineNumber"/>
          <w:bCs/>
        </w:rPr>
        <w:t>test period customer</w:t>
      </w:r>
      <w:r w:rsidR="00DF046C" w:rsidRPr="00046DF0">
        <w:rPr>
          <w:rStyle w:val="LineNumber"/>
          <w:bCs/>
        </w:rPr>
        <w:t>s and</w:t>
      </w:r>
      <w:r w:rsidR="00590442" w:rsidRPr="00046DF0">
        <w:rPr>
          <w:rStyle w:val="LineNumber"/>
          <w:bCs/>
        </w:rPr>
        <w:t xml:space="preserve"> usage for any known and measurable </w:t>
      </w:r>
      <w:r w:rsidRPr="00046DF0">
        <w:rPr>
          <w:rStyle w:val="LineNumber"/>
          <w:bCs/>
        </w:rPr>
        <w:t xml:space="preserve">(pro forma) </w:t>
      </w:r>
      <w:r w:rsidR="00590442" w:rsidRPr="00046DF0">
        <w:rPr>
          <w:rStyle w:val="LineNumber"/>
          <w:bCs/>
        </w:rPr>
        <w:t>changes</w:t>
      </w:r>
      <w:r w:rsidRPr="00046DF0">
        <w:rPr>
          <w:rStyle w:val="LineNumber"/>
          <w:bCs/>
        </w:rPr>
        <w:t xml:space="preserve">. </w:t>
      </w:r>
      <w:r w:rsidR="00CE43E9" w:rsidRPr="00046DF0">
        <w:rPr>
          <w:rStyle w:val="LineNumber"/>
          <w:bCs/>
        </w:rPr>
        <w:t xml:space="preserve"> </w:t>
      </w:r>
      <w:r w:rsidR="00046DF0" w:rsidRPr="00046DF0">
        <w:rPr>
          <w:rStyle w:val="LineNumber"/>
          <w:bCs/>
        </w:rPr>
        <w:t xml:space="preserve">In addition, the adjustment re-prices billed, unbilled, and weather adjusted usage at the base tariff rates approved for 2016, as if the January 11, 2016 </w:t>
      </w:r>
      <w:r w:rsidR="007B4971">
        <w:rPr>
          <w:rStyle w:val="LineNumber"/>
          <w:bCs/>
        </w:rPr>
        <w:t>base tariff rates</w:t>
      </w:r>
      <w:r w:rsidR="00046DF0" w:rsidRPr="00046DF0">
        <w:rPr>
          <w:rStyle w:val="LineNumber"/>
          <w:bCs/>
        </w:rPr>
        <w:t xml:space="preserve"> were effective for the full 12-months of the test year.</w:t>
      </w:r>
      <w:r w:rsidR="00046DF0">
        <w:rPr>
          <w:rStyle w:val="LineNumber"/>
          <w:bCs/>
        </w:rPr>
        <w:t xml:space="preserve">  </w:t>
      </w:r>
    </w:p>
    <w:p w:rsidR="005022AD" w:rsidRDefault="005022AD" w:rsidP="00DB4DE6">
      <w:pPr>
        <w:pStyle w:val="BodyText2"/>
        <w:rPr>
          <w:rStyle w:val="LineNumber"/>
          <w:b/>
          <w:bCs/>
          <w:u w:val="single"/>
        </w:rPr>
      </w:pPr>
    </w:p>
    <w:p w:rsidR="00DB4DE6" w:rsidRDefault="00DB4DE6" w:rsidP="00DB4DE6">
      <w:pPr>
        <w:pStyle w:val="BodyText2"/>
        <w:rPr>
          <w:rStyle w:val="LineNumber"/>
          <w:bCs/>
        </w:rPr>
      </w:pPr>
      <w:r w:rsidRPr="005F5D7B">
        <w:rPr>
          <w:rStyle w:val="LineNumber"/>
          <w:b/>
          <w:bCs/>
          <w:u w:val="single"/>
        </w:rPr>
        <w:t>Weather Normalization</w:t>
      </w:r>
    </w:p>
    <w:p w:rsidR="001012CB"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sidR="00C66D83">
        <w:rPr>
          <w:rStyle w:val="LineNumber"/>
          <w:b/>
          <w:bCs/>
        </w:rPr>
        <w:t>Please begin</w:t>
      </w:r>
      <w:r>
        <w:rPr>
          <w:rStyle w:val="LineNumber"/>
          <w:b/>
          <w:bCs/>
        </w:rPr>
        <w:t xml:space="preserve"> with</w:t>
      </w:r>
      <w:r w:rsidR="00744FF5">
        <w:rPr>
          <w:rStyle w:val="LineNumber"/>
          <w:b/>
          <w:bCs/>
        </w:rPr>
        <w:t xml:space="preserve"> the </w:t>
      </w:r>
      <w:r w:rsidR="00744FF5" w:rsidRPr="00BE672F">
        <w:rPr>
          <w:rStyle w:val="LineNumber"/>
          <w:b/>
          <w:bCs/>
          <w:u w:val="single"/>
        </w:rPr>
        <w:t>first revenue normalizing</w:t>
      </w:r>
      <w:r w:rsidR="00744FF5">
        <w:rPr>
          <w:rStyle w:val="LineNumber"/>
          <w:b/>
          <w:bCs/>
        </w:rPr>
        <w:t xml:space="preserve"> adjustment</w:t>
      </w:r>
      <w:r w:rsidR="00F87315">
        <w:rPr>
          <w:rStyle w:val="LineNumber"/>
          <w:b/>
          <w:bCs/>
        </w:rPr>
        <w:t xml:space="preserve"> in the Pro Forma End of Period </w:t>
      </w:r>
      <w:r w:rsidR="00345C1C">
        <w:rPr>
          <w:rStyle w:val="LineNumber"/>
          <w:b/>
          <w:bCs/>
        </w:rPr>
        <w:t>Rate Base S</w:t>
      </w:r>
      <w:r w:rsidR="006B53CA">
        <w:rPr>
          <w:rStyle w:val="LineNumber"/>
          <w:b/>
          <w:bCs/>
        </w:rPr>
        <w:t>tudy</w:t>
      </w:r>
      <w:r w:rsidR="00744FF5">
        <w:rPr>
          <w:rStyle w:val="LineNumber"/>
          <w:b/>
          <w:bCs/>
        </w:rPr>
        <w:t xml:space="preserve">. </w:t>
      </w:r>
      <w:r>
        <w:rPr>
          <w:rStyle w:val="LineNumber"/>
          <w:b/>
          <w:bCs/>
        </w:rPr>
        <w:t xml:space="preserve"> </w:t>
      </w:r>
      <w:r w:rsidR="00744FF5">
        <w:rPr>
          <w:rStyle w:val="LineNumber"/>
          <w:b/>
          <w:bCs/>
        </w:rPr>
        <w:t xml:space="preserve">What is </w:t>
      </w:r>
      <w:r>
        <w:rPr>
          <w:rStyle w:val="LineNumber"/>
          <w:b/>
          <w:bCs/>
        </w:rPr>
        <w:t>the Commission Basis weather normalization adjustment</w:t>
      </w:r>
      <w:r w:rsidR="00744FF5">
        <w:rPr>
          <w:rStyle w:val="LineNumber"/>
          <w:b/>
          <w:bCs/>
        </w:rPr>
        <w:t>?</w:t>
      </w:r>
      <w:r>
        <w:rPr>
          <w:rStyle w:val="LineNumber"/>
          <w:b/>
          <w:bCs/>
        </w:rPr>
        <w:t xml:space="preserve">  </w:t>
      </w:r>
    </w:p>
    <w:p w:rsidR="001012CB" w:rsidRPr="001012CB" w:rsidRDefault="001012CB" w:rsidP="004B1676">
      <w:pPr>
        <w:pStyle w:val="BodyText2"/>
        <w:tabs>
          <w:tab w:val="left" w:pos="1440"/>
        </w:tabs>
        <w:ind w:firstLine="720"/>
        <w:rPr>
          <w:rStyle w:val="LineNumber"/>
          <w:bCs/>
        </w:rPr>
      </w:pPr>
      <w:r>
        <w:rPr>
          <w:rStyle w:val="LineNumber"/>
          <w:bCs/>
        </w:rPr>
        <w:lastRenderedPageBreak/>
        <w:t>A.</w:t>
      </w:r>
      <w:r>
        <w:rPr>
          <w:rStyle w:val="LineNumber"/>
          <w:bCs/>
        </w:rPr>
        <w:tab/>
        <w:t>W</w:t>
      </w:r>
      <w:r w:rsidRPr="001012CB">
        <w:rPr>
          <w:rStyle w:val="LineNumber"/>
          <w:bCs/>
        </w:rPr>
        <w:t>eather normalization</w:t>
      </w:r>
      <w:r>
        <w:rPr>
          <w:rStyle w:val="LineNumber"/>
          <w:bCs/>
        </w:rPr>
        <w:t xml:space="preserve"> is a required element of Commission Basis reporting pursuant to WAC 480-100-257.</w:t>
      </w:r>
      <w:r w:rsidR="00EC349D">
        <w:rPr>
          <w:rStyle w:val="LineNumber"/>
          <w:bCs/>
        </w:rPr>
        <w:t xml:space="preserve">  The intent</w:t>
      </w:r>
      <w:r w:rsidR="00BE672F">
        <w:rPr>
          <w:rStyle w:val="LineNumber"/>
          <w:bCs/>
        </w:rPr>
        <w:t xml:space="preserve"> of this adjustment</w:t>
      </w:r>
      <w:r w:rsidR="00EC349D">
        <w:rPr>
          <w:rStyle w:val="LineNumber"/>
          <w:bCs/>
        </w:rPr>
        <w:t xml:space="preserve"> is for Commission Basis adjusted revenues </w:t>
      </w:r>
      <w:r w:rsidR="00744FF5">
        <w:rPr>
          <w:rStyle w:val="LineNumber"/>
          <w:bCs/>
        </w:rPr>
        <w:t xml:space="preserve">(and power supply costs) </w:t>
      </w:r>
      <w:r w:rsidR="00EC349D">
        <w:rPr>
          <w:rStyle w:val="LineNumber"/>
          <w:bCs/>
        </w:rPr>
        <w:t>to reflect operations under normal temperature conditions during the reporting period.</w:t>
      </w:r>
    </w:p>
    <w:p w:rsidR="004B1676" w:rsidRPr="00BA18B1" w:rsidRDefault="001012CB" w:rsidP="004B1676">
      <w:pPr>
        <w:pStyle w:val="BodyText2"/>
        <w:tabs>
          <w:tab w:val="left" w:pos="1440"/>
        </w:tabs>
        <w:ind w:firstLine="720"/>
        <w:rPr>
          <w:rStyle w:val="LineNumber"/>
          <w:b/>
          <w:bCs/>
        </w:rPr>
      </w:pPr>
      <w:r>
        <w:rPr>
          <w:rStyle w:val="LineNumber"/>
          <w:b/>
          <w:bCs/>
        </w:rPr>
        <w:t>Q.</w:t>
      </w:r>
      <w:r>
        <w:rPr>
          <w:rStyle w:val="LineNumber"/>
          <w:b/>
          <w:bCs/>
        </w:rPr>
        <w:tab/>
      </w:r>
      <w:r w:rsidR="004B1676">
        <w:rPr>
          <w:rStyle w:val="LineNumber"/>
          <w:b/>
          <w:bCs/>
        </w:rPr>
        <w:t>P</w:t>
      </w:r>
      <w:r w:rsidR="004B1676" w:rsidRPr="00BA18B1">
        <w:rPr>
          <w:rStyle w:val="LineNumber"/>
          <w:b/>
          <w:bCs/>
        </w:rPr>
        <w:t xml:space="preserve">lease briefly </w:t>
      </w:r>
      <w:r w:rsidR="004B1676">
        <w:rPr>
          <w:rStyle w:val="LineNumber"/>
          <w:b/>
          <w:bCs/>
        </w:rPr>
        <w:t>summarize the</w:t>
      </w:r>
      <w:r w:rsidR="004B1676" w:rsidRPr="00BA18B1">
        <w:rPr>
          <w:rStyle w:val="LineNumber"/>
          <w:b/>
          <w:bCs/>
        </w:rPr>
        <w:t xml:space="preserve"> electric weather normalization</w:t>
      </w:r>
      <w:r w:rsidR="004B1676">
        <w:rPr>
          <w:rStyle w:val="LineNumber"/>
          <w:b/>
          <w:bCs/>
        </w:rPr>
        <w:t xml:space="preserve"> process.</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The Company’s </w:t>
      </w:r>
      <w:r>
        <w:rPr>
          <w:rStyle w:val="LineNumber"/>
        </w:rPr>
        <w:t xml:space="preserve">electric </w:t>
      </w:r>
      <w:r w:rsidRPr="00BA18B1">
        <w:rPr>
          <w:rStyle w:val="LineNumber"/>
        </w:rPr>
        <w:t xml:space="preserve">weather normalization adjustment calculates the change in kWh usage required to adjust actual loads during the </w:t>
      </w:r>
      <w:r w:rsidR="003A1469">
        <w:rPr>
          <w:rStyle w:val="LineNumber"/>
        </w:rPr>
        <w:t>12-</w:t>
      </w:r>
      <w:r>
        <w:rPr>
          <w:rStyle w:val="LineNumber"/>
        </w:rPr>
        <w:t xml:space="preserve">months ended </w:t>
      </w:r>
      <w:r w:rsidR="00F345C4">
        <w:rPr>
          <w:rStyle w:val="LineNumber"/>
        </w:rPr>
        <w:t>December</w:t>
      </w:r>
      <w:r>
        <w:rPr>
          <w:rStyle w:val="LineNumber"/>
        </w:rPr>
        <w:t xml:space="preserve"> 201</w:t>
      </w:r>
      <w:r w:rsidR="00F345C4">
        <w:rPr>
          <w:rStyle w:val="LineNumber"/>
        </w:rPr>
        <w:t>6</w:t>
      </w:r>
      <w:r w:rsidRPr="00BA18B1">
        <w:rPr>
          <w:rStyle w:val="LineNumber"/>
        </w:rPr>
        <w:t xml:space="preserve"> test period to the amount expected if weather had been normal.  This adjustment incorporates the effect of both heating and cooling on weather-sensitive customer groups.  The weather adjustment is developed from regression analysis of ten years of billed usage per customer and billing period heating and cooling degree-day data.  The resulting seasonal weather sensitivity factors </w:t>
      </w:r>
      <w:r>
        <w:rPr>
          <w:rStyle w:val="LineNumber"/>
        </w:rPr>
        <w:t xml:space="preserve">(use-per-customer-per-heating-degree day and use-per-customer-per-cooling-degree day) </w:t>
      </w:r>
      <w:r w:rsidRPr="00BA18B1">
        <w:rPr>
          <w:rStyle w:val="LineNumber"/>
        </w:rPr>
        <w:t xml:space="preserve">are </w:t>
      </w:r>
      <w:r w:rsidR="00E83853">
        <w:rPr>
          <w:rStyle w:val="LineNumber"/>
        </w:rPr>
        <w:t>multiplied by the</w:t>
      </w:r>
      <w:r w:rsidRPr="00BA18B1">
        <w:rPr>
          <w:rStyle w:val="LineNumber"/>
        </w:rPr>
        <w:t xml:space="preserve"> monthly test period </w:t>
      </w:r>
      <w:r w:rsidR="00E83853">
        <w:rPr>
          <w:rStyle w:val="LineNumber"/>
        </w:rPr>
        <w:t xml:space="preserve">number of </w:t>
      </w:r>
      <w:r w:rsidRPr="00BA18B1">
        <w:rPr>
          <w:rStyle w:val="LineNumber"/>
        </w:rPr>
        <w:t>customers</w:t>
      </w:r>
      <w:r w:rsidR="00E83853">
        <w:rPr>
          <w:rStyle w:val="LineNumber"/>
        </w:rPr>
        <w:t xml:space="preserve">, which is then multiplied by </w:t>
      </w:r>
      <w:r w:rsidRPr="00BA18B1">
        <w:rPr>
          <w:rStyle w:val="LineNumber"/>
        </w:rPr>
        <w:t xml:space="preserve">the difference between normal heating/cooling degree-days and </w:t>
      </w:r>
      <w:r w:rsidR="00E83853">
        <w:rPr>
          <w:rStyle w:val="LineNumber"/>
        </w:rPr>
        <w:t>actual</w:t>
      </w:r>
      <w:r w:rsidRPr="00BA18B1">
        <w:rPr>
          <w:rStyle w:val="LineNumber"/>
        </w:rPr>
        <w:t xml:space="preserve"> heating/cooling degree-days.</w:t>
      </w:r>
      <w:r w:rsidR="00E83853">
        <w:rPr>
          <w:rStyle w:val="LineNumber"/>
        </w:rPr>
        <w:t xml:space="preserve">  This calculation produces the change in kWh usage required to adjust existing loads to the amount expected if weather had been normal.</w:t>
      </w:r>
    </w:p>
    <w:p w:rsidR="004B1676" w:rsidRPr="00DF072B" w:rsidRDefault="004B1676" w:rsidP="004B1676">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4B1676" w:rsidRPr="00BA18B1" w:rsidRDefault="004B1676" w:rsidP="004B1676">
      <w:pPr>
        <w:pStyle w:val="BodyText2"/>
        <w:tabs>
          <w:tab w:val="left" w:pos="1440"/>
        </w:tabs>
        <w:ind w:firstLine="720"/>
        <w:rPr>
          <w:rStyle w:val="LineNumber"/>
        </w:rPr>
      </w:pPr>
      <w:r>
        <w:rPr>
          <w:rStyle w:val="LineNumber"/>
        </w:rPr>
        <w:t>A.</w:t>
      </w:r>
      <w:r>
        <w:rPr>
          <w:rStyle w:val="LineNumber"/>
        </w:rPr>
        <w:tab/>
        <w:t xml:space="preserve">Yes.  The factors used in the weather adjustment are based on regression analysis of monthly billed usage per </w:t>
      </w:r>
      <w:r w:rsidRPr="00046DF0">
        <w:rPr>
          <w:rStyle w:val="LineNumber"/>
        </w:rPr>
        <w:t>customer from January 20</w:t>
      </w:r>
      <w:r w:rsidR="00F345C4">
        <w:rPr>
          <w:rStyle w:val="LineNumber"/>
        </w:rPr>
        <w:t>06</w:t>
      </w:r>
      <w:r w:rsidRPr="00046DF0">
        <w:rPr>
          <w:rStyle w:val="LineNumber"/>
        </w:rPr>
        <w:t xml:space="preserve"> through December 20</w:t>
      </w:r>
      <w:r w:rsidR="00F345C4">
        <w:rPr>
          <w:rStyle w:val="LineNumber"/>
        </w:rPr>
        <w:t>15</w:t>
      </w:r>
      <w:r>
        <w:rPr>
          <w:rStyle w:val="LineNumber"/>
        </w:rPr>
        <w:t xml:space="preserve"> which is the most recent completed analysis.  Autoregressive terms were included in the regressions in order to correct for autocorrelation in the data.  </w:t>
      </w:r>
    </w:p>
    <w:p w:rsidR="004B1676" w:rsidRPr="00BA18B1" w:rsidRDefault="004B1676" w:rsidP="004B1676">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r>
      <w:r>
        <w:rPr>
          <w:rStyle w:val="LineNumber"/>
          <w:b/>
          <w:bCs/>
        </w:rPr>
        <w:t>What data did you use to determine “</w:t>
      </w:r>
      <w:r w:rsidRPr="00BA18B1">
        <w:rPr>
          <w:rStyle w:val="LineNumber"/>
          <w:b/>
          <w:bCs/>
        </w:rPr>
        <w:t>normal</w:t>
      </w:r>
      <w:r>
        <w:rPr>
          <w:rStyle w:val="LineNumber"/>
          <w:b/>
          <w:bCs/>
        </w:rPr>
        <w:t>”</w:t>
      </w:r>
      <w:r w:rsidRPr="00BA18B1">
        <w:rPr>
          <w:rStyle w:val="LineNumber"/>
          <w:b/>
          <w:bCs/>
        </w:rPr>
        <w:t xml:space="preserve"> heating</w:t>
      </w:r>
      <w:r>
        <w:rPr>
          <w:rStyle w:val="LineNumber"/>
          <w:b/>
          <w:bCs/>
        </w:rPr>
        <w:t xml:space="preserve"> and cooling degree days</w:t>
      </w:r>
      <w:r w:rsidRPr="00BA18B1">
        <w:rPr>
          <w:rStyle w:val="LineNumber"/>
          <w:b/>
          <w:bCs/>
        </w:rPr>
        <w:t>?</w:t>
      </w:r>
    </w:p>
    <w:p w:rsidR="004B1676" w:rsidRPr="00BA18B1"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Normal heating and cooling degree days are based on a rolling </w:t>
      </w:r>
      <w:r>
        <w:rPr>
          <w:rStyle w:val="LineNumber"/>
        </w:rPr>
        <w:t>30</w:t>
      </w:r>
      <w:r w:rsidRPr="00BA18B1">
        <w:rPr>
          <w:rStyle w:val="LineNumber"/>
        </w:rPr>
        <w:t xml:space="preserve">-year average of heating and cooling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Pr>
          <w:rStyle w:val="LineNumber"/>
        </w:rPr>
        <w:t>The calculation includes the 30-year period from 198</w:t>
      </w:r>
      <w:r w:rsidR="00F345C4">
        <w:rPr>
          <w:rStyle w:val="LineNumber"/>
        </w:rPr>
        <w:t>7</w:t>
      </w:r>
      <w:r>
        <w:rPr>
          <w:rStyle w:val="LineNumber"/>
        </w:rPr>
        <w:t xml:space="preserve"> through 20</w:t>
      </w:r>
      <w:r w:rsidR="00F345C4">
        <w:rPr>
          <w:rStyle w:val="LineNumber"/>
        </w:rPr>
        <w:t>16</w:t>
      </w:r>
      <w:r>
        <w:rPr>
          <w:rStyle w:val="LineNumber"/>
        </w:rPr>
        <w:t>.</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t>Is this proposed weather adjustment methodology consistent with th</w:t>
      </w:r>
      <w:r>
        <w:rPr>
          <w:rStyle w:val="LineNumber"/>
          <w:b/>
          <w:bCs/>
        </w:rPr>
        <w:t>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The process for determining the weather sensitivity factors and the monthly adjustment calculation are consistent with the methodology presented in Docket No. UE-1</w:t>
      </w:r>
      <w:r w:rsidR="00D91CBC">
        <w:rPr>
          <w:rStyle w:val="LineNumber"/>
        </w:rPr>
        <w:t>60228</w:t>
      </w:r>
      <w:r>
        <w:rPr>
          <w:rStyle w:val="LineNumber"/>
        </w:rPr>
        <w:t xml:space="preserve">.  This methodology has been used in every case </w:t>
      </w:r>
      <w:r w:rsidR="00C66D83">
        <w:rPr>
          <w:rStyle w:val="LineNumber"/>
        </w:rPr>
        <w:t xml:space="preserve">and Commission Basis Report </w:t>
      </w:r>
      <w:r>
        <w:rPr>
          <w:rStyle w:val="LineNumber"/>
        </w:rPr>
        <w:t>since it was introduced in Docket No. UE-070804.</w:t>
      </w:r>
    </w:p>
    <w:p w:rsidR="00744FF5" w:rsidRPr="00BA18B1" w:rsidRDefault="00744FF5" w:rsidP="00744FF5">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w:t>
      </w:r>
      <w:r>
        <w:rPr>
          <w:rStyle w:val="LineNumber"/>
          <w:b/>
          <w:bCs/>
        </w:rPr>
        <w:t>change in kWhs resulting from</w:t>
      </w:r>
      <w:r w:rsidRPr="00BA18B1">
        <w:rPr>
          <w:rStyle w:val="LineNumber"/>
          <w:b/>
          <w:bCs/>
        </w:rPr>
        <w:t xml:space="preserve"> weather normalization </w:t>
      </w:r>
      <w:r>
        <w:rPr>
          <w:rStyle w:val="LineNumber"/>
          <w:b/>
          <w:bCs/>
        </w:rPr>
        <w:t>for</w:t>
      </w:r>
      <w:r w:rsidRPr="00BA18B1">
        <w:rPr>
          <w:rStyle w:val="LineNumber"/>
          <w:b/>
          <w:bCs/>
        </w:rPr>
        <w:t xml:space="preserve"> the </w:t>
      </w:r>
      <w:r w:rsidR="001D7273">
        <w:rPr>
          <w:rStyle w:val="LineNumber"/>
          <w:b/>
          <w:bCs/>
        </w:rPr>
        <w:t>12-</w:t>
      </w:r>
      <w:r>
        <w:rPr>
          <w:rStyle w:val="LineNumber"/>
          <w:b/>
          <w:bCs/>
        </w:rPr>
        <w:t xml:space="preserve">months ended </w:t>
      </w:r>
      <w:r w:rsidR="00D91CBC">
        <w:rPr>
          <w:rStyle w:val="LineNumber"/>
          <w:b/>
          <w:bCs/>
        </w:rPr>
        <w:t>December</w:t>
      </w:r>
      <w:r w:rsidR="007F709D">
        <w:rPr>
          <w:rStyle w:val="LineNumber"/>
          <w:b/>
          <w:bCs/>
        </w:rPr>
        <w:t xml:space="preserve"> 201</w:t>
      </w:r>
      <w:r w:rsidR="00D91CBC">
        <w:rPr>
          <w:rStyle w:val="LineNumber"/>
          <w:b/>
          <w:bCs/>
        </w:rPr>
        <w:t>6</w:t>
      </w:r>
      <w:r w:rsidRPr="00BA18B1">
        <w:rPr>
          <w:rStyle w:val="LineNumber"/>
          <w:b/>
          <w:bCs/>
        </w:rPr>
        <w:t xml:space="preserve"> test year?</w:t>
      </w:r>
    </w:p>
    <w:p w:rsidR="00744FF5" w:rsidRDefault="00744FF5" w:rsidP="00744FF5">
      <w:pPr>
        <w:pStyle w:val="BodyText2"/>
        <w:tabs>
          <w:tab w:val="left" w:pos="1440"/>
        </w:tabs>
        <w:ind w:firstLine="720"/>
        <w:rPr>
          <w:rStyle w:val="LineNumber"/>
        </w:rPr>
      </w:pPr>
      <w:r w:rsidRPr="00BA18B1">
        <w:rPr>
          <w:rStyle w:val="LineNumber"/>
        </w:rPr>
        <w:t>A.</w:t>
      </w:r>
      <w:r w:rsidRPr="00BA18B1">
        <w:rPr>
          <w:rStyle w:val="LineNumber"/>
        </w:rPr>
        <w:tab/>
      </w:r>
      <w:r w:rsidRPr="00357BA5">
        <w:rPr>
          <w:rStyle w:val="LineNumber"/>
        </w:rPr>
        <w:t xml:space="preserve">Weather was </w:t>
      </w:r>
      <w:r w:rsidR="00357BA5" w:rsidRPr="00357BA5">
        <w:rPr>
          <w:rStyle w:val="LineNumber"/>
        </w:rPr>
        <w:t>warmer</w:t>
      </w:r>
      <w:r w:rsidRPr="00357BA5">
        <w:rPr>
          <w:rStyle w:val="LineNumber"/>
        </w:rPr>
        <w:t xml:space="preserve"> than normal </w:t>
      </w:r>
      <w:r w:rsidR="00357BA5" w:rsidRPr="00357BA5">
        <w:rPr>
          <w:rStyle w:val="LineNumber"/>
        </w:rPr>
        <w:t>throughout</w:t>
      </w:r>
      <w:r w:rsidR="007F709D" w:rsidRPr="00357BA5">
        <w:rPr>
          <w:rStyle w:val="LineNumber"/>
        </w:rPr>
        <w:t xml:space="preserve"> the </w:t>
      </w:r>
      <w:r w:rsidR="00357BA5" w:rsidRPr="00357BA5">
        <w:rPr>
          <w:rStyle w:val="LineNumber"/>
        </w:rPr>
        <w:t>test year</w:t>
      </w:r>
      <w:r w:rsidRPr="00451F90">
        <w:rPr>
          <w:rStyle w:val="LineNumber"/>
        </w:rPr>
        <w:t xml:space="preserve">. </w:t>
      </w:r>
      <w:r w:rsidR="00FD7D37" w:rsidRPr="00451F90">
        <w:rPr>
          <w:rStyle w:val="LineNumber"/>
        </w:rPr>
        <w:t xml:space="preserve"> </w:t>
      </w:r>
      <w:r w:rsidRPr="00451F90">
        <w:rPr>
          <w:rStyle w:val="LineNumber"/>
        </w:rPr>
        <w:t xml:space="preserve">Since electric usage is impacted by both heating and cooling, weather normalization </w:t>
      </w:r>
      <w:r w:rsidR="00122940" w:rsidRPr="00451F90">
        <w:rPr>
          <w:rStyle w:val="LineNumber"/>
        </w:rPr>
        <w:t xml:space="preserve">required </w:t>
      </w:r>
      <w:r w:rsidR="00BF03C9" w:rsidRPr="00451F90">
        <w:rPr>
          <w:rStyle w:val="LineNumber"/>
        </w:rPr>
        <w:t>a</w:t>
      </w:r>
      <w:r w:rsidR="00033FA8" w:rsidRPr="00451F90">
        <w:rPr>
          <w:rStyle w:val="LineNumber"/>
        </w:rPr>
        <w:t>n</w:t>
      </w:r>
      <w:r w:rsidR="00BF03C9" w:rsidRPr="00451F90">
        <w:rPr>
          <w:rStyle w:val="LineNumber"/>
        </w:rPr>
        <w:t xml:space="preserve"> </w:t>
      </w:r>
      <w:r w:rsidR="00033FA8" w:rsidRPr="00451F90">
        <w:rPr>
          <w:rStyle w:val="LineNumber"/>
        </w:rPr>
        <w:t>increase</w:t>
      </w:r>
      <w:r w:rsidR="00122940" w:rsidRPr="00451F90">
        <w:rPr>
          <w:rStyle w:val="LineNumber"/>
        </w:rPr>
        <w:t xml:space="preserve"> to usage for </w:t>
      </w:r>
      <w:r w:rsidR="00033FA8" w:rsidRPr="00451F90">
        <w:rPr>
          <w:rStyle w:val="LineNumber"/>
        </w:rPr>
        <w:t>warm</w:t>
      </w:r>
      <w:r w:rsidR="00122940" w:rsidRPr="00451F90">
        <w:rPr>
          <w:rStyle w:val="LineNumber"/>
        </w:rPr>
        <w:t xml:space="preserve"> weather during the winter </w:t>
      </w:r>
      <w:r w:rsidR="00033FA8" w:rsidRPr="00451F90">
        <w:rPr>
          <w:rStyle w:val="LineNumber"/>
        </w:rPr>
        <w:t xml:space="preserve">and spring </w:t>
      </w:r>
      <w:r w:rsidR="00451F90" w:rsidRPr="00451F90">
        <w:rPr>
          <w:rStyle w:val="LineNumber"/>
        </w:rPr>
        <w:t xml:space="preserve">months that was </w:t>
      </w:r>
      <w:r w:rsidR="00263107">
        <w:rPr>
          <w:rStyle w:val="LineNumber"/>
        </w:rPr>
        <w:t>partially</w:t>
      </w:r>
      <w:r w:rsidR="00033FA8" w:rsidRPr="00451F90">
        <w:rPr>
          <w:rStyle w:val="LineNumber"/>
        </w:rPr>
        <w:t xml:space="preserve"> offset by a </w:t>
      </w:r>
      <w:r w:rsidR="00122940" w:rsidRPr="00451F90">
        <w:rPr>
          <w:rStyle w:val="LineNumber"/>
        </w:rPr>
        <w:t>reduction to usage for the hot summer</w:t>
      </w:r>
      <w:r w:rsidR="00A53CC3">
        <w:rPr>
          <w:rStyle w:val="LineNumber"/>
        </w:rPr>
        <w:t xml:space="preserve"> months</w:t>
      </w:r>
      <w:r w:rsidRPr="00451F90">
        <w:rPr>
          <w:rStyle w:val="LineNumber"/>
        </w:rPr>
        <w:t>.</w:t>
      </w:r>
      <w:r>
        <w:rPr>
          <w:rStyle w:val="LineNumber"/>
        </w:rPr>
        <w:t xml:space="preserve">  </w:t>
      </w:r>
      <w:r w:rsidRPr="00D34D9E">
        <w:rPr>
          <w:rStyle w:val="LineNumber"/>
        </w:rPr>
        <w:t xml:space="preserve">Overall, the adjustment to normal required the </w:t>
      </w:r>
      <w:r w:rsidR="00451F90">
        <w:rPr>
          <w:rStyle w:val="LineNumber"/>
        </w:rPr>
        <w:t xml:space="preserve">addition </w:t>
      </w:r>
      <w:r w:rsidRPr="00D34D9E">
        <w:rPr>
          <w:rStyle w:val="LineNumber"/>
        </w:rPr>
        <w:t xml:space="preserve">of </w:t>
      </w:r>
      <w:r w:rsidR="00BB4193">
        <w:rPr>
          <w:rStyle w:val="LineNumber"/>
        </w:rPr>
        <w:t>766</w:t>
      </w:r>
      <w:r w:rsidRPr="00D34D9E">
        <w:rPr>
          <w:rStyle w:val="LineNumber"/>
        </w:rPr>
        <w:t xml:space="preserve"> heating degree-days d</w:t>
      </w:r>
      <w:r w:rsidRPr="00313777">
        <w:rPr>
          <w:rStyle w:val="LineNumber"/>
        </w:rPr>
        <w:t>uring the heating season</w:t>
      </w:r>
      <w:r w:rsidRPr="00313777">
        <w:rPr>
          <w:rStyle w:val="FootnoteReference"/>
        </w:rPr>
        <w:footnoteReference w:id="2"/>
      </w:r>
      <w:r w:rsidRPr="00313777">
        <w:rPr>
          <w:rStyle w:val="LineNumber"/>
        </w:rPr>
        <w:t xml:space="preserve"> and the </w:t>
      </w:r>
      <w:r w:rsidR="00263107">
        <w:rPr>
          <w:rStyle w:val="LineNumber"/>
        </w:rPr>
        <w:t>reduct</w:t>
      </w:r>
      <w:r w:rsidR="00BB4193">
        <w:rPr>
          <w:rStyle w:val="LineNumber"/>
        </w:rPr>
        <w:t>ion</w:t>
      </w:r>
      <w:r w:rsidRPr="00313777">
        <w:rPr>
          <w:rStyle w:val="LineNumber"/>
        </w:rPr>
        <w:t xml:space="preserve"> of </w:t>
      </w:r>
      <w:r w:rsidR="00263107">
        <w:rPr>
          <w:rStyle w:val="LineNumber"/>
        </w:rPr>
        <w:t>19</w:t>
      </w:r>
      <w:r w:rsidRPr="00313777">
        <w:rPr>
          <w:rStyle w:val="LineNumber"/>
        </w:rPr>
        <w:t xml:space="preserve"> </w:t>
      </w:r>
      <w:r w:rsidRPr="00313777">
        <w:rPr>
          <w:rStyle w:val="LineNumber"/>
        </w:rPr>
        <w:lastRenderedPageBreak/>
        <w:t>cooling degree-days during the summer season</w:t>
      </w:r>
      <w:r w:rsidRPr="00313777">
        <w:rPr>
          <w:rStyle w:val="FootnoteReference"/>
        </w:rPr>
        <w:footnoteReference w:id="3"/>
      </w:r>
      <w:r w:rsidRPr="00313777">
        <w:rPr>
          <w:rStyle w:val="LineNumber"/>
        </w:rPr>
        <w:t xml:space="preserve">.  The </w:t>
      </w:r>
      <w:r>
        <w:rPr>
          <w:rStyle w:val="LineNumber"/>
        </w:rPr>
        <w:t xml:space="preserve">annual </w:t>
      </w:r>
      <w:r w:rsidRPr="00313777">
        <w:rPr>
          <w:rStyle w:val="LineNumber"/>
        </w:rPr>
        <w:t xml:space="preserve">total adjustment to Washington </w:t>
      </w:r>
      <w:r>
        <w:rPr>
          <w:rStyle w:val="LineNumber"/>
        </w:rPr>
        <w:t xml:space="preserve">electric </w:t>
      </w:r>
      <w:r w:rsidRPr="00313777">
        <w:rPr>
          <w:rStyle w:val="LineNumber"/>
        </w:rPr>
        <w:t>sales volumes was a</w:t>
      </w:r>
      <w:r w:rsidR="00B86E78">
        <w:rPr>
          <w:rStyle w:val="LineNumber"/>
        </w:rPr>
        <w:t>n</w:t>
      </w:r>
      <w:r w:rsidRPr="00313777">
        <w:rPr>
          <w:rStyle w:val="LineNumber"/>
        </w:rPr>
        <w:t xml:space="preserve"> </w:t>
      </w:r>
      <w:r w:rsidR="00B86E78">
        <w:rPr>
          <w:rStyle w:val="LineNumber"/>
        </w:rPr>
        <w:t>addition</w:t>
      </w:r>
      <w:r w:rsidRPr="00313777">
        <w:rPr>
          <w:rStyle w:val="LineNumber"/>
        </w:rPr>
        <w:t xml:space="preserve"> of </w:t>
      </w:r>
      <w:r w:rsidR="00BB4193">
        <w:rPr>
          <w:rStyle w:val="LineNumber"/>
        </w:rPr>
        <w:t>80,859,543</w:t>
      </w:r>
      <w:r w:rsidRPr="00B86E78">
        <w:rPr>
          <w:rStyle w:val="LineNumber"/>
        </w:rPr>
        <w:t xml:space="preserve"> </w:t>
      </w:r>
      <w:r w:rsidRPr="00313777">
        <w:rPr>
          <w:rStyle w:val="LineNumber"/>
        </w:rPr>
        <w:t>kWhs</w:t>
      </w:r>
      <w:r w:rsidR="00CE43E9">
        <w:rPr>
          <w:rStyle w:val="LineNumber"/>
        </w:rPr>
        <w:t>,</w:t>
      </w:r>
      <w:r w:rsidRPr="00313777">
        <w:rPr>
          <w:rStyle w:val="LineNumber"/>
        </w:rPr>
        <w:t xml:space="preserve"> which is </w:t>
      </w:r>
      <w:r w:rsidRPr="00B86E78">
        <w:rPr>
          <w:rStyle w:val="LineNumber"/>
        </w:rPr>
        <w:t xml:space="preserve">approximately </w:t>
      </w:r>
      <w:r w:rsidR="00D72A82">
        <w:rPr>
          <w:rStyle w:val="LineNumber"/>
        </w:rPr>
        <w:t>1.5</w:t>
      </w:r>
      <w:r w:rsidRPr="00313777">
        <w:rPr>
          <w:rStyle w:val="LineNumber"/>
        </w:rPr>
        <w:t>% of billed usage</w:t>
      </w:r>
      <w:r w:rsidRPr="00BA18B1">
        <w:rPr>
          <w:rStyle w:val="LineNumber"/>
        </w:rPr>
        <w:t>.</w:t>
      </w:r>
    </w:p>
    <w:p w:rsidR="00057770" w:rsidRPr="00744FF5" w:rsidRDefault="00744FF5">
      <w:pPr>
        <w:pStyle w:val="BodyText2"/>
        <w:tabs>
          <w:tab w:val="left" w:pos="1440"/>
        </w:tabs>
        <w:ind w:firstLine="720"/>
        <w:rPr>
          <w:rStyle w:val="LineNumber"/>
          <w:b/>
          <w:bCs/>
        </w:rPr>
      </w:pPr>
      <w:r w:rsidRPr="00744FF5">
        <w:rPr>
          <w:rStyle w:val="LineNumber"/>
          <w:b/>
          <w:bCs/>
        </w:rPr>
        <w:t>Q.</w:t>
      </w:r>
      <w:r w:rsidRPr="00744FF5">
        <w:rPr>
          <w:rStyle w:val="LineNumber"/>
          <w:b/>
          <w:bCs/>
        </w:rPr>
        <w:tab/>
        <w:t xml:space="preserve">What was the impact of this adjustment on </w:t>
      </w:r>
      <w:r w:rsidR="00A53CC3">
        <w:rPr>
          <w:rStyle w:val="LineNumber"/>
          <w:b/>
          <w:bCs/>
        </w:rPr>
        <w:t>restated</w:t>
      </w:r>
      <w:r w:rsidRPr="00744FF5">
        <w:rPr>
          <w:rStyle w:val="LineNumber"/>
          <w:b/>
          <w:bCs/>
        </w:rPr>
        <w:t xml:space="preserve"> results of operations?</w:t>
      </w:r>
    </w:p>
    <w:p w:rsidR="00E83853" w:rsidRDefault="00744FF5">
      <w:pPr>
        <w:pStyle w:val="BodyText2"/>
        <w:tabs>
          <w:tab w:val="left" w:pos="1440"/>
        </w:tabs>
        <w:ind w:firstLine="720"/>
        <w:rPr>
          <w:rStyle w:val="LineNumber"/>
          <w:bCs/>
        </w:rPr>
      </w:pPr>
      <w:r w:rsidRPr="003F704F">
        <w:rPr>
          <w:rStyle w:val="LineNumber"/>
          <w:bCs/>
        </w:rPr>
        <w:t>A.</w:t>
      </w:r>
      <w:r w:rsidRPr="003F704F">
        <w:rPr>
          <w:rStyle w:val="LineNumber"/>
          <w:bCs/>
        </w:rPr>
        <w:tab/>
        <w:t xml:space="preserve">The Commission Basis weather normalization adjustment </w:t>
      </w:r>
      <w:r w:rsidR="00F72F47" w:rsidRPr="003F704F">
        <w:rPr>
          <w:rStyle w:val="LineNumber"/>
          <w:bCs/>
        </w:rPr>
        <w:t xml:space="preserve">increased </w:t>
      </w:r>
      <w:r w:rsidR="008107C4">
        <w:rPr>
          <w:rStyle w:val="LineNumber"/>
          <w:bCs/>
        </w:rPr>
        <w:t>total</w:t>
      </w:r>
      <w:r w:rsidR="00F72F47" w:rsidRPr="003F704F">
        <w:rPr>
          <w:rStyle w:val="LineNumber"/>
          <w:bCs/>
        </w:rPr>
        <w:t xml:space="preserve"> electric </w:t>
      </w:r>
      <w:r w:rsidRPr="003F704F">
        <w:rPr>
          <w:rStyle w:val="LineNumber"/>
          <w:bCs/>
        </w:rPr>
        <w:t>revenues by $</w:t>
      </w:r>
      <w:r w:rsidR="0024676D">
        <w:rPr>
          <w:rStyle w:val="LineNumber"/>
          <w:bCs/>
        </w:rPr>
        <w:t>7,392</w:t>
      </w:r>
      <w:r w:rsidR="00BF03C9" w:rsidRPr="003F704F">
        <w:rPr>
          <w:rStyle w:val="LineNumber"/>
          <w:bCs/>
        </w:rPr>
        <w:t>,</w:t>
      </w:r>
      <w:r w:rsidRPr="003F704F">
        <w:rPr>
          <w:rStyle w:val="LineNumber"/>
          <w:bCs/>
        </w:rPr>
        <w:t>000</w:t>
      </w:r>
      <w:r w:rsidR="00E51264">
        <w:rPr>
          <w:rStyle w:val="LineNumber"/>
          <w:bCs/>
        </w:rPr>
        <w:t>.  The combined effect of</w:t>
      </w:r>
      <w:r w:rsidR="00B43069">
        <w:rPr>
          <w:rStyle w:val="LineNumber"/>
          <w:bCs/>
        </w:rPr>
        <w:t xml:space="preserve"> </w:t>
      </w:r>
      <w:r w:rsidR="008107C4">
        <w:rPr>
          <w:rStyle w:val="LineNumber"/>
          <w:bCs/>
        </w:rPr>
        <w:t xml:space="preserve">netting </w:t>
      </w:r>
      <w:r w:rsidR="00E51264">
        <w:rPr>
          <w:rStyle w:val="LineNumber"/>
          <w:bCs/>
        </w:rPr>
        <w:t xml:space="preserve">the increase </w:t>
      </w:r>
      <w:r w:rsidR="00B43069">
        <w:rPr>
          <w:rStyle w:val="LineNumber"/>
          <w:bCs/>
        </w:rPr>
        <w:t>to</w:t>
      </w:r>
      <w:r w:rsidR="00E51264">
        <w:rPr>
          <w:rStyle w:val="LineNumber"/>
          <w:bCs/>
        </w:rPr>
        <w:t xml:space="preserve"> revenue </w:t>
      </w:r>
      <w:r w:rsidR="008107C4">
        <w:rPr>
          <w:rStyle w:val="LineNumber"/>
          <w:bCs/>
        </w:rPr>
        <w:t>against</w:t>
      </w:r>
      <w:r w:rsidR="00EC2677">
        <w:rPr>
          <w:rStyle w:val="LineNumber"/>
          <w:bCs/>
        </w:rPr>
        <w:t xml:space="preserve"> the </w:t>
      </w:r>
      <w:r w:rsidR="00F72F47" w:rsidRPr="003F704F">
        <w:rPr>
          <w:rStyle w:val="LineNumber"/>
          <w:bCs/>
        </w:rPr>
        <w:t xml:space="preserve">decoupling </w:t>
      </w:r>
      <w:r w:rsidR="00AD5245">
        <w:rPr>
          <w:rStyle w:val="LineNumber"/>
          <w:bCs/>
        </w:rPr>
        <w:t>revenue</w:t>
      </w:r>
      <w:r w:rsidR="008107C4">
        <w:rPr>
          <w:rStyle w:val="LineNumber"/>
          <w:bCs/>
        </w:rPr>
        <w:t xml:space="preserve"> offset of ($5,775,000),</w:t>
      </w:r>
      <w:r w:rsidR="00AD5245">
        <w:rPr>
          <w:rStyle w:val="LineNumber"/>
          <w:bCs/>
        </w:rPr>
        <w:t xml:space="preserve"> </w:t>
      </w:r>
      <w:r w:rsidR="00F72F47" w:rsidRPr="003F704F">
        <w:rPr>
          <w:rStyle w:val="LineNumber"/>
          <w:bCs/>
        </w:rPr>
        <w:t>result</w:t>
      </w:r>
      <w:r w:rsidR="00E51264">
        <w:rPr>
          <w:rStyle w:val="LineNumber"/>
          <w:bCs/>
        </w:rPr>
        <w:t>ed</w:t>
      </w:r>
      <w:r w:rsidR="00F72F47" w:rsidRPr="003F704F">
        <w:rPr>
          <w:rStyle w:val="LineNumber"/>
          <w:bCs/>
        </w:rPr>
        <w:t xml:space="preserve"> in </w:t>
      </w:r>
      <w:r w:rsidR="00EC2677">
        <w:rPr>
          <w:rStyle w:val="LineNumber"/>
          <w:bCs/>
        </w:rPr>
        <w:t>net</w:t>
      </w:r>
      <w:r w:rsidR="00F72F47" w:rsidRPr="003F704F">
        <w:rPr>
          <w:rStyle w:val="LineNumber"/>
          <w:bCs/>
        </w:rPr>
        <w:t xml:space="preserve"> weather adjustment </w:t>
      </w:r>
      <w:r w:rsidR="000D5D59" w:rsidRPr="003F704F">
        <w:rPr>
          <w:rStyle w:val="LineNumber"/>
          <w:bCs/>
        </w:rPr>
        <w:t xml:space="preserve">revenue </w:t>
      </w:r>
      <w:r w:rsidR="00F72F47" w:rsidRPr="003F704F">
        <w:rPr>
          <w:rStyle w:val="LineNumber"/>
          <w:bCs/>
        </w:rPr>
        <w:t>of $</w:t>
      </w:r>
      <w:r w:rsidR="0024676D">
        <w:rPr>
          <w:rStyle w:val="LineNumber"/>
          <w:bCs/>
        </w:rPr>
        <w:t>1,617</w:t>
      </w:r>
      <w:r w:rsidR="00F72F47" w:rsidRPr="003F704F">
        <w:rPr>
          <w:rStyle w:val="LineNumber"/>
          <w:bCs/>
        </w:rPr>
        <w:t>,000.</w:t>
      </w:r>
      <w:r w:rsidR="00F72F47" w:rsidRPr="003F704F">
        <w:rPr>
          <w:rStyle w:val="FootnoteReference"/>
          <w:bCs/>
        </w:rPr>
        <w:footnoteReference w:id="4"/>
      </w:r>
      <w:r w:rsidRPr="003F704F">
        <w:rPr>
          <w:rStyle w:val="LineNumber"/>
          <w:bCs/>
        </w:rPr>
        <w:t xml:space="preserve"> </w:t>
      </w:r>
      <w:r w:rsidR="00EC2677">
        <w:rPr>
          <w:rStyle w:val="LineNumber"/>
          <w:bCs/>
        </w:rPr>
        <w:t xml:space="preserve"> </w:t>
      </w:r>
      <w:r w:rsidR="00F72F47" w:rsidRPr="003F704F">
        <w:rPr>
          <w:rStyle w:val="LineNumber"/>
          <w:bCs/>
        </w:rPr>
        <w:t xml:space="preserve">After </w:t>
      </w:r>
      <w:r w:rsidR="008107C4">
        <w:rPr>
          <w:rStyle w:val="LineNumber"/>
          <w:bCs/>
        </w:rPr>
        <w:t xml:space="preserve">an </w:t>
      </w:r>
      <w:r w:rsidR="00F72F47" w:rsidRPr="003F704F">
        <w:rPr>
          <w:rStyle w:val="LineNumber"/>
          <w:bCs/>
        </w:rPr>
        <w:t xml:space="preserve">offsetting reduction </w:t>
      </w:r>
      <w:r w:rsidR="007B072C">
        <w:rPr>
          <w:rStyle w:val="LineNumber"/>
          <w:bCs/>
        </w:rPr>
        <w:t>for</w:t>
      </w:r>
      <w:r w:rsidR="00F72F47" w:rsidRPr="003F704F">
        <w:rPr>
          <w:rStyle w:val="LineNumber"/>
          <w:bCs/>
        </w:rPr>
        <w:t xml:space="preserve"> </w:t>
      </w:r>
      <w:r w:rsidRPr="003F704F">
        <w:rPr>
          <w:rStyle w:val="LineNumber"/>
          <w:bCs/>
        </w:rPr>
        <w:t>revenue</w:t>
      </w:r>
      <w:r w:rsidR="00CE43E9" w:rsidRPr="003F704F">
        <w:rPr>
          <w:rStyle w:val="LineNumber"/>
          <w:bCs/>
        </w:rPr>
        <w:t>-</w:t>
      </w:r>
      <w:r w:rsidRPr="003F704F">
        <w:rPr>
          <w:rStyle w:val="LineNumber"/>
          <w:bCs/>
        </w:rPr>
        <w:t>related expenses and taxes</w:t>
      </w:r>
      <w:r w:rsidR="00CE43E9" w:rsidRPr="003F704F">
        <w:rPr>
          <w:rStyle w:val="LineNumber"/>
          <w:bCs/>
        </w:rPr>
        <w:t>,</w:t>
      </w:r>
      <w:r w:rsidRPr="003F704F">
        <w:rPr>
          <w:rStyle w:val="LineNumber"/>
          <w:bCs/>
        </w:rPr>
        <w:t xml:space="preserve"> </w:t>
      </w:r>
      <w:r w:rsidR="00F72F47" w:rsidRPr="003F704F">
        <w:rPr>
          <w:rStyle w:val="LineNumber"/>
          <w:bCs/>
        </w:rPr>
        <w:t>the weather normalization adjustment produced a</w:t>
      </w:r>
      <w:r w:rsidR="003F704F">
        <w:rPr>
          <w:rStyle w:val="LineNumber"/>
          <w:bCs/>
        </w:rPr>
        <w:t>n</w:t>
      </w:r>
      <w:r w:rsidR="00F72F47" w:rsidRPr="003F704F">
        <w:rPr>
          <w:rStyle w:val="LineNumber"/>
          <w:bCs/>
        </w:rPr>
        <w:t xml:space="preserve"> </w:t>
      </w:r>
      <w:r w:rsidR="003F704F">
        <w:rPr>
          <w:rStyle w:val="LineNumber"/>
          <w:bCs/>
        </w:rPr>
        <w:t>in</w:t>
      </w:r>
      <w:r w:rsidRPr="003F704F">
        <w:rPr>
          <w:rStyle w:val="LineNumber"/>
          <w:bCs/>
        </w:rPr>
        <w:t>crease</w:t>
      </w:r>
      <w:r w:rsidR="001A6E39" w:rsidRPr="003F704F">
        <w:rPr>
          <w:rStyle w:val="LineNumber"/>
          <w:bCs/>
        </w:rPr>
        <w:t xml:space="preserve"> to net</w:t>
      </w:r>
      <w:r w:rsidR="00E51264">
        <w:rPr>
          <w:rStyle w:val="LineNumber"/>
          <w:bCs/>
        </w:rPr>
        <w:t xml:space="preserve"> operating </w:t>
      </w:r>
      <w:r w:rsidR="001A6E39" w:rsidRPr="003F704F">
        <w:rPr>
          <w:rStyle w:val="LineNumber"/>
          <w:bCs/>
        </w:rPr>
        <w:t>income of $</w:t>
      </w:r>
      <w:r w:rsidR="0024676D">
        <w:rPr>
          <w:rStyle w:val="LineNumber"/>
          <w:bCs/>
        </w:rPr>
        <w:t>825</w:t>
      </w:r>
      <w:r w:rsidR="00BF03C9" w:rsidRPr="003F704F">
        <w:rPr>
          <w:rStyle w:val="LineNumber"/>
          <w:bCs/>
        </w:rPr>
        <w:t>,</w:t>
      </w:r>
      <w:r w:rsidR="001A6E39" w:rsidRPr="003F704F">
        <w:rPr>
          <w:rStyle w:val="LineNumber"/>
          <w:bCs/>
        </w:rPr>
        <w:t>000</w:t>
      </w:r>
      <w:r w:rsidR="00E83853">
        <w:rPr>
          <w:rStyle w:val="LineNumber"/>
          <w:bCs/>
        </w:rPr>
        <w:t>, as shown below:</w:t>
      </w:r>
    </w:p>
    <w:tbl>
      <w:tblPr>
        <w:tblStyle w:val="TableGrid"/>
        <w:tblpPr w:leftFromText="180" w:rightFromText="180" w:vertAnchor="text" w:tblpX="1092" w:tblpY="60"/>
        <w:tblOverlap w:val="never"/>
        <w:tblW w:w="6306" w:type="dxa"/>
        <w:tblBorders>
          <w:insideH w:val="none" w:sz="0" w:space="0" w:color="auto"/>
          <w:insideV w:val="none" w:sz="0" w:space="0" w:color="auto"/>
        </w:tblBorders>
        <w:tblLook w:val="04A0" w:firstRow="1" w:lastRow="0" w:firstColumn="1" w:lastColumn="0" w:noHBand="0" w:noVBand="1"/>
      </w:tblPr>
      <w:tblGrid>
        <w:gridCol w:w="4572"/>
        <w:gridCol w:w="1734"/>
      </w:tblGrid>
      <w:tr w:rsidR="000E47AF" w:rsidTr="000E47AF">
        <w:tc>
          <w:tcPr>
            <w:tcW w:w="4572" w:type="dxa"/>
          </w:tcPr>
          <w:p w:rsidR="000E47AF" w:rsidRDefault="000E47AF" w:rsidP="000E47AF">
            <w:pPr>
              <w:pStyle w:val="BodyText2"/>
              <w:tabs>
                <w:tab w:val="left" w:pos="1440"/>
              </w:tabs>
              <w:spacing w:line="240" w:lineRule="auto"/>
              <w:rPr>
                <w:rStyle w:val="LineNumber"/>
                <w:bCs/>
              </w:rPr>
            </w:pPr>
            <w:r>
              <w:rPr>
                <w:rStyle w:val="LineNumber"/>
                <w:bCs/>
              </w:rPr>
              <w:t>General Business Revenue (Sales)</w:t>
            </w:r>
          </w:p>
        </w:tc>
        <w:tc>
          <w:tcPr>
            <w:tcW w:w="1734" w:type="dxa"/>
          </w:tcPr>
          <w:p w:rsidR="000E47AF" w:rsidRDefault="000E47AF" w:rsidP="000E47AF">
            <w:pPr>
              <w:pStyle w:val="BodyText2"/>
              <w:tabs>
                <w:tab w:val="left" w:pos="1440"/>
              </w:tabs>
              <w:spacing w:line="240" w:lineRule="auto"/>
              <w:rPr>
                <w:rStyle w:val="LineNumber"/>
                <w:bCs/>
              </w:rPr>
            </w:pPr>
            <w:r>
              <w:rPr>
                <w:rStyle w:val="LineNumber"/>
                <w:bCs/>
              </w:rPr>
              <w:t xml:space="preserve"> $7,392,000</w:t>
            </w:r>
          </w:p>
        </w:tc>
      </w:tr>
      <w:tr w:rsidR="000E47AF" w:rsidTr="000E47AF">
        <w:tc>
          <w:tcPr>
            <w:tcW w:w="4572" w:type="dxa"/>
          </w:tcPr>
          <w:p w:rsidR="000E47AF" w:rsidRDefault="000E47AF" w:rsidP="000E47AF">
            <w:pPr>
              <w:pStyle w:val="BodyText2"/>
              <w:tabs>
                <w:tab w:val="left" w:pos="1440"/>
              </w:tabs>
              <w:spacing w:line="240" w:lineRule="auto"/>
              <w:rPr>
                <w:rStyle w:val="LineNumber"/>
                <w:bCs/>
              </w:rPr>
            </w:pPr>
            <w:r>
              <w:rPr>
                <w:rStyle w:val="LineNumber"/>
                <w:bCs/>
              </w:rPr>
              <w:t>Other Revenue (Decoupling Deferred)</w:t>
            </w:r>
          </w:p>
        </w:tc>
        <w:tc>
          <w:tcPr>
            <w:tcW w:w="1734" w:type="dxa"/>
          </w:tcPr>
          <w:p w:rsidR="000E47AF" w:rsidRPr="008F2BBD" w:rsidRDefault="000E47AF" w:rsidP="000E47AF">
            <w:pPr>
              <w:pStyle w:val="BodyText2"/>
              <w:tabs>
                <w:tab w:val="left" w:pos="1440"/>
              </w:tabs>
              <w:spacing w:line="240" w:lineRule="auto"/>
              <w:rPr>
                <w:rStyle w:val="LineNumber"/>
                <w:bCs/>
                <w:u w:val="single"/>
              </w:rPr>
            </w:pPr>
            <w:r w:rsidRPr="008F2BBD">
              <w:rPr>
                <w:rStyle w:val="LineNumber"/>
                <w:bCs/>
                <w:u w:val="single"/>
              </w:rPr>
              <w:t>($5,775,000)</w:t>
            </w:r>
          </w:p>
        </w:tc>
      </w:tr>
      <w:tr w:rsidR="000E47AF" w:rsidTr="000E47AF">
        <w:trPr>
          <w:trHeight w:val="207"/>
        </w:trPr>
        <w:tc>
          <w:tcPr>
            <w:tcW w:w="4572" w:type="dxa"/>
          </w:tcPr>
          <w:p w:rsidR="000E47AF" w:rsidRDefault="000E47AF" w:rsidP="000E47AF">
            <w:pPr>
              <w:pStyle w:val="BodyText2"/>
              <w:tabs>
                <w:tab w:val="left" w:pos="1440"/>
              </w:tabs>
              <w:spacing w:line="240" w:lineRule="auto"/>
              <w:rPr>
                <w:rStyle w:val="LineNumber"/>
                <w:bCs/>
              </w:rPr>
            </w:pPr>
            <w:r>
              <w:rPr>
                <w:rStyle w:val="LineNumber"/>
                <w:bCs/>
              </w:rPr>
              <w:t>Total Revenue (Net Adjustment)</w:t>
            </w:r>
          </w:p>
        </w:tc>
        <w:tc>
          <w:tcPr>
            <w:tcW w:w="1734" w:type="dxa"/>
          </w:tcPr>
          <w:p w:rsidR="000E47AF" w:rsidRDefault="000E47AF" w:rsidP="000E47AF">
            <w:pPr>
              <w:pStyle w:val="BodyText2"/>
              <w:tabs>
                <w:tab w:val="left" w:pos="1440"/>
              </w:tabs>
              <w:spacing w:line="240" w:lineRule="auto"/>
              <w:rPr>
                <w:rStyle w:val="LineNumber"/>
                <w:bCs/>
              </w:rPr>
            </w:pPr>
            <w:r>
              <w:rPr>
                <w:rStyle w:val="LineNumber"/>
                <w:bCs/>
              </w:rPr>
              <w:t xml:space="preserve"> $1,617,000</w:t>
            </w:r>
          </w:p>
        </w:tc>
      </w:tr>
      <w:tr w:rsidR="000E47AF" w:rsidTr="000E47AF">
        <w:tc>
          <w:tcPr>
            <w:tcW w:w="4572" w:type="dxa"/>
          </w:tcPr>
          <w:p w:rsidR="000E47AF" w:rsidRDefault="000E47AF" w:rsidP="000E47AF">
            <w:pPr>
              <w:pStyle w:val="BodyText2"/>
              <w:tabs>
                <w:tab w:val="left" w:pos="1440"/>
              </w:tabs>
              <w:spacing w:line="240" w:lineRule="auto"/>
              <w:rPr>
                <w:rStyle w:val="LineNumber"/>
                <w:bCs/>
              </w:rPr>
            </w:pPr>
            <w:r>
              <w:rPr>
                <w:rStyle w:val="LineNumber"/>
                <w:bCs/>
              </w:rPr>
              <w:t>Less:  Revenue Related Expenses</w:t>
            </w:r>
          </w:p>
        </w:tc>
        <w:tc>
          <w:tcPr>
            <w:tcW w:w="1734" w:type="dxa"/>
          </w:tcPr>
          <w:p w:rsidR="000E47AF" w:rsidRDefault="000E47AF" w:rsidP="000E47AF">
            <w:pPr>
              <w:pStyle w:val="BodyText2"/>
              <w:tabs>
                <w:tab w:val="left" w:pos="1440"/>
              </w:tabs>
              <w:spacing w:line="240" w:lineRule="auto"/>
              <w:rPr>
                <w:rStyle w:val="LineNumber"/>
                <w:bCs/>
              </w:rPr>
            </w:pPr>
            <w:r>
              <w:rPr>
                <w:rStyle w:val="LineNumber"/>
                <w:bCs/>
              </w:rPr>
              <w:t xml:space="preserve">  ($348,000)</w:t>
            </w:r>
          </w:p>
        </w:tc>
      </w:tr>
      <w:tr w:rsidR="000E47AF" w:rsidTr="000E47AF">
        <w:tc>
          <w:tcPr>
            <w:tcW w:w="4572" w:type="dxa"/>
          </w:tcPr>
          <w:p w:rsidR="000E47AF" w:rsidRDefault="000E47AF" w:rsidP="000E47AF">
            <w:pPr>
              <w:pStyle w:val="BodyText2"/>
              <w:tabs>
                <w:tab w:val="left" w:pos="1440"/>
              </w:tabs>
              <w:spacing w:line="240" w:lineRule="auto"/>
              <w:rPr>
                <w:rStyle w:val="LineNumber"/>
                <w:bCs/>
              </w:rPr>
            </w:pPr>
            <w:r>
              <w:rPr>
                <w:rStyle w:val="LineNumber"/>
                <w:bCs/>
              </w:rPr>
              <w:t>Less:  Income Tax Expense</w:t>
            </w:r>
          </w:p>
        </w:tc>
        <w:tc>
          <w:tcPr>
            <w:tcW w:w="1734" w:type="dxa"/>
          </w:tcPr>
          <w:p w:rsidR="000E47AF" w:rsidRPr="008F2BBD" w:rsidRDefault="000E47AF" w:rsidP="000E47AF">
            <w:pPr>
              <w:pStyle w:val="BodyText2"/>
              <w:tabs>
                <w:tab w:val="left" w:pos="1440"/>
              </w:tabs>
              <w:spacing w:line="240" w:lineRule="auto"/>
              <w:rPr>
                <w:rStyle w:val="LineNumber"/>
                <w:bCs/>
                <w:u w:val="single"/>
              </w:rPr>
            </w:pPr>
            <w:r w:rsidRPr="008F2BBD">
              <w:rPr>
                <w:rStyle w:val="LineNumber"/>
                <w:bCs/>
                <w:u w:val="single"/>
              </w:rPr>
              <w:t xml:space="preserve">  ($444,000)</w:t>
            </w:r>
          </w:p>
        </w:tc>
      </w:tr>
      <w:tr w:rsidR="000E47AF" w:rsidTr="000E47AF">
        <w:tc>
          <w:tcPr>
            <w:tcW w:w="4572" w:type="dxa"/>
          </w:tcPr>
          <w:p w:rsidR="000E47AF" w:rsidRDefault="000E47AF" w:rsidP="000E47AF">
            <w:pPr>
              <w:pStyle w:val="BodyText2"/>
              <w:tabs>
                <w:tab w:val="left" w:pos="1440"/>
              </w:tabs>
              <w:spacing w:line="240" w:lineRule="auto"/>
              <w:rPr>
                <w:rStyle w:val="LineNumber"/>
                <w:bCs/>
              </w:rPr>
            </w:pPr>
            <w:r>
              <w:rPr>
                <w:rStyle w:val="LineNumber"/>
                <w:bCs/>
              </w:rPr>
              <w:t>Net Operating Income</w:t>
            </w:r>
          </w:p>
        </w:tc>
        <w:tc>
          <w:tcPr>
            <w:tcW w:w="1734" w:type="dxa"/>
          </w:tcPr>
          <w:p w:rsidR="000E47AF" w:rsidRDefault="000E47AF" w:rsidP="000E47AF">
            <w:pPr>
              <w:pStyle w:val="BodyText2"/>
              <w:tabs>
                <w:tab w:val="left" w:pos="1440"/>
              </w:tabs>
              <w:spacing w:line="240" w:lineRule="auto"/>
              <w:rPr>
                <w:rStyle w:val="LineNumber"/>
                <w:bCs/>
              </w:rPr>
            </w:pPr>
            <w:r>
              <w:rPr>
                <w:rStyle w:val="LineNumber"/>
                <w:bCs/>
              </w:rPr>
              <w:t xml:space="preserve">   $825,000</w:t>
            </w:r>
          </w:p>
        </w:tc>
      </w:tr>
    </w:tbl>
    <w:p w:rsidR="000E47AF" w:rsidRDefault="000E47AF">
      <w:pPr>
        <w:pStyle w:val="BodyText2"/>
        <w:tabs>
          <w:tab w:val="left" w:pos="1440"/>
        </w:tabs>
        <w:ind w:firstLine="720"/>
        <w:rPr>
          <w:rStyle w:val="LineNumber"/>
          <w:bCs/>
        </w:rPr>
      </w:pPr>
    </w:p>
    <w:p w:rsidR="00CB59C5" w:rsidRDefault="00CB59C5" w:rsidP="00CB59C5">
      <w:pPr>
        <w:pStyle w:val="BodyText2"/>
        <w:tabs>
          <w:tab w:val="left" w:pos="1440"/>
        </w:tabs>
        <w:rPr>
          <w:rStyle w:val="LineNumber"/>
          <w:bCs/>
        </w:rPr>
      </w:pPr>
    </w:p>
    <w:p w:rsidR="000E47AF" w:rsidRDefault="000E47AF" w:rsidP="00CB59C5">
      <w:pPr>
        <w:pStyle w:val="BodyText2"/>
        <w:tabs>
          <w:tab w:val="left" w:pos="1440"/>
        </w:tabs>
        <w:rPr>
          <w:rStyle w:val="LineNumber"/>
          <w:bCs/>
        </w:rPr>
      </w:pPr>
    </w:p>
    <w:p w:rsidR="000E47AF" w:rsidRDefault="000E47AF" w:rsidP="00CB59C5">
      <w:pPr>
        <w:pStyle w:val="BodyText2"/>
        <w:tabs>
          <w:tab w:val="left" w:pos="1440"/>
        </w:tabs>
        <w:rPr>
          <w:rStyle w:val="LineNumber"/>
          <w:bCs/>
        </w:rPr>
      </w:pPr>
    </w:p>
    <w:p w:rsidR="00744FF5" w:rsidRDefault="00CB59C5" w:rsidP="000E47AF">
      <w:pPr>
        <w:pStyle w:val="BodyText2"/>
        <w:tabs>
          <w:tab w:val="left" w:pos="720"/>
        </w:tabs>
        <w:rPr>
          <w:rStyle w:val="LineNumber"/>
          <w:bCs/>
        </w:rPr>
      </w:pPr>
      <w:r>
        <w:rPr>
          <w:rStyle w:val="LineNumber"/>
          <w:bCs/>
        </w:rPr>
        <w:tab/>
      </w:r>
      <w:r w:rsidR="001A6E39">
        <w:rPr>
          <w:rStyle w:val="LineNumber"/>
          <w:bCs/>
        </w:rPr>
        <w:t xml:space="preserve">The </w:t>
      </w:r>
      <w:r w:rsidR="00C66D83">
        <w:rPr>
          <w:rStyle w:val="LineNumber"/>
          <w:bCs/>
        </w:rPr>
        <w:t xml:space="preserve">electric system </w:t>
      </w:r>
      <w:r w:rsidR="001A6E39">
        <w:rPr>
          <w:rStyle w:val="LineNumber"/>
          <w:bCs/>
        </w:rPr>
        <w:t xml:space="preserve">monthly weather adjustment volumes were provided to </w:t>
      </w:r>
      <w:r w:rsidR="00C66D83">
        <w:rPr>
          <w:rStyle w:val="LineNumber"/>
          <w:bCs/>
        </w:rPr>
        <w:t xml:space="preserve">Company witness </w:t>
      </w:r>
      <w:r w:rsidR="001A6E39">
        <w:rPr>
          <w:rStyle w:val="LineNumber"/>
          <w:bCs/>
        </w:rPr>
        <w:t xml:space="preserve">Mr. </w:t>
      </w:r>
      <w:r>
        <w:rPr>
          <w:rStyle w:val="LineNumber"/>
          <w:bCs/>
        </w:rPr>
        <w:t>Kalich</w:t>
      </w:r>
      <w:r w:rsidR="001A6E39">
        <w:rPr>
          <w:rStyle w:val="LineNumber"/>
          <w:bCs/>
        </w:rPr>
        <w:t xml:space="preserve"> as an input to the Power Supply analysis.</w:t>
      </w:r>
      <w:r w:rsidR="006E3F52">
        <w:rPr>
          <w:rStyle w:val="LineNumber"/>
          <w:bCs/>
        </w:rPr>
        <w:t xml:space="preserve">  The cost of the </w:t>
      </w:r>
      <w:r w:rsidR="006148F6">
        <w:rPr>
          <w:rStyle w:val="LineNumber"/>
          <w:bCs/>
        </w:rPr>
        <w:t>weather-related</w:t>
      </w:r>
      <w:r w:rsidR="006E3F52">
        <w:rPr>
          <w:rStyle w:val="LineNumber"/>
          <w:bCs/>
        </w:rPr>
        <w:t xml:space="preserve"> load </w:t>
      </w:r>
      <w:r w:rsidR="006148F6">
        <w:rPr>
          <w:rStyle w:val="LineNumber"/>
          <w:bCs/>
        </w:rPr>
        <w:t xml:space="preserve">change </w:t>
      </w:r>
      <w:r w:rsidR="006E3F52">
        <w:rPr>
          <w:rStyle w:val="LineNumber"/>
          <w:bCs/>
        </w:rPr>
        <w:t xml:space="preserve">is reflected in both the </w:t>
      </w:r>
      <w:r>
        <w:rPr>
          <w:rStyle w:val="LineNumber"/>
          <w:bCs/>
        </w:rPr>
        <w:t>“</w:t>
      </w:r>
      <w:r w:rsidR="006E3F52">
        <w:rPr>
          <w:rStyle w:val="LineNumber"/>
          <w:bCs/>
        </w:rPr>
        <w:t>Authorized Power Supply</w:t>
      </w:r>
      <w:r>
        <w:rPr>
          <w:rStyle w:val="LineNumber"/>
          <w:bCs/>
        </w:rPr>
        <w:t>”</w:t>
      </w:r>
      <w:r w:rsidR="006E3F52">
        <w:rPr>
          <w:rStyle w:val="LineNumber"/>
          <w:bCs/>
        </w:rPr>
        <w:t xml:space="preserve"> adjustment in column 2.18 and the </w:t>
      </w:r>
      <w:r>
        <w:rPr>
          <w:rStyle w:val="LineNumber"/>
          <w:bCs/>
        </w:rPr>
        <w:t>“</w:t>
      </w:r>
      <w:r w:rsidR="006E3F52">
        <w:rPr>
          <w:rStyle w:val="LineNumber"/>
          <w:bCs/>
        </w:rPr>
        <w:t>Pro Forma Power Supply and Transmission Revenue</w:t>
      </w:r>
      <w:r>
        <w:rPr>
          <w:rStyle w:val="LineNumber"/>
          <w:bCs/>
        </w:rPr>
        <w:t>”</w:t>
      </w:r>
      <w:r w:rsidR="006E3F52">
        <w:rPr>
          <w:rStyle w:val="LineNumber"/>
          <w:bCs/>
        </w:rPr>
        <w:t xml:space="preserve"> adjustment in column 4.00 (page</w:t>
      </w:r>
      <w:r w:rsidR="006148F6">
        <w:rPr>
          <w:rStyle w:val="LineNumber"/>
          <w:bCs/>
        </w:rPr>
        <w:t xml:space="preserve">s </w:t>
      </w:r>
      <w:r w:rsidR="003918E4">
        <w:rPr>
          <w:rStyle w:val="LineNumber"/>
          <w:bCs/>
        </w:rPr>
        <w:t>7</w:t>
      </w:r>
      <w:r w:rsidR="006148F6">
        <w:rPr>
          <w:rStyle w:val="LineNumber"/>
          <w:bCs/>
        </w:rPr>
        <w:t xml:space="preserve"> and</w:t>
      </w:r>
      <w:r w:rsidR="006E3F52">
        <w:rPr>
          <w:rStyle w:val="LineNumber"/>
          <w:bCs/>
        </w:rPr>
        <w:t xml:space="preserve"> </w:t>
      </w:r>
      <w:r w:rsidR="003918E4">
        <w:rPr>
          <w:rStyle w:val="LineNumber"/>
          <w:bCs/>
        </w:rPr>
        <w:t>8</w:t>
      </w:r>
      <w:r w:rsidR="006E3F52">
        <w:rPr>
          <w:rStyle w:val="LineNumber"/>
          <w:bCs/>
        </w:rPr>
        <w:t>, Exh.</w:t>
      </w:r>
      <w:r w:rsidR="008107C4">
        <w:rPr>
          <w:rStyle w:val="LineNumber"/>
          <w:bCs/>
        </w:rPr>
        <w:t xml:space="preserve"> </w:t>
      </w:r>
      <w:r w:rsidR="006E3F52">
        <w:rPr>
          <w:rStyle w:val="LineNumber"/>
          <w:bCs/>
        </w:rPr>
        <w:t>EMA-3)</w:t>
      </w:r>
      <w:r w:rsidR="006148F6">
        <w:rPr>
          <w:rStyle w:val="LineNumber"/>
          <w:bCs/>
        </w:rPr>
        <w:t>.</w:t>
      </w:r>
    </w:p>
    <w:p w:rsidR="005022AD" w:rsidRDefault="005022AD" w:rsidP="00DB4DE6">
      <w:pPr>
        <w:pStyle w:val="BodyText2"/>
        <w:tabs>
          <w:tab w:val="left" w:pos="1440"/>
        </w:tabs>
        <w:rPr>
          <w:rStyle w:val="LineNumber"/>
          <w:b/>
          <w:bCs/>
          <w:u w:val="single"/>
        </w:rPr>
      </w:pPr>
    </w:p>
    <w:p w:rsidR="00DB4DE6" w:rsidRPr="00DB4DE6" w:rsidRDefault="00DB4DE6" w:rsidP="00DB4DE6">
      <w:pPr>
        <w:pStyle w:val="BodyText2"/>
        <w:tabs>
          <w:tab w:val="left" w:pos="1440"/>
        </w:tabs>
        <w:rPr>
          <w:rStyle w:val="LineNumber"/>
          <w:b/>
          <w:bCs/>
        </w:rPr>
      </w:pPr>
      <w:r w:rsidRPr="005F5D7B">
        <w:rPr>
          <w:rStyle w:val="LineNumber"/>
          <w:b/>
          <w:bCs/>
          <w:u w:val="single"/>
        </w:rPr>
        <w:lastRenderedPageBreak/>
        <w:t>Eliminate Adder Schedules</w:t>
      </w:r>
    </w:p>
    <w:p w:rsidR="00057770" w:rsidRPr="00C66D83" w:rsidRDefault="000C5D20">
      <w:pPr>
        <w:pStyle w:val="BodyText2"/>
        <w:tabs>
          <w:tab w:val="left" w:pos="1440"/>
        </w:tabs>
        <w:ind w:firstLine="720"/>
        <w:rPr>
          <w:rStyle w:val="LineNumber"/>
          <w:b/>
          <w:bCs/>
        </w:rPr>
      </w:pPr>
      <w:r>
        <w:rPr>
          <w:rStyle w:val="LineNumber"/>
          <w:b/>
          <w:bCs/>
        </w:rPr>
        <w:t>Q.</w:t>
      </w:r>
      <w:r>
        <w:rPr>
          <w:rStyle w:val="LineNumber"/>
          <w:b/>
          <w:bCs/>
        </w:rPr>
        <w:tab/>
      </w:r>
      <w:r w:rsidR="00DF046C">
        <w:rPr>
          <w:rStyle w:val="LineNumber"/>
          <w:b/>
          <w:bCs/>
        </w:rPr>
        <w:t>Moving on to</w:t>
      </w:r>
      <w:r>
        <w:rPr>
          <w:rStyle w:val="LineNumber"/>
          <w:b/>
          <w:bCs/>
        </w:rPr>
        <w:t xml:space="preserve"> the </w:t>
      </w:r>
      <w:r w:rsidRPr="001141E4">
        <w:rPr>
          <w:rStyle w:val="LineNumber"/>
          <w:b/>
          <w:bCs/>
          <w:u w:val="single"/>
        </w:rPr>
        <w:t>second revenue normalizing</w:t>
      </w:r>
      <w:r>
        <w:rPr>
          <w:rStyle w:val="LineNumber"/>
          <w:b/>
          <w:bCs/>
        </w:rPr>
        <w:t xml:space="preserve"> a</w:t>
      </w:r>
      <w:r w:rsidR="0024676D">
        <w:rPr>
          <w:rStyle w:val="LineNumber"/>
          <w:b/>
          <w:bCs/>
        </w:rPr>
        <w:t>djustment</w:t>
      </w:r>
      <w:r w:rsidR="000E4D4D">
        <w:rPr>
          <w:rStyle w:val="LineNumber"/>
          <w:b/>
          <w:bCs/>
        </w:rPr>
        <w:t>, w</w:t>
      </w:r>
      <w:r>
        <w:rPr>
          <w:rStyle w:val="LineNumber"/>
          <w:b/>
          <w:bCs/>
        </w:rPr>
        <w:t>hat is the purpose of th</w:t>
      </w:r>
      <w:r w:rsidR="00DF046C">
        <w:rPr>
          <w:rStyle w:val="LineNumber"/>
          <w:b/>
          <w:bCs/>
        </w:rPr>
        <w:t xml:space="preserve">e </w:t>
      </w:r>
      <w:r w:rsidR="00BF03C9">
        <w:rPr>
          <w:rStyle w:val="LineNumber"/>
          <w:b/>
          <w:bCs/>
        </w:rPr>
        <w:t>Eliminate Adder Schedules</w:t>
      </w:r>
      <w:r>
        <w:rPr>
          <w:rStyle w:val="LineNumber"/>
          <w:b/>
          <w:bCs/>
        </w:rPr>
        <w:t xml:space="preserve"> </w:t>
      </w:r>
      <w:r w:rsidR="00A53CC3">
        <w:rPr>
          <w:rStyle w:val="LineNumber"/>
          <w:b/>
          <w:bCs/>
        </w:rPr>
        <w:t xml:space="preserve">restating </w:t>
      </w:r>
      <w:r>
        <w:rPr>
          <w:rStyle w:val="LineNumber"/>
          <w:b/>
          <w:bCs/>
        </w:rPr>
        <w:t>adjustment?</w:t>
      </w:r>
    </w:p>
    <w:p w:rsidR="00BF03C9" w:rsidRDefault="00DF046C">
      <w:pPr>
        <w:pStyle w:val="BodyText2"/>
        <w:tabs>
          <w:tab w:val="left" w:pos="1440"/>
        </w:tabs>
        <w:ind w:firstLine="720"/>
        <w:rPr>
          <w:rStyle w:val="LineNumber"/>
          <w:bCs/>
        </w:rPr>
      </w:pPr>
      <w:r>
        <w:rPr>
          <w:rStyle w:val="LineNumber"/>
          <w:bCs/>
        </w:rPr>
        <w:t>A.</w:t>
      </w:r>
      <w:r>
        <w:rPr>
          <w:rStyle w:val="LineNumber"/>
          <w:bCs/>
        </w:rPr>
        <w:tab/>
      </w:r>
      <w:r w:rsidR="00BB5EC7">
        <w:rPr>
          <w:rStyle w:val="LineNumber"/>
          <w:bCs/>
        </w:rPr>
        <w:t xml:space="preserve">The </w:t>
      </w:r>
      <w:r w:rsidR="00BF03C9">
        <w:rPr>
          <w:rStyle w:val="LineNumber"/>
          <w:bCs/>
        </w:rPr>
        <w:t>Eliminate Adder Schedules</w:t>
      </w:r>
      <w:r w:rsidR="00BB5EC7">
        <w:rPr>
          <w:rStyle w:val="LineNumber"/>
          <w:bCs/>
        </w:rPr>
        <w:t xml:space="preserve"> </w:t>
      </w:r>
      <w:r w:rsidR="00953713">
        <w:rPr>
          <w:rStyle w:val="LineNumber"/>
          <w:bCs/>
        </w:rPr>
        <w:t xml:space="preserve">adjustment removes both the revenues and expenses associated with all adder schedule rates not accounted for in other adjustments.  These items are recovered/rebated by separate tariffs and therefore are not part of base rates.  The items eliminated </w:t>
      </w:r>
      <w:r w:rsidR="002E22C9">
        <w:rPr>
          <w:rStyle w:val="LineNumber"/>
          <w:bCs/>
        </w:rPr>
        <w:t xml:space="preserve">from the test year </w:t>
      </w:r>
      <w:r w:rsidR="00953713">
        <w:rPr>
          <w:rStyle w:val="LineNumber"/>
          <w:bCs/>
        </w:rPr>
        <w:t xml:space="preserve">include:  </w:t>
      </w:r>
      <w:r w:rsidR="00505264">
        <w:rPr>
          <w:rStyle w:val="LineNumber"/>
          <w:bCs/>
        </w:rPr>
        <w:t xml:space="preserve">Schedule 59 Residential Exchange credit, </w:t>
      </w:r>
      <w:r w:rsidR="0024676D">
        <w:rPr>
          <w:rStyle w:val="LineNumber"/>
          <w:bCs/>
        </w:rPr>
        <w:t xml:space="preserve">Schedule 75 Decoupling rate adjustment, Schedule 89 Fixed-Income Senior and Disabled Residential Service Discount rate adjustment, </w:t>
      </w:r>
      <w:r w:rsidR="00505264">
        <w:rPr>
          <w:rStyle w:val="LineNumber"/>
          <w:bCs/>
        </w:rPr>
        <w:t xml:space="preserve">Schedule 91 Demand Side Management rate adjustment, Schedule 92, Low Income Rate Assistance </w:t>
      </w:r>
      <w:r w:rsidR="001665D9">
        <w:rPr>
          <w:rStyle w:val="LineNumber"/>
          <w:bCs/>
        </w:rPr>
        <w:t xml:space="preserve">Program </w:t>
      </w:r>
      <w:r w:rsidR="00505264">
        <w:rPr>
          <w:rStyle w:val="LineNumber"/>
          <w:bCs/>
        </w:rPr>
        <w:t>rate adjustment, the unbilled portion of Schedule 93 Energy Recovery Mechanism rate adjustme</w:t>
      </w:r>
      <w:r w:rsidR="0024676D">
        <w:rPr>
          <w:rStyle w:val="LineNumber"/>
          <w:bCs/>
        </w:rPr>
        <w:t>nt</w:t>
      </w:r>
      <w:r w:rsidR="00505264">
        <w:rPr>
          <w:rStyle w:val="LineNumber"/>
          <w:bCs/>
        </w:rPr>
        <w:t xml:space="preserve">, Schedule 95 </w:t>
      </w:r>
      <w:r w:rsidR="006D61A3">
        <w:rPr>
          <w:rStyle w:val="LineNumber"/>
          <w:bCs/>
        </w:rPr>
        <w:t>Optional Renewable Power rate</w:t>
      </w:r>
      <w:r w:rsidR="004E531C">
        <w:rPr>
          <w:rStyle w:val="LineNumber"/>
          <w:bCs/>
        </w:rPr>
        <w:t xml:space="preserve">, and </w:t>
      </w:r>
      <w:r w:rsidR="003F704F">
        <w:rPr>
          <w:rStyle w:val="LineNumber"/>
          <w:bCs/>
        </w:rPr>
        <w:t xml:space="preserve">the unbilled portion of </w:t>
      </w:r>
      <w:r w:rsidR="004E531C">
        <w:rPr>
          <w:rStyle w:val="LineNumber"/>
          <w:bCs/>
        </w:rPr>
        <w:t>Schedule 98 Renewable Energy Credit Revenue Mechanism</w:t>
      </w:r>
      <w:r w:rsidR="006D61A3">
        <w:rPr>
          <w:rStyle w:val="LineNumber"/>
          <w:bCs/>
        </w:rPr>
        <w:t>.</w:t>
      </w:r>
    </w:p>
    <w:p w:rsidR="006D61A3" w:rsidRPr="006D61A3" w:rsidRDefault="006D61A3">
      <w:pPr>
        <w:pStyle w:val="BodyText2"/>
        <w:tabs>
          <w:tab w:val="left" w:pos="1440"/>
        </w:tabs>
        <w:ind w:firstLine="720"/>
        <w:rPr>
          <w:rStyle w:val="LineNumber"/>
          <w:b/>
          <w:bCs/>
        </w:rPr>
      </w:pPr>
      <w:r w:rsidRPr="006D61A3">
        <w:rPr>
          <w:rStyle w:val="LineNumber"/>
          <w:b/>
          <w:bCs/>
        </w:rPr>
        <w:t>Q.</w:t>
      </w:r>
      <w:r w:rsidRPr="006D61A3">
        <w:rPr>
          <w:rStyle w:val="LineNumber"/>
          <w:b/>
          <w:bCs/>
        </w:rPr>
        <w:tab/>
        <w:t xml:space="preserve">What was the impact of the Eliminate Adder Schedule adjustment on </w:t>
      </w:r>
      <w:r w:rsidR="00A53CC3">
        <w:rPr>
          <w:rStyle w:val="LineNumber"/>
          <w:b/>
          <w:bCs/>
        </w:rPr>
        <w:t>restated</w:t>
      </w:r>
      <w:r w:rsidRPr="006D61A3">
        <w:rPr>
          <w:rStyle w:val="LineNumber"/>
          <w:b/>
          <w:bCs/>
        </w:rPr>
        <w:t xml:space="preserve"> results of operations?</w:t>
      </w:r>
    </w:p>
    <w:p w:rsidR="006D61A3" w:rsidRDefault="006D61A3" w:rsidP="006D61A3">
      <w:pPr>
        <w:pStyle w:val="BodyText2"/>
        <w:tabs>
          <w:tab w:val="left" w:pos="1440"/>
        </w:tabs>
        <w:ind w:firstLine="720"/>
        <w:rPr>
          <w:rStyle w:val="LineNumber"/>
          <w:bCs/>
        </w:rPr>
      </w:pPr>
      <w:r>
        <w:rPr>
          <w:rStyle w:val="LineNumber"/>
          <w:bCs/>
        </w:rPr>
        <w:t>A.</w:t>
      </w:r>
      <w:r>
        <w:rPr>
          <w:rStyle w:val="LineNumber"/>
          <w:bCs/>
        </w:rPr>
        <w:tab/>
        <w:t>The Eliminate Adder Schedule adjustment results in an equal and offsetting reduction to both revenue and expense and has no impact on net income.  The billed portion of Schedule</w:t>
      </w:r>
      <w:r w:rsidR="003F704F">
        <w:rPr>
          <w:rStyle w:val="LineNumber"/>
          <w:bCs/>
        </w:rPr>
        <w:t>s</w:t>
      </w:r>
      <w:r>
        <w:rPr>
          <w:rStyle w:val="LineNumber"/>
          <w:bCs/>
        </w:rPr>
        <w:t xml:space="preserve"> 93</w:t>
      </w:r>
      <w:r w:rsidR="003F704F">
        <w:rPr>
          <w:rStyle w:val="LineNumber"/>
          <w:bCs/>
        </w:rPr>
        <w:t xml:space="preserve"> and 98 are</w:t>
      </w:r>
      <w:r>
        <w:rPr>
          <w:rStyle w:val="LineNumber"/>
          <w:bCs/>
        </w:rPr>
        <w:t xml:space="preserve"> eliminated in the Eliminate WA Power Cost Deferral adjustment </w:t>
      </w:r>
      <w:r w:rsidRPr="003F704F">
        <w:rPr>
          <w:rStyle w:val="LineNumber"/>
          <w:bCs/>
        </w:rPr>
        <w:t>2.13</w:t>
      </w:r>
      <w:r w:rsidR="00A53CC3">
        <w:rPr>
          <w:rStyle w:val="LineNumber"/>
          <w:bCs/>
        </w:rPr>
        <w:t xml:space="preserve"> on page </w:t>
      </w:r>
      <w:r w:rsidR="003918E4">
        <w:rPr>
          <w:rStyle w:val="LineNumber"/>
          <w:bCs/>
        </w:rPr>
        <w:t>7</w:t>
      </w:r>
      <w:r w:rsidR="00E1396F">
        <w:rPr>
          <w:rStyle w:val="LineNumber"/>
          <w:bCs/>
        </w:rPr>
        <w:t xml:space="preserve"> of Exh.</w:t>
      </w:r>
      <w:r w:rsidR="00A53CC3">
        <w:rPr>
          <w:rStyle w:val="LineNumber"/>
          <w:bCs/>
        </w:rPr>
        <w:t xml:space="preserve"> EMA-3</w:t>
      </w:r>
      <w:r w:rsidR="00F97D6C">
        <w:rPr>
          <w:rStyle w:val="LineNumber"/>
          <w:bCs/>
        </w:rPr>
        <w:t>,</w:t>
      </w:r>
      <w:r w:rsidRPr="003F704F">
        <w:rPr>
          <w:rStyle w:val="LineNumber"/>
          <w:bCs/>
        </w:rPr>
        <w:t xml:space="preserve"> </w:t>
      </w:r>
      <w:r>
        <w:rPr>
          <w:rStyle w:val="LineNumber"/>
          <w:bCs/>
        </w:rPr>
        <w:t xml:space="preserve">and Schedule 58 Municipal Tax Adjustment is eliminated in the Eliminate B&amp;O Taxes adjustment </w:t>
      </w:r>
      <w:r w:rsidRPr="003F704F">
        <w:rPr>
          <w:rStyle w:val="LineNumber"/>
          <w:bCs/>
        </w:rPr>
        <w:t>2.01</w:t>
      </w:r>
      <w:r w:rsidR="00A53CC3">
        <w:rPr>
          <w:rStyle w:val="LineNumber"/>
          <w:bCs/>
        </w:rPr>
        <w:t xml:space="preserve"> on page </w:t>
      </w:r>
      <w:r w:rsidR="003918E4">
        <w:rPr>
          <w:rStyle w:val="LineNumber"/>
          <w:bCs/>
        </w:rPr>
        <w:t>5</w:t>
      </w:r>
      <w:r w:rsidR="00E1396F">
        <w:rPr>
          <w:rStyle w:val="LineNumber"/>
          <w:bCs/>
        </w:rPr>
        <w:t xml:space="preserve"> of Exh.</w:t>
      </w:r>
      <w:r w:rsidR="00A53CC3">
        <w:rPr>
          <w:rStyle w:val="LineNumber"/>
          <w:bCs/>
        </w:rPr>
        <w:t xml:space="preserve"> EMA-3</w:t>
      </w:r>
      <w:r>
        <w:rPr>
          <w:rStyle w:val="LineNumber"/>
          <w:bCs/>
        </w:rPr>
        <w:t>.  After these adjustments the Restated Total General Business revenue</w:t>
      </w:r>
      <w:r w:rsidR="00A53CC3">
        <w:rPr>
          <w:rStyle w:val="LineNumber"/>
          <w:bCs/>
        </w:rPr>
        <w:t xml:space="preserve"> (column R-Ttl on page </w:t>
      </w:r>
      <w:r w:rsidR="003918E4">
        <w:rPr>
          <w:rStyle w:val="LineNumber"/>
          <w:bCs/>
        </w:rPr>
        <w:t>7</w:t>
      </w:r>
      <w:r w:rsidR="00E1396F">
        <w:rPr>
          <w:rStyle w:val="LineNumber"/>
          <w:bCs/>
        </w:rPr>
        <w:t xml:space="preserve"> of Exh.</w:t>
      </w:r>
      <w:r w:rsidR="00A53CC3">
        <w:rPr>
          <w:rStyle w:val="LineNumber"/>
          <w:bCs/>
        </w:rPr>
        <w:t xml:space="preserve"> EMA-3)</w:t>
      </w:r>
      <w:r>
        <w:rPr>
          <w:rStyle w:val="LineNumber"/>
          <w:bCs/>
        </w:rPr>
        <w:t xml:space="preserve"> represents weather normalized </w:t>
      </w:r>
      <w:r w:rsidRPr="006D61A3">
        <w:rPr>
          <w:rStyle w:val="LineNumber"/>
          <w:bCs/>
          <w:u w:val="single"/>
        </w:rPr>
        <w:t>base</w:t>
      </w:r>
      <w:r>
        <w:rPr>
          <w:rStyle w:val="LineNumber"/>
          <w:bCs/>
        </w:rPr>
        <w:t xml:space="preserve"> rate revenue received during the 12</w:t>
      </w:r>
      <w:r w:rsidR="003918E4">
        <w:rPr>
          <w:rStyle w:val="LineNumber"/>
          <w:bCs/>
        </w:rPr>
        <w:t>-</w:t>
      </w:r>
      <w:r>
        <w:rPr>
          <w:rStyle w:val="LineNumber"/>
          <w:bCs/>
        </w:rPr>
        <w:t xml:space="preserve">months ended </w:t>
      </w:r>
      <w:r w:rsidR="00DA58A9">
        <w:rPr>
          <w:rStyle w:val="LineNumber"/>
          <w:bCs/>
        </w:rPr>
        <w:t>December 31</w:t>
      </w:r>
      <w:r>
        <w:rPr>
          <w:rStyle w:val="LineNumber"/>
          <w:bCs/>
        </w:rPr>
        <w:t>, 201</w:t>
      </w:r>
      <w:r w:rsidR="00DA58A9">
        <w:rPr>
          <w:rStyle w:val="LineNumber"/>
          <w:bCs/>
        </w:rPr>
        <w:t>6</w:t>
      </w:r>
      <w:r>
        <w:rPr>
          <w:rStyle w:val="LineNumber"/>
          <w:bCs/>
        </w:rPr>
        <w:t xml:space="preserve"> test period.</w:t>
      </w:r>
    </w:p>
    <w:p w:rsidR="00DB4DE6" w:rsidRPr="00DB4DE6" w:rsidRDefault="00DB4DE6" w:rsidP="00DB4DE6">
      <w:pPr>
        <w:pStyle w:val="BodyText2"/>
        <w:tabs>
          <w:tab w:val="left" w:pos="1440"/>
        </w:tabs>
        <w:rPr>
          <w:rStyle w:val="LineNumber"/>
          <w:b/>
          <w:bCs/>
        </w:rPr>
      </w:pPr>
      <w:r w:rsidRPr="005F5D7B">
        <w:rPr>
          <w:rStyle w:val="LineNumber"/>
          <w:b/>
          <w:bCs/>
          <w:u w:val="single"/>
        </w:rPr>
        <w:lastRenderedPageBreak/>
        <w:t>Pro Forma Revenue</w:t>
      </w:r>
    </w:p>
    <w:p w:rsidR="000D1E78" w:rsidRPr="00313777" w:rsidRDefault="000D1E78" w:rsidP="000D1E78">
      <w:pPr>
        <w:pStyle w:val="BodyText2"/>
        <w:tabs>
          <w:tab w:val="left" w:pos="1440"/>
        </w:tabs>
        <w:ind w:firstLine="720"/>
        <w:rPr>
          <w:rStyle w:val="LineNumber"/>
          <w:b/>
          <w:bCs/>
        </w:rPr>
      </w:pPr>
      <w:r w:rsidRPr="00313777">
        <w:rPr>
          <w:rStyle w:val="LineNumber"/>
          <w:b/>
          <w:bCs/>
        </w:rPr>
        <w:t>Q.</w:t>
      </w:r>
      <w:r w:rsidRPr="00313777">
        <w:rPr>
          <w:rStyle w:val="LineNumber"/>
          <w:b/>
          <w:bCs/>
        </w:rPr>
        <w:tab/>
      </w:r>
      <w:r>
        <w:rPr>
          <w:rStyle w:val="LineNumber"/>
          <w:b/>
          <w:bCs/>
        </w:rPr>
        <w:t>Please describe the</w:t>
      </w:r>
      <w:r w:rsidRPr="00313777">
        <w:rPr>
          <w:rStyle w:val="LineNumber"/>
          <w:b/>
          <w:bCs/>
        </w:rPr>
        <w:t xml:space="preserve"> </w:t>
      </w:r>
      <w:r w:rsidR="003D5969">
        <w:rPr>
          <w:rStyle w:val="LineNumber"/>
          <w:b/>
          <w:bCs/>
        </w:rPr>
        <w:t xml:space="preserve">purpose of </w:t>
      </w:r>
      <w:r w:rsidRPr="00BB3FC3">
        <w:rPr>
          <w:rStyle w:val="LineNumber"/>
          <w:b/>
          <w:bCs/>
          <w:u w:val="single"/>
        </w:rPr>
        <w:t>third revenue normalizing</w:t>
      </w:r>
      <w:r w:rsidRPr="00313777">
        <w:rPr>
          <w:rStyle w:val="LineNumber"/>
          <w:b/>
          <w:bCs/>
        </w:rPr>
        <w:t xml:space="preserve"> adjustment</w:t>
      </w:r>
      <w:r w:rsidR="003D5969">
        <w:rPr>
          <w:rStyle w:val="LineNumber"/>
          <w:b/>
          <w:bCs/>
        </w:rPr>
        <w:t>, the P</w:t>
      </w:r>
      <w:r>
        <w:rPr>
          <w:rStyle w:val="LineNumber"/>
          <w:b/>
          <w:bCs/>
        </w:rPr>
        <w:t>ro Forma Revenue Normalization adjustment?</w:t>
      </w:r>
    </w:p>
    <w:p w:rsidR="00057770" w:rsidRDefault="001665D9">
      <w:pPr>
        <w:pStyle w:val="BodyText2"/>
        <w:tabs>
          <w:tab w:val="left" w:pos="1440"/>
        </w:tabs>
        <w:ind w:firstLine="720"/>
        <w:rPr>
          <w:rStyle w:val="LineNumber"/>
          <w:bCs/>
        </w:rPr>
      </w:pPr>
      <w:r>
        <w:rPr>
          <w:rStyle w:val="LineNumber"/>
          <w:bCs/>
        </w:rPr>
        <w:t>A.</w:t>
      </w:r>
      <w:r>
        <w:rPr>
          <w:rStyle w:val="LineNumber"/>
          <w:bCs/>
        </w:rPr>
        <w:tab/>
      </w:r>
      <w:r w:rsidR="000D1E78">
        <w:rPr>
          <w:rStyle w:val="LineNumber"/>
          <w:bCs/>
        </w:rPr>
        <w:t xml:space="preserve">The purpose of the </w:t>
      </w:r>
      <w:r w:rsidR="00E60CE1">
        <w:rPr>
          <w:rStyle w:val="LineNumber"/>
          <w:bCs/>
        </w:rPr>
        <w:t xml:space="preserve">Pro Forma Revenue Normalization </w:t>
      </w:r>
      <w:r w:rsidR="00BB5EC7">
        <w:rPr>
          <w:rStyle w:val="LineNumber"/>
          <w:bCs/>
        </w:rPr>
        <w:t>adjustment is to restate revenue on a forward</w:t>
      </w:r>
      <w:r w:rsidR="001141E4">
        <w:rPr>
          <w:rStyle w:val="LineNumber"/>
          <w:bCs/>
        </w:rPr>
        <w:t>-</w:t>
      </w:r>
      <w:r w:rsidR="00BB5EC7">
        <w:rPr>
          <w:rStyle w:val="LineNumber"/>
          <w:bCs/>
        </w:rPr>
        <w:t xml:space="preserve">looking basis.  This is accomplished by re-pricing test year </w:t>
      </w:r>
      <w:r w:rsidR="00D833C9">
        <w:rPr>
          <w:rStyle w:val="LineNumber"/>
          <w:bCs/>
        </w:rPr>
        <w:t xml:space="preserve">normalized </w:t>
      </w:r>
      <w:r w:rsidR="000E1B5B">
        <w:rPr>
          <w:rStyle w:val="LineNumber"/>
          <w:bCs/>
        </w:rPr>
        <w:t>billing determinants</w:t>
      </w:r>
      <w:r w:rsidR="00BB5EC7">
        <w:rPr>
          <w:rStyle w:val="LineNumber"/>
          <w:bCs/>
        </w:rPr>
        <w:t xml:space="preserve"> (including unbilled and weather </w:t>
      </w:r>
      <w:r w:rsidR="00D833C9">
        <w:rPr>
          <w:rStyle w:val="LineNumber"/>
          <w:bCs/>
        </w:rPr>
        <w:t>adjustments</w:t>
      </w:r>
      <w:r w:rsidR="001141E4">
        <w:rPr>
          <w:rStyle w:val="LineNumber"/>
          <w:bCs/>
        </w:rPr>
        <w:t>,</w:t>
      </w:r>
      <w:r w:rsidR="000E1B5B">
        <w:rPr>
          <w:rStyle w:val="LineNumber"/>
          <w:bCs/>
        </w:rPr>
        <w:t xml:space="preserve"> as well as any known and measurable changes to the test year loads and customers</w:t>
      </w:r>
      <w:r w:rsidR="00BB5EC7">
        <w:rPr>
          <w:rStyle w:val="LineNumber"/>
          <w:bCs/>
        </w:rPr>
        <w:t>)</w:t>
      </w:r>
      <w:r w:rsidR="00615CB1">
        <w:rPr>
          <w:rStyle w:val="LineNumber"/>
          <w:bCs/>
        </w:rPr>
        <w:t xml:space="preserve"> to reflect revenues for the </w:t>
      </w:r>
      <w:r w:rsidR="00BB6857">
        <w:rPr>
          <w:rStyle w:val="LineNumber"/>
          <w:bCs/>
        </w:rPr>
        <w:t>January</w:t>
      </w:r>
      <w:r w:rsidR="00615CB1">
        <w:rPr>
          <w:rStyle w:val="LineNumber"/>
          <w:bCs/>
        </w:rPr>
        <w:t xml:space="preserve"> 201</w:t>
      </w:r>
      <w:r w:rsidR="00BB6857">
        <w:rPr>
          <w:rStyle w:val="LineNumber"/>
          <w:bCs/>
        </w:rPr>
        <w:t>6</w:t>
      </w:r>
      <w:r w:rsidR="00615CB1">
        <w:rPr>
          <w:rStyle w:val="LineNumber"/>
          <w:bCs/>
        </w:rPr>
        <w:t xml:space="preserve"> through </w:t>
      </w:r>
      <w:r w:rsidR="00BB6857">
        <w:rPr>
          <w:rStyle w:val="LineNumber"/>
          <w:bCs/>
        </w:rPr>
        <w:t>December</w:t>
      </w:r>
      <w:r w:rsidR="00615CB1">
        <w:rPr>
          <w:rStyle w:val="LineNumber"/>
          <w:bCs/>
        </w:rPr>
        <w:t xml:space="preserve"> 201</w:t>
      </w:r>
      <w:r w:rsidR="00BB6857">
        <w:rPr>
          <w:rStyle w:val="LineNumber"/>
          <w:bCs/>
        </w:rPr>
        <w:t>6</w:t>
      </w:r>
      <w:r w:rsidR="00615CB1">
        <w:rPr>
          <w:rStyle w:val="LineNumber"/>
          <w:bCs/>
        </w:rPr>
        <w:t xml:space="preserve"> test period, as if the </w:t>
      </w:r>
      <w:r w:rsidR="000E4D4D">
        <w:rPr>
          <w:rStyle w:val="LineNumber"/>
          <w:bCs/>
        </w:rPr>
        <w:t xml:space="preserve">base tariff rates </w:t>
      </w:r>
      <w:r w:rsidR="00DA59C2">
        <w:rPr>
          <w:rStyle w:val="LineNumber"/>
          <w:bCs/>
        </w:rPr>
        <w:t>approved in Docket No. UE-1</w:t>
      </w:r>
      <w:r w:rsidR="004E531C">
        <w:rPr>
          <w:rStyle w:val="LineNumber"/>
          <w:bCs/>
        </w:rPr>
        <w:t>50204</w:t>
      </w:r>
      <w:r w:rsidR="00615CB1">
        <w:rPr>
          <w:rStyle w:val="LineNumber"/>
          <w:bCs/>
        </w:rPr>
        <w:t xml:space="preserve"> effective January 1</w:t>
      </w:r>
      <w:r w:rsidR="004E531C">
        <w:rPr>
          <w:rStyle w:val="LineNumber"/>
          <w:bCs/>
        </w:rPr>
        <w:t>1</w:t>
      </w:r>
      <w:r w:rsidR="00615CB1">
        <w:rPr>
          <w:rStyle w:val="LineNumber"/>
          <w:bCs/>
        </w:rPr>
        <w:t>, 201</w:t>
      </w:r>
      <w:r w:rsidR="004E531C">
        <w:rPr>
          <w:rStyle w:val="LineNumber"/>
          <w:bCs/>
        </w:rPr>
        <w:t>6</w:t>
      </w:r>
      <w:r w:rsidR="00615CB1">
        <w:rPr>
          <w:rStyle w:val="LineNumber"/>
          <w:bCs/>
        </w:rPr>
        <w:t xml:space="preserve"> had been in effect for the full </w:t>
      </w:r>
      <w:r w:rsidR="007F53CC">
        <w:rPr>
          <w:rStyle w:val="LineNumber"/>
          <w:bCs/>
        </w:rPr>
        <w:t>12</w:t>
      </w:r>
      <w:r w:rsidR="00615CB1">
        <w:rPr>
          <w:rStyle w:val="LineNumber"/>
          <w:bCs/>
        </w:rPr>
        <w:t xml:space="preserve"> months of the test period</w:t>
      </w:r>
      <w:r w:rsidR="002538D0">
        <w:rPr>
          <w:rStyle w:val="LineNumber"/>
          <w:bCs/>
        </w:rPr>
        <w:t>.</w:t>
      </w:r>
      <w:r w:rsidR="00542E0E">
        <w:rPr>
          <w:rStyle w:val="FootnoteReference"/>
          <w:bCs/>
        </w:rPr>
        <w:footnoteReference w:id="5"/>
      </w:r>
      <w:r w:rsidR="002538D0">
        <w:rPr>
          <w:rStyle w:val="LineNumber"/>
          <w:bCs/>
        </w:rPr>
        <w:t xml:space="preserve">  </w:t>
      </w:r>
    </w:p>
    <w:p w:rsidR="00057770" w:rsidRPr="001B1AE3" w:rsidRDefault="001B1AE3">
      <w:pPr>
        <w:pStyle w:val="BodyText2"/>
        <w:tabs>
          <w:tab w:val="left" w:pos="1440"/>
        </w:tabs>
        <w:ind w:firstLine="720"/>
        <w:rPr>
          <w:rStyle w:val="LineNumber"/>
          <w:b/>
          <w:bCs/>
        </w:rPr>
      </w:pPr>
      <w:r w:rsidRPr="001B1AE3">
        <w:rPr>
          <w:rStyle w:val="LineNumber"/>
          <w:b/>
          <w:bCs/>
        </w:rPr>
        <w:t xml:space="preserve">Q. </w:t>
      </w:r>
      <w:r w:rsidRPr="001B1AE3">
        <w:rPr>
          <w:rStyle w:val="LineNumber"/>
          <w:b/>
          <w:bCs/>
        </w:rPr>
        <w:tab/>
        <w:t xml:space="preserve">What is the impact of the </w:t>
      </w:r>
      <w:r w:rsidR="000D1E78">
        <w:rPr>
          <w:rStyle w:val="LineNumber"/>
          <w:b/>
          <w:bCs/>
        </w:rPr>
        <w:t>Pro Forma</w:t>
      </w:r>
      <w:r w:rsidRPr="001B1AE3">
        <w:rPr>
          <w:rStyle w:val="LineNumber"/>
          <w:b/>
          <w:bCs/>
        </w:rPr>
        <w:t xml:space="preserve"> Revenue Normalization adjustment?</w:t>
      </w:r>
    </w:p>
    <w:p w:rsidR="000E47AF" w:rsidRDefault="001B1AE3" w:rsidP="000E47AF">
      <w:pPr>
        <w:pStyle w:val="BodyText2"/>
        <w:tabs>
          <w:tab w:val="left" w:pos="1440"/>
        </w:tabs>
        <w:ind w:firstLine="720"/>
        <w:rPr>
          <w:rStyle w:val="LineNumber"/>
          <w:bCs/>
        </w:rPr>
      </w:pPr>
      <w:r>
        <w:rPr>
          <w:rStyle w:val="LineNumber"/>
          <w:bCs/>
        </w:rPr>
        <w:t>A.</w:t>
      </w:r>
      <w:r>
        <w:rPr>
          <w:rStyle w:val="LineNumber"/>
          <w:bCs/>
        </w:rPr>
        <w:tab/>
      </w:r>
      <w:r w:rsidR="009B206B">
        <w:rPr>
          <w:rStyle w:val="LineNumber"/>
          <w:bCs/>
        </w:rPr>
        <w:t>The</w:t>
      </w:r>
      <w:r>
        <w:rPr>
          <w:rStyle w:val="LineNumber"/>
          <w:bCs/>
        </w:rPr>
        <w:t xml:space="preserve"> </w:t>
      </w:r>
      <w:r w:rsidR="000D1E78">
        <w:rPr>
          <w:rStyle w:val="LineNumber"/>
          <w:bCs/>
        </w:rPr>
        <w:t xml:space="preserve">Pro Forma </w:t>
      </w:r>
      <w:r>
        <w:rPr>
          <w:rStyle w:val="LineNumber"/>
          <w:bCs/>
        </w:rPr>
        <w:t>Revenue N</w:t>
      </w:r>
      <w:r w:rsidR="00815443" w:rsidRPr="00BA18B1">
        <w:rPr>
          <w:rStyle w:val="LineNumber"/>
          <w:bCs/>
        </w:rPr>
        <w:t xml:space="preserve">ormalization adjustment </w:t>
      </w:r>
      <w:r w:rsidR="00FA104D" w:rsidRPr="00FA104D">
        <w:rPr>
          <w:rStyle w:val="LineNumber"/>
          <w:bCs/>
        </w:rPr>
        <w:t>de</w:t>
      </w:r>
      <w:r w:rsidR="00E949C5" w:rsidRPr="00FA104D">
        <w:rPr>
          <w:rStyle w:val="LineNumber"/>
          <w:bCs/>
        </w:rPr>
        <w:t>crease</w:t>
      </w:r>
      <w:r w:rsidR="007336D9" w:rsidRPr="00FA104D">
        <w:rPr>
          <w:rStyle w:val="LineNumber"/>
          <w:bCs/>
        </w:rPr>
        <w:t>s</w:t>
      </w:r>
      <w:r w:rsidR="00E949C5">
        <w:rPr>
          <w:rStyle w:val="LineNumber"/>
          <w:bCs/>
        </w:rPr>
        <w:t xml:space="preserve"> revenue by $</w:t>
      </w:r>
      <w:r w:rsidR="0004459F">
        <w:rPr>
          <w:rStyle w:val="LineNumber"/>
          <w:bCs/>
        </w:rPr>
        <w:t>1</w:t>
      </w:r>
      <w:r w:rsidR="00BB6857">
        <w:rPr>
          <w:rStyle w:val="LineNumber"/>
          <w:bCs/>
        </w:rPr>
        <w:t>,</w:t>
      </w:r>
      <w:r w:rsidR="0004459F">
        <w:rPr>
          <w:rStyle w:val="LineNumber"/>
          <w:bCs/>
        </w:rPr>
        <w:t>225</w:t>
      </w:r>
      <w:r w:rsidR="00E949C5" w:rsidRPr="00FA104D">
        <w:rPr>
          <w:rStyle w:val="LineNumber"/>
          <w:bCs/>
        </w:rPr>
        <w:t>,000</w:t>
      </w:r>
      <w:r w:rsidR="00BF1F32">
        <w:rPr>
          <w:rStyle w:val="LineNumber"/>
          <w:bCs/>
        </w:rPr>
        <w:t>.</w:t>
      </w:r>
      <w:r w:rsidR="00BF1F32" w:rsidRPr="00BF1F32">
        <w:rPr>
          <w:rStyle w:val="LineNumber"/>
          <w:bCs/>
        </w:rPr>
        <w:t xml:space="preserve"> </w:t>
      </w:r>
      <w:r w:rsidR="003B21F9">
        <w:rPr>
          <w:rStyle w:val="LineNumber"/>
          <w:bCs/>
        </w:rPr>
        <w:t xml:space="preserve"> The combined effect of</w:t>
      </w:r>
      <w:r w:rsidR="00BF1F32" w:rsidRPr="003F704F">
        <w:rPr>
          <w:rStyle w:val="LineNumber"/>
          <w:bCs/>
        </w:rPr>
        <w:t xml:space="preserve"> </w:t>
      </w:r>
      <w:r w:rsidR="00BF1F32">
        <w:rPr>
          <w:rStyle w:val="LineNumber"/>
          <w:bCs/>
        </w:rPr>
        <w:t>the decrease to revenue</w:t>
      </w:r>
      <w:r w:rsidR="003B21F9">
        <w:rPr>
          <w:rStyle w:val="LineNumber"/>
          <w:bCs/>
        </w:rPr>
        <w:t xml:space="preserve"> from rates</w:t>
      </w:r>
      <w:r w:rsidR="00BF1F32">
        <w:rPr>
          <w:rStyle w:val="LineNumber"/>
          <w:bCs/>
        </w:rPr>
        <w:t xml:space="preserve"> </w:t>
      </w:r>
      <w:r w:rsidR="003B21F9">
        <w:rPr>
          <w:rStyle w:val="LineNumber"/>
          <w:bCs/>
        </w:rPr>
        <w:t>with</w:t>
      </w:r>
      <w:r w:rsidR="00BF1F32" w:rsidRPr="003F704F">
        <w:rPr>
          <w:rStyle w:val="LineNumber"/>
          <w:bCs/>
        </w:rPr>
        <w:t xml:space="preserve"> </w:t>
      </w:r>
      <w:r w:rsidR="00BF1F32">
        <w:rPr>
          <w:rStyle w:val="LineNumber"/>
          <w:bCs/>
        </w:rPr>
        <w:t>the</w:t>
      </w:r>
      <w:r w:rsidR="00BF1F32" w:rsidRPr="003F704F">
        <w:rPr>
          <w:rStyle w:val="LineNumber"/>
          <w:bCs/>
        </w:rPr>
        <w:t xml:space="preserve"> </w:t>
      </w:r>
      <w:r w:rsidR="003B21F9">
        <w:rPr>
          <w:rStyle w:val="LineNumber"/>
          <w:bCs/>
        </w:rPr>
        <w:t xml:space="preserve">elimination of both the </w:t>
      </w:r>
      <w:r w:rsidR="00CC23E0">
        <w:rPr>
          <w:rStyle w:val="LineNumber"/>
          <w:bCs/>
        </w:rPr>
        <w:t xml:space="preserve">2016 </w:t>
      </w:r>
      <w:r w:rsidR="003B21F9">
        <w:rPr>
          <w:rStyle w:val="LineNumber"/>
          <w:bCs/>
        </w:rPr>
        <w:t xml:space="preserve">restated </w:t>
      </w:r>
      <w:r w:rsidR="00BF1F32" w:rsidRPr="003F704F">
        <w:rPr>
          <w:rStyle w:val="LineNumber"/>
          <w:bCs/>
        </w:rPr>
        <w:t xml:space="preserve">decoupling </w:t>
      </w:r>
      <w:r w:rsidR="003B21F9">
        <w:rPr>
          <w:rStyle w:val="LineNumber"/>
          <w:bCs/>
        </w:rPr>
        <w:t xml:space="preserve">deferred </w:t>
      </w:r>
      <w:r w:rsidR="00BF1F32" w:rsidRPr="003F704F">
        <w:rPr>
          <w:rStyle w:val="LineNumber"/>
          <w:bCs/>
        </w:rPr>
        <w:t xml:space="preserve">revenue </w:t>
      </w:r>
      <w:r w:rsidR="003B21F9">
        <w:rPr>
          <w:rStyle w:val="LineNumber"/>
          <w:bCs/>
        </w:rPr>
        <w:t>of (-</w:t>
      </w:r>
      <w:r w:rsidR="00BF1F32" w:rsidRPr="003F704F">
        <w:rPr>
          <w:rStyle w:val="LineNumber"/>
          <w:bCs/>
        </w:rPr>
        <w:t>$</w:t>
      </w:r>
      <w:r w:rsidR="00BF1F32">
        <w:rPr>
          <w:rStyle w:val="LineNumber"/>
          <w:bCs/>
        </w:rPr>
        <w:t>6,233,</w:t>
      </w:r>
      <w:r w:rsidR="003B21F9">
        <w:rPr>
          <w:rStyle w:val="LineNumber"/>
          <w:bCs/>
        </w:rPr>
        <w:t>000)</w:t>
      </w:r>
      <w:r w:rsidR="00BF1F32">
        <w:rPr>
          <w:rStyle w:val="LineNumber"/>
          <w:bCs/>
        </w:rPr>
        <w:t xml:space="preserve"> and the </w:t>
      </w:r>
      <w:r w:rsidR="003B21F9">
        <w:rPr>
          <w:rStyle w:val="LineNumber"/>
          <w:bCs/>
        </w:rPr>
        <w:t xml:space="preserve">2016 </w:t>
      </w:r>
      <w:r w:rsidR="00BF1F32">
        <w:rPr>
          <w:rStyle w:val="LineNumber"/>
          <w:bCs/>
        </w:rPr>
        <w:t>provision for rate refund (</w:t>
      </w:r>
      <w:r w:rsidR="003B21F9">
        <w:rPr>
          <w:rStyle w:val="LineNumber"/>
          <w:bCs/>
        </w:rPr>
        <w:t>+</w:t>
      </w:r>
      <w:r w:rsidR="00BF1F32">
        <w:rPr>
          <w:rStyle w:val="LineNumber"/>
          <w:bCs/>
        </w:rPr>
        <w:t>$2,346,000),</w:t>
      </w:r>
      <w:r w:rsidR="00BF1F32" w:rsidRPr="003F704F">
        <w:rPr>
          <w:rStyle w:val="LineNumber"/>
          <w:bCs/>
        </w:rPr>
        <w:t xml:space="preserve"> result</w:t>
      </w:r>
      <w:r w:rsidR="00BF1F32">
        <w:rPr>
          <w:rStyle w:val="LineNumber"/>
          <w:bCs/>
        </w:rPr>
        <w:t>ed</w:t>
      </w:r>
      <w:r w:rsidR="00BF1F32" w:rsidRPr="003F704F">
        <w:rPr>
          <w:rStyle w:val="LineNumber"/>
          <w:bCs/>
        </w:rPr>
        <w:t xml:space="preserve"> in a </w:t>
      </w:r>
      <w:r w:rsidR="003B21F9">
        <w:rPr>
          <w:rStyle w:val="LineNumber"/>
          <w:bCs/>
        </w:rPr>
        <w:t>total</w:t>
      </w:r>
      <w:r w:rsidR="00BF1F32" w:rsidRPr="003F704F">
        <w:rPr>
          <w:rStyle w:val="LineNumber"/>
          <w:bCs/>
        </w:rPr>
        <w:t xml:space="preserve"> </w:t>
      </w:r>
      <w:r w:rsidR="003B21F9">
        <w:rPr>
          <w:rStyle w:val="LineNumber"/>
          <w:bCs/>
        </w:rPr>
        <w:t xml:space="preserve">pro forma </w:t>
      </w:r>
      <w:r w:rsidR="00BF1F32" w:rsidRPr="003F704F">
        <w:rPr>
          <w:rStyle w:val="LineNumber"/>
          <w:bCs/>
        </w:rPr>
        <w:t xml:space="preserve">revenue adjustment </w:t>
      </w:r>
      <w:r w:rsidR="00BF1F32">
        <w:rPr>
          <w:rStyle w:val="LineNumber"/>
          <w:bCs/>
        </w:rPr>
        <w:t xml:space="preserve">decrease </w:t>
      </w:r>
      <w:r w:rsidR="00BF1F32" w:rsidRPr="003F704F">
        <w:rPr>
          <w:rStyle w:val="LineNumber"/>
          <w:bCs/>
        </w:rPr>
        <w:t>of $</w:t>
      </w:r>
      <w:r w:rsidR="0004459F">
        <w:rPr>
          <w:rStyle w:val="LineNumber"/>
          <w:bCs/>
        </w:rPr>
        <w:t>5</w:t>
      </w:r>
      <w:r w:rsidR="00BF1F32">
        <w:rPr>
          <w:rStyle w:val="LineNumber"/>
          <w:bCs/>
        </w:rPr>
        <w:t>,</w:t>
      </w:r>
      <w:r w:rsidR="0004459F">
        <w:rPr>
          <w:rStyle w:val="LineNumber"/>
          <w:bCs/>
        </w:rPr>
        <w:t>112</w:t>
      </w:r>
      <w:r w:rsidR="00BF1F32" w:rsidRPr="003F704F">
        <w:rPr>
          <w:rStyle w:val="LineNumber"/>
          <w:bCs/>
        </w:rPr>
        <w:t>,000</w:t>
      </w:r>
      <w:r w:rsidR="00BF1F32">
        <w:rPr>
          <w:rStyle w:val="LineNumber"/>
          <w:bCs/>
        </w:rPr>
        <w:t>.</w:t>
      </w:r>
      <w:r w:rsidR="00E949C5" w:rsidRPr="00FA104D">
        <w:rPr>
          <w:rStyle w:val="LineNumber"/>
          <w:bCs/>
        </w:rPr>
        <w:t xml:space="preserve"> </w:t>
      </w:r>
      <w:r w:rsidR="00BF1F32">
        <w:rPr>
          <w:rStyle w:val="LineNumber"/>
          <w:bCs/>
        </w:rPr>
        <w:t>A</w:t>
      </w:r>
      <w:r w:rsidR="00E949C5">
        <w:rPr>
          <w:rStyle w:val="LineNumber"/>
          <w:bCs/>
        </w:rPr>
        <w:t xml:space="preserve">fter </w:t>
      </w:r>
      <w:r w:rsidR="00BF1F32">
        <w:rPr>
          <w:rStyle w:val="LineNumber"/>
          <w:bCs/>
        </w:rPr>
        <w:t xml:space="preserve">an offset </w:t>
      </w:r>
      <w:r w:rsidR="003B21F9">
        <w:rPr>
          <w:rStyle w:val="LineNumber"/>
          <w:bCs/>
        </w:rPr>
        <w:t>for</w:t>
      </w:r>
      <w:r w:rsidR="00BF1F32">
        <w:rPr>
          <w:rStyle w:val="LineNumber"/>
          <w:bCs/>
        </w:rPr>
        <w:t xml:space="preserve"> </w:t>
      </w:r>
      <w:r w:rsidR="00E949C5">
        <w:rPr>
          <w:rStyle w:val="LineNumber"/>
          <w:bCs/>
        </w:rPr>
        <w:t>revenue</w:t>
      </w:r>
      <w:r w:rsidR="00CE43E9">
        <w:rPr>
          <w:rStyle w:val="LineNumber"/>
          <w:bCs/>
        </w:rPr>
        <w:t>-</w:t>
      </w:r>
      <w:r w:rsidR="00E949C5">
        <w:rPr>
          <w:rStyle w:val="LineNumber"/>
          <w:bCs/>
        </w:rPr>
        <w:t>related expenses and taxes</w:t>
      </w:r>
      <w:r w:rsidR="00CE43E9">
        <w:rPr>
          <w:rStyle w:val="LineNumber"/>
          <w:bCs/>
        </w:rPr>
        <w:t>,</w:t>
      </w:r>
      <w:r w:rsidR="00E949C5">
        <w:rPr>
          <w:rStyle w:val="LineNumber"/>
          <w:bCs/>
        </w:rPr>
        <w:t xml:space="preserve"> </w:t>
      </w:r>
      <w:r w:rsidR="00815443" w:rsidRPr="00BA18B1">
        <w:rPr>
          <w:rStyle w:val="LineNumber"/>
          <w:bCs/>
        </w:rPr>
        <w:t>Washington net operating income</w:t>
      </w:r>
      <w:r w:rsidR="00CF7D9C">
        <w:rPr>
          <w:rStyle w:val="LineNumber"/>
          <w:bCs/>
        </w:rPr>
        <w:t xml:space="preserve"> </w:t>
      </w:r>
      <w:r w:rsidR="00BF1F32">
        <w:rPr>
          <w:rStyle w:val="LineNumber"/>
          <w:bCs/>
        </w:rPr>
        <w:t xml:space="preserve">decreased </w:t>
      </w:r>
      <w:r w:rsidR="00815443" w:rsidRPr="00CF7D9C">
        <w:rPr>
          <w:rStyle w:val="LineNumber"/>
          <w:bCs/>
        </w:rPr>
        <w:t>$</w:t>
      </w:r>
      <w:r w:rsidR="00BB6857">
        <w:rPr>
          <w:rStyle w:val="LineNumber"/>
          <w:bCs/>
        </w:rPr>
        <w:t>3,286</w:t>
      </w:r>
      <w:r w:rsidR="00815443" w:rsidRPr="00FA104D">
        <w:rPr>
          <w:rStyle w:val="LineNumber"/>
          <w:bCs/>
        </w:rPr>
        <w:t>,000</w:t>
      </w:r>
      <w:r w:rsidR="000F27F5" w:rsidRPr="00CF7D9C">
        <w:rPr>
          <w:rStyle w:val="LineNumber"/>
          <w:bCs/>
        </w:rPr>
        <w:t>,</w:t>
      </w:r>
      <w:r w:rsidR="00815443" w:rsidRPr="00BA18B1">
        <w:rPr>
          <w:rStyle w:val="LineNumber"/>
          <w:bCs/>
        </w:rPr>
        <w:t xml:space="preserve"> as shown</w:t>
      </w:r>
      <w:r w:rsidR="00676C71">
        <w:rPr>
          <w:rStyle w:val="LineNumber"/>
          <w:bCs/>
        </w:rPr>
        <w:t xml:space="preserve"> below and</w:t>
      </w:r>
      <w:r w:rsidR="00815443" w:rsidRPr="00BA18B1">
        <w:rPr>
          <w:rStyle w:val="LineNumber"/>
          <w:bCs/>
        </w:rPr>
        <w:t xml:space="preserve"> in </w:t>
      </w:r>
      <w:r w:rsidR="00815443" w:rsidRPr="0004459F">
        <w:rPr>
          <w:rStyle w:val="LineNumber"/>
          <w:bCs/>
        </w:rPr>
        <w:t xml:space="preserve">column </w:t>
      </w:r>
      <w:r w:rsidR="0004459F">
        <w:rPr>
          <w:rStyle w:val="LineNumber"/>
          <w:bCs/>
        </w:rPr>
        <w:t>3.08</w:t>
      </w:r>
      <w:r w:rsidR="00815443" w:rsidRPr="0004459F">
        <w:rPr>
          <w:rStyle w:val="LineNumber"/>
          <w:bCs/>
        </w:rPr>
        <w:t xml:space="preserve"> on page</w:t>
      </w:r>
      <w:r w:rsidR="00CC0788" w:rsidRPr="0004459F">
        <w:rPr>
          <w:rStyle w:val="LineNumber"/>
          <w:bCs/>
        </w:rPr>
        <w:t xml:space="preserve"> </w:t>
      </w:r>
      <w:r w:rsidR="003918E4">
        <w:rPr>
          <w:rStyle w:val="LineNumber"/>
          <w:bCs/>
        </w:rPr>
        <w:t>8</w:t>
      </w:r>
      <w:r w:rsidR="00CC0788" w:rsidRPr="0004459F">
        <w:rPr>
          <w:rStyle w:val="LineNumber"/>
          <w:bCs/>
        </w:rPr>
        <w:t xml:space="preserve"> </w:t>
      </w:r>
      <w:r w:rsidR="00815443" w:rsidRPr="0004459F">
        <w:rPr>
          <w:rStyle w:val="LineNumber"/>
          <w:bCs/>
        </w:rPr>
        <w:t>of Exh</w:t>
      </w:r>
      <w:r w:rsidR="00CC23E0">
        <w:rPr>
          <w:rStyle w:val="LineNumber"/>
          <w:bCs/>
        </w:rPr>
        <w:t>.</w:t>
      </w:r>
      <w:r w:rsidR="00815443" w:rsidRPr="0004459F">
        <w:rPr>
          <w:rStyle w:val="LineNumber"/>
          <w:bCs/>
        </w:rPr>
        <w:t xml:space="preserve"> </w:t>
      </w:r>
      <w:r w:rsidR="0004459F">
        <w:rPr>
          <w:rStyle w:val="LineNumber"/>
          <w:bCs/>
        </w:rPr>
        <w:t>EMA-3</w:t>
      </w:r>
      <w:r w:rsidR="00815443" w:rsidRPr="0004459F">
        <w:rPr>
          <w:rStyle w:val="LineNumber"/>
          <w:bCs/>
        </w:rPr>
        <w:t>.</w:t>
      </w:r>
      <w:r w:rsidR="00815443" w:rsidRPr="00BA18B1">
        <w:rPr>
          <w:rStyle w:val="LineNumber"/>
          <w:bCs/>
        </w:rPr>
        <w:t xml:space="preserve">  </w:t>
      </w:r>
      <w:r w:rsidR="000E47AF">
        <w:rPr>
          <w:rStyle w:val="LineNumber"/>
          <w:bCs/>
        </w:rPr>
        <w:br w:type="page"/>
      </w:r>
    </w:p>
    <w:tbl>
      <w:tblPr>
        <w:tblStyle w:val="TableGrid"/>
        <w:tblpPr w:leftFromText="180" w:rightFromText="180" w:vertAnchor="text" w:tblpX="1092" w:tblpY="81"/>
        <w:tblOverlap w:val="never"/>
        <w:tblW w:w="6306" w:type="dxa"/>
        <w:tblBorders>
          <w:insideH w:val="none" w:sz="0" w:space="0" w:color="auto"/>
          <w:insideV w:val="none" w:sz="0" w:space="0" w:color="auto"/>
        </w:tblBorders>
        <w:tblLook w:val="04A0" w:firstRow="1" w:lastRow="0" w:firstColumn="1" w:lastColumn="0" w:noHBand="0" w:noVBand="1"/>
      </w:tblPr>
      <w:tblGrid>
        <w:gridCol w:w="4572"/>
        <w:gridCol w:w="1734"/>
      </w:tblGrid>
      <w:tr w:rsidR="000E47AF" w:rsidTr="000E47AF">
        <w:tc>
          <w:tcPr>
            <w:tcW w:w="4572" w:type="dxa"/>
          </w:tcPr>
          <w:p w:rsidR="000E47AF" w:rsidRDefault="000E47AF" w:rsidP="000E47AF">
            <w:pPr>
              <w:pStyle w:val="BodyText2"/>
              <w:tabs>
                <w:tab w:val="left" w:pos="1440"/>
              </w:tabs>
              <w:spacing w:line="240" w:lineRule="auto"/>
              <w:rPr>
                <w:rStyle w:val="LineNumber"/>
                <w:bCs/>
              </w:rPr>
            </w:pPr>
            <w:r>
              <w:rPr>
                <w:rStyle w:val="LineNumber"/>
                <w:bCs/>
              </w:rPr>
              <w:lastRenderedPageBreak/>
              <w:t>General Business Revenue (Sales)</w:t>
            </w:r>
          </w:p>
        </w:tc>
        <w:tc>
          <w:tcPr>
            <w:tcW w:w="1734" w:type="dxa"/>
          </w:tcPr>
          <w:p w:rsidR="000E47AF" w:rsidRDefault="000E47AF" w:rsidP="000E47AF">
            <w:pPr>
              <w:pStyle w:val="BodyText2"/>
              <w:tabs>
                <w:tab w:val="left" w:pos="1440"/>
              </w:tabs>
              <w:spacing w:line="240" w:lineRule="auto"/>
              <w:rPr>
                <w:rStyle w:val="LineNumber"/>
                <w:bCs/>
              </w:rPr>
            </w:pPr>
            <w:r>
              <w:rPr>
                <w:rStyle w:val="LineNumber"/>
                <w:bCs/>
              </w:rPr>
              <w:t>($1,225,000)</w:t>
            </w:r>
          </w:p>
        </w:tc>
      </w:tr>
      <w:tr w:rsidR="000E47AF" w:rsidTr="000E47AF">
        <w:tc>
          <w:tcPr>
            <w:tcW w:w="4572" w:type="dxa"/>
          </w:tcPr>
          <w:p w:rsidR="000E47AF" w:rsidRDefault="000E47AF" w:rsidP="000E47AF">
            <w:pPr>
              <w:pStyle w:val="BodyText2"/>
              <w:tabs>
                <w:tab w:val="left" w:pos="1440"/>
              </w:tabs>
              <w:spacing w:line="240" w:lineRule="auto"/>
              <w:rPr>
                <w:rStyle w:val="LineNumber"/>
                <w:bCs/>
              </w:rPr>
            </w:pPr>
            <w:r>
              <w:rPr>
                <w:rStyle w:val="LineNumber"/>
                <w:bCs/>
              </w:rPr>
              <w:t>Other Revenue (Elim.Decoupling Deferr</w:t>
            </w:r>
            <w:bookmarkStart w:id="0" w:name="_GoBack"/>
            <w:bookmarkEnd w:id="0"/>
            <w:r>
              <w:rPr>
                <w:rStyle w:val="LineNumber"/>
                <w:bCs/>
              </w:rPr>
              <w:t>ed)</w:t>
            </w:r>
          </w:p>
          <w:p w:rsidR="000E47AF" w:rsidRDefault="000E47AF" w:rsidP="000E47AF">
            <w:pPr>
              <w:pStyle w:val="BodyText2"/>
              <w:tabs>
                <w:tab w:val="left" w:pos="1440"/>
              </w:tabs>
              <w:spacing w:line="240" w:lineRule="auto"/>
              <w:rPr>
                <w:rStyle w:val="LineNumber"/>
                <w:bCs/>
              </w:rPr>
            </w:pPr>
            <w:r>
              <w:rPr>
                <w:rStyle w:val="LineNumber"/>
                <w:bCs/>
              </w:rPr>
              <w:t>Other Revenue (Elim. Provision for Refund)</w:t>
            </w:r>
          </w:p>
        </w:tc>
        <w:tc>
          <w:tcPr>
            <w:tcW w:w="1734" w:type="dxa"/>
          </w:tcPr>
          <w:p w:rsidR="000E47AF" w:rsidRDefault="000E47AF" w:rsidP="000E47AF">
            <w:pPr>
              <w:pStyle w:val="BodyText2"/>
              <w:tabs>
                <w:tab w:val="left" w:pos="1440"/>
              </w:tabs>
              <w:spacing w:line="240" w:lineRule="auto"/>
              <w:rPr>
                <w:rStyle w:val="LineNumber"/>
                <w:bCs/>
                <w:u w:val="single"/>
              </w:rPr>
            </w:pPr>
            <w:r w:rsidRPr="00B52345">
              <w:rPr>
                <w:rStyle w:val="LineNumber"/>
                <w:bCs/>
              </w:rPr>
              <w:t>($6,233,000</w:t>
            </w:r>
            <w:r w:rsidRPr="004145FC">
              <w:rPr>
                <w:rStyle w:val="LineNumber"/>
                <w:bCs/>
              </w:rPr>
              <w:t>)</w:t>
            </w:r>
          </w:p>
          <w:p w:rsidR="000E47AF" w:rsidRPr="008F2BBD" w:rsidRDefault="000E47AF" w:rsidP="000E47AF">
            <w:pPr>
              <w:pStyle w:val="BodyText2"/>
              <w:tabs>
                <w:tab w:val="left" w:pos="1440"/>
              </w:tabs>
              <w:spacing w:line="240" w:lineRule="auto"/>
              <w:rPr>
                <w:rStyle w:val="LineNumber"/>
                <w:bCs/>
                <w:u w:val="single"/>
              </w:rPr>
            </w:pPr>
            <w:r>
              <w:rPr>
                <w:rStyle w:val="LineNumber"/>
                <w:bCs/>
                <w:u w:val="single"/>
              </w:rPr>
              <w:t xml:space="preserve"> $2,346,000</w:t>
            </w:r>
          </w:p>
        </w:tc>
      </w:tr>
      <w:tr w:rsidR="000E47AF" w:rsidTr="000E47AF">
        <w:trPr>
          <w:trHeight w:val="207"/>
        </w:trPr>
        <w:tc>
          <w:tcPr>
            <w:tcW w:w="4572" w:type="dxa"/>
          </w:tcPr>
          <w:p w:rsidR="000E47AF" w:rsidRDefault="000E47AF" w:rsidP="000E47AF">
            <w:pPr>
              <w:pStyle w:val="BodyText2"/>
              <w:tabs>
                <w:tab w:val="left" w:pos="1440"/>
              </w:tabs>
              <w:spacing w:line="240" w:lineRule="auto"/>
              <w:rPr>
                <w:rStyle w:val="LineNumber"/>
                <w:bCs/>
              </w:rPr>
            </w:pPr>
            <w:r>
              <w:rPr>
                <w:rStyle w:val="LineNumber"/>
                <w:bCs/>
              </w:rPr>
              <w:t>Total Revenue (Net Adjustment)</w:t>
            </w:r>
          </w:p>
        </w:tc>
        <w:tc>
          <w:tcPr>
            <w:tcW w:w="1734" w:type="dxa"/>
          </w:tcPr>
          <w:p w:rsidR="000E47AF" w:rsidRDefault="000E47AF" w:rsidP="000E47AF">
            <w:pPr>
              <w:pStyle w:val="BodyText2"/>
              <w:tabs>
                <w:tab w:val="left" w:pos="1440"/>
              </w:tabs>
              <w:spacing w:line="240" w:lineRule="auto"/>
              <w:rPr>
                <w:rStyle w:val="LineNumber"/>
                <w:bCs/>
              </w:rPr>
            </w:pPr>
            <w:r>
              <w:rPr>
                <w:rStyle w:val="LineNumber"/>
                <w:bCs/>
              </w:rPr>
              <w:t xml:space="preserve"> $5,112,000</w:t>
            </w:r>
          </w:p>
        </w:tc>
      </w:tr>
      <w:tr w:rsidR="000E47AF" w:rsidTr="000E47AF">
        <w:tc>
          <w:tcPr>
            <w:tcW w:w="4572" w:type="dxa"/>
          </w:tcPr>
          <w:p w:rsidR="000E47AF" w:rsidRDefault="000E47AF" w:rsidP="000E47AF">
            <w:pPr>
              <w:pStyle w:val="BodyText2"/>
              <w:tabs>
                <w:tab w:val="left" w:pos="1440"/>
              </w:tabs>
              <w:spacing w:line="240" w:lineRule="auto"/>
              <w:rPr>
                <w:rStyle w:val="LineNumber"/>
                <w:bCs/>
              </w:rPr>
            </w:pPr>
            <w:r>
              <w:rPr>
                <w:rStyle w:val="LineNumber"/>
                <w:bCs/>
              </w:rPr>
              <w:t>Less:  Revenue Related Expenses</w:t>
            </w:r>
          </w:p>
        </w:tc>
        <w:tc>
          <w:tcPr>
            <w:tcW w:w="1734" w:type="dxa"/>
          </w:tcPr>
          <w:p w:rsidR="000E47AF" w:rsidRDefault="000E47AF" w:rsidP="000E47AF">
            <w:pPr>
              <w:pStyle w:val="BodyText2"/>
              <w:tabs>
                <w:tab w:val="left" w:pos="1440"/>
              </w:tabs>
              <w:spacing w:line="240" w:lineRule="auto"/>
              <w:rPr>
                <w:rStyle w:val="LineNumber"/>
                <w:bCs/>
              </w:rPr>
            </w:pPr>
            <w:r>
              <w:rPr>
                <w:rStyle w:val="LineNumber"/>
                <w:bCs/>
              </w:rPr>
              <w:t xml:space="preserve">     ($57,000)</w:t>
            </w:r>
          </w:p>
        </w:tc>
      </w:tr>
      <w:tr w:rsidR="000E47AF" w:rsidTr="000E47AF">
        <w:tc>
          <w:tcPr>
            <w:tcW w:w="4572" w:type="dxa"/>
          </w:tcPr>
          <w:p w:rsidR="000E47AF" w:rsidRDefault="000E47AF" w:rsidP="000E47AF">
            <w:pPr>
              <w:pStyle w:val="BodyText2"/>
              <w:tabs>
                <w:tab w:val="left" w:pos="1440"/>
              </w:tabs>
              <w:spacing w:line="240" w:lineRule="auto"/>
              <w:rPr>
                <w:rStyle w:val="LineNumber"/>
                <w:bCs/>
              </w:rPr>
            </w:pPr>
            <w:r>
              <w:rPr>
                <w:rStyle w:val="LineNumber"/>
                <w:bCs/>
              </w:rPr>
              <w:t>Less:  Income Tax Expense</w:t>
            </w:r>
          </w:p>
        </w:tc>
        <w:tc>
          <w:tcPr>
            <w:tcW w:w="1734" w:type="dxa"/>
          </w:tcPr>
          <w:p w:rsidR="000E47AF" w:rsidRPr="008F2BBD" w:rsidRDefault="000E47AF" w:rsidP="000E47AF">
            <w:pPr>
              <w:pStyle w:val="BodyText2"/>
              <w:tabs>
                <w:tab w:val="left" w:pos="1440"/>
              </w:tabs>
              <w:spacing w:line="240" w:lineRule="auto"/>
              <w:rPr>
                <w:rStyle w:val="LineNumber"/>
                <w:bCs/>
                <w:u w:val="single"/>
              </w:rPr>
            </w:pPr>
            <w:r w:rsidRPr="008F2BBD">
              <w:rPr>
                <w:rStyle w:val="LineNumber"/>
                <w:bCs/>
                <w:u w:val="single"/>
              </w:rPr>
              <w:t>($</w:t>
            </w:r>
            <w:r>
              <w:rPr>
                <w:rStyle w:val="LineNumber"/>
                <w:bCs/>
                <w:u w:val="single"/>
              </w:rPr>
              <w:t>1,769</w:t>
            </w:r>
            <w:r w:rsidRPr="008F2BBD">
              <w:rPr>
                <w:rStyle w:val="LineNumber"/>
                <w:bCs/>
                <w:u w:val="single"/>
              </w:rPr>
              <w:t>,000)</w:t>
            </w:r>
          </w:p>
        </w:tc>
      </w:tr>
      <w:tr w:rsidR="000E47AF" w:rsidTr="000E47AF">
        <w:tc>
          <w:tcPr>
            <w:tcW w:w="4572" w:type="dxa"/>
          </w:tcPr>
          <w:p w:rsidR="000E47AF" w:rsidRDefault="000E47AF" w:rsidP="000E47AF">
            <w:pPr>
              <w:pStyle w:val="BodyText2"/>
              <w:tabs>
                <w:tab w:val="left" w:pos="1440"/>
              </w:tabs>
              <w:spacing w:line="240" w:lineRule="auto"/>
              <w:rPr>
                <w:rStyle w:val="LineNumber"/>
                <w:bCs/>
              </w:rPr>
            </w:pPr>
            <w:r>
              <w:rPr>
                <w:rStyle w:val="LineNumber"/>
                <w:bCs/>
              </w:rPr>
              <w:t>Net Operating Income</w:t>
            </w:r>
          </w:p>
        </w:tc>
        <w:tc>
          <w:tcPr>
            <w:tcW w:w="1734" w:type="dxa"/>
          </w:tcPr>
          <w:p w:rsidR="000E47AF" w:rsidRDefault="000E47AF" w:rsidP="000E47AF">
            <w:pPr>
              <w:pStyle w:val="BodyText2"/>
              <w:tabs>
                <w:tab w:val="left" w:pos="1440"/>
              </w:tabs>
              <w:spacing w:line="240" w:lineRule="auto"/>
              <w:rPr>
                <w:rStyle w:val="LineNumber"/>
                <w:bCs/>
              </w:rPr>
            </w:pPr>
            <w:r>
              <w:rPr>
                <w:rStyle w:val="LineNumber"/>
                <w:bCs/>
              </w:rPr>
              <w:t xml:space="preserve"> $3,286,000</w:t>
            </w:r>
          </w:p>
        </w:tc>
      </w:tr>
    </w:tbl>
    <w:p w:rsidR="000E47AF" w:rsidRDefault="000E47AF">
      <w:pPr>
        <w:pStyle w:val="BodyText2"/>
        <w:tabs>
          <w:tab w:val="left" w:pos="1440"/>
        </w:tabs>
        <w:ind w:firstLine="720"/>
        <w:rPr>
          <w:rStyle w:val="LineNumber"/>
          <w:bCs/>
        </w:rPr>
      </w:pPr>
    </w:p>
    <w:p w:rsidR="00B52345" w:rsidRDefault="00B52345">
      <w:pPr>
        <w:pStyle w:val="BodyText2"/>
        <w:tabs>
          <w:tab w:val="left" w:pos="1440"/>
        </w:tabs>
        <w:ind w:firstLine="720"/>
        <w:rPr>
          <w:rStyle w:val="LineNumber"/>
          <w:bCs/>
        </w:rPr>
      </w:pPr>
    </w:p>
    <w:p w:rsidR="000E47AF" w:rsidRDefault="000E47AF">
      <w:pPr>
        <w:pStyle w:val="BodyText2"/>
        <w:tabs>
          <w:tab w:val="left" w:pos="1440"/>
        </w:tabs>
        <w:ind w:firstLine="720"/>
        <w:rPr>
          <w:rStyle w:val="LineNumber"/>
          <w:bCs/>
        </w:rPr>
      </w:pPr>
    </w:p>
    <w:p w:rsidR="000E47AF" w:rsidRDefault="000E47AF">
      <w:pPr>
        <w:pStyle w:val="BodyText2"/>
        <w:tabs>
          <w:tab w:val="left" w:pos="1440"/>
        </w:tabs>
        <w:ind w:firstLine="720"/>
        <w:rPr>
          <w:rStyle w:val="LineNumber"/>
          <w:bCs/>
        </w:rPr>
      </w:pPr>
    </w:p>
    <w:p w:rsidR="003C4E9A" w:rsidRDefault="00F65F05" w:rsidP="00313777">
      <w:pPr>
        <w:pStyle w:val="BodyText2"/>
        <w:tabs>
          <w:tab w:val="left" w:pos="1440"/>
        </w:tabs>
        <w:ind w:firstLine="720"/>
        <w:rPr>
          <w:rStyle w:val="LineNumber"/>
          <w:b/>
          <w:bCs/>
        </w:rPr>
      </w:pPr>
      <w:r w:rsidRPr="003B21F9">
        <w:rPr>
          <w:rStyle w:val="LineNumber"/>
          <w:b/>
          <w:bCs/>
        </w:rPr>
        <w:t>Q.</w:t>
      </w:r>
      <w:r w:rsidRPr="003B21F9">
        <w:rPr>
          <w:rStyle w:val="LineNumber"/>
          <w:b/>
          <w:bCs/>
        </w:rPr>
        <w:tab/>
      </w:r>
      <w:r w:rsidR="003C4E9A">
        <w:rPr>
          <w:rStyle w:val="LineNumber"/>
          <w:b/>
          <w:bCs/>
        </w:rPr>
        <w:t>Are you sponsoring any other revenue adjustments included in Ms. Andrews’ studies?</w:t>
      </w:r>
    </w:p>
    <w:p w:rsidR="00E47C23" w:rsidRDefault="00F65F05" w:rsidP="005847E8">
      <w:pPr>
        <w:pStyle w:val="BodyText2"/>
        <w:tabs>
          <w:tab w:val="left" w:pos="1440"/>
        </w:tabs>
        <w:ind w:firstLine="720"/>
        <w:rPr>
          <w:rStyle w:val="LineNumber"/>
          <w:bCs/>
        </w:rPr>
      </w:pPr>
      <w:r w:rsidRPr="003B21F9">
        <w:rPr>
          <w:rStyle w:val="LineNumber"/>
          <w:bCs/>
        </w:rPr>
        <w:t>A.</w:t>
      </w:r>
      <w:r w:rsidRPr="003B21F9">
        <w:rPr>
          <w:rStyle w:val="LineNumber"/>
          <w:bCs/>
        </w:rPr>
        <w:tab/>
      </w:r>
      <w:r w:rsidR="003C4E9A">
        <w:rPr>
          <w:rStyle w:val="LineNumber"/>
          <w:bCs/>
        </w:rPr>
        <w:t>Yes.  In addition to the revenue adjustments described above</w:t>
      </w:r>
      <w:r w:rsidR="00CB4EFC">
        <w:rPr>
          <w:rStyle w:val="LineNumber"/>
          <w:bCs/>
        </w:rPr>
        <w:t xml:space="preserve"> that are included in both the Pro Forma Study and the EOP Rate Base Study</w:t>
      </w:r>
      <w:r w:rsidR="003C4E9A">
        <w:rPr>
          <w:rStyle w:val="LineNumber"/>
          <w:bCs/>
        </w:rPr>
        <w:t>, Ms. Andrews’ Rate Year Study also includes three “Rate Period Revenue” adjustments, one for each year of the Three-Year Rate Plan</w:t>
      </w:r>
      <w:r w:rsidR="00E47C23">
        <w:rPr>
          <w:rStyle w:val="FootnoteReference"/>
          <w:bCs/>
        </w:rPr>
        <w:footnoteReference w:id="6"/>
      </w:r>
      <w:r w:rsidR="003C4E9A">
        <w:rPr>
          <w:rStyle w:val="LineNumber"/>
          <w:bCs/>
        </w:rPr>
        <w:t xml:space="preserve">.  </w:t>
      </w:r>
      <w:r w:rsidR="00CB4EFC">
        <w:rPr>
          <w:rStyle w:val="LineNumber"/>
          <w:bCs/>
        </w:rPr>
        <w:t>For each of these adjustments, the Company’s forecasted usage and customers</w:t>
      </w:r>
      <w:r w:rsidR="00A71BE0">
        <w:rPr>
          <w:rStyle w:val="LineNumber"/>
          <w:bCs/>
        </w:rPr>
        <w:t xml:space="preserve"> in the specified rate periods</w:t>
      </w:r>
      <w:r w:rsidR="00F24131">
        <w:rPr>
          <w:rStyle w:val="LineNumber"/>
          <w:bCs/>
        </w:rPr>
        <w:t xml:space="preserve"> have</w:t>
      </w:r>
      <w:r w:rsidR="00CB4EFC">
        <w:rPr>
          <w:rStyle w:val="LineNumber"/>
          <w:bCs/>
        </w:rPr>
        <w:t xml:space="preserve"> been priced at present rates</w:t>
      </w:r>
      <w:r w:rsidR="00CB4EFC">
        <w:rPr>
          <w:rStyle w:val="FootnoteReference"/>
          <w:bCs/>
        </w:rPr>
        <w:footnoteReference w:id="7"/>
      </w:r>
      <w:r w:rsidR="00A71BE0">
        <w:rPr>
          <w:rStyle w:val="LineNumber"/>
          <w:bCs/>
        </w:rPr>
        <w:t xml:space="preserve"> to determine the </w:t>
      </w:r>
      <w:r w:rsidR="00F24131">
        <w:rPr>
          <w:rStyle w:val="LineNumber"/>
          <w:bCs/>
        </w:rPr>
        <w:t xml:space="preserve">expected </w:t>
      </w:r>
      <w:r w:rsidR="00E47C23">
        <w:rPr>
          <w:rStyle w:val="LineNumber"/>
          <w:bCs/>
        </w:rPr>
        <w:t>revenues from</w:t>
      </w:r>
      <w:r w:rsidR="00A71BE0">
        <w:rPr>
          <w:rStyle w:val="LineNumber"/>
          <w:bCs/>
        </w:rPr>
        <w:t xml:space="preserve"> customer</w:t>
      </w:r>
      <w:r w:rsidR="00E47C23">
        <w:rPr>
          <w:rStyle w:val="LineNumber"/>
          <w:bCs/>
        </w:rPr>
        <w:t xml:space="preserve"> growth</w:t>
      </w:r>
      <w:r w:rsidR="00A71BE0">
        <w:rPr>
          <w:rStyle w:val="LineNumber"/>
          <w:bCs/>
        </w:rPr>
        <w:t xml:space="preserve"> and load growth</w:t>
      </w:r>
      <w:r w:rsidR="00F24131">
        <w:rPr>
          <w:rStyle w:val="LineNumber"/>
          <w:bCs/>
        </w:rPr>
        <w:t>.  Ms. Andrews also used t</w:t>
      </w:r>
      <w:r w:rsidR="00321B27">
        <w:rPr>
          <w:rStyle w:val="LineNumber"/>
          <w:bCs/>
        </w:rPr>
        <w:t xml:space="preserve">he </w:t>
      </w:r>
      <w:r w:rsidR="00F24131">
        <w:rPr>
          <w:rStyle w:val="LineNumber"/>
          <w:bCs/>
        </w:rPr>
        <w:t>expected incremental revenue from present rates</w:t>
      </w:r>
      <w:r w:rsidR="00321B27">
        <w:rPr>
          <w:rStyle w:val="LineNumber"/>
          <w:bCs/>
        </w:rPr>
        <w:t xml:space="preserve"> </w:t>
      </w:r>
      <w:r w:rsidR="00746BF3">
        <w:rPr>
          <w:rStyle w:val="LineNumber"/>
          <w:bCs/>
        </w:rPr>
        <w:t xml:space="preserve">as a reduction </w:t>
      </w:r>
      <w:r w:rsidR="00321B27">
        <w:rPr>
          <w:rStyle w:val="LineNumber"/>
          <w:bCs/>
        </w:rPr>
        <w:t>in the development of the K-factor</w:t>
      </w:r>
      <w:r w:rsidR="00746BF3">
        <w:rPr>
          <w:rStyle w:val="LineNumber"/>
          <w:bCs/>
        </w:rPr>
        <w:t xml:space="preserve"> escalation rate</w:t>
      </w:r>
      <w:r w:rsidR="00AD5245">
        <w:rPr>
          <w:rStyle w:val="LineNumber"/>
          <w:bCs/>
        </w:rPr>
        <w:t xml:space="preserve"> in </w:t>
      </w:r>
      <w:r w:rsidR="00F24131">
        <w:rPr>
          <w:rStyle w:val="LineNumber"/>
          <w:bCs/>
        </w:rPr>
        <w:t>her</w:t>
      </w:r>
      <w:r w:rsidR="00AD5245">
        <w:rPr>
          <w:rStyle w:val="LineNumber"/>
          <w:bCs/>
        </w:rPr>
        <w:t xml:space="preserve"> K-Factor Study</w:t>
      </w:r>
      <w:r w:rsidR="00321B27">
        <w:rPr>
          <w:rStyle w:val="LineNumber"/>
          <w:bCs/>
        </w:rPr>
        <w:t>.</w:t>
      </w:r>
      <w:r w:rsidR="0015446B">
        <w:rPr>
          <w:rStyle w:val="LineNumber"/>
          <w:bCs/>
        </w:rPr>
        <w:t xml:space="preserve">  </w:t>
      </w:r>
      <w:r w:rsidR="00E47C23">
        <w:rPr>
          <w:rStyle w:val="LineNumber"/>
          <w:bCs/>
        </w:rPr>
        <w:t xml:space="preserve">       </w:t>
      </w:r>
    </w:p>
    <w:p w:rsidR="00A6717C" w:rsidRDefault="00A6717C">
      <w:pPr>
        <w:pStyle w:val="Heading5"/>
        <w:rPr>
          <w:rStyle w:val="PageNumber"/>
          <w:u w:val="single"/>
        </w:rPr>
      </w:pPr>
    </w:p>
    <w:p w:rsidR="0045522A" w:rsidRPr="00BA18B1" w:rsidRDefault="0014724A">
      <w:pPr>
        <w:pStyle w:val="Heading5"/>
        <w:rPr>
          <w:rStyle w:val="PageNumber"/>
          <w:u w:val="single"/>
        </w:rPr>
      </w:pPr>
      <w:r w:rsidRPr="00BA18B1">
        <w:rPr>
          <w:rStyle w:val="PageNumber"/>
          <w:u w:val="single"/>
        </w:rPr>
        <w:t>I</w:t>
      </w:r>
      <w:r w:rsidR="00363154">
        <w:rPr>
          <w:rStyle w:val="PageNumber"/>
          <w:u w:val="single"/>
        </w:rPr>
        <w:t>V</w:t>
      </w:r>
      <w:r w:rsidR="0045522A" w:rsidRPr="00BA18B1">
        <w:rPr>
          <w:rStyle w:val="PageNumber"/>
          <w:u w:val="single"/>
        </w:rPr>
        <w:t>.  ELECTRIC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w:t>
      </w:r>
      <w:r w:rsidR="007E2589">
        <w:rPr>
          <w:rStyle w:val="LineNumber"/>
        </w:rPr>
        <w:t>presented to this Commission in</w:t>
      </w:r>
      <w:r w:rsidR="00923B86">
        <w:rPr>
          <w:rStyle w:val="LineNumber"/>
        </w:rPr>
        <w:t xml:space="preserve"> </w:t>
      </w:r>
      <w:r w:rsidR="00BF1F32">
        <w:rPr>
          <w:rStyle w:val="LineNumber"/>
        </w:rPr>
        <w:t>Docket</w:t>
      </w:r>
      <w:r w:rsidR="008E7190">
        <w:rPr>
          <w:rStyle w:val="LineNumber"/>
        </w:rPr>
        <w:t xml:space="preserve"> No</w:t>
      </w:r>
      <w:r w:rsidR="00C664FA">
        <w:rPr>
          <w:rStyle w:val="LineNumber"/>
        </w:rPr>
        <w:t>.</w:t>
      </w:r>
      <w:r w:rsidR="008E7190">
        <w:rPr>
          <w:rStyle w:val="LineNumber"/>
        </w:rPr>
        <w:t xml:space="preserve"> UE-1</w:t>
      </w:r>
      <w:r w:rsidR="00B51A31">
        <w:rPr>
          <w:rStyle w:val="LineNumber"/>
        </w:rPr>
        <w:t>10876</w:t>
      </w:r>
      <w:r w:rsidR="007E2589">
        <w:rPr>
          <w:rStyle w:val="LineNumber"/>
        </w:rPr>
        <w:t xml:space="preserve">, </w:t>
      </w:r>
      <w:r w:rsidR="00B5488E">
        <w:rPr>
          <w:rStyle w:val="LineNumber"/>
        </w:rPr>
        <w:t xml:space="preserve">Docket No. </w:t>
      </w:r>
      <w:r w:rsidR="007E2589">
        <w:rPr>
          <w:rStyle w:val="LineNumber"/>
        </w:rPr>
        <w:t>UE-1</w:t>
      </w:r>
      <w:r w:rsidR="00B51A31">
        <w:rPr>
          <w:rStyle w:val="LineNumber"/>
        </w:rPr>
        <w:t>20436</w:t>
      </w:r>
      <w:r w:rsidR="008E7190">
        <w:rPr>
          <w:rStyle w:val="LineNumber"/>
        </w:rPr>
        <w:t xml:space="preserve"> </w:t>
      </w:r>
      <w:r w:rsidR="004E531C">
        <w:rPr>
          <w:rStyle w:val="LineNumber"/>
        </w:rPr>
        <w:t>D</w:t>
      </w:r>
      <w:r w:rsidR="0011588B">
        <w:rPr>
          <w:rStyle w:val="LineNumber"/>
        </w:rPr>
        <w:t>ocket No</w:t>
      </w:r>
      <w:r w:rsidR="00C664FA">
        <w:rPr>
          <w:rStyle w:val="LineNumber"/>
        </w:rPr>
        <w:t>.</w:t>
      </w:r>
      <w:r w:rsidR="0011588B">
        <w:rPr>
          <w:rStyle w:val="LineNumber"/>
        </w:rPr>
        <w:t xml:space="preserve"> UE-1</w:t>
      </w:r>
      <w:r w:rsidR="00B51A31">
        <w:rPr>
          <w:rStyle w:val="LineNumber"/>
        </w:rPr>
        <w:t>40188</w:t>
      </w:r>
      <w:r w:rsidR="00BF1F32">
        <w:rPr>
          <w:rStyle w:val="LineNumber"/>
        </w:rPr>
        <w:t>,</w:t>
      </w:r>
      <w:r w:rsidR="004E531C">
        <w:rPr>
          <w:rStyle w:val="LineNumber"/>
        </w:rPr>
        <w:t xml:space="preserve"> Docket No. UE-150204</w:t>
      </w:r>
      <w:r w:rsidR="00BF1F32">
        <w:rPr>
          <w:rStyle w:val="LineNumber"/>
        </w:rPr>
        <w:t xml:space="preserve"> and Docket No. UE-160228</w:t>
      </w:r>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w:t>
      </w:r>
      <w:r w:rsidR="00EF104F">
        <w:rPr>
          <w:rStyle w:val="LineNumber"/>
        </w:rPr>
        <w:t xml:space="preserve">. </w:t>
      </w:r>
      <w:smartTag w:uri="urn:schemas-microsoft-com:office:smarttags" w:element="stockticker">
        <w:r w:rsidRPr="00BA18B1">
          <w:rPr>
            <w:rStyle w:val="LineNumber"/>
          </w:rPr>
          <w:t>TLK</w:t>
        </w:r>
      </w:smartTag>
      <w:r w:rsidRPr="00BA18B1">
        <w:rPr>
          <w:rStyle w:val="LineNumber"/>
        </w:rPr>
        <w:t>-</w:t>
      </w:r>
      <w:r w:rsidR="00B51A31">
        <w:rPr>
          <w:rStyle w:val="LineNumber"/>
        </w:rPr>
        <w:t>2</w:t>
      </w:r>
      <w:r w:rsidRPr="00BA18B1">
        <w:rPr>
          <w:rStyle w:val="LineNumber"/>
        </w:rPr>
        <w:t xml:space="preserve"> explains the basic concepts involved in performing an electric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The electric cost </w:t>
      </w:r>
      <w:r w:rsidRPr="00363154">
        <w:rPr>
          <w:rStyle w:val="LineNumber"/>
        </w:rPr>
        <w:t>of service study provided b</w:t>
      </w:r>
      <w:r w:rsidR="00EF104F">
        <w:rPr>
          <w:rStyle w:val="LineNumber"/>
        </w:rPr>
        <w:t xml:space="preserve">y the Company as Exh. </w:t>
      </w:r>
      <w:r w:rsidRPr="00363154">
        <w:rPr>
          <w:rStyle w:val="LineNumber"/>
        </w:rPr>
        <w:t>TLK-</w:t>
      </w:r>
      <w:r w:rsidR="00B51A31" w:rsidRPr="00363154">
        <w:rPr>
          <w:rStyle w:val="LineNumber"/>
        </w:rPr>
        <w:t>3</w:t>
      </w:r>
      <w:r w:rsidRPr="00363154">
        <w:rPr>
          <w:rStyle w:val="LineNumber"/>
        </w:rPr>
        <w:t xml:space="preserve"> is based on </w:t>
      </w:r>
      <w:r w:rsidR="003E1100">
        <w:rPr>
          <w:rStyle w:val="LineNumber"/>
        </w:rPr>
        <w:t xml:space="preserve">the EOP </w:t>
      </w:r>
      <w:r w:rsidR="00012E33">
        <w:rPr>
          <w:rStyle w:val="LineNumber"/>
        </w:rPr>
        <w:t xml:space="preserve">Rate Base </w:t>
      </w:r>
      <w:r w:rsidR="003E1100">
        <w:rPr>
          <w:rStyle w:val="LineNumber"/>
        </w:rPr>
        <w:t>Study presented by Company witness Ms. Andrews as Exh. EMA-3</w:t>
      </w:r>
      <w:r w:rsidR="00AF1D4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w:t>
      </w:r>
      <w:r w:rsidR="00EF104F">
        <w:rPr>
          <w:rStyle w:val="LineNumber"/>
          <w:b/>
          <w:bCs/>
        </w:rPr>
        <w:t xml:space="preserve">dy presented in Exh. </w:t>
      </w:r>
      <w:r w:rsidRPr="00BA18B1">
        <w:rPr>
          <w:rStyle w:val="LineNumber"/>
          <w:b/>
          <w:bCs/>
        </w:rPr>
        <w:t>TLK-</w:t>
      </w:r>
      <w:r w:rsidR="00B51A31">
        <w:rPr>
          <w:rStyle w:val="LineNumber"/>
          <w:b/>
          <w:bCs/>
        </w:rPr>
        <w:t>3</w:t>
      </w:r>
      <w:r w:rsidRPr="00BA18B1">
        <w:rPr>
          <w:rStyle w:val="LineNumber"/>
          <w:b/>
          <w:bCs/>
        </w:rPr>
        <w:t>?</w:t>
      </w:r>
    </w:p>
    <w:p w:rsidR="0045522A" w:rsidRPr="00BA18B1" w:rsidRDefault="00EF104F">
      <w:pPr>
        <w:pStyle w:val="BodyText2"/>
        <w:tabs>
          <w:tab w:val="left" w:pos="1440"/>
        </w:tabs>
        <w:ind w:firstLine="720"/>
        <w:rPr>
          <w:rStyle w:val="LineNumber"/>
        </w:rPr>
      </w:pPr>
      <w:r>
        <w:rPr>
          <w:rStyle w:val="LineNumber"/>
        </w:rPr>
        <w:t>A.</w:t>
      </w:r>
      <w:r>
        <w:rPr>
          <w:rStyle w:val="LineNumber"/>
        </w:rPr>
        <w:tab/>
        <w:t xml:space="preserve">Yes.  Exh. </w:t>
      </w:r>
      <w:r w:rsidR="0045522A" w:rsidRPr="00BA18B1">
        <w:rPr>
          <w:rStyle w:val="LineNumber"/>
        </w:rPr>
        <w:t>TLK-</w:t>
      </w:r>
      <w:r w:rsidR="00B51A31">
        <w:rPr>
          <w:rStyle w:val="LineNumber"/>
        </w:rPr>
        <w:t>3</w:t>
      </w:r>
      <w:r w:rsidR="0045522A" w:rsidRPr="00BA18B1">
        <w:rPr>
          <w:rStyle w:val="LineNumber"/>
        </w:rPr>
        <w:t xml:space="preserve"> is composed of a series of summaries of the </w:t>
      </w:r>
      <w:r w:rsidR="00D33147" w:rsidRPr="00BA18B1">
        <w:rPr>
          <w:rStyle w:val="LineNumber"/>
        </w:rPr>
        <w:t xml:space="preserve">cost of service </w:t>
      </w:r>
      <w:r w:rsidR="0045522A" w:rsidRPr="00BA18B1">
        <w:rPr>
          <w:rStyle w:val="LineNumber"/>
        </w:rPr>
        <w:t xml:space="preserve">study results.  The summary on page 1 shows the results of the study by FERC account category.  The rate of return by rate schedule and the ratio of each schedule’s return to the overall return are shown on </w:t>
      </w:r>
      <w:r w:rsidR="0045522A" w:rsidRPr="00FA104D">
        <w:rPr>
          <w:rStyle w:val="LineNumber"/>
        </w:rPr>
        <w:t>Lines 39 and 40</w:t>
      </w:r>
      <w:r w:rsidR="0045522A" w:rsidRPr="00BA18B1">
        <w:rPr>
          <w:rStyle w:val="LineNumber"/>
        </w:rPr>
        <w:t xml:space="preserve">.  This summary was provided to </w:t>
      </w:r>
      <w:r w:rsidR="00AE0314">
        <w:rPr>
          <w:rStyle w:val="LineNumber"/>
        </w:rPr>
        <w:t xml:space="preserve">Company </w:t>
      </w:r>
      <w:r w:rsidR="00AE0314">
        <w:rPr>
          <w:rStyle w:val="LineNumber"/>
        </w:rPr>
        <w:lastRenderedPageBreak/>
        <w:t xml:space="preserve">witness </w:t>
      </w:r>
      <w:r w:rsidR="0045522A" w:rsidRPr="00BA18B1">
        <w:rPr>
          <w:rStyle w:val="LineNumber"/>
        </w:rPr>
        <w:t xml:space="preserve">Mr. </w:t>
      </w:r>
      <w:r w:rsidR="00D24662">
        <w:rPr>
          <w:rStyle w:val="LineNumber"/>
        </w:rPr>
        <w:t>Ehrbar</w:t>
      </w:r>
      <w:r w:rsidR="0045522A" w:rsidRPr="00BA18B1">
        <w:rPr>
          <w:rStyle w:val="LineNumber"/>
        </w:rPr>
        <w:t xml:space="preserve"> for his </w:t>
      </w:r>
      <w:r w:rsidR="00E764B4">
        <w:rPr>
          <w:rStyle w:val="LineNumber"/>
        </w:rPr>
        <w:t>consideration regarding</w:t>
      </w:r>
      <w:r w:rsidR="0045522A" w:rsidRPr="00BA18B1">
        <w:rPr>
          <w:rStyle w:val="LineNumber"/>
        </w:rPr>
        <w:t xml:space="preserve">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production, transmission, distribution, and common functional categories.  </w:t>
      </w:r>
      <w:r w:rsidR="00DA051F" w:rsidRPr="00FA104D">
        <w:rPr>
          <w:rStyle w:val="LineNumber"/>
        </w:rPr>
        <w:t>Line 44</w:t>
      </w:r>
      <w:r w:rsidR="00DA051F">
        <w:rPr>
          <w:rStyle w:val="LineNumber"/>
        </w:rPr>
        <w:t xml:space="preserve"> on page 2 shows the target change in revenue which would produce unity in this cost study. </w:t>
      </w:r>
      <w:r w:rsidR="00B51A31">
        <w:rPr>
          <w:rStyle w:val="LineNumber"/>
        </w:rPr>
        <w:t xml:space="preserve"> </w:t>
      </w:r>
      <w:r w:rsidRPr="00BA18B1">
        <w:rPr>
          <w:rStyle w:val="LineNumber"/>
        </w:rPr>
        <w:t>Page 3 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Given that the specific details of this methodology are described in </w:t>
      </w:r>
      <w:r w:rsidR="00061EEC">
        <w:rPr>
          <w:rStyle w:val="LineNumber"/>
          <w:b/>
          <w:bCs/>
        </w:rPr>
        <w:t xml:space="preserve">the narrative in </w:t>
      </w:r>
      <w:r w:rsidR="00EF104F">
        <w:rPr>
          <w:rStyle w:val="LineNumber"/>
          <w:b/>
          <w:bCs/>
        </w:rPr>
        <w:t xml:space="preserve">Exh. </w:t>
      </w:r>
      <w:r w:rsidRPr="00BA18B1">
        <w:rPr>
          <w:rStyle w:val="LineNumber"/>
          <w:b/>
          <w:bCs/>
        </w:rPr>
        <w:t>TLK-</w:t>
      </w:r>
      <w:r w:rsidR="00B51A31">
        <w:rPr>
          <w:rStyle w:val="LineNumber"/>
          <w:b/>
          <w:bCs/>
        </w:rPr>
        <w:t>2</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 xml:space="preserve">).  Production and transmission costs are classified </w:t>
      </w:r>
      <w:r w:rsidR="00126A7B">
        <w:rPr>
          <w:rStyle w:val="LineNumber"/>
        </w:rPr>
        <w:t>in</w:t>
      </w:r>
      <w:r w:rsidRPr="00BA18B1">
        <w:rPr>
          <w:rStyle w:val="LineNumber"/>
        </w:rPr>
        <w:t>to energy</w:t>
      </w:r>
      <w:r w:rsidR="00126A7B">
        <w:rPr>
          <w:rStyle w:val="LineNumber"/>
        </w:rPr>
        <w:t>-related</w:t>
      </w:r>
      <w:r w:rsidRPr="00BA18B1">
        <w:rPr>
          <w:rStyle w:val="LineNumber"/>
        </w:rPr>
        <w:t xml:space="preserve"> </w:t>
      </w:r>
      <w:r w:rsidR="00F97D6C">
        <w:rPr>
          <w:rStyle w:val="LineNumber"/>
        </w:rPr>
        <w:t xml:space="preserve">and </w:t>
      </w:r>
      <w:r w:rsidRPr="00BA18B1">
        <w:rPr>
          <w:rStyle w:val="LineNumber"/>
        </w:rPr>
        <w:t>demand</w:t>
      </w:r>
      <w:r w:rsidR="00126A7B">
        <w:rPr>
          <w:rStyle w:val="LineNumber"/>
        </w:rPr>
        <w:t>-related</w:t>
      </w:r>
      <w:r w:rsidRPr="00BA18B1">
        <w:rPr>
          <w:rStyle w:val="LineNumber"/>
        </w:rPr>
        <w:t xml:space="preserve"> by a peak credit analysis.  </w:t>
      </w:r>
      <w:r w:rsidRPr="00D260A4">
        <w:rPr>
          <w:rStyle w:val="LineNumber"/>
        </w:rPr>
        <w:t>The definition</w:t>
      </w:r>
      <w:r w:rsidR="00061EEC">
        <w:rPr>
          <w:rStyle w:val="LineNumber"/>
        </w:rPr>
        <w:t>s</w:t>
      </w:r>
      <w:r w:rsidRPr="00D260A4">
        <w:rPr>
          <w:rStyle w:val="LineNumber"/>
        </w:rPr>
        <w:t xml:space="preserve">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061EEC">
        <w:rPr>
          <w:rStyle w:val="LineNumber"/>
        </w:rPr>
        <w:t>were</w:t>
      </w:r>
      <w:r w:rsidRPr="00D260A4">
        <w:rPr>
          <w:rStyle w:val="LineNumber"/>
        </w:rPr>
        <w:t xml:space="preserve"> accepted by the Commission for Avista in Docket No. UE-991606</w:t>
      </w:r>
      <w:r w:rsidR="00F66637" w:rsidRPr="00D260A4">
        <w:rPr>
          <w:rStyle w:val="LineNumber"/>
        </w:rPr>
        <w:t xml:space="preserve"> and confirmed in Docket No. UE-050482</w:t>
      </w:r>
      <w:r w:rsidRPr="00D260A4">
        <w:rPr>
          <w:rStyle w:val="LineNumber"/>
        </w:rPr>
        <w:t>.</w:t>
      </w:r>
      <w:r w:rsidRPr="00BA18B1">
        <w:rPr>
          <w:rStyle w:val="LineNumber"/>
        </w:rPr>
        <w:t xml:space="preserve"> </w:t>
      </w:r>
    </w:p>
    <w:p w:rsidR="0045522A" w:rsidRDefault="0045522A">
      <w:pPr>
        <w:pStyle w:val="BodyText2"/>
        <w:tabs>
          <w:tab w:val="left" w:pos="1440"/>
        </w:tabs>
        <w:ind w:firstLine="720"/>
        <w:rPr>
          <w:rStyle w:val="LineNumber"/>
        </w:rPr>
      </w:pPr>
      <w:r w:rsidRPr="00BA18B1">
        <w:rPr>
          <w:rStyle w:val="LineNumber"/>
        </w:rPr>
        <w:lastRenderedPageBreak/>
        <w:t>Distribution costs are classified and allocated by the basic customer theory</w:t>
      </w:r>
      <w:r w:rsidR="00BA18B1" w:rsidRPr="00BA18B1">
        <w:rPr>
          <w:rStyle w:val="FootnoteReference"/>
        </w:rPr>
        <w:footnoteReference w:id="8"/>
      </w:r>
      <w:r w:rsidRPr="00BA18B1">
        <w:rPr>
          <w:rStyle w:val="LineNumber"/>
        </w:rPr>
        <w:t xml:space="preserve"> that was derived directly from the methodology approved for Puget in Docket No. UE-920499.  Administrative and general costs are first directly assigned to production, transmission, distribution, </w:t>
      </w:r>
      <w:r w:rsidR="00F97D6C">
        <w:rPr>
          <w:rStyle w:val="LineNumber"/>
        </w:rPr>
        <w:t>and</w:t>
      </w:r>
      <w:r w:rsidRPr="00BA18B1">
        <w:rPr>
          <w:rStyle w:val="LineNumber"/>
        </w:rPr>
        <w:t xml:space="preserve"> customer relations functions.  The Commission found this process acceptable in Avista’s Docket No. UE-991606.  The remaining administrative and general costs are categorized as common costs and have been allocated by a variety of factors as approved by this Commission for Puget in Docket No. UE-920499.  The specific factors and items they are applied to are describ</w:t>
      </w:r>
      <w:r w:rsidR="00EF104F">
        <w:rPr>
          <w:rStyle w:val="LineNumber"/>
        </w:rPr>
        <w:t xml:space="preserve">ed in detail in Exh. </w:t>
      </w:r>
      <w:r w:rsidRPr="00BA18B1">
        <w:rPr>
          <w:rStyle w:val="LineNumber"/>
        </w:rPr>
        <w:t>TLK-</w:t>
      </w:r>
      <w:r w:rsidR="00B51A31">
        <w:rPr>
          <w:rStyle w:val="LineNumber"/>
        </w:rPr>
        <w:t>2</w:t>
      </w:r>
      <w:r w:rsidRPr="00BA18B1">
        <w:rPr>
          <w:rStyle w:val="LineNumber"/>
        </w:rPr>
        <w:t xml:space="preserve"> </w:t>
      </w:r>
      <w:r w:rsidR="00903355">
        <w:rPr>
          <w:rStyle w:val="LineNumber"/>
        </w:rPr>
        <w:t>on</w:t>
      </w:r>
      <w:r w:rsidRPr="00BA18B1">
        <w:rPr>
          <w:rStyle w:val="LineNumber"/>
        </w:rPr>
        <w:t xml:space="preserve"> page 5 and </w:t>
      </w:r>
      <w:r w:rsidR="004A78C9">
        <w:rPr>
          <w:rStyle w:val="LineNumber"/>
        </w:rPr>
        <w:t xml:space="preserve">listed by account on page </w:t>
      </w:r>
      <w:r w:rsidRPr="00BA18B1">
        <w:rPr>
          <w:rStyle w:val="LineNumber"/>
        </w:rPr>
        <w:t>9.</w:t>
      </w:r>
    </w:p>
    <w:p w:rsidR="00D260A4" w:rsidRPr="00CB130C" w:rsidRDefault="00D260A4" w:rsidP="00D45779">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7576DF" w:rsidRDefault="00D260A4" w:rsidP="00D45779">
      <w:pPr>
        <w:pStyle w:val="BodyText2"/>
        <w:tabs>
          <w:tab w:val="left" w:pos="1440"/>
        </w:tabs>
        <w:ind w:firstLine="720"/>
        <w:rPr>
          <w:rStyle w:val="LineNumber"/>
        </w:rPr>
      </w:pPr>
      <w:r w:rsidRPr="00CB130C">
        <w:rPr>
          <w:rStyle w:val="LineNumber"/>
        </w:rPr>
        <w:t>A.</w:t>
      </w:r>
      <w:r w:rsidRPr="00CB130C">
        <w:rPr>
          <w:rStyle w:val="LineNumber"/>
        </w:rPr>
        <w:tab/>
      </w:r>
      <w:r w:rsidR="00170EDF">
        <w:rPr>
          <w:rStyle w:val="LineNumber"/>
        </w:rPr>
        <w:t xml:space="preserve">Yes.  </w:t>
      </w:r>
      <w:r w:rsidR="001654B1">
        <w:rPr>
          <w:rStyle w:val="LineNumber"/>
        </w:rPr>
        <w:t>The methodology presented in this case is the same as that used in the stud</w:t>
      </w:r>
      <w:r w:rsidR="00830B25">
        <w:rPr>
          <w:rStyle w:val="LineNumber"/>
        </w:rPr>
        <w:t>ies</w:t>
      </w:r>
      <w:r w:rsidR="001654B1">
        <w:rPr>
          <w:rStyle w:val="LineNumber"/>
        </w:rPr>
        <w:t xml:space="preserve"> presented in Docket No</w:t>
      </w:r>
      <w:r w:rsidR="00830B25">
        <w:rPr>
          <w:rStyle w:val="LineNumber"/>
        </w:rPr>
        <w:t>s</w:t>
      </w:r>
      <w:r w:rsidR="001654B1">
        <w:rPr>
          <w:rStyle w:val="LineNumber"/>
        </w:rPr>
        <w:t xml:space="preserve">. </w:t>
      </w:r>
      <w:r w:rsidR="00EF104F">
        <w:rPr>
          <w:rStyle w:val="LineNumber"/>
        </w:rPr>
        <w:t xml:space="preserve">UE-160228, </w:t>
      </w:r>
      <w:r w:rsidR="004D27D4">
        <w:rPr>
          <w:rStyle w:val="LineNumber"/>
        </w:rPr>
        <w:t xml:space="preserve">UE-150204, </w:t>
      </w:r>
      <w:r w:rsidR="00B51A31">
        <w:rPr>
          <w:rStyle w:val="LineNumber"/>
        </w:rPr>
        <w:t xml:space="preserve">UE-140188, </w:t>
      </w:r>
      <w:r w:rsidR="001654B1">
        <w:rPr>
          <w:rStyle w:val="LineNumber"/>
        </w:rPr>
        <w:t>UE-</w:t>
      </w:r>
      <w:r w:rsidR="00844D65">
        <w:rPr>
          <w:rStyle w:val="LineNumber"/>
        </w:rPr>
        <w:t>12</w:t>
      </w:r>
      <w:r w:rsidR="001654B1">
        <w:rPr>
          <w:rStyle w:val="LineNumber"/>
        </w:rPr>
        <w:t>0</w:t>
      </w:r>
      <w:r w:rsidR="00844D65">
        <w:rPr>
          <w:rStyle w:val="LineNumber"/>
        </w:rPr>
        <w:t>436</w:t>
      </w:r>
      <w:r w:rsidR="00170EDF">
        <w:rPr>
          <w:rStyle w:val="LineNumber"/>
        </w:rPr>
        <w:t xml:space="preserve"> and </w:t>
      </w:r>
      <w:r w:rsidR="00830B25">
        <w:rPr>
          <w:rStyle w:val="LineNumber"/>
        </w:rPr>
        <w:t>UE-110876</w:t>
      </w:r>
      <w:r w:rsidR="001654B1">
        <w:rPr>
          <w:rStyle w:val="LineNumber"/>
        </w:rPr>
        <w:t>.</w:t>
      </w:r>
      <w:r w:rsidRPr="00CB130C">
        <w:rPr>
          <w:rStyle w:val="LineNumber"/>
        </w:rPr>
        <w:t xml:space="preserve">  </w:t>
      </w:r>
    </w:p>
    <w:p w:rsidR="0088097A" w:rsidRPr="00503047" w:rsidRDefault="0088097A" w:rsidP="00D45779">
      <w:pPr>
        <w:pStyle w:val="BodyText2"/>
        <w:tabs>
          <w:tab w:val="left" w:pos="1440"/>
        </w:tabs>
        <w:ind w:firstLine="720"/>
        <w:rPr>
          <w:rStyle w:val="LineNumber"/>
          <w:b/>
        </w:rPr>
      </w:pPr>
      <w:r w:rsidRPr="00503047">
        <w:rPr>
          <w:rStyle w:val="LineNumber"/>
          <w:b/>
        </w:rPr>
        <w:t>Q.</w:t>
      </w:r>
      <w:r w:rsidRPr="00503047">
        <w:rPr>
          <w:rStyle w:val="LineNumber"/>
          <w:b/>
        </w:rPr>
        <w:tab/>
      </w:r>
      <w:r w:rsidR="002A1FDC" w:rsidRPr="00503047">
        <w:rPr>
          <w:rStyle w:val="LineNumber"/>
          <w:b/>
        </w:rPr>
        <w:t>What peak credit methodology</w:t>
      </w:r>
      <w:r w:rsidR="004D27D4">
        <w:rPr>
          <w:rStyle w:val="LineNumber"/>
          <w:b/>
        </w:rPr>
        <w:t xml:space="preserve"> did the Company use in this case</w:t>
      </w:r>
      <w:r w:rsidR="00733C26">
        <w:rPr>
          <w:rStyle w:val="LineNumber"/>
          <w:b/>
        </w:rPr>
        <w:t>?</w:t>
      </w:r>
    </w:p>
    <w:p w:rsidR="0088097A" w:rsidRDefault="0088097A" w:rsidP="00D45779">
      <w:pPr>
        <w:pStyle w:val="BodyText2"/>
        <w:tabs>
          <w:tab w:val="left" w:pos="1440"/>
        </w:tabs>
        <w:ind w:firstLine="720"/>
        <w:rPr>
          <w:rStyle w:val="LineNumber"/>
        </w:rPr>
      </w:pPr>
      <w:r w:rsidRPr="00503047">
        <w:rPr>
          <w:rStyle w:val="LineNumber"/>
        </w:rPr>
        <w:t>A.</w:t>
      </w:r>
      <w:r w:rsidRPr="00503047">
        <w:rPr>
          <w:rStyle w:val="LineNumber"/>
        </w:rPr>
        <w:tab/>
      </w:r>
      <w:r w:rsidR="00C64FD2">
        <w:rPr>
          <w:rStyle w:val="LineNumber"/>
        </w:rPr>
        <w:t>In this case t</w:t>
      </w:r>
      <w:r w:rsidR="007941A2">
        <w:rPr>
          <w:rStyle w:val="LineNumber"/>
        </w:rPr>
        <w:t>he</w:t>
      </w:r>
      <w:r w:rsidR="00733C26">
        <w:rPr>
          <w:rStyle w:val="LineNumber"/>
        </w:rPr>
        <w:t xml:space="preserve"> Company </w:t>
      </w:r>
      <w:r w:rsidR="004D27D4">
        <w:rPr>
          <w:rStyle w:val="LineNumber"/>
        </w:rPr>
        <w:t>used</w:t>
      </w:r>
      <w:r w:rsidR="00733C26">
        <w:rPr>
          <w:rStyle w:val="LineNumber"/>
        </w:rPr>
        <w:t xml:space="preserve"> the system load factor to determine the proportion of the production function</w:t>
      </w:r>
      <w:r w:rsidR="000664A2">
        <w:rPr>
          <w:rStyle w:val="LineNumber"/>
        </w:rPr>
        <w:t xml:space="preserve"> that is </w:t>
      </w:r>
      <w:r w:rsidR="00733C26">
        <w:rPr>
          <w:rStyle w:val="LineNumber"/>
        </w:rPr>
        <w:t>demand-related</w:t>
      </w:r>
      <w:r w:rsidR="00443BBA">
        <w:rPr>
          <w:rStyle w:val="LineNumber"/>
        </w:rPr>
        <w:t>.</w:t>
      </w:r>
      <w:r w:rsidR="00443BBA">
        <w:rPr>
          <w:rStyle w:val="FootnoteReference"/>
        </w:rPr>
        <w:footnoteReference w:id="9"/>
      </w:r>
      <w:r w:rsidR="006C4990">
        <w:rPr>
          <w:rStyle w:val="LineNumber"/>
        </w:rPr>
        <w:t xml:space="preserve"> </w:t>
      </w:r>
      <w:r w:rsidR="000664A2">
        <w:rPr>
          <w:rStyle w:val="LineNumber"/>
        </w:rPr>
        <w:t xml:space="preserve"> </w:t>
      </w:r>
      <w:r w:rsidR="006C4990">
        <w:rPr>
          <w:rStyle w:val="LineNumber"/>
        </w:rPr>
        <w:t xml:space="preserve">This single peak credit ratio is then applied uniformly to all production costs. </w:t>
      </w:r>
      <w:r w:rsidR="00DF7D34">
        <w:rPr>
          <w:rStyle w:val="LineNumber"/>
        </w:rPr>
        <w:t xml:space="preserve"> </w:t>
      </w:r>
      <w:r w:rsidR="007904A5" w:rsidRPr="00503047">
        <w:rPr>
          <w:rStyle w:val="LineNumber"/>
        </w:rPr>
        <w:t xml:space="preserve">In Washington, transmission costs have </w:t>
      </w:r>
      <w:r w:rsidR="00C64FD2">
        <w:rPr>
          <w:rStyle w:val="LineNumber"/>
        </w:rPr>
        <w:t xml:space="preserve">traditionally </w:t>
      </w:r>
      <w:r w:rsidR="007904A5" w:rsidRPr="00503047">
        <w:rPr>
          <w:rStyle w:val="LineNumber"/>
        </w:rPr>
        <w:t>been treated as an extension of the generation system, therefore, the peak credit ratio has also been applied to transmission costs</w:t>
      </w:r>
      <w:r w:rsidR="00903355" w:rsidRPr="00503047">
        <w:rPr>
          <w:rStyle w:val="LineNumber"/>
        </w:rPr>
        <w:t xml:space="preserve"> in this study</w:t>
      </w:r>
      <w:r w:rsidR="007904A5" w:rsidRPr="00503047">
        <w:rPr>
          <w:rStyle w:val="LineNumber"/>
        </w:rPr>
        <w:t>.</w:t>
      </w:r>
      <w:r w:rsidR="005D2670">
        <w:rPr>
          <w:rStyle w:val="LineNumber"/>
        </w:rPr>
        <w:t xml:space="preserve"> </w:t>
      </w:r>
    </w:p>
    <w:p w:rsidR="00C6470E" w:rsidRPr="00C6470E" w:rsidRDefault="00C6470E" w:rsidP="00D45779">
      <w:pPr>
        <w:pStyle w:val="BodyText2"/>
        <w:tabs>
          <w:tab w:val="left" w:pos="1440"/>
        </w:tabs>
        <w:ind w:firstLine="720"/>
        <w:rPr>
          <w:rStyle w:val="LineNumber"/>
          <w:b/>
        </w:rPr>
      </w:pPr>
      <w:r w:rsidRPr="00C6470E">
        <w:rPr>
          <w:rStyle w:val="LineNumber"/>
          <w:b/>
        </w:rPr>
        <w:lastRenderedPageBreak/>
        <w:t>Q.</w:t>
      </w:r>
      <w:r w:rsidRPr="00C6470E">
        <w:rPr>
          <w:rStyle w:val="LineNumber"/>
          <w:b/>
        </w:rPr>
        <w:tab/>
        <w:t>What are the benefits of using the system load factor to determine the peak credit ratio?</w:t>
      </w:r>
    </w:p>
    <w:p w:rsidR="0024465B" w:rsidRDefault="00C6470E" w:rsidP="00D2382F">
      <w:pPr>
        <w:pStyle w:val="BodyText2"/>
        <w:tabs>
          <w:tab w:val="left" w:pos="1440"/>
        </w:tabs>
        <w:ind w:firstLine="720"/>
        <w:rPr>
          <w:rStyle w:val="LineNumber"/>
        </w:rPr>
      </w:pPr>
      <w:r>
        <w:rPr>
          <w:rStyle w:val="LineNumber"/>
        </w:rPr>
        <w:t>A.</w:t>
      </w:r>
      <w:r>
        <w:rPr>
          <w:rStyle w:val="LineNumber"/>
        </w:rPr>
        <w:tab/>
        <w:t>There are</w:t>
      </w:r>
      <w:r w:rsidR="0024465B">
        <w:rPr>
          <w:rStyle w:val="LineNumber"/>
        </w:rPr>
        <w:t xml:space="preserve"> several benefits to the system load factor approach for identifying the demand-related proportion of production costs</w:t>
      </w:r>
      <w:r w:rsidR="00667494">
        <w:rPr>
          <w:rStyle w:val="LineNumber"/>
        </w:rPr>
        <w:t>:</w:t>
      </w:r>
      <w:r w:rsidR="00012E33">
        <w:rPr>
          <w:rStyle w:val="LineNumber"/>
        </w:rPr>
        <w:t xml:space="preserve">  1) i</w:t>
      </w:r>
      <w:r w:rsidR="0024465B">
        <w:rPr>
          <w:rStyle w:val="LineNumber"/>
        </w:rPr>
        <w:t>t is simple and straightforward to calculate</w:t>
      </w:r>
      <w:r w:rsidR="00667494">
        <w:rPr>
          <w:rStyle w:val="LineNumber"/>
        </w:rPr>
        <w:t>;</w:t>
      </w:r>
      <w:r w:rsidR="0024465B">
        <w:rPr>
          <w:rStyle w:val="LineNumber"/>
        </w:rPr>
        <w:t xml:space="preserve"> 2) it is directly related to the system and test year under evaluation</w:t>
      </w:r>
      <w:r w:rsidR="00667494">
        <w:rPr>
          <w:rStyle w:val="LineNumber"/>
        </w:rPr>
        <w:t>;</w:t>
      </w:r>
      <w:r w:rsidR="0024465B">
        <w:rPr>
          <w:rStyle w:val="LineNumber"/>
        </w:rPr>
        <w:t xml:space="preserve"> and 3) the relationship should remain relatively stable from year to year.</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 xml:space="preserve">What </w:t>
      </w:r>
      <w:r w:rsidR="004D27D4">
        <w:rPr>
          <w:rStyle w:val="LineNumber"/>
          <w:b/>
        </w:rPr>
        <w:t>are the results in this case using the system load factor peak credit methodology</w:t>
      </w:r>
      <w:r w:rsidRPr="002B129F">
        <w:rPr>
          <w:rStyle w:val="LineNumber"/>
          <w:b/>
        </w:rPr>
        <w:t xml:space="preserve">? </w:t>
      </w:r>
    </w:p>
    <w:p w:rsidR="000737D7" w:rsidRDefault="007904A5" w:rsidP="000737D7">
      <w:pPr>
        <w:pStyle w:val="BodyText2"/>
        <w:tabs>
          <w:tab w:val="left" w:pos="1440"/>
        </w:tabs>
        <w:ind w:firstLine="720"/>
        <w:rPr>
          <w:rStyle w:val="LineNumber"/>
        </w:rPr>
      </w:pPr>
      <w:r w:rsidRPr="002B129F">
        <w:rPr>
          <w:rStyle w:val="LineNumber"/>
        </w:rPr>
        <w:t>A.</w:t>
      </w:r>
      <w:r w:rsidRPr="002B129F">
        <w:rPr>
          <w:rStyle w:val="LineNumber"/>
        </w:rPr>
        <w:tab/>
      </w:r>
      <w:r w:rsidR="00C6470E">
        <w:rPr>
          <w:rStyle w:val="LineNumber"/>
        </w:rPr>
        <w:t xml:space="preserve">Under the </w:t>
      </w:r>
      <w:r w:rsidR="004D27D4">
        <w:rPr>
          <w:rStyle w:val="LineNumber"/>
        </w:rPr>
        <w:t>system load factor peak credit methodology</w:t>
      </w:r>
      <w:r w:rsidR="00C6470E">
        <w:rPr>
          <w:rStyle w:val="LineNumber"/>
        </w:rPr>
        <w:t>,</w:t>
      </w:r>
      <w:r w:rsidR="00F342ED">
        <w:rPr>
          <w:rStyle w:val="LineNumber"/>
        </w:rPr>
        <w:t xml:space="preserve"> </w:t>
      </w:r>
      <w:r w:rsidR="00524A02" w:rsidRPr="00CD79D0">
        <w:rPr>
          <w:rStyle w:val="LineNumber"/>
        </w:rPr>
        <w:t>3</w:t>
      </w:r>
      <w:r w:rsidR="00CD79D0" w:rsidRPr="00CD79D0">
        <w:rPr>
          <w:rStyle w:val="LineNumber"/>
        </w:rPr>
        <w:t>7</w:t>
      </w:r>
      <w:r w:rsidR="00F342ED" w:rsidRPr="00CD79D0">
        <w:rPr>
          <w:rStyle w:val="LineNumber"/>
        </w:rPr>
        <w:t>.</w:t>
      </w:r>
      <w:r w:rsidR="00041E02">
        <w:rPr>
          <w:rStyle w:val="LineNumber"/>
        </w:rPr>
        <w:t>65</w:t>
      </w:r>
      <w:r w:rsidR="00F342ED">
        <w:rPr>
          <w:rStyle w:val="LineNumber"/>
        </w:rPr>
        <w:t xml:space="preserve">% </w:t>
      </w:r>
      <w:r w:rsidR="00C6470E">
        <w:rPr>
          <w:rStyle w:val="LineNumber"/>
        </w:rPr>
        <w:t>of total production and transmission costs are classified as demand-related</w:t>
      </w:r>
      <w:r w:rsidR="004D27D4">
        <w:rPr>
          <w:rStyle w:val="LineNumber"/>
        </w:rPr>
        <w:t xml:space="preserve">, and </w:t>
      </w:r>
      <w:r w:rsidR="004D27D4" w:rsidRPr="00CD79D0">
        <w:rPr>
          <w:rStyle w:val="LineNumber"/>
        </w:rPr>
        <w:t>6</w:t>
      </w:r>
      <w:r w:rsidR="00CD79D0" w:rsidRPr="00CD79D0">
        <w:rPr>
          <w:rStyle w:val="LineNumber"/>
        </w:rPr>
        <w:t>2</w:t>
      </w:r>
      <w:r w:rsidR="004D27D4" w:rsidRPr="00CD79D0">
        <w:rPr>
          <w:rStyle w:val="LineNumber"/>
        </w:rPr>
        <w:t>.</w:t>
      </w:r>
      <w:r w:rsidR="00041E02">
        <w:rPr>
          <w:rStyle w:val="LineNumber"/>
        </w:rPr>
        <w:t>35</w:t>
      </w:r>
      <w:r w:rsidR="004D27D4">
        <w:rPr>
          <w:rStyle w:val="LineNumber"/>
        </w:rPr>
        <w:t>% are classified as energy-related.</w:t>
      </w:r>
      <w:r w:rsidR="00F342ED">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012E33" w:rsidRDefault="0045522A" w:rsidP="000737D7">
      <w:pPr>
        <w:pStyle w:val="BodyText2"/>
        <w:tabs>
          <w:tab w:val="left" w:pos="1440"/>
        </w:tabs>
        <w:ind w:firstLine="720"/>
        <w:rPr>
          <w:rStyle w:val="LineNumber"/>
        </w:rPr>
      </w:pPr>
      <w:r w:rsidRPr="00BA18B1">
        <w:rPr>
          <w:rStyle w:val="LineNumber"/>
        </w:rPr>
        <w:t>A.</w:t>
      </w:r>
      <w:r w:rsidRPr="00BA18B1">
        <w:rPr>
          <w:rStyle w:val="LineNumber"/>
        </w:rPr>
        <w:tab/>
      </w:r>
      <w:r w:rsidR="00EB5CEE">
        <w:rPr>
          <w:rStyle w:val="LineNumber"/>
        </w:rPr>
        <w:t>Table No. 2</w:t>
      </w:r>
      <w:r w:rsidRPr="00BA18B1">
        <w:rPr>
          <w:rStyle w:val="LineNumber"/>
        </w:rPr>
        <w:t xml:space="preserv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p>
    <w:p w:rsidR="00012E33" w:rsidRDefault="00012E33">
      <w:pPr>
        <w:autoSpaceDE/>
        <w:autoSpaceDN/>
        <w:rPr>
          <w:rStyle w:val="LineNumber"/>
        </w:rPr>
      </w:pPr>
      <w:r>
        <w:rPr>
          <w:rStyle w:val="LineNumber"/>
        </w:rPr>
        <w:br w:type="page"/>
      </w:r>
    </w:p>
    <w:p w:rsidR="0045522A" w:rsidRDefault="0045522A" w:rsidP="00B1462B">
      <w:pPr>
        <w:pStyle w:val="Caption"/>
        <w:keepNext/>
        <w:spacing w:before="0"/>
        <w:rPr>
          <w:sz w:val="24"/>
          <w:szCs w:val="24"/>
          <w:u w:val="single"/>
        </w:rPr>
      </w:pPr>
      <w:r w:rsidRPr="00F50778">
        <w:rPr>
          <w:sz w:val="24"/>
          <w:szCs w:val="24"/>
          <w:u w:val="single"/>
        </w:rPr>
        <w:lastRenderedPageBreak/>
        <w:t>Table</w:t>
      </w:r>
      <w:r w:rsidR="004E6B01" w:rsidRPr="00F50778">
        <w:rPr>
          <w:sz w:val="24"/>
          <w:szCs w:val="24"/>
          <w:u w:val="single"/>
        </w:rPr>
        <w:t xml:space="preserve"> No.</w:t>
      </w:r>
      <w:r w:rsidR="00F50778" w:rsidRPr="00F50778">
        <w:rPr>
          <w:sz w:val="24"/>
          <w:szCs w:val="24"/>
          <w:u w:val="single"/>
        </w:rPr>
        <w:t xml:space="preserve"> 2</w:t>
      </w:r>
    </w:p>
    <w:p w:rsidR="00B1462B" w:rsidRPr="00B1462B" w:rsidRDefault="004145FC" w:rsidP="00B1462B">
      <w:pPr>
        <w:pStyle w:val="BodyText2"/>
        <w:tabs>
          <w:tab w:val="left" w:pos="1440"/>
        </w:tabs>
        <w:ind w:firstLine="720"/>
        <w:rPr>
          <w:rStyle w:val="LineNumber"/>
        </w:rPr>
      </w:pPr>
      <w:r>
        <w:rPr>
          <w:rStyle w:val="LineNumber"/>
        </w:rPr>
        <w:object w:dxaOrig="1440" w:dyaOrig="1440">
          <v:shape id="_x0000_s1026" type="#_x0000_t75" style="position:absolute;left:0;text-align:left;margin-left:12.5pt;margin-top:6.2pt;width:439.1pt;height:180.25pt;z-index:251660288;mso-position-horizontal-relative:text;mso-position-vertical-relative:text">
            <v:imagedata r:id="rId14" o:title=""/>
          </v:shape>
          <o:OLEObject Type="Embed" ProgID="Word.Document.12" ShapeID="_x0000_s1026" DrawAspect="Content" ObjectID="_1556522760" r:id="rId15">
            <o:FieldCodes>\s</o:FieldCodes>
          </o:OLEObject>
        </w:object>
      </w:r>
    </w:p>
    <w:p w:rsidR="00B1462B" w:rsidRPr="00B1462B" w:rsidRDefault="00B1462B" w:rsidP="00B1462B">
      <w:pPr>
        <w:pStyle w:val="BodyText2"/>
        <w:tabs>
          <w:tab w:val="left" w:pos="1440"/>
        </w:tabs>
        <w:ind w:firstLine="720"/>
        <w:rPr>
          <w:rStyle w:val="LineNumber"/>
        </w:rPr>
      </w:pPr>
    </w:p>
    <w:p w:rsidR="00B1462B" w:rsidRP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EB5CEE" w:rsidRDefault="00EB5CEE" w:rsidP="00B1462B">
      <w:pPr>
        <w:pStyle w:val="BodyText2"/>
        <w:tabs>
          <w:tab w:val="left" w:pos="1440"/>
        </w:tabs>
        <w:ind w:firstLine="720"/>
        <w:rPr>
          <w:rStyle w:val="LineNumber"/>
          <w:highlight w:val="yellow"/>
        </w:rPr>
      </w:pPr>
    </w:p>
    <w:p w:rsidR="00126F50" w:rsidRDefault="0045522A" w:rsidP="00B1462B">
      <w:pPr>
        <w:pStyle w:val="BodyText2"/>
        <w:tabs>
          <w:tab w:val="left" w:pos="1440"/>
        </w:tabs>
        <w:ind w:firstLine="720"/>
        <w:rPr>
          <w:rStyle w:val="LineNumber"/>
        </w:rPr>
      </w:pPr>
      <w:r w:rsidRPr="00694E96">
        <w:rPr>
          <w:rStyle w:val="LineNumber"/>
        </w:rPr>
        <w:t xml:space="preserve">As can be observed from the above table, </w:t>
      </w:r>
      <w:r w:rsidR="005022AD">
        <w:rPr>
          <w:rStyle w:val="LineNumber"/>
        </w:rPr>
        <w:t>R</w:t>
      </w:r>
      <w:r w:rsidR="005E1E36" w:rsidRPr="00694E96">
        <w:rPr>
          <w:rStyle w:val="LineNumber"/>
        </w:rPr>
        <w:t xml:space="preserve">esidential </w:t>
      </w:r>
      <w:r w:rsidR="004639E6" w:rsidRPr="00694E96">
        <w:rPr>
          <w:rStyle w:val="LineNumber"/>
        </w:rPr>
        <w:t xml:space="preserve">service </w:t>
      </w:r>
      <w:r w:rsidR="00B34F1A" w:rsidRPr="00694E96">
        <w:rPr>
          <w:rStyle w:val="LineNumber"/>
        </w:rPr>
        <w:t>S</w:t>
      </w:r>
      <w:r w:rsidR="004639E6" w:rsidRPr="00694E96">
        <w:rPr>
          <w:rStyle w:val="LineNumber"/>
        </w:rPr>
        <w:t>chedule</w:t>
      </w:r>
      <w:r w:rsidR="005E1E36">
        <w:rPr>
          <w:rStyle w:val="LineNumber"/>
        </w:rPr>
        <w:t>s</w:t>
      </w:r>
      <w:r w:rsidR="004639E6" w:rsidRPr="00694E96">
        <w:rPr>
          <w:rStyle w:val="LineNumber"/>
        </w:rPr>
        <w:t xml:space="preserve"> 1</w:t>
      </w:r>
      <w:r w:rsidR="00331139">
        <w:rPr>
          <w:rStyle w:val="LineNumber"/>
        </w:rPr>
        <w:t>/2</w:t>
      </w:r>
      <w:r w:rsidR="004639E6" w:rsidRPr="00694E96">
        <w:rPr>
          <w:rStyle w:val="LineNumber"/>
        </w:rPr>
        <w:t xml:space="preserve"> </w:t>
      </w:r>
      <w:r w:rsidRPr="00694E96">
        <w:rPr>
          <w:rStyle w:val="LineNumber"/>
        </w:rPr>
        <w:t>show</w:t>
      </w:r>
      <w:r w:rsidR="004639E6" w:rsidRPr="00694E96">
        <w:rPr>
          <w:rStyle w:val="LineNumber"/>
        </w:rPr>
        <w:t>s</w:t>
      </w:r>
      <w:r w:rsidRPr="00694E96">
        <w:rPr>
          <w:rStyle w:val="LineNumber"/>
        </w:rPr>
        <w:t xml:space="preserve"> under-recov</w:t>
      </w:r>
      <w:r w:rsidR="00F66637" w:rsidRPr="00694E96">
        <w:rPr>
          <w:rStyle w:val="LineNumber"/>
        </w:rPr>
        <w:t>ery of the costs to serve them</w:t>
      </w:r>
      <w:r w:rsidR="004639E6" w:rsidRPr="00694E96">
        <w:rPr>
          <w:rStyle w:val="LineNumber"/>
        </w:rPr>
        <w:t xml:space="preserve">.  </w:t>
      </w:r>
      <w:r w:rsidR="00DB1822" w:rsidRPr="00694E96">
        <w:rPr>
          <w:rStyle w:val="LineNumber"/>
        </w:rPr>
        <w:t>P</w:t>
      </w:r>
      <w:r w:rsidR="00F66637" w:rsidRPr="00694E96">
        <w:rPr>
          <w:rStyle w:val="LineNumber"/>
        </w:rPr>
        <w:t xml:space="preserve">umping service </w:t>
      </w:r>
      <w:r w:rsidR="005E1E36">
        <w:rPr>
          <w:rStyle w:val="LineNumber"/>
        </w:rPr>
        <w:t>S</w:t>
      </w:r>
      <w:r w:rsidR="005E1E36" w:rsidRPr="00694E96">
        <w:rPr>
          <w:rStyle w:val="LineNumber"/>
        </w:rPr>
        <w:t>chedule</w:t>
      </w:r>
      <w:r w:rsidR="005E1E36">
        <w:rPr>
          <w:rStyle w:val="LineNumber"/>
        </w:rPr>
        <w:t>s</w:t>
      </w:r>
      <w:r w:rsidR="005E1E36" w:rsidRPr="00694E96">
        <w:rPr>
          <w:rStyle w:val="LineNumber"/>
        </w:rPr>
        <w:t xml:space="preserve"> </w:t>
      </w:r>
      <w:r w:rsidR="002961F1" w:rsidRPr="00694E96">
        <w:rPr>
          <w:rStyle w:val="LineNumber"/>
        </w:rPr>
        <w:t>31</w:t>
      </w:r>
      <w:r w:rsidR="00D957C1" w:rsidRPr="00694E96">
        <w:rPr>
          <w:rStyle w:val="LineNumber"/>
        </w:rPr>
        <w:t>/32</w:t>
      </w:r>
      <w:r w:rsidR="004639E6" w:rsidRPr="00694E96">
        <w:rPr>
          <w:rStyle w:val="LineNumber"/>
        </w:rPr>
        <w:t xml:space="preserve"> and the </w:t>
      </w:r>
      <w:r w:rsidR="005E1E36">
        <w:rPr>
          <w:rStyle w:val="LineNumber"/>
        </w:rPr>
        <w:t>Street and Area Lighting</w:t>
      </w:r>
      <w:r w:rsidR="005E1E36" w:rsidRPr="00694E96">
        <w:rPr>
          <w:rStyle w:val="LineNumber"/>
        </w:rPr>
        <w:t xml:space="preserve"> </w:t>
      </w:r>
      <w:r w:rsidR="004639E6" w:rsidRPr="00694E96">
        <w:rPr>
          <w:rStyle w:val="LineNumber"/>
        </w:rPr>
        <w:t xml:space="preserve">service </w:t>
      </w:r>
      <w:r w:rsidR="005E1E36">
        <w:rPr>
          <w:rStyle w:val="LineNumber"/>
        </w:rPr>
        <w:t>S</w:t>
      </w:r>
      <w:r w:rsidR="005E1E36" w:rsidRPr="00694E96">
        <w:rPr>
          <w:rStyle w:val="LineNumber"/>
        </w:rPr>
        <w:t xml:space="preserve">chedules </w:t>
      </w:r>
      <w:r w:rsidR="004639E6" w:rsidRPr="00694E96">
        <w:rPr>
          <w:rStyle w:val="LineNumber"/>
        </w:rPr>
        <w:t>41-4</w:t>
      </w:r>
      <w:r w:rsidR="002E5659">
        <w:rPr>
          <w:rStyle w:val="LineNumber"/>
        </w:rPr>
        <w:t>8</w:t>
      </w:r>
      <w:r w:rsidR="002961F1" w:rsidRPr="00694E96">
        <w:rPr>
          <w:rStyle w:val="LineNumber"/>
        </w:rPr>
        <w:t xml:space="preserve"> </w:t>
      </w:r>
      <w:r w:rsidR="00F66637" w:rsidRPr="00694E96">
        <w:rPr>
          <w:rStyle w:val="LineNumber"/>
        </w:rPr>
        <w:t>show moderate under-recovery</w:t>
      </w:r>
      <w:r w:rsidR="00302DBC" w:rsidRPr="00694E96">
        <w:rPr>
          <w:rStyle w:val="LineNumber"/>
        </w:rPr>
        <w:t xml:space="preserve">. </w:t>
      </w:r>
      <w:r w:rsidR="002961F1" w:rsidRPr="00694E96">
        <w:rPr>
          <w:rStyle w:val="LineNumber"/>
        </w:rPr>
        <w:t xml:space="preserve"> </w:t>
      </w:r>
      <w:r w:rsidR="00694E96" w:rsidRPr="00694E96">
        <w:rPr>
          <w:rStyle w:val="LineNumber"/>
        </w:rPr>
        <w:t>The Extra Large General service Schedule 25 is</w:t>
      </w:r>
      <w:r w:rsidR="00694E96">
        <w:rPr>
          <w:rStyle w:val="LineNumber"/>
        </w:rPr>
        <w:t xml:space="preserve"> essentially at unity with the overall return </w:t>
      </w:r>
      <w:r w:rsidR="00432970">
        <w:rPr>
          <w:rStyle w:val="LineNumber"/>
        </w:rPr>
        <w:t>from</w:t>
      </w:r>
      <w:r w:rsidR="00694E96">
        <w:rPr>
          <w:rStyle w:val="LineNumber"/>
        </w:rPr>
        <w:t xml:space="preserve"> present rates.</w:t>
      </w:r>
      <w:r w:rsidR="00694E96" w:rsidRPr="00694E96">
        <w:rPr>
          <w:rStyle w:val="LineNumber"/>
        </w:rPr>
        <w:t xml:space="preserve"> </w:t>
      </w:r>
      <w:r w:rsidR="00694E96">
        <w:rPr>
          <w:rStyle w:val="LineNumber"/>
        </w:rPr>
        <w:t xml:space="preserve"> </w:t>
      </w:r>
      <w:r w:rsidR="00302DBC" w:rsidRPr="00694E96">
        <w:rPr>
          <w:rStyle w:val="LineNumber"/>
        </w:rPr>
        <w:t>However,</w:t>
      </w:r>
      <w:r w:rsidRPr="00694E96">
        <w:rPr>
          <w:rStyle w:val="LineNumber"/>
        </w:rPr>
        <w:t xml:space="preserve"> the </w:t>
      </w:r>
      <w:r w:rsidR="00DB1822" w:rsidRPr="00694E96">
        <w:rPr>
          <w:rStyle w:val="LineNumber"/>
        </w:rPr>
        <w:t>G</w:t>
      </w:r>
      <w:r w:rsidRPr="00694E96">
        <w:rPr>
          <w:rStyle w:val="LineNumber"/>
        </w:rPr>
        <w:t>eneral</w:t>
      </w:r>
      <w:r w:rsidR="00302DBC" w:rsidRPr="00694E96">
        <w:rPr>
          <w:rStyle w:val="LineNumber"/>
        </w:rPr>
        <w:t xml:space="preserve"> and</w:t>
      </w:r>
      <w:r w:rsidRPr="00694E96">
        <w:rPr>
          <w:rStyle w:val="LineNumber"/>
        </w:rPr>
        <w:t xml:space="preserve"> </w:t>
      </w:r>
      <w:r w:rsidR="00DB1822" w:rsidRPr="00694E96">
        <w:rPr>
          <w:rStyle w:val="LineNumber"/>
        </w:rPr>
        <w:t>L</w:t>
      </w:r>
      <w:r w:rsidRPr="00694E96">
        <w:rPr>
          <w:rStyle w:val="LineNumber"/>
        </w:rPr>
        <w:t xml:space="preserve">arge </w:t>
      </w:r>
      <w:r w:rsidR="00DB1822" w:rsidRPr="00694E96">
        <w:rPr>
          <w:rStyle w:val="LineNumber"/>
        </w:rPr>
        <w:t>G</w:t>
      </w:r>
      <w:r w:rsidRPr="00694E96">
        <w:rPr>
          <w:rStyle w:val="LineNumber"/>
        </w:rPr>
        <w:t xml:space="preserve">eneral </w:t>
      </w:r>
      <w:r w:rsidR="00302DBC" w:rsidRPr="00694E96">
        <w:rPr>
          <w:rStyle w:val="LineNumber"/>
        </w:rPr>
        <w:t xml:space="preserve">service </w:t>
      </w:r>
      <w:r w:rsidR="005022AD">
        <w:rPr>
          <w:rStyle w:val="LineNumber"/>
        </w:rPr>
        <w:t>S</w:t>
      </w:r>
      <w:r w:rsidR="005022AD" w:rsidRPr="00694E96">
        <w:rPr>
          <w:rStyle w:val="LineNumber"/>
        </w:rPr>
        <w:t xml:space="preserve">chedules </w:t>
      </w:r>
      <w:r w:rsidR="00F66637" w:rsidRPr="00694E96">
        <w:rPr>
          <w:rStyle w:val="LineNumber"/>
        </w:rPr>
        <w:t>11</w:t>
      </w:r>
      <w:r w:rsidR="00D957C1" w:rsidRPr="00694E96">
        <w:rPr>
          <w:rStyle w:val="LineNumber"/>
        </w:rPr>
        <w:t>/12</w:t>
      </w:r>
      <w:r w:rsidR="00302DBC" w:rsidRPr="00694E96">
        <w:rPr>
          <w:rStyle w:val="LineNumber"/>
        </w:rPr>
        <w:t xml:space="preserve"> and</w:t>
      </w:r>
      <w:r w:rsidR="00F66637" w:rsidRPr="00694E96">
        <w:rPr>
          <w:rStyle w:val="LineNumber"/>
        </w:rPr>
        <w:t xml:space="preserve"> </w:t>
      </w:r>
      <w:r w:rsidRPr="00694E96">
        <w:rPr>
          <w:rStyle w:val="LineNumber"/>
        </w:rPr>
        <w:t>21</w:t>
      </w:r>
      <w:r w:rsidR="00D957C1" w:rsidRPr="00694E96">
        <w:rPr>
          <w:rStyle w:val="LineNumber"/>
        </w:rPr>
        <w:t>/22</w:t>
      </w:r>
      <w:r w:rsidR="005022AD">
        <w:rPr>
          <w:rStyle w:val="LineNumber"/>
        </w:rPr>
        <w:t>, respectively,</w:t>
      </w:r>
      <w:r w:rsidRPr="00694E96">
        <w:rPr>
          <w:rStyle w:val="LineNumber"/>
        </w:rPr>
        <w:t xml:space="preserve"> show over-recovery of the costs to serve</w:t>
      </w:r>
      <w:r w:rsidR="00294885" w:rsidRPr="00694E96">
        <w:rPr>
          <w:rStyle w:val="LineNumber"/>
        </w:rPr>
        <w:t xml:space="preserve"> them</w:t>
      </w:r>
      <w:r w:rsidRPr="00694E96">
        <w:rPr>
          <w:rStyle w:val="LineNumber"/>
        </w:rPr>
        <w:t>.</w:t>
      </w:r>
      <w:r w:rsidR="00F342ED" w:rsidRPr="00694E96">
        <w:rPr>
          <w:rStyle w:val="LineNumber"/>
        </w:rPr>
        <w:t xml:space="preserve"> </w:t>
      </w:r>
      <w:r w:rsidRPr="00694E96">
        <w:rPr>
          <w:rStyle w:val="LineNumber"/>
        </w:rPr>
        <w:t xml:space="preserve"> </w:t>
      </w:r>
      <w:r w:rsidR="009D5685" w:rsidRPr="00694E96">
        <w:rPr>
          <w:rStyle w:val="LineNumber"/>
        </w:rPr>
        <w:t xml:space="preserve">The summary results of this study were provided to Mr. </w:t>
      </w:r>
      <w:r w:rsidR="00CB130C" w:rsidRPr="00694E96">
        <w:rPr>
          <w:rStyle w:val="LineNumber"/>
        </w:rPr>
        <w:t>Ehrbar</w:t>
      </w:r>
      <w:r w:rsidR="009D5685" w:rsidRPr="00694E96">
        <w:rPr>
          <w:rStyle w:val="LineNumber"/>
        </w:rPr>
        <w:t xml:space="preserve"> </w:t>
      </w:r>
      <w:r w:rsidR="00877BFE" w:rsidRPr="00694E96">
        <w:rPr>
          <w:rStyle w:val="LineNumber"/>
        </w:rPr>
        <w:t>for consideration in the</w:t>
      </w:r>
      <w:r w:rsidR="009D5685" w:rsidRPr="00694E96">
        <w:rPr>
          <w:rStyle w:val="LineNumber"/>
        </w:rPr>
        <w:t xml:space="preserve"> development of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 xml:space="preserve">A.  </w:t>
      </w:r>
      <w:r w:rsidR="00525078">
        <w:rPr>
          <w:rStyle w:val="LineNumber"/>
        </w:rPr>
        <w:tab/>
      </w:r>
      <w:r w:rsidRPr="00BA18B1">
        <w:rPr>
          <w:rStyle w:val="LineNumber"/>
        </w:rPr>
        <w:t>Yes.</w:t>
      </w:r>
    </w:p>
    <w:sectPr w:rsidR="0045522A" w:rsidRPr="00BA18B1" w:rsidSect="007F07F1">
      <w:pgSz w:w="12240" w:h="15840" w:code="1"/>
      <w:pgMar w:top="1440" w:right="1440" w:bottom="1620" w:left="1872" w:header="720" w:footer="72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7B" w:rsidRDefault="005F5D7B">
      <w:r>
        <w:separator/>
      </w:r>
    </w:p>
  </w:endnote>
  <w:endnote w:type="continuationSeparator" w:id="0">
    <w:p w:rsidR="005F5D7B" w:rsidRDefault="005F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Pr="00494B5B" w:rsidRDefault="005F5D7B" w:rsidP="00CF4DCE">
    <w:pPr>
      <w:pStyle w:val="Footer"/>
      <w:tabs>
        <w:tab w:val="clear" w:pos="4320"/>
        <w:tab w:val="clear" w:pos="8640"/>
        <w:tab w:val="left" w:pos="180"/>
        <w:tab w:val="right" w:pos="9360"/>
      </w:tabs>
    </w:pPr>
    <w:r w:rsidRPr="00494B5B">
      <w:t>Direct Testimony of Tara L. Knox</w:t>
    </w:r>
  </w:p>
  <w:p w:rsidR="005F5D7B" w:rsidRPr="00494B5B" w:rsidRDefault="005F5D7B" w:rsidP="004E6B01">
    <w:pPr>
      <w:pStyle w:val="Footer"/>
      <w:tabs>
        <w:tab w:val="clear" w:pos="4320"/>
        <w:tab w:val="clear" w:pos="8640"/>
        <w:tab w:val="left" w:pos="180"/>
        <w:tab w:val="right" w:pos="8910"/>
      </w:tabs>
      <w:rPr>
        <w:rStyle w:val="PageNumber"/>
        <w:lang w:val="fr-FR"/>
      </w:rPr>
    </w:pPr>
    <w:r w:rsidRPr="00494B5B">
      <w:rPr>
        <w:lang w:val="fr-FR"/>
      </w:rPr>
      <w:t>Avista Corporation</w:t>
    </w:r>
  </w:p>
  <w:p w:rsidR="005F5D7B" w:rsidRPr="00494B5B" w:rsidRDefault="005F5D7B" w:rsidP="00052930">
    <w:pPr>
      <w:pStyle w:val="Footer"/>
      <w:tabs>
        <w:tab w:val="clear" w:pos="4320"/>
        <w:tab w:val="clear" w:pos="8640"/>
        <w:tab w:val="left" w:pos="180"/>
        <w:tab w:val="right" w:pos="8910"/>
      </w:tabs>
      <w:rPr>
        <w:lang w:val="fr-FR"/>
      </w:rPr>
    </w:pPr>
    <w:r w:rsidRPr="00494B5B">
      <w:rPr>
        <w:lang w:val="fr-FR"/>
      </w:rPr>
      <w:t xml:space="preserve">Docket No. </w:t>
    </w:r>
    <w:r w:rsidRPr="00494B5B">
      <w:t>UE-1</w:t>
    </w:r>
    <w:r w:rsidR="009A190C">
      <w:t>7</w:t>
    </w:r>
    <w:r w:rsidRPr="00494B5B">
      <w:t xml:space="preserve">_____ </w:t>
    </w:r>
    <w:r>
      <w:tab/>
    </w:r>
    <w:r w:rsidRPr="00494B5B">
      <w:rPr>
        <w:lang w:val="fr-FR"/>
      </w:rPr>
      <w:t xml:space="preserve">Page </w:t>
    </w:r>
    <w:r w:rsidR="00803A1D" w:rsidRPr="00494B5B">
      <w:rPr>
        <w:rStyle w:val="PageNumber"/>
      </w:rPr>
      <w:fldChar w:fldCharType="begin"/>
    </w:r>
    <w:r w:rsidRPr="00494B5B">
      <w:rPr>
        <w:rStyle w:val="PageNumber"/>
        <w:lang w:val="fr-FR"/>
      </w:rPr>
      <w:instrText xml:space="preserve"> PAGE </w:instrText>
    </w:r>
    <w:r w:rsidR="00803A1D" w:rsidRPr="00494B5B">
      <w:rPr>
        <w:rStyle w:val="PageNumber"/>
      </w:rPr>
      <w:fldChar w:fldCharType="separate"/>
    </w:r>
    <w:r w:rsidR="004145FC">
      <w:rPr>
        <w:rStyle w:val="PageNumber"/>
        <w:noProof/>
        <w:lang w:val="fr-FR"/>
      </w:rPr>
      <w:t>9</w:t>
    </w:r>
    <w:r w:rsidR="00803A1D" w:rsidRPr="00494B5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Default="005F5D7B">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7B" w:rsidRDefault="005F5D7B">
      <w:r>
        <w:separator/>
      </w:r>
    </w:p>
  </w:footnote>
  <w:footnote w:type="continuationSeparator" w:id="0">
    <w:p w:rsidR="005F5D7B" w:rsidRDefault="005F5D7B">
      <w:r>
        <w:continuationSeparator/>
      </w:r>
    </w:p>
  </w:footnote>
  <w:footnote w:id="1">
    <w:p w:rsidR="002C0DFA" w:rsidRDefault="002C0DFA" w:rsidP="00E312D7">
      <w:pPr>
        <w:pStyle w:val="FootnoteText"/>
        <w:jc w:val="both"/>
      </w:pPr>
      <w:r>
        <w:rPr>
          <w:rStyle w:val="FootnoteReference"/>
        </w:rPr>
        <w:footnoteRef/>
      </w:r>
      <w:r>
        <w:t xml:space="preserve"> Ms. Andrews discusses four studies: 1) Pro Forma Study; 2) </w:t>
      </w:r>
      <w:r w:rsidR="005B3530">
        <w:t>Rate Year Study</w:t>
      </w:r>
      <w:r>
        <w:t xml:space="preserve">; 3) </w:t>
      </w:r>
      <w:r w:rsidR="005B3530">
        <w:t>EOP Rate Base Study</w:t>
      </w:r>
      <w:r w:rsidR="00345C1C">
        <w:t>;</w:t>
      </w:r>
      <w:r w:rsidR="005B3530">
        <w:t xml:space="preserve"> </w:t>
      </w:r>
      <w:r>
        <w:t>and 4)</w:t>
      </w:r>
      <w:r w:rsidR="005B3530" w:rsidRPr="005B3530">
        <w:t xml:space="preserve"> </w:t>
      </w:r>
      <w:r w:rsidR="005B3530">
        <w:t>K-Factor Study.</w:t>
      </w:r>
      <w:r>
        <w:t xml:space="preserve">  Restating and Pro Forma adjustments are consistent across the studies for which they are contained, with the exception of debt interest expense due to use of a </w:t>
      </w:r>
      <w:r w:rsidR="00B73AA3">
        <w:t xml:space="preserve">different </w:t>
      </w:r>
      <w:r>
        <w:t>capital structure used within the electric and natural gas EOP</w:t>
      </w:r>
      <w:r w:rsidR="005B3530">
        <w:t xml:space="preserve"> Rate Base</w:t>
      </w:r>
      <w:r>
        <w:t xml:space="preserve"> Studies.</w:t>
      </w:r>
    </w:p>
  </w:footnote>
  <w:footnote w:id="2">
    <w:p w:rsidR="005F5D7B" w:rsidRDefault="005F5D7B" w:rsidP="00D45779">
      <w:pPr>
        <w:pStyle w:val="FootnoteText"/>
        <w:jc w:val="both"/>
      </w:pPr>
      <w:r>
        <w:rPr>
          <w:rStyle w:val="FootnoteReference"/>
        </w:rPr>
        <w:footnoteRef/>
      </w:r>
      <w:r>
        <w:t xml:space="preserve">  </w:t>
      </w:r>
      <w:r w:rsidR="00BA05BA">
        <w:t xml:space="preserve"> </w:t>
      </w:r>
      <w:r>
        <w:t>The heating season includes the months of January through June and October through December.</w:t>
      </w:r>
    </w:p>
  </w:footnote>
  <w:footnote w:id="3">
    <w:p w:rsidR="005F5D7B" w:rsidRDefault="005F5D7B" w:rsidP="00D45779">
      <w:pPr>
        <w:pStyle w:val="FootnoteText"/>
        <w:jc w:val="both"/>
      </w:pPr>
      <w:r>
        <w:rPr>
          <w:rStyle w:val="FootnoteReference"/>
        </w:rPr>
        <w:footnoteRef/>
      </w:r>
      <w:r>
        <w:t xml:space="preserve">  The summer season includes the months of June through September.  June is included in both seasons because both heating load and cooling load fluctuations occur during the month.</w:t>
      </w:r>
    </w:p>
  </w:footnote>
  <w:footnote w:id="4">
    <w:p w:rsidR="005F5D7B" w:rsidRDefault="005F5D7B" w:rsidP="00D45779">
      <w:pPr>
        <w:pStyle w:val="FootnoteText"/>
        <w:jc w:val="both"/>
      </w:pPr>
      <w:r>
        <w:rPr>
          <w:rStyle w:val="FootnoteReference"/>
        </w:rPr>
        <w:footnoteRef/>
      </w:r>
      <w:r>
        <w:t xml:space="preserve"> The Decoupling Mechanism went into effect</w:t>
      </w:r>
      <w:r w:rsidR="000A1B14">
        <w:t xml:space="preserve"> January 1, 2015</w:t>
      </w:r>
      <w:r>
        <w:t>.</w:t>
      </w:r>
    </w:p>
  </w:footnote>
  <w:footnote w:id="5">
    <w:p w:rsidR="00542E0E" w:rsidRDefault="00542E0E" w:rsidP="00D2382F">
      <w:pPr>
        <w:pStyle w:val="FootnoteText"/>
        <w:jc w:val="both"/>
      </w:pPr>
      <w:r>
        <w:rPr>
          <w:rStyle w:val="FootnoteReference"/>
        </w:rPr>
        <w:footnoteRef/>
      </w:r>
      <w:r>
        <w:t xml:space="preserve"> The Pro Forma Normalized Revenue does not include any pro formed decoupling deferred revenue.  The decoupling base will be updated with the rates approved for this case based on the same usage and customers used to determine revenue from present rates</w:t>
      </w:r>
      <w:r w:rsidR="00746BF3">
        <w:t xml:space="preserve"> in this adjustment</w:t>
      </w:r>
      <w:r>
        <w:t xml:space="preserve">. </w:t>
      </w:r>
    </w:p>
  </w:footnote>
  <w:footnote w:id="6">
    <w:p w:rsidR="00E47C23" w:rsidRDefault="00E47C23">
      <w:pPr>
        <w:pStyle w:val="FootnoteText"/>
      </w:pPr>
      <w:r>
        <w:rPr>
          <w:rStyle w:val="FootnoteReference"/>
        </w:rPr>
        <w:footnoteRef/>
      </w:r>
      <w:r>
        <w:t xml:space="preserve">  Included as Rate Year Adjustments 18.06, 19.04, and 20.04, of Exh. EMA-5.</w:t>
      </w:r>
    </w:p>
  </w:footnote>
  <w:footnote w:id="7">
    <w:p w:rsidR="00CB4EFC" w:rsidRDefault="00CB4EFC" w:rsidP="00E47C23">
      <w:pPr>
        <w:pStyle w:val="FootnoteText"/>
        <w:jc w:val="both"/>
      </w:pPr>
      <w:r>
        <w:rPr>
          <w:rStyle w:val="FootnoteReference"/>
        </w:rPr>
        <w:footnoteRef/>
      </w:r>
      <w:r>
        <w:t xml:space="preserve"> </w:t>
      </w:r>
      <w:r w:rsidR="00A71BE0">
        <w:t>The rate period revenue estimation includes</w:t>
      </w:r>
      <w:r>
        <w:t xml:space="preserve"> a determination of estimated deferred revenue under the Decoupling Mechanism </w:t>
      </w:r>
      <w:r w:rsidR="00A71BE0">
        <w:t xml:space="preserve">given the decoupling base is revised with test year revenues </w:t>
      </w:r>
      <w:r w:rsidR="00710B50">
        <w:t>at</w:t>
      </w:r>
      <w:r w:rsidR="00A71BE0">
        <w:t xml:space="preserve"> present rates </w:t>
      </w:r>
      <w:r w:rsidR="00710B50">
        <w:t xml:space="preserve">from the </w:t>
      </w:r>
      <w:r w:rsidR="00A71BE0">
        <w:t>Pro Forma Revenue</w:t>
      </w:r>
      <w:r w:rsidR="00710B50">
        <w:t xml:space="preserve"> model</w:t>
      </w:r>
      <w:r w:rsidR="00A71BE0">
        <w:t>.  The cost of providing incremental load in each year of the three-year rate plan</w:t>
      </w:r>
      <w:r w:rsidR="00710B50">
        <w:t xml:space="preserve"> is determined using the Retail Revenue Adjustment rate embedded in the decoupling base at present rates.</w:t>
      </w:r>
    </w:p>
  </w:footnote>
  <w:footnote w:id="8">
    <w:p w:rsidR="005F5D7B" w:rsidRPr="00224D77" w:rsidRDefault="005F5D7B" w:rsidP="00F8402F">
      <w:pPr>
        <w:pStyle w:val="FootnoteText"/>
        <w:jc w:val="both"/>
      </w:pPr>
      <w:r w:rsidRPr="00224D77">
        <w:rPr>
          <w:rStyle w:val="FootnoteReference"/>
        </w:rPr>
        <w:footnoteRef/>
      </w:r>
      <w:r w:rsidRPr="00224D77">
        <w:t xml:space="preserve"> Basic customer theory classifies only meters, services and street lights as customer-related plant; all other distribution facilities are considered demand-related</w:t>
      </w:r>
      <w:r>
        <w:t>.</w:t>
      </w:r>
    </w:p>
  </w:footnote>
  <w:footnote w:id="9">
    <w:p w:rsidR="005F5D7B" w:rsidRDefault="005F5D7B" w:rsidP="004D27D4">
      <w:pPr>
        <w:pStyle w:val="FootnoteText"/>
        <w:jc w:val="both"/>
      </w:pPr>
      <w:r>
        <w:rPr>
          <w:rStyle w:val="FootnoteReference"/>
        </w:rPr>
        <w:footnoteRef/>
      </w:r>
      <w:r>
        <w:t xml:space="preserve"> One minus the load factor equals the demand percentage or peak credit ratio.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Pr="00494B5B" w:rsidRDefault="005F5D7B" w:rsidP="00052930">
    <w:pPr>
      <w:pStyle w:val="Header"/>
      <w:tabs>
        <w:tab w:val="clear" w:pos="8640"/>
        <w:tab w:val="right" w:pos="8910"/>
      </w:tabs>
      <w:jc w:val="right"/>
    </w:pPr>
    <w:r w:rsidRPr="00494B5B">
      <w:t>E</w:t>
    </w:r>
    <w:r w:rsidR="003E039E">
      <w:t>xh. TLK-1T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Pr="00494B5B" w:rsidRDefault="005F5D7B" w:rsidP="00052930">
    <w:pPr>
      <w:pStyle w:val="Header"/>
      <w:tabs>
        <w:tab w:val="clear" w:pos="8640"/>
        <w:tab w:val="right" w:pos="9000"/>
      </w:tabs>
      <w:jc w:val="right"/>
    </w:pPr>
    <w:r w:rsidRPr="00494B5B">
      <w:t>E</w:t>
    </w:r>
    <w:r w:rsidR="003E039E">
      <w:t>xh. TLK-1T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15:restartNumberingAfterBreak="0">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BC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10593"/>
  </w:hdrShapeDefaults>
  <w:footnotePr>
    <w:footnote w:id="-1"/>
    <w:footnote w:id="0"/>
  </w:footnotePr>
  <w:endnotePr>
    <w:endnote w:id="-1"/>
    <w:endnote w:id="0"/>
  </w:endnotePr>
  <w:compat>
    <w:compatSetting w:name="compatibilityMode" w:uri="http://schemas.microsoft.com/office/word" w:val="12"/>
  </w:compat>
  <w:rsids>
    <w:rsidRoot w:val="00A963D1"/>
    <w:rsid w:val="0000269E"/>
    <w:rsid w:val="00003608"/>
    <w:rsid w:val="00003D39"/>
    <w:rsid w:val="00004B79"/>
    <w:rsid w:val="00005260"/>
    <w:rsid w:val="000078A1"/>
    <w:rsid w:val="00007AC6"/>
    <w:rsid w:val="00012E33"/>
    <w:rsid w:val="00016C3C"/>
    <w:rsid w:val="00021F26"/>
    <w:rsid w:val="00025C20"/>
    <w:rsid w:val="00030378"/>
    <w:rsid w:val="00033FA8"/>
    <w:rsid w:val="000363D3"/>
    <w:rsid w:val="00041899"/>
    <w:rsid w:val="00041E02"/>
    <w:rsid w:val="0004459F"/>
    <w:rsid w:val="00046DF0"/>
    <w:rsid w:val="0005169B"/>
    <w:rsid w:val="00052930"/>
    <w:rsid w:val="00054D31"/>
    <w:rsid w:val="00054EB7"/>
    <w:rsid w:val="00054FEB"/>
    <w:rsid w:val="000552DD"/>
    <w:rsid w:val="00057770"/>
    <w:rsid w:val="000602B7"/>
    <w:rsid w:val="000606FE"/>
    <w:rsid w:val="00061EEC"/>
    <w:rsid w:val="00064D24"/>
    <w:rsid w:val="00065A7E"/>
    <w:rsid w:val="000664A2"/>
    <w:rsid w:val="00072049"/>
    <w:rsid w:val="000737D7"/>
    <w:rsid w:val="00074EFB"/>
    <w:rsid w:val="000751D5"/>
    <w:rsid w:val="000873D1"/>
    <w:rsid w:val="000A1B14"/>
    <w:rsid w:val="000A285D"/>
    <w:rsid w:val="000A28CF"/>
    <w:rsid w:val="000A2E1F"/>
    <w:rsid w:val="000A3F07"/>
    <w:rsid w:val="000B0DDA"/>
    <w:rsid w:val="000B12B7"/>
    <w:rsid w:val="000B4D33"/>
    <w:rsid w:val="000C0E1B"/>
    <w:rsid w:val="000C1BCD"/>
    <w:rsid w:val="000C5D20"/>
    <w:rsid w:val="000D1E78"/>
    <w:rsid w:val="000D5190"/>
    <w:rsid w:val="000D5D59"/>
    <w:rsid w:val="000E1B5B"/>
    <w:rsid w:val="000E47AF"/>
    <w:rsid w:val="000E4D4D"/>
    <w:rsid w:val="000E5ECE"/>
    <w:rsid w:val="000E6848"/>
    <w:rsid w:val="000F27F5"/>
    <w:rsid w:val="000F35C0"/>
    <w:rsid w:val="000F3FE6"/>
    <w:rsid w:val="000F54DB"/>
    <w:rsid w:val="001012CB"/>
    <w:rsid w:val="00101864"/>
    <w:rsid w:val="00101957"/>
    <w:rsid w:val="00107FCC"/>
    <w:rsid w:val="00112408"/>
    <w:rsid w:val="001141E4"/>
    <w:rsid w:val="0011588B"/>
    <w:rsid w:val="001203E0"/>
    <w:rsid w:val="00122940"/>
    <w:rsid w:val="001265AA"/>
    <w:rsid w:val="00126A7B"/>
    <w:rsid w:val="00126F50"/>
    <w:rsid w:val="0013314C"/>
    <w:rsid w:val="00136718"/>
    <w:rsid w:val="00140BF5"/>
    <w:rsid w:val="001446B7"/>
    <w:rsid w:val="0014724A"/>
    <w:rsid w:val="001528FE"/>
    <w:rsid w:val="0015446B"/>
    <w:rsid w:val="001626DA"/>
    <w:rsid w:val="00164039"/>
    <w:rsid w:val="00164821"/>
    <w:rsid w:val="00164E61"/>
    <w:rsid w:val="001654B1"/>
    <w:rsid w:val="001663F2"/>
    <w:rsid w:val="001665D9"/>
    <w:rsid w:val="00166A2E"/>
    <w:rsid w:val="00170EDF"/>
    <w:rsid w:val="00172216"/>
    <w:rsid w:val="001873DD"/>
    <w:rsid w:val="00187EE5"/>
    <w:rsid w:val="001907B0"/>
    <w:rsid w:val="00195823"/>
    <w:rsid w:val="00196246"/>
    <w:rsid w:val="00197E06"/>
    <w:rsid w:val="001A3318"/>
    <w:rsid w:val="001A45D4"/>
    <w:rsid w:val="001A6E39"/>
    <w:rsid w:val="001B099F"/>
    <w:rsid w:val="001B1AE3"/>
    <w:rsid w:val="001C6CE6"/>
    <w:rsid w:val="001D05FD"/>
    <w:rsid w:val="001D6787"/>
    <w:rsid w:val="001D7273"/>
    <w:rsid w:val="001E13BB"/>
    <w:rsid w:val="001F51F9"/>
    <w:rsid w:val="00201036"/>
    <w:rsid w:val="00203D96"/>
    <w:rsid w:val="00210EDE"/>
    <w:rsid w:val="00220383"/>
    <w:rsid w:val="00224D77"/>
    <w:rsid w:val="00230390"/>
    <w:rsid w:val="00230C94"/>
    <w:rsid w:val="0023153C"/>
    <w:rsid w:val="00231706"/>
    <w:rsid w:val="002348E1"/>
    <w:rsid w:val="002426F1"/>
    <w:rsid w:val="0024465B"/>
    <w:rsid w:val="002447E9"/>
    <w:rsid w:val="00245BAB"/>
    <w:rsid w:val="00246718"/>
    <w:rsid w:val="0024676D"/>
    <w:rsid w:val="0025132C"/>
    <w:rsid w:val="002516D7"/>
    <w:rsid w:val="002538D0"/>
    <w:rsid w:val="00253D0F"/>
    <w:rsid w:val="00256585"/>
    <w:rsid w:val="00256A5E"/>
    <w:rsid w:val="00263107"/>
    <w:rsid w:val="00263663"/>
    <w:rsid w:val="00267E9E"/>
    <w:rsid w:val="002722A4"/>
    <w:rsid w:val="00273DAA"/>
    <w:rsid w:val="00286DE0"/>
    <w:rsid w:val="00290265"/>
    <w:rsid w:val="002911FC"/>
    <w:rsid w:val="00291EBD"/>
    <w:rsid w:val="00292997"/>
    <w:rsid w:val="00294885"/>
    <w:rsid w:val="002961F1"/>
    <w:rsid w:val="002A1FDC"/>
    <w:rsid w:val="002A2237"/>
    <w:rsid w:val="002A689E"/>
    <w:rsid w:val="002B0EE9"/>
    <w:rsid w:val="002B129F"/>
    <w:rsid w:val="002B3F93"/>
    <w:rsid w:val="002C0DFA"/>
    <w:rsid w:val="002C2EBA"/>
    <w:rsid w:val="002D05D3"/>
    <w:rsid w:val="002D310E"/>
    <w:rsid w:val="002E22C9"/>
    <w:rsid w:val="002E4107"/>
    <w:rsid w:val="002E5659"/>
    <w:rsid w:val="002E5714"/>
    <w:rsid w:val="002E6A52"/>
    <w:rsid w:val="002E719E"/>
    <w:rsid w:val="002E76C8"/>
    <w:rsid w:val="002F18AE"/>
    <w:rsid w:val="002F31B8"/>
    <w:rsid w:val="002F4CAE"/>
    <w:rsid w:val="002F5594"/>
    <w:rsid w:val="002F7FD2"/>
    <w:rsid w:val="003016CC"/>
    <w:rsid w:val="00301C95"/>
    <w:rsid w:val="00302DBC"/>
    <w:rsid w:val="00303F20"/>
    <w:rsid w:val="00307B3A"/>
    <w:rsid w:val="00313777"/>
    <w:rsid w:val="0031529C"/>
    <w:rsid w:val="00320608"/>
    <w:rsid w:val="00321B27"/>
    <w:rsid w:val="00323C07"/>
    <w:rsid w:val="003256AE"/>
    <w:rsid w:val="00330168"/>
    <w:rsid w:val="00331139"/>
    <w:rsid w:val="00332DAD"/>
    <w:rsid w:val="003404F1"/>
    <w:rsid w:val="0034093F"/>
    <w:rsid w:val="00344EEC"/>
    <w:rsid w:val="00345A9F"/>
    <w:rsid w:val="00345C1C"/>
    <w:rsid w:val="00352530"/>
    <w:rsid w:val="00356F57"/>
    <w:rsid w:val="00357BA5"/>
    <w:rsid w:val="00363154"/>
    <w:rsid w:val="0036404D"/>
    <w:rsid w:val="00372320"/>
    <w:rsid w:val="0037503C"/>
    <w:rsid w:val="003844FD"/>
    <w:rsid w:val="0038461F"/>
    <w:rsid w:val="00386544"/>
    <w:rsid w:val="003918E4"/>
    <w:rsid w:val="003919AF"/>
    <w:rsid w:val="0039490D"/>
    <w:rsid w:val="003A1469"/>
    <w:rsid w:val="003A321C"/>
    <w:rsid w:val="003A52AC"/>
    <w:rsid w:val="003A745F"/>
    <w:rsid w:val="003A7584"/>
    <w:rsid w:val="003B21F9"/>
    <w:rsid w:val="003B2611"/>
    <w:rsid w:val="003B7BFA"/>
    <w:rsid w:val="003C29E6"/>
    <w:rsid w:val="003C4E9A"/>
    <w:rsid w:val="003D5969"/>
    <w:rsid w:val="003D5F0F"/>
    <w:rsid w:val="003E039E"/>
    <w:rsid w:val="003E1100"/>
    <w:rsid w:val="003E4765"/>
    <w:rsid w:val="003F704F"/>
    <w:rsid w:val="003F764A"/>
    <w:rsid w:val="004016FD"/>
    <w:rsid w:val="00402951"/>
    <w:rsid w:val="004145FC"/>
    <w:rsid w:val="00414626"/>
    <w:rsid w:val="00414802"/>
    <w:rsid w:val="004164A8"/>
    <w:rsid w:val="00420C74"/>
    <w:rsid w:val="00423A78"/>
    <w:rsid w:val="00424118"/>
    <w:rsid w:val="00431EF0"/>
    <w:rsid w:val="00432970"/>
    <w:rsid w:val="00432DD9"/>
    <w:rsid w:val="00434658"/>
    <w:rsid w:val="00443BBA"/>
    <w:rsid w:val="0045077A"/>
    <w:rsid w:val="00450839"/>
    <w:rsid w:val="00451CF7"/>
    <w:rsid w:val="00451F90"/>
    <w:rsid w:val="00454BF3"/>
    <w:rsid w:val="0045522A"/>
    <w:rsid w:val="004571AC"/>
    <w:rsid w:val="00462E38"/>
    <w:rsid w:val="004639E6"/>
    <w:rsid w:val="00465C83"/>
    <w:rsid w:val="0046612B"/>
    <w:rsid w:val="004665CA"/>
    <w:rsid w:val="00470449"/>
    <w:rsid w:val="00472279"/>
    <w:rsid w:val="00477A65"/>
    <w:rsid w:val="0048379B"/>
    <w:rsid w:val="004856E8"/>
    <w:rsid w:val="004858EF"/>
    <w:rsid w:val="004861B4"/>
    <w:rsid w:val="004922EC"/>
    <w:rsid w:val="00493337"/>
    <w:rsid w:val="00494B5B"/>
    <w:rsid w:val="004A715E"/>
    <w:rsid w:val="004A73B2"/>
    <w:rsid w:val="004A78C9"/>
    <w:rsid w:val="004B0924"/>
    <w:rsid w:val="004B1676"/>
    <w:rsid w:val="004B41C0"/>
    <w:rsid w:val="004B432F"/>
    <w:rsid w:val="004B468B"/>
    <w:rsid w:val="004B50FC"/>
    <w:rsid w:val="004B6A4F"/>
    <w:rsid w:val="004B78D3"/>
    <w:rsid w:val="004C5B40"/>
    <w:rsid w:val="004C7542"/>
    <w:rsid w:val="004D0D6F"/>
    <w:rsid w:val="004D27D4"/>
    <w:rsid w:val="004D4180"/>
    <w:rsid w:val="004D6200"/>
    <w:rsid w:val="004E2235"/>
    <w:rsid w:val="004E531C"/>
    <w:rsid w:val="004E6B01"/>
    <w:rsid w:val="004F291C"/>
    <w:rsid w:val="004F51D7"/>
    <w:rsid w:val="00500B60"/>
    <w:rsid w:val="005022AD"/>
    <w:rsid w:val="00503047"/>
    <w:rsid w:val="00504ED4"/>
    <w:rsid w:val="00505264"/>
    <w:rsid w:val="0050645E"/>
    <w:rsid w:val="00512BE7"/>
    <w:rsid w:val="005141C3"/>
    <w:rsid w:val="00515C2C"/>
    <w:rsid w:val="00515CAC"/>
    <w:rsid w:val="00517648"/>
    <w:rsid w:val="00524A02"/>
    <w:rsid w:val="00525078"/>
    <w:rsid w:val="00526DC1"/>
    <w:rsid w:val="00541A1B"/>
    <w:rsid w:val="00542E0E"/>
    <w:rsid w:val="005517CA"/>
    <w:rsid w:val="00551FB7"/>
    <w:rsid w:val="00554F12"/>
    <w:rsid w:val="00556F36"/>
    <w:rsid w:val="0055713C"/>
    <w:rsid w:val="00562E32"/>
    <w:rsid w:val="0056302E"/>
    <w:rsid w:val="005652DF"/>
    <w:rsid w:val="00571C64"/>
    <w:rsid w:val="00572461"/>
    <w:rsid w:val="00572BB5"/>
    <w:rsid w:val="00576D0D"/>
    <w:rsid w:val="00581E5D"/>
    <w:rsid w:val="0058253D"/>
    <w:rsid w:val="005831AC"/>
    <w:rsid w:val="005847E8"/>
    <w:rsid w:val="005876C0"/>
    <w:rsid w:val="00590442"/>
    <w:rsid w:val="00590DA3"/>
    <w:rsid w:val="00593118"/>
    <w:rsid w:val="00597CA7"/>
    <w:rsid w:val="005A61F0"/>
    <w:rsid w:val="005A6E1F"/>
    <w:rsid w:val="005B3530"/>
    <w:rsid w:val="005B40AF"/>
    <w:rsid w:val="005C02CE"/>
    <w:rsid w:val="005C2E22"/>
    <w:rsid w:val="005D082B"/>
    <w:rsid w:val="005D2670"/>
    <w:rsid w:val="005D3A7F"/>
    <w:rsid w:val="005E0782"/>
    <w:rsid w:val="005E19CE"/>
    <w:rsid w:val="005E1E36"/>
    <w:rsid w:val="005E5E58"/>
    <w:rsid w:val="005E6D92"/>
    <w:rsid w:val="005F180C"/>
    <w:rsid w:val="005F5D7B"/>
    <w:rsid w:val="005F713B"/>
    <w:rsid w:val="005F7777"/>
    <w:rsid w:val="006055D9"/>
    <w:rsid w:val="006065C0"/>
    <w:rsid w:val="006103B0"/>
    <w:rsid w:val="006106D9"/>
    <w:rsid w:val="006148F6"/>
    <w:rsid w:val="00614B6E"/>
    <w:rsid w:val="006157D1"/>
    <w:rsid w:val="00615CB1"/>
    <w:rsid w:val="00615DCD"/>
    <w:rsid w:val="006175A9"/>
    <w:rsid w:val="00620EF4"/>
    <w:rsid w:val="0062128E"/>
    <w:rsid w:val="0062424F"/>
    <w:rsid w:val="006271DC"/>
    <w:rsid w:val="00633DD2"/>
    <w:rsid w:val="00647D5F"/>
    <w:rsid w:val="00651012"/>
    <w:rsid w:val="006511B4"/>
    <w:rsid w:val="00651F07"/>
    <w:rsid w:val="006532C8"/>
    <w:rsid w:val="00655DFE"/>
    <w:rsid w:val="00663C9C"/>
    <w:rsid w:val="00665B5F"/>
    <w:rsid w:val="00667494"/>
    <w:rsid w:val="006711D6"/>
    <w:rsid w:val="00672D76"/>
    <w:rsid w:val="00675B7C"/>
    <w:rsid w:val="00676C71"/>
    <w:rsid w:val="006804B0"/>
    <w:rsid w:val="00685F40"/>
    <w:rsid w:val="00687F22"/>
    <w:rsid w:val="0069231A"/>
    <w:rsid w:val="006941D8"/>
    <w:rsid w:val="00694E96"/>
    <w:rsid w:val="00695E77"/>
    <w:rsid w:val="00697002"/>
    <w:rsid w:val="006A43E2"/>
    <w:rsid w:val="006B53CA"/>
    <w:rsid w:val="006C0634"/>
    <w:rsid w:val="006C1FC2"/>
    <w:rsid w:val="006C3764"/>
    <w:rsid w:val="006C43C5"/>
    <w:rsid w:val="006C4990"/>
    <w:rsid w:val="006C6F68"/>
    <w:rsid w:val="006D61A3"/>
    <w:rsid w:val="006E2668"/>
    <w:rsid w:val="006E3F52"/>
    <w:rsid w:val="006F462C"/>
    <w:rsid w:val="006F5F69"/>
    <w:rsid w:val="006F6F78"/>
    <w:rsid w:val="0070257A"/>
    <w:rsid w:val="00710B50"/>
    <w:rsid w:val="007115F4"/>
    <w:rsid w:val="0071415F"/>
    <w:rsid w:val="0071632E"/>
    <w:rsid w:val="00716D78"/>
    <w:rsid w:val="00721781"/>
    <w:rsid w:val="007221E0"/>
    <w:rsid w:val="00723442"/>
    <w:rsid w:val="00723576"/>
    <w:rsid w:val="00730054"/>
    <w:rsid w:val="007307D6"/>
    <w:rsid w:val="00732814"/>
    <w:rsid w:val="007336D9"/>
    <w:rsid w:val="00733C26"/>
    <w:rsid w:val="00734AA3"/>
    <w:rsid w:val="00736637"/>
    <w:rsid w:val="00744FF5"/>
    <w:rsid w:val="007467CD"/>
    <w:rsid w:val="00746BF3"/>
    <w:rsid w:val="00750257"/>
    <w:rsid w:val="007509D7"/>
    <w:rsid w:val="00750EA9"/>
    <w:rsid w:val="00751292"/>
    <w:rsid w:val="007576DF"/>
    <w:rsid w:val="00761476"/>
    <w:rsid w:val="007761F1"/>
    <w:rsid w:val="00777333"/>
    <w:rsid w:val="007826F1"/>
    <w:rsid w:val="007904A5"/>
    <w:rsid w:val="00790E2C"/>
    <w:rsid w:val="007941A2"/>
    <w:rsid w:val="007A5120"/>
    <w:rsid w:val="007A6AB5"/>
    <w:rsid w:val="007B02B3"/>
    <w:rsid w:val="007B072C"/>
    <w:rsid w:val="007B1338"/>
    <w:rsid w:val="007B4178"/>
    <w:rsid w:val="007B4971"/>
    <w:rsid w:val="007C05B4"/>
    <w:rsid w:val="007C1590"/>
    <w:rsid w:val="007C1657"/>
    <w:rsid w:val="007C3C6F"/>
    <w:rsid w:val="007D3A3D"/>
    <w:rsid w:val="007D6918"/>
    <w:rsid w:val="007E2589"/>
    <w:rsid w:val="007E28E2"/>
    <w:rsid w:val="007F07F1"/>
    <w:rsid w:val="007F3BED"/>
    <w:rsid w:val="007F53CC"/>
    <w:rsid w:val="007F57E8"/>
    <w:rsid w:val="007F5D7C"/>
    <w:rsid w:val="007F709D"/>
    <w:rsid w:val="008036C3"/>
    <w:rsid w:val="00803A1D"/>
    <w:rsid w:val="008107C4"/>
    <w:rsid w:val="00811147"/>
    <w:rsid w:val="00814E3D"/>
    <w:rsid w:val="00815443"/>
    <w:rsid w:val="00817553"/>
    <w:rsid w:val="00821238"/>
    <w:rsid w:val="00825FB0"/>
    <w:rsid w:val="0083037A"/>
    <w:rsid w:val="00830B25"/>
    <w:rsid w:val="00831648"/>
    <w:rsid w:val="008351A3"/>
    <w:rsid w:val="00840152"/>
    <w:rsid w:val="00841673"/>
    <w:rsid w:val="00844D65"/>
    <w:rsid w:val="0084730C"/>
    <w:rsid w:val="008512FC"/>
    <w:rsid w:val="00855C39"/>
    <w:rsid w:val="0085621F"/>
    <w:rsid w:val="008642E3"/>
    <w:rsid w:val="00865BC7"/>
    <w:rsid w:val="00875614"/>
    <w:rsid w:val="00877BFE"/>
    <w:rsid w:val="00877C20"/>
    <w:rsid w:val="0088097A"/>
    <w:rsid w:val="00882F4B"/>
    <w:rsid w:val="00884955"/>
    <w:rsid w:val="008917BA"/>
    <w:rsid w:val="00893DAE"/>
    <w:rsid w:val="008959F0"/>
    <w:rsid w:val="008A0335"/>
    <w:rsid w:val="008A2C58"/>
    <w:rsid w:val="008A36DF"/>
    <w:rsid w:val="008B3E6D"/>
    <w:rsid w:val="008B72B5"/>
    <w:rsid w:val="008C3FC5"/>
    <w:rsid w:val="008D14CA"/>
    <w:rsid w:val="008D1775"/>
    <w:rsid w:val="008D5DDD"/>
    <w:rsid w:val="008E7190"/>
    <w:rsid w:val="008F2BBD"/>
    <w:rsid w:val="008F374B"/>
    <w:rsid w:val="008F50DA"/>
    <w:rsid w:val="00902CF1"/>
    <w:rsid w:val="00903355"/>
    <w:rsid w:val="009040C1"/>
    <w:rsid w:val="009071A4"/>
    <w:rsid w:val="0090737C"/>
    <w:rsid w:val="00913E17"/>
    <w:rsid w:val="00916BFB"/>
    <w:rsid w:val="00922E66"/>
    <w:rsid w:val="00923B86"/>
    <w:rsid w:val="009277E0"/>
    <w:rsid w:val="009315D3"/>
    <w:rsid w:val="009321DB"/>
    <w:rsid w:val="009361E6"/>
    <w:rsid w:val="00946713"/>
    <w:rsid w:val="00953713"/>
    <w:rsid w:val="009545F3"/>
    <w:rsid w:val="0096174A"/>
    <w:rsid w:val="00964FF3"/>
    <w:rsid w:val="009677C3"/>
    <w:rsid w:val="009707CB"/>
    <w:rsid w:val="009722A9"/>
    <w:rsid w:val="0097488A"/>
    <w:rsid w:val="00974C0B"/>
    <w:rsid w:val="00975CA8"/>
    <w:rsid w:val="00977492"/>
    <w:rsid w:val="00977FA5"/>
    <w:rsid w:val="0098111F"/>
    <w:rsid w:val="009862C0"/>
    <w:rsid w:val="0098798F"/>
    <w:rsid w:val="00987DFE"/>
    <w:rsid w:val="00987F8B"/>
    <w:rsid w:val="009A190C"/>
    <w:rsid w:val="009A3B54"/>
    <w:rsid w:val="009A3CEA"/>
    <w:rsid w:val="009A4E51"/>
    <w:rsid w:val="009B206B"/>
    <w:rsid w:val="009B23E6"/>
    <w:rsid w:val="009B4C8F"/>
    <w:rsid w:val="009C2C78"/>
    <w:rsid w:val="009C40E1"/>
    <w:rsid w:val="009C7AB0"/>
    <w:rsid w:val="009D28B7"/>
    <w:rsid w:val="009D3182"/>
    <w:rsid w:val="009D51C8"/>
    <w:rsid w:val="009D5685"/>
    <w:rsid w:val="009E559A"/>
    <w:rsid w:val="009E6DBD"/>
    <w:rsid w:val="009F2FEE"/>
    <w:rsid w:val="009F7682"/>
    <w:rsid w:val="00A006CA"/>
    <w:rsid w:val="00A04B28"/>
    <w:rsid w:val="00A1797B"/>
    <w:rsid w:val="00A209B6"/>
    <w:rsid w:val="00A2299C"/>
    <w:rsid w:val="00A24AD7"/>
    <w:rsid w:val="00A26366"/>
    <w:rsid w:val="00A3051B"/>
    <w:rsid w:val="00A3142D"/>
    <w:rsid w:val="00A314D8"/>
    <w:rsid w:val="00A31C2B"/>
    <w:rsid w:val="00A353B0"/>
    <w:rsid w:val="00A43B86"/>
    <w:rsid w:val="00A44347"/>
    <w:rsid w:val="00A455AC"/>
    <w:rsid w:val="00A4672E"/>
    <w:rsid w:val="00A50051"/>
    <w:rsid w:val="00A53CC3"/>
    <w:rsid w:val="00A56572"/>
    <w:rsid w:val="00A648E9"/>
    <w:rsid w:val="00A64E5D"/>
    <w:rsid w:val="00A6717C"/>
    <w:rsid w:val="00A7194D"/>
    <w:rsid w:val="00A71BE0"/>
    <w:rsid w:val="00A73674"/>
    <w:rsid w:val="00A73FCA"/>
    <w:rsid w:val="00A74ED5"/>
    <w:rsid w:val="00A75296"/>
    <w:rsid w:val="00A8184C"/>
    <w:rsid w:val="00A87215"/>
    <w:rsid w:val="00A963D1"/>
    <w:rsid w:val="00A96DFD"/>
    <w:rsid w:val="00A9705F"/>
    <w:rsid w:val="00AA0285"/>
    <w:rsid w:val="00AA10C9"/>
    <w:rsid w:val="00AA54EE"/>
    <w:rsid w:val="00AB4906"/>
    <w:rsid w:val="00AC2658"/>
    <w:rsid w:val="00AC270F"/>
    <w:rsid w:val="00AC2F1E"/>
    <w:rsid w:val="00AC3EA7"/>
    <w:rsid w:val="00AC6845"/>
    <w:rsid w:val="00AC698C"/>
    <w:rsid w:val="00AC6F3F"/>
    <w:rsid w:val="00AD1EC1"/>
    <w:rsid w:val="00AD3589"/>
    <w:rsid w:val="00AD3999"/>
    <w:rsid w:val="00AD5245"/>
    <w:rsid w:val="00AD65CE"/>
    <w:rsid w:val="00AE0314"/>
    <w:rsid w:val="00AE5AD6"/>
    <w:rsid w:val="00AE6B81"/>
    <w:rsid w:val="00AF1D41"/>
    <w:rsid w:val="00AF6AA1"/>
    <w:rsid w:val="00B13EEB"/>
    <w:rsid w:val="00B1462B"/>
    <w:rsid w:val="00B154FF"/>
    <w:rsid w:val="00B15FB0"/>
    <w:rsid w:val="00B204C8"/>
    <w:rsid w:val="00B23D7F"/>
    <w:rsid w:val="00B23FD8"/>
    <w:rsid w:val="00B24627"/>
    <w:rsid w:val="00B2700D"/>
    <w:rsid w:val="00B30783"/>
    <w:rsid w:val="00B34F1A"/>
    <w:rsid w:val="00B35023"/>
    <w:rsid w:val="00B37C52"/>
    <w:rsid w:val="00B43069"/>
    <w:rsid w:val="00B4425E"/>
    <w:rsid w:val="00B44B6B"/>
    <w:rsid w:val="00B45CDD"/>
    <w:rsid w:val="00B51A31"/>
    <w:rsid w:val="00B52345"/>
    <w:rsid w:val="00B5488E"/>
    <w:rsid w:val="00B5613C"/>
    <w:rsid w:val="00B628D2"/>
    <w:rsid w:val="00B65196"/>
    <w:rsid w:val="00B67F60"/>
    <w:rsid w:val="00B706EF"/>
    <w:rsid w:val="00B71976"/>
    <w:rsid w:val="00B72008"/>
    <w:rsid w:val="00B7268A"/>
    <w:rsid w:val="00B72FC9"/>
    <w:rsid w:val="00B73AA3"/>
    <w:rsid w:val="00B752F8"/>
    <w:rsid w:val="00B83B95"/>
    <w:rsid w:val="00B86E78"/>
    <w:rsid w:val="00B973B2"/>
    <w:rsid w:val="00BA05BA"/>
    <w:rsid w:val="00BA18B1"/>
    <w:rsid w:val="00BA215B"/>
    <w:rsid w:val="00BA33B1"/>
    <w:rsid w:val="00BA4ABD"/>
    <w:rsid w:val="00BB1D94"/>
    <w:rsid w:val="00BB3FC3"/>
    <w:rsid w:val="00BB4193"/>
    <w:rsid w:val="00BB5EC7"/>
    <w:rsid w:val="00BB6857"/>
    <w:rsid w:val="00BB6D78"/>
    <w:rsid w:val="00BC157D"/>
    <w:rsid w:val="00BC6F27"/>
    <w:rsid w:val="00BD434A"/>
    <w:rsid w:val="00BE03B6"/>
    <w:rsid w:val="00BE34ED"/>
    <w:rsid w:val="00BE62B7"/>
    <w:rsid w:val="00BE672F"/>
    <w:rsid w:val="00BE7727"/>
    <w:rsid w:val="00BF03C9"/>
    <w:rsid w:val="00BF07C7"/>
    <w:rsid w:val="00BF1F32"/>
    <w:rsid w:val="00BF74D4"/>
    <w:rsid w:val="00C007EE"/>
    <w:rsid w:val="00C05977"/>
    <w:rsid w:val="00C16B2E"/>
    <w:rsid w:val="00C17EA2"/>
    <w:rsid w:val="00C20E12"/>
    <w:rsid w:val="00C25209"/>
    <w:rsid w:val="00C31184"/>
    <w:rsid w:val="00C32372"/>
    <w:rsid w:val="00C35272"/>
    <w:rsid w:val="00C43489"/>
    <w:rsid w:val="00C43F61"/>
    <w:rsid w:val="00C442F9"/>
    <w:rsid w:val="00C450C9"/>
    <w:rsid w:val="00C53160"/>
    <w:rsid w:val="00C60D25"/>
    <w:rsid w:val="00C62A7C"/>
    <w:rsid w:val="00C6470E"/>
    <w:rsid w:val="00C64FD2"/>
    <w:rsid w:val="00C664FA"/>
    <w:rsid w:val="00C66D83"/>
    <w:rsid w:val="00C66FD9"/>
    <w:rsid w:val="00C70C02"/>
    <w:rsid w:val="00C836A6"/>
    <w:rsid w:val="00C8622D"/>
    <w:rsid w:val="00C92BD3"/>
    <w:rsid w:val="00C93020"/>
    <w:rsid w:val="00C95378"/>
    <w:rsid w:val="00CA0B34"/>
    <w:rsid w:val="00CA6D21"/>
    <w:rsid w:val="00CB130C"/>
    <w:rsid w:val="00CB4EFC"/>
    <w:rsid w:val="00CB59C5"/>
    <w:rsid w:val="00CC0788"/>
    <w:rsid w:val="00CC23E0"/>
    <w:rsid w:val="00CC2CB8"/>
    <w:rsid w:val="00CC5F19"/>
    <w:rsid w:val="00CC6847"/>
    <w:rsid w:val="00CC6E54"/>
    <w:rsid w:val="00CD5934"/>
    <w:rsid w:val="00CD79D0"/>
    <w:rsid w:val="00CE3CF8"/>
    <w:rsid w:val="00CE43E9"/>
    <w:rsid w:val="00CE4B34"/>
    <w:rsid w:val="00CF4DCE"/>
    <w:rsid w:val="00CF548C"/>
    <w:rsid w:val="00CF5ECA"/>
    <w:rsid w:val="00CF69F1"/>
    <w:rsid w:val="00CF7ADA"/>
    <w:rsid w:val="00CF7D9C"/>
    <w:rsid w:val="00D006B1"/>
    <w:rsid w:val="00D01338"/>
    <w:rsid w:val="00D02E63"/>
    <w:rsid w:val="00D050B1"/>
    <w:rsid w:val="00D06102"/>
    <w:rsid w:val="00D0767D"/>
    <w:rsid w:val="00D1169F"/>
    <w:rsid w:val="00D11D8F"/>
    <w:rsid w:val="00D144B3"/>
    <w:rsid w:val="00D22322"/>
    <w:rsid w:val="00D2382F"/>
    <w:rsid w:val="00D24662"/>
    <w:rsid w:val="00D260A4"/>
    <w:rsid w:val="00D33147"/>
    <w:rsid w:val="00D34D9E"/>
    <w:rsid w:val="00D36E2E"/>
    <w:rsid w:val="00D40056"/>
    <w:rsid w:val="00D40065"/>
    <w:rsid w:val="00D43ABB"/>
    <w:rsid w:val="00D44C7E"/>
    <w:rsid w:val="00D45779"/>
    <w:rsid w:val="00D476D3"/>
    <w:rsid w:val="00D50AA4"/>
    <w:rsid w:val="00D539EE"/>
    <w:rsid w:val="00D55BC6"/>
    <w:rsid w:val="00D565CC"/>
    <w:rsid w:val="00D574CD"/>
    <w:rsid w:val="00D61285"/>
    <w:rsid w:val="00D70DB5"/>
    <w:rsid w:val="00D71325"/>
    <w:rsid w:val="00D72A82"/>
    <w:rsid w:val="00D73743"/>
    <w:rsid w:val="00D75064"/>
    <w:rsid w:val="00D81029"/>
    <w:rsid w:val="00D833C9"/>
    <w:rsid w:val="00D83680"/>
    <w:rsid w:val="00D91CAF"/>
    <w:rsid w:val="00D91CBC"/>
    <w:rsid w:val="00D94E9A"/>
    <w:rsid w:val="00D957C1"/>
    <w:rsid w:val="00D95B86"/>
    <w:rsid w:val="00DA051F"/>
    <w:rsid w:val="00DA1E54"/>
    <w:rsid w:val="00DA3EDE"/>
    <w:rsid w:val="00DA58A9"/>
    <w:rsid w:val="00DA59C2"/>
    <w:rsid w:val="00DB0503"/>
    <w:rsid w:val="00DB1822"/>
    <w:rsid w:val="00DB40FA"/>
    <w:rsid w:val="00DB4DE6"/>
    <w:rsid w:val="00DC00B7"/>
    <w:rsid w:val="00DD3031"/>
    <w:rsid w:val="00DD4D14"/>
    <w:rsid w:val="00DD7CDB"/>
    <w:rsid w:val="00DE07EE"/>
    <w:rsid w:val="00DE27DB"/>
    <w:rsid w:val="00DE4DD1"/>
    <w:rsid w:val="00DE566D"/>
    <w:rsid w:val="00DE6EE7"/>
    <w:rsid w:val="00DE705C"/>
    <w:rsid w:val="00DF046C"/>
    <w:rsid w:val="00DF072B"/>
    <w:rsid w:val="00DF3814"/>
    <w:rsid w:val="00DF3D18"/>
    <w:rsid w:val="00DF5E1F"/>
    <w:rsid w:val="00DF640C"/>
    <w:rsid w:val="00DF67CC"/>
    <w:rsid w:val="00DF7D34"/>
    <w:rsid w:val="00DF7DFA"/>
    <w:rsid w:val="00E00031"/>
    <w:rsid w:val="00E00E19"/>
    <w:rsid w:val="00E0312E"/>
    <w:rsid w:val="00E05388"/>
    <w:rsid w:val="00E12248"/>
    <w:rsid w:val="00E13390"/>
    <w:rsid w:val="00E1396F"/>
    <w:rsid w:val="00E13F47"/>
    <w:rsid w:val="00E14449"/>
    <w:rsid w:val="00E15604"/>
    <w:rsid w:val="00E15D1D"/>
    <w:rsid w:val="00E20C71"/>
    <w:rsid w:val="00E23D9C"/>
    <w:rsid w:val="00E312D7"/>
    <w:rsid w:val="00E326DE"/>
    <w:rsid w:val="00E327BB"/>
    <w:rsid w:val="00E33030"/>
    <w:rsid w:val="00E35467"/>
    <w:rsid w:val="00E37C4B"/>
    <w:rsid w:val="00E40626"/>
    <w:rsid w:val="00E41A51"/>
    <w:rsid w:val="00E46203"/>
    <w:rsid w:val="00E47C23"/>
    <w:rsid w:val="00E51012"/>
    <w:rsid w:val="00E51264"/>
    <w:rsid w:val="00E53A60"/>
    <w:rsid w:val="00E54406"/>
    <w:rsid w:val="00E5574D"/>
    <w:rsid w:val="00E574B0"/>
    <w:rsid w:val="00E575D0"/>
    <w:rsid w:val="00E60CE1"/>
    <w:rsid w:val="00E61333"/>
    <w:rsid w:val="00E6206B"/>
    <w:rsid w:val="00E660F2"/>
    <w:rsid w:val="00E66270"/>
    <w:rsid w:val="00E71E23"/>
    <w:rsid w:val="00E764B4"/>
    <w:rsid w:val="00E809DF"/>
    <w:rsid w:val="00E80FF3"/>
    <w:rsid w:val="00E83853"/>
    <w:rsid w:val="00E8676D"/>
    <w:rsid w:val="00E87DF8"/>
    <w:rsid w:val="00E91800"/>
    <w:rsid w:val="00E920E2"/>
    <w:rsid w:val="00E949C5"/>
    <w:rsid w:val="00EA4C29"/>
    <w:rsid w:val="00EA57EB"/>
    <w:rsid w:val="00EA5986"/>
    <w:rsid w:val="00EB20A3"/>
    <w:rsid w:val="00EB5CEE"/>
    <w:rsid w:val="00EC2677"/>
    <w:rsid w:val="00EC2DA1"/>
    <w:rsid w:val="00EC349D"/>
    <w:rsid w:val="00ED15AA"/>
    <w:rsid w:val="00ED3CA4"/>
    <w:rsid w:val="00ED7374"/>
    <w:rsid w:val="00ED7C1B"/>
    <w:rsid w:val="00EE773C"/>
    <w:rsid w:val="00EF104F"/>
    <w:rsid w:val="00EF6834"/>
    <w:rsid w:val="00EF7B81"/>
    <w:rsid w:val="00F0570C"/>
    <w:rsid w:val="00F1071D"/>
    <w:rsid w:val="00F1259E"/>
    <w:rsid w:val="00F17266"/>
    <w:rsid w:val="00F20252"/>
    <w:rsid w:val="00F24131"/>
    <w:rsid w:val="00F26736"/>
    <w:rsid w:val="00F26CBE"/>
    <w:rsid w:val="00F342ED"/>
    <w:rsid w:val="00F345C4"/>
    <w:rsid w:val="00F35203"/>
    <w:rsid w:val="00F40206"/>
    <w:rsid w:val="00F4261B"/>
    <w:rsid w:val="00F4307F"/>
    <w:rsid w:val="00F44798"/>
    <w:rsid w:val="00F47CF2"/>
    <w:rsid w:val="00F50778"/>
    <w:rsid w:val="00F55870"/>
    <w:rsid w:val="00F562A8"/>
    <w:rsid w:val="00F56BB5"/>
    <w:rsid w:val="00F62F08"/>
    <w:rsid w:val="00F65F05"/>
    <w:rsid w:val="00F66637"/>
    <w:rsid w:val="00F71B81"/>
    <w:rsid w:val="00F7203A"/>
    <w:rsid w:val="00F72F47"/>
    <w:rsid w:val="00F8402F"/>
    <w:rsid w:val="00F85B01"/>
    <w:rsid w:val="00F8682D"/>
    <w:rsid w:val="00F87315"/>
    <w:rsid w:val="00F91DC4"/>
    <w:rsid w:val="00F97D6C"/>
    <w:rsid w:val="00FA104D"/>
    <w:rsid w:val="00FA1961"/>
    <w:rsid w:val="00FA4068"/>
    <w:rsid w:val="00FB1355"/>
    <w:rsid w:val="00FB1467"/>
    <w:rsid w:val="00FB1926"/>
    <w:rsid w:val="00FB77A4"/>
    <w:rsid w:val="00FC6896"/>
    <w:rsid w:val="00FC7767"/>
    <w:rsid w:val="00FD09D4"/>
    <w:rsid w:val="00FD2B04"/>
    <w:rsid w:val="00FD2DA3"/>
    <w:rsid w:val="00FD6013"/>
    <w:rsid w:val="00FD7D37"/>
    <w:rsid w:val="00FE0042"/>
    <w:rsid w:val="00FE0403"/>
    <w:rsid w:val="00FE4443"/>
    <w:rsid w:val="00FF091E"/>
    <w:rsid w:val="00FF1DC3"/>
    <w:rsid w:val="00FF5330"/>
    <w:rsid w:val="00FF55A2"/>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10593"/>
    <o:shapelayout v:ext="edit">
      <o:idmap v:ext="edit" data="1"/>
    </o:shapelayout>
  </w:shapeDefaults>
  <w:decimalSymbol w:val="."/>
  <w:listSeparator w:val=","/>
  <w15:docId w15:val="{EE20DC33-4304-4BFB-930E-40137C72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424118"/>
    <w:pPr>
      <w:autoSpaceDE w:val="0"/>
      <w:autoSpaceDN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4E531C"/>
    <w:rPr>
      <w:sz w:val="16"/>
      <w:szCs w:val="16"/>
    </w:rPr>
  </w:style>
  <w:style w:type="paragraph" w:styleId="CommentText">
    <w:name w:val="annotation text"/>
    <w:basedOn w:val="Normal"/>
    <w:link w:val="CommentTextChar"/>
    <w:rsid w:val="004E531C"/>
    <w:rPr>
      <w:sz w:val="20"/>
      <w:szCs w:val="20"/>
    </w:rPr>
  </w:style>
  <w:style w:type="character" w:customStyle="1" w:styleId="CommentTextChar">
    <w:name w:val="Comment Text Char"/>
    <w:basedOn w:val="DefaultParagraphFont"/>
    <w:link w:val="CommentText"/>
    <w:rsid w:val="004E531C"/>
  </w:style>
  <w:style w:type="paragraph" w:styleId="CommentSubject">
    <w:name w:val="annotation subject"/>
    <w:basedOn w:val="CommentText"/>
    <w:next w:val="CommentText"/>
    <w:link w:val="CommentSubjectChar"/>
    <w:rsid w:val="004E531C"/>
    <w:rPr>
      <w:b/>
      <w:bCs/>
    </w:rPr>
  </w:style>
  <w:style w:type="character" w:customStyle="1" w:styleId="CommentSubjectChar">
    <w:name w:val="Comment Subject Char"/>
    <w:basedOn w:val="CommentTextChar"/>
    <w:link w:val="CommentSubject"/>
    <w:rsid w:val="004E5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1.docx"/><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2.docx"/><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04195A8-12FA-4B6F-99BE-E97D1CC0ABD8}">
  <ds:schemaRefs>
    <ds:schemaRef ds:uri="http://schemas.openxmlformats.org/officeDocument/2006/bibliography"/>
  </ds:schemaRefs>
</ds:datastoreItem>
</file>

<file path=customXml/itemProps2.xml><?xml version="1.0" encoding="utf-8"?>
<ds:datastoreItem xmlns:ds="http://schemas.openxmlformats.org/officeDocument/2006/customXml" ds:itemID="{76B9F3BA-A230-43FC-9F47-29D339F47574}"/>
</file>

<file path=customXml/itemProps3.xml><?xml version="1.0" encoding="utf-8"?>
<ds:datastoreItem xmlns:ds="http://schemas.openxmlformats.org/officeDocument/2006/customXml" ds:itemID="{D7F6DFFA-50C0-480A-B685-98540067BB30}"/>
</file>

<file path=customXml/itemProps4.xml><?xml version="1.0" encoding="utf-8"?>
<ds:datastoreItem xmlns:ds="http://schemas.openxmlformats.org/officeDocument/2006/customXml" ds:itemID="{610187E2-9FBE-4521-9017-A09B6A8725A8}"/>
</file>

<file path=customXml/itemProps5.xml><?xml version="1.0" encoding="utf-8"?>
<ds:datastoreItem xmlns:ds="http://schemas.openxmlformats.org/officeDocument/2006/customXml" ds:itemID="{916AC733-212B-4139-8C80-81DA8A245EFF}"/>
</file>

<file path=docProps/app.xml><?xml version="1.0" encoding="utf-8"?>
<Properties xmlns="http://schemas.openxmlformats.org/officeDocument/2006/extended-properties" xmlns:vt="http://schemas.openxmlformats.org/officeDocument/2006/docPropsVTypes">
  <Template>Normal.dotm</Template>
  <TotalTime>2050</TotalTime>
  <Pages>16</Pages>
  <Words>3141</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Kimball, Paul</cp:lastModifiedBy>
  <cp:revision>92</cp:revision>
  <cp:lastPrinted>2017-05-16T22:06:00Z</cp:lastPrinted>
  <dcterms:created xsi:type="dcterms:W3CDTF">2014-01-28T18:28:00Z</dcterms:created>
  <dcterms:modified xsi:type="dcterms:W3CDTF">2017-05-17T17:40:00Z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