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676046" w:rsidRPr="007D5EB2" w:rsidP="00676046">
      <w:pPr>
        <w:pStyle w:val="Header"/>
        <w:tabs>
          <w:tab w:val="clear" w:pos="4320"/>
          <w:tab w:val="clear" w:pos="8640"/>
        </w:tabs>
        <w:jc w:val="center"/>
        <w:rPr>
          <w:rFonts w:ascii="Times New Roman" w:hAnsi="Times New Roman"/>
        </w:rPr>
      </w:pPr>
      <w:r w:rsidRPr="007D5EB2">
        <w:rPr>
          <w:rFonts w:ascii="Times New Roman" w:hAnsi="Times New Roman"/>
        </w:rPr>
        <w:t>BEFORE THE WASHINGTON UTILITIES AND TRANSPORTATION COMMISSION</w:t>
      </w:r>
    </w:p>
    <w:p w:rsidR="00676046" w:rsidRPr="007D5EB2" w:rsidP="00676046">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8F2228">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676046" w:rsidRPr="004554F5" w:rsidP="008F2228">
            <w:pPr>
              <w:rPr>
                <w:rFonts w:ascii="Times New Roman" w:hAnsi="Times New Roman" w:cs="Times New Roman"/>
                <w:sz w:val="24"/>
                <w:szCs w:val="24"/>
              </w:rPr>
            </w:pPr>
            <w:r w:rsidRPr="004554F5">
              <w:rPr>
                <w:rFonts w:ascii="Times New Roman" w:hAnsi="Times New Roman" w:cs="Times New Roman"/>
                <w:sz w:val="24"/>
                <w:szCs w:val="24"/>
              </w:rPr>
              <w:t>In re Application TC-143691</w:t>
            </w:r>
          </w:p>
          <w:p w:rsidR="00676046" w:rsidRPr="004554F5" w:rsidP="008F2228">
            <w:pPr>
              <w:rPr>
                <w:rFonts w:ascii="Times New Roman" w:hAnsi="Times New Roman" w:cs="Times New Roman"/>
                <w:sz w:val="24"/>
                <w:szCs w:val="24"/>
              </w:rPr>
            </w:pPr>
          </w:p>
          <w:p w:rsidR="00676046" w:rsidRPr="004554F5" w:rsidP="008F2228">
            <w:pPr>
              <w:rPr>
                <w:rFonts w:ascii="Times New Roman" w:hAnsi="Times New Roman" w:cs="Times New Roman"/>
                <w:sz w:val="24"/>
                <w:szCs w:val="24"/>
              </w:rPr>
            </w:pPr>
            <w:r w:rsidRPr="004554F5">
              <w:rPr>
                <w:rFonts w:ascii="Times New Roman" w:hAnsi="Times New Roman" w:cs="Times New Roman"/>
                <w:sz w:val="24"/>
                <w:szCs w:val="24"/>
              </w:rPr>
              <w:t xml:space="preserve">SPEEDISHUTTLE WASHINGTON, </w:t>
            </w:r>
          </w:p>
          <w:p w:rsidR="00676046" w:rsidRPr="004554F5" w:rsidP="008F2228">
            <w:pPr>
              <w:rPr>
                <w:rFonts w:ascii="Times New Roman" w:hAnsi="Times New Roman" w:cs="Times New Roman"/>
                <w:sz w:val="24"/>
                <w:szCs w:val="24"/>
              </w:rPr>
            </w:pPr>
            <w:r>
              <w:rPr>
                <w:rFonts w:ascii="Times New Roman" w:hAnsi="Times New Roman" w:cs="Times New Roman"/>
                <w:sz w:val="24"/>
                <w:szCs w:val="24"/>
              </w:rPr>
              <w:t>LLC d/b/a</w:t>
            </w:r>
            <w:r w:rsidRPr="004554F5">
              <w:rPr>
                <w:rFonts w:ascii="Times New Roman" w:hAnsi="Times New Roman" w:cs="Times New Roman"/>
                <w:sz w:val="24"/>
                <w:szCs w:val="24"/>
              </w:rPr>
              <w:t xml:space="preserve"> SPEEDISHUTTLE SEATTLE</w:t>
            </w:r>
          </w:p>
          <w:p w:rsidR="00676046" w:rsidRPr="004554F5" w:rsidP="008F2228">
            <w:pPr>
              <w:rPr>
                <w:rFonts w:ascii="Times New Roman" w:hAnsi="Times New Roman" w:cs="Times New Roman"/>
                <w:sz w:val="24"/>
                <w:szCs w:val="24"/>
              </w:rPr>
            </w:pPr>
            <w:r w:rsidRPr="004554F5">
              <w:rPr>
                <w:rFonts w:ascii="Times New Roman" w:hAnsi="Times New Roman" w:cs="Times New Roman"/>
                <w:sz w:val="24"/>
                <w:szCs w:val="24"/>
              </w:rPr>
              <w:tab/>
            </w:r>
            <w:r w:rsidRPr="004554F5">
              <w:rPr>
                <w:rFonts w:ascii="Times New Roman" w:hAnsi="Times New Roman" w:cs="Times New Roman"/>
                <w:sz w:val="24"/>
                <w:szCs w:val="24"/>
              </w:rPr>
              <w:tab/>
            </w:r>
            <w:r w:rsidRPr="004554F5">
              <w:rPr>
                <w:rFonts w:ascii="Times New Roman" w:hAnsi="Times New Roman" w:cs="Times New Roman"/>
                <w:sz w:val="24"/>
                <w:szCs w:val="24"/>
              </w:rPr>
              <w:tab/>
            </w:r>
          </w:p>
          <w:p w:rsidR="00676046" w:rsidRPr="003E3A33" w:rsidP="003E3A33">
            <w:pPr>
              <w:spacing w:line="240" w:lineRule="atLeast"/>
              <w:rPr>
                <w:rFonts w:ascii="Times New Roman" w:hAnsi="Times New Roman" w:cs="Times New Roman"/>
                <w:sz w:val="24"/>
                <w:szCs w:val="24"/>
              </w:rPr>
            </w:pPr>
            <w:r w:rsidRPr="004554F5">
              <w:rPr>
                <w:rFonts w:ascii="Times New Roman" w:hAnsi="Times New Roman" w:cs="Times New Roman"/>
                <w:sz w:val="24"/>
                <w:szCs w:val="24"/>
              </w:rPr>
              <w:t>For a Certificate of Pub</w:t>
            </w:r>
            <w:r>
              <w:rPr>
                <w:rFonts w:ascii="Times New Roman" w:hAnsi="Times New Roman" w:cs="Times New Roman"/>
                <w:sz w:val="24"/>
                <w:szCs w:val="24"/>
              </w:rPr>
              <w:t>l</w:t>
            </w:r>
            <w:r w:rsidRPr="004554F5">
              <w:rPr>
                <w:rFonts w:ascii="Times New Roman" w:hAnsi="Times New Roman" w:cs="Times New Roman"/>
                <w:sz w:val="24"/>
                <w:szCs w:val="24"/>
              </w:rPr>
              <w:t>ic Convenience and Necessity to Operate Motor Vehicles in Furnishing Passenger and Express Service as an Auto Transportation Company</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Pr="004554F5">
              <w:rPr>
                <w:rFonts w:ascii="Times New Roman" w:hAnsi="Times New Roman" w:cs="Times New Roman"/>
                <w:sz w:val="24"/>
                <w:szCs w:val="24"/>
              </w:rPr>
              <w:t>143691</w:t>
            </w:r>
          </w:p>
          <w:p w:rsidR="00676046" w:rsidRPr="004554F5" w:rsidP="008F2228">
            <w:pPr>
              <w:rPr>
                <w:rFonts w:ascii="Times New Roman" w:hAnsi="Times New Roman" w:cs="Times New Roman"/>
                <w:sz w:val="24"/>
                <w:szCs w:val="24"/>
              </w:rPr>
            </w:pPr>
          </w:p>
          <w:p w:rsidR="00676046" w:rsidRPr="004554F5" w:rsidP="008F2228">
            <w:pPr>
              <w:rPr>
                <w:rFonts w:ascii="Times New Roman" w:hAnsi="Times New Roman" w:cs="Times New Roman"/>
                <w:sz w:val="24"/>
                <w:szCs w:val="24"/>
              </w:rPr>
            </w:pPr>
            <w:r>
              <w:rPr>
                <w:rFonts w:ascii="Times New Roman" w:hAnsi="Times New Roman" w:cs="Times New Roman"/>
                <w:sz w:val="24"/>
                <w:szCs w:val="24"/>
              </w:rPr>
              <w:t xml:space="preserve">SPEEDISHUTTLE WASHINGTON, LLC </w:t>
            </w:r>
            <w:r w:rsidR="004B119B">
              <w:rPr>
                <w:rFonts w:ascii="Times New Roman" w:hAnsi="Times New Roman" w:cs="Times New Roman"/>
                <w:sz w:val="24"/>
                <w:szCs w:val="24"/>
              </w:rPr>
              <w:t>d/b/a</w:t>
            </w:r>
            <w:r>
              <w:rPr>
                <w:rFonts w:ascii="Times New Roman" w:hAnsi="Times New Roman" w:cs="Times New Roman"/>
                <w:sz w:val="24"/>
                <w:szCs w:val="24"/>
              </w:rPr>
              <w:t xml:space="preserve"> SPEEDISHUTTLE SEATTLE’S ANSWER TO </w:t>
            </w:r>
            <w:r w:rsidR="00661B24">
              <w:rPr>
                <w:rFonts w:ascii="Times New Roman" w:hAnsi="Times New Roman" w:cs="Times New Roman"/>
                <w:sz w:val="24"/>
                <w:szCs w:val="24"/>
              </w:rPr>
              <w:t xml:space="preserve">SHUTTLE EXPRESS’S </w:t>
            </w:r>
            <w:r>
              <w:rPr>
                <w:rFonts w:ascii="Times New Roman" w:hAnsi="Times New Roman" w:cs="Times New Roman"/>
                <w:sz w:val="24"/>
                <w:szCs w:val="24"/>
              </w:rPr>
              <w:t>PETITION FOR ADMINISTRATIVE REVIEW</w:t>
            </w:r>
            <w:r w:rsidR="00EF46FE">
              <w:rPr>
                <w:rFonts w:ascii="Times New Roman" w:hAnsi="Times New Roman" w:cs="Times New Roman"/>
                <w:sz w:val="24"/>
                <w:szCs w:val="24"/>
              </w:rPr>
              <w:t xml:space="preserve"> OF INITIAL ORDER 02 DISMISSING OBJECTIONS AND GRANTING APPLICATION</w:t>
            </w:r>
          </w:p>
          <w:p w:rsidR="00676046" w:rsidRPr="004554F5" w:rsidP="008F2228">
            <w:pPr>
              <w:rPr>
                <w:rFonts w:ascii="Times New Roman" w:hAnsi="Times New Roman" w:cs="Times New Roman"/>
                <w:sz w:val="24"/>
                <w:szCs w:val="24"/>
              </w:rPr>
            </w:pPr>
          </w:p>
          <w:p w:rsidR="00676046" w:rsidP="008F2228"/>
        </w:tc>
      </w:tr>
    </w:tbl>
    <w:p w:rsidR="00024DB7" w:rsidP="00024DB7">
      <w:pPr>
        <w:pStyle w:val="Heading1"/>
        <w:numPr>
          <w:ilvl w:val="0"/>
          <w:numId w:val="0"/>
        </w:numPr>
      </w:pPr>
    </w:p>
    <w:p w:rsidR="00676046" w:rsidP="00145935">
      <w:pPr>
        <w:pStyle w:val="Heading1"/>
      </w:pPr>
      <w:r>
        <w:t>preliminary statement</w:t>
      </w:r>
    </w:p>
    <w:p w:rsidR="00024DB7" w:rsidP="00C77CAD">
      <w:pPr>
        <w:pStyle w:val="ListParagraph"/>
        <w:numPr>
          <w:ilvl w:val="0"/>
          <w:numId w:val="16"/>
        </w:numPr>
        <w:spacing w:line="480" w:lineRule="auto"/>
        <w:ind w:left="0" w:hanging="720"/>
        <w:rPr>
          <w:rFonts w:cs="Times New Roman"/>
          <w:szCs w:val="24"/>
        </w:rPr>
      </w:pPr>
      <w:r>
        <w:tab/>
      </w:r>
      <w:r w:rsidRPr="00B221C8" w:rsidR="00B221C8">
        <w:rPr>
          <w:rFonts w:cs="Times New Roman"/>
          <w:szCs w:val="24"/>
        </w:rPr>
        <w:t>Applicant Speedishuttle Washington, LLC. d/b/a Speedishuttle Seattle, (“Applicant” or “Speedishuttle”)</w:t>
      </w:r>
      <w:r w:rsidR="00EF46FE">
        <w:rPr>
          <w:rFonts w:cs="Times New Roman"/>
          <w:szCs w:val="24"/>
        </w:rPr>
        <w:t>,</w:t>
      </w:r>
      <w:r w:rsidRPr="00B221C8" w:rsidR="00B221C8">
        <w:rPr>
          <w:rFonts w:cs="Times New Roman"/>
          <w:szCs w:val="24"/>
        </w:rPr>
        <w:t xml:space="preserve"> pursuant to WAC 480-07-825(4)</w:t>
      </w:r>
      <w:r w:rsidR="00EF46FE">
        <w:rPr>
          <w:rFonts w:cs="Times New Roman"/>
          <w:szCs w:val="24"/>
        </w:rPr>
        <w:t>,</w:t>
      </w:r>
      <w:r w:rsidRPr="00B221C8" w:rsidR="00B221C8">
        <w:rPr>
          <w:rFonts w:cs="Times New Roman"/>
          <w:szCs w:val="24"/>
        </w:rPr>
        <w:t xml:space="preserve"> files the below Answer to the Peti</w:t>
      </w:r>
      <w:r w:rsidR="00A86763">
        <w:rPr>
          <w:rFonts w:cs="Times New Roman"/>
          <w:szCs w:val="24"/>
        </w:rPr>
        <w:t xml:space="preserve">tion for Administrative Review served </w:t>
      </w:r>
      <w:r w:rsidRPr="00B221C8" w:rsidR="00B221C8">
        <w:rPr>
          <w:rFonts w:cs="Times New Roman"/>
          <w:szCs w:val="24"/>
        </w:rPr>
        <w:t xml:space="preserve">by Objector Shuttle Express, Inc. </w:t>
      </w:r>
      <w:r w:rsidR="00205116">
        <w:rPr>
          <w:rFonts w:cs="Times New Roman"/>
          <w:szCs w:val="24"/>
        </w:rPr>
        <w:t xml:space="preserve">(“Objector” or “Shuttle Express”) </w:t>
      </w:r>
      <w:r w:rsidRPr="00B221C8" w:rsidR="00B221C8">
        <w:rPr>
          <w:rFonts w:cs="Times New Roman"/>
          <w:szCs w:val="24"/>
        </w:rPr>
        <w:t xml:space="preserve">on February 10, 2014.  Speedishuttle </w:t>
      </w:r>
      <w:r w:rsidR="007D51CC">
        <w:rPr>
          <w:rFonts w:cs="Times New Roman"/>
          <w:szCs w:val="24"/>
        </w:rPr>
        <w:t>has</w:t>
      </w:r>
      <w:r w:rsidR="00252BAF">
        <w:rPr>
          <w:rFonts w:cs="Times New Roman"/>
          <w:szCs w:val="24"/>
        </w:rPr>
        <w:t xml:space="preserve"> </w:t>
      </w:r>
      <w:r w:rsidR="00EF46FE">
        <w:rPr>
          <w:rFonts w:cs="Times New Roman"/>
          <w:szCs w:val="24"/>
        </w:rPr>
        <w:t>also</w:t>
      </w:r>
      <w:r w:rsidRPr="00B221C8" w:rsidR="00B221C8">
        <w:rPr>
          <w:rFonts w:cs="Times New Roman"/>
          <w:szCs w:val="24"/>
        </w:rPr>
        <w:t xml:space="preserve">, pursuant to Commission rules on </w:t>
      </w:r>
      <w:r w:rsidR="00EF46FE">
        <w:rPr>
          <w:rFonts w:cs="Times New Roman"/>
          <w:szCs w:val="24"/>
        </w:rPr>
        <w:t>M</w:t>
      </w:r>
      <w:r w:rsidR="00252BAF">
        <w:rPr>
          <w:rFonts w:cs="Times New Roman"/>
          <w:szCs w:val="24"/>
        </w:rPr>
        <w:t>otions, fil</w:t>
      </w:r>
      <w:r w:rsidR="007D51CC">
        <w:rPr>
          <w:rFonts w:cs="Times New Roman"/>
          <w:szCs w:val="24"/>
        </w:rPr>
        <w:t>ed</w:t>
      </w:r>
      <w:r w:rsidRPr="00B221C8" w:rsidR="00B221C8">
        <w:rPr>
          <w:rFonts w:cs="Times New Roman"/>
          <w:szCs w:val="24"/>
        </w:rPr>
        <w:t xml:space="preserve"> a separate </w:t>
      </w:r>
      <w:r w:rsidR="007D51CC">
        <w:rPr>
          <w:rFonts w:cs="Times New Roman"/>
          <w:szCs w:val="24"/>
        </w:rPr>
        <w:t>R</w:t>
      </w:r>
      <w:r w:rsidR="00A86763">
        <w:rPr>
          <w:rFonts w:cs="Times New Roman"/>
          <w:szCs w:val="24"/>
        </w:rPr>
        <w:t xml:space="preserve">esponse </w:t>
      </w:r>
      <w:r w:rsidRPr="00B221C8" w:rsidR="00B221C8">
        <w:rPr>
          <w:rFonts w:cs="Times New Roman"/>
          <w:szCs w:val="24"/>
        </w:rPr>
        <w:t xml:space="preserve">in </w:t>
      </w:r>
      <w:r w:rsidR="00B6223F">
        <w:rPr>
          <w:rFonts w:cs="Times New Roman"/>
          <w:szCs w:val="24"/>
        </w:rPr>
        <w:t>O</w:t>
      </w:r>
      <w:r w:rsidRPr="00B221C8" w:rsidR="00B221C8">
        <w:rPr>
          <w:rFonts w:cs="Times New Roman"/>
          <w:szCs w:val="24"/>
        </w:rPr>
        <w:t>pposition to Shuttle Express’s Motion to Reopen</w:t>
      </w:r>
      <w:r w:rsidR="00B6223F">
        <w:rPr>
          <w:rFonts w:cs="Times New Roman"/>
          <w:szCs w:val="24"/>
        </w:rPr>
        <w:t>.</w:t>
      </w:r>
      <w:r w:rsidRPr="00B221C8" w:rsidR="00B221C8">
        <w:rPr>
          <w:rFonts w:cs="Times New Roman"/>
          <w:szCs w:val="24"/>
        </w:rPr>
        <w:t xml:space="preserve">  </w:t>
      </w:r>
    </w:p>
    <w:p w:rsidR="00B221C8" w:rsidRPr="00024DB7" w:rsidP="00C77CAD">
      <w:pPr>
        <w:pStyle w:val="ListParagraph"/>
        <w:numPr>
          <w:ilvl w:val="0"/>
          <w:numId w:val="16"/>
        </w:numPr>
        <w:spacing w:line="480" w:lineRule="auto"/>
        <w:ind w:left="0" w:hanging="720"/>
        <w:rPr>
          <w:rFonts w:cs="Times New Roman"/>
          <w:szCs w:val="24"/>
        </w:rPr>
      </w:pPr>
      <w:r>
        <w:rPr>
          <w:rFonts w:cs="Times New Roman"/>
          <w:szCs w:val="24"/>
        </w:rPr>
        <w:tab/>
      </w:r>
      <w:r w:rsidRPr="00024DB7">
        <w:rPr>
          <w:rFonts w:cs="Times New Roman"/>
          <w:szCs w:val="24"/>
        </w:rPr>
        <w:t>Shuttle Express’s Petition for Admin</w:t>
      </w:r>
      <w:r w:rsidR="00C2544B">
        <w:rPr>
          <w:rFonts w:cs="Times New Roman"/>
          <w:szCs w:val="24"/>
        </w:rPr>
        <w:t xml:space="preserve">istrative Review is apparently based </w:t>
      </w:r>
      <w:r w:rsidRPr="00024DB7">
        <w:rPr>
          <w:rFonts w:cs="Times New Roman"/>
          <w:szCs w:val="24"/>
        </w:rPr>
        <w:t xml:space="preserve">on two premises:  first, that the Initial Order erred in finding the Applicant’s proposed service </w:t>
      </w:r>
      <w:r w:rsidRPr="00024DB7" w:rsidR="00EF46FE">
        <w:rPr>
          <w:rFonts w:cs="Times New Roman"/>
          <w:szCs w:val="24"/>
        </w:rPr>
        <w:t xml:space="preserve">is </w:t>
      </w:r>
      <w:r w:rsidRPr="00024DB7">
        <w:rPr>
          <w:rFonts w:cs="Times New Roman"/>
          <w:szCs w:val="24"/>
        </w:rPr>
        <w:t xml:space="preserve">not </w:t>
      </w:r>
      <w:r w:rsidRPr="00024DB7" w:rsidR="00EF46FE">
        <w:rPr>
          <w:rFonts w:cs="Times New Roman"/>
          <w:szCs w:val="24"/>
        </w:rPr>
        <w:t>“</w:t>
      </w:r>
      <w:r w:rsidRPr="00024DB7">
        <w:rPr>
          <w:rFonts w:cs="Times New Roman"/>
          <w:szCs w:val="24"/>
        </w:rPr>
        <w:t>the same service</w:t>
      </w:r>
      <w:r w:rsidRPr="00024DB7" w:rsidR="00EF46FE">
        <w:rPr>
          <w:rFonts w:cs="Times New Roman"/>
          <w:szCs w:val="24"/>
        </w:rPr>
        <w:t>”</w:t>
      </w:r>
      <w:r w:rsidRPr="00024DB7">
        <w:rPr>
          <w:rFonts w:cs="Times New Roman"/>
          <w:szCs w:val="24"/>
        </w:rPr>
        <w:t xml:space="preserve"> under WAC 480-30-140(2)</w:t>
      </w:r>
      <w:r w:rsidRPr="00024DB7">
        <w:rPr>
          <w:rFonts w:cs="Times New Roman"/>
          <w:szCs w:val="24"/>
        </w:rPr>
        <w:t>,</w:t>
      </w:r>
      <w:r w:rsidRPr="00024DB7">
        <w:rPr>
          <w:rFonts w:cs="Times New Roman"/>
          <w:szCs w:val="24"/>
        </w:rPr>
        <w:t xml:space="preserve"> and secondly</w:t>
      </w:r>
      <w:r w:rsidRPr="00024DB7" w:rsidR="00EF46FE">
        <w:rPr>
          <w:rFonts w:cs="Times New Roman"/>
          <w:szCs w:val="24"/>
        </w:rPr>
        <w:t>,</w:t>
      </w:r>
      <w:r w:rsidRPr="00024DB7">
        <w:rPr>
          <w:rFonts w:cs="Times New Roman"/>
          <w:szCs w:val="24"/>
        </w:rPr>
        <w:t xml:space="preserve"> the fact that the Initial Order did</w:t>
      </w:r>
      <w:r w:rsidRPr="00024DB7" w:rsidR="00EF46FE">
        <w:rPr>
          <w:rFonts w:cs="Times New Roman"/>
          <w:szCs w:val="24"/>
        </w:rPr>
        <w:t xml:space="preserve"> not</w:t>
      </w:r>
      <w:r w:rsidRPr="00024DB7" w:rsidR="00A86763">
        <w:rPr>
          <w:rFonts w:cs="Times New Roman"/>
          <w:szCs w:val="24"/>
        </w:rPr>
        <w:t xml:space="preserve"> make an</w:t>
      </w:r>
      <w:r w:rsidRPr="00024DB7">
        <w:rPr>
          <w:rFonts w:cs="Times New Roman"/>
          <w:szCs w:val="24"/>
        </w:rPr>
        <w:t xml:space="preserve"> express finding with respect to Shuttle Express</w:t>
      </w:r>
      <w:r w:rsidRPr="00024DB7" w:rsidR="00EF46FE">
        <w:rPr>
          <w:rFonts w:cs="Times New Roman"/>
          <w:szCs w:val="24"/>
        </w:rPr>
        <w:t>’s</w:t>
      </w:r>
      <w:r w:rsidRPr="00024DB7">
        <w:rPr>
          <w:rFonts w:cs="Times New Roman"/>
          <w:szCs w:val="24"/>
        </w:rPr>
        <w:t xml:space="preserve"> service “to the satisfaction of the Commission</w:t>
      </w:r>
      <w:r w:rsidRPr="00024DB7" w:rsidR="00EF46FE">
        <w:rPr>
          <w:rFonts w:cs="Times New Roman"/>
          <w:szCs w:val="24"/>
        </w:rPr>
        <w:t>”</w:t>
      </w:r>
      <w:r w:rsidRPr="00024DB7">
        <w:rPr>
          <w:rFonts w:cs="Times New Roman"/>
          <w:szCs w:val="24"/>
        </w:rPr>
        <w:t xml:space="preserve"> under WAC 480-30-140(3</w:t>
      </w:r>
      <w:r w:rsidR="00A078BD">
        <w:rPr>
          <w:rFonts w:cs="Times New Roman"/>
          <w:szCs w:val="24"/>
        </w:rPr>
        <w:t>)</w:t>
      </w:r>
      <w:r w:rsidRPr="00024DB7">
        <w:rPr>
          <w:rFonts w:cs="Times New Roman"/>
          <w:szCs w:val="24"/>
        </w:rPr>
        <w:t>(b</w:t>
      </w:r>
      <w:r w:rsidRPr="00024DB7" w:rsidR="00EF46FE">
        <w:rPr>
          <w:rFonts w:cs="Times New Roman"/>
          <w:szCs w:val="24"/>
        </w:rPr>
        <w:t>)</w:t>
      </w:r>
      <w:r>
        <w:rPr>
          <w:rFonts w:cs="Times New Roman"/>
          <w:szCs w:val="24"/>
        </w:rPr>
        <w:t>,</w:t>
      </w:r>
      <w:r w:rsidR="00252BAF">
        <w:rPr>
          <w:rFonts w:cs="Times New Roman"/>
          <w:szCs w:val="24"/>
        </w:rPr>
        <w:t xml:space="preserve"> must </w:t>
      </w:r>
      <w:r w:rsidRPr="00024DB7" w:rsidR="00757D1F">
        <w:rPr>
          <w:rFonts w:cs="Times New Roman"/>
          <w:szCs w:val="24"/>
        </w:rPr>
        <w:t xml:space="preserve">mean its service is somehow sufficiently satisfactory to meet its </w:t>
      </w:r>
      <w:r w:rsidRPr="00024DB7" w:rsidR="00A86763">
        <w:rPr>
          <w:rFonts w:cs="Times New Roman"/>
          <w:szCs w:val="24"/>
        </w:rPr>
        <w:t xml:space="preserve">unilateral </w:t>
      </w:r>
      <w:r w:rsidRPr="00024DB7" w:rsidR="00757D1F">
        <w:rPr>
          <w:rFonts w:cs="Times New Roman"/>
          <w:szCs w:val="24"/>
        </w:rPr>
        <w:t xml:space="preserve">version of “same service” to sustain Shuttle Express’s </w:t>
      </w:r>
      <w:r w:rsidRPr="00024DB7" w:rsidR="00A86763">
        <w:rPr>
          <w:rFonts w:cs="Times New Roman"/>
          <w:szCs w:val="24"/>
        </w:rPr>
        <w:t xml:space="preserve">unwavering </w:t>
      </w:r>
      <w:r w:rsidRPr="00024DB7" w:rsidR="00757D1F">
        <w:rPr>
          <w:rFonts w:cs="Times New Roman"/>
          <w:szCs w:val="24"/>
        </w:rPr>
        <w:t>objections to Speedishuttle’s new entry application.</w:t>
      </w:r>
      <w:r>
        <w:rPr>
          <w:rStyle w:val="FootnoteReference"/>
          <w:rFonts w:cs="Times New Roman"/>
          <w:szCs w:val="24"/>
        </w:rPr>
        <w:footnoteReference w:id="2"/>
      </w:r>
      <w:r w:rsidRPr="00024DB7" w:rsidR="00757D1F">
        <w:rPr>
          <w:rFonts w:cs="Times New Roman"/>
          <w:szCs w:val="24"/>
        </w:rPr>
        <w:t xml:space="preserve">  Shuttle Express’s premise is </w:t>
      </w:r>
      <w:r w:rsidRPr="00024DB7" w:rsidR="00757D1F">
        <w:rPr>
          <w:rFonts w:cs="Times New Roman"/>
          <w:szCs w:val="24"/>
        </w:rPr>
        <w:t>flawed and the Commission</w:t>
      </w:r>
      <w:r w:rsidRPr="00024DB7" w:rsidR="00A86763">
        <w:rPr>
          <w:rFonts w:cs="Times New Roman"/>
          <w:szCs w:val="24"/>
        </w:rPr>
        <w:t>,</w:t>
      </w:r>
      <w:r w:rsidRPr="00024DB7" w:rsidR="00757D1F">
        <w:rPr>
          <w:rFonts w:cs="Times New Roman"/>
          <w:szCs w:val="24"/>
        </w:rPr>
        <w:t xml:space="preserve"> </w:t>
      </w:r>
      <w:r w:rsidRPr="00024DB7" w:rsidR="00EF46FE">
        <w:rPr>
          <w:rFonts w:cs="Times New Roman"/>
          <w:szCs w:val="24"/>
        </w:rPr>
        <w:t xml:space="preserve">after reviewing the arguments in support and </w:t>
      </w:r>
      <w:r w:rsidRPr="00024DB7" w:rsidR="00A86763">
        <w:rPr>
          <w:rFonts w:cs="Times New Roman"/>
          <w:szCs w:val="24"/>
        </w:rPr>
        <w:t xml:space="preserve">in </w:t>
      </w:r>
      <w:r w:rsidRPr="00024DB7" w:rsidR="00EF46FE">
        <w:rPr>
          <w:rFonts w:cs="Times New Roman"/>
          <w:szCs w:val="24"/>
        </w:rPr>
        <w:t>opposition</w:t>
      </w:r>
      <w:r w:rsidRPr="00024DB7" w:rsidR="00A86763">
        <w:rPr>
          <w:rFonts w:cs="Times New Roman"/>
          <w:szCs w:val="24"/>
        </w:rPr>
        <w:t>,</w:t>
      </w:r>
      <w:r w:rsidRPr="00024DB7" w:rsidR="00EF46FE">
        <w:rPr>
          <w:rFonts w:cs="Times New Roman"/>
          <w:szCs w:val="24"/>
        </w:rPr>
        <w:t xml:space="preserve"> </w:t>
      </w:r>
      <w:r w:rsidRPr="00024DB7" w:rsidR="00757D1F">
        <w:rPr>
          <w:rFonts w:cs="Times New Roman"/>
          <w:szCs w:val="24"/>
        </w:rPr>
        <w:t xml:space="preserve">should ultimately deny </w:t>
      </w:r>
      <w:r w:rsidRPr="00024DB7" w:rsidR="00A86763">
        <w:rPr>
          <w:rFonts w:cs="Times New Roman"/>
          <w:szCs w:val="24"/>
        </w:rPr>
        <w:t xml:space="preserve">the </w:t>
      </w:r>
      <w:r w:rsidRPr="00024DB7" w:rsidR="00757D1F">
        <w:rPr>
          <w:rFonts w:cs="Times New Roman"/>
          <w:szCs w:val="24"/>
        </w:rPr>
        <w:t>Petition</w:t>
      </w:r>
      <w:r w:rsidR="00C2544B">
        <w:rPr>
          <w:rFonts w:cs="Times New Roman"/>
          <w:szCs w:val="24"/>
        </w:rPr>
        <w:t>s</w:t>
      </w:r>
      <w:r w:rsidRPr="00024DB7" w:rsidR="00757D1F">
        <w:rPr>
          <w:rFonts w:cs="Times New Roman"/>
          <w:szCs w:val="24"/>
        </w:rPr>
        <w:t xml:space="preserve"> for Administrative Review of Initial Order 02.</w:t>
      </w:r>
    </w:p>
    <w:p w:rsidR="00757D1F" w:rsidP="00C2544B">
      <w:pPr>
        <w:pStyle w:val="Heading1"/>
      </w:pPr>
      <w:r>
        <w:t>introduction/background to proceeding</w:t>
      </w:r>
      <w:r w:rsidR="00C2544B">
        <w:t xml:space="preserve"> and objector </w:t>
      </w:r>
      <w:r w:rsidR="00661B24">
        <w:t xml:space="preserve">TESTIMONY </w:t>
      </w:r>
      <w:r w:rsidR="00C2544B">
        <w:t>contradictions</w:t>
      </w:r>
    </w:p>
    <w:p w:rsidR="00EF46FE" w:rsidP="00F07EDB">
      <w:pPr>
        <w:pStyle w:val="ListParagraph"/>
        <w:numPr>
          <w:ilvl w:val="0"/>
          <w:numId w:val="16"/>
        </w:numPr>
        <w:spacing w:line="480" w:lineRule="auto"/>
        <w:ind w:left="0" w:hanging="720"/>
        <w:rPr>
          <w:rFonts w:cs="Times New Roman"/>
          <w:szCs w:val="24"/>
        </w:rPr>
      </w:pPr>
      <w:r>
        <w:rPr>
          <w:rFonts w:cs="Times New Roman"/>
          <w:szCs w:val="24"/>
        </w:rPr>
        <w:tab/>
        <w:t xml:space="preserve">Although never </w:t>
      </w:r>
      <w:r w:rsidR="00C2544B">
        <w:rPr>
          <w:rFonts w:cs="Times New Roman"/>
          <w:szCs w:val="24"/>
        </w:rPr>
        <w:t xml:space="preserve">noted </w:t>
      </w:r>
      <w:r>
        <w:rPr>
          <w:rFonts w:cs="Times New Roman"/>
          <w:szCs w:val="24"/>
        </w:rPr>
        <w:t xml:space="preserve">by Shuttle Express, Speedishuttle’s application was sponsored and submitted in the wake of sweeping changes to the Commission’s </w:t>
      </w:r>
      <w:r w:rsidR="00A86763">
        <w:rPr>
          <w:rFonts w:cs="Times New Roman"/>
          <w:szCs w:val="24"/>
        </w:rPr>
        <w:t xml:space="preserve">decades-old </w:t>
      </w:r>
      <w:r>
        <w:rPr>
          <w:rFonts w:cs="Times New Roman"/>
          <w:szCs w:val="24"/>
        </w:rPr>
        <w:t>a</w:t>
      </w:r>
      <w:r>
        <w:rPr>
          <w:rFonts w:cs="Times New Roman"/>
          <w:szCs w:val="24"/>
        </w:rPr>
        <w:t xml:space="preserve">uto </w:t>
      </w:r>
      <w:r>
        <w:rPr>
          <w:rFonts w:cs="Times New Roman"/>
          <w:szCs w:val="24"/>
        </w:rPr>
        <w:t>t</w:t>
      </w:r>
      <w:r>
        <w:rPr>
          <w:rFonts w:cs="Times New Roman"/>
          <w:szCs w:val="24"/>
        </w:rPr>
        <w:t xml:space="preserve">ransportation </w:t>
      </w:r>
      <w:r>
        <w:rPr>
          <w:rFonts w:cs="Times New Roman"/>
          <w:szCs w:val="24"/>
        </w:rPr>
        <w:t>r</w:t>
      </w:r>
      <w:r>
        <w:rPr>
          <w:rFonts w:cs="Times New Roman"/>
          <w:szCs w:val="24"/>
        </w:rPr>
        <w:t>egulations at WAC 480-30</w:t>
      </w:r>
      <w:r w:rsidR="00205116">
        <w:rPr>
          <w:rFonts w:cs="Times New Roman"/>
          <w:szCs w:val="24"/>
        </w:rPr>
        <w:t>,</w:t>
      </w:r>
      <w:r>
        <w:rPr>
          <w:rFonts w:cs="Times New Roman"/>
          <w:szCs w:val="24"/>
        </w:rPr>
        <w:t xml:space="preserve"> as authorized by RCW 81.68</w:t>
      </w:r>
      <w:r w:rsidR="00A86763">
        <w:rPr>
          <w:rFonts w:cs="Times New Roman"/>
          <w:szCs w:val="24"/>
        </w:rPr>
        <w:t xml:space="preserve">.  Those 2013 </w:t>
      </w:r>
      <w:r w:rsidR="00661B24">
        <w:rPr>
          <w:rFonts w:cs="Times New Roman"/>
          <w:szCs w:val="24"/>
        </w:rPr>
        <w:t xml:space="preserve">rule </w:t>
      </w:r>
      <w:r w:rsidR="00A86763">
        <w:rPr>
          <w:rFonts w:cs="Times New Roman"/>
          <w:szCs w:val="24"/>
        </w:rPr>
        <w:t>revisions</w:t>
      </w:r>
      <w:r>
        <w:rPr>
          <w:rFonts w:cs="Times New Roman"/>
          <w:szCs w:val="24"/>
        </w:rPr>
        <w:t xml:space="preserve"> represented </w:t>
      </w:r>
      <w:r w:rsidR="00A86763">
        <w:rPr>
          <w:rFonts w:cs="Times New Roman"/>
          <w:szCs w:val="24"/>
        </w:rPr>
        <w:t xml:space="preserve">the </w:t>
      </w:r>
      <w:r>
        <w:rPr>
          <w:rFonts w:cs="Times New Roman"/>
          <w:szCs w:val="24"/>
        </w:rPr>
        <w:t xml:space="preserve">culmination </w:t>
      </w:r>
      <w:r>
        <w:rPr>
          <w:rFonts w:cs="Times New Roman"/>
          <w:szCs w:val="24"/>
        </w:rPr>
        <w:t xml:space="preserve">of an </w:t>
      </w:r>
      <w:r>
        <w:rPr>
          <w:rFonts w:cs="Times New Roman"/>
          <w:szCs w:val="24"/>
        </w:rPr>
        <w:t xml:space="preserve">extensive stakeholder rulemaking and an </w:t>
      </w:r>
      <w:r w:rsidR="00A86763">
        <w:rPr>
          <w:rFonts w:cs="Times New Roman"/>
          <w:szCs w:val="24"/>
        </w:rPr>
        <w:t xml:space="preserve">exhaustive </w:t>
      </w:r>
      <w:r>
        <w:rPr>
          <w:rFonts w:cs="Times New Roman"/>
          <w:szCs w:val="24"/>
        </w:rPr>
        <w:t xml:space="preserve">examination of the continuing viability of the regulatory </w:t>
      </w:r>
      <w:r>
        <w:rPr>
          <w:rFonts w:cs="Times New Roman"/>
          <w:szCs w:val="24"/>
        </w:rPr>
        <w:t xml:space="preserve">entry </w:t>
      </w:r>
      <w:r w:rsidR="00A86763">
        <w:rPr>
          <w:rFonts w:cs="Times New Roman"/>
          <w:szCs w:val="24"/>
        </w:rPr>
        <w:t xml:space="preserve">model </w:t>
      </w:r>
      <w:r>
        <w:rPr>
          <w:rFonts w:cs="Times New Roman"/>
          <w:szCs w:val="24"/>
        </w:rPr>
        <w:t>in the wake of just the kind of competitive change</w:t>
      </w:r>
      <w:r>
        <w:rPr>
          <w:rFonts w:cs="Times New Roman"/>
          <w:szCs w:val="24"/>
        </w:rPr>
        <w:t>s</w:t>
      </w:r>
      <w:r>
        <w:rPr>
          <w:rFonts w:cs="Times New Roman"/>
          <w:szCs w:val="24"/>
        </w:rPr>
        <w:t xml:space="preserve"> repeatedly cited by Shuttle Express</w:t>
      </w:r>
      <w:r w:rsidR="00C2544B">
        <w:rPr>
          <w:rFonts w:cs="Times New Roman"/>
          <w:szCs w:val="24"/>
        </w:rPr>
        <w:t xml:space="preserve"> in its Petition</w:t>
      </w:r>
      <w:r>
        <w:rPr>
          <w:rFonts w:cs="Times New Roman"/>
          <w:szCs w:val="24"/>
        </w:rPr>
        <w:t xml:space="preserve">.  </w:t>
      </w:r>
      <w:r w:rsidR="001F3F97">
        <w:rPr>
          <w:rFonts w:cs="Times New Roman"/>
          <w:szCs w:val="24"/>
        </w:rPr>
        <w:t xml:space="preserve">While Shuttle Express in its post-hearing arguments </w:t>
      </w:r>
      <w:r w:rsidR="00A86763">
        <w:rPr>
          <w:rFonts w:cs="Times New Roman"/>
          <w:szCs w:val="24"/>
        </w:rPr>
        <w:t xml:space="preserve">now </w:t>
      </w:r>
      <w:r w:rsidR="00EF6089">
        <w:rPr>
          <w:rFonts w:cs="Times New Roman"/>
          <w:szCs w:val="24"/>
        </w:rPr>
        <w:t xml:space="preserve">seeks to blame </w:t>
      </w:r>
      <w:r w:rsidR="001F3F97">
        <w:rPr>
          <w:rFonts w:cs="Times New Roman"/>
          <w:szCs w:val="24"/>
        </w:rPr>
        <w:t xml:space="preserve">this “new competition” </w:t>
      </w:r>
      <w:r w:rsidR="00C2544B">
        <w:rPr>
          <w:rFonts w:cs="Times New Roman"/>
          <w:szCs w:val="24"/>
        </w:rPr>
        <w:t>o</w:t>
      </w:r>
      <w:r w:rsidR="00EF6089">
        <w:rPr>
          <w:rFonts w:cs="Times New Roman"/>
          <w:szCs w:val="24"/>
        </w:rPr>
        <w:t>n</w:t>
      </w:r>
      <w:r w:rsidR="00C2544B">
        <w:rPr>
          <w:rFonts w:cs="Times New Roman"/>
          <w:szCs w:val="24"/>
        </w:rPr>
        <w:t xml:space="preserve"> an</w:t>
      </w:r>
      <w:r w:rsidR="00EF6089">
        <w:rPr>
          <w:rFonts w:cs="Times New Roman"/>
          <w:szCs w:val="24"/>
        </w:rPr>
        <w:t xml:space="preserve"> alleged</w:t>
      </w:r>
      <w:r w:rsidR="001F3F97">
        <w:rPr>
          <w:rFonts w:cs="Times New Roman"/>
          <w:szCs w:val="24"/>
        </w:rPr>
        <w:t xml:space="preserve"> decline in market demand </w:t>
      </w:r>
      <w:r>
        <w:rPr>
          <w:rFonts w:cs="Times New Roman"/>
          <w:szCs w:val="24"/>
        </w:rPr>
        <w:t xml:space="preserve">for its </w:t>
      </w:r>
      <w:r w:rsidR="00A86763">
        <w:rPr>
          <w:rFonts w:cs="Times New Roman"/>
          <w:szCs w:val="24"/>
        </w:rPr>
        <w:t xml:space="preserve">regulated </w:t>
      </w:r>
      <w:r>
        <w:rPr>
          <w:rFonts w:cs="Times New Roman"/>
          <w:szCs w:val="24"/>
        </w:rPr>
        <w:t>services</w:t>
      </w:r>
      <w:r w:rsidR="00EF6089">
        <w:rPr>
          <w:rFonts w:cs="Times New Roman"/>
          <w:szCs w:val="24"/>
        </w:rPr>
        <w:t>,</w:t>
      </w:r>
      <w:r>
        <w:rPr>
          <w:rFonts w:cs="Times New Roman"/>
          <w:szCs w:val="24"/>
        </w:rPr>
        <w:t xml:space="preserve"> </w:t>
      </w:r>
      <w:r w:rsidR="001F3F97">
        <w:rPr>
          <w:rFonts w:cs="Times New Roman"/>
          <w:szCs w:val="24"/>
        </w:rPr>
        <w:t xml:space="preserve">it fails to support </w:t>
      </w:r>
      <w:r w:rsidR="00252BAF">
        <w:rPr>
          <w:rFonts w:cs="Times New Roman"/>
          <w:szCs w:val="24"/>
        </w:rPr>
        <w:t>that</w:t>
      </w:r>
      <w:r w:rsidR="00EF6089">
        <w:rPr>
          <w:rFonts w:cs="Times New Roman"/>
          <w:szCs w:val="24"/>
        </w:rPr>
        <w:t xml:space="preserve"> premise</w:t>
      </w:r>
      <w:r w:rsidR="00252BAF">
        <w:rPr>
          <w:rFonts w:cs="Times New Roman"/>
          <w:szCs w:val="24"/>
        </w:rPr>
        <w:t xml:space="preserve"> with any evidence of record and</w:t>
      </w:r>
      <w:r w:rsidR="001F3F97">
        <w:rPr>
          <w:rFonts w:cs="Times New Roman"/>
          <w:szCs w:val="24"/>
        </w:rPr>
        <w:t xml:space="preserve"> also glaringly fails to tie the advent of unregulated competition to any documented </w:t>
      </w:r>
      <w:r>
        <w:rPr>
          <w:rFonts w:cs="Times New Roman"/>
          <w:szCs w:val="24"/>
        </w:rPr>
        <w:t xml:space="preserve">regulated service </w:t>
      </w:r>
      <w:r w:rsidR="00252BAF">
        <w:rPr>
          <w:rFonts w:cs="Times New Roman"/>
          <w:szCs w:val="24"/>
        </w:rPr>
        <w:t xml:space="preserve">demand </w:t>
      </w:r>
      <w:r w:rsidR="001F3F97">
        <w:rPr>
          <w:rFonts w:cs="Times New Roman"/>
          <w:szCs w:val="24"/>
        </w:rPr>
        <w:t>decline</w:t>
      </w:r>
      <w:r>
        <w:rPr>
          <w:rFonts w:cs="Times New Roman"/>
          <w:szCs w:val="24"/>
        </w:rPr>
        <w:t>,</w:t>
      </w:r>
      <w:r w:rsidR="001F3F97">
        <w:rPr>
          <w:rFonts w:cs="Times New Roman"/>
          <w:szCs w:val="24"/>
        </w:rPr>
        <w:t xml:space="preserve"> nor more importantly, any economic </w:t>
      </w:r>
      <w:r w:rsidR="00A86763">
        <w:rPr>
          <w:rFonts w:cs="Times New Roman"/>
          <w:szCs w:val="24"/>
        </w:rPr>
        <w:t xml:space="preserve">analysis </w:t>
      </w:r>
      <w:r w:rsidR="00EF6089">
        <w:rPr>
          <w:rFonts w:cs="Times New Roman"/>
          <w:szCs w:val="24"/>
        </w:rPr>
        <w:t xml:space="preserve">of whether its current tariffs, </w:t>
      </w:r>
      <w:r w:rsidR="001F3F97">
        <w:rPr>
          <w:rFonts w:cs="Times New Roman"/>
          <w:szCs w:val="24"/>
        </w:rPr>
        <w:t xml:space="preserve">pricing </w:t>
      </w:r>
      <w:r w:rsidR="00EF6089">
        <w:rPr>
          <w:rFonts w:cs="Times New Roman"/>
          <w:szCs w:val="24"/>
        </w:rPr>
        <w:t xml:space="preserve">or service </w:t>
      </w:r>
      <w:r w:rsidR="00A86763">
        <w:rPr>
          <w:rFonts w:cs="Times New Roman"/>
          <w:szCs w:val="24"/>
        </w:rPr>
        <w:t xml:space="preserve">might </w:t>
      </w:r>
      <w:r w:rsidR="001F3F97">
        <w:rPr>
          <w:rFonts w:cs="Times New Roman"/>
          <w:szCs w:val="24"/>
        </w:rPr>
        <w:t>create barriers to utilization</w:t>
      </w:r>
      <w:r w:rsidR="00A86763">
        <w:rPr>
          <w:rFonts w:cs="Times New Roman"/>
          <w:szCs w:val="24"/>
        </w:rPr>
        <w:t>,</w:t>
      </w:r>
      <w:r w:rsidR="001F3F97">
        <w:rPr>
          <w:rFonts w:cs="Times New Roman"/>
          <w:szCs w:val="24"/>
        </w:rPr>
        <w:t xml:space="preserve"> pursuant to WAC 480-30-140</w:t>
      </w:r>
      <w:r w:rsidR="00C2544B">
        <w:rPr>
          <w:rFonts w:cs="Times New Roman"/>
          <w:szCs w:val="24"/>
        </w:rPr>
        <w:t>(1)</w:t>
      </w:r>
      <w:r w:rsidR="001F3F97">
        <w:rPr>
          <w:rFonts w:cs="Times New Roman"/>
          <w:szCs w:val="24"/>
        </w:rPr>
        <w:t xml:space="preserve">(b).  </w:t>
      </w:r>
    </w:p>
    <w:p w:rsidR="00B221C8" w:rsidP="00B221C8">
      <w:pPr>
        <w:pStyle w:val="ListParagraph"/>
        <w:numPr>
          <w:ilvl w:val="0"/>
          <w:numId w:val="16"/>
        </w:numPr>
        <w:spacing w:line="480" w:lineRule="auto"/>
        <w:ind w:left="0" w:hanging="720"/>
        <w:rPr>
          <w:rFonts w:cs="Times New Roman"/>
          <w:szCs w:val="24"/>
        </w:rPr>
      </w:pPr>
      <w:r>
        <w:rPr>
          <w:rFonts w:cs="Times New Roman"/>
          <w:szCs w:val="24"/>
        </w:rPr>
        <w:tab/>
      </w:r>
      <w:r w:rsidR="001F3F97">
        <w:rPr>
          <w:rFonts w:cs="Times New Roman"/>
          <w:szCs w:val="24"/>
        </w:rPr>
        <w:t xml:space="preserve">Shuttle Express has </w:t>
      </w:r>
      <w:r w:rsidR="00205116">
        <w:rPr>
          <w:rFonts w:cs="Times New Roman"/>
          <w:szCs w:val="24"/>
        </w:rPr>
        <w:t xml:space="preserve">chosen </w:t>
      </w:r>
      <w:r>
        <w:rPr>
          <w:rFonts w:cs="Times New Roman"/>
          <w:szCs w:val="24"/>
        </w:rPr>
        <w:t xml:space="preserve">instead </w:t>
      </w:r>
      <w:r w:rsidR="00A86763">
        <w:rPr>
          <w:rFonts w:cs="Times New Roman"/>
          <w:szCs w:val="24"/>
        </w:rPr>
        <w:t xml:space="preserve">to </w:t>
      </w:r>
      <w:r w:rsidR="001F3F97">
        <w:rPr>
          <w:rFonts w:cs="Times New Roman"/>
          <w:szCs w:val="24"/>
        </w:rPr>
        <w:t xml:space="preserve">consistently </w:t>
      </w:r>
      <w:r w:rsidR="00EF6089">
        <w:rPr>
          <w:rFonts w:cs="Times New Roman"/>
          <w:szCs w:val="24"/>
        </w:rPr>
        <w:t xml:space="preserve">seek to </w:t>
      </w:r>
      <w:r w:rsidR="001F3F97">
        <w:rPr>
          <w:rFonts w:cs="Times New Roman"/>
          <w:szCs w:val="24"/>
        </w:rPr>
        <w:t xml:space="preserve">thwart </w:t>
      </w:r>
      <w:r>
        <w:rPr>
          <w:rFonts w:cs="Times New Roman"/>
          <w:szCs w:val="24"/>
        </w:rPr>
        <w:t xml:space="preserve">opportunities </w:t>
      </w:r>
      <w:r w:rsidR="001F3F97">
        <w:rPr>
          <w:rFonts w:cs="Times New Roman"/>
          <w:szCs w:val="24"/>
        </w:rPr>
        <w:t xml:space="preserve">of parties </w:t>
      </w:r>
      <w:r w:rsidR="00C2544B">
        <w:rPr>
          <w:rFonts w:cs="Times New Roman"/>
          <w:szCs w:val="24"/>
        </w:rPr>
        <w:t xml:space="preserve">attempting </w:t>
      </w:r>
      <w:r w:rsidR="001F3F97">
        <w:rPr>
          <w:rFonts w:cs="Times New Roman"/>
          <w:szCs w:val="24"/>
        </w:rPr>
        <w:t xml:space="preserve">to enter the </w:t>
      </w:r>
      <w:r w:rsidR="00EF6089">
        <w:rPr>
          <w:rFonts w:cs="Times New Roman"/>
          <w:szCs w:val="24"/>
        </w:rPr>
        <w:t xml:space="preserve">revised </w:t>
      </w:r>
      <w:r w:rsidR="001F3F97">
        <w:rPr>
          <w:rFonts w:cs="Times New Roman"/>
          <w:szCs w:val="24"/>
        </w:rPr>
        <w:t xml:space="preserve">regulated airport auto transportation market as </w:t>
      </w:r>
      <w:r>
        <w:rPr>
          <w:rFonts w:cs="Times New Roman"/>
          <w:szCs w:val="24"/>
        </w:rPr>
        <w:t xml:space="preserve">referenced in </w:t>
      </w:r>
      <w:r w:rsidR="00252BAF">
        <w:rPr>
          <w:rFonts w:cs="Times New Roman"/>
          <w:szCs w:val="24"/>
        </w:rPr>
        <w:t xml:space="preserve">Order No. 4, </w:t>
      </w:r>
      <w:r w:rsidRPr="00252BAF">
        <w:rPr>
          <w:rFonts w:cs="Times New Roman"/>
          <w:bCs/>
          <w:i/>
          <w:color w:val="0F2E4C"/>
          <w:kern w:val="36"/>
          <w:szCs w:val="24"/>
        </w:rPr>
        <w:t>Sani</w:t>
      </w:r>
      <w:r w:rsidRPr="00252BAF">
        <w:rPr>
          <w:rFonts w:cs="Times New Roman"/>
          <w:bCs/>
          <w:i/>
          <w:color w:val="0F2E4C"/>
          <w:kern w:val="36"/>
          <w:szCs w:val="24"/>
        </w:rPr>
        <w:t xml:space="preserve"> </w:t>
      </w:r>
      <w:r w:rsidRPr="00252BAF">
        <w:rPr>
          <w:rFonts w:cs="Times New Roman"/>
          <w:bCs/>
          <w:i/>
          <w:color w:val="0F2E4C"/>
          <w:kern w:val="36"/>
          <w:szCs w:val="24"/>
        </w:rPr>
        <w:t>Mahama</w:t>
      </w:r>
      <w:r w:rsidRPr="00252BAF">
        <w:rPr>
          <w:rFonts w:cs="Times New Roman"/>
          <w:bCs/>
          <w:i/>
          <w:color w:val="0F2E4C"/>
          <w:kern w:val="36"/>
          <w:szCs w:val="24"/>
        </w:rPr>
        <w:t xml:space="preserve"> Maurou d/b/a SeaTac Airport 24</w:t>
      </w:r>
      <w:r w:rsidRPr="00EF46FE">
        <w:rPr>
          <w:rFonts w:cs="Times New Roman"/>
          <w:bCs/>
          <w:color w:val="0F2E4C"/>
          <w:kern w:val="36"/>
          <w:szCs w:val="24"/>
        </w:rPr>
        <w:t>, Docket TC-140399</w:t>
      </w:r>
      <w:r w:rsidR="00252BAF">
        <w:rPr>
          <w:rFonts w:cs="Times New Roman"/>
          <w:bCs/>
          <w:color w:val="0F2E4C"/>
          <w:kern w:val="36"/>
          <w:szCs w:val="24"/>
        </w:rPr>
        <w:t xml:space="preserve">, </w:t>
      </w:r>
      <w:r w:rsidR="00252BAF">
        <w:rPr>
          <w:rFonts w:cs="Times New Roman"/>
          <w:bCs/>
          <w:color w:val="0F2E4C"/>
          <w:kern w:val="36"/>
          <w:szCs w:val="24"/>
        </w:rPr>
        <w:t>(</w:t>
      </w:r>
      <w:r w:rsidR="00252BAF">
        <w:rPr>
          <w:rFonts w:cs="Times New Roman"/>
          <w:bCs/>
          <w:color w:val="0F2E4C"/>
          <w:kern w:val="36"/>
          <w:szCs w:val="24"/>
        </w:rPr>
        <w:t>Oct. 2014)</w:t>
      </w:r>
      <w:r>
        <w:rPr>
          <w:rStyle w:val="FootnoteReference"/>
          <w:rFonts w:cs="Times New Roman"/>
          <w:bCs/>
          <w:color w:val="0F2E4C"/>
          <w:kern w:val="36"/>
          <w:szCs w:val="24"/>
        </w:rPr>
        <w:footnoteReference w:id="3"/>
      </w:r>
      <w:r>
        <w:rPr>
          <w:rFonts w:cs="Times New Roman"/>
          <w:szCs w:val="24"/>
        </w:rPr>
        <w:t xml:space="preserve"> and as </w:t>
      </w:r>
      <w:r w:rsidR="001F3F97">
        <w:rPr>
          <w:rFonts w:cs="Times New Roman"/>
          <w:szCs w:val="24"/>
        </w:rPr>
        <w:t xml:space="preserve">particularly demonstrated by the </w:t>
      </w:r>
      <w:r w:rsidR="00A86763">
        <w:rPr>
          <w:rFonts w:cs="Times New Roman"/>
          <w:szCs w:val="24"/>
        </w:rPr>
        <w:t xml:space="preserve">entire </w:t>
      </w:r>
      <w:r w:rsidR="001F3F97">
        <w:rPr>
          <w:rFonts w:cs="Times New Roman"/>
          <w:szCs w:val="24"/>
        </w:rPr>
        <w:t xml:space="preserve">record of this proceeding.  Indeed, </w:t>
      </w:r>
      <w:r w:rsidR="00A86763">
        <w:rPr>
          <w:rFonts w:cs="Times New Roman"/>
          <w:szCs w:val="24"/>
        </w:rPr>
        <w:t xml:space="preserve">although </w:t>
      </w:r>
      <w:r w:rsidR="001F3F97">
        <w:rPr>
          <w:rFonts w:cs="Times New Roman"/>
          <w:szCs w:val="24"/>
        </w:rPr>
        <w:t xml:space="preserve">the Petition for Administrative Review and Motion to </w:t>
      </w:r>
      <w:r w:rsidR="001F3F97">
        <w:rPr>
          <w:rFonts w:cs="Times New Roman"/>
          <w:szCs w:val="24"/>
        </w:rPr>
        <w:t>Reopen</w:t>
      </w:r>
      <w:r w:rsidR="001F3F97">
        <w:rPr>
          <w:rFonts w:cs="Times New Roman"/>
          <w:szCs w:val="24"/>
        </w:rPr>
        <w:t xml:space="preserve"> </w:t>
      </w:r>
      <w:r w:rsidR="00661B24">
        <w:rPr>
          <w:rFonts w:cs="Times New Roman"/>
          <w:szCs w:val="24"/>
        </w:rPr>
        <w:t xml:space="preserve">conspicuously </w:t>
      </w:r>
      <w:r w:rsidR="001F3F97">
        <w:rPr>
          <w:rFonts w:cs="Times New Roman"/>
          <w:szCs w:val="24"/>
        </w:rPr>
        <w:t>fail</w:t>
      </w:r>
      <w:r w:rsidR="00205116">
        <w:rPr>
          <w:rFonts w:cs="Times New Roman"/>
          <w:szCs w:val="24"/>
        </w:rPr>
        <w:t>s</w:t>
      </w:r>
      <w:r w:rsidR="001F3F97">
        <w:rPr>
          <w:rFonts w:cs="Times New Roman"/>
          <w:szCs w:val="24"/>
        </w:rPr>
        <w:t xml:space="preserve"> to so acknowledge</w:t>
      </w:r>
      <w:r>
        <w:rPr>
          <w:rFonts w:cs="Times New Roman"/>
          <w:szCs w:val="24"/>
        </w:rPr>
        <w:t>,</w:t>
      </w:r>
      <w:r w:rsidR="001F3F97">
        <w:rPr>
          <w:rFonts w:cs="Times New Roman"/>
          <w:szCs w:val="24"/>
        </w:rPr>
        <w:t xml:space="preserve"> Shuttle Express was an active </w:t>
      </w:r>
      <w:r w:rsidR="00A86763">
        <w:rPr>
          <w:rFonts w:cs="Times New Roman"/>
          <w:szCs w:val="24"/>
        </w:rPr>
        <w:t xml:space="preserve">participant </w:t>
      </w:r>
      <w:r w:rsidR="00C2544B">
        <w:rPr>
          <w:rFonts w:cs="Times New Roman"/>
          <w:szCs w:val="24"/>
        </w:rPr>
        <w:t xml:space="preserve">contributing to </w:t>
      </w:r>
      <w:r w:rsidR="001F3F97">
        <w:rPr>
          <w:rFonts w:cs="Times New Roman"/>
          <w:szCs w:val="24"/>
        </w:rPr>
        <w:t xml:space="preserve">the </w:t>
      </w:r>
      <w:r w:rsidR="00DD56DE">
        <w:rPr>
          <w:rFonts w:cs="Times New Roman"/>
          <w:szCs w:val="24"/>
        </w:rPr>
        <w:t xml:space="preserve">record in the </w:t>
      </w:r>
      <w:r w:rsidR="001F3F97">
        <w:rPr>
          <w:rFonts w:cs="Times New Roman"/>
          <w:szCs w:val="24"/>
        </w:rPr>
        <w:t xml:space="preserve">Commission’s </w:t>
      </w:r>
      <w:r>
        <w:rPr>
          <w:rFonts w:cs="Times New Roman"/>
          <w:szCs w:val="24"/>
        </w:rPr>
        <w:t xml:space="preserve">proposed </w:t>
      </w:r>
      <w:r w:rsidR="001F3F97">
        <w:rPr>
          <w:rFonts w:cs="Times New Roman"/>
          <w:szCs w:val="24"/>
        </w:rPr>
        <w:t>revised auto transportation rules in Docket No. TC-121328</w:t>
      </w:r>
      <w:r>
        <w:rPr>
          <w:rFonts w:cs="Times New Roman"/>
          <w:szCs w:val="24"/>
        </w:rPr>
        <w:t>.</w:t>
      </w:r>
      <w:r w:rsidR="00A86763">
        <w:rPr>
          <w:rFonts w:cs="Times New Roman"/>
          <w:szCs w:val="24"/>
        </w:rPr>
        <w:t xml:space="preserve">  Yet,</w:t>
      </w:r>
      <w:r w:rsidR="001F3F97">
        <w:rPr>
          <w:rFonts w:cs="Times New Roman"/>
          <w:szCs w:val="24"/>
        </w:rPr>
        <w:t xml:space="preserve"> </w:t>
      </w:r>
      <w:r w:rsidR="00A86763">
        <w:rPr>
          <w:rFonts w:cs="Times New Roman"/>
          <w:szCs w:val="24"/>
        </w:rPr>
        <w:t>i</w:t>
      </w:r>
      <w:r>
        <w:rPr>
          <w:rFonts w:cs="Times New Roman"/>
          <w:szCs w:val="24"/>
        </w:rPr>
        <w:t xml:space="preserve">t also </w:t>
      </w:r>
      <w:r w:rsidR="001F3F97">
        <w:rPr>
          <w:rFonts w:cs="Times New Roman"/>
          <w:szCs w:val="24"/>
        </w:rPr>
        <w:t xml:space="preserve">seems to have some </w:t>
      </w:r>
      <w:r w:rsidR="00661B24">
        <w:rPr>
          <w:rFonts w:cs="Times New Roman"/>
          <w:szCs w:val="24"/>
        </w:rPr>
        <w:t xml:space="preserve">amnesia </w:t>
      </w:r>
      <w:r w:rsidR="001F3F97">
        <w:rPr>
          <w:rFonts w:cs="Times New Roman"/>
          <w:szCs w:val="24"/>
        </w:rPr>
        <w:t xml:space="preserve">about its </w:t>
      </w:r>
      <w:r w:rsidR="00C2544B">
        <w:rPr>
          <w:rFonts w:cs="Times New Roman"/>
          <w:szCs w:val="24"/>
        </w:rPr>
        <w:t xml:space="preserve">previous </w:t>
      </w:r>
      <w:r w:rsidR="001F3F97">
        <w:rPr>
          <w:rFonts w:cs="Times New Roman"/>
          <w:szCs w:val="24"/>
        </w:rPr>
        <w:t>positions on those rules</w:t>
      </w:r>
      <w:r>
        <w:rPr>
          <w:rFonts w:cs="Times New Roman"/>
          <w:szCs w:val="24"/>
        </w:rPr>
        <w:t>.</w:t>
      </w:r>
      <w:r w:rsidR="001F3F97">
        <w:rPr>
          <w:rFonts w:cs="Times New Roman"/>
          <w:szCs w:val="24"/>
        </w:rPr>
        <w:t xml:space="preserve">  For instance, following the application and docketing for protest of the instant application</w:t>
      </w:r>
      <w:r>
        <w:rPr>
          <w:rFonts w:cs="Times New Roman"/>
          <w:szCs w:val="24"/>
        </w:rPr>
        <w:t>,</w:t>
      </w:r>
      <w:r w:rsidR="001F3F97">
        <w:rPr>
          <w:rFonts w:cs="Times New Roman"/>
          <w:szCs w:val="24"/>
        </w:rPr>
        <w:t xml:space="preserve"> Shuttle Express formally objected</w:t>
      </w:r>
      <w:r w:rsidR="005D6AA4">
        <w:rPr>
          <w:rFonts w:cs="Times New Roman"/>
          <w:szCs w:val="24"/>
        </w:rPr>
        <w:t>,</w:t>
      </w:r>
      <w:r w:rsidR="001F3F97">
        <w:rPr>
          <w:rFonts w:cs="Times New Roman"/>
          <w:szCs w:val="24"/>
        </w:rPr>
        <w:t xml:space="preserve"> </w:t>
      </w:r>
      <w:r>
        <w:rPr>
          <w:rFonts w:cs="Times New Roman"/>
          <w:szCs w:val="24"/>
        </w:rPr>
        <w:t xml:space="preserve">in </w:t>
      </w:r>
      <w:r w:rsidR="001F3F97">
        <w:rPr>
          <w:rFonts w:cs="Times New Roman"/>
          <w:szCs w:val="24"/>
        </w:rPr>
        <w:t xml:space="preserve">a </w:t>
      </w:r>
      <w:r w:rsidR="00A86763">
        <w:rPr>
          <w:rFonts w:cs="Times New Roman"/>
          <w:szCs w:val="24"/>
        </w:rPr>
        <w:t xml:space="preserve">December 2, 2014 </w:t>
      </w:r>
      <w:r w:rsidR="001F3F97">
        <w:rPr>
          <w:rFonts w:cs="Times New Roman"/>
          <w:szCs w:val="24"/>
        </w:rPr>
        <w:t>Motion to Strike</w:t>
      </w:r>
      <w:r w:rsidR="005D6AA4">
        <w:rPr>
          <w:rFonts w:cs="Times New Roman"/>
          <w:szCs w:val="24"/>
        </w:rPr>
        <w:t>,</w:t>
      </w:r>
      <w:r w:rsidR="001F3F97">
        <w:rPr>
          <w:rFonts w:cs="Times New Roman"/>
          <w:szCs w:val="24"/>
        </w:rPr>
        <w:t xml:space="preserve"> </w:t>
      </w:r>
      <w:r>
        <w:rPr>
          <w:rFonts w:cs="Times New Roman"/>
          <w:szCs w:val="24"/>
        </w:rPr>
        <w:t>to c</w:t>
      </w:r>
      <w:r w:rsidR="001F3F97">
        <w:rPr>
          <w:rFonts w:cs="Times New Roman"/>
          <w:szCs w:val="24"/>
        </w:rPr>
        <w:t>onsideration of this application in a Brief Adjudicative</w:t>
      </w:r>
      <w:r>
        <w:rPr>
          <w:rFonts w:cs="Times New Roman"/>
          <w:szCs w:val="24"/>
        </w:rPr>
        <w:t xml:space="preserve"> proceeding</w:t>
      </w:r>
      <w:r w:rsidR="005D6AA4">
        <w:rPr>
          <w:rFonts w:cs="Times New Roman"/>
          <w:szCs w:val="24"/>
        </w:rPr>
        <w:t xml:space="preserve"> setting</w:t>
      </w:r>
      <w:r>
        <w:rPr>
          <w:rFonts w:cs="Times New Roman"/>
          <w:szCs w:val="24"/>
        </w:rPr>
        <w:t xml:space="preserve">.  However, as found </w:t>
      </w:r>
      <w:r w:rsidR="001F3F97">
        <w:rPr>
          <w:rFonts w:cs="Times New Roman"/>
          <w:szCs w:val="24"/>
        </w:rPr>
        <w:t xml:space="preserve">by Initial </w:t>
      </w:r>
      <w:r>
        <w:rPr>
          <w:rFonts w:cs="Times New Roman"/>
          <w:szCs w:val="24"/>
        </w:rPr>
        <w:t>Order No. 01 in this proceeding:</w:t>
      </w:r>
    </w:p>
    <w:p w:rsidR="00CB0DDA" w:rsidRPr="00CB0DDA" w:rsidP="00CB0DDA">
      <w:pPr>
        <w:pStyle w:val="Quote"/>
        <w:rPr>
          <w:rFonts w:cs="Times New Roman"/>
          <w:szCs w:val="24"/>
        </w:rPr>
      </w:pPr>
      <w:r>
        <w:rPr>
          <w:rFonts w:cs="Times New Roman"/>
        </w:rPr>
        <w:t>…</w:t>
      </w:r>
      <w:r w:rsidR="00205116">
        <w:rPr>
          <w:rFonts w:cs="Times New Roman"/>
        </w:rPr>
        <w:t>[f]</w:t>
      </w:r>
      <w:r w:rsidRPr="00CB0DDA" w:rsidR="001F3F97">
        <w:rPr>
          <w:rFonts w:cs="Times New Roman"/>
        </w:rPr>
        <w:t>ar</w:t>
      </w:r>
      <w:r w:rsidRPr="00CB0DDA" w:rsidR="001F3F97">
        <w:rPr>
          <w:rFonts w:cs="Times New Roman"/>
        </w:rPr>
        <w:t xml:space="preserve"> from challenging the use of </w:t>
      </w:r>
      <w:r w:rsidRPr="00CB0DDA" w:rsidR="001F3F97">
        <w:rPr>
          <w:rFonts w:cs="Times New Roman"/>
        </w:rPr>
        <w:t>BAP</w:t>
      </w:r>
      <w:r w:rsidR="00B91300">
        <w:rPr>
          <w:rFonts w:cs="Times New Roman"/>
        </w:rPr>
        <w:t>s</w:t>
      </w:r>
      <w:r w:rsidRPr="00CB0DDA" w:rsidR="001F3F97">
        <w:rPr>
          <w:rFonts w:cs="Times New Roman"/>
        </w:rPr>
        <w:t xml:space="preserve"> to address objections to applications of for authority, Shuttle Express proposed language that would restrict the Commission’s flexibility to use processes </w:t>
      </w:r>
      <w:r w:rsidRPr="00CB0DDA" w:rsidR="001F3F97">
        <w:rPr>
          <w:rFonts w:cs="Times New Roman"/>
          <w:i/>
        </w:rPr>
        <w:t>other</w:t>
      </w:r>
      <w:r w:rsidRPr="00CB0DDA" w:rsidR="001F3F97">
        <w:rPr>
          <w:rFonts w:cs="Times New Roman"/>
        </w:rPr>
        <w:t xml:space="preserve"> than </w:t>
      </w:r>
      <w:r w:rsidRPr="00CB0DDA" w:rsidR="001F3F97">
        <w:rPr>
          <w:rFonts w:cs="Times New Roman"/>
        </w:rPr>
        <w:t>BAP</w:t>
      </w:r>
      <w:r w:rsidR="00B91300">
        <w:rPr>
          <w:rFonts w:cs="Times New Roman"/>
        </w:rPr>
        <w:t>s</w:t>
      </w:r>
      <w:r w:rsidRPr="00CB0DDA">
        <w:rPr>
          <w:rFonts w:cs="Times New Roman"/>
        </w:rPr>
        <w:t>,</w:t>
      </w:r>
      <w:r w:rsidRPr="00CB0DDA" w:rsidR="001F3F97">
        <w:rPr>
          <w:rFonts w:cs="Times New Roman"/>
        </w:rPr>
        <w:t xml:space="preserve"> </w:t>
      </w:r>
      <w:r w:rsidRPr="00CB0DDA" w:rsidR="001F3F97">
        <w:rPr>
          <w:rFonts w:cs="Times New Roman"/>
          <w:vertAlign w:val="superscript"/>
        </w:rPr>
        <w:t>[</w:t>
      </w:r>
      <w:r w:rsidR="00A86763">
        <w:rPr>
          <w:rFonts w:cs="Times New Roman"/>
          <w:vertAlign w:val="superscript"/>
        </w:rPr>
        <w:t>***</w:t>
      </w:r>
      <w:r w:rsidRPr="00CB0DDA" w:rsidR="001F3F97">
        <w:rPr>
          <w:rFonts w:cs="Times New Roman"/>
          <w:vertAlign w:val="superscript"/>
        </w:rPr>
        <w:t>]</w:t>
      </w:r>
      <w:r w:rsidRPr="00CB0DDA">
        <w:rPr>
          <w:rFonts w:cs="Times New Roman"/>
          <w:vertAlign w:val="superscript"/>
        </w:rPr>
        <w:t xml:space="preserve">  </w:t>
      </w:r>
      <w:r w:rsidRPr="00CB0DDA">
        <w:rPr>
          <w:rFonts w:cs="Times New Roman"/>
          <w:szCs w:val="24"/>
        </w:rPr>
        <w:t>which the Commission ultimately rejected.  We take a dim view of Shuttle Express’s claim in this proceeding that WAC 480-30-136 is unlawful when Shuttle Express took the opposite position during the rulemaking process.</w:t>
      </w:r>
      <w:r>
        <w:rPr>
          <w:rStyle w:val="FootnoteReference"/>
          <w:rFonts w:cs="Times New Roman"/>
          <w:szCs w:val="24"/>
        </w:rPr>
        <w:footnoteReference w:id="4"/>
      </w:r>
      <w:r w:rsidRPr="00CB0DDA">
        <w:rPr>
          <w:rFonts w:cs="Times New Roman"/>
          <w:szCs w:val="24"/>
        </w:rPr>
        <w:t xml:space="preserve"> </w:t>
      </w:r>
    </w:p>
    <w:p w:rsidR="00205116" w:rsidP="00EF46FE">
      <w:pPr>
        <w:pStyle w:val="ListParagraph"/>
        <w:numPr>
          <w:ilvl w:val="0"/>
          <w:numId w:val="16"/>
        </w:numPr>
        <w:spacing w:line="480" w:lineRule="auto"/>
        <w:ind w:left="0" w:hanging="720"/>
        <w:rPr>
          <w:rFonts w:cs="Times New Roman"/>
        </w:rPr>
      </w:pPr>
      <w:r>
        <w:rPr>
          <w:rFonts w:cs="Times New Roman"/>
          <w:szCs w:val="24"/>
        </w:rPr>
        <w:tab/>
      </w:r>
      <w:r w:rsidRPr="00EF46FE" w:rsidR="00CB0DDA">
        <w:rPr>
          <w:rFonts w:cs="Times New Roman"/>
          <w:szCs w:val="24"/>
        </w:rPr>
        <w:t>Indeed</w:t>
      </w:r>
      <w:r w:rsidRPr="00CB0DDA" w:rsidR="00CB0DDA">
        <w:rPr>
          <w:rFonts w:cs="Times New Roman"/>
        </w:rPr>
        <w:t xml:space="preserve">, Shuttle Express supported </w:t>
      </w:r>
      <w:r w:rsidR="00CB0DDA">
        <w:rPr>
          <w:rFonts w:cs="Times New Roman"/>
        </w:rPr>
        <w:t xml:space="preserve">many </w:t>
      </w:r>
      <w:r w:rsidR="00311965">
        <w:rPr>
          <w:rFonts w:cs="Times New Roman"/>
        </w:rPr>
        <w:t xml:space="preserve">facets </w:t>
      </w:r>
      <w:r w:rsidR="00CB0DDA">
        <w:rPr>
          <w:rFonts w:cs="Times New Roman"/>
        </w:rPr>
        <w:t xml:space="preserve">of the </w:t>
      </w:r>
      <w:r w:rsidR="00311965">
        <w:rPr>
          <w:rFonts w:cs="Times New Roman"/>
        </w:rPr>
        <w:t xml:space="preserve">omnibus </w:t>
      </w:r>
      <w:r w:rsidR="00CB0DDA">
        <w:rPr>
          <w:rFonts w:cs="Times New Roman"/>
        </w:rPr>
        <w:t>revision</w:t>
      </w:r>
      <w:r w:rsidR="005D6AA4">
        <w:rPr>
          <w:rFonts w:cs="Times New Roman"/>
        </w:rPr>
        <w:t>s</w:t>
      </w:r>
      <w:r w:rsidR="00CB0DDA">
        <w:rPr>
          <w:rFonts w:cs="Times New Roman"/>
        </w:rPr>
        <w:t xml:space="preserve"> to the auto transportation rules </w:t>
      </w:r>
      <w:r w:rsidR="00311965">
        <w:rPr>
          <w:rFonts w:cs="Times New Roman"/>
        </w:rPr>
        <w:t xml:space="preserve">in 2013 </w:t>
      </w:r>
      <w:r w:rsidR="00CB0DDA">
        <w:rPr>
          <w:rFonts w:cs="Times New Roman"/>
        </w:rPr>
        <w:t xml:space="preserve">and </w:t>
      </w:r>
      <w:r w:rsidR="00B91300">
        <w:rPr>
          <w:rFonts w:cs="Times New Roman"/>
        </w:rPr>
        <w:t xml:space="preserve">then </w:t>
      </w:r>
      <w:r w:rsidR="00CB0DDA">
        <w:rPr>
          <w:rFonts w:cs="Times New Roman"/>
        </w:rPr>
        <w:t xml:space="preserve">took advantage of the rate flexibility </w:t>
      </w:r>
      <w:r w:rsidR="00C2544B">
        <w:rPr>
          <w:rFonts w:cs="Times New Roman"/>
        </w:rPr>
        <w:t>enacted</w:t>
      </w:r>
      <w:r w:rsidR="00CB0DDA">
        <w:rPr>
          <w:rFonts w:cs="Times New Roman"/>
        </w:rPr>
        <w:t xml:space="preserve"> by the rule adoption in September 2013</w:t>
      </w:r>
      <w:r w:rsidR="00311965">
        <w:rPr>
          <w:rFonts w:cs="Times New Roman"/>
        </w:rPr>
        <w:t xml:space="preserve"> in</w:t>
      </w:r>
      <w:r w:rsidR="00CB0DDA">
        <w:rPr>
          <w:rFonts w:cs="Times New Roman"/>
        </w:rPr>
        <w:t xml:space="preserve"> electing the ability to charge flexible fares.  </w:t>
      </w:r>
    </w:p>
    <w:p w:rsidR="00311965" w:rsidP="00EF46FE">
      <w:pPr>
        <w:pStyle w:val="ListParagraph"/>
        <w:numPr>
          <w:ilvl w:val="0"/>
          <w:numId w:val="16"/>
        </w:numPr>
        <w:spacing w:line="480" w:lineRule="auto"/>
        <w:ind w:left="0" w:hanging="720"/>
        <w:rPr>
          <w:rFonts w:cs="Times New Roman"/>
        </w:rPr>
      </w:pPr>
      <w:r>
        <w:rPr>
          <w:rFonts w:cs="Times New Roman"/>
        </w:rPr>
        <w:tab/>
      </w:r>
      <w:r w:rsidR="00CB0DDA">
        <w:rPr>
          <w:rFonts w:cs="Times New Roman"/>
        </w:rPr>
        <w:t xml:space="preserve">Shuttle Express’s </w:t>
      </w:r>
      <w:r w:rsidR="005D6AA4">
        <w:rPr>
          <w:rFonts w:cs="Times New Roman"/>
        </w:rPr>
        <w:t xml:space="preserve">additional </w:t>
      </w:r>
      <w:r w:rsidR="00CB0DDA">
        <w:rPr>
          <w:rFonts w:cs="Times New Roman"/>
        </w:rPr>
        <w:t xml:space="preserve">“memory lapses” </w:t>
      </w:r>
      <w:r w:rsidR="007A4314">
        <w:rPr>
          <w:rFonts w:cs="Times New Roman"/>
        </w:rPr>
        <w:t xml:space="preserve">extend well </w:t>
      </w:r>
      <w:r w:rsidR="002F5618">
        <w:rPr>
          <w:rFonts w:cs="Times New Roman"/>
        </w:rPr>
        <w:t xml:space="preserve">beyond </w:t>
      </w:r>
      <w:r w:rsidR="007A4314">
        <w:rPr>
          <w:rFonts w:cs="Times New Roman"/>
        </w:rPr>
        <w:t xml:space="preserve">previous positions taken in the forerunning rulemaking cited above and also involve its </w:t>
      </w:r>
      <w:r w:rsidR="00C2544B">
        <w:rPr>
          <w:rFonts w:cs="Times New Roman"/>
        </w:rPr>
        <w:t xml:space="preserve">recent </w:t>
      </w:r>
      <w:r w:rsidR="007A4314">
        <w:rPr>
          <w:rFonts w:cs="Times New Roman"/>
        </w:rPr>
        <w:t xml:space="preserve">regulatory compliance posture and its transparent “reinterpretation” of </w:t>
      </w:r>
      <w:r w:rsidR="00A86763">
        <w:rPr>
          <w:rFonts w:cs="Times New Roman"/>
        </w:rPr>
        <w:t xml:space="preserve">past </w:t>
      </w:r>
      <w:r>
        <w:rPr>
          <w:rFonts w:cs="Times New Roman"/>
        </w:rPr>
        <w:t xml:space="preserve">documented </w:t>
      </w:r>
      <w:r w:rsidR="007A4314">
        <w:rPr>
          <w:rFonts w:cs="Times New Roman"/>
        </w:rPr>
        <w:t xml:space="preserve">violations of law and rule both in </w:t>
      </w:r>
      <w:r w:rsidR="00A86763">
        <w:rPr>
          <w:rFonts w:cs="Times New Roman"/>
        </w:rPr>
        <w:t xml:space="preserve">the </w:t>
      </w:r>
      <w:r w:rsidR="007A4314">
        <w:rPr>
          <w:rFonts w:cs="Times New Roman"/>
        </w:rPr>
        <w:t>hearing record and in its Petition for Administrative Review</w:t>
      </w:r>
      <w:r w:rsidR="00A86763">
        <w:rPr>
          <w:rFonts w:cs="Times New Roman"/>
        </w:rPr>
        <w:t xml:space="preserve">.  In the latter, </w:t>
      </w:r>
      <w:r w:rsidR="002F5618">
        <w:rPr>
          <w:rFonts w:cs="Times New Roman"/>
        </w:rPr>
        <w:t xml:space="preserve">Shuttle Express </w:t>
      </w:r>
      <w:r w:rsidR="007A4314">
        <w:rPr>
          <w:rFonts w:cs="Times New Roman"/>
        </w:rPr>
        <w:t>casts a creative spin on a ten-plus year history of viola</w:t>
      </w:r>
      <w:r>
        <w:rPr>
          <w:rFonts w:cs="Times New Roman"/>
        </w:rPr>
        <w:t xml:space="preserve">tion of </w:t>
      </w:r>
      <w:r w:rsidR="007A4314">
        <w:rPr>
          <w:rFonts w:cs="Times New Roman"/>
        </w:rPr>
        <w:t>Commission regulations</w:t>
      </w:r>
      <w:r>
        <w:rPr>
          <w:rFonts w:cs="Times New Roman"/>
        </w:rPr>
        <w:t>,</w:t>
      </w:r>
      <w:r>
        <w:rPr>
          <w:rStyle w:val="FootnoteReference"/>
          <w:rFonts w:cs="Times New Roman"/>
        </w:rPr>
        <w:footnoteReference w:id="5"/>
      </w:r>
      <w:r w:rsidR="007A4314">
        <w:rPr>
          <w:rFonts w:cs="Times New Roman"/>
        </w:rPr>
        <w:t xml:space="preserve"> payment of a </w:t>
      </w:r>
      <w:r w:rsidR="00A86763">
        <w:rPr>
          <w:rFonts w:cs="Times New Roman"/>
        </w:rPr>
        <w:t xml:space="preserve">reduced </w:t>
      </w:r>
      <w:r w:rsidR="007A4314">
        <w:rPr>
          <w:rFonts w:cs="Times New Roman"/>
        </w:rPr>
        <w:t xml:space="preserve">$60,000 fine </w:t>
      </w:r>
      <w:r>
        <w:rPr>
          <w:rFonts w:cs="Times New Roman"/>
        </w:rPr>
        <w:t xml:space="preserve">and </w:t>
      </w:r>
      <w:r w:rsidR="007A4314">
        <w:rPr>
          <w:rFonts w:cs="Times New Roman"/>
        </w:rPr>
        <w:t>violation of a previous consent order for violation of the same Commission rule</w:t>
      </w:r>
      <w:r w:rsidR="00FD567C">
        <w:rPr>
          <w:rFonts w:cs="Times New Roman"/>
        </w:rPr>
        <w:t>,</w:t>
      </w:r>
      <w:r w:rsidR="007A4314">
        <w:rPr>
          <w:rFonts w:cs="Times New Roman"/>
        </w:rPr>
        <w:t xml:space="preserve"> WAC 480-30-213.  In the aggregate, Shuttle Express’s posture </w:t>
      </w:r>
      <w:r>
        <w:rPr>
          <w:rFonts w:cs="Times New Roman"/>
        </w:rPr>
        <w:t xml:space="preserve">in </w:t>
      </w:r>
      <w:r w:rsidR="007A4314">
        <w:rPr>
          <w:rFonts w:cs="Times New Roman"/>
        </w:rPr>
        <w:t>this proceeding has been consistent in its inconsistencies</w:t>
      </w:r>
      <w:r>
        <w:rPr>
          <w:rFonts w:cs="Times New Roman"/>
        </w:rPr>
        <w:t>,</w:t>
      </w:r>
      <w:r w:rsidR="007A4314">
        <w:rPr>
          <w:rFonts w:cs="Times New Roman"/>
        </w:rPr>
        <w:t xml:space="preserve"> particularly w</w:t>
      </w:r>
      <w:r>
        <w:rPr>
          <w:rFonts w:cs="Times New Roman"/>
        </w:rPr>
        <w:t xml:space="preserve">ith respect to its </w:t>
      </w:r>
      <w:r w:rsidR="00B91300">
        <w:rPr>
          <w:rFonts w:cs="Times New Roman"/>
        </w:rPr>
        <w:t xml:space="preserve">concerted </w:t>
      </w:r>
      <w:r>
        <w:rPr>
          <w:rFonts w:cs="Times New Roman"/>
        </w:rPr>
        <w:t xml:space="preserve">advocacy to </w:t>
      </w:r>
      <w:r w:rsidR="00FD567C">
        <w:rPr>
          <w:rFonts w:cs="Times New Roman"/>
        </w:rPr>
        <w:t xml:space="preserve">block </w:t>
      </w:r>
      <w:r w:rsidR="007A4314">
        <w:rPr>
          <w:rFonts w:cs="Times New Roman"/>
        </w:rPr>
        <w:t xml:space="preserve">competition in the </w:t>
      </w:r>
      <w:r>
        <w:rPr>
          <w:rFonts w:cs="Times New Roman"/>
        </w:rPr>
        <w:t xml:space="preserve">midst </w:t>
      </w:r>
      <w:r w:rsidR="007A4314">
        <w:rPr>
          <w:rFonts w:cs="Times New Roman"/>
        </w:rPr>
        <w:t xml:space="preserve">of a </w:t>
      </w:r>
      <w:r w:rsidR="002F5618">
        <w:rPr>
          <w:rFonts w:cs="Times New Roman"/>
        </w:rPr>
        <w:t xml:space="preserve">hearing </w:t>
      </w:r>
      <w:r w:rsidR="007A4314">
        <w:rPr>
          <w:rFonts w:cs="Times New Roman"/>
        </w:rPr>
        <w:t xml:space="preserve">record which reflects its </w:t>
      </w:r>
      <w:r w:rsidR="007A4314">
        <w:rPr>
          <w:rFonts w:cs="Times New Roman"/>
        </w:rPr>
        <w:t>own previous inability to reasonably serve the traveling public</w:t>
      </w:r>
      <w:r w:rsidR="005D6AA4">
        <w:rPr>
          <w:rFonts w:cs="Times New Roman"/>
        </w:rPr>
        <w:t xml:space="preserve"> by</w:t>
      </w:r>
      <w:r>
        <w:rPr>
          <w:rFonts w:cs="Times New Roman"/>
        </w:rPr>
        <w:t xml:space="preserve"> </w:t>
      </w:r>
      <w:r w:rsidR="007A4314">
        <w:rPr>
          <w:rFonts w:cs="Times New Roman"/>
        </w:rPr>
        <w:t>resort</w:t>
      </w:r>
      <w:r>
        <w:rPr>
          <w:rFonts w:cs="Times New Roman"/>
        </w:rPr>
        <w:t xml:space="preserve">ing to repeat </w:t>
      </w:r>
      <w:r w:rsidR="007A4314">
        <w:rPr>
          <w:rFonts w:cs="Times New Roman"/>
        </w:rPr>
        <w:t>and intentional rule violations</w:t>
      </w:r>
      <w:r w:rsidR="001A6198">
        <w:rPr>
          <w:rFonts w:cs="Times New Roman"/>
        </w:rPr>
        <w:t xml:space="preserve"> to supplement its regulated services.</w:t>
      </w:r>
      <w:r>
        <w:rPr>
          <w:rStyle w:val="FootnoteReference"/>
          <w:rFonts w:cs="Times New Roman"/>
        </w:rPr>
        <w:footnoteReference w:id="6"/>
      </w:r>
      <w:r w:rsidR="007A4314">
        <w:rPr>
          <w:rFonts w:cs="Times New Roman"/>
        </w:rPr>
        <w:t xml:space="preserve">  </w:t>
      </w:r>
    </w:p>
    <w:p w:rsidR="0015402E" w:rsidRPr="0015402E" w:rsidP="0015402E">
      <w:pPr>
        <w:pStyle w:val="ListParagraph"/>
        <w:numPr>
          <w:ilvl w:val="0"/>
          <w:numId w:val="16"/>
        </w:numPr>
        <w:spacing w:line="480" w:lineRule="auto"/>
        <w:ind w:left="0" w:hanging="720"/>
        <w:rPr>
          <w:rFonts w:cs="Times New Roman"/>
        </w:rPr>
      </w:pPr>
      <w:r>
        <w:rPr>
          <w:rFonts w:cs="Times New Roman"/>
        </w:rPr>
        <w:tab/>
      </w:r>
      <w:r w:rsidR="00C2544B">
        <w:rPr>
          <w:rFonts w:cs="Times New Roman"/>
        </w:rPr>
        <w:t xml:space="preserve">In </w:t>
      </w:r>
      <w:r w:rsidR="00661B24">
        <w:rPr>
          <w:rFonts w:cs="Times New Roman"/>
        </w:rPr>
        <w:t xml:space="preserve">further </w:t>
      </w:r>
      <w:r w:rsidR="00C2544B">
        <w:rPr>
          <w:rFonts w:cs="Times New Roman"/>
        </w:rPr>
        <w:t xml:space="preserve">elaborating on footnote 4, above, </w:t>
      </w:r>
      <w:r w:rsidRPr="0015402E">
        <w:rPr>
          <w:rFonts w:cs="Times New Roman"/>
        </w:rPr>
        <w:t xml:space="preserve">the sworn declaration of the owner of Shuttle Express, </w:t>
      </w:r>
      <w:r w:rsidRPr="0015402E">
        <w:rPr>
          <w:rFonts w:cs="Times New Roman"/>
        </w:rPr>
        <w:t>J</w:t>
      </w:r>
      <w:r w:rsidR="00A078BD">
        <w:rPr>
          <w:rFonts w:cs="Times New Roman"/>
        </w:rPr>
        <w:t>i</w:t>
      </w:r>
      <w:r w:rsidRPr="0015402E">
        <w:rPr>
          <w:rFonts w:cs="Times New Roman"/>
        </w:rPr>
        <w:t>my</w:t>
      </w:r>
      <w:r w:rsidRPr="0015402E">
        <w:rPr>
          <w:rFonts w:cs="Times New Roman"/>
        </w:rPr>
        <w:t xml:space="preserve"> Sherrell, submitted in support of the Petition for Exemption in November 2013, </w:t>
      </w:r>
      <w:r w:rsidR="00661B24">
        <w:rPr>
          <w:rFonts w:cs="Times New Roman"/>
        </w:rPr>
        <w:t xml:space="preserve">magnifies </w:t>
      </w:r>
      <w:r w:rsidR="00C2544B">
        <w:rPr>
          <w:rFonts w:cs="Times New Roman"/>
        </w:rPr>
        <w:t xml:space="preserve">the </w:t>
      </w:r>
      <w:r w:rsidRPr="0015402E">
        <w:rPr>
          <w:rFonts w:cs="Times New Roman"/>
        </w:rPr>
        <w:t xml:space="preserve">conflict in testimony between Shuttle Express’s stance on “rescue service” at Speedishuttle’s hearing </w:t>
      </w:r>
      <w:r w:rsidR="00C2544B">
        <w:rPr>
          <w:rFonts w:cs="Times New Roman"/>
        </w:rPr>
        <w:t xml:space="preserve">and </w:t>
      </w:r>
      <w:r w:rsidRPr="0015402E">
        <w:rPr>
          <w:rFonts w:cs="Times New Roman"/>
        </w:rPr>
        <w:t>the reasons previously advanced by the Objector itself in support of the Petition for Exemption.  For instance, at ¶4 of that Declaration, Mr. Sherrell said as follows:</w:t>
      </w:r>
    </w:p>
    <w:p w:rsidR="0015402E" w:rsidP="0015402E">
      <w:pPr>
        <w:pStyle w:val="Quote"/>
      </w:pPr>
      <w:r>
        <w:t>[s]</w:t>
      </w:r>
      <w:r>
        <w:t>ince</w:t>
      </w:r>
      <w:r>
        <w:t xml:space="preserve"> the Initial Order came out on </w:t>
      </w:r>
      <w:r w:rsidR="004A27BD">
        <w:t xml:space="preserve">the </w:t>
      </w:r>
      <w:r>
        <w:t>Staff’s complaint, I directed Shuttle Express to voluntarily comply with the cease and desist.  That compliance is already harming the traveling public by material</w:t>
      </w:r>
      <w:r w:rsidR="00C2544B">
        <w:t>ly</w:t>
      </w:r>
      <w:r>
        <w:t xml:space="preserve"> degrading Shuttle Express’s service.  It is resulting in longer wait times at the airport due to the need to redirect vans for inbound priority.  Often a passenger becomes inpatient and takes a taxi to get home.  This forces them to pay a much higher fare and creates bad will for Shuttle </w:t>
      </w:r>
      <w:r w:rsidRPr="006036A3">
        <w:t>Express.  We cannot expect repeat business from people who have a bad</w:t>
      </w:r>
      <w:r>
        <w:t xml:space="preserve"> experience like that.  We now have to pick up people earlier due to bad routing to get a rescue from another van.  Again, this makes our service less convenient and discourages repeat business.  Passengers are now getting to the airport closer to their departure time, giving them high anxiety.  Sometimes we have to ask people to drive their own car and park so they do not miss their flight.  This c</w:t>
      </w:r>
      <w:r w:rsidR="004A27BD">
        <w:t>ost</w:t>
      </w:r>
      <w:r>
        <w:t>s us a high parking fee reimbursement.  And while that is some compensation, it is not delivery of the service the passenger requested.  We would much rather provide their ride to the airport and we could have if rescue service were still allowed.</w:t>
      </w:r>
    </w:p>
    <w:p w:rsidR="00205116" w:rsidP="002E5AB5">
      <w:pPr>
        <w:pStyle w:val="ListParagraph"/>
        <w:numPr>
          <w:ilvl w:val="0"/>
          <w:numId w:val="16"/>
        </w:numPr>
        <w:spacing w:line="480" w:lineRule="auto"/>
        <w:ind w:left="0" w:hanging="720"/>
      </w:pPr>
      <w:r>
        <w:tab/>
      </w:r>
      <w:r w:rsidR="0015402E">
        <w:t>Mr. Sherrell continued at ¶5 “…[c]</w:t>
      </w:r>
      <w:r w:rsidR="0015402E">
        <w:t>ompliance</w:t>
      </w:r>
      <w:r w:rsidR="0015402E">
        <w:t xml:space="preserve"> with the cease and desist during the Christmas and New Year holidays puts the traveling public at particular risk.  Year-end and New Year holiday </w:t>
      </w:r>
      <w:r w:rsidR="004A27BD">
        <w:t xml:space="preserve">air </w:t>
      </w:r>
      <w:r w:rsidR="0015402E">
        <w:t>travel volumes are particularly high</w:t>
      </w:r>
      <w:r w:rsidR="0015402E">
        <w:t>…[</w:t>
      </w:r>
      <w:r w:rsidR="0015402E">
        <w:t>a]</w:t>
      </w:r>
      <w:r w:rsidR="0015402E">
        <w:t>lso</w:t>
      </w:r>
      <w:r w:rsidR="0015402E">
        <w:t xml:space="preserve">, flight delays often result in </w:t>
      </w:r>
      <w:r w:rsidR="0015402E">
        <w:t>unexpected demand at th</w:t>
      </w:r>
      <w:r w:rsidR="002E5AB5">
        <w:t>e airport at unexpected times.”</w:t>
      </w:r>
      <w:r>
        <w:rPr>
          <w:rStyle w:val="FootnoteReference"/>
        </w:rPr>
        <w:footnoteReference w:id="7"/>
      </w:r>
      <w:r w:rsidR="002E5AB5">
        <w:t xml:space="preserve"> </w:t>
      </w:r>
      <w:r w:rsidR="0015402E">
        <w:t xml:space="preserve"> Finally, at ¶6 of his Declaration Mr. Sherrell says the following: “[f]</w:t>
      </w:r>
      <w:r w:rsidR="0015402E">
        <w:t>rom</w:t>
      </w:r>
      <w:r w:rsidR="0015402E">
        <w:t xml:space="preserve"> its inception, we have had to use some form of rescue service for its door-to-door service due to the unique type of operation that we are.  </w:t>
      </w:r>
      <w:r w:rsidRPr="00C2544B" w:rsidR="0015402E">
        <w:rPr>
          <w:i/>
        </w:rPr>
        <w:t xml:space="preserve">This share </w:t>
      </w:r>
      <w:r w:rsidRPr="00C2544B" w:rsidR="00C2544B">
        <w:t xml:space="preserve">[sic] </w:t>
      </w:r>
      <w:r w:rsidRPr="00C2544B" w:rsidR="0015402E">
        <w:rPr>
          <w:i/>
        </w:rPr>
        <w:t>ride</w:t>
      </w:r>
      <w:r w:rsidRPr="00C2544B" w:rsidR="0015402E">
        <w:rPr>
          <w:i/>
        </w:rPr>
        <w:t xml:space="preserve"> door-to-door service we offer is not viable without rescue service…</w:t>
      </w:r>
      <w:r w:rsidR="00C2544B">
        <w:t>” [Emphasis added].</w:t>
      </w:r>
    </w:p>
    <w:p w:rsidR="005D6AA4" w:rsidP="00205116">
      <w:pPr>
        <w:pStyle w:val="ListParagraph"/>
        <w:numPr>
          <w:ilvl w:val="0"/>
          <w:numId w:val="16"/>
        </w:numPr>
        <w:spacing w:line="480" w:lineRule="auto"/>
        <w:ind w:left="0" w:hanging="720"/>
      </w:pPr>
      <w:r>
        <w:rPr>
          <w:rFonts w:cs="Times New Roman"/>
        </w:rPr>
        <w:tab/>
      </w:r>
      <w:r w:rsidRPr="00205116" w:rsidR="00F42935">
        <w:rPr>
          <w:rFonts w:cs="Times New Roman"/>
        </w:rPr>
        <w:t>Speedishuttle</w:t>
      </w:r>
      <w:r w:rsidR="00F42935">
        <w:t xml:space="preserve"> will not </w:t>
      </w:r>
      <w:r>
        <w:t xml:space="preserve">further </w:t>
      </w:r>
      <w:r w:rsidR="00F03B26">
        <w:t xml:space="preserve">quote other passages of </w:t>
      </w:r>
      <w:r w:rsidR="00C2544B">
        <w:t xml:space="preserve">the </w:t>
      </w:r>
      <w:r w:rsidR="00F03B26">
        <w:t>Petition for Exemption</w:t>
      </w:r>
      <w:r w:rsidR="00C2544B">
        <w:t>,</w:t>
      </w:r>
      <w:r w:rsidR="00F03B26">
        <w:t xml:space="preserve"> but </w:t>
      </w:r>
      <w:r>
        <w:t>that pleading</w:t>
      </w:r>
      <w:r w:rsidR="002F4BB2">
        <w:t>,</w:t>
      </w:r>
      <w:r w:rsidR="003245E7">
        <w:t xml:space="preserve"> as noted,</w:t>
      </w:r>
      <w:r>
        <w:t xml:space="preserve"> </w:t>
      </w:r>
      <w:r w:rsidR="00F03B26">
        <w:t>unquestionably contravenes the testimony of Shuttle Express at the January 12, 2015 hearing that there was “no business need for the rescue service.”</w:t>
      </w:r>
      <w:r>
        <w:rPr>
          <w:rStyle w:val="FootnoteReference"/>
        </w:rPr>
        <w:footnoteReference w:id="8"/>
      </w:r>
      <w:r w:rsidR="00F03B26">
        <w:t xml:space="preserve">  The Commission, in evaluating service to </w:t>
      </w:r>
      <w:r w:rsidR="00C2544B">
        <w:t xml:space="preserve">its </w:t>
      </w:r>
      <w:r w:rsidR="00F03B26">
        <w:t>satisfaction under WAC 480-30-136(3)</w:t>
      </w:r>
      <w:r w:rsidR="00C2544B">
        <w:t>,</w:t>
      </w:r>
      <w:r w:rsidR="00F03B26">
        <w:t xml:space="preserve"> is strongly</w:t>
      </w:r>
      <w:r w:rsidR="00661B24">
        <w:t xml:space="preserve"> invited</w:t>
      </w:r>
      <w:r w:rsidR="002F4BB2">
        <w:t>,</w:t>
      </w:r>
      <w:r w:rsidR="00F03B26">
        <w:t xml:space="preserve"> </w:t>
      </w:r>
      <w:r w:rsidR="00C2544B">
        <w:t xml:space="preserve">pursuant to </w:t>
      </w:r>
      <w:r w:rsidR="00E623AE">
        <w:t>WAC</w:t>
      </w:r>
      <w:r w:rsidR="00F03B26">
        <w:t xml:space="preserve"> </w:t>
      </w:r>
      <w:r w:rsidR="00E623AE">
        <w:t>480-30-136(3</w:t>
      </w:r>
      <w:r w:rsidR="00E623AE">
        <w:t>)</w:t>
      </w:r>
      <w:r w:rsidR="006446B1">
        <w:t>(</w:t>
      </w:r>
      <w:r w:rsidR="006446B1">
        <w:t>a)</w:t>
      </w:r>
      <w:r w:rsidR="00E623AE">
        <w:t xml:space="preserve"> </w:t>
      </w:r>
      <w:r w:rsidR="00F03B26">
        <w:t>and 480-30-140(3)(b)</w:t>
      </w:r>
      <w:r w:rsidR="002F4BB2">
        <w:t>,</w:t>
      </w:r>
      <w:r w:rsidR="00F03B26">
        <w:t xml:space="preserve"> to consider whether these types of after-the-fact reversals or denials of both Shuttle Express’s own representations in petitions and the </w:t>
      </w:r>
      <w:r w:rsidR="00E623AE">
        <w:t xml:space="preserve">previous Commission </w:t>
      </w:r>
      <w:r w:rsidR="00F03B26">
        <w:t xml:space="preserve">findings and conclusions in Orders thereon </w:t>
      </w:r>
      <w:r w:rsidR="003245E7">
        <w:t>in fact</w:t>
      </w:r>
      <w:r w:rsidR="00C2544B">
        <w:t xml:space="preserve"> </w:t>
      </w:r>
      <w:r w:rsidR="00F03B26">
        <w:t xml:space="preserve">demonstrate service to the satisfaction of the Commission.  While regulated companies </w:t>
      </w:r>
      <w:r w:rsidR="00C2544B">
        <w:t xml:space="preserve">can </w:t>
      </w:r>
      <w:r w:rsidR="00661B24">
        <w:t xml:space="preserve">sometimes </w:t>
      </w:r>
      <w:r w:rsidR="00C2544B">
        <w:t xml:space="preserve">be </w:t>
      </w:r>
      <w:r w:rsidR="00F03B26">
        <w:t>found to have intentional</w:t>
      </w:r>
      <w:r w:rsidR="00830DA8">
        <w:t>ly or unintentionally violated C</w:t>
      </w:r>
      <w:r w:rsidR="00F03B26">
        <w:t xml:space="preserve">ommission regulations, a lack of candor and apparent inability to acknowledge omission </w:t>
      </w:r>
      <w:r w:rsidR="002F4BB2">
        <w:t xml:space="preserve">in that </w:t>
      </w:r>
      <w:r w:rsidR="00E623AE">
        <w:t xml:space="preserve">regard </w:t>
      </w:r>
      <w:r w:rsidR="00830DA8">
        <w:t xml:space="preserve">should be </w:t>
      </w:r>
      <w:r w:rsidR="00F03B26">
        <w:t>of substantial concern in any regulatory environment.</w:t>
      </w:r>
    </w:p>
    <w:p w:rsidR="00E845D7" w:rsidP="00C77CAD">
      <w:pPr>
        <w:pStyle w:val="ListParagraph"/>
        <w:numPr>
          <w:ilvl w:val="0"/>
          <w:numId w:val="16"/>
        </w:numPr>
        <w:spacing w:line="480" w:lineRule="auto"/>
        <w:ind w:left="0" w:hanging="720"/>
        <w:rPr>
          <w:rFonts w:cs="Times New Roman"/>
        </w:rPr>
      </w:pPr>
      <w:r>
        <w:tab/>
      </w:r>
      <w:r w:rsidRPr="00F03B26" w:rsidR="001A6198">
        <w:rPr>
          <w:rFonts w:cs="Times New Roman"/>
        </w:rPr>
        <w:t>Under such circumstances</w:t>
      </w:r>
      <w:r w:rsidRPr="001A6198" w:rsidR="001A6198">
        <w:rPr>
          <w:rFonts w:cs="Times New Roman"/>
        </w:rPr>
        <w:t>, n</w:t>
      </w:r>
      <w:r w:rsidRPr="001A6198" w:rsidR="007A4314">
        <w:rPr>
          <w:rFonts w:cs="Times New Roman"/>
        </w:rPr>
        <w:t>o one</w:t>
      </w:r>
      <w:r w:rsidRPr="00C77CAD" w:rsidR="007A4314">
        <w:rPr>
          <w:rFonts w:cs="Times New Roman"/>
        </w:rPr>
        <w:t xml:space="preserve"> </w:t>
      </w:r>
      <w:r w:rsidR="00E623AE">
        <w:rPr>
          <w:rFonts w:cs="Times New Roman"/>
        </w:rPr>
        <w:t xml:space="preserve">should require </w:t>
      </w:r>
      <w:r w:rsidRPr="00C77CAD" w:rsidR="007A4314">
        <w:rPr>
          <w:rFonts w:cs="Times New Roman"/>
        </w:rPr>
        <w:t xml:space="preserve">an </w:t>
      </w:r>
      <w:r w:rsidRPr="00C77CAD" w:rsidR="00FD567C">
        <w:rPr>
          <w:rFonts w:cs="Times New Roman"/>
        </w:rPr>
        <w:t xml:space="preserve">explicit </w:t>
      </w:r>
      <w:r w:rsidRPr="00C77CAD" w:rsidR="007A4314">
        <w:rPr>
          <w:rFonts w:cs="Times New Roman"/>
        </w:rPr>
        <w:t xml:space="preserve">finding to conclude that </w:t>
      </w:r>
      <w:r w:rsidR="00F03B26">
        <w:rPr>
          <w:rFonts w:cs="Times New Roman"/>
        </w:rPr>
        <w:t xml:space="preserve">this </w:t>
      </w:r>
      <w:r w:rsidRPr="00C77CAD" w:rsidR="007A4314">
        <w:rPr>
          <w:rFonts w:cs="Times New Roman"/>
        </w:rPr>
        <w:t xml:space="preserve">documented service </w:t>
      </w:r>
      <w:r w:rsidR="00F03B26">
        <w:rPr>
          <w:rFonts w:cs="Times New Roman"/>
        </w:rPr>
        <w:t xml:space="preserve">history </w:t>
      </w:r>
      <w:r w:rsidRPr="00C77CAD" w:rsidR="007A4314">
        <w:rPr>
          <w:rFonts w:cs="Times New Roman"/>
        </w:rPr>
        <w:t xml:space="preserve">within </w:t>
      </w:r>
      <w:r w:rsidRPr="00C77CAD">
        <w:rPr>
          <w:rFonts w:cs="Times New Roman"/>
        </w:rPr>
        <w:t xml:space="preserve">the test </w:t>
      </w:r>
      <w:r w:rsidRPr="00C77CAD" w:rsidR="007A4314">
        <w:rPr>
          <w:rFonts w:cs="Times New Roman"/>
        </w:rPr>
        <w:t xml:space="preserve">year prior to the filing of this application could </w:t>
      </w:r>
      <w:r w:rsidR="00F03B26">
        <w:rPr>
          <w:rFonts w:cs="Times New Roman"/>
        </w:rPr>
        <w:t xml:space="preserve">not </w:t>
      </w:r>
      <w:r w:rsidRPr="00C77CAD" w:rsidR="007A4314">
        <w:rPr>
          <w:rFonts w:cs="Times New Roman"/>
        </w:rPr>
        <w:t xml:space="preserve">be considered service to the satisfaction of the Commission.  </w:t>
      </w:r>
    </w:p>
    <w:p w:rsidR="00C77CAD" w:rsidRPr="00C77CAD" w:rsidP="00C77CAD">
      <w:pPr>
        <w:pStyle w:val="ListParagraph"/>
        <w:numPr>
          <w:ilvl w:val="0"/>
          <w:numId w:val="16"/>
        </w:numPr>
        <w:spacing w:line="480" w:lineRule="auto"/>
        <w:ind w:left="0" w:hanging="720"/>
        <w:rPr>
          <w:rFonts w:cs="Times New Roman"/>
        </w:rPr>
      </w:pPr>
      <w:r>
        <w:rPr>
          <w:rFonts w:cs="Times New Roman"/>
        </w:rPr>
        <w:tab/>
      </w:r>
      <w:r w:rsidRPr="00C77CAD" w:rsidR="007A4314">
        <w:rPr>
          <w:rFonts w:cs="Times New Roman"/>
        </w:rPr>
        <w:t xml:space="preserve">Finally, Applicant would note that the </w:t>
      </w:r>
      <w:r w:rsidR="00B91300">
        <w:rPr>
          <w:rFonts w:cs="Times New Roman"/>
        </w:rPr>
        <w:t xml:space="preserve">Objector’s </w:t>
      </w:r>
      <w:r w:rsidRPr="00C77CAD" w:rsidR="007A4314">
        <w:rPr>
          <w:rFonts w:cs="Times New Roman"/>
        </w:rPr>
        <w:t>Petition for Administrative Review of Shuttle Express fails to conform to WAC 480-07-825(3)</w:t>
      </w:r>
      <w:r w:rsidR="00661B24">
        <w:rPr>
          <w:rFonts w:cs="Times New Roman"/>
        </w:rPr>
        <w:t>,</w:t>
      </w:r>
      <w:r w:rsidRPr="00C77CAD" w:rsidR="007A4314">
        <w:rPr>
          <w:rFonts w:cs="Times New Roman"/>
        </w:rPr>
        <w:t xml:space="preserve"> </w:t>
      </w:r>
      <w:r w:rsidRPr="00C77CAD" w:rsidR="00EF6E45">
        <w:rPr>
          <w:rFonts w:cs="Times New Roman"/>
        </w:rPr>
        <w:t xml:space="preserve">by </w:t>
      </w:r>
      <w:r w:rsidR="00EE1A93">
        <w:rPr>
          <w:rFonts w:cs="Times New Roman"/>
        </w:rPr>
        <w:t>failing</w:t>
      </w:r>
      <w:r w:rsidRPr="00C77CAD" w:rsidR="007A4314">
        <w:rPr>
          <w:rFonts w:cs="Times New Roman"/>
        </w:rPr>
        <w:t xml:space="preserve"> to specifically highlight and </w:t>
      </w:r>
      <w:r w:rsidRPr="00C77CAD" w:rsidR="007A4314">
        <w:rPr>
          <w:rFonts w:cs="Times New Roman"/>
        </w:rPr>
        <w:t xml:space="preserve">feature findings of facts and </w:t>
      </w:r>
      <w:r w:rsidRPr="00C77CAD" w:rsidR="00311965">
        <w:rPr>
          <w:rFonts w:cs="Times New Roman"/>
        </w:rPr>
        <w:t xml:space="preserve">separate </w:t>
      </w:r>
      <w:r w:rsidRPr="00C77CAD" w:rsidR="007A4314">
        <w:rPr>
          <w:rFonts w:cs="Times New Roman"/>
        </w:rPr>
        <w:t xml:space="preserve">conclusions of law </w:t>
      </w:r>
      <w:r w:rsidRPr="00C77CAD" w:rsidR="00FD567C">
        <w:rPr>
          <w:rFonts w:cs="Times New Roman"/>
        </w:rPr>
        <w:t>to which it objects</w:t>
      </w:r>
      <w:r w:rsidRPr="00C77CAD" w:rsidR="00EF6E45">
        <w:rPr>
          <w:rFonts w:cs="Times New Roman"/>
        </w:rPr>
        <w:t>,</w:t>
      </w:r>
      <w:r w:rsidRPr="00C77CAD" w:rsidR="00FD567C">
        <w:rPr>
          <w:rFonts w:cs="Times New Roman"/>
        </w:rPr>
        <w:t xml:space="preserve"> nor to advance recommended ones</w:t>
      </w:r>
      <w:r w:rsidR="00F03B26">
        <w:rPr>
          <w:rFonts w:cs="Times New Roman"/>
        </w:rPr>
        <w:t xml:space="preserve"> to replace those </w:t>
      </w:r>
      <w:r w:rsidR="00661B24">
        <w:rPr>
          <w:rFonts w:cs="Times New Roman"/>
        </w:rPr>
        <w:t xml:space="preserve">found to be </w:t>
      </w:r>
      <w:r w:rsidR="00F03B26">
        <w:rPr>
          <w:rFonts w:cs="Times New Roman"/>
        </w:rPr>
        <w:t>erroneous</w:t>
      </w:r>
      <w:r w:rsidRPr="00C77CAD" w:rsidR="007A4314">
        <w:rPr>
          <w:rFonts w:cs="Times New Roman"/>
        </w:rPr>
        <w:t>.  Because the Ap</w:t>
      </w:r>
      <w:r w:rsidRPr="00C77CAD" w:rsidR="00FD567C">
        <w:rPr>
          <w:rFonts w:cs="Times New Roman"/>
        </w:rPr>
        <w:t>plicant and its counsel believe</w:t>
      </w:r>
      <w:r w:rsidRPr="00C77CAD" w:rsidR="007A4314">
        <w:rPr>
          <w:rFonts w:cs="Times New Roman"/>
        </w:rPr>
        <w:t xml:space="preserve"> the Commission</w:t>
      </w:r>
      <w:r w:rsidR="00661B24">
        <w:rPr>
          <w:rFonts w:cs="Times New Roman"/>
        </w:rPr>
        <w:t>,</w:t>
      </w:r>
      <w:r w:rsidRPr="00C77CAD" w:rsidR="007A4314">
        <w:rPr>
          <w:rFonts w:cs="Times New Roman"/>
        </w:rPr>
        <w:t xml:space="preserve"> </w:t>
      </w:r>
      <w:r>
        <w:rPr>
          <w:rFonts w:cs="Times New Roman"/>
        </w:rPr>
        <w:t xml:space="preserve">with its “liberal construction” premise </w:t>
      </w:r>
      <w:r w:rsidR="00F03B26">
        <w:rPr>
          <w:rFonts w:cs="Times New Roman"/>
        </w:rPr>
        <w:t>codified in WAC 480-07-395(4)</w:t>
      </w:r>
      <w:r w:rsidR="00661B24">
        <w:rPr>
          <w:rFonts w:cs="Times New Roman"/>
        </w:rPr>
        <w:t>,</w:t>
      </w:r>
      <w:r w:rsidR="00F03B26">
        <w:rPr>
          <w:rFonts w:cs="Times New Roman"/>
        </w:rPr>
        <w:t xml:space="preserve"> </w:t>
      </w:r>
      <w:r w:rsidR="00877E63">
        <w:rPr>
          <w:rFonts w:cs="Times New Roman"/>
        </w:rPr>
        <w:t xml:space="preserve">will </w:t>
      </w:r>
      <w:r w:rsidRPr="00C77CAD" w:rsidR="007A4314">
        <w:rPr>
          <w:rFonts w:cs="Times New Roman"/>
        </w:rPr>
        <w:t>disregard such omission</w:t>
      </w:r>
      <w:r w:rsidRPr="00C77CAD" w:rsidR="00311965">
        <w:rPr>
          <w:rFonts w:cs="Times New Roman"/>
        </w:rPr>
        <w:t>s</w:t>
      </w:r>
      <w:r w:rsidRPr="00C77CAD" w:rsidR="007A4314">
        <w:rPr>
          <w:rFonts w:cs="Times New Roman"/>
        </w:rPr>
        <w:t xml:space="preserve"> with re</w:t>
      </w:r>
      <w:r w:rsidRPr="00C77CAD" w:rsidR="00FD567C">
        <w:rPr>
          <w:rFonts w:cs="Times New Roman"/>
        </w:rPr>
        <w:t>spect to the procedural rules, it</w:t>
      </w:r>
      <w:r w:rsidRPr="00C77CAD" w:rsidR="007A4314">
        <w:rPr>
          <w:rFonts w:cs="Times New Roman"/>
        </w:rPr>
        <w:t xml:space="preserve"> will </w:t>
      </w:r>
      <w:r w:rsidRPr="00C77CAD" w:rsidR="00FD567C">
        <w:rPr>
          <w:rFonts w:cs="Times New Roman"/>
        </w:rPr>
        <w:t xml:space="preserve">nevertheless </w:t>
      </w:r>
      <w:r w:rsidRPr="00C77CAD" w:rsidR="007A4314">
        <w:rPr>
          <w:rFonts w:cs="Times New Roman"/>
        </w:rPr>
        <w:t>submit this Answer</w:t>
      </w:r>
      <w:r w:rsidR="00661B24">
        <w:rPr>
          <w:rFonts w:cs="Times New Roman"/>
        </w:rPr>
        <w:t>.  It however,</w:t>
      </w:r>
      <w:r w:rsidRPr="00C77CAD" w:rsidR="007A4314">
        <w:rPr>
          <w:rFonts w:cs="Times New Roman"/>
        </w:rPr>
        <w:t xml:space="preserve"> notes that arguments such as Shuttle Express’s discussion of “same service” and the inferences it believes should </w:t>
      </w:r>
      <w:r w:rsidRPr="00C77CAD" w:rsidR="00311965">
        <w:rPr>
          <w:rFonts w:cs="Times New Roman"/>
        </w:rPr>
        <w:t xml:space="preserve">or should not </w:t>
      </w:r>
      <w:r w:rsidRPr="00C77CAD" w:rsidR="007A4314">
        <w:rPr>
          <w:rFonts w:cs="Times New Roman"/>
        </w:rPr>
        <w:t>be drawn from the “service to the satisfaction of the Commission” s</w:t>
      </w:r>
      <w:r w:rsidRPr="00C77CAD" w:rsidR="00FD567C">
        <w:rPr>
          <w:rFonts w:cs="Times New Roman"/>
        </w:rPr>
        <w:t>tandard under WAC 480-30-136(3)</w:t>
      </w:r>
      <w:r w:rsidR="00170F84">
        <w:rPr>
          <w:rFonts w:cs="Times New Roman"/>
        </w:rPr>
        <w:t>,</w:t>
      </w:r>
      <w:r w:rsidRPr="00C77CAD" w:rsidR="007A4314">
        <w:rPr>
          <w:rFonts w:cs="Times New Roman"/>
        </w:rPr>
        <w:t xml:space="preserve"> would be far </w:t>
      </w:r>
      <w:r w:rsidR="00661B24">
        <w:rPr>
          <w:rFonts w:cs="Times New Roman"/>
        </w:rPr>
        <w:t xml:space="preserve">better </w:t>
      </w:r>
      <w:r w:rsidRPr="00C77CAD" w:rsidR="007A4314">
        <w:rPr>
          <w:rFonts w:cs="Times New Roman"/>
        </w:rPr>
        <w:t>focused</w:t>
      </w:r>
      <w:r w:rsidRPr="00C77CAD" w:rsidR="00EF6E45">
        <w:rPr>
          <w:rFonts w:cs="Times New Roman"/>
        </w:rPr>
        <w:t xml:space="preserve"> had it done so.  In short, a</w:t>
      </w:r>
      <w:r w:rsidRPr="00C77CAD" w:rsidR="007A4314">
        <w:rPr>
          <w:rFonts w:cs="Times New Roman"/>
        </w:rPr>
        <w:t>scertain</w:t>
      </w:r>
      <w:r w:rsidRPr="00C77CAD" w:rsidR="00FD567C">
        <w:rPr>
          <w:rFonts w:cs="Times New Roman"/>
        </w:rPr>
        <w:t>ing</w:t>
      </w:r>
      <w:r w:rsidRPr="00C77CAD" w:rsidR="007A4314">
        <w:rPr>
          <w:rFonts w:cs="Times New Roman"/>
        </w:rPr>
        <w:t xml:space="preserve"> </w:t>
      </w:r>
      <w:r w:rsidRPr="00C77CAD" w:rsidR="00EF6E45">
        <w:rPr>
          <w:rFonts w:cs="Times New Roman"/>
        </w:rPr>
        <w:t xml:space="preserve">the </w:t>
      </w:r>
      <w:r w:rsidR="00DD56DE">
        <w:rPr>
          <w:rFonts w:cs="Times New Roman"/>
        </w:rPr>
        <w:t xml:space="preserve">gist </w:t>
      </w:r>
      <w:r w:rsidRPr="00C77CAD" w:rsidR="00311965">
        <w:rPr>
          <w:rFonts w:cs="Times New Roman"/>
        </w:rPr>
        <w:t xml:space="preserve">of </w:t>
      </w:r>
      <w:r w:rsidRPr="00C77CAD" w:rsidR="007A4314">
        <w:rPr>
          <w:rFonts w:cs="Times New Roman"/>
        </w:rPr>
        <w:t>the specific bases for Shuttle Express’s factual and/or legal objection</w:t>
      </w:r>
      <w:r w:rsidRPr="00C77CAD" w:rsidR="00AF09EC">
        <w:rPr>
          <w:rFonts w:cs="Times New Roman"/>
        </w:rPr>
        <w:t>s</w:t>
      </w:r>
      <w:r w:rsidR="00170F84">
        <w:rPr>
          <w:rFonts w:cs="Times New Roman"/>
        </w:rPr>
        <w:t xml:space="preserve"> to the Initial Order</w:t>
      </w:r>
      <w:r w:rsidRPr="00C77CAD" w:rsidR="00AF09EC">
        <w:rPr>
          <w:rFonts w:cs="Times New Roman"/>
        </w:rPr>
        <w:t xml:space="preserve"> </w:t>
      </w:r>
      <w:r w:rsidR="00F03B26">
        <w:rPr>
          <w:rFonts w:cs="Times New Roman"/>
        </w:rPr>
        <w:t xml:space="preserve">individually or in the aggregate </w:t>
      </w:r>
      <w:r w:rsidRPr="00C77CAD" w:rsidR="00AF09EC">
        <w:rPr>
          <w:rFonts w:cs="Times New Roman"/>
        </w:rPr>
        <w:t xml:space="preserve">would be greatly facilitated had the Objector conformed </w:t>
      </w:r>
      <w:r w:rsidRPr="00C77CAD" w:rsidR="002E4AC7">
        <w:rPr>
          <w:rFonts w:cs="Times New Roman"/>
        </w:rPr>
        <w:t xml:space="preserve">to the </w:t>
      </w:r>
      <w:r w:rsidRPr="00C77CAD" w:rsidR="00AF09EC">
        <w:rPr>
          <w:rFonts w:cs="Times New Roman"/>
        </w:rPr>
        <w:t>Commission</w:t>
      </w:r>
      <w:r w:rsidR="00170F84">
        <w:rPr>
          <w:rFonts w:cs="Times New Roman"/>
        </w:rPr>
        <w:t>’s</w:t>
      </w:r>
      <w:r w:rsidRPr="00C77CAD" w:rsidR="00AF09EC">
        <w:rPr>
          <w:rFonts w:cs="Times New Roman"/>
        </w:rPr>
        <w:t xml:space="preserve"> procedural rules</w:t>
      </w:r>
      <w:r w:rsidRPr="00C77CAD" w:rsidR="00EF6E45">
        <w:rPr>
          <w:rFonts w:cs="Times New Roman"/>
        </w:rPr>
        <w:t xml:space="preserve"> i</w:t>
      </w:r>
      <w:r w:rsidRPr="00C77CAD" w:rsidR="002E4AC7">
        <w:rPr>
          <w:rFonts w:cs="Times New Roman"/>
        </w:rPr>
        <w:t>n form</w:t>
      </w:r>
      <w:r w:rsidR="00EE1A93">
        <w:rPr>
          <w:rFonts w:cs="Times New Roman"/>
        </w:rPr>
        <w:t>ulating</w:t>
      </w:r>
      <w:r w:rsidRPr="00C77CAD" w:rsidR="002E4AC7">
        <w:rPr>
          <w:rFonts w:cs="Times New Roman"/>
        </w:rPr>
        <w:t xml:space="preserve"> its Petition</w:t>
      </w:r>
      <w:r w:rsidRPr="00C77CAD" w:rsidR="00AF09EC">
        <w:rPr>
          <w:rFonts w:cs="Times New Roman"/>
        </w:rPr>
        <w:t>.</w:t>
      </w:r>
    </w:p>
    <w:p w:rsidR="00C77CAD" w:rsidP="00C77CAD">
      <w:pPr>
        <w:pStyle w:val="Heading1"/>
      </w:pPr>
      <w:r>
        <w:t xml:space="preserve">argument </w:t>
      </w:r>
      <w:r w:rsidR="00024DB7">
        <w:t xml:space="preserve">in response to </w:t>
      </w:r>
      <w:r>
        <w:t>service differentiation factor</w:t>
      </w:r>
      <w:r w:rsidR="00024DB7">
        <w:t>s and</w:t>
      </w:r>
      <w:r>
        <w:t xml:space="preserve"> whether the proposed service is the “same service” under WAC 480-30-140(2)</w:t>
      </w:r>
    </w:p>
    <w:p w:rsidR="002F4BB2" w:rsidRPr="002F4BB2" w:rsidP="002F4BB2">
      <w:pPr>
        <w:pStyle w:val="Heading2"/>
      </w:pPr>
      <w:r>
        <w:t>The Claim that the New Entrant Proposed Inadequate Regulated Service Resources.</w:t>
      </w:r>
    </w:p>
    <w:p w:rsidR="00D42FBA" w:rsidP="00C77CAD">
      <w:pPr>
        <w:pStyle w:val="ListParagraph"/>
        <w:numPr>
          <w:ilvl w:val="0"/>
          <w:numId w:val="16"/>
        </w:numPr>
        <w:spacing w:line="480" w:lineRule="auto"/>
        <w:ind w:left="0" w:hanging="720"/>
        <w:rPr>
          <w:rFonts w:cs="Times New Roman"/>
        </w:rPr>
      </w:pPr>
      <w:r>
        <w:tab/>
      </w:r>
      <w:r w:rsidRPr="00C77CAD">
        <w:rPr>
          <w:rFonts w:cs="Times New Roman"/>
        </w:rPr>
        <w:t>In a ser</w:t>
      </w:r>
      <w:r>
        <w:rPr>
          <w:rFonts w:cs="Times New Roman"/>
        </w:rPr>
        <w:t>ies of sweeping statements both in introduct</w:t>
      </w:r>
      <w:r w:rsidR="00F03B26">
        <w:rPr>
          <w:rFonts w:cs="Times New Roman"/>
        </w:rPr>
        <w:t xml:space="preserve">ory </w:t>
      </w:r>
      <w:r>
        <w:rPr>
          <w:rFonts w:cs="Times New Roman"/>
        </w:rPr>
        <w:t>page 1 of its Petition and its sta</w:t>
      </w:r>
      <w:r w:rsidR="00830DA8">
        <w:rPr>
          <w:rFonts w:cs="Times New Roman"/>
        </w:rPr>
        <w:t>tement of the issue at page 3 ¶</w:t>
      </w:r>
      <w:r>
        <w:rPr>
          <w:rFonts w:cs="Times New Roman"/>
        </w:rPr>
        <w:t xml:space="preserve">9 and its </w:t>
      </w:r>
      <w:r w:rsidR="00830DA8">
        <w:rPr>
          <w:rFonts w:cs="Times New Roman"/>
        </w:rPr>
        <w:t xml:space="preserve">various </w:t>
      </w:r>
      <w:r>
        <w:rPr>
          <w:rFonts w:cs="Times New Roman"/>
        </w:rPr>
        <w:t>leg</w:t>
      </w:r>
      <w:r w:rsidR="00170F84">
        <w:rPr>
          <w:rFonts w:cs="Times New Roman"/>
        </w:rPr>
        <w:t xml:space="preserve">al arguments beginning at page 4 </w:t>
      </w:r>
      <w:r>
        <w:rPr>
          <w:rFonts w:cs="Times New Roman"/>
        </w:rPr>
        <w:t>and continuing to page</w:t>
      </w:r>
      <w:r w:rsidR="00170F84">
        <w:rPr>
          <w:rFonts w:cs="Times New Roman"/>
        </w:rPr>
        <w:t xml:space="preserve"> 10</w:t>
      </w:r>
      <w:r>
        <w:rPr>
          <w:rFonts w:cs="Times New Roman"/>
        </w:rPr>
        <w:t xml:space="preserve">, Shuttle Express constructs a series of arguments </w:t>
      </w:r>
      <w:r w:rsidR="00170F84">
        <w:rPr>
          <w:rFonts w:cs="Times New Roman"/>
        </w:rPr>
        <w:t>o</w:t>
      </w:r>
      <w:r w:rsidR="00D8790B">
        <w:rPr>
          <w:rFonts w:cs="Times New Roman"/>
        </w:rPr>
        <w:t>n its “same service”</w:t>
      </w:r>
      <w:r w:rsidR="00830DA8">
        <w:rPr>
          <w:rFonts w:cs="Times New Roman"/>
        </w:rPr>
        <w:t xml:space="preserve"> renditions</w:t>
      </w:r>
      <w:r w:rsidR="00D8790B">
        <w:rPr>
          <w:rFonts w:cs="Times New Roman"/>
        </w:rPr>
        <w:t xml:space="preserve">.  The first one is that due to the quantity of </w:t>
      </w:r>
      <w:r w:rsidR="001A6198">
        <w:rPr>
          <w:rFonts w:cs="Times New Roman"/>
        </w:rPr>
        <w:t>Shuttle Express’s</w:t>
      </w:r>
      <w:r w:rsidR="00D8790B">
        <w:rPr>
          <w:rFonts w:cs="Times New Roman"/>
        </w:rPr>
        <w:t xml:space="preserve"> vans (80) in contrast to the 5-10 vans </w:t>
      </w:r>
      <w:r w:rsidR="001A6198">
        <w:rPr>
          <w:rFonts w:cs="Times New Roman"/>
        </w:rPr>
        <w:t xml:space="preserve">Speedishuttle </w:t>
      </w:r>
      <w:r w:rsidR="00030223">
        <w:rPr>
          <w:rFonts w:cs="Times New Roman"/>
        </w:rPr>
        <w:t xml:space="preserve">initially </w:t>
      </w:r>
      <w:r w:rsidR="00D8790B">
        <w:rPr>
          <w:rFonts w:cs="Times New Roman"/>
        </w:rPr>
        <w:t>proposes</w:t>
      </w:r>
      <w:r w:rsidR="00170F84">
        <w:rPr>
          <w:rFonts w:cs="Times New Roman"/>
        </w:rPr>
        <w:t xml:space="preserve"> there is apparently </w:t>
      </w:r>
      <w:r w:rsidR="00170F84">
        <w:rPr>
          <w:rFonts w:cs="Times New Roman"/>
        </w:rPr>
        <w:t>both insufficient need or</w:t>
      </w:r>
      <w:r w:rsidR="00170F84">
        <w:rPr>
          <w:rFonts w:cs="Times New Roman"/>
        </w:rPr>
        <w:t xml:space="preserve"> insufficient commitment by the Applicant to the proposed service.</w:t>
      </w:r>
      <w:r w:rsidR="00030223">
        <w:rPr>
          <w:rFonts w:cs="Times New Roman"/>
        </w:rPr>
        <w:t xml:space="preserve">  While the Objector attempts</w:t>
      </w:r>
      <w:r w:rsidR="00634400">
        <w:rPr>
          <w:rFonts w:cs="Times New Roman"/>
        </w:rPr>
        <w:t xml:space="preserve"> to make muc</w:t>
      </w:r>
      <w:r w:rsidR="00030223">
        <w:rPr>
          <w:rFonts w:cs="Times New Roman"/>
        </w:rPr>
        <w:t>h of the initial commitment of a</w:t>
      </w:r>
      <w:r w:rsidR="00634400">
        <w:rPr>
          <w:rFonts w:cs="Times New Roman"/>
        </w:rPr>
        <w:t xml:space="preserve">irport </w:t>
      </w:r>
      <w:r w:rsidR="00030223">
        <w:rPr>
          <w:rFonts w:cs="Times New Roman"/>
        </w:rPr>
        <w:t>s</w:t>
      </w:r>
      <w:r w:rsidR="00634400">
        <w:rPr>
          <w:rFonts w:cs="Times New Roman"/>
        </w:rPr>
        <w:t>huttle equipment by a new entrant, the Commission has never required a new entrant to commit to specific level</w:t>
      </w:r>
      <w:r w:rsidR="00DD56DE">
        <w:rPr>
          <w:rFonts w:cs="Times New Roman"/>
        </w:rPr>
        <w:t>s</w:t>
      </w:r>
      <w:r w:rsidR="00634400">
        <w:rPr>
          <w:rFonts w:cs="Times New Roman"/>
        </w:rPr>
        <w:t xml:space="preserve"> of equipment or staffing </w:t>
      </w:r>
      <w:r w:rsidR="00877E63">
        <w:rPr>
          <w:rFonts w:cs="Times New Roman"/>
        </w:rPr>
        <w:t xml:space="preserve">at startup and </w:t>
      </w:r>
      <w:r w:rsidR="00634400">
        <w:rPr>
          <w:rFonts w:cs="Times New Roman"/>
        </w:rPr>
        <w:t>indeed</w:t>
      </w:r>
      <w:r w:rsidR="00877E63">
        <w:rPr>
          <w:rFonts w:cs="Times New Roman"/>
        </w:rPr>
        <w:t>,</w:t>
      </w:r>
      <w:r w:rsidR="00634400">
        <w:rPr>
          <w:rFonts w:cs="Times New Roman"/>
        </w:rPr>
        <w:t xml:space="preserve"> that </w:t>
      </w:r>
      <w:r w:rsidR="00030223">
        <w:rPr>
          <w:rFonts w:cs="Times New Roman"/>
        </w:rPr>
        <w:t xml:space="preserve">type of </w:t>
      </w:r>
      <w:r>
        <w:rPr>
          <w:rFonts w:cs="Times New Roman"/>
        </w:rPr>
        <w:t xml:space="preserve">initial </w:t>
      </w:r>
      <w:r w:rsidR="00030223">
        <w:rPr>
          <w:rFonts w:cs="Times New Roman"/>
        </w:rPr>
        <w:t xml:space="preserve">demand management </w:t>
      </w:r>
      <w:r w:rsidR="00634400">
        <w:rPr>
          <w:rFonts w:cs="Times New Roman"/>
        </w:rPr>
        <w:t xml:space="preserve">is not typically the role of </w:t>
      </w:r>
      <w:r w:rsidR="00634400">
        <w:rPr>
          <w:rFonts w:cs="Times New Roman"/>
        </w:rPr>
        <w:t xml:space="preserve">economic regulators.  </w:t>
      </w:r>
      <w:r>
        <w:rPr>
          <w:rFonts w:cs="Times New Roman"/>
        </w:rPr>
        <w:t xml:space="preserve">Both </w:t>
      </w:r>
      <w:r w:rsidR="00634400">
        <w:rPr>
          <w:rFonts w:cs="Times New Roman"/>
        </w:rPr>
        <w:t>Objectors</w:t>
      </w:r>
      <w:r w:rsidR="00877E63">
        <w:rPr>
          <w:rFonts w:cs="Times New Roman"/>
        </w:rPr>
        <w:t>,</w:t>
      </w:r>
      <w:r w:rsidR="00634400">
        <w:rPr>
          <w:rFonts w:cs="Times New Roman"/>
        </w:rPr>
        <w:t xml:space="preserve"> who have been long-standing incumbent providers in the marketplace</w:t>
      </w:r>
      <w:r w:rsidR="00877E63">
        <w:rPr>
          <w:rFonts w:cs="Times New Roman"/>
        </w:rPr>
        <w:t>,</w:t>
      </w:r>
      <w:r w:rsidR="00634400">
        <w:rPr>
          <w:rFonts w:cs="Times New Roman"/>
        </w:rPr>
        <w:t xml:space="preserve"> obviously have </w:t>
      </w:r>
      <w:r w:rsidR="00661B24">
        <w:rPr>
          <w:rFonts w:cs="Times New Roman"/>
        </w:rPr>
        <w:t xml:space="preserve">necessarily </w:t>
      </w:r>
      <w:r w:rsidR="00634400">
        <w:rPr>
          <w:rFonts w:cs="Times New Roman"/>
        </w:rPr>
        <w:t>had many years to build up their</w:t>
      </w:r>
      <w:r w:rsidR="00877E63">
        <w:rPr>
          <w:rFonts w:cs="Times New Roman"/>
        </w:rPr>
        <w:t xml:space="preserve"> current </w:t>
      </w:r>
      <w:r w:rsidR="00634400">
        <w:rPr>
          <w:rFonts w:cs="Times New Roman"/>
        </w:rPr>
        <w:t>fleet</w:t>
      </w:r>
      <w:r w:rsidR="00030223">
        <w:rPr>
          <w:rFonts w:cs="Times New Roman"/>
        </w:rPr>
        <w:t>s</w:t>
      </w:r>
      <w:r w:rsidR="00634400">
        <w:rPr>
          <w:rFonts w:cs="Times New Roman"/>
        </w:rPr>
        <w:t xml:space="preserve"> and employment bases.</w:t>
      </w:r>
      <w:r>
        <w:rPr>
          <w:rStyle w:val="FootnoteReference"/>
          <w:rFonts w:cs="Times New Roman"/>
        </w:rPr>
        <w:footnoteReference w:id="9"/>
      </w:r>
      <w:r w:rsidR="00634400">
        <w:rPr>
          <w:rFonts w:cs="Times New Roman"/>
        </w:rPr>
        <w:t xml:space="preserve">  </w:t>
      </w:r>
    </w:p>
    <w:p w:rsidR="00C77CAD" w:rsidP="00C77CAD">
      <w:pPr>
        <w:pStyle w:val="ListParagraph"/>
        <w:numPr>
          <w:ilvl w:val="0"/>
          <w:numId w:val="16"/>
        </w:numPr>
        <w:spacing w:line="480" w:lineRule="auto"/>
        <w:ind w:left="0" w:hanging="720"/>
        <w:rPr>
          <w:rFonts w:cs="Times New Roman"/>
        </w:rPr>
      </w:pPr>
      <w:r>
        <w:rPr>
          <w:rFonts w:cs="Times New Roman"/>
        </w:rPr>
        <w:tab/>
      </w:r>
      <w:r w:rsidR="00877E63">
        <w:rPr>
          <w:rFonts w:cs="Times New Roman"/>
        </w:rPr>
        <w:t xml:space="preserve">Moreover, as to the equipment provision issue, </w:t>
      </w:r>
      <w:r w:rsidR="00634400">
        <w:rPr>
          <w:rFonts w:cs="Times New Roman"/>
        </w:rPr>
        <w:t>when questioned by the principal of Capital Aeroporter under a hypothetical</w:t>
      </w:r>
      <w:r w:rsidR="00030223">
        <w:rPr>
          <w:rFonts w:cs="Times New Roman"/>
        </w:rPr>
        <w:t xml:space="preserve"> of increased demand,</w:t>
      </w:r>
      <w:r w:rsidR="00634400">
        <w:rPr>
          <w:rFonts w:cs="Times New Roman"/>
        </w:rPr>
        <w:t xml:space="preserve"> the owner of Speedishuttle, Cecil Morton responded as follows:</w:t>
      </w:r>
    </w:p>
    <w:p w:rsidR="00634400" w:rsidRPr="00634400" w:rsidP="00634400">
      <w:pPr>
        <w:pStyle w:val="Quote"/>
        <w:rPr>
          <w:rFonts w:cs="Times New Roman"/>
        </w:rPr>
      </w:pPr>
      <w:r>
        <w:rPr>
          <w:rFonts w:cs="Times New Roman"/>
        </w:rPr>
        <w:t>If we find that the demand is greater than our capacity, we will acquire new equipment.  We will not be starting the business within days of obtaining our authority.  We will be reaching out to all our clientele and we will adjust our …commencement fleet accordingly.</w:t>
      </w:r>
      <w:r>
        <w:rPr>
          <w:rStyle w:val="FootnoteReference"/>
          <w:rFonts w:cs="Times New Roman"/>
        </w:rPr>
        <w:footnoteReference w:id="10"/>
      </w:r>
    </w:p>
    <w:p w:rsidR="00026207" w:rsidP="00C77CAD">
      <w:pPr>
        <w:pStyle w:val="ListParagraph"/>
        <w:numPr>
          <w:ilvl w:val="0"/>
          <w:numId w:val="16"/>
        </w:numPr>
        <w:spacing w:line="480" w:lineRule="auto"/>
        <w:ind w:left="0" w:hanging="720"/>
        <w:rPr>
          <w:rFonts w:cs="Times New Roman"/>
        </w:rPr>
      </w:pPr>
      <w:r>
        <w:rPr>
          <w:rFonts w:cs="Times New Roman"/>
        </w:rPr>
        <w:tab/>
      </w:r>
      <w:r w:rsidR="00170F84">
        <w:rPr>
          <w:rFonts w:cs="Times New Roman"/>
        </w:rPr>
        <w:t xml:space="preserve">Indeed, </w:t>
      </w:r>
      <w:r>
        <w:rPr>
          <w:rFonts w:cs="Times New Roman"/>
        </w:rPr>
        <w:t xml:space="preserve">Shuttle Express seems to </w:t>
      </w:r>
      <w:r>
        <w:rPr>
          <w:rFonts w:cs="Times New Roman"/>
        </w:rPr>
        <w:t xml:space="preserve">want to make </w:t>
      </w:r>
      <w:r w:rsidR="00DD56DE">
        <w:rPr>
          <w:rFonts w:cs="Times New Roman"/>
        </w:rPr>
        <w:t xml:space="preserve">something </w:t>
      </w:r>
      <w:r>
        <w:rPr>
          <w:rFonts w:cs="Times New Roman"/>
        </w:rPr>
        <w:t xml:space="preserve">out of Speedishuttle’s prudent approach to open service with </w:t>
      </w:r>
      <w:r w:rsidR="00D42FBA">
        <w:rPr>
          <w:rFonts w:cs="Times New Roman"/>
        </w:rPr>
        <w:t xml:space="preserve">five </w:t>
      </w:r>
      <w:r>
        <w:rPr>
          <w:rFonts w:cs="Times New Roman"/>
        </w:rPr>
        <w:t xml:space="preserve">airport vans and perhaps expand to </w:t>
      </w:r>
      <w:r w:rsidR="00170F84">
        <w:rPr>
          <w:rFonts w:cs="Times New Roman"/>
        </w:rPr>
        <w:t xml:space="preserve">10 </w:t>
      </w:r>
      <w:r>
        <w:rPr>
          <w:rFonts w:cs="Times New Roman"/>
        </w:rPr>
        <w:t>within one year.  No entry standard of which Applicant is aware p</w:t>
      </w:r>
      <w:r w:rsidR="00170F84">
        <w:rPr>
          <w:rFonts w:cs="Times New Roman"/>
        </w:rPr>
        <w:t>l</w:t>
      </w:r>
      <w:r>
        <w:rPr>
          <w:rFonts w:cs="Times New Roman"/>
        </w:rPr>
        <w:t xml:space="preserve">aces any </w:t>
      </w:r>
      <w:r w:rsidR="00661B24">
        <w:rPr>
          <w:rFonts w:cs="Times New Roman"/>
        </w:rPr>
        <w:t xml:space="preserve">quantitative </w:t>
      </w:r>
      <w:r>
        <w:rPr>
          <w:rFonts w:cs="Times New Roman"/>
        </w:rPr>
        <w:t>burden on a new entrant to match or even approach the number of regulated</w:t>
      </w:r>
      <w:r w:rsidR="00170F84">
        <w:rPr>
          <w:rFonts w:cs="Times New Roman"/>
        </w:rPr>
        <w:t xml:space="preserve"> service units operated by an incumbent </w:t>
      </w:r>
      <w:r>
        <w:rPr>
          <w:rFonts w:cs="Times New Roman"/>
        </w:rPr>
        <w:t>provider of many decades</w:t>
      </w:r>
      <w:r w:rsidR="00170F84">
        <w:rPr>
          <w:rFonts w:cs="Times New Roman"/>
        </w:rPr>
        <w:t xml:space="preserve"> to demonstrate ability to serve</w:t>
      </w:r>
      <w:r w:rsidR="00D42FBA">
        <w:rPr>
          <w:rFonts w:cs="Times New Roman"/>
        </w:rPr>
        <w:t>,</w:t>
      </w:r>
      <w:r w:rsidR="00030223">
        <w:rPr>
          <w:rFonts w:cs="Times New Roman"/>
        </w:rPr>
        <w:t xml:space="preserve"> nor would such an initial approach appear to ensure viability.</w:t>
      </w:r>
      <w:r>
        <w:rPr>
          <w:rStyle w:val="FootnoteReference"/>
          <w:rFonts w:cs="Times New Roman"/>
        </w:rPr>
        <w:footnoteReference w:id="11"/>
      </w:r>
      <w:r>
        <w:rPr>
          <w:rFonts w:cs="Times New Roman"/>
        </w:rPr>
        <w:t xml:space="preserve"> </w:t>
      </w:r>
    </w:p>
    <w:p w:rsidR="002F4BB2" w:rsidP="002F4BB2">
      <w:pPr>
        <w:pStyle w:val="Heading2"/>
      </w:pPr>
      <w:r>
        <w:t>Service Offerings Beneficial to the Traveling Public and to the Public Convenience and Necessity.</w:t>
      </w:r>
    </w:p>
    <w:p w:rsidR="00285014" w:rsidP="00C77CAD">
      <w:pPr>
        <w:pStyle w:val="ListParagraph"/>
        <w:numPr>
          <w:ilvl w:val="0"/>
          <w:numId w:val="16"/>
        </w:numPr>
        <w:spacing w:line="480" w:lineRule="auto"/>
        <w:ind w:left="0" w:hanging="720"/>
        <w:rPr>
          <w:rFonts w:cs="Times New Roman"/>
        </w:rPr>
      </w:pPr>
      <w:r>
        <w:rPr>
          <w:rFonts w:cs="Times New Roman"/>
        </w:rPr>
        <w:tab/>
        <w:t>Despite Shuttle Express’s conscious effort to “downplay” differentiator fa</w:t>
      </w:r>
      <w:r w:rsidR="000146E8">
        <w:rPr>
          <w:rFonts w:cs="Times New Roman"/>
        </w:rPr>
        <w:t>ctors such as</w:t>
      </w:r>
      <w:r w:rsidR="00661B24">
        <w:rPr>
          <w:rFonts w:cs="Times New Roman"/>
        </w:rPr>
        <w:t xml:space="preserve"> free </w:t>
      </w:r>
      <w:r w:rsidR="000146E8">
        <w:rPr>
          <w:rFonts w:cs="Times New Roman"/>
        </w:rPr>
        <w:t>wifi</w:t>
      </w:r>
      <w:r w:rsidR="000146E8">
        <w:rPr>
          <w:rFonts w:cs="Times New Roman"/>
        </w:rPr>
        <w:t>, television, websites</w:t>
      </w:r>
      <w:r>
        <w:rPr>
          <w:rFonts w:cs="Times New Roman"/>
        </w:rPr>
        <w:t xml:space="preserve"> for customers in foreign languages </w:t>
      </w:r>
      <w:r w:rsidR="00877E63">
        <w:rPr>
          <w:rFonts w:cs="Times New Roman"/>
        </w:rPr>
        <w:t>(</w:t>
      </w:r>
      <w:r>
        <w:rPr>
          <w:rFonts w:cs="Times New Roman"/>
        </w:rPr>
        <w:t>particularly Chinese and Japanese</w:t>
      </w:r>
      <w:r w:rsidR="00877E63">
        <w:rPr>
          <w:rFonts w:cs="Times New Roman"/>
        </w:rPr>
        <w:t>)</w:t>
      </w:r>
      <w:r>
        <w:rPr>
          <w:rFonts w:cs="Times New Roman"/>
        </w:rPr>
        <w:t xml:space="preserve"> and provision of airport greeters as “inconsequential features</w:t>
      </w:r>
      <w:r w:rsidR="00030223">
        <w:rPr>
          <w:rFonts w:cs="Times New Roman"/>
        </w:rPr>
        <w:t>,</w:t>
      </w:r>
      <w:r>
        <w:rPr>
          <w:rFonts w:cs="Times New Roman"/>
        </w:rPr>
        <w:t xml:space="preserve">” these are in fact precisely the types and kinds of </w:t>
      </w:r>
      <w:r w:rsidR="00030223">
        <w:rPr>
          <w:rFonts w:cs="Times New Roman"/>
        </w:rPr>
        <w:t xml:space="preserve">regulated </w:t>
      </w:r>
      <w:r>
        <w:rPr>
          <w:rFonts w:cs="Times New Roman"/>
        </w:rPr>
        <w:t>service enhancements envisioned both in the 2013</w:t>
      </w:r>
      <w:r w:rsidR="00DD56DE">
        <w:rPr>
          <w:rFonts w:cs="Times New Roman"/>
        </w:rPr>
        <w:t xml:space="preserve"> </w:t>
      </w:r>
      <w:r w:rsidR="00DD56DE">
        <w:rPr>
          <w:rFonts w:cs="Times New Roman"/>
        </w:rPr>
        <w:t xml:space="preserve">Auto Transportation Rulemaking </w:t>
      </w:r>
      <w:r>
        <w:rPr>
          <w:rFonts w:cs="Times New Roman"/>
        </w:rPr>
        <w:t>and the revised rules codified therein.  For instance, in assessing the critical threshold factors in reviewing applicati</w:t>
      </w:r>
      <w:r w:rsidR="00030223">
        <w:rPr>
          <w:rFonts w:cs="Times New Roman"/>
        </w:rPr>
        <w:t>ons under the chapter, WAC 480-</w:t>
      </w:r>
      <w:r>
        <w:rPr>
          <w:rFonts w:cs="Times New Roman"/>
        </w:rPr>
        <w:t>30-140</w:t>
      </w:r>
      <w:r w:rsidR="00BE5412">
        <w:rPr>
          <w:rFonts w:cs="Times New Roman"/>
        </w:rPr>
        <w:t>(1)(b)</w:t>
      </w:r>
      <w:r>
        <w:rPr>
          <w:rFonts w:cs="Times New Roman"/>
        </w:rPr>
        <w:t xml:space="preserve"> </w:t>
      </w:r>
      <w:r w:rsidR="00024DB7">
        <w:rPr>
          <w:rFonts w:cs="Times New Roman"/>
        </w:rPr>
        <w:t>now provides</w:t>
      </w:r>
      <w:r>
        <w:rPr>
          <w:rFonts w:cs="Times New Roman"/>
        </w:rPr>
        <w:t xml:space="preserve"> as follows: </w:t>
      </w:r>
    </w:p>
    <w:p w:rsidR="00026207" w:rsidRPr="00170F84" w:rsidP="00026207">
      <w:pPr>
        <w:pStyle w:val="Quote"/>
        <w:rPr>
          <w:rFonts w:cs="Times New Roman"/>
        </w:rPr>
      </w:pPr>
      <w:r w:rsidRPr="00170F84">
        <w:rPr>
          <w:rFonts w:cs="Times New Roman"/>
        </w:rPr>
        <w:t xml:space="preserve">…the commission may, </w:t>
      </w:r>
      <w:r w:rsidRPr="00661B24">
        <w:rPr>
          <w:rFonts w:cs="Times New Roman"/>
          <w:b/>
        </w:rPr>
        <w:t>among other things</w:t>
      </w:r>
      <w:r w:rsidRPr="00170F84">
        <w:rPr>
          <w:rFonts w:cs="Times New Roman"/>
        </w:rPr>
        <w:t>, consider differences in operation, price, market features</w:t>
      </w:r>
      <w:r w:rsidR="00BE5412">
        <w:rPr>
          <w:rFonts w:cs="Times New Roman"/>
        </w:rPr>
        <w:t>,</w:t>
      </w:r>
      <w:r w:rsidRPr="00170F84">
        <w:rPr>
          <w:rFonts w:cs="Times New Roman"/>
        </w:rPr>
        <w:t xml:space="preserve"> and other essential characteristics of a proposed </w:t>
      </w:r>
      <w:r w:rsidR="00BE5412">
        <w:rPr>
          <w:rFonts w:cs="Times New Roman"/>
        </w:rPr>
        <w:t xml:space="preserve">auto </w:t>
      </w:r>
      <w:r w:rsidRPr="00170F84">
        <w:rPr>
          <w:rFonts w:cs="Times New Roman"/>
        </w:rPr>
        <w:t>transportation service, tailoring its review to the individual circumstances of the application in evaluating whether the public convenience and necessity requires the commission to grant the request for the proposed service and whether an existing company is providing the same service to the</w:t>
      </w:r>
      <w:r w:rsidR="00320922">
        <w:rPr>
          <w:rFonts w:cs="Times New Roman"/>
        </w:rPr>
        <w:t xml:space="preserve"> satisfaction of the commission [e</w:t>
      </w:r>
      <w:r w:rsidR="00661B24">
        <w:rPr>
          <w:rFonts w:cs="Times New Roman"/>
        </w:rPr>
        <w:t>mphasis added].</w:t>
      </w:r>
    </w:p>
    <w:p w:rsidR="00B94DCC" w:rsidP="00026207">
      <w:pPr>
        <w:pStyle w:val="ListParagraph"/>
        <w:numPr>
          <w:ilvl w:val="0"/>
          <w:numId w:val="16"/>
        </w:numPr>
        <w:spacing w:line="480" w:lineRule="auto"/>
        <w:ind w:left="0" w:hanging="720"/>
        <w:rPr>
          <w:rFonts w:cs="Times New Roman"/>
        </w:rPr>
      </w:pPr>
      <w:r>
        <w:tab/>
      </w:r>
      <w:r w:rsidRPr="00024DB7" w:rsidR="00024DB7">
        <w:rPr>
          <w:rFonts w:cs="Times New Roman"/>
        </w:rPr>
        <w:t>Under the revised rules, there are</w:t>
      </w:r>
      <w:r w:rsidR="00024DB7">
        <w:rPr>
          <w:rFonts w:cs="Times New Roman"/>
        </w:rPr>
        <w:t xml:space="preserve"> </w:t>
      </w:r>
      <w:r w:rsidR="00030223">
        <w:rPr>
          <w:rFonts w:cs="Times New Roman"/>
        </w:rPr>
        <w:t xml:space="preserve">far </w:t>
      </w:r>
      <w:r w:rsidR="00024DB7">
        <w:rPr>
          <w:rFonts w:cs="Times New Roman"/>
        </w:rPr>
        <w:t xml:space="preserve">more objective service criteria examined </w:t>
      </w:r>
      <w:r w:rsidR="00DD56DE">
        <w:rPr>
          <w:rFonts w:cs="Times New Roman"/>
        </w:rPr>
        <w:t xml:space="preserve">and delineated </w:t>
      </w:r>
      <w:r w:rsidR="00024DB7">
        <w:rPr>
          <w:rFonts w:cs="Times New Roman"/>
        </w:rPr>
        <w:t xml:space="preserve">in </w:t>
      </w:r>
      <w:r w:rsidRPr="00026207">
        <w:rPr>
          <w:rFonts w:cs="Times New Roman"/>
        </w:rPr>
        <w:t>WAC</w:t>
      </w:r>
      <w:r>
        <w:rPr>
          <w:rFonts w:cs="Times New Roman"/>
        </w:rPr>
        <w:t xml:space="preserve"> 480-30-140(3</w:t>
      </w:r>
      <w:r>
        <w:rPr>
          <w:rFonts w:cs="Times New Roman"/>
        </w:rPr>
        <w:t>)(</w:t>
      </w:r>
      <w:r>
        <w:rPr>
          <w:rFonts w:cs="Times New Roman"/>
        </w:rPr>
        <w:t>a</w:t>
      </w:r>
      <w:r w:rsidR="00030223">
        <w:rPr>
          <w:rFonts w:cs="Times New Roman"/>
        </w:rPr>
        <w:t>)(</w:t>
      </w:r>
      <w:r w:rsidR="00A078BD">
        <w:rPr>
          <w:rFonts w:cs="Times New Roman"/>
        </w:rPr>
        <w:t>ii</w:t>
      </w:r>
      <w:r w:rsidR="00030223">
        <w:rPr>
          <w:rFonts w:cs="Times New Roman"/>
        </w:rPr>
        <w:t>)</w:t>
      </w:r>
      <w:r w:rsidR="00D42FBA">
        <w:rPr>
          <w:rFonts w:cs="Times New Roman"/>
        </w:rPr>
        <w:t>,</w:t>
      </w:r>
      <w:r w:rsidR="00030223">
        <w:rPr>
          <w:rFonts w:cs="Times New Roman"/>
        </w:rPr>
        <w:t xml:space="preserve"> </w:t>
      </w:r>
      <w:r w:rsidR="00024DB7">
        <w:rPr>
          <w:rFonts w:cs="Times New Roman"/>
        </w:rPr>
        <w:t xml:space="preserve">where </w:t>
      </w:r>
      <w:r>
        <w:rPr>
          <w:rFonts w:cs="Times New Roman"/>
        </w:rPr>
        <w:t xml:space="preserve">the </w:t>
      </w:r>
      <w:r w:rsidR="00E623AE">
        <w:rPr>
          <w:rFonts w:cs="Times New Roman"/>
        </w:rPr>
        <w:t>C</w:t>
      </w:r>
      <w:r>
        <w:rPr>
          <w:rFonts w:cs="Times New Roman"/>
        </w:rPr>
        <w:t>ommission also considers</w:t>
      </w:r>
      <w:r w:rsidR="00024DB7">
        <w:rPr>
          <w:rFonts w:cs="Times New Roman"/>
        </w:rPr>
        <w:t>,</w:t>
      </w:r>
      <w:r>
        <w:rPr>
          <w:rFonts w:cs="Times New Roman"/>
        </w:rPr>
        <w:t xml:space="preserve"> under the satisfactory service standard</w:t>
      </w:r>
      <w:r w:rsidR="00024DB7">
        <w:rPr>
          <w:rFonts w:cs="Times New Roman"/>
        </w:rPr>
        <w:t>,</w:t>
      </w:r>
      <w:r>
        <w:rPr>
          <w:rFonts w:cs="Times New Roman"/>
        </w:rPr>
        <w:t xml:space="preserve"> whether the existing provider “has made a reasonable effort to expand and improve its service to customers within the</w:t>
      </w:r>
      <w:r w:rsidR="00024DB7">
        <w:rPr>
          <w:rFonts w:cs="Times New Roman"/>
        </w:rPr>
        <w:t xml:space="preserve"> same territory or the same sub</w:t>
      </w:r>
      <w:r>
        <w:rPr>
          <w:rFonts w:cs="Times New Roman"/>
        </w:rPr>
        <w:t>area within the territory for door-to-door service…”  And</w:t>
      </w:r>
      <w:r w:rsidR="00024DB7">
        <w:rPr>
          <w:rFonts w:cs="Times New Roman"/>
        </w:rPr>
        <w:t>,</w:t>
      </w:r>
      <w:r>
        <w:rPr>
          <w:rFonts w:cs="Times New Roman"/>
        </w:rPr>
        <w:t xml:space="preserve"> under</w:t>
      </w:r>
      <w:r w:rsidR="00D42FBA">
        <w:rPr>
          <w:rFonts w:cs="Times New Roman"/>
        </w:rPr>
        <w:t xml:space="preserve"> WAC 480-30-140(3)(a)(iii</w:t>
      </w:r>
      <w:r>
        <w:rPr>
          <w:rFonts w:cs="Times New Roman"/>
        </w:rPr>
        <w:t>)</w:t>
      </w:r>
      <w:r w:rsidR="00E623AE">
        <w:rPr>
          <w:rFonts w:cs="Times New Roman"/>
        </w:rPr>
        <w:t>,</w:t>
      </w:r>
      <w:r w:rsidR="00030223">
        <w:rPr>
          <w:rFonts w:cs="Times New Roman"/>
        </w:rPr>
        <w:t xml:space="preserve"> in</w:t>
      </w:r>
      <w:r>
        <w:rPr>
          <w:rFonts w:cs="Times New Roman"/>
        </w:rPr>
        <w:t xml:space="preserve"> </w:t>
      </w:r>
      <w:r w:rsidR="00024DB7">
        <w:rPr>
          <w:rFonts w:cs="Times New Roman"/>
        </w:rPr>
        <w:t>“</w:t>
      </w:r>
      <w:r>
        <w:rPr>
          <w:rFonts w:cs="Times New Roman"/>
        </w:rPr>
        <w:t>[e]</w:t>
      </w:r>
      <w:r>
        <w:rPr>
          <w:rFonts w:cs="Times New Roman"/>
        </w:rPr>
        <w:t>xamining</w:t>
      </w:r>
      <w:r>
        <w:rPr>
          <w:rFonts w:cs="Times New Roman"/>
        </w:rPr>
        <w:t xml:space="preserve"> whether that service is “provide[d]</w:t>
      </w:r>
      <w:r w:rsidR="00D42FBA">
        <w:rPr>
          <w:rFonts w:cs="Times New Roman"/>
        </w:rPr>
        <w:t>…</w:t>
      </w:r>
      <w:r>
        <w:rPr>
          <w:rFonts w:cs="Times New Roman"/>
        </w:rPr>
        <w:t xml:space="preserve"> in a manner that is convenient, safe, timely, direct, frequent, expeditious, courteous and respectful, meets the advertised or posted schedules, fulfills commitments made to customers, </w:t>
      </w:r>
      <w:r w:rsidRPr="00B94DCC">
        <w:rPr>
          <w:rFonts w:cs="Times New Roman"/>
          <w:i/>
        </w:rPr>
        <w:t>meets consumer preferences or need</w:t>
      </w:r>
      <w:r>
        <w:rPr>
          <w:rFonts w:cs="Times New Roman"/>
          <w:i/>
        </w:rPr>
        <w:t>s</w:t>
      </w:r>
      <w:r w:rsidRPr="00B94DCC">
        <w:rPr>
          <w:rFonts w:cs="Times New Roman"/>
          <w:i/>
        </w:rPr>
        <w:t xml:space="preserve"> for travel</w:t>
      </w:r>
      <w:r w:rsidR="00024DB7">
        <w:rPr>
          <w:rFonts w:cs="Times New Roman"/>
        </w:rPr>
        <w:t>…[</w:t>
      </w:r>
      <w:r>
        <w:rPr>
          <w:rFonts w:cs="Times New Roman"/>
        </w:rPr>
        <w:t>emphasis added</w:t>
      </w:r>
      <w:r w:rsidR="00024DB7">
        <w:rPr>
          <w:rFonts w:cs="Times New Roman"/>
        </w:rPr>
        <w:t>]</w:t>
      </w:r>
      <w:r>
        <w:rPr>
          <w:rFonts w:cs="Times New Roman"/>
        </w:rPr>
        <w:t>.</w:t>
      </w:r>
      <w:r w:rsidR="00024DB7">
        <w:rPr>
          <w:rFonts w:cs="Times New Roman"/>
        </w:rPr>
        <w:t>”</w:t>
      </w:r>
      <w:r>
        <w:rPr>
          <w:rFonts w:cs="Times New Roman"/>
        </w:rPr>
        <w:t xml:space="preserve">  While in traditional regulated service examinations, such accoutrements or service enhancements might have been extraneous to the analysis of both </w:t>
      </w:r>
      <w:r w:rsidR="00D42FBA">
        <w:rPr>
          <w:rFonts w:cs="Times New Roman"/>
        </w:rPr>
        <w:t xml:space="preserve">comparable </w:t>
      </w:r>
      <w:r>
        <w:rPr>
          <w:rFonts w:cs="Times New Roman"/>
        </w:rPr>
        <w:t xml:space="preserve">service and </w:t>
      </w:r>
      <w:r w:rsidR="002F76CF">
        <w:rPr>
          <w:rFonts w:cs="Times New Roman"/>
        </w:rPr>
        <w:t>“</w:t>
      </w:r>
      <w:r>
        <w:rPr>
          <w:rFonts w:cs="Times New Roman"/>
        </w:rPr>
        <w:t>service to the satisfaction of the commission,</w:t>
      </w:r>
      <w:r w:rsidR="00877E63">
        <w:rPr>
          <w:rFonts w:cs="Times New Roman"/>
        </w:rPr>
        <w:t>”</w:t>
      </w:r>
      <w:r>
        <w:rPr>
          <w:rFonts w:cs="Times New Roman"/>
        </w:rPr>
        <w:t xml:space="preserve"> under the 2013 rule changes they clearly are not.</w:t>
      </w:r>
      <w:r>
        <w:rPr>
          <w:rStyle w:val="FootnoteReference"/>
          <w:rFonts w:cs="Times New Roman"/>
        </w:rPr>
        <w:footnoteReference w:id="12"/>
      </w:r>
      <w:r>
        <w:rPr>
          <w:rFonts w:cs="Times New Roman"/>
        </w:rPr>
        <w:t xml:space="preserve">  Applicant </w:t>
      </w:r>
      <w:r w:rsidR="002F76CF">
        <w:rPr>
          <w:rFonts w:cs="Times New Roman"/>
        </w:rPr>
        <w:t xml:space="preserve">also </w:t>
      </w:r>
      <w:r>
        <w:rPr>
          <w:rFonts w:cs="Times New Roman"/>
        </w:rPr>
        <w:t xml:space="preserve">testified to its existing service experience in its historic base of </w:t>
      </w:r>
      <w:r w:rsidR="002F76CF">
        <w:rPr>
          <w:rFonts w:cs="Times New Roman"/>
        </w:rPr>
        <w:t xml:space="preserve">regulated </w:t>
      </w:r>
      <w:r>
        <w:rPr>
          <w:rFonts w:cs="Times New Roman"/>
        </w:rPr>
        <w:t>operations in the State of Hawaii and</w:t>
      </w:r>
      <w:r w:rsidR="00E623AE">
        <w:rPr>
          <w:rFonts w:cs="Times New Roman"/>
        </w:rPr>
        <w:t>,</w:t>
      </w:r>
      <w:r>
        <w:rPr>
          <w:rFonts w:cs="Times New Roman"/>
        </w:rPr>
        <w:t xml:space="preserve"> in deriving that experience</w:t>
      </w:r>
      <w:r w:rsidR="00E623AE">
        <w:rPr>
          <w:rFonts w:cs="Times New Roman"/>
        </w:rPr>
        <w:t>,</w:t>
      </w:r>
      <w:r>
        <w:rPr>
          <w:rFonts w:cs="Times New Roman"/>
        </w:rPr>
        <w:t xml:space="preserve"> projected replication of that service in</w:t>
      </w:r>
      <w:r w:rsidR="0091569B">
        <w:rPr>
          <w:rFonts w:cs="Times New Roman"/>
        </w:rPr>
        <w:t xml:space="preserve"> the King County marketplace (</w:t>
      </w:r>
      <w:r w:rsidR="0091569B">
        <w:rPr>
          <w:rFonts w:cs="Times New Roman"/>
        </w:rPr>
        <w:t>Tr</w:t>
      </w:r>
      <w:r w:rsidR="0091569B">
        <w:rPr>
          <w:rFonts w:cs="Times New Roman"/>
        </w:rPr>
        <w:t xml:space="preserve"> </w:t>
      </w:r>
      <w:r>
        <w:rPr>
          <w:rFonts w:cs="Times New Roman"/>
        </w:rPr>
        <w:t xml:space="preserve">23, 24) despite Shuttle </w:t>
      </w:r>
      <w:r>
        <w:rPr>
          <w:rFonts w:cs="Times New Roman"/>
        </w:rPr>
        <w:t xml:space="preserve">Express’s </w:t>
      </w:r>
      <w:r w:rsidR="00AA6D49">
        <w:rPr>
          <w:rFonts w:cs="Times New Roman"/>
        </w:rPr>
        <w:t xml:space="preserve">post-hearing </w:t>
      </w:r>
      <w:r>
        <w:rPr>
          <w:rFonts w:cs="Times New Roman"/>
        </w:rPr>
        <w:t>efforts to minimize innovative attributes</w:t>
      </w:r>
      <w:r w:rsidR="00030223">
        <w:rPr>
          <w:rFonts w:cs="Times New Roman"/>
        </w:rPr>
        <w:t xml:space="preserve"> or otherwise effectively label such customer service enhancements as superfluous.</w:t>
      </w:r>
    </w:p>
    <w:p w:rsidR="00026207" w:rsidP="00026207">
      <w:pPr>
        <w:pStyle w:val="ListParagraph"/>
        <w:numPr>
          <w:ilvl w:val="0"/>
          <w:numId w:val="16"/>
        </w:numPr>
        <w:spacing w:line="480" w:lineRule="auto"/>
        <w:ind w:left="0" w:hanging="720"/>
        <w:rPr>
          <w:rFonts w:cs="Times New Roman"/>
        </w:rPr>
      </w:pPr>
      <w:r>
        <w:rPr>
          <w:rFonts w:cs="Times New Roman"/>
        </w:rPr>
        <w:tab/>
        <w:t xml:space="preserve">In one </w:t>
      </w:r>
      <w:r w:rsidR="00E623AE">
        <w:rPr>
          <w:rFonts w:cs="Times New Roman"/>
        </w:rPr>
        <w:t xml:space="preserve">such </w:t>
      </w:r>
      <w:r>
        <w:rPr>
          <w:rFonts w:cs="Times New Roman"/>
        </w:rPr>
        <w:t>example, that of airport greeters, the Objector cites at footnote 3</w:t>
      </w:r>
      <w:r w:rsidR="002F76CF">
        <w:rPr>
          <w:rFonts w:cs="Times New Roman"/>
        </w:rPr>
        <w:t>,</w:t>
      </w:r>
      <w:r>
        <w:rPr>
          <w:rFonts w:cs="Times New Roman"/>
        </w:rPr>
        <w:t xml:space="preserve"> page 3 </w:t>
      </w:r>
      <w:r w:rsidR="00814D8E">
        <w:rPr>
          <w:rFonts w:cs="Times New Roman"/>
        </w:rPr>
        <w:t xml:space="preserve">(as it </w:t>
      </w:r>
      <w:r w:rsidR="00320922">
        <w:rPr>
          <w:rFonts w:cs="Times New Roman"/>
        </w:rPr>
        <w:t xml:space="preserve">unfortunately </w:t>
      </w:r>
      <w:r w:rsidR="00814D8E">
        <w:rPr>
          <w:rFonts w:cs="Times New Roman"/>
        </w:rPr>
        <w:t>does repeatedly), to</w:t>
      </w:r>
      <w:r>
        <w:rPr>
          <w:rFonts w:cs="Times New Roman"/>
        </w:rPr>
        <w:t xml:space="preserve"> evidence outside the record in this proceeding.  Contrary to </w:t>
      </w:r>
      <w:r w:rsidR="00814D8E">
        <w:rPr>
          <w:rFonts w:cs="Times New Roman"/>
        </w:rPr>
        <w:t xml:space="preserve">the Objector’s </w:t>
      </w:r>
      <w:r>
        <w:rPr>
          <w:rFonts w:cs="Times New Roman"/>
        </w:rPr>
        <w:t xml:space="preserve">unsupported argument </w:t>
      </w:r>
      <w:r w:rsidR="00AA6D49">
        <w:rPr>
          <w:rFonts w:cs="Times New Roman"/>
        </w:rPr>
        <w:t xml:space="preserve">there, </w:t>
      </w:r>
      <w:r>
        <w:rPr>
          <w:rFonts w:cs="Times New Roman"/>
        </w:rPr>
        <w:t xml:space="preserve">the provision of airport greeters </w:t>
      </w:r>
      <w:r w:rsidR="00E623AE">
        <w:rPr>
          <w:rFonts w:cs="Times New Roman"/>
        </w:rPr>
        <w:t xml:space="preserve">was </w:t>
      </w:r>
      <w:r w:rsidR="00814D8E">
        <w:rPr>
          <w:rFonts w:cs="Times New Roman"/>
        </w:rPr>
        <w:t xml:space="preserve">described </w:t>
      </w:r>
      <w:r>
        <w:rPr>
          <w:rFonts w:cs="Times New Roman"/>
        </w:rPr>
        <w:t xml:space="preserve">as follows </w:t>
      </w:r>
      <w:r w:rsidR="00D42FBA">
        <w:rPr>
          <w:rFonts w:cs="Times New Roman"/>
        </w:rPr>
        <w:t xml:space="preserve">in the record </w:t>
      </w:r>
      <w:r>
        <w:rPr>
          <w:rFonts w:cs="Times New Roman"/>
        </w:rPr>
        <w:t>by the Applicant principal:</w:t>
      </w:r>
    </w:p>
    <w:p w:rsidR="00B94DCC" w:rsidRPr="00026207" w:rsidP="00B94DCC">
      <w:pPr>
        <w:pStyle w:val="Quote"/>
      </w:pPr>
      <w:r w:rsidRPr="0091569B">
        <w:rPr>
          <w:rFonts w:cs="Times New Roman"/>
        </w:rPr>
        <w:t xml:space="preserve">We’re customer-service centric.  We believe in, the experience starts when a passenger </w:t>
      </w:r>
      <w:r w:rsidRPr="0091569B" w:rsidR="00454E50">
        <w:rPr>
          <w:rFonts w:cs="Times New Roman"/>
        </w:rPr>
        <w:t>arrives at the airport in a particular city and not in particular their—final destination.  So upon the arrival, we have receptive teams at all airports, and our plan is to do the same here, where we will greet all prearranged guests with a sign with their name on it, welcome them to Seattle and direct them to their baggage cla</w:t>
      </w:r>
      <w:r w:rsidR="00814D8E">
        <w:rPr>
          <w:rFonts w:cs="Times New Roman"/>
        </w:rPr>
        <w:t>im area, their carousel and then</w:t>
      </w:r>
      <w:r w:rsidRPr="0091569B" w:rsidR="00454E50">
        <w:rPr>
          <w:rFonts w:cs="Times New Roman"/>
        </w:rPr>
        <w:t xml:space="preserve"> usher them to their shuttle that would be waiting for them</w:t>
      </w:r>
      <w:r w:rsidR="00454E50">
        <w:t xml:space="preserve">. </w:t>
      </w:r>
      <w:r>
        <w:rPr>
          <w:rStyle w:val="FootnoteReference"/>
        </w:rPr>
        <w:footnoteReference w:id="13"/>
      </w:r>
    </w:p>
    <w:p w:rsidR="00C77CAD" w:rsidP="00C77CAD">
      <w:pPr>
        <w:pStyle w:val="ListParagraph"/>
        <w:numPr>
          <w:ilvl w:val="0"/>
          <w:numId w:val="16"/>
        </w:numPr>
        <w:spacing w:line="480" w:lineRule="auto"/>
        <w:ind w:left="0" w:hanging="720"/>
        <w:rPr>
          <w:rFonts w:cs="Times New Roman"/>
        </w:rPr>
      </w:pPr>
      <w:r w:rsidRPr="00C77CAD">
        <w:rPr>
          <w:rFonts w:cs="Times New Roman"/>
        </w:rPr>
        <w:tab/>
      </w:r>
      <w:r w:rsidR="001A6198">
        <w:rPr>
          <w:rFonts w:cs="Times New Roman"/>
        </w:rPr>
        <w:t xml:space="preserve">The provision of airport greeters is merely one example of </w:t>
      </w:r>
      <w:r w:rsidR="00814D8E">
        <w:rPr>
          <w:rFonts w:cs="Times New Roman"/>
        </w:rPr>
        <w:t xml:space="preserve">customer </w:t>
      </w:r>
      <w:r w:rsidR="001A6198">
        <w:rPr>
          <w:rFonts w:cs="Times New Roman"/>
        </w:rPr>
        <w:t xml:space="preserve">service </w:t>
      </w:r>
      <w:r w:rsidR="00AA6D49">
        <w:rPr>
          <w:rFonts w:cs="Times New Roman"/>
        </w:rPr>
        <w:t xml:space="preserve">and </w:t>
      </w:r>
      <w:r w:rsidR="00AA6D49">
        <w:rPr>
          <w:rFonts w:cs="Times New Roman"/>
        </w:rPr>
        <w:t>market feature</w:t>
      </w:r>
      <w:r w:rsidR="00814D8E">
        <w:rPr>
          <w:rFonts w:cs="Times New Roman"/>
        </w:rPr>
        <w:t>s</w:t>
      </w:r>
      <w:r w:rsidR="00AA6D49">
        <w:rPr>
          <w:rFonts w:cs="Times New Roman"/>
        </w:rPr>
        <w:t xml:space="preserve"> </w:t>
      </w:r>
      <w:r w:rsidR="001A6198">
        <w:rPr>
          <w:rFonts w:cs="Times New Roman"/>
        </w:rPr>
        <w:t>that is not only directed to convenience, safety, timeliness, courteousness, etc. but is also clearly an indicia of whether increased competition will benefit the traveling public</w:t>
      </w:r>
      <w:r w:rsidR="00814D8E">
        <w:rPr>
          <w:rFonts w:cs="Times New Roman"/>
        </w:rPr>
        <w:t>.</w:t>
      </w:r>
      <w:r w:rsidR="001A6198">
        <w:rPr>
          <w:rFonts w:cs="Times New Roman"/>
        </w:rPr>
        <w:t xml:space="preserve">  There can be no question that despite Shuttle Express’s defensiveness about th</w:t>
      </w:r>
      <w:r w:rsidR="00814D8E">
        <w:rPr>
          <w:rFonts w:cs="Times New Roman"/>
        </w:rPr>
        <w:t>e provision of airport greeter-</w:t>
      </w:r>
      <w:r w:rsidR="00AA6D49">
        <w:rPr>
          <w:rFonts w:cs="Times New Roman"/>
        </w:rPr>
        <w:t xml:space="preserve">included </w:t>
      </w:r>
      <w:r w:rsidR="000146E8">
        <w:rPr>
          <w:rFonts w:cs="Times New Roman"/>
        </w:rPr>
        <w:t>service</w:t>
      </w:r>
      <w:r w:rsidR="00814D8E">
        <w:rPr>
          <w:rFonts w:cs="Times New Roman"/>
        </w:rPr>
        <w:t xml:space="preserve">, it </w:t>
      </w:r>
      <w:r w:rsidR="001A6198">
        <w:rPr>
          <w:rFonts w:cs="Times New Roman"/>
        </w:rPr>
        <w:t xml:space="preserve">is not </w:t>
      </w:r>
      <w:r w:rsidR="00320922">
        <w:rPr>
          <w:rFonts w:cs="Times New Roman"/>
        </w:rPr>
        <w:t xml:space="preserve">a service </w:t>
      </w:r>
      <w:r w:rsidR="001A6198">
        <w:rPr>
          <w:rFonts w:cs="Times New Roman"/>
        </w:rPr>
        <w:t xml:space="preserve">provided </w:t>
      </w:r>
      <w:r w:rsidR="00320922">
        <w:rPr>
          <w:rFonts w:cs="Times New Roman"/>
        </w:rPr>
        <w:t xml:space="preserve">without charge </w:t>
      </w:r>
      <w:r w:rsidR="00DD56DE">
        <w:rPr>
          <w:rFonts w:cs="Times New Roman"/>
        </w:rPr>
        <w:t xml:space="preserve">and prearrangement </w:t>
      </w:r>
      <w:r w:rsidR="001A6198">
        <w:rPr>
          <w:rFonts w:cs="Times New Roman"/>
        </w:rPr>
        <w:t>currently and would be of tremendous benefit and convenience</w:t>
      </w:r>
      <w:r w:rsidR="00E623AE">
        <w:rPr>
          <w:rFonts w:cs="Times New Roman"/>
        </w:rPr>
        <w:t>,</w:t>
      </w:r>
      <w:r w:rsidR="001A6198">
        <w:rPr>
          <w:rFonts w:cs="Times New Roman"/>
        </w:rPr>
        <w:t xml:space="preserve"> particularly to foreign travelers who not only would be able to initiate a reservation on a website in their native tongue</w:t>
      </w:r>
      <w:r w:rsidR="00814D8E">
        <w:rPr>
          <w:rFonts w:cs="Times New Roman"/>
        </w:rPr>
        <w:t>,</w:t>
      </w:r>
      <w:r w:rsidR="001A6198">
        <w:rPr>
          <w:rFonts w:cs="Times New Roman"/>
        </w:rPr>
        <w:t xml:space="preserve"> but be directed to baggage claim areas and waiting vehicles that would greatly facilitate and improve upon their door-to-door service airport experience.  Far from being </w:t>
      </w:r>
      <w:r w:rsidR="00814D8E">
        <w:rPr>
          <w:rFonts w:cs="Times New Roman"/>
        </w:rPr>
        <w:t>in</w:t>
      </w:r>
      <w:r w:rsidR="001A6198">
        <w:rPr>
          <w:rFonts w:cs="Times New Roman"/>
        </w:rPr>
        <w:t>consequential</w:t>
      </w:r>
      <w:r w:rsidR="00AA6D49">
        <w:rPr>
          <w:rFonts w:cs="Times New Roman"/>
        </w:rPr>
        <w:t>,</w:t>
      </w:r>
      <w:r w:rsidR="001A6198">
        <w:rPr>
          <w:rFonts w:cs="Times New Roman"/>
        </w:rPr>
        <w:t xml:space="preserve"> service attributes such as complimentary </w:t>
      </w:r>
      <w:r w:rsidR="001A6198">
        <w:rPr>
          <w:rFonts w:cs="Times New Roman"/>
        </w:rPr>
        <w:t>wifi</w:t>
      </w:r>
      <w:r w:rsidR="001A6198">
        <w:rPr>
          <w:rFonts w:cs="Times New Roman"/>
        </w:rPr>
        <w:t xml:space="preserve">, </w:t>
      </w:r>
      <w:r w:rsidR="00814D8E">
        <w:rPr>
          <w:rFonts w:cs="Times New Roman"/>
        </w:rPr>
        <w:t xml:space="preserve">vehicle </w:t>
      </w:r>
      <w:r w:rsidR="001A6198">
        <w:rPr>
          <w:rFonts w:cs="Times New Roman"/>
        </w:rPr>
        <w:t xml:space="preserve">televisions, airport greeters and foreign language websites substantially contribute to the public convenience and necessity </w:t>
      </w:r>
      <w:r w:rsidR="00AA6D49">
        <w:rPr>
          <w:rFonts w:cs="Times New Roman"/>
        </w:rPr>
        <w:t xml:space="preserve">by </w:t>
      </w:r>
      <w:r w:rsidR="001A6198">
        <w:rPr>
          <w:rFonts w:cs="Times New Roman"/>
        </w:rPr>
        <w:t>improving the traveling public’s experience in contrast with the incumbent objector’s failure to conform</w:t>
      </w:r>
      <w:r w:rsidR="00DD56DE">
        <w:rPr>
          <w:rFonts w:cs="Times New Roman"/>
        </w:rPr>
        <w:t xml:space="preserve">, </w:t>
      </w:r>
      <w:r w:rsidR="00DD56DE">
        <w:rPr>
          <w:rFonts w:cs="Times New Roman"/>
        </w:rPr>
        <w:t>upgrade</w:t>
      </w:r>
      <w:r w:rsidR="00A078BD">
        <w:rPr>
          <w:rFonts w:cs="Times New Roman"/>
        </w:rPr>
        <w:t xml:space="preserve">, </w:t>
      </w:r>
      <w:r w:rsidR="00814D8E">
        <w:rPr>
          <w:rFonts w:cs="Times New Roman"/>
        </w:rPr>
        <w:t xml:space="preserve">or </w:t>
      </w:r>
      <w:r w:rsidR="00A078BD">
        <w:rPr>
          <w:rFonts w:cs="Times New Roman"/>
        </w:rPr>
        <w:t xml:space="preserve">to </w:t>
      </w:r>
      <w:r w:rsidR="00814D8E">
        <w:rPr>
          <w:rFonts w:cs="Times New Roman"/>
        </w:rPr>
        <w:t xml:space="preserve">fully implement </w:t>
      </w:r>
      <w:r w:rsidR="001A6198">
        <w:rPr>
          <w:rFonts w:cs="Times New Roman"/>
        </w:rPr>
        <w:t>such service enhancements over mo</w:t>
      </w:r>
      <w:r w:rsidR="002F76CF">
        <w:rPr>
          <w:rFonts w:cs="Times New Roman"/>
        </w:rPr>
        <w:t xml:space="preserve">re than </w:t>
      </w:r>
      <w:r w:rsidR="002F76CF">
        <w:rPr>
          <w:rFonts w:cs="Times New Roman"/>
        </w:rPr>
        <w:t>a 25</w:t>
      </w:r>
      <w:r w:rsidR="002F76CF">
        <w:rPr>
          <w:rFonts w:cs="Times New Roman"/>
        </w:rPr>
        <w:t xml:space="preserve">-year </w:t>
      </w:r>
      <w:r w:rsidR="00814D8E">
        <w:rPr>
          <w:rFonts w:cs="Times New Roman"/>
        </w:rPr>
        <w:t xml:space="preserve">regulated </w:t>
      </w:r>
      <w:r w:rsidR="00D42FBA">
        <w:rPr>
          <w:rFonts w:cs="Times New Roman"/>
        </w:rPr>
        <w:t xml:space="preserve">service </w:t>
      </w:r>
      <w:r w:rsidR="002F76CF">
        <w:rPr>
          <w:rFonts w:cs="Times New Roman"/>
        </w:rPr>
        <w:t>tenure</w:t>
      </w:r>
      <w:r w:rsidR="00DD56DE">
        <w:rPr>
          <w:rFonts w:cs="Times New Roman"/>
        </w:rPr>
        <w:t>.</w:t>
      </w:r>
    </w:p>
    <w:p w:rsidR="00140930" w:rsidP="00140930">
      <w:pPr>
        <w:pStyle w:val="Heading2"/>
      </w:pPr>
      <w:r>
        <w:t>“Door-to-Door Service” Classification and Applicant’s Substantive Service Differentiation.</w:t>
      </w:r>
    </w:p>
    <w:p w:rsidR="00814D8E" w:rsidP="00C77CAD">
      <w:pPr>
        <w:pStyle w:val="ListParagraph"/>
        <w:numPr>
          <w:ilvl w:val="0"/>
          <w:numId w:val="16"/>
        </w:numPr>
        <w:spacing w:line="480" w:lineRule="auto"/>
        <w:ind w:left="0" w:hanging="720"/>
        <w:rPr>
          <w:rFonts w:cs="Times New Roman"/>
        </w:rPr>
      </w:pPr>
      <w:r>
        <w:rPr>
          <w:rFonts w:cs="Times New Roman"/>
        </w:rPr>
        <w:tab/>
        <w:t xml:space="preserve">In addition to Shuttle Express’s transparent effort to minimize and </w:t>
      </w:r>
      <w:r w:rsidR="00DD56DE">
        <w:rPr>
          <w:rFonts w:cs="Times New Roman"/>
        </w:rPr>
        <w:t xml:space="preserve">devalue </w:t>
      </w:r>
      <w:r>
        <w:rPr>
          <w:rFonts w:cs="Times New Roman"/>
        </w:rPr>
        <w:t xml:space="preserve">service enhancements </w:t>
      </w:r>
      <w:r w:rsidR="00AA6D49">
        <w:rPr>
          <w:rFonts w:cs="Times New Roman"/>
        </w:rPr>
        <w:t xml:space="preserve">and market features </w:t>
      </w:r>
      <w:r>
        <w:rPr>
          <w:rFonts w:cs="Times New Roman"/>
        </w:rPr>
        <w:t>that distinguish “same service</w:t>
      </w:r>
      <w:r>
        <w:rPr>
          <w:rFonts w:cs="Times New Roman"/>
        </w:rPr>
        <w:t>,</w:t>
      </w:r>
      <w:r>
        <w:rPr>
          <w:rFonts w:cs="Times New Roman"/>
        </w:rPr>
        <w:t>” beginning</w:t>
      </w:r>
      <w:r w:rsidR="00AA6D49">
        <w:rPr>
          <w:rFonts w:cs="Times New Roman"/>
        </w:rPr>
        <w:t xml:space="preserve"> at</w:t>
      </w:r>
      <w:r>
        <w:rPr>
          <w:rFonts w:cs="Times New Roman"/>
        </w:rPr>
        <w:t xml:space="preserve"> page 6 of its Petition for Administrative Review</w:t>
      </w:r>
      <w:r w:rsidR="00AA6D49">
        <w:rPr>
          <w:rFonts w:cs="Times New Roman"/>
        </w:rPr>
        <w:t>,</w:t>
      </w:r>
      <w:r>
        <w:rPr>
          <w:rFonts w:cs="Times New Roman"/>
        </w:rPr>
        <w:t xml:space="preserve"> </w:t>
      </w:r>
      <w:r w:rsidR="00320922">
        <w:rPr>
          <w:rFonts w:cs="Times New Roman"/>
        </w:rPr>
        <w:t>Shuttle E</w:t>
      </w:r>
      <w:r w:rsidR="004A15AF">
        <w:rPr>
          <w:rFonts w:cs="Times New Roman"/>
        </w:rPr>
        <w:t xml:space="preserve">xpress apparently seeks to </w:t>
      </w:r>
      <w:r>
        <w:rPr>
          <w:rFonts w:cs="Times New Roman"/>
        </w:rPr>
        <w:t xml:space="preserve">have </w:t>
      </w:r>
      <w:r w:rsidR="004A15AF">
        <w:rPr>
          <w:rFonts w:cs="Times New Roman"/>
        </w:rPr>
        <w:t xml:space="preserve">the proposed application </w:t>
      </w:r>
      <w:r>
        <w:rPr>
          <w:rFonts w:cs="Times New Roman"/>
        </w:rPr>
        <w:t xml:space="preserve">denied </w:t>
      </w:r>
      <w:r w:rsidR="004A15AF">
        <w:rPr>
          <w:rFonts w:cs="Times New Roman"/>
        </w:rPr>
        <w:t xml:space="preserve">because Speedishuttle seeks to provide </w:t>
      </w:r>
      <w:r w:rsidR="00AA6D49">
        <w:rPr>
          <w:rFonts w:cs="Times New Roman"/>
        </w:rPr>
        <w:t>“</w:t>
      </w:r>
      <w:r w:rsidR="004A15AF">
        <w:rPr>
          <w:rFonts w:cs="Times New Roman"/>
        </w:rPr>
        <w:t>door-to-door service</w:t>
      </w:r>
      <w:r>
        <w:rPr>
          <w:rFonts w:cs="Times New Roman"/>
        </w:rPr>
        <w:t>,</w:t>
      </w:r>
      <w:r w:rsidR="00AA6D49">
        <w:rPr>
          <w:rFonts w:cs="Times New Roman"/>
        </w:rPr>
        <w:t>”</w:t>
      </w:r>
      <w:r w:rsidR="004A15AF">
        <w:rPr>
          <w:rFonts w:cs="Times New Roman"/>
        </w:rPr>
        <w:t xml:space="preserve"> admittedly a </w:t>
      </w:r>
      <w:r w:rsidR="00DD56DE">
        <w:rPr>
          <w:rFonts w:cs="Times New Roman"/>
        </w:rPr>
        <w:t xml:space="preserve">threshold </w:t>
      </w:r>
      <w:r w:rsidR="004A15AF">
        <w:rPr>
          <w:rFonts w:cs="Times New Roman"/>
        </w:rPr>
        <w:t>service that Shuttle Express already provides.  If simply applying for the same type of regulated service automatically disqualified a new entry applicant, the 2013 stakeholder proceeding und</w:t>
      </w:r>
      <w:r w:rsidR="00AA6D49">
        <w:rPr>
          <w:rFonts w:cs="Times New Roman"/>
        </w:rPr>
        <w:t>er Docket No. TC-121328 would</w:t>
      </w:r>
      <w:r w:rsidR="004A15AF">
        <w:rPr>
          <w:rFonts w:cs="Times New Roman"/>
        </w:rPr>
        <w:t xml:space="preserve"> not only be wholly nullified but any such new applications for auto transportation authority would be exercises in futility.  Apparently Shuttle Express would </w:t>
      </w:r>
      <w:r w:rsidR="00E623AE">
        <w:rPr>
          <w:rFonts w:cs="Times New Roman"/>
        </w:rPr>
        <w:t xml:space="preserve">also </w:t>
      </w:r>
      <w:r w:rsidR="004A15AF">
        <w:rPr>
          <w:rFonts w:cs="Times New Roman"/>
        </w:rPr>
        <w:t xml:space="preserve">have this application </w:t>
      </w:r>
      <w:r w:rsidR="00DD56DE">
        <w:rPr>
          <w:rFonts w:cs="Times New Roman"/>
        </w:rPr>
        <w:t xml:space="preserve">rejected </w:t>
      </w:r>
      <w:r w:rsidR="004A15AF">
        <w:rPr>
          <w:rFonts w:cs="Times New Roman"/>
        </w:rPr>
        <w:t>because it seeks door-to-door service</w:t>
      </w:r>
      <w:r>
        <w:rPr>
          <w:rFonts w:cs="Times New Roman"/>
        </w:rPr>
        <w:t>,</w:t>
      </w:r>
      <w:r w:rsidR="002F76CF">
        <w:rPr>
          <w:rFonts w:cs="Times New Roman"/>
        </w:rPr>
        <w:t xml:space="preserve"> reasoning that because </w:t>
      </w:r>
      <w:r w:rsidR="00E623AE">
        <w:rPr>
          <w:rFonts w:cs="Times New Roman"/>
        </w:rPr>
        <w:t xml:space="preserve">Shuttle Express </w:t>
      </w:r>
      <w:r w:rsidR="002F76CF">
        <w:rPr>
          <w:rFonts w:cs="Times New Roman"/>
        </w:rPr>
        <w:t xml:space="preserve">also provides door-to-door service in many </w:t>
      </w:r>
      <w:r w:rsidR="00320922">
        <w:rPr>
          <w:rFonts w:cs="Times New Roman"/>
        </w:rPr>
        <w:t xml:space="preserve">overlapping </w:t>
      </w:r>
      <w:r w:rsidR="002F76CF">
        <w:rPr>
          <w:rFonts w:cs="Times New Roman"/>
        </w:rPr>
        <w:t xml:space="preserve">portions of King County that </w:t>
      </w:r>
      <w:r w:rsidR="00E623AE">
        <w:rPr>
          <w:rFonts w:cs="Times New Roman"/>
        </w:rPr>
        <w:t xml:space="preserve">automatically </w:t>
      </w:r>
      <w:r w:rsidR="002F76CF">
        <w:rPr>
          <w:rFonts w:cs="Times New Roman"/>
        </w:rPr>
        <w:t>mean</w:t>
      </w:r>
      <w:r w:rsidR="00AA6D49">
        <w:rPr>
          <w:rFonts w:cs="Times New Roman"/>
        </w:rPr>
        <w:t>s</w:t>
      </w:r>
      <w:r w:rsidR="002F76CF">
        <w:rPr>
          <w:rFonts w:cs="Times New Roman"/>
        </w:rPr>
        <w:t xml:space="preserve"> it’s the “same service</w:t>
      </w:r>
      <w:r w:rsidR="004A15AF">
        <w:rPr>
          <w:rFonts w:cs="Times New Roman"/>
        </w:rPr>
        <w:t>.</w:t>
      </w:r>
      <w:r w:rsidR="002F76CF">
        <w:rPr>
          <w:rFonts w:cs="Times New Roman"/>
        </w:rPr>
        <w:t>”</w:t>
      </w:r>
      <w:r w:rsidR="004A15AF">
        <w:rPr>
          <w:rFonts w:cs="Times New Roman"/>
        </w:rPr>
        <w:t xml:space="preserve">  </w:t>
      </w:r>
    </w:p>
    <w:p w:rsidR="001A6198" w:rsidRPr="00C77CAD" w:rsidP="00C77CAD">
      <w:pPr>
        <w:pStyle w:val="ListParagraph"/>
        <w:numPr>
          <w:ilvl w:val="0"/>
          <w:numId w:val="16"/>
        </w:numPr>
        <w:spacing w:line="480" w:lineRule="auto"/>
        <w:ind w:left="0" w:hanging="720"/>
        <w:rPr>
          <w:rFonts w:cs="Times New Roman"/>
        </w:rPr>
      </w:pPr>
      <w:r>
        <w:rPr>
          <w:rFonts w:cs="Times New Roman"/>
        </w:rPr>
        <w:tab/>
      </w:r>
      <w:r w:rsidR="004A15AF">
        <w:rPr>
          <w:rFonts w:cs="Times New Roman"/>
        </w:rPr>
        <w:t xml:space="preserve">In so </w:t>
      </w:r>
      <w:r w:rsidR="002F76CF">
        <w:rPr>
          <w:rFonts w:cs="Times New Roman"/>
        </w:rPr>
        <w:t>arguing</w:t>
      </w:r>
      <w:r w:rsidR="004A15AF">
        <w:rPr>
          <w:rFonts w:cs="Times New Roman"/>
        </w:rPr>
        <w:t>,</w:t>
      </w:r>
      <w:r>
        <w:rPr>
          <w:rFonts w:cs="Times New Roman"/>
        </w:rPr>
        <w:t xml:space="preserve"> as well, </w:t>
      </w:r>
      <w:r w:rsidR="004A15AF">
        <w:rPr>
          <w:rFonts w:cs="Times New Roman"/>
        </w:rPr>
        <w:t xml:space="preserve">Shuttle Express seeks either to obfuscate or otherwise </w:t>
      </w:r>
      <w:r w:rsidR="00E623AE">
        <w:rPr>
          <w:rFonts w:cs="Times New Roman"/>
        </w:rPr>
        <w:t xml:space="preserve">deflect </w:t>
      </w:r>
      <w:r w:rsidR="004A15AF">
        <w:rPr>
          <w:rFonts w:cs="Times New Roman"/>
        </w:rPr>
        <w:t xml:space="preserve">the applicant’s proposal to transplant yet another service feature from Hawaii of guaranteeing departure from the airport on arrival within 20 minutes of the </w:t>
      </w:r>
      <w:r w:rsidR="00634400">
        <w:rPr>
          <w:rFonts w:cs="Times New Roman"/>
        </w:rPr>
        <w:t xml:space="preserve">passenger receiving </w:t>
      </w:r>
      <w:r w:rsidR="00E623AE">
        <w:rPr>
          <w:rFonts w:cs="Times New Roman"/>
        </w:rPr>
        <w:t xml:space="preserve">their </w:t>
      </w:r>
      <w:r w:rsidR="00634400">
        <w:rPr>
          <w:rFonts w:cs="Times New Roman"/>
        </w:rPr>
        <w:t>bags (</w:t>
      </w:r>
      <w:r w:rsidR="00634400">
        <w:rPr>
          <w:rFonts w:cs="Times New Roman"/>
        </w:rPr>
        <w:t>Tr</w:t>
      </w:r>
      <w:r w:rsidR="00634400">
        <w:rPr>
          <w:rFonts w:cs="Times New Roman"/>
        </w:rPr>
        <w:t xml:space="preserve"> </w:t>
      </w:r>
      <w:r w:rsidR="004A15AF">
        <w:rPr>
          <w:rFonts w:cs="Times New Roman"/>
        </w:rPr>
        <w:t>30).</w:t>
      </w:r>
      <w:r>
        <w:rPr>
          <w:rStyle w:val="FootnoteReference"/>
          <w:rFonts w:cs="Times New Roman"/>
        </w:rPr>
        <w:footnoteReference w:id="14"/>
      </w:r>
      <w:r w:rsidR="004A15AF">
        <w:rPr>
          <w:rFonts w:cs="Times New Roman"/>
        </w:rPr>
        <w:t xml:space="preserve">  Shuttle Express </w:t>
      </w:r>
      <w:r w:rsidR="002F76CF">
        <w:rPr>
          <w:rFonts w:cs="Times New Roman"/>
        </w:rPr>
        <w:t>is understandably</w:t>
      </w:r>
      <w:r w:rsidR="004A15AF">
        <w:rPr>
          <w:rFonts w:cs="Times New Roman"/>
        </w:rPr>
        <w:t xml:space="preserve"> defensive about this service feature and differentiator.  At page 9 of its Petition, while fully acknowledging such a service proposal differential</w:t>
      </w:r>
      <w:r w:rsidR="00E623AE">
        <w:rPr>
          <w:rFonts w:cs="Times New Roman"/>
        </w:rPr>
        <w:t>,</w:t>
      </w:r>
      <w:r w:rsidR="004A15AF">
        <w:rPr>
          <w:rFonts w:cs="Times New Roman"/>
        </w:rPr>
        <w:t xml:space="preserve"> Shuttle Express attempts to attack the Initial Order finding at ¶</w:t>
      </w:r>
      <w:r>
        <w:rPr>
          <w:rFonts w:cs="Times New Roman"/>
        </w:rPr>
        <w:t>30</w:t>
      </w:r>
      <w:r w:rsidR="004A15AF">
        <w:rPr>
          <w:rFonts w:cs="Times New Roman"/>
        </w:rPr>
        <w:t xml:space="preserve"> </w:t>
      </w:r>
      <w:r w:rsidR="00E623AE">
        <w:rPr>
          <w:rFonts w:cs="Times New Roman"/>
        </w:rPr>
        <w:t xml:space="preserve">here </w:t>
      </w:r>
      <w:r w:rsidR="004A15AF">
        <w:rPr>
          <w:rFonts w:cs="Times New Roman"/>
        </w:rPr>
        <w:t xml:space="preserve">by analogizing to </w:t>
      </w:r>
      <w:r>
        <w:rPr>
          <w:rFonts w:cs="Times New Roman"/>
        </w:rPr>
        <w:t xml:space="preserve">the </w:t>
      </w:r>
      <w:r w:rsidR="004A15AF">
        <w:rPr>
          <w:rFonts w:cs="Times New Roman"/>
        </w:rPr>
        <w:t xml:space="preserve">recent </w:t>
      </w:r>
      <w:r w:rsidRPr="00F91696">
        <w:rPr>
          <w:rFonts w:cs="Times New Roman"/>
          <w:i/>
        </w:rPr>
        <w:t>Sa</w:t>
      </w:r>
      <w:r w:rsidRPr="00F91696" w:rsidR="00FC7640">
        <w:rPr>
          <w:rFonts w:cs="Times New Roman"/>
          <w:i/>
        </w:rPr>
        <w:t>m</w:t>
      </w:r>
      <w:r w:rsidRPr="00F91696">
        <w:rPr>
          <w:rFonts w:cs="Times New Roman"/>
          <w:i/>
        </w:rPr>
        <w:t xml:space="preserve">i </w:t>
      </w:r>
      <w:r w:rsidRPr="00F91696">
        <w:rPr>
          <w:rFonts w:cs="Times New Roman"/>
          <w:i/>
        </w:rPr>
        <w:t>Mahama</w:t>
      </w:r>
      <w:r w:rsidRPr="00F91696">
        <w:rPr>
          <w:rFonts w:cs="Times New Roman"/>
          <w:i/>
        </w:rPr>
        <w:t xml:space="preserve"> Ma</w:t>
      </w:r>
      <w:r w:rsidRPr="00F91696" w:rsidR="00FC7640">
        <w:rPr>
          <w:rFonts w:cs="Times New Roman"/>
          <w:i/>
        </w:rPr>
        <w:t>u</w:t>
      </w:r>
      <w:r w:rsidRPr="00F91696">
        <w:rPr>
          <w:rFonts w:cs="Times New Roman"/>
          <w:i/>
        </w:rPr>
        <w:t>rou d/b/a SeaTac Airport 24</w:t>
      </w:r>
      <w:r w:rsidR="00D42FBA">
        <w:rPr>
          <w:rFonts w:cs="Times New Roman"/>
          <w:i/>
        </w:rPr>
        <w:t>,</w:t>
      </w:r>
      <w:r>
        <w:rPr>
          <w:rFonts w:cs="Times New Roman"/>
        </w:rPr>
        <w:t xml:space="preserve"> case.</w:t>
      </w:r>
    </w:p>
    <w:p w:rsidR="00C77CAD" w:rsidP="00D42FBA">
      <w:pPr>
        <w:pStyle w:val="ListParagraph"/>
        <w:numPr>
          <w:ilvl w:val="0"/>
          <w:numId w:val="16"/>
        </w:numPr>
        <w:spacing w:line="480" w:lineRule="auto"/>
        <w:ind w:left="0" w:hanging="720"/>
        <w:rPr>
          <w:rFonts w:cs="Times New Roman"/>
        </w:rPr>
      </w:pPr>
      <w:r>
        <w:rPr>
          <w:rFonts w:cs="Times New Roman"/>
        </w:rPr>
        <w:tab/>
        <w:t xml:space="preserve">While not clear in Shuttle Express’s Petition, the discussion of scheduled service differentiation factors in </w:t>
      </w:r>
      <w:r w:rsidR="00E623AE">
        <w:rPr>
          <w:rFonts w:cs="Times New Roman"/>
        </w:rPr>
        <w:t xml:space="preserve">the </w:t>
      </w:r>
      <w:r w:rsidRPr="00F07EDB">
        <w:rPr>
          <w:rFonts w:cs="Times New Roman"/>
          <w:i/>
        </w:rPr>
        <w:t>Ma</w:t>
      </w:r>
      <w:r w:rsidRPr="00F07EDB" w:rsidR="00FC7640">
        <w:rPr>
          <w:rFonts w:cs="Times New Roman"/>
          <w:i/>
        </w:rPr>
        <w:t>u</w:t>
      </w:r>
      <w:r w:rsidRPr="00F07EDB">
        <w:rPr>
          <w:rFonts w:cs="Times New Roman"/>
          <w:i/>
        </w:rPr>
        <w:t>rou, SeaTac 24</w:t>
      </w:r>
      <w:r w:rsidR="00E623AE">
        <w:rPr>
          <w:rFonts w:cs="Times New Roman"/>
        </w:rPr>
        <w:t xml:space="preserve"> </w:t>
      </w:r>
      <w:r w:rsidRPr="008D5AA4">
        <w:rPr>
          <w:rFonts w:cs="Times New Roman"/>
        </w:rPr>
        <w:t>case</w:t>
      </w:r>
      <w:r w:rsidR="00D42FBA">
        <w:rPr>
          <w:rFonts w:cs="Times New Roman"/>
        </w:rPr>
        <w:t xml:space="preserve"> </w:t>
      </w:r>
      <w:r w:rsidRPr="008D5AA4">
        <w:rPr>
          <w:rFonts w:cs="Times New Roman"/>
        </w:rPr>
        <w:t xml:space="preserve">is actually derived from the Initial Order 01 in that matter where, at ¶12, the administrative law judge found that the applicant offered the “same service” as the </w:t>
      </w:r>
      <w:r w:rsidR="00E623AE">
        <w:rPr>
          <w:rFonts w:cs="Times New Roman"/>
        </w:rPr>
        <w:t xml:space="preserve">second </w:t>
      </w:r>
      <w:r w:rsidRPr="008D5AA4">
        <w:rPr>
          <w:rFonts w:cs="Times New Roman"/>
        </w:rPr>
        <w:t xml:space="preserve">Objector, </w:t>
      </w:r>
      <w:r w:rsidR="00191174">
        <w:rPr>
          <w:rFonts w:cs="Times New Roman"/>
        </w:rPr>
        <w:t>Wickkiser</w:t>
      </w:r>
      <w:r w:rsidR="00191174">
        <w:rPr>
          <w:rFonts w:cs="Times New Roman"/>
        </w:rPr>
        <w:t xml:space="preserve"> International/</w:t>
      </w:r>
      <w:r w:rsidRPr="008D5AA4">
        <w:rPr>
          <w:rFonts w:cs="Times New Roman"/>
        </w:rPr>
        <w:t>Airport Shuttle, did.</w:t>
      </w:r>
      <w:r>
        <w:rPr>
          <w:rStyle w:val="FootnoteReference"/>
          <w:rFonts w:cs="Times New Roman"/>
        </w:rPr>
        <w:footnoteReference w:id="15"/>
      </w:r>
      <w:r w:rsidRPr="008D5AA4" w:rsidR="00FC7640">
        <w:rPr>
          <w:rFonts w:cs="Times New Roman"/>
        </w:rPr>
        <w:t xml:space="preserve">  While Shuttle Express here tries to </w:t>
      </w:r>
      <w:r w:rsidR="00D42FBA">
        <w:rPr>
          <w:rFonts w:cs="Times New Roman"/>
        </w:rPr>
        <w:t xml:space="preserve">imply </w:t>
      </w:r>
      <w:r w:rsidRPr="008D5AA4" w:rsidR="00FC7640">
        <w:rPr>
          <w:rFonts w:cs="Times New Roman"/>
        </w:rPr>
        <w:t xml:space="preserve">that distinction applies to door-to-door service as well, that apples-to-oranges comparison is readily distinguishable.  There, </w:t>
      </w:r>
      <w:r w:rsidR="00320922">
        <w:rPr>
          <w:rFonts w:cs="Times New Roman"/>
        </w:rPr>
        <w:t xml:space="preserve">in fact, </w:t>
      </w:r>
      <w:r w:rsidRPr="008D5AA4" w:rsidR="00FC7640">
        <w:rPr>
          <w:rFonts w:cs="Times New Roman"/>
        </w:rPr>
        <w:t xml:space="preserve">the applicant was </w:t>
      </w:r>
      <w:r w:rsidR="00E623AE">
        <w:rPr>
          <w:rFonts w:cs="Times New Roman"/>
        </w:rPr>
        <w:t xml:space="preserve">proposing </w:t>
      </w:r>
      <w:r w:rsidRPr="008D5AA4" w:rsidR="00FC7640">
        <w:rPr>
          <w:rFonts w:cs="Times New Roman"/>
        </w:rPr>
        <w:t xml:space="preserve">scheduled auto transportation service parallel to the applicant’s </w:t>
      </w:r>
      <w:r w:rsidRPr="008D5AA4" w:rsidR="008D5AA4">
        <w:rPr>
          <w:rFonts w:cs="Times New Roman"/>
        </w:rPr>
        <w:t>existing r</w:t>
      </w:r>
      <w:r w:rsidR="008D5AA4">
        <w:rPr>
          <w:rFonts w:cs="Times New Roman"/>
        </w:rPr>
        <w:t xml:space="preserve">oute and simply </w:t>
      </w:r>
      <w:r w:rsidR="00E623AE">
        <w:rPr>
          <w:rFonts w:cs="Times New Roman"/>
        </w:rPr>
        <w:t xml:space="preserve">making </w:t>
      </w:r>
      <w:r w:rsidR="008D5AA4">
        <w:rPr>
          <w:rFonts w:cs="Times New Roman"/>
        </w:rPr>
        <w:t>mi</w:t>
      </w:r>
      <w:r w:rsidRPr="008D5AA4" w:rsidR="008D5AA4">
        <w:rPr>
          <w:rFonts w:cs="Times New Roman"/>
        </w:rPr>
        <w:t xml:space="preserve">nor time schedule </w:t>
      </w:r>
      <w:r w:rsidR="00647760">
        <w:rPr>
          <w:rFonts w:cs="Times New Roman"/>
        </w:rPr>
        <w:t xml:space="preserve">adjustments </w:t>
      </w:r>
      <w:r w:rsidRPr="008D5AA4" w:rsidR="008D5AA4">
        <w:rPr>
          <w:rFonts w:cs="Times New Roman"/>
        </w:rPr>
        <w:t xml:space="preserve">resulting in planned departures a half hour earlier than the </w:t>
      </w:r>
      <w:r w:rsidR="00647760">
        <w:rPr>
          <w:rFonts w:cs="Times New Roman"/>
        </w:rPr>
        <w:t>O</w:t>
      </w:r>
      <w:r w:rsidRPr="008D5AA4" w:rsidR="008D5AA4">
        <w:rPr>
          <w:rFonts w:cs="Times New Roman"/>
        </w:rPr>
        <w:t>bjector’s current schedule with runs on the hour versus the half hour by Airport Shuttle.  Here</w:t>
      </w:r>
      <w:r w:rsidR="008D5AA4">
        <w:rPr>
          <w:rFonts w:cs="Times New Roman"/>
        </w:rPr>
        <w:t xml:space="preserve">, the door-to-door auto transportation service applicant </w:t>
      </w:r>
      <w:r w:rsidR="00647760">
        <w:rPr>
          <w:rFonts w:cs="Times New Roman"/>
        </w:rPr>
        <w:t xml:space="preserve">Speedishuttle </w:t>
      </w:r>
      <w:r w:rsidR="008D5AA4">
        <w:rPr>
          <w:rFonts w:cs="Times New Roman"/>
        </w:rPr>
        <w:t xml:space="preserve">is proposing </w:t>
      </w:r>
      <w:r w:rsidR="00647760">
        <w:rPr>
          <w:rFonts w:cs="Times New Roman"/>
        </w:rPr>
        <w:t xml:space="preserve">involves </w:t>
      </w:r>
      <w:r w:rsidR="008D5AA4">
        <w:rPr>
          <w:rFonts w:cs="Times New Roman"/>
        </w:rPr>
        <w:t>a one-third reduction in departure time after which</w:t>
      </w:r>
      <w:r w:rsidR="00F33709">
        <w:rPr>
          <w:rFonts w:cs="Times New Roman"/>
        </w:rPr>
        <w:t xml:space="preserve"> the passenger collecting his/her baggage would depart the airport for the pre-arranged destination.  This </w:t>
      </w:r>
      <w:r w:rsidR="00320922">
        <w:rPr>
          <w:rFonts w:cs="Times New Roman"/>
        </w:rPr>
        <w:t xml:space="preserve">alone </w:t>
      </w:r>
      <w:r w:rsidR="00F33709">
        <w:rPr>
          <w:rFonts w:cs="Times New Roman"/>
        </w:rPr>
        <w:t>would appear to be a material service differentiation factor which,</w:t>
      </w:r>
      <w:r w:rsidR="00D42FBA">
        <w:rPr>
          <w:rFonts w:cs="Times New Roman"/>
        </w:rPr>
        <w:t xml:space="preserve"> when</w:t>
      </w:r>
      <w:r w:rsidR="00F33709">
        <w:rPr>
          <w:rFonts w:cs="Times New Roman"/>
        </w:rPr>
        <w:t xml:space="preserve"> considered with </w:t>
      </w:r>
      <w:r w:rsidR="00647760">
        <w:rPr>
          <w:rFonts w:cs="Times New Roman"/>
        </w:rPr>
        <w:t xml:space="preserve">numerous </w:t>
      </w:r>
      <w:r w:rsidR="00F33709">
        <w:rPr>
          <w:rFonts w:cs="Times New Roman"/>
        </w:rPr>
        <w:t>other factors in Order 02,</w:t>
      </w:r>
      <w:r>
        <w:rPr>
          <w:rStyle w:val="FootnoteReference"/>
          <w:rFonts w:cs="Times New Roman"/>
        </w:rPr>
        <w:footnoteReference w:id="16"/>
      </w:r>
      <w:r w:rsidR="00F33709">
        <w:rPr>
          <w:rFonts w:cs="Times New Roman"/>
        </w:rPr>
        <w:t xml:space="preserve"> led to an appropriate finding that Speedishuttle’s was not the “same service” as the Objector’s.  Shuttle Express’s unsupported statement in its Petition that “[s]</w:t>
      </w:r>
      <w:r w:rsidR="00F33709">
        <w:rPr>
          <w:rFonts w:cs="Times New Roman"/>
        </w:rPr>
        <w:t>urely</w:t>
      </w:r>
      <w:r w:rsidR="00F33709">
        <w:rPr>
          <w:rFonts w:cs="Times New Roman"/>
        </w:rPr>
        <w:t>, where a scheduled service that begins 30 minutes earlier is insufficient to establish a different service, a 10-minute difference in departure times is also insufficient</w:t>
      </w:r>
      <w:r>
        <w:rPr>
          <w:rStyle w:val="FootnoteReference"/>
          <w:rFonts w:cs="Times New Roman"/>
        </w:rPr>
        <w:footnoteReference w:id="17"/>
      </w:r>
      <w:r w:rsidR="00F33709">
        <w:rPr>
          <w:rFonts w:cs="Times New Roman"/>
        </w:rPr>
        <w:t xml:space="preserve"> again widely misses the mark</w:t>
      </w:r>
      <w:r w:rsidR="00647760">
        <w:rPr>
          <w:rFonts w:cs="Times New Roman"/>
        </w:rPr>
        <w:t>,</w:t>
      </w:r>
      <w:r w:rsidR="00F33709">
        <w:rPr>
          <w:rFonts w:cs="Times New Roman"/>
        </w:rPr>
        <w:t xml:space="preserve"> not only </w:t>
      </w:r>
      <w:r w:rsidR="00647760">
        <w:rPr>
          <w:rFonts w:cs="Times New Roman"/>
        </w:rPr>
        <w:t>in</w:t>
      </w:r>
      <w:r w:rsidR="00F33709">
        <w:rPr>
          <w:rFonts w:cs="Times New Roman"/>
        </w:rPr>
        <w:t xml:space="preserve"> comparing scheduled </w:t>
      </w:r>
      <w:r w:rsidR="00320922">
        <w:rPr>
          <w:rFonts w:cs="Times New Roman"/>
        </w:rPr>
        <w:t xml:space="preserve">service </w:t>
      </w:r>
      <w:r w:rsidR="00F33709">
        <w:rPr>
          <w:rFonts w:cs="Times New Roman"/>
        </w:rPr>
        <w:t xml:space="preserve">to door-to-door auto transportation service under WAC 480-30-140(2)(f) </w:t>
      </w:r>
      <w:r w:rsidR="00D42FBA">
        <w:rPr>
          <w:rFonts w:cs="Times New Roman"/>
        </w:rPr>
        <w:t>and WAC 480-30-140(2)(g)</w:t>
      </w:r>
      <w:r w:rsidR="00320922">
        <w:rPr>
          <w:rFonts w:cs="Times New Roman"/>
        </w:rPr>
        <w:t>,</w:t>
      </w:r>
      <w:r w:rsidR="00D42FBA">
        <w:rPr>
          <w:rFonts w:cs="Times New Roman"/>
        </w:rPr>
        <w:t xml:space="preserve"> </w:t>
      </w:r>
      <w:r w:rsidR="00F33709">
        <w:rPr>
          <w:rFonts w:cs="Times New Roman"/>
        </w:rPr>
        <w:t xml:space="preserve">but </w:t>
      </w:r>
      <w:r w:rsidR="00DD56DE">
        <w:rPr>
          <w:rFonts w:cs="Times New Roman"/>
        </w:rPr>
        <w:t xml:space="preserve">by incorrectly </w:t>
      </w:r>
      <w:r w:rsidR="00F33709">
        <w:rPr>
          <w:rFonts w:cs="Times New Roman"/>
        </w:rPr>
        <w:t>weigh</w:t>
      </w:r>
      <w:r w:rsidR="00647760">
        <w:rPr>
          <w:rFonts w:cs="Times New Roman"/>
        </w:rPr>
        <w:t>ing</w:t>
      </w:r>
      <w:r w:rsidR="00F33709">
        <w:rPr>
          <w:rFonts w:cs="Times New Roman"/>
        </w:rPr>
        <w:t xml:space="preserve"> an important service differentiation factor addressed in this record.</w:t>
      </w:r>
    </w:p>
    <w:p w:rsidR="00140930" w:rsidP="00140930">
      <w:pPr>
        <w:pStyle w:val="Heading2"/>
      </w:pPr>
      <w:r>
        <w:t>Serving the Scheduled Service</w:t>
      </w:r>
      <w:r w:rsidR="00A078BD">
        <w:t>,</w:t>
      </w:r>
      <w:r>
        <w:t xml:space="preserve"> Route</w:t>
      </w:r>
      <w:r w:rsidR="00DD56DE">
        <w:t>d</w:t>
      </w:r>
      <w:r>
        <w:t xml:space="preserve"> Marketplace is Decidedly Different than Door-to-Door Service.</w:t>
      </w:r>
    </w:p>
    <w:p w:rsidR="00F33709" w:rsidP="00C77CAD">
      <w:pPr>
        <w:pStyle w:val="ListParagraph"/>
        <w:numPr>
          <w:ilvl w:val="0"/>
          <w:numId w:val="16"/>
        </w:numPr>
        <w:spacing w:line="480" w:lineRule="auto"/>
        <w:ind w:left="0" w:hanging="720"/>
        <w:rPr>
          <w:rFonts w:cs="Times New Roman"/>
        </w:rPr>
      </w:pPr>
      <w:r>
        <w:rPr>
          <w:rFonts w:cs="Times New Roman"/>
        </w:rPr>
        <w:tab/>
        <w:t>S</w:t>
      </w:r>
      <w:r w:rsidR="00647760">
        <w:rPr>
          <w:rFonts w:cs="Times New Roman"/>
        </w:rPr>
        <w:t xml:space="preserve">imilarly, </w:t>
      </w:r>
      <w:r>
        <w:rPr>
          <w:rFonts w:cs="Times New Roman"/>
        </w:rPr>
        <w:t xml:space="preserve">Shuttle Express’s analysis on Petition goes further awry when it attempts to critique the Initial Order </w:t>
      </w:r>
      <w:r>
        <w:rPr>
          <w:rFonts w:cs="Times New Roman"/>
        </w:rPr>
        <w:t>02’s</w:t>
      </w:r>
      <w:r>
        <w:rPr>
          <w:rFonts w:cs="Times New Roman"/>
        </w:rPr>
        <w:t xml:space="preserve"> finding at ¶16 “…that Shuttle Express does not reasonably [or adequately] serve the King County market.”  Somewhat incredulously, Shuttle Express </w:t>
      </w:r>
      <w:r w:rsidR="00647760">
        <w:rPr>
          <w:rFonts w:cs="Times New Roman"/>
        </w:rPr>
        <w:t xml:space="preserve">next announces </w:t>
      </w:r>
      <w:r>
        <w:rPr>
          <w:rFonts w:cs="Times New Roman"/>
        </w:rPr>
        <w:t>that it “was exonerated on this issue.”</w:t>
      </w:r>
      <w:r>
        <w:rPr>
          <w:rStyle w:val="FootnoteReference"/>
          <w:rFonts w:cs="Times New Roman"/>
        </w:rPr>
        <w:footnoteReference w:id="18"/>
      </w:r>
      <w:r>
        <w:rPr>
          <w:rFonts w:cs="Times New Roman"/>
        </w:rPr>
        <w:t xml:space="preserve">  </w:t>
      </w:r>
    </w:p>
    <w:p w:rsidR="00D33CDE" w:rsidP="00C77CAD">
      <w:pPr>
        <w:pStyle w:val="ListParagraph"/>
        <w:numPr>
          <w:ilvl w:val="0"/>
          <w:numId w:val="16"/>
        </w:numPr>
        <w:spacing w:line="480" w:lineRule="auto"/>
        <w:ind w:left="0" w:hanging="720"/>
        <w:rPr>
          <w:rFonts w:cs="Times New Roman"/>
        </w:rPr>
      </w:pPr>
      <w:r>
        <w:rPr>
          <w:rFonts w:cs="Times New Roman"/>
        </w:rPr>
        <w:tab/>
      </w:r>
      <w:r w:rsidR="00BE5412">
        <w:rPr>
          <w:rFonts w:cs="Times New Roman"/>
        </w:rPr>
        <w:t xml:space="preserve">Its bold defense consists of a citation </w:t>
      </w:r>
      <w:r>
        <w:rPr>
          <w:rFonts w:cs="Times New Roman"/>
        </w:rPr>
        <w:t xml:space="preserve">to Initial Order 03 in its oft-cited penalty assessment proceeding where the administrative law judge made an express finding about sufficiency of equipment to </w:t>
      </w:r>
      <w:r>
        <w:rPr>
          <w:rFonts w:cs="Times New Roman"/>
          <w:i/>
        </w:rPr>
        <w:t>operate its established routes and fixed time schedules</w:t>
      </w:r>
      <w:r>
        <w:rPr>
          <w:rFonts w:cs="Times New Roman"/>
        </w:rPr>
        <w:t xml:space="preserve"> which clearly is not directed to door-to-door service</w:t>
      </w:r>
      <w:r w:rsidR="00DD56DE">
        <w:rPr>
          <w:rFonts w:cs="Times New Roman"/>
        </w:rPr>
        <w:t xml:space="preserve"> conditions</w:t>
      </w:r>
      <w:r>
        <w:rPr>
          <w:rFonts w:cs="Times New Roman"/>
        </w:rPr>
        <w:t>.  Indeed, there is no finding in that Order or</w:t>
      </w:r>
      <w:r w:rsidR="00DD56DE">
        <w:rPr>
          <w:rFonts w:cs="Times New Roman"/>
        </w:rPr>
        <w:t xml:space="preserve"> in</w:t>
      </w:r>
      <w:r>
        <w:rPr>
          <w:rFonts w:cs="Times New Roman"/>
        </w:rPr>
        <w:t xml:space="preserve"> Final Order </w:t>
      </w:r>
      <w:r w:rsidR="00BE5412">
        <w:rPr>
          <w:rFonts w:cs="Times New Roman"/>
        </w:rPr>
        <w:t xml:space="preserve">04 </w:t>
      </w:r>
      <w:r>
        <w:rPr>
          <w:rFonts w:cs="Times New Roman"/>
        </w:rPr>
        <w:t>from March 19, 2014 in Docket TC-</w:t>
      </w:r>
      <w:r>
        <w:rPr>
          <w:rFonts w:cs="Times New Roman"/>
        </w:rPr>
        <w:t>120323, that</w:t>
      </w:r>
      <w:r>
        <w:rPr>
          <w:rFonts w:cs="Times New Roman"/>
        </w:rPr>
        <w:t xml:space="preserve"> makes any comparable finding about its availability to provide door-to-door service.  It would </w:t>
      </w:r>
      <w:r w:rsidR="00647760">
        <w:rPr>
          <w:rFonts w:cs="Times New Roman"/>
        </w:rPr>
        <w:t xml:space="preserve">also </w:t>
      </w:r>
      <w:r>
        <w:rPr>
          <w:rFonts w:cs="Times New Roman"/>
        </w:rPr>
        <w:t>appear that the chronic violation of WAC 480-30-213(2) established there leave</w:t>
      </w:r>
      <w:r w:rsidR="00BE5412">
        <w:rPr>
          <w:rFonts w:cs="Times New Roman"/>
        </w:rPr>
        <w:t>s</w:t>
      </w:r>
      <w:r>
        <w:rPr>
          <w:rFonts w:cs="Times New Roman"/>
        </w:rPr>
        <w:t xml:space="preserve"> no </w:t>
      </w:r>
      <w:r w:rsidR="00320922">
        <w:rPr>
          <w:rFonts w:cs="Times New Roman"/>
        </w:rPr>
        <w:t xml:space="preserve">room for </w:t>
      </w:r>
      <w:r>
        <w:rPr>
          <w:rFonts w:cs="Times New Roman"/>
        </w:rPr>
        <w:t xml:space="preserve">doubt </w:t>
      </w:r>
      <w:r w:rsidR="00BE5412">
        <w:rPr>
          <w:rFonts w:cs="Times New Roman"/>
        </w:rPr>
        <w:t xml:space="preserve">that </w:t>
      </w:r>
      <w:r w:rsidR="00647760">
        <w:rPr>
          <w:rFonts w:cs="Times New Roman"/>
        </w:rPr>
        <w:t xml:space="preserve">for </w:t>
      </w:r>
      <w:r>
        <w:rPr>
          <w:rFonts w:cs="Times New Roman"/>
        </w:rPr>
        <w:t>over a decade</w:t>
      </w:r>
      <w:r w:rsidR="00320922">
        <w:rPr>
          <w:rFonts w:cs="Times New Roman"/>
        </w:rPr>
        <w:t>,</w:t>
      </w:r>
      <w:r>
        <w:rPr>
          <w:rFonts w:cs="Times New Roman"/>
        </w:rPr>
        <w:t xml:space="preserve"> </w:t>
      </w:r>
      <w:r w:rsidR="00BE5412">
        <w:rPr>
          <w:rFonts w:cs="Times New Roman"/>
        </w:rPr>
        <w:t xml:space="preserve">Shuttle Express had </w:t>
      </w:r>
      <w:r w:rsidR="00C54CD9">
        <w:rPr>
          <w:rFonts w:cs="Times New Roman"/>
        </w:rPr>
        <w:t>insufficient</w:t>
      </w:r>
      <w:r>
        <w:rPr>
          <w:rFonts w:cs="Times New Roman"/>
        </w:rPr>
        <w:t xml:space="preserve"> equipment </w:t>
      </w:r>
      <w:r w:rsidR="00647760">
        <w:rPr>
          <w:rFonts w:cs="Times New Roman"/>
        </w:rPr>
        <w:t>and/</w:t>
      </w:r>
      <w:r>
        <w:rPr>
          <w:rFonts w:cs="Times New Roman"/>
        </w:rPr>
        <w:t>or employee operators to reasonably serve the door-to-door airport shuttle marketplace</w:t>
      </w:r>
      <w:r w:rsidR="00C54CD9">
        <w:rPr>
          <w:rFonts w:cs="Times New Roman"/>
        </w:rPr>
        <w:t xml:space="preserve">. </w:t>
      </w:r>
      <w:r>
        <w:rPr>
          <w:rFonts w:cs="Times New Roman"/>
        </w:rPr>
        <w:t xml:space="preserve"> </w:t>
      </w:r>
      <w:r w:rsidR="00C54CD9">
        <w:rPr>
          <w:rFonts w:cs="Times New Roman"/>
        </w:rPr>
        <w:t>I</w:t>
      </w:r>
      <w:r>
        <w:rPr>
          <w:rFonts w:cs="Times New Roman"/>
        </w:rPr>
        <w:t xml:space="preserve">ts owner’s </w:t>
      </w:r>
      <w:r w:rsidR="00DD56DE">
        <w:rPr>
          <w:rFonts w:cs="Times New Roman"/>
        </w:rPr>
        <w:t>D</w:t>
      </w:r>
      <w:r>
        <w:rPr>
          <w:rFonts w:cs="Times New Roman"/>
        </w:rPr>
        <w:t xml:space="preserve">eclaration in November, 2013 referenced above makes </w:t>
      </w:r>
      <w:r w:rsidR="00C54CD9">
        <w:rPr>
          <w:rFonts w:cs="Times New Roman"/>
        </w:rPr>
        <w:t xml:space="preserve">that </w:t>
      </w:r>
      <w:r>
        <w:rPr>
          <w:rFonts w:cs="Times New Roman"/>
        </w:rPr>
        <w:t>unequivocal.</w:t>
      </w:r>
    </w:p>
    <w:p w:rsidR="00140930" w:rsidP="00140930">
      <w:pPr>
        <w:pStyle w:val="Heading2"/>
      </w:pPr>
      <w:r>
        <w:t xml:space="preserve">King County’s and </w:t>
      </w:r>
      <w:r>
        <w:t>Seatac</w:t>
      </w:r>
      <w:r>
        <w:t xml:space="preserve"> Airport’s Demographic and Utilization Growth is Unchallenged under WAC 480-30-140(2)(d) </w:t>
      </w:r>
      <w:r w:rsidR="00DD56DE">
        <w:t>h</w:t>
      </w:r>
      <w:r w:rsidR="00320922">
        <w:t xml:space="preserve">ere </w:t>
      </w:r>
      <w:r>
        <w:t xml:space="preserve">and there is </w:t>
      </w:r>
      <w:r w:rsidR="00A078BD">
        <w:t xml:space="preserve">also </w:t>
      </w:r>
      <w:r>
        <w:t>no Showing that Unregulated Competition Proliferation is Impacting Regulated Airporter Shuttle Demand.</w:t>
      </w:r>
    </w:p>
    <w:p w:rsidR="00D33CDE" w:rsidP="00C77CAD">
      <w:pPr>
        <w:pStyle w:val="ListParagraph"/>
        <w:numPr>
          <w:ilvl w:val="0"/>
          <w:numId w:val="16"/>
        </w:numPr>
        <w:spacing w:line="480" w:lineRule="auto"/>
        <w:ind w:left="0" w:hanging="720"/>
        <w:rPr>
          <w:rFonts w:cs="Times New Roman"/>
        </w:rPr>
      </w:pPr>
      <w:r>
        <w:rPr>
          <w:rFonts w:cs="Times New Roman"/>
        </w:rPr>
        <w:tab/>
        <w:t>The</w:t>
      </w:r>
      <w:r w:rsidR="00DD56DE">
        <w:rPr>
          <w:rFonts w:cs="Times New Roman"/>
        </w:rPr>
        <w:t xml:space="preserve"> Shuttle Express </w:t>
      </w:r>
      <w:r>
        <w:rPr>
          <w:rFonts w:cs="Times New Roman"/>
        </w:rPr>
        <w:t>demographic argument against authorizing a new door-to-door service provider similarly falls flat.  Order No. 02, as</w:t>
      </w:r>
      <w:r w:rsidR="00DD56DE">
        <w:rPr>
          <w:rFonts w:cs="Times New Roman"/>
        </w:rPr>
        <w:t xml:space="preserve"> expressly</w:t>
      </w:r>
      <w:r>
        <w:rPr>
          <w:rFonts w:cs="Times New Roman"/>
        </w:rPr>
        <w:t xml:space="preserve"> authorized by WAC 480-30-140(2), finds significant demographic density growth in K</w:t>
      </w:r>
      <w:r w:rsidR="000146E8">
        <w:rPr>
          <w:rFonts w:cs="Times New Roman"/>
        </w:rPr>
        <w:t>i</w:t>
      </w:r>
      <w:r>
        <w:rPr>
          <w:rFonts w:cs="Times New Roman"/>
        </w:rPr>
        <w:t xml:space="preserve">ng County in recent years </w:t>
      </w:r>
      <w:r w:rsidR="00647760">
        <w:rPr>
          <w:rFonts w:cs="Times New Roman"/>
        </w:rPr>
        <w:t xml:space="preserve">as well as </w:t>
      </w:r>
      <w:r w:rsidR="00320922">
        <w:rPr>
          <w:rFonts w:cs="Times New Roman"/>
        </w:rPr>
        <w:t xml:space="preserve">the significant </w:t>
      </w:r>
      <w:r>
        <w:rPr>
          <w:rFonts w:cs="Times New Roman"/>
        </w:rPr>
        <w:t xml:space="preserve">growth of enplanements and deplanements at Sea-Tac Airport generally addressed </w:t>
      </w:r>
      <w:r>
        <w:rPr>
          <w:rFonts w:cs="Times New Roman"/>
        </w:rPr>
        <w:t>at Exhibits CM-3-5 in this record.  As not</w:t>
      </w:r>
      <w:r w:rsidR="00647760">
        <w:rPr>
          <w:rFonts w:cs="Times New Roman"/>
        </w:rPr>
        <w:t>ed particularly in Applicant’s O</w:t>
      </w:r>
      <w:r>
        <w:rPr>
          <w:rFonts w:cs="Times New Roman"/>
        </w:rPr>
        <w:t>pposition to Motion to Reopen, Shuttle Express’s purported</w:t>
      </w:r>
      <w:r w:rsidR="00320922">
        <w:rPr>
          <w:rFonts w:cs="Times New Roman"/>
        </w:rPr>
        <w:t xml:space="preserve"> extra-record</w:t>
      </w:r>
      <w:r>
        <w:rPr>
          <w:rFonts w:cs="Times New Roman"/>
        </w:rPr>
        <w:t xml:space="preserve"> showing of an “8.9 percent market decline”</w:t>
      </w:r>
      <w:r>
        <w:rPr>
          <w:rStyle w:val="FootnoteReference"/>
          <w:rFonts w:cs="Times New Roman"/>
        </w:rPr>
        <w:footnoteReference w:id="19"/>
      </w:r>
      <w:r>
        <w:rPr>
          <w:rFonts w:cs="Times New Roman"/>
          <w:i/>
        </w:rPr>
        <w:t xml:space="preserve"> </w:t>
      </w:r>
      <w:r>
        <w:rPr>
          <w:rFonts w:cs="Times New Roman"/>
        </w:rPr>
        <w:t>experienced by the company in door-to-door service</w:t>
      </w:r>
      <w:r w:rsidR="00F23866">
        <w:rPr>
          <w:rFonts w:cs="Times New Roman"/>
        </w:rPr>
        <w:t xml:space="preserve"> over two years has never been convincingly established in this record</w:t>
      </w:r>
      <w:r w:rsidR="00647760">
        <w:rPr>
          <w:rFonts w:cs="Times New Roman"/>
        </w:rPr>
        <w:t xml:space="preserve"> as</w:t>
      </w:r>
      <w:r w:rsidR="00F23866">
        <w:rPr>
          <w:rFonts w:cs="Times New Roman"/>
        </w:rPr>
        <w:t xml:space="preserve"> </w:t>
      </w:r>
      <w:r w:rsidR="00320922">
        <w:rPr>
          <w:rFonts w:cs="Times New Roman"/>
        </w:rPr>
        <w:t xml:space="preserve">being </w:t>
      </w:r>
      <w:r w:rsidR="00DD56DE">
        <w:rPr>
          <w:rFonts w:cs="Times New Roman"/>
        </w:rPr>
        <w:t xml:space="preserve">linked to any diminution </w:t>
      </w:r>
      <w:r w:rsidR="00F23866">
        <w:rPr>
          <w:rFonts w:cs="Times New Roman"/>
        </w:rPr>
        <w:t>in demand for Shuttle Express’s service let alone reflective of any decrease in demand for regulated airport door-to-door services</w:t>
      </w:r>
      <w:r w:rsidR="00C54CD9">
        <w:rPr>
          <w:rFonts w:cs="Times New Roman"/>
        </w:rPr>
        <w:t xml:space="preserve">. </w:t>
      </w:r>
      <w:r w:rsidR="00F23866">
        <w:rPr>
          <w:rFonts w:cs="Times New Roman"/>
        </w:rPr>
        <w:t xml:space="preserve"> </w:t>
      </w:r>
      <w:r w:rsidR="00C54CD9">
        <w:rPr>
          <w:rFonts w:cs="Times New Roman"/>
        </w:rPr>
        <w:t>T</w:t>
      </w:r>
      <w:r w:rsidR="00F23866">
        <w:rPr>
          <w:rFonts w:cs="Times New Roman"/>
        </w:rPr>
        <w:t xml:space="preserve">he </w:t>
      </w:r>
      <w:r w:rsidR="00C54CD9">
        <w:rPr>
          <w:rFonts w:cs="Times New Roman"/>
        </w:rPr>
        <w:t xml:space="preserve">hearing </w:t>
      </w:r>
      <w:r w:rsidR="00F23866">
        <w:rPr>
          <w:rFonts w:cs="Times New Roman"/>
        </w:rPr>
        <w:t xml:space="preserve">record </w:t>
      </w:r>
      <w:r w:rsidR="00C54CD9">
        <w:rPr>
          <w:rFonts w:cs="Times New Roman"/>
        </w:rPr>
        <w:t xml:space="preserve">and recent Commission orders contain numerous </w:t>
      </w:r>
      <w:r w:rsidR="00F23866">
        <w:rPr>
          <w:rFonts w:cs="Times New Roman"/>
        </w:rPr>
        <w:t>references to increasing unregulated competition</w:t>
      </w:r>
      <w:r w:rsidR="00DD56DE">
        <w:rPr>
          <w:rFonts w:cs="Times New Roman"/>
        </w:rPr>
        <w:t xml:space="preserve"> in the airport </w:t>
      </w:r>
      <w:r w:rsidR="00BD5108">
        <w:rPr>
          <w:rFonts w:cs="Times New Roman"/>
        </w:rPr>
        <w:t xml:space="preserve">transportation </w:t>
      </w:r>
      <w:r w:rsidR="00DD56DE">
        <w:rPr>
          <w:rFonts w:cs="Times New Roman"/>
        </w:rPr>
        <w:t>market</w:t>
      </w:r>
      <w:r w:rsidR="00F23866">
        <w:rPr>
          <w:rFonts w:cs="Times New Roman"/>
        </w:rPr>
        <w:t xml:space="preserve">.  </w:t>
      </w:r>
      <w:r w:rsidR="00320922">
        <w:rPr>
          <w:rFonts w:cs="Times New Roman"/>
        </w:rPr>
        <w:t>Yet a</w:t>
      </w:r>
      <w:r w:rsidR="00F23866">
        <w:rPr>
          <w:rFonts w:cs="Times New Roman"/>
        </w:rPr>
        <w:t xml:space="preserve">gain, there is a total absence of any showing </w:t>
      </w:r>
      <w:r w:rsidR="00DD56DE">
        <w:rPr>
          <w:rFonts w:cs="Times New Roman"/>
        </w:rPr>
        <w:t xml:space="preserve">here </w:t>
      </w:r>
      <w:r w:rsidR="00F23866">
        <w:rPr>
          <w:rFonts w:cs="Times New Roman"/>
        </w:rPr>
        <w:t xml:space="preserve">that regulated </w:t>
      </w:r>
      <w:r w:rsidR="00312C83">
        <w:rPr>
          <w:rFonts w:cs="Times New Roman"/>
        </w:rPr>
        <w:t>door-to-door</w:t>
      </w:r>
      <w:r w:rsidR="00F23866">
        <w:rPr>
          <w:rFonts w:cs="Times New Roman"/>
        </w:rPr>
        <w:t xml:space="preserve"> service would be adversely </w:t>
      </w:r>
      <w:r w:rsidR="00C54CD9">
        <w:rPr>
          <w:rFonts w:cs="Times New Roman"/>
        </w:rPr>
        <w:t xml:space="preserve">impacted </w:t>
      </w:r>
      <w:r w:rsidR="00F23866">
        <w:rPr>
          <w:rFonts w:cs="Times New Roman"/>
        </w:rPr>
        <w:t>by the grant of this application</w:t>
      </w:r>
      <w:r w:rsidR="00647760">
        <w:rPr>
          <w:rFonts w:cs="Times New Roman"/>
        </w:rPr>
        <w:t xml:space="preserve">. </w:t>
      </w:r>
      <w:r w:rsidR="00F23866">
        <w:rPr>
          <w:rFonts w:cs="Times New Roman"/>
        </w:rPr>
        <w:t xml:space="preserve"> </w:t>
      </w:r>
      <w:r w:rsidR="00647760">
        <w:rPr>
          <w:rFonts w:cs="Times New Roman"/>
        </w:rPr>
        <w:t>I</w:t>
      </w:r>
      <w:r w:rsidR="00F23866">
        <w:rPr>
          <w:rFonts w:cs="Times New Roman"/>
        </w:rPr>
        <w:t xml:space="preserve">ndeed, there is </w:t>
      </w:r>
      <w:r w:rsidR="00320922">
        <w:rPr>
          <w:rFonts w:cs="Times New Roman"/>
        </w:rPr>
        <w:t xml:space="preserve">a countervailing testimonial offering that </w:t>
      </w:r>
      <w:r w:rsidR="00F23866">
        <w:rPr>
          <w:rFonts w:cs="Times New Roman"/>
        </w:rPr>
        <w:t>an introduction of a new regulated provider might actually have a beneficial</w:t>
      </w:r>
      <w:r w:rsidR="00C54CD9">
        <w:rPr>
          <w:rFonts w:cs="Times New Roman"/>
        </w:rPr>
        <w:t>,</w:t>
      </w:r>
      <w:r w:rsidR="00F23866">
        <w:rPr>
          <w:rFonts w:cs="Times New Roman"/>
        </w:rPr>
        <w:t xml:space="preserve"> ameliorative effect on the incumbent providers which </w:t>
      </w:r>
      <w:r w:rsidR="005F14E9">
        <w:rPr>
          <w:rFonts w:cs="Times New Roman"/>
        </w:rPr>
        <w:t xml:space="preserve">at least </w:t>
      </w:r>
      <w:r w:rsidR="00C54CD9">
        <w:rPr>
          <w:rFonts w:cs="Times New Roman"/>
        </w:rPr>
        <w:t xml:space="preserve">is </w:t>
      </w:r>
      <w:r w:rsidR="00F23866">
        <w:rPr>
          <w:rFonts w:cs="Times New Roman"/>
        </w:rPr>
        <w:t>the applicant’s experience in the regulated airport shuttle marketplace in Hawaii.</w:t>
      </w:r>
      <w:r>
        <w:rPr>
          <w:rStyle w:val="FootnoteReference"/>
          <w:rFonts w:cs="Times New Roman"/>
        </w:rPr>
        <w:footnoteReference w:id="20"/>
      </w:r>
      <w:r w:rsidR="00F23866">
        <w:rPr>
          <w:rFonts w:cs="Times New Roman"/>
        </w:rPr>
        <w:t xml:space="preserve">  </w:t>
      </w:r>
      <w:bookmarkStart w:id="0" w:name="_GoBack"/>
      <w:bookmarkEnd w:id="0"/>
    </w:p>
    <w:p w:rsidR="00C54CD9" w:rsidP="00C54CD9">
      <w:pPr>
        <w:pStyle w:val="Heading2"/>
      </w:pPr>
      <w:r>
        <w:t>The Petition’s Concluding Arguments on Service to the Satisfaction of the Commission are Similarly Uns</w:t>
      </w:r>
      <w:r w:rsidR="00320922">
        <w:t>ubstantiated</w:t>
      </w:r>
      <w:r>
        <w:t xml:space="preserve"> in the Record or Applicable Law.</w:t>
      </w:r>
    </w:p>
    <w:p w:rsidR="00647760" w:rsidP="00C77CAD">
      <w:pPr>
        <w:pStyle w:val="ListParagraph"/>
        <w:numPr>
          <w:ilvl w:val="0"/>
          <w:numId w:val="16"/>
        </w:numPr>
        <w:spacing w:line="480" w:lineRule="auto"/>
        <w:ind w:left="0" w:hanging="720"/>
        <w:rPr>
          <w:rFonts w:cs="Times New Roman"/>
        </w:rPr>
      </w:pPr>
      <w:r>
        <w:rPr>
          <w:rFonts w:cs="Times New Roman"/>
        </w:rPr>
        <w:tab/>
        <w:t>As discussed previously</w:t>
      </w:r>
      <w:r>
        <w:rPr>
          <w:rFonts w:cs="Times New Roman"/>
        </w:rPr>
        <w:t>,</w:t>
      </w:r>
      <w:r>
        <w:rPr>
          <w:rFonts w:cs="Times New Roman"/>
        </w:rPr>
        <w:t xml:space="preserve"> this record wholly fails to corroborate or otherwise support Shuttle Express’s transparent overreaching on Petition for Administrative Review suggesting</w:t>
      </w:r>
      <w:r w:rsidR="00C54CD9">
        <w:rPr>
          <w:rFonts w:cs="Times New Roman"/>
        </w:rPr>
        <w:t xml:space="preserve">, </w:t>
      </w:r>
      <w:r>
        <w:rPr>
          <w:rFonts w:cs="Times New Roman"/>
        </w:rPr>
        <w:t xml:space="preserve">as it boldly announces </w:t>
      </w:r>
      <w:r w:rsidR="00C54CD9">
        <w:rPr>
          <w:rFonts w:cs="Times New Roman"/>
        </w:rPr>
        <w:t xml:space="preserve">in its Petition </w:t>
      </w:r>
      <w:r>
        <w:rPr>
          <w:rFonts w:cs="Times New Roman"/>
        </w:rPr>
        <w:t>at ¶34</w:t>
      </w:r>
      <w:r>
        <w:rPr>
          <w:rFonts w:cs="Times New Roman"/>
        </w:rPr>
        <w:t>,</w:t>
      </w:r>
      <w:r>
        <w:rPr>
          <w:rFonts w:cs="Times New Roman"/>
        </w:rPr>
        <w:t xml:space="preserve"> that “Shuttle Express has provided door-to-door service to the satisfaction of the Commission….”  </w:t>
      </w:r>
    </w:p>
    <w:p w:rsidR="00E66CE6" w:rsidP="00C77CAD">
      <w:pPr>
        <w:pStyle w:val="ListParagraph"/>
        <w:numPr>
          <w:ilvl w:val="0"/>
          <w:numId w:val="16"/>
        </w:numPr>
        <w:spacing w:line="480" w:lineRule="auto"/>
        <w:ind w:left="0" w:hanging="720"/>
        <w:rPr>
          <w:rFonts w:cs="Times New Roman"/>
        </w:rPr>
      </w:pPr>
      <w:r>
        <w:rPr>
          <w:rFonts w:cs="Times New Roman"/>
        </w:rPr>
        <w:tab/>
      </w:r>
      <w:r w:rsidR="00C700B4">
        <w:t>In its c</w:t>
      </w:r>
      <w:r w:rsidR="00B65827">
        <w:t xml:space="preserve">oncluding argument at pages 12 and </w:t>
      </w:r>
      <w:r w:rsidR="00C700B4">
        <w:t xml:space="preserve">13 of its Petition, Shuttle Express quotes liberally from the relevant regulatory provisions in WAC 480-30-140(3) (albeit without </w:t>
      </w:r>
      <w:r w:rsidR="00DD56DE">
        <w:t xml:space="preserve">consistently </w:t>
      </w:r>
      <w:r w:rsidR="00C700B4">
        <w:t xml:space="preserve">so </w:t>
      </w:r>
      <w:r w:rsidR="0092313C">
        <w:t>noting</w:t>
      </w:r>
      <w:r w:rsidR="00C700B4">
        <w:t xml:space="preserve">).  It then attempts to </w:t>
      </w:r>
      <w:r w:rsidR="0092313C">
        <w:t>juxtapose those regulations by c</w:t>
      </w:r>
      <w:r w:rsidR="00C700B4">
        <w:t>la</w:t>
      </w:r>
      <w:r w:rsidR="0092313C">
        <w:t>i</w:t>
      </w:r>
      <w:r w:rsidR="00C700B4">
        <w:t xml:space="preserve">ming incorrectly </w:t>
      </w:r>
      <w:r w:rsidR="00C700B4">
        <w:t>that Speedishuttle failed to submit any statement from the traveling public</w:t>
      </w:r>
      <w:r>
        <w:rPr>
          <w:rStyle w:val="FootnoteReference"/>
          <w:rFonts w:cs="Times New Roman"/>
        </w:rPr>
        <w:footnoteReference w:id="21"/>
      </w:r>
      <w:r>
        <w:rPr>
          <w:rFonts w:cs="Times New Roman"/>
        </w:rPr>
        <w:t xml:space="preserve"> </w:t>
      </w:r>
      <w:r w:rsidR="007F1213">
        <w:t xml:space="preserve">and by </w:t>
      </w:r>
      <w:r w:rsidR="0092313C">
        <w:t>announcing conversely</w:t>
      </w:r>
      <w:r w:rsidR="007F1213">
        <w:t xml:space="preserve"> that Shuttle Express “had no customer complaints.”  It then compounds that misperception by claiming Shuttle Express’s $60,000 fine for a decade-plu</w:t>
      </w:r>
      <w:r w:rsidR="00A078BD">
        <w:t>s long violation of Commission r</w:t>
      </w:r>
      <w:r w:rsidR="007F1213">
        <w:t>ule</w:t>
      </w:r>
      <w:r w:rsidR="002D0485">
        <w:t xml:space="preserve"> constitutes</w:t>
      </w:r>
      <w:r w:rsidR="007F1213">
        <w:t xml:space="preserve"> “mere technical violations or occasional complaints [which] do not warrant a finding of inadequate service in the absence of widespread or serious service failures,” citing the </w:t>
      </w:r>
      <w:r w:rsidR="007F1213">
        <w:rPr>
          <w:i/>
        </w:rPr>
        <w:t xml:space="preserve">Superior Refuse Removal </w:t>
      </w:r>
      <w:r w:rsidR="007F1213">
        <w:t>well-known appellate case on “service to the satisfaction of the Commission.”</w:t>
      </w:r>
      <w:r>
        <w:rPr>
          <w:rStyle w:val="FootnoteReference"/>
          <w:rFonts w:cs="Times New Roman"/>
        </w:rPr>
        <w:footnoteReference w:id="22"/>
      </w:r>
      <w:r w:rsidRPr="00F32E6A" w:rsidR="00F32E6A">
        <w:rPr>
          <w:rStyle w:val="FootnoteReference"/>
          <w:rFonts w:cs="Times New Roman"/>
        </w:rPr>
        <w:t xml:space="preserve"> </w:t>
      </w:r>
    </w:p>
    <w:p w:rsidR="00F32E6A" w:rsidP="00C77CAD">
      <w:pPr>
        <w:pStyle w:val="ListParagraph"/>
        <w:numPr>
          <w:ilvl w:val="0"/>
          <w:numId w:val="16"/>
        </w:numPr>
        <w:spacing w:line="480" w:lineRule="auto"/>
        <w:ind w:left="0" w:hanging="720"/>
        <w:rPr>
          <w:rFonts w:cs="Times New Roman"/>
        </w:rPr>
      </w:pPr>
      <w:r>
        <w:rPr>
          <w:rFonts w:cs="Times New Roman"/>
        </w:rPr>
        <w:tab/>
        <w:t xml:space="preserve">Notwithstanding that the Objector here relies on another statutory provision, RCW 81.77.040 (solid waste) for </w:t>
      </w:r>
      <w:r w:rsidR="0028624B">
        <w:rPr>
          <w:rFonts w:cs="Times New Roman"/>
        </w:rPr>
        <w:t xml:space="preserve">its </w:t>
      </w:r>
      <w:r>
        <w:rPr>
          <w:rFonts w:cs="Times New Roman"/>
        </w:rPr>
        <w:t>entry</w:t>
      </w:r>
      <w:r w:rsidR="0028624B">
        <w:rPr>
          <w:rFonts w:cs="Times New Roman"/>
        </w:rPr>
        <w:t xml:space="preserve"> standards analogy</w:t>
      </w:r>
      <w:r>
        <w:rPr>
          <w:rFonts w:cs="Times New Roman"/>
        </w:rPr>
        <w:t>, Shuttle Express has confused not only regulated entry doctrines</w:t>
      </w:r>
      <w:r w:rsidR="003F3DBB">
        <w:rPr>
          <w:rFonts w:cs="Times New Roman"/>
        </w:rPr>
        <w:t xml:space="preserve"> here</w:t>
      </w:r>
      <w:r>
        <w:rPr>
          <w:rFonts w:cs="Times New Roman"/>
        </w:rPr>
        <w:t xml:space="preserve"> but seeks to rely upon a “service to the satisfaction of the Commission”</w:t>
      </w:r>
      <w:r w:rsidR="0092313C">
        <w:rPr>
          <w:rFonts w:cs="Times New Roman"/>
        </w:rPr>
        <w:t xml:space="preserve"> standard</w:t>
      </w:r>
      <w:r>
        <w:rPr>
          <w:rFonts w:cs="Times New Roman"/>
        </w:rPr>
        <w:t xml:space="preserve"> that has been broadly revised by the 2013 A</w:t>
      </w:r>
      <w:r w:rsidR="00B72C90">
        <w:rPr>
          <w:rFonts w:cs="Times New Roman"/>
        </w:rPr>
        <w:t xml:space="preserve">uto Transportation Rulemaking. </w:t>
      </w:r>
      <w:r w:rsidR="00140930">
        <w:rPr>
          <w:rFonts w:cs="Times New Roman"/>
        </w:rPr>
        <w:t>Next</w:t>
      </w:r>
      <w:r>
        <w:rPr>
          <w:rFonts w:cs="Times New Roman"/>
        </w:rPr>
        <w:t xml:space="preserve">, it </w:t>
      </w:r>
      <w:r w:rsidR="003F3DBB">
        <w:rPr>
          <w:rFonts w:cs="Times New Roman"/>
        </w:rPr>
        <w:t xml:space="preserve">deepens </w:t>
      </w:r>
      <w:r>
        <w:rPr>
          <w:rFonts w:cs="Times New Roman"/>
        </w:rPr>
        <w:t>this analytical wrong-turn by again arguing that its established, l</w:t>
      </w:r>
      <w:r w:rsidR="0028624B">
        <w:rPr>
          <w:rFonts w:cs="Times New Roman"/>
        </w:rPr>
        <w:t xml:space="preserve">ongstanding violation of law </w:t>
      </w:r>
      <w:r w:rsidR="00140930">
        <w:rPr>
          <w:rFonts w:cs="Times New Roman"/>
        </w:rPr>
        <w:t>has</w:t>
      </w:r>
      <w:r w:rsidR="00320922">
        <w:rPr>
          <w:rFonts w:cs="Times New Roman"/>
        </w:rPr>
        <w:t xml:space="preserve"> </w:t>
      </w:r>
      <w:r>
        <w:rPr>
          <w:rFonts w:cs="Times New Roman"/>
        </w:rPr>
        <w:t>no bearing on whether intentional rule violations constitute service to the Commission’s satisfaction</w:t>
      </w:r>
      <w:r w:rsidR="0028624B">
        <w:rPr>
          <w:rFonts w:cs="Times New Roman"/>
        </w:rPr>
        <w:t xml:space="preserve">. </w:t>
      </w:r>
      <w:r>
        <w:rPr>
          <w:rFonts w:cs="Times New Roman"/>
        </w:rPr>
        <w:t xml:space="preserve"> </w:t>
      </w:r>
      <w:r w:rsidR="003F3DBB">
        <w:rPr>
          <w:rFonts w:cs="Times New Roman"/>
        </w:rPr>
        <w:t xml:space="preserve">And, </w:t>
      </w:r>
      <w:r w:rsidR="0092313C">
        <w:rPr>
          <w:rFonts w:cs="Times New Roman"/>
        </w:rPr>
        <w:t>finally</w:t>
      </w:r>
      <w:r w:rsidR="0028624B">
        <w:rPr>
          <w:rFonts w:cs="Times New Roman"/>
        </w:rPr>
        <w:t xml:space="preserve">, </w:t>
      </w:r>
      <w:r>
        <w:rPr>
          <w:rFonts w:cs="Times New Roman"/>
        </w:rPr>
        <w:t xml:space="preserve">that the antecedent </w:t>
      </w:r>
      <w:r w:rsidR="0028624B">
        <w:rPr>
          <w:rFonts w:cs="Times New Roman"/>
        </w:rPr>
        <w:t>I</w:t>
      </w:r>
      <w:r>
        <w:rPr>
          <w:rFonts w:cs="Times New Roman"/>
        </w:rPr>
        <w:t xml:space="preserve">nitial Order’s finding of sufficient equipment to serve the </w:t>
      </w:r>
      <w:r w:rsidR="002D0485">
        <w:rPr>
          <w:rFonts w:cs="Times New Roman"/>
        </w:rPr>
        <w:t xml:space="preserve">scheduled service </w:t>
      </w:r>
      <w:r>
        <w:rPr>
          <w:rFonts w:cs="Times New Roman"/>
        </w:rPr>
        <w:t xml:space="preserve">market must somehow mean again that Shuttle Express’s regulated airport shuttle door-to-door service is sufficiently satisfactory to blunt any affirmative showing of service differentiation to uphold </w:t>
      </w:r>
      <w:r w:rsidR="0028624B">
        <w:rPr>
          <w:rFonts w:cs="Times New Roman"/>
        </w:rPr>
        <w:t xml:space="preserve">its underlying </w:t>
      </w:r>
      <w:r>
        <w:rPr>
          <w:rFonts w:cs="Times New Roman"/>
        </w:rPr>
        <w:t>objection in this proceeding.</w:t>
      </w:r>
    </w:p>
    <w:p w:rsidR="00F32E6A" w:rsidP="00C63F9C">
      <w:pPr>
        <w:pStyle w:val="ListParagraph"/>
        <w:numPr>
          <w:ilvl w:val="0"/>
          <w:numId w:val="16"/>
        </w:numPr>
        <w:spacing w:line="480" w:lineRule="auto"/>
        <w:ind w:left="0" w:hanging="720"/>
        <w:rPr>
          <w:rFonts w:cs="Times New Roman"/>
        </w:rPr>
      </w:pPr>
      <w:r>
        <w:rPr>
          <w:rFonts w:cs="Times New Roman"/>
        </w:rPr>
        <w:tab/>
        <w:t>Suffice it to say that the Applicant finds such overview arguments wholly lacking in evidentiary or legal support.  To conclude its argument on Petition with the penultimate observation that, “</w:t>
      </w:r>
      <w:r>
        <w:rPr>
          <w:rFonts w:cs="Times New Roman"/>
        </w:rPr>
        <w:t>…[</w:t>
      </w:r>
      <w:r>
        <w:rPr>
          <w:rFonts w:cs="Times New Roman"/>
        </w:rPr>
        <w:t xml:space="preserve">t]he Commission also lacks any substantiated complaint against Shuttle </w:t>
      </w:r>
      <w:r>
        <w:rPr>
          <w:rFonts w:cs="Times New Roman"/>
        </w:rPr>
        <w:t>Express over the last 12 months”</w:t>
      </w:r>
      <w:r>
        <w:rPr>
          <w:rStyle w:val="FootnoteReference"/>
          <w:rFonts w:cs="Times New Roman"/>
        </w:rPr>
        <w:footnoteReference w:id="23"/>
      </w:r>
      <w:r w:rsidR="00CF5429">
        <w:rPr>
          <w:rFonts w:cs="Times New Roman"/>
        </w:rPr>
        <w:t xml:space="preserve"> typifies this mystifying perception of reality</w:t>
      </w:r>
      <w:r w:rsidR="003F3DBB">
        <w:rPr>
          <w:rFonts w:cs="Times New Roman"/>
        </w:rPr>
        <w:t xml:space="preserve">. </w:t>
      </w:r>
      <w:r w:rsidR="00CF5429">
        <w:rPr>
          <w:rFonts w:cs="Times New Roman"/>
        </w:rPr>
        <w:t xml:space="preserve"> </w:t>
      </w:r>
      <w:r w:rsidR="003F3DBB">
        <w:rPr>
          <w:rFonts w:cs="Times New Roman"/>
        </w:rPr>
        <w:t>B</w:t>
      </w:r>
      <w:r w:rsidR="00CF5429">
        <w:rPr>
          <w:rFonts w:cs="Times New Roman"/>
        </w:rPr>
        <w:t xml:space="preserve">oth on review of this record and particularly, the documented violation of rules by </w:t>
      </w:r>
      <w:r w:rsidR="0092313C">
        <w:rPr>
          <w:rFonts w:cs="Times New Roman"/>
        </w:rPr>
        <w:t>Shuttle Express</w:t>
      </w:r>
      <w:r w:rsidR="00CF5429">
        <w:rPr>
          <w:rFonts w:cs="Times New Roman"/>
        </w:rPr>
        <w:t xml:space="preserve"> in the March, 2014</w:t>
      </w:r>
      <w:r w:rsidR="00140930">
        <w:rPr>
          <w:rFonts w:cs="Times New Roman"/>
        </w:rPr>
        <w:t>,</w:t>
      </w:r>
      <w:r w:rsidR="00CF5429">
        <w:rPr>
          <w:rFonts w:cs="Times New Roman"/>
        </w:rPr>
        <w:t xml:space="preserve"> Order </w:t>
      </w:r>
      <w:r w:rsidR="00F07EDB">
        <w:rPr>
          <w:rFonts w:cs="Times New Roman"/>
        </w:rPr>
        <w:t>04 in</w:t>
      </w:r>
      <w:r w:rsidR="00CF5429">
        <w:rPr>
          <w:rFonts w:cs="Times New Roman"/>
        </w:rPr>
        <w:t xml:space="preserve"> the Complaint case successfully brought against it by the Commission regulatory Staff in Docket TC-120323</w:t>
      </w:r>
      <w:r w:rsidR="0092313C">
        <w:rPr>
          <w:rFonts w:cs="Times New Roman"/>
        </w:rPr>
        <w:t>,</w:t>
      </w:r>
      <w:r w:rsidR="003F3DBB">
        <w:rPr>
          <w:rFonts w:cs="Times New Roman"/>
        </w:rPr>
        <w:t xml:space="preserve"> this statement is </w:t>
      </w:r>
      <w:r w:rsidR="0092313C">
        <w:rPr>
          <w:rFonts w:cs="Times New Roman"/>
        </w:rPr>
        <w:t xml:space="preserve">easily </w:t>
      </w:r>
      <w:r w:rsidR="003F3DBB">
        <w:rPr>
          <w:rFonts w:cs="Times New Roman"/>
        </w:rPr>
        <w:t>refuted</w:t>
      </w:r>
      <w:r w:rsidR="0028624B">
        <w:rPr>
          <w:rFonts w:cs="Times New Roman"/>
        </w:rPr>
        <w:t>.</w:t>
      </w:r>
      <w:r w:rsidR="00CF5429">
        <w:rPr>
          <w:rFonts w:cs="Times New Roman"/>
        </w:rPr>
        <w:t xml:space="preserve">  Shuttle Express</w:t>
      </w:r>
      <w:r w:rsidR="0028624B">
        <w:rPr>
          <w:rFonts w:cs="Times New Roman"/>
        </w:rPr>
        <w:t>’s</w:t>
      </w:r>
      <w:r w:rsidR="00CF5429">
        <w:rPr>
          <w:rFonts w:cs="Times New Roman"/>
        </w:rPr>
        <w:t xml:space="preserve"> alternating, inconsistent and ultimately unsatisfying representations of its regulatory compliance posture hardly portray a regulated company humbled by</w:t>
      </w:r>
      <w:r w:rsidR="00140930">
        <w:rPr>
          <w:rFonts w:cs="Times New Roman"/>
        </w:rPr>
        <w:t xml:space="preserve"> any</w:t>
      </w:r>
      <w:r w:rsidR="00CF5429">
        <w:rPr>
          <w:rFonts w:cs="Times New Roman"/>
        </w:rPr>
        <w:t xml:space="preserve"> past transgressions or missteps</w:t>
      </w:r>
      <w:r w:rsidR="0028624B">
        <w:rPr>
          <w:rFonts w:cs="Times New Roman"/>
        </w:rPr>
        <w:t xml:space="preserve">.  Moreover, </w:t>
      </w:r>
      <w:r w:rsidR="00C63F9C">
        <w:rPr>
          <w:rFonts w:cs="Times New Roman"/>
        </w:rPr>
        <w:t xml:space="preserve">Shuttle Express </w:t>
      </w:r>
      <w:r w:rsidR="003F3DBB">
        <w:rPr>
          <w:rFonts w:cs="Times New Roman"/>
        </w:rPr>
        <w:t xml:space="preserve">remains </w:t>
      </w:r>
      <w:r w:rsidR="00140930">
        <w:rPr>
          <w:rFonts w:cs="Times New Roman"/>
        </w:rPr>
        <w:t xml:space="preserve">oblivious </w:t>
      </w:r>
      <w:r w:rsidR="00CF5429">
        <w:rPr>
          <w:rFonts w:cs="Times New Roman"/>
        </w:rPr>
        <w:t>to the evolving regulatory environment that intentionally fosters increased competitio</w:t>
      </w:r>
      <w:r w:rsidR="00C63F9C">
        <w:rPr>
          <w:rFonts w:cs="Times New Roman"/>
        </w:rPr>
        <w:t xml:space="preserve">n in the auto transportation </w:t>
      </w:r>
      <w:r w:rsidR="00B72C90">
        <w:rPr>
          <w:rFonts w:cs="Times New Roman"/>
        </w:rPr>
        <w:t xml:space="preserve">industry </w:t>
      </w:r>
      <w:r w:rsidR="00CF5429">
        <w:rPr>
          <w:rFonts w:cs="Times New Roman"/>
        </w:rPr>
        <w:t>as articulated in revised rules</w:t>
      </w:r>
      <w:r w:rsidR="00C63F9C">
        <w:rPr>
          <w:rFonts w:cs="Times New Roman"/>
        </w:rPr>
        <w:t xml:space="preserve"> enacted</w:t>
      </w:r>
      <w:r w:rsidR="00CF5429">
        <w:rPr>
          <w:rFonts w:cs="Times New Roman"/>
        </w:rPr>
        <w:t xml:space="preserve"> by the agency charged with oversight of this industry by the Legislature.  Again, while Shuttle Express seems to have happily embraced the flexibility afforded by the changes in rat</w:t>
      </w:r>
      <w:r w:rsidR="00C63F9C">
        <w:rPr>
          <w:rFonts w:cs="Times New Roman"/>
        </w:rPr>
        <w:t>e</w:t>
      </w:r>
      <w:r w:rsidR="00CF5429">
        <w:rPr>
          <w:rFonts w:cs="Times New Roman"/>
        </w:rPr>
        <w:t xml:space="preserve"> oversight</w:t>
      </w:r>
      <w:r w:rsidR="00C63F9C">
        <w:rPr>
          <w:rFonts w:cs="Times New Roman"/>
        </w:rPr>
        <w:t xml:space="preserve">, </w:t>
      </w:r>
      <w:r w:rsidR="00CF5429">
        <w:rPr>
          <w:rFonts w:cs="Times New Roman"/>
        </w:rPr>
        <w:t xml:space="preserve">it remains steadfastly in denial with and opposed to commensurate liberalization of market entry standards in the </w:t>
      </w:r>
      <w:r w:rsidR="00140930">
        <w:rPr>
          <w:rFonts w:cs="Times New Roman"/>
        </w:rPr>
        <w:t xml:space="preserve">very </w:t>
      </w:r>
      <w:r w:rsidR="00CF5429">
        <w:rPr>
          <w:rFonts w:cs="Times New Roman"/>
        </w:rPr>
        <w:t xml:space="preserve">same rules.  The application record adduced here provides no cover to Shuttle Express’s renewed reinterpretation of either the recent changes in law </w:t>
      </w:r>
      <w:r w:rsidR="00CF5429">
        <w:rPr>
          <w:rFonts w:cs="Times New Roman"/>
        </w:rPr>
        <w:t>nor</w:t>
      </w:r>
      <w:r w:rsidR="00CF5429">
        <w:rPr>
          <w:rFonts w:cs="Times New Roman"/>
        </w:rPr>
        <w:t xml:space="preserve"> its lack of recognition of its own rule compliance </w:t>
      </w:r>
      <w:r w:rsidR="002D0485">
        <w:rPr>
          <w:rFonts w:cs="Times New Roman"/>
        </w:rPr>
        <w:t xml:space="preserve">violations </w:t>
      </w:r>
      <w:r w:rsidR="00CF5429">
        <w:rPr>
          <w:rFonts w:cs="Times New Roman"/>
        </w:rPr>
        <w:t xml:space="preserve">and the Commission should reject the arguments </w:t>
      </w:r>
      <w:r w:rsidR="002D0485">
        <w:rPr>
          <w:rFonts w:cs="Times New Roman"/>
        </w:rPr>
        <w:t xml:space="preserve">crafted </w:t>
      </w:r>
      <w:r w:rsidR="00CF5429">
        <w:rPr>
          <w:rFonts w:cs="Times New Roman"/>
        </w:rPr>
        <w:t>by Shuttle Express to sustain its objection to Speedishuttle’s application and Order 02.</w:t>
      </w:r>
    </w:p>
    <w:p w:rsidR="00C63F9C" w:rsidP="00C63F9C">
      <w:pPr>
        <w:pStyle w:val="Heading1"/>
      </w:pPr>
      <w:r>
        <w:t xml:space="preserve">argument in opposition to shuttle express’s post-hearing procedural and substantive </w:t>
      </w:r>
      <w:r w:rsidR="00B72C90">
        <w:t xml:space="preserve">remedy </w:t>
      </w:r>
      <w:r>
        <w:t>requests</w:t>
      </w:r>
    </w:p>
    <w:p w:rsidR="00F91696" w:rsidP="00140930">
      <w:pPr>
        <w:pStyle w:val="Heading2"/>
        <w:numPr>
          <w:ilvl w:val="0"/>
          <w:numId w:val="22"/>
        </w:numPr>
      </w:pPr>
      <w:r>
        <w:t xml:space="preserve">Oral Argument Should not </w:t>
      </w:r>
      <w:r>
        <w:t>be</w:t>
      </w:r>
      <w:r>
        <w:t xml:space="preserve"> Entertained.</w:t>
      </w:r>
    </w:p>
    <w:p w:rsidR="000278A7" w:rsidP="000278A7">
      <w:pPr>
        <w:pStyle w:val="ListParagraph"/>
        <w:numPr>
          <w:ilvl w:val="0"/>
          <w:numId w:val="16"/>
        </w:numPr>
        <w:spacing w:line="480" w:lineRule="auto"/>
        <w:ind w:left="0" w:hanging="720"/>
      </w:pPr>
      <w:r>
        <w:tab/>
        <w:t xml:space="preserve">Near the end of its Petition, </w:t>
      </w:r>
      <w:r w:rsidR="00C63F9C">
        <w:t>Shuttle Express</w:t>
      </w:r>
      <w:r>
        <w:t xml:space="preserve"> makes a request for oral argument.  The Commission is not unfamiliar with such requests, but the Applicant would note that allowing oral argument is by far the exception, not the rule</w:t>
      </w:r>
      <w:r w:rsidR="00C63F9C">
        <w:t>,</w:t>
      </w:r>
      <w:r>
        <w:t xml:space="preserve"> and would suggest as well that its grant here would contravene the spirit of streamlined application processes </w:t>
      </w:r>
      <w:r w:rsidR="002D0485">
        <w:t xml:space="preserve">inaugurated </w:t>
      </w:r>
      <w:r>
        <w:t xml:space="preserve">by the 2013 Auto </w:t>
      </w:r>
      <w:r>
        <w:t>Transportation Rulemaking.  While Shuttle Expres</w:t>
      </w:r>
      <w:r w:rsidR="00C63F9C">
        <w:t xml:space="preserve">s suggests oral argument would assist the Commission </w:t>
      </w:r>
      <w:r>
        <w:t xml:space="preserve">allowing it to </w:t>
      </w:r>
      <w:r w:rsidR="002D0485">
        <w:t>“</w:t>
      </w:r>
      <w:r>
        <w:t>ask questions and seek clarifi</w:t>
      </w:r>
      <w:r w:rsidR="00C63F9C">
        <w:t>cation of various issues</w:t>
      </w:r>
      <w:r w:rsidR="002D0485">
        <w:t>”</w:t>
      </w:r>
      <w:r>
        <w:rPr>
          <w:rStyle w:val="FootnoteReference"/>
        </w:rPr>
        <w:footnoteReference w:id="24"/>
      </w:r>
      <w:r w:rsidR="00C63F9C">
        <w:t xml:space="preserve"> raised,</w:t>
      </w:r>
      <w:r>
        <w:t xml:space="preserve"> Applicant believes </w:t>
      </w:r>
      <w:r w:rsidR="00F07EDB">
        <w:t>that</w:t>
      </w:r>
      <w:r>
        <w:t xml:space="preserve"> is the function of Petitions for Administrative Review and Answers thereto and has attempted to </w:t>
      </w:r>
      <w:r w:rsidR="00C63F9C">
        <w:t xml:space="preserve">comprehensively </w:t>
      </w:r>
      <w:r>
        <w:t>address those issues in its submissions.  The fact that the Objector is “now represented by counsel”</w:t>
      </w:r>
      <w:r>
        <w:rPr>
          <w:rStyle w:val="FootnoteReference"/>
        </w:rPr>
        <w:footnoteReference w:id="25"/>
      </w:r>
      <w:r w:rsidR="00C63F9C">
        <w:t xml:space="preserve"> </w:t>
      </w:r>
      <w:r>
        <w:t>should</w:t>
      </w:r>
      <w:r w:rsidR="003F3DBB">
        <w:t xml:space="preserve"> also</w:t>
      </w:r>
      <w:r>
        <w:t xml:space="preserve"> have no bearing on this question since Shuttle Express initially was represented by experienced counsel, chose to represent itself </w:t>
      </w:r>
      <w:r>
        <w:rPr>
          <w:i/>
        </w:rPr>
        <w:t xml:space="preserve">pro se </w:t>
      </w:r>
      <w:r>
        <w:t xml:space="preserve"> at the hearing and now has “lawyered up” again which is obviously outside the Applicant’s and Commission’s control.  Speedishuttle should not have to incur the additional cost and delays occasioned by preparing for and presenting oral argument in a brief adjudicative proceeding forum when the parties were already given the previous chance to provide closings in the hearing record</w:t>
      </w:r>
      <w:r>
        <w:rPr>
          <w:rStyle w:val="FootnoteReference"/>
        </w:rPr>
        <w:footnoteReference w:id="26"/>
      </w:r>
      <w:r>
        <w:t xml:space="preserve"> and the Objector has</w:t>
      </w:r>
      <w:r w:rsidR="00C63F9C">
        <w:t xml:space="preserve"> here</w:t>
      </w:r>
      <w:r>
        <w:t xml:space="preserve"> failed in its request to show how oral argument could aid the Commission in reaching a decision.</w:t>
      </w:r>
    </w:p>
    <w:p w:rsidR="000278A7" w:rsidP="000278A7">
      <w:pPr>
        <w:pStyle w:val="ListParagraph"/>
        <w:numPr>
          <w:ilvl w:val="0"/>
          <w:numId w:val="16"/>
        </w:numPr>
        <w:spacing w:line="480" w:lineRule="auto"/>
        <w:ind w:left="0" w:hanging="720"/>
      </w:pPr>
      <w:r>
        <w:tab/>
      </w:r>
      <w:r w:rsidR="008F2228">
        <w:t xml:space="preserve">WAC 480-07-825(6) </w:t>
      </w:r>
      <w:r w:rsidR="00140930">
        <w:t>ultimately</w:t>
      </w:r>
      <w:r w:rsidR="00C63F9C">
        <w:t xml:space="preserve"> </w:t>
      </w:r>
      <w:r w:rsidR="008F2228">
        <w:t>controls the oral argument request issue and provides</w:t>
      </w:r>
      <w:r w:rsidR="003F3DBB">
        <w:t>:</w:t>
      </w:r>
      <w:r w:rsidR="008F2228">
        <w:t xml:space="preserve"> “[a] party who desires to present oral argument may request argument, stating why oral argument is necessary to assist the Commission in making its decision </w:t>
      </w:r>
      <w:r w:rsidRPr="00B72C90" w:rsidR="008F2228">
        <w:rPr>
          <w:i/>
        </w:rPr>
        <w:t>and why written presentations will be insufficient</w:t>
      </w:r>
      <w:r w:rsidR="008F2228">
        <w:t>” [emphasis added].</w:t>
      </w:r>
    </w:p>
    <w:p w:rsidR="008F2228" w:rsidP="000278A7">
      <w:pPr>
        <w:pStyle w:val="ListParagraph"/>
        <w:numPr>
          <w:ilvl w:val="0"/>
          <w:numId w:val="16"/>
        </w:numPr>
        <w:spacing w:line="480" w:lineRule="auto"/>
        <w:ind w:left="0" w:hanging="720"/>
      </w:pPr>
      <w:r>
        <w:tab/>
        <w:t>Here</w:t>
      </w:r>
      <w:r w:rsidR="00C63F9C">
        <w:t>,</w:t>
      </w:r>
      <w:r>
        <w:t xml:space="preserve"> the Objector has failed to address the written argument insufficiency element completely and its request is consequently procedurally incomplete.  As the Commission has noted over the years…</w:t>
      </w:r>
    </w:p>
    <w:p w:rsidR="008F2228" w:rsidP="008F2228">
      <w:pPr>
        <w:pStyle w:val="Quote"/>
      </w:pPr>
      <w:r>
        <w:t>[t]</w:t>
      </w:r>
      <w:r>
        <w:t xml:space="preserve">he grant of such request is entirely within the discretion of the Commission***.  The Commission has ruled that it will ordinarily deny such requests unless it </w:t>
      </w:r>
      <w:r>
        <w:t>believes or is shown that the argument will add substantially to its understanding of the issues a</w:t>
      </w:r>
      <w:r w:rsidR="00356D6E">
        <w:t>nd the positions of the parties</w:t>
      </w:r>
      <w:r w:rsidR="00356D6E">
        <w:t>.</w:t>
      </w:r>
      <w:r>
        <w:t>*</w:t>
      </w:r>
      <w:r>
        <w:t>**</w:t>
      </w:r>
      <w:r w:rsidRPr="008F2228">
        <w:rPr>
          <w:rStyle w:val="FootnoteReference"/>
        </w:rPr>
        <w:t xml:space="preserve"> </w:t>
      </w:r>
      <w:r>
        <w:rPr>
          <w:rStyle w:val="FootnoteReference"/>
        </w:rPr>
        <w:footnoteReference w:id="27"/>
      </w:r>
    </w:p>
    <w:p w:rsidR="008F2228" w:rsidP="008F2228">
      <w:pPr>
        <w:pStyle w:val="ListParagraph"/>
        <w:spacing w:line="480" w:lineRule="auto"/>
      </w:pPr>
      <w:r>
        <w:t>The request for oral argument should be rejected.</w:t>
      </w:r>
    </w:p>
    <w:p w:rsidR="008F2228" w:rsidP="008F2228">
      <w:pPr>
        <w:pStyle w:val="Heading2"/>
      </w:pPr>
      <w:r>
        <w:t>The Certificate Restriction Closing Salvo</w:t>
      </w:r>
      <w:r w:rsidR="00C63F9C">
        <w:t xml:space="preserve"> </w:t>
      </w:r>
      <w:r w:rsidR="003339B8">
        <w:t>is Ina</w:t>
      </w:r>
      <w:r w:rsidR="00C63F9C">
        <w:t>ppropriate, Disfavored and a Transparent Last Ditch Effort to Limit Competition</w:t>
      </w:r>
      <w:r w:rsidR="003339B8">
        <w:t xml:space="preserve"> by the Objector</w:t>
      </w:r>
      <w:r w:rsidR="00C63F9C">
        <w:t>.</w:t>
      </w:r>
    </w:p>
    <w:p w:rsidR="008F2228" w:rsidP="008F2228">
      <w:pPr>
        <w:pStyle w:val="ListParagraph"/>
        <w:numPr>
          <w:ilvl w:val="0"/>
          <w:numId w:val="16"/>
        </w:numPr>
        <w:spacing w:line="480" w:lineRule="auto"/>
        <w:ind w:left="0" w:hanging="720"/>
      </w:pPr>
      <w:r>
        <w:tab/>
        <w:t>Shuttle Express concludes its Petition with a final “Hail Mary” premise that asks that all the unspecified service differentiator factors/features be “codified” or apparentl</w:t>
      </w:r>
      <w:r w:rsidR="002076B7">
        <w:t>y translated into certificate restrictions, citing to the Commission’s jurisdiction to impose “terms and conditions” on certificates under RCW 81.68.040</w:t>
      </w:r>
      <w:r w:rsidR="00C63F9C">
        <w:t xml:space="preserve"> in justification</w:t>
      </w:r>
      <w:r w:rsidR="002076B7">
        <w:t xml:space="preserve">.  While the Objector never precisely says </w:t>
      </w:r>
      <w:r w:rsidR="00C63F9C">
        <w:t>s</w:t>
      </w:r>
      <w:r w:rsidR="002076B7">
        <w:t>o, the more salient of these restrictions it apparently would see imposed are based on the start-up size of Applicant’s fleet, the service guarantees described in the proposed se</w:t>
      </w:r>
      <w:r w:rsidR="003F3DBB">
        <w:t xml:space="preserve">rvice Speedishuttle wants </w:t>
      </w:r>
      <w:r w:rsidR="002076B7">
        <w:t xml:space="preserve">to </w:t>
      </w:r>
      <w:r w:rsidR="00C63F9C">
        <w:t xml:space="preserve">transplant </w:t>
      </w:r>
      <w:r w:rsidR="002076B7">
        <w:t xml:space="preserve">from its current operations to this marketplace, and apparently service in all 80 zip codes in King County it </w:t>
      </w:r>
      <w:r w:rsidR="003F3DBB">
        <w:t xml:space="preserve">already </w:t>
      </w:r>
      <w:r w:rsidR="002076B7">
        <w:t>intends to serve.</w:t>
      </w:r>
    </w:p>
    <w:p w:rsidR="002076B7" w:rsidP="008F2228">
      <w:pPr>
        <w:pStyle w:val="ListParagraph"/>
        <w:numPr>
          <w:ilvl w:val="0"/>
          <w:numId w:val="16"/>
        </w:numPr>
        <w:spacing w:line="480" w:lineRule="auto"/>
        <w:ind w:left="0" w:hanging="720"/>
      </w:pPr>
      <w:r>
        <w:tab/>
        <w:t xml:space="preserve">Shuttle Express clearly wants finite constraints imposed on this prospective new market entrant as a fallback to blocking the application entirely should all of the previous arguments and remedies it </w:t>
      </w:r>
      <w:r w:rsidR="00140930">
        <w:t>throws up</w:t>
      </w:r>
      <w:r>
        <w:t xml:space="preserve"> prove unsuccessful.  Yet once again, neither the application hearing record nor Shuttle Express’s legal argument</w:t>
      </w:r>
      <w:r w:rsidR="00C63F9C">
        <w:t>s</w:t>
      </w:r>
      <w:r w:rsidR="003F3DBB">
        <w:t xml:space="preserve"> support such a proposition </w:t>
      </w:r>
      <w:r>
        <w:t>nor does Shuttle Express make even a colorable claim that they do.</w:t>
      </w:r>
      <w:r>
        <w:rPr>
          <w:rStyle w:val="FootnoteReference"/>
        </w:rPr>
        <w:footnoteReference w:id="28"/>
      </w:r>
    </w:p>
    <w:p w:rsidR="002076B7" w:rsidP="00082CE0">
      <w:pPr>
        <w:pStyle w:val="ListParagraph"/>
        <w:numPr>
          <w:ilvl w:val="0"/>
          <w:numId w:val="16"/>
        </w:numPr>
        <w:spacing w:line="480" w:lineRule="auto"/>
        <w:ind w:left="0" w:hanging="720"/>
      </w:pPr>
      <w:r>
        <w:tab/>
        <w:t>Indeed, in t</w:t>
      </w:r>
      <w:r w:rsidR="00C63F9C">
        <w:t>he recent commercial ferry case</w:t>
      </w:r>
      <w:r w:rsidR="00B72C90">
        <w:t>,</w:t>
      </w:r>
      <w:r>
        <w:rPr>
          <w:i/>
        </w:rPr>
        <w:t xml:space="preserve"> In re Application of Sean McNamara d/b/a/ Bellingham Water Taxi, et al.</w:t>
      </w:r>
      <w:r>
        <w:t xml:space="preserve"> Dockets </w:t>
      </w:r>
      <w:r>
        <w:t>TS</w:t>
      </w:r>
      <w:r>
        <w:t xml:space="preserve">-121253 and </w:t>
      </w:r>
      <w:r>
        <w:t>TS</w:t>
      </w:r>
      <w:r>
        <w:t>-121395</w:t>
      </w:r>
      <w:r w:rsidR="00C63F9C">
        <w:t>,</w:t>
      </w:r>
      <w:r>
        <w:t xml:space="preserve"> cited approvingly by Shuttle Express at page 7 of its Petition, the Commission rejected similar permit restriction conditions finding them neither necessary </w:t>
      </w:r>
      <w:r w:rsidR="00F07EDB">
        <w:t>n</w:t>
      </w:r>
      <w:r>
        <w:t xml:space="preserve">or appropriate.  There, the Protestant sought restrictions on the </w:t>
      </w:r>
      <w:r>
        <w:t>Applicant’s routing, speed and passenger capacity by superimposing such restrictions on the proposed certificate.</w:t>
      </w:r>
      <w:r w:rsidR="00082CE0">
        <w:t xml:space="preserve">  </w:t>
      </w:r>
      <w:r>
        <w:t>Analyzing the three proposed restrictions separately, the Commission rejected them all, observing:</w:t>
      </w:r>
    </w:p>
    <w:p w:rsidR="002076B7" w:rsidP="002076B7">
      <w:pPr>
        <w:pStyle w:val="Quote"/>
      </w:pPr>
      <w:r>
        <w:t>[</w:t>
      </w:r>
      <w:r>
        <w:t>a]</w:t>
      </w:r>
      <w:r>
        <w:t>lthough</w:t>
      </w:r>
      <w:r>
        <w:t xml:space="preserve"> we require ferry companies to file and adhere to a time schedule, the Commission will not attempt to manage the day-to-day business decisions of a regulated company….</w:t>
      </w:r>
      <w:r>
        <w:rPr>
          <w:rStyle w:val="FootnoteReference"/>
        </w:rPr>
        <w:footnoteReference w:id="29"/>
      </w:r>
    </w:p>
    <w:p w:rsidR="006E1237" w:rsidP="006E1237">
      <w:pPr>
        <w:pStyle w:val="ListParagraph"/>
        <w:numPr>
          <w:ilvl w:val="0"/>
          <w:numId w:val="16"/>
        </w:numPr>
        <w:spacing w:line="480" w:lineRule="auto"/>
        <w:ind w:left="0" w:hanging="720"/>
      </w:pPr>
      <w:r>
        <w:tab/>
        <w:t>Moreover, the Commission’s historic inclination is to disfavor permit restrictions.  Restrictive language in a permit will not be imposed without a strong showing of the need for the restriction.  Order M.V. No. 147067</w:t>
      </w:r>
      <w:r w:rsidR="00B72C90">
        <w:t>,</w:t>
      </w:r>
      <w:r>
        <w:rPr>
          <w:i/>
        </w:rPr>
        <w:t xml:space="preserve"> In re Barry Swanson Trucking, Inc., </w:t>
      </w:r>
      <w:r>
        <w:t xml:space="preserve">Application E-76555 (Oct. 1993). </w:t>
      </w:r>
    </w:p>
    <w:p w:rsidR="006E1237" w:rsidP="006E1237">
      <w:pPr>
        <w:pStyle w:val="ListParagraph"/>
        <w:numPr>
          <w:ilvl w:val="0"/>
          <w:numId w:val="16"/>
        </w:numPr>
        <w:spacing w:line="480" w:lineRule="auto"/>
        <w:ind w:left="0" w:hanging="720"/>
      </w:pPr>
      <w:r>
        <w:tab/>
        <w:t>The only showing Shuttle Express</w:t>
      </w:r>
      <w:r w:rsidR="00B72C90">
        <w:t xml:space="preserve"> has</w:t>
      </w:r>
      <w:r>
        <w:t xml:space="preserve"> made for permit restrictions here is a</w:t>
      </w:r>
      <w:r w:rsidR="003F3DBB">
        <w:t>s a</w:t>
      </w:r>
      <w:r>
        <w:t xml:space="preserve"> default if its other argument</w:t>
      </w:r>
      <w:r w:rsidR="00C63F9C">
        <w:t>s</w:t>
      </w:r>
      <w:r>
        <w:t xml:space="preserve"> to deny the ap</w:t>
      </w:r>
      <w:r w:rsidR="00B72C90">
        <w:t>plication fail</w:t>
      </w:r>
      <w:r>
        <w:t xml:space="preserve">, cobbling together two or three service differentiation factors mentioned in passing to sustain a permanent limitation on the service offering of the applicant.  This is not any “strong showing.”  </w:t>
      </w:r>
      <w:r w:rsidR="002E5AB5">
        <w:t>Finally, th</w:t>
      </w:r>
      <w:r>
        <w:t xml:space="preserve">is </w:t>
      </w:r>
      <w:r w:rsidR="002E5AB5">
        <w:t xml:space="preserve">suggestion </w:t>
      </w:r>
      <w:r>
        <w:t xml:space="preserve">would also once again contravene the express intent of the agency in the 2013 Auto Transportation Rulemaking to streamline, expedite and make more efficient current rules and processes and </w:t>
      </w:r>
      <w:r w:rsidR="003F3DBB">
        <w:t xml:space="preserve">would </w:t>
      </w:r>
      <w:r>
        <w:t>indisputably restrict</w:t>
      </w:r>
      <w:r w:rsidR="00B72C90">
        <w:t>,</w:t>
      </w:r>
      <w:r>
        <w:t xml:space="preserve"> not broaden competitive forces.  Shuttle Express seeks regulation of the auto transportation </w:t>
      </w:r>
      <w:r w:rsidR="00140930">
        <w:t xml:space="preserve">industry </w:t>
      </w:r>
      <w:r>
        <w:t xml:space="preserve">as both a foil and a shield and the Commission should deflect this alternative </w:t>
      </w:r>
      <w:r w:rsidR="00C63F9C">
        <w:t xml:space="preserve">concluding </w:t>
      </w:r>
      <w:r>
        <w:t xml:space="preserve">salvo to accomplish Shuttle Express’s </w:t>
      </w:r>
      <w:r w:rsidR="00C63F9C">
        <w:t xml:space="preserve">classic </w:t>
      </w:r>
      <w:r w:rsidR="006846C3">
        <w:t>“have it both ways”</w:t>
      </w:r>
      <w:r>
        <w:t xml:space="preserve"> approach to the revised operating environment for </w:t>
      </w:r>
      <w:r w:rsidR="002D0485">
        <w:t xml:space="preserve">regulated </w:t>
      </w:r>
      <w:r>
        <w:t>auto transportation providers.</w:t>
      </w:r>
    </w:p>
    <w:p w:rsidR="00140930" w:rsidP="00140930">
      <w:pPr>
        <w:pStyle w:val="Heading1"/>
      </w:pPr>
      <w:r>
        <w:t>Prayer for relief</w:t>
      </w:r>
    </w:p>
    <w:p w:rsidR="006E1237" w:rsidRPr="006E1237" w:rsidP="006E1237">
      <w:pPr>
        <w:pStyle w:val="ListParagraph"/>
        <w:numPr>
          <w:ilvl w:val="0"/>
          <w:numId w:val="16"/>
        </w:numPr>
        <w:spacing w:line="480" w:lineRule="auto"/>
        <w:ind w:left="0" w:hanging="720"/>
      </w:pPr>
      <w:r>
        <w:tab/>
      </w:r>
      <w:r w:rsidR="00140930">
        <w:t>Having</w:t>
      </w:r>
      <w:r w:rsidR="002D0485">
        <w:t xml:space="preserve"> fully</w:t>
      </w:r>
      <w:r w:rsidR="00140930">
        <w:t xml:space="preserve"> answered Objector Shuttle Express’s Petition for Administrative Review, f</w:t>
      </w:r>
      <w:r>
        <w:t xml:space="preserve">or all of the above reasons, Applicant Speedishuttle Washington, LLC asks that Order 02 be </w:t>
      </w:r>
      <w:r>
        <w:t>affirmed and that the objection to its application and the Petitions for Administrative Review be</w:t>
      </w:r>
      <w:r w:rsidR="00C67643">
        <w:t xml:space="preserve"> </w:t>
      </w:r>
      <w:r>
        <w:t>denied.</w:t>
      </w:r>
    </w:p>
    <w:p w:rsidR="000278A7" w:rsidRPr="000278A7" w:rsidP="000278A7">
      <w:pPr>
        <w:pStyle w:val="ListParagraph"/>
      </w:pPr>
    </w:p>
    <w:p w:rsidR="006F59AE" w:rsidRPr="00757D1F" w:rsidP="00C77CAD">
      <w:pPr>
        <w:pStyle w:val="ListParagraph"/>
        <w:spacing w:line="480" w:lineRule="auto"/>
        <w:rPr>
          <w:rFonts w:cs="Times New Roman"/>
        </w:rPr>
      </w:pPr>
      <w:r>
        <w:rPr>
          <w:rFonts w:cs="Times New Roman"/>
          <w:szCs w:val="24"/>
        </w:rPr>
        <w:tab/>
      </w:r>
      <w:r w:rsidRPr="00757D1F">
        <w:rPr>
          <w:rFonts w:cs="Times New Roman"/>
          <w:szCs w:val="24"/>
        </w:rPr>
        <w:t xml:space="preserve">DATED this </w:t>
      </w:r>
      <w:r w:rsidR="002F76CF">
        <w:rPr>
          <w:rFonts w:cs="Times New Roman"/>
          <w:szCs w:val="24"/>
        </w:rPr>
        <w:t>23</w:t>
      </w:r>
      <w:r w:rsidRPr="002F76CF" w:rsidR="002F76CF">
        <w:rPr>
          <w:rFonts w:cs="Times New Roman"/>
          <w:szCs w:val="24"/>
          <w:vertAlign w:val="superscript"/>
        </w:rPr>
        <w:t>rd</w:t>
      </w:r>
      <w:r w:rsidR="002F76CF">
        <w:rPr>
          <w:rFonts w:cs="Times New Roman"/>
          <w:szCs w:val="24"/>
        </w:rPr>
        <w:t xml:space="preserve"> </w:t>
      </w:r>
      <w:r w:rsidRPr="00757D1F">
        <w:rPr>
          <w:rFonts w:cs="Times New Roman"/>
        </w:rPr>
        <w:t xml:space="preserve">day of </w:t>
      </w:r>
      <w:r w:rsidRPr="00757D1F" w:rsidR="00787DD8">
        <w:rPr>
          <w:rFonts w:cs="Times New Roman"/>
        </w:rPr>
        <w:t>February, 2015</w:t>
      </w:r>
      <w:r w:rsidRPr="00757D1F">
        <w:rPr>
          <w:rFonts w:cs="Times New Roman"/>
        </w:rPr>
        <w:t>.</w:t>
      </w:r>
      <w:r w:rsidRPr="00F32E6A" w:rsidR="00F32E6A">
        <w:rPr>
          <w:rStyle w:val="FootnoteReference"/>
          <w:rFonts w:cs="Times New Roman"/>
        </w:rPr>
        <w:t xml:space="preserve"> </w:t>
      </w:r>
    </w:p>
    <w:tbl>
      <w:tblPr>
        <w:tblW w:w="0" w:type="auto"/>
        <w:tblLayout w:type="fixed"/>
        <w:tblLook w:val="0000"/>
      </w:tblPr>
      <w:tblGrid>
        <w:gridCol w:w="4698"/>
        <w:gridCol w:w="4860"/>
      </w:tblGrid>
      <w:tr w:rsidTr="008F2228">
        <w:tblPrEx>
          <w:tblW w:w="0" w:type="auto"/>
          <w:tblLayout w:type="fixed"/>
          <w:tblLook w:val="0000"/>
        </w:tblPrEx>
        <w:trPr>
          <w:cantSplit/>
        </w:trPr>
        <w:tc>
          <w:tcPr>
            <w:tcW w:w="4698" w:type="dxa"/>
          </w:tcPr>
          <w:p w:rsidR="006F59AE" w:rsidRPr="00712413" w:rsidP="008F2228">
            <w:pPr>
              <w:keepNext/>
              <w:tabs>
                <w:tab w:val="left" w:pos="432"/>
              </w:tabs>
              <w:spacing w:line="240" w:lineRule="exact"/>
              <w:rPr>
                <w:rFonts w:ascii="Times New Roman" w:hAnsi="Times New Roman"/>
                <w:sz w:val="20"/>
                <w:szCs w:val="20"/>
              </w:rPr>
            </w:pPr>
          </w:p>
        </w:tc>
        <w:tc>
          <w:tcPr>
            <w:tcW w:w="4860" w:type="dxa"/>
          </w:tcPr>
          <w:p w:rsidR="006F59AE" w:rsidP="008F2228">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P="008F2228">
            <w:pPr>
              <w:keepNext/>
              <w:spacing w:line="240" w:lineRule="exact"/>
              <w:rPr>
                <w:rFonts w:ascii="Times New Roman" w:hAnsi="Times New Roman"/>
                <w:caps/>
                <w:sz w:val="20"/>
                <w:szCs w:val="20"/>
              </w:rPr>
            </w:pPr>
          </w:p>
          <w:p w:rsidR="006F59AE" w:rsidRPr="00712413" w:rsidP="008F2228">
            <w:pPr>
              <w:keepNext/>
              <w:spacing w:line="240" w:lineRule="exact"/>
              <w:rPr>
                <w:rFonts w:ascii="Times New Roman" w:hAnsi="Times New Roman"/>
                <w:caps/>
                <w:sz w:val="20"/>
                <w:szCs w:val="20"/>
              </w:rPr>
            </w:pPr>
          </w:p>
          <w:p w:rsidR="006F59AE" w:rsidRPr="00712413" w:rsidP="008F2228">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P="008F2228">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6F59AE" w:rsidRPr="00712413" w:rsidP="008F2228">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sidRPr="00712413">
              <w:rPr>
                <w:rStyle w:val="Hyperlink"/>
                <w:rFonts w:ascii="Times New Roman" w:hAnsi="Times New Roman"/>
                <w:sz w:val="20"/>
                <w:szCs w:val="20"/>
              </w:rPr>
              <w:t>dwiley@williamskastner.com</w:t>
            </w:r>
            <w:r w:rsidRPr="00712413">
              <w:rPr>
                <w:rFonts w:ascii="Times New Roman" w:hAnsi="Times New Roman"/>
                <w:sz w:val="20"/>
                <w:szCs w:val="20"/>
              </w:rPr>
              <w:t xml:space="preserve"> </w:t>
            </w:r>
          </w:p>
          <w:p w:rsidR="006F59AE" w:rsidRPr="00712413" w:rsidP="008F2228">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bl>
    <w:p w:rsidR="006F59AE" w:rsidP="006F59AE">
      <w:pPr>
        <w:keepNext/>
        <w:keepLines/>
        <w:jc w:val="center"/>
        <w:rPr>
          <w:rFonts w:ascii="Times New Roman" w:hAnsi="Times New Roman"/>
          <w:sz w:val="24"/>
        </w:rPr>
      </w:pPr>
    </w:p>
    <w:p w:rsidR="006F59AE" w:rsidRPr="006F59AE" w:rsidP="00C77CAD">
      <w:pPr>
        <w:pStyle w:val="StyleListParagraphTimesNewRoman12ptLinespacingDouble"/>
      </w:pPr>
    </w:p>
    <w:p w:rsidR="003E3A33" w:rsidRPr="00B37094" w:rsidP="00B37094">
      <w:pPr>
        <w:rPr>
          <w:rFonts w:ascii="Times New Roman" w:hAnsi="Times New Roman" w:cs="Times New Roman"/>
        </w:rPr>
      </w:pPr>
    </w:p>
    <w:p w:rsidR="003E3A33" w:rsidP="003E3A33">
      <w:pPr>
        <w:keepNext/>
        <w:keepLines/>
        <w:jc w:val="center"/>
        <w:rPr>
          <w:rFonts w:ascii="Times New Roman" w:hAnsi="Times New Roman"/>
          <w:sz w:val="24"/>
        </w:rPr>
      </w:pPr>
    </w:p>
    <w:p w:rsidR="00EE1C12" w:rsidP="00C77CAD">
      <w:pPr>
        <w:pStyle w:val="StyleListParagraphTimesNewRoman12ptLinespacingDouble"/>
      </w:pPr>
      <w:r>
        <w:br w:type="page"/>
      </w:r>
    </w:p>
    <w:p w:rsidR="00B62D6E" w:rsidRPr="00316687"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B62D6E" w:rsidRPr="008B20AC"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sidR="008B2564">
        <w:rPr>
          <w:rFonts w:ascii="Times New Roman" w:hAnsi="Times New Roman"/>
          <w:sz w:val="24"/>
        </w:rPr>
        <w:t>on February 23, 2015, I caused to be served the original and t</w:t>
      </w:r>
      <w:r w:rsidR="00A81F37">
        <w:rPr>
          <w:rFonts w:ascii="Times New Roman" w:hAnsi="Times New Roman"/>
          <w:sz w:val="24"/>
        </w:rPr>
        <w:t>hree</w:t>
      </w:r>
      <w:r w:rsidR="008B2564">
        <w:rPr>
          <w:rFonts w:ascii="Times New Roman" w:hAnsi="Times New Roman"/>
          <w:sz w:val="24"/>
        </w:rPr>
        <w:t xml:space="preserve"> (</w:t>
      </w:r>
      <w:r w:rsidR="00A81F37">
        <w:rPr>
          <w:rFonts w:ascii="Times New Roman" w:hAnsi="Times New Roman"/>
          <w:sz w:val="24"/>
        </w:rPr>
        <w:t>3</w:t>
      </w:r>
      <w:r w:rsidR="008B2564">
        <w:rPr>
          <w:rFonts w:ascii="Times New Roman" w:hAnsi="Times New Roman"/>
          <w:sz w:val="24"/>
        </w:rPr>
        <w:t>) copies of the foregoing documents to the following address via first class mail:</w:t>
      </w:r>
      <w:r w:rsidRPr="008B20AC">
        <w:rPr>
          <w:rFonts w:ascii="Times New Roman" w:hAnsi="Times New Roman"/>
          <w:sz w:val="24"/>
        </w:rPr>
        <w:t xml:space="preserve"> </w:t>
      </w:r>
    </w:p>
    <w:p w:rsidR="00B62D6E" w:rsidRPr="008B20AC" w:rsidP="00B62D6E">
      <w:pPr>
        <w:rPr>
          <w:rFonts w:ascii="Times New Roman" w:hAnsi="Times New Roman"/>
          <w:sz w:val="24"/>
        </w:rPr>
      </w:pPr>
    </w:p>
    <w:p w:rsidR="00B62D6E" w:rsidRPr="008B20AC" w:rsidP="00B62D6E">
      <w:pPr>
        <w:rPr>
          <w:rFonts w:ascii="Times New Roman" w:hAnsi="Times New Roman"/>
          <w:sz w:val="24"/>
        </w:rPr>
      </w:pPr>
      <w:r w:rsidRPr="008B20AC">
        <w:rPr>
          <w:rFonts w:ascii="Times New Roman" w:hAnsi="Times New Roman"/>
          <w:sz w:val="24"/>
        </w:rPr>
        <w:tab/>
        <w:t>Steven V. King, Executive Director and Secretary</w:t>
      </w:r>
    </w:p>
    <w:p w:rsidR="00B62D6E" w:rsidRPr="008B20AC"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P="00B62D6E">
      <w:pPr>
        <w:ind w:firstLine="720"/>
        <w:rPr>
          <w:rFonts w:ascii="Times New Roman" w:hAnsi="Times New Roman"/>
          <w:sz w:val="24"/>
        </w:rPr>
      </w:pPr>
      <w:r w:rsidRPr="008B20AC">
        <w:rPr>
          <w:rFonts w:ascii="Times New Roman" w:hAnsi="Times New Roman"/>
          <w:sz w:val="24"/>
        </w:rPr>
        <w:t>P.O. Box 47250</w:t>
      </w:r>
    </w:p>
    <w:p w:rsidR="00B62D6E" w:rsidRPr="008B20AC"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P="00B62D6E">
      <w:pPr>
        <w:ind w:firstLine="720"/>
        <w:rPr>
          <w:rFonts w:ascii="Times New Roman" w:hAnsi="Times New Roman"/>
          <w:sz w:val="24"/>
        </w:rPr>
      </w:pPr>
    </w:p>
    <w:p w:rsidR="008B2564" w:rsidRPr="008B2564" w:rsidP="00B62D6E">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 via email to:</w:t>
      </w:r>
    </w:p>
    <w:p w:rsidR="00B62D6E" w:rsidP="00B62D6E">
      <w:pPr>
        <w:rPr>
          <w:rStyle w:val="Hyperlink"/>
          <w:rFonts w:ascii="Times New Roman" w:hAnsi="Times New Roman"/>
          <w:sz w:val="24"/>
        </w:rPr>
      </w:pPr>
      <w:r w:rsidRPr="00DD4253" w:rsidR="008B2564">
        <w:rPr>
          <w:rStyle w:val="Hyperlink"/>
          <w:rFonts w:ascii="Times New Roman" w:hAnsi="Times New Roman"/>
          <w:sz w:val="24"/>
        </w:rPr>
        <w:t>records@utc.wa.gov</w:t>
      </w:r>
    </w:p>
    <w:p w:rsidR="008B2564" w:rsidRPr="008B20AC" w:rsidP="00B62D6E">
      <w:pPr>
        <w:rPr>
          <w:rFonts w:ascii="Times New Roman" w:hAnsi="Times New Roman"/>
          <w:sz w:val="24"/>
        </w:rPr>
      </w:pPr>
    </w:p>
    <w:p w:rsidR="00B62D6E" w:rsidRPr="008B20AC" w:rsidP="00B62D6E">
      <w:pPr>
        <w:keepNext/>
        <w:keepLines/>
        <w:rPr>
          <w:rFonts w:ascii="Times New Roman" w:hAnsi="Times New Roman"/>
          <w:sz w:val="24"/>
        </w:rPr>
      </w:pPr>
      <w:r w:rsidRPr="008B20AC">
        <w:rPr>
          <w:rFonts w:ascii="Times New Roman" w:hAnsi="Times New Roman"/>
          <w:sz w:val="24"/>
        </w:rPr>
        <w:t>and</w:t>
      </w:r>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860"/>
      </w:tblGrid>
      <w:tr w:rsidTr="003723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auto"/>
          </w:tcPr>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B62D6E"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B62D6E"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B62D6E"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B62D6E"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B62D6E" w:rsidRPr="00316687"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Pr="0014570A">
              <w:rPr>
                <w:rStyle w:val="Hyperlink"/>
                <w:rFonts w:ascii="Times New Roman" w:hAnsi="Times New Roman" w:cs="Times New Roman"/>
                <w:sz w:val="24"/>
                <w:szCs w:val="24"/>
              </w:rPr>
              <w:t>jbeattie@utc.wa.gov</w:t>
            </w:r>
          </w:p>
          <w:p w:rsidR="00B62D6E" w:rsidRPr="00316687" w:rsidP="003723BC">
            <w:pPr>
              <w:keepNext/>
              <w:keepLines/>
              <w:rPr>
                <w:rFonts w:ascii="Times New Roman" w:hAnsi="Times New Roman" w:cs="Times New Roman"/>
                <w:sz w:val="24"/>
                <w:szCs w:val="24"/>
              </w:rPr>
            </w:pPr>
          </w:p>
        </w:tc>
        <w:tc>
          <w:tcPr>
            <w:tcW w:w="4860" w:type="dxa"/>
            <w:shd w:val="clear" w:color="auto" w:fill="auto"/>
          </w:tcPr>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Greg Kopta</w:t>
            </w:r>
          </w:p>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B62D6E"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B62D6E"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B62D6E" w:rsidP="003723B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B62D6E" w:rsidRPr="000901BF" w:rsidP="003723BC">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rsidR="00B62D6E" w:rsidP="003723BC">
            <w:pPr>
              <w:keepNext/>
              <w:keepLines/>
              <w:rPr>
                <w:rFonts w:ascii="Times New Roman" w:hAnsi="Times New Roman" w:cs="Times New Roman"/>
                <w:sz w:val="24"/>
                <w:szCs w:val="24"/>
              </w:rPr>
            </w:pPr>
            <w:r w:rsidRPr="007E7EBB">
              <w:rPr>
                <w:rStyle w:val="Hyperlink"/>
                <w:rFonts w:ascii="Times New Roman" w:hAnsi="Times New Roman" w:cs="Times New Roman"/>
                <w:sz w:val="24"/>
                <w:szCs w:val="24"/>
              </w:rPr>
              <w:t>gkopta@utc.wa.gov</w:t>
            </w:r>
          </w:p>
          <w:p w:rsidR="00B62D6E" w:rsidRPr="00316687" w:rsidP="003723BC">
            <w:pPr>
              <w:keepNext/>
              <w:keepLines/>
              <w:rPr>
                <w:rFonts w:ascii="Times New Roman" w:hAnsi="Times New Roman" w:cs="Times New Roman"/>
                <w:sz w:val="24"/>
                <w:szCs w:val="24"/>
              </w:rPr>
            </w:pPr>
          </w:p>
        </w:tc>
      </w:tr>
      <w:tr w:rsidTr="003723BC">
        <w:tblPrEx>
          <w:tblW w:w="0" w:type="auto"/>
          <w:tblLook w:val="04A0"/>
        </w:tblPrEx>
        <w:tc>
          <w:tcPr>
            <w:tcW w:w="4338" w:type="dxa"/>
            <w:shd w:val="clear" w:color="auto" w:fill="auto"/>
          </w:tcPr>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Hunter G. Jeffers</w:t>
            </w:r>
          </w:p>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 xml:space="preserve">Mills Meyers </w:t>
            </w:r>
            <w:r>
              <w:rPr>
                <w:rFonts w:ascii="Times New Roman" w:hAnsi="Times New Roman" w:cs="Times New Roman"/>
                <w:sz w:val="24"/>
                <w:szCs w:val="24"/>
              </w:rPr>
              <w:t>Swartling</w:t>
            </w:r>
            <w:r>
              <w:rPr>
                <w:rFonts w:ascii="Times New Roman" w:hAnsi="Times New Roman" w:cs="Times New Roman"/>
                <w:sz w:val="24"/>
                <w:szCs w:val="24"/>
              </w:rPr>
              <w:t xml:space="preserve"> P.S.</w:t>
            </w:r>
          </w:p>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1000 Second Ave, 30</w:t>
            </w:r>
            <w:r w:rsidRPr="00E828CF">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Seattle, WA 98104-1064</w:t>
            </w:r>
          </w:p>
          <w:p w:rsidR="00B62D6E" w:rsidRPr="00316687" w:rsidP="003723BC">
            <w:pPr>
              <w:keepNext/>
              <w:keepLines/>
              <w:rPr>
                <w:rFonts w:ascii="Times New Roman" w:hAnsi="Times New Roman" w:cs="Times New Roman"/>
                <w:sz w:val="24"/>
                <w:szCs w:val="24"/>
              </w:rPr>
            </w:pPr>
            <w:r>
              <w:rPr>
                <w:rFonts w:ascii="Times New Roman" w:hAnsi="Times New Roman" w:cs="Times New Roman"/>
                <w:sz w:val="24"/>
                <w:szCs w:val="24"/>
              </w:rPr>
              <w:t>(206) 382-1000</w:t>
            </w:r>
          </w:p>
          <w:p w:rsidR="00B62D6E" w:rsidP="003723BC">
            <w:pPr>
              <w:keepNext/>
              <w:keepLines/>
              <w:rPr>
                <w:rStyle w:val="Hyperlink"/>
                <w:rFonts w:ascii="Times New Roman" w:hAnsi="Times New Roman" w:cs="Times New Roman"/>
                <w:sz w:val="24"/>
                <w:szCs w:val="24"/>
              </w:rPr>
            </w:pPr>
            <w:r w:rsidRPr="00316687">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bwinchell@millsmeyers.com</w:t>
            </w:r>
          </w:p>
          <w:p w:rsidR="00B62D6E" w:rsidP="003723BC">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hjeffers@millsmeyers.com</w:t>
            </w:r>
          </w:p>
          <w:p w:rsidR="00B62D6E" w:rsidRPr="00316687" w:rsidP="003723BC">
            <w:pPr>
              <w:keepNext/>
              <w:keepLines/>
              <w:rPr>
                <w:rFonts w:ascii="Times New Roman" w:hAnsi="Times New Roman" w:cs="Times New Roman"/>
                <w:sz w:val="24"/>
                <w:szCs w:val="24"/>
              </w:rPr>
            </w:pPr>
          </w:p>
        </w:tc>
        <w:tc>
          <w:tcPr>
            <w:tcW w:w="4860" w:type="dxa"/>
            <w:shd w:val="clear" w:color="auto" w:fill="auto"/>
          </w:tcPr>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John Fricke</w:t>
            </w:r>
          </w:p>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PO Box 2163</w:t>
            </w:r>
          </w:p>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B62D6E" w:rsidRPr="00316687" w:rsidP="003723BC">
            <w:pPr>
              <w:rPr>
                <w:rFonts w:ascii="Times New Roman" w:hAnsi="Times New Roman" w:cs="Times New Roman"/>
                <w:sz w:val="24"/>
                <w:szCs w:val="24"/>
              </w:rPr>
            </w:pPr>
            <w:r w:rsidRPr="00316687">
              <w:rPr>
                <w:rFonts w:ascii="Times New Roman" w:hAnsi="Times New Roman" w:cs="Times New Roman"/>
                <w:sz w:val="24"/>
                <w:szCs w:val="24"/>
              </w:rPr>
              <w:t>(360) 292-7680</w:t>
            </w:r>
          </w:p>
          <w:p w:rsidR="00B62D6E" w:rsidRPr="00316687" w:rsidP="003723BC">
            <w:pPr>
              <w:keepNext/>
              <w:keepLines/>
              <w:rPr>
                <w:rFonts w:ascii="Times New Roman" w:hAnsi="Times New Roman" w:cs="Times New Roman"/>
                <w:sz w:val="24"/>
                <w:szCs w:val="24"/>
              </w:rPr>
            </w:pPr>
            <w:r w:rsidRPr="00316687">
              <w:rPr>
                <w:rStyle w:val="Hyperlink"/>
                <w:rFonts w:ascii="Times New Roman" w:hAnsi="Times New Roman" w:cs="Times New Roman"/>
                <w:sz w:val="24"/>
                <w:szCs w:val="24"/>
              </w:rPr>
              <w:t>johnf@capair.com</w:t>
            </w:r>
          </w:p>
        </w:tc>
      </w:tr>
    </w:tbl>
    <w:p w:rsidR="00B62D6E"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Pr="00316687" w:rsidP="00B62D6E">
      <w:pPr>
        <w:keepNext/>
        <w:keepLines/>
        <w:jc w:val="center"/>
        <w:rPr>
          <w:rFonts w:ascii="Times New Roman" w:hAnsi="Times New Roman" w:cs="Times New Roman"/>
          <w:sz w:val="24"/>
          <w:szCs w:val="24"/>
        </w:rPr>
      </w:pPr>
    </w:p>
    <w:p w:rsidR="00B62D6E" w:rsidP="00B62D6E">
      <w:pPr>
        <w:keepNext/>
        <w:keepLines/>
        <w:rPr>
          <w:rFonts w:ascii="Times New Roman" w:hAnsi="Times New Roman" w:cs="Times New Roman"/>
          <w:sz w:val="24"/>
          <w:szCs w:val="24"/>
        </w:rPr>
      </w:pPr>
      <w:r>
        <w:rPr>
          <w:rFonts w:ascii="Times New Roman" w:hAnsi="Times New Roman" w:cs="Times New Roman"/>
          <w:sz w:val="24"/>
          <w:szCs w:val="24"/>
        </w:rPr>
        <w:t xml:space="preserve">Dated at </w:t>
      </w:r>
      <w:r w:rsidR="008B2564">
        <w:rPr>
          <w:rFonts w:ascii="Times New Roman" w:hAnsi="Times New Roman" w:cs="Times New Roman"/>
          <w:sz w:val="24"/>
          <w:szCs w:val="24"/>
        </w:rPr>
        <w:t>Seattle</w:t>
      </w:r>
      <w:r>
        <w:rPr>
          <w:rFonts w:ascii="Times New Roman" w:hAnsi="Times New Roman" w:cs="Times New Roman"/>
          <w:sz w:val="24"/>
          <w:szCs w:val="24"/>
        </w:rPr>
        <w:t xml:space="preserve">, Washington this </w:t>
      </w:r>
      <w:r w:rsidR="008B2564">
        <w:rPr>
          <w:rFonts w:ascii="Times New Roman" w:hAnsi="Times New Roman" w:cs="Times New Roman"/>
          <w:sz w:val="24"/>
          <w:szCs w:val="24"/>
        </w:rPr>
        <w:t>23</w:t>
      </w:r>
      <w:r w:rsidRPr="008B2564" w:rsidR="008B2564">
        <w:rPr>
          <w:rFonts w:ascii="Times New Roman" w:hAnsi="Times New Roman" w:cs="Times New Roman"/>
          <w:sz w:val="24"/>
          <w:szCs w:val="24"/>
          <w:vertAlign w:val="superscript"/>
        </w:rPr>
        <w:t>rd</w:t>
      </w:r>
      <w:r w:rsidR="008B2564">
        <w:rPr>
          <w:rFonts w:ascii="Times New Roman" w:hAnsi="Times New Roman" w:cs="Times New Roman"/>
          <w:sz w:val="24"/>
          <w:szCs w:val="24"/>
        </w:rPr>
        <w:t xml:space="preserve"> </w:t>
      </w:r>
      <w:r>
        <w:rPr>
          <w:rFonts w:ascii="Times New Roman" w:hAnsi="Times New Roman" w:cs="Times New Roman"/>
          <w:sz w:val="24"/>
          <w:szCs w:val="24"/>
        </w:rPr>
        <w:t>day of February, 2015.</w:t>
      </w:r>
    </w:p>
    <w:p w:rsidR="00B62D6E" w:rsidRPr="00316687" w:rsidP="00B62D6E">
      <w:pPr>
        <w:keepNext/>
        <w:keepLines/>
        <w:rPr>
          <w:rFonts w:ascii="Times New Roman" w:hAnsi="Times New Roman" w:cs="Times New Roman"/>
          <w:sz w:val="24"/>
          <w:szCs w:val="24"/>
        </w:rPr>
      </w:pPr>
    </w:p>
    <w:p w:rsidR="00B62D6E" w:rsidRPr="00316687"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B62D6E" w:rsidRPr="00316687"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D42FB2" w:rsidP="00C77CAD">
      <w:pPr>
        <w:pStyle w:val="StyleListParagraphTimesNewRoman12ptLinespacingDouble"/>
      </w:pPr>
    </w:p>
    <w:sectPr w:rsidSect="00A469AE">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20" w:type="dxa"/>
      <w:tblInd w:w="91" w:type="dxa"/>
      <w:tblLayout w:type="fixed"/>
      <w:tblCellMar>
        <w:left w:w="91" w:type="dxa"/>
        <w:right w:w="91" w:type="dxa"/>
      </w:tblCellMar>
      <w:tblLook w:val="0000"/>
    </w:tblPr>
    <w:tblGrid>
      <w:gridCol w:w="6029"/>
      <w:gridCol w:w="202"/>
      <w:gridCol w:w="3489"/>
    </w:tblGrid>
    <w:tr w:rsidTr="00403A09">
      <w:tblPrEx>
        <w:tblW w:w="9720" w:type="dxa"/>
        <w:tblInd w:w="91" w:type="dxa"/>
        <w:tblLayout w:type="fixed"/>
        <w:tblCellMar>
          <w:left w:w="91" w:type="dxa"/>
          <w:right w:w="91" w:type="dxa"/>
        </w:tblCellMar>
        <w:tblLook w:val="0000"/>
      </w:tblPrEx>
      <w:trPr>
        <w:trHeight w:val="700"/>
      </w:trPr>
      <w:tc>
        <w:tcPr>
          <w:tcW w:w="6029" w:type="dxa"/>
        </w:tcPr>
        <w:p w:rsidR="008F2228" w:rsidRPr="00403A09" w:rsidP="00E27C7D">
          <w:pPr>
            <w:rPr>
              <w:rStyle w:val="PageNumber"/>
              <w:rFonts w:ascii="Times New Roman" w:hAnsi="Times New Roman" w:cs="Times New Roman"/>
              <w:szCs w:val="24"/>
            </w:rPr>
          </w:pPr>
          <w:r w:rsidRPr="00787DD8">
            <w:rPr>
              <w:rFonts w:ascii="Times New Roman" w:hAnsi="Times New Roman" w:cs="Times New Roman"/>
              <w:sz w:val="20"/>
              <w:szCs w:val="24"/>
            </w:rPr>
            <w:t xml:space="preserve">SPEEDISHUTTLE WASHINGTON, LLC </w:t>
          </w:r>
          <w:r w:rsidR="00E27C7D">
            <w:rPr>
              <w:rFonts w:ascii="Times New Roman" w:hAnsi="Times New Roman" w:cs="Times New Roman"/>
              <w:sz w:val="20"/>
              <w:szCs w:val="24"/>
            </w:rPr>
            <w:t>d/b/a</w:t>
          </w:r>
          <w:r w:rsidRPr="00787DD8">
            <w:rPr>
              <w:rFonts w:ascii="Times New Roman" w:hAnsi="Times New Roman" w:cs="Times New Roman"/>
              <w:sz w:val="20"/>
              <w:szCs w:val="24"/>
            </w:rPr>
            <w:t xml:space="preserve"> SPEEDISHUTTLE SEATTLE’S ANSWER TO </w:t>
          </w:r>
          <w:r w:rsidR="00661B24">
            <w:rPr>
              <w:rFonts w:ascii="Times New Roman" w:hAnsi="Times New Roman" w:cs="Times New Roman"/>
              <w:sz w:val="20"/>
              <w:szCs w:val="24"/>
            </w:rPr>
            <w:t xml:space="preserve">SHUTTLE EXPRESS’S </w:t>
          </w:r>
          <w:r w:rsidRPr="00787DD8">
            <w:rPr>
              <w:rFonts w:ascii="Times New Roman" w:hAnsi="Times New Roman" w:cs="Times New Roman"/>
              <w:sz w:val="20"/>
              <w:szCs w:val="24"/>
            </w:rPr>
            <w:t>PETITION FOR ADMINISTRATIVE  REVIEW</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20</w:t>
          </w:r>
          <w:r>
            <w:rPr>
              <w:rStyle w:val="PageNumber"/>
              <w:sz w:val="20"/>
            </w:rPr>
            <w:fldChar w:fldCharType="end"/>
          </w:r>
        </w:p>
      </w:tc>
      <w:tc>
        <w:tcPr>
          <w:tcW w:w="202" w:type="dxa"/>
        </w:tcPr>
        <w:p w:rsidR="008F2228" w:rsidP="008F2228">
          <w:pPr>
            <w:pStyle w:val="FirmName"/>
            <w:spacing w:line="200" w:lineRule="exact"/>
            <w:jc w:val="left"/>
            <w:rPr>
              <w:b/>
              <w:sz w:val="16"/>
            </w:rPr>
          </w:pPr>
        </w:p>
      </w:tc>
      <w:tc>
        <w:tcPr>
          <w:tcW w:w="3489" w:type="dxa"/>
        </w:tcPr>
        <w:p w:rsidR="008F2228" w:rsidP="008F2228">
          <w:pPr>
            <w:pStyle w:val="FirmName"/>
            <w:spacing w:line="240" w:lineRule="auto"/>
            <w:ind w:left="-86"/>
            <w:jc w:val="left"/>
            <w:rPr>
              <w:sz w:val="16"/>
            </w:rPr>
          </w:pPr>
        </w:p>
      </w:tc>
    </w:tr>
  </w:tbl>
  <w:p w:rsidR="008F2228" w:rsidP="00A273DB">
    <w:pPr>
      <w:pStyle w:val="Footer"/>
    </w:pPr>
    <w:r>
      <w:rPr>
        <w:sz w:val="16"/>
      </w:rPr>
      <w:fldChar w:fldCharType="begin"/>
    </w:r>
    <w:r>
      <w:rPr>
        <w:sz w:val="16"/>
      </w:rPr>
      <w:instrText xml:space="preserve"> </w:instrText>
    </w:r>
    <w:r w:rsidRPr="00A273DB">
      <w:rPr>
        <w:sz w:val="16"/>
      </w:rPr>
      <w:instrText>IF "</w:instrText>
    </w:r>
    <w:r w:rsidRPr="00A273DB">
      <w:rPr>
        <w:sz w:val="16"/>
      </w:rPr>
      <w:instrText>1</w:instrText>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Pr="00A273DB">
      <w:rPr>
        <w:sz w:val="16"/>
      </w:rPr>
      <w:instrText xml:space="preserve"> 5335432.2</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Pr="00A273DB">
      <w:rPr>
        <w:sz w:val="16"/>
      </w:rPr>
      <w:t xml:space="preserve"> 5335432.2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2228">
      <w:r>
        <w:separator/>
      </w:r>
    </w:p>
  </w:footnote>
  <w:footnote w:type="continuationSeparator" w:id="1">
    <w:p w:rsidR="008F2228">
      <w:r>
        <w:continuationSeparator/>
      </w:r>
    </w:p>
  </w:footnote>
  <w:footnote w:id="2">
    <w:p w:rsidR="008F2228">
      <w:pPr>
        <w:pStyle w:val="FootnoteText"/>
      </w:pPr>
      <w:r>
        <w:rPr>
          <w:rStyle w:val="FootnoteReference"/>
        </w:rPr>
        <w:footnoteRef/>
      </w:r>
      <w:r>
        <w:t xml:space="preserve"> Moreover, WAC 480-30-136(3</w:t>
      </w:r>
      <w:r>
        <w:t>)(</w:t>
      </w:r>
      <w:r>
        <w:t xml:space="preserve">b) provides that if the objecting company will not provide the same service </w:t>
      </w:r>
      <w:r w:rsidR="00C2544B">
        <w:t>(</w:t>
      </w:r>
      <w:r>
        <w:t xml:space="preserve">(Order 02 clearly did </w:t>
      </w:r>
      <w:r w:rsidR="00C2544B">
        <w:t>(</w:t>
      </w:r>
      <w:r>
        <w:rPr>
          <w:rFonts w:cs="Times New Roman"/>
        </w:rPr>
        <w:t>¶</w:t>
      </w:r>
      <w:r>
        <w:t>25 , Finding and Conclusion 6</w:t>
      </w:r>
      <w:r w:rsidR="00205116">
        <w:t>,</w:t>
      </w:r>
      <w:r>
        <w:t xml:space="preserve"> p. 7 of Order 02)</w:t>
      </w:r>
      <w:r w:rsidR="00C2544B">
        <w:t>)</w:t>
      </w:r>
      <w:r>
        <w:t>, to the satisfaction of the Commission</w:t>
      </w:r>
      <w:r w:rsidR="00205116">
        <w:t>,</w:t>
      </w:r>
      <w:r>
        <w:t xml:space="preserve"> the Commission may grant the application.</w:t>
      </w:r>
    </w:p>
  </w:footnote>
  <w:footnote w:id="3">
    <w:p w:rsidR="008F2228">
      <w:pPr>
        <w:pStyle w:val="FootnoteText"/>
      </w:pPr>
      <w:r>
        <w:rPr>
          <w:rStyle w:val="FootnoteReference"/>
        </w:rPr>
        <w:footnoteRef/>
      </w:r>
      <w:r>
        <w:t xml:space="preserve"> That Order reflects the same objector, Shuttle Express, again taking extraordinary measures to block an </w:t>
      </w:r>
      <w:r w:rsidR="00205116">
        <w:t>O</w:t>
      </w:r>
      <w:r>
        <w:t>rder dismissing objections and granting an auto transportation application, there asking for “a temporary reversal of authority” and “stay of action.”  Both requests, albeit belated in that instance, are unique and in the case of the “temporary reversal of authority,” unrecognized in rule or statute.</w:t>
      </w:r>
    </w:p>
  </w:footnote>
  <w:footnote w:id="4">
    <w:p w:rsidR="00A078BD">
      <w:pPr>
        <w:pStyle w:val="FootnoteText"/>
      </w:pPr>
      <w:r>
        <w:rPr>
          <w:rStyle w:val="FootnoteReference"/>
        </w:rPr>
        <w:footnoteRef/>
      </w:r>
      <w:r>
        <w:t xml:space="preserve"> Initial Order 01, </w:t>
      </w:r>
      <w:r>
        <w:rPr>
          <w:rFonts w:cs="Times New Roman"/>
        </w:rPr>
        <w:t>¶</w:t>
      </w:r>
      <w:r>
        <w:t>9, p. 4.</w:t>
      </w:r>
    </w:p>
  </w:footnote>
  <w:footnote w:id="5">
    <w:p w:rsidR="008F2228" w:rsidRPr="00B91300">
      <w:pPr>
        <w:pStyle w:val="FootnoteText"/>
        <w:rPr>
          <w:rFonts w:cs="Times New Roman"/>
        </w:rPr>
      </w:pPr>
      <w:r>
        <w:rPr>
          <w:rStyle w:val="FootnoteReference"/>
        </w:rPr>
        <w:footnoteRef/>
      </w:r>
      <w:r>
        <w:t xml:space="preserve"> </w:t>
      </w:r>
      <w:r w:rsidR="00A078BD">
        <w:rPr>
          <w:rFonts w:cs="Times New Roman"/>
        </w:rPr>
        <w:t>Shuttle Express’s Petition for Administrative Review, ¶40, p. 12.</w:t>
      </w:r>
    </w:p>
  </w:footnote>
  <w:footnote w:id="6">
    <w:p w:rsidR="008F2228" w:rsidRPr="00B91300">
      <w:pPr>
        <w:pStyle w:val="FootnoteText"/>
        <w:rPr>
          <w:rFonts w:cs="Times New Roman"/>
        </w:rPr>
      </w:pPr>
      <w:r>
        <w:rPr>
          <w:rStyle w:val="FootnoteReference"/>
        </w:rPr>
        <w:footnoteRef/>
      </w:r>
      <w:r>
        <w:t xml:space="preserve"> </w:t>
      </w:r>
      <w:r>
        <w:rPr>
          <w:rFonts w:cs="Times New Roman"/>
        </w:rPr>
        <w:t xml:space="preserve">Another rather </w:t>
      </w:r>
      <w:r w:rsidR="00205116">
        <w:rPr>
          <w:rFonts w:cs="Times New Roman"/>
        </w:rPr>
        <w:t xml:space="preserve">obvious </w:t>
      </w:r>
      <w:r>
        <w:rPr>
          <w:rFonts w:cs="Times New Roman"/>
        </w:rPr>
        <w:t>inconsistency was reflected in the testimony of Paul Kajanoff on the reasons for the Company’s belated formal request for exemptions to rule in December, 2013 when</w:t>
      </w:r>
      <w:r w:rsidR="00205116">
        <w:rPr>
          <w:rFonts w:cs="Times New Roman"/>
        </w:rPr>
        <w:t>,</w:t>
      </w:r>
      <w:r>
        <w:rPr>
          <w:rFonts w:cs="Times New Roman"/>
        </w:rPr>
        <w:t xml:space="preserve"> after Shuttle Express’</w:t>
      </w:r>
      <w:r w:rsidR="00205116">
        <w:rPr>
          <w:rFonts w:cs="Times New Roman"/>
        </w:rPr>
        <w:t>s</w:t>
      </w:r>
      <w:r>
        <w:rPr>
          <w:rFonts w:cs="Times New Roman"/>
        </w:rPr>
        <w:t xml:space="preserve"> owner claimed the Commission did not know how to regulate auto transportation services, ((Order 04, Docket No. TC-120323 (Mar. 2014) ¶33 at p. 13))</w:t>
      </w:r>
      <w:r w:rsidR="00C2544B">
        <w:rPr>
          <w:rFonts w:cs="Times New Roman"/>
        </w:rPr>
        <w:t>,</w:t>
      </w:r>
      <w:r>
        <w:rPr>
          <w:rFonts w:cs="Times New Roman"/>
        </w:rPr>
        <w:t xml:space="preserve"> the current CEO, Mr. Kajanoff, denied any business need to institute “rescue service” (</w:t>
      </w:r>
      <w:r w:rsidR="00DD56DE">
        <w:rPr>
          <w:rFonts w:cs="Times New Roman"/>
        </w:rPr>
        <w:t>Tr. 103, Tr. 104, lines 20-25</w:t>
      </w:r>
      <w:r>
        <w:rPr>
          <w:rFonts w:cs="Times New Roman"/>
        </w:rPr>
        <w:t>).  When questioned by the presiding officer as to a possible inconsistency with rationale provided in the Petition for Exemption and at the December, 2013 Open Meeting addressing the issue, Mr. Kajanoff held to his previous answer that “rescue service” was merely instituted to upgrade vehicle types for passengers, and was not motivated by service constraints and “…was on the urging of counsel, not necessarily views of Shuttle Express.” (</w:t>
      </w:r>
      <w:r w:rsidR="00DD56DE">
        <w:rPr>
          <w:rFonts w:cs="Times New Roman"/>
        </w:rPr>
        <w:t>Tr. 106, lines 3</w:t>
      </w:r>
      <w:r w:rsidR="00DD56DE">
        <w:rPr>
          <w:rFonts w:cs="Times New Roman"/>
        </w:rPr>
        <w:t>,4</w:t>
      </w:r>
      <w:r>
        <w:rPr>
          <w:rFonts w:cs="Times New Roman"/>
        </w:rPr>
        <w:t>).  Such alternating explanations are contravened by the Commission’s own previous findings in Order 04 and are simply not credible.</w:t>
      </w:r>
    </w:p>
  </w:footnote>
  <w:footnote w:id="7">
    <w:p w:rsidR="002E5AB5">
      <w:pPr>
        <w:pStyle w:val="FootnoteText"/>
      </w:pPr>
      <w:r>
        <w:rPr>
          <w:rStyle w:val="FootnoteReference"/>
        </w:rPr>
        <w:footnoteRef/>
      </w:r>
      <w:r w:rsidR="00A078BD">
        <w:t xml:space="preserve"> Declaration of </w:t>
      </w:r>
      <w:r w:rsidR="00A078BD">
        <w:t>Ji</w:t>
      </w:r>
      <w:r>
        <w:t>my</w:t>
      </w:r>
      <w:r>
        <w:t xml:space="preserve"> Sherrell in Support of Petition for Exemption, Docket No. </w:t>
      </w:r>
      <w:r>
        <w:t>TC-132141</w:t>
      </w:r>
      <w:r w:rsidR="00DD56DE">
        <w:t xml:space="preserve"> (November 19, 2013)</w:t>
      </w:r>
      <w:r>
        <w:t>, at page 2</w:t>
      </w:r>
      <w:r w:rsidR="00830DA8">
        <w:t>.</w:t>
      </w:r>
    </w:p>
  </w:footnote>
  <w:footnote w:id="8">
    <w:p w:rsidR="00661B24">
      <w:pPr>
        <w:pStyle w:val="FootnoteText"/>
      </w:pPr>
      <w:r>
        <w:rPr>
          <w:rStyle w:val="FootnoteReference"/>
        </w:rPr>
        <w:footnoteRef/>
      </w:r>
      <w:r>
        <w:t xml:space="preserve"> The Applicant also asked the presiding officer to take official notice of the entire Petition for Exemption, Docket TC-132141, in this application record, which request was </w:t>
      </w:r>
      <w:r w:rsidR="00320922">
        <w:t xml:space="preserve">granted.  </w:t>
      </w:r>
      <w:r w:rsidR="00320922">
        <w:t>Tr. 105, lines 20, 21</w:t>
      </w:r>
      <w:r>
        <w:t>.</w:t>
      </w:r>
    </w:p>
  </w:footnote>
  <w:footnote w:id="9">
    <w:p w:rsidR="008F2228">
      <w:pPr>
        <w:pStyle w:val="FootnoteText"/>
      </w:pPr>
      <w:r>
        <w:rPr>
          <w:rStyle w:val="FootnoteReference"/>
        </w:rPr>
        <w:footnoteRef/>
      </w:r>
      <w:r>
        <w:t xml:space="preserve"> An “employment base” which admittedly in the case of Shuttle Express historically relied on liberal use of independent contractors as drivers in </w:t>
      </w:r>
      <w:r w:rsidR="00DD56DE">
        <w:t xml:space="preserve">direct </w:t>
      </w:r>
      <w:r>
        <w:t>violation of Commission rules</w:t>
      </w:r>
      <w:r w:rsidR="00E623AE">
        <w:t>.  I</w:t>
      </w:r>
      <w:r>
        <w:t>n contrast, Speedishuttle only utilizes employee drivers.  Ex., CM-1, p. 4.</w:t>
      </w:r>
    </w:p>
  </w:footnote>
  <w:footnote w:id="10">
    <w:p w:rsidR="008F2228" w:rsidRPr="00634400">
      <w:pPr>
        <w:pStyle w:val="FootnoteText"/>
        <w:rPr>
          <w:rFonts w:cs="Times New Roman"/>
        </w:rPr>
      </w:pPr>
      <w:r>
        <w:rPr>
          <w:rStyle w:val="FootnoteReference"/>
        </w:rPr>
        <w:footnoteRef/>
      </w:r>
      <w:r>
        <w:t xml:space="preserve"> </w:t>
      </w:r>
      <w:r>
        <w:rPr>
          <w:rFonts w:cs="Times New Roman"/>
        </w:rPr>
        <w:t xml:space="preserve">Lines 1-6, </w:t>
      </w:r>
      <w:r>
        <w:rPr>
          <w:rFonts w:cs="Times New Roman"/>
        </w:rPr>
        <w:t>Tr</w:t>
      </w:r>
      <w:r>
        <w:rPr>
          <w:rFonts w:cs="Times New Roman"/>
        </w:rPr>
        <w:t xml:space="preserve"> 46.</w:t>
      </w:r>
    </w:p>
  </w:footnote>
  <w:footnote w:id="11">
    <w:p w:rsidR="008F2228" w:rsidRPr="00170F84">
      <w:pPr>
        <w:pStyle w:val="FootnoteText"/>
        <w:rPr>
          <w:rFonts w:cs="Times New Roman"/>
        </w:rPr>
      </w:pPr>
      <w:r>
        <w:rPr>
          <w:rStyle w:val="FootnoteReference"/>
        </w:rPr>
        <w:footnoteRef/>
      </w:r>
      <w:r>
        <w:t xml:space="preserve"> </w:t>
      </w:r>
      <w:r>
        <w:rPr>
          <w:rFonts w:cs="Times New Roman"/>
        </w:rPr>
        <w:t>“Ability to serve” is also an element of an applicant’s fitness evaluation which the Commission shifted exclusively to its staff in Docket No. 121328 in the final rule revisions effective in September, 2013.</w:t>
      </w:r>
    </w:p>
  </w:footnote>
  <w:footnote w:id="12">
    <w:p w:rsidR="008F2228" w:rsidRPr="002F76CF">
      <w:pPr>
        <w:pStyle w:val="FootnoteText"/>
      </w:pPr>
      <w:r>
        <w:rPr>
          <w:rStyle w:val="FootnoteReference"/>
        </w:rPr>
        <w:footnoteRef/>
      </w:r>
      <w:r>
        <w:t xml:space="preserve"> “[t]here is public benefit in encouraging competition by motivating carriers to continually improve service.”  </w:t>
      </w:r>
      <w:r>
        <w:rPr>
          <w:i/>
        </w:rPr>
        <w:t>In re Amending and Adopting rules in WAC 480-30 Relating to Passenger Transportation Companies</w:t>
      </w:r>
      <w:r>
        <w:t>, Docket TC-121328, General Order R-572 (Sept. 2013)</w:t>
      </w:r>
      <w:r w:rsidR="00DD56DE">
        <w:t>, “t</w:t>
      </w:r>
      <w:r w:rsidR="00D42FBA">
        <w:t>he 2013 Auto Transportation Rulemaking”</w:t>
      </w:r>
      <w:r>
        <w:t xml:space="preserve"> at p. 12.</w:t>
      </w:r>
    </w:p>
  </w:footnote>
  <w:footnote w:id="13">
    <w:p w:rsidR="008F2228">
      <w:pPr>
        <w:pStyle w:val="FootnoteText"/>
      </w:pPr>
      <w:r>
        <w:rPr>
          <w:rStyle w:val="FootnoteReference"/>
        </w:rPr>
        <w:footnoteRef/>
      </w:r>
      <w:r>
        <w:t xml:space="preserve"> </w:t>
      </w:r>
      <w:r>
        <w:t>Tr</w:t>
      </w:r>
      <w:r>
        <w:t xml:space="preserve"> 23, 24.</w:t>
      </w:r>
    </w:p>
  </w:footnote>
  <w:footnote w:id="14">
    <w:p w:rsidR="008F2228" w:rsidRPr="00634400">
      <w:pPr>
        <w:pStyle w:val="FootnoteText"/>
        <w:rPr>
          <w:rFonts w:cs="Times New Roman"/>
        </w:rPr>
      </w:pPr>
      <w:r>
        <w:rPr>
          <w:rStyle w:val="FootnoteReference"/>
        </w:rPr>
        <w:footnoteRef/>
      </w:r>
      <w:r>
        <w:t xml:space="preserve"> </w:t>
      </w:r>
      <w:r>
        <w:rPr>
          <w:rFonts w:cs="Times New Roman"/>
        </w:rPr>
        <w:t xml:space="preserve">The record is also clear in distinguishing the service guarantees of the proponent and the objector.  </w:t>
      </w:r>
      <w:r>
        <w:rPr>
          <w:rFonts w:cs="Times New Roman"/>
        </w:rPr>
        <w:t>Tr</w:t>
      </w:r>
      <w:r>
        <w:rPr>
          <w:rFonts w:cs="Times New Roman"/>
        </w:rPr>
        <w:t xml:space="preserve"> 44 reflects a 10-minute</w:t>
      </w:r>
      <w:r w:rsidR="00191174">
        <w:rPr>
          <w:rFonts w:cs="Times New Roman"/>
        </w:rPr>
        <w:t xml:space="preserve"> (33%)</w:t>
      </w:r>
      <w:r>
        <w:rPr>
          <w:rFonts w:cs="Times New Roman"/>
        </w:rPr>
        <w:t xml:space="preserve"> service differential window at the airport and a 5-minute differential at a passenger’s home, </w:t>
      </w:r>
      <w:r>
        <w:rPr>
          <w:rFonts w:cs="Times New Roman"/>
        </w:rPr>
        <w:t>Tr</w:t>
      </w:r>
      <w:r>
        <w:rPr>
          <w:rFonts w:cs="Times New Roman"/>
        </w:rPr>
        <w:t xml:space="preserve"> 45, lines 5-7.</w:t>
      </w:r>
    </w:p>
  </w:footnote>
  <w:footnote w:id="15">
    <w:p w:rsidR="008F2228" w:rsidRPr="00814D8E">
      <w:pPr>
        <w:pStyle w:val="FootnoteText"/>
      </w:pPr>
      <w:r>
        <w:rPr>
          <w:rStyle w:val="FootnoteReference"/>
        </w:rPr>
        <w:footnoteRef/>
      </w:r>
      <w:r>
        <w:t xml:space="preserve"> Initial Order 01, </w:t>
      </w:r>
      <w:r>
        <w:rPr>
          <w:i/>
        </w:rPr>
        <w:t xml:space="preserve">In re Sami </w:t>
      </w:r>
      <w:r>
        <w:rPr>
          <w:i/>
        </w:rPr>
        <w:t>Mahama</w:t>
      </w:r>
      <w:r>
        <w:rPr>
          <w:i/>
        </w:rPr>
        <w:t xml:space="preserve"> Maurou d/b/a SeaTac Airport 24</w:t>
      </w:r>
      <w:r>
        <w:t>, Docket No. TC-140399, (Sep. 2014), p. 4.</w:t>
      </w:r>
    </w:p>
  </w:footnote>
  <w:footnote w:id="16">
    <w:p w:rsidR="008F2228" w:rsidRPr="00F33709">
      <w:pPr>
        <w:pStyle w:val="FootnoteText"/>
      </w:pPr>
      <w:r>
        <w:rPr>
          <w:rStyle w:val="FootnoteReference"/>
        </w:rPr>
        <w:footnoteRef/>
      </w:r>
      <w:r>
        <w:t xml:space="preserve"> </w:t>
      </w:r>
      <w:r>
        <w:rPr>
          <w:i/>
        </w:rPr>
        <w:t>See, for example</w:t>
      </w:r>
      <w:r>
        <w:t xml:space="preserve"> </w:t>
      </w:r>
      <w:r>
        <w:rPr>
          <w:rFonts w:cs="Times New Roman"/>
        </w:rPr>
        <w:t>¶¶</w:t>
      </w:r>
      <w:r>
        <w:t xml:space="preserve"> 7, 10, 13 and 17, Initial Order 02 at pp. 3, 5.</w:t>
      </w:r>
    </w:p>
  </w:footnote>
  <w:footnote w:id="17">
    <w:p w:rsidR="008F2228">
      <w:pPr>
        <w:pStyle w:val="FootnoteText"/>
      </w:pPr>
      <w:r>
        <w:rPr>
          <w:rStyle w:val="FootnoteReference"/>
        </w:rPr>
        <w:footnoteRef/>
      </w:r>
      <w:r>
        <w:t xml:space="preserve"> </w:t>
      </w:r>
      <w:r>
        <w:t xml:space="preserve">Shuttle Express Petition for Administrative Review </w:t>
      </w:r>
      <w:r>
        <w:rPr>
          <w:rFonts w:cs="Times New Roman"/>
        </w:rPr>
        <w:t>¶</w:t>
      </w:r>
      <w:r>
        <w:t>30, p. 9.</w:t>
      </w:r>
    </w:p>
  </w:footnote>
  <w:footnote w:id="18">
    <w:p w:rsidR="008F2228">
      <w:pPr>
        <w:pStyle w:val="FootnoteText"/>
      </w:pPr>
      <w:r>
        <w:rPr>
          <w:rStyle w:val="FootnoteReference"/>
        </w:rPr>
        <w:footnoteRef/>
      </w:r>
      <w:r>
        <w:t xml:space="preserve"> </w:t>
      </w:r>
      <w:r>
        <w:t xml:space="preserve">Shuttle Express Petition for Administrative Review at </w:t>
      </w:r>
      <w:r>
        <w:rPr>
          <w:rFonts w:cs="Times New Roman"/>
        </w:rPr>
        <w:t>¶31, p. 9.</w:t>
      </w:r>
    </w:p>
  </w:footnote>
  <w:footnote w:id="19">
    <w:p w:rsidR="008F2228">
      <w:pPr>
        <w:pStyle w:val="FootnoteText"/>
      </w:pPr>
      <w:r>
        <w:rPr>
          <w:rStyle w:val="FootnoteReference"/>
        </w:rPr>
        <w:footnoteRef/>
      </w:r>
      <w:r>
        <w:t xml:space="preserve"> </w:t>
      </w:r>
      <w:r>
        <w:t xml:space="preserve">Shuttle Express Petition for Administrative Review </w:t>
      </w:r>
      <w:r>
        <w:rPr>
          <w:rFonts w:cs="Times New Roman"/>
        </w:rPr>
        <w:t>¶</w:t>
      </w:r>
      <w:r>
        <w:t>32, p. 10.</w:t>
      </w:r>
    </w:p>
  </w:footnote>
  <w:footnote w:id="20">
    <w:p w:rsidR="008F2228">
      <w:pPr>
        <w:pStyle w:val="FootnoteText"/>
      </w:pPr>
      <w:r>
        <w:rPr>
          <w:rStyle w:val="FootnoteReference"/>
        </w:rPr>
        <w:footnoteRef/>
      </w:r>
      <w:r w:rsidR="00647760">
        <w:t xml:space="preserve"> </w:t>
      </w:r>
      <w:r w:rsidR="00647760">
        <w:t xml:space="preserve">Exhibit CM-1, </w:t>
      </w:r>
      <w:r w:rsidR="00647760">
        <w:rPr>
          <w:rFonts w:cs="Times New Roman"/>
        </w:rPr>
        <w:t>¶</w:t>
      </w:r>
      <w:r>
        <w:t>5.</w:t>
      </w:r>
    </w:p>
  </w:footnote>
  <w:footnote w:id="21">
    <w:p w:rsidR="008F2228" w:rsidRPr="00E66CE6">
      <w:pPr>
        <w:pStyle w:val="FootnoteText"/>
      </w:pPr>
      <w:r>
        <w:rPr>
          <w:rStyle w:val="FootnoteReference"/>
        </w:rPr>
        <w:footnoteRef/>
      </w:r>
      <w:r>
        <w:t xml:space="preserve"> </w:t>
      </w:r>
      <w:r w:rsidR="007F1213">
        <w:rPr>
          <w:i/>
        </w:rPr>
        <w:t xml:space="preserve">See </w:t>
      </w:r>
      <w:r w:rsidR="007F1213">
        <w:rPr>
          <w:i/>
        </w:rPr>
        <w:t>c</w:t>
      </w:r>
      <w:r>
        <w:rPr>
          <w:i/>
        </w:rPr>
        <w:t>f</w:t>
      </w:r>
      <w:r>
        <w:rPr>
          <w:i/>
        </w:rPr>
        <w:t>,</w:t>
      </w:r>
      <w:r>
        <w:t xml:space="preserve"> particularly, Attachment A, dated 9/25/14 and 9/26/14  to Speedishuttle’s application which application and attachments were officially noticed </w:t>
      </w:r>
      <w:r w:rsidR="0028624B">
        <w:t xml:space="preserve">in the record </w:t>
      </w:r>
      <w:r>
        <w:t>at Tr. 12, lines 14 and 15.</w:t>
      </w:r>
    </w:p>
  </w:footnote>
  <w:footnote w:id="22">
    <w:p w:rsidR="002B4A89" w:rsidP="002B4A89">
      <w:pPr>
        <w:pStyle w:val="FootnoteText"/>
      </w:pPr>
      <w:r>
        <w:rPr>
          <w:rStyle w:val="FootnoteReference"/>
        </w:rPr>
        <w:footnoteRef/>
      </w:r>
      <w:r>
        <w:t xml:space="preserve"> </w:t>
      </w:r>
      <w:r>
        <w:t xml:space="preserve">Shuttle Express Petition for Administrative Review, </w:t>
      </w:r>
      <w:r>
        <w:rPr>
          <w:rFonts w:cs="Times New Roman"/>
        </w:rPr>
        <w:t>¶</w:t>
      </w:r>
      <w:r>
        <w:t>40, p. 12.</w:t>
      </w:r>
    </w:p>
  </w:footnote>
  <w:footnote w:id="23">
    <w:p w:rsidR="008F2228">
      <w:pPr>
        <w:pStyle w:val="FootnoteText"/>
      </w:pPr>
      <w:r>
        <w:rPr>
          <w:rStyle w:val="FootnoteReference"/>
        </w:rPr>
        <w:footnoteRef/>
      </w:r>
      <w:r>
        <w:t xml:space="preserve"> </w:t>
      </w:r>
      <w:r>
        <w:t xml:space="preserve">Shuttle Express Petition for Administrative Review </w:t>
      </w:r>
      <w:r>
        <w:rPr>
          <w:rFonts w:cs="Times New Roman"/>
        </w:rPr>
        <w:t>¶</w:t>
      </w:r>
      <w:r>
        <w:t>43, p. 13.</w:t>
      </w:r>
    </w:p>
  </w:footnote>
  <w:footnote w:id="24">
    <w:p w:rsidR="002D0485">
      <w:pPr>
        <w:pStyle w:val="FootnoteText"/>
      </w:pPr>
      <w:r>
        <w:rPr>
          <w:rStyle w:val="FootnoteReference"/>
        </w:rPr>
        <w:footnoteRef/>
      </w:r>
      <w:r>
        <w:t xml:space="preserve"> </w:t>
      </w:r>
      <w:r>
        <w:t xml:space="preserve">Shuttle Express Petition for Administrative Review </w:t>
      </w:r>
      <w:r>
        <w:rPr>
          <w:rFonts w:cs="Times New Roman"/>
        </w:rPr>
        <w:t>¶</w:t>
      </w:r>
      <w:r>
        <w:t>44, p. 13.</w:t>
      </w:r>
    </w:p>
  </w:footnote>
  <w:footnote w:id="25">
    <w:p w:rsidR="00C63F9C">
      <w:pPr>
        <w:pStyle w:val="FootnoteText"/>
      </w:pPr>
      <w:r>
        <w:rPr>
          <w:rStyle w:val="FootnoteReference"/>
        </w:rPr>
        <w:footnoteRef/>
      </w:r>
      <w:r w:rsidR="002D0485">
        <w:t xml:space="preserve"> </w:t>
      </w:r>
      <w:r w:rsidRPr="002D0485" w:rsidR="002D0485">
        <w:rPr>
          <w:i/>
        </w:rPr>
        <w:t>Id</w:t>
      </w:r>
      <w:r w:rsidR="00140930">
        <w:t>.</w:t>
      </w:r>
    </w:p>
  </w:footnote>
  <w:footnote w:id="26">
    <w:p w:rsidR="008F2228" w:rsidRPr="000278A7">
      <w:pPr>
        <w:pStyle w:val="FootnoteText"/>
      </w:pPr>
      <w:r>
        <w:rPr>
          <w:rStyle w:val="FootnoteReference"/>
        </w:rPr>
        <w:footnoteRef/>
      </w:r>
      <w:r>
        <w:t xml:space="preserve"> </w:t>
      </w:r>
      <w:r>
        <w:rPr>
          <w:i/>
        </w:rPr>
        <w:t>See</w:t>
      </w:r>
      <w:r>
        <w:t xml:space="preserve"> Tr. 140-145.</w:t>
      </w:r>
    </w:p>
  </w:footnote>
  <w:footnote w:id="27">
    <w:p w:rsidR="008F2228" w:rsidRPr="008F2228" w:rsidP="008F2228">
      <w:pPr>
        <w:pStyle w:val="FootnoteText"/>
      </w:pPr>
      <w:r>
        <w:rPr>
          <w:rStyle w:val="FootnoteReference"/>
        </w:rPr>
        <w:footnoteRef/>
      </w:r>
      <w:r>
        <w:t xml:space="preserve"> Order M.V. No. 138750, </w:t>
      </w:r>
      <w:r>
        <w:rPr>
          <w:i/>
        </w:rPr>
        <w:t>In re Randy and Denise Cooper and John and Kelly Port d/b/a/ Central Washington Mobile Homes Transport Services,</w:t>
      </w:r>
      <w:r>
        <w:t xml:space="preserve"> App. E-19540 (Dec. 1988) at p. 1.</w:t>
      </w:r>
    </w:p>
  </w:footnote>
  <w:footnote w:id="28">
    <w:p w:rsidR="00082CE0">
      <w:pPr>
        <w:pStyle w:val="FootnoteText"/>
      </w:pPr>
      <w:r>
        <w:rPr>
          <w:rStyle w:val="FootnoteReference"/>
        </w:rPr>
        <w:footnoteRef/>
      </w:r>
      <w:r>
        <w:t xml:space="preserve"> </w:t>
      </w:r>
      <w:r w:rsidR="00B700E4">
        <w:t>Additionally,</w:t>
      </w:r>
      <w:r>
        <w:t xml:space="preserve"> restrictive amendments or permit restrictions which involve vague description</w:t>
      </w:r>
      <w:r w:rsidR="00B72C90">
        <w:t>s</w:t>
      </w:r>
      <w:r>
        <w:t xml:space="preserve"> and/or timing requirements which are not readily susceptible to or capable of enforcement should be rejected.  Order M.V. No. 141737, </w:t>
      </w:r>
      <w:r w:rsidRPr="00B72C90">
        <w:rPr>
          <w:i/>
        </w:rPr>
        <w:t>In re Application of Bullet, Inc</w:t>
      </w:r>
      <w:r>
        <w:t>., Application E-19967 (Jul. 1990).</w:t>
      </w:r>
    </w:p>
  </w:footnote>
  <w:footnote w:id="29">
    <w:p w:rsidR="002076B7">
      <w:pPr>
        <w:pStyle w:val="FootnoteText"/>
      </w:pPr>
      <w:r>
        <w:rPr>
          <w:rStyle w:val="FootnoteReference"/>
        </w:rPr>
        <w:footnoteRef/>
      </w:r>
      <w:r>
        <w:t xml:space="preserve"> </w:t>
      </w:r>
      <w:r w:rsidR="006E1237">
        <w:rPr>
          <w:i/>
        </w:rPr>
        <w:t>In re Application of Sean McNamara d/b/a/ Bellingham Water Taxi, et al.</w:t>
      </w:r>
      <w:r w:rsidR="006E1237">
        <w:t xml:space="preserve"> Dockets </w:t>
      </w:r>
      <w:r w:rsidR="006E1237">
        <w:t>TS</w:t>
      </w:r>
      <w:r w:rsidR="006E1237">
        <w:t xml:space="preserve">-121253 and </w:t>
      </w:r>
      <w:r w:rsidR="006E1237">
        <w:t>TS</w:t>
      </w:r>
      <w:r w:rsidR="006E1237">
        <w:t>-121395</w:t>
      </w:r>
      <w:r w:rsidR="00140930">
        <w:t xml:space="preserve"> (J</w:t>
      </w:r>
      <w:r w:rsidR="00C63F9C">
        <w:t>uly 2013)</w:t>
      </w:r>
      <w:r w:rsidR="006E1237">
        <w:t>,</w:t>
      </w:r>
      <w:r w:rsidR="006E1237">
        <w:rPr>
          <w:rFonts w:cs="Times New Roman"/>
        </w:rPr>
        <w:t>¶</w:t>
      </w:r>
      <w:r w:rsidR="006E1237">
        <w:t>21,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228" w:rsidRPr="00B62D6E" w:rsidP="00B62D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4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start w:val="1"/>
      <w:numFmt w:val="decimal"/>
      <w:lvlText w:val="%1"/>
      <w:lvlJc w:val="left"/>
      <w:pPr>
        <w:ind w:left="1440" w:hanging="360"/>
      </w:pPr>
      <w:rPr>
        <w:rFonts w:ascii="Times New Roman" w:hAnsi="Times New Roman" w:hint="default"/>
        <w:b w:val="0"/>
        <w:i/>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D381E30"/>
    <w:multiLevelType w:val="hybridMultilevel"/>
    <w:tmpl w:val="8772B69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ACF31F2"/>
    <w:multiLevelType w:val="multilevel"/>
    <w:tmpl w:val="A06E1196"/>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1">
      <w:start w:val="1"/>
      <w:numFmt w:val="decimal"/>
      <w:suff w:val="nothing"/>
      <w:lvlText w:val="%2.  "/>
      <w:lvlJc w:val="left"/>
      <w:pPr>
        <w:tabs>
          <w:tab w:val="num" w:pos="0"/>
        </w:tabs>
        <w:ind w:left="720" w:firstLine="0"/>
      </w:pPr>
      <w:rPr>
        <w:rFonts w:ascii="Times New Roman" w:hAnsi="Times New Roman" w:cs="Times New Roman"/>
        <w:b/>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Jc w:val="left"/>
      <w:pPr>
        <w:tabs>
          <w:tab w:val="num" w:pos="0"/>
        </w:tabs>
        <w:ind w:left="0" w:firstLine="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6"/>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uiPriority w:val="9"/>
    <w:qFormat/>
    <w:rsid w:val="00757D1F"/>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2F4BB2"/>
    <w:pPr>
      <w:keepNext/>
      <w:numPr>
        <w:numId w:val="21"/>
      </w:numPr>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757D1F"/>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757D1F"/>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757D1F"/>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757D1F"/>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757D1F"/>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757D1F"/>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757D1F"/>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hAnsi="Tahoma" w:eastAsiaTheme="minorHAnsi"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2015-02-23T08:00:00+00:00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5368FFC-B080-4078-AD10-083F31AF9490}"/>
</file>

<file path=customXml/itemProps2.xml><?xml version="1.0" encoding="utf-8"?>
<ds:datastoreItem xmlns:ds="http://schemas.openxmlformats.org/officeDocument/2006/customXml" ds:itemID="{5FE4F732-A2B0-4AEA-AD13-E51F66A2B28B}"/>
</file>

<file path=customXml/itemProps3.xml><?xml version="1.0" encoding="utf-8"?>
<ds:datastoreItem xmlns:ds="http://schemas.openxmlformats.org/officeDocument/2006/customXml" ds:itemID="{C8620C70-4D58-4D79-B9C5-DADCA9904DB6}"/>
</file>

<file path=customXml/itemProps4.xml><?xml version="1.0" encoding="utf-8"?>
<ds:datastoreItem xmlns:ds="http://schemas.openxmlformats.org/officeDocument/2006/customXml" ds:itemID="{1B7DD256-A331-4A7B-93CA-63101F7EC497}"/>
</file>

<file path=docProps/app.xml><?xml version="1.0" encoding="utf-8"?>
<Properties xmlns="http://schemas.openxmlformats.org/officeDocument/2006/extended-properties" xmlns:vt="http://schemas.openxmlformats.org/officeDocument/2006/docPropsVTypes">
  <Template>WKNormal.dotx</Template>
  <TotalTime>0</TotalTime>
  <Pages>20</Pages>
  <Words>5231</Words>
  <Characters>30249</Characters>
  <Application>Microsoft Office Word</Application>
  <DocSecurity>0</DocSecurity>
  <Lines>496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2015-02-23T22:50:06Z</dcterms:created>
  <dcterms:modified xsi:type="dcterms:W3CDTF">2015-02-23T22:50:06Z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5335432.2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