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D2" w:rsidRDefault="00D628D2" w:rsidP="00C1073A">
      <w:pPr>
        <w:jc w:val="both"/>
      </w:pPr>
    </w:p>
    <w:p w:rsidR="00D628D2" w:rsidRPr="000F068B" w:rsidRDefault="00D628D2" w:rsidP="00C1073A">
      <w:pPr>
        <w:pStyle w:val="CourtName"/>
        <w:rPr>
          <w:b/>
          <w:caps/>
        </w:rPr>
      </w:pPr>
      <w:bookmarkStart w:id="0" w:name="TitleOfPleading"/>
      <w:bookmarkEnd w:id="0"/>
      <w:r>
        <w:rPr>
          <w:b/>
          <w:caps/>
        </w:rPr>
        <w:t xml:space="preserve">BEFORE THE </w:t>
      </w:r>
      <w:smartTag w:uri="urn:schemas-microsoft-com:office:smarttags" w:element="State">
        <w:smartTag w:uri="urn:schemas-microsoft-com:office:smarttags" w:element="place">
          <w:r>
            <w:rPr>
              <w:b/>
              <w:caps/>
            </w:rPr>
            <w:t>WASHINGTON</w:t>
          </w:r>
        </w:smartTag>
      </w:smartTag>
    </w:p>
    <w:p w:rsidR="00D628D2" w:rsidRPr="000F068B" w:rsidRDefault="00D628D2" w:rsidP="00C1073A">
      <w:pPr>
        <w:pStyle w:val="CourtName"/>
        <w:rPr>
          <w:b/>
          <w:caps/>
        </w:rPr>
      </w:pPr>
      <w:r w:rsidRPr="000F068B">
        <w:rPr>
          <w:b/>
          <w:caps/>
        </w:rPr>
        <w:t>UTILITIES AND TRANSPORTATION COMMISSION</w:t>
      </w:r>
    </w:p>
    <w:p w:rsidR="00D628D2" w:rsidRPr="000F068B" w:rsidRDefault="00D628D2" w:rsidP="00C1073A">
      <w:pPr>
        <w:jc w:val="center"/>
      </w:pPr>
    </w:p>
    <w:p w:rsidR="00D628D2" w:rsidRPr="000F068B" w:rsidRDefault="00D628D2" w:rsidP="00C1073A">
      <w:pPr>
        <w:jc w:val="center"/>
      </w:pPr>
    </w:p>
    <w:tbl>
      <w:tblPr>
        <w:tblW w:w="0" w:type="auto"/>
        <w:tblInd w:w="360" w:type="dxa"/>
        <w:tblBorders>
          <w:bottom w:val="single" w:sz="6" w:space="0" w:color="auto"/>
        </w:tblBorders>
        <w:tblLayout w:type="fixed"/>
        <w:tblCellMar>
          <w:left w:w="360" w:type="dxa"/>
          <w:right w:w="360" w:type="dxa"/>
        </w:tblCellMar>
        <w:tblLook w:val="0000"/>
      </w:tblPr>
      <w:tblGrid>
        <w:gridCol w:w="4590"/>
        <w:gridCol w:w="4410"/>
      </w:tblGrid>
      <w:tr w:rsidR="00D628D2" w:rsidRPr="000F068B" w:rsidTr="00706BF4">
        <w:tc>
          <w:tcPr>
            <w:tcW w:w="4590" w:type="dxa"/>
            <w:tcBorders>
              <w:bottom w:val="single" w:sz="6" w:space="0" w:color="auto"/>
              <w:right w:val="single" w:sz="6" w:space="0" w:color="auto"/>
            </w:tcBorders>
          </w:tcPr>
          <w:p w:rsidR="00D628D2" w:rsidRPr="000F068B" w:rsidRDefault="00D628D2" w:rsidP="00954A47">
            <w:pPr>
              <w:tabs>
                <w:tab w:val="left" w:pos="2520"/>
              </w:tabs>
              <w:ind w:left="-360"/>
            </w:pPr>
            <w:bookmarkStart w:id="1" w:name="Appellant_Name"/>
            <w:bookmarkStart w:id="2" w:name="tag1"/>
            <w:bookmarkStart w:id="3" w:name="Respondent_Name"/>
            <w:bookmarkStart w:id="4" w:name="tag2"/>
            <w:bookmarkStart w:id="5" w:name="Caption"/>
            <w:bookmarkEnd w:id="1"/>
            <w:bookmarkEnd w:id="2"/>
            <w:bookmarkEnd w:id="3"/>
            <w:bookmarkEnd w:id="4"/>
          </w:p>
          <w:p w:rsidR="00D628D2" w:rsidRPr="000F068B" w:rsidRDefault="00D628D2" w:rsidP="00706BF4">
            <w:pPr>
              <w:tabs>
                <w:tab w:val="left" w:pos="2160"/>
              </w:tabs>
              <w:ind w:left="-90"/>
            </w:pPr>
            <w:smartTag w:uri="urn:schemas-microsoft-com:office:smarttags" w:element="State">
              <w:smartTag w:uri="urn:schemas-microsoft-com:office:smarttags" w:element="place">
                <w:r w:rsidRPr="000F068B">
                  <w:t>WASHINGTON</w:t>
                </w:r>
              </w:smartTag>
            </w:smartTag>
            <w:r w:rsidRPr="000F068B">
              <w:t xml:space="preserve"> UTILITIES AND TRANSPORTATION COMMISSION, </w:t>
            </w:r>
          </w:p>
          <w:p w:rsidR="00D628D2" w:rsidRPr="000F068B" w:rsidRDefault="00D628D2" w:rsidP="00706BF4">
            <w:pPr>
              <w:tabs>
                <w:tab w:val="left" w:pos="2160"/>
              </w:tabs>
              <w:ind w:left="-90"/>
            </w:pPr>
          </w:p>
          <w:p w:rsidR="00D628D2" w:rsidRPr="000F068B" w:rsidRDefault="00D628D2" w:rsidP="00706BF4">
            <w:pPr>
              <w:tabs>
                <w:tab w:val="left" w:pos="2160"/>
              </w:tabs>
              <w:ind w:left="-90"/>
            </w:pPr>
            <w:r w:rsidRPr="000F068B">
              <w:tab/>
              <w:t>Complainant,</w:t>
            </w:r>
          </w:p>
          <w:p w:rsidR="00D628D2" w:rsidRPr="000F068B" w:rsidRDefault="00D628D2" w:rsidP="00706BF4">
            <w:pPr>
              <w:tabs>
                <w:tab w:val="left" w:pos="2160"/>
              </w:tabs>
              <w:ind w:left="-90"/>
            </w:pPr>
          </w:p>
          <w:p w:rsidR="00D628D2" w:rsidRPr="000F068B" w:rsidRDefault="00D628D2" w:rsidP="00706BF4">
            <w:pPr>
              <w:tabs>
                <w:tab w:val="left" w:pos="2160"/>
              </w:tabs>
              <w:ind w:left="-90"/>
            </w:pPr>
            <w:r w:rsidRPr="000F068B">
              <w:t xml:space="preserve">v. </w:t>
            </w:r>
          </w:p>
          <w:p w:rsidR="00D628D2" w:rsidRPr="000F068B" w:rsidRDefault="00D628D2" w:rsidP="00706BF4">
            <w:pPr>
              <w:tabs>
                <w:tab w:val="left" w:pos="2160"/>
              </w:tabs>
              <w:ind w:left="-90"/>
            </w:pPr>
          </w:p>
          <w:p w:rsidR="00D628D2" w:rsidRPr="000F068B" w:rsidRDefault="00D628D2" w:rsidP="00706BF4">
            <w:pPr>
              <w:tabs>
                <w:tab w:val="left" w:pos="2160"/>
              </w:tabs>
              <w:ind w:left="-90"/>
            </w:pPr>
            <w:smartTag w:uri="urn:schemas-microsoft-com:office:smarttags" w:element="place">
              <w:r>
                <w:t>PUGET SOUND</w:t>
              </w:r>
            </w:smartTag>
            <w:r>
              <w:t xml:space="preserve"> ENERGY</w:t>
            </w:r>
            <w:r w:rsidRPr="000F068B">
              <w:t xml:space="preserve">, </w:t>
            </w:r>
          </w:p>
          <w:p w:rsidR="00D628D2" w:rsidRPr="000F068B" w:rsidRDefault="00D628D2" w:rsidP="00706BF4">
            <w:pPr>
              <w:tabs>
                <w:tab w:val="left" w:pos="2160"/>
              </w:tabs>
              <w:ind w:left="-90"/>
            </w:pPr>
          </w:p>
          <w:p w:rsidR="00D628D2" w:rsidRPr="000F068B" w:rsidRDefault="00D628D2" w:rsidP="00706BF4">
            <w:pPr>
              <w:tabs>
                <w:tab w:val="left" w:pos="2160"/>
              </w:tabs>
              <w:ind w:left="-90"/>
            </w:pPr>
            <w:r w:rsidRPr="000F068B">
              <w:tab/>
              <w:t>Respondent.</w:t>
            </w:r>
          </w:p>
          <w:p w:rsidR="00D628D2" w:rsidRPr="000F068B" w:rsidRDefault="00D628D2" w:rsidP="00706BF4">
            <w:pPr>
              <w:tabs>
                <w:tab w:val="left" w:pos="2160"/>
              </w:tabs>
            </w:pPr>
            <w:r w:rsidRPr="000F068B">
              <w:t xml:space="preserve">    </w:t>
            </w:r>
            <w:r w:rsidRPr="000F068B">
              <w:tab/>
            </w:r>
          </w:p>
        </w:tc>
        <w:tc>
          <w:tcPr>
            <w:tcW w:w="4410" w:type="dxa"/>
            <w:tcBorders>
              <w:left w:val="nil"/>
              <w:bottom w:val="nil"/>
            </w:tcBorders>
          </w:tcPr>
          <w:p w:rsidR="00D628D2" w:rsidRPr="000F068B" w:rsidRDefault="00D628D2" w:rsidP="00954A47"/>
          <w:p w:rsidR="00D628D2" w:rsidRPr="000F068B" w:rsidRDefault="00D628D2" w:rsidP="00954A47">
            <w:bookmarkStart w:id="6" w:name="Court_Doc_Number"/>
            <w:bookmarkEnd w:id="6"/>
            <w:r w:rsidRPr="000F068B">
              <w:t>DOCKETS UE-15</w:t>
            </w:r>
            <w:r>
              <w:t>1871</w:t>
            </w:r>
            <w:r w:rsidRPr="000F068B">
              <w:t xml:space="preserve"> and UG</w:t>
            </w:r>
            <w:r w:rsidRPr="000F068B">
              <w:noBreakHyphen/>
              <w:t>15</w:t>
            </w:r>
            <w:r>
              <w:t>1872</w:t>
            </w:r>
            <w:r w:rsidRPr="000F068B">
              <w:t xml:space="preserve"> (</w:t>
            </w:r>
            <w:r w:rsidRPr="000F068B">
              <w:rPr>
                <w:i/>
              </w:rPr>
              <w:t xml:space="preserve">Consolidated) </w:t>
            </w:r>
            <w:r w:rsidRPr="000F068B">
              <w:t xml:space="preserve"> </w:t>
            </w:r>
          </w:p>
          <w:p w:rsidR="00D628D2" w:rsidRPr="000F068B" w:rsidRDefault="00D628D2" w:rsidP="00954A47"/>
          <w:p w:rsidR="00D628D2" w:rsidRPr="000F068B" w:rsidRDefault="00D628D2" w:rsidP="00954A47"/>
          <w:p w:rsidR="00D628D2" w:rsidRPr="000F068B" w:rsidRDefault="00D628D2" w:rsidP="00954A47"/>
          <w:p w:rsidR="00D628D2" w:rsidRPr="000F068B" w:rsidRDefault="00D628D2" w:rsidP="00954A47"/>
        </w:tc>
      </w:tr>
      <w:bookmarkEnd w:id="5"/>
    </w:tbl>
    <w:p w:rsidR="00D628D2" w:rsidRPr="000F068B" w:rsidRDefault="00D628D2" w:rsidP="00C1073A">
      <w:pPr>
        <w:pStyle w:val="CourtName"/>
        <w:spacing w:line="480" w:lineRule="exact"/>
        <w:ind w:firstLine="720"/>
        <w:jc w:val="left"/>
      </w:pPr>
    </w:p>
    <w:p w:rsidR="00D628D2" w:rsidRPr="000F068B" w:rsidRDefault="00D628D2" w:rsidP="00C1073A">
      <w:pPr>
        <w:pStyle w:val="CourtName"/>
        <w:spacing w:line="480" w:lineRule="exact"/>
        <w:ind w:firstLine="720"/>
        <w:rPr>
          <w:b/>
        </w:rPr>
      </w:pPr>
    </w:p>
    <w:p w:rsidR="00D628D2" w:rsidRDefault="00D628D2" w:rsidP="00C1073A">
      <w:pPr>
        <w:pStyle w:val="CourtName"/>
        <w:spacing w:line="480" w:lineRule="exact"/>
        <w:ind w:firstLine="720"/>
        <w:rPr>
          <w:b/>
        </w:rPr>
      </w:pPr>
    </w:p>
    <w:p w:rsidR="00D628D2" w:rsidRPr="000F068B" w:rsidRDefault="00D628D2" w:rsidP="00C1073A">
      <w:pPr>
        <w:pStyle w:val="CourtName"/>
        <w:spacing w:line="480" w:lineRule="exact"/>
        <w:ind w:firstLine="720"/>
        <w:rPr>
          <w:b/>
        </w:rPr>
      </w:pPr>
    </w:p>
    <w:p w:rsidR="00D628D2" w:rsidRDefault="00D628D2" w:rsidP="00C1073A">
      <w:pPr>
        <w:pStyle w:val="CourtName"/>
        <w:spacing w:line="480" w:lineRule="exact"/>
        <w:ind w:firstLine="720"/>
        <w:rPr>
          <w:b/>
        </w:rPr>
      </w:pPr>
    </w:p>
    <w:p w:rsidR="00D628D2" w:rsidRPr="000F068B" w:rsidRDefault="00D628D2" w:rsidP="00C1073A">
      <w:pPr>
        <w:pStyle w:val="CourtName"/>
        <w:spacing w:line="480" w:lineRule="exact"/>
        <w:ind w:firstLine="720"/>
        <w:rPr>
          <w:b/>
        </w:rPr>
      </w:pPr>
    </w:p>
    <w:p w:rsidR="00D628D2" w:rsidRPr="000F068B" w:rsidRDefault="00D628D2" w:rsidP="00571023">
      <w:pPr>
        <w:pStyle w:val="CourtName"/>
        <w:spacing w:line="480" w:lineRule="exact"/>
        <w:rPr>
          <w:b/>
        </w:rPr>
      </w:pPr>
      <w:r>
        <w:rPr>
          <w:b/>
        </w:rPr>
        <w:t xml:space="preserve">POST-HEARING </w:t>
      </w:r>
      <w:r w:rsidRPr="000F068B">
        <w:rPr>
          <w:b/>
        </w:rPr>
        <w:t xml:space="preserve">BRIEF OF </w:t>
      </w:r>
      <w:smartTag w:uri="urn:schemas-microsoft-com:office:smarttags" w:element="PlaceName">
        <w:smartTag w:uri="urn:schemas-microsoft-com:office:smarttags" w:element="place">
          <w:r>
            <w:rPr>
              <w:b/>
            </w:rPr>
            <w:t>WASHINGTON</w:t>
          </w:r>
        </w:smartTag>
        <w:r>
          <w:rPr>
            <w:b/>
          </w:rPr>
          <w:t xml:space="preserve"> </w:t>
        </w:r>
        <w:smartTag w:uri="urn:schemas-microsoft-com:office:smarttags" w:element="PlaceType">
          <w:r>
            <w:rPr>
              <w:b/>
            </w:rPr>
            <w:t>STATE</w:t>
          </w:r>
        </w:smartTag>
      </w:smartTag>
      <w:r>
        <w:rPr>
          <w:b/>
        </w:rPr>
        <w:t xml:space="preserve"> HEATING, VENTILATION AND AIR CONDITIONING CONTRACTORS ASSOCIATION</w:t>
      </w:r>
    </w:p>
    <w:p w:rsidR="00D628D2" w:rsidRPr="000F068B" w:rsidRDefault="00D628D2" w:rsidP="00C1073A">
      <w:pPr>
        <w:pStyle w:val="CourtName"/>
        <w:spacing w:line="480" w:lineRule="exact"/>
        <w:ind w:firstLine="720"/>
        <w:rPr>
          <w:b/>
        </w:rPr>
      </w:pPr>
    </w:p>
    <w:p w:rsidR="00D628D2" w:rsidRPr="000F068B" w:rsidRDefault="00D628D2" w:rsidP="00C1073A">
      <w:pPr>
        <w:pStyle w:val="CourtName"/>
        <w:spacing w:line="480" w:lineRule="exact"/>
        <w:ind w:firstLine="720"/>
        <w:rPr>
          <w:b/>
        </w:rPr>
      </w:pPr>
    </w:p>
    <w:p w:rsidR="00D628D2" w:rsidRPr="000F068B" w:rsidRDefault="00D628D2" w:rsidP="00571023">
      <w:pPr>
        <w:pStyle w:val="CourtName"/>
        <w:spacing w:line="480" w:lineRule="exact"/>
      </w:pPr>
      <w:r>
        <w:t>August 30, 2016</w:t>
      </w:r>
    </w:p>
    <w:p w:rsidR="00D628D2" w:rsidRPr="000F068B" w:rsidRDefault="00D628D2" w:rsidP="00C1073A">
      <w:pPr>
        <w:pStyle w:val="CourtName"/>
        <w:spacing w:line="480" w:lineRule="exact"/>
        <w:ind w:firstLine="720"/>
        <w:sectPr w:rsidR="00D628D2" w:rsidRPr="000F068B">
          <w:headerReference w:type="default" r:id="rId7"/>
          <w:footerReference w:type="default" r:id="rId8"/>
          <w:pgSz w:w="12240" w:h="15840" w:code="1"/>
          <w:pgMar w:top="1440" w:right="1440" w:bottom="1440" w:left="1440" w:header="720" w:footer="720" w:gutter="0"/>
          <w:cols w:space="720"/>
          <w:titlePg/>
        </w:sectPr>
      </w:pPr>
    </w:p>
    <w:p w:rsidR="00D628D2" w:rsidRDefault="00D628D2" w:rsidP="00B546C4">
      <w:pPr>
        <w:jc w:val="center"/>
      </w:pPr>
      <w:bookmarkStart w:id="7" w:name="_Toc434400941"/>
      <w:r>
        <w:rPr>
          <w:b/>
        </w:rPr>
        <w:t>TABLE OF CONTENTS</w:t>
      </w:r>
    </w:p>
    <w:p w:rsidR="00D628D2" w:rsidRDefault="00D628D2" w:rsidP="00B546C4">
      <w:pPr>
        <w:ind w:left="2160"/>
        <w:jc w:val="center"/>
      </w:pPr>
    </w:p>
    <w:p w:rsidR="00D628D2" w:rsidRDefault="00D628D2" w:rsidP="00B546C4">
      <w:pPr>
        <w:pStyle w:val="TOC1"/>
        <w:rPr>
          <w:rFonts w:ascii="Calibri" w:hAnsi="Calibri"/>
          <w:caps w:val="0"/>
          <w:sz w:val="22"/>
          <w:szCs w:val="22"/>
        </w:rPr>
      </w:pPr>
      <w:r>
        <w:fldChar w:fldCharType="begin"/>
      </w:r>
      <w:r>
        <w:instrText xml:space="preserve"> TOC \o "1-8" </w:instrText>
      </w:r>
      <w:r>
        <w:fldChar w:fldCharType="separate"/>
      </w:r>
      <w:r>
        <w:t>I.</w:t>
      </w:r>
      <w:r>
        <w:rPr>
          <w:rFonts w:ascii="Calibri" w:hAnsi="Calibri"/>
          <w:caps w:val="0"/>
          <w:sz w:val="22"/>
          <w:szCs w:val="22"/>
        </w:rPr>
        <w:tab/>
      </w:r>
      <w:r>
        <w:t>INTRODUCTION</w:t>
      </w:r>
      <w:r>
        <w:tab/>
      </w:r>
      <w:r>
        <w:fldChar w:fldCharType="begin"/>
      </w:r>
      <w:r>
        <w:instrText xml:space="preserve"> PAGEREF _Toc434400941 \h </w:instrText>
      </w:r>
      <w:r>
        <w:fldChar w:fldCharType="separate"/>
      </w:r>
      <w:r>
        <w:t>1</w:t>
      </w:r>
      <w:r>
        <w:fldChar w:fldCharType="end"/>
      </w:r>
    </w:p>
    <w:p w:rsidR="00D628D2" w:rsidRDefault="00D628D2" w:rsidP="00B546C4">
      <w:pPr>
        <w:pStyle w:val="TOC1"/>
        <w:rPr>
          <w:rFonts w:ascii="Calibri" w:hAnsi="Calibri"/>
          <w:caps w:val="0"/>
          <w:sz w:val="22"/>
          <w:szCs w:val="22"/>
        </w:rPr>
      </w:pPr>
      <w:r>
        <w:t>II.</w:t>
      </w:r>
      <w:r>
        <w:rPr>
          <w:rFonts w:ascii="Calibri" w:hAnsi="Calibri"/>
          <w:caps w:val="0"/>
          <w:sz w:val="22"/>
          <w:szCs w:val="22"/>
        </w:rPr>
        <w:tab/>
      </w:r>
      <w:r>
        <w:t>ARGUMENT</w:t>
      </w:r>
      <w:r>
        <w:tab/>
        <w:t>2</w:t>
      </w:r>
    </w:p>
    <w:p w:rsidR="00D628D2" w:rsidRDefault="00D628D2" w:rsidP="008D036B">
      <w:pPr>
        <w:pStyle w:val="TOC2"/>
        <w:tabs>
          <w:tab w:val="left" w:pos="1080"/>
        </w:tabs>
        <w:rPr>
          <w:rFonts w:ascii="Calibri" w:hAnsi="Calibri"/>
          <w:sz w:val="22"/>
          <w:szCs w:val="22"/>
        </w:rPr>
      </w:pPr>
      <w:r>
        <w:t>A.</w:t>
      </w:r>
      <w:r>
        <w:rPr>
          <w:rFonts w:ascii="Calibri" w:hAnsi="Calibri"/>
          <w:sz w:val="22"/>
          <w:szCs w:val="22"/>
        </w:rPr>
        <w:tab/>
      </w:r>
      <w:r>
        <w:t>A "SOLUTION" IN SEARCH OF A PROBLEM.</w:t>
      </w:r>
      <w:r>
        <w:tab/>
        <w:t>2</w:t>
      </w:r>
    </w:p>
    <w:p w:rsidR="00D628D2" w:rsidRDefault="00D628D2" w:rsidP="00B546C4">
      <w:pPr>
        <w:pStyle w:val="TOC2"/>
        <w:tabs>
          <w:tab w:val="left" w:pos="1080"/>
        </w:tabs>
        <w:rPr>
          <w:rFonts w:ascii="Calibri" w:hAnsi="Calibri"/>
          <w:sz w:val="22"/>
          <w:szCs w:val="22"/>
        </w:rPr>
      </w:pPr>
      <w:r>
        <w:t>B.</w:t>
      </w:r>
      <w:r>
        <w:rPr>
          <w:rFonts w:ascii="Calibri" w:hAnsi="Calibri"/>
          <w:sz w:val="22"/>
          <w:szCs w:val="22"/>
        </w:rPr>
        <w:tab/>
      </w:r>
      <w:r>
        <w:t>THERE IS NO GAP IN THE MARKET.</w:t>
      </w:r>
      <w:r>
        <w:tab/>
        <w:t>3</w:t>
      </w:r>
    </w:p>
    <w:p w:rsidR="00D628D2" w:rsidRDefault="00D628D2" w:rsidP="00B546C4">
      <w:pPr>
        <w:pStyle w:val="TOC2"/>
        <w:tabs>
          <w:tab w:val="left" w:pos="1080"/>
        </w:tabs>
        <w:rPr>
          <w:rFonts w:ascii="Calibri" w:hAnsi="Calibri"/>
          <w:sz w:val="22"/>
          <w:szCs w:val="22"/>
        </w:rPr>
      </w:pPr>
      <w:r>
        <w:t>C.</w:t>
      </w:r>
      <w:r>
        <w:rPr>
          <w:rFonts w:ascii="Calibri" w:hAnsi="Calibri"/>
          <w:sz w:val="22"/>
          <w:szCs w:val="22"/>
        </w:rPr>
        <w:tab/>
      </w:r>
      <w:r>
        <w:t>AN ATTEMPT TO CREATE NEW POLICY.</w:t>
      </w:r>
      <w:r>
        <w:tab/>
        <w:t>5</w:t>
      </w:r>
    </w:p>
    <w:p w:rsidR="00D628D2" w:rsidRPr="00A06284" w:rsidRDefault="00D628D2" w:rsidP="00B546C4">
      <w:pPr>
        <w:pStyle w:val="TOC2"/>
        <w:tabs>
          <w:tab w:val="left" w:pos="1530"/>
        </w:tabs>
        <w:rPr>
          <w:rFonts w:ascii="Calibri" w:hAnsi="Calibri"/>
          <w:sz w:val="22"/>
          <w:szCs w:val="22"/>
        </w:rPr>
      </w:pPr>
      <w:r>
        <w:t>D.</w:t>
      </w:r>
      <w:r>
        <w:rPr>
          <w:rFonts w:ascii="Calibri" w:hAnsi="Calibri"/>
          <w:sz w:val="22"/>
          <w:szCs w:val="22"/>
        </w:rPr>
        <w:tab/>
      </w:r>
      <w:r>
        <w:t>A FAILURE TO UNDERSTAND THE PRODUCTS' REQUIREMENTS.</w:t>
      </w:r>
      <w:r>
        <w:tab/>
        <w:t>6</w:t>
      </w:r>
    </w:p>
    <w:p w:rsidR="00D628D2" w:rsidRDefault="00D628D2" w:rsidP="00B546C4">
      <w:pPr>
        <w:pStyle w:val="TOC2"/>
        <w:tabs>
          <w:tab w:val="left" w:pos="1530"/>
        </w:tabs>
        <w:rPr>
          <w:rFonts w:ascii="Calibri" w:hAnsi="Calibri"/>
          <w:sz w:val="22"/>
          <w:szCs w:val="22"/>
        </w:rPr>
      </w:pPr>
      <w:r>
        <w:t>E.</w:t>
      </w:r>
      <w:r>
        <w:rPr>
          <w:rFonts w:ascii="Calibri" w:hAnsi="Calibri"/>
          <w:sz w:val="22"/>
          <w:szCs w:val="22"/>
        </w:rPr>
        <w:tab/>
      </w:r>
      <w:r>
        <w:t>A QUESTIONABLE ABILITY TO IMPLEMENT.</w:t>
      </w:r>
      <w:r>
        <w:tab/>
        <w:t>7</w:t>
      </w:r>
    </w:p>
    <w:p w:rsidR="00D628D2" w:rsidRPr="00A06284" w:rsidRDefault="00D628D2" w:rsidP="00570907">
      <w:pPr>
        <w:pStyle w:val="TOC2"/>
        <w:tabs>
          <w:tab w:val="left" w:pos="1080"/>
        </w:tabs>
        <w:rPr>
          <w:rFonts w:ascii="Calibri" w:hAnsi="Calibri"/>
          <w:sz w:val="22"/>
          <w:szCs w:val="22"/>
        </w:rPr>
      </w:pPr>
      <w:r>
        <w:t>F.</w:t>
      </w:r>
      <w:r>
        <w:rPr>
          <w:rFonts w:ascii="Calibri" w:hAnsi="Calibri"/>
          <w:sz w:val="22"/>
          <w:szCs w:val="22"/>
        </w:rPr>
        <w:tab/>
      </w:r>
      <w:r>
        <w:t>ENDANGERING THE SAFETY OF RATEPAYER.</w:t>
      </w:r>
      <w:r>
        <w:tab/>
        <w:t>8</w:t>
      </w:r>
    </w:p>
    <w:p w:rsidR="00D628D2" w:rsidRDefault="00D628D2" w:rsidP="00B546C4">
      <w:pPr>
        <w:pStyle w:val="TOC1"/>
        <w:rPr>
          <w:lang w:val="fr-FR"/>
        </w:rPr>
      </w:pPr>
      <w:r w:rsidRPr="0099207A">
        <w:rPr>
          <w:lang w:val="fr-FR"/>
        </w:rPr>
        <w:t>III.</w:t>
      </w:r>
      <w:r w:rsidRPr="0099207A">
        <w:rPr>
          <w:rFonts w:ascii="Calibri" w:hAnsi="Calibri"/>
          <w:caps w:val="0"/>
          <w:sz w:val="22"/>
          <w:szCs w:val="22"/>
          <w:lang w:val="fr-FR"/>
        </w:rPr>
        <w:tab/>
      </w:r>
      <w:r w:rsidRPr="0099207A">
        <w:rPr>
          <w:lang w:val="fr-FR"/>
        </w:rPr>
        <w:t>CONCLUSION</w:t>
      </w:r>
      <w:r w:rsidRPr="0099207A">
        <w:rPr>
          <w:lang w:val="fr-FR"/>
        </w:rPr>
        <w:tab/>
      </w:r>
      <w:r>
        <w:rPr>
          <w:lang w:val="fr-FR"/>
        </w:rPr>
        <w:t>8</w:t>
      </w:r>
    </w:p>
    <w:p w:rsidR="00D628D2" w:rsidRDefault="00D628D2" w:rsidP="005720E0">
      <w:pPr>
        <w:rPr>
          <w:lang w:val="fr-FR"/>
        </w:rPr>
      </w:pPr>
    </w:p>
    <w:p w:rsidR="00D628D2" w:rsidRPr="005720E0" w:rsidRDefault="00D628D2" w:rsidP="005720E0">
      <w:pPr>
        <w:rPr>
          <w:lang w:val="fr-FR"/>
        </w:rPr>
      </w:pPr>
    </w:p>
    <w:p w:rsidR="00D628D2" w:rsidRDefault="00D628D2" w:rsidP="00B546C4">
      <w:pPr>
        <w:pStyle w:val="Heading1"/>
        <w:numPr>
          <w:ilvl w:val="0"/>
          <w:numId w:val="19"/>
        </w:numPr>
        <w:spacing w:before="0"/>
      </w:pPr>
      <w:r>
        <w:fldChar w:fldCharType="end"/>
      </w:r>
      <w:r w:rsidRPr="000F068B">
        <w:t>INTRODUCTION</w:t>
      </w:r>
      <w:bookmarkEnd w:id="7"/>
    </w:p>
    <w:p w:rsidR="00D628D2" w:rsidRPr="000F068B" w:rsidRDefault="00D628D2" w:rsidP="0056271A"/>
    <w:p w:rsidR="00D628D2" w:rsidRDefault="00D628D2" w:rsidP="00571023">
      <w:pPr>
        <w:pStyle w:val="ParNumber"/>
        <w:tabs>
          <w:tab w:val="clear" w:pos="360"/>
        </w:tabs>
        <w:spacing w:line="480" w:lineRule="auto"/>
        <w:ind w:left="0" w:hanging="720"/>
      </w:pPr>
      <w:r>
        <w:t>Puget Sound Energy (PSE or the Company) seeks the approval of the Utilities and Transportation Commission (UTC or Commission) to initiate a leasing platform that would begin by offering to PSE’s customers, and customers of other utilities, several types of furnaces and water heaters, and which would lead to a larger leasing program including other HVAC appliances and water heaters, solar equipment, batteries, and electric vehicle charging equipment.</w:t>
      </w:r>
    </w:p>
    <w:p w:rsidR="00D628D2" w:rsidRDefault="00D628D2" w:rsidP="00571023">
      <w:pPr>
        <w:pStyle w:val="ParNumber"/>
        <w:tabs>
          <w:tab w:val="clear" w:pos="360"/>
        </w:tabs>
        <w:spacing w:line="480" w:lineRule="auto"/>
        <w:ind w:left="0" w:hanging="720"/>
      </w:pPr>
      <w:r>
        <w:t>PSE did not evaluate operating this leasing program as an unregulated service in competition with other providers of these services, although such an option is possible.  Instead, PSE seeks to operate this program as a regulated utility service under the public service laws, instead of an unregulated service subject to the Consumer Protection Act and other laws regulating the competitive free market, seeking Commission approval of the program, Commission approval of prices, and Commission oversight.</w:t>
      </w:r>
    </w:p>
    <w:p w:rsidR="00D628D2" w:rsidRDefault="00D628D2" w:rsidP="00571023">
      <w:pPr>
        <w:pStyle w:val="ParNumber"/>
        <w:tabs>
          <w:tab w:val="clear" w:pos="360"/>
        </w:tabs>
        <w:spacing w:line="480" w:lineRule="auto"/>
        <w:ind w:left="0" w:hanging="720"/>
      </w:pPr>
      <w:r>
        <w:t>On September 18, 2015, PSE filed proposed tariff sheets, absent any rates</w:t>
      </w:r>
      <w:r w:rsidRPr="000F068B">
        <w:rPr>
          <w:rStyle w:val="FootnoteReference"/>
        </w:rPr>
        <w:footnoteReference w:id="1"/>
      </w:r>
      <w:r>
        <w:t xml:space="preserve">, to launch the first phase of this new leasing program, offering to lease a selection of furnaces and water heaters.  A cover letter that broadly described the proposal accompanied the sheets.  No other substantiation of the proposed leasing service was provided at the time of filing.  </w:t>
      </w:r>
    </w:p>
    <w:p w:rsidR="00D628D2" w:rsidRDefault="00D628D2" w:rsidP="00571023">
      <w:pPr>
        <w:pStyle w:val="ParNumber"/>
        <w:tabs>
          <w:tab w:val="clear" w:pos="360"/>
        </w:tabs>
        <w:spacing w:line="480" w:lineRule="auto"/>
        <w:ind w:left="0" w:hanging="720"/>
      </w:pPr>
      <w:r>
        <w:t>On November 8, 2015, amended sheets were filed, with an accompanying cover letter that provided some substantiation of the proposal.</w:t>
      </w:r>
      <w:r w:rsidRPr="0076542E">
        <w:rPr>
          <w:rStyle w:val="FootnoteReference"/>
        </w:rPr>
        <w:t xml:space="preserve"> </w:t>
      </w:r>
      <w:r w:rsidRPr="000F068B">
        <w:rPr>
          <w:rStyle w:val="FootnoteReference"/>
        </w:rPr>
        <w:footnoteReference w:id="2"/>
      </w:r>
    </w:p>
    <w:p w:rsidR="00D628D2" w:rsidRDefault="00D628D2" w:rsidP="00C04281">
      <w:pPr>
        <w:pStyle w:val="ParNumber"/>
        <w:tabs>
          <w:tab w:val="clear" w:pos="360"/>
        </w:tabs>
        <w:spacing w:line="480" w:lineRule="auto"/>
        <w:ind w:left="0" w:hanging="720"/>
      </w:pPr>
      <w:r>
        <w:t>At the November 13, 2015 Open Meeting, the tariff was characterized as a deficient “naked tariff” because it lacked rates.</w:t>
      </w:r>
      <w:r w:rsidRPr="000F068B">
        <w:rPr>
          <w:rStyle w:val="FootnoteReference"/>
        </w:rPr>
        <w:footnoteReference w:id="3"/>
      </w:r>
      <w:r w:rsidRPr="000F068B">
        <w:t xml:space="preserve">  </w:t>
      </w:r>
      <w:r>
        <w:t>The Commission issued a complaint and an order suspending the tariff</w:t>
      </w:r>
      <w:r w:rsidRPr="000F068B">
        <w:t>.</w:t>
      </w:r>
      <w:r w:rsidRPr="000F068B">
        <w:rPr>
          <w:rStyle w:val="FootnoteReference"/>
        </w:rPr>
        <w:footnoteReference w:id="4"/>
      </w:r>
      <w:r w:rsidRPr="000F068B">
        <w:t xml:space="preserve">  </w:t>
      </w:r>
    </w:p>
    <w:p w:rsidR="00D628D2" w:rsidRPr="00AB72DF" w:rsidRDefault="00D628D2" w:rsidP="00BC15B7">
      <w:pPr>
        <w:pStyle w:val="Heading1"/>
        <w:numPr>
          <w:ilvl w:val="0"/>
          <w:numId w:val="19"/>
        </w:numPr>
        <w:spacing w:before="0"/>
      </w:pPr>
      <w:r>
        <w:t>ARGUMENT</w:t>
      </w:r>
    </w:p>
    <w:p w:rsidR="00D628D2" w:rsidRPr="000F068B" w:rsidRDefault="00D628D2" w:rsidP="0056271A"/>
    <w:p w:rsidR="00D628D2" w:rsidRPr="000F068B" w:rsidRDefault="00D628D2" w:rsidP="008F4585">
      <w:pPr>
        <w:pStyle w:val="Heading2"/>
        <w:numPr>
          <w:ilvl w:val="0"/>
          <w:numId w:val="22"/>
        </w:numPr>
        <w:spacing w:before="0"/>
        <w:jc w:val="center"/>
      </w:pPr>
      <w:r>
        <w:t>A “SOLUTION” IN SEARCH OF A PROBLEM</w:t>
      </w:r>
    </w:p>
    <w:p w:rsidR="00D628D2" w:rsidRPr="000F068B" w:rsidRDefault="00D628D2" w:rsidP="00FC15BC"/>
    <w:p w:rsidR="00D628D2" w:rsidRPr="00394AAB" w:rsidRDefault="00D628D2" w:rsidP="005720E0">
      <w:pPr>
        <w:pStyle w:val="ParNumber"/>
        <w:tabs>
          <w:tab w:val="clear" w:pos="360"/>
        </w:tabs>
        <w:spacing w:line="480" w:lineRule="auto"/>
        <w:ind w:left="0" w:hanging="720"/>
        <w:rPr>
          <w:b/>
        </w:rPr>
      </w:pPr>
      <w:r>
        <w:t>On May 5, 2014, staff of Puget Sound Energy presented an executive update that indicated that the PSE Leasing Design Phase had completed its first month.</w:t>
      </w:r>
      <w:r w:rsidRPr="00A20D02">
        <w:rPr>
          <w:rStyle w:val="FootnoteReference"/>
        </w:rPr>
        <w:t xml:space="preserve"> </w:t>
      </w:r>
      <w:r w:rsidRPr="000F068B">
        <w:rPr>
          <w:rStyle w:val="FootnoteReference"/>
        </w:rPr>
        <w:footnoteReference w:id="5"/>
      </w:r>
      <w:r>
        <w:t xml:space="preserve">  The first customer survey regarding HVAC and water heaters was conducted between May 2 and May 9, 2014.</w:t>
      </w:r>
      <w:r w:rsidRPr="0013466B">
        <w:rPr>
          <w:rStyle w:val="FootnoteReference"/>
        </w:rPr>
        <w:t xml:space="preserve"> </w:t>
      </w:r>
      <w:r w:rsidRPr="000F068B">
        <w:rPr>
          <w:rStyle w:val="FootnoteReference"/>
        </w:rPr>
        <w:footnoteReference w:id="6"/>
      </w:r>
      <w:r>
        <w:t xml:space="preserve">  The Cocker-Fennesy survey was conducted from January 30 to February 4, 2016</w:t>
      </w:r>
      <w:r w:rsidRPr="000F068B">
        <w:rPr>
          <w:rStyle w:val="FootnoteReference"/>
        </w:rPr>
        <w:footnoteReference w:id="7"/>
      </w:r>
      <w:r>
        <w:t>, and Dr. Faruqui’s analysis was conducted in February 2016</w:t>
      </w:r>
      <w:r w:rsidRPr="000F068B">
        <w:rPr>
          <w:rStyle w:val="FootnoteReference"/>
        </w:rPr>
        <w:footnoteReference w:id="8"/>
      </w:r>
      <w:r>
        <w:t xml:space="preserve"> – both after the tariff filing was suspended and the adjudication process began.  The first use of the charts purporting to demonstrate the existence of a gap in the market was in the November 6, 2015 cover letter for amended sheets to PSE’s proposal.</w:t>
      </w:r>
      <w:r w:rsidRPr="000F068B">
        <w:rPr>
          <w:rStyle w:val="FootnoteReference"/>
        </w:rPr>
        <w:footnoteReference w:id="9"/>
      </w:r>
      <w:r>
        <w:t xml:space="preserve">  All of the evidence of a “problem” to which the PSE Appliance Leasing Proposal was the “solution” was developed after PSE had decided to pursue this “solution”- most after PSE filed its proposal as a tariff revision on September 18, 2015.</w:t>
      </w:r>
    </w:p>
    <w:p w:rsidR="00D628D2" w:rsidRPr="000F068B" w:rsidRDefault="00D628D2" w:rsidP="00351E5D">
      <w:pPr>
        <w:pStyle w:val="ParNumber"/>
        <w:tabs>
          <w:tab w:val="clear" w:pos="360"/>
        </w:tabs>
        <w:spacing w:line="480" w:lineRule="auto"/>
        <w:ind w:left="0" w:hanging="720"/>
      </w:pPr>
      <w:r>
        <w:t>By the filing of rebuttal testimony on July 1, 2016, PSE was offering “a pathway to the utility of the future” as justification for its proposal</w:t>
      </w:r>
      <w:r w:rsidRPr="000F068B">
        <w:rPr>
          <w:rStyle w:val="FootnoteReference"/>
        </w:rPr>
        <w:footnoteReference w:id="10"/>
      </w:r>
      <w:r w:rsidRPr="001D29D7">
        <w:t>.</w:t>
      </w:r>
      <w:r>
        <w:t xml:space="preserve">  This flexibility on the part of the Company in substantiating its appliance leasing proposal</w:t>
      </w:r>
      <w:r w:rsidRPr="000F068B">
        <w:rPr>
          <w:rStyle w:val="FootnoteReference"/>
        </w:rPr>
        <w:footnoteReference w:id="11"/>
      </w:r>
      <w:r>
        <w:t xml:space="preserve"> leads to questioning whether a true problem was ever defined or a true rationale for the proposal was ever presented to the Commission.</w:t>
      </w:r>
    </w:p>
    <w:p w:rsidR="00D628D2" w:rsidRPr="000F068B" w:rsidRDefault="00D628D2" w:rsidP="00EF04A8">
      <w:pPr>
        <w:pStyle w:val="Heading2"/>
        <w:numPr>
          <w:ilvl w:val="0"/>
          <w:numId w:val="22"/>
        </w:numPr>
        <w:spacing w:before="0" w:after="240"/>
        <w:jc w:val="center"/>
      </w:pPr>
      <w:r>
        <w:t>THERE IS NO GAP IN THE MARKET</w:t>
      </w:r>
    </w:p>
    <w:p w:rsidR="00D628D2" w:rsidRDefault="00D628D2" w:rsidP="0039506F">
      <w:pPr>
        <w:pStyle w:val="ParNumber"/>
        <w:spacing w:line="480" w:lineRule="auto"/>
        <w:ind w:left="0" w:hanging="720"/>
      </w:pPr>
      <w:r>
        <w:tab/>
        <w:t>Puget Sound Energy has sought to justify its appliance leasing program by claiming that there is a “gap in the market”- actually, two different gaps.  The first is a supposed forty percent of appliances beyond useful life.</w:t>
      </w:r>
      <w:r w:rsidRPr="000808A0">
        <w:rPr>
          <w:rStyle w:val="FootnoteReference"/>
        </w:rPr>
        <w:t xml:space="preserve"> </w:t>
      </w:r>
      <w:r w:rsidRPr="000F068B">
        <w:rPr>
          <w:rStyle w:val="FootnoteReference"/>
        </w:rPr>
        <w:footnoteReference w:id="12"/>
      </w:r>
      <w:r>
        <w:t xml:space="preserve">  The second is the absence of a residential appliance leasing program.</w:t>
      </w:r>
      <w:r w:rsidRPr="00F36672">
        <w:rPr>
          <w:rStyle w:val="FootnoteReference"/>
        </w:rPr>
        <w:t xml:space="preserve"> </w:t>
      </w:r>
      <w:r w:rsidRPr="000F068B">
        <w:rPr>
          <w:rStyle w:val="FootnoteReference"/>
        </w:rPr>
        <w:footnoteReference w:id="13"/>
      </w:r>
      <w:r>
        <w:t xml:space="preserve">  Neither exists as a gap in the market.</w:t>
      </w:r>
    </w:p>
    <w:p w:rsidR="00D628D2" w:rsidRDefault="00D628D2" w:rsidP="001174B6">
      <w:pPr>
        <w:pStyle w:val="ParNumber"/>
        <w:spacing w:line="480" w:lineRule="auto"/>
        <w:ind w:left="0" w:hanging="720"/>
      </w:pPr>
      <w:r>
        <w:t>T</w:t>
      </w:r>
      <w:r w:rsidRPr="00F416F0">
        <w:t>o prove the existence of the first gap, Puget Sound Energy prepared a chart</w:t>
      </w:r>
      <w:r w:rsidRPr="00F416F0">
        <w:rPr>
          <w:rStyle w:val="FootnoteReference"/>
        </w:rPr>
        <w:footnoteReference w:id="14"/>
      </w:r>
      <w:r w:rsidRPr="00F416F0">
        <w:t>, based on PSE selected data points from Northwest Energy Efficiency Alliance’s 2011 Residential Building Stock Assessment</w:t>
      </w:r>
      <w:r w:rsidRPr="00F416F0">
        <w:rPr>
          <w:rStyle w:val="FootnoteReference"/>
        </w:rPr>
        <w:footnoteReference w:id="15"/>
      </w:r>
      <w:r w:rsidRPr="00F416F0">
        <w:t>, and attributed the chart to the NEEA.</w:t>
      </w:r>
      <w:r w:rsidRPr="00F416F0">
        <w:rPr>
          <w:rStyle w:val="FootnoteReference"/>
        </w:rPr>
        <w:t xml:space="preserve"> </w:t>
      </w:r>
      <w:r w:rsidRPr="00F416F0">
        <w:rPr>
          <w:rStyle w:val="FootnoteReference"/>
        </w:rPr>
        <w:footnoteReference w:id="16"/>
      </w:r>
      <w:r w:rsidRPr="00F416F0">
        <w:t xml:space="preserve">  The chart created by PSE labeled all appliances over ten years of age as “beyond useful life” in order to develop the forty percent claim.</w:t>
      </w:r>
      <w:r w:rsidRPr="00F416F0">
        <w:rPr>
          <w:rStyle w:val="FootnoteReference"/>
        </w:rPr>
        <w:t xml:space="preserve"> </w:t>
      </w:r>
      <w:r w:rsidRPr="00F416F0">
        <w:rPr>
          <w:rStyle w:val="FootnoteReference"/>
        </w:rPr>
        <w:footnoteReference w:id="17"/>
      </w:r>
      <w:r w:rsidRPr="00F416F0">
        <w:t xml:space="preserve">  </w:t>
      </w:r>
    </w:p>
    <w:p w:rsidR="00D628D2" w:rsidRPr="006D7F4C" w:rsidRDefault="00D628D2" w:rsidP="00561B8C">
      <w:pPr>
        <w:pStyle w:val="ParNumber"/>
        <w:spacing w:line="480" w:lineRule="auto"/>
        <w:ind w:left="0" w:hanging="720"/>
      </w:pPr>
      <w:r>
        <w:t xml:space="preserve">There is no evidence that </w:t>
      </w:r>
      <w:r w:rsidRPr="00F416F0">
        <w:t>NEEA or any entity other than PSE vetted or approved the selection of data, the chart, or the</w:t>
      </w:r>
      <w:r>
        <w:t xml:space="preserve"> conclusions drawn from the chart.</w:t>
      </w:r>
      <w:r w:rsidRPr="00F36672">
        <w:rPr>
          <w:rStyle w:val="FootnoteReference"/>
        </w:rPr>
        <w:t xml:space="preserve"> </w:t>
      </w:r>
      <w:r w:rsidRPr="006D7F4C">
        <w:rPr>
          <w:rStyle w:val="FootnoteReference"/>
        </w:rPr>
        <w:footnoteReference w:id="18"/>
      </w:r>
      <w:r w:rsidRPr="006D7F4C">
        <w:t xml:space="preserve">  The HVAC industry does not recognize such a gap.</w:t>
      </w:r>
      <w:r w:rsidRPr="006D7F4C">
        <w:rPr>
          <w:rStyle w:val="FootnoteReference"/>
        </w:rPr>
        <w:t xml:space="preserve"> </w:t>
      </w:r>
      <w:r w:rsidRPr="006D7F4C">
        <w:rPr>
          <w:rStyle w:val="FootnoteReference"/>
        </w:rPr>
        <w:footnoteReference w:id="19"/>
      </w:r>
    </w:p>
    <w:p w:rsidR="00D628D2" w:rsidRDefault="00D628D2" w:rsidP="00FF1EE4">
      <w:pPr>
        <w:pStyle w:val="ParNumber"/>
        <w:tabs>
          <w:tab w:val="clear" w:pos="360"/>
          <w:tab w:val="num" w:pos="720"/>
        </w:tabs>
        <w:spacing w:line="480" w:lineRule="auto"/>
        <w:ind w:left="0" w:hanging="720"/>
      </w:pPr>
      <w:r>
        <w:t xml:space="preserve">Other charts drawn from the PSE-selected data, arguably show a different story- trend lines demonstrating continued success of the market in placing energy efficient appliances in residences. </w:t>
      </w:r>
      <w:r w:rsidRPr="000F068B">
        <w:rPr>
          <w:rStyle w:val="FootnoteReference"/>
        </w:rPr>
        <w:footnoteReference w:id="20"/>
      </w:r>
      <w:r>
        <w:t xml:space="preserve"> </w:t>
      </w:r>
    </w:p>
    <w:p w:rsidR="00D628D2" w:rsidRDefault="00D628D2" w:rsidP="00FF1EE4">
      <w:pPr>
        <w:pStyle w:val="ParNumber"/>
        <w:tabs>
          <w:tab w:val="clear" w:pos="360"/>
          <w:tab w:val="num" w:pos="720"/>
        </w:tabs>
        <w:spacing w:line="480" w:lineRule="auto"/>
        <w:ind w:left="0" w:hanging="720"/>
      </w:pPr>
      <w:r>
        <w:t>To “prove” the existence of the second gap, Puget Sound Energy argues that the lack of a residential HVAC appliance leasing option is proof of a gap.</w:t>
      </w:r>
      <w:r w:rsidRPr="006F6A0E">
        <w:rPr>
          <w:rStyle w:val="FootnoteReference"/>
        </w:rPr>
        <w:t xml:space="preserve"> </w:t>
      </w:r>
      <w:r w:rsidRPr="000F068B">
        <w:rPr>
          <w:rStyle w:val="FootnoteReference"/>
        </w:rPr>
        <w:footnoteReference w:id="21"/>
      </w:r>
      <w:r>
        <w:t xml:space="preserve">  PSE chooses to discount completely the expert opinion of the HVAC industry</w:t>
      </w:r>
      <w:r w:rsidRPr="000F068B">
        <w:rPr>
          <w:rStyle w:val="FootnoteReference"/>
        </w:rPr>
        <w:footnoteReference w:id="22"/>
      </w:r>
      <w:r>
        <w:t xml:space="preserve"> that there is little or no demand for such a leasing option, ignores the complete lack anywhere in the nation of a utility offering such a leasing option</w:t>
      </w:r>
      <w:r w:rsidRPr="000F068B">
        <w:rPr>
          <w:rStyle w:val="FootnoteReference"/>
        </w:rPr>
        <w:footnoteReference w:id="23"/>
      </w:r>
      <w:r>
        <w:t>, and instead relies on its own surveys and analyses that “show” some of its customers “would be interested” in such an option</w:t>
      </w:r>
      <w:r w:rsidRPr="000F068B">
        <w:rPr>
          <w:rStyle w:val="FootnoteReference"/>
        </w:rPr>
        <w:footnoteReference w:id="24"/>
      </w:r>
      <w:r>
        <w:t>.</w:t>
      </w:r>
    </w:p>
    <w:p w:rsidR="00D628D2" w:rsidRPr="000F068B" w:rsidRDefault="00D628D2" w:rsidP="00FF1EE4">
      <w:pPr>
        <w:pStyle w:val="ParNumber"/>
        <w:tabs>
          <w:tab w:val="clear" w:pos="360"/>
          <w:tab w:val="num" w:pos="720"/>
        </w:tabs>
        <w:spacing w:line="480" w:lineRule="auto"/>
        <w:ind w:left="0" w:hanging="720"/>
      </w:pPr>
      <w:r>
        <w:t>Puget Sound Energy’s own consultant, Dr. Faruqui, indicated that he “did not find any documents that discuss lease programs by utilities through his review of the academic and industry literature.”</w:t>
      </w:r>
      <w:r w:rsidRPr="006F6A0E">
        <w:rPr>
          <w:rStyle w:val="FootnoteReference"/>
        </w:rPr>
        <w:t xml:space="preserve"> </w:t>
      </w:r>
      <w:r w:rsidRPr="000F068B">
        <w:rPr>
          <w:rStyle w:val="FootnoteReference"/>
        </w:rPr>
        <w:footnoteReference w:id="25"/>
      </w:r>
      <w:r>
        <w:t xml:space="preserve">    Puget Sound Energy has also acknowledged it “</w:t>
      </w:r>
      <w:r w:rsidRPr="00974694">
        <w:t>is not aware of any current or past programs that offer a comparable service…”</w:t>
      </w:r>
      <w:r w:rsidRPr="000F068B">
        <w:rPr>
          <w:rStyle w:val="FootnoteReference"/>
        </w:rPr>
        <w:footnoteReference w:id="26"/>
      </w:r>
    </w:p>
    <w:p w:rsidR="00D628D2" w:rsidRPr="000F068B" w:rsidRDefault="00D628D2" w:rsidP="00D5316F">
      <w:pPr>
        <w:pStyle w:val="Heading2"/>
        <w:numPr>
          <w:ilvl w:val="0"/>
          <w:numId w:val="22"/>
        </w:numPr>
        <w:spacing w:before="0" w:after="240"/>
        <w:jc w:val="center"/>
      </w:pPr>
      <w:r>
        <w:t>AN ATTEMPT TO CREATE NEW POLICY</w:t>
      </w:r>
    </w:p>
    <w:p w:rsidR="00D628D2" w:rsidRDefault="00D628D2" w:rsidP="006F02C8">
      <w:pPr>
        <w:pStyle w:val="ParNumber"/>
        <w:tabs>
          <w:tab w:val="clear" w:pos="360"/>
        </w:tabs>
        <w:spacing w:line="480" w:lineRule="auto"/>
        <w:ind w:left="0" w:hanging="720"/>
      </w:pPr>
      <w:r>
        <w:t>It appears that, rather than addressing a problem in the market, Puget Sound Energy’s goal with its appliance leasing proposal is some other, unidentified goal.  It is hard to believe that a free market failure could be solved by allowing the entry of a regulated monopoly into that market- for as Gary Smith of Independent Business Association noted in his comments to the Commission in this docket,</w:t>
      </w:r>
    </w:p>
    <w:p w:rsidR="00D628D2" w:rsidRPr="0048167D" w:rsidRDefault="00D628D2" w:rsidP="0048167D">
      <w:pPr>
        <w:autoSpaceDE w:val="0"/>
        <w:autoSpaceDN w:val="0"/>
        <w:adjustRightInd w:val="0"/>
        <w:rPr>
          <w:i/>
          <w:sz w:val="23"/>
          <w:szCs w:val="23"/>
        </w:rPr>
      </w:pPr>
      <w:r>
        <w:rPr>
          <w:i/>
          <w:sz w:val="23"/>
          <w:szCs w:val="23"/>
        </w:rPr>
        <w:t>“</w:t>
      </w:r>
      <w:r w:rsidRPr="0048167D">
        <w:rPr>
          <w:i/>
          <w:sz w:val="23"/>
          <w:szCs w:val="23"/>
        </w:rPr>
        <w:t xml:space="preserve">I, through IBA, have represented small business in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48167D">
                <w:rPr>
                  <w:i/>
                  <w:sz w:val="23"/>
                  <w:szCs w:val="23"/>
                </w:rPr>
                <w:t>Washington</w:t>
              </w:r>
            </w:smartTag>
          </w:smartTag>
          <w:r w:rsidRPr="0048167D">
            <w:rPr>
              <w:i/>
              <w:sz w:val="23"/>
              <w:szCs w:val="23"/>
            </w:rPr>
            <w:t xml:space="preserve"> </w:t>
          </w:r>
          <w:smartTag w:uri="urn:schemas-microsoft-com:office:smarttags" w:element="PlaceType">
            <w:r w:rsidRPr="0048167D">
              <w:rPr>
                <w:i/>
                <w:sz w:val="23"/>
                <w:szCs w:val="23"/>
              </w:rPr>
              <w:t>State</w:t>
            </w:r>
          </w:smartTag>
        </w:smartTag>
      </w:smartTag>
      <w:r w:rsidRPr="0048167D">
        <w:rPr>
          <w:i/>
          <w:sz w:val="23"/>
          <w:szCs w:val="23"/>
        </w:rPr>
        <w:t xml:space="preserve"> for over four decades. IBA has</w:t>
      </w:r>
    </w:p>
    <w:p w:rsidR="00D628D2" w:rsidRPr="0048167D" w:rsidRDefault="00D628D2" w:rsidP="0048167D">
      <w:pPr>
        <w:autoSpaceDE w:val="0"/>
        <w:autoSpaceDN w:val="0"/>
        <w:adjustRightInd w:val="0"/>
        <w:rPr>
          <w:i/>
          <w:sz w:val="23"/>
          <w:szCs w:val="23"/>
        </w:rPr>
      </w:pPr>
      <w:r w:rsidRPr="0048167D">
        <w:rPr>
          <w:i/>
          <w:sz w:val="23"/>
          <w:szCs w:val="23"/>
        </w:rPr>
        <w:t>appeared before the UTC numerous times in the past and we have watched evolving technologies,</w:t>
      </w:r>
    </w:p>
    <w:p w:rsidR="00D628D2" w:rsidRPr="0048167D" w:rsidRDefault="00D628D2" w:rsidP="0048167D">
      <w:pPr>
        <w:autoSpaceDE w:val="0"/>
        <w:autoSpaceDN w:val="0"/>
        <w:adjustRightInd w:val="0"/>
        <w:rPr>
          <w:i/>
          <w:sz w:val="23"/>
          <w:szCs w:val="23"/>
        </w:rPr>
      </w:pPr>
      <w:r w:rsidRPr="0048167D">
        <w:rPr>
          <w:i/>
          <w:sz w:val="23"/>
          <w:szCs w:val="23"/>
        </w:rPr>
        <w:t>evolving markets, and a lot of change. One thing has remained consistent- competitive free markets</w:t>
      </w:r>
    </w:p>
    <w:p w:rsidR="00D628D2" w:rsidRPr="0048167D" w:rsidRDefault="00D628D2" w:rsidP="0048167D">
      <w:pPr>
        <w:autoSpaceDE w:val="0"/>
        <w:autoSpaceDN w:val="0"/>
        <w:adjustRightInd w:val="0"/>
        <w:rPr>
          <w:i/>
          <w:sz w:val="23"/>
          <w:szCs w:val="23"/>
        </w:rPr>
      </w:pPr>
      <w:r w:rsidRPr="0048167D">
        <w:rPr>
          <w:i/>
          <w:sz w:val="23"/>
          <w:szCs w:val="23"/>
        </w:rPr>
        <w:t>remain the best provider of technological improvement, implementation, lower prices, and more</w:t>
      </w:r>
    </w:p>
    <w:p w:rsidR="00D628D2" w:rsidRPr="0048167D" w:rsidRDefault="00D628D2" w:rsidP="0048167D">
      <w:pPr>
        <w:autoSpaceDE w:val="0"/>
        <w:autoSpaceDN w:val="0"/>
        <w:adjustRightInd w:val="0"/>
        <w:rPr>
          <w:i/>
          <w:sz w:val="23"/>
          <w:szCs w:val="23"/>
        </w:rPr>
      </w:pPr>
      <w:r w:rsidRPr="0048167D">
        <w:rPr>
          <w:i/>
          <w:sz w:val="23"/>
          <w:szCs w:val="23"/>
        </w:rPr>
        <w:t>consumer options. Monopolies have historically failed to deliver on all these fronts, including the</w:t>
      </w:r>
    </w:p>
    <w:p w:rsidR="00D628D2" w:rsidRDefault="00D628D2" w:rsidP="0048167D">
      <w:pPr>
        <w:autoSpaceDE w:val="0"/>
        <w:autoSpaceDN w:val="0"/>
        <w:adjustRightInd w:val="0"/>
        <w:rPr>
          <w:i/>
          <w:sz w:val="23"/>
          <w:szCs w:val="23"/>
        </w:rPr>
      </w:pPr>
      <w:r w:rsidRPr="0048167D">
        <w:rPr>
          <w:i/>
          <w:sz w:val="23"/>
          <w:szCs w:val="23"/>
        </w:rPr>
        <w:t>utility industry</w:t>
      </w:r>
      <w:r>
        <w:rPr>
          <w:i/>
          <w:sz w:val="23"/>
          <w:szCs w:val="23"/>
        </w:rPr>
        <w:t>”</w:t>
      </w:r>
      <w:r w:rsidRPr="0048167D">
        <w:rPr>
          <w:i/>
          <w:sz w:val="23"/>
          <w:szCs w:val="23"/>
        </w:rPr>
        <w:t>.</w:t>
      </w:r>
    </w:p>
    <w:p w:rsidR="00D628D2" w:rsidRPr="0048167D" w:rsidRDefault="00D628D2" w:rsidP="0048167D">
      <w:pPr>
        <w:autoSpaceDE w:val="0"/>
        <w:autoSpaceDN w:val="0"/>
        <w:adjustRightInd w:val="0"/>
        <w:rPr>
          <w:i/>
          <w:sz w:val="23"/>
          <w:szCs w:val="23"/>
        </w:rPr>
      </w:pPr>
    </w:p>
    <w:p w:rsidR="00D628D2" w:rsidRPr="0048167D" w:rsidRDefault="00D628D2" w:rsidP="0048167D">
      <w:pPr>
        <w:autoSpaceDE w:val="0"/>
        <w:autoSpaceDN w:val="0"/>
        <w:adjustRightInd w:val="0"/>
        <w:rPr>
          <w:i/>
          <w:sz w:val="23"/>
          <w:szCs w:val="23"/>
        </w:rPr>
      </w:pPr>
      <w:r>
        <w:rPr>
          <w:i/>
          <w:sz w:val="23"/>
          <w:szCs w:val="23"/>
        </w:rPr>
        <w:t>“</w:t>
      </w:r>
      <w:r w:rsidRPr="0048167D">
        <w:rPr>
          <w:i/>
          <w:sz w:val="23"/>
          <w:szCs w:val="23"/>
        </w:rPr>
        <w:t xml:space="preserve">One just has to look at the evolution of telecom since the break-up of the </w:t>
      </w:r>
      <w:smartTag w:uri="urn:schemas-microsoft-com:office:smarttags" w:element="PlaceType">
        <w:smartTag w:uri="urn:schemas-microsoft-com:office:smarttags" w:element="City">
          <w:smartTag w:uri="urn:schemas-microsoft-com:office:smarttags" w:element="place">
            <w:r w:rsidRPr="0048167D">
              <w:rPr>
                <w:i/>
                <w:sz w:val="23"/>
                <w:szCs w:val="23"/>
              </w:rPr>
              <w:t>Bell</w:t>
            </w:r>
          </w:smartTag>
        </w:smartTag>
      </w:smartTag>
      <w:r w:rsidRPr="0048167D">
        <w:rPr>
          <w:i/>
          <w:sz w:val="23"/>
          <w:szCs w:val="23"/>
        </w:rPr>
        <w:t xml:space="preserve"> System. Could you</w:t>
      </w:r>
    </w:p>
    <w:p w:rsidR="00D628D2" w:rsidRPr="0048167D" w:rsidRDefault="00D628D2" w:rsidP="0048167D">
      <w:pPr>
        <w:autoSpaceDE w:val="0"/>
        <w:autoSpaceDN w:val="0"/>
        <w:adjustRightInd w:val="0"/>
        <w:rPr>
          <w:i/>
          <w:sz w:val="23"/>
          <w:szCs w:val="23"/>
        </w:rPr>
      </w:pPr>
      <w:r w:rsidRPr="0048167D">
        <w:rPr>
          <w:i/>
          <w:sz w:val="23"/>
          <w:szCs w:val="23"/>
        </w:rPr>
        <w:t xml:space="preserve">imagine Pacific Northwest </w:t>
      </w:r>
      <w:smartTag w:uri="urn:schemas-microsoft-com:office:smarttags" w:element="PlaceType">
        <w:smartTag w:uri="urn:schemas-microsoft-com:office:smarttags" w:element="City">
          <w:smartTag w:uri="urn:schemas-microsoft-com:office:smarttags" w:element="place">
            <w:r w:rsidRPr="0048167D">
              <w:rPr>
                <w:i/>
                <w:sz w:val="23"/>
                <w:szCs w:val="23"/>
              </w:rPr>
              <w:t>Bell</w:t>
            </w:r>
          </w:smartTag>
        </w:smartTag>
      </w:smartTag>
      <w:r w:rsidRPr="0048167D">
        <w:rPr>
          <w:i/>
          <w:sz w:val="23"/>
          <w:szCs w:val="23"/>
        </w:rPr>
        <w:t xml:space="preserve"> coming to the Commission and requesting regulatory cover to</w:t>
      </w:r>
    </w:p>
    <w:p w:rsidR="00D628D2" w:rsidRPr="0048167D" w:rsidRDefault="00D628D2" w:rsidP="0048167D">
      <w:pPr>
        <w:autoSpaceDE w:val="0"/>
        <w:autoSpaceDN w:val="0"/>
        <w:adjustRightInd w:val="0"/>
        <w:rPr>
          <w:i/>
          <w:sz w:val="23"/>
          <w:szCs w:val="23"/>
        </w:rPr>
      </w:pPr>
      <w:r w:rsidRPr="0048167D">
        <w:rPr>
          <w:i/>
          <w:sz w:val="23"/>
          <w:szCs w:val="23"/>
        </w:rPr>
        <w:t>expand into selling personal computers, tablets, software, computer game systems, computer</w:t>
      </w:r>
    </w:p>
    <w:p w:rsidR="00D628D2" w:rsidRPr="0048167D" w:rsidRDefault="00D628D2" w:rsidP="0048167D">
      <w:pPr>
        <w:autoSpaceDE w:val="0"/>
        <w:autoSpaceDN w:val="0"/>
        <w:adjustRightInd w:val="0"/>
        <w:rPr>
          <w:i/>
          <w:sz w:val="23"/>
          <w:szCs w:val="23"/>
        </w:rPr>
      </w:pPr>
      <w:r w:rsidRPr="0048167D">
        <w:rPr>
          <w:i/>
          <w:sz w:val="23"/>
          <w:szCs w:val="23"/>
        </w:rPr>
        <w:t>peripherals, etc. as a regulated monopoly in order to diversify the company? That is the equivalent</w:t>
      </w:r>
    </w:p>
    <w:p w:rsidR="00D628D2" w:rsidRPr="000F068B" w:rsidRDefault="00D628D2" w:rsidP="0048167D">
      <w:pPr>
        <w:pStyle w:val="ParNumber"/>
        <w:numPr>
          <w:ilvl w:val="0"/>
          <w:numId w:val="0"/>
        </w:numPr>
        <w:spacing w:line="480" w:lineRule="auto"/>
        <w:ind w:left="360" w:hanging="360"/>
      </w:pPr>
      <w:r w:rsidRPr="0048167D">
        <w:rPr>
          <w:i/>
          <w:sz w:val="23"/>
          <w:szCs w:val="23"/>
        </w:rPr>
        <w:t>of what Puget Sound Energy is currently requesting of the Commission</w:t>
      </w:r>
      <w:r>
        <w:rPr>
          <w:i/>
          <w:sz w:val="23"/>
          <w:szCs w:val="23"/>
        </w:rPr>
        <w:t>”</w:t>
      </w:r>
      <w:r w:rsidRPr="0048167D">
        <w:rPr>
          <w:i/>
          <w:sz w:val="23"/>
          <w:szCs w:val="23"/>
        </w:rPr>
        <w:t>.</w:t>
      </w:r>
      <w:r>
        <w:t xml:space="preserve"> </w:t>
      </w:r>
      <w:r w:rsidRPr="000F068B">
        <w:rPr>
          <w:rStyle w:val="FootnoteReference"/>
        </w:rPr>
        <w:footnoteReference w:id="27"/>
      </w:r>
      <w:r>
        <w:t xml:space="preserve"> </w:t>
      </w:r>
      <w:r w:rsidRPr="000F068B">
        <w:t>.</w:t>
      </w:r>
    </w:p>
    <w:p w:rsidR="00D628D2" w:rsidRPr="000F068B" w:rsidRDefault="00D628D2" w:rsidP="00106943">
      <w:pPr>
        <w:pStyle w:val="ParNumber"/>
        <w:tabs>
          <w:tab w:val="clear" w:pos="360"/>
        </w:tabs>
        <w:spacing w:line="480" w:lineRule="auto"/>
        <w:ind w:left="0" w:hanging="720"/>
      </w:pPr>
      <w:r>
        <w:t>The public service laws were created to inhibit monopoly power in those unavoidable situations where it necessarily has to exist.  But as was seen with the telecom industry, great benefit flows from the free market moving into previously monopoly territory, not the other way around.  If PSE wants to turn the public service laws on their head, that is a much larger policy question than is appropriate in this limited adjudication, with many more necessary stakeholders to be involved.</w:t>
      </w:r>
      <w:r w:rsidRPr="000F068B">
        <w:tab/>
      </w:r>
    </w:p>
    <w:p w:rsidR="00D628D2" w:rsidRPr="000F068B" w:rsidRDefault="00D628D2" w:rsidP="000808A0">
      <w:pPr>
        <w:pStyle w:val="Heading2"/>
        <w:numPr>
          <w:ilvl w:val="0"/>
          <w:numId w:val="22"/>
        </w:numPr>
        <w:spacing w:before="0" w:after="240"/>
        <w:jc w:val="center"/>
      </w:pPr>
      <w:r>
        <w:t>A FAILURE TO UNDERSTAND THE PRODUCTS’ REQUIREMENTS</w:t>
      </w:r>
    </w:p>
    <w:p w:rsidR="00D628D2" w:rsidRPr="00AD28D3" w:rsidRDefault="00D628D2" w:rsidP="00474385">
      <w:pPr>
        <w:pStyle w:val="ParNumber"/>
        <w:tabs>
          <w:tab w:val="clear" w:pos="360"/>
        </w:tabs>
        <w:spacing w:line="480" w:lineRule="auto"/>
        <w:ind w:left="0" w:hanging="720"/>
      </w:pPr>
      <w:r>
        <w:t>Two examples will serve to illustrate the great difficulty PSE appears to have in grasping industry concepts.   In his prefiled testimony, witness McCulloch attempted to explain” useful life”</w:t>
      </w:r>
      <w:r w:rsidRPr="000F068B">
        <w:t xml:space="preserve"> </w:t>
      </w:r>
      <w:r>
        <w:t>while averaging one type of appliance (furnaces) with a very different type of appliance (water heaters)- then extending the fifteen year average back from the current date in evaluating data already five years old.</w:t>
      </w:r>
      <w:r w:rsidRPr="00970E4F">
        <w:rPr>
          <w:rStyle w:val="FootnoteReference"/>
        </w:rPr>
        <w:t xml:space="preserve"> </w:t>
      </w:r>
      <w:r w:rsidRPr="000F068B">
        <w:rPr>
          <w:rStyle w:val="FootnoteReference"/>
        </w:rPr>
        <w:footnoteReference w:id="28"/>
      </w:r>
      <w:r>
        <w:t xml:space="preserve">  Such confusion permeates PSE’s treatment of the concept of </w:t>
      </w:r>
      <w:r w:rsidRPr="00AD28D3">
        <w:t>“useful life” throughout the record.</w:t>
      </w:r>
    </w:p>
    <w:p w:rsidR="00D628D2" w:rsidRPr="00AD28D3" w:rsidRDefault="00D628D2" w:rsidP="00474385">
      <w:pPr>
        <w:pStyle w:val="ParNumber"/>
        <w:tabs>
          <w:tab w:val="clear" w:pos="360"/>
        </w:tabs>
        <w:spacing w:line="480" w:lineRule="auto"/>
        <w:ind w:left="0" w:hanging="720"/>
      </w:pPr>
      <w:r w:rsidRPr="001A7617">
        <w:t>The second example of an area where PSE has demonstrated a profound lack of understanding is in installation of</w:t>
      </w:r>
      <w:r>
        <w:t xml:space="preserve"> appliances</w:t>
      </w:r>
      <w:r w:rsidRPr="00AD28D3">
        <w:t>.</w:t>
      </w:r>
      <w:r>
        <w:t xml:space="preserve">  The Company repeatedly asserts that the “standard” installation will be sufficient in almost all cases, but the only evidence of this it actually offers up is an e-mail chain from a source it is unwilling to identify to the public or the industry.</w:t>
      </w:r>
      <w:r w:rsidRPr="00530276">
        <w:rPr>
          <w:rStyle w:val="FootnoteReference"/>
        </w:rPr>
        <w:t xml:space="preserve"> </w:t>
      </w:r>
      <w:r w:rsidRPr="000F068B">
        <w:rPr>
          <w:rStyle w:val="FootnoteReference"/>
        </w:rPr>
        <w:footnoteReference w:id="29"/>
      </w:r>
      <w:r>
        <w:t xml:space="preserve">  In contrast, the industry has consistently testified that there is no such thing as a “standard” installation, and that PSE is going to either require ratepayers to incur additional costs</w:t>
      </w:r>
      <w:r w:rsidRPr="000F068B">
        <w:rPr>
          <w:rStyle w:val="FootnoteReference"/>
        </w:rPr>
        <w:footnoteReference w:id="30"/>
      </w:r>
      <w:r>
        <w:t xml:space="preserve"> or accept inadequate- even potentially dangerous- installations.</w:t>
      </w:r>
      <w:r w:rsidRPr="00530276">
        <w:rPr>
          <w:rStyle w:val="FootnoteReference"/>
        </w:rPr>
        <w:t xml:space="preserve"> </w:t>
      </w:r>
      <w:r w:rsidRPr="000F068B">
        <w:rPr>
          <w:rStyle w:val="FootnoteReference"/>
        </w:rPr>
        <w:footnoteReference w:id="31"/>
      </w:r>
    </w:p>
    <w:p w:rsidR="00D628D2" w:rsidRPr="000F068B" w:rsidRDefault="00D628D2" w:rsidP="001F71AA">
      <w:pPr>
        <w:pStyle w:val="ParNumber"/>
        <w:numPr>
          <w:ilvl w:val="0"/>
          <w:numId w:val="0"/>
        </w:numPr>
      </w:pPr>
      <w:r w:rsidRPr="000F068B">
        <w:tab/>
      </w:r>
    </w:p>
    <w:p w:rsidR="00D628D2" w:rsidRPr="000F068B" w:rsidRDefault="00D628D2" w:rsidP="00D5316F">
      <w:pPr>
        <w:pStyle w:val="Heading2"/>
        <w:numPr>
          <w:ilvl w:val="0"/>
          <w:numId w:val="22"/>
        </w:numPr>
        <w:spacing w:before="0" w:after="240"/>
        <w:jc w:val="center"/>
      </w:pPr>
      <w:r>
        <w:t>QUESTIONABLE ABILITY TO IMPLEMENT</w:t>
      </w:r>
    </w:p>
    <w:p w:rsidR="00D628D2" w:rsidRDefault="00D628D2" w:rsidP="007A7F60">
      <w:pPr>
        <w:pStyle w:val="ParNumber"/>
        <w:tabs>
          <w:tab w:val="clear" w:pos="360"/>
        </w:tabs>
        <w:spacing w:line="480" w:lineRule="auto"/>
        <w:ind w:left="0" w:hanging="720"/>
      </w:pPr>
      <w:r>
        <w:t>In addition to PSE’s confusion about the products it proposes to lease, a noticeable lack of interest by potential “service partners” should give the Commission pause in considering approval of PSE’s proposal.</w:t>
      </w:r>
    </w:p>
    <w:p w:rsidR="00D628D2" w:rsidRDefault="00D628D2" w:rsidP="007A7F60">
      <w:pPr>
        <w:pStyle w:val="ParNumber"/>
        <w:tabs>
          <w:tab w:val="clear" w:pos="360"/>
        </w:tabs>
        <w:spacing w:line="480" w:lineRule="auto"/>
        <w:ind w:left="0" w:hanging="720"/>
      </w:pPr>
      <w:r>
        <w:t>PSE received, from two RFQs over two years, only fifteen responses.</w:t>
      </w:r>
      <w:r w:rsidRPr="00394233">
        <w:rPr>
          <w:rStyle w:val="FootnoteReference"/>
        </w:rPr>
        <w:t xml:space="preserve"> </w:t>
      </w:r>
      <w:r w:rsidRPr="000F068B">
        <w:rPr>
          <w:rStyle w:val="FootnoteReference"/>
        </w:rPr>
        <w:footnoteReference w:id="32"/>
      </w:r>
      <w:r>
        <w:t xml:space="preserve">  Despite hiring a consulting firm to find “consultants” to support the Appliance Leasing Proposal</w:t>
      </w:r>
      <w:r w:rsidRPr="000F068B">
        <w:rPr>
          <w:rStyle w:val="FootnoteReference"/>
        </w:rPr>
        <w:footnoteReference w:id="33"/>
      </w:r>
      <w:r>
        <w:t>, PSE had only one person not employed by or contracted by the Company to publicly testify in favor.</w:t>
      </w:r>
      <w:r w:rsidRPr="00394233">
        <w:rPr>
          <w:rStyle w:val="FootnoteReference"/>
        </w:rPr>
        <w:t xml:space="preserve"> </w:t>
      </w:r>
      <w:r w:rsidRPr="000F068B">
        <w:rPr>
          <w:rStyle w:val="FootnoteReference"/>
        </w:rPr>
        <w:footnoteReference w:id="34"/>
      </w:r>
      <w:r>
        <w:t xml:space="preserve">  PSE has so hedged its bets on its ability to implement that it has made it very clear that this service </w:t>
      </w:r>
      <w:r w:rsidRPr="00AD28D3">
        <w:t>will be optional not only on the part of the ratepayer, but also on the part of the Company.</w:t>
      </w:r>
      <w:r w:rsidRPr="00AD28D3">
        <w:rPr>
          <w:rStyle w:val="FootnoteReference"/>
        </w:rPr>
        <w:t xml:space="preserve"> </w:t>
      </w:r>
      <w:r w:rsidRPr="00AD28D3">
        <w:rPr>
          <w:rStyle w:val="FootnoteReference"/>
        </w:rPr>
        <w:footnoteReference w:id="35"/>
      </w:r>
    </w:p>
    <w:p w:rsidR="00D628D2" w:rsidRPr="00394AAB" w:rsidRDefault="00D628D2" w:rsidP="00394AAB">
      <w:pPr>
        <w:pStyle w:val="ParNumber"/>
        <w:tabs>
          <w:tab w:val="clear" w:pos="360"/>
        </w:tabs>
        <w:spacing w:line="480" w:lineRule="auto"/>
        <w:ind w:left="0" w:hanging="720"/>
      </w:pPr>
      <w:r>
        <w:t xml:space="preserve">Given that a single supplier has testified to </w:t>
      </w:r>
      <w:r w:rsidRPr="00394AAB">
        <w:t xml:space="preserve">dealing with </w:t>
      </w:r>
      <w:r>
        <w:t>over 1400</w:t>
      </w:r>
      <w:r w:rsidRPr="00394AAB">
        <w:t xml:space="preserve"> contractors</w:t>
      </w:r>
      <w:r>
        <w:t>,</w:t>
      </w:r>
      <w:r w:rsidRPr="00394233">
        <w:rPr>
          <w:rStyle w:val="FootnoteReference"/>
        </w:rPr>
        <w:t xml:space="preserve"> </w:t>
      </w:r>
      <w:r w:rsidRPr="000F068B">
        <w:rPr>
          <w:rStyle w:val="FootnoteReference"/>
        </w:rPr>
        <w:footnoteReference w:id="36"/>
      </w:r>
      <w:r>
        <w:t xml:space="preserve"> PSE has demonstrated insignificant interest in PSE’s proposal.  The Commission should note this, as well as remember that PSE withdrew from the market for new appliance rental customers in 2000 because the Company could not cost-effectively provide these services.</w:t>
      </w:r>
      <w:r w:rsidRPr="00394233">
        <w:rPr>
          <w:rStyle w:val="FootnoteReference"/>
        </w:rPr>
        <w:t xml:space="preserve"> </w:t>
      </w:r>
      <w:r w:rsidRPr="000F068B">
        <w:rPr>
          <w:rStyle w:val="FootnoteReference"/>
        </w:rPr>
        <w:footnoteReference w:id="37"/>
      </w:r>
      <w:r>
        <w:t xml:space="preserve">  </w:t>
      </w:r>
      <w:r w:rsidRPr="00530276">
        <w:t>PSE has yet to address the question of implementation, other than to provide assurances with no documentation.</w:t>
      </w:r>
      <w:r w:rsidRPr="00530276">
        <w:rPr>
          <w:rStyle w:val="FootnoteReference"/>
        </w:rPr>
        <w:t xml:space="preserve"> </w:t>
      </w:r>
      <w:r w:rsidRPr="000F068B">
        <w:rPr>
          <w:rStyle w:val="FootnoteReference"/>
        </w:rPr>
        <w:footnoteReference w:id="38"/>
      </w:r>
    </w:p>
    <w:p w:rsidR="00D628D2" w:rsidRPr="000F068B" w:rsidRDefault="00D628D2" w:rsidP="00D5316F">
      <w:pPr>
        <w:pStyle w:val="Heading2"/>
        <w:numPr>
          <w:ilvl w:val="0"/>
          <w:numId w:val="22"/>
        </w:numPr>
        <w:spacing w:before="0" w:after="240"/>
        <w:jc w:val="center"/>
      </w:pPr>
      <w:r>
        <w:t>ENDANGERING THE SAFETY OF RATEPAYERS</w:t>
      </w:r>
    </w:p>
    <w:p w:rsidR="00D628D2" w:rsidRDefault="00D628D2" w:rsidP="00D5316F">
      <w:pPr>
        <w:spacing w:line="480" w:lineRule="auto"/>
        <w:ind w:hanging="720"/>
      </w:pPr>
      <w:r w:rsidRPr="000F068B">
        <w:tab/>
      </w:r>
      <w:r>
        <w:tab/>
        <w:t xml:space="preserve">Puget Sound Energy’s witness </w:t>
      </w:r>
      <w:r w:rsidRPr="00D47F97">
        <w:t>Andrew Wiggen</w:t>
      </w:r>
      <w:r>
        <w:t xml:space="preserve"> testified that HVAC appliances and water heaters near or past useful life are potentially dangerous.</w:t>
      </w:r>
      <w:r w:rsidRPr="00394233">
        <w:rPr>
          <w:rStyle w:val="FootnoteReference"/>
        </w:rPr>
        <w:t xml:space="preserve"> </w:t>
      </w:r>
      <w:r w:rsidRPr="000F068B">
        <w:rPr>
          <w:rStyle w:val="FootnoteReference"/>
        </w:rPr>
        <w:footnoteReference w:id="39"/>
      </w:r>
      <w:r>
        <w:t xml:space="preserve">  Puget Sound Energy closed its residential and commercial leasing of natural gas conversion burners and water heaters to new customers in 2000.</w:t>
      </w:r>
      <w:r w:rsidRPr="00394233">
        <w:rPr>
          <w:rStyle w:val="FootnoteReference"/>
        </w:rPr>
        <w:t xml:space="preserve"> </w:t>
      </w:r>
      <w:r w:rsidRPr="000F068B">
        <w:rPr>
          <w:rStyle w:val="FootnoteReference"/>
        </w:rPr>
        <w:footnoteReference w:id="40"/>
      </w:r>
      <w:r>
        <w:t xml:space="preserve">  Puget Sound Energy’s responses to data requests indicate that only a small portion of these appliances have been replaced</w:t>
      </w:r>
      <w:r w:rsidRPr="000F068B">
        <w:rPr>
          <w:rStyle w:val="FootnoteReference"/>
        </w:rPr>
        <w:footnoteReference w:id="41"/>
      </w:r>
      <w:r>
        <w:t>, leaving the overwhelming majority of the 33,000 appliances at least fifteen years old- beyond Puget Sound Energy’s definition of useful life.</w:t>
      </w:r>
      <w:r w:rsidRPr="00E34BBE">
        <w:rPr>
          <w:rStyle w:val="FootnoteReference"/>
        </w:rPr>
        <w:t xml:space="preserve"> </w:t>
      </w:r>
      <w:r w:rsidRPr="000F068B">
        <w:rPr>
          <w:rStyle w:val="FootnoteReference"/>
        </w:rPr>
        <w:footnoteReference w:id="42"/>
      </w:r>
      <w:r>
        <w:t xml:space="preserve">  Whenever asked about plans to replace these appliances, Puget Sound Energy’s responses condition changes in its rental program upon approval of its appliance leasing proposal.</w:t>
      </w:r>
      <w:r w:rsidRPr="00E34BBE">
        <w:rPr>
          <w:rStyle w:val="FootnoteReference"/>
        </w:rPr>
        <w:t xml:space="preserve"> </w:t>
      </w:r>
      <w:r w:rsidRPr="000F068B">
        <w:rPr>
          <w:rStyle w:val="FootnoteReference"/>
        </w:rPr>
        <w:footnoteReference w:id="43"/>
      </w:r>
    </w:p>
    <w:p w:rsidR="00D628D2" w:rsidRDefault="00D628D2" w:rsidP="00571023">
      <w:pPr>
        <w:pStyle w:val="ParNumber"/>
        <w:tabs>
          <w:tab w:val="clear" w:pos="360"/>
        </w:tabs>
        <w:spacing w:line="480" w:lineRule="auto"/>
        <w:ind w:left="0" w:hanging="720"/>
      </w:pPr>
      <w:r>
        <w:t>The only indication in the record of even a minimal effort to address this pre-existing problem and notification of current renters of the problem was a pilot communication to 252 of the more than 30,000 customers in February of 2015.</w:t>
      </w:r>
      <w:r w:rsidRPr="001F3983">
        <w:rPr>
          <w:rStyle w:val="FootnoteReference"/>
        </w:rPr>
        <w:t xml:space="preserve"> </w:t>
      </w:r>
      <w:r w:rsidRPr="000F068B">
        <w:rPr>
          <w:rStyle w:val="FootnoteReference"/>
        </w:rPr>
        <w:footnoteReference w:id="44"/>
      </w:r>
    </w:p>
    <w:p w:rsidR="00D628D2" w:rsidRPr="000F068B" w:rsidRDefault="00D628D2" w:rsidP="00571023">
      <w:pPr>
        <w:pStyle w:val="ParNumber"/>
        <w:tabs>
          <w:tab w:val="clear" w:pos="360"/>
        </w:tabs>
        <w:spacing w:line="480" w:lineRule="auto"/>
        <w:ind w:left="0" w:hanging="720"/>
      </w:pPr>
      <w:r>
        <w:t>The Company expressly noted it had no obligation unless notified by the customer</w:t>
      </w:r>
      <w:r w:rsidRPr="000F068B">
        <w:rPr>
          <w:rStyle w:val="FootnoteReference"/>
        </w:rPr>
        <w:footnoteReference w:id="45"/>
      </w:r>
      <w:r>
        <w:t>- hardly a hallmark of a “trusted energy partner” and its greater level of knowledge.</w:t>
      </w:r>
      <w:r w:rsidRPr="000F068B">
        <w:tab/>
      </w:r>
    </w:p>
    <w:p w:rsidR="00D628D2" w:rsidRPr="000F068B" w:rsidRDefault="00D628D2" w:rsidP="0034490C">
      <w:pPr>
        <w:pStyle w:val="Heading1"/>
        <w:spacing w:before="0" w:after="240"/>
      </w:pPr>
      <w:bookmarkStart w:id="8" w:name="_Toc434400967"/>
      <w:r w:rsidRPr="000F068B">
        <w:t>CONCLUSION</w:t>
      </w:r>
      <w:bookmarkEnd w:id="8"/>
    </w:p>
    <w:p w:rsidR="00D628D2" w:rsidRDefault="00D628D2" w:rsidP="00D73E87">
      <w:pPr>
        <w:pStyle w:val="ParNumber"/>
        <w:tabs>
          <w:tab w:val="clear" w:pos="360"/>
        </w:tabs>
        <w:spacing w:line="480" w:lineRule="auto"/>
        <w:ind w:left="0" w:hanging="720"/>
      </w:pPr>
      <w:r w:rsidRPr="000F068B">
        <w:tab/>
      </w:r>
      <w:r>
        <w:t>Puget Sound Energy has failed to demonstrate that its Appliance Leasing Proposal is legal, in the public interest, or practicable.  In addition, other parties have raised significant concerns about the program and its possible dangers to ratepayers.</w:t>
      </w:r>
    </w:p>
    <w:p w:rsidR="00D628D2" w:rsidRPr="000F068B" w:rsidRDefault="00D628D2" w:rsidP="00D73E87">
      <w:pPr>
        <w:pStyle w:val="ParNumber"/>
        <w:tabs>
          <w:tab w:val="clear" w:pos="360"/>
        </w:tabs>
        <w:spacing w:line="480" w:lineRule="auto"/>
        <w:ind w:left="0" w:hanging="720"/>
      </w:pPr>
      <w:r>
        <w:t>In addition, PSE’s proposal represents a radical new policy departure that, at a minimum, should be the subject of rulemaking- if not deferred to the Legislature.  The Washington State Heating, Ventilation and Air Conditioning Contractors Association respectfully requests that the Commission reject the proposal.</w:t>
      </w:r>
    </w:p>
    <w:p w:rsidR="00D628D2" w:rsidRPr="000F068B" w:rsidRDefault="00D628D2" w:rsidP="00C1073A">
      <w:pPr>
        <w:pStyle w:val="CourtName"/>
        <w:spacing w:line="480" w:lineRule="exact"/>
        <w:ind w:firstLine="720"/>
        <w:jc w:val="left"/>
      </w:pPr>
    </w:p>
    <w:p w:rsidR="00D628D2" w:rsidRPr="000F068B" w:rsidRDefault="00D628D2" w:rsidP="00C1073A">
      <w:pPr>
        <w:pStyle w:val="CourtName"/>
        <w:spacing w:line="480" w:lineRule="exact"/>
        <w:ind w:firstLine="720"/>
        <w:jc w:val="left"/>
      </w:pPr>
      <w:r w:rsidRPr="000F068B">
        <w:t xml:space="preserve">DATED this </w:t>
      </w:r>
      <w:r>
        <w:t>30</w:t>
      </w:r>
      <w:r w:rsidRPr="000F068B">
        <w:t xml:space="preserve">th day of </w:t>
      </w:r>
      <w:r>
        <w:t>August, 2016</w:t>
      </w:r>
      <w:r w:rsidRPr="000F068B">
        <w:t>.</w:t>
      </w:r>
    </w:p>
    <w:p w:rsidR="00D628D2" w:rsidRPr="000F068B" w:rsidRDefault="00D628D2" w:rsidP="00C1073A">
      <w:pPr>
        <w:pStyle w:val="CourtName"/>
        <w:spacing w:line="480" w:lineRule="exact"/>
        <w:ind w:firstLine="720"/>
        <w:jc w:val="left"/>
      </w:pPr>
    </w:p>
    <w:p w:rsidR="00D628D2" w:rsidRPr="000F068B" w:rsidRDefault="00D628D2" w:rsidP="00C1073A">
      <w:pPr>
        <w:ind w:left="2160"/>
      </w:pPr>
      <w:r w:rsidRPr="000F068B">
        <w:tab/>
      </w:r>
      <w:r w:rsidRPr="000F068B">
        <w:tab/>
      </w:r>
      <w:r w:rsidRPr="000F068B">
        <w:tab/>
      </w:r>
      <w:r w:rsidRPr="000F068B">
        <w:tab/>
      </w:r>
    </w:p>
    <w:p w:rsidR="00D628D2" w:rsidRPr="000F068B" w:rsidRDefault="00D628D2" w:rsidP="00C1073A">
      <w:pPr>
        <w:ind w:left="2160"/>
      </w:pPr>
    </w:p>
    <w:p w:rsidR="00D628D2" w:rsidRPr="000F068B" w:rsidRDefault="00D628D2" w:rsidP="00C1073A">
      <w:pPr>
        <w:ind w:left="2160"/>
      </w:pPr>
    </w:p>
    <w:p w:rsidR="00D628D2" w:rsidRPr="000F068B" w:rsidRDefault="00D628D2" w:rsidP="00C1073A">
      <w:pPr>
        <w:ind w:left="2160"/>
      </w:pPr>
      <w:r w:rsidRPr="000F068B">
        <w:tab/>
      </w:r>
      <w:r w:rsidRPr="000F068B">
        <w:tab/>
      </w:r>
      <w:r w:rsidRPr="000F068B">
        <w:tab/>
      </w:r>
      <w:r w:rsidRPr="000F068B">
        <w:tab/>
      </w:r>
      <w:r>
        <w:t>James L. King, Jr.</w:t>
      </w:r>
    </w:p>
    <w:p w:rsidR="00D628D2" w:rsidRPr="000F068B" w:rsidRDefault="00D628D2" w:rsidP="00C1073A">
      <w:pPr>
        <w:ind w:left="2160"/>
      </w:pPr>
      <w:r w:rsidRPr="000F068B">
        <w:tab/>
      </w:r>
      <w:r w:rsidRPr="000F068B">
        <w:tab/>
      </w:r>
      <w:r w:rsidRPr="000F068B">
        <w:tab/>
      </w:r>
      <w:r w:rsidRPr="000F068B">
        <w:tab/>
      </w:r>
      <w:r>
        <w:t>Representative</w:t>
      </w:r>
    </w:p>
    <w:p w:rsidR="00D628D2" w:rsidRDefault="00D628D2" w:rsidP="00FF1EE4">
      <w:pPr>
        <w:ind w:left="5040" w:hanging="2880"/>
        <w:sectPr w:rsidR="00D628D2" w:rsidSect="00920838">
          <w:headerReference w:type="default" r:id="rId9"/>
          <w:pgSz w:w="12240" w:h="15840" w:code="1"/>
          <w:pgMar w:top="1440" w:right="1440" w:bottom="1440" w:left="1440" w:header="720" w:footer="720" w:gutter="0"/>
          <w:pgNumType w:start="1"/>
          <w:cols w:space="720"/>
          <w:docGrid w:linePitch="360"/>
        </w:sectPr>
      </w:pPr>
      <w:r>
        <w:tab/>
        <w:t>Washington State Heating, Ventilation and Air Conditioning Contractors Association</w:t>
      </w:r>
    </w:p>
    <w:p w:rsidR="00D628D2" w:rsidRPr="00D50CA6" w:rsidRDefault="00D628D2" w:rsidP="005C69F1"/>
    <w:sectPr w:rsidR="00D628D2" w:rsidRPr="00D50CA6" w:rsidSect="00D50CA6">
      <w:footerReference w:type="default" r:id="rId10"/>
      <w:pgSz w:w="12240" w:h="15840" w:code="1"/>
      <w:pgMar w:top="1440" w:right="1440" w:bottom="1440" w:left="1440"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8D2" w:rsidRDefault="00D628D2">
      <w:r>
        <w:separator/>
      </w:r>
    </w:p>
  </w:endnote>
  <w:endnote w:type="continuationSeparator" w:id="0">
    <w:p w:rsidR="00D628D2" w:rsidRDefault="00D62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D2" w:rsidRDefault="00D628D2"/>
  <w:tbl>
    <w:tblPr>
      <w:tblW w:w="0" w:type="auto"/>
      <w:tblInd w:w="108" w:type="dxa"/>
      <w:tblLayout w:type="fixed"/>
      <w:tblLook w:val="0000"/>
    </w:tblPr>
    <w:tblGrid>
      <w:gridCol w:w="2880"/>
      <w:gridCol w:w="1170"/>
      <w:gridCol w:w="4140"/>
    </w:tblGrid>
    <w:tr w:rsidR="00D628D2" w:rsidTr="00156580">
      <w:tc>
        <w:tcPr>
          <w:tcW w:w="3960" w:type="dxa"/>
        </w:tcPr>
        <w:p w:rsidR="00D628D2" w:rsidRPr="00156580" w:rsidRDefault="00D628D2">
          <w:pPr>
            <w:pStyle w:val="Footer"/>
            <w:rPr>
              <w:caps/>
              <w:szCs w:val="20"/>
            </w:rPr>
          </w:pPr>
          <w:r>
            <w:rPr>
              <w:caps/>
              <w:szCs w:val="20"/>
            </w:rPr>
            <w:t xml:space="preserve">Post- Hearing </w:t>
          </w:r>
          <w:r w:rsidRPr="00156580">
            <w:rPr>
              <w:caps/>
              <w:szCs w:val="20"/>
            </w:rPr>
            <w:t xml:space="preserve">BRIEF OF </w:t>
          </w:r>
          <w:r>
            <w:rPr>
              <w:caps/>
              <w:szCs w:val="20"/>
            </w:rPr>
            <w:t>WSHVACCA</w:t>
          </w:r>
        </w:p>
        <w:p w:rsidR="00D628D2" w:rsidRPr="00A14CC6" w:rsidRDefault="00D628D2">
          <w:pPr>
            <w:pStyle w:val="Footer"/>
            <w:rPr>
              <w:i/>
              <w:szCs w:val="20"/>
            </w:rPr>
          </w:pPr>
          <w:r w:rsidRPr="00156580">
            <w:rPr>
              <w:caps/>
              <w:szCs w:val="20"/>
            </w:rPr>
            <w:t>DOCKETs ue-15</w:t>
          </w:r>
          <w:r>
            <w:rPr>
              <w:caps/>
              <w:szCs w:val="20"/>
            </w:rPr>
            <w:t>1871</w:t>
          </w:r>
          <w:r w:rsidRPr="00156580">
            <w:rPr>
              <w:caps/>
              <w:szCs w:val="20"/>
            </w:rPr>
            <w:t xml:space="preserve"> &amp; UG-15</w:t>
          </w:r>
          <w:r>
            <w:rPr>
              <w:caps/>
              <w:szCs w:val="20"/>
            </w:rPr>
            <w:t>1872 (</w:t>
          </w:r>
          <w:r>
            <w:rPr>
              <w:i/>
              <w:szCs w:val="20"/>
            </w:rPr>
            <w:t>Consolidated)</w:t>
          </w:r>
        </w:p>
        <w:p w:rsidR="00D628D2" w:rsidRPr="00156580" w:rsidRDefault="00D628D2">
          <w:pPr>
            <w:pStyle w:val="Footer"/>
            <w:rPr>
              <w:caps/>
              <w:szCs w:val="20"/>
            </w:rPr>
          </w:pPr>
        </w:p>
      </w:tc>
      <w:tc>
        <w:tcPr>
          <w:tcW w:w="1170" w:type="dxa"/>
        </w:tcPr>
        <w:p w:rsidR="00D628D2" w:rsidRPr="00156580" w:rsidRDefault="00D628D2" w:rsidP="00571023">
          <w:pPr>
            <w:pStyle w:val="Footer"/>
            <w:jc w:val="center"/>
            <w:rPr>
              <w:szCs w:val="20"/>
            </w:rPr>
          </w:pPr>
          <w:r w:rsidRPr="00156580">
            <w:rPr>
              <w:szCs w:val="20"/>
            </w:rPr>
            <w:fldChar w:fldCharType="begin"/>
          </w:r>
          <w:r w:rsidRPr="00156580">
            <w:rPr>
              <w:szCs w:val="20"/>
            </w:rPr>
            <w:instrText xml:space="preserve"> PAGE  \* MERGEFORMAT </w:instrText>
          </w:r>
          <w:r w:rsidRPr="00156580">
            <w:rPr>
              <w:szCs w:val="20"/>
            </w:rPr>
            <w:fldChar w:fldCharType="separate"/>
          </w:r>
          <w:r>
            <w:rPr>
              <w:noProof/>
              <w:szCs w:val="20"/>
            </w:rPr>
            <w:t>9</w:t>
          </w:r>
          <w:r w:rsidRPr="00156580">
            <w:rPr>
              <w:szCs w:val="20"/>
            </w:rPr>
            <w:fldChar w:fldCharType="end"/>
          </w:r>
        </w:p>
      </w:tc>
      <w:tc>
        <w:tcPr>
          <w:tcW w:w="4140" w:type="dxa"/>
        </w:tcPr>
        <w:p w:rsidR="00D628D2" w:rsidRPr="00156580" w:rsidRDefault="00D628D2">
          <w:pPr>
            <w:pStyle w:val="Footer"/>
            <w:jc w:val="center"/>
            <w:rPr>
              <w:szCs w:val="20"/>
            </w:rPr>
          </w:pPr>
        </w:p>
      </w:tc>
    </w:tr>
  </w:tbl>
  <w:p w:rsidR="00D628D2" w:rsidRDefault="00D628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D2" w:rsidRDefault="00D628D2"/>
  <w:tbl>
    <w:tblPr>
      <w:tblW w:w="0" w:type="auto"/>
      <w:tblInd w:w="108" w:type="dxa"/>
      <w:tblLayout w:type="fixed"/>
      <w:tblLook w:val="0000"/>
    </w:tblPr>
    <w:tblGrid>
      <w:gridCol w:w="1170"/>
      <w:gridCol w:w="4140"/>
    </w:tblGrid>
    <w:tr w:rsidR="00D628D2" w:rsidTr="00156580">
      <w:tc>
        <w:tcPr>
          <w:tcW w:w="1170" w:type="dxa"/>
        </w:tcPr>
        <w:p w:rsidR="00D628D2" w:rsidRPr="00156580" w:rsidRDefault="00D628D2" w:rsidP="00571023">
          <w:pPr>
            <w:pStyle w:val="Footer"/>
            <w:jc w:val="center"/>
            <w:rPr>
              <w:szCs w:val="20"/>
            </w:rPr>
          </w:pPr>
        </w:p>
      </w:tc>
      <w:tc>
        <w:tcPr>
          <w:tcW w:w="4140" w:type="dxa"/>
        </w:tcPr>
        <w:p w:rsidR="00D628D2" w:rsidRPr="00156580" w:rsidRDefault="00D628D2" w:rsidP="005F6364">
          <w:pPr>
            <w:pStyle w:val="Footer"/>
            <w:rPr>
              <w:szCs w:val="20"/>
            </w:rPr>
          </w:pPr>
        </w:p>
      </w:tc>
    </w:tr>
  </w:tbl>
  <w:p w:rsidR="00D628D2" w:rsidRDefault="00D628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8D2" w:rsidRDefault="00D628D2">
      <w:r>
        <w:separator/>
      </w:r>
    </w:p>
  </w:footnote>
  <w:footnote w:type="continuationSeparator" w:id="0">
    <w:p w:rsidR="00D628D2" w:rsidRDefault="00D628D2">
      <w:pPr>
        <w:ind w:right="5760"/>
      </w:pPr>
      <w:r>
        <w:continuationSeparator/>
      </w:r>
    </w:p>
  </w:footnote>
  <w:footnote w:id="1">
    <w:p w:rsidR="00D628D2" w:rsidRDefault="00D628D2" w:rsidP="00C17628">
      <w:pPr>
        <w:pStyle w:val="FootnoteText"/>
        <w:ind w:firstLine="0"/>
      </w:pPr>
      <w:r>
        <w:rPr>
          <w:rStyle w:val="FootnoteReference"/>
        </w:rPr>
        <w:footnoteRef/>
      </w:r>
      <w:r>
        <w:t xml:space="preserve"> </w:t>
      </w:r>
      <w:smartTag w:uri="urn:schemas-microsoft-com:office:smarttags" w:element="State">
        <w:smartTag w:uri="urn:schemas-microsoft-com:office:smarttags" w:element="place">
          <w:r w:rsidRPr="00834D76">
            <w:rPr>
              <w:i/>
            </w:rPr>
            <w:t>Wash.</w:t>
          </w:r>
        </w:smartTag>
      </w:smartTag>
      <w:r w:rsidRPr="00834D76">
        <w:rPr>
          <w:i/>
        </w:rPr>
        <w:t xml:space="preserve"> Utils. &amp; Transp. Comm’n </w:t>
      </w:r>
      <w:r>
        <w:rPr>
          <w:i/>
        </w:rPr>
        <w:t>v</w:t>
      </w:r>
      <w:r w:rsidRPr="00834D76">
        <w:rPr>
          <w:i/>
        </w:rPr>
        <w:t>. Puget Sound Energy, Dockets</w:t>
      </w:r>
      <w:r w:rsidRPr="00834D76">
        <w:t xml:space="preserve">, UE-151871 &amp; UG-151872, </w:t>
      </w:r>
      <w:r>
        <w:t>Advice No. 2015-23 (Sept. 18, 2015).</w:t>
      </w:r>
    </w:p>
  </w:footnote>
  <w:footnote w:id="2">
    <w:p w:rsidR="00D628D2" w:rsidRDefault="00D628D2" w:rsidP="0076542E">
      <w:pPr>
        <w:pStyle w:val="FootnoteText"/>
        <w:ind w:firstLine="0"/>
      </w:pPr>
      <w:r>
        <w:rPr>
          <w:rStyle w:val="FootnoteReference"/>
        </w:rPr>
        <w:footnoteRef/>
      </w:r>
      <w:r>
        <w:t xml:space="preserve"> </w:t>
      </w:r>
      <w:smartTag w:uri="urn:schemas-microsoft-com:office:smarttags" w:element="State">
        <w:smartTag w:uri="urn:schemas-microsoft-com:office:smarttags" w:element="place">
          <w:r w:rsidRPr="00834D76">
            <w:rPr>
              <w:i/>
            </w:rPr>
            <w:t>Wash.</w:t>
          </w:r>
        </w:smartTag>
      </w:smartTag>
      <w:r w:rsidRPr="00834D76">
        <w:rPr>
          <w:i/>
        </w:rPr>
        <w:t xml:space="preserve"> Utils. &amp; Transp. Comm’n </w:t>
      </w:r>
      <w:r>
        <w:rPr>
          <w:i/>
        </w:rPr>
        <w:t>v</w:t>
      </w:r>
      <w:r w:rsidRPr="00834D76">
        <w:rPr>
          <w:i/>
        </w:rPr>
        <w:t>. Puget Sound Energy, Dockets</w:t>
      </w:r>
      <w:r w:rsidRPr="00834D76">
        <w:t xml:space="preserve">, UE-151871 &amp; UG-151872, </w:t>
      </w:r>
      <w:r>
        <w:t>Advice No. 2015-23 (Nov. 6, 2015)</w:t>
      </w:r>
      <w:r w:rsidRPr="00B1126C">
        <w:t>.</w:t>
      </w:r>
    </w:p>
  </w:footnote>
  <w:footnote w:id="3">
    <w:p w:rsidR="00D628D2" w:rsidRDefault="00D628D2" w:rsidP="006C7A5E">
      <w:pPr>
        <w:pStyle w:val="FootnoteText"/>
        <w:ind w:firstLine="0"/>
      </w:pPr>
      <w:r>
        <w:rPr>
          <w:rStyle w:val="FootnoteReference"/>
        </w:rPr>
        <w:footnoteRef/>
      </w:r>
      <w:r>
        <w:t xml:space="preserve"> </w:t>
      </w:r>
      <w:smartTag w:uri="urn:schemas-microsoft-com:office:smarttags" w:element="State">
        <w:smartTag w:uri="urn:schemas-microsoft-com:office:smarttags" w:element="place">
          <w:r w:rsidRPr="00B1126C">
            <w:t>Wash.</w:t>
          </w:r>
        </w:smartTag>
      </w:smartTag>
      <w:r w:rsidRPr="00B1126C">
        <w:t xml:space="preserve"> Utils. &amp; Transp. Comm’n</w:t>
      </w:r>
      <w:r w:rsidRPr="00B1126C">
        <w:rPr>
          <w:i/>
        </w:rPr>
        <w:t xml:space="preserve"> </w:t>
      </w:r>
      <w:r w:rsidRPr="00B1126C">
        <w:t>Nov</w:t>
      </w:r>
      <w:r>
        <w:t>.</w:t>
      </w:r>
      <w:r w:rsidRPr="00B1126C">
        <w:t xml:space="preserve"> 13, 2015 Open Meeting recording.</w:t>
      </w:r>
    </w:p>
  </w:footnote>
  <w:footnote w:id="4">
    <w:p w:rsidR="00D628D2" w:rsidRDefault="00D628D2" w:rsidP="00104EE5">
      <w:pPr>
        <w:pStyle w:val="FootnoteText"/>
        <w:ind w:firstLine="0"/>
      </w:pPr>
      <w:r>
        <w:rPr>
          <w:rStyle w:val="FootnoteReference"/>
        </w:rPr>
        <w:footnoteRef/>
      </w:r>
      <w:r>
        <w:t xml:space="preserve"> </w:t>
      </w:r>
      <w:smartTag w:uri="urn:schemas-microsoft-com:office:smarttags" w:element="State">
        <w:smartTag w:uri="urn:schemas-microsoft-com:office:smarttags" w:element="place">
          <w:r w:rsidRPr="00834D76">
            <w:rPr>
              <w:i/>
            </w:rPr>
            <w:t>Wash.</w:t>
          </w:r>
        </w:smartTag>
      </w:smartTag>
      <w:r w:rsidRPr="00834D76">
        <w:rPr>
          <w:i/>
        </w:rPr>
        <w:t xml:space="preserve"> Utils. &amp; Transp. Comm’n </w:t>
      </w:r>
      <w:r>
        <w:rPr>
          <w:i/>
        </w:rPr>
        <w:t>v</w:t>
      </w:r>
      <w:r w:rsidRPr="00834D76">
        <w:rPr>
          <w:i/>
        </w:rPr>
        <w:t>. Puget Sound Energy, Dockets</w:t>
      </w:r>
      <w:r>
        <w:t>,</w:t>
      </w:r>
      <w:r w:rsidRPr="00834D76">
        <w:t xml:space="preserve"> UE-151871 </w:t>
      </w:r>
      <w:r>
        <w:t>&amp;</w:t>
      </w:r>
      <w:r w:rsidRPr="00834D76">
        <w:t xml:space="preserve"> UG-151872</w:t>
      </w:r>
      <w:r>
        <w:t>, Order 01 (Nov. </w:t>
      </w:r>
      <w:r w:rsidRPr="00834D76">
        <w:t>13, 2015</w:t>
      </w:r>
      <w:r>
        <w:t>).</w:t>
      </w:r>
    </w:p>
  </w:footnote>
  <w:footnote w:id="5">
    <w:p w:rsidR="00D628D2" w:rsidRDefault="00D628D2" w:rsidP="00AB72DF">
      <w:pPr>
        <w:pStyle w:val="FootnoteText"/>
        <w:ind w:firstLine="0"/>
      </w:pPr>
      <w:r>
        <w:rPr>
          <w:rStyle w:val="FootnoteReference"/>
        </w:rPr>
        <w:footnoteRef/>
      </w:r>
      <w:r>
        <w:t xml:space="preserve"> </w:t>
      </w:r>
      <w:r w:rsidRPr="006B3004">
        <w:t>Ex</w:t>
      </w:r>
      <w:r>
        <w:t>h</w:t>
      </w:r>
      <w:r w:rsidRPr="006B3004">
        <w:t>. No. MBM-61, page 6</w:t>
      </w:r>
    </w:p>
  </w:footnote>
  <w:footnote w:id="6">
    <w:p w:rsidR="00D628D2" w:rsidRDefault="00D628D2" w:rsidP="00AB72DF">
      <w:pPr>
        <w:pStyle w:val="FootnoteText"/>
        <w:ind w:firstLine="0"/>
      </w:pPr>
      <w:r w:rsidRPr="006B3004">
        <w:rPr>
          <w:rStyle w:val="FootnoteReference"/>
        </w:rPr>
        <w:footnoteRef/>
      </w:r>
      <w:r w:rsidRPr="006B3004">
        <w:t xml:space="preserve"> Ex</w:t>
      </w:r>
      <w:r>
        <w:t>h</w:t>
      </w:r>
      <w:r w:rsidRPr="006B3004">
        <w:t>. No. MBM-18, page 1</w:t>
      </w:r>
    </w:p>
  </w:footnote>
  <w:footnote w:id="7">
    <w:p w:rsidR="00D628D2" w:rsidRDefault="00D628D2" w:rsidP="00E12AA7">
      <w:pPr>
        <w:pStyle w:val="FootnoteText"/>
        <w:ind w:firstLine="0"/>
      </w:pPr>
      <w:r>
        <w:rPr>
          <w:rStyle w:val="FootnoteReference"/>
        </w:rPr>
        <w:footnoteRef/>
      </w:r>
      <w:r w:rsidRPr="00C771A4">
        <w:t xml:space="preserve"> Ex</w:t>
      </w:r>
      <w:r>
        <w:t>h</w:t>
      </w:r>
      <w:r w:rsidRPr="00C771A4">
        <w:t>. No. MBM-4, page 1</w:t>
      </w:r>
    </w:p>
  </w:footnote>
  <w:footnote w:id="8">
    <w:p w:rsidR="00D628D2" w:rsidRDefault="00D628D2" w:rsidP="00472B37">
      <w:pPr>
        <w:pStyle w:val="FootnoteText"/>
        <w:ind w:firstLine="0"/>
      </w:pPr>
      <w:r>
        <w:rPr>
          <w:rStyle w:val="FootnoteReference"/>
        </w:rPr>
        <w:footnoteRef/>
      </w:r>
      <w:r w:rsidRPr="00C771A4">
        <w:t xml:space="preserve"> Ex</w:t>
      </w:r>
      <w:r>
        <w:t>h</w:t>
      </w:r>
      <w:r w:rsidRPr="00C771A4">
        <w:t xml:space="preserve">. No. </w:t>
      </w:r>
      <w:r>
        <w:t>AF-3</w:t>
      </w:r>
    </w:p>
  </w:footnote>
  <w:footnote w:id="9">
    <w:p w:rsidR="00D628D2" w:rsidRDefault="00D628D2" w:rsidP="00AB72DF">
      <w:pPr>
        <w:pStyle w:val="FootnoteText"/>
        <w:ind w:firstLine="0"/>
      </w:pPr>
      <w:r>
        <w:rPr>
          <w:rStyle w:val="FootnoteReference"/>
        </w:rPr>
        <w:footnoteRef/>
      </w:r>
      <w:r>
        <w:t xml:space="preserve"> </w:t>
      </w:r>
      <w:smartTag w:uri="urn:schemas-microsoft-com:office:smarttags" w:element="State">
        <w:smartTag w:uri="urn:schemas-microsoft-com:office:smarttags" w:element="place">
          <w:r w:rsidRPr="00834D76">
            <w:rPr>
              <w:i/>
            </w:rPr>
            <w:t>Wash.</w:t>
          </w:r>
        </w:smartTag>
      </w:smartTag>
      <w:r w:rsidRPr="00834D76">
        <w:rPr>
          <w:i/>
        </w:rPr>
        <w:t xml:space="preserve"> Utils. &amp; Transp. Comm’n </w:t>
      </w:r>
      <w:r>
        <w:rPr>
          <w:i/>
        </w:rPr>
        <w:t>v</w:t>
      </w:r>
      <w:r w:rsidRPr="00834D76">
        <w:rPr>
          <w:i/>
        </w:rPr>
        <w:t>. Puget Sound Energy, Dockets</w:t>
      </w:r>
      <w:r w:rsidRPr="00834D76">
        <w:t xml:space="preserve">, UE-151871 &amp; UG-151872, </w:t>
      </w:r>
      <w:r>
        <w:t>Advice No. 2015-23 (Nov. 6, 2015)</w:t>
      </w:r>
      <w:r w:rsidRPr="00B1126C">
        <w:t>.</w:t>
      </w:r>
    </w:p>
  </w:footnote>
  <w:footnote w:id="10">
    <w:p w:rsidR="00D628D2" w:rsidRDefault="00D628D2" w:rsidP="000447F8">
      <w:pPr>
        <w:pStyle w:val="FootnoteText"/>
        <w:ind w:firstLine="0"/>
      </w:pPr>
      <w:r>
        <w:rPr>
          <w:rStyle w:val="FootnoteReference"/>
        </w:rPr>
        <w:footnoteRef/>
      </w:r>
      <w:r>
        <w:t xml:space="preserve"> Norton, Exh. No. LYN-1T 3:11-22.</w:t>
      </w:r>
    </w:p>
  </w:footnote>
  <w:footnote w:id="11">
    <w:p w:rsidR="00D628D2" w:rsidRDefault="00D628D2" w:rsidP="000447F8">
      <w:pPr>
        <w:pStyle w:val="FootnoteText"/>
        <w:ind w:firstLine="0"/>
      </w:pPr>
      <w:r>
        <w:rPr>
          <w:rStyle w:val="FootnoteReference"/>
        </w:rPr>
        <w:footnoteRef/>
      </w:r>
      <w:r>
        <w:t xml:space="preserve"> Norton, Exh. No. LYN-1T 3:11-22.</w:t>
      </w:r>
    </w:p>
  </w:footnote>
  <w:footnote w:id="12">
    <w:p w:rsidR="00D628D2" w:rsidRDefault="00D628D2" w:rsidP="000808A0">
      <w:pPr>
        <w:pStyle w:val="FootnoteText"/>
        <w:ind w:firstLine="0"/>
      </w:pPr>
      <w:r>
        <w:rPr>
          <w:rStyle w:val="FootnoteReference"/>
        </w:rPr>
        <w:footnoteRef/>
      </w:r>
      <w:r>
        <w:t xml:space="preserve"> </w:t>
      </w:r>
      <w:smartTag w:uri="urn:schemas-microsoft-com:office:smarttags" w:element="State">
        <w:smartTag w:uri="urn:schemas-microsoft-com:office:smarttags" w:element="place">
          <w:r w:rsidRPr="00834D76">
            <w:rPr>
              <w:i/>
            </w:rPr>
            <w:t>Wash.</w:t>
          </w:r>
        </w:smartTag>
      </w:smartTag>
      <w:r w:rsidRPr="00834D76">
        <w:rPr>
          <w:i/>
        </w:rPr>
        <w:t xml:space="preserve"> Utils. &amp; Transp. Comm’n </w:t>
      </w:r>
      <w:r>
        <w:rPr>
          <w:i/>
        </w:rPr>
        <w:t>v</w:t>
      </w:r>
      <w:r w:rsidRPr="00834D76">
        <w:rPr>
          <w:i/>
        </w:rPr>
        <w:t>. Puget Sound Energy, Dockets</w:t>
      </w:r>
      <w:r w:rsidRPr="00834D76">
        <w:t xml:space="preserve">, UE-151871 &amp; UG-151872, </w:t>
      </w:r>
      <w:r>
        <w:t>Advice No. 2015-23 (Nov. 6, 2015)</w:t>
      </w:r>
      <w:r w:rsidRPr="00B1126C">
        <w:t>.</w:t>
      </w:r>
    </w:p>
  </w:footnote>
  <w:footnote w:id="13">
    <w:p w:rsidR="00D628D2" w:rsidRDefault="00D628D2" w:rsidP="00F36672">
      <w:pPr>
        <w:pStyle w:val="FootnoteText"/>
        <w:ind w:firstLine="0"/>
      </w:pPr>
      <w:r>
        <w:rPr>
          <w:rStyle w:val="FootnoteReference"/>
        </w:rPr>
        <w:footnoteRef/>
      </w:r>
      <w:r w:rsidRPr="00F658C0">
        <w:t xml:space="preserve"> Teller, Exh. No. JET-1T p11.</w:t>
      </w:r>
    </w:p>
  </w:footnote>
  <w:footnote w:id="14">
    <w:p w:rsidR="00D628D2" w:rsidRDefault="00D628D2" w:rsidP="00C33F04">
      <w:pPr>
        <w:pStyle w:val="FootnoteText"/>
        <w:ind w:firstLine="0"/>
      </w:pPr>
      <w:r>
        <w:rPr>
          <w:rStyle w:val="FootnoteReference"/>
        </w:rPr>
        <w:footnoteRef/>
      </w:r>
      <w:r>
        <w:t xml:space="preserve"> </w:t>
      </w:r>
      <w:r w:rsidRPr="002F0BBB">
        <w:t>Norton, TR. 159: 15-16.</w:t>
      </w:r>
    </w:p>
  </w:footnote>
  <w:footnote w:id="15">
    <w:p w:rsidR="00D628D2" w:rsidRDefault="00D628D2" w:rsidP="00F36672">
      <w:pPr>
        <w:pStyle w:val="FootnoteText"/>
        <w:ind w:firstLine="0"/>
      </w:pPr>
      <w:r w:rsidRPr="002F0BBB">
        <w:rPr>
          <w:rStyle w:val="FootnoteReference"/>
        </w:rPr>
        <w:footnoteRef/>
      </w:r>
      <w:r w:rsidRPr="002F0BBB">
        <w:t xml:space="preserve"> Norton, TR. 160:  5- 15.</w:t>
      </w:r>
    </w:p>
  </w:footnote>
  <w:footnote w:id="16">
    <w:p w:rsidR="00D628D2" w:rsidRDefault="00D628D2" w:rsidP="00F36672">
      <w:pPr>
        <w:pStyle w:val="FootnoteText"/>
        <w:ind w:firstLine="0"/>
      </w:pPr>
      <w:r w:rsidRPr="002F0BBB">
        <w:rPr>
          <w:rStyle w:val="FootnoteReference"/>
        </w:rPr>
        <w:footnoteRef/>
      </w:r>
      <w:r w:rsidRPr="002F0BBB">
        <w:t xml:space="preserve"> Ex</w:t>
      </w:r>
      <w:r>
        <w:t>h</w:t>
      </w:r>
      <w:r w:rsidRPr="002F0BBB">
        <w:t>. No. JET-3.</w:t>
      </w:r>
    </w:p>
  </w:footnote>
  <w:footnote w:id="17">
    <w:p w:rsidR="00D628D2" w:rsidRDefault="00D628D2" w:rsidP="00F36672">
      <w:pPr>
        <w:pStyle w:val="FootnoteText"/>
        <w:ind w:firstLine="0"/>
      </w:pPr>
      <w:r w:rsidRPr="002F0BBB">
        <w:rPr>
          <w:rStyle w:val="FootnoteReference"/>
        </w:rPr>
        <w:footnoteRef/>
      </w:r>
      <w:r w:rsidRPr="002F0BBB">
        <w:t xml:space="preserve"> Norton, TR. 162; 1- 10.</w:t>
      </w:r>
    </w:p>
  </w:footnote>
  <w:footnote w:id="18">
    <w:p w:rsidR="00D628D2" w:rsidRDefault="00D628D2" w:rsidP="00F36672">
      <w:pPr>
        <w:pStyle w:val="FootnoteText"/>
        <w:ind w:firstLine="0"/>
      </w:pPr>
      <w:r>
        <w:rPr>
          <w:rStyle w:val="FootnoteReference"/>
        </w:rPr>
        <w:footnoteRef/>
      </w:r>
      <w:r>
        <w:t xml:space="preserve"> Norton, </w:t>
      </w:r>
      <w:r w:rsidRPr="002F0BBB">
        <w:t>TR.160,: 17- 161:11.  Witness Norton “surmised” NEEA’s positions, but could not state them for a fact.</w:t>
      </w:r>
    </w:p>
  </w:footnote>
  <w:footnote w:id="19">
    <w:p w:rsidR="00D628D2" w:rsidRDefault="00D628D2" w:rsidP="00F36672">
      <w:pPr>
        <w:pStyle w:val="FootnoteText"/>
        <w:ind w:firstLine="0"/>
      </w:pPr>
      <w:r>
        <w:rPr>
          <w:rStyle w:val="FootnoteReference"/>
        </w:rPr>
        <w:footnoteRef/>
      </w:r>
      <w:r>
        <w:t xml:space="preserve"> Fluetsch, BF-1T, 5:13</w:t>
      </w:r>
    </w:p>
  </w:footnote>
  <w:footnote w:id="20">
    <w:p w:rsidR="00D628D2" w:rsidRDefault="00D628D2" w:rsidP="00F36672">
      <w:pPr>
        <w:pStyle w:val="FootnoteText"/>
        <w:ind w:firstLine="0"/>
      </w:pPr>
      <w:r>
        <w:rPr>
          <w:rStyle w:val="FootnoteReference"/>
        </w:rPr>
        <w:footnoteRef/>
      </w:r>
      <w:r>
        <w:t xml:space="preserve"> Exh. No. MBM-45, pp 3-5.</w:t>
      </w:r>
      <w:r w:rsidRPr="00B1126C">
        <w:t>.</w:t>
      </w:r>
    </w:p>
  </w:footnote>
  <w:footnote w:id="21">
    <w:p w:rsidR="00D628D2" w:rsidRDefault="00D628D2" w:rsidP="006F6A0E">
      <w:pPr>
        <w:pStyle w:val="FootnoteText"/>
        <w:ind w:firstLine="0"/>
      </w:pPr>
      <w:r>
        <w:rPr>
          <w:rStyle w:val="FootnoteReference"/>
        </w:rPr>
        <w:footnoteRef/>
      </w:r>
      <w:r>
        <w:t xml:space="preserve"> Teller, Exh. No. </w:t>
      </w:r>
      <w:r w:rsidRPr="00F658C0">
        <w:rPr>
          <w:lang w:val="fr-FR"/>
        </w:rPr>
        <w:t>JET-1T, 5:17- 18</w:t>
      </w:r>
    </w:p>
  </w:footnote>
  <w:footnote w:id="22">
    <w:p w:rsidR="00D628D2" w:rsidRDefault="00D628D2" w:rsidP="006F6A0E">
      <w:pPr>
        <w:pStyle w:val="FootnoteText"/>
        <w:ind w:firstLine="0"/>
      </w:pPr>
      <w:r>
        <w:rPr>
          <w:rStyle w:val="FootnoteReference"/>
        </w:rPr>
        <w:footnoteRef/>
      </w:r>
      <w:r w:rsidRPr="00F658C0">
        <w:rPr>
          <w:lang w:val="fr-FR"/>
        </w:rPr>
        <w:t xml:space="preserve"> Norton, LYN-1T 2:5- 7</w:t>
      </w:r>
    </w:p>
  </w:footnote>
  <w:footnote w:id="23">
    <w:p w:rsidR="00D628D2" w:rsidRDefault="00D628D2" w:rsidP="006F6A0E">
      <w:pPr>
        <w:pStyle w:val="FootnoteText"/>
        <w:ind w:firstLine="0"/>
      </w:pPr>
      <w:r>
        <w:rPr>
          <w:rStyle w:val="FootnoteReference"/>
        </w:rPr>
        <w:footnoteRef/>
      </w:r>
      <w:r>
        <w:t xml:space="preserve"> Exh. No.  MBM-50</w:t>
      </w:r>
      <w:r w:rsidRPr="00B1126C">
        <w:t>.</w:t>
      </w:r>
    </w:p>
  </w:footnote>
  <w:footnote w:id="24">
    <w:p w:rsidR="00D628D2" w:rsidRDefault="00D628D2" w:rsidP="006F6A0E">
      <w:pPr>
        <w:pStyle w:val="FootnoteText"/>
        <w:ind w:firstLine="0"/>
      </w:pPr>
      <w:r>
        <w:rPr>
          <w:rStyle w:val="FootnoteReference"/>
        </w:rPr>
        <w:footnoteRef/>
      </w:r>
      <w:r>
        <w:t xml:space="preserve"> Teller, Exh. No. JET-1T, 5:20- 21</w:t>
      </w:r>
    </w:p>
  </w:footnote>
  <w:footnote w:id="25">
    <w:p w:rsidR="00D628D2" w:rsidRDefault="00D628D2" w:rsidP="006F6A0E">
      <w:pPr>
        <w:pStyle w:val="FootnoteText"/>
        <w:ind w:firstLine="0"/>
      </w:pPr>
      <w:r>
        <w:rPr>
          <w:rStyle w:val="FootnoteReference"/>
        </w:rPr>
        <w:footnoteRef/>
      </w:r>
      <w:r>
        <w:t xml:space="preserve"> Exh. No. AF-6.</w:t>
      </w:r>
    </w:p>
  </w:footnote>
  <w:footnote w:id="26">
    <w:p w:rsidR="00D628D2" w:rsidRDefault="00D628D2" w:rsidP="006F6A0E">
      <w:pPr>
        <w:pStyle w:val="FootnoteText"/>
        <w:ind w:firstLine="0"/>
      </w:pPr>
      <w:r>
        <w:rPr>
          <w:rStyle w:val="FootnoteReference"/>
        </w:rPr>
        <w:footnoteRef/>
      </w:r>
      <w:r>
        <w:t xml:space="preserve"> Exh. No.  MBM-50</w:t>
      </w:r>
    </w:p>
  </w:footnote>
  <w:footnote w:id="27">
    <w:p w:rsidR="00D628D2" w:rsidRDefault="00D628D2" w:rsidP="00394233">
      <w:pPr>
        <w:pStyle w:val="FootnoteText"/>
        <w:ind w:firstLine="0"/>
      </w:pPr>
      <w:r>
        <w:rPr>
          <w:rStyle w:val="FootnoteReference"/>
        </w:rPr>
        <w:footnoteRef/>
      </w:r>
      <w:r>
        <w:t xml:space="preserve"> Exh. No. PC-1 Att1</w:t>
      </w:r>
    </w:p>
  </w:footnote>
  <w:footnote w:id="28">
    <w:p w:rsidR="00D628D2" w:rsidRDefault="00D628D2" w:rsidP="00970E4F">
      <w:pPr>
        <w:pStyle w:val="FootnoteText"/>
        <w:ind w:firstLine="0"/>
      </w:pPr>
      <w:r>
        <w:rPr>
          <w:rStyle w:val="FootnoteReference"/>
        </w:rPr>
        <w:footnoteRef/>
      </w:r>
      <w:r>
        <w:t xml:space="preserve"> McCulloch, Exh. No. MBM-1T, 4:1-10</w:t>
      </w:r>
    </w:p>
  </w:footnote>
  <w:footnote w:id="29">
    <w:p w:rsidR="00D628D2" w:rsidRDefault="00D628D2" w:rsidP="00530276">
      <w:pPr>
        <w:pStyle w:val="FootnoteText"/>
        <w:ind w:firstLine="0"/>
      </w:pPr>
      <w:r>
        <w:rPr>
          <w:rStyle w:val="FootnoteReference"/>
        </w:rPr>
        <w:footnoteRef/>
      </w:r>
      <w:r>
        <w:t xml:space="preserve"> Exh. No. MBM-13HC</w:t>
      </w:r>
    </w:p>
  </w:footnote>
  <w:footnote w:id="30">
    <w:p w:rsidR="00D628D2" w:rsidRDefault="00D628D2" w:rsidP="00530276">
      <w:pPr>
        <w:pStyle w:val="FootnoteText"/>
        <w:ind w:firstLine="0"/>
      </w:pPr>
      <w:r>
        <w:rPr>
          <w:rStyle w:val="FootnoteReference"/>
        </w:rPr>
        <w:footnoteRef/>
      </w:r>
      <w:r>
        <w:t xml:space="preserve"> e.g., McCulloch, TR 333:11- 15</w:t>
      </w:r>
    </w:p>
  </w:footnote>
  <w:footnote w:id="31">
    <w:p w:rsidR="00D628D2" w:rsidRDefault="00D628D2" w:rsidP="00530276">
      <w:pPr>
        <w:pStyle w:val="FootnoteText"/>
        <w:ind w:firstLine="0"/>
      </w:pPr>
      <w:r>
        <w:rPr>
          <w:rStyle w:val="FootnoteReference"/>
        </w:rPr>
        <w:footnoteRef/>
      </w:r>
      <w:r>
        <w:t xml:space="preserve"> Exh. No. WEP-1T, 4:11</w:t>
      </w:r>
    </w:p>
  </w:footnote>
  <w:footnote w:id="32">
    <w:p w:rsidR="00D628D2" w:rsidRDefault="00D628D2" w:rsidP="00394233">
      <w:pPr>
        <w:pStyle w:val="FootnoteText"/>
        <w:ind w:firstLine="0"/>
      </w:pPr>
      <w:r>
        <w:rPr>
          <w:rStyle w:val="FootnoteReference"/>
        </w:rPr>
        <w:footnoteRef/>
      </w:r>
      <w:r>
        <w:t xml:space="preserve"> McCulloch, Exh. No. MBM-1T, 17:17- 23, and Exh. No. MBM-7T, 4:5- 8</w:t>
      </w:r>
    </w:p>
  </w:footnote>
  <w:footnote w:id="33">
    <w:p w:rsidR="00D628D2" w:rsidRDefault="00D628D2" w:rsidP="00394233">
      <w:pPr>
        <w:pStyle w:val="FootnoteText"/>
        <w:ind w:firstLine="0"/>
      </w:pPr>
      <w:r>
        <w:rPr>
          <w:rStyle w:val="FootnoteReference"/>
        </w:rPr>
        <w:footnoteRef/>
      </w:r>
      <w:r>
        <w:t xml:space="preserve"> Exh. No. LYN-9</w:t>
      </w:r>
    </w:p>
  </w:footnote>
  <w:footnote w:id="34">
    <w:p w:rsidR="00D628D2" w:rsidRDefault="00D628D2" w:rsidP="00394233">
      <w:pPr>
        <w:pStyle w:val="FootnoteText"/>
        <w:ind w:firstLine="0"/>
      </w:pPr>
      <w:r>
        <w:rPr>
          <w:rStyle w:val="FootnoteReference"/>
        </w:rPr>
        <w:footnoteRef/>
      </w:r>
      <w:r>
        <w:t xml:space="preserve"> Andrew J. Wiggen</w:t>
      </w:r>
    </w:p>
  </w:footnote>
  <w:footnote w:id="35">
    <w:p w:rsidR="00D628D2" w:rsidRDefault="00D628D2" w:rsidP="00394233">
      <w:pPr>
        <w:pStyle w:val="FootnoteText"/>
        <w:ind w:firstLine="0"/>
      </w:pPr>
      <w:r>
        <w:rPr>
          <w:rStyle w:val="FootnoteReference"/>
        </w:rPr>
        <w:footnoteRef/>
      </w:r>
      <w:r>
        <w:t xml:space="preserve"> Exh. No. MBM-56</w:t>
      </w:r>
    </w:p>
  </w:footnote>
  <w:footnote w:id="36">
    <w:p w:rsidR="00D628D2" w:rsidRDefault="00D628D2" w:rsidP="00394233">
      <w:pPr>
        <w:pStyle w:val="FootnoteText"/>
        <w:ind w:firstLine="0"/>
      </w:pPr>
      <w:r>
        <w:rPr>
          <w:rStyle w:val="FootnoteReference"/>
        </w:rPr>
        <w:footnoteRef/>
      </w:r>
      <w:r>
        <w:t xml:space="preserve"> van den Heuvel, JvdH-1T, Exh. No. 1T, 3:18- 19</w:t>
      </w:r>
    </w:p>
  </w:footnote>
  <w:footnote w:id="37">
    <w:p w:rsidR="00D628D2" w:rsidRDefault="00D628D2" w:rsidP="00394233">
      <w:pPr>
        <w:pStyle w:val="FootnoteText"/>
        <w:ind w:firstLine="0"/>
      </w:pPr>
      <w:r>
        <w:rPr>
          <w:rStyle w:val="FootnoteReference"/>
        </w:rPr>
        <w:footnoteRef/>
      </w:r>
      <w:r>
        <w:t xml:space="preserve"> </w:t>
      </w:r>
      <w:r w:rsidRPr="00834D76">
        <w:rPr>
          <w:i/>
        </w:rPr>
        <w:t xml:space="preserve">Wash. Utils. &amp; Transp. Comm’n </w:t>
      </w:r>
      <w:r>
        <w:rPr>
          <w:i/>
        </w:rPr>
        <w:t>v</w:t>
      </w:r>
      <w:r w:rsidRPr="00834D76">
        <w:rPr>
          <w:i/>
        </w:rPr>
        <w:t>. Puget Sound Energy, Dockets</w:t>
      </w:r>
      <w:r>
        <w:t>,</w:t>
      </w:r>
      <w:r w:rsidRPr="00834D76">
        <w:t xml:space="preserve"> UE-151871 </w:t>
      </w:r>
      <w:r>
        <w:t>&amp;</w:t>
      </w:r>
      <w:r w:rsidRPr="00834D76">
        <w:t xml:space="preserve"> UG-151872</w:t>
      </w:r>
      <w:r>
        <w:t>, Order 01 (Nov. </w:t>
      </w:r>
      <w:r w:rsidRPr="00834D76">
        <w:t>13, 2015</w:t>
      </w:r>
      <w:r>
        <w:t>) at 4</w:t>
      </w:r>
    </w:p>
  </w:footnote>
  <w:footnote w:id="38">
    <w:p w:rsidR="00D628D2" w:rsidRDefault="00D628D2" w:rsidP="00530276">
      <w:pPr>
        <w:pStyle w:val="FootnoteText"/>
        <w:ind w:firstLine="0"/>
      </w:pPr>
      <w:r>
        <w:rPr>
          <w:rStyle w:val="FootnoteReference"/>
        </w:rPr>
        <w:footnoteRef/>
      </w:r>
      <w:r>
        <w:t xml:space="preserve"> McCulloch, TR 336:16- 337:3</w:t>
      </w:r>
    </w:p>
  </w:footnote>
  <w:footnote w:id="39">
    <w:p w:rsidR="00D628D2" w:rsidRDefault="00D628D2" w:rsidP="00394233">
      <w:pPr>
        <w:pStyle w:val="FootnoteText"/>
        <w:ind w:firstLine="0"/>
      </w:pPr>
      <w:r>
        <w:rPr>
          <w:rStyle w:val="FootnoteReference"/>
        </w:rPr>
        <w:footnoteRef/>
      </w:r>
      <w:r>
        <w:t xml:space="preserve"> Wiggen, Exh. No. AJW-1T 3:12- 21</w:t>
      </w:r>
    </w:p>
  </w:footnote>
  <w:footnote w:id="40">
    <w:p w:rsidR="00D628D2" w:rsidRDefault="00D628D2" w:rsidP="00394233">
      <w:pPr>
        <w:pStyle w:val="FootnoteText"/>
        <w:ind w:firstLine="0"/>
      </w:pPr>
      <w:r>
        <w:rPr>
          <w:rStyle w:val="FootnoteReference"/>
        </w:rPr>
        <w:footnoteRef/>
      </w:r>
      <w:r>
        <w:t xml:space="preserve"> </w:t>
      </w:r>
      <w:r w:rsidRPr="00834D76">
        <w:rPr>
          <w:i/>
        </w:rPr>
        <w:t xml:space="preserve">Wash. Utils. &amp; Transp. Comm’n </w:t>
      </w:r>
      <w:r>
        <w:rPr>
          <w:i/>
        </w:rPr>
        <w:t>v</w:t>
      </w:r>
      <w:r w:rsidRPr="00834D76">
        <w:rPr>
          <w:i/>
        </w:rPr>
        <w:t>. Puget Sound Energy, Dockets</w:t>
      </w:r>
      <w:r>
        <w:t>,</w:t>
      </w:r>
      <w:r w:rsidRPr="00834D76">
        <w:t xml:space="preserve"> UE-151871 </w:t>
      </w:r>
      <w:r>
        <w:t>&amp;</w:t>
      </w:r>
      <w:r w:rsidRPr="00834D76">
        <w:t xml:space="preserve"> UG-151872</w:t>
      </w:r>
      <w:r>
        <w:t>, Order 01 (Nov. </w:t>
      </w:r>
      <w:r w:rsidRPr="00834D76">
        <w:t>13, 2015</w:t>
      </w:r>
      <w:r>
        <w:t>) at 4</w:t>
      </w:r>
    </w:p>
  </w:footnote>
  <w:footnote w:id="41">
    <w:p w:rsidR="00D628D2" w:rsidRDefault="00D628D2" w:rsidP="00394233">
      <w:pPr>
        <w:pStyle w:val="FootnoteText"/>
        <w:ind w:firstLine="0"/>
      </w:pPr>
      <w:r>
        <w:rPr>
          <w:rStyle w:val="FootnoteReference"/>
        </w:rPr>
        <w:footnoteRef/>
      </w:r>
      <w:r>
        <w:t xml:space="preserve"> Exh. No. BTC-4</w:t>
      </w:r>
    </w:p>
  </w:footnote>
  <w:footnote w:id="42">
    <w:p w:rsidR="00D628D2" w:rsidRDefault="00D628D2" w:rsidP="00E34BBE">
      <w:pPr>
        <w:pStyle w:val="FootnoteText"/>
        <w:ind w:firstLine="0"/>
      </w:pPr>
      <w:r>
        <w:rPr>
          <w:rStyle w:val="FootnoteReference"/>
        </w:rPr>
        <w:footnoteRef/>
      </w:r>
      <w:r>
        <w:t xml:space="preserve"> McCulloch, Exh. No. </w:t>
      </w:r>
      <w:r w:rsidRPr="00F658C0">
        <w:rPr>
          <w:lang w:val="fr-FR"/>
        </w:rPr>
        <w:t xml:space="preserve">MBM-1T, 4:1-10  </w:t>
      </w:r>
    </w:p>
  </w:footnote>
  <w:footnote w:id="43">
    <w:p w:rsidR="00D628D2" w:rsidRDefault="00D628D2" w:rsidP="00E34BBE">
      <w:pPr>
        <w:pStyle w:val="FootnoteText"/>
        <w:ind w:firstLine="0"/>
      </w:pPr>
      <w:r>
        <w:rPr>
          <w:rStyle w:val="FootnoteReference"/>
        </w:rPr>
        <w:footnoteRef/>
      </w:r>
      <w:r w:rsidRPr="00F658C0">
        <w:rPr>
          <w:lang w:val="fr-FR"/>
        </w:rPr>
        <w:t xml:space="preserve"> E.g.,Exh. Nos.  </w:t>
      </w:r>
      <w:r>
        <w:t>MBM-26 and MBM-46</w:t>
      </w:r>
    </w:p>
  </w:footnote>
  <w:footnote w:id="44">
    <w:p w:rsidR="00D628D2" w:rsidRDefault="00D628D2" w:rsidP="001F3983">
      <w:pPr>
        <w:pStyle w:val="FootnoteText"/>
        <w:ind w:firstLine="0"/>
      </w:pPr>
      <w:r>
        <w:rPr>
          <w:rStyle w:val="FootnoteReference"/>
        </w:rPr>
        <w:footnoteRef/>
      </w:r>
      <w:r>
        <w:t xml:space="preserve"> Exh. No. MBM-29</w:t>
      </w:r>
    </w:p>
  </w:footnote>
  <w:footnote w:id="45">
    <w:p w:rsidR="00D628D2" w:rsidRDefault="00D628D2" w:rsidP="00BF0C7F">
      <w:pPr>
        <w:pStyle w:val="FootnoteText"/>
        <w:ind w:firstLine="0"/>
      </w:pPr>
      <w:r>
        <w:rPr>
          <w:rStyle w:val="FootnoteReference"/>
        </w:rPr>
        <w:footnoteRef/>
      </w:r>
      <w:r>
        <w:t xml:space="preserve"> 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D2" w:rsidRDefault="00D628D2">
    <w:r>
      <w:rPr>
        <w:noProof/>
      </w:rPr>
      <w:pict>
        <v:line id="Line 2" o:spid="_x0000_s2049" style="position:absolute;z-index:251658240;visibility:visible;mso-position-horizontal-relative:margin;mso-position-vertical-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" o:allowincell="f" stroked="f">
          <v:stroke startarrowwidth="narrow" startarrowlength="short" endarrowwidth="narrow" endarrowlength="short"/>
          <w10:wrap anchorx="margin"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D2" w:rsidRDefault="00D628D2">
    <w:r>
      <w:rPr>
        <w:noProof/>
      </w:rPr>
      <w:pict>
        <v:line id="Line 1" o:spid="_x0000_s2050" style="position:absolute;z-index:251657216;visibility:visible;mso-position-horizontal-relative:margin;mso-position-vertical-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" o:allowincell="f" stroked="f">
          <v:stroke startarrowwidth="narrow" startarrowlength="short" endarrowwidth="narrow" endarrowlength="short"/>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2565640"/>
    <w:lvl w:ilvl="0">
      <w:start w:val="1"/>
      <w:numFmt w:val="upperRoman"/>
      <w:lvlText w:val="%1."/>
      <w:lvlJc w:val="right"/>
      <w:pPr>
        <w:tabs>
          <w:tab w:val="num" w:pos="180"/>
        </w:tabs>
        <w:ind w:left="180" w:hanging="180"/>
      </w:pPr>
      <w:rPr>
        <w:rFonts w:cs="Times New Roman"/>
      </w:rPr>
    </w:lvl>
    <w:lvl w:ilvl="1">
      <w:start w:val="1"/>
      <w:numFmt w:val="upperLetter"/>
      <w:pStyle w:val="Heading2"/>
      <w:lvlText w:val="%2."/>
      <w:lvlJc w:val="left"/>
      <w:pPr>
        <w:tabs>
          <w:tab w:val="num" w:pos="0"/>
        </w:tabs>
        <w:ind w:left="720" w:hanging="720"/>
      </w:pPr>
      <w:rPr>
        <w:rFonts w:cs="Times New Roman"/>
      </w:rPr>
    </w:lvl>
    <w:lvl w:ilvl="2">
      <w:start w:val="1"/>
      <w:numFmt w:val="decimal"/>
      <w:pStyle w:val="Heading3"/>
      <w:lvlText w:val="%3."/>
      <w:lvlJc w:val="left"/>
      <w:pPr>
        <w:tabs>
          <w:tab w:val="num" w:pos="0"/>
        </w:tabs>
        <w:ind w:left="1440" w:hanging="720"/>
      </w:pPr>
      <w:rPr>
        <w:rFonts w:cs="Times New Roman"/>
      </w:rPr>
    </w:lvl>
    <w:lvl w:ilvl="3">
      <w:start w:val="1"/>
      <w:numFmt w:val="lowerLetter"/>
      <w:pStyle w:val="Heading4"/>
      <w:lvlText w:val="%4."/>
      <w:lvlJc w:val="left"/>
      <w:pPr>
        <w:tabs>
          <w:tab w:val="num" w:pos="0"/>
        </w:tabs>
        <w:ind w:left="2160" w:hanging="720"/>
      </w:pPr>
      <w:rPr>
        <w:rFonts w:cs="Times New Roman"/>
      </w:rPr>
    </w:lvl>
    <w:lvl w:ilvl="4">
      <w:start w:val="1"/>
      <w:numFmt w:val="decimal"/>
      <w:pStyle w:val="Heading5"/>
      <w:lvlText w:val="(%5)"/>
      <w:lvlJc w:val="left"/>
      <w:pPr>
        <w:tabs>
          <w:tab w:val="num" w:pos="0"/>
        </w:tabs>
        <w:ind w:left="2880" w:hanging="720"/>
      </w:pPr>
      <w:rPr>
        <w:rFonts w:cs="Times New Roman"/>
      </w:rPr>
    </w:lvl>
    <w:lvl w:ilvl="5">
      <w:start w:val="1"/>
      <w:numFmt w:val="lowerLetter"/>
      <w:pStyle w:val="Heading6"/>
      <w:lvlText w:val="(%6)"/>
      <w:lvlJc w:val="left"/>
      <w:pPr>
        <w:tabs>
          <w:tab w:val="num" w:pos="0"/>
        </w:tabs>
        <w:ind w:left="3600" w:hanging="720"/>
      </w:pPr>
      <w:rPr>
        <w:rFonts w:cs="Times New Roman"/>
      </w:rPr>
    </w:lvl>
    <w:lvl w:ilvl="6">
      <w:start w:val="1"/>
      <w:numFmt w:val="decimal"/>
      <w:pStyle w:val="Heading7"/>
      <w:lvlText w:val="%7)"/>
      <w:lvlJc w:val="left"/>
      <w:pPr>
        <w:tabs>
          <w:tab w:val="num" w:pos="4320"/>
        </w:tabs>
        <w:ind w:left="4320" w:hanging="720"/>
      </w:pPr>
      <w:rPr>
        <w:rFonts w:cs="Times New Roman"/>
      </w:rPr>
    </w:lvl>
    <w:lvl w:ilvl="7">
      <w:start w:val="1"/>
      <w:numFmt w:val="lowerLetter"/>
      <w:pStyle w:val="Heading8"/>
      <w:lvlText w:val="%8)"/>
      <w:lvlJc w:val="left"/>
      <w:pPr>
        <w:tabs>
          <w:tab w:val="num" w:pos="0"/>
        </w:tabs>
        <w:ind w:left="5040" w:hanging="720"/>
      </w:pPr>
      <w:rPr>
        <w:rFonts w:cs="Times New Roman"/>
      </w:rPr>
    </w:lvl>
    <w:lvl w:ilvl="8">
      <w:start w:val="1"/>
      <w:numFmt w:val="lowerRoman"/>
      <w:pStyle w:val="Heading9"/>
      <w:lvlText w:val="%9)"/>
      <w:lvlJc w:val="left"/>
      <w:pPr>
        <w:tabs>
          <w:tab w:val="num" w:pos="0"/>
        </w:tabs>
        <w:ind w:left="5760" w:hanging="720"/>
      </w:pPr>
      <w:rPr>
        <w:rFonts w:cs="Times New Roman"/>
      </w:rPr>
    </w:lvl>
  </w:abstractNum>
  <w:abstractNum w:abstractNumId="1">
    <w:nsid w:val="04974872"/>
    <w:multiLevelType w:val="multilevel"/>
    <w:tmpl w:val="B75E41E4"/>
    <w:lvl w:ilvl="0">
      <w:start w:val="1"/>
      <w:numFmt w:val="upperLetter"/>
      <w:lvlText w:val="%1."/>
      <w:lvlJc w:val="left"/>
      <w:pPr>
        <w:ind w:left="900" w:hanging="360"/>
      </w:pPr>
      <w:rPr>
        <w:rFonts w:cs="Times New Roman" w:hint="default"/>
      </w:rPr>
    </w:lvl>
    <w:lvl w:ilvl="1">
      <w:start w:val="1"/>
      <w:numFmt w:val="decimal"/>
      <w:lvlText w:val="%2"/>
      <w:lvlJc w:val="right"/>
      <w:pPr>
        <w:tabs>
          <w:tab w:val="num" w:pos="1260"/>
        </w:tabs>
        <w:ind w:hanging="720"/>
      </w:pPr>
      <w:rPr>
        <w:rFonts w:ascii="Times New Roman" w:hAnsi="Times New Roman" w:cs="Times New Roman" w:hint="default"/>
        <w:b w:val="0"/>
        <w:i/>
        <w:sz w:val="20"/>
        <w:szCs w:val="20"/>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2">
    <w:nsid w:val="09261D34"/>
    <w:multiLevelType w:val="hybridMultilevel"/>
    <w:tmpl w:val="887206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262FD8"/>
    <w:multiLevelType w:val="multilevel"/>
    <w:tmpl w:val="A760AB60"/>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1E21AED"/>
    <w:multiLevelType w:val="multilevel"/>
    <w:tmpl w:val="0072619C"/>
    <w:lvl w:ilvl="0">
      <w:start w:val="1"/>
      <w:numFmt w:val="upperRoman"/>
      <w:lvlText w:val="%1."/>
      <w:lvlJc w:val="right"/>
      <w:pPr>
        <w:tabs>
          <w:tab w:val="num" w:pos="180"/>
        </w:tabs>
        <w:ind w:left="180" w:hanging="180"/>
      </w:pPr>
      <w:rPr>
        <w:rFonts w:cs="Times New Roman"/>
      </w:rPr>
    </w:lvl>
    <w:lvl w:ilvl="1">
      <w:start w:val="1"/>
      <w:numFmt w:val="upperLetter"/>
      <w:lvlText w:val="%2."/>
      <w:lvlJc w:val="left"/>
      <w:pPr>
        <w:tabs>
          <w:tab w:val="num" w:pos="0"/>
        </w:tabs>
        <w:ind w:left="720" w:hanging="720"/>
      </w:pPr>
      <w:rPr>
        <w:rFonts w:cs="Times New Roman"/>
      </w:rPr>
    </w:lvl>
    <w:lvl w:ilvl="2">
      <w:start w:val="1"/>
      <w:numFmt w:val="decimal"/>
      <w:lvlText w:val="%3."/>
      <w:lvlJc w:val="left"/>
      <w:pPr>
        <w:tabs>
          <w:tab w:val="num" w:pos="0"/>
        </w:tabs>
        <w:ind w:left="1440" w:hanging="720"/>
      </w:pPr>
      <w:rPr>
        <w:rFonts w:cs="Times New Roman"/>
      </w:rPr>
    </w:lvl>
    <w:lvl w:ilvl="3">
      <w:start w:val="1"/>
      <w:numFmt w:val="lowerLetter"/>
      <w:lvlText w:val="%4."/>
      <w:lvlJc w:val="left"/>
      <w:pPr>
        <w:tabs>
          <w:tab w:val="num" w:pos="0"/>
        </w:tabs>
        <w:ind w:left="2160" w:hanging="720"/>
      </w:pPr>
      <w:rPr>
        <w:rFonts w:cs="Times New Roman"/>
      </w:rPr>
    </w:lvl>
    <w:lvl w:ilvl="4">
      <w:start w:val="1"/>
      <w:numFmt w:val="decimal"/>
      <w:lvlText w:val="(%5)"/>
      <w:lvlJc w:val="left"/>
      <w:pPr>
        <w:tabs>
          <w:tab w:val="num" w:pos="0"/>
        </w:tabs>
        <w:ind w:left="2880" w:hanging="720"/>
      </w:pPr>
      <w:rPr>
        <w:rFonts w:cs="Times New Roman"/>
      </w:rPr>
    </w:lvl>
    <w:lvl w:ilvl="5">
      <w:start w:val="1"/>
      <w:numFmt w:val="lowerLetter"/>
      <w:lvlText w:val="(%6)"/>
      <w:lvlJc w:val="left"/>
      <w:pPr>
        <w:tabs>
          <w:tab w:val="num" w:pos="0"/>
        </w:tabs>
        <w:ind w:left="3600" w:hanging="720"/>
      </w:pPr>
      <w:rPr>
        <w:rFonts w:cs="Times New Roman"/>
      </w:rPr>
    </w:lvl>
    <w:lvl w:ilvl="6">
      <w:start w:val="1"/>
      <w:numFmt w:val="decimal"/>
      <w:lvlText w:val="%7)"/>
      <w:lvlJc w:val="left"/>
      <w:pPr>
        <w:tabs>
          <w:tab w:val="num" w:pos="4320"/>
        </w:tabs>
        <w:ind w:left="4320" w:hanging="720"/>
      </w:pPr>
      <w:rPr>
        <w:rFonts w:cs="Times New Roman"/>
      </w:rPr>
    </w:lvl>
    <w:lvl w:ilvl="7">
      <w:start w:val="1"/>
      <w:numFmt w:val="lowerLetter"/>
      <w:lvlText w:val="%8)"/>
      <w:lvlJc w:val="left"/>
      <w:pPr>
        <w:tabs>
          <w:tab w:val="num" w:pos="0"/>
        </w:tabs>
        <w:ind w:left="5040" w:hanging="720"/>
      </w:pPr>
      <w:rPr>
        <w:rFonts w:cs="Times New Roman"/>
      </w:rPr>
    </w:lvl>
    <w:lvl w:ilvl="8">
      <w:start w:val="1"/>
      <w:numFmt w:val="lowerRoman"/>
      <w:lvlText w:val="%9)"/>
      <w:lvlJc w:val="left"/>
      <w:pPr>
        <w:tabs>
          <w:tab w:val="num" w:pos="0"/>
        </w:tabs>
        <w:ind w:left="5760" w:hanging="720"/>
      </w:pPr>
      <w:rPr>
        <w:rFonts w:cs="Times New Roman"/>
      </w:rPr>
    </w:lvl>
  </w:abstractNum>
  <w:abstractNum w:abstractNumId="5">
    <w:nsid w:val="25AD1491"/>
    <w:multiLevelType w:val="multilevel"/>
    <w:tmpl w:val="0ADA8BCA"/>
    <w:lvl w:ilvl="0">
      <w:start w:val="3"/>
      <w:numFmt w:val="upperLetter"/>
      <w:lvlText w:val="%1."/>
      <w:lvlJc w:val="left"/>
      <w:pPr>
        <w:tabs>
          <w:tab w:val="num" w:pos="900"/>
        </w:tabs>
        <w:ind w:left="900" w:hanging="360"/>
      </w:pPr>
      <w:rPr>
        <w:rFonts w:cs="Times New Roman" w:hint="default"/>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6">
    <w:nsid w:val="2931781C"/>
    <w:multiLevelType w:val="hybridMultilevel"/>
    <w:tmpl w:val="A760AB60"/>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E9E2551"/>
    <w:multiLevelType w:val="hybridMultilevel"/>
    <w:tmpl w:val="80AE1BD6"/>
    <w:lvl w:ilvl="0" w:tplc="04090013">
      <w:start w:val="1"/>
      <w:numFmt w:val="upperRoman"/>
      <w:lvlText w:val="%1."/>
      <w:lvlJc w:val="right"/>
      <w:pPr>
        <w:tabs>
          <w:tab w:val="num" w:pos="900"/>
        </w:tabs>
        <w:ind w:left="900" w:hanging="18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8">
    <w:nsid w:val="34C246CB"/>
    <w:multiLevelType w:val="multilevel"/>
    <w:tmpl w:val="F29048C4"/>
    <w:lvl w:ilvl="0">
      <w:start w:val="1"/>
      <w:numFmt w:val="upperLetter"/>
      <w:lvlText w:val="%1."/>
      <w:lvlJc w:val="left"/>
      <w:pPr>
        <w:ind w:left="900" w:hanging="360"/>
      </w:pPr>
      <w:rPr>
        <w:rFonts w:cs="Times New Roman" w:hint="default"/>
      </w:rPr>
    </w:lvl>
    <w:lvl w:ilvl="1">
      <w:start w:val="1"/>
      <w:numFmt w:val="decimal"/>
      <w:lvlText w:val="%2"/>
      <w:lvlJc w:val="left"/>
      <w:pPr>
        <w:tabs>
          <w:tab w:val="num" w:pos="96"/>
        </w:tabs>
        <w:ind w:left="96" w:hanging="816"/>
      </w:pPr>
      <w:rPr>
        <w:rFonts w:cs="Times New Roman" w:hint="default"/>
        <w:b w:val="0"/>
        <w:bCs w:val="0"/>
        <w:i/>
        <w:iCs/>
        <w:color w:val="auto"/>
        <w:sz w:val="18"/>
        <w:szCs w:val="18"/>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9">
    <w:nsid w:val="3546722C"/>
    <w:multiLevelType w:val="multilevel"/>
    <w:tmpl w:val="3CEE07EE"/>
    <w:lvl w:ilvl="0">
      <w:start w:val="1"/>
      <w:numFmt w:val="upperLetter"/>
      <w:lvlText w:val="%1."/>
      <w:lvlJc w:val="left"/>
      <w:pPr>
        <w:ind w:left="900" w:hanging="360"/>
      </w:pPr>
      <w:rPr>
        <w:rFonts w:cs="Times New Roman" w:hint="default"/>
      </w:rPr>
    </w:lvl>
    <w:lvl w:ilvl="1">
      <w:start w:val="1"/>
      <w:numFmt w:val="decimal"/>
      <w:lvlText w:val="%2"/>
      <w:lvlJc w:val="right"/>
      <w:pPr>
        <w:tabs>
          <w:tab w:val="num" w:pos="0"/>
        </w:tabs>
        <w:ind w:hanging="720"/>
      </w:pPr>
      <w:rPr>
        <w:rFonts w:ascii="Times New Roman" w:hAnsi="Times New Roman" w:cs="Times New Roman" w:hint="default"/>
        <w:b w:val="0"/>
        <w:i/>
        <w:sz w:val="20"/>
        <w:szCs w:val="20"/>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0">
    <w:nsid w:val="3E365B9D"/>
    <w:multiLevelType w:val="hybridMultilevel"/>
    <w:tmpl w:val="A250749C"/>
    <w:lvl w:ilvl="0" w:tplc="04090015">
      <w:start w:val="1"/>
      <w:numFmt w:val="upperLetter"/>
      <w:lvlText w:val="%1."/>
      <w:lvlJc w:val="left"/>
      <w:pPr>
        <w:ind w:left="900" w:hanging="360"/>
      </w:pPr>
      <w:rPr>
        <w:rFonts w:cs="Times New Roman" w:hint="default"/>
      </w:rPr>
    </w:lvl>
    <w:lvl w:ilvl="1" w:tplc="CFA0BFA6">
      <w:start w:val="1"/>
      <w:numFmt w:val="decimal"/>
      <w:lvlText w:val="%2"/>
      <w:lvlJc w:val="left"/>
      <w:pPr>
        <w:tabs>
          <w:tab w:val="num" w:pos="96"/>
        </w:tabs>
        <w:ind w:left="96" w:hanging="816"/>
      </w:pPr>
      <w:rPr>
        <w:rFonts w:cs="Times New Roman" w:hint="default"/>
        <w:b w:val="0"/>
        <w:bCs w:val="0"/>
        <w:i/>
        <w:iCs/>
        <w:color w:val="auto"/>
        <w:sz w:val="18"/>
        <w:szCs w:val="18"/>
      </w:rPr>
    </w:lvl>
    <w:lvl w:ilvl="2" w:tplc="D148775C">
      <w:start w:val="1"/>
      <w:numFmt w:val="decimal"/>
      <w:lvlText w:val="%3"/>
      <w:lvlJc w:val="right"/>
      <w:pPr>
        <w:tabs>
          <w:tab w:val="num" w:pos="2160"/>
        </w:tabs>
        <w:ind w:hanging="720"/>
      </w:pPr>
      <w:rPr>
        <w:rFonts w:ascii="Times New Roman" w:hAnsi="Times New Roman" w:cs="Times New Roman" w:hint="default"/>
        <w:b w:val="0"/>
        <w:i/>
        <w:sz w:val="20"/>
        <w:szCs w:val="20"/>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1">
    <w:nsid w:val="3F333C9C"/>
    <w:multiLevelType w:val="multilevel"/>
    <w:tmpl w:val="F09AF0FC"/>
    <w:lvl w:ilvl="0">
      <w:start w:val="1"/>
      <w:numFmt w:val="upperRoman"/>
      <w:lvlText w:val="%1."/>
      <w:lvlJc w:val="right"/>
      <w:pPr>
        <w:tabs>
          <w:tab w:val="num" w:pos="180"/>
        </w:tabs>
        <w:ind w:left="180" w:hanging="180"/>
      </w:pPr>
      <w:rPr>
        <w:rFonts w:cs="Times New Roman"/>
      </w:rPr>
    </w:lvl>
    <w:lvl w:ilvl="1">
      <w:start w:val="1"/>
      <w:numFmt w:val="upperLetter"/>
      <w:lvlText w:val="%2."/>
      <w:lvlJc w:val="left"/>
      <w:pPr>
        <w:tabs>
          <w:tab w:val="num" w:pos="0"/>
        </w:tabs>
        <w:ind w:left="720" w:hanging="720"/>
      </w:pPr>
      <w:rPr>
        <w:rFonts w:cs="Times New Roman"/>
      </w:rPr>
    </w:lvl>
    <w:lvl w:ilvl="2">
      <w:start w:val="1"/>
      <w:numFmt w:val="decimal"/>
      <w:lvlText w:val="%3."/>
      <w:lvlJc w:val="left"/>
      <w:pPr>
        <w:tabs>
          <w:tab w:val="num" w:pos="0"/>
        </w:tabs>
        <w:ind w:left="1440" w:hanging="720"/>
      </w:pPr>
      <w:rPr>
        <w:rFonts w:cs="Times New Roman"/>
      </w:rPr>
    </w:lvl>
    <w:lvl w:ilvl="3">
      <w:start w:val="1"/>
      <w:numFmt w:val="lowerLetter"/>
      <w:lvlText w:val="%4."/>
      <w:lvlJc w:val="left"/>
      <w:pPr>
        <w:tabs>
          <w:tab w:val="num" w:pos="0"/>
        </w:tabs>
        <w:ind w:left="2160" w:hanging="720"/>
      </w:pPr>
      <w:rPr>
        <w:rFonts w:cs="Times New Roman"/>
      </w:rPr>
    </w:lvl>
    <w:lvl w:ilvl="4">
      <w:start w:val="1"/>
      <w:numFmt w:val="decimal"/>
      <w:lvlText w:val="(%5)"/>
      <w:lvlJc w:val="left"/>
      <w:pPr>
        <w:tabs>
          <w:tab w:val="num" w:pos="0"/>
        </w:tabs>
        <w:ind w:left="2880" w:hanging="720"/>
      </w:pPr>
      <w:rPr>
        <w:rFonts w:cs="Times New Roman"/>
      </w:rPr>
    </w:lvl>
    <w:lvl w:ilvl="5">
      <w:start w:val="1"/>
      <w:numFmt w:val="lowerLetter"/>
      <w:lvlText w:val="(%6)"/>
      <w:lvlJc w:val="left"/>
      <w:pPr>
        <w:tabs>
          <w:tab w:val="num" w:pos="0"/>
        </w:tabs>
        <w:ind w:left="3600" w:hanging="720"/>
      </w:pPr>
      <w:rPr>
        <w:rFonts w:cs="Times New Roman"/>
      </w:rPr>
    </w:lvl>
    <w:lvl w:ilvl="6">
      <w:start w:val="1"/>
      <w:numFmt w:val="decimal"/>
      <w:lvlText w:val="%7)"/>
      <w:lvlJc w:val="left"/>
      <w:pPr>
        <w:tabs>
          <w:tab w:val="num" w:pos="4320"/>
        </w:tabs>
        <w:ind w:left="4320" w:hanging="720"/>
      </w:pPr>
      <w:rPr>
        <w:rFonts w:cs="Times New Roman"/>
      </w:rPr>
    </w:lvl>
    <w:lvl w:ilvl="7">
      <w:start w:val="1"/>
      <w:numFmt w:val="lowerLetter"/>
      <w:lvlText w:val="%8)"/>
      <w:lvlJc w:val="left"/>
      <w:pPr>
        <w:tabs>
          <w:tab w:val="num" w:pos="0"/>
        </w:tabs>
        <w:ind w:left="5040" w:hanging="720"/>
      </w:pPr>
      <w:rPr>
        <w:rFonts w:cs="Times New Roman"/>
      </w:rPr>
    </w:lvl>
    <w:lvl w:ilvl="8">
      <w:start w:val="1"/>
      <w:numFmt w:val="lowerRoman"/>
      <w:lvlText w:val="%9)"/>
      <w:lvlJc w:val="left"/>
      <w:pPr>
        <w:tabs>
          <w:tab w:val="num" w:pos="0"/>
        </w:tabs>
        <w:ind w:left="5760" w:hanging="720"/>
      </w:pPr>
      <w:rPr>
        <w:rFonts w:cs="Times New Roman"/>
      </w:rPr>
    </w:lvl>
  </w:abstractNum>
  <w:abstractNum w:abstractNumId="12">
    <w:nsid w:val="3F863159"/>
    <w:multiLevelType w:val="multilevel"/>
    <w:tmpl w:val="A250749C"/>
    <w:lvl w:ilvl="0">
      <w:start w:val="1"/>
      <w:numFmt w:val="upperLetter"/>
      <w:lvlText w:val="%1."/>
      <w:lvlJc w:val="left"/>
      <w:pPr>
        <w:ind w:left="900" w:hanging="360"/>
      </w:pPr>
      <w:rPr>
        <w:rFonts w:cs="Times New Roman" w:hint="default"/>
      </w:rPr>
    </w:lvl>
    <w:lvl w:ilvl="1">
      <w:start w:val="1"/>
      <w:numFmt w:val="decimal"/>
      <w:lvlText w:val="%2"/>
      <w:lvlJc w:val="left"/>
      <w:pPr>
        <w:tabs>
          <w:tab w:val="num" w:pos="96"/>
        </w:tabs>
        <w:ind w:left="96" w:hanging="816"/>
      </w:pPr>
      <w:rPr>
        <w:rFonts w:cs="Times New Roman" w:hint="default"/>
        <w:b w:val="0"/>
        <w:bCs w:val="0"/>
        <w:i/>
        <w:iCs/>
        <w:color w:val="auto"/>
        <w:sz w:val="18"/>
        <w:szCs w:val="18"/>
      </w:rPr>
    </w:lvl>
    <w:lvl w:ilvl="2">
      <w:start w:val="1"/>
      <w:numFmt w:val="decimal"/>
      <w:lvlText w:val="%3"/>
      <w:lvlJc w:val="right"/>
      <w:pPr>
        <w:tabs>
          <w:tab w:val="num" w:pos="2160"/>
        </w:tabs>
        <w:ind w:hanging="720"/>
      </w:pPr>
      <w:rPr>
        <w:rFonts w:ascii="Times New Roman" w:hAnsi="Times New Roman" w:cs="Times New Roman" w:hint="default"/>
        <w:b w:val="0"/>
        <w:i/>
        <w:sz w:val="20"/>
        <w:szCs w:val="20"/>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3">
    <w:nsid w:val="44437D3E"/>
    <w:multiLevelType w:val="multilevel"/>
    <w:tmpl w:val="D71A9EBC"/>
    <w:lvl w:ilvl="0">
      <w:start w:val="1"/>
      <w:numFmt w:val="upperRoman"/>
      <w:lvlText w:val="%1."/>
      <w:lvlJc w:val="left"/>
      <w:pPr>
        <w:tabs>
          <w:tab w:val="num" w:pos="0"/>
        </w:tabs>
        <w:ind w:left="720" w:hanging="720"/>
      </w:pPr>
      <w:rPr>
        <w:rFonts w:cs="Times New Roman"/>
      </w:rPr>
    </w:lvl>
    <w:lvl w:ilvl="1">
      <w:start w:val="1"/>
      <w:numFmt w:val="upperLetter"/>
      <w:lvlText w:val="%2."/>
      <w:lvlJc w:val="left"/>
      <w:pPr>
        <w:tabs>
          <w:tab w:val="num" w:pos="0"/>
        </w:tabs>
        <w:ind w:left="720" w:hanging="720"/>
      </w:pPr>
      <w:rPr>
        <w:rFonts w:cs="Times New Roman"/>
      </w:rPr>
    </w:lvl>
    <w:lvl w:ilvl="2">
      <w:start w:val="1"/>
      <w:numFmt w:val="decimal"/>
      <w:lvlText w:val="%3."/>
      <w:lvlJc w:val="left"/>
      <w:pPr>
        <w:tabs>
          <w:tab w:val="num" w:pos="0"/>
        </w:tabs>
        <w:ind w:left="1440" w:hanging="720"/>
      </w:pPr>
      <w:rPr>
        <w:rFonts w:cs="Times New Roman"/>
      </w:rPr>
    </w:lvl>
    <w:lvl w:ilvl="3">
      <w:start w:val="1"/>
      <w:numFmt w:val="lowerLetter"/>
      <w:lvlText w:val="%4."/>
      <w:lvlJc w:val="left"/>
      <w:pPr>
        <w:tabs>
          <w:tab w:val="num" w:pos="0"/>
        </w:tabs>
        <w:ind w:left="2160" w:hanging="720"/>
      </w:pPr>
      <w:rPr>
        <w:rFonts w:cs="Times New Roman"/>
      </w:rPr>
    </w:lvl>
    <w:lvl w:ilvl="4">
      <w:start w:val="1"/>
      <w:numFmt w:val="decimal"/>
      <w:lvlText w:val="(%5)"/>
      <w:lvlJc w:val="left"/>
      <w:pPr>
        <w:tabs>
          <w:tab w:val="num" w:pos="0"/>
        </w:tabs>
        <w:ind w:left="2880" w:hanging="720"/>
      </w:pPr>
      <w:rPr>
        <w:rFonts w:cs="Times New Roman"/>
      </w:rPr>
    </w:lvl>
    <w:lvl w:ilvl="5">
      <w:start w:val="1"/>
      <w:numFmt w:val="lowerLetter"/>
      <w:lvlText w:val="(%6)"/>
      <w:lvlJc w:val="left"/>
      <w:pPr>
        <w:tabs>
          <w:tab w:val="num" w:pos="0"/>
        </w:tabs>
        <w:ind w:left="3600" w:hanging="720"/>
      </w:pPr>
      <w:rPr>
        <w:rFonts w:cs="Times New Roman"/>
      </w:rPr>
    </w:lvl>
    <w:lvl w:ilvl="6">
      <w:start w:val="1"/>
      <w:numFmt w:val="decimal"/>
      <w:lvlText w:val="%7)"/>
      <w:lvlJc w:val="left"/>
      <w:pPr>
        <w:tabs>
          <w:tab w:val="num" w:pos="4320"/>
        </w:tabs>
        <w:ind w:left="4320" w:hanging="720"/>
      </w:pPr>
      <w:rPr>
        <w:rFonts w:cs="Times New Roman"/>
      </w:rPr>
    </w:lvl>
    <w:lvl w:ilvl="7">
      <w:start w:val="1"/>
      <w:numFmt w:val="lowerLetter"/>
      <w:lvlText w:val="%8)"/>
      <w:lvlJc w:val="left"/>
      <w:pPr>
        <w:tabs>
          <w:tab w:val="num" w:pos="0"/>
        </w:tabs>
        <w:ind w:left="5040" w:hanging="720"/>
      </w:pPr>
      <w:rPr>
        <w:rFonts w:cs="Times New Roman"/>
      </w:rPr>
    </w:lvl>
    <w:lvl w:ilvl="8">
      <w:start w:val="1"/>
      <w:numFmt w:val="lowerRoman"/>
      <w:lvlText w:val="%9)"/>
      <w:lvlJc w:val="left"/>
      <w:pPr>
        <w:tabs>
          <w:tab w:val="num" w:pos="0"/>
        </w:tabs>
        <w:ind w:left="5760" w:hanging="720"/>
      </w:pPr>
      <w:rPr>
        <w:rFonts w:cs="Times New Roman"/>
      </w:rPr>
    </w:lvl>
  </w:abstractNum>
  <w:abstractNum w:abstractNumId="14">
    <w:nsid w:val="46491C21"/>
    <w:multiLevelType w:val="multilevel"/>
    <w:tmpl w:val="D71A9EBC"/>
    <w:lvl w:ilvl="0">
      <w:start w:val="1"/>
      <w:numFmt w:val="upperRoman"/>
      <w:lvlText w:val="%1."/>
      <w:lvlJc w:val="left"/>
      <w:pPr>
        <w:tabs>
          <w:tab w:val="num" w:pos="0"/>
        </w:tabs>
        <w:ind w:left="720" w:hanging="720"/>
      </w:pPr>
      <w:rPr>
        <w:rFonts w:cs="Times New Roman"/>
      </w:rPr>
    </w:lvl>
    <w:lvl w:ilvl="1">
      <w:start w:val="1"/>
      <w:numFmt w:val="upperLetter"/>
      <w:lvlText w:val="%2."/>
      <w:lvlJc w:val="left"/>
      <w:pPr>
        <w:tabs>
          <w:tab w:val="num" w:pos="0"/>
        </w:tabs>
        <w:ind w:left="720" w:hanging="720"/>
      </w:pPr>
      <w:rPr>
        <w:rFonts w:cs="Times New Roman"/>
      </w:rPr>
    </w:lvl>
    <w:lvl w:ilvl="2">
      <w:start w:val="1"/>
      <w:numFmt w:val="decimal"/>
      <w:lvlText w:val="%3."/>
      <w:lvlJc w:val="left"/>
      <w:pPr>
        <w:tabs>
          <w:tab w:val="num" w:pos="0"/>
        </w:tabs>
        <w:ind w:left="1440" w:hanging="720"/>
      </w:pPr>
      <w:rPr>
        <w:rFonts w:cs="Times New Roman"/>
      </w:rPr>
    </w:lvl>
    <w:lvl w:ilvl="3">
      <w:start w:val="1"/>
      <w:numFmt w:val="lowerLetter"/>
      <w:lvlText w:val="%4."/>
      <w:lvlJc w:val="left"/>
      <w:pPr>
        <w:tabs>
          <w:tab w:val="num" w:pos="0"/>
        </w:tabs>
        <w:ind w:left="2160" w:hanging="720"/>
      </w:pPr>
      <w:rPr>
        <w:rFonts w:cs="Times New Roman"/>
      </w:rPr>
    </w:lvl>
    <w:lvl w:ilvl="4">
      <w:start w:val="1"/>
      <w:numFmt w:val="decimal"/>
      <w:lvlText w:val="(%5)"/>
      <w:lvlJc w:val="left"/>
      <w:pPr>
        <w:tabs>
          <w:tab w:val="num" w:pos="0"/>
        </w:tabs>
        <w:ind w:left="2880" w:hanging="720"/>
      </w:pPr>
      <w:rPr>
        <w:rFonts w:cs="Times New Roman"/>
      </w:rPr>
    </w:lvl>
    <w:lvl w:ilvl="5">
      <w:start w:val="1"/>
      <w:numFmt w:val="lowerLetter"/>
      <w:lvlText w:val="(%6)"/>
      <w:lvlJc w:val="left"/>
      <w:pPr>
        <w:tabs>
          <w:tab w:val="num" w:pos="0"/>
        </w:tabs>
        <w:ind w:left="3600" w:hanging="720"/>
      </w:pPr>
      <w:rPr>
        <w:rFonts w:cs="Times New Roman"/>
      </w:rPr>
    </w:lvl>
    <w:lvl w:ilvl="6">
      <w:start w:val="1"/>
      <w:numFmt w:val="decimal"/>
      <w:lvlText w:val="%7)"/>
      <w:lvlJc w:val="left"/>
      <w:pPr>
        <w:tabs>
          <w:tab w:val="num" w:pos="4320"/>
        </w:tabs>
        <w:ind w:left="4320" w:hanging="720"/>
      </w:pPr>
      <w:rPr>
        <w:rFonts w:cs="Times New Roman"/>
      </w:rPr>
    </w:lvl>
    <w:lvl w:ilvl="7">
      <w:start w:val="1"/>
      <w:numFmt w:val="lowerLetter"/>
      <w:lvlText w:val="%8)"/>
      <w:lvlJc w:val="left"/>
      <w:pPr>
        <w:tabs>
          <w:tab w:val="num" w:pos="0"/>
        </w:tabs>
        <w:ind w:left="5040" w:hanging="720"/>
      </w:pPr>
      <w:rPr>
        <w:rFonts w:cs="Times New Roman"/>
      </w:rPr>
    </w:lvl>
    <w:lvl w:ilvl="8">
      <w:start w:val="1"/>
      <w:numFmt w:val="lowerRoman"/>
      <w:lvlText w:val="%9)"/>
      <w:lvlJc w:val="left"/>
      <w:pPr>
        <w:tabs>
          <w:tab w:val="num" w:pos="0"/>
        </w:tabs>
        <w:ind w:left="5760" w:hanging="720"/>
      </w:pPr>
      <w:rPr>
        <w:rFonts w:cs="Times New Roman"/>
      </w:rPr>
    </w:lvl>
  </w:abstractNum>
  <w:abstractNum w:abstractNumId="15">
    <w:nsid w:val="5D4442AF"/>
    <w:multiLevelType w:val="multilevel"/>
    <w:tmpl w:val="A250749C"/>
    <w:lvl w:ilvl="0">
      <w:start w:val="1"/>
      <w:numFmt w:val="upperLetter"/>
      <w:lvlText w:val="%1."/>
      <w:lvlJc w:val="left"/>
      <w:pPr>
        <w:ind w:left="900" w:hanging="360"/>
      </w:pPr>
      <w:rPr>
        <w:rFonts w:cs="Times New Roman" w:hint="default"/>
      </w:rPr>
    </w:lvl>
    <w:lvl w:ilvl="1">
      <w:start w:val="1"/>
      <w:numFmt w:val="decimal"/>
      <w:lvlText w:val="%2"/>
      <w:lvlJc w:val="left"/>
      <w:pPr>
        <w:tabs>
          <w:tab w:val="num" w:pos="96"/>
        </w:tabs>
        <w:ind w:left="96" w:hanging="816"/>
      </w:pPr>
      <w:rPr>
        <w:rFonts w:cs="Times New Roman" w:hint="default"/>
        <w:b w:val="0"/>
        <w:bCs w:val="0"/>
        <w:i/>
        <w:iCs/>
        <w:color w:val="auto"/>
        <w:sz w:val="18"/>
        <w:szCs w:val="18"/>
      </w:rPr>
    </w:lvl>
    <w:lvl w:ilvl="2">
      <w:start w:val="1"/>
      <w:numFmt w:val="decimal"/>
      <w:lvlText w:val="%3"/>
      <w:lvlJc w:val="right"/>
      <w:pPr>
        <w:tabs>
          <w:tab w:val="num" w:pos="2160"/>
        </w:tabs>
        <w:ind w:hanging="720"/>
      </w:pPr>
      <w:rPr>
        <w:rFonts w:ascii="Times New Roman" w:hAnsi="Times New Roman" w:cs="Times New Roman" w:hint="default"/>
        <w:b w:val="0"/>
        <w:i/>
        <w:sz w:val="20"/>
        <w:szCs w:val="20"/>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6">
    <w:nsid w:val="60C82CB3"/>
    <w:multiLevelType w:val="multilevel"/>
    <w:tmpl w:val="C44C3936"/>
    <w:lvl w:ilvl="0">
      <w:start w:val="3"/>
      <w:numFmt w:val="upperLetter"/>
      <w:lvlText w:val="%1."/>
      <w:lvlJc w:val="left"/>
      <w:pPr>
        <w:tabs>
          <w:tab w:val="num" w:pos="900"/>
        </w:tabs>
        <w:ind w:left="900" w:hanging="360"/>
      </w:pPr>
      <w:rPr>
        <w:rFonts w:cs="Times New Roman" w:hint="default"/>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7">
    <w:nsid w:val="65583B58"/>
    <w:multiLevelType w:val="multilevel"/>
    <w:tmpl w:val="42565640"/>
    <w:lvl w:ilvl="0">
      <w:start w:val="1"/>
      <w:numFmt w:val="upperRoman"/>
      <w:lvlText w:val="%1."/>
      <w:lvlJc w:val="right"/>
      <w:pPr>
        <w:tabs>
          <w:tab w:val="num" w:pos="180"/>
        </w:tabs>
        <w:ind w:left="180" w:hanging="180"/>
      </w:pPr>
      <w:rPr>
        <w:rFonts w:cs="Times New Roman"/>
      </w:rPr>
    </w:lvl>
    <w:lvl w:ilvl="1">
      <w:start w:val="1"/>
      <w:numFmt w:val="upperLetter"/>
      <w:lvlText w:val="%2."/>
      <w:lvlJc w:val="left"/>
      <w:pPr>
        <w:tabs>
          <w:tab w:val="num" w:pos="0"/>
        </w:tabs>
        <w:ind w:left="720" w:hanging="720"/>
      </w:pPr>
      <w:rPr>
        <w:rFonts w:cs="Times New Roman"/>
      </w:rPr>
    </w:lvl>
    <w:lvl w:ilvl="2">
      <w:start w:val="1"/>
      <w:numFmt w:val="decimal"/>
      <w:lvlText w:val="%3."/>
      <w:lvlJc w:val="left"/>
      <w:pPr>
        <w:tabs>
          <w:tab w:val="num" w:pos="0"/>
        </w:tabs>
        <w:ind w:left="1440" w:hanging="720"/>
      </w:pPr>
      <w:rPr>
        <w:rFonts w:cs="Times New Roman"/>
      </w:rPr>
    </w:lvl>
    <w:lvl w:ilvl="3">
      <w:start w:val="1"/>
      <w:numFmt w:val="lowerLetter"/>
      <w:lvlText w:val="%4."/>
      <w:lvlJc w:val="left"/>
      <w:pPr>
        <w:tabs>
          <w:tab w:val="num" w:pos="0"/>
        </w:tabs>
        <w:ind w:left="2160" w:hanging="720"/>
      </w:pPr>
      <w:rPr>
        <w:rFonts w:cs="Times New Roman"/>
      </w:rPr>
    </w:lvl>
    <w:lvl w:ilvl="4">
      <w:start w:val="1"/>
      <w:numFmt w:val="decimal"/>
      <w:lvlText w:val="(%5)"/>
      <w:lvlJc w:val="left"/>
      <w:pPr>
        <w:tabs>
          <w:tab w:val="num" w:pos="0"/>
        </w:tabs>
        <w:ind w:left="2880" w:hanging="720"/>
      </w:pPr>
      <w:rPr>
        <w:rFonts w:cs="Times New Roman"/>
      </w:rPr>
    </w:lvl>
    <w:lvl w:ilvl="5">
      <w:start w:val="1"/>
      <w:numFmt w:val="lowerLetter"/>
      <w:lvlText w:val="(%6)"/>
      <w:lvlJc w:val="left"/>
      <w:pPr>
        <w:tabs>
          <w:tab w:val="num" w:pos="0"/>
        </w:tabs>
        <w:ind w:left="3600" w:hanging="720"/>
      </w:pPr>
      <w:rPr>
        <w:rFonts w:cs="Times New Roman"/>
      </w:rPr>
    </w:lvl>
    <w:lvl w:ilvl="6">
      <w:start w:val="1"/>
      <w:numFmt w:val="decimal"/>
      <w:lvlText w:val="%7)"/>
      <w:lvlJc w:val="left"/>
      <w:pPr>
        <w:tabs>
          <w:tab w:val="num" w:pos="4320"/>
        </w:tabs>
        <w:ind w:left="4320" w:hanging="720"/>
      </w:pPr>
      <w:rPr>
        <w:rFonts w:cs="Times New Roman"/>
      </w:rPr>
    </w:lvl>
    <w:lvl w:ilvl="7">
      <w:start w:val="1"/>
      <w:numFmt w:val="lowerLetter"/>
      <w:lvlText w:val="%8)"/>
      <w:lvlJc w:val="left"/>
      <w:pPr>
        <w:tabs>
          <w:tab w:val="num" w:pos="0"/>
        </w:tabs>
        <w:ind w:left="5040" w:hanging="720"/>
      </w:pPr>
      <w:rPr>
        <w:rFonts w:cs="Times New Roman"/>
      </w:rPr>
    </w:lvl>
    <w:lvl w:ilvl="8">
      <w:start w:val="1"/>
      <w:numFmt w:val="lowerRoman"/>
      <w:lvlText w:val="%9)"/>
      <w:lvlJc w:val="left"/>
      <w:pPr>
        <w:tabs>
          <w:tab w:val="num" w:pos="0"/>
        </w:tabs>
        <w:ind w:left="5760" w:hanging="720"/>
      </w:pPr>
      <w:rPr>
        <w:rFonts w:cs="Times New Roman"/>
      </w:rPr>
    </w:lvl>
  </w:abstractNum>
  <w:abstractNum w:abstractNumId="18">
    <w:nsid w:val="7B001003"/>
    <w:multiLevelType w:val="singleLevel"/>
    <w:tmpl w:val="9128420C"/>
    <w:lvl w:ilvl="0">
      <w:start w:val="1"/>
      <w:numFmt w:val="decimal"/>
      <w:pStyle w:val="ParNumber"/>
      <w:lvlText w:val="%1."/>
      <w:lvlJc w:val="left"/>
      <w:pPr>
        <w:tabs>
          <w:tab w:val="num" w:pos="360"/>
        </w:tabs>
        <w:ind w:left="360" w:hanging="360"/>
      </w:pPr>
      <w:rPr>
        <w:rFonts w:cs="Times New Roman"/>
        <w:b w:val="0"/>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8"/>
  </w:num>
  <w:num w:numId="13">
    <w:abstractNumId w:val="2"/>
  </w:num>
  <w:num w:numId="14">
    <w:abstractNumId w:val="14"/>
  </w:num>
  <w:num w:numId="15">
    <w:abstractNumId w:val="7"/>
  </w:num>
  <w:num w:numId="16">
    <w:abstractNumId w:val="13"/>
  </w:num>
  <w:num w:numId="17">
    <w:abstractNumId w:val="11"/>
  </w:num>
  <w:num w:numId="18">
    <w:abstractNumId w:val="4"/>
  </w:num>
  <w:num w:numId="19">
    <w:abstractNumId w:val="6"/>
  </w:num>
  <w:num w:numId="20">
    <w:abstractNumId w:val="17"/>
  </w:num>
  <w:num w:numId="21">
    <w:abstractNumId w:val="3"/>
  </w:num>
  <w:num w:numId="22">
    <w:abstractNumId w:val="10"/>
  </w:num>
  <w:num w:numId="23">
    <w:abstractNumId w:val="16"/>
  </w:num>
  <w:num w:numId="24">
    <w:abstractNumId w:val="5"/>
  </w:num>
  <w:num w:numId="25">
    <w:abstractNumId w:val="1"/>
  </w:num>
  <w:num w:numId="26">
    <w:abstractNumId w:val="8"/>
  </w:num>
  <w:num w:numId="27">
    <w:abstractNumId w:val="9"/>
  </w:num>
  <w:num w:numId="28">
    <w:abstractNumId w:val="1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073A"/>
    <w:rsid w:val="00002B51"/>
    <w:rsid w:val="00002BF1"/>
    <w:rsid w:val="00002CBD"/>
    <w:rsid w:val="00002D87"/>
    <w:rsid w:val="000040A1"/>
    <w:rsid w:val="00013E53"/>
    <w:rsid w:val="00020F09"/>
    <w:rsid w:val="00027432"/>
    <w:rsid w:val="00027597"/>
    <w:rsid w:val="00032AAF"/>
    <w:rsid w:val="00033B90"/>
    <w:rsid w:val="0003781D"/>
    <w:rsid w:val="00037ECD"/>
    <w:rsid w:val="00042919"/>
    <w:rsid w:val="000432CA"/>
    <w:rsid w:val="00043AF7"/>
    <w:rsid w:val="00043C50"/>
    <w:rsid w:val="000447F8"/>
    <w:rsid w:val="00046678"/>
    <w:rsid w:val="00050317"/>
    <w:rsid w:val="00054337"/>
    <w:rsid w:val="00064537"/>
    <w:rsid w:val="00066F9F"/>
    <w:rsid w:val="00072067"/>
    <w:rsid w:val="000758B1"/>
    <w:rsid w:val="00076E8F"/>
    <w:rsid w:val="00077AD8"/>
    <w:rsid w:val="000808A0"/>
    <w:rsid w:val="000809CC"/>
    <w:rsid w:val="00082B5B"/>
    <w:rsid w:val="000A2D2F"/>
    <w:rsid w:val="000B38B4"/>
    <w:rsid w:val="000C10C2"/>
    <w:rsid w:val="000C217B"/>
    <w:rsid w:val="000C6918"/>
    <w:rsid w:val="000D4677"/>
    <w:rsid w:val="000D580E"/>
    <w:rsid w:val="000E4C1C"/>
    <w:rsid w:val="000E5177"/>
    <w:rsid w:val="000F068B"/>
    <w:rsid w:val="000F3774"/>
    <w:rsid w:val="000F677D"/>
    <w:rsid w:val="00103324"/>
    <w:rsid w:val="00104EE5"/>
    <w:rsid w:val="00106943"/>
    <w:rsid w:val="00106A8E"/>
    <w:rsid w:val="00106FAD"/>
    <w:rsid w:val="00116BBF"/>
    <w:rsid w:val="001174B6"/>
    <w:rsid w:val="00122D06"/>
    <w:rsid w:val="0012450D"/>
    <w:rsid w:val="00125811"/>
    <w:rsid w:val="00125BD2"/>
    <w:rsid w:val="00125CC0"/>
    <w:rsid w:val="0013466B"/>
    <w:rsid w:val="0013630F"/>
    <w:rsid w:val="00140835"/>
    <w:rsid w:val="001430A1"/>
    <w:rsid w:val="001510FD"/>
    <w:rsid w:val="0015392F"/>
    <w:rsid w:val="001561F5"/>
    <w:rsid w:val="00156580"/>
    <w:rsid w:val="00162B7B"/>
    <w:rsid w:val="00163C0A"/>
    <w:rsid w:val="00176C58"/>
    <w:rsid w:val="00181E40"/>
    <w:rsid w:val="00186CC1"/>
    <w:rsid w:val="001902EC"/>
    <w:rsid w:val="001929C7"/>
    <w:rsid w:val="001A1786"/>
    <w:rsid w:val="001A1E04"/>
    <w:rsid w:val="001A7617"/>
    <w:rsid w:val="001B4EBB"/>
    <w:rsid w:val="001C464A"/>
    <w:rsid w:val="001C5EE0"/>
    <w:rsid w:val="001C67B5"/>
    <w:rsid w:val="001C79F7"/>
    <w:rsid w:val="001D0D90"/>
    <w:rsid w:val="001D2707"/>
    <w:rsid w:val="001D29D7"/>
    <w:rsid w:val="001D4087"/>
    <w:rsid w:val="001E1079"/>
    <w:rsid w:val="001E4225"/>
    <w:rsid w:val="001F3983"/>
    <w:rsid w:val="001F4532"/>
    <w:rsid w:val="001F48DC"/>
    <w:rsid w:val="001F5B5A"/>
    <w:rsid w:val="001F6D3E"/>
    <w:rsid w:val="001F71AA"/>
    <w:rsid w:val="0020372C"/>
    <w:rsid w:val="00207637"/>
    <w:rsid w:val="00212000"/>
    <w:rsid w:val="0022227E"/>
    <w:rsid w:val="00224245"/>
    <w:rsid w:val="00226143"/>
    <w:rsid w:val="002320E7"/>
    <w:rsid w:val="0023237A"/>
    <w:rsid w:val="002365F6"/>
    <w:rsid w:val="00242E92"/>
    <w:rsid w:val="00244748"/>
    <w:rsid w:val="002477FD"/>
    <w:rsid w:val="00263435"/>
    <w:rsid w:val="00265ABD"/>
    <w:rsid w:val="00274553"/>
    <w:rsid w:val="002805C4"/>
    <w:rsid w:val="00282ABF"/>
    <w:rsid w:val="00282E4D"/>
    <w:rsid w:val="00283EAC"/>
    <w:rsid w:val="002879A5"/>
    <w:rsid w:val="002924D2"/>
    <w:rsid w:val="002939FE"/>
    <w:rsid w:val="00297F98"/>
    <w:rsid w:val="002A2CE0"/>
    <w:rsid w:val="002A7047"/>
    <w:rsid w:val="002B44C3"/>
    <w:rsid w:val="002C21B2"/>
    <w:rsid w:val="002C4FFE"/>
    <w:rsid w:val="002C786D"/>
    <w:rsid w:val="002D04DC"/>
    <w:rsid w:val="002E1D6A"/>
    <w:rsid w:val="002E313C"/>
    <w:rsid w:val="002E662F"/>
    <w:rsid w:val="002F0BBB"/>
    <w:rsid w:val="002F246F"/>
    <w:rsid w:val="002F5660"/>
    <w:rsid w:val="002F5B69"/>
    <w:rsid w:val="00300DDF"/>
    <w:rsid w:val="00304B66"/>
    <w:rsid w:val="003073E6"/>
    <w:rsid w:val="00307D32"/>
    <w:rsid w:val="00310159"/>
    <w:rsid w:val="00315F58"/>
    <w:rsid w:val="0032335E"/>
    <w:rsid w:val="00324A3F"/>
    <w:rsid w:val="00332F94"/>
    <w:rsid w:val="00335755"/>
    <w:rsid w:val="00340D7D"/>
    <w:rsid w:val="0034490C"/>
    <w:rsid w:val="00351E5D"/>
    <w:rsid w:val="003520E4"/>
    <w:rsid w:val="00361E94"/>
    <w:rsid w:val="00363714"/>
    <w:rsid w:val="00364517"/>
    <w:rsid w:val="0036600E"/>
    <w:rsid w:val="00370655"/>
    <w:rsid w:val="00373434"/>
    <w:rsid w:val="00373556"/>
    <w:rsid w:val="0038200F"/>
    <w:rsid w:val="003857B2"/>
    <w:rsid w:val="00385A20"/>
    <w:rsid w:val="00386824"/>
    <w:rsid w:val="003879F8"/>
    <w:rsid w:val="003940B7"/>
    <w:rsid w:val="00394233"/>
    <w:rsid w:val="00394AAB"/>
    <w:rsid w:val="0039506F"/>
    <w:rsid w:val="00397704"/>
    <w:rsid w:val="003A2DEE"/>
    <w:rsid w:val="003A7197"/>
    <w:rsid w:val="003A7CD4"/>
    <w:rsid w:val="003B000E"/>
    <w:rsid w:val="003C143D"/>
    <w:rsid w:val="003C3F10"/>
    <w:rsid w:val="003E2CE2"/>
    <w:rsid w:val="003E3FA9"/>
    <w:rsid w:val="003E44A3"/>
    <w:rsid w:val="003F4A15"/>
    <w:rsid w:val="004105A5"/>
    <w:rsid w:val="00416690"/>
    <w:rsid w:val="00425689"/>
    <w:rsid w:val="004275E7"/>
    <w:rsid w:val="004311DB"/>
    <w:rsid w:val="0043414D"/>
    <w:rsid w:val="00437FF4"/>
    <w:rsid w:val="00442874"/>
    <w:rsid w:val="00443AE5"/>
    <w:rsid w:val="004466E3"/>
    <w:rsid w:val="004520F6"/>
    <w:rsid w:val="004546EB"/>
    <w:rsid w:val="00454F06"/>
    <w:rsid w:val="004552C8"/>
    <w:rsid w:val="00457AB3"/>
    <w:rsid w:val="00464B55"/>
    <w:rsid w:val="00467510"/>
    <w:rsid w:val="00467E36"/>
    <w:rsid w:val="00472B37"/>
    <w:rsid w:val="00474385"/>
    <w:rsid w:val="00475CBF"/>
    <w:rsid w:val="0048166D"/>
    <w:rsid w:val="0048167D"/>
    <w:rsid w:val="0048386E"/>
    <w:rsid w:val="0048756F"/>
    <w:rsid w:val="004A156A"/>
    <w:rsid w:val="004A172D"/>
    <w:rsid w:val="004A435D"/>
    <w:rsid w:val="004A678D"/>
    <w:rsid w:val="004A7CB0"/>
    <w:rsid w:val="004B559D"/>
    <w:rsid w:val="004B6B19"/>
    <w:rsid w:val="004B731D"/>
    <w:rsid w:val="004C117F"/>
    <w:rsid w:val="004C279E"/>
    <w:rsid w:val="004D394F"/>
    <w:rsid w:val="004E0500"/>
    <w:rsid w:val="004E1C31"/>
    <w:rsid w:val="004E3D8C"/>
    <w:rsid w:val="004E3EFF"/>
    <w:rsid w:val="004E732D"/>
    <w:rsid w:val="004F02F8"/>
    <w:rsid w:val="004F2DF7"/>
    <w:rsid w:val="004F6F14"/>
    <w:rsid w:val="004F76E6"/>
    <w:rsid w:val="00502B53"/>
    <w:rsid w:val="00503AE5"/>
    <w:rsid w:val="00505B13"/>
    <w:rsid w:val="00506491"/>
    <w:rsid w:val="00506B45"/>
    <w:rsid w:val="00513028"/>
    <w:rsid w:val="0051360D"/>
    <w:rsid w:val="005168A2"/>
    <w:rsid w:val="005209F8"/>
    <w:rsid w:val="00524ACA"/>
    <w:rsid w:val="005258E9"/>
    <w:rsid w:val="005277C9"/>
    <w:rsid w:val="00530276"/>
    <w:rsid w:val="00531495"/>
    <w:rsid w:val="00535F93"/>
    <w:rsid w:val="00536217"/>
    <w:rsid w:val="0053666B"/>
    <w:rsid w:val="0054214F"/>
    <w:rsid w:val="00547F1E"/>
    <w:rsid w:val="00551D8D"/>
    <w:rsid w:val="0055359D"/>
    <w:rsid w:val="00557516"/>
    <w:rsid w:val="00560E03"/>
    <w:rsid w:val="00561B8C"/>
    <w:rsid w:val="0056271A"/>
    <w:rsid w:val="00566C81"/>
    <w:rsid w:val="005706D5"/>
    <w:rsid w:val="00570907"/>
    <w:rsid w:val="00571023"/>
    <w:rsid w:val="005720E0"/>
    <w:rsid w:val="00572E24"/>
    <w:rsid w:val="00574347"/>
    <w:rsid w:val="00591CAE"/>
    <w:rsid w:val="00592C4F"/>
    <w:rsid w:val="00592D17"/>
    <w:rsid w:val="005A0F90"/>
    <w:rsid w:val="005A649D"/>
    <w:rsid w:val="005B3B7A"/>
    <w:rsid w:val="005C50EE"/>
    <w:rsid w:val="005C69F1"/>
    <w:rsid w:val="005E0C88"/>
    <w:rsid w:val="005F6364"/>
    <w:rsid w:val="00602557"/>
    <w:rsid w:val="00604147"/>
    <w:rsid w:val="00606F20"/>
    <w:rsid w:val="0061200E"/>
    <w:rsid w:val="0062400B"/>
    <w:rsid w:val="00642FB4"/>
    <w:rsid w:val="00651E3B"/>
    <w:rsid w:val="00653BF3"/>
    <w:rsid w:val="00670B91"/>
    <w:rsid w:val="00671BBC"/>
    <w:rsid w:val="006808A1"/>
    <w:rsid w:val="00681273"/>
    <w:rsid w:val="00682ECA"/>
    <w:rsid w:val="00683309"/>
    <w:rsid w:val="006855E1"/>
    <w:rsid w:val="00687749"/>
    <w:rsid w:val="00691FD5"/>
    <w:rsid w:val="00696E21"/>
    <w:rsid w:val="006A38EE"/>
    <w:rsid w:val="006A3BDF"/>
    <w:rsid w:val="006A7717"/>
    <w:rsid w:val="006A7D20"/>
    <w:rsid w:val="006B049D"/>
    <w:rsid w:val="006B3004"/>
    <w:rsid w:val="006B32A8"/>
    <w:rsid w:val="006B5D96"/>
    <w:rsid w:val="006C3DF0"/>
    <w:rsid w:val="006C7A5E"/>
    <w:rsid w:val="006D2B75"/>
    <w:rsid w:val="006D314B"/>
    <w:rsid w:val="006D41B0"/>
    <w:rsid w:val="006D490C"/>
    <w:rsid w:val="006D49C0"/>
    <w:rsid w:val="006D61F0"/>
    <w:rsid w:val="006D7F4C"/>
    <w:rsid w:val="006E12F0"/>
    <w:rsid w:val="006E5FF4"/>
    <w:rsid w:val="006F02C8"/>
    <w:rsid w:val="006F1026"/>
    <w:rsid w:val="006F2682"/>
    <w:rsid w:val="006F3711"/>
    <w:rsid w:val="006F6A0E"/>
    <w:rsid w:val="00706A14"/>
    <w:rsid w:val="00706BF4"/>
    <w:rsid w:val="00710702"/>
    <w:rsid w:val="00712606"/>
    <w:rsid w:val="007157C3"/>
    <w:rsid w:val="00716CCE"/>
    <w:rsid w:val="00717BE5"/>
    <w:rsid w:val="0072468F"/>
    <w:rsid w:val="007316B5"/>
    <w:rsid w:val="0073620D"/>
    <w:rsid w:val="0073651B"/>
    <w:rsid w:val="00741199"/>
    <w:rsid w:val="00744086"/>
    <w:rsid w:val="00745D92"/>
    <w:rsid w:val="00745EA7"/>
    <w:rsid w:val="00753709"/>
    <w:rsid w:val="007540AC"/>
    <w:rsid w:val="00764173"/>
    <w:rsid w:val="007647C5"/>
    <w:rsid w:val="0076542E"/>
    <w:rsid w:val="00770F94"/>
    <w:rsid w:val="007717A8"/>
    <w:rsid w:val="007729A0"/>
    <w:rsid w:val="007751BF"/>
    <w:rsid w:val="007773E9"/>
    <w:rsid w:val="00782E36"/>
    <w:rsid w:val="00792BFF"/>
    <w:rsid w:val="00794E9C"/>
    <w:rsid w:val="007A6A41"/>
    <w:rsid w:val="007A7F60"/>
    <w:rsid w:val="007B0879"/>
    <w:rsid w:val="007B1C24"/>
    <w:rsid w:val="007B4C68"/>
    <w:rsid w:val="007B66BA"/>
    <w:rsid w:val="007C07AB"/>
    <w:rsid w:val="007C741A"/>
    <w:rsid w:val="007D0C9C"/>
    <w:rsid w:val="007E2D12"/>
    <w:rsid w:val="007E45B9"/>
    <w:rsid w:val="007F11E3"/>
    <w:rsid w:val="00801177"/>
    <w:rsid w:val="00806660"/>
    <w:rsid w:val="00812FB5"/>
    <w:rsid w:val="008141AC"/>
    <w:rsid w:val="00821742"/>
    <w:rsid w:val="00826F3B"/>
    <w:rsid w:val="00831D3B"/>
    <w:rsid w:val="00834D76"/>
    <w:rsid w:val="00837761"/>
    <w:rsid w:val="008442A9"/>
    <w:rsid w:val="00844AE7"/>
    <w:rsid w:val="008453F5"/>
    <w:rsid w:val="0084590E"/>
    <w:rsid w:val="00850F60"/>
    <w:rsid w:val="00851A9C"/>
    <w:rsid w:val="0086373B"/>
    <w:rsid w:val="008656AF"/>
    <w:rsid w:val="00865A2E"/>
    <w:rsid w:val="00872FB7"/>
    <w:rsid w:val="0088529C"/>
    <w:rsid w:val="00885439"/>
    <w:rsid w:val="0088544F"/>
    <w:rsid w:val="00886ECD"/>
    <w:rsid w:val="008912A6"/>
    <w:rsid w:val="008935E8"/>
    <w:rsid w:val="008968A9"/>
    <w:rsid w:val="008A1193"/>
    <w:rsid w:val="008A2AEA"/>
    <w:rsid w:val="008A425E"/>
    <w:rsid w:val="008A68AD"/>
    <w:rsid w:val="008B178A"/>
    <w:rsid w:val="008B1D64"/>
    <w:rsid w:val="008B353D"/>
    <w:rsid w:val="008B5517"/>
    <w:rsid w:val="008C3B0D"/>
    <w:rsid w:val="008C4447"/>
    <w:rsid w:val="008C6AB7"/>
    <w:rsid w:val="008D036B"/>
    <w:rsid w:val="008D3B27"/>
    <w:rsid w:val="008E1289"/>
    <w:rsid w:val="008E5853"/>
    <w:rsid w:val="008E58EE"/>
    <w:rsid w:val="008F30BC"/>
    <w:rsid w:val="008F4585"/>
    <w:rsid w:val="00900518"/>
    <w:rsid w:val="009008AC"/>
    <w:rsid w:val="009103B8"/>
    <w:rsid w:val="0091166F"/>
    <w:rsid w:val="00920838"/>
    <w:rsid w:val="0092292A"/>
    <w:rsid w:val="00926164"/>
    <w:rsid w:val="009266F2"/>
    <w:rsid w:val="0093031C"/>
    <w:rsid w:val="00930A75"/>
    <w:rsid w:val="00932C92"/>
    <w:rsid w:val="00935622"/>
    <w:rsid w:val="00944D88"/>
    <w:rsid w:val="00946BDB"/>
    <w:rsid w:val="00947675"/>
    <w:rsid w:val="0095164B"/>
    <w:rsid w:val="00951DD8"/>
    <w:rsid w:val="00954A47"/>
    <w:rsid w:val="0095533C"/>
    <w:rsid w:val="00970E4F"/>
    <w:rsid w:val="00974694"/>
    <w:rsid w:val="00981103"/>
    <w:rsid w:val="0098165B"/>
    <w:rsid w:val="0098307F"/>
    <w:rsid w:val="00987869"/>
    <w:rsid w:val="00990AD2"/>
    <w:rsid w:val="0099207A"/>
    <w:rsid w:val="00993AF2"/>
    <w:rsid w:val="009A1CD2"/>
    <w:rsid w:val="009B2D90"/>
    <w:rsid w:val="009B4AA2"/>
    <w:rsid w:val="009C0046"/>
    <w:rsid w:val="009C36F9"/>
    <w:rsid w:val="009D048F"/>
    <w:rsid w:val="009D10E0"/>
    <w:rsid w:val="009D201F"/>
    <w:rsid w:val="009D3253"/>
    <w:rsid w:val="009D60C9"/>
    <w:rsid w:val="009D7E61"/>
    <w:rsid w:val="009E1A3C"/>
    <w:rsid w:val="009E2218"/>
    <w:rsid w:val="009E5D45"/>
    <w:rsid w:val="009F0691"/>
    <w:rsid w:val="009F0D74"/>
    <w:rsid w:val="009F21EF"/>
    <w:rsid w:val="009F4D5C"/>
    <w:rsid w:val="00A03FB2"/>
    <w:rsid w:val="00A05EB4"/>
    <w:rsid w:val="00A05FD2"/>
    <w:rsid w:val="00A06148"/>
    <w:rsid w:val="00A06284"/>
    <w:rsid w:val="00A06A43"/>
    <w:rsid w:val="00A07F2B"/>
    <w:rsid w:val="00A145FF"/>
    <w:rsid w:val="00A14CC6"/>
    <w:rsid w:val="00A20D02"/>
    <w:rsid w:val="00A23C87"/>
    <w:rsid w:val="00A25784"/>
    <w:rsid w:val="00A26203"/>
    <w:rsid w:val="00A26BE9"/>
    <w:rsid w:val="00A279E6"/>
    <w:rsid w:val="00A32059"/>
    <w:rsid w:val="00A34765"/>
    <w:rsid w:val="00A43CEB"/>
    <w:rsid w:val="00A4730E"/>
    <w:rsid w:val="00A574D2"/>
    <w:rsid w:val="00A57A0E"/>
    <w:rsid w:val="00A60139"/>
    <w:rsid w:val="00A62244"/>
    <w:rsid w:val="00A640D6"/>
    <w:rsid w:val="00A76405"/>
    <w:rsid w:val="00A8084A"/>
    <w:rsid w:val="00A81929"/>
    <w:rsid w:val="00A84170"/>
    <w:rsid w:val="00A85DF4"/>
    <w:rsid w:val="00A9140D"/>
    <w:rsid w:val="00A92C5B"/>
    <w:rsid w:val="00A96140"/>
    <w:rsid w:val="00A96A5F"/>
    <w:rsid w:val="00AA4161"/>
    <w:rsid w:val="00AA7246"/>
    <w:rsid w:val="00AA7812"/>
    <w:rsid w:val="00AB3D0B"/>
    <w:rsid w:val="00AB6E95"/>
    <w:rsid w:val="00AB72DF"/>
    <w:rsid w:val="00AC0305"/>
    <w:rsid w:val="00AC04D7"/>
    <w:rsid w:val="00AC419C"/>
    <w:rsid w:val="00AC5A87"/>
    <w:rsid w:val="00AD126F"/>
    <w:rsid w:val="00AD28D3"/>
    <w:rsid w:val="00AD5733"/>
    <w:rsid w:val="00AF41EF"/>
    <w:rsid w:val="00AF73D5"/>
    <w:rsid w:val="00B02291"/>
    <w:rsid w:val="00B07ACD"/>
    <w:rsid w:val="00B100D7"/>
    <w:rsid w:val="00B10128"/>
    <w:rsid w:val="00B1082F"/>
    <w:rsid w:val="00B1126C"/>
    <w:rsid w:val="00B30EFD"/>
    <w:rsid w:val="00B313BE"/>
    <w:rsid w:val="00B323B6"/>
    <w:rsid w:val="00B32494"/>
    <w:rsid w:val="00B37FEE"/>
    <w:rsid w:val="00B4209D"/>
    <w:rsid w:val="00B42980"/>
    <w:rsid w:val="00B4619F"/>
    <w:rsid w:val="00B50565"/>
    <w:rsid w:val="00B54392"/>
    <w:rsid w:val="00B546C4"/>
    <w:rsid w:val="00B62AF7"/>
    <w:rsid w:val="00B63C68"/>
    <w:rsid w:val="00B6505C"/>
    <w:rsid w:val="00B72422"/>
    <w:rsid w:val="00B724A3"/>
    <w:rsid w:val="00B7359C"/>
    <w:rsid w:val="00B7699D"/>
    <w:rsid w:val="00B827C0"/>
    <w:rsid w:val="00B95913"/>
    <w:rsid w:val="00B96518"/>
    <w:rsid w:val="00BB061D"/>
    <w:rsid w:val="00BB68FE"/>
    <w:rsid w:val="00BC15B7"/>
    <w:rsid w:val="00BC521D"/>
    <w:rsid w:val="00BE1806"/>
    <w:rsid w:val="00BE2542"/>
    <w:rsid w:val="00BE451C"/>
    <w:rsid w:val="00BE56D0"/>
    <w:rsid w:val="00BF0C7F"/>
    <w:rsid w:val="00BF5231"/>
    <w:rsid w:val="00BF57FA"/>
    <w:rsid w:val="00BF7A4D"/>
    <w:rsid w:val="00C01EE7"/>
    <w:rsid w:val="00C03AA6"/>
    <w:rsid w:val="00C03AD6"/>
    <w:rsid w:val="00C04281"/>
    <w:rsid w:val="00C04887"/>
    <w:rsid w:val="00C1073A"/>
    <w:rsid w:val="00C11C76"/>
    <w:rsid w:val="00C1560C"/>
    <w:rsid w:val="00C17628"/>
    <w:rsid w:val="00C264E5"/>
    <w:rsid w:val="00C304B4"/>
    <w:rsid w:val="00C33F04"/>
    <w:rsid w:val="00C3412B"/>
    <w:rsid w:val="00C37775"/>
    <w:rsid w:val="00C417A4"/>
    <w:rsid w:val="00C477E7"/>
    <w:rsid w:val="00C5063C"/>
    <w:rsid w:val="00C530AB"/>
    <w:rsid w:val="00C53D8F"/>
    <w:rsid w:val="00C62AA4"/>
    <w:rsid w:val="00C64792"/>
    <w:rsid w:val="00C666AE"/>
    <w:rsid w:val="00C66D8D"/>
    <w:rsid w:val="00C674C3"/>
    <w:rsid w:val="00C72EE5"/>
    <w:rsid w:val="00C771A4"/>
    <w:rsid w:val="00C83C6B"/>
    <w:rsid w:val="00C856E5"/>
    <w:rsid w:val="00C86575"/>
    <w:rsid w:val="00C869FD"/>
    <w:rsid w:val="00C90E9C"/>
    <w:rsid w:val="00C91B21"/>
    <w:rsid w:val="00C9692C"/>
    <w:rsid w:val="00CA0A19"/>
    <w:rsid w:val="00CA244D"/>
    <w:rsid w:val="00CA5C3C"/>
    <w:rsid w:val="00CB009B"/>
    <w:rsid w:val="00CB2328"/>
    <w:rsid w:val="00CB3987"/>
    <w:rsid w:val="00CC1827"/>
    <w:rsid w:val="00CC19D7"/>
    <w:rsid w:val="00CC1B6F"/>
    <w:rsid w:val="00CC5D72"/>
    <w:rsid w:val="00CC5E90"/>
    <w:rsid w:val="00CD7207"/>
    <w:rsid w:val="00CD751F"/>
    <w:rsid w:val="00CD7A15"/>
    <w:rsid w:val="00CD7FCF"/>
    <w:rsid w:val="00CE188D"/>
    <w:rsid w:val="00CE31EF"/>
    <w:rsid w:val="00CE6140"/>
    <w:rsid w:val="00CE6A18"/>
    <w:rsid w:val="00CE7B64"/>
    <w:rsid w:val="00CF14E7"/>
    <w:rsid w:val="00CF21F8"/>
    <w:rsid w:val="00D007FB"/>
    <w:rsid w:val="00D05DEF"/>
    <w:rsid w:val="00D10214"/>
    <w:rsid w:val="00D1208C"/>
    <w:rsid w:val="00D13F59"/>
    <w:rsid w:val="00D14275"/>
    <w:rsid w:val="00D1471A"/>
    <w:rsid w:val="00D1661D"/>
    <w:rsid w:val="00D17C45"/>
    <w:rsid w:val="00D237F4"/>
    <w:rsid w:val="00D33C0A"/>
    <w:rsid w:val="00D349AA"/>
    <w:rsid w:val="00D40C46"/>
    <w:rsid w:val="00D42461"/>
    <w:rsid w:val="00D426E1"/>
    <w:rsid w:val="00D43357"/>
    <w:rsid w:val="00D45E69"/>
    <w:rsid w:val="00D47F97"/>
    <w:rsid w:val="00D50CA6"/>
    <w:rsid w:val="00D523E2"/>
    <w:rsid w:val="00D5316F"/>
    <w:rsid w:val="00D53D7C"/>
    <w:rsid w:val="00D6170D"/>
    <w:rsid w:val="00D628D2"/>
    <w:rsid w:val="00D65665"/>
    <w:rsid w:val="00D6749A"/>
    <w:rsid w:val="00D70A07"/>
    <w:rsid w:val="00D73E87"/>
    <w:rsid w:val="00D75488"/>
    <w:rsid w:val="00D761BC"/>
    <w:rsid w:val="00D765D8"/>
    <w:rsid w:val="00D84175"/>
    <w:rsid w:val="00D85973"/>
    <w:rsid w:val="00D9000D"/>
    <w:rsid w:val="00D91D2D"/>
    <w:rsid w:val="00D94014"/>
    <w:rsid w:val="00D9594B"/>
    <w:rsid w:val="00D96D35"/>
    <w:rsid w:val="00DA2D01"/>
    <w:rsid w:val="00DA6501"/>
    <w:rsid w:val="00DB7A47"/>
    <w:rsid w:val="00DC4CF1"/>
    <w:rsid w:val="00DE11A9"/>
    <w:rsid w:val="00DE24F1"/>
    <w:rsid w:val="00DE2DDC"/>
    <w:rsid w:val="00DF4C7D"/>
    <w:rsid w:val="00DF5467"/>
    <w:rsid w:val="00E101A3"/>
    <w:rsid w:val="00E12AA7"/>
    <w:rsid w:val="00E147FB"/>
    <w:rsid w:val="00E1523D"/>
    <w:rsid w:val="00E15BB7"/>
    <w:rsid w:val="00E20D38"/>
    <w:rsid w:val="00E20E7B"/>
    <w:rsid w:val="00E31601"/>
    <w:rsid w:val="00E31A30"/>
    <w:rsid w:val="00E33C16"/>
    <w:rsid w:val="00E34BBE"/>
    <w:rsid w:val="00E41B07"/>
    <w:rsid w:val="00E50DD6"/>
    <w:rsid w:val="00E521C8"/>
    <w:rsid w:val="00E53DE8"/>
    <w:rsid w:val="00E62663"/>
    <w:rsid w:val="00E63DEC"/>
    <w:rsid w:val="00E665E8"/>
    <w:rsid w:val="00E732C0"/>
    <w:rsid w:val="00E74D6B"/>
    <w:rsid w:val="00E80072"/>
    <w:rsid w:val="00E920FD"/>
    <w:rsid w:val="00E94047"/>
    <w:rsid w:val="00E94A12"/>
    <w:rsid w:val="00EA0752"/>
    <w:rsid w:val="00EA6DDB"/>
    <w:rsid w:val="00EA76F3"/>
    <w:rsid w:val="00EB1146"/>
    <w:rsid w:val="00EB6624"/>
    <w:rsid w:val="00EB77BD"/>
    <w:rsid w:val="00ED3D57"/>
    <w:rsid w:val="00ED3FE0"/>
    <w:rsid w:val="00ED7E70"/>
    <w:rsid w:val="00EE0415"/>
    <w:rsid w:val="00EE345A"/>
    <w:rsid w:val="00EE4D88"/>
    <w:rsid w:val="00EE56DA"/>
    <w:rsid w:val="00EF04A8"/>
    <w:rsid w:val="00EF4797"/>
    <w:rsid w:val="00EF4EBA"/>
    <w:rsid w:val="00EF786A"/>
    <w:rsid w:val="00F0068F"/>
    <w:rsid w:val="00F00FA6"/>
    <w:rsid w:val="00F12D46"/>
    <w:rsid w:val="00F13A33"/>
    <w:rsid w:val="00F14390"/>
    <w:rsid w:val="00F159B0"/>
    <w:rsid w:val="00F16621"/>
    <w:rsid w:val="00F177CF"/>
    <w:rsid w:val="00F17A76"/>
    <w:rsid w:val="00F245F3"/>
    <w:rsid w:val="00F269AB"/>
    <w:rsid w:val="00F36672"/>
    <w:rsid w:val="00F416F0"/>
    <w:rsid w:val="00F4697B"/>
    <w:rsid w:val="00F47934"/>
    <w:rsid w:val="00F50B42"/>
    <w:rsid w:val="00F562FB"/>
    <w:rsid w:val="00F563ED"/>
    <w:rsid w:val="00F57467"/>
    <w:rsid w:val="00F57558"/>
    <w:rsid w:val="00F61F0D"/>
    <w:rsid w:val="00F64EFB"/>
    <w:rsid w:val="00F658C0"/>
    <w:rsid w:val="00F71884"/>
    <w:rsid w:val="00F72020"/>
    <w:rsid w:val="00F76191"/>
    <w:rsid w:val="00F76287"/>
    <w:rsid w:val="00F77926"/>
    <w:rsid w:val="00F820BB"/>
    <w:rsid w:val="00F83E77"/>
    <w:rsid w:val="00F83FB9"/>
    <w:rsid w:val="00F921E2"/>
    <w:rsid w:val="00F92AF6"/>
    <w:rsid w:val="00F95A43"/>
    <w:rsid w:val="00FA1115"/>
    <w:rsid w:val="00FA77B2"/>
    <w:rsid w:val="00FB07AD"/>
    <w:rsid w:val="00FB0A53"/>
    <w:rsid w:val="00FC0191"/>
    <w:rsid w:val="00FC15BC"/>
    <w:rsid w:val="00FC680C"/>
    <w:rsid w:val="00FD401A"/>
    <w:rsid w:val="00FD71EA"/>
    <w:rsid w:val="00FE364D"/>
    <w:rsid w:val="00FE7969"/>
    <w:rsid w:val="00FF1EE4"/>
    <w:rsid w:val="00FF4E02"/>
    <w:rsid w:val="00FF6009"/>
    <w:rsid w:val="00FF67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uiPriority w:val="99"/>
    <w:qFormat/>
    <w:rsid w:val="005A0F90"/>
    <w:pPr>
      <w:keepNext/>
      <w:spacing w:before="240"/>
      <w:jc w:val="center"/>
      <w:outlineLvl w:val="0"/>
    </w:pPr>
    <w:rPr>
      <w:b/>
      <w:caps/>
      <w:kern w:val="28"/>
      <w:szCs w:val="20"/>
    </w:rPr>
  </w:style>
  <w:style w:type="paragraph" w:styleId="Heading2">
    <w:name w:val="heading 2"/>
    <w:basedOn w:val="Normal"/>
    <w:next w:val="Normal"/>
    <w:link w:val="Heading2Char"/>
    <w:uiPriority w:val="99"/>
    <w:qFormat/>
    <w:rsid w:val="005A0F90"/>
    <w:pPr>
      <w:keepNext/>
      <w:numPr>
        <w:ilvl w:val="1"/>
        <w:numId w:val="11"/>
      </w:numPr>
      <w:spacing w:before="240"/>
      <w:outlineLvl w:val="1"/>
    </w:pPr>
    <w:rPr>
      <w:b/>
    </w:rPr>
  </w:style>
  <w:style w:type="paragraph" w:styleId="Heading3">
    <w:name w:val="heading 3"/>
    <w:basedOn w:val="Normal"/>
    <w:next w:val="Normal"/>
    <w:link w:val="Heading3Char"/>
    <w:uiPriority w:val="99"/>
    <w:qFormat/>
    <w:rsid w:val="005A0F90"/>
    <w:pPr>
      <w:keepNext/>
      <w:numPr>
        <w:ilvl w:val="2"/>
        <w:numId w:val="11"/>
      </w:numPr>
      <w:spacing w:before="240"/>
      <w:outlineLvl w:val="2"/>
    </w:pPr>
    <w:rPr>
      <w:b/>
    </w:rPr>
  </w:style>
  <w:style w:type="paragraph" w:styleId="Heading4">
    <w:name w:val="heading 4"/>
    <w:basedOn w:val="Normal"/>
    <w:next w:val="Normal"/>
    <w:link w:val="Heading4Char"/>
    <w:uiPriority w:val="99"/>
    <w:qFormat/>
    <w:rsid w:val="005A0F90"/>
    <w:pPr>
      <w:keepNext/>
      <w:numPr>
        <w:ilvl w:val="3"/>
        <w:numId w:val="11"/>
      </w:numPr>
      <w:spacing w:before="240"/>
      <w:outlineLvl w:val="3"/>
    </w:pPr>
    <w:rPr>
      <w:b/>
    </w:rPr>
  </w:style>
  <w:style w:type="paragraph" w:styleId="Heading5">
    <w:name w:val="heading 5"/>
    <w:basedOn w:val="Normal"/>
    <w:next w:val="Normal"/>
    <w:link w:val="Heading5Char"/>
    <w:uiPriority w:val="99"/>
    <w:qFormat/>
    <w:rsid w:val="005A0F90"/>
    <w:pPr>
      <w:keepNext/>
      <w:numPr>
        <w:ilvl w:val="4"/>
        <w:numId w:val="11"/>
      </w:numPr>
      <w:spacing w:before="240"/>
      <w:outlineLvl w:val="4"/>
    </w:pPr>
    <w:rPr>
      <w:b/>
    </w:rPr>
  </w:style>
  <w:style w:type="paragraph" w:styleId="Heading6">
    <w:name w:val="heading 6"/>
    <w:basedOn w:val="Normal"/>
    <w:next w:val="Normal"/>
    <w:link w:val="Heading6Char"/>
    <w:uiPriority w:val="99"/>
    <w:qFormat/>
    <w:rsid w:val="005A0F90"/>
    <w:pPr>
      <w:keepNext/>
      <w:numPr>
        <w:ilvl w:val="5"/>
        <w:numId w:val="11"/>
      </w:numPr>
      <w:spacing w:before="240"/>
      <w:outlineLvl w:val="5"/>
    </w:pPr>
    <w:rPr>
      <w:b/>
    </w:rPr>
  </w:style>
  <w:style w:type="paragraph" w:styleId="Heading7">
    <w:name w:val="heading 7"/>
    <w:basedOn w:val="Normal"/>
    <w:next w:val="Normal"/>
    <w:link w:val="Heading7Char"/>
    <w:uiPriority w:val="99"/>
    <w:qFormat/>
    <w:rsid w:val="005A0F90"/>
    <w:pPr>
      <w:keepNext/>
      <w:numPr>
        <w:ilvl w:val="6"/>
        <w:numId w:val="11"/>
      </w:numPr>
      <w:spacing w:before="240"/>
      <w:outlineLvl w:val="6"/>
    </w:pPr>
    <w:rPr>
      <w:b/>
    </w:rPr>
  </w:style>
  <w:style w:type="paragraph" w:styleId="Heading8">
    <w:name w:val="heading 8"/>
    <w:basedOn w:val="Normal"/>
    <w:next w:val="Normal"/>
    <w:link w:val="Heading8Char"/>
    <w:uiPriority w:val="99"/>
    <w:qFormat/>
    <w:rsid w:val="005A0F90"/>
    <w:pPr>
      <w:keepNext/>
      <w:numPr>
        <w:ilvl w:val="7"/>
        <w:numId w:val="11"/>
      </w:numPr>
      <w:spacing w:before="240"/>
      <w:outlineLvl w:val="7"/>
    </w:pPr>
    <w:rPr>
      <w:b/>
    </w:rPr>
  </w:style>
  <w:style w:type="paragraph" w:styleId="Heading9">
    <w:name w:val="heading 9"/>
    <w:basedOn w:val="Normal"/>
    <w:next w:val="Normal"/>
    <w:link w:val="Heading9Char"/>
    <w:uiPriority w:val="99"/>
    <w:qFormat/>
    <w:rsid w:val="005A0F90"/>
    <w:pPr>
      <w:keepNext/>
      <w:numPr>
        <w:ilvl w:val="8"/>
        <w:numId w:val="11"/>
      </w:numPr>
      <w:spacing w:before="24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073A"/>
    <w:rPr>
      <w:rFonts w:cs="Times New Roman"/>
      <w:b/>
      <w:caps/>
      <w:kern w:val="28"/>
      <w:sz w:val="24"/>
      <w:lang w:val="en-US" w:eastAsia="en-US" w:bidi="ar-SA"/>
    </w:rPr>
  </w:style>
  <w:style w:type="character" w:customStyle="1" w:styleId="Heading2Char">
    <w:name w:val="Heading 2 Char"/>
    <w:basedOn w:val="DefaultParagraphFont"/>
    <w:link w:val="Heading2"/>
    <w:uiPriority w:val="99"/>
    <w:semiHidden/>
    <w:locked/>
    <w:rsid w:val="00B95913"/>
    <w:rPr>
      <w:rFonts w:cs="Times New Roman"/>
      <w:b/>
      <w:sz w:val="24"/>
      <w:szCs w:val="24"/>
      <w:lang w:val="en-US" w:eastAsia="en-US" w:bidi="ar-SA"/>
    </w:rPr>
  </w:style>
  <w:style w:type="character" w:customStyle="1" w:styleId="Heading3Char">
    <w:name w:val="Heading 3 Char"/>
    <w:basedOn w:val="DefaultParagraphFont"/>
    <w:link w:val="Heading3"/>
    <w:uiPriority w:val="99"/>
    <w:semiHidden/>
    <w:locked/>
    <w:rsid w:val="00B95913"/>
    <w:rPr>
      <w:rFonts w:cs="Times New Roman"/>
      <w:b/>
      <w:sz w:val="24"/>
      <w:szCs w:val="24"/>
      <w:lang w:val="en-US" w:eastAsia="en-US" w:bidi="ar-SA"/>
    </w:rPr>
  </w:style>
  <w:style w:type="character" w:customStyle="1" w:styleId="Heading4Char">
    <w:name w:val="Heading 4 Char"/>
    <w:basedOn w:val="DefaultParagraphFont"/>
    <w:link w:val="Heading4"/>
    <w:uiPriority w:val="99"/>
    <w:semiHidden/>
    <w:locked/>
    <w:rsid w:val="00B95913"/>
    <w:rPr>
      <w:rFonts w:cs="Times New Roman"/>
      <w:b/>
      <w:sz w:val="24"/>
      <w:szCs w:val="24"/>
      <w:lang w:val="en-US" w:eastAsia="en-US" w:bidi="ar-SA"/>
    </w:rPr>
  </w:style>
  <w:style w:type="character" w:customStyle="1" w:styleId="Heading5Char">
    <w:name w:val="Heading 5 Char"/>
    <w:basedOn w:val="DefaultParagraphFont"/>
    <w:link w:val="Heading5"/>
    <w:uiPriority w:val="99"/>
    <w:semiHidden/>
    <w:locked/>
    <w:rsid w:val="00B95913"/>
    <w:rPr>
      <w:rFonts w:cs="Times New Roman"/>
      <w:b/>
      <w:sz w:val="24"/>
      <w:szCs w:val="24"/>
      <w:lang w:val="en-US" w:eastAsia="en-US" w:bidi="ar-SA"/>
    </w:rPr>
  </w:style>
  <w:style w:type="character" w:customStyle="1" w:styleId="Heading6Char">
    <w:name w:val="Heading 6 Char"/>
    <w:basedOn w:val="DefaultParagraphFont"/>
    <w:link w:val="Heading6"/>
    <w:uiPriority w:val="99"/>
    <w:semiHidden/>
    <w:locked/>
    <w:rsid w:val="00B95913"/>
    <w:rPr>
      <w:rFonts w:cs="Times New Roman"/>
      <w:b/>
      <w:sz w:val="24"/>
      <w:szCs w:val="24"/>
      <w:lang w:val="en-US" w:eastAsia="en-US" w:bidi="ar-SA"/>
    </w:rPr>
  </w:style>
  <w:style w:type="character" w:customStyle="1" w:styleId="Heading7Char">
    <w:name w:val="Heading 7 Char"/>
    <w:basedOn w:val="DefaultParagraphFont"/>
    <w:link w:val="Heading7"/>
    <w:uiPriority w:val="99"/>
    <w:semiHidden/>
    <w:locked/>
    <w:rsid w:val="00B95913"/>
    <w:rPr>
      <w:rFonts w:cs="Times New Roman"/>
      <w:b/>
      <w:sz w:val="24"/>
      <w:szCs w:val="24"/>
      <w:lang w:val="en-US" w:eastAsia="en-US" w:bidi="ar-SA"/>
    </w:rPr>
  </w:style>
  <w:style w:type="character" w:customStyle="1" w:styleId="Heading8Char">
    <w:name w:val="Heading 8 Char"/>
    <w:basedOn w:val="DefaultParagraphFont"/>
    <w:link w:val="Heading8"/>
    <w:uiPriority w:val="99"/>
    <w:semiHidden/>
    <w:locked/>
    <w:rsid w:val="00B95913"/>
    <w:rPr>
      <w:rFonts w:cs="Times New Roman"/>
      <w:b/>
      <w:sz w:val="24"/>
      <w:szCs w:val="24"/>
      <w:lang w:val="en-US" w:eastAsia="en-US" w:bidi="ar-SA"/>
    </w:rPr>
  </w:style>
  <w:style w:type="character" w:customStyle="1" w:styleId="Heading9Char">
    <w:name w:val="Heading 9 Char"/>
    <w:basedOn w:val="DefaultParagraphFont"/>
    <w:link w:val="Heading9"/>
    <w:uiPriority w:val="99"/>
    <w:semiHidden/>
    <w:locked/>
    <w:rsid w:val="00B95913"/>
    <w:rPr>
      <w:rFonts w:cs="Times New Roman"/>
      <w:sz w:val="24"/>
      <w:szCs w:val="24"/>
      <w:lang w:val="en-US" w:eastAsia="en-US" w:bidi="ar-SA"/>
    </w:rPr>
  </w:style>
  <w:style w:type="paragraph" w:styleId="Header">
    <w:name w:val="header"/>
    <w:basedOn w:val="Normal"/>
    <w:link w:val="HeaderChar"/>
    <w:uiPriority w:val="99"/>
    <w:rsid w:val="005A0F90"/>
    <w:pPr>
      <w:tabs>
        <w:tab w:val="center" w:pos="4320"/>
        <w:tab w:val="right" w:pos="8640"/>
      </w:tabs>
    </w:pPr>
  </w:style>
  <w:style w:type="character" w:customStyle="1" w:styleId="HeaderChar">
    <w:name w:val="Header Char"/>
    <w:basedOn w:val="DefaultParagraphFont"/>
    <w:link w:val="Header"/>
    <w:uiPriority w:val="99"/>
    <w:semiHidden/>
    <w:locked/>
    <w:rsid w:val="00B95913"/>
    <w:rPr>
      <w:rFonts w:cs="Times New Roman"/>
      <w:sz w:val="24"/>
      <w:szCs w:val="24"/>
    </w:rPr>
  </w:style>
  <w:style w:type="paragraph" w:styleId="Footer">
    <w:name w:val="footer"/>
    <w:basedOn w:val="Normal"/>
    <w:link w:val="FooterChar"/>
    <w:uiPriority w:val="99"/>
    <w:rsid w:val="005A0F90"/>
    <w:pPr>
      <w:tabs>
        <w:tab w:val="center" w:pos="4320"/>
        <w:tab w:val="right" w:pos="8640"/>
      </w:tabs>
    </w:pPr>
    <w:rPr>
      <w:sz w:val="20"/>
    </w:rPr>
  </w:style>
  <w:style w:type="character" w:customStyle="1" w:styleId="FooterChar">
    <w:name w:val="Footer Char"/>
    <w:basedOn w:val="DefaultParagraphFont"/>
    <w:link w:val="Footer"/>
    <w:uiPriority w:val="99"/>
    <w:locked/>
    <w:rsid w:val="00C1073A"/>
    <w:rPr>
      <w:rFonts w:cs="Times New Roman"/>
    </w:rPr>
  </w:style>
  <w:style w:type="paragraph" w:customStyle="1" w:styleId="LineNumbers">
    <w:name w:val="LineNumbers"/>
    <w:basedOn w:val="Normal"/>
    <w:uiPriority w:val="99"/>
    <w:rsid w:val="005A0F90"/>
    <w:pPr>
      <w:jc w:val="right"/>
    </w:pPr>
  </w:style>
  <w:style w:type="paragraph" w:customStyle="1" w:styleId="SingleSpacing">
    <w:name w:val="Single Spacing"/>
    <w:basedOn w:val="Normal"/>
    <w:uiPriority w:val="99"/>
    <w:rsid w:val="005A0F90"/>
    <w:pPr>
      <w:spacing w:line="186" w:lineRule="exact"/>
    </w:pPr>
  </w:style>
  <w:style w:type="paragraph" w:customStyle="1" w:styleId="15Spacing">
    <w:name w:val="1.5 Spacing"/>
    <w:basedOn w:val="Normal"/>
    <w:uiPriority w:val="99"/>
    <w:rsid w:val="005A0F90"/>
    <w:pPr>
      <w:spacing w:line="279" w:lineRule="exact"/>
    </w:pPr>
  </w:style>
  <w:style w:type="paragraph" w:customStyle="1" w:styleId="DoubleSpacing">
    <w:name w:val="Double Spacing"/>
    <w:basedOn w:val="Normal"/>
    <w:uiPriority w:val="99"/>
    <w:rsid w:val="005A0F90"/>
  </w:style>
  <w:style w:type="character" w:styleId="PageNumber">
    <w:name w:val="page number"/>
    <w:basedOn w:val="DefaultParagraphFont"/>
    <w:uiPriority w:val="99"/>
    <w:rsid w:val="005A0F90"/>
    <w:rPr>
      <w:rFonts w:cs="Times New Roman"/>
    </w:rPr>
  </w:style>
  <w:style w:type="paragraph" w:customStyle="1" w:styleId="Address">
    <w:name w:val="Address"/>
    <w:basedOn w:val="SingleSpacing"/>
    <w:uiPriority w:val="99"/>
    <w:rsid w:val="005A0F90"/>
    <w:pPr>
      <w:ind w:left="4680"/>
    </w:pPr>
  </w:style>
  <w:style w:type="paragraph" w:customStyle="1" w:styleId="CourtName">
    <w:name w:val="CourtName"/>
    <w:basedOn w:val="Normal"/>
    <w:uiPriority w:val="99"/>
    <w:rsid w:val="005A0F90"/>
    <w:pPr>
      <w:jc w:val="center"/>
    </w:pPr>
  </w:style>
  <w:style w:type="character" w:styleId="FootnoteReference">
    <w:name w:val="footnote reference"/>
    <w:basedOn w:val="DefaultParagraphFont"/>
    <w:uiPriority w:val="99"/>
    <w:rsid w:val="005A0F90"/>
    <w:rPr>
      <w:rFonts w:cs="Times New Roman"/>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basedOn w:val="Normal"/>
    <w:link w:val="FootnoteTextChar"/>
    <w:uiPriority w:val="99"/>
    <w:rsid w:val="005A0F90"/>
    <w:pPr>
      <w:ind w:firstLine="720"/>
      <w:jc w:val="both"/>
    </w:pPr>
    <w:rPr>
      <w:sz w:val="20"/>
    </w:rPr>
  </w:style>
  <w:style w:type="character" w:customStyle="1" w:styleId="FootnoteTextChar">
    <w:name w:val="Footnote Text Char"/>
    <w:basedOn w:val="DefaultParagraphFont"/>
    <w:link w:val="FootnoteText"/>
    <w:uiPriority w:val="99"/>
    <w:locked/>
    <w:rsid w:val="007A7F60"/>
    <w:rPr>
      <w:rFonts w:cs="Times New Roman"/>
      <w:sz w:val="24"/>
      <w:szCs w:val="24"/>
    </w:rPr>
  </w:style>
  <w:style w:type="paragraph" w:styleId="TOC1">
    <w:name w:val="toc 1"/>
    <w:basedOn w:val="Normal"/>
    <w:next w:val="Normal"/>
    <w:uiPriority w:val="99"/>
    <w:rsid w:val="005A0F90"/>
    <w:pPr>
      <w:tabs>
        <w:tab w:val="right" w:leader="dot" w:pos="9360"/>
      </w:tabs>
      <w:spacing w:after="240"/>
      <w:ind w:left="630" w:right="547" w:hanging="630"/>
    </w:pPr>
    <w:rPr>
      <w:caps/>
      <w:noProof/>
    </w:rPr>
  </w:style>
  <w:style w:type="paragraph" w:styleId="TOC2">
    <w:name w:val="toc 2"/>
    <w:basedOn w:val="Normal"/>
    <w:next w:val="Normal"/>
    <w:uiPriority w:val="99"/>
    <w:rsid w:val="005A0F90"/>
    <w:pPr>
      <w:tabs>
        <w:tab w:val="right" w:leader="dot" w:pos="9360"/>
      </w:tabs>
      <w:spacing w:after="240"/>
      <w:ind w:left="1080" w:right="547" w:hanging="450"/>
    </w:pPr>
    <w:rPr>
      <w:noProof/>
    </w:rPr>
  </w:style>
  <w:style w:type="paragraph" w:styleId="TOC3">
    <w:name w:val="toc 3"/>
    <w:basedOn w:val="Normal"/>
    <w:next w:val="Normal"/>
    <w:uiPriority w:val="99"/>
    <w:rsid w:val="005A0F90"/>
    <w:pPr>
      <w:tabs>
        <w:tab w:val="right" w:leader="dot" w:pos="9360"/>
      </w:tabs>
      <w:spacing w:after="240"/>
      <w:ind w:left="1530" w:right="547" w:hanging="450"/>
    </w:pPr>
    <w:rPr>
      <w:noProof/>
    </w:rPr>
  </w:style>
  <w:style w:type="paragraph" w:styleId="TOC4">
    <w:name w:val="toc 4"/>
    <w:basedOn w:val="Normal"/>
    <w:next w:val="Normal"/>
    <w:uiPriority w:val="99"/>
    <w:semiHidden/>
    <w:rsid w:val="005A0F90"/>
    <w:pPr>
      <w:tabs>
        <w:tab w:val="right" w:leader="dot" w:pos="9360"/>
      </w:tabs>
      <w:spacing w:after="240"/>
      <w:ind w:left="1980" w:right="547" w:hanging="450"/>
    </w:pPr>
    <w:rPr>
      <w:noProof/>
    </w:rPr>
  </w:style>
  <w:style w:type="paragraph" w:styleId="TOC5">
    <w:name w:val="toc 5"/>
    <w:basedOn w:val="Normal"/>
    <w:next w:val="Normal"/>
    <w:uiPriority w:val="99"/>
    <w:semiHidden/>
    <w:rsid w:val="005A0F90"/>
    <w:pPr>
      <w:tabs>
        <w:tab w:val="right" w:leader="dot" w:pos="9360"/>
      </w:tabs>
      <w:spacing w:after="240"/>
      <w:ind w:left="2610" w:right="547" w:hanging="630"/>
    </w:pPr>
    <w:rPr>
      <w:noProof/>
    </w:rPr>
  </w:style>
  <w:style w:type="paragraph" w:styleId="TOC6">
    <w:name w:val="toc 6"/>
    <w:basedOn w:val="Normal"/>
    <w:next w:val="Normal"/>
    <w:uiPriority w:val="99"/>
    <w:semiHidden/>
    <w:rsid w:val="005A0F90"/>
    <w:pPr>
      <w:tabs>
        <w:tab w:val="right" w:leader="dot" w:pos="9360"/>
      </w:tabs>
      <w:spacing w:after="240"/>
      <w:ind w:left="3150" w:right="547" w:hanging="540"/>
    </w:pPr>
    <w:rPr>
      <w:noProof/>
    </w:rPr>
  </w:style>
  <w:style w:type="paragraph" w:styleId="TOC7">
    <w:name w:val="toc 7"/>
    <w:basedOn w:val="Normal"/>
    <w:next w:val="Normal"/>
    <w:uiPriority w:val="99"/>
    <w:semiHidden/>
    <w:rsid w:val="005A0F90"/>
    <w:pPr>
      <w:tabs>
        <w:tab w:val="right" w:leader="dot" w:pos="9360"/>
      </w:tabs>
      <w:spacing w:after="240"/>
      <w:ind w:left="3600" w:right="547" w:hanging="450"/>
    </w:pPr>
    <w:rPr>
      <w:noProof/>
    </w:rPr>
  </w:style>
  <w:style w:type="paragraph" w:styleId="TOC8">
    <w:name w:val="toc 8"/>
    <w:basedOn w:val="Normal"/>
    <w:next w:val="Normal"/>
    <w:uiPriority w:val="99"/>
    <w:semiHidden/>
    <w:rsid w:val="005A0F90"/>
    <w:pPr>
      <w:tabs>
        <w:tab w:val="right" w:leader="dot" w:pos="9360"/>
      </w:tabs>
      <w:spacing w:after="240"/>
      <w:ind w:left="4050" w:right="547" w:hanging="450"/>
    </w:pPr>
    <w:rPr>
      <w:noProof/>
    </w:rPr>
  </w:style>
  <w:style w:type="paragraph" w:styleId="BodyText">
    <w:name w:val="Body Text"/>
    <w:basedOn w:val="Normal"/>
    <w:link w:val="BodyTextChar"/>
    <w:uiPriority w:val="99"/>
    <w:rsid w:val="005A0F90"/>
    <w:pPr>
      <w:spacing w:after="120" w:line="480" w:lineRule="auto"/>
      <w:ind w:firstLine="720"/>
    </w:pPr>
  </w:style>
  <w:style w:type="character" w:customStyle="1" w:styleId="BodyTextChar">
    <w:name w:val="Body Text Char"/>
    <w:basedOn w:val="DefaultParagraphFont"/>
    <w:link w:val="BodyText"/>
    <w:uiPriority w:val="99"/>
    <w:semiHidden/>
    <w:locked/>
    <w:rsid w:val="00B95913"/>
    <w:rPr>
      <w:rFonts w:cs="Times New Roman"/>
      <w:sz w:val="24"/>
      <w:szCs w:val="24"/>
    </w:rPr>
  </w:style>
  <w:style w:type="paragraph" w:styleId="TableofAuthorities">
    <w:name w:val="table of authorities"/>
    <w:basedOn w:val="Normal"/>
    <w:next w:val="Normal"/>
    <w:uiPriority w:val="99"/>
    <w:semiHidden/>
    <w:rsid w:val="005A0F90"/>
    <w:pPr>
      <w:tabs>
        <w:tab w:val="right" w:leader="dot" w:pos="9360"/>
      </w:tabs>
      <w:spacing w:after="240"/>
      <w:ind w:left="245" w:right="720" w:hanging="245"/>
    </w:pPr>
  </w:style>
  <w:style w:type="paragraph" w:styleId="EnvelopeAddress">
    <w:name w:val="envelope address"/>
    <w:basedOn w:val="Normal"/>
    <w:uiPriority w:val="99"/>
    <w:rsid w:val="005A0F90"/>
    <w:pPr>
      <w:framePr w:w="7920" w:h="1980" w:hRule="exact" w:hSpace="180" w:wrap="auto" w:hAnchor="page" w:xAlign="center" w:yAlign="bottom"/>
      <w:ind w:left="2880"/>
    </w:pPr>
    <w:rPr>
      <w:caps/>
    </w:rPr>
  </w:style>
  <w:style w:type="paragraph" w:customStyle="1" w:styleId="ParNumber">
    <w:name w:val="ParNumber"/>
    <w:basedOn w:val="Normal"/>
    <w:uiPriority w:val="99"/>
    <w:rsid w:val="005A0F90"/>
    <w:pPr>
      <w:numPr>
        <w:numId w:val="12"/>
      </w:numPr>
      <w:tabs>
        <w:tab w:val="left" w:pos="720"/>
      </w:tabs>
    </w:pPr>
  </w:style>
  <w:style w:type="paragraph" w:styleId="BalloonText">
    <w:name w:val="Balloon Text"/>
    <w:basedOn w:val="Normal"/>
    <w:link w:val="BalloonTextChar"/>
    <w:uiPriority w:val="99"/>
    <w:semiHidden/>
    <w:rsid w:val="002A70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7047"/>
    <w:rPr>
      <w:rFonts w:ascii="Tahoma" w:hAnsi="Tahoma" w:cs="Tahoma"/>
      <w:sz w:val="16"/>
      <w:szCs w:val="16"/>
    </w:rPr>
  </w:style>
  <w:style w:type="character" w:styleId="CommentReference">
    <w:name w:val="annotation reference"/>
    <w:basedOn w:val="DefaultParagraphFont"/>
    <w:uiPriority w:val="99"/>
    <w:semiHidden/>
    <w:rsid w:val="00D33C0A"/>
    <w:rPr>
      <w:rFonts w:cs="Times New Roman"/>
      <w:sz w:val="16"/>
      <w:szCs w:val="16"/>
    </w:rPr>
  </w:style>
  <w:style w:type="paragraph" w:styleId="CommentText">
    <w:name w:val="annotation text"/>
    <w:basedOn w:val="Normal"/>
    <w:link w:val="CommentTextChar"/>
    <w:uiPriority w:val="99"/>
    <w:semiHidden/>
    <w:rsid w:val="00D33C0A"/>
    <w:rPr>
      <w:sz w:val="20"/>
      <w:szCs w:val="20"/>
    </w:rPr>
  </w:style>
  <w:style w:type="character" w:customStyle="1" w:styleId="CommentTextChar">
    <w:name w:val="Comment Text Char"/>
    <w:basedOn w:val="DefaultParagraphFont"/>
    <w:link w:val="CommentText"/>
    <w:uiPriority w:val="99"/>
    <w:semiHidden/>
    <w:locked/>
    <w:rsid w:val="00D33C0A"/>
    <w:rPr>
      <w:rFonts w:cs="Times New Roman"/>
    </w:rPr>
  </w:style>
  <w:style w:type="paragraph" w:styleId="ListParagraph">
    <w:name w:val="List Paragraph"/>
    <w:basedOn w:val="Normal"/>
    <w:uiPriority w:val="99"/>
    <w:qFormat/>
    <w:rsid w:val="00BE25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DocumentOrder xmlns="dc463f71-b30c-4ab2-9473-d307f9d35888" xsi:nil="true"/>
    <IsConfidential xmlns="dc463f71-b30c-4ab2-9473-d307f9d35888">false</IsConfidential>
    <DocketNumber xmlns="dc463f71-b30c-4ab2-9473-d307f9d35888">151871</DocketNumber>
    <DelegatedOrder xmlns="dc463f71-b30c-4ab2-9473-d307f9d35888">false</DelegatedOrder>
    <AgendaOrder xmlns="dc463f71-b30c-4ab2-9473-d307f9d35888">false</AgendaOrder>
    <CaseStatus xmlns="dc463f71-b30c-4ab2-9473-d307f9d35888">Closed</CaseStatus>
    <Date1 xmlns="dc463f71-b30c-4ab2-9473-d307f9d35888">2016-08-30T07:00:00+00:00</Date1>
    <CaseType xmlns="dc463f71-b30c-4ab2-9473-d307f9d35888">Tariff Revision</CaseType>
    <OpenedDate xmlns="dc463f71-b30c-4ab2-9473-d307f9d35888">2015-09-18T07:00:00+00:00</OpenedDate>
    <IsHighlyConfidential xmlns="dc463f71-b30c-4ab2-9473-d307f9d35888">false</IsHighlyConfidential>
    <IndustryCode xmlns="dc463f71-b30c-4ab2-9473-d307f9d35888">140</IndustryCode>
    <CaseCompanyNames xmlns="dc463f71-b30c-4ab2-9473-d307f9d35888">Puget Sound Energy</CaseCompanyNames>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1CC245E-45FD-4C28-94EF-89DF48E45C1A}"/>
</file>

<file path=customXml/itemProps2.xml><?xml version="1.0" encoding="utf-8"?>
<ds:datastoreItem xmlns:ds="http://schemas.openxmlformats.org/officeDocument/2006/customXml" ds:itemID="{C7A8F2F4-0293-4007-9CD8-83A4C23E1996}"/>
</file>

<file path=customXml/itemProps3.xml><?xml version="1.0" encoding="utf-8"?>
<ds:datastoreItem xmlns:ds="http://schemas.openxmlformats.org/officeDocument/2006/customXml" ds:itemID="{37F3A60F-B087-4C1A-B08A-50B104424430}"/>
</file>

<file path=customXml/itemProps4.xml><?xml version="1.0" encoding="utf-8"?>
<ds:datastoreItem xmlns:ds="http://schemas.openxmlformats.org/officeDocument/2006/customXml" ds:itemID="{1AD34CA4-4A36-4A24-93DD-694982FE8829}"/>
</file>

<file path=docProps/app.xml><?xml version="1.0" encoding="utf-8"?>
<Properties xmlns="http://schemas.openxmlformats.org/officeDocument/2006/extended-properties" xmlns:vt="http://schemas.openxmlformats.org/officeDocument/2006/docPropsVTypes">
  <Template>Normal_Wordconv.dotm</Template>
  <TotalTime>824</TotalTime>
  <Pages>11</Pages>
  <Words>1778</Words>
  <Characters>10139</Characters>
  <Application>Microsoft Office Outlook</Application>
  <DocSecurity>0</DocSecurity>
  <Lines>0</Lines>
  <Paragraphs>0</Paragraphs>
  <ScaleCrop>false</ScaleCrop>
  <Company>Office of the Attorney General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subject/>
  <dc:creator>carolw</dc:creator>
  <cp:keywords/>
  <dc:description/>
  <cp:lastModifiedBy>CaptainWierd</cp:lastModifiedBy>
  <cp:revision>68</cp:revision>
  <cp:lastPrinted>2016-08-30T21:41:00Z</cp:lastPrinted>
  <dcterms:created xsi:type="dcterms:W3CDTF">2016-08-29T17:37:00Z</dcterms:created>
  <dcterms:modified xsi:type="dcterms:W3CDTF">2016-08-30T21:41:00Z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y fmtid="{D5CDD505-2E9C-101B-9397-08002B2CF9AE}" pid="4" name="Prefix">
    <vt:lpwstr/>
  </property>
  <property fmtid="{D5CDD505-2E9C-101B-9397-08002B2CF9AE}" pid="5" name="DocumentSetType">
    <vt:lpwstr>Brief</vt:lpwstr>
  </property>
  <property fmtid="{D5CDD505-2E9C-101B-9397-08002B2CF9AE}" pid="6" name="IsConfidential">
    <vt:lpwstr>0</vt:lpwstr>
  </property>
  <property fmtid="{D5CDD505-2E9C-101B-9397-08002B2CF9AE}" pid="7" name="AgendaOrder">
    <vt:lpwstr>0</vt:lpwstr>
  </property>
  <property fmtid="{D5CDD505-2E9C-101B-9397-08002B2CF9AE}" pid="8" name="CaseType">
    <vt:lpwstr/>
  </property>
  <property fmtid="{D5CDD505-2E9C-101B-9397-08002B2CF9AE}" pid="9" name="IndustryCode">
    <vt:lpwstr/>
  </property>
  <property fmtid="{D5CDD505-2E9C-101B-9397-08002B2CF9AE}" pid="10" name="CaseStatus">
    <vt:lpwstr/>
  </property>
  <property fmtid="{D5CDD505-2E9C-101B-9397-08002B2CF9AE}" pid="11" name="OpenedDate">
    <vt:lpwstr/>
  </property>
  <property fmtid="{D5CDD505-2E9C-101B-9397-08002B2CF9AE}" pid="12" name="Date1">
    <vt:lpwstr>2015-11-04T01:00:00Z</vt:lpwstr>
  </property>
  <property fmtid="{D5CDD505-2E9C-101B-9397-08002B2CF9AE}" pid="13" name="IsDocumentOrder">
    <vt:lpwstr>0</vt:lpwstr>
  </property>
  <property fmtid="{D5CDD505-2E9C-101B-9397-08002B2CF9AE}" pid="14" name="IsHighlyConfidential">
    <vt:lpwstr>0</vt:lpwstr>
  </property>
  <property fmtid="{D5CDD505-2E9C-101B-9397-08002B2CF9AE}" pid="15" name="CaseCompanyNames">
    <vt:lpwstr/>
  </property>
  <property fmtid="{D5CDD505-2E9C-101B-9397-08002B2CF9AE}" pid="16" name="DocketNumber">
    <vt:lpwstr>150204</vt:lpwstr>
  </property>
  <property fmtid="{D5CDD505-2E9C-101B-9397-08002B2CF9AE}" pid="17" name="DelegatedOrder">
    <vt:lpwstr>0</vt:lpwstr>
  </property>
</Properties>
</file>