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6A" w:rsidRPr="002D551F" w:rsidRDefault="00FD536A" w:rsidP="00344BCA">
      <w:pPr>
        <w:ind w:right="72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D551F">
        <w:rPr>
          <w:b/>
          <w:bCs/>
          <w:sz w:val="24"/>
          <w:szCs w:val="24"/>
        </w:rPr>
        <w:t>AVISTA CORP.</w:t>
      </w:r>
    </w:p>
    <w:p w:rsidR="00FD536A" w:rsidRPr="002D551F" w:rsidRDefault="00FD536A" w:rsidP="00344BCA">
      <w:pPr>
        <w:pStyle w:val="Heading3"/>
      </w:pPr>
      <w:r w:rsidRPr="002D551F">
        <w:t>RESPONSE TO REQUEST FOR INFORMATION</w:t>
      </w:r>
    </w:p>
    <w:p w:rsidR="00FD536A" w:rsidRPr="002D551F" w:rsidRDefault="00FD536A" w:rsidP="00344BCA">
      <w:pPr>
        <w:jc w:val="both"/>
        <w:rPr>
          <w:b/>
          <w:bCs/>
          <w:sz w:val="24"/>
          <w:szCs w:val="24"/>
        </w:rPr>
      </w:pPr>
    </w:p>
    <w:p w:rsidR="00FD536A" w:rsidRPr="002D551F" w:rsidRDefault="00FD536A" w:rsidP="00344BCA">
      <w:pPr>
        <w:pStyle w:val="Heading1"/>
        <w:tabs>
          <w:tab w:val="clear" w:pos="4320"/>
          <w:tab w:val="left" w:pos="4770"/>
        </w:tabs>
        <w:jc w:val="both"/>
      </w:pPr>
      <w:r w:rsidRPr="002D551F">
        <w:t>JURISDICTION:</w:t>
      </w:r>
      <w:r w:rsidRPr="002D551F">
        <w:tab/>
      </w:r>
      <w:r w:rsidR="00E64D12" w:rsidRPr="002D551F">
        <w:t>W</w:t>
      </w:r>
      <w:r w:rsidR="00AA791F" w:rsidRPr="002D551F">
        <w:t>ASHINGTON</w:t>
      </w:r>
      <w:r w:rsidRPr="002D551F">
        <w:tab/>
        <w:t>DATE PREPARED:</w:t>
      </w:r>
      <w:r w:rsidRPr="002D551F">
        <w:tab/>
      </w:r>
      <w:r w:rsidR="00DE2D16">
        <w:t>10/01</w:t>
      </w:r>
      <w:r w:rsidR="00417AA4" w:rsidRPr="002D551F">
        <w:t>/</w:t>
      </w:r>
      <w:r w:rsidR="008022DE" w:rsidRPr="002D551F">
        <w:t>20</w:t>
      </w:r>
      <w:r w:rsidR="009727ED" w:rsidRPr="002D551F">
        <w:t>1</w:t>
      </w:r>
      <w:r w:rsidR="00C96DA2" w:rsidRPr="002D551F">
        <w:t>5</w:t>
      </w:r>
    </w:p>
    <w:p w:rsidR="00C96DA2" w:rsidRPr="002D551F" w:rsidRDefault="00FD536A" w:rsidP="00344BCA">
      <w:pPr>
        <w:pStyle w:val="Heading1"/>
        <w:tabs>
          <w:tab w:val="clear" w:pos="4320"/>
          <w:tab w:val="left" w:pos="4770"/>
        </w:tabs>
        <w:jc w:val="both"/>
      </w:pPr>
      <w:r w:rsidRPr="002D551F">
        <w:t>CASE NO</w:t>
      </w:r>
      <w:r w:rsidR="00C96DA2" w:rsidRPr="002D551F">
        <w:t>.</w:t>
      </w:r>
      <w:r w:rsidRPr="002D551F">
        <w:t>:</w:t>
      </w:r>
      <w:r w:rsidRPr="002D551F">
        <w:tab/>
        <w:t>U</w:t>
      </w:r>
      <w:r w:rsidR="00E64D12" w:rsidRPr="002D551F">
        <w:t>E-</w:t>
      </w:r>
      <w:r w:rsidR="009727ED" w:rsidRPr="002D551F">
        <w:t>1</w:t>
      </w:r>
      <w:r w:rsidR="00C96DA2" w:rsidRPr="002D551F">
        <w:t>50204</w:t>
      </w:r>
      <w:r w:rsidR="00E64D12" w:rsidRPr="002D551F">
        <w:t xml:space="preserve"> &amp; </w:t>
      </w:r>
      <w:r w:rsidR="00C73FA6" w:rsidRPr="002D551F">
        <w:t>UG-</w:t>
      </w:r>
      <w:r w:rsidR="00B76EAC" w:rsidRPr="002D551F">
        <w:t>1</w:t>
      </w:r>
      <w:r w:rsidR="00C96DA2" w:rsidRPr="002D551F">
        <w:t>50205</w:t>
      </w:r>
      <w:r w:rsidRPr="002D551F">
        <w:tab/>
        <w:t>WITNESS:</w:t>
      </w:r>
      <w:r w:rsidRPr="002D551F">
        <w:tab/>
      </w:r>
      <w:r w:rsidR="00F731E6" w:rsidRPr="002D551F">
        <w:tab/>
      </w:r>
      <w:r w:rsidR="00F731E6" w:rsidRPr="002D551F">
        <w:tab/>
      </w:r>
      <w:r w:rsidR="00C96DA2" w:rsidRPr="002D551F">
        <w:t>Patrick Ehrbar</w:t>
      </w:r>
    </w:p>
    <w:p w:rsidR="001004DE" w:rsidRPr="002D551F" w:rsidRDefault="00C73FA6" w:rsidP="00344BCA">
      <w:pPr>
        <w:pStyle w:val="Heading1"/>
        <w:tabs>
          <w:tab w:val="clear" w:pos="4320"/>
          <w:tab w:val="left" w:pos="4770"/>
        </w:tabs>
        <w:jc w:val="both"/>
      </w:pPr>
      <w:r w:rsidRPr="002D551F">
        <w:t>REQUESTER:</w:t>
      </w:r>
      <w:r w:rsidRPr="002D551F">
        <w:tab/>
      </w:r>
      <w:r w:rsidR="00AE2F8D" w:rsidRPr="002D551F">
        <w:t>The Energy Project</w:t>
      </w:r>
      <w:r w:rsidR="00FD536A" w:rsidRPr="002D551F">
        <w:tab/>
        <w:t>RESPONDER:</w:t>
      </w:r>
      <w:r w:rsidR="00FD536A" w:rsidRPr="002D551F">
        <w:tab/>
      </w:r>
      <w:r w:rsidR="00F731E6" w:rsidRPr="002D551F">
        <w:tab/>
      </w:r>
      <w:r w:rsidR="00F731E6" w:rsidRPr="002D551F">
        <w:tab/>
      </w:r>
      <w:r w:rsidR="00C96DA2" w:rsidRPr="002D551F">
        <w:t>Pat Ehrbar</w:t>
      </w:r>
    </w:p>
    <w:p w:rsidR="001004DE" w:rsidRPr="002D551F" w:rsidRDefault="00FD536A" w:rsidP="00344BCA">
      <w:pPr>
        <w:pStyle w:val="Heading1"/>
        <w:tabs>
          <w:tab w:val="clear" w:pos="4320"/>
          <w:tab w:val="left" w:pos="4770"/>
        </w:tabs>
        <w:jc w:val="both"/>
      </w:pPr>
      <w:r w:rsidRPr="002D551F">
        <w:t>TYPE:</w:t>
      </w:r>
      <w:r w:rsidRPr="002D551F">
        <w:tab/>
        <w:t>Data Request</w:t>
      </w:r>
      <w:r w:rsidRPr="002D551F">
        <w:tab/>
        <w:t>DEPT:</w:t>
      </w:r>
      <w:r w:rsidRPr="002D551F">
        <w:tab/>
      </w:r>
      <w:r w:rsidR="00941853" w:rsidRPr="002D551F">
        <w:tab/>
      </w:r>
      <w:r w:rsidR="00941853" w:rsidRPr="002D551F">
        <w:tab/>
      </w:r>
      <w:r w:rsidR="00C96DA2" w:rsidRPr="002D551F">
        <w:t>State &amp; Federal Regulation</w:t>
      </w:r>
    </w:p>
    <w:p w:rsidR="00FD536A" w:rsidRPr="002D551F" w:rsidRDefault="001004DE" w:rsidP="00344BCA">
      <w:pPr>
        <w:pStyle w:val="Heading1"/>
        <w:tabs>
          <w:tab w:val="clear" w:pos="4320"/>
          <w:tab w:val="left" w:pos="4770"/>
        </w:tabs>
        <w:jc w:val="both"/>
      </w:pPr>
      <w:r w:rsidRPr="002D551F">
        <w:t>R</w:t>
      </w:r>
      <w:r w:rsidR="00FD536A" w:rsidRPr="002D551F">
        <w:t>EQUEST NO.:</w:t>
      </w:r>
      <w:r w:rsidR="008E3932" w:rsidRPr="002D551F">
        <w:tab/>
      </w:r>
      <w:r w:rsidR="00AE2F8D" w:rsidRPr="002D551F">
        <w:t>EP</w:t>
      </w:r>
      <w:r w:rsidR="00E94E42" w:rsidRPr="002D551F">
        <w:t xml:space="preserve"> </w:t>
      </w:r>
      <w:r w:rsidR="000E629D" w:rsidRPr="002D551F">
        <w:t>–</w:t>
      </w:r>
      <w:r w:rsidR="00E94E42" w:rsidRPr="002D551F">
        <w:t xml:space="preserve"> </w:t>
      </w:r>
      <w:r w:rsidR="00C96DA2" w:rsidRPr="002D551F">
        <w:t>1</w:t>
      </w:r>
      <w:r w:rsidR="008712F2">
        <w:t>1</w:t>
      </w:r>
      <w:r w:rsidR="00DE2D16">
        <w:t xml:space="preserve"> </w:t>
      </w:r>
      <w:r w:rsidR="00C5458D">
        <w:t>Revised</w:t>
      </w:r>
      <w:r w:rsidR="004A7704" w:rsidRPr="002D551F">
        <w:tab/>
      </w:r>
      <w:r w:rsidR="00FD536A" w:rsidRPr="002D551F">
        <w:t>TELEPHONE:</w:t>
      </w:r>
      <w:r w:rsidR="00FD536A" w:rsidRPr="002D551F">
        <w:tab/>
      </w:r>
      <w:r w:rsidR="00F731E6" w:rsidRPr="002D551F">
        <w:tab/>
      </w:r>
      <w:r w:rsidR="00F731E6" w:rsidRPr="002D551F">
        <w:tab/>
      </w:r>
      <w:r w:rsidR="00FD536A" w:rsidRPr="002D551F">
        <w:t>(509) 495-</w:t>
      </w:r>
      <w:r w:rsidR="00C96DA2" w:rsidRPr="002D551F">
        <w:t>8620</w:t>
      </w:r>
    </w:p>
    <w:p w:rsidR="00FD536A" w:rsidRPr="002D551F" w:rsidRDefault="00AA791F" w:rsidP="00344BCA">
      <w:pPr>
        <w:tabs>
          <w:tab w:val="left" w:pos="1890"/>
          <w:tab w:val="left" w:pos="4770"/>
          <w:tab w:val="left" w:pos="6480"/>
        </w:tabs>
        <w:jc w:val="both"/>
        <w:rPr>
          <w:sz w:val="24"/>
          <w:szCs w:val="24"/>
        </w:rPr>
      </w:pPr>
      <w:r w:rsidRPr="002D551F">
        <w:rPr>
          <w:sz w:val="24"/>
          <w:szCs w:val="24"/>
        </w:rPr>
        <w:tab/>
      </w:r>
      <w:r w:rsidRPr="002D551F">
        <w:rPr>
          <w:sz w:val="24"/>
          <w:szCs w:val="24"/>
        </w:rPr>
        <w:tab/>
        <w:t>EMAIL:</w:t>
      </w:r>
      <w:r w:rsidRPr="002D551F">
        <w:rPr>
          <w:sz w:val="24"/>
          <w:szCs w:val="24"/>
        </w:rPr>
        <w:tab/>
      </w:r>
      <w:r w:rsidR="00941853" w:rsidRPr="002D551F">
        <w:rPr>
          <w:sz w:val="24"/>
          <w:szCs w:val="24"/>
        </w:rPr>
        <w:tab/>
      </w:r>
      <w:r w:rsidR="00C96DA2" w:rsidRPr="002D551F">
        <w:rPr>
          <w:sz w:val="24"/>
          <w:szCs w:val="24"/>
        </w:rPr>
        <w:t>pat.ehrbar</w:t>
      </w:r>
      <w:r w:rsidR="00417AA4" w:rsidRPr="002D551F">
        <w:rPr>
          <w:sz w:val="24"/>
          <w:szCs w:val="24"/>
        </w:rPr>
        <w:t>@avistacorp.com</w:t>
      </w:r>
    </w:p>
    <w:p w:rsidR="000E629D" w:rsidRPr="002D551F" w:rsidRDefault="000E629D" w:rsidP="00344BCA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FD536A" w:rsidRPr="002D551F" w:rsidRDefault="00FD536A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 w:rsidRPr="002D551F">
        <w:rPr>
          <w:b/>
          <w:bCs/>
          <w:sz w:val="24"/>
          <w:szCs w:val="24"/>
        </w:rPr>
        <w:t>REQUEST:</w:t>
      </w:r>
    </w:p>
    <w:p w:rsidR="006045D3" w:rsidRPr="002D551F" w:rsidRDefault="006045D3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8712F2" w:rsidRDefault="008712F2" w:rsidP="008712F2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8712F2">
        <w:rPr>
          <w:sz w:val="24"/>
          <w:szCs w:val="24"/>
        </w:rPr>
        <w:t>In rebuttal testimony of Patrick Ehrbar on pages 9 and 10 Avista says the Company chooses a 7% increase to the total level of funding for LIRAP  because this level was reasonable and similar to Staff’s proposal.</w:t>
      </w:r>
    </w:p>
    <w:p w:rsidR="008712F2" w:rsidRPr="008712F2" w:rsidRDefault="008712F2" w:rsidP="008712F2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F731E6" w:rsidRDefault="008712F2" w:rsidP="008712F2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8712F2">
        <w:rPr>
          <w:sz w:val="24"/>
          <w:szCs w:val="24"/>
        </w:rPr>
        <w:t>Beginnings in 2016 assume there is a 7% increase in LIRAP funding each year. For each year until 25,550 grants are provided please produce a chart with the same format and beginning data for 2016 as staff used in exhibit (No._ JMW-2 page 1).</w:t>
      </w:r>
    </w:p>
    <w:p w:rsidR="00212532" w:rsidRPr="002D551F" w:rsidRDefault="00212532" w:rsidP="008712F2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E2D16" w:rsidRPr="002D551F" w:rsidRDefault="007E5A68" w:rsidP="00DE2D16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  <w:r w:rsidR="00DE2D16">
        <w:rPr>
          <w:b/>
          <w:sz w:val="24"/>
          <w:szCs w:val="24"/>
        </w:rPr>
        <w:t xml:space="preserve"> </w:t>
      </w:r>
      <w:r w:rsidR="00DE2D16" w:rsidRPr="002D551F">
        <w:rPr>
          <w:b/>
          <w:sz w:val="24"/>
          <w:szCs w:val="24"/>
        </w:rPr>
        <w:t>RESPONSE:</w:t>
      </w:r>
    </w:p>
    <w:p w:rsidR="00DE2D16" w:rsidRDefault="00DE2D16" w:rsidP="00DE2D16">
      <w:pPr>
        <w:jc w:val="both"/>
        <w:rPr>
          <w:sz w:val="24"/>
          <w:szCs w:val="24"/>
        </w:rPr>
      </w:pPr>
    </w:p>
    <w:p w:rsidR="00DE2D16" w:rsidRDefault="00DE2D16" w:rsidP="00DE2D16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Upon further review, the spreadsheet used to calculate the original ramp rate to 25,550 did not calculate correctly.  The table immediately below does provide the corrected values</w:t>
      </w:r>
      <w:r w:rsidR="00C5458D">
        <w:rPr>
          <w:sz w:val="24"/>
          <w:szCs w:val="24"/>
        </w:rPr>
        <w:t>, starting with the 2016 budget of $7,679,514 as provided in EP-10</w:t>
      </w:r>
      <w:r>
        <w:rPr>
          <w:sz w:val="24"/>
          <w:szCs w:val="24"/>
        </w:rPr>
        <w:t xml:space="preserve">, </w:t>
      </w:r>
      <w:r w:rsidR="00C5458D">
        <w:rPr>
          <w:sz w:val="24"/>
          <w:szCs w:val="24"/>
        </w:rPr>
        <w:t>and escalates that value by 7% as requested.  After excluding “Non-Direct Services”, the analysis shows</w:t>
      </w:r>
      <w:r>
        <w:rPr>
          <w:sz w:val="24"/>
          <w:szCs w:val="24"/>
        </w:rPr>
        <w:t xml:space="preserve"> that 25,550 customers would be served between 2022 and 2023.</w:t>
      </w:r>
    </w:p>
    <w:p w:rsidR="00DE2D16" w:rsidRDefault="00DE2D16" w:rsidP="00DE2D16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DE2D16" w:rsidRDefault="00DE2D16" w:rsidP="00DE2D16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DE2D16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1731645</wp:posOffset>
            </wp:positionH>
            <wp:positionV relativeFrom="paragraph">
              <wp:posOffset>2540</wp:posOffset>
            </wp:positionV>
            <wp:extent cx="2933700" cy="34766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D16" w:rsidRDefault="00DE2D16" w:rsidP="00DE2D16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DE2D16" w:rsidRDefault="00DE2D16" w:rsidP="00DE2D16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E2D16" w:rsidRDefault="00DE2D16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E2D16" w:rsidRDefault="00DE2D16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E2D16" w:rsidRDefault="00DE2D16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E2D16" w:rsidRDefault="00DE2D16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E2D16" w:rsidRDefault="00DE2D16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E2D16" w:rsidRDefault="00DE2D16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E2D16" w:rsidRDefault="00DE2D16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E2D16" w:rsidRDefault="00DE2D16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E2D16" w:rsidRDefault="00DE2D16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E2D16" w:rsidRDefault="00DE2D16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E2D16" w:rsidRDefault="00DE2D16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E2D16" w:rsidRDefault="00DE2D16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E2D16" w:rsidRDefault="00DE2D16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E2D16" w:rsidRDefault="00DE2D16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E2D16" w:rsidRDefault="00DE2D16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E2D16" w:rsidRDefault="00DE2D16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E2D16" w:rsidRDefault="00DE2D16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E2D16" w:rsidRDefault="00DE2D16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E2D16" w:rsidRDefault="00DE2D16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E2D16" w:rsidRDefault="00DE2D16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E2D16" w:rsidRDefault="00DE2D16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E2D16" w:rsidRDefault="00DE2D16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417AA4" w:rsidRPr="002D551F" w:rsidRDefault="00DE2D16" w:rsidP="00344BC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ORIGINAL </w:t>
      </w:r>
      <w:r w:rsidR="00FD536A" w:rsidRPr="002D551F">
        <w:rPr>
          <w:b/>
          <w:sz w:val="24"/>
          <w:szCs w:val="24"/>
        </w:rPr>
        <w:t>RESPONSE</w:t>
      </w:r>
      <w:r w:rsidR="002D551F" w:rsidRPr="002D551F">
        <w:rPr>
          <w:b/>
          <w:sz w:val="24"/>
          <w:szCs w:val="24"/>
        </w:rPr>
        <w:t>:</w:t>
      </w:r>
    </w:p>
    <w:p w:rsidR="002D551F" w:rsidRDefault="002D551F" w:rsidP="00344BCA">
      <w:pPr>
        <w:jc w:val="both"/>
        <w:rPr>
          <w:sz w:val="24"/>
          <w:szCs w:val="24"/>
        </w:rPr>
      </w:pPr>
    </w:p>
    <w:p w:rsidR="008712F2" w:rsidRDefault="008712F2" w:rsidP="00344B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Below is a chart showing the requested information.  Please note that for my analysis, I excluded “Non-Direct Services” from the budget, as those dollars are </w:t>
      </w:r>
      <w:r w:rsidRPr="008712F2">
        <w:rPr>
          <w:sz w:val="24"/>
          <w:szCs w:val="24"/>
          <w:u w:val="single"/>
        </w:rPr>
        <w:t>not</w:t>
      </w:r>
      <w:r w:rsidRPr="008712F2">
        <w:rPr>
          <w:sz w:val="24"/>
          <w:szCs w:val="24"/>
        </w:rPr>
        <w:t xml:space="preserve"> </w:t>
      </w:r>
      <w:r>
        <w:rPr>
          <w:sz w:val="24"/>
          <w:szCs w:val="24"/>
        </w:rPr>
        <w:t>paid out in some form of a grant.  Ms. Williams analysis which resulted in a ramp rate to 25,550 in 2024 assumed that that administration and program support dollars were paid out in grants.  For my analysis below, I took the budget for 2016 as proposed on p. 9 of Exhibit No.___(PDE-8T), and escalated that value by 7%.  I then excluded 20.7% for “Non-Direct Services”.  I then divided that amount (“Amount for Grants”) by the 10-year average grant amount of $363 from Ms. Williams analysis.  The results show that 25,550 customers would be served between 2024 and 2025.</w:t>
      </w:r>
    </w:p>
    <w:p w:rsidR="008712F2" w:rsidRDefault="008712F2" w:rsidP="00344BC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1741170</wp:posOffset>
            </wp:positionH>
            <wp:positionV relativeFrom="paragraph">
              <wp:posOffset>63500</wp:posOffset>
            </wp:positionV>
            <wp:extent cx="2933700" cy="345757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2F2" w:rsidRPr="002D551F" w:rsidRDefault="008712F2" w:rsidP="00344BCA">
      <w:pPr>
        <w:jc w:val="both"/>
        <w:rPr>
          <w:sz w:val="24"/>
          <w:szCs w:val="24"/>
        </w:rPr>
      </w:pPr>
    </w:p>
    <w:sectPr w:rsidR="008712F2" w:rsidRPr="002D551F" w:rsidSect="00941853">
      <w:headerReference w:type="default" r:id="rId10"/>
      <w:footerReference w:type="default" r:id="rId11"/>
      <w:footerReference w:type="first" r:id="rId12"/>
      <w:pgSz w:w="12240" w:h="15840" w:code="1"/>
      <w:pgMar w:top="720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913" w:rsidRDefault="004E7913">
      <w:r>
        <w:separator/>
      </w:r>
    </w:p>
  </w:endnote>
  <w:endnote w:type="continuationSeparator" w:id="0">
    <w:p w:rsidR="004E7913" w:rsidRDefault="004E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3A1" w:rsidRDefault="007713A1" w:rsidP="00056C64">
    <w:pPr>
      <w:pStyle w:val="Footer"/>
      <w:jc w:val="center"/>
    </w:pPr>
    <w:r>
      <w:t xml:space="preserve">Page </w:t>
    </w:r>
    <w:r w:rsidR="0051063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10635">
      <w:rPr>
        <w:rStyle w:val="PageNumber"/>
      </w:rPr>
      <w:fldChar w:fldCharType="separate"/>
    </w:r>
    <w:r w:rsidR="00CB3497">
      <w:rPr>
        <w:rStyle w:val="PageNumber"/>
        <w:noProof/>
      </w:rPr>
      <w:t>2</w:t>
    </w:r>
    <w:r w:rsidR="00510635">
      <w:rPr>
        <w:rStyle w:val="PageNumber"/>
      </w:rPr>
      <w:fldChar w:fldCharType="end"/>
    </w:r>
    <w:r>
      <w:rPr>
        <w:rStyle w:val="PageNumber"/>
      </w:rPr>
      <w:t xml:space="preserve"> of </w:t>
    </w:r>
    <w:r w:rsidR="00510635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510635">
      <w:rPr>
        <w:rStyle w:val="PageNumber"/>
      </w:rPr>
      <w:fldChar w:fldCharType="separate"/>
    </w:r>
    <w:r w:rsidR="00CB3497">
      <w:rPr>
        <w:rStyle w:val="PageNumber"/>
        <w:noProof/>
      </w:rPr>
      <w:t>2</w:t>
    </w:r>
    <w:r w:rsidR="00510635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3A1" w:rsidRDefault="007713A1" w:rsidP="00E64D12">
    <w:pPr>
      <w:pStyle w:val="Footer"/>
      <w:jc w:val="center"/>
    </w:pPr>
    <w:r>
      <w:t xml:space="preserve">Page </w:t>
    </w:r>
    <w:r w:rsidR="0051063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10635">
      <w:rPr>
        <w:rStyle w:val="PageNumber"/>
      </w:rPr>
      <w:fldChar w:fldCharType="separate"/>
    </w:r>
    <w:r>
      <w:rPr>
        <w:rStyle w:val="PageNumber"/>
        <w:noProof/>
      </w:rPr>
      <w:t>1</w:t>
    </w:r>
    <w:r w:rsidR="00510635">
      <w:rPr>
        <w:rStyle w:val="PageNumber"/>
      </w:rPr>
      <w:fldChar w:fldCharType="end"/>
    </w:r>
    <w:r>
      <w:rPr>
        <w:rStyle w:val="PageNumber"/>
      </w:rPr>
      <w:t xml:space="preserve"> of </w:t>
    </w:r>
    <w:r w:rsidR="00510635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510635">
      <w:rPr>
        <w:rStyle w:val="PageNumber"/>
      </w:rPr>
      <w:fldChar w:fldCharType="separate"/>
    </w:r>
    <w:r w:rsidR="008C6C32">
      <w:rPr>
        <w:rStyle w:val="PageNumber"/>
        <w:noProof/>
      </w:rPr>
      <w:t>2</w:t>
    </w:r>
    <w:r w:rsidR="0051063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913" w:rsidRDefault="004E7913">
      <w:r>
        <w:separator/>
      </w:r>
    </w:p>
  </w:footnote>
  <w:footnote w:type="continuationSeparator" w:id="0">
    <w:p w:rsidR="004E7913" w:rsidRDefault="004E7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3A1" w:rsidRDefault="007713A1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2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6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8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1">
    <w:nsid w:val="66784F33"/>
    <w:multiLevelType w:val="hybridMultilevel"/>
    <w:tmpl w:val="349238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756720"/>
    <w:multiLevelType w:val="hybridMultilevel"/>
    <w:tmpl w:val="FE2094A6"/>
    <w:lvl w:ilvl="0" w:tplc="B824C9AA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73CE72EC"/>
    <w:multiLevelType w:val="hybridMultilevel"/>
    <w:tmpl w:val="BCC43264"/>
    <w:lvl w:ilvl="0" w:tplc="9B9C25E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0127C"/>
    <w:multiLevelType w:val="hybridMultilevel"/>
    <w:tmpl w:val="B1A6B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26"/>
  </w:num>
  <w:num w:numId="6">
    <w:abstractNumId w:val="23"/>
  </w:num>
  <w:num w:numId="7">
    <w:abstractNumId w:val="7"/>
  </w:num>
  <w:num w:numId="8">
    <w:abstractNumId w:val="25"/>
  </w:num>
  <w:num w:numId="9">
    <w:abstractNumId w:val="3"/>
  </w:num>
  <w:num w:numId="10">
    <w:abstractNumId w:val="16"/>
  </w:num>
  <w:num w:numId="11">
    <w:abstractNumId w:val="2"/>
  </w:num>
  <w:num w:numId="12">
    <w:abstractNumId w:val="8"/>
  </w:num>
  <w:num w:numId="13">
    <w:abstractNumId w:val="27"/>
  </w:num>
  <w:num w:numId="14">
    <w:abstractNumId w:val="4"/>
  </w:num>
  <w:num w:numId="15">
    <w:abstractNumId w:val="5"/>
  </w:num>
  <w:num w:numId="16">
    <w:abstractNumId w:val="6"/>
  </w:num>
  <w:num w:numId="17">
    <w:abstractNumId w:val="14"/>
  </w:num>
  <w:num w:numId="18">
    <w:abstractNumId w:val="20"/>
  </w:num>
  <w:num w:numId="19">
    <w:abstractNumId w:val="9"/>
  </w:num>
  <w:num w:numId="20">
    <w:abstractNumId w:val="12"/>
  </w:num>
  <w:num w:numId="21">
    <w:abstractNumId w:val="1"/>
  </w:num>
  <w:num w:numId="22">
    <w:abstractNumId w:val="18"/>
  </w:num>
  <w:num w:numId="23">
    <w:abstractNumId w:val="13"/>
  </w:num>
  <w:num w:numId="24">
    <w:abstractNumId w:val="10"/>
  </w:num>
  <w:num w:numId="25">
    <w:abstractNumId w:val="24"/>
  </w:num>
  <w:num w:numId="26">
    <w:abstractNumId w:val="19"/>
  </w:num>
  <w:num w:numId="27">
    <w:abstractNumId w:val="22"/>
  </w:num>
  <w:num w:numId="28">
    <w:abstractNumId w:val="21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FAC"/>
    <w:rsid w:val="000121D0"/>
    <w:rsid w:val="000177E6"/>
    <w:rsid w:val="00023B8E"/>
    <w:rsid w:val="00056C64"/>
    <w:rsid w:val="00081D52"/>
    <w:rsid w:val="000A0218"/>
    <w:rsid w:val="000E629D"/>
    <w:rsid w:val="001004DE"/>
    <w:rsid w:val="0011273E"/>
    <w:rsid w:val="0012408C"/>
    <w:rsid w:val="00177390"/>
    <w:rsid w:val="001E06F3"/>
    <w:rsid w:val="001E07A6"/>
    <w:rsid w:val="001F2C4B"/>
    <w:rsid w:val="001F6472"/>
    <w:rsid w:val="00212532"/>
    <w:rsid w:val="002146D9"/>
    <w:rsid w:val="00231935"/>
    <w:rsid w:val="00236EDE"/>
    <w:rsid w:val="002677D5"/>
    <w:rsid w:val="002A5AFD"/>
    <w:rsid w:val="002B16E6"/>
    <w:rsid w:val="002D551F"/>
    <w:rsid w:val="002E674E"/>
    <w:rsid w:val="0031258D"/>
    <w:rsid w:val="003348C4"/>
    <w:rsid w:val="00344BCA"/>
    <w:rsid w:val="0034688B"/>
    <w:rsid w:val="00375C8C"/>
    <w:rsid w:val="00383DD3"/>
    <w:rsid w:val="0039304A"/>
    <w:rsid w:val="003B4E20"/>
    <w:rsid w:val="003C0AED"/>
    <w:rsid w:val="003C1D9A"/>
    <w:rsid w:val="003D7003"/>
    <w:rsid w:val="003E487F"/>
    <w:rsid w:val="003E50F1"/>
    <w:rsid w:val="00417AA4"/>
    <w:rsid w:val="00422CC4"/>
    <w:rsid w:val="00442413"/>
    <w:rsid w:val="00446369"/>
    <w:rsid w:val="004A0544"/>
    <w:rsid w:val="004A7704"/>
    <w:rsid w:val="004E7913"/>
    <w:rsid w:val="004F03CE"/>
    <w:rsid w:val="004F7DA8"/>
    <w:rsid w:val="00500F1F"/>
    <w:rsid w:val="0050357F"/>
    <w:rsid w:val="005048A8"/>
    <w:rsid w:val="005050C4"/>
    <w:rsid w:val="00510635"/>
    <w:rsid w:val="0055045F"/>
    <w:rsid w:val="005906BD"/>
    <w:rsid w:val="00591481"/>
    <w:rsid w:val="005A2255"/>
    <w:rsid w:val="005A49F0"/>
    <w:rsid w:val="005C1EDF"/>
    <w:rsid w:val="005D72D7"/>
    <w:rsid w:val="006045D3"/>
    <w:rsid w:val="00633F9B"/>
    <w:rsid w:val="0066157E"/>
    <w:rsid w:val="00663AE9"/>
    <w:rsid w:val="006A072B"/>
    <w:rsid w:val="006B0582"/>
    <w:rsid w:val="006C7D82"/>
    <w:rsid w:val="00741CF2"/>
    <w:rsid w:val="00753FE9"/>
    <w:rsid w:val="00754422"/>
    <w:rsid w:val="007713A1"/>
    <w:rsid w:val="007A30D4"/>
    <w:rsid w:val="007A6022"/>
    <w:rsid w:val="007B5EE6"/>
    <w:rsid w:val="007E3A66"/>
    <w:rsid w:val="007E5A68"/>
    <w:rsid w:val="008022DE"/>
    <w:rsid w:val="008074FC"/>
    <w:rsid w:val="008712F2"/>
    <w:rsid w:val="008C6C32"/>
    <w:rsid w:val="008D1DFC"/>
    <w:rsid w:val="008E3932"/>
    <w:rsid w:val="009052D2"/>
    <w:rsid w:val="009244D6"/>
    <w:rsid w:val="009257B1"/>
    <w:rsid w:val="00941853"/>
    <w:rsid w:val="00951C3F"/>
    <w:rsid w:val="00957712"/>
    <w:rsid w:val="009727ED"/>
    <w:rsid w:val="00A82D5A"/>
    <w:rsid w:val="00A96A19"/>
    <w:rsid w:val="00AA791F"/>
    <w:rsid w:val="00AB5D5A"/>
    <w:rsid w:val="00AE14D5"/>
    <w:rsid w:val="00AE2F8D"/>
    <w:rsid w:val="00B41482"/>
    <w:rsid w:val="00B56346"/>
    <w:rsid w:val="00B72352"/>
    <w:rsid w:val="00B76EAC"/>
    <w:rsid w:val="00BB73DC"/>
    <w:rsid w:val="00BD5789"/>
    <w:rsid w:val="00C040A5"/>
    <w:rsid w:val="00C5458D"/>
    <w:rsid w:val="00C6241C"/>
    <w:rsid w:val="00C73FA6"/>
    <w:rsid w:val="00C83E18"/>
    <w:rsid w:val="00C96DA2"/>
    <w:rsid w:val="00CA15F9"/>
    <w:rsid w:val="00CB3497"/>
    <w:rsid w:val="00CD4D4E"/>
    <w:rsid w:val="00CE1B72"/>
    <w:rsid w:val="00D14A09"/>
    <w:rsid w:val="00D376F6"/>
    <w:rsid w:val="00D40664"/>
    <w:rsid w:val="00D41724"/>
    <w:rsid w:val="00D75120"/>
    <w:rsid w:val="00D77A4E"/>
    <w:rsid w:val="00D82930"/>
    <w:rsid w:val="00D96F6D"/>
    <w:rsid w:val="00DA234F"/>
    <w:rsid w:val="00DA3399"/>
    <w:rsid w:val="00DB4781"/>
    <w:rsid w:val="00DE2D16"/>
    <w:rsid w:val="00DE54E0"/>
    <w:rsid w:val="00DE5D38"/>
    <w:rsid w:val="00E404F2"/>
    <w:rsid w:val="00E43DB3"/>
    <w:rsid w:val="00E64D12"/>
    <w:rsid w:val="00E84C7F"/>
    <w:rsid w:val="00E94E42"/>
    <w:rsid w:val="00EA2239"/>
    <w:rsid w:val="00EC527F"/>
    <w:rsid w:val="00ED6C6D"/>
    <w:rsid w:val="00EE30BA"/>
    <w:rsid w:val="00F06D34"/>
    <w:rsid w:val="00F268AE"/>
    <w:rsid w:val="00F45461"/>
    <w:rsid w:val="00F514A7"/>
    <w:rsid w:val="00F731E6"/>
    <w:rsid w:val="00FA4AFD"/>
    <w:rsid w:val="00FC099B"/>
    <w:rsid w:val="00FC1828"/>
    <w:rsid w:val="00FD0578"/>
    <w:rsid w:val="00FD159D"/>
    <w:rsid w:val="00FD536A"/>
    <w:rsid w:val="00F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346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B56346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B56346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B56346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B56346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63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63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6346"/>
    <w:rPr>
      <w:rFonts w:cs="Times New Roman"/>
    </w:rPr>
  </w:style>
  <w:style w:type="paragraph" w:styleId="PlainText">
    <w:name w:val="Plain Text"/>
    <w:basedOn w:val="Normal"/>
    <w:rsid w:val="00B56346"/>
    <w:rPr>
      <w:rFonts w:ascii="Courier New" w:hAnsi="Courier New" w:cs="Courier New"/>
    </w:rPr>
  </w:style>
  <w:style w:type="paragraph" w:styleId="BodyText2">
    <w:name w:val="Body Text 2"/>
    <w:basedOn w:val="Normal"/>
    <w:rsid w:val="00B56346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B56346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B56346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B56346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C96DA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7B5F5E4-3C53-4707-99E3-52401FB3DA51}"/>
</file>

<file path=customXml/itemProps2.xml><?xml version="1.0" encoding="utf-8"?>
<ds:datastoreItem xmlns:ds="http://schemas.openxmlformats.org/officeDocument/2006/customXml" ds:itemID="{2F43AD12-738D-4862-8BE3-14A25C740BAB}"/>
</file>

<file path=customXml/itemProps3.xml><?xml version="1.0" encoding="utf-8"?>
<ds:datastoreItem xmlns:ds="http://schemas.openxmlformats.org/officeDocument/2006/customXml" ds:itemID="{8AD35E30-A2D2-41D5-BE4A-635D3C1E825E}"/>
</file>

<file path=customXml/itemProps4.xml><?xml version="1.0" encoding="utf-8"?>
<ds:datastoreItem xmlns:ds="http://schemas.openxmlformats.org/officeDocument/2006/customXml" ds:itemID="{99249F06-0FE2-4ACD-91D7-3600AFA5FD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Ron Roseman</cp:lastModifiedBy>
  <cp:revision>2</cp:revision>
  <cp:lastPrinted>2015-10-01T16:15:00Z</cp:lastPrinted>
  <dcterms:created xsi:type="dcterms:W3CDTF">2015-10-01T17:13:00Z</dcterms:created>
  <dcterms:modified xsi:type="dcterms:W3CDTF">2015-10-01T17:13:00Z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