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F8070" w14:textId="77777777" w:rsidR="00D93BD6" w:rsidRPr="00F954C7" w:rsidRDefault="00D93BD6" w:rsidP="00D93BD6">
      <w:pPr>
        <w:jc w:val="center"/>
        <w:rPr>
          <w:rFonts w:ascii="Times New Roman" w:hAnsi="Times New Roman" w:cs="Times New Roman"/>
          <w:b/>
        </w:rPr>
      </w:pPr>
      <w:r w:rsidRPr="00F954C7">
        <w:rPr>
          <w:rFonts w:ascii="Times New Roman" w:hAnsi="Times New Roman" w:cs="Times New Roman"/>
          <w:b/>
        </w:rPr>
        <w:t xml:space="preserve">BEFORE THE WASHINGTON STATE </w:t>
      </w:r>
    </w:p>
    <w:p w14:paraId="231F4632" w14:textId="77777777" w:rsidR="00D93BD6" w:rsidRPr="00F954C7" w:rsidRDefault="00D93BD6" w:rsidP="00D93BD6">
      <w:pPr>
        <w:jc w:val="center"/>
        <w:rPr>
          <w:rFonts w:ascii="Times New Roman" w:hAnsi="Times New Roman" w:cs="Times New Roman"/>
          <w:b/>
        </w:rPr>
      </w:pPr>
      <w:r w:rsidRPr="00F954C7">
        <w:rPr>
          <w:rFonts w:ascii="Times New Roman" w:hAnsi="Times New Roman" w:cs="Times New Roman"/>
          <w:b/>
        </w:rPr>
        <w:t>UTILITIES AND TRANSPORTATION COMMISSION</w:t>
      </w:r>
    </w:p>
    <w:p w14:paraId="01D4A93C" w14:textId="77777777" w:rsidR="00D93BD6" w:rsidRPr="00F954C7" w:rsidRDefault="00D93BD6" w:rsidP="00D93BD6">
      <w:pPr>
        <w:pStyle w:val="CourtName"/>
        <w:rPr>
          <w:b/>
          <w:caps/>
        </w:rPr>
      </w:pPr>
    </w:p>
    <w:p w14:paraId="566D17B2" w14:textId="77777777" w:rsidR="00D93BD6" w:rsidRPr="00F954C7" w:rsidRDefault="00D93BD6" w:rsidP="00D93BD6">
      <w:pPr>
        <w:jc w:val="center"/>
        <w:rPr>
          <w:rFonts w:ascii="Times New Roman" w:hAnsi="Times New Roman" w:cs="Times New Roman"/>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770"/>
      </w:tblGrid>
      <w:tr w:rsidR="00D93BD6" w:rsidRPr="00F954C7" w14:paraId="480BA5C9" w14:textId="77777777" w:rsidTr="00D93BD6">
        <w:tc>
          <w:tcPr>
            <w:tcW w:w="4500" w:type="dxa"/>
            <w:tcBorders>
              <w:bottom w:val="single" w:sz="4" w:space="0" w:color="auto"/>
              <w:right w:val="single" w:sz="6" w:space="0" w:color="auto"/>
            </w:tcBorders>
          </w:tcPr>
          <w:p w14:paraId="3232EAA6" w14:textId="77777777" w:rsidR="00D93BD6" w:rsidRPr="00F954C7" w:rsidRDefault="00D93BD6" w:rsidP="00D93BD6">
            <w:pPr>
              <w:ind w:left="-360"/>
              <w:rPr>
                <w:rFonts w:ascii="Times New Roman" w:hAnsi="Times New Roman" w:cs="Times New Roman"/>
              </w:rPr>
            </w:pPr>
            <w:bookmarkStart w:id="0" w:name="Appellant_Name"/>
            <w:bookmarkStart w:id="1" w:name="tag2"/>
            <w:bookmarkStart w:id="2" w:name="Caption"/>
            <w:bookmarkEnd w:id="0"/>
            <w:bookmarkEnd w:id="1"/>
            <w:r w:rsidRPr="00F954C7">
              <w:rPr>
                <w:rFonts w:ascii="Times New Roman" w:hAnsi="Times New Roman" w:cs="Times New Roman"/>
              </w:rPr>
              <w:t xml:space="preserve">WASHINGTON UTILITIES AND TRANSPORTATION COMMISSION, </w:t>
            </w:r>
          </w:p>
          <w:p w14:paraId="6660AAC2" w14:textId="77777777" w:rsidR="00D93BD6" w:rsidRPr="00F954C7" w:rsidRDefault="00D93BD6" w:rsidP="00D93BD6">
            <w:pPr>
              <w:ind w:left="-360"/>
              <w:rPr>
                <w:rFonts w:ascii="Times New Roman" w:hAnsi="Times New Roman" w:cs="Times New Roman"/>
              </w:rPr>
            </w:pPr>
          </w:p>
          <w:p w14:paraId="2583C71E"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t xml:space="preserve">Complainant, </w:t>
            </w:r>
          </w:p>
          <w:p w14:paraId="4B7AA04A" w14:textId="77777777" w:rsidR="00D93BD6" w:rsidRPr="00F954C7" w:rsidRDefault="00D93BD6" w:rsidP="00D93BD6">
            <w:pPr>
              <w:ind w:left="-360"/>
              <w:rPr>
                <w:rFonts w:ascii="Times New Roman" w:hAnsi="Times New Roman" w:cs="Times New Roman"/>
              </w:rPr>
            </w:pPr>
          </w:p>
          <w:p w14:paraId="3A642148"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v. </w:t>
            </w:r>
          </w:p>
          <w:p w14:paraId="2E5D9E4D" w14:textId="77777777" w:rsidR="00D93BD6" w:rsidRPr="00F954C7" w:rsidRDefault="00D93BD6" w:rsidP="00D93BD6">
            <w:pPr>
              <w:ind w:left="-360"/>
              <w:rPr>
                <w:rFonts w:ascii="Times New Roman" w:hAnsi="Times New Roman" w:cs="Times New Roman"/>
              </w:rPr>
            </w:pPr>
          </w:p>
          <w:p w14:paraId="588EACF7"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PACIFIC POWER &amp; LIGHT COMPANY, d/b/a PACIFICORP, </w:t>
            </w:r>
          </w:p>
          <w:p w14:paraId="748E5406" w14:textId="77777777" w:rsidR="00D93BD6" w:rsidRPr="00F954C7" w:rsidRDefault="00D93BD6" w:rsidP="00D93BD6">
            <w:pPr>
              <w:ind w:left="-360"/>
              <w:rPr>
                <w:rFonts w:ascii="Times New Roman" w:hAnsi="Times New Roman" w:cs="Times New Roman"/>
              </w:rPr>
            </w:pPr>
          </w:p>
          <w:p w14:paraId="133A5149" w14:textId="77777777" w:rsidR="00D93BD6" w:rsidRPr="00F954C7" w:rsidRDefault="00D93BD6" w:rsidP="00D93BD6">
            <w:pPr>
              <w:spacing w:line="240" w:lineRule="exact"/>
              <w:ind w:left="-360"/>
              <w:rPr>
                <w:rFonts w:ascii="Times New Roman" w:hAnsi="Times New Roman" w:cs="Times New Roman"/>
              </w:rPr>
            </w:pP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t xml:space="preserve">Respondent. </w:t>
            </w:r>
          </w:p>
          <w:p w14:paraId="3F4D0E99" w14:textId="77777777" w:rsidR="00D93BD6" w:rsidRPr="00F954C7" w:rsidRDefault="00D93BD6" w:rsidP="00D93BD6">
            <w:pPr>
              <w:spacing w:line="240" w:lineRule="exact"/>
              <w:ind w:left="-360"/>
              <w:rPr>
                <w:rFonts w:ascii="Times New Roman" w:hAnsi="Times New Roman" w:cs="Times New Roman"/>
              </w:rPr>
            </w:pP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t xml:space="preserve">        </w:t>
            </w:r>
          </w:p>
        </w:tc>
        <w:tc>
          <w:tcPr>
            <w:tcW w:w="4770" w:type="dxa"/>
            <w:tcBorders>
              <w:left w:val="nil"/>
            </w:tcBorders>
          </w:tcPr>
          <w:p w14:paraId="0A35DC73" w14:textId="77777777" w:rsidR="00D93BD6" w:rsidRPr="00F954C7" w:rsidRDefault="00D93BD6" w:rsidP="00D93BD6">
            <w:pPr>
              <w:rPr>
                <w:rFonts w:ascii="Times New Roman" w:hAnsi="Times New Roman" w:cs="Times New Roman"/>
              </w:rPr>
            </w:pPr>
            <w:bookmarkStart w:id="3" w:name="Court_Doc_Number"/>
            <w:bookmarkEnd w:id="3"/>
            <w:r w:rsidRPr="00F954C7">
              <w:rPr>
                <w:rFonts w:ascii="Times New Roman" w:hAnsi="Times New Roman" w:cs="Times New Roman"/>
              </w:rPr>
              <w:t>DOCKET UE-140762 and UE-140617 (</w:t>
            </w:r>
            <w:r w:rsidRPr="00F954C7">
              <w:rPr>
                <w:rFonts w:ascii="Times New Roman" w:hAnsi="Times New Roman" w:cs="Times New Roman"/>
                <w:i/>
              </w:rPr>
              <w:t>consolidated</w:t>
            </w:r>
            <w:r w:rsidRPr="00F954C7">
              <w:rPr>
                <w:rFonts w:ascii="Times New Roman" w:hAnsi="Times New Roman" w:cs="Times New Roman"/>
              </w:rPr>
              <w:t xml:space="preserve">) </w:t>
            </w:r>
          </w:p>
          <w:p w14:paraId="4F56EB96" w14:textId="77777777" w:rsidR="00D93BD6" w:rsidRPr="00F954C7" w:rsidRDefault="00D93BD6" w:rsidP="00D93BD6">
            <w:pPr>
              <w:rPr>
                <w:rFonts w:ascii="Times New Roman" w:hAnsi="Times New Roman" w:cs="Times New Roman"/>
              </w:rPr>
            </w:pPr>
          </w:p>
          <w:p w14:paraId="5498C217" w14:textId="77777777" w:rsidR="00D93BD6" w:rsidRPr="00F954C7" w:rsidRDefault="00D93BD6" w:rsidP="00D93BD6">
            <w:pPr>
              <w:rPr>
                <w:rFonts w:ascii="Times New Roman" w:hAnsi="Times New Roman" w:cs="Times New Roman"/>
              </w:rPr>
            </w:pPr>
          </w:p>
          <w:p w14:paraId="035ADC14" w14:textId="77777777" w:rsidR="00D93BD6" w:rsidRPr="00F954C7" w:rsidRDefault="00D93BD6" w:rsidP="00D93BD6">
            <w:pPr>
              <w:rPr>
                <w:rFonts w:ascii="Times New Roman" w:hAnsi="Times New Roman" w:cs="Times New Roman"/>
              </w:rPr>
            </w:pPr>
          </w:p>
          <w:p w14:paraId="4FB99812" w14:textId="77777777" w:rsidR="00D93BD6" w:rsidRPr="00F954C7" w:rsidRDefault="00D93BD6" w:rsidP="00D93BD6">
            <w:pPr>
              <w:rPr>
                <w:rFonts w:ascii="Times New Roman" w:hAnsi="Times New Roman" w:cs="Times New Roman"/>
              </w:rPr>
            </w:pPr>
          </w:p>
          <w:p w14:paraId="1E0BDC35" w14:textId="77777777" w:rsidR="00D93BD6" w:rsidRPr="00F954C7" w:rsidRDefault="00D93BD6" w:rsidP="00D93BD6">
            <w:pPr>
              <w:spacing w:line="240" w:lineRule="exact"/>
              <w:rPr>
                <w:rFonts w:ascii="Times New Roman" w:hAnsi="Times New Roman" w:cs="Times New Roman"/>
              </w:rPr>
            </w:pPr>
          </w:p>
        </w:tc>
      </w:tr>
      <w:tr w:rsidR="00D93BD6" w:rsidRPr="00F954C7" w14:paraId="69708D96" w14:textId="77777777" w:rsidTr="00D93BD6">
        <w:tc>
          <w:tcPr>
            <w:tcW w:w="4500" w:type="dxa"/>
            <w:tcBorders>
              <w:top w:val="single" w:sz="4" w:space="0" w:color="auto"/>
              <w:bottom w:val="single" w:sz="4" w:space="0" w:color="auto"/>
              <w:right w:val="single" w:sz="6" w:space="0" w:color="auto"/>
            </w:tcBorders>
          </w:tcPr>
          <w:p w14:paraId="01E3E345" w14:textId="77777777" w:rsidR="00D93BD6" w:rsidRPr="00F954C7" w:rsidRDefault="00D93BD6" w:rsidP="00D93BD6">
            <w:pPr>
              <w:ind w:left="-360"/>
              <w:rPr>
                <w:rFonts w:ascii="Times New Roman" w:hAnsi="Times New Roman" w:cs="Times New Roman"/>
              </w:rPr>
            </w:pPr>
          </w:p>
          <w:p w14:paraId="1E9279FA"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In the Matter of the Petition of </w:t>
            </w:r>
          </w:p>
          <w:p w14:paraId="745E303B" w14:textId="77777777" w:rsidR="00D93BD6" w:rsidRPr="00F954C7" w:rsidRDefault="00D93BD6" w:rsidP="00D93BD6">
            <w:pPr>
              <w:ind w:left="-360"/>
              <w:rPr>
                <w:rFonts w:ascii="Times New Roman" w:hAnsi="Times New Roman" w:cs="Times New Roman"/>
              </w:rPr>
            </w:pPr>
          </w:p>
          <w:p w14:paraId="5C6D320E"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PACIFIC POWER &amp; LIGHT COMPANY, </w:t>
            </w:r>
          </w:p>
          <w:p w14:paraId="64262F35" w14:textId="77777777" w:rsidR="00D93BD6" w:rsidRPr="00F954C7" w:rsidRDefault="00D93BD6" w:rsidP="00D93BD6">
            <w:pPr>
              <w:ind w:left="-360"/>
              <w:rPr>
                <w:rFonts w:ascii="Times New Roman" w:hAnsi="Times New Roman" w:cs="Times New Roman"/>
              </w:rPr>
            </w:pPr>
          </w:p>
          <w:p w14:paraId="27EDE237"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For an Order Approving Deferral of Costs Related to Colstrip Outage.</w:t>
            </w:r>
          </w:p>
          <w:p w14:paraId="6C0C2946" w14:textId="77777777" w:rsidR="00D93BD6" w:rsidRPr="00F954C7" w:rsidRDefault="00D93BD6" w:rsidP="00D93BD6">
            <w:pPr>
              <w:ind w:left="-360"/>
              <w:rPr>
                <w:rFonts w:ascii="Times New Roman" w:hAnsi="Times New Roman" w:cs="Times New Roman"/>
              </w:rPr>
            </w:pPr>
          </w:p>
        </w:tc>
        <w:tc>
          <w:tcPr>
            <w:tcW w:w="4770" w:type="dxa"/>
            <w:tcBorders>
              <w:left w:val="nil"/>
            </w:tcBorders>
          </w:tcPr>
          <w:p w14:paraId="299865B5" w14:textId="77777777" w:rsidR="00D93BD6" w:rsidRPr="00F954C7" w:rsidRDefault="00D93BD6" w:rsidP="00D93BD6">
            <w:pPr>
              <w:rPr>
                <w:rFonts w:ascii="Times New Roman" w:hAnsi="Times New Roman" w:cs="Times New Roman"/>
              </w:rPr>
            </w:pPr>
          </w:p>
          <w:p w14:paraId="56828D38" w14:textId="77777777" w:rsidR="00D93BD6" w:rsidRPr="00F954C7" w:rsidRDefault="00D93BD6" w:rsidP="00D93BD6">
            <w:pPr>
              <w:rPr>
                <w:rFonts w:ascii="Times New Roman" w:hAnsi="Times New Roman" w:cs="Times New Roman"/>
              </w:rPr>
            </w:pPr>
            <w:r w:rsidRPr="00F954C7">
              <w:rPr>
                <w:rFonts w:ascii="Times New Roman" w:hAnsi="Times New Roman" w:cs="Times New Roman"/>
              </w:rPr>
              <w:t>DOCKET UE-131384 (</w:t>
            </w:r>
            <w:r w:rsidRPr="00F954C7">
              <w:rPr>
                <w:rFonts w:ascii="Times New Roman" w:hAnsi="Times New Roman" w:cs="Times New Roman"/>
                <w:i/>
              </w:rPr>
              <w:t>consolidated</w:t>
            </w:r>
            <w:r w:rsidRPr="00F954C7">
              <w:rPr>
                <w:rFonts w:ascii="Times New Roman" w:hAnsi="Times New Roman" w:cs="Times New Roman"/>
              </w:rPr>
              <w:t xml:space="preserve">) </w:t>
            </w:r>
          </w:p>
        </w:tc>
      </w:tr>
      <w:tr w:rsidR="00D93BD6" w:rsidRPr="00F954C7" w14:paraId="01C8C926" w14:textId="77777777" w:rsidTr="00D93BD6">
        <w:tc>
          <w:tcPr>
            <w:tcW w:w="4500" w:type="dxa"/>
            <w:tcBorders>
              <w:top w:val="single" w:sz="4" w:space="0" w:color="auto"/>
              <w:bottom w:val="single" w:sz="4" w:space="0" w:color="auto"/>
              <w:right w:val="single" w:sz="6" w:space="0" w:color="auto"/>
            </w:tcBorders>
          </w:tcPr>
          <w:p w14:paraId="1DF49114" w14:textId="77777777" w:rsidR="00D93BD6" w:rsidRPr="00F954C7" w:rsidRDefault="00D93BD6" w:rsidP="00D93BD6">
            <w:pPr>
              <w:ind w:left="-360"/>
              <w:rPr>
                <w:rFonts w:ascii="Times New Roman" w:hAnsi="Times New Roman" w:cs="Times New Roman"/>
              </w:rPr>
            </w:pPr>
          </w:p>
          <w:p w14:paraId="4A6E8116"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In the Matter of the Petition of </w:t>
            </w:r>
          </w:p>
          <w:p w14:paraId="0C5AF426" w14:textId="77777777" w:rsidR="00D93BD6" w:rsidRPr="00F954C7" w:rsidRDefault="00D93BD6" w:rsidP="00D93BD6">
            <w:pPr>
              <w:ind w:left="-360"/>
              <w:rPr>
                <w:rFonts w:ascii="Times New Roman" w:hAnsi="Times New Roman" w:cs="Times New Roman"/>
              </w:rPr>
            </w:pPr>
          </w:p>
          <w:p w14:paraId="18551067"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PACIFIC POWER &amp; LIGHT COMPANY,</w:t>
            </w:r>
          </w:p>
          <w:p w14:paraId="1262F48C" w14:textId="77777777" w:rsidR="00D93BD6" w:rsidRPr="00F954C7" w:rsidRDefault="00D93BD6" w:rsidP="00D93BD6">
            <w:pPr>
              <w:ind w:left="-360"/>
              <w:rPr>
                <w:rFonts w:ascii="Times New Roman" w:hAnsi="Times New Roman" w:cs="Times New Roman"/>
              </w:rPr>
            </w:pPr>
          </w:p>
          <w:p w14:paraId="794C4A04" w14:textId="77777777" w:rsidR="00D93BD6" w:rsidRPr="00F954C7" w:rsidRDefault="00D93BD6" w:rsidP="00D93BD6">
            <w:pPr>
              <w:ind w:left="-360"/>
              <w:rPr>
                <w:rFonts w:ascii="Times New Roman" w:hAnsi="Times New Roman" w:cs="Times New Roman"/>
              </w:rPr>
            </w:pPr>
            <w:r w:rsidRPr="00F954C7">
              <w:rPr>
                <w:rFonts w:ascii="Times New Roman" w:hAnsi="Times New Roman" w:cs="Times New Roman"/>
              </w:rPr>
              <w:t xml:space="preserve">For an Order Approving Deferral of Costs Related to Declining Hydro Generation. </w:t>
            </w:r>
          </w:p>
          <w:p w14:paraId="7EC06D44" w14:textId="77777777" w:rsidR="00D93BD6" w:rsidRPr="00F954C7" w:rsidRDefault="00D93BD6" w:rsidP="00D93BD6">
            <w:pPr>
              <w:ind w:left="-360"/>
              <w:rPr>
                <w:rFonts w:ascii="Times New Roman" w:hAnsi="Times New Roman" w:cs="Times New Roman"/>
              </w:rPr>
            </w:pPr>
          </w:p>
        </w:tc>
        <w:tc>
          <w:tcPr>
            <w:tcW w:w="4770" w:type="dxa"/>
            <w:tcBorders>
              <w:left w:val="nil"/>
              <w:bottom w:val="nil"/>
            </w:tcBorders>
          </w:tcPr>
          <w:p w14:paraId="372CC69C" w14:textId="77777777" w:rsidR="00D93BD6" w:rsidRPr="00F954C7" w:rsidRDefault="00D93BD6" w:rsidP="00D93BD6">
            <w:pPr>
              <w:rPr>
                <w:rFonts w:ascii="Times New Roman" w:hAnsi="Times New Roman" w:cs="Times New Roman"/>
              </w:rPr>
            </w:pPr>
          </w:p>
          <w:p w14:paraId="4BCC20B8" w14:textId="77777777" w:rsidR="00D93BD6" w:rsidRPr="00F954C7" w:rsidRDefault="00D93BD6" w:rsidP="00D93BD6">
            <w:pPr>
              <w:rPr>
                <w:rFonts w:ascii="Times New Roman" w:hAnsi="Times New Roman" w:cs="Times New Roman"/>
              </w:rPr>
            </w:pPr>
            <w:r w:rsidRPr="00F954C7">
              <w:rPr>
                <w:rFonts w:ascii="Times New Roman" w:hAnsi="Times New Roman" w:cs="Times New Roman"/>
              </w:rPr>
              <w:t>Docket UE-140094 (</w:t>
            </w:r>
            <w:r w:rsidRPr="00F954C7">
              <w:rPr>
                <w:rFonts w:ascii="Times New Roman" w:hAnsi="Times New Roman" w:cs="Times New Roman"/>
                <w:i/>
              </w:rPr>
              <w:t>consolidated</w:t>
            </w:r>
            <w:r w:rsidRPr="00F954C7">
              <w:rPr>
                <w:rFonts w:ascii="Times New Roman" w:hAnsi="Times New Roman" w:cs="Times New Roman"/>
              </w:rPr>
              <w:t>)</w:t>
            </w:r>
          </w:p>
          <w:p w14:paraId="711008B5" w14:textId="77777777" w:rsidR="00D93BD6" w:rsidRPr="00F954C7" w:rsidRDefault="00D93BD6" w:rsidP="00D93BD6">
            <w:pPr>
              <w:rPr>
                <w:rFonts w:ascii="Times New Roman" w:hAnsi="Times New Roman" w:cs="Times New Roman"/>
              </w:rPr>
            </w:pPr>
          </w:p>
          <w:p w14:paraId="0F2B0E1B" w14:textId="47E2E5E8" w:rsidR="00D93BD6" w:rsidRPr="00F954C7" w:rsidRDefault="00D93BD6" w:rsidP="00D93BD6">
            <w:pPr>
              <w:rPr>
                <w:rFonts w:ascii="Times New Roman" w:hAnsi="Times New Roman" w:cs="Times New Roman"/>
              </w:rPr>
            </w:pPr>
          </w:p>
        </w:tc>
      </w:tr>
      <w:bookmarkEnd w:id="2"/>
    </w:tbl>
    <w:p w14:paraId="46D89977" w14:textId="77777777" w:rsidR="009A54C7" w:rsidRPr="00F954C7" w:rsidRDefault="009A54C7" w:rsidP="00D93BD6">
      <w:pPr>
        <w:rPr>
          <w:rFonts w:ascii="Times New Roman" w:hAnsi="Times New Roman" w:cs="Times New Roman"/>
          <w:b/>
          <w:u w:val="single"/>
        </w:rPr>
      </w:pPr>
    </w:p>
    <w:p w14:paraId="7E843BE6" w14:textId="77777777" w:rsidR="009A54C7" w:rsidRPr="00F954C7" w:rsidRDefault="009A54C7">
      <w:pPr>
        <w:rPr>
          <w:rFonts w:ascii="Times New Roman" w:hAnsi="Times New Roman" w:cs="Times New Roman"/>
          <w:b/>
          <w:u w:val="single"/>
        </w:rPr>
      </w:pPr>
    </w:p>
    <w:p w14:paraId="1EBE4A1D" w14:textId="34A08ABB" w:rsidR="00D93BD6" w:rsidRPr="00F954C7" w:rsidRDefault="007C3774" w:rsidP="00D93BD6">
      <w:pPr>
        <w:jc w:val="center"/>
        <w:rPr>
          <w:rFonts w:ascii="Times New Roman" w:hAnsi="Times New Roman" w:cs="Times New Roman"/>
          <w:b/>
        </w:rPr>
      </w:pPr>
      <w:r>
        <w:rPr>
          <w:rFonts w:ascii="Times New Roman" w:hAnsi="Times New Roman" w:cs="Times New Roman"/>
          <w:b/>
        </w:rPr>
        <w:t xml:space="preserve">INITIAL </w:t>
      </w:r>
      <w:r w:rsidR="00D93BD6" w:rsidRPr="00F954C7">
        <w:rPr>
          <w:rFonts w:ascii="Times New Roman" w:hAnsi="Times New Roman" w:cs="Times New Roman"/>
          <w:b/>
        </w:rPr>
        <w:t xml:space="preserve">BRIEF ON BEHALF OF </w:t>
      </w:r>
    </w:p>
    <w:p w14:paraId="6D02C6C9" w14:textId="2C547BC2" w:rsidR="00463A40" w:rsidRPr="00F954C7" w:rsidRDefault="00D93BD6" w:rsidP="00463A40">
      <w:pPr>
        <w:jc w:val="center"/>
        <w:rPr>
          <w:rFonts w:ascii="Times New Roman" w:hAnsi="Times New Roman" w:cs="Times New Roman"/>
          <w:b/>
        </w:rPr>
      </w:pPr>
      <w:r w:rsidRPr="00F954C7">
        <w:rPr>
          <w:rFonts w:ascii="Times New Roman" w:hAnsi="Times New Roman" w:cs="Times New Roman"/>
          <w:b/>
        </w:rPr>
        <w:t>THE ALLIANCE FOR SOLAR CHOICE</w:t>
      </w:r>
    </w:p>
    <w:p w14:paraId="1E175BD8" w14:textId="77777777" w:rsidR="00D93BD6" w:rsidRPr="00F954C7" w:rsidRDefault="00D93BD6" w:rsidP="00D93BD6">
      <w:pPr>
        <w:rPr>
          <w:rFonts w:ascii="Times New Roman" w:hAnsi="Times New Roman" w:cs="Times New Roman"/>
          <w:b/>
        </w:rPr>
      </w:pPr>
    </w:p>
    <w:p w14:paraId="471B78F5" w14:textId="03FC2118" w:rsidR="00D93BD6" w:rsidRPr="00F954C7" w:rsidRDefault="00D93BD6" w:rsidP="00D93BD6">
      <w:pPr>
        <w:jc w:val="center"/>
        <w:rPr>
          <w:rFonts w:ascii="Times New Roman" w:hAnsi="Times New Roman" w:cs="Times New Roman"/>
          <w:b/>
        </w:rPr>
      </w:pPr>
      <w:r w:rsidRPr="00F954C7">
        <w:rPr>
          <w:rFonts w:ascii="Times New Roman" w:hAnsi="Times New Roman" w:cs="Times New Roman"/>
          <w:b/>
        </w:rPr>
        <w:t>January 22, 2015</w:t>
      </w:r>
    </w:p>
    <w:p w14:paraId="01623301" w14:textId="77777777" w:rsidR="009A54C7" w:rsidRPr="00F954C7" w:rsidRDefault="009A54C7">
      <w:pPr>
        <w:rPr>
          <w:rFonts w:ascii="Times New Roman" w:hAnsi="Times New Roman" w:cs="Times New Roman"/>
          <w:b/>
          <w:u w:val="single"/>
        </w:rPr>
      </w:pPr>
    </w:p>
    <w:p w14:paraId="2F4B59B9" w14:textId="77777777" w:rsidR="009A54C7" w:rsidRPr="00F954C7" w:rsidRDefault="009A54C7">
      <w:pPr>
        <w:rPr>
          <w:rFonts w:ascii="Times New Roman" w:hAnsi="Times New Roman" w:cs="Times New Roman"/>
          <w:b/>
          <w:u w:val="single"/>
        </w:rPr>
      </w:pPr>
    </w:p>
    <w:p w14:paraId="034FA833" w14:textId="5C1EFAD4" w:rsidR="00D93BD6" w:rsidRPr="00F954C7" w:rsidRDefault="00B64A07" w:rsidP="00D93BD6">
      <w:pPr>
        <w:ind w:left="5040"/>
        <w:rPr>
          <w:rFonts w:ascii="Times New Roman" w:hAnsi="Times New Roman" w:cs="Times New Roman"/>
          <w:b/>
        </w:rPr>
      </w:pPr>
      <w:r>
        <w:rPr>
          <w:rFonts w:ascii="Times New Roman" w:hAnsi="Times New Roman" w:cs="Times New Roman"/>
          <w:b/>
        </w:rPr>
        <w:t>Kathleen D. Kapla</w:t>
      </w:r>
    </w:p>
    <w:p w14:paraId="6510041A" w14:textId="5D9D89B2" w:rsidR="00D93BD6" w:rsidRPr="00F954C7" w:rsidRDefault="00B64A07" w:rsidP="00D93BD6">
      <w:pPr>
        <w:ind w:left="5040"/>
        <w:rPr>
          <w:rFonts w:ascii="Times New Roman" w:hAnsi="Times New Roman" w:cs="Times New Roman"/>
          <w:b/>
        </w:rPr>
      </w:pPr>
      <w:r>
        <w:rPr>
          <w:rFonts w:ascii="Times New Roman" w:hAnsi="Times New Roman" w:cs="Times New Roman"/>
          <w:b/>
        </w:rPr>
        <w:t>8205 31</w:t>
      </w:r>
      <w:r w:rsidRPr="00B64A07">
        <w:rPr>
          <w:rFonts w:ascii="Times New Roman" w:hAnsi="Times New Roman" w:cs="Times New Roman"/>
          <w:b/>
          <w:vertAlign w:val="superscript"/>
        </w:rPr>
        <w:t>st</w:t>
      </w:r>
      <w:r>
        <w:rPr>
          <w:rFonts w:ascii="Times New Roman" w:hAnsi="Times New Roman" w:cs="Times New Roman"/>
          <w:b/>
        </w:rPr>
        <w:t xml:space="preserve"> Ave., NE</w:t>
      </w:r>
    </w:p>
    <w:p w14:paraId="678D25F6" w14:textId="61348BFC" w:rsidR="00D93BD6" w:rsidRPr="00F954C7" w:rsidRDefault="00B64A07" w:rsidP="00D93BD6">
      <w:pPr>
        <w:ind w:left="5040"/>
        <w:rPr>
          <w:rFonts w:ascii="Times New Roman" w:hAnsi="Times New Roman" w:cs="Times New Roman"/>
          <w:b/>
        </w:rPr>
      </w:pPr>
      <w:r>
        <w:rPr>
          <w:rFonts w:ascii="Times New Roman" w:hAnsi="Times New Roman" w:cs="Times New Roman"/>
          <w:b/>
        </w:rPr>
        <w:t>Seattle, Washington 98115</w:t>
      </w:r>
    </w:p>
    <w:p w14:paraId="422CE671" w14:textId="52C0C738" w:rsidR="00D93BD6" w:rsidRPr="00F954C7" w:rsidRDefault="00D93BD6" w:rsidP="00D93BD6">
      <w:pPr>
        <w:ind w:left="5040"/>
        <w:rPr>
          <w:rFonts w:ascii="Times New Roman" w:hAnsi="Times New Roman" w:cs="Times New Roman"/>
          <w:b/>
        </w:rPr>
      </w:pPr>
      <w:r w:rsidRPr="00F954C7">
        <w:rPr>
          <w:rFonts w:ascii="Times New Roman" w:hAnsi="Times New Roman" w:cs="Times New Roman"/>
          <w:b/>
        </w:rPr>
        <w:t>(</w:t>
      </w:r>
      <w:r w:rsidR="00B64A07">
        <w:rPr>
          <w:rFonts w:ascii="Times New Roman" w:hAnsi="Times New Roman" w:cs="Times New Roman"/>
          <w:b/>
        </w:rPr>
        <w:t>206) 419-3632</w:t>
      </w:r>
    </w:p>
    <w:p w14:paraId="6C5A3FE7" w14:textId="61E313F2" w:rsidR="00032A02" w:rsidRPr="00F954C7" w:rsidRDefault="00B64A07" w:rsidP="00D93BD6">
      <w:pPr>
        <w:ind w:left="5040"/>
        <w:rPr>
          <w:rFonts w:ascii="Times New Roman" w:hAnsi="Times New Roman" w:cs="Times New Roman"/>
          <w:b/>
        </w:rPr>
        <w:sectPr w:rsidR="00032A02" w:rsidRPr="00F954C7" w:rsidSect="00032A02">
          <w:footerReference w:type="even" r:id="rId9"/>
          <w:footerReference w:type="default" r:id="rId10"/>
          <w:pgSz w:w="12240" w:h="15840"/>
          <w:pgMar w:top="1440" w:right="1440" w:bottom="1440" w:left="1440" w:header="720" w:footer="720" w:gutter="0"/>
          <w:cols w:space="720"/>
          <w:titlePg/>
          <w:docGrid w:linePitch="360"/>
        </w:sectPr>
      </w:pPr>
      <w:r>
        <w:rPr>
          <w:rFonts w:ascii="Times New Roman" w:hAnsi="Times New Roman" w:cs="Times New Roman"/>
          <w:b/>
        </w:rPr>
        <w:t>kkapla</w:t>
      </w:r>
      <w:r w:rsidR="00D93BD6" w:rsidRPr="00F954C7">
        <w:rPr>
          <w:rFonts w:ascii="Times New Roman" w:hAnsi="Times New Roman" w:cs="Times New Roman"/>
          <w:b/>
        </w:rPr>
        <w:t>@kfwlaw.</w:t>
      </w:r>
      <w:r w:rsidR="00032A02" w:rsidRPr="00F954C7">
        <w:rPr>
          <w:rFonts w:ascii="Times New Roman" w:hAnsi="Times New Roman" w:cs="Times New Roman"/>
          <w:b/>
        </w:rPr>
        <w:t>com</w:t>
      </w:r>
    </w:p>
    <w:p w14:paraId="66A19DC2" w14:textId="5B051096" w:rsidR="009A54C7" w:rsidRPr="00F954C7" w:rsidRDefault="009A54C7" w:rsidP="00032A02">
      <w:pPr>
        <w:rPr>
          <w:rFonts w:ascii="Times New Roman" w:hAnsi="Times New Roman" w:cs="Times New Roman"/>
          <w:b/>
        </w:rPr>
      </w:pPr>
    </w:p>
    <w:p w14:paraId="53F5C2AC" w14:textId="51DE10B4" w:rsidR="00920AF3" w:rsidRPr="00F954C7" w:rsidRDefault="00920AF3" w:rsidP="00920AF3">
      <w:pPr>
        <w:jc w:val="center"/>
        <w:rPr>
          <w:rFonts w:ascii="Times New Roman" w:hAnsi="Times New Roman" w:cs="Times New Roman"/>
          <w:b/>
        </w:rPr>
      </w:pPr>
      <w:r w:rsidRPr="00F954C7">
        <w:rPr>
          <w:rFonts w:ascii="Times New Roman" w:hAnsi="Times New Roman" w:cs="Times New Roman"/>
          <w:b/>
        </w:rPr>
        <w:t>TABLE OF CONTENTS</w:t>
      </w:r>
    </w:p>
    <w:p w14:paraId="163A209F" w14:textId="77777777" w:rsidR="00920AF3" w:rsidRPr="00F954C7" w:rsidRDefault="00920AF3" w:rsidP="00920AF3">
      <w:pPr>
        <w:pStyle w:val="ListParagraph"/>
        <w:rPr>
          <w:rFonts w:ascii="Times New Roman" w:hAnsi="Times New Roman" w:cs="Times New Roman"/>
          <w:b/>
        </w:rPr>
      </w:pPr>
    </w:p>
    <w:p w14:paraId="0923D387" w14:textId="05295A35" w:rsidR="0019652F" w:rsidRPr="00271D1A" w:rsidRDefault="006557DB" w:rsidP="001965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1</w:t>
      </w:r>
      <w:r w:rsidR="0019652F" w:rsidRPr="00271D1A">
        <w:rPr>
          <w:rFonts w:ascii="Times New Roman" w:hAnsi="Times New Roman" w:cs="Times New Roman"/>
        </w:rPr>
        <w:t>.</w:t>
      </w:r>
      <w:r w:rsidR="0019652F" w:rsidRPr="00271D1A">
        <w:rPr>
          <w:rFonts w:ascii="Times New Roman" w:hAnsi="Times New Roman" w:cs="Times New Roman"/>
        </w:rPr>
        <w:tab/>
        <w:t>INTRODUCTION</w:t>
      </w:r>
      <w:r>
        <w:rPr>
          <w:rFonts w:ascii="Times New Roman" w:hAnsi="Times New Roman" w:cs="Times New Roman"/>
        </w:rPr>
        <w:t xml:space="preserve"> AND </w:t>
      </w:r>
      <w:r w:rsidR="007C3774">
        <w:rPr>
          <w:rFonts w:ascii="Times New Roman" w:hAnsi="Times New Roman" w:cs="Times New Roman"/>
        </w:rPr>
        <w:t>SUMMARY</w:t>
      </w:r>
      <w:r w:rsidR="0019652F" w:rsidRPr="00271D1A">
        <w:rPr>
          <w:rFonts w:ascii="Times New Roman" w:hAnsi="Times New Roman" w:cs="Times New Roman"/>
        </w:rPr>
        <w:tab/>
      </w:r>
      <w:r w:rsidR="0019652F">
        <w:rPr>
          <w:rFonts w:ascii="Times New Roman" w:hAnsi="Times New Roman" w:cs="Times New Roman"/>
        </w:rPr>
        <w:t>1</w:t>
      </w:r>
    </w:p>
    <w:p w14:paraId="3E7688B5" w14:textId="77777777" w:rsidR="0019652F" w:rsidRPr="00271D1A" w:rsidRDefault="0019652F" w:rsidP="0019652F">
      <w:pPr>
        <w:tabs>
          <w:tab w:val="right" w:leader="dot" w:pos="9180"/>
        </w:tabs>
        <w:rPr>
          <w:rFonts w:ascii="Times New Roman" w:hAnsi="Times New Roman" w:cs="Times New Roman"/>
        </w:rPr>
      </w:pPr>
    </w:p>
    <w:p w14:paraId="6467571A" w14:textId="6EDB221E" w:rsidR="0019652F" w:rsidRPr="00271D1A" w:rsidRDefault="006557DB" w:rsidP="004F2315">
      <w:pPr>
        <w:tabs>
          <w:tab w:val="left" w:pos="720"/>
          <w:tab w:val="left" w:pos="1440"/>
          <w:tab w:val="left" w:pos="2160"/>
          <w:tab w:val="right" w:leader="dot" w:pos="9180"/>
        </w:tabs>
        <w:ind w:left="720" w:hanging="720"/>
        <w:rPr>
          <w:rFonts w:ascii="Times New Roman" w:hAnsi="Times New Roman" w:cs="Times New Roman"/>
        </w:rPr>
      </w:pPr>
      <w:r>
        <w:rPr>
          <w:rFonts w:ascii="Times New Roman" w:hAnsi="Times New Roman" w:cs="Times New Roman"/>
        </w:rPr>
        <w:t>2</w:t>
      </w:r>
      <w:r w:rsidR="0019652F" w:rsidRPr="00271D1A">
        <w:rPr>
          <w:rFonts w:ascii="Times New Roman" w:hAnsi="Times New Roman" w:cs="Times New Roman"/>
        </w:rPr>
        <w:t>.</w:t>
      </w:r>
      <w:r w:rsidR="0019652F" w:rsidRPr="00271D1A">
        <w:rPr>
          <w:rFonts w:ascii="Times New Roman" w:hAnsi="Times New Roman" w:cs="Times New Roman"/>
        </w:rPr>
        <w:tab/>
      </w:r>
      <w:r>
        <w:rPr>
          <w:rFonts w:ascii="Times New Roman" w:hAnsi="Times New Roman" w:cs="Times New Roman"/>
        </w:rPr>
        <w:t xml:space="preserve">PACIFICORP’S PROPOSED 81% INCREASE TO </w:t>
      </w:r>
      <w:r w:rsidR="004F2315">
        <w:rPr>
          <w:rFonts w:ascii="Times New Roman" w:hAnsi="Times New Roman" w:cs="Times New Roman"/>
        </w:rPr>
        <w:t xml:space="preserve">THE </w:t>
      </w:r>
      <w:r>
        <w:rPr>
          <w:rFonts w:ascii="Times New Roman" w:hAnsi="Times New Roman" w:cs="Times New Roman"/>
        </w:rPr>
        <w:t xml:space="preserve">RESIDENTIAL </w:t>
      </w:r>
      <w:r w:rsidR="004F2315">
        <w:rPr>
          <w:rFonts w:ascii="Times New Roman" w:hAnsi="Times New Roman" w:cs="Times New Roman"/>
        </w:rPr>
        <w:t xml:space="preserve">CUSTOMER CHARGE IS NOT A REASONABLE APPROACH TO ADDRESSING FIXED COST RECOVERY ISSUES AND IS INCONSISTENT WITH THIS COMMISSION’S PAST PRACTICE </w:t>
      </w:r>
      <w:r w:rsidR="0019652F">
        <w:rPr>
          <w:rFonts w:ascii="Times New Roman" w:hAnsi="Times New Roman" w:cs="Times New Roman"/>
        </w:rPr>
        <w:t xml:space="preserve"> </w:t>
      </w:r>
      <w:r w:rsidR="0019652F" w:rsidRPr="00271D1A">
        <w:rPr>
          <w:rFonts w:ascii="Times New Roman" w:hAnsi="Times New Roman" w:cs="Times New Roman"/>
        </w:rPr>
        <w:tab/>
      </w:r>
      <w:r w:rsidR="004F2315" w:rsidRPr="00271D1A">
        <w:rPr>
          <w:rFonts w:ascii="Times New Roman" w:hAnsi="Times New Roman" w:cs="Times New Roman"/>
        </w:rPr>
        <w:tab/>
      </w:r>
      <w:r w:rsidR="00CD1DD1">
        <w:rPr>
          <w:rFonts w:ascii="Times New Roman" w:hAnsi="Times New Roman" w:cs="Times New Roman"/>
        </w:rPr>
        <w:t>3</w:t>
      </w:r>
    </w:p>
    <w:p w14:paraId="6B8567FE" w14:textId="77777777" w:rsidR="0019652F" w:rsidRPr="00271D1A" w:rsidRDefault="0019652F" w:rsidP="0019652F">
      <w:pPr>
        <w:tabs>
          <w:tab w:val="right" w:leader="dot" w:pos="9180"/>
        </w:tabs>
        <w:rPr>
          <w:rFonts w:ascii="Times New Roman" w:hAnsi="Times New Roman" w:cs="Times New Roman"/>
        </w:rPr>
      </w:pPr>
    </w:p>
    <w:p w14:paraId="478394F2" w14:textId="63614B84" w:rsidR="004F2315" w:rsidRDefault="004F2315" w:rsidP="004F2315">
      <w:pPr>
        <w:tabs>
          <w:tab w:val="left" w:pos="720"/>
          <w:tab w:val="left" w:pos="1440"/>
          <w:tab w:val="left" w:pos="2160"/>
          <w:tab w:val="right" w:leader="dot" w:pos="9180"/>
        </w:tabs>
        <w:ind w:left="1440" w:hanging="720"/>
        <w:rPr>
          <w:rFonts w:ascii="Times New Roman" w:hAnsi="Times New Roman"/>
        </w:rPr>
      </w:pPr>
      <w:r w:rsidRPr="004F2315">
        <w:rPr>
          <w:rFonts w:ascii="Times New Roman" w:hAnsi="Times New Roman" w:cs="Times New Roman"/>
        </w:rPr>
        <w:t>a</w:t>
      </w:r>
      <w:r w:rsidR="0019652F" w:rsidRPr="004F2315">
        <w:rPr>
          <w:rFonts w:ascii="Times New Roman" w:hAnsi="Times New Roman" w:cs="Times New Roman"/>
        </w:rPr>
        <w:t xml:space="preserve">.  </w:t>
      </w:r>
      <w:r>
        <w:rPr>
          <w:rFonts w:ascii="Times New Roman" w:hAnsi="Times New Roman" w:cs="Times New Roman"/>
        </w:rPr>
        <w:tab/>
      </w:r>
      <w:r w:rsidR="00232F3D">
        <w:rPr>
          <w:rFonts w:ascii="Times New Roman" w:hAnsi="Times New Roman"/>
        </w:rPr>
        <w:t>PacifiCorp</w:t>
      </w:r>
      <w:r>
        <w:rPr>
          <w:rFonts w:ascii="Times New Roman" w:hAnsi="Times New Roman"/>
        </w:rPr>
        <w:t xml:space="preserve"> and Staff Falsely Claim That Solar DG Customers are Partially Responsible for The Company’s Inability to Recover Fixed Costs Through Volumetric Charges </w:t>
      </w:r>
      <w:r>
        <w:rPr>
          <w:rFonts w:ascii="Times New Roman" w:hAnsi="Times New Roman"/>
        </w:rPr>
        <w:tab/>
      </w:r>
      <w:r w:rsidR="00232F3D">
        <w:rPr>
          <w:rFonts w:ascii="Times New Roman" w:hAnsi="Times New Roman"/>
        </w:rPr>
        <w:t>3</w:t>
      </w:r>
    </w:p>
    <w:p w14:paraId="37BDF7A1" w14:textId="77777777" w:rsidR="0019652F" w:rsidRDefault="0019652F" w:rsidP="004F2315">
      <w:pPr>
        <w:tabs>
          <w:tab w:val="left" w:pos="720"/>
          <w:tab w:val="left" w:pos="1440"/>
          <w:tab w:val="left" w:pos="2160"/>
          <w:tab w:val="right" w:leader="dot" w:pos="9180"/>
        </w:tabs>
        <w:rPr>
          <w:rFonts w:ascii="Times New Roman" w:hAnsi="Times New Roman"/>
        </w:rPr>
      </w:pPr>
    </w:p>
    <w:p w14:paraId="0DD1B4F5" w14:textId="1139B71E" w:rsidR="0019652F" w:rsidRDefault="004F2315" w:rsidP="004F2315">
      <w:pPr>
        <w:tabs>
          <w:tab w:val="left" w:pos="720"/>
          <w:tab w:val="left" w:pos="1440"/>
          <w:tab w:val="left" w:pos="2160"/>
          <w:tab w:val="right" w:leader="dot" w:pos="9180"/>
        </w:tabs>
        <w:ind w:left="1440" w:hanging="720"/>
        <w:rPr>
          <w:rFonts w:ascii="Times New Roman" w:hAnsi="Times New Roman"/>
        </w:rPr>
      </w:pPr>
      <w:r>
        <w:rPr>
          <w:rFonts w:ascii="Times New Roman" w:hAnsi="Times New Roman"/>
        </w:rPr>
        <w:t>b</w:t>
      </w:r>
      <w:r w:rsidR="0019652F">
        <w:rPr>
          <w:rFonts w:ascii="Times New Roman" w:hAnsi="Times New Roman"/>
        </w:rPr>
        <w:t>.</w:t>
      </w:r>
      <w:r w:rsidR="0019652F">
        <w:rPr>
          <w:rFonts w:ascii="Times New Roman" w:hAnsi="Times New Roman"/>
        </w:rPr>
        <w:tab/>
      </w:r>
      <w:r w:rsidR="00232F3D">
        <w:rPr>
          <w:rFonts w:ascii="Times New Roman" w:hAnsi="Times New Roman"/>
        </w:rPr>
        <w:t>PacifiCorp’s</w:t>
      </w:r>
      <w:r>
        <w:rPr>
          <w:rFonts w:ascii="Times New Roman" w:hAnsi="Times New Roman"/>
        </w:rPr>
        <w:t xml:space="preserve"> Requested 81% Increase to the Residential Customer Charge Violates Basic Re</w:t>
      </w:r>
      <w:r w:rsidR="00D24AAA">
        <w:rPr>
          <w:rFonts w:ascii="Times New Roman" w:hAnsi="Times New Roman"/>
        </w:rPr>
        <w:t>gulatory Ratemaking Principles a</w:t>
      </w:r>
      <w:r>
        <w:rPr>
          <w:rFonts w:ascii="Times New Roman" w:hAnsi="Times New Roman"/>
        </w:rPr>
        <w:t>nd Contradicts This Commission’s Past Practice</w:t>
      </w:r>
      <w:r w:rsidR="0019652F">
        <w:rPr>
          <w:rFonts w:ascii="Times New Roman" w:hAnsi="Times New Roman"/>
        </w:rPr>
        <w:t xml:space="preserve"> </w:t>
      </w:r>
      <w:r w:rsidR="0019652F">
        <w:rPr>
          <w:rFonts w:ascii="Times New Roman" w:hAnsi="Times New Roman"/>
        </w:rPr>
        <w:tab/>
      </w:r>
      <w:r>
        <w:rPr>
          <w:rFonts w:ascii="Times New Roman" w:hAnsi="Times New Roman"/>
        </w:rPr>
        <w:t>5</w:t>
      </w:r>
    </w:p>
    <w:p w14:paraId="4117C9D6" w14:textId="77777777" w:rsidR="0019652F" w:rsidRDefault="0019652F" w:rsidP="0019652F">
      <w:pPr>
        <w:tabs>
          <w:tab w:val="left" w:pos="720"/>
          <w:tab w:val="left" w:pos="1440"/>
          <w:tab w:val="left" w:pos="2160"/>
          <w:tab w:val="right" w:leader="dot" w:pos="9180"/>
        </w:tabs>
        <w:rPr>
          <w:rFonts w:ascii="Times New Roman" w:hAnsi="Times New Roman"/>
        </w:rPr>
      </w:pPr>
    </w:p>
    <w:p w14:paraId="44ADD53A" w14:textId="403258EE" w:rsidR="0019652F" w:rsidRDefault="0019652F" w:rsidP="00232F3D">
      <w:pPr>
        <w:tabs>
          <w:tab w:val="left" w:pos="720"/>
          <w:tab w:val="left" w:pos="1440"/>
          <w:tab w:val="left" w:pos="2160"/>
          <w:tab w:val="right" w:leader="dot" w:pos="9180"/>
        </w:tabs>
        <w:ind w:left="2160" w:hanging="1620"/>
        <w:rPr>
          <w:rFonts w:ascii="Times New Roman" w:hAnsi="Times New Roman"/>
          <w:bCs/>
        </w:rPr>
      </w:pPr>
      <w:r w:rsidRPr="000E4143">
        <w:rPr>
          <w:rFonts w:ascii="Times New Roman" w:hAnsi="Times New Roman"/>
        </w:rPr>
        <w:tab/>
      </w:r>
      <w:r w:rsidRPr="000E4143">
        <w:rPr>
          <w:rFonts w:ascii="Times New Roman" w:hAnsi="Times New Roman"/>
        </w:rPr>
        <w:tab/>
      </w:r>
      <w:r w:rsidR="00232F3D">
        <w:rPr>
          <w:rFonts w:ascii="Times New Roman" w:hAnsi="Times New Roman"/>
          <w:bCs/>
        </w:rPr>
        <w:t>i</w:t>
      </w:r>
      <w:r w:rsidRPr="000E4143">
        <w:rPr>
          <w:rFonts w:ascii="Times New Roman" w:hAnsi="Times New Roman"/>
          <w:bCs/>
        </w:rPr>
        <w:t>.</w:t>
      </w:r>
      <w:r w:rsidRPr="000E4143">
        <w:rPr>
          <w:rFonts w:ascii="Times New Roman" w:hAnsi="Times New Roman"/>
          <w:bCs/>
        </w:rPr>
        <w:tab/>
      </w:r>
      <w:r w:rsidR="00232F3D">
        <w:rPr>
          <w:rFonts w:ascii="Times New Roman" w:hAnsi="Times New Roman"/>
          <w:bCs/>
        </w:rPr>
        <w:t>The Company’s Proposal Fails to Promote Conservation and Energy Efficient Technologies</w:t>
      </w:r>
      <w:r>
        <w:rPr>
          <w:rFonts w:ascii="Times New Roman" w:hAnsi="Times New Roman"/>
          <w:bCs/>
        </w:rPr>
        <w:t xml:space="preserve"> </w:t>
      </w:r>
      <w:r>
        <w:rPr>
          <w:rFonts w:ascii="Times New Roman" w:hAnsi="Times New Roman"/>
          <w:bCs/>
        </w:rPr>
        <w:tab/>
      </w:r>
      <w:r w:rsidR="00232F3D">
        <w:rPr>
          <w:rFonts w:ascii="Times New Roman" w:hAnsi="Times New Roman"/>
          <w:bCs/>
        </w:rPr>
        <w:t>6</w:t>
      </w:r>
    </w:p>
    <w:p w14:paraId="5BD9EF6E" w14:textId="77777777" w:rsidR="0019652F" w:rsidRDefault="0019652F" w:rsidP="0019652F">
      <w:pPr>
        <w:tabs>
          <w:tab w:val="left" w:pos="720"/>
          <w:tab w:val="left" w:pos="1440"/>
          <w:tab w:val="left" w:pos="2160"/>
          <w:tab w:val="right" w:leader="dot" w:pos="9180"/>
        </w:tabs>
        <w:rPr>
          <w:rFonts w:ascii="Times New Roman" w:hAnsi="Times New Roman"/>
          <w:bCs/>
        </w:rPr>
      </w:pPr>
    </w:p>
    <w:p w14:paraId="25DE3CAE" w14:textId="35573B45" w:rsidR="0019652F" w:rsidRDefault="0019652F" w:rsidP="00232F3D">
      <w:pPr>
        <w:tabs>
          <w:tab w:val="left" w:pos="720"/>
          <w:tab w:val="left" w:pos="1440"/>
          <w:tab w:val="left" w:pos="2160"/>
          <w:tab w:val="right" w:leader="dot" w:pos="9180"/>
        </w:tabs>
        <w:rPr>
          <w:rFonts w:ascii="Times New Roman" w:hAnsi="Times New Roman"/>
          <w:bCs/>
        </w:rPr>
      </w:pPr>
      <w:r>
        <w:rPr>
          <w:rFonts w:ascii="Times New Roman" w:hAnsi="Times New Roman"/>
          <w:bCs/>
        </w:rPr>
        <w:tab/>
      </w:r>
      <w:r w:rsidRPr="009D2609">
        <w:rPr>
          <w:rFonts w:ascii="Times New Roman" w:hAnsi="Times New Roman"/>
          <w:bCs/>
        </w:rPr>
        <w:tab/>
      </w:r>
      <w:r w:rsidR="00232F3D">
        <w:rPr>
          <w:rFonts w:ascii="Times New Roman" w:hAnsi="Times New Roman"/>
        </w:rPr>
        <w:t>ii.</w:t>
      </w:r>
      <w:r w:rsidR="00232F3D">
        <w:rPr>
          <w:rFonts w:ascii="Times New Roman" w:hAnsi="Times New Roman"/>
        </w:rPr>
        <w:tab/>
      </w:r>
      <w:r>
        <w:rPr>
          <w:rFonts w:ascii="Times New Roman" w:hAnsi="Times New Roman"/>
          <w:bCs/>
        </w:rPr>
        <w:t xml:space="preserve"> </w:t>
      </w:r>
      <w:r w:rsidR="00232F3D">
        <w:rPr>
          <w:rFonts w:ascii="Times New Roman" w:hAnsi="Times New Roman"/>
          <w:bCs/>
        </w:rPr>
        <w:t>The Company’s</w:t>
      </w:r>
      <w:r>
        <w:rPr>
          <w:rFonts w:ascii="Times New Roman" w:hAnsi="Times New Roman"/>
          <w:bCs/>
        </w:rPr>
        <w:t xml:space="preserve"> </w:t>
      </w:r>
      <w:r w:rsidR="00232F3D">
        <w:rPr>
          <w:rFonts w:ascii="Times New Roman" w:hAnsi="Times New Roman"/>
          <w:bCs/>
        </w:rPr>
        <w:t>Proposal Violates the Princip</w:t>
      </w:r>
      <w:r w:rsidR="003C15A7">
        <w:rPr>
          <w:rFonts w:ascii="Times New Roman" w:hAnsi="Times New Roman"/>
          <w:bCs/>
        </w:rPr>
        <w:t>le</w:t>
      </w:r>
      <w:r w:rsidR="00232F3D">
        <w:rPr>
          <w:rFonts w:ascii="Times New Roman" w:hAnsi="Times New Roman"/>
          <w:bCs/>
        </w:rPr>
        <w:t xml:space="preserve"> of Gradualism</w:t>
      </w:r>
      <w:r>
        <w:rPr>
          <w:rFonts w:ascii="Times New Roman" w:hAnsi="Times New Roman"/>
          <w:bCs/>
        </w:rPr>
        <w:t xml:space="preserve"> </w:t>
      </w:r>
      <w:r>
        <w:rPr>
          <w:rFonts w:ascii="Times New Roman" w:hAnsi="Times New Roman"/>
          <w:bCs/>
        </w:rPr>
        <w:tab/>
      </w:r>
      <w:r w:rsidR="00CD1DD1">
        <w:rPr>
          <w:rFonts w:ascii="Times New Roman" w:hAnsi="Times New Roman"/>
          <w:bCs/>
        </w:rPr>
        <w:t>8</w:t>
      </w:r>
    </w:p>
    <w:p w14:paraId="7245112E" w14:textId="77777777" w:rsidR="00232F3D" w:rsidRDefault="00232F3D" w:rsidP="00232F3D">
      <w:pPr>
        <w:tabs>
          <w:tab w:val="left" w:pos="720"/>
          <w:tab w:val="left" w:pos="1440"/>
          <w:tab w:val="left" w:pos="2160"/>
          <w:tab w:val="right" w:leader="dot" w:pos="9180"/>
        </w:tabs>
        <w:rPr>
          <w:rFonts w:ascii="Times New Roman" w:hAnsi="Times New Roman"/>
          <w:bCs/>
        </w:rPr>
      </w:pPr>
    </w:p>
    <w:p w14:paraId="5EB106BF" w14:textId="2C982931" w:rsidR="00232F3D" w:rsidRDefault="00232F3D" w:rsidP="00232F3D">
      <w:pPr>
        <w:tabs>
          <w:tab w:val="left" w:pos="720"/>
          <w:tab w:val="left" w:pos="1440"/>
          <w:tab w:val="left" w:pos="2160"/>
          <w:tab w:val="right" w:leader="dot" w:pos="9180"/>
        </w:tabs>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rPr>
        <w:t>iii.</w:t>
      </w:r>
      <w:r>
        <w:rPr>
          <w:rFonts w:ascii="Times New Roman" w:hAnsi="Times New Roman"/>
        </w:rPr>
        <w:tab/>
      </w:r>
      <w:r>
        <w:rPr>
          <w:rFonts w:ascii="Times New Roman" w:hAnsi="Times New Roman"/>
          <w:bCs/>
        </w:rPr>
        <w:t xml:space="preserve"> PacifiCorp’s Proposal Creates Unnecessary Rate Shock </w:t>
      </w:r>
      <w:r>
        <w:rPr>
          <w:rFonts w:ascii="Times New Roman" w:hAnsi="Times New Roman"/>
          <w:bCs/>
        </w:rPr>
        <w:tab/>
      </w:r>
      <w:r w:rsidR="00CD1DD1">
        <w:rPr>
          <w:rFonts w:ascii="Times New Roman" w:hAnsi="Times New Roman"/>
          <w:bCs/>
        </w:rPr>
        <w:t>9</w:t>
      </w:r>
    </w:p>
    <w:p w14:paraId="7747F2D5" w14:textId="77777777" w:rsidR="00232F3D" w:rsidRDefault="00232F3D" w:rsidP="00232F3D">
      <w:pPr>
        <w:tabs>
          <w:tab w:val="left" w:pos="720"/>
          <w:tab w:val="left" w:pos="1440"/>
          <w:tab w:val="left" w:pos="2160"/>
          <w:tab w:val="right" w:leader="dot" w:pos="9180"/>
        </w:tabs>
        <w:rPr>
          <w:rFonts w:ascii="Times New Roman" w:hAnsi="Times New Roman"/>
        </w:rPr>
      </w:pPr>
    </w:p>
    <w:p w14:paraId="3D2DC90B" w14:textId="61D49F5E" w:rsidR="00232F3D" w:rsidRDefault="00232F3D" w:rsidP="00232F3D">
      <w:pPr>
        <w:tabs>
          <w:tab w:val="left" w:pos="720"/>
          <w:tab w:val="left" w:pos="1440"/>
          <w:tab w:val="left" w:pos="2160"/>
          <w:tab w:val="right" w:leader="dot" w:pos="9180"/>
        </w:tabs>
        <w:ind w:left="2250" w:hanging="2160"/>
        <w:rPr>
          <w:rFonts w:ascii="Times New Roman" w:hAnsi="Times New Roman"/>
          <w:bCs/>
        </w:rPr>
      </w:pPr>
      <w:r>
        <w:rPr>
          <w:rFonts w:ascii="Times New Roman" w:hAnsi="Times New Roman"/>
        </w:rPr>
        <w:tab/>
      </w:r>
      <w:r>
        <w:rPr>
          <w:rFonts w:ascii="Times New Roman" w:hAnsi="Times New Roman"/>
        </w:rPr>
        <w:tab/>
        <w:t>iv.</w:t>
      </w:r>
      <w:r>
        <w:rPr>
          <w:rFonts w:ascii="Times New Roman" w:hAnsi="Times New Roman"/>
        </w:rPr>
        <w:tab/>
      </w:r>
      <w:r>
        <w:rPr>
          <w:rFonts w:ascii="Times New Roman" w:hAnsi="Times New Roman"/>
          <w:bCs/>
        </w:rPr>
        <w:t xml:space="preserve"> PacifiCorp’s Proposed Increase to the Residential Basic Charge is Inconsistent w</w:t>
      </w:r>
      <w:r w:rsidR="00CD1DD1">
        <w:rPr>
          <w:rFonts w:ascii="Times New Roman" w:hAnsi="Times New Roman"/>
          <w:bCs/>
        </w:rPr>
        <w:t>ith This Commission’s Practice</w:t>
      </w:r>
      <w:r w:rsidR="00CD1DD1">
        <w:rPr>
          <w:rFonts w:ascii="Times New Roman" w:hAnsi="Times New Roman"/>
          <w:bCs/>
        </w:rPr>
        <w:tab/>
        <w:t>10</w:t>
      </w:r>
    </w:p>
    <w:p w14:paraId="59CA98AE" w14:textId="77777777" w:rsidR="0019652F" w:rsidRDefault="0019652F" w:rsidP="0019652F">
      <w:pPr>
        <w:tabs>
          <w:tab w:val="left" w:pos="720"/>
          <w:tab w:val="left" w:pos="1440"/>
          <w:tab w:val="left" w:pos="2160"/>
          <w:tab w:val="right" w:leader="dot" w:pos="9180"/>
        </w:tabs>
        <w:rPr>
          <w:rFonts w:ascii="Times New Roman" w:hAnsi="Times New Roman"/>
          <w:bCs/>
        </w:rPr>
      </w:pPr>
    </w:p>
    <w:p w14:paraId="4C503143" w14:textId="623032E2" w:rsidR="0019652F" w:rsidRDefault="0019652F" w:rsidP="00F2477E">
      <w:pPr>
        <w:tabs>
          <w:tab w:val="left" w:pos="720"/>
          <w:tab w:val="left" w:pos="1440"/>
          <w:tab w:val="right" w:leader="dot" w:pos="9180"/>
        </w:tabs>
        <w:ind w:left="1440" w:hanging="1710"/>
        <w:rPr>
          <w:rFonts w:ascii="Times New Roman" w:hAnsi="Times New Roman"/>
        </w:rPr>
      </w:pPr>
      <w:r w:rsidRPr="009C5519">
        <w:rPr>
          <w:rFonts w:ascii="Times New Roman" w:hAnsi="Times New Roman"/>
          <w:bCs/>
        </w:rPr>
        <w:tab/>
      </w:r>
      <w:r w:rsidR="00F30CDC">
        <w:rPr>
          <w:rFonts w:ascii="Times New Roman" w:hAnsi="Times New Roman"/>
        </w:rPr>
        <w:t>c</w:t>
      </w:r>
      <w:r w:rsidRPr="009C5519">
        <w:rPr>
          <w:rFonts w:ascii="Times New Roman" w:hAnsi="Times New Roman"/>
        </w:rPr>
        <w:t>.</w:t>
      </w:r>
      <w:r w:rsidRPr="009C5519">
        <w:rPr>
          <w:rFonts w:ascii="Times New Roman" w:hAnsi="Times New Roman"/>
        </w:rPr>
        <w:tab/>
      </w:r>
      <w:r w:rsidR="00F30CDC">
        <w:rPr>
          <w:rFonts w:ascii="Times New Roman" w:hAnsi="Times New Roman"/>
        </w:rPr>
        <w:t xml:space="preserve">Even if </w:t>
      </w:r>
      <w:r w:rsidR="00B00A9D">
        <w:rPr>
          <w:rFonts w:ascii="Times New Roman" w:hAnsi="Times New Roman"/>
        </w:rPr>
        <w:t>t</w:t>
      </w:r>
      <w:r w:rsidR="00F30CDC">
        <w:rPr>
          <w:rFonts w:ascii="Times New Roman" w:hAnsi="Times New Roman"/>
        </w:rPr>
        <w:t>he Commission were to Agree that Traditional Ratemaking Should be Modified Such that Fixed Charges are Recovered in the Fixed Component of Rates, PacifiCorp has Failed to Justify its Proposal</w:t>
      </w:r>
      <w:r>
        <w:rPr>
          <w:rFonts w:ascii="Times New Roman" w:hAnsi="Times New Roman"/>
        </w:rPr>
        <w:t xml:space="preserve"> </w:t>
      </w:r>
      <w:r>
        <w:rPr>
          <w:rFonts w:ascii="Times New Roman" w:hAnsi="Times New Roman"/>
        </w:rPr>
        <w:tab/>
      </w:r>
      <w:r w:rsidR="00CD1DD1">
        <w:rPr>
          <w:rFonts w:ascii="Times New Roman" w:hAnsi="Times New Roman"/>
        </w:rPr>
        <w:t>12</w:t>
      </w:r>
    </w:p>
    <w:p w14:paraId="7D17802B" w14:textId="65506CA3" w:rsidR="0019652F" w:rsidRDefault="0019652F" w:rsidP="00F30CDC">
      <w:pPr>
        <w:tabs>
          <w:tab w:val="left" w:pos="720"/>
          <w:tab w:val="left" w:pos="1440"/>
          <w:tab w:val="left" w:pos="2160"/>
          <w:tab w:val="right" w:leader="dot" w:pos="9180"/>
        </w:tabs>
        <w:rPr>
          <w:rFonts w:ascii="Times New Roman" w:hAnsi="Times New Roman"/>
        </w:rPr>
      </w:pPr>
      <w:r w:rsidRPr="00BC5DB6">
        <w:rPr>
          <w:rFonts w:ascii="Times New Roman" w:hAnsi="Times New Roman"/>
          <w:bCs/>
        </w:rPr>
        <w:tab/>
      </w:r>
    </w:p>
    <w:p w14:paraId="099CDBF3" w14:textId="6A223206" w:rsidR="0019652F" w:rsidRDefault="00F30CDC" w:rsidP="00F30CDC">
      <w:pPr>
        <w:tabs>
          <w:tab w:val="left" w:pos="1170"/>
          <w:tab w:val="left" w:pos="1440"/>
          <w:tab w:val="left" w:pos="2160"/>
          <w:tab w:val="right" w:leader="dot" w:pos="9180"/>
        </w:tabs>
        <w:ind w:left="810" w:hanging="810"/>
        <w:rPr>
          <w:rFonts w:ascii="Times New Roman" w:hAnsi="Times New Roman" w:cs="Times New Roman"/>
          <w:bCs/>
        </w:rPr>
      </w:pPr>
      <w:r>
        <w:rPr>
          <w:rFonts w:ascii="Times New Roman" w:hAnsi="Times New Roman" w:cs="Times New Roman"/>
          <w:bCs/>
        </w:rPr>
        <w:t>3</w:t>
      </w:r>
      <w:r w:rsidR="0019652F">
        <w:rPr>
          <w:rFonts w:ascii="Times New Roman" w:hAnsi="Times New Roman" w:cs="Times New Roman"/>
          <w:bCs/>
        </w:rPr>
        <w:t>.</w:t>
      </w:r>
      <w:r w:rsidR="0019652F">
        <w:rPr>
          <w:rFonts w:ascii="Times New Roman" w:hAnsi="Times New Roman" w:cs="Times New Roman"/>
          <w:bCs/>
        </w:rPr>
        <w:tab/>
      </w:r>
      <w:r>
        <w:rPr>
          <w:rFonts w:ascii="Times New Roman" w:hAnsi="Times New Roman" w:cs="Times New Roman"/>
          <w:bCs/>
        </w:rPr>
        <w:t>BETTER SOLUTI</w:t>
      </w:r>
      <w:r w:rsidR="0019652F">
        <w:rPr>
          <w:rFonts w:ascii="Times New Roman" w:hAnsi="Times New Roman" w:cs="Times New Roman"/>
          <w:bCs/>
        </w:rPr>
        <w:t>ON</w:t>
      </w:r>
      <w:r>
        <w:rPr>
          <w:rFonts w:ascii="Times New Roman" w:hAnsi="Times New Roman" w:cs="Times New Roman"/>
          <w:bCs/>
        </w:rPr>
        <w:t>S EXIST: THE COMMISSION SHOULD ORDER PACIFICORP TO PROPOSE BETTER ALTERNATIVES TO FULLY RECOVER ITS FIXED COSTS</w:t>
      </w:r>
      <w:r w:rsidR="009931EF">
        <w:rPr>
          <w:rFonts w:ascii="Times New Roman" w:hAnsi="Times New Roman" w:cs="Times New Roman"/>
          <w:bCs/>
        </w:rPr>
        <w:t xml:space="preserve"> </w:t>
      </w:r>
      <w:r w:rsidR="009931EF">
        <w:rPr>
          <w:rFonts w:ascii="Times New Roman" w:hAnsi="Times New Roman" w:cs="Times New Roman"/>
          <w:bCs/>
        </w:rPr>
        <w:tab/>
      </w:r>
      <w:r w:rsidR="00CD1DD1">
        <w:rPr>
          <w:rFonts w:ascii="Times New Roman" w:hAnsi="Times New Roman" w:cs="Times New Roman"/>
          <w:bCs/>
        </w:rPr>
        <w:t>15</w:t>
      </w:r>
    </w:p>
    <w:p w14:paraId="61AEA329" w14:textId="77777777" w:rsidR="0019652F" w:rsidRDefault="0019652F" w:rsidP="0019652F">
      <w:pPr>
        <w:tabs>
          <w:tab w:val="left" w:pos="720"/>
          <w:tab w:val="left" w:pos="1440"/>
          <w:tab w:val="left" w:pos="2160"/>
          <w:tab w:val="right" w:leader="dot" w:pos="9180"/>
        </w:tabs>
        <w:rPr>
          <w:rFonts w:ascii="Times New Roman" w:hAnsi="Times New Roman" w:cs="Times New Roman"/>
          <w:bCs/>
        </w:rPr>
      </w:pPr>
    </w:p>
    <w:p w14:paraId="03B64A58" w14:textId="5F09E88D" w:rsidR="0019652F" w:rsidRDefault="0019652F" w:rsidP="001965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00323F8A">
        <w:rPr>
          <w:rFonts w:ascii="Times New Roman" w:hAnsi="Times New Roman" w:cs="Times New Roman"/>
        </w:rPr>
        <w:t>a</w:t>
      </w:r>
      <w:r w:rsidRPr="00ED0A39">
        <w:rPr>
          <w:rFonts w:ascii="Times New Roman" w:hAnsi="Times New Roman" w:cs="Times New Roman"/>
        </w:rPr>
        <w:t>.</w:t>
      </w:r>
      <w:r w:rsidRPr="00ED0A39">
        <w:rPr>
          <w:rFonts w:ascii="Times New Roman" w:hAnsi="Times New Roman" w:cs="Times New Roman"/>
        </w:rPr>
        <w:tab/>
      </w:r>
      <w:r w:rsidR="00323F8A">
        <w:rPr>
          <w:rFonts w:ascii="Times New Roman" w:hAnsi="Times New Roman" w:cs="Times New Roman"/>
        </w:rPr>
        <w:t>Decoupling</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15</w:t>
      </w:r>
    </w:p>
    <w:p w14:paraId="034EBB68" w14:textId="77777777" w:rsidR="0019652F" w:rsidRDefault="0019652F" w:rsidP="0019652F">
      <w:pPr>
        <w:tabs>
          <w:tab w:val="left" w:pos="720"/>
          <w:tab w:val="left" w:pos="1440"/>
          <w:tab w:val="left" w:pos="2160"/>
          <w:tab w:val="right" w:leader="dot" w:pos="9180"/>
        </w:tabs>
        <w:rPr>
          <w:rFonts w:ascii="Times New Roman" w:hAnsi="Times New Roman" w:cs="Times New Roman"/>
        </w:rPr>
      </w:pPr>
    </w:p>
    <w:p w14:paraId="7E784969" w14:textId="0A95B905" w:rsidR="0019652F" w:rsidRDefault="0019652F" w:rsidP="0019652F">
      <w:pPr>
        <w:tabs>
          <w:tab w:val="left" w:pos="720"/>
          <w:tab w:val="left" w:pos="1440"/>
          <w:tab w:val="left" w:pos="2160"/>
          <w:tab w:val="right" w:leader="dot" w:pos="9180"/>
        </w:tabs>
        <w:rPr>
          <w:rFonts w:ascii="Times New Roman" w:hAnsi="Times New Roman" w:cs="Times New Roman"/>
          <w:bCs/>
        </w:rPr>
      </w:pPr>
      <w:r>
        <w:rPr>
          <w:rFonts w:ascii="Times New Roman" w:hAnsi="Times New Roman" w:cs="Times New Roman"/>
          <w:bCs/>
        </w:rPr>
        <w:tab/>
      </w:r>
      <w:r w:rsidR="00323F8A">
        <w:rPr>
          <w:rFonts w:ascii="Times New Roman" w:hAnsi="Times New Roman" w:cs="Times New Roman"/>
          <w:bCs/>
        </w:rPr>
        <w:t>b</w:t>
      </w:r>
      <w:r>
        <w:rPr>
          <w:rFonts w:ascii="Times New Roman" w:hAnsi="Times New Roman" w:cs="Times New Roman"/>
          <w:bCs/>
        </w:rPr>
        <w:t>.</w:t>
      </w:r>
      <w:r>
        <w:rPr>
          <w:rFonts w:ascii="Times New Roman" w:hAnsi="Times New Roman" w:cs="Times New Roman"/>
          <w:bCs/>
        </w:rPr>
        <w:tab/>
      </w:r>
      <w:r w:rsidR="00323F8A">
        <w:rPr>
          <w:rFonts w:ascii="Times New Roman" w:hAnsi="Times New Roman" w:cs="Times New Roman"/>
          <w:bCs/>
        </w:rPr>
        <w:t>Power Cost Adjustment Mechanism (“PCAM”)</w:t>
      </w:r>
      <w:r w:rsidR="00323F8A">
        <w:rPr>
          <w:rFonts w:ascii="Times New Roman" w:hAnsi="Times New Roman" w:cs="Times New Roman"/>
          <w:bCs/>
        </w:rPr>
        <w:tab/>
      </w:r>
      <w:r w:rsidR="00CD1DD1">
        <w:rPr>
          <w:rFonts w:ascii="Times New Roman" w:hAnsi="Times New Roman" w:cs="Times New Roman"/>
          <w:bCs/>
        </w:rPr>
        <w:t>17</w:t>
      </w:r>
    </w:p>
    <w:p w14:paraId="32D1C5DE" w14:textId="77777777" w:rsidR="0019652F" w:rsidRDefault="0019652F" w:rsidP="0019652F">
      <w:pPr>
        <w:tabs>
          <w:tab w:val="left" w:pos="720"/>
          <w:tab w:val="left" w:pos="1440"/>
          <w:tab w:val="left" w:pos="2160"/>
          <w:tab w:val="right" w:leader="dot" w:pos="9180"/>
        </w:tabs>
        <w:rPr>
          <w:rFonts w:ascii="Times New Roman" w:hAnsi="Times New Roman" w:cs="Times New Roman"/>
        </w:rPr>
      </w:pPr>
    </w:p>
    <w:p w14:paraId="0F1532A7" w14:textId="4F160C92" w:rsidR="0019652F" w:rsidRDefault="00323F8A" w:rsidP="0019652F">
      <w:pPr>
        <w:tabs>
          <w:tab w:val="left" w:pos="720"/>
          <w:tab w:val="left" w:pos="1440"/>
          <w:tab w:val="left" w:pos="2160"/>
          <w:tab w:val="left" w:pos="2880"/>
          <w:tab w:val="right" w:leader="dot" w:pos="9180"/>
        </w:tabs>
        <w:rPr>
          <w:rFonts w:ascii="Times New Roman" w:hAnsi="Times New Roman"/>
        </w:rPr>
      </w:pPr>
      <w:r>
        <w:rPr>
          <w:rFonts w:ascii="Times New Roman" w:hAnsi="Times New Roman" w:cs="Times New Roman"/>
        </w:rPr>
        <w:tab/>
        <w:t>c</w:t>
      </w:r>
      <w:r w:rsidR="0019652F" w:rsidRPr="00686E8E">
        <w:rPr>
          <w:rFonts w:ascii="Times New Roman" w:hAnsi="Times New Roman" w:cs="Times New Roman"/>
        </w:rPr>
        <w:t>.</w:t>
      </w:r>
      <w:r w:rsidR="0019652F" w:rsidRPr="00686E8E">
        <w:rPr>
          <w:rFonts w:ascii="Times New Roman" w:hAnsi="Times New Roman" w:cs="Times New Roman"/>
        </w:rPr>
        <w:tab/>
      </w:r>
      <w:r>
        <w:rPr>
          <w:rFonts w:ascii="Times New Roman" w:hAnsi="Times New Roman"/>
        </w:rPr>
        <w:t>Minimum Bill</w:t>
      </w:r>
      <w:r w:rsidR="0019652F">
        <w:rPr>
          <w:rFonts w:ascii="Times New Roman" w:hAnsi="Times New Roman"/>
        </w:rPr>
        <w:t xml:space="preserve"> </w:t>
      </w:r>
      <w:r w:rsidR="0019652F">
        <w:rPr>
          <w:rFonts w:ascii="Times New Roman" w:hAnsi="Times New Roman"/>
        </w:rPr>
        <w:tab/>
      </w:r>
      <w:r w:rsidR="00CD1DD1">
        <w:rPr>
          <w:rFonts w:ascii="Times New Roman" w:hAnsi="Times New Roman"/>
        </w:rPr>
        <w:t>17</w:t>
      </w:r>
    </w:p>
    <w:p w14:paraId="3B44E3C5" w14:textId="77777777" w:rsidR="0019652F" w:rsidRDefault="0019652F" w:rsidP="0019652F">
      <w:pPr>
        <w:tabs>
          <w:tab w:val="left" w:pos="720"/>
          <w:tab w:val="left" w:pos="1440"/>
          <w:tab w:val="left" w:pos="2160"/>
          <w:tab w:val="left" w:pos="2880"/>
          <w:tab w:val="right" w:leader="dot" w:pos="9180"/>
        </w:tabs>
        <w:rPr>
          <w:rFonts w:ascii="Times New Roman" w:hAnsi="Times New Roman"/>
        </w:rPr>
      </w:pPr>
    </w:p>
    <w:p w14:paraId="0495ED7A" w14:textId="73D82D49" w:rsidR="0019652F" w:rsidRPr="0010715F" w:rsidRDefault="00323F8A" w:rsidP="0019652F">
      <w:pPr>
        <w:tabs>
          <w:tab w:val="left" w:pos="720"/>
          <w:tab w:val="left" w:pos="1440"/>
          <w:tab w:val="left" w:pos="2160"/>
          <w:tab w:val="left" w:pos="2880"/>
          <w:tab w:val="right" w:leader="dot" w:pos="9180"/>
        </w:tabs>
        <w:rPr>
          <w:rFonts w:ascii="Times New Roman" w:hAnsi="Times New Roman"/>
        </w:rPr>
      </w:pPr>
      <w:r>
        <w:rPr>
          <w:rFonts w:ascii="Times New Roman" w:hAnsi="Times New Roman"/>
        </w:rPr>
        <w:tab/>
        <w:t>d</w:t>
      </w:r>
      <w:r w:rsidR="0019652F" w:rsidRPr="0010715F">
        <w:rPr>
          <w:rFonts w:ascii="Times New Roman" w:hAnsi="Times New Roman"/>
        </w:rPr>
        <w:t>.</w:t>
      </w:r>
      <w:r w:rsidR="0019652F" w:rsidRPr="0010715F">
        <w:rPr>
          <w:rFonts w:ascii="Times New Roman" w:hAnsi="Times New Roman"/>
        </w:rPr>
        <w:tab/>
      </w:r>
      <w:r>
        <w:rPr>
          <w:rFonts w:ascii="Times New Roman" w:hAnsi="Times New Roman"/>
        </w:rPr>
        <w:t>Forward Looking Test Years and Multiyear Rate Plans</w:t>
      </w:r>
      <w:r w:rsidR="0019652F">
        <w:rPr>
          <w:rFonts w:ascii="Times New Roman" w:hAnsi="Times New Roman"/>
        </w:rPr>
        <w:t xml:space="preserve"> </w:t>
      </w:r>
      <w:r w:rsidR="0019652F">
        <w:rPr>
          <w:rFonts w:ascii="Times New Roman" w:hAnsi="Times New Roman"/>
        </w:rPr>
        <w:tab/>
      </w:r>
      <w:r w:rsidR="00CD1DD1">
        <w:rPr>
          <w:rFonts w:ascii="Times New Roman" w:hAnsi="Times New Roman"/>
        </w:rPr>
        <w:t>18</w:t>
      </w:r>
    </w:p>
    <w:p w14:paraId="06C40750" w14:textId="77777777" w:rsidR="0019652F" w:rsidRPr="007A7065" w:rsidRDefault="0019652F" w:rsidP="0019652F">
      <w:pPr>
        <w:tabs>
          <w:tab w:val="left" w:pos="720"/>
          <w:tab w:val="left" w:pos="1440"/>
          <w:tab w:val="left" w:pos="2160"/>
          <w:tab w:val="right" w:leader="dot" w:pos="9180"/>
        </w:tabs>
        <w:rPr>
          <w:rFonts w:ascii="Times New Roman" w:hAnsi="Times New Roman" w:cs="Times New Roman"/>
          <w:bCs/>
        </w:rPr>
      </w:pPr>
    </w:p>
    <w:p w14:paraId="5FD508BA" w14:textId="1D58BF08" w:rsidR="0019652F" w:rsidRDefault="002F15C0" w:rsidP="009A156D">
      <w:pPr>
        <w:tabs>
          <w:tab w:val="left" w:pos="720"/>
          <w:tab w:val="left" w:pos="2160"/>
          <w:tab w:val="left" w:pos="2880"/>
          <w:tab w:val="right" w:leader="dot" w:pos="9180"/>
        </w:tabs>
        <w:ind w:left="720" w:hanging="720"/>
        <w:rPr>
          <w:rFonts w:ascii="Times New Roman" w:hAnsi="Times New Roman"/>
        </w:rPr>
      </w:pPr>
      <w:r>
        <w:rPr>
          <w:rFonts w:ascii="Times New Roman" w:hAnsi="Times New Roman"/>
        </w:rPr>
        <w:lastRenderedPageBreak/>
        <w:t>4.</w:t>
      </w:r>
      <w:r>
        <w:rPr>
          <w:rFonts w:ascii="Times New Roman" w:hAnsi="Times New Roman"/>
        </w:rPr>
        <w:tab/>
      </w:r>
      <w:r w:rsidR="0019652F" w:rsidRPr="002F15C0">
        <w:rPr>
          <w:rFonts w:ascii="Times New Roman" w:hAnsi="Times New Roman"/>
          <w:caps/>
        </w:rPr>
        <w:t xml:space="preserve">The </w:t>
      </w:r>
      <w:r w:rsidR="00323F8A" w:rsidRPr="002F15C0">
        <w:rPr>
          <w:rFonts w:ascii="Times New Roman" w:hAnsi="Times New Roman"/>
          <w:caps/>
        </w:rPr>
        <w:t xml:space="preserve">Commission Should Heed the </w:t>
      </w:r>
      <w:r w:rsidR="00B00A9D" w:rsidRPr="002F15C0">
        <w:rPr>
          <w:rFonts w:ascii="Times New Roman" w:hAnsi="Times New Roman"/>
          <w:caps/>
        </w:rPr>
        <w:t>Advi</w:t>
      </w:r>
      <w:r w:rsidR="00B00A9D">
        <w:rPr>
          <w:rFonts w:ascii="Times New Roman" w:hAnsi="Times New Roman"/>
          <w:caps/>
        </w:rPr>
        <w:t>C</w:t>
      </w:r>
      <w:r w:rsidR="00B00A9D" w:rsidRPr="002F15C0">
        <w:rPr>
          <w:rFonts w:ascii="Times New Roman" w:hAnsi="Times New Roman"/>
          <w:caps/>
        </w:rPr>
        <w:t xml:space="preserve">e </w:t>
      </w:r>
      <w:r w:rsidR="00323F8A" w:rsidRPr="002F15C0">
        <w:rPr>
          <w:rFonts w:ascii="Times New Roman" w:hAnsi="Times New Roman"/>
          <w:caps/>
        </w:rPr>
        <w:t>of Staff an</w:t>
      </w:r>
      <w:r w:rsidRPr="002F15C0">
        <w:rPr>
          <w:rFonts w:ascii="Times New Roman" w:hAnsi="Times New Roman"/>
          <w:caps/>
        </w:rPr>
        <w:t xml:space="preserve">d </w:t>
      </w:r>
      <w:r>
        <w:rPr>
          <w:rFonts w:ascii="Times New Roman" w:hAnsi="Times New Roman"/>
          <w:caps/>
        </w:rPr>
        <w:t>INSTRUCT</w:t>
      </w:r>
      <w:r w:rsidRPr="002F15C0">
        <w:rPr>
          <w:rFonts w:ascii="Times New Roman" w:hAnsi="Times New Roman"/>
          <w:caps/>
        </w:rPr>
        <w:t xml:space="preserve"> PacifiCorp that Demand </w:t>
      </w:r>
      <w:r w:rsidR="00323F8A" w:rsidRPr="002F15C0">
        <w:rPr>
          <w:rFonts w:ascii="Times New Roman" w:hAnsi="Times New Roman"/>
          <w:caps/>
        </w:rPr>
        <w:t>Charges for DG Customers Are Not Appropriate</w:t>
      </w:r>
      <w:r w:rsidR="0019652F">
        <w:rPr>
          <w:rFonts w:ascii="Times New Roman" w:hAnsi="Times New Roman"/>
        </w:rPr>
        <w:t xml:space="preserve"> </w:t>
      </w:r>
      <w:r>
        <w:rPr>
          <w:rFonts w:ascii="Times New Roman" w:hAnsi="Times New Roman"/>
        </w:rPr>
        <w:t>……</w:t>
      </w:r>
      <w:r w:rsidR="009A156D">
        <w:rPr>
          <w:rFonts w:ascii="Times New Roman" w:hAnsi="Times New Roman"/>
        </w:rPr>
        <w:t>………………………………………………………………….</w:t>
      </w:r>
      <w:r w:rsidR="00CD1DD1">
        <w:rPr>
          <w:rFonts w:ascii="Times New Roman" w:hAnsi="Times New Roman"/>
        </w:rPr>
        <w:t>19</w:t>
      </w:r>
    </w:p>
    <w:p w14:paraId="4BB4AAA9" w14:textId="1329372B" w:rsidR="0019652F" w:rsidRDefault="0019652F" w:rsidP="00323F8A">
      <w:pPr>
        <w:tabs>
          <w:tab w:val="left" w:pos="720"/>
          <w:tab w:val="left" w:pos="1440"/>
          <w:tab w:val="left" w:pos="2160"/>
          <w:tab w:val="left" w:pos="2880"/>
          <w:tab w:val="right" w:leader="dot" w:pos="9180"/>
        </w:tabs>
        <w:rPr>
          <w:rFonts w:ascii="Times New Roman" w:hAnsi="Times New Roman"/>
        </w:rPr>
      </w:pPr>
    </w:p>
    <w:p w14:paraId="58CA5FBF" w14:textId="5CA2C26A" w:rsidR="00323F8A" w:rsidRDefault="00323F8A" w:rsidP="0019652F">
      <w:pPr>
        <w:tabs>
          <w:tab w:val="left" w:pos="720"/>
          <w:tab w:val="left" w:pos="1440"/>
          <w:tab w:val="left" w:pos="2160"/>
          <w:tab w:val="left" w:pos="2880"/>
          <w:tab w:val="right" w:leader="dot" w:pos="9180"/>
        </w:tabs>
        <w:rPr>
          <w:rFonts w:ascii="Times New Roman" w:hAnsi="Times New Roman"/>
        </w:rPr>
      </w:pPr>
      <w:r>
        <w:rPr>
          <w:rFonts w:ascii="Times New Roman" w:hAnsi="Times New Roman"/>
        </w:rPr>
        <w:t>5</w:t>
      </w:r>
      <w:r w:rsidR="0019652F">
        <w:rPr>
          <w:rFonts w:ascii="Times New Roman" w:hAnsi="Times New Roman"/>
        </w:rPr>
        <w:t>.</w:t>
      </w:r>
      <w:r w:rsidR="0019652F">
        <w:rPr>
          <w:rFonts w:ascii="Times New Roman" w:hAnsi="Times New Roman"/>
        </w:rPr>
        <w:tab/>
      </w:r>
      <w:r>
        <w:rPr>
          <w:rFonts w:ascii="Times New Roman" w:hAnsi="Times New Roman"/>
        </w:rPr>
        <w:t>TASC SUPPORTS THE THREE</w:t>
      </w:r>
      <w:r w:rsidR="00B00A9D">
        <w:rPr>
          <w:rFonts w:ascii="Times New Roman" w:hAnsi="Times New Roman"/>
        </w:rPr>
        <w:t>-</w:t>
      </w:r>
      <w:r>
        <w:rPr>
          <w:rFonts w:ascii="Times New Roman" w:hAnsi="Times New Roman"/>
        </w:rPr>
        <w:t>PART TIERED RATES SUGGESTED</w:t>
      </w:r>
    </w:p>
    <w:p w14:paraId="6D0405DD" w14:textId="118C944D" w:rsidR="0019652F" w:rsidRDefault="00323F8A" w:rsidP="0019652F">
      <w:pPr>
        <w:tabs>
          <w:tab w:val="left" w:pos="720"/>
          <w:tab w:val="left" w:pos="1440"/>
          <w:tab w:val="left" w:pos="2160"/>
          <w:tab w:val="left" w:pos="2880"/>
          <w:tab w:val="right" w:leader="dot" w:pos="9180"/>
        </w:tabs>
        <w:rPr>
          <w:rFonts w:ascii="Times New Roman" w:hAnsi="Times New Roman"/>
        </w:rPr>
      </w:pPr>
      <w:r>
        <w:rPr>
          <w:rFonts w:ascii="Times New Roman" w:hAnsi="Times New Roman"/>
        </w:rPr>
        <w:tab/>
        <w:t xml:space="preserve"> BY STAFF…………...</w:t>
      </w:r>
      <w:r w:rsidR="0019652F">
        <w:rPr>
          <w:rFonts w:ascii="Times New Roman" w:hAnsi="Times New Roman"/>
        </w:rPr>
        <w:tab/>
      </w:r>
      <w:r w:rsidR="00CD1DD1">
        <w:rPr>
          <w:rFonts w:ascii="Times New Roman" w:hAnsi="Times New Roman"/>
        </w:rPr>
        <w:t>20</w:t>
      </w:r>
    </w:p>
    <w:p w14:paraId="611426C1" w14:textId="2F363095" w:rsidR="0019652F" w:rsidRDefault="0019652F" w:rsidP="00323F8A">
      <w:pPr>
        <w:tabs>
          <w:tab w:val="left" w:pos="720"/>
          <w:tab w:val="left" w:pos="1440"/>
          <w:tab w:val="left" w:pos="2160"/>
          <w:tab w:val="left" w:pos="2880"/>
          <w:tab w:val="right" w:leader="dot" w:pos="9180"/>
        </w:tabs>
        <w:rPr>
          <w:rFonts w:ascii="Times New Roman" w:hAnsi="Times New Roman" w:cs="Times New Roman"/>
        </w:rPr>
      </w:pPr>
    </w:p>
    <w:p w14:paraId="2144A7E2" w14:textId="08F4A693" w:rsidR="0019652F" w:rsidRDefault="00323F8A" w:rsidP="00323F8A">
      <w:pPr>
        <w:tabs>
          <w:tab w:val="left" w:pos="720"/>
          <w:tab w:val="left" w:pos="1440"/>
          <w:tab w:val="left" w:pos="2160"/>
          <w:tab w:val="left" w:pos="2880"/>
          <w:tab w:val="left" w:pos="9020"/>
          <w:tab w:val="right" w:leader="dot" w:pos="9180"/>
        </w:tabs>
        <w:rPr>
          <w:rFonts w:ascii="Times New Roman" w:hAnsi="Times New Roman" w:cs="Times New Roman"/>
        </w:rPr>
      </w:pPr>
      <w:r>
        <w:rPr>
          <w:rFonts w:ascii="Times New Roman" w:hAnsi="Times New Roman" w:cs="Times New Roman"/>
        </w:rPr>
        <w:t>6.</w:t>
      </w:r>
      <w:r>
        <w:rPr>
          <w:rFonts w:ascii="Times New Roman" w:hAnsi="Times New Roman" w:cs="Times New Roman"/>
        </w:rPr>
        <w:tab/>
        <w:t>CONCLUSION...............................................................................................................</w:t>
      </w:r>
      <w:r w:rsidR="00CD1DD1">
        <w:rPr>
          <w:rFonts w:ascii="Times New Roman" w:hAnsi="Times New Roman" w:cs="Times New Roman"/>
        </w:rPr>
        <w:t>21</w:t>
      </w:r>
    </w:p>
    <w:p w14:paraId="61E9414C" w14:textId="77777777" w:rsidR="0019652F" w:rsidRDefault="0019652F" w:rsidP="0019652F">
      <w:pPr>
        <w:tabs>
          <w:tab w:val="left" w:pos="720"/>
          <w:tab w:val="left" w:pos="1440"/>
          <w:tab w:val="left" w:pos="2160"/>
          <w:tab w:val="right" w:leader="dot" w:pos="9180"/>
        </w:tabs>
        <w:rPr>
          <w:rFonts w:ascii="Times New Roman" w:hAnsi="Times New Roman" w:cs="Times New Roman"/>
        </w:rPr>
      </w:pPr>
    </w:p>
    <w:p w14:paraId="4AA8D676" w14:textId="77777777" w:rsidR="0019652F" w:rsidRDefault="0019652F" w:rsidP="0019652F">
      <w:pPr>
        <w:rPr>
          <w:rFonts w:ascii="Times New Roman" w:hAnsi="Times New Roman" w:cs="Times New Roman"/>
        </w:rPr>
      </w:pPr>
    </w:p>
    <w:p w14:paraId="4A38382B" w14:textId="77777777" w:rsidR="0019652F" w:rsidRDefault="0019652F" w:rsidP="0019652F">
      <w:pPr>
        <w:rPr>
          <w:rFonts w:ascii="Times New Roman" w:hAnsi="Times New Roman" w:cs="Times New Roman"/>
        </w:rPr>
      </w:pPr>
    </w:p>
    <w:p w14:paraId="69CFB883" w14:textId="77777777" w:rsidR="0019652F" w:rsidRDefault="0019652F" w:rsidP="0019652F">
      <w:pPr>
        <w:rPr>
          <w:rFonts w:ascii="Times New Roman" w:hAnsi="Times New Roman" w:cs="Times New Roman"/>
        </w:rPr>
      </w:pPr>
    </w:p>
    <w:p w14:paraId="60E67332" w14:textId="77777777" w:rsidR="0019652F" w:rsidRDefault="0019652F" w:rsidP="0019652F">
      <w:pPr>
        <w:rPr>
          <w:rFonts w:ascii="Times New Roman" w:hAnsi="Times New Roman" w:cs="Times New Roman"/>
        </w:rPr>
      </w:pPr>
    </w:p>
    <w:p w14:paraId="03DE3DCD" w14:textId="77777777" w:rsidR="0019652F" w:rsidRDefault="0019652F" w:rsidP="0019652F">
      <w:pPr>
        <w:rPr>
          <w:rFonts w:ascii="Times New Roman" w:hAnsi="Times New Roman" w:cs="Times New Roman"/>
        </w:rPr>
      </w:pPr>
    </w:p>
    <w:p w14:paraId="7FF5A5E1" w14:textId="77777777" w:rsidR="0019652F" w:rsidRDefault="0019652F" w:rsidP="0019652F">
      <w:pPr>
        <w:rPr>
          <w:rFonts w:ascii="Times New Roman" w:hAnsi="Times New Roman" w:cs="Times New Roman"/>
        </w:rPr>
      </w:pPr>
    </w:p>
    <w:p w14:paraId="0DE9A2BA" w14:textId="77777777" w:rsidR="0019652F" w:rsidRDefault="0019652F" w:rsidP="0019652F">
      <w:pPr>
        <w:rPr>
          <w:rFonts w:ascii="Times New Roman" w:hAnsi="Times New Roman" w:cs="Times New Roman"/>
        </w:rPr>
      </w:pPr>
    </w:p>
    <w:p w14:paraId="571461F5" w14:textId="77777777" w:rsidR="0019652F" w:rsidRDefault="0019652F" w:rsidP="0019652F">
      <w:pPr>
        <w:rPr>
          <w:rFonts w:ascii="Times New Roman" w:hAnsi="Times New Roman" w:cs="Times New Roman"/>
        </w:rPr>
      </w:pPr>
    </w:p>
    <w:p w14:paraId="43FECA2C" w14:textId="77777777" w:rsidR="0019652F" w:rsidRDefault="0019652F" w:rsidP="0019652F">
      <w:pPr>
        <w:rPr>
          <w:rFonts w:ascii="Times New Roman" w:hAnsi="Times New Roman" w:cs="Times New Roman"/>
        </w:rPr>
      </w:pPr>
    </w:p>
    <w:p w14:paraId="209ECF7B" w14:textId="77777777" w:rsidR="0019652F" w:rsidRDefault="0019652F" w:rsidP="0019652F">
      <w:pPr>
        <w:rPr>
          <w:rFonts w:ascii="Times New Roman" w:hAnsi="Times New Roman" w:cs="Times New Roman"/>
        </w:rPr>
      </w:pPr>
    </w:p>
    <w:p w14:paraId="078A5ED4" w14:textId="77777777" w:rsidR="0019652F" w:rsidRDefault="0019652F" w:rsidP="0019652F">
      <w:pPr>
        <w:rPr>
          <w:rFonts w:ascii="Times New Roman" w:hAnsi="Times New Roman" w:cs="Times New Roman"/>
        </w:rPr>
      </w:pPr>
    </w:p>
    <w:p w14:paraId="6264A6E2" w14:textId="77777777" w:rsidR="0019652F" w:rsidRDefault="0019652F" w:rsidP="0019652F">
      <w:pPr>
        <w:rPr>
          <w:rFonts w:ascii="Times New Roman" w:hAnsi="Times New Roman" w:cs="Times New Roman"/>
        </w:rPr>
      </w:pPr>
    </w:p>
    <w:p w14:paraId="4A630AF6" w14:textId="77777777" w:rsidR="0019652F" w:rsidRDefault="0019652F" w:rsidP="0019652F">
      <w:pPr>
        <w:rPr>
          <w:rFonts w:ascii="Times New Roman" w:hAnsi="Times New Roman" w:cs="Times New Roman"/>
        </w:rPr>
      </w:pPr>
    </w:p>
    <w:p w14:paraId="54A8578F" w14:textId="77777777" w:rsidR="0019652F" w:rsidRDefault="0019652F" w:rsidP="0019652F">
      <w:pPr>
        <w:rPr>
          <w:rFonts w:ascii="Times New Roman" w:hAnsi="Times New Roman" w:cs="Times New Roman"/>
        </w:rPr>
      </w:pPr>
    </w:p>
    <w:p w14:paraId="355C9EE5" w14:textId="77777777" w:rsidR="0019652F" w:rsidRPr="0019652F" w:rsidRDefault="0019652F" w:rsidP="0019652F">
      <w:pPr>
        <w:rPr>
          <w:rFonts w:ascii="Times New Roman" w:hAnsi="Times New Roman" w:cs="Times New Roman"/>
          <w:b/>
        </w:rPr>
      </w:pPr>
    </w:p>
    <w:p w14:paraId="249BD24A" w14:textId="77777777" w:rsidR="00920AF3" w:rsidRPr="00323F8A" w:rsidRDefault="00920AF3" w:rsidP="00323F8A">
      <w:pPr>
        <w:rPr>
          <w:rFonts w:ascii="Times New Roman" w:hAnsi="Times New Roman" w:cs="Times New Roman"/>
          <w:b/>
        </w:rPr>
      </w:pPr>
    </w:p>
    <w:p w14:paraId="08DF2F43" w14:textId="77777777" w:rsidR="00920AF3" w:rsidRPr="00F954C7" w:rsidRDefault="00920AF3" w:rsidP="00920AF3">
      <w:pPr>
        <w:pStyle w:val="ListParagraph"/>
        <w:rPr>
          <w:rFonts w:ascii="Times New Roman" w:hAnsi="Times New Roman" w:cs="Times New Roman"/>
          <w:b/>
        </w:rPr>
      </w:pPr>
    </w:p>
    <w:p w14:paraId="7524D0AA" w14:textId="77777777" w:rsidR="00920AF3" w:rsidRDefault="00920AF3" w:rsidP="00920AF3">
      <w:pPr>
        <w:pStyle w:val="ListParagraph"/>
        <w:rPr>
          <w:rFonts w:ascii="Times New Roman" w:hAnsi="Times New Roman" w:cs="Times New Roman"/>
          <w:b/>
        </w:rPr>
      </w:pPr>
    </w:p>
    <w:p w14:paraId="329F3BE4" w14:textId="77777777" w:rsidR="00323F8A" w:rsidRDefault="00323F8A" w:rsidP="00920AF3">
      <w:pPr>
        <w:pStyle w:val="ListParagraph"/>
        <w:rPr>
          <w:rFonts w:ascii="Times New Roman" w:hAnsi="Times New Roman" w:cs="Times New Roman"/>
          <w:b/>
        </w:rPr>
      </w:pPr>
    </w:p>
    <w:p w14:paraId="21C979F7" w14:textId="77777777" w:rsidR="00323F8A" w:rsidRDefault="00323F8A" w:rsidP="00920AF3">
      <w:pPr>
        <w:pStyle w:val="ListParagraph"/>
        <w:rPr>
          <w:rFonts w:ascii="Times New Roman" w:hAnsi="Times New Roman" w:cs="Times New Roman"/>
          <w:b/>
        </w:rPr>
      </w:pPr>
    </w:p>
    <w:p w14:paraId="4958ADEE" w14:textId="77777777" w:rsidR="00323F8A" w:rsidRDefault="00323F8A" w:rsidP="00920AF3">
      <w:pPr>
        <w:pStyle w:val="ListParagraph"/>
        <w:rPr>
          <w:rFonts w:ascii="Times New Roman" w:hAnsi="Times New Roman" w:cs="Times New Roman"/>
          <w:b/>
        </w:rPr>
      </w:pPr>
    </w:p>
    <w:p w14:paraId="6A155BF3" w14:textId="77777777" w:rsidR="00323F8A" w:rsidRDefault="00323F8A" w:rsidP="00920AF3">
      <w:pPr>
        <w:pStyle w:val="ListParagraph"/>
        <w:rPr>
          <w:rFonts w:ascii="Times New Roman" w:hAnsi="Times New Roman" w:cs="Times New Roman"/>
          <w:b/>
        </w:rPr>
      </w:pPr>
    </w:p>
    <w:p w14:paraId="507566F9" w14:textId="77777777" w:rsidR="00323F8A" w:rsidRDefault="00323F8A" w:rsidP="00920AF3">
      <w:pPr>
        <w:pStyle w:val="ListParagraph"/>
        <w:rPr>
          <w:rFonts w:ascii="Times New Roman" w:hAnsi="Times New Roman" w:cs="Times New Roman"/>
          <w:b/>
        </w:rPr>
      </w:pPr>
    </w:p>
    <w:p w14:paraId="42FC354D" w14:textId="77777777" w:rsidR="00323F8A" w:rsidRDefault="00323F8A" w:rsidP="00920AF3">
      <w:pPr>
        <w:pStyle w:val="ListParagraph"/>
        <w:rPr>
          <w:rFonts w:ascii="Times New Roman" w:hAnsi="Times New Roman" w:cs="Times New Roman"/>
          <w:b/>
        </w:rPr>
      </w:pPr>
    </w:p>
    <w:p w14:paraId="60959274" w14:textId="77777777" w:rsidR="00323F8A" w:rsidRDefault="00323F8A" w:rsidP="00920AF3">
      <w:pPr>
        <w:pStyle w:val="ListParagraph"/>
        <w:rPr>
          <w:rFonts w:ascii="Times New Roman" w:hAnsi="Times New Roman" w:cs="Times New Roman"/>
          <w:b/>
        </w:rPr>
      </w:pPr>
    </w:p>
    <w:p w14:paraId="652050EB" w14:textId="77777777" w:rsidR="00323F8A" w:rsidRDefault="00323F8A" w:rsidP="00920AF3">
      <w:pPr>
        <w:pStyle w:val="ListParagraph"/>
        <w:rPr>
          <w:rFonts w:ascii="Times New Roman" w:hAnsi="Times New Roman" w:cs="Times New Roman"/>
          <w:b/>
        </w:rPr>
      </w:pPr>
    </w:p>
    <w:p w14:paraId="23CD2CFA" w14:textId="77777777" w:rsidR="00323F8A" w:rsidRDefault="00323F8A" w:rsidP="00920AF3">
      <w:pPr>
        <w:pStyle w:val="ListParagraph"/>
        <w:rPr>
          <w:rFonts w:ascii="Times New Roman" w:hAnsi="Times New Roman" w:cs="Times New Roman"/>
          <w:b/>
        </w:rPr>
      </w:pPr>
    </w:p>
    <w:p w14:paraId="114331FD" w14:textId="77777777" w:rsidR="00323F8A" w:rsidRDefault="00323F8A" w:rsidP="00920AF3">
      <w:pPr>
        <w:pStyle w:val="ListParagraph"/>
        <w:rPr>
          <w:rFonts w:ascii="Times New Roman" w:hAnsi="Times New Roman" w:cs="Times New Roman"/>
          <w:b/>
        </w:rPr>
      </w:pPr>
    </w:p>
    <w:p w14:paraId="59E16F1B" w14:textId="77777777" w:rsidR="00323F8A" w:rsidRDefault="00323F8A" w:rsidP="00920AF3">
      <w:pPr>
        <w:pStyle w:val="ListParagraph"/>
        <w:rPr>
          <w:rFonts w:ascii="Times New Roman" w:hAnsi="Times New Roman" w:cs="Times New Roman"/>
          <w:b/>
        </w:rPr>
      </w:pPr>
    </w:p>
    <w:p w14:paraId="3870417D" w14:textId="77777777" w:rsidR="00323F8A" w:rsidRDefault="00323F8A" w:rsidP="00920AF3">
      <w:pPr>
        <w:pStyle w:val="ListParagraph"/>
        <w:rPr>
          <w:rFonts w:ascii="Times New Roman" w:hAnsi="Times New Roman" w:cs="Times New Roman"/>
          <w:b/>
        </w:rPr>
      </w:pPr>
    </w:p>
    <w:p w14:paraId="458D3AB7" w14:textId="77777777" w:rsidR="00323F8A" w:rsidRDefault="00323F8A" w:rsidP="00920AF3">
      <w:pPr>
        <w:pStyle w:val="ListParagraph"/>
        <w:rPr>
          <w:rFonts w:ascii="Times New Roman" w:hAnsi="Times New Roman" w:cs="Times New Roman"/>
          <w:b/>
        </w:rPr>
      </w:pPr>
    </w:p>
    <w:p w14:paraId="5612644F" w14:textId="77777777" w:rsidR="00323F8A" w:rsidRDefault="00323F8A" w:rsidP="00920AF3">
      <w:pPr>
        <w:pStyle w:val="ListParagraph"/>
        <w:rPr>
          <w:rFonts w:ascii="Times New Roman" w:hAnsi="Times New Roman" w:cs="Times New Roman"/>
          <w:b/>
        </w:rPr>
      </w:pPr>
    </w:p>
    <w:p w14:paraId="1A9EFEC5" w14:textId="77777777" w:rsidR="00323F8A" w:rsidRPr="00F954C7" w:rsidRDefault="00323F8A" w:rsidP="00920AF3">
      <w:pPr>
        <w:pStyle w:val="ListParagraph"/>
        <w:rPr>
          <w:rFonts w:ascii="Times New Roman" w:hAnsi="Times New Roman" w:cs="Times New Roman"/>
          <w:b/>
        </w:rPr>
      </w:pPr>
    </w:p>
    <w:p w14:paraId="2065F3DC" w14:textId="77777777" w:rsidR="00920AF3" w:rsidRPr="00F954C7" w:rsidRDefault="00920AF3" w:rsidP="00920AF3">
      <w:pPr>
        <w:pStyle w:val="ListParagraph"/>
        <w:rPr>
          <w:rFonts w:ascii="Times New Roman" w:hAnsi="Times New Roman" w:cs="Times New Roman"/>
          <w:b/>
        </w:rPr>
      </w:pPr>
    </w:p>
    <w:p w14:paraId="0248FA32" w14:textId="77777777" w:rsidR="00920AF3" w:rsidRPr="00F954C7" w:rsidRDefault="00920AF3" w:rsidP="00920AF3">
      <w:pPr>
        <w:pStyle w:val="ListParagraph"/>
        <w:rPr>
          <w:rFonts w:ascii="Times New Roman" w:hAnsi="Times New Roman" w:cs="Times New Roman"/>
          <w:b/>
        </w:rPr>
      </w:pPr>
    </w:p>
    <w:p w14:paraId="44B2F747" w14:textId="77777777" w:rsidR="00920AF3" w:rsidRPr="00F954C7" w:rsidRDefault="00920AF3" w:rsidP="00920AF3">
      <w:pPr>
        <w:pStyle w:val="ListParagraph"/>
        <w:rPr>
          <w:rFonts w:ascii="Times New Roman" w:hAnsi="Times New Roman" w:cs="Times New Roman"/>
          <w:b/>
        </w:rPr>
      </w:pPr>
    </w:p>
    <w:p w14:paraId="1BF334A5" w14:textId="77777777" w:rsidR="00920AF3" w:rsidRPr="002F15C0" w:rsidRDefault="00920AF3" w:rsidP="002F15C0">
      <w:pPr>
        <w:rPr>
          <w:rFonts w:ascii="Times New Roman" w:hAnsi="Times New Roman" w:cs="Times New Roman"/>
          <w:b/>
        </w:rPr>
      </w:pPr>
    </w:p>
    <w:p w14:paraId="7626F9CD" w14:textId="3C72D701" w:rsidR="000431B6" w:rsidRPr="00F954C7" w:rsidRDefault="000431B6" w:rsidP="00F933AA">
      <w:pPr>
        <w:pStyle w:val="ListParagraph"/>
        <w:ind w:hanging="720"/>
        <w:jc w:val="center"/>
        <w:rPr>
          <w:rFonts w:ascii="Times New Roman" w:hAnsi="Times New Roman" w:cs="Times New Roman"/>
          <w:b/>
        </w:rPr>
      </w:pPr>
      <w:r w:rsidRPr="00F954C7">
        <w:rPr>
          <w:rFonts w:ascii="Times New Roman" w:hAnsi="Times New Roman" w:cs="Times New Roman"/>
          <w:b/>
        </w:rPr>
        <w:lastRenderedPageBreak/>
        <w:t>TABLE OF AUTHORITIES</w:t>
      </w:r>
    </w:p>
    <w:p w14:paraId="504A2907" w14:textId="77777777" w:rsidR="000431B6" w:rsidRPr="00F954C7" w:rsidRDefault="000431B6" w:rsidP="00F933AA">
      <w:pPr>
        <w:pStyle w:val="ListParagraph"/>
        <w:jc w:val="center"/>
        <w:rPr>
          <w:rFonts w:ascii="Times New Roman" w:hAnsi="Times New Roman" w:cs="Times New Roman"/>
          <w:b/>
        </w:rPr>
      </w:pPr>
    </w:p>
    <w:p w14:paraId="389C9F50" w14:textId="77777777" w:rsidR="00E5402F" w:rsidRPr="00FA3DC1" w:rsidRDefault="00E5402F" w:rsidP="00F933AA">
      <w:pPr>
        <w:tabs>
          <w:tab w:val="left" w:pos="720"/>
          <w:tab w:val="left" w:pos="1440"/>
          <w:tab w:val="left" w:pos="2160"/>
          <w:tab w:val="right" w:leader="dot" w:pos="9180"/>
        </w:tabs>
        <w:jc w:val="center"/>
        <w:rPr>
          <w:rFonts w:ascii="Times New Roman" w:hAnsi="Times New Roman" w:cs="Times New Roman"/>
          <w:i/>
          <w:u w:val="single"/>
        </w:rPr>
      </w:pPr>
      <w:r w:rsidRPr="00FA3DC1">
        <w:rPr>
          <w:rFonts w:ascii="Times New Roman" w:hAnsi="Times New Roman" w:cs="Times New Roman"/>
          <w:i/>
          <w:u w:val="single"/>
        </w:rPr>
        <w:t>Table of Commission Cases</w:t>
      </w:r>
    </w:p>
    <w:p w14:paraId="6B989EEB" w14:textId="77777777" w:rsidR="00E5402F" w:rsidRDefault="00E5402F" w:rsidP="00E5402F">
      <w:pPr>
        <w:tabs>
          <w:tab w:val="left" w:pos="720"/>
          <w:tab w:val="left" w:pos="1440"/>
          <w:tab w:val="left" w:pos="2160"/>
          <w:tab w:val="right" w:leader="dot" w:pos="9180"/>
        </w:tabs>
        <w:rPr>
          <w:rFonts w:ascii="Times New Roman" w:hAnsi="Times New Roman" w:cs="Times New Roman"/>
        </w:rPr>
      </w:pPr>
    </w:p>
    <w:p w14:paraId="24F39B1D" w14:textId="77777777" w:rsidR="00E5402F" w:rsidRDefault="00E5402F" w:rsidP="00E5402F">
      <w:pPr>
        <w:tabs>
          <w:tab w:val="left" w:pos="720"/>
          <w:tab w:val="left" w:pos="1440"/>
          <w:tab w:val="left" w:pos="2160"/>
          <w:tab w:val="right" w:leader="dot" w:pos="9180"/>
        </w:tabs>
        <w:rPr>
          <w:rFonts w:ascii="Times New Roman" w:hAnsi="Times New Roman" w:cs="Times New Roman"/>
        </w:rPr>
      </w:pPr>
    </w:p>
    <w:p w14:paraId="30925B50" w14:textId="77777777" w:rsidR="00E5402F" w:rsidRDefault="00E5402F" w:rsidP="00E5402F">
      <w:pPr>
        <w:tabs>
          <w:tab w:val="left" w:pos="720"/>
          <w:tab w:val="left" w:pos="1440"/>
          <w:tab w:val="left" w:pos="2160"/>
          <w:tab w:val="right" w:leader="dot" w:pos="9180"/>
        </w:tabs>
        <w:rPr>
          <w:rFonts w:ascii="Times New Roman" w:hAnsi="Times New Roman" w:cs="Times New Roman"/>
        </w:rPr>
      </w:pPr>
      <w:r w:rsidRPr="00141E7D">
        <w:rPr>
          <w:rFonts w:ascii="Times New Roman" w:hAnsi="Times New Roman" w:cs="Times New Roman"/>
          <w:i/>
        </w:rPr>
        <w:t>In the Matter of the Washington Utilities and Transportation Commission’s Investigation into Energy Conservation Incentives</w:t>
      </w:r>
      <w:r w:rsidRPr="00141E7D">
        <w:rPr>
          <w:rFonts w:ascii="Times New Roman" w:hAnsi="Times New Roman" w:cs="Times New Roman"/>
        </w:rPr>
        <w:t xml:space="preserve">, </w:t>
      </w:r>
    </w:p>
    <w:p w14:paraId="79C5D33E" w14:textId="77777777" w:rsidR="00E5402F" w:rsidRDefault="00E5402F" w:rsidP="00E540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141E7D">
        <w:rPr>
          <w:rFonts w:ascii="Times New Roman" w:hAnsi="Times New Roman" w:cs="Times New Roman"/>
        </w:rPr>
        <w:t>Docket U-100522, Report an</w:t>
      </w:r>
      <w:r>
        <w:rPr>
          <w:rFonts w:ascii="Times New Roman" w:hAnsi="Times New Roman" w:cs="Times New Roman"/>
        </w:rPr>
        <w:t xml:space="preserve">d Policy Statement </w:t>
      </w:r>
      <w:r w:rsidRPr="00141E7D">
        <w:rPr>
          <w:rFonts w:ascii="Times New Roman" w:hAnsi="Times New Roman" w:cs="Times New Roman"/>
        </w:rPr>
        <w:t xml:space="preserve">(November 4, 2010) </w:t>
      </w:r>
    </w:p>
    <w:p w14:paraId="3545E0CB" w14:textId="060D97AB" w:rsidR="00E5402F" w:rsidRDefault="00E5402F" w:rsidP="00E540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t>(“Decoupling Policy Statement”)</w:t>
      </w:r>
      <w:r>
        <w:rPr>
          <w:rFonts w:ascii="Times New Roman" w:hAnsi="Times New Roman" w:cs="Times New Roman"/>
        </w:rPr>
        <w:tab/>
      </w:r>
      <w:r w:rsidR="00CD1DD1">
        <w:rPr>
          <w:rFonts w:ascii="Times New Roman" w:hAnsi="Times New Roman" w:cs="Times New Roman"/>
        </w:rPr>
        <w:t>16</w:t>
      </w:r>
      <w:r w:rsidR="00B97904">
        <w:rPr>
          <w:rFonts w:ascii="Times New Roman" w:hAnsi="Times New Roman" w:cs="Times New Roman"/>
        </w:rPr>
        <w:t xml:space="preserve">, </w:t>
      </w:r>
      <w:r w:rsidR="00CD1DD1">
        <w:rPr>
          <w:rFonts w:ascii="Times New Roman" w:hAnsi="Times New Roman" w:cs="Times New Roman"/>
        </w:rPr>
        <w:t>17</w:t>
      </w:r>
    </w:p>
    <w:p w14:paraId="1BB172C5" w14:textId="77777777" w:rsidR="00931AD0" w:rsidRDefault="00931AD0" w:rsidP="00E5402F">
      <w:pPr>
        <w:tabs>
          <w:tab w:val="left" w:pos="720"/>
          <w:tab w:val="left" w:pos="1440"/>
          <w:tab w:val="left" w:pos="2160"/>
          <w:tab w:val="right" w:leader="dot" w:pos="9180"/>
        </w:tabs>
        <w:rPr>
          <w:rFonts w:ascii="Times New Roman" w:hAnsi="Times New Roman" w:cs="Times New Roman"/>
        </w:rPr>
      </w:pPr>
    </w:p>
    <w:p w14:paraId="0F5140E4" w14:textId="1F94FC99" w:rsidR="00931AD0" w:rsidRPr="00931AD0" w:rsidRDefault="00931AD0" w:rsidP="00931AD0">
      <w:pPr>
        <w:rPr>
          <w:rFonts w:ascii="Times" w:eastAsia="Times New Roman" w:hAnsi="Times" w:cs="Times New Roman"/>
          <w:sz w:val="20"/>
          <w:szCs w:val="20"/>
        </w:rPr>
      </w:pPr>
      <w:r w:rsidRPr="00931AD0">
        <w:rPr>
          <w:rFonts w:ascii="Times New Roman" w:hAnsi="Times New Roman" w:cs="Times New Roman"/>
          <w:i/>
        </w:rPr>
        <w:t xml:space="preserve">In the Matter of the Washington Utilities and Transportation Commission’s Investigation into </w:t>
      </w:r>
      <w:r w:rsidRPr="00931AD0">
        <w:rPr>
          <w:rFonts w:ascii="Times New Roman" w:eastAsia="Times New Roman" w:hAnsi="Times New Roman" w:cs="Times New Roman"/>
          <w:i/>
          <w:color w:val="333333"/>
        </w:rPr>
        <w:t>the Potential for Distributed Energy in Washington State</w:t>
      </w:r>
      <w:r w:rsidRPr="00141E7D">
        <w:rPr>
          <w:rFonts w:ascii="Times New Roman" w:hAnsi="Times New Roman" w:cs="Times New Roman"/>
        </w:rPr>
        <w:t xml:space="preserve">, </w:t>
      </w:r>
    </w:p>
    <w:p w14:paraId="5617D66E" w14:textId="6C7F9247" w:rsidR="00931AD0" w:rsidRDefault="00931AD0" w:rsidP="00E540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t>Docket UE-110667</w:t>
      </w:r>
      <w:r w:rsidRPr="00141E7D">
        <w:rPr>
          <w:rFonts w:ascii="Times New Roman" w:hAnsi="Times New Roman" w:cs="Times New Roman"/>
        </w:rPr>
        <w:t xml:space="preserve">, </w:t>
      </w:r>
      <w:r>
        <w:rPr>
          <w:rFonts w:ascii="Times New Roman" w:hAnsi="Times New Roman" w:cs="Times New Roman"/>
        </w:rPr>
        <w:t>UTC Report on the Potential</w:t>
      </w:r>
      <w:r w:rsidR="00354BB4">
        <w:rPr>
          <w:rFonts w:ascii="Times New Roman" w:hAnsi="Times New Roman" w:cs="Times New Roman"/>
        </w:rPr>
        <w:t xml:space="preserve"> For</w:t>
      </w:r>
      <w:r>
        <w:rPr>
          <w:rFonts w:ascii="Times New Roman" w:hAnsi="Times New Roman" w:cs="Times New Roman"/>
        </w:rPr>
        <w:t xml:space="preserve"> Cost-Effective Distributed </w:t>
      </w:r>
    </w:p>
    <w:p w14:paraId="17EA22D3" w14:textId="2A041E35" w:rsidR="00931AD0" w:rsidRDefault="00931AD0" w:rsidP="00E540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t xml:space="preserve">Generation in Areas Served by Investor-Owned Utilities in </w:t>
      </w:r>
    </w:p>
    <w:p w14:paraId="018CBD92" w14:textId="18830C89" w:rsidR="00931AD0" w:rsidRPr="00931AD0" w:rsidRDefault="00931AD0" w:rsidP="00E5402F">
      <w:pPr>
        <w:tabs>
          <w:tab w:val="left" w:pos="720"/>
          <w:tab w:val="left" w:pos="1440"/>
          <w:tab w:val="left" w:pos="2160"/>
          <w:tab w:val="right" w:leader="dot" w:pos="9180"/>
        </w:tabs>
        <w:rPr>
          <w:rFonts w:ascii="Times New Roman" w:hAnsi="Times New Roman" w:cs="Times New Roman"/>
        </w:rPr>
      </w:pPr>
      <w:r w:rsidRPr="00931AD0">
        <w:rPr>
          <w:rFonts w:ascii="Times New Roman" w:hAnsi="Times New Roman" w:cs="Times New Roman"/>
        </w:rPr>
        <w:tab/>
        <w:t xml:space="preserve">Washington State (October 7, 2011) </w:t>
      </w:r>
      <w:r w:rsidRPr="00931AD0">
        <w:rPr>
          <w:rFonts w:ascii="Times New Roman" w:hAnsi="Times New Roman" w:cs="Times New Roman"/>
        </w:rPr>
        <w:tab/>
      </w:r>
      <w:r w:rsidR="00CD1DD1">
        <w:rPr>
          <w:rFonts w:ascii="Times New Roman" w:hAnsi="Times New Roman" w:cs="Times New Roman"/>
        </w:rPr>
        <w:t>5</w:t>
      </w:r>
    </w:p>
    <w:p w14:paraId="5F26AEF7" w14:textId="77777777" w:rsidR="00E174C7" w:rsidRDefault="00E174C7" w:rsidP="00E174C7">
      <w:pPr>
        <w:tabs>
          <w:tab w:val="left" w:pos="720"/>
          <w:tab w:val="left" w:pos="1440"/>
          <w:tab w:val="left" w:pos="2160"/>
          <w:tab w:val="right" w:leader="dot" w:pos="9180"/>
        </w:tabs>
        <w:rPr>
          <w:rFonts w:ascii="Times New Roman" w:hAnsi="Times New Roman" w:cs="Times New Roman"/>
          <w:i/>
        </w:rPr>
      </w:pPr>
    </w:p>
    <w:p w14:paraId="4C5AB079" w14:textId="77777777" w:rsidR="00E174C7" w:rsidRDefault="00E174C7" w:rsidP="00E174C7">
      <w:pPr>
        <w:tabs>
          <w:tab w:val="left" w:pos="720"/>
          <w:tab w:val="left" w:pos="1440"/>
          <w:tab w:val="left" w:pos="2160"/>
          <w:tab w:val="right" w:leader="dot" w:pos="9180"/>
        </w:tabs>
        <w:rPr>
          <w:rFonts w:ascii="Times New Roman" w:hAnsi="Times New Roman" w:cs="Times New Roman"/>
        </w:rPr>
      </w:pPr>
      <w:r w:rsidRPr="00462E82">
        <w:rPr>
          <w:rFonts w:ascii="Times New Roman" w:hAnsi="Times New Roman" w:cs="Times New Roman"/>
          <w:i/>
        </w:rPr>
        <w:t>WUTC v. Avista Corporation</w:t>
      </w:r>
      <w:r w:rsidRPr="00462E82">
        <w:rPr>
          <w:rFonts w:ascii="Times New Roman" w:hAnsi="Times New Roman" w:cs="Times New Roman"/>
        </w:rPr>
        <w:t xml:space="preserve">, </w:t>
      </w:r>
    </w:p>
    <w:p w14:paraId="4E30E86C" w14:textId="77777777" w:rsidR="00E174C7" w:rsidRDefault="00E174C7" w:rsidP="00E174C7">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462E82">
        <w:rPr>
          <w:rFonts w:ascii="Times New Roman" w:hAnsi="Times New Roman" w:cs="Times New Roman"/>
        </w:rPr>
        <w:t xml:space="preserve">Dockets UE-090134, UG-090135 and UG-060518, </w:t>
      </w:r>
    </w:p>
    <w:p w14:paraId="4551689A" w14:textId="59884817" w:rsidR="00E174C7" w:rsidRDefault="00E174C7" w:rsidP="00E174C7">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t>Initial Filing Tariff Pages (January 23</w:t>
      </w:r>
      <w:r w:rsidRPr="00462E82">
        <w:rPr>
          <w:rFonts w:ascii="Times New Roman" w:hAnsi="Times New Roman" w:cs="Times New Roman"/>
        </w:rPr>
        <w:t>, 2009)</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11</w:t>
      </w:r>
    </w:p>
    <w:p w14:paraId="54CD9B8B" w14:textId="77777777" w:rsidR="00E5402F" w:rsidRDefault="00E5402F" w:rsidP="00E5402F">
      <w:pPr>
        <w:tabs>
          <w:tab w:val="left" w:pos="720"/>
          <w:tab w:val="left" w:pos="1440"/>
          <w:tab w:val="left" w:pos="2160"/>
          <w:tab w:val="right" w:leader="dot" w:pos="9180"/>
        </w:tabs>
        <w:rPr>
          <w:rFonts w:ascii="Times New Roman" w:hAnsi="Times New Roman" w:cs="Times New Roman"/>
        </w:rPr>
      </w:pPr>
    </w:p>
    <w:p w14:paraId="69DA11A4" w14:textId="77777777" w:rsidR="00E5402F" w:rsidRDefault="00E5402F" w:rsidP="00E5402F">
      <w:pPr>
        <w:tabs>
          <w:tab w:val="left" w:pos="720"/>
          <w:tab w:val="left" w:pos="1440"/>
          <w:tab w:val="left" w:pos="2160"/>
          <w:tab w:val="right" w:leader="dot" w:pos="9180"/>
        </w:tabs>
        <w:rPr>
          <w:rFonts w:ascii="Times New Roman" w:hAnsi="Times New Roman" w:cs="Times New Roman"/>
        </w:rPr>
      </w:pPr>
      <w:r w:rsidRPr="00462E82">
        <w:rPr>
          <w:rFonts w:ascii="Times New Roman" w:hAnsi="Times New Roman" w:cs="Times New Roman"/>
          <w:i/>
        </w:rPr>
        <w:t>WUTC v. Avista Corporation</w:t>
      </w:r>
      <w:r w:rsidRPr="00462E82">
        <w:rPr>
          <w:rFonts w:ascii="Times New Roman" w:hAnsi="Times New Roman" w:cs="Times New Roman"/>
        </w:rPr>
        <w:t xml:space="preserve">, </w:t>
      </w:r>
    </w:p>
    <w:p w14:paraId="6DE3B085" w14:textId="77777777" w:rsidR="00E5402F" w:rsidRDefault="00E5402F" w:rsidP="00E540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462E82">
        <w:rPr>
          <w:rFonts w:ascii="Times New Roman" w:hAnsi="Times New Roman" w:cs="Times New Roman"/>
        </w:rPr>
        <w:t xml:space="preserve">Dockets UE-090134, UG-090135 and UG-060518, </w:t>
      </w:r>
    </w:p>
    <w:p w14:paraId="0682CFB6" w14:textId="7D56697D" w:rsidR="00E5402F" w:rsidRDefault="00E5402F" w:rsidP="00E540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462E82">
        <w:rPr>
          <w:rFonts w:ascii="Times New Roman" w:hAnsi="Times New Roman" w:cs="Times New Roman"/>
        </w:rPr>
        <w:t>Order 10 (December 22, 2009)</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11</w:t>
      </w:r>
    </w:p>
    <w:p w14:paraId="4F973121" w14:textId="77777777" w:rsidR="00E174C7" w:rsidRDefault="00E174C7" w:rsidP="00E5402F">
      <w:pPr>
        <w:tabs>
          <w:tab w:val="left" w:pos="720"/>
          <w:tab w:val="left" w:pos="1440"/>
          <w:tab w:val="left" w:pos="2160"/>
          <w:tab w:val="right" w:leader="dot" w:pos="9180"/>
        </w:tabs>
        <w:rPr>
          <w:rFonts w:ascii="Times New Roman" w:hAnsi="Times New Roman" w:cs="Times New Roman"/>
        </w:rPr>
      </w:pPr>
    </w:p>
    <w:p w14:paraId="109C0378" w14:textId="77777777" w:rsidR="00E174C7" w:rsidRDefault="00E174C7" w:rsidP="00E174C7">
      <w:pPr>
        <w:tabs>
          <w:tab w:val="left" w:pos="720"/>
          <w:tab w:val="left" w:pos="1440"/>
          <w:tab w:val="left" w:pos="2160"/>
          <w:tab w:val="right" w:leader="dot" w:pos="9180"/>
        </w:tabs>
        <w:rPr>
          <w:rFonts w:ascii="Times New Roman" w:hAnsi="Times New Roman" w:cs="Times New Roman"/>
        </w:rPr>
      </w:pPr>
      <w:r w:rsidRPr="00462E82">
        <w:rPr>
          <w:rFonts w:ascii="Times New Roman" w:hAnsi="Times New Roman" w:cs="Times New Roman"/>
          <w:i/>
        </w:rPr>
        <w:t>WUTC v. Avista Corporation</w:t>
      </w:r>
      <w:r w:rsidRPr="00462E82">
        <w:rPr>
          <w:rFonts w:ascii="Times New Roman" w:hAnsi="Times New Roman" w:cs="Times New Roman"/>
        </w:rPr>
        <w:t xml:space="preserve">, </w:t>
      </w:r>
    </w:p>
    <w:p w14:paraId="78437973" w14:textId="0945AABC" w:rsidR="00E174C7" w:rsidRDefault="00E174C7" w:rsidP="00E174C7">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462E82">
        <w:rPr>
          <w:rFonts w:ascii="Times New Roman" w:hAnsi="Times New Roman" w:cs="Times New Roman"/>
        </w:rPr>
        <w:t>Dockets U</w:t>
      </w:r>
      <w:r w:rsidR="00CD1DD1">
        <w:rPr>
          <w:rFonts w:ascii="Times New Roman" w:hAnsi="Times New Roman" w:cs="Times New Roman"/>
        </w:rPr>
        <w:t>G</w:t>
      </w:r>
      <w:r w:rsidRPr="00462E82">
        <w:rPr>
          <w:rFonts w:ascii="Times New Roman" w:hAnsi="Times New Roman" w:cs="Times New Roman"/>
        </w:rPr>
        <w:t>-</w:t>
      </w:r>
      <w:r>
        <w:rPr>
          <w:rFonts w:ascii="Times New Roman" w:hAnsi="Times New Roman" w:cs="Times New Roman"/>
        </w:rPr>
        <w:t>100468</w:t>
      </w:r>
      <w:r w:rsidRPr="00462E82">
        <w:rPr>
          <w:rFonts w:ascii="Times New Roman" w:hAnsi="Times New Roman" w:cs="Times New Roman"/>
        </w:rPr>
        <w:t xml:space="preserve">, Order </w:t>
      </w:r>
      <w:r>
        <w:rPr>
          <w:rFonts w:ascii="Times New Roman" w:hAnsi="Times New Roman" w:cs="Times New Roman"/>
        </w:rPr>
        <w:t>7</w:t>
      </w:r>
      <w:r w:rsidRPr="00462E82">
        <w:rPr>
          <w:rFonts w:ascii="Times New Roman" w:hAnsi="Times New Roman" w:cs="Times New Roman"/>
        </w:rPr>
        <w:t xml:space="preserve"> (</w:t>
      </w:r>
      <w:r>
        <w:rPr>
          <w:rFonts w:ascii="Times New Roman" w:hAnsi="Times New Roman" w:cs="Times New Roman"/>
        </w:rPr>
        <w:t>November 19, 2010)</w:t>
      </w:r>
      <w:r>
        <w:rPr>
          <w:rFonts w:ascii="Times New Roman" w:hAnsi="Times New Roman" w:cs="Times New Roman"/>
        </w:rPr>
        <w:tab/>
      </w:r>
      <w:r w:rsidR="00CD1DD1">
        <w:rPr>
          <w:rFonts w:ascii="Times New Roman" w:hAnsi="Times New Roman" w:cs="Times New Roman"/>
        </w:rPr>
        <w:t>11</w:t>
      </w:r>
    </w:p>
    <w:p w14:paraId="2ABD596A" w14:textId="77777777" w:rsidR="00E174C7" w:rsidRDefault="00E174C7" w:rsidP="00E174C7">
      <w:pPr>
        <w:tabs>
          <w:tab w:val="left" w:pos="720"/>
          <w:tab w:val="left" w:pos="1440"/>
          <w:tab w:val="left" w:pos="2160"/>
          <w:tab w:val="right" w:leader="dot" w:pos="9180"/>
        </w:tabs>
        <w:rPr>
          <w:rFonts w:ascii="Times New Roman" w:hAnsi="Times New Roman" w:cs="Times New Roman"/>
        </w:rPr>
      </w:pPr>
    </w:p>
    <w:p w14:paraId="756B5C30" w14:textId="77777777" w:rsidR="00E174C7" w:rsidRDefault="00E174C7" w:rsidP="00E174C7">
      <w:pPr>
        <w:tabs>
          <w:tab w:val="left" w:pos="720"/>
          <w:tab w:val="left" w:pos="1440"/>
          <w:tab w:val="left" w:pos="2160"/>
          <w:tab w:val="right" w:leader="dot" w:pos="9180"/>
        </w:tabs>
        <w:rPr>
          <w:rFonts w:ascii="Times New Roman" w:hAnsi="Times New Roman" w:cs="Times New Roman"/>
        </w:rPr>
      </w:pPr>
      <w:r w:rsidRPr="00462E82">
        <w:rPr>
          <w:rFonts w:ascii="Times New Roman" w:hAnsi="Times New Roman" w:cs="Times New Roman"/>
          <w:i/>
        </w:rPr>
        <w:t>WUTC v. Avista Corporation</w:t>
      </w:r>
      <w:r w:rsidRPr="00462E82">
        <w:rPr>
          <w:rFonts w:ascii="Times New Roman" w:hAnsi="Times New Roman" w:cs="Times New Roman"/>
        </w:rPr>
        <w:t xml:space="preserve">, </w:t>
      </w:r>
    </w:p>
    <w:p w14:paraId="3D1BFAA5" w14:textId="4E707192" w:rsidR="00E174C7" w:rsidRDefault="006557DB" w:rsidP="00E174C7">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t>Docket UE-110876</w:t>
      </w:r>
      <w:r w:rsidR="00E174C7">
        <w:rPr>
          <w:rFonts w:ascii="Times New Roman" w:hAnsi="Times New Roman" w:cs="Times New Roman"/>
        </w:rPr>
        <w:t>, Initial Filing Tariff Pages</w:t>
      </w:r>
      <w:r w:rsidR="00E174C7" w:rsidRPr="00462E82">
        <w:rPr>
          <w:rFonts w:ascii="Times New Roman" w:hAnsi="Times New Roman" w:cs="Times New Roman"/>
        </w:rPr>
        <w:t xml:space="preserve"> (</w:t>
      </w:r>
      <w:r w:rsidR="00E174C7">
        <w:rPr>
          <w:rFonts w:ascii="Times New Roman" w:hAnsi="Times New Roman" w:cs="Times New Roman"/>
        </w:rPr>
        <w:t>May 16, 2011</w:t>
      </w:r>
      <w:r w:rsidR="00E174C7" w:rsidRPr="00462E82">
        <w:rPr>
          <w:rFonts w:ascii="Times New Roman" w:hAnsi="Times New Roman" w:cs="Times New Roman"/>
        </w:rPr>
        <w:t>)</w:t>
      </w:r>
      <w:r w:rsidR="00E174C7">
        <w:rPr>
          <w:rFonts w:ascii="Times New Roman" w:hAnsi="Times New Roman" w:cs="Times New Roman"/>
        </w:rPr>
        <w:t xml:space="preserve"> </w:t>
      </w:r>
      <w:r w:rsidR="00E174C7">
        <w:rPr>
          <w:rFonts w:ascii="Times New Roman" w:hAnsi="Times New Roman" w:cs="Times New Roman"/>
        </w:rPr>
        <w:tab/>
      </w:r>
      <w:r w:rsidR="00CD1DD1">
        <w:rPr>
          <w:rFonts w:ascii="Times New Roman" w:hAnsi="Times New Roman" w:cs="Times New Roman"/>
        </w:rPr>
        <w:t>11</w:t>
      </w:r>
    </w:p>
    <w:p w14:paraId="5DBEFAF6" w14:textId="77777777" w:rsidR="00E174C7" w:rsidRDefault="00E174C7" w:rsidP="00E174C7">
      <w:pPr>
        <w:tabs>
          <w:tab w:val="left" w:pos="720"/>
          <w:tab w:val="left" w:pos="1440"/>
          <w:tab w:val="left" w:pos="2160"/>
          <w:tab w:val="right" w:leader="dot" w:pos="9180"/>
        </w:tabs>
        <w:rPr>
          <w:rFonts w:ascii="Times New Roman" w:hAnsi="Times New Roman" w:cs="Times New Roman"/>
          <w:i/>
        </w:rPr>
      </w:pPr>
    </w:p>
    <w:p w14:paraId="6D43969C" w14:textId="77777777" w:rsidR="00E174C7" w:rsidRDefault="00E174C7" w:rsidP="00E174C7">
      <w:pPr>
        <w:tabs>
          <w:tab w:val="left" w:pos="720"/>
          <w:tab w:val="left" w:pos="1440"/>
          <w:tab w:val="left" w:pos="2160"/>
          <w:tab w:val="right" w:leader="dot" w:pos="9180"/>
        </w:tabs>
        <w:rPr>
          <w:rFonts w:ascii="Times New Roman" w:hAnsi="Times New Roman" w:cs="Times New Roman"/>
        </w:rPr>
      </w:pPr>
      <w:r w:rsidRPr="00462E82">
        <w:rPr>
          <w:rFonts w:ascii="Times New Roman" w:hAnsi="Times New Roman" w:cs="Times New Roman"/>
          <w:i/>
        </w:rPr>
        <w:t>WUTC v. Avista Corporation</w:t>
      </w:r>
      <w:r w:rsidRPr="00462E82">
        <w:rPr>
          <w:rFonts w:ascii="Times New Roman" w:hAnsi="Times New Roman" w:cs="Times New Roman"/>
        </w:rPr>
        <w:t xml:space="preserve">, </w:t>
      </w:r>
    </w:p>
    <w:p w14:paraId="0469E35A" w14:textId="071254EE" w:rsidR="00E174C7" w:rsidRDefault="00E174C7" w:rsidP="00E174C7">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462E82">
        <w:rPr>
          <w:rFonts w:ascii="Times New Roman" w:hAnsi="Times New Roman" w:cs="Times New Roman"/>
        </w:rPr>
        <w:t xml:space="preserve">Dockets </w:t>
      </w:r>
      <w:r w:rsidR="006557DB">
        <w:rPr>
          <w:rFonts w:ascii="Times New Roman" w:hAnsi="Times New Roman" w:cs="Times New Roman"/>
        </w:rPr>
        <w:t>UE-110876</w:t>
      </w:r>
      <w:r>
        <w:rPr>
          <w:rFonts w:ascii="Times New Roman" w:hAnsi="Times New Roman" w:cs="Times New Roman"/>
        </w:rPr>
        <w:t xml:space="preserve"> </w:t>
      </w:r>
      <w:r w:rsidRPr="00462E82">
        <w:rPr>
          <w:rFonts w:ascii="Times New Roman" w:hAnsi="Times New Roman" w:cs="Times New Roman"/>
        </w:rPr>
        <w:t xml:space="preserve">and </w:t>
      </w:r>
      <w:r>
        <w:rPr>
          <w:rFonts w:ascii="Times New Roman" w:hAnsi="Times New Roman" w:cs="Times New Roman"/>
        </w:rPr>
        <w:t>UE-120436,</w:t>
      </w:r>
      <w:r w:rsidRPr="00462E82">
        <w:rPr>
          <w:rFonts w:ascii="Times New Roman" w:hAnsi="Times New Roman" w:cs="Times New Roman"/>
        </w:rPr>
        <w:t xml:space="preserve"> Order </w:t>
      </w:r>
      <w:r>
        <w:rPr>
          <w:rFonts w:ascii="Times New Roman" w:hAnsi="Times New Roman" w:cs="Times New Roman"/>
        </w:rPr>
        <w:t>9</w:t>
      </w:r>
      <w:r w:rsidRPr="00462E82">
        <w:rPr>
          <w:rFonts w:ascii="Times New Roman" w:hAnsi="Times New Roman" w:cs="Times New Roman"/>
        </w:rPr>
        <w:t xml:space="preserve"> (December </w:t>
      </w:r>
      <w:r>
        <w:rPr>
          <w:rFonts w:ascii="Times New Roman" w:hAnsi="Times New Roman" w:cs="Times New Roman"/>
        </w:rPr>
        <w:t>26</w:t>
      </w:r>
      <w:r w:rsidRPr="00462E82">
        <w:rPr>
          <w:rFonts w:ascii="Times New Roman" w:hAnsi="Times New Roman" w:cs="Times New Roman"/>
        </w:rPr>
        <w:t xml:space="preserve">, </w:t>
      </w:r>
      <w:r>
        <w:rPr>
          <w:rFonts w:ascii="Times New Roman" w:hAnsi="Times New Roman" w:cs="Times New Roman"/>
        </w:rPr>
        <w:t>2012</w:t>
      </w:r>
      <w:r w:rsidRPr="00462E8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11</w:t>
      </w:r>
    </w:p>
    <w:p w14:paraId="5640D79A" w14:textId="77777777" w:rsidR="00E174C7" w:rsidRDefault="00E174C7" w:rsidP="00E5402F">
      <w:pPr>
        <w:tabs>
          <w:tab w:val="left" w:pos="720"/>
          <w:tab w:val="left" w:pos="1440"/>
          <w:tab w:val="left" w:pos="2160"/>
          <w:tab w:val="right" w:leader="dot" w:pos="9180"/>
        </w:tabs>
        <w:rPr>
          <w:rFonts w:ascii="Times New Roman" w:hAnsi="Times New Roman" w:cs="Times New Roman"/>
        </w:rPr>
      </w:pPr>
    </w:p>
    <w:p w14:paraId="47936B8E" w14:textId="77777777" w:rsidR="00E04723" w:rsidRDefault="00E04723" w:rsidP="00E04723">
      <w:pPr>
        <w:keepNext/>
        <w:tabs>
          <w:tab w:val="left" w:pos="720"/>
          <w:tab w:val="left" w:pos="1440"/>
          <w:tab w:val="left" w:pos="2160"/>
          <w:tab w:val="right" w:leader="dot" w:pos="9180"/>
        </w:tabs>
        <w:rPr>
          <w:rFonts w:ascii="Times New Roman" w:hAnsi="Times New Roman" w:cs="Times New Roman"/>
        </w:rPr>
      </w:pPr>
      <w:r w:rsidRPr="00706261">
        <w:rPr>
          <w:rFonts w:ascii="Times New Roman" w:hAnsi="Times New Roman" w:cs="Times New Roman"/>
          <w:i/>
        </w:rPr>
        <w:t>WUTC v. PacifiCorp d/b/a Pacific Power &amp; Light</w:t>
      </w:r>
      <w:r>
        <w:rPr>
          <w:rFonts w:ascii="Times New Roman" w:hAnsi="Times New Roman" w:cs="Times New Roman"/>
          <w:i/>
        </w:rPr>
        <w:t xml:space="preserve"> Co.</w:t>
      </w:r>
      <w:r w:rsidRPr="00706261">
        <w:rPr>
          <w:rFonts w:ascii="Times New Roman" w:hAnsi="Times New Roman" w:cs="Times New Roman"/>
        </w:rPr>
        <w:t xml:space="preserve">, </w:t>
      </w:r>
    </w:p>
    <w:p w14:paraId="7D9205AB" w14:textId="6D5FAA2E" w:rsidR="00E04723" w:rsidRDefault="00E04723" w:rsidP="00E04723">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706261">
        <w:rPr>
          <w:rFonts w:ascii="Times New Roman" w:hAnsi="Times New Roman" w:cs="Times New Roman"/>
        </w:rPr>
        <w:t>Docket UE-</w:t>
      </w:r>
      <w:r>
        <w:rPr>
          <w:rFonts w:ascii="Times New Roman" w:hAnsi="Times New Roman" w:cs="Times New Roman"/>
        </w:rPr>
        <w:t>080220</w:t>
      </w:r>
      <w:r w:rsidRPr="00706261">
        <w:rPr>
          <w:rFonts w:ascii="Times New Roman" w:hAnsi="Times New Roman" w:cs="Times New Roman"/>
        </w:rPr>
        <w:t xml:space="preserve">, Order </w:t>
      </w:r>
      <w:r>
        <w:rPr>
          <w:rFonts w:ascii="Times New Roman" w:hAnsi="Times New Roman" w:cs="Times New Roman"/>
        </w:rPr>
        <w:t>5</w:t>
      </w:r>
      <w:r w:rsidRPr="00706261">
        <w:rPr>
          <w:rFonts w:ascii="Times New Roman" w:hAnsi="Times New Roman" w:cs="Times New Roman"/>
        </w:rPr>
        <w:t xml:space="preserve"> (</w:t>
      </w:r>
      <w:r>
        <w:rPr>
          <w:rFonts w:ascii="Times New Roman" w:hAnsi="Times New Roman" w:cs="Times New Roman"/>
        </w:rPr>
        <w:t>October 8, 2008</w:t>
      </w:r>
      <w:r w:rsidRPr="0070626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11</w:t>
      </w:r>
    </w:p>
    <w:p w14:paraId="773258A6" w14:textId="77777777" w:rsidR="00E04723" w:rsidRDefault="00E04723" w:rsidP="00E04723">
      <w:pPr>
        <w:keepNext/>
        <w:tabs>
          <w:tab w:val="left" w:pos="720"/>
          <w:tab w:val="left" w:pos="1440"/>
          <w:tab w:val="left" w:pos="2160"/>
          <w:tab w:val="right" w:leader="dot" w:pos="9180"/>
        </w:tabs>
        <w:rPr>
          <w:rFonts w:ascii="Times New Roman" w:hAnsi="Times New Roman" w:cs="Times New Roman"/>
          <w:i/>
        </w:rPr>
      </w:pPr>
    </w:p>
    <w:p w14:paraId="69916D71" w14:textId="77777777" w:rsidR="00E04723" w:rsidRDefault="00E04723" w:rsidP="00E04723">
      <w:pPr>
        <w:keepNext/>
        <w:tabs>
          <w:tab w:val="left" w:pos="720"/>
          <w:tab w:val="left" w:pos="1440"/>
          <w:tab w:val="left" w:pos="2160"/>
          <w:tab w:val="right" w:leader="dot" w:pos="9180"/>
        </w:tabs>
        <w:rPr>
          <w:rFonts w:ascii="Times New Roman" w:hAnsi="Times New Roman" w:cs="Times New Roman"/>
        </w:rPr>
      </w:pPr>
      <w:r w:rsidRPr="00706261">
        <w:rPr>
          <w:rFonts w:ascii="Times New Roman" w:hAnsi="Times New Roman" w:cs="Times New Roman"/>
          <w:i/>
        </w:rPr>
        <w:t>WUTC v. PacifiCorp d/b/a Pacific Power &amp; Light</w:t>
      </w:r>
      <w:r>
        <w:rPr>
          <w:rFonts w:ascii="Times New Roman" w:hAnsi="Times New Roman" w:cs="Times New Roman"/>
          <w:i/>
        </w:rPr>
        <w:t xml:space="preserve"> Co.</w:t>
      </w:r>
      <w:r w:rsidRPr="00706261">
        <w:rPr>
          <w:rFonts w:ascii="Times New Roman" w:hAnsi="Times New Roman" w:cs="Times New Roman"/>
        </w:rPr>
        <w:t xml:space="preserve">, </w:t>
      </w:r>
    </w:p>
    <w:p w14:paraId="0B2074ED" w14:textId="3BE030C1" w:rsidR="00E04723" w:rsidRDefault="00E04723" w:rsidP="00E04723">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706261">
        <w:rPr>
          <w:rFonts w:ascii="Times New Roman" w:hAnsi="Times New Roman" w:cs="Times New Roman"/>
        </w:rPr>
        <w:t>Docket UE-</w:t>
      </w:r>
      <w:r>
        <w:rPr>
          <w:rFonts w:ascii="Times New Roman" w:hAnsi="Times New Roman" w:cs="Times New Roman"/>
        </w:rPr>
        <w:t xml:space="preserve">090205, Initial Filing Tariff Pages (February 9, 2009) </w:t>
      </w:r>
      <w:r>
        <w:rPr>
          <w:rFonts w:ascii="Times New Roman" w:hAnsi="Times New Roman" w:cs="Times New Roman"/>
        </w:rPr>
        <w:tab/>
      </w:r>
      <w:r w:rsidR="00CD1DD1">
        <w:rPr>
          <w:rFonts w:ascii="Times New Roman" w:hAnsi="Times New Roman" w:cs="Times New Roman"/>
        </w:rPr>
        <w:t>11</w:t>
      </w:r>
    </w:p>
    <w:p w14:paraId="65F05E37" w14:textId="77777777" w:rsidR="00E04723" w:rsidRDefault="00E04723" w:rsidP="00E04723">
      <w:pPr>
        <w:tabs>
          <w:tab w:val="left" w:pos="720"/>
          <w:tab w:val="left" w:pos="1440"/>
          <w:tab w:val="left" w:pos="2160"/>
          <w:tab w:val="right" w:leader="dot" w:pos="9180"/>
        </w:tabs>
        <w:rPr>
          <w:rFonts w:ascii="Times New Roman" w:hAnsi="Times New Roman" w:cs="Times New Roman"/>
        </w:rPr>
      </w:pPr>
    </w:p>
    <w:p w14:paraId="515B4FCD" w14:textId="77777777" w:rsidR="00E04723" w:rsidRDefault="00E04723" w:rsidP="00E04723">
      <w:pPr>
        <w:keepNext/>
        <w:tabs>
          <w:tab w:val="left" w:pos="720"/>
          <w:tab w:val="left" w:pos="1440"/>
          <w:tab w:val="left" w:pos="2160"/>
          <w:tab w:val="right" w:leader="dot" w:pos="9180"/>
        </w:tabs>
        <w:rPr>
          <w:rFonts w:ascii="Times New Roman" w:hAnsi="Times New Roman" w:cs="Times New Roman"/>
        </w:rPr>
      </w:pPr>
      <w:r w:rsidRPr="00706261">
        <w:rPr>
          <w:rFonts w:ascii="Times New Roman" w:hAnsi="Times New Roman" w:cs="Times New Roman"/>
          <w:i/>
        </w:rPr>
        <w:t>WUTC v. PacifiCorp d/b/a Pacific Power &amp; Light</w:t>
      </w:r>
      <w:r>
        <w:rPr>
          <w:rFonts w:ascii="Times New Roman" w:hAnsi="Times New Roman" w:cs="Times New Roman"/>
          <w:i/>
        </w:rPr>
        <w:t xml:space="preserve"> Co.</w:t>
      </w:r>
      <w:r w:rsidRPr="00706261">
        <w:rPr>
          <w:rFonts w:ascii="Times New Roman" w:hAnsi="Times New Roman" w:cs="Times New Roman"/>
        </w:rPr>
        <w:t xml:space="preserve">, </w:t>
      </w:r>
    </w:p>
    <w:p w14:paraId="371153EC" w14:textId="040BB811" w:rsidR="00E04723" w:rsidRDefault="00E04723" w:rsidP="00E04723">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706261">
        <w:rPr>
          <w:rFonts w:ascii="Times New Roman" w:hAnsi="Times New Roman" w:cs="Times New Roman"/>
        </w:rPr>
        <w:t>Docket UE-</w:t>
      </w:r>
      <w:r>
        <w:rPr>
          <w:rFonts w:ascii="Times New Roman" w:hAnsi="Times New Roman" w:cs="Times New Roman"/>
        </w:rPr>
        <w:t>090205</w:t>
      </w:r>
      <w:r w:rsidRPr="00706261">
        <w:rPr>
          <w:rFonts w:ascii="Times New Roman" w:hAnsi="Times New Roman" w:cs="Times New Roman"/>
        </w:rPr>
        <w:t xml:space="preserve">, Order </w:t>
      </w:r>
      <w:r>
        <w:rPr>
          <w:rFonts w:ascii="Times New Roman" w:hAnsi="Times New Roman" w:cs="Times New Roman"/>
        </w:rPr>
        <w:t>9</w:t>
      </w:r>
      <w:r w:rsidRPr="00706261">
        <w:rPr>
          <w:rFonts w:ascii="Times New Roman" w:hAnsi="Times New Roman" w:cs="Times New Roman"/>
        </w:rPr>
        <w:t xml:space="preserve"> (</w:t>
      </w:r>
      <w:r>
        <w:rPr>
          <w:rFonts w:ascii="Times New Roman" w:hAnsi="Times New Roman" w:cs="Times New Roman"/>
        </w:rPr>
        <w:t>December 16, 2009</w:t>
      </w:r>
      <w:r w:rsidRPr="0070626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11</w:t>
      </w:r>
    </w:p>
    <w:p w14:paraId="45BEE63C" w14:textId="77777777" w:rsidR="00E04723" w:rsidRDefault="00E04723" w:rsidP="00E5402F">
      <w:pPr>
        <w:keepNext/>
        <w:tabs>
          <w:tab w:val="left" w:pos="720"/>
          <w:tab w:val="left" w:pos="1440"/>
          <w:tab w:val="left" w:pos="2160"/>
          <w:tab w:val="right" w:leader="dot" w:pos="9180"/>
        </w:tabs>
        <w:rPr>
          <w:rFonts w:ascii="Times New Roman" w:hAnsi="Times New Roman" w:cs="Times New Roman"/>
          <w:i/>
        </w:rPr>
      </w:pPr>
    </w:p>
    <w:p w14:paraId="2DA551A1" w14:textId="77777777" w:rsidR="00E5402F" w:rsidRDefault="00E5402F" w:rsidP="00E5402F">
      <w:pPr>
        <w:keepNext/>
        <w:tabs>
          <w:tab w:val="left" w:pos="720"/>
          <w:tab w:val="left" w:pos="1440"/>
          <w:tab w:val="left" w:pos="2160"/>
          <w:tab w:val="right" w:leader="dot" w:pos="9180"/>
        </w:tabs>
        <w:rPr>
          <w:rFonts w:ascii="Times New Roman" w:hAnsi="Times New Roman" w:cs="Times New Roman"/>
        </w:rPr>
      </w:pPr>
      <w:r w:rsidRPr="00706261">
        <w:rPr>
          <w:rFonts w:ascii="Times New Roman" w:hAnsi="Times New Roman" w:cs="Times New Roman"/>
          <w:i/>
        </w:rPr>
        <w:t>WUTC v. PacifiCorp d/b/a Pacific Power &amp; Light</w:t>
      </w:r>
      <w:r>
        <w:rPr>
          <w:rFonts w:ascii="Times New Roman" w:hAnsi="Times New Roman" w:cs="Times New Roman"/>
          <w:i/>
        </w:rPr>
        <w:t xml:space="preserve"> Co.</w:t>
      </w:r>
      <w:r w:rsidRPr="00706261">
        <w:rPr>
          <w:rFonts w:ascii="Times New Roman" w:hAnsi="Times New Roman" w:cs="Times New Roman"/>
        </w:rPr>
        <w:t xml:space="preserve">, </w:t>
      </w:r>
    </w:p>
    <w:p w14:paraId="3A396468" w14:textId="3AE4D4C2" w:rsidR="00E5402F" w:rsidRDefault="00E5402F" w:rsidP="00E540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706261">
        <w:rPr>
          <w:rFonts w:ascii="Times New Roman" w:hAnsi="Times New Roman" w:cs="Times New Roman"/>
        </w:rPr>
        <w:t>Docket UE-100749, Order 6 (March 25, 2011)</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10</w:t>
      </w:r>
      <w:r w:rsidR="00B97904">
        <w:rPr>
          <w:rFonts w:ascii="Times New Roman" w:hAnsi="Times New Roman" w:cs="Times New Roman"/>
        </w:rPr>
        <w:t xml:space="preserve">, </w:t>
      </w:r>
      <w:r w:rsidR="00CD1DD1">
        <w:rPr>
          <w:rFonts w:ascii="Times New Roman" w:hAnsi="Times New Roman" w:cs="Times New Roman"/>
        </w:rPr>
        <w:t>11</w:t>
      </w:r>
    </w:p>
    <w:p w14:paraId="2418C97B" w14:textId="77777777" w:rsidR="00B97904" w:rsidRDefault="00B97904" w:rsidP="00E5402F">
      <w:pPr>
        <w:tabs>
          <w:tab w:val="left" w:pos="720"/>
          <w:tab w:val="left" w:pos="1440"/>
          <w:tab w:val="left" w:pos="2160"/>
          <w:tab w:val="right" w:leader="dot" w:pos="9180"/>
        </w:tabs>
        <w:rPr>
          <w:rFonts w:ascii="Times New Roman" w:hAnsi="Times New Roman" w:cs="Times New Roman"/>
        </w:rPr>
      </w:pPr>
    </w:p>
    <w:p w14:paraId="64090CA1" w14:textId="77777777" w:rsidR="00B97904" w:rsidRDefault="00B97904" w:rsidP="00B97904">
      <w:pPr>
        <w:keepNext/>
        <w:tabs>
          <w:tab w:val="left" w:pos="720"/>
          <w:tab w:val="left" w:pos="1440"/>
          <w:tab w:val="left" w:pos="2160"/>
          <w:tab w:val="right" w:leader="dot" w:pos="9180"/>
        </w:tabs>
        <w:rPr>
          <w:rFonts w:ascii="Times New Roman" w:hAnsi="Times New Roman" w:cs="Times New Roman"/>
        </w:rPr>
      </w:pPr>
      <w:r w:rsidRPr="00706261">
        <w:rPr>
          <w:rFonts w:ascii="Times New Roman" w:hAnsi="Times New Roman" w:cs="Times New Roman"/>
          <w:i/>
        </w:rPr>
        <w:lastRenderedPageBreak/>
        <w:t>WUTC v. PacifiCorp d/b/a Pacific Power &amp; Light</w:t>
      </w:r>
      <w:r>
        <w:rPr>
          <w:rFonts w:ascii="Times New Roman" w:hAnsi="Times New Roman" w:cs="Times New Roman"/>
          <w:i/>
        </w:rPr>
        <w:t xml:space="preserve"> Co.</w:t>
      </w:r>
      <w:r w:rsidRPr="00706261">
        <w:rPr>
          <w:rFonts w:ascii="Times New Roman" w:hAnsi="Times New Roman" w:cs="Times New Roman"/>
        </w:rPr>
        <w:t xml:space="preserve">, </w:t>
      </w:r>
    </w:p>
    <w:p w14:paraId="29F98250" w14:textId="17C1EA0D" w:rsidR="00B97904" w:rsidRDefault="00B97904" w:rsidP="00E540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706261">
        <w:rPr>
          <w:rFonts w:ascii="Times New Roman" w:hAnsi="Times New Roman" w:cs="Times New Roman"/>
        </w:rPr>
        <w:t>Docket UE-</w:t>
      </w:r>
      <w:r>
        <w:rPr>
          <w:rFonts w:ascii="Times New Roman" w:hAnsi="Times New Roman" w:cs="Times New Roman"/>
        </w:rPr>
        <w:t>111190, Order 7</w:t>
      </w:r>
      <w:r w:rsidRPr="00706261">
        <w:rPr>
          <w:rFonts w:ascii="Times New Roman" w:hAnsi="Times New Roman" w:cs="Times New Roman"/>
        </w:rPr>
        <w:t xml:space="preserve"> (March </w:t>
      </w:r>
      <w:r>
        <w:rPr>
          <w:rFonts w:ascii="Times New Roman" w:hAnsi="Times New Roman" w:cs="Times New Roman"/>
        </w:rPr>
        <w:t>30, 2012</w:t>
      </w:r>
      <w:r w:rsidRPr="0070626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t>8</w:t>
      </w:r>
      <w:r w:rsidR="00E174C7">
        <w:rPr>
          <w:rFonts w:ascii="Times New Roman" w:hAnsi="Times New Roman" w:cs="Times New Roman"/>
        </w:rPr>
        <w:t xml:space="preserve">, </w:t>
      </w:r>
      <w:r w:rsidR="00CD1DD1">
        <w:rPr>
          <w:rFonts w:ascii="Times New Roman" w:hAnsi="Times New Roman" w:cs="Times New Roman"/>
        </w:rPr>
        <w:t>11</w:t>
      </w:r>
    </w:p>
    <w:p w14:paraId="330D3FE4" w14:textId="77777777" w:rsidR="00B97904" w:rsidRDefault="00B97904" w:rsidP="00E5402F">
      <w:pPr>
        <w:tabs>
          <w:tab w:val="left" w:pos="720"/>
          <w:tab w:val="left" w:pos="1440"/>
          <w:tab w:val="left" w:pos="2160"/>
          <w:tab w:val="right" w:leader="dot" w:pos="9180"/>
        </w:tabs>
        <w:rPr>
          <w:rFonts w:ascii="Times New Roman" w:hAnsi="Times New Roman" w:cs="Times New Roman"/>
        </w:rPr>
      </w:pPr>
    </w:p>
    <w:p w14:paraId="1AAD807E" w14:textId="77777777" w:rsidR="00B97904" w:rsidRDefault="00B97904" w:rsidP="00B97904">
      <w:pPr>
        <w:keepNext/>
        <w:tabs>
          <w:tab w:val="left" w:pos="720"/>
          <w:tab w:val="left" w:pos="1440"/>
          <w:tab w:val="left" w:pos="2160"/>
          <w:tab w:val="right" w:leader="dot" w:pos="9180"/>
        </w:tabs>
        <w:rPr>
          <w:rFonts w:ascii="Times New Roman" w:hAnsi="Times New Roman" w:cs="Times New Roman"/>
        </w:rPr>
      </w:pPr>
      <w:r w:rsidRPr="00706261">
        <w:rPr>
          <w:rFonts w:ascii="Times New Roman" w:hAnsi="Times New Roman" w:cs="Times New Roman"/>
          <w:i/>
        </w:rPr>
        <w:t>WUTC v. PacifiCorp d/b/a Pacific Power &amp; Light</w:t>
      </w:r>
      <w:r>
        <w:rPr>
          <w:rFonts w:ascii="Times New Roman" w:hAnsi="Times New Roman" w:cs="Times New Roman"/>
          <w:i/>
        </w:rPr>
        <w:t xml:space="preserve"> Co.</w:t>
      </w:r>
      <w:r w:rsidRPr="00706261">
        <w:rPr>
          <w:rFonts w:ascii="Times New Roman" w:hAnsi="Times New Roman" w:cs="Times New Roman"/>
        </w:rPr>
        <w:t xml:space="preserve">, </w:t>
      </w:r>
    </w:p>
    <w:p w14:paraId="46CDB83B" w14:textId="046C2E6D" w:rsidR="00E5402F" w:rsidRDefault="00B97904" w:rsidP="00E540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706261">
        <w:rPr>
          <w:rFonts w:ascii="Times New Roman" w:hAnsi="Times New Roman" w:cs="Times New Roman"/>
        </w:rPr>
        <w:t>Docket UE-</w:t>
      </w:r>
      <w:r>
        <w:rPr>
          <w:rFonts w:ascii="Times New Roman" w:hAnsi="Times New Roman" w:cs="Times New Roman"/>
        </w:rPr>
        <w:t>130043</w:t>
      </w:r>
      <w:r w:rsidRPr="00706261">
        <w:rPr>
          <w:rFonts w:ascii="Times New Roman" w:hAnsi="Times New Roman" w:cs="Times New Roman"/>
        </w:rPr>
        <w:t xml:space="preserve">, Order </w:t>
      </w:r>
      <w:r>
        <w:rPr>
          <w:rFonts w:ascii="Times New Roman" w:hAnsi="Times New Roman" w:cs="Times New Roman"/>
        </w:rPr>
        <w:t>5</w:t>
      </w:r>
      <w:r w:rsidRPr="00706261">
        <w:rPr>
          <w:rFonts w:ascii="Times New Roman" w:hAnsi="Times New Roman" w:cs="Times New Roman"/>
        </w:rPr>
        <w:t xml:space="preserve"> (</w:t>
      </w:r>
      <w:r w:rsidR="00BE2663">
        <w:rPr>
          <w:rFonts w:ascii="Times New Roman" w:hAnsi="Times New Roman" w:cs="Times New Roman"/>
        </w:rPr>
        <w:t>December 4, 2013</w:t>
      </w:r>
      <w:r w:rsidRPr="0070626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9</w:t>
      </w:r>
    </w:p>
    <w:p w14:paraId="3F530FFE" w14:textId="77777777" w:rsidR="00E174C7" w:rsidRDefault="00E174C7" w:rsidP="00E5402F">
      <w:pPr>
        <w:tabs>
          <w:tab w:val="left" w:pos="720"/>
          <w:tab w:val="left" w:pos="1440"/>
          <w:tab w:val="left" w:pos="2160"/>
          <w:tab w:val="right" w:leader="dot" w:pos="9180"/>
        </w:tabs>
        <w:rPr>
          <w:rFonts w:ascii="Times New Roman" w:hAnsi="Times New Roman" w:cs="Times New Roman"/>
        </w:rPr>
      </w:pPr>
    </w:p>
    <w:p w14:paraId="24E19404" w14:textId="77777777" w:rsidR="00E174C7" w:rsidRDefault="00E174C7" w:rsidP="00E174C7">
      <w:pPr>
        <w:keepNext/>
        <w:tabs>
          <w:tab w:val="left" w:pos="720"/>
          <w:tab w:val="left" w:pos="1440"/>
          <w:tab w:val="left" w:pos="2160"/>
          <w:tab w:val="right" w:leader="dot" w:pos="9180"/>
        </w:tabs>
        <w:rPr>
          <w:rFonts w:ascii="Times New Roman" w:hAnsi="Times New Roman" w:cs="Times New Roman"/>
        </w:rPr>
      </w:pPr>
      <w:r w:rsidRPr="00706261">
        <w:rPr>
          <w:rFonts w:ascii="Times New Roman" w:hAnsi="Times New Roman" w:cs="Times New Roman"/>
          <w:i/>
        </w:rPr>
        <w:t>WUTC v. PacifiCorp d/b/a Pacific Power &amp; Light</w:t>
      </w:r>
      <w:r>
        <w:rPr>
          <w:rFonts w:ascii="Times New Roman" w:hAnsi="Times New Roman" w:cs="Times New Roman"/>
          <w:i/>
        </w:rPr>
        <w:t xml:space="preserve"> Co.</w:t>
      </w:r>
      <w:r w:rsidRPr="00706261">
        <w:rPr>
          <w:rFonts w:ascii="Times New Roman" w:hAnsi="Times New Roman" w:cs="Times New Roman"/>
        </w:rPr>
        <w:t xml:space="preserve">, </w:t>
      </w:r>
    </w:p>
    <w:p w14:paraId="2F7133EB" w14:textId="6C2B9555" w:rsidR="00E174C7" w:rsidRDefault="00E174C7" w:rsidP="00E5402F">
      <w:pPr>
        <w:tabs>
          <w:tab w:val="left" w:pos="720"/>
          <w:tab w:val="left" w:pos="1440"/>
          <w:tab w:val="left" w:pos="2160"/>
          <w:tab w:val="right" w:leader="dot" w:pos="9180"/>
        </w:tabs>
        <w:rPr>
          <w:rFonts w:ascii="Times New Roman" w:hAnsi="Times New Roman" w:cs="Times New Roman"/>
        </w:rPr>
      </w:pPr>
      <w:r>
        <w:rPr>
          <w:rFonts w:ascii="Times New Roman" w:hAnsi="Times New Roman" w:cs="Times New Roman"/>
        </w:rPr>
        <w:tab/>
      </w:r>
      <w:r w:rsidRPr="00706261">
        <w:rPr>
          <w:rFonts w:ascii="Times New Roman" w:hAnsi="Times New Roman" w:cs="Times New Roman"/>
        </w:rPr>
        <w:t>Docket UE-</w:t>
      </w:r>
      <w:r>
        <w:rPr>
          <w:rFonts w:ascii="Times New Roman" w:hAnsi="Times New Roman" w:cs="Times New Roman"/>
        </w:rPr>
        <w:t>130043</w:t>
      </w:r>
      <w:r w:rsidRPr="00706261">
        <w:rPr>
          <w:rFonts w:ascii="Times New Roman" w:hAnsi="Times New Roman" w:cs="Times New Roman"/>
        </w:rPr>
        <w:t xml:space="preserve">, </w:t>
      </w:r>
      <w:r>
        <w:rPr>
          <w:rFonts w:ascii="Times New Roman" w:hAnsi="Times New Roman" w:cs="Times New Roman"/>
        </w:rPr>
        <w:t>Settlement Agreement</w:t>
      </w:r>
      <w:r w:rsidRPr="00706261">
        <w:rPr>
          <w:rFonts w:ascii="Times New Roman" w:hAnsi="Times New Roman" w:cs="Times New Roman"/>
        </w:rPr>
        <w:t xml:space="preserve"> (</w:t>
      </w:r>
      <w:r>
        <w:rPr>
          <w:rFonts w:ascii="Times New Roman" w:hAnsi="Times New Roman" w:cs="Times New Roman"/>
        </w:rPr>
        <w:t>August 21, 2013</w:t>
      </w:r>
      <w:r w:rsidRPr="0070626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11</w:t>
      </w:r>
    </w:p>
    <w:p w14:paraId="7084B502" w14:textId="77777777" w:rsidR="00E04723" w:rsidRDefault="00E04723" w:rsidP="00E5402F">
      <w:pPr>
        <w:tabs>
          <w:tab w:val="left" w:pos="720"/>
          <w:tab w:val="left" w:pos="1440"/>
          <w:tab w:val="left" w:pos="2160"/>
          <w:tab w:val="right" w:leader="dot" w:pos="9180"/>
        </w:tabs>
        <w:rPr>
          <w:rFonts w:ascii="Times New Roman" w:hAnsi="Times New Roman" w:cs="Times New Roman"/>
        </w:rPr>
      </w:pPr>
    </w:p>
    <w:p w14:paraId="15B09E9A" w14:textId="77777777" w:rsidR="00E174C7" w:rsidRDefault="00E174C7" w:rsidP="00E174C7">
      <w:pPr>
        <w:tabs>
          <w:tab w:val="left" w:pos="720"/>
          <w:tab w:val="left" w:pos="1440"/>
          <w:tab w:val="left" w:pos="2160"/>
          <w:tab w:val="right" w:leader="dot" w:pos="9180"/>
        </w:tabs>
        <w:rPr>
          <w:rFonts w:ascii="Times New Roman" w:hAnsi="Times New Roman" w:cs="Times New Roman"/>
        </w:rPr>
      </w:pPr>
      <w:r w:rsidRPr="00E620C3">
        <w:rPr>
          <w:rFonts w:ascii="Times New Roman" w:hAnsi="Times New Roman" w:cs="Times New Roman"/>
          <w:i/>
        </w:rPr>
        <w:t>WUTC v. Puget Sound Energy, Inc.</w:t>
      </w:r>
      <w:r w:rsidRPr="00E620C3">
        <w:rPr>
          <w:rFonts w:ascii="Times New Roman" w:hAnsi="Times New Roman" w:cs="Times New Roman"/>
        </w:rPr>
        <w:t xml:space="preserve">, </w:t>
      </w:r>
    </w:p>
    <w:p w14:paraId="33C14519" w14:textId="086F02E2" w:rsidR="00E174C7" w:rsidRDefault="00E174C7" w:rsidP="00E174C7">
      <w:pPr>
        <w:tabs>
          <w:tab w:val="left" w:pos="720"/>
          <w:tab w:val="left" w:pos="1440"/>
          <w:tab w:val="left" w:pos="2160"/>
          <w:tab w:val="right" w:leader="dot" w:pos="9180"/>
          <w:tab w:val="right" w:pos="9360"/>
        </w:tabs>
        <w:rPr>
          <w:rFonts w:ascii="Times New Roman" w:hAnsi="Times New Roman" w:cs="Times New Roman"/>
        </w:rPr>
      </w:pPr>
      <w:r>
        <w:rPr>
          <w:rFonts w:ascii="Times New Roman" w:hAnsi="Times New Roman" w:cs="Times New Roman"/>
        </w:rPr>
        <w:tab/>
      </w:r>
      <w:r w:rsidRPr="00E620C3">
        <w:rPr>
          <w:rFonts w:ascii="Times New Roman" w:hAnsi="Times New Roman" w:cs="Times New Roman"/>
        </w:rPr>
        <w:t xml:space="preserve">Dockets UE-090704 and UG-090705, </w:t>
      </w:r>
      <w:r>
        <w:rPr>
          <w:rFonts w:ascii="Times New Roman" w:hAnsi="Times New Roman" w:cs="Times New Roman"/>
        </w:rPr>
        <w:t>Initial Filing</w:t>
      </w:r>
      <w:r w:rsidRPr="00E620C3">
        <w:rPr>
          <w:rFonts w:ascii="Times New Roman" w:hAnsi="Times New Roman" w:cs="Times New Roman"/>
        </w:rPr>
        <w:t xml:space="preserve"> </w:t>
      </w:r>
      <w:r>
        <w:rPr>
          <w:rFonts w:ascii="Times New Roman" w:hAnsi="Times New Roman" w:cs="Times New Roman"/>
        </w:rPr>
        <w:t xml:space="preserve">Tariff Pages </w:t>
      </w:r>
      <w:r w:rsidRPr="00E620C3">
        <w:rPr>
          <w:rFonts w:ascii="Times New Roman" w:hAnsi="Times New Roman" w:cs="Times New Roman"/>
        </w:rPr>
        <w:t>(April 2, 2010</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11</w:t>
      </w:r>
    </w:p>
    <w:p w14:paraId="74B9C467" w14:textId="77777777" w:rsidR="00E174C7" w:rsidRDefault="00E174C7" w:rsidP="00E5402F">
      <w:pPr>
        <w:tabs>
          <w:tab w:val="left" w:pos="720"/>
          <w:tab w:val="left" w:pos="1440"/>
          <w:tab w:val="left" w:pos="2160"/>
          <w:tab w:val="right" w:leader="dot" w:pos="9180"/>
        </w:tabs>
        <w:rPr>
          <w:rFonts w:ascii="Times New Roman" w:hAnsi="Times New Roman" w:cs="Times New Roman"/>
        </w:rPr>
      </w:pPr>
    </w:p>
    <w:p w14:paraId="4F5B0DDB" w14:textId="77777777" w:rsidR="00E5402F" w:rsidRDefault="00E5402F" w:rsidP="00E5402F">
      <w:pPr>
        <w:tabs>
          <w:tab w:val="left" w:pos="720"/>
          <w:tab w:val="left" w:pos="1440"/>
          <w:tab w:val="left" w:pos="2160"/>
          <w:tab w:val="right" w:leader="dot" w:pos="9180"/>
        </w:tabs>
        <w:rPr>
          <w:rFonts w:ascii="Times New Roman" w:hAnsi="Times New Roman" w:cs="Times New Roman"/>
        </w:rPr>
      </w:pPr>
      <w:r w:rsidRPr="00E620C3">
        <w:rPr>
          <w:rFonts w:ascii="Times New Roman" w:hAnsi="Times New Roman" w:cs="Times New Roman"/>
          <w:i/>
        </w:rPr>
        <w:t>WUTC v. Puget Sound Energy, Inc.</w:t>
      </w:r>
      <w:r w:rsidRPr="00E620C3">
        <w:rPr>
          <w:rFonts w:ascii="Times New Roman" w:hAnsi="Times New Roman" w:cs="Times New Roman"/>
        </w:rPr>
        <w:t xml:space="preserve">, </w:t>
      </w:r>
    </w:p>
    <w:p w14:paraId="732F7BFF" w14:textId="78108918" w:rsidR="00E5402F" w:rsidRDefault="00E5402F" w:rsidP="00E5402F">
      <w:pPr>
        <w:tabs>
          <w:tab w:val="left" w:pos="720"/>
          <w:tab w:val="left" w:pos="1440"/>
          <w:tab w:val="left" w:pos="2160"/>
          <w:tab w:val="right" w:leader="dot" w:pos="9180"/>
          <w:tab w:val="right" w:pos="9360"/>
        </w:tabs>
        <w:rPr>
          <w:rFonts w:ascii="Times New Roman" w:hAnsi="Times New Roman" w:cs="Times New Roman"/>
        </w:rPr>
      </w:pPr>
      <w:r>
        <w:rPr>
          <w:rFonts w:ascii="Times New Roman" w:hAnsi="Times New Roman" w:cs="Times New Roman"/>
        </w:rPr>
        <w:tab/>
      </w:r>
      <w:r w:rsidRPr="00E620C3">
        <w:rPr>
          <w:rFonts w:ascii="Times New Roman" w:hAnsi="Times New Roman" w:cs="Times New Roman"/>
        </w:rPr>
        <w:t>Dockets UE-090704 and UG-090705, Order 11 (April 2, 2010</w:t>
      </w:r>
      <w:r>
        <w:rPr>
          <w:rFonts w:ascii="Times New Roman" w:hAnsi="Times New Roman" w:cs="Times New Roman"/>
        </w:rPr>
        <w:t xml:space="preserve">) </w:t>
      </w:r>
      <w:r>
        <w:rPr>
          <w:rFonts w:ascii="Times New Roman" w:hAnsi="Times New Roman" w:cs="Times New Roman"/>
        </w:rPr>
        <w:tab/>
      </w:r>
      <w:r w:rsidR="00CD1DD1">
        <w:rPr>
          <w:rFonts w:ascii="Times New Roman" w:hAnsi="Times New Roman" w:cs="Times New Roman"/>
        </w:rPr>
        <w:t>11</w:t>
      </w:r>
    </w:p>
    <w:p w14:paraId="5E359C8D" w14:textId="77777777" w:rsidR="00B97904" w:rsidRDefault="00B97904" w:rsidP="00B97904">
      <w:pPr>
        <w:tabs>
          <w:tab w:val="left" w:pos="720"/>
          <w:tab w:val="left" w:pos="1440"/>
          <w:tab w:val="left" w:pos="2160"/>
          <w:tab w:val="right" w:leader="dot" w:pos="9180"/>
        </w:tabs>
        <w:rPr>
          <w:rFonts w:ascii="Times New Roman" w:hAnsi="Times New Roman" w:cs="Times New Roman"/>
          <w:i/>
        </w:rPr>
      </w:pPr>
    </w:p>
    <w:p w14:paraId="005E9C29" w14:textId="77777777" w:rsidR="001B0366" w:rsidRDefault="001B0366" w:rsidP="001B0366">
      <w:pPr>
        <w:tabs>
          <w:tab w:val="left" w:pos="720"/>
          <w:tab w:val="left" w:pos="1440"/>
          <w:tab w:val="left" w:pos="2160"/>
          <w:tab w:val="right" w:leader="dot" w:pos="9180"/>
        </w:tabs>
        <w:rPr>
          <w:rFonts w:ascii="Times New Roman" w:hAnsi="Times New Roman" w:cs="Times New Roman"/>
        </w:rPr>
      </w:pPr>
      <w:r w:rsidRPr="00E620C3">
        <w:rPr>
          <w:rFonts w:ascii="Times New Roman" w:hAnsi="Times New Roman" w:cs="Times New Roman"/>
          <w:i/>
        </w:rPr>
        <w:t>WUTC v. Puget Sound Energy, Inc.</w:t>
      </w:r>
      <w:r w:rsidRPr="00E620C3">
        <w:rPr>
          <w:rFonts w:ascii="Times New Roman" w:hAnsi="Times New Roman" w:cs="Times New Roman"/>
        </w:rPr>
        <w:t xml:space="preserve">, </w:t>
      </w:r>
    </w:p>
    <w:p w14:paraId="48997ED3" w14:textId="719EF0AF" w:rsidR="001B0366" w:rsidRDefault="001B0366" w:rsidP="001B0366">
      <w:pPr>
        <w:tabs>
          <w:tab w:val="left" w:pos="720"/>
          <w:tab w:val="left" w:pos="1440"/>
          <w:tab w:val="left" w:pos="2160"/>
          <w:tab w:val="right" w:leader="dot" w:pos="9180"/>
          <w:tab w:val="right" w:pos="9360"/>
        </w:tabs>
        <w:rPr>
          <w:rFonts w:ascii="Times New Roman" w:hAnsi="Times New Roman" w:cs="Times New Roman"/>
        </w:rPr>
      </w:pPr>
      <w:r>
        <w:rPr>
          <w:rFonts w:ascii="Times New Roman" w:hAnsi="Times New Roman" w:cs="Times New Roman"/>
        </w:rPr>
        <w:tab/>
        <w:t>Docket U</w:t>
      </w:r>
      <w:r w:rsidR="00CD1DD1">
        <w:rPr>
          <w:rFonts w:ascii="Times New Roman" w:hAnsi="Times New Roman" w:cs="Times New Roman"/>
        </w:rPr>
        <w:t>E</w:t>
      </w:r>
      <w:r>
        <w:rPr>
          <w:rFonts w:ascii="Times New Roman" w:hAnsi="Times New Roman" w:cs="Times New Roman"/>
        </w:rPr>
        <w:t>-111048</w:t>
      </w:r>
      <w:r w:rsidRPr="00E620C3">
        <w:rPr>
          <w:rFonts w:ascii="Times New Roman" w:hAnsi="Times New Roman" w:cs="Times New Roman"/>
        </w:rPr>
        <w:t xml:space="preserve">, </w:t>
      </w:r>
      <w:r>
        <w:rPr>
          <w:rFonts w:ascii="Times New Roman" w:hAnsi="Times New Roman" w:cs="Times New Roman"/>
        </w:rPr>
        <w:t>Initial Filing</w:t>
      </w:r>
      <w:r w:rsidRPr="00E620C3">
        <w:rPr>
          <w:rFonts w:ascii="Times New Roman" w:hAnsi="Times New Roman" w:cs="Times New Roman"/>
        </w:rPr>
        <w:t xml:space="preserve"> </w:t>
      </w:r>
      <w:r>
        <w:rPr>
          <w:rFonts w:ascii="Times New Roman" w:hAnsi="Times New Roman" w:cs="Times New Roman"/>
        </w:rPr>
        <w:t xml:space="preserve">Tariff Pages </w:t>
      </w:r>
      <w:r w:rsidRPr="00E620C3">
        <w:rPr>
          <w:rFonts w:ascii="Times New Roman" w:hAnsi="Times New Roman" w:cs="Times New Roman"/>
        </w:rPr>
        <w:t>(</w:t>
      </w:r>
      <w:r>
        <w:rPr>
          <w:rFonts w:ascii="Times New Roman" w:hAnsi="Times New Roman" w:cs="Times New Roman"/>
        </w:rPr>
        <w:t xml:space="preserve">June 13, 2011) </w:t>
      </w:r>
      <w:r>
        <w:rPr>
          <w:rFonts w:ascii="Times New Roman" w:hAnsi="Times New Roman" w:cs="Times New Roman"/>
        </w:rPr>
        <w:tab/>
      </w:r>
      <w:r w:rsidR="00CD1DD1">
        <w:rPr>
          <w:rFonts w:ascii="Times New Roman" w:hAnsi="Times New Roman" w:cs="Times New Roman"/>
        </w:rPr>
        <w:t>11</w:t>
      </w:r>
    </w:p>
    <w:p w14:paraId="66EBD531" w14:textId="77777777" w:rsidR="001B0366" w:rsidRDefault="001B0366" w:rsidP="001B0366">
      <w:pPr>
        <w:tabs>
          <w:tab w:val="left" w:pos="720"/>
          <w:tab w:val="left" w:pos="1440"/>
          <w:tab w:val="left" w:pos="2160"/>
          <w:tab w:val="right" w:leader="dot" w:pos="9180"/>
        </w:tabs>
        <w:rPr>
          <w:rFonts w:ascii="Times New Roman" w:hAnsi="Times New Roman" w:cs="Times New Roman"/>
          <w:i/>
        </w:rPr>
      </w:pPr>
    </w:p>
    <w:p w14:paraId="789A16EE" w14:textId="77777777" w:rsidR="001B0366" w:rsidRDefault="001B0366" w:rsidP="001B0366">
      <w:pPr>
        <w:tabs>
          <w:tab w:val="left" w:pos="720"/>
          <w:tab w:val="left" w:pos="1440"/>
          <w:tab w:val="left" w:pos="2160"/>
          <w:tab w:val="right" w:leader="dot" w:pos="9180"/>
        </w:tabs>
        <w:rPr>
          <w:rFonts w:ascii="Times New Roman" w:hAnsi="Times New Roman" w:cs="Times New Roman"/>
        </w:rPr>
      </w:pPr>
      <w:r w:rsidRPr="00E620C3">
        <w:rPr>
          <w:rFonts w:ascii="Times New Roman" w:hAnsi="Times New Roman" w:cs="Times New Roman"/>
          <w:i/>
        </w:rPr>
        <w:t>WUTC v. Puget Sound Energy, Inc.</w:t>
      </w:r>
      <w:r w:rsidRPr="00E620C3">
        <w:rPr>
          <w:rFonts w:ascii="Times New Roman" w:hAnsi="Times New Roman" w:cs="Times New Roman"/>
        </w:rPr>
        <w:t xml:space="preserve">, </w:t>
      </w:r>
    </w:p>
    <w:p w14:paraId="4A6EA60A" w14:textId="55E6905D" w:rsidR="001B0366" w:rsidRDefault="001B0366" w:rsidP="001B0366">
      <w:pPr>
        <w:tabs>
          <w:tab w:val="left" w:pos="720"/>
          <w:tab w:val="left" w:pos="1440"/>
          <w:tab w:val="left" w:pos="2160"/>
          <w:tab w:val="right" w:leader="dot" w:pos="9180"/>
          <w:tab w:val="right" w:pos="9360"/>
        </w:tabs>
        <w:rPr>
          <w:rFonts w:ascii="Times New Roman" w:hAnsi="Times New Roman" w:cs="Times New Roman"/>
        </w:rPr>
      </w:pPr>
      <w:r>
        <w:rPr>
          <w:rFonts w:ascii="Times New Roman" w:hAnsi="Times New Roman" w:cs="Times New Roman"/>
        </w:rPr>
        <w:tab/>
        <w:t>Docket UE-111048</w:t>
      </w:r>
      <w:r w:rsidRPr="00E620C3">
        <w:rPr>
          <w:rFonts w:ascii="Times New Roman" w:hAnsi="Times New Roman" w:cs="Times New Roman"/>
        </w:rPr>
        <w:t xml:space="preserve">, </w:t>
      </w:r>
      <w:r>
        <w:rPr>
          <w:rFonts w:ascii="Times New Roman" w:hAnsi="Times New Roman" w:cs="Times New Roman"/>
        </w:rPr>
        <w:t>Order 8</w:t>
      </w:r>
      <w:r w:rsidRPr="00E620C3">
        <w:rPr>
          <w:rFonts w:ascii="Times New Roman" w:hAnsi="Times New Roman" w:cs="Times New Roman"/>
        </w:rPr>
        <w:t xml:space="preserve"> (</w:t>
      </w:r>
      <w:r>
        <w:rPr>
          <w:rFonts w:ascii="Times New Roman" w:hAnsi="Times New Roman" w:cs="Times New Roman"/>
        </w:rPr>
        <w:t xml:space="preserve">May 7, 2012) </w:t>
      </w:r>
      <w:r>
        <w:rPr>
          <w:rFonts w:ascii="Times New Roman" w:hAnsi="Times New Roman" w:cs="Times New Roman"/>
        </w:rPr>
        <w:tab/>
      </w:r>
      <w:r w:rsidR="00CD1DD1">
        <w:rPr>
          <w:rFonts w:ascii="Times New Roman" w:hAnsi="Times New Roman" w:cs="Times New Roman"/>
        </w:rPr>
        <w:t>11</w:t>
      </w:r>
    </w:p>
    <w:p w14:paraId="1A20D50D" w14:textId="77777777" w:rsidR="001B0366" w:rsidRDefault="001B0366" w:rsidP="00B97904">
      <w:pPr>
        <w:tabs>
          <w:tab w:val="left" w:pos="720"/>
          <w:tab w:val="left" w:pos="1440"/>
          <w:tab w:val="left" w:pos="2160"/>
          <w:tab w:val="right" w:leader="dot" w:pos="9180"/>
        </w:tabs>
        <w:rPr>
          <w:rFonts w:ascii="Times New Roman" w:hAnsi="Times New Roman" w:cs="Times New Roman"/>
          <w:i/>
        </w:rPr>
      </w:pPr>
    </w:p>
    <w:p w14:paraId="4856C640" w14:textId="77777777" w:rsidR="00B97904" w:rsidRDefault="00B97904" w:rsidP="00B97904">
      <w:pPr>
        <w:tabs>
          <w:tab w:val="left" w:pos="720"/>
          <w:tab w:val="left" w:pos="1440"/>
          <w:tab w:val="left" w:pos="2160"/>
          <w:tab w:val="right" w:leader="dot" w:pos="9180"/>
        </w:tabs>
        <w:rPr>
          <w:rFonts w:ascii="Times New Roman" w:hAnsi="Times New Roman" w:cs="Times New Roman"/>
        </w:rPr>
      </w:pPr>
      <w:r w:rsidRPr="00E620C3">
        <w:rPr>
          <w:rFonts w:ascii="Times New Roman" w:hAnsi="Times New Roman" w:cs="Times New Roman"/>
          <w:i/>
        </w:rPr>
        <w:t>WUTC v. Puget Sound Energy, Inc.</w:t>
      </w:r>
      <w:r w:rsidRPr="00E620C3">
        <w:rPr>
          <w:rFonts w:ascii="Times New Roman" w:hAnsi="Times New Roman" w:cs="Times New Roman"/>
        </w:rPr>
        <w:t xml:space="preserve">, </w:t>
      </w:r>
    </w:p>
    <w:p w14:paraId="44006529" w14:textId="098B2F9A" w:rsidR="00B97904" w:rsidRDefault="001B0366" w:rsidP="00B97904">
      <w:pPr>
        <w:tabs>
          <w:tab w:val="left" w:pos="720"/>
          <w:tab w:val="left" w:pos="1440"/>
          <w:tab w:val="left" w:pos="2160"/>
          <w:tab w:val="right" w:leader="dot" w:pos="9180"/>
          <w:tab w:val="right" w:pos="9360"/>
        </w:tabs>
        <w:rPr>
          <w:rFonts w:ascii="Times New Roman" w:hAnsi="Times New Roman" w:cs="Times New Roman"/>
        </w:rPr>
      </w:pPr>
      <w:r>
        <w:rPr>
          <w:rFonts w:ascii="Times New Roman" w:hAnsi="Times New Roman" w:cs="Times New Roman"/>
        </w:rPr>
        <w:tab/>
        <w:t xml:space="preserve">Docket </w:t>
      </w:r>
      <w:r w:rsidR="00B97904">
        <w:rPr>
          <w:rFonts w:ascii="Times New Roman" w:hAnsi="Times New Roman" w:cs="Times New Roman"/>
        </w:rPr>
        <w:t>UG-111049</w:t>
      </w:r>
      <w:r w:rsidR="00B97904" w:rsidRPr="00E620C3">
        <w:rPr>
          <w:rFonts w:ascii="Times New Roman" w:hAnsi="Times New Roman" w:cs="Times New Roman"/>
        </w:rPr>
        <w:t xml:space="preserve">, </w:t>
      </w:r>
      <w:r w:rsidR="00B97904">
        <w:rPr>
          <w:rFonts w:ascii="Times New Roman" w:hAnsi="Times New Roman" w:cs="Times New Roman"/>
        </w:rPr>
        <w:t>Order 8</w:t>
      </w:r>
      <w:r w:rsidR="00B97904" w:rsidRPr="00E620C3">
        <w:rPr>
          <w:rFonts w:ascii="Times New Roman" w:hAnsi="Times New Roman" w:cs="Times New Roman"/>
        </w:rPr>
        <w:t xml:space="preserve"> (</w:t>
      </w:r>
      <w:r w:rsidR="00B97904">
        <w:rPr>
          <w:rFonts w:ascii="Times New Roman" w:hAnsi="Times New Roman" w:cs="Times New Roman"/>
        </w:rPr>
        <w:t xml:space="preserve">May 7, 2012) </w:t>
      </w:r>
      <w:r w:rsidR="00B97904">
        <w:rPr>
          <w:rFonts w:ascii="Times New Roman" w:hAnsi="Times New Roman" w:cs="Times New Roman"/>
        </w:rPr>
        <w:tab/>
      </w:r>
      <w:r w:rsidR="00CD1DD1">
        <w:rPr>
          <w:rFonts w:ascii="Times New Roman" w:hAnsi="Times New Roman" w:cs="Times New Roman"/>
        </w:rPr>
        <w:t>16</w:t>
      </w:r>
    </w:p>
    <w:p w14:paraId="12ACE90C" w14:textId="77777777" w:rsidR="001B0366" w:rsidRDefault="001B0366" w:rsidP="00B97904">
      <w:pPr>
        <w:tabs>
          <w:tab w:val="left" w:pos="720"/>
          <w:tab w:val="left" w:pos="1440"/>
          <w:tab w:val="left" w:pos="2160"/>
          <w:tab w:val="right" w:leader="dot" w:pos="9180"/>
          <w:tab w:val="right" w:pos="9360"/>
        </w:tabs>
        <w:rPr>
          <w:rFonts w:ascii="Times New Roman" w:hAnsi="Times New Roman" w:cs="Times New Roman"/>
        </w:rPr>
      </w:pPr>
    </w:p>
    <w:p w14:paraId="41FE55CA" w14:textId="77777777" w:rsidR="001B0366" w:rsidRDefault="001B0366" w:rsidP="001B0366">
      <w:pPr>
        <w:tabs>
          <w:tab w:val="left" w:pos="720"/>
          <w:tab w:val="left" w:pos="1440"/>
          <w:tab w:val="left" w:pos="2160"/>
          <w:tab w:val="right" w:leader="dot" w:pos="9180"/>
        </w:tabs>
        <w:rPr>
          <w:rFonts w:ascii="Times New Roman" w:hAnsi="Times New Roman" w:cs="Times New Roman"/>
        </w:rPr>
      </w:pPr>
      <w:r w:rsidRPr="00E620C3">
        <w:rPr>
          <w:rFonts w:ascii="Times New Roman" w:hAnsi="Times New Roman" w:cs="Times New Roman"/>
          <w:i/>
        </w:rPr>
        <w:t>WUTC v. Puget Sound Energy, Inc.</w:t>
      </w:r>
      <w:r w:rsidRPr="00E620C3">
        <w:rPr>
          <w:rFonts w:ascii="Times New Roman" w:hAnsi="Times New Roman" w:cs="Times New Roman"/>
        </w:rPr>
        <w:t xml:space="preserve">, </w:t>
      </w:r>
    </w:p>
    <w:p w14:paraId="552E0278" w14:textId="15E966B2" w:rsidR="001B0366" w:rsidRDefault="001B0366" w:rsidP="001B0366">
      <w:pPr>
        <w:tabs>
          <w:tab w:val="left" w:pos="720"/>
          <w:tab w:val="left" w:pos="1440"/>
          <w:tab w:val="left" w:pos="2160"/>
          <w:tab w:val="right" w:leader="dot" w:pos="9180"/>
          <w:tab w:val="right" w:pos="9360"/>
        </w:tabs>
        <w:rPr>
          <w:rFonts w:ascii="Times New Roman" w:hAnsi="Times New Roman" w:cs="Times New Roman"/>
        </w:rPr>
      </w:pPr>
      <w:r>
        <w:rPr>
          <w:rFonts w:ascii="Times New Roman" w:hAnsi="Times New Roman" w:cs="Times New Roman"/>
        </w:rPr>
        <w:tab/>
        <w:t>Docket UE-130137</w:t>
      </w:r>
      <w:r w:rsidRPr="00E620C3">
        <w:rPr>
          <w:rFonts w:ascii="Times New Roman" w:hAnsi="Times New Roman" w:cs="Times New Roman"/>
        </w:rPr>
        <w:t xml:space="preserve">, </w:t>
      </w:r>
      <w:r>
        <w:rPr>
          <w:rFonts w:ascii="Times New Roman" w:hAnsi="Times New Roman" w:cs="Times New Roman"/>
        </w:rPr>
        <w:t>Initial Filing</w:t>
      </w:r>
      <w:r w:rsidRPr="00E620C3">
        <w:rPr>
          <w:rFonts w:ascii="Times New Roman" w:hAnsi="Times New Roman" w:cs="Times New Roman"/>
        </w:rPr>
        <w:t xml:space="preserve"> </w:t>
      </w:r>
      <w:r>
        <w:rPr>
          <w:rFonts w:ascii="Times New Roman" w:hAnsi="Times New Roman" w:cs="Times New Roman"/>
        </w:rPr>
        <w:t xml:space="preserve">Tariff Pages </w:t>
      </w:r>
      <w:r w:rsidRPr="00E620C3">
        <w:rPr>
          <w:rFonts w:ascii="Times New Roman" w:hAnsi="Times New Roman" w:cs="Times New Roman"/>
        </w:rPr>
        <w:t>(</w:t>
      </w:r>
      <w:r>
        <w:rPr>
          <w:rFonts w:ascii="Times New Roman" w:hAnsi="Times New Roman" w:cs="Times New Roman"/>
        </w:rPr>
        <w:t xml:space="preserve">February 1, 2013) </w:t>
      </w:r>
      <w:r>
        <w:rPr>
          <w:rFonts w:ascii="Times New Roman" w:hAnsi="Times New Roman" w:cs="Times New Roman"/>
        </w:rPr>
        <w:tab/>
      </w:r>
      <w:r w:rsidR="00CD1DD1">
        <w:rPr>
          <w:rFonts w:ascii="Times New Roman" w:hAnsi="Times New Roman" w:cs="Times New Roman"/>
        </w:rPr>
        <w:t>11</w:t>
      </w:r>
    </w:p>
    <w:p w14:paraId="0E753852" w14:textId="77777777" w:rsidR="001B0366" w:rsidRDefault="001B0366" w:rsidP="00B97904">
      <w:pPr>
        <w:tabs>
          <w:tab w:val="left" w:pos="720"/>
          <w:tab w:val="left" w:pos="1440"/>
          <w:tab w:val="left" w:pos="2160"/>
          <w:tab w:val="right" w:leader="dot" w:pos="9180"/>
          <w:tab w:val="right" w:pos="9360"/>
        </w:tabs>
        <w:rPr>
          <w:rFonts w:ascii="Times New Roman" w:hAnsi="Times New Roman" w:cs="Times New Roman"/>
        </w:rPr>
      </w:pPr>
    </w:p>
    <w:p w14:paraId="17A07E63" w14:textId="40D132AC" w:rsidR="00E5402F" w:rsidRDefault="00E5402F" w:rsidP="00E5402F">
      <w:pPr>
        <w:rPr>
          <w:rFonts w:ascii="Times New Roman" w:hAnsi="Times New Roman" w:cs="Times New Roman"/>
        </w:rPr>
      </w:pPr>
    </w:p>
    <w:p w14:paraId="031D646D" w14:textId="77777777" w:rsidR="00E5402F" w:rsidRPr="00FA3DC1" w:rsidRDefault="00E5402F" w:rsidP="00E5402F">
      <w:pPr>
        <w:tabs>
          <w:tab w:val="left" w:pos="720"/>
          <w:tab w:val="left" w:pos="1440"/>
          <w:tab w:val="left" w:pos="2160"/>
          <w:tab w:val="right" w:leader="dot" w:pos="9180"/>
        </w:tabs>
        <w:jc w:val="center"/>
        <w:rPr>
          <w:rFonts w:ascii="Times New Roman" w:hAnsi="Times New Roman" w:cs="Times New Roman"/>
          <w:i/>
          <w:u w:val="single"/>
        </w:rPr>
      </w:pPr>
      <w:r w:rsidRPr="00FA3DC1">
        <w:rPr>
          <w:rFonts w:ascii="Times New Roman" w:hAnsi="Times New Roman" w:cs="Times New Roman"/>
          <w:i/>
          <w:u w:val="single"/>
        </w:rPr>
        <w:t>Statutes</w:t>
      </w:r>
      <w:r>
        <w:rPr>
          <w:rFonts w:ascii="Times New Roman" w:hAnsi="Times New Roman" w:cs="Times New Roman"/>
          <w:i/>
          <w:u w:val="single"/>
        </w:rPr>
        <w:t xml:space="preserve"> and Rules</w:t>
      </w:r>
    </w:p>
    <w:p w14:paraId="19A24F84" w14:textId="77777777" w:rsidR="00E5402F" w:rsidRDefault="00E5402F" w:rsidP="00E5402F">
      <w:pPr>
        <w:tabs>
          <w:tab w:val="left" w:pos="720"/>
          <w:tab w:val="left" w:pos="1440"/>
          <w:tab w:val="left" w:pos="2160"/>
          <w:tab w:val="right" w:leader="dot" w:pos="9180"/>
        </w:tabs>
        <w:rPr>
          <w:rFonts w:ascii="Times New Roman" w:hAnsi="Times New Roman" w:cs="Times New Roman"/>
        </w:rPr>
      </w:pPr>
    </w:p>
    <w:p w14:paraId="02D12AFD" w14:textId="77777777" w:rsidR="00E5402F" w:rsidRDefault="00E5402F" w:rsidP="00E5402F">
      <w:pPr>
        <w:tabs>
          <w:tab w:val="left" w:pos="720"/>
          <w:tab w:val="left" w:pos="1440"/>
          <w:tab w:val="left" w:pos="2160"/>
          <w:tab w:val="right" w:leader="dot" w:pos="9180"/>
        </w:tabs>
        <w:rPr>
          <w:rFonts w:ascii="Times New Roman" w:hAnsi="Times New Roman" w:cs="Times New Roman"/>
        </w:rPr>
      </w:pPr>
    </w:p>
    <w:p w14:paraId="2D6AE096" w14:textId="78797BDA" w:rsidR="00E5402F" w:rsidRDefault="00E5402F" w:rsidP="00E5402F">
      <w:pPr>
        <w:tabs>
          <w:tab w:val="left" w:pos="720"/>
          <w:tab w:val="left" w:pos="1440"/>
          <w:tab w:val="right" w:leader="dot" w:pos="9180"/>
        </w:tabs>
        <w:rPr>
          <w:rFonts w:ascii="Times New Roman" w:hAnsi="Times New Roman" w:cs="Times New Roman"/>
        </w:rPr>
      </w:pPr>
      <w:r w:rsidRPr="00D964F3">
        <w:rPr>
          <w:rFonts w:ascii="Times New Roman" w:hAnsi="Times New Roman" w:cs="Times New Roman"/>
        </w:rPr>
        <w:t>WAC 480-07-</w:t>
      </w:r>
      <w:r w:rsidR="00BB1C59">
        <w:rPr>
          <w:rFonts w:ascii="Times New Roman" w:hAnsi="Times New Roman" w:cs="Times New Roman"/>
        </w:rPr>
        <w:t>540</w:t>
      </w:r>
      <w:r>
        <w:rPr>
          <w:rFonts w:ascii="Times New Roman" w:hAnsi="Times New Roman" w:cs="Times New Roman"/>
        </w:rPr>
        <w:t xml:space="preserve"> </w:t>
      </w:r>
      <w:r>
        <w:rPr>
          <w:rFonts w:ascii="Times New Roman" w:hAnsi="Times New Roman" w:cs="Times New Roman"/>
        </w:rPr>
        <w:tab/>
      </w:r>
      <w:r w:rsidR="00BB1C59">
        <w:rPr>
          <w:rFonts w:ascii="Times New Roman" w:hAnsi="Times New Roman" w:cs="Times New Roman"/>
        </w:rPr>
        <w:t>5</w:t>
      </w:r>
    </w:p>
    <w:p w14:paraId="7836A891" w14:textId="77777777" w:rsidR="00E5402F" w:rsidRDefault="00E5402F" w:rsidP="00E5402F">
      <w:pPr>
        <w:tabs>
          <w:tab w:val="left" w:pos="720"/>
          <w:tab w:val="left" w:pos="1440"/>
          <w:tab w:val="right" w:leader="dot" w:pos="9180"/>
        </w:tabs>
        <w:rPr>
          <w:rFonts w:ascii="Times New Roman" w:hAnsi="Times New Roman" w:cs="Times New Roman"/>
        </w:rPr>
      </w:pPr>
    </w:p>
    <w:p w14:paraId="121F45C6" w14:textId="77777777" w:rsidR="00E5402F" w:rsidRPr="00271D1A" w:rsidRDefault="00E5402F" w:rsidP="00E5402F">
      <w:pPr>
        <w:rPr>
          <w:rFonts w:ascii="Times New Roman" w:hAnsi="Times New Roman" w:cs="Times New Roman"/>
        </w:rPr>
      </w:pPr>
    </w:p>
    <w:p w14:paraId="54C489E1" w14:textId="77777777" w:rsidR="00E5402F" w:rsidRPr="00271D1A" w:rsidRDefault="00E5402F" w:rsidP="00E5402F">
      <w:pPr>
        <w:rPr>
          <w:rFonts w:ascii="Times New Roman" w:hAnsi="Times New Roman" w:cs="Times New Roman"/>
        </w:rPr>
      </w:pPr>
    </w:p>
    <w:p w14:paraId="4814DF9D" w14:textId="77777777" w:rsidR="000431B6" w:rsidRPr="00F954C7" w:rsidRDefault="000431B6" w:rsidP="00920AF3">
      <w:pPr>
        <w:pStyle w:val="ListParagraph"/>
        <w:rPr>
          <w:rFonts w:ascii="Times New Roman" w:hAnsi="Times New Roman" w:cs="Times New Roman"/>
          <w:b/>
        </w:rPr>
      </w:pPr>
    </w:p>
    <w:p w14:paraId="63D35D5B" w14:textId="77777777" w:rsidR="000431B6" w:rsidRPr="00F954C7" w:rsidRDefault="000431B6" w:rsidP="00920AF3">
      <w:pPr>
        <w:pStyle w:val="ListParagraph"/>
        <w:rPr>
          <w:rFonts w:ascii="Times New Roman" w:hAnsi="Times New Roman" w:cs="Times New Roman"/>
          <w:b/>
        </w:rPr>
      </w:pPr>
    </w:p>
    <w:p w14:paraId="62FA5A0D" w14:textId="77777777" w:rsidR="00032A02" w:rsidRPr="00E5402F" w:rsidRDefault="00032A02" w:rsidP="00E5402F">
      <w:pPr>
        <w:rPr>
          <w:rFonts w:ascii="Times New Roman" w:hAnsi="Times New Roman" w:cs="Times New Roman"/>
          <w:b/>
        </w:rPr>
        <w:sectPr w:rsidR="00032A02" w:rsidRPr="00E5402F" w:rsidSect="002916DE">
          <w:pgSz w:w="12240" w:h="15840"/>
          <w:pgMar w:top="1440" w:right="1440" w:bottom="1440" w:left="1440" w:header="720" w:footer="720" w:gutter="0"/>
          <w:pgNumType w:fmt="lowerRoman" w:start="1"/>
          <w:cols w:space="720"/>
          <w:docGrid w:linePitch="360"/>
        </w:sectPr>
      </w:pPr>
    </w:p>
    <w:p w14:paraId="183D8C0D" w14:textId="503BEDE4" w:rsidR="003D2183" w:rsidRPr="003C770E" w:rsidRDefault="00FB1BDB" w:rsidP="009D0AE6">
      <w:pPr>
        <w:pStyle w:val="ListParagraph"/>
        <w:numPr>
          <w:ilvl w:val="0"/>
          <w:numId w:val="32"/>
        </w:numPr>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3D2183" w:rsidRPr="003C770E">
        <w:rPr>
          <w:rFonts w:ascii="Times New Roman" w:hAnsi="Times New Roman" w:cs="Times New Roman"/>
        </w:rPr>
        <w:t>The Alliance for Solar Choice (</w:t>
      </w:r>
      <w:r w:rsidR="00C540D7" w:rsidRPr="003C770E">
        <w:rPr>
          <w:rFonts w:ascii="Times New Roman" w:hAnsi="Times New Roman" w:cs="Times New Roman"/>
        </w:rPr>
        <w:t>“</w:t>
      </w:r>
      <w:r w:rsidR="003D2183" w:rsidRPr="003C770E">
        <w:rPr>
          <w:rFonts w:ascii="Times New Roman" w:hAnsi="Times New Roman" w:cs="Times New Roman"/>
        </w:rPr>
        <w:t>TASC</w:t>
      </w:r>
      <w:r w:rsidR="00C540D7" w:rsidRPr="003C770E">
        <w:rPr>
          <w:rFonts w:ascii="Times New Roman" w:hAnsi="Times New Roman" w:cs="Times New Roman"/>
        </w:rPr>
        <w:t>”</w:t>
      </w:r>
      <w:r w:rsidR="003D2183" w:rsidRPr="003C770E">
        <w:rPr>
          <w:rFonts w:ascii="Times New Roman" w:hAnsi="Times New Roman" w:cs="Times New Roman"/>
        </w:rPr>
        <w:t xml:space="preserve">) respectfully submits this initial brief in the above docket pursuant to the Administrative Law Judge’s </w:t>
      </w:r>
      <w:r w:rsidR="006A52A7" w:rsidRPr="003C770E">
        <w:rPr>
          <w:rFonts w:ascii="Times New Roman" w:hAnsi="Times New Roman" w:cs="Times New Roman"/>
        </w:rPr>
        <w:t>Prehearing Conference Order</w:t>
      </w:r>
      <w:r w:rsidR="003D2183" w:rsidRPr="003C770E">
        <w:rPr>
          <w:rFonts w:ascii="Times New Roman" w:hAnsi="Times New Roman" w:cs="Times New Roman"/>
        </w:rPr>
        <w:t xml:space="preserve"> of </w:t>
      </w:r>
      <w:r w:rsidR="006A52A7" w:rsidRPr="003C770E">
        <w:rPr>
          <w:rFonts w:ascii="Times New Roman" w:hAnsi="Times New Roman" w:cs="Times New Roman"/>
        </w:rPr>
        <w:t>June 10</w:t>
      </w:r>
      <w:r w:rsidR="003D2183" w:rsidRPr="003C770E">
        <w:rPr>
          <w:rFonts w:ascii="Times New Roman" w:hAnsi="Times New Roman" w:cs="Times New Roman"/>
        </w:rPr>
        <w:t xml:space="preserve">, 2014. </w:t>
      </w:r>
      <w:r w:rsidR="006A52A7" w:rsidRPr="003C770E">
        <w:rPr>
          <w:rFonts w:ascii="Times New Roman" w:hAnsi="Times New Roman" w:cs="Times New Roman"/>
        </w:rPr>
        <w:t xml:space="preserve"> </w:t>
      </w:r>
      <w:r w:rsidR="003D2183" w:rsidRPr="003C770E">
        <w:rPr>
          <w:rFonts w:ascii="Times New Roman" w:hAnsi="Times New Roman" w:cs="Times New Roman"/>
        </w:rPr>
        <w:t xml:space="preserve">TASC advocates for maintaining successful distributed solar energy policies throughout the United States.  Founding members represent the majority of the nation’s rooftop solar market and include Demeter Power, SolarCity, Solar Universe, Sunrun, and Verengo.  These companies are responsible for tens of thousands of residential, school, and commercial solar installations </w:t>
      </w:r>
      <w:r w:rsidR="006A52A7" w:rsidRPr="003C770E">
        <w:rPr>
          <w:rFonts w:ascii="Times New Roman" w:hAnsi="Times New Roman" w:cs="Times New Roman"/>
        </w:rPr>
        <w:t>across the country</w:t>
      </w:r>
      <w:r w:rsidR="003D2183" w:rsidRPr="003C770E">
        <w:rPr>
          <w:rFonts w:ascii="Times New Roman" w:hAnsi="Times New Roman" w:cs="Times New Roman"/>
        </w:rPr>
        <w:t xml:space="preserve"> and have brought thousands of jobs and many tens of millions of dollars of investment to </w:t>
      </w:r>
      <w:r w:rsidR="006A52A7" w:rsidRPr="003C770E">
        <w:rPr>
          <w:rFonts w:ascii="Times New Roman" w:hAnsi="Times New Roman" w:cs="Times New Roman"/>
        </w:rPr>
        <w:t>America</w:t>
      </w:r>
      <w:r w:rsidR="003D2183" w:rsidRPr="003C770E">
        <w:rPr>
          <w:rFonts w:ascii="Times New Roman" w:hAnsi="Times New Roman" w:cs="Times New Roman"/>
        </w:rPr>
        <w:t xml:space="preserve">’s cities and towns. </w:t>
      </w:r>
    </w:p>
    <w:p w14:paraId="0A99A2B9" w14:textId="77777777" w:rsidR="003D2183" w:rsidRDefault="003D2183" w:rsidP="003D2183">
      <w:pPr>
        <w:pStyle w:val="ListParagraph"/>
        <w:rPr>
          <w:rFonts w:ascii="Times New Roman" w:hAnsi="Times New Roman" w:cs="Times New Roman"/>
          <w:b/>
        </w:rPr>
      </w:pPr>
    </w:p>
    <w:p w14:paraId="4D1FFF38" w14:textId="3BC4E2CC" w:rsidR="001947A4" w:rsidRPr="00F954C7" w:rsidRDefault="001947A4" w:rsidP="001947A4">
      <w:pPr>
        <w:pStyle w:val="ListParagraph"/>
        <w:numPr>
          <w:ilvl w:val="0"/>
          <w:numId w:val="1"/>
        </w:numPr>
        <w:rPr>
          <w:rFonts w:ascii="Times New Roman" w:hAnsi="Times New Roman" w:cs="Times New Roman"/>
          <w:b/>
        </w:rPr>
      </w:pPr>
      <w:r w:rsidRPr="00F954C7">
        <w:rPr>
          <w:rFonts w:ascii="Times New Roman" w:hAnsi="Times New Roman" w:cs="Times New Roman"/>
          <w:b/>
        </w:rPr>
        <w:t>Introduction</w:t>
      </w:r>
      <w:r w:rsidR="00E735D6" w:rsidRPr="00F954C7">
        <w:rPr>
          <w:rFonts w:ascii="Times New Roman" w:hAnsi="Times New Roman" w:cs="Times New Roman"/>
          <w:b/>
        </w:rPr>
        <w:t xml:space="preserve"> and </w:t>
      </w:r>
      <w:r w:rsidR="007C3774">
        <w:rPr>
          <w:rFonts w:ascii="Times New Roman" w:hAnsi="Times New Roman" w:cs="Times New Roman"/>
          <w:b/>
        </w:rPr>
        <w:t>Summary</w:t>
      </w:r>
    </w:p>
    <w:p w14:paraId="42E49769" w14:textId="77777777" w:rsidR="006B61E6" w:rsidRPr="00F954C7" w:rsidRDefault="006B61E6" w:rsidP="006B61E6">
      <w:pPr>
        <w:rPr>
          <w:rFonts w:ascii="Times New Roman" w:hAnsi="Times New Roman" w:cs="Times New Roman"/>
        </w:rPr>
      </w:pPr>
    </w:p>
    <w:p w14:paraId="4D23366B" w14:textId="77777777" w:rsidR="00FB1BDB" w:rsidRDefault="00FB1BDB" w:rsidP="00372885">
      <w:pPr>
        <w:spacing w:line="480" w:lineRule="auto"/>
        <w:ind w:firstLine="720"/>
        <w:rPr>
          <w:rFonts w:ascii="Times New Roman" w:hAnsi="Times New Roman" w:cs="Times New Roman"/>
        </w:rPr>
        <w:sectPr w:rsidR="00FB1BDB" w:rsidSect="006D6647">
          <w:footerReference w:type="default" r:id="rId11"/>
          <w:pgSz w:w="12240" w:h="15840"/>
          <w:pgMar w:top="1440" w:right="1440" w:bottom="1440" w:left="1440" w:header="720" w:footer="720" w:gutter="0"/>
          <w:pgNumType w:start="1"/>
          <w:cols w:space="720"/>
          <w:docGrid w:linePitch="360"/>
        </w:sectPr>
      </w:pPr>
    </w:p>
    <w:p w14:paraId="690867C4" w14:textId="09D109CC" w:rsidR="008E7710" w:rsidRPr="00FB1BDB" w:rsidRDefault="009D0AE6" w:rsidP="009D0AE6">
      <w:pPr>
        <w:pStyle w:val="ListParagraph"/>
        <w:numPr>
          <w:ilvl w:val="1"/>
          <w:numId w:val="36"/>
        </w:numPr>
        <w:tabs>
          <w:tab w:val="left" w:pos="0"/>
        </w:tabs>
        <w:spacing w:line="480" w:lineRule="auto"/>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BD7C6B" w:rsidRPr="00FB1BDB">
        <w:rPr>
          <w:rFonts w:ascii="Times New Roman" w:hAnsi="Times New Roman" w:cs="Times New Roman"/>
        </w:rPr>
        <w:t xml:space="preserve">In contravention </w:t>
      </w:r>
      <w:r w:rsidR="00550678" w:rsidRPr="00FB1BDB">
        <w:rPr>
          <w:rFonts w:ascii="Times New Roman" w:hAnsi="Times New Roman" w:cs="Times New Roman"/>
        </w:rPr>
        <w:t xml:space="preserve">of </w:t>
      </w:r>
      <w:r w:rsidR="00B00A9D" w:rsidRPr="00FB1BDB">
        <w:rPr>
          <w:rFonts w:ascii="Times New Roman" w:hAnsi="Times New Roman" w:cs="Times New Roman"/>
        </w:rPr>
        <w:t xml:space="preserve">the energy policies of </w:t>
      </w:r>
      <w:r w:rsidR="00550678" w:rsidRPr="00FB1BDB">
        <w:rPr>
          <w:rFonts w:ascii="Times New Roman" w:hAnsi="Times New Roman" w:cs="Times New Roman"/>
        </w:rPr>
        <w:t xml:space="preserve">Washington </w:t>
      </w:r>
      <w:r w:rsidR="00BD7C6B" w:rsidRPr="00FB1BDB">
        <w:rPr>
          <w:rFonts w:ascii="Times New Roman" w:hAnsi="Times New Roman" w:cs="Times New Roman"/>
        </w:rPr>
        <w:t xml:space="preserve">State and </w:t>
      </w:r>
      <w:r w:rsidR="00B00A9D" w:rsidRPr="00FB1BDB">
        <w:rPr>
          <w:rFonts w:ascii="Times New Roman" w:hAnsi="Times New Roman" w:cs="Times New Roman"/>
        </w:rPr>
        <w:t xml:space="preserve">the Washington State Utilities and Transportation </w:t>
      </w:r>
      <w:r w:rsidR="00BD7C6B" w:rsidRPr="00FB1BDB">
        <w:rPr>
          <w:rFonts w:ascii="Times New Roman" w:hAnsi="Times New Roman" w:cs="Times New Roman"/>
        </w:rPr>
        <w:t xml:space="preserve">Commission </w:t>
      </w:r>
      <w:r w:rsidR="00B00A9D" w:rsidRPr="00FB1BDB">
        <w:rPr>
          <w:rFonts w:ascii="Times New Roman" w:hAnsi="Times New Roman" w:cs="Times New Roman"/>
        </w:rPr>
        <w:t>(the “Commission”)</w:t>
      </w:r>
      <w:r w:rsidR="00BD7C6B" w:rsidRPr="00FB1BDB">
        <w:rPr>
          <w:rFonts w:ascii="Times New Roman" w:hAnsi="Times New Roman" w:cs="Times New Roman"/>
        </w:rPr>
        <w:t>, Pacific Power and Light Company (“</w:t>
      </w:r>
      <w:r w:rsidR="009A54C7" w:rsidRPr="00FB1BDB">
        <w:rPr>
          <w:rFonts w:ascii="Times New Roman" w:hAnsi="Times New Roman" w:cs="Times New Roman"/>
        </w:rPr>
        <w:t>PacifiCorp</w:t>
      </w:r>
      <w:r w:rsidR="00BD7C6B" w:rsidRPr="00FB1BDB">
        <w:rPr>
          <w:rFonts w:ascii="Times New Roman" w:hAnsi="Times New Roman" w:cs="Times New Roman"/>
        </w:rPr>
        <w:t xml:space="preserve">” or </w:t>
      </w:r>
      <w:r w:rsidR="00B00A9D" w:rsidRPr="00FB1BDB">
        <w:rPr>
          <w:rFonts w:ascii="Times New Roman" w:hAnsi="Times New Roman" w:cs="Times New Roman"/>
        </w:rPr>
        <w:t xml:space="preserve">the </w:t>
      </w:r>
      <w:r w:rsidR="00BD7C6B" w:rsidRPr="00FB1BDB">
        <w:rPr>
          <w:rFonts w:ascii="Times New Roman" w:hAnsi="Times New Roman" w:cs="Times New Roman"/>
        </w:rPr>
        <w:t xml:space="preserve">“Company”) proposes to dramatically redesign its residential rates by raising the residential basic charge from $7.75 </w:t>
      </w:r>
      <w:r w:rsidR="00B00A9D" w:rsidRPr="00FB1BDB">
        <w:rPr>
          <w:rFonts w:ascii="Times New Roman" w:hAnsi="Times New Roman" w:cs="Times New Roman"/>
        </w:rPr>
        <w:t xml:space="preserve">per month </w:t>
      </w:r>
      <w:r w:rsidR="00BD7C6B" w:rsidRPr="00FB1BDB">
        <w:rPr>
          <w:rFonts w:ascii="Times New Roman" w:hAnsi="Times New Roman" w:cs="Times New Roman"/>
        </w:rPr>
        <w:t xml:space="preserve">to $14.00 per month.  </w:t>
      </w:r>
      <w:r w:rsidR="009E19C7" w:rsidRPr="00FB1BDB">
        <w:rPr>
          <w:rFonts w:ascii="Times New Roman" w:hAnsi="Times New Roman" w:cs="Times New Roman"/>
        </w:rPr>
        <w:t>While the Company correctly identifies that the electric utility landscape is changing and that change is likely to continue, such a transformation should be embraced by stakeholders as it is welcomed by many who would like more choices in how they purchase and use electricity and by those who support policies to reduce dependence on fossil fueled electricity</w:t>
      </w:r>
      <w:r w:rsidR="00BD7C6B" w:rsidRPr="00FB1BDB">
        <w:rPr>
          <w:rFonts w:ascii="Times New Roman" w:hAnsi="Times New Roman" w:cs="Times New Roman"/>
        </w:rPr>
        <w:t xml:space="preserve">.  </w:t>
      </w:r>
      <w:r w:rsidR="000A2E65" w:rsidRPr="00FB1BDB">
        <w:rPr>
          <w:rFonts w:ascii="Times New Roman" w:hAnsi="Times New Roman" w:cs="Times New Roman"/>
        </w:rPr>
        <w:t>Unfortunately</w:t>
      </w:r>
      <w:r w:rsidR="003D4453" w:rsidRPr="00FB1BDB">
        <w:rPr>
          <w:rFonts w:ascii="Times New Roman" w:hAnsi="Times New Roman" w:cs="Times New Roman"/>
        </w:rPr>
        <w:t xml:space="preserve">, PacifiCorp </w:t>
      </w:r>
      <w:r w:rsidR="000A2E65" w:rsidRPr="00FB1BDB">
        <w:rPr>
          <w:rFonts w:ascii="Times New Roman" w:hAnsi="Times New Roman" w:cs="Times New Roman"/>
        </w:rPr>
        <w:t xml:space="preserve">grossly </w:t>
      </w:r>
      <w:r w:rsidR="003D4453" w:rsidRPr="00FB1BDB">
        <w:rPr>
          <w:rFonts w:ascii="Times New Roman" w:hAnsi="Times New Roman" w:cs="Times New Roman"/>
        </w:rPr>
        <w:t xml:space="preserve">exaggerates </w:t>
      </w:r>
      <w:r w:rsidR="00B00A9D" w:rsidRPr="00FB1BDB">
        <w:rPr>
          <w:rFonts w:ascii="Times New Roman" w:hAnsi="Times New Roman" w:cs="Times New Roman"/>
        </w:rPr>
        <w:t xml:space="preserve">not only </w:t>
      </w:r>
      <w:r w:rsidR="003D4453" w:rsidRPr="00FB1BDB">
        <w:rPr>
          <w:rFonts w:ascii="Times New Roman" w:hAnsi="Times New Roman" w:cs="Times New Roman"/>
        </w:rPr>
        <w:t xml:space="preserve">the impact of solar </w:t>
      </w:r>
      <w:r w:rsidR="00463A40" w:rsidRPr="00FB1BDB">
        <w:rPr>
          <w:rFonts w:ascii="Times New Roman" w:hAnsi="Times New Roman" w:cs="Times New Roman"/>
        </w:rPr>
        <w:t>distributed generation (“</w:t>
      </w:r>
      <w:r w:rsidR="003D4453" w:rsidRPr="00FB1BDB">
        <w:rPr>
          <w:rFonts w:ascii="Times New Roman" w:hAnsi="Times New Roman" w:cs="Times New Roman"/>
        </w:rPr>
        <w:t>DG</w:t>
      </w:r>
      <w:r w:rsidR="00463A40" w:rsidRPr="00FB1BDB">
        <w:rPr>
          <w:rFonts w:ascii="Times New Roman" w:hAnsi="Times New Roman" w:cs="Times New Roman"/>
        </w:rPr>
        <w:t>”)</w:t>
      </w:r>
      <w:r w:rsidR="003D4453" w:rsidRPr="00FB1BDB">
        <w:rPr>
          <w:rFonts w:ascii="Times New Roman" w:hAnsi="Times New Roman" w:cs="Times New Roman"/>
        </w:rPr>
        <w:t xml:space="preserve"> on its system </w:t>
      </w:r>
      <w:r w:rsidR="00B00A9D" w:rsidRPr="00FB1BDB">
        <w:rPr>
          <w:rFonts w:ascii="Times New Roman" w:hAnsi="Times New Roman" w:cs="Times New Roman"/>
        </w:rPr>
        <w:t xml:space="preserve">but also the impact of </w:t>
      </w:r>
      <w:r w:rsidR="003D4453" w:rsidRPr="00FB1BDB">
        <w:rPr>
          <w:rFonts w:ascii="Times New Roman" w:hAnsi="Times New Roman" w:cs="Times New Roman"/>
        </w:rPr>
        <w:t xml:space="preserve">net metering on </w:t>
      </w:r>
      <w:r w:rsidR="00B00A9D" w:rsidRPr="00FB1BDB">
        <w:rPr>
          <w:rFonts w:ascii="Times New Roman" w:hAnsi="Times New Roman" w:cs="Times New Roman"/>
        </w:rPr>
        <w:t xml:space="preserve">the Company’s </w:t>
      </w:r>
      <w:r w:rsidR="003D4453" w:rsidRPr="00FB1BDB">
        <w:rPr>
          <w:rFonts w:ascii="Times New Roman" w:hAnsi="Times New Roman" w:cs="Times New Roman"/>
        </w:rPr>
        <w:t>ability to recover</w:t>
      </w:r>
      <w:r w:rsidR="000A2E65" w:rsidRPr="00FB1BDB">
        <w:rPr>
          <w:rFonts w:ascii="Times New Roman" w:hAnsi="Times New Roman" w:cs="Times New Roman"/>
        </w:rPr>
        <w:t xml:space="preserve"> its</w:t>
      </w:r>
      <w:r w:rsidR="003D4453" w:rsidRPr="00FB1BDB">
        <w:rPr>
          <w:rFonts w:ascii="Times New Roman" w:hAnsi="Times New Roman" w:cs="Times New Roman"/>
        </w:rPr>
        <w:t xml:space="preserve"> fixed costs.  </w:t>
      </w:r>
    </w:p>
    <w:p w14:paraId="178972AC" w14:textId="7C8937F8" w:rsidR="00BD7C6B" w:rsidRPr="00FB1BDB" w:rsidRDefault="009D0AE6" w:rsidP="009D0AE6">
      <w:pPr>
        <w:pStyle w:val="ListParagraph"/>
        <w:numPr>
          <w:ilvl w:val="1"/>
          <w:numId w:val="36"/>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BD7C6B" w:rsidRPr="00FB1BDB">
        <w:rPr>
          <w:rFonts w:ascii="Times New Roman" w:hAnsi="Times New Roman" w:cs="Times New Roman"/>
        </w:rPr>
        <w:t xml:space="preserve">Assuming the Commission agrees that the changing electricity markets have hampered PacifiCorp’s ability to recover its fixed costs, the key question </w:t>
      </w:r>
      <w:r w:rsidR="00B00A9D" w:rsidRPr="00FB1BDB">
        <w:rPr>
          <w:rFonts w:ascii="Times New Roman" w:hAnsi="Times New Roman" w:cs="Times New Roman"/>
        </w:rPr>
        <w:t xml:space="preserve">the Commission </w:t>
      </w:r>
      <w:r w:rsidR="0038516A" w:rsidRPr="00FB1BDB">
        <w:rPr>
          <w:rFonts w:ascii="Times New Roman" w:hAnsi="Times New Roman" w:cs="Times New Roman"/>
        </w:rPr>
        <w:t xml:space="preserve">must resolve </w:t>
      </w:r>
      <w:r w:rsidR="00BD7C6B" w:rsidRPr="00FB1BDB">
        <w:rPr>
          <w:rFonts w:ascii="Times New Roman" w:hAnsi="Times New Roman" w:cs="Times New Roman"/>
        </w:rPr>
        <w:t>is</w:t>
      </w:r>
      <w:r w:rsidR="0061710C" w:rsidRPr="00FB1BDB">
        <w:rPr>
          <w:rFonts w:ascii="Times New Roman" w:hAnsi="Times New Roman" w:cs="Times New Roman"/>
        </w:rPr>
        <w:t>:</w:t>
      </w:r>
      <w:r w:rsidR="00BD7C6B" w:rsidRPr="00FB1BDB">
        <w:rPr>
          <w:rFonts w:ascii="Times New Roman" w:hAnsi="Times New Roman" w:cs="Times New Roman"/>
          <w:i/>
        </w:rPr>
        <w:t xml:space="preserve"> </w:t>
      </w:r>
      <w:r w:rsidR="0061710C" w:rsidRPr="00FB1BDB">
        <w:rPr>
          <w:rFonts w:ascii="Times New Roman" w:hAnsi="Times New Roman" w:cs="Times New Roman"/>
          <w:i/>
        </w:rPr>
        <w:t>W</w:t>
      </w:r>
      <w:r w:rsidR="00BD7C6B" w:rsidRPr="00FB1BDB">
        <w:rPr>
          <w:rFonts w:ascii="Times New Roman" w:hAnsi="Times New Roman" w:cs="Times New Roman"/>
          <w:i/>
        </w:rPr>
        <w:t>hat is the best way to address PacifiCorp’s fixed cost recovery issues while also achieving the state’s energy policy objectives</w:t>
      </w:r>
      <w:r w:rsidR="0061710C" w:rsidRPr="00FB1BDB">
        <w:rPr>
          <w:rFonts w:ascii="Times New Roman" w:hAnsi="Times New Roman" w:cs="Times New Roman"/>
          <w:i/>
        </w:rPr>
        <w:t>?</w:t>
      </w:r>
      <w:r w:rsidR="00BD7C6B" w:rsidRPr="00FB1BDB">
        <w:rPr>
          <w:rFonts w:ascii="Times New Roman" w:hAnsi="Times New Roman" w:cs="Times New Roman"/>
        </w:rPr>
        <w:t xml:space="preserve">   </w:t>
      </w:r>
      <w:r w:rsidR="003D4453" w:rsidRPr="00FB1BDB">
        <w:rPr>
          <w:rFonts w:ascii="Times New Roman" w:hAnsi="Times New Roman" w:cs="Times New Roman"/>
        </w:rPr>
        <w:t xml:space="preserve">The Company’s proposals simply </w:t>
      </w:r>
      <w:r w:rsidR="0061710C" w:rsidRPr="00FB1BDB">
        <w:rPr>
          <w:rFonts w:ascii="Times New Roman" w:hAnsi="Times New Roman" w:cs="Times New Roman"/>
        </w:rPr>
        <w:t xml:space="preserve">make no effort to align with </w:t>
      </w:r>
      <w:r w:rsidR="0061710C" w:rsidRPr="00FB1BDB">
        <w:rPr>
          <w:rFonts w:ascii="Times New Roman" w:hAnsi="Times New Roman" w:cs="Times New Roman"/>
        </w:rPr>
        <w:lastRenderedPageBreak/>
        <w:t>the state’s energy policies</w:t>
      </w:r>
      <w:r w:rsidR="003D4453" w:rsidRPr="00FB1BDB">
        <w:rPr>
          <w:rFonts w:ascii="Times New Roman" w:hAnsi="Times New Roman" w:cs="Times New Roman"/>
        </w:rPr>
        <w:t>, but instead seek to dramatically increas</w:t>
      </w:r>
      <w:r w:rsidR="00354BB4" w:rsidRPr="00FB1BDB">
        <w:rPr>
          <w:rFonts w:ascii="Times New Roman" w:hAnsi="Times New Roman" w:cs="Times New Roman"/>
        </w:rPr>
        <w:t>e</w:t>
      </w:r>
      <w:r w:rsidR="003D4453" w:rsidRPr="00FB1BDB">
        <w:rPr>
          <w:rFonts w:ascii="Times New Roman" w:hAnsi="Times New Roman" w:cs="Times New Roman"/>
        </w:rPr>
        <w:t xml:space="preserve"> fixed charges </w:t>
      </w:r>
      <w:r w:rsidR="0061710C" w:rsidRPr="00FB1BDB">
        <w:rPr>
          <w:rFonts w:ascii="Times New Roman" w:hAnsi="Times New Roman" w:cs="Times New Roman"/>
        </w:rPr>
        <w:t>without regard to the state’s policy of promoting reduced energy bills through conservation, efficiency, and DG choices</w:t>
      </w:r>
      <w:r w:rsidR="003D4453" w:rsidRPr="00FB1BDB">
        <w:rPr>
          <w:rFonts w:ascii="Times New Roman" w:hAnsi="Times New Roman" w:cs="Times New Roman"/>
        </w:rPr>
        <w:t>.</w:t>
      </w:r>
    </w:p>
    <w:p w14:paraId="0F00EA7B" w14:textId="23A15E08" w:rsidR="00BD7C6B" w:rsidRPr="00FB1BDB" w:rsidRDefault="00FB1BDB" w:rsidP="009D0AE6">
      <w:pPr>
        <w:pStyle w:val="ListParagraph"/>
        <w:numPr>
          <w:ilvl w:val="1"/>
          <w:numId w:val="36"/>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BD7C6B" w:rsidRPr="00FB1BDB">
        <w:rPr>
          <w:rFonts w:ascii="Times New Roman" w:hAnsi="Times New Roman" w:cs="Times New Roman"/>
        </w:rPr>
        <w:t xml:space="preserve">PacifiCorp witness, </w:t>
      </w:r>
      <w:r w:rsidR="00550678" w:rsidRPr="00FB1BDB">
        <w:rPr>
          <w:rFonts w:ascii="Times New Roman" w:hAnsi="Times New Roman" w:cs="Times New Roman"/>
        </w:rPr>
        <w:t xml:space="preserve">Ms. </w:t>
      </w:r>
      <w:r w:rsidR="00BD7C6B" w:rsidRPr="00FB1BDB">
        <w:rPr>
          <w:rFonts w:ascii="Times New Roman" w:hAnsi="Times New Roman" w:cs="Times New Roman"/>
        </w:rPr>
        <w:t>Joelle Steward, suggests that the Company’s proposal to dramatically raise the residential basic service charge by 81% is the only</w:t>
      </w:r>
      <w:r w:rsidR="0038516A" w:rsidRPr="00FB1BDB">
        <w:rPr>
          <w:rFonts w:ascii="Times New Roman" w:hAnsi="Times New Roman" w:cs="Times New Roman"/>
        </w:rPr>
        <w:t xml:space="preserve"> sensible solution</w:t>
      </w:r>
      <w:r w:rsidR="00781432" w:rsidRPr="00FB1BDB">
        <w:rPr>
          <w:rFonts w:ascii="Times New Roman" w:hAnsi="Times New Roman" w:cs="Times New Roman"/>
        </w:rPr>
        <w:t xml:space="preserve"> to addressing fixed cost recovery</w:t>
      </w:r>
      <w:r w:rsidR="0038516A" w:rsidRPr="00FB1BDB">
        <w:rPr>
          <w:rFonts w:ascii="Times New Roman" w:hAnsi="Times New Roman" w:cs="Times New Roman"/>
        </w:rPr>
        <w:t>.  T</w:t>
      </w:r>
      <w:r w:rsidR="00BD7C6B" w:rsidRPr="00FB1BDB">
        <w:rPr>
          <w:rFonts w:ascii="Times New Roman" w:hAnsi="Times New Roman" w:cs="Times New Roman"/>
        </w:rPr>
        <w:t xml:space="preserve">his </w:t>
      </w:r>
      <w:r w:rsidR="003D4453" w:rsidRPr="00FB1BDB">
        <w:rPr>
          <w:rFonts w:ascii="Times New Roman" w:hAnsi="Times New Roman" w:cs="Times New Roman"/>
        </w:rPr>
        <w:t xml:space="preserve">view is not only incorrect; it </w:t>
      </w:r>
      <w:r w:rsidR="00BD7C6B" w:rsidRPr="00FB1BDB">
        <w:rPr>
          <w:rFonts w:ascii="Times New Roman" w:hAnsi="Times New Roman" w:cs="Times New Roman"/>
        </w:rPr>
        <w:t xml:space="preserve">is not a new argument.  The Company has proposed increases in fixed charges in </w:t>
      </w:r>
      <w:r w:rsidR="00354BB4" w:rsidRPr="00FB1BDB">
        <w:rPr>
          <w:rFonts w:ascii="Times New Roman" w:hAnsi="Times New Roman" w:cs="Times New Roman"/>
        </w:rPr>
        <w:t>six</w:t>
      </w:r>
      <w:r w:rsidR="00BD7C6B" w:rsidRPr="00FB1BDB">
        <w:rPr>
          <w:rFonts w:ascii="Times New Roman" w:hAnsi="Times New Roman" w:cs="Times New Roman"/>
        </w:rPr>
        <w:t xml:space="preserve"> of its last </w:t>
      </w:r>
      <w:r w:rsidR="00354BB4" w:rsidRPr="00FB1BDB">
        <w:rPr>
          <w:rFonts w:ascii="Times New Roman" w:hAnsi="Times New Roman" w:cs="Times New Roman"/>
        </w:rPr>
        <w:t>six</w:t>
      </w:r>
      <w:r w:rsidR="00BD7C6B" w:rsidRPr="00FB1BDB">
        <w:rPr>
          <w:rFonts w:ascii="Times New Roman" w:hAnsi="Times New Roman" w:cs="Times New Roman"/>
        </w:rPr>
        <w:t xml:space="preserve"> rate cases</w:t>
      </w:r>
      <w:r w:rsidR="00F233D9" w:rsidRPr="00FB1BDB">
        <w:rPr>
          <w:rFonts w:ascii="Times New Roman" w:hAnsi="Times New Roman" w:cs="Times New Roman"/>
        </w:rPr>
        <w:t>, and the</w:t>
      </w:r>
      <w:r w:rsidR="00BD7C6B" w:rsidRPr="00FB1BDB">
        <w:rPr>
          <w:rFonts w:ascii="Times New Roman" w:hAnsi="Times New Roman" w:cs="Times New Roman"/>
        </w:rPr>
        <w:t xml:space="preserve"> Commission has consistently rejected </w:t>
      </w:r>
      <w:r w:rsidR="00781432" w:rsidRPr="00FB1BDB">
        <w:rPr>
          <w:rFonts w:ascii="Times New Roman" w:hAnsi="Times New Roman" w:cs="Times New Roman"/>
        </w:rPr>
        <w:t>dramatic fixed charge increases</w:t>
      </w:r>
      <w:r w:rsidR="00BD7C6B" w:rsidRPr="00FB1BDB">
        <w:rPr>
          <w:rFonts w:ascii="Times New Roman" w:hAnsi="Times New Roman" w:cs="Times New Roman"/>
        </w:rPr>
        <w:t xml:space="preserve"> for sound regulatory and policy reasons, as further explained below.  Furthermore</w:t>
      </w:r>
      <w:r w:rsidR="00F233D9" w:rsidRPr="00FB1BDB">
        <w:rPr>
          <w:rFonts w:ascii="Times New Roman" w:hAnsi="Times New Roman" w:cs="Times New Roman"/>
        </w:rPr>
        <w:t>,</w:t>
      </w:r>
      <w:r w:rsidR="00BD7C6B" w:rsidRPr="00FB1BDB">
        <w:rPr>
          <w:rFonts w:ascii="Times New Roman" w:hAnsi="Times New Roman" w:cs="Times New Roman"/>
        </w:rPr>
        <w:t xml:space="preserve"> the Commission has clearly encouraged alternative methods to address fixed cost recovery issues such as revenue decoupling</w:t>
      </w:r>
      <w:r w:rsidR="00781432" w:rsidRPr="00FB1BDB">
        <w:rPr>
          <w:rFonts w:ascii="Times New Roman" w:hAnsi="Times New Roman" w:cs="Times New Roman"/>
        </w:rPr>
        <w:t xml:space="preserve">, the </w:t>
      </w:r>
      <w:r w:rsidR="00550678" w:rsidRPr="00FB1BDB">
        <w:rPr>
          <w:rFonts w:ascii="Times New Roman" w:hAnsi="Times New Roman" w:cs="Times New Roman"/>
        </w:rPr>
        <w:t>use of a P</w:t>
      </w:r>
      <w:r w:rsidR="00345C53" w:rsidRPr="00FB1BDB">
        <w:rPr>
          <w:rFonts w:ascii="Times New Roman" w:hAnsi="Times New Roman" w:cs="Times New Roman"/>
        </w:rPr>
        <w:t>ower Cost</w:t>
      </w:r>
      <w:r w:rsidR="00550678" w:rsidRPr="00FB1BDB">
        <w:rPr>
          <w:rFonts w:ascii="Times New Roman" w:hAnsi="Times New Roman" w:cs="Times New Roman"/>
        </w:rPr>
        <w:t xml:space="preserve"> Adjustment Mechanism (“PCAM”)</w:t>
      </w:r>
      <w:r w:rsidR="00781432" w:rsidRPr="00FB1BDB">
        <w:rPr>
          <w:rFonts w:ascii="Times New Roman" w:hAnsi="Times New Roman" w:cs="Times New Roman"/>
        </w:rPr>
        <w:t>, and multi-year rate plans</w:t>
      </w:r>
      <w:r w:rsidR="00BD7C6B" w:rsidRPr="00FB1BDB">
        <w:rPr>
          <w:rFonts w:ascii="Times New Roman" w:hAnsi="Times New Roman" w:cs="Times New Roman"/>
        </w:rPr>
        <w:t xml:space="preserve">.   </w:t>
      </w:r>
    </w:p>
    <w:p w14:paraId="43907663" w14:textId="00A11B72" w:rsidR="00132465" w:rsidRPr="00FB1BDB" w:rsidRDefault="00FB1BDB" w:rsidP="009D0AE6">
      <w:pPr>
        <w:pStyle w:val="ListParagraph"/>
        <w:numPr>
          <w:ilvl w:val="1"/>
          <w:numId w:val="36"/>
        </w:numPr>
        <w:tabs>
          <w:tab w:val="left" w:pos="630"/>
        </w:tabs>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B97653" w:rsidRPr="00FB1BDB">
        <w:rPr>
          <w:rFonts w:ascii="Times New Roman" w:hAnsi="Times New Roman" w:cs="Times New Roman"/>
        </w:rPr>
        <w:t>I</w:t>
      </w:r>
      <w:r w:rsidR="00BD7C6B" w:rsidRPr="00FB1BDB">
        <w:rPr>
          <w:rFonts w:ascii="Times New Roman" w:hAnsi="Times New Roman" w:cs="Times New Roman"/>
        </w:rPr>
        <w:t>t is the Commission’s responsibility to protect the public from the monopoly provider and to ensure that its rate regulation is consistent with state energy policy objectives</w:t>
      </w:r>
      <w:r w:rsidR="0038516A" w:rsidRPr="00FB1BDB">
        <w:rPr>
          <w:rFonts w:ascii="Times New Roman" w:hAnsi="Times New Roman" w:cs="Times New Roman"/>
        </w:rPr>
        <w:t xml:space="preserve"> of reducing consumption and promoting renewable energy resources</w:t>
      </w:r>
      <w:r w:rsidR="003D4453" w:rsidRPr="00FB1BDB">
        <w:rPr>
          <w:rFonts w:ascii="Times New Roman" w:hAnsi="Times New Roman" w:cs="Times New Roman"/>
        </w:rPr>
        <w:t xml:space="preserve">. </w:t>
      </w:r>
      <w:r w:rsidR="001A3D12" w:rsidRPr="00FB1BDB">
        <w:rPr>
          <w:rFonts w:ascii="Times New Roman" w:hAnsi="Times New Roman" w:cs="Times New Roman"/>
        </w:rPr>
        <w:t xml:space="preserve"> </w:t>
      </w:r>
      <w:r w:rsidR="00BD7C6B" w:rsidRPr="00FB1BDB">
        <w:rPr>
          <w:rFonts w:ascii="Times New Roman" w:hAnsi="Times New Roman" w:cs="Times New Roman"/>
        </w:rPr>
        <w:t xml:space="preserve">PacifiCorp has once again failed to demonstrate that a dramatic increase to the residential fixed charge is just or reasonable and has put forward no alternative proposals.  As such, the Commission should reject the Company’s proposed </w:t>
      </w:r>
      <w:r w:rsidR="00550678" w:rsidRPr="00FB1BDB">
        <w:rPr>
          <w:rFonts w:ascii="Times New Roman" w:hAnsi="Times New Roman" w:cs="Times New Roman"/>
        </w:rPr>
        <w:t xml:space="preserve">81% </w:t>
      </w:r>
      <w:r w:rsidR="00BD7C6B" w:rsidRPr="00FB1BDB">
        <w:rPr>
          <w:rFonts w:ascii="Times New Roman" w:hAnsi="Times New Roman" w:cs="Times New Roman"/>
        </w:rPr>
        <w:t xml:space="preserve">basic charge increase and </w:t>
      </w:r>
      <w:r w:rsidR="009E19C7" w:rsidRPr="00FB1BDB">
        <w:rPr>
          <w:rFonts w:ascii="Times New Roman" w:hAnsi="Times New Roman" w:cs="Times New Roman"/>
        </w:rPr>
        <w:t>encourage</w:t>
      </w:r>
      <w:r w:rsidR="00BD7C6B" w:rsidRPr="00FB1BDB">
        <w:rPr>
          <w:rFonts w:ascii="Times New Roman" w:hAnsi="Times New Roman" w:cs="Times New Roman"/>
        </w:rPr>
        <w:t xml:space="preserve"> </w:t>
      </w:r>
      <w:r w:rsidR="00F53600" w:rsidRPr="00FB1BDB">
        <w:rPr>
          <w:rFonts w:ascii="Times New Roman" w:hAnsi="Times New Roman" w:cs="Times New Roman"/>
        </w:rPr>
        <w:t>the Company</w:t>
      </w:r>
      <w:r w:rsidR="00BD7C6B" w:rsidRPr="00FB1BDB">
        <w:rPr>
          <w:rFonts w:ascii="Times New Roman" w:hAnsi="Times New Roman" w:cs="Times New Roman"/>
        </w:rPr>
        <w:t xml:space="preserve"> to a file a separate application to address fixed cost recovery through a method that is consistent </w:t>
      </w:r>
      <w:r w:rsidR="008E7710" w:rsidRPr="00FB1BDB">
        <w:rPr>
          <w:rFonts w:ascii="Times New Roman" w:hAnsi="Times New Roman" w:cs="Times New Roman"/>
        </w:rPr>
        <w:t xml:space="preserve">with </w:t>
      </w:r>
      <w:r w:rsidR="00BD7C6B" w:rsidRPr="00FB1BDB">
        <w:rPr>
          <w:rFonts w:ascii="Times New Roman" w:hAnsi="Times New Roman" w:cs="Times New Roman"/>
        </w:rPr>
        <w:t xml:space="preserve">state energy policies, </w:t>
      </w:r>
      <w:r w:rsidR="0038516A" w:rsidRPr="00FB1BDB">
        <w:rPr>
          <w:rFonts w:ascii="Times New Roman" w:hAnsi="Times New Roman" w:cs="Times New Roman"/>
        </w:rPr>
        <w:t>responds to customer needs</w:t>
      </w:r>
      <w:r w:rsidR="00550678" w:rsidRPr="00FB1BDB">
        <w:rPr>
          <w:rFonts w:ascii="Times New Roman" w:hAnsi="Times New Roman" w:cs="Times New Roman"/>
        </w:rPr>
        <w:t xml:space="preserve">, and adheres to the fundamental </w:t>
      </w:r>
      <w:r w:rsidR="00BD7C6B" w:rsidRPr="00FB1BDB">
        <w:rPr>
          <w:rFonts w:ascii="Times New Roman" w:hAnsi="Times New Roman" w:cs="Times New Roman"/>
        </w:rPr>
        <w:t xml:space="preserve">principles of rate </w:t>
      </w:r>
      <w:r w:rsidR="00132465" w:rsidRPr="00FB1BDB">
        <w:rPr>
          <w:rFonts w:ascii="Times New Roman" w:hAnsi="Times New Roman" w:cs="Times New Roman"/>
        </w:rPr>
        <w:t>design.</w:t>
      </w:r>
    </w:p>
    <w:p w14:paraId="0296989E" w14:textId="3FA6A347" w:rsidR="00970239" w:rsidRPr="00FB1BDB" w:rsidRDefault="00FB1BDB" w:rsidP="009D0AE6">
      <w:pPr>
        <w:pStyle w:val="ListParagraph"/>
        <w:numPr>
          <w:ilvl w:val="1"/>
          <w:numId w:val="36"/>
        </w:numPr>
        <w:tabs>
          <w:tab w:val="left" w:pos="630"/>
        </w:tabs>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70239" w:rsidRPr="00FB1BDB">
        <w:rPr>
          <w:rFonts w:ascii="Times New Roman" w:hAnsi="Times New Roman" w:cs="Times New Roman"/>
        </w:rPr>
        <w:t>If the Commission nevertheless decides that an increase to the residential basic charge is justified in this proceeding, than it should only allow such a charge to be based on actual customer related costs, not to exceed $9.00 per month.  The Commission should als</w:t>
      </w:r>
      <w:r w:rsidR="00B97653" w:rsidRPr="00FB1BDB">
        <w:rPr>
          <w:rFonts w:ascii="Times New Roman" w:hAnsi="Times New Roman" w:cs="Times New Roman"/>
        </w:rPr>
        <w:t>o</w:t>
      </w:r>
      <w:r w:rsidR="00970239" w:rsidRPr="00FB1BDB">
        <w:rPr>
          <w:rFonts w:ascii="Times New Roman" w:hAnsi="Times New Roman" w:cs="Times New Roman"/>
        </w:rPr>
        <w:t xml:space="preserve"> heed the </w:t>
      </w:r>
      <w:r w:rsidR="00970239" w:rsidRPr="00FB1BDB">
        <w:rPr>
          <w:rFonts w:ascii="Times New Roman" w:hAnsi="Times New Roman" w:cs="Times New Roman"/>
        </w:rPr>
        <w:lastRenderedPageBreak/>
        <w:t xml:space="preserve">advice of Staff and instruct the Company not to propose demand charges for DG customers in its next rate case.  Finally, the Commission should adopt Staff’s proposal to move to a three-tier rate design for residential customers.    </w:t>
      </w:r>
    </w:p>
    <w:p w14:paraId="181A96B9" w14:textId="77777777" w:rsidR="00132465" w:rsidRPr="00F954C7" w:rsidRDefault="00132465" w:rsidP="00C20DBB">
      <w:pPr>
        <w:rPr>
          <w:rFonts w:ascii="Times New Roman" w:hAnsi="Times New Roman" w:cs="Times New Roman"/>
          <w:b/>
        </w:rPr>
      </w:pPr>
    </w:p>
    <w:p w14:paraId="26FC78B5" w14:textId="6C659C22" w:rsidR="00BD7C6B" w:rsidRPr="00F954C7" w:rsidRDefault="001947A4" w:rsidP="00BD7C6B">
      <w:pPr>
        <w:pStyle w:val="ListParagraph"/>
        <w:numPr>
          <w:ilvl w:val="0"/>
          <w:numId w:val="1"/>
        </w:numPr>
        <w:rPr>
          <w:rFonts w:ascii="Times New Roman" w:hAnsi="Times New Roman" w:cs="Times New Roman"/>
          <w:b/>
        </w:rPr>
      </w:pPr>
      <w:r w:rsidRPr="00F954C7">
        <w:rPr>
          <w:rFonts w:ascii="Times New Roman" w:hAnsi="Times New Roman" w:cs="Times New Roman"/>
          <w:b/>
        </w:rPr>
        <w:t xml:space="preserve">PacifiCorp’s Proposed 81% Increase to the Residential Customer Charge </w:t>
      </w:r>
      <w:r w:rsidR="00132465" w:rsidRPr="00F954C7">
        <w:rPr>
          <w:rFonts w:ascii="Times New Roman" w:hAnsi="Times New Roman" w:cs="Times New Roman"/>
          <w:b/>
        </w:rPr>
        <w:t xml:space="preserve">Is Not a Reasonable Approach to Addressing </w:t>
      </w:r>
      <w:r w:rsidR="00906589" w:rsidRPr="00F954C7">
        <w:rPr>
          <w:rFonts w:ascii="Times New Roman" w:hAnsi="Times New Roman" w:cs="Times New Roman"/>
          <w:b/>
        </w:rPr>
        <w:t>Fixed Cost Recovery Issues</w:t>
      </w:r>
      <w:r w:rsidR="00132465" w:rsidRPr="00F954C7">
        <w:rPr>
          <w:rFonts w:ascii="Times New Roman" w:hAnsi="Times New Roman" w:cs="Times New Roman"/>
          <w:b/>
        </w:rPr>
        <w:t xml:space="preserve"> </w:t>
      </w:r>
      <w:r w:rsidR="00AB279D" w:rsidRPr="00F954C7">
        <w:rPr>
          <w:rFonts w:ascii="Times New Roman" w:hAnsi="Times New Roman" w:cs="Times New Roman"/>
          <w:b/>
        </w:rPr>
        <w:t xml:space="preserve">And Is Inconsistent With </w:t>
      </w:r>
      <w:r w:rsidR="00BF4B90" w:rsidRPr="00F954C7">
        <w:rPr>
          <w:rFonts w:ascii="Times New Roman" w:hAnsi="Times New Roman" w:cs="Times New Roman"/>
          <w:b/>
        </w:rPr>
        <w:t>Th</w:t>
      </w:r>
      <w:r w:rsidR="00BF4B90">
        <w:rPr>
          <w:rFonts w:ascii="Times New Roman" w:hAnsi="Times New Roman" w:cs="Times New Roman"/>
          <w:b/>
        </w:rPr>
        <w:t>e</w:t>
      </w:r>
      <w:r w:rsidR="00BF4B90" w:rsidRPr="00F954C7">
        <w:rPr>
          <w:rFonts w:ascii="Times New Roman" w:hAnsi="Times New Roman" w:cs="Times New Roman"/>
          <w:b/>
        </w:rPr>
        <w:t xml:space="preserve"> </w:t>
      </w:r>
      <w:r w:rsidR="00AB279D" w:rsidRPr="00F954C7">
        <w:rPr>
          <w:rFonts w:ascii="Times New Roman" w:hAnsi="Times New Roman" w:cs="Times New Roman"/>
          <w:b/>
        </w:rPr>
        <w:t>Commission’s Past Practice</w:t>
      </w:r>
    </w:p>
    <w:p w14:paraId="4090581D" w14:textId="77777777" w:rsidR="00132465" w:rsidRPr="00F954C7" w:rsidRDefault="00132465" w:rsidP="00132465">
      <w:pPr>
        <w:pStyle w:val="ListParagraph"/>
        <w:rPr>
          <w:rFonts w:ascii="Times New Roman" w:hAnsi="Times New Roman" w:cs="Times New Roman"/>
          <w:b/>
        </w:rPr>
      </w:pPr>
    </w:p>
    <w:p w14:paraId="50B87CB0" w14:textId="28F882F1" w:rsidR="00906589" w:rsidRPr="005C6154" w:rsidRDefault="00E937BF" w:rsidP="00FD1012">
      <w:pPr>
        <w:pStyle w:val="ListParagraph"/>
        <w:numPr>
          <w:ilvl w:val="1"/>
          <w:numId w:val="6"/>
        </w:numPr>
        <w:tabs>
          <w:tab w:val="clear" w:pos="360"/>
          <w:tab w:val="num" w:pos="720"/>
        </w:tabs>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BD7C6B" w:rsidRPr="005C6154">
        <w:rPr>
          <w:rFonts w:ascii="Times New Roman" w:hAnsi="Times New Roman" w:cs="Times New Roman"/>
        </w:rPr>
        <w:t xml:space="preserve">While the utility landscape may be entering a period of transformation, PacifiCorp is still the monopoly utility provider with an obligation to serve.  Penetrations of </w:t>
      </w:r>
      <w:r w:rsidR="00463A40" w:rsidRPr="005C6154">
        <w:rPr>
          <w:rFonts w:ascii="Times New Roman" w:hAnsi="Times New Roman" w:cs="Times New Roman"/>
        </w:rPr>
        <w:t>DG</w:t>
      </w:r>
      <w:r w:rsidR="00550678" w:rsidRPr="005C6154">
        <w:rPr>
          <w:rFonts w:ascii="Times New Roman" w:hAnsi="Times New Roman" w:cs="Times New Roman"/>
        </w:rPr>
        <w:t xml:space="preserve"> </w:t>
      </w:r>
      <w:r w:rsidR="00BF4B90" w:rsidRPr="005C6154">
        <w:rPr>
          <w:rFonts w:ascii="Times New Roman" w:hAnsi="Times New Roman" w:cs="Times New Roman"/>
        </w:rPr>
        <w:t>within the Company’s service territory are</w:t>
      </w:r>
      <w:r w:rsidR="00BD7C6B" w:rsidRPr="005C6154">
        <w:rPr>
          <w:rFonts w:ascii="Times New Roman" w:hAnsi="Times New Roman" w:cs="Times New Roman"/>
        </w:rPr>
        <w:t xml:space="preserve"> </w:t>
      </w:r>
      <w:r w:rsidR="009E19C7" w:rsidRPr="005C6154">
        <w:rPr>
          <w:rFonts w:ascii="Times New Roman" w:hAnsi="Times New Roman" w:cs="Times New Roman"/>
        </w:rPr>
        <w:t xml:space="preserve">very </w:t>
      </w:r>
      <w:r w:rsidR="00BD7C6B" w:rsidRPr="005C6154">
        <w:rPr>
          <w:rFonts w:ascii="Times New Roman" w:hAnsi="Times New Roman" w:cs="Times New Roman"/>
        </w:rPr>
        <w:t>low while the Company continues to see electricity sales increase year over year.</w:t>
      </w:r>
      <w:r w:rsidR="00550678" w:rsidRPr="00F954C7">
        <w:rPr>
          <w:rStyle w:val="FootnoteReference"/>
          <w:rFonts w:ascii="Times New Roman" w:hAnsi="Times New Roman" w:cs="Times New Roman"/>
        </w:rPr>
        <w:footnoteReference w:id="1"/>
      </w:r>
      <w:r w:rsidR="00BD7C6B" w:rsidRPr="005C6154">
        <w:rPr>
          <w:rFonts w:ascii="Times New Roman" w:hAnsi="Times New Roman" w:cs="Times New Roman"/>
        </w:rPr>
        <w:t xml:space="preserve"> </w:t>
      </w:r>
      <w:r w:rsidR="00550678" w:rsidRPr="005C6154">
        <w:rPr>
          <w:rFonts w:ascii="Times New Roman" w:hAnsi="Times New Roman" w:cs="Times New Roman"/>
        </w:rPr>
        <w:t xml:space="preserve"> </w:t>
      </w:r>
      <w:r w:rsidR="00BD7C6B" w:rsidRPr="005C6154">
        <w:rPr>
          <w:rFonts w:ascii="Times New Roman" w:hAnsi="Times New Roman" w:cs="Times New Roman"/>
        </w:rPr>
        <w:t xml:space="preserve">Because PacifiCorp’s </w:t>
      </w:r>
      <w:r w:rsidR="0038516A" w:rsidRPr="005C6154">
        <w:rPr>
          <w:rFonts w:ascii="Times New Roman" w:hAnsi="Times New Roman" w:cs="Times New Roman"/>
        </w:rPr>
        <w:t>monopoly electric</w:t>
      </w:r>
      <w:r w:rsidR="00132465" w:rsidRPr="005C6154">
        <w:rPr>
          <w:rFonts w:ascii="Times New Roman" w:hAnsi="Times New Roman" w:cs="Times New Roman"/>
        </w:rPr>
        <w:t xml:space="preserve"> utility </w:t>
      </w:r>
      <w:r w:rsidR="00BD7C6B" w:rsidRPr="005C6154">
        <w:rPr>
          <w:rFonts w:ascii="Times New Roman" w:hAnsi="Times New Roman" w:cs="Times New Roman"/>
        </w:rPr>
        <w:t xml:space="preserve">business remains substantially the same as it has been for </w:t>
      </w:r>
      <w:r w:rsidR="00A33C64" w:rsidRPr="005C6154">
        <w:rPr>
          <w:rFonts w:ascii="Times New Roman" w:hAnsi="Times New Roman" w:cs="Times New Roman"/>
        </w:rPr>
        <w:t xml:space="preserve">the past </w:t>
      </w:r>
      <w:r w:rsidR="00BD7C6B" w:rsidRPr="005C6154">
        <w:rPr>
          <w:rFonts w:ascii="Times New Roman" w:hAnsi="Times New Roman" w:cs="Times New Roman"/>
        </w:rPr>
        <w:t xml:space="preserve">100 years, </w:t>
      </w:r>
      <w:r w:rsidR="008113B8" w:rsidRPr="005C6154">
        <w:rPr>
          <w:rFonts w:ascii="Times New Roman" w:hAnsi="Times New Roman" w:cs="Times New Roman"/>
        </w:rPr>
        <w:t>the Commission should continue to adhere to</w:t>
      </w:r>
      <w:r w:rsidR="00BD7C6B" w:rsidRPr="005C6154">
        <w:rPr>
          <w:rFonts w:ascii="Times New Roman" w:hAnsi="Times New Roman" w:cs="Times New Roman"/>
        </w:rPr>
        <w:t xml:space="preserve"> fundamental </w:t>
      </w:r>
      <w:r w:rsidR="00132465" w:rsidRPr="005C6154">
        <w:rPr>
          <w:rFonts w:ascii="Times New Roman" w:hAnsi="Times New Roman" w:cs="Times New Roman"/>
        </w:rPr>
        <w:t xml:space="preserve">regulatory </w:t>
      </w:r>
      <w:r w:rsidR="00BD7C6B" w:rsidRPr="005C6154">
        <w:rPr>
          <w:rFonts w:ascii="Times New Roman" w:hAnsi="Times New Roman" w:cs="Times New Roman"/>
        </w:rPr>
        <w:t xml:space="preserve">principles </w:t>
      </w:r>
      <w:r w:rsidR="008113B8" w:rsidRPr="005C6154">
        <w:rPr>
          <w:rFonts w:ascii="Times New Roman" w:hAnsi="Times New Roman" w:cs="Times New Roman"/>
        </w:rPr>
        <w:t>when designing rates</w:t>
      </w:r>
      <w:r w:rsidR="00BD7C6B" w:rsidRPr="005C6154">
        <w:rPr>
          <w:rFonts w:ascii="Times New Roman" w:hAnsi="Times New Roman" w:cs="Times New Roman"/>
        </w:rPr>
        <w:t>.</w:t>
      </w:r>
      <w:r w:rsidR="008113B8" w:rsidRPr="005C6154">
        <w:rPr>
          <w:rFonts w:ascii="Times New Roman" w:hAnsi="Times New Roman" w:cs="Times New Roman"/>
        </w:rPr>
        <w:t xml:space="preserve">  </w:t>
      </w:r>
    </w:p>
    <w:p w14:paraId="2C0E5171" w14:textId="60C41B36" w:rsidR="00BD7C6B" w:rsidRPr="005C6154" w:rsidRDefault="00E937BF" w:rsidP="00FD1012">
      <w:pPr>
        <w:pStyle w:val="ListParagraph"/>
        <w:numPr>
          <w:ilvl w:val="1"/>
          <w:numId w:val="6"/>
        </w:numPr>
        <w:tabs>
          <w:tab w:val="clear" w:pos="360"/>
          <w:tab w:val="num" w:pos="720"/>
        </w:tabs>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8113B8" w:rsidRPr="005C6154">
        <w:rPr>
          <w:rFonts w:ascii="Times New Roman" w:hAnsi="Times New Roman" w:cs="Times New Roman"/>
        </w:rPr>
        <w:t>Where the Commission can advance state energy polices such as conversation, and promotion of renewable and alternative resources</w:t>
      </w:r>
      <w:r w:rsidR="00550678" w:rsidRPr="005C6154">
        <w:rPr>
          <w:rFonts w:ascii="Times New Roman" w:hAnsi="Times New Roman" w:cs="Times New Roman"/>
        </w:rPr>
        <w:t xml:space="preserve"> through rate design</w:t>
      </w:r>
      <w:r w:rsidR="008113B8" w:rsidRPr="005C6154">
        <w:rPr>
          <w:rFonts w:ascii="Times New Roman" w:hAnsi="Times New Roman" w:cs="Times New Roman"/>
        </w:rPr>
        <w:t xml:space="preserve">, </w:t>
      </w:r>
      <w:r w:rsidR="00550678" w:rsidRPr="005C6154">
        <w:rPr>
          <w:rFonts w:ascii="Times New Roman" w:hAnsi="Times New Roman" w:cs="Times New Roman"/>
        </w:rPr>
        <w:t>it</w:t>
      </w:r>
      <w:r w:rsidR="008113B8" w:rsidRPr="005C6154">
        <w:rPr>
          <w:rFonts w:ascii="Times New Roman" w:hAnsi="Times New Roman" w:cs="Times New Roman"/>
        </w:rPr>
        <w:t xml:space="preserve"> should.  </w:t>
      </w:r>
      <w:r w:rsidR="00906589" w:rsidRPr="005C6154">
        <w:rPr>
          <w:rFonts w:ascii="Times New Roman" w:hAnsi="Times New Roman" w:cs="Times New Roman"/>
        </w:rPr>
        <w:t xml:space="preserve">PacifiCorp has put forward one proposal to address its perceived fixed cost recovery problem: </w:t>
      </w:r>
      <w:r w:rsidR="00550678" w:rsidRPr="005C6154">
        <w:rPr>
          <w:rFonts w:ascii="Times New Roman" w:hAnsi="Times New Roman" w:cs="Times New Roman"/>
        </w:rPr>
        <w:t xml:space="preserve">dramatically </w:t>
      </w:r>
      <w:r w:rsidR="00906589" w:rsidRPr="005C6154">
        <w:rPr>
          <w:rFonts w:ascii="Times New Roman" w:hAnsi="Times New Roman" w:cs="Times New Roman"/>
        </w:rPr>
        <w:t xml:space="preserve">increase residential fixed charges.  </w:t>
      </w:r>
      <w:r w:rsidR="008113B8" w:rsidRPr="005C6154">
        <w:rPr>
          <w:rFonts w:ascii="Times New Roman" w:hAnsi="Times New Roman" w:cs="Times New Roman"/>
        </w:rPr>
        <w:t xml:space="preserve">Unfortunately PacifiCorp’s </w:t>
      </w:r>
      <w:r w:rsidR="00906589" w:rsidRPr="005C6154">
        <w:rPr>
          <w:rFonts w:ascii="Times New Roman" w:hAnsi="Times New Roman" w:cs="Times New Roman"/>
        </w:rPr>
        <w:t>proposal</w:t>
      </w:r>
      <w:r w:rsidR="008113B8" w:rsidRPr="005C6154">
        <w:rPr>
          <w:rFonts w:ascii="Times New Roman" w:hAnsi="Times New Roman" w:cs="Times New Roman"/>
        </w:rPr>
        <w:t xml:space="preserve"> </w:t>
      </w:r>
      <w:r w:rsidR="00132465" w:rsidRPr="005C6154">
        <w:rPr>
          <w:rFonts w:ascii="Times New Roman" w:hAnsi="Times New Roman" w:cs="Times New Roman"/>
        </w:rPr>
        <w:t>is not consistent with traditional regulatory principles, is not consistent with prior direction fr</w:t>
      </w:r>
      <w:r w:rsidR="003D4453" w:rsidRPr="005C6154">
        <w:rPr>
          <w:rFonts w:ascii="Times New Roman" w:hAnsi="Times New Roman" w:cs="Times New Roman"/>
        </w:rPr>
        <w:t>o</w:t>
      </w:r>
      <w:r w:rsidR="00132465" w:rsidRPr="005C6154">
        <w:rPr>
          <w:rFonts w:ascii="Times New Roman" w:hAnsi="Times New Roman" w:cs="Times New Roman"/>
        </w:rPr>
        <w:t>m this Commission, and fails to advance Washington’s energy policies.  As such the Commission should reject it.</w:t>
      </w:r>
    </w:p>
    <w:p w14:paraId="298D4D0A" w14:textId="17703625" w:rsidR="00906589" w:rsidRPr="00F954C7" w:rsidRDefault="0038516A" w:rsidP="00906589">
      <w:pPr>
        <w:pStyle w:val="ListParagraph"/>
        <w:numPr>
          <w:ilvl w:val="1"/>
          <w:numId w:val="1"/>
        </w:numPr>
        <w:rPr>
          <w:rFonts w:ascii="Times New Roman" w:hAnsi="Times New Roman" w:cs="Times New Roman"/>
          <w:b/>
        </w:rPr>
      </w:pPr>
      <w:r w:rsidRPr="00F954C7">
        <w:rPr>
          <w:rFonts w:ascii="Times New Roman" w:hAnsi="Times New Roman" w:cs="Times New Roman"/>
          <w:b/>
        </w:rPr>
        <w:t xml:space="preserve">PacifiCorp and Staff Falsely </w:t>
      </w:r>
      <w:r w:rsidR="00906589" w:rsidRPr="00F954C7">
        <w:rPr>
          <w:rFonts w:ascii="Times New Roman" w:hAnsi="Times New Roman" w:cs="Times New Roman"/>
          <w:b/>
        </w:rPr>
        <w:t>Claim</w:t>
      </w:r>
      <w:r w:rsidRPr="00F954C7">
        <w:rPr>
          <w:rFonts w:ascii="Times New Roman" w:hAnsi="Times New Roman" w:cs="Times New Roman"/>
          <w:b/>
        </w:rPr>
        <w:t xml:space="preserve"> That </w:t>
      </w:r>
      <w:r w:rsidR="00906589" w:rsidRPr="00F954C7">
        <w:rPr>
          <w:rFonts w:ascii="Times New Roman" w:hAnsi="Times New Roman" w:cs="Times New Roman"/>
          <w:b/>
        </w:rPr>
        <w:t xml:space="preserve">Solar DG Customers are Partially Responsible </w:t>
      </w:r>
      <w:r w:rsidR="003D4453" w:rsidRPr="00F954C7">
        <w:rPr>
          <w:rFonts w:ascii="Times New Roman" w:hAnsi="Times New Roman" w:cs="Times New Roman"/>
          <w:b/>
        </w:rPr>
        <w:t xml:space="preserve">for </w:t>
      </w:r>
      <w:r w:rsidR="008E7710" w:rsidRPr="00F954C7">
        <w:rPr>
          <w:rFonts w:ascii="Times New Roman" w:hAnsi="Times New Roman" w:cs="Times New Roman"/>
          <w:b/>
        </w:rPr>
        <w:t>The Company’s Inability to R</w:t>
      </w:r>
      <w:r w:rsidRPr="00F954C7">
        <w:rPr>
          <w:rFonts w:ascii="Times New Roman" w:hAnsi="Times New Roman" w:cs="Times New Roman"/>
          <w:b/>
        </w:rPr>
        <w:t xml:space="preserve">ecover </w:t>
      </w:r>
      <w:r w:rsidR="008E7710" w:rsidRPr="00F954C7">
        <w:rPr>
          <w:rFonts w:ascii="Times New Roman" w:hAnsi="Times New Roman" w:cs="Times New Roman"/>
          <w:b/>
        </w:rPr>
        <w:t>F</w:t>
      </w:r>
      <w:r w:rsidRPr="00F954C7">
        <w:rPr>
          <w:rFonts w:ascii="Times New Roman" w:hAnsi="Times New Roman" w:cs="Times New Roman"/>
          <w:b/>
        </w:rPr>
        <w:t>ixed Costs Through Volumetric C</w:t>
      </w:r>
      <w:r w:rsidR="008E7710" w:rsidRPr="00F954C7">
        <w:rPr>
          <w:rFonts w:ascii="Times New Roman" w:hAnsi="Times New Roman" w:cs="Times New Roman"/>
          <w:b/>
        </w:rPr>
        <w:t>harges</w:t>
      </w:r>
      <w:r w:rsidR="00906589" w:rsidRPr="00F954C7">
        <w:rPr>
          <w:rFonts w:ascii="Times New Roman" w:hAnsi="Times New Roman" w:cs="Times New Roman"/>
          <w:b/>
        </w:rPr>
        <w:t xml:space="preserve"> </w:t>
      </w:r>
    </w:p>
    <w:p w14:paraId="7E8C9FED" w14:textId="77777777" w:rsidR="00A33C64" w:rsidRPr="00F954C7" w:rsidRDefault="00A33C64" w:rsidP="00A33C64">
      <w:pPr>
        <w:rPr>
          <w:rFonts w:ascii="Times New Roman" w:hAnsi="Times New Roman" w:cs="Times New Roman"/>
          <w:b/>
          <w:u w:val="single"/>
        </w:rPr>
      </w:pPr>
    </w:p>
    <w:p w14:paraId="5173E677" w14:textId="1723F563" w:rsidR="00A33C64" w:rsidRPr="00FD1012" w:rsidRDefault="00FD1012" w:rsidP="00FD1012">
      <w:pPr>
        <w:pStyle w:val="ListParagraph"/>
        <w:numPr>
          <w:ilvl w:val="0"/>
          <w:numId w:val="7"/>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A33C64" w:rsidRPr="00FD1012">
        <w:rPr>
          <w:rFonts w:ascii="Times New Roman" w:hAnsi="Times New Roman" w:cs="Times New Roman"/>
        </w:rPr>
        <w:t xml:space="preserve">In direct testimony, Company witness Steward asserts that </w:t>
      </w:r>
    </w:p>
    <w:p w14:paraId="2089DDE5" w14:textId="77777777" w:rsidR="00A33C64" w:rsidRPr="00F954C7" w:rsidRDefault="00A33C64" w:rsidP="00A33C64">
      <w:pPr>
        <w:rPr>
          <w:rFonts w:ascii="Times New Roman" w:hAnsi="Times New Roman" w:cs="Times New Roman"/>
        </w:rPr>
      </w:pPr>
    </w:p>
    <w:p w14:paraId="73E054C9" w14:textId="199DFAF1" w:rsidR="00A33C64" w:rsidRPr="00F954C7" w:rsidRDefault="00A33C64" w:rsidP="00A33C64">
      <w:pPr>
        <w:ind w:left="720" w:right="720"/>
        <w:jc w:val="both"/>
        <w:rPr>
          <w:rFonts w:ascii="Times New Roman" w:hAnsi="Times New Roman" w:cs="Times New Roman"/>
        </w:rPr>
      </w:pPr>
      <w:r w:rsidRPr="00F954C7">
        <w:rPr>
          <w:rFonts w:ascii="Times New Roman" w:hAnsi="Times New Roman" w:cs="Times New Roman"/>
        </w:rPr>
        <w:t xml:space="preserve">If the energy component of rates continues to be used as a mechanism to recover a large share of fixed costs, as it is presently for the residential class, this will result in greater intra-class subsidies where smaller users, </w:t>
      </w:r>
      <w:r w:rsidRPr="00F954C7">
        <w:rPr>
          <w:rFonts w:ascii="Times New Roman" w:hAnsi="Times New Roman" w:cs="Times New Roman"/>
          <w:b/>
          <w:i/>
        </w:rPr>
        <w:t>or net metering customers</w:t>
      </w:r>
      <w:r w:rsidRPr="00F954C7">
        <w:rPr>
          <w:rFonts w:ascii="Times New Roman" w:hAnsi="Times New Roman" w:cs="Times New Roman"/>
        </w:rPr>
        <w:t xml:space="preserve"> who receive a kWh credit against actual usage, fail to pay their fair share of fixed </w:t>
      </w:r>
      <w:r w:rsidRPr="00F954C7">
        <w:rPr>
          <w:rFonts w:ascii="Times New Roman" w:hAnsi="Times New Roman" w:cs="Times New Roman"/>
        </w:rPr>
        <w:lastRenderedPageBreak/>
        <w:t xml:space="preserve">costs.  As more customers install energy efficiency measures, </w:t>
      </w:r>
      <w:r w:rsidRPr="00F954C7">
        <w:rPr>
          <w:rFonts w:ascii="Times New Roman" w:hAnsi="Times New Roman" w:cs="Times New Roman"/>
          <w:b/>
          <w:i/>
        </w:rPr>
        <w:t>net metering, and other types of distributed generation systems</w:t>
      </w:r>
      <w:r w:rsidRPr="00F954C7">
        <w:rPr>
          <w:rFonts w:ascii="Times New Roman" w:hAnsi="Times New Roman" w:cs="Times New Roman"/>
        </w:rPr>
        <w:t xml:space="preserve">, this </w:t>
      </w:r>
      <w:r w:rsidRPr="00F954C7">
        <w:rPr>
          <w:rFonts w:ascii="Times New Roman" w:hAnsi="Times New Roman" w:cs="Times New Roman"/>
          <w:b/>
          <w:i/>
        </w:rPr>
        <w:t>will</w:t>
      </w:r>
      <w:r w:rsidRPr="00F954C7">
        <w:rPr>
          <w:rFonts w:ascii="Times New Roman" w:hAnsi="Times New Roman" w:cs="Times New Roman"/>
        </w:rPr>
        <w:t xml:space="preserve"> lead to additional subsidies within the residential class to pay the fixed costs of the distribution system, which places an unfair burden on other customers, including low income customers.</w:t>
      </w:r>
      <w:r w:rsidR="005D7C3F" w:rsidRPr="00F954C7">
        <w:rPr>
          <w:rStyle w:val="FootnoteReference"/>
          <w:rFonts w:ascii="Times New Roman" w:hAnsi="Times New Roman" w:cs="Times New Roman"/>
        </w:rPr>
        <w:footnoteReference w:id="2"/>
      </w:r>
      <w:r w:rsidRPr="00F954C7">
        <w:rPr>
          <w:rFonts w:ascii="Times New Roman" w:hAnsi="Times New Roman" w:cs="Times New Roman"/>
        </w:rPr>
        <w:t xml:space="preserve">   </w:t>
      </w:r>
    </w:p>
    <w:p w14:paraId="545C1C8D" w14:textId="77777777" w:rsidR="00A33C64" w:rsidRPr="00F954C7" w:rsidRDefault="00A33C64" w:rsidP="00A33C64">
      <w:pPr>
        <w:ind w:right="720"/>
        <w:jc w:val="both"/>
        <w:rPr>
          <w:rFonts w:ascii="Times New Roman" w:hAnsi="Times New Roman" w:cs="Times New Roman"/>
        </w:rPr>
      </w:pPr>
    </w:p>
    <w:p w14:paraId="6CC04003" w14:textId="166CB8FE" w:rsidR="00A33C64" w:rsidRPr="00FD1012" w:rsidRDefault="00FD1012" w:rsidP="00FD1012">
      <w:pPr>
        <w:pStyle w:val="ListParagraph"/>
        <w:numPr>
          <w:ilvl w:val="1"/>
          <w:numId w:val="8"/>
        </w:numPr>
        <w:tabs>
          <w:tab w:val="clear" w:pos="360"/>
          <w:tab w:val="num" w:pos="720"/>
        </w:tabs>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33C64" w:rsidRPr="00FD1012">
        <w:rPr>
          <w:rFonts w:ascii="Times New Roman" w:hAnsi="Times New Roman" w:cs="Times New Roman"/>
        </w:rPr>
        <w:t xml:space="preserve">Staff’s witness, Mr. Jeremy Twitchell similarly </w:t>
      </w:r>
      <w:r w:rsidR="00B37EDA" w:rsidRPr="00FD1012">
        <w:rPr>
          <w:rFonts w:ascii="Times New Roman" w:hAnsi="Times New Roman" w:cs="Times New Roman"/>
        </w:rPr>
        <w:t>states</w:t>
      </w:r>
      <w:r w:rsidR="00C44717" w:rsidRPr="00FD1012">
        <w:rPr>
          <w:rFonts w:ascii="Times New Roman" w:hAnsi="Times New Roman" w:cs="Times New Roman"/>
        </w:rPr>
        <w:t xml:space="preserve"> that “slowing load growth due to increased end-use efficiencies </w:t>
      </w:r>
      <w:r w:rsidR="00C44717" w:rsidRPr="00FD1012">
        <w:rPr>
          <w:rFonts w:ascii="Times New Roman" w:hAnsi="Times New Roman" w:cs="Times New Roman"/>
          <w:i/>
        </w:rPr>
        <w:t xml:space="preserve">and distributed </w:t>
      </w:r>
      <w:r w:rsidR="005D7C3F" w:rsidRPr="00FD1012">
        <w:rPr>
          <w:rFonts w:ascii="Times New Roman" w:hAnsi="Times New Roman" w:cs="Times New Roman"/>
          <w:i/>
        </w:rPr>
        <w:t>generation</w:t>
      </w:r>
      <w:r w:rsidR="00C44717" w:rsidRPr="00FD1012">
        <w:rPr>
          <w:rFonts w:ascii="Times New Roman" w:hAnsi="Times New Roman" w:cs="Times New Roman"/>
        </w:rPr>
        <w:t xml:space="preserve">” have exposed underlying faults with volumetric </w:t>
      </w:r>
      <w:r w:rsidR="005D7C3F" w:rsidRPr="00FD1012">
        <w:rPr>
          <w:rFonts w:ascii="Times New Roman" w:hAnsi="Times New Roman" w:cs="Times New Roman"/>
        </w:rPr>
        <w:t>rates.</w:t>
      </w:r>
      <w:r w:rsidR="005D7C3F" w:rsidRPr="00F954C7">
        <w:rPr>
          <w:rStyle w:val="FootnoteReference"/>
          <w:rFonts w:ascii="Times New Roman" w:hAnsi="Times New Roman" w:cs="Times New Roman"/>
        </w:rPr>
        <w:footnoteReference w:id="3"/>
      </w:r>
      <w:r w:rsidR="005D7C3F" w:rsidRPr="00FD1012">
        <w:rPr>
          <w:rFonts w:ascii="Times New Roman" w:hAnsi="Times New Roman" w:cs="Times New Roman"/>
        </w:rPr>
        <w:t xml:space="preserve"> </w:t>
      </w:r>
      <w:r w:rsidR="00550678" w:rsidRPr="00FD1012">
        <w:rPr>
          <w:rFonts w:ascii="Times New Roman" w:hAnsi="Times New Roman" w:cs="Times New Roman"/>
        </w:rPr>
        <w:t xml:space="preserve"> </w:t>
      </w:r>
      <w:r w:rsidR="005D7C3F" w:rsidRPr="00FD1012">
        <w:rPr>
          <w:rFonts w:ascii="Times New Roman" w:hAnsi="Times New Roman" w:cs="Times New Roman"/>
        </w:rPr>
        <w:t>These bare assertion</w:t>
      </w:r>
      <w:r w:rsidR="00E630C3" w:rsidRPr="00FD1012">
        <w:rPr>
          <w:rFonts w:ascii="Times New Roman" w:hAnsi="Times New Roman" w:cs="Times New Roman"/>
        </w:rPr>
        <w:t>s</w:t>
      </w:r>
      <w:r w:rsidR="005D7C3F" w:rsidRPr="00FD1012">
        <w:rPr>
          <w:rFonts w:ascii="Times New Roman" w:hAnsi="Times New Roman" w:cs="Times New Roman"/>
        </w:rPr>
        <w:t xml:space="preserve"> that net metered customers have been, or </w:t>
      </w:r>
      <w:r w:rsidR="005D7C3F" w:rsidRPr="00FD1012">
        <w:rPr>
          <w:rFonts w:ascii="Times New Roman" w:hAnsi="Times New Roman" w:cs="Times New Roman"/>
          <w:i/>
        </w:rPr>
        <w:t>will in the future be,</w:t>
      </w:r>
      <w:r w:rsidR="005D7C3F" w:rsidRPr="00FD1012">
        <w:rPr>
          <w:rFonts w:ascii="Times New Roman" w:hAnsi="Times New Roman" w:cs="Times New Roman"/>
        </w:rPr>
        <w:t xml:space="preserve"> partially response for the Company’s inability to recover its fixed costs </w:t>
      </w:r>
      <w:r w:rsidR="003D4453" w:rsidRPr="00FD1012">
        <w:rPr>
          <w:rFonts w:ascii="Times New Roman" w:hAnsi="Times New Roman" w:cs="Times New Roman"/>
        </w:rPr>
        <w:t>are</w:t>
      </w:r>
      <w:r w:rsidR="005D7C3F" w:rsidRPr="00FD1012">
        <w:rPr>
          <w:rFonts w:ascii="Times New Roman" w:hAnsi="Times New Roman" w:cs="Times New Roman"/>
        </w:rPr>
        <w:t xml:space="preserve"> speculative and unsupported by the evidence in the record.  </w:t>
      </w:r>
    </w:p>
    <w:p w14:paraId="182909A5" w14:textId="640197ED" w:rsidR="00E630C3" w:rsidRPr="00FD1012" w:rsidRDefault="00FD1012" w:rsidP="00FD1012">
      <w:pPr>
        <w:pStyle w:val="ListParagraph"/>
        <w:numPr>
          <w:ilvl w:val="1"/>
          <w:numId w:val="8"/>
        </w:numPr>
        <w:tabs>
          <w:tab w:val="clear" w:pos="360"/>
          <w:tab w:val="num" w:pos="720"/>
        </w:tabs>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4D1627" w:rsidRPr="00FD1012">
        <w:rPr>
          <w:rFonts w:ascii="Times New Roman" w:hAnsi="Times New Roman" w:cs="Times New Roman"/>
        </w:rPr>
        <w:t>As of October 31</w:t>
      </w:r>
      <w:r w:rsidR="00E630C3" w:rsidRPr="00FD1012">
        <w:rPr>
          <w:rFonts w:ascii="Times New Roman" w:hAnsi="Times New Roman" w:cs="Times New Roman"/>
        </w:rPr>
        <w:t>, 2014</w:t>
      </w:r>
      <w:r w:rsidR="00C447AC" w:rsidRPr="00FD1012">
        <w:rPr>
          <w:rFonts w:ascii="Times New Roman" w:hAnsi="Times New Roman" w:cs="Times New Roman"/>
        </w:rPr>
        <w:t xml:space="preserve">, </w:t>
      </w:r>
      <w:r w:rsidR="00E630C3" w:rsidRPr="00FD1012">
        <w:rPr>
          <w:rFonts w:ascii="Times New Roman" w:hAnsi="Times New Roman" w:cs="Times New Roman"/>
        </w:rPr>
        <w:t xml:space="preserve">PacifiCorp had </w:t>
      </w:r>
      <w:r w:rsidR="00C447AC" w:rsidRPr="00FD1012">
        <w:rPr>
          <w:rFonts w:ascii="Times New Roman" w:hAnsi="Times New Roman" w:cs="Times New Roman"/>
        </w:rPr>
        <w:t xml:space="preserve">only </w:t>
      </w:r>
      <w:r w:rsidR="00E630C3" w:rsidRPr="00FD1012">
        <w:rPr>
          <w:rFonts w:ascii="Times New Roman" w:hAnsi="Times New Roman" w:cs="Times New Roman"/>
        </w:rPr>
        <w:t>227 net-metered customers.</w:t>
      </w:r>
      <w:r w:rsidR="00E14D2C" w:rsidRPr="00F954C7">
        <w:rPr>
          <w:rStyle w:val="FootnoteReference"/>
          <w:rFonts w:ascii="Times New Roman" w:hAnsi="Times New Roman" w:cs="Times New Roman"/>
        </w:rPr>
        <w:footnoteReference w:id="4"/>
      </w:r>
      <w:r w:rsidR="00E630C3" w:rsidRPr="00FD1012">
        <w:rPr>
          <w:rFonts w:ascii="Times New Roman" w:hAnsi="Times New Roman" w:cs="Times New Roman"/>
        </w:rPr>
        <w:t xml:space="preserve">  This represents only about </w:t>
      </w:r>
      <w:r w:rsidR="00F91F05" w:rsidRPr="00FD1012">
        <w:rPr>
          <w:rFonts w:ascii="Times New Roman" w:hAnsi="Times New Roman" w:cs="Times New Roman"/>
        </w:rPr>
        <w:t>.02</w:t>
      </w:r>
      <w:r w:rsidR="00E630C3" w:rsidRPr="00FD1012">
        <w:rPr>
          <w:rFonts w:ascii="Times New Roman" w:hAnsi="Times New Roman" w:cs="Times New Roman"/>
        </w:rPr>
        <w:t>% of the Company’s customers.</w:t>
      </w:r>
      <w:r w:rsidR="00F91F05" w:rsidRPr="00F954C7">
        <w:rPr>
          <w:rStyle w:val="FootnoteReference"/>
          <w:rFonts w:ascii="Times New Roman" w:hAnsi="Times New Roman" w:cs="Times New Roman"/>
        </w:rPr>
        <w:footnoteReference w:id="5"/>
      </w:r>
      <w:r w:rsidR="00E630C3" w:rsidRPr="00FD1012">
        <w:rPr>
          <w:rFonts w:ascii="Times New Roman" w:hAnsi="Times New Roman" w:cs="Times New Roman"/>
        </w:rPr>
        <w:t xml:space="preserve">  On cross-examination, Staff witness </w:t>
      </w:r>
      <w:r w:rsidR="007C3774" w:rsidRPr="00FD1012">
        <w:rPr>
          <w:rFonts w:ascii="Times New Roman" w:hAnsi="Times New Roman" w:cs="Times New Roman"/>
        </w:rPr>
        <w:t xml:space="preserve">Mr. </w:t>
      </w:r>
      <w:r w:rsidR="00E630C3" w:rsidRPr="00FD1012">
        <w:rPr>
          <w:rFonts w:ascii="Times New Roman" w:hAnsi="Times New Roman" w:cs="Times New Roman"/>
        </w:rPr>
        <w:t>Twitchell acknowledged that this is not a significant number of customers to impact Paci</w:t>
      </w:r>
      <w:r w:rsidR="00252452" w:rsidRPr="00FD1012">
        <w:rPr>
          <w:rFonts w:ascii="Times New Roman" w:hAnsi="Times New Roman" w:cs="Times New Roman"/>
        </w:rPr>
        <w:t>fi</w:t>
      </w:r>
      <w:r w:rsidR="00E630C3" w:rsidRPr="00FD1012">
        <w:rPr>
          <w:rFonts w:ascii="Times New Roman" w:hAnsi="Times New Roman" w:cs="Times New Roman"/>
        </w:rPr>
        <w:t>Corp’s ability to recover fixed costs.</w:t>
      </w:r>
      <w:r w:rsidR="00E630C3" w:rsidRPr="00F954C7">
        <w:rPr>
          <w:rStyle w:val="FootnoteReference"/>
          <w:rFonts w:ascii="Times New Roman" w:hAnsi="Times New Roman" w:cs="Times New Roman"/>
        </w:rPr>
        <w:footnoteReference w:id="6"/>
      </w:r>
      <w:r w:rsidR="00E14D2C" w:rsidRPr="00FD1012">
        <w:rPr>
          <w:rFonts w:ascii="Times New Roman" w:hAnsi="Times New Roman" w:cs="Times New Roman"/>
        </w:rPr>
        <w:t xml:space="preserve">  </w:t>
      </w:r>
    </w:p>
    <w:p w14:paraId="7BEB67A4" w14:textId="2C2E4D05" w:rsidR="00A33C64" w:rsidRPr="00FD1012" w:rsidRDefault="00FD1012" w:rsidP="00FD1012">
      <w:pPr>
        <w:pStyle w:val="ListParagraph"/>
        <w:numPr>
          <w:ilvl w:val="1"/>
          <w:numId w:val="8"/>
        </w:numPr>
        <w:tabs>
          <w:tab w:val="clear" w:pos="360"/>
          <w:tab w:val="num" w:pos="720"/>
        </w:tabs>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D92DDA" w:rsidRPr="00FD1012">
        <w:rPr>
          <w:rFonts w:ascii="Times New Roman" w:hAnsi="Times New Roman" w:cs="Times New Roman"/>
        </w:rPr>
        <w:t>In rebuttal t</w:t>
      </w:r>
      <w:r w:rsidR="00E14D2C" w:rsidRPr="00FD1012">
        <w:rPr>
          <w:rFonts w:ascii="Times New Roman" w:hAnsi="Times New Roman" w:cs="Times New Roman"/>
        </w:rPr>
        <w:t xml:space="preserve">estimony, Ms. Steward </w:t>
      </w:r>
      <w:r w:rsidR="00C447AC" w:rsidRPr="00FD1012">
        <w:rPr>
          <w:rFonts w:ascii="Times New Roman" w:hAnsi="Times New Roman" w:cs="Times New Roman"/>
        </w:rPr>
        <w:t xml:space="preserve">attempted </w:t>
      </w:r>
      <w:r w:rsidR="00E14D2C" w:rsidRPr="00FD1012">
        <w:rPr>
          <w:rFonts w:ascii="Times New Roman" w:hAnsi="Times New Roman" w:cs="Times New Roman"/>
        </w:rPr>
        <w:t xml:space="preserve">to paint a picture of </w:t>
      </w:r>
      <w:r w:rsidR="00C447AC" w:rsidRPr="00FD1012">
        <w:rPr>
          <w:rFonts w:ascii="Times New Roman" w:hAnsi="Times New Roman" w:cs="Times New Roman"/>
        </w:rPr>
        <w:t xml:space="preserve">a </w:t>
      </w:r>
      <w:r w:rsidR="00E14D2C" w:rsidRPr="00FD1012">
        <w:rPr>
          <w:rFonts w:ascii="Times New Roman" w:hAnsi="Times New Roman" w:cs="Times New Roman"/>
        </w:rPr>
        <w:t>rapidly changing market by noting that</w:t>
      </w:r>
      <w:r w:rsidR="00C447AC" w:rsidRPr="00FD1012">
        <w:rPr>
          <w:rFonts w:ascii="Times New Roman" w:hAnsi="Times New Roman" w:cs="Times New Roman"/>
        </w:rPr>
        <w:t xml:space="preserve"> in 2014</w:t>
      </w:r>
      <w:r w:rsidR="00E14D2C" w:rsidRPr="00FD1012">
        <w:rPr>
          <w:rFonts w:ascii="Times New Roman" w:hAnsi="Times New Roman" w:cs="Times New Roman"/>
        </w:rPr>
        <w:t xml:space="preserve"> the Company saw </w:t>
      </w:r>
      <w:r w:rsidR="00C447AC" w:rsidRPr="00FD1012">
        <w:rPr>
          <w:rFonts w:ascii="Times New Roman" w:hAnsi="Times New Roman" w:cs="Times New Roman"/>
        </w:rPr>
        <w:t xml:space="preserve">sixty percent </w:t>
      </w:r>
      <w:r w:rsidR="00E14D2C" w:rsidRPr="00FD1012">
        <w:rPr>
          <w:rFonts w:ascii="Times New Roman" w:hAnsi="Times New Roman" w:cs="Times New Roman"/>
        </w:rPr>
        <w:t xml:space="preserve">growth in </w:t>
      </w:r>
      <w:r w:rsidR="00C447AC" w:rsidRPr="00FD1012">
        <w:rPr>
          <w:rFonts w:ascii="Times New Roman" w:hAnsi="Times New Roman" w:cs="Times New Roman"/>
        </w:rPr>
        <w:t xml:space="preserve">its </w:t>
      </w:r>
      <w:r w:rsidR="00E14D2C" w:rsidRPr="00FD1012">
        <w:rPr>
          <w:rFonts w:ascii="Times New Roman" w:hAnsi="Times New Roman" w:cs="Times New Roman"/>
        </w:rPr>
        <w:t>number of net-metered customers.</w:t>
      </w:r>
      <w:r w:rsidR="00E14D2C" w:rsidRPr="00F954C7">
        <w:rPr>
          <w:rStyle w:val="FootnoteReference"/>
          <w:rFonts w:ascii="Times New Roman" w:hAnsi="Times New Roman" w:cs="Times New Roman"/>
        </w:rPr>
        <w:footnoteReference w:id="7"/>
      </w:r>
      <w:r w:rsidR="00550678" w:rsidRPr="00FD1012">
        <w:rPr>
          <w:rFonts w:ascii="Times New Roman" w:hAnsi="Times New Roman" w:cs="Times New Roman"/>
        </w:rPr>
        <w:t xml:space="preserve"> </w:t>
      </w:r>
      <w:r w:rsidR="009A208F" w:rsidRPr="00FD1012">
        <w:rPr>
          <w:rFonts w:ascii="Times New Roman" w:hAnsi="Times New Roman" w:cs="Times New Roman"/>
        </w:rPr>
        <w:t xml:space="preserve"> </w:t>
      </w:r>
      <w:r w:rsidR="00550678" w:rsidRPr="00FD1012">
        <w:rPr>
          <w:rFonts w:ascii="Times New Roman" w:hAnsi="Times New Roman" w:cs="Times New Roman"/>
        </w:rPr>
        <w:t xml:space="preserve">However, Ms. Steward </w:t>
      </w:r>
      <w:r w:rsidR="00C447AC" w:rsidRPr="00FD1012">
        <w:rPr>
          <w:rFonts w:ascii="Times New Roman" w:hAnsi="Times New Roman" w:cs="Times New Roman"/>
        </w:rPr>
        <w:t xml:space="preserve">failed </w:t>
      </w:r>
      <w:r w:rsidR="00E14D2C" w:rsidRPr="00FD1012">
        <w:rPr>
          <w:rFonts w:ascii="Times New Roman" w:hAnsi="Times New Roman" w:cs="Times New Roman"/>
        </w:rPr>
        <w:t>to acknowledge the very low overall number of ne</w:t>
      </w:r>
      <w:r w:rsidR="009E19C7" w:rsidRPr="00FD1012">
        <w:rPr>
          <w:rFonts w:ascii="Times New Roman" w:hAnsi="Times New Roman" w:cs="Times New Roman"/>
        </w:rPr>
        <w:t>t-metered customers and provided</w:t>
      </w:r>
      <w:r w:rsidR="00E14D2C" w:rsidRPr="00FD1012">
        <w:rPr>
          <w:rFonts w:ascii="Times New Roman" w:hAnsi="Times New Roman" w:cs="Times New Roman"/>
        </w:rPr>
        <w:t xml:space="preserve"> absolutely no evidence that such customers have substantially impacted the Company’s </w:t>
      </w:r>
      <w:r w:rsidR="00E14D2C" w:rsidRPr="00FD1012">
        <w:rPr>
          <w:rFonts w:ascii="Times New Roman" w:hAnsi="Times New Roman" w:cs="Times New Roman"/>
          <w:i/>
        </w:rPr>
        <w:t>present</w:t>
      </w:r>
      <w:r w:rsidR="00E14D2C" w:rsidRPr="00FD1012">
        <w:rPr>
          <w:rFonts w:ascii="Times New Roman" w:hAnsi="Times New Roman" w:cs="Times New Roman"/>
        </w:rPr>
        <w:t xml:space="preserve"> ability to recover its fixed costs.  </w:t>
      </w:r>
      <w:r w:rsidR="007E793A" w:rsidRPr="00FD1012">
        <w:rPr>
          <w:rFonts w:ascii="Times New Roman" w:hAnsi="Times New Roman" w:cs="Times New Roman"/>
        </w:rPr>
        <w:t>It</w:t>
      </w:r>
      <w:r w:rsidR="00E14D2C" w:rsidRPr="00FD1012">
        <w:rPr>
          <w:rFonts w:ascii="Times New Roman" w:hAnsi="Times New Roman" w:cs="Times New Roman"/>
        </w:rPr>
        <w:t xml:space="preserve"> may be true that the Company has been </w:t>
      </w:r>
      <w:r w:rsidR="007E793A" w:rsidRPr="00FD1012">
        <w:rPr>
          <w:rFonts w:ascii="Times New Roman" w:hAnsi="Times New Roman" w:cs="Times New Roman"/>
        </w:rPr>
        <w:t>un</w:t>
      </w:r>
      <w:r w:rsidR="00E14D2C" w:rsidRPr="00FD1012">
        <w:rPr>
          <w:rFonts w:ascii="Times New Roman" w:hAnsi="Times New Roman" w:cs="Times New Roman"/>
        </w:rPr>
        <w:t xml:space="preserve">able to earn its authorized rate of return in the recent past, </w:t>
      </w:r>
      <w:r w:rsidR="007E793A" w:rsidRPr="00FD1012">
        <w:rPr>
          <w:rFonts w:ascii="Times New Roman" w:hAnsi="Times New Roman" w:cs="Times New Roman"/>
        </w:rPr>
        <w:t xml:space="preserve">but </w:t>
      </w:r>
      <w:r w:rsidR="00E14D2C" w:rsidRPr="00FD1012">
        <w:rPr>
          <w:rFonts w:ascii="Times New Roman" w:hAnsi="Times New Roman" w:cs="Times New Roman"/>
        </w:rPr>
        <w:t>the Company fails to demonstrate that net metering is the cause, or even a substantial factor</w:t>
      </w:r>
      <w:r w:rsidR="00252452" w:rsidRPr="00FD1012">
        <w:rPr>
          <w:rFonts w:ascii="Times New Roman" w:hAnsi="Times New Roman" w:cs="Times New Roman"/>
        </w:rPr>
        <w:t xml:space="preserve"> in its failure</w:t>
      </w:r>
      <w:r w:rsidR="00E14D2C" w:rsidRPr="00FD1012">
        <w:rPr>
          <w:rFonts w:ascii="Times New Roman" w:hAnsi="Times New Roman" w:cs="Times New Roman"/>
        </w:rPr>
        <w:t xml:space="preserve">.  </w:t>
      </w:r>
    </w:p>
    <w:p w14:paraId="492B3E13" w14:textId="074D7E34" w:rsidR="00FC5B00" w:rsidRPr="00FD1012" w:rsidRDefault="00FD1012" w:rsidP="00FD1012">
      <w:pPr>
        <w:pStyle w:val="ListParagraph"/>
        <w:numPr>
          <w:ilvl w:val="1"/>
          <w:numId w:val="8"/>
        </w:numPr>
        <w:tabs>
          <w:tab w:val="clear" w:pos="360"/>
          <w:tab w:val="num" w:pos="720"/>
        </w:tabs>
        <w:spacing w:line="480" w:lineRule="auto"/>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252452" w:rsidRPr="00FD1012">
        <w:rPr>
          <w:rFonts w:ascii="Times New Roman" w:hAnsi="Times New Roman" w:cs="Times New Roman"/>
        </w:rPr>
        <w:t>Focusing on the possibility for future impact,</w:t>
      </w:r>
      <w:r w:rsidR="00EE6EB1" w:rsidRPr="00FD1012">
        <w:rPr>
          <w:rFonts w:ascii="Times New Roman" w:hAnsi="Times New Roman" w:cs="Times New Roman"/>
        </w:rPr>
        <w:t xml:space="preserve"> Ms. Steward mischaracterizes a </w:t>
      </w:r>
      <w:r w:rsidR="00FC5B00" w:rsidRPr="00FD1012">
        <w:rPr>
          <w:rFonts w:ascii="Times New Roman" w:hAnsi="Times New Roman" w:cs="Times New Roman"/>
        </w:rPr>
        <w:t xml:space="preserve">2011 Commission Report, </w:t>
      </w:r>
      <w:r w:rsidR="00252452" w:rsidRPr="00FD1012">
        <w:rPr>
          <w:rFonts w:ascii="Times New Roman" w:hAnsi="Times New Roman" w:cs="Times New Roman"/>
        </w:rPr>
        <w:t>en</w:t>
      </w:r>
      <w:r w:rsidR="00FC5B00" w:rsidRPr="00FD1012">
        <w:rPr>
          <w:rFonts w:ascii="Times New Roman" w:hAnsi="Times New Roman" w:cs="Times New Roman"/>
        </w:rPr>
        <w:t>titled “UTC Report on the Potential for Cost-Effective Distributed Generation in Areas Served by Investor Owned Utilities” (“2011 Report”)</w:t>
      </w:r>
      <w:r w:rsidR="00550678" w:rsidRPr="00FD1012">
        <w:rPr>
          <w:rFonts w:ascii="Times New Roman" w:hAnsi="Times New Roman" w:cs="Times New Roman"/>
        </w:rPr>
        <w:t>,</w:t>
      </w:r>
      <w:r w:rsidR="00FC5B00" w:rsidRPr="00FD1012">
        <w:rPr>
          <w:rFonts w:ascii="Times New Roman" w:hAnsi="Times New Roman" w:cs="Times New Roman"/>
        </w:rPr>
        <w:t xml:space="preserve"> and implies that the Commission has already found that DG results in a cost shift </w:t>
      </w:r>
      <w:r w:rsidR="00781432" w:rsidRPr="00FD1012">
        <w:rPr>
          <w:rFonts w:ascii="Times New Roman" w:hAnsi="Times New Roman" w:cs="Times New Roman"/>
        </w:rPr>
        <w:t>t</w:t>
      </w:r>
      <w:r w:rsidR="00FC5B00" w:rsidRPr="00FD1012">
        <w:rPr>
          <w:rFonts w:ascii="Times New Roman" w:hAnsi="Times New Roman" w:cs="Times New Roman"/>
        </w:rPr>
        <w:t>o non-generating customers</w:t>
      </w:r>
      <w:r w:rsidR="001D0913" w:rsidRPr="00FD1012">
        <w:rPr>
          <w:rFonts w:ascii="Times New Roman" w:hAnsi="Times New Roman" w:cs="Times New Roman"/>
        </w:rPr>
        <w:t xml:space="preserve"> and impact</w:t>
      </w:r>
      <w:r w:rsidR="00550678" w:rsidRPr="00FD1012">
        <w:rPr>
          <w:rFonts w:ascii="Times New Roman" w:hAnsi="Times New Roman" w:cs="Times New Roman"/>
        </w:rPr>
        <w:t>s the Company’s</w:t>
      </w:r>
      <w:r w:rsidR="001D0913" w:rsidRPr="00FD1012">
        <w:rPr>
          <w:rFonts w:ascii="Times New Roman" w:hAnsi="Times New Roman" w:cs="Times New Roman"/>
        </w:rPr>
        <w:t xml:space="preserve"> ability to recover fixed costs</w:t>
      </w:r>
      <w:r w:rsidR="00FC5B00" w:rsidRPr="00FD1012">
        <w:rPr>
          <w:rFonts w:ascii="Times New Roman" w:hAnsi="Times New Roman" w:cs="Times New Roman"/>
        </w:rPr>
        <w:t>.</w:t>
      </w:r>
      <w:r w:rsidR="001D0913" w:rsidRPr="00F954C7">
        <w:rPr>
          <w:rStyle w:val="FootnoteReference"/>
          <w:rFonts w:ascii="Times New Roman" w:hAnsi="Times New Roman" w:cs="Times New Roman"/>
        </w:rPr>
        <w:footnoteReference w:id="8"/>
      </w:r>
      <w:r w:rsidR="00FC5B00" w:rsidRPr="00FD1012">
        <w:rPr>
          <w:rFonts w:ascii="Times New Roman" w:hAnsi="Times New Roman" w:cs="Times New Roman"/>
        </w:rPr>
        <w:t xml:space="preserve">  </w:t>
      </w:r>
      <w:r w:rsidR="00550678" w:rsidRPr="00FD1012">
        <w:rPr>
          <w:rFonts w:ascii="Times New Roman" w:hAnsi="Times New Roman" w:cs="Times New Roman"/>
        </w:rPr>
        <w:t>However</w:t>
      </w:r>
      <w:r w:rsidR="00FC5B00" w:rsidRPr="00FD1012">
        <w:rPr>
          <w:rFonts w:ascii="Times New Roman" w:hAnsi="Times New Roman" w:cs="Times New Roman"/>
        </w:rPr>
        <w:t xml:space="preserve">, the 2011 Report was drafted by UTC Staff and merely explains several </w:t>
      </w:r>
      <w:r w:rsidR="001D0913" w:rsidRPr="00FD1012">
        <w:rPr>
          <w:rFonts w:ascii="Times New Roman" w:hAnsi="Times New Roman" w:cs="Times New Roman"/>
        </w:rPr>
        <w:t xml:space="preserve">general </w:t>
      </w:r>
      <w:r w:rsidR="00FC5B00" w:rsidRPr="00FD1012">
        <w:rPr>
          <w:rFonts w:ascii="Times New Roman" w:hAnsi="Times New Roman" w:cs="Times New Roman"/>
        </w:rPr>
        <w:t xml:space="preserve">policy goals in crafting </w:t>
      </w:r>
      <w:r w:rsidR="00550678" w:rsidRPr="00FD1012">
        <w:rPr>
          <w:rFonts w:ascii="Times New Roman" w:hAnsi="Times New Roman" w:cs="Times New Roman"/>
        </w:rPr>
        <w:t>DG</w:t>
      </w:r>
      <w:r w:rsidR="00FC5B00" w:rsidRPr="00FD1012">
        <w:rPr>
          <w:rFonts w:ascii="Times New Roman" w:hAnsi="Times New Roman" w:cs="Times New Roman"/>
        </w:rPr>
        <w:t xml:space="preserve"> policies</w:t>
      </w:r>
      <w:r w:rsidR="001D0913" w:rsidRPr="00FD1012">
        <w:rPr>
          <w:rFonts w:ascii="Times New Roman" w:hAnsi="Times New Roman" w:cs="Times New Roman"/>
        </w:rPr>
        <w:t xml:space="preserve"> that were identified by stakeholders</w:t>
      </w:r>
      <w:r w:rsidR="00FC5B00" w:rsidRPr="00FD1012">
        <w:rPr>
          <w:rFonts w:ascii="Times New Roman" w:hAnsi="Times New Roman" w:cs="Times New Roman"/>
        </w:rPr>
        <w:t>.</w:t>
      </w:r>
      <w:r w:rsidR="001D0913" w:rsidRPr="00F954C7">
        <w:rPr>
          <w:rStyle w:val="FootnoteReference"/>
          <w:rFonts w:ascii="Times New Roman" w:hAnsi="Times New Roman" w:cs="Times New Roman"/>
        </w:rPr>
        <w:footnoteReference w:id="9"/>
      </w:r>
      <w:r w:rsidR="00FC5B00" w:rsidRPr="00FD1012">
        <w:rPr>
          <w:rFonts w:ascii="Times New Roman" w:hAnsi="Times New Roman" w:cs="Times New Roman"/>
        </w:rPr>
        <w:t xml:space="preserve">  The </w:t>
      </w:r>
      <w:r w:rsidR="001D0913" w:rsidRPr="00FD1012">
        <w:rPr>
          <w:rFonts w:ascii="Times New Roman" w:hAnsi="Times New Roman" w:cs="Times New Roman"/>
        </w:rPr>
        <w:t>report</w:t>
      </w:r>
      <w:r w:rsidR="00FC5B00" w:rsidRPr="00FD1012">
        <w:rPr>
          <w:rFonts w:ascii="Times New Roman" w:hAnsi="Times New Roman" w:cs="Times New Roman"/>
        </w:rPr>
        <w:t xml:space="preserve"> does not represent a </w:t>
      </w:r>
      <w:r w:rsidR="001D0913" w:rsidRPr="00FD1012">
        <w:rPr>
          <w:rFonts w:ascii="Times New Roman" w:hAnsi="Times New Roman" w:cs="Times New Roman"/>
        </w:rPr>
        <w:t xml:space="preserve">general </w:t>
      </w:r>
      <w:r w:rsidR="00FC5B00" w:rsidRPr="00FD1012">
        <w:rPr>
          <w:rFonts w:ascii="Times New Roman" w:hAnsi="Times New Roman" w:cs="Times New Roman"/>
        </w:rPr>
        <w:t xml:space="preserve">Commission finding and it certainly does not </w:t>
      </w:r>
      <w:r w:rsidR="001D0913" w:rsidRPr="00FD1012">
        <w:rPr>
          <w:rFonts w:ascii="Times New Roman" w:hAnsi="Times New Roman" w:cs="Times New Roman"/>
        </w:rPr>
        <w:t>represent</w:t>
      </w:r>
      <w:r w:rsidR="00FC5B00" w:rsidRPr="00FD1012">
        <w:rPr>
          <w:rFonts w:ascii="Times New Roman" w:hAnsi="Times New Roman" w:cs="Times New Roman"/>
        </w:rPr>
        <w:t xml:space="preserve"> any findings with regard to net metering’s impact on </w:t>
      </w:r>
      <w:r w:rsidR="001D0913" w:rsidRPr="00FD1012">
        <w:rPr>
          <w:rFonts w:ascii="Times New Roman" w:hAnsi="Times New Roman" w:cs="Times New Roman"/>
        </w:rPr>
        <w:t>PacifiCorp’s</w:t>
      </w:r>
      <w:r w:rsidR="00550678" w:rsidRPr="00FD1012">
        <w:rPr>
          <w:rFonts w:ascii="Times New Roman" w:hAnsi="Times New Roman" w:cs="Times New Roman"/>
        </w:rPr>
        <w:t xml:space="preserve"> specific</w:t>
      </w:r>
      <w:r w:rsidR="00FC5B00" w:rsidRPr="00FD1012">
        <w:rPr>
          <w:rFonts w:ascii="Times New Roman" w:hAnsi="Times New Roman" w:cs="Times New Roman"/>
        </w:rPr>
        <w:t xml:space="preserve"> </w:t>
      </w:r>
      <w:r w:rsidR="00BB3714" w:rsidRPr="00FD1012">
        <w:rPr>
          <w:rFonts w:ascii="Times New Roman" w:hAnsi="Times New Roman" w:cs="Times New Roman"/>
        </w:rPr>
        <w:t>ability to recov</w:t>
      </w:r>
      <w:r w:rsidR="001D0913" w:rsidRPr="00FD1012">
        <w:rPr>
          <w:rFonts w:ascii="Times New Roman" w:hAnsi="Times New Roman" w:cs="Times New Roman"/>
        </w:rPr>
        <w:t xml:space="preserve">er </w:t>
      </w:r>
      <w:r w:rsidR="00BB3714" w:rsidRPr="00FD1012">
        <w:rPr>
          <w:rFonts w:ascii="Times New Roman" w:hAnsi="Times New Roman" w:cs="Times New Roman"/>
          <w:i/>
        </w:rPr>
        <w:t>its</w:t>
      </w:r>
      <w:r w:rsidR="00BB3714" w:rsidRPr="00FD1012">
        <w:rPr>
          <w:rFonts w:ascii="Times New Roman" w:hAnsi="Times New Roman" w:cs="Times New Roman"/>
        </w:rPr>
        <w:t xml:space="preserve"> </w:t>
      </w:r>
      <w:r w:rsidR="001D0913" w:rsidRPr="00FD1012">
        <w:rPr>
          <w:rFonts w:ascii="Times New Roman" w:hAnsi="Times New Roman" w:cs="Times New Roman"/>
        </w:rPr>
        <w:t>fixed costs</w:t>
      </w:r>
      <w:r w:rsidR="00FC5B00" w:rsidRPr="00FD1012">
        <w:rPr>
          <w:rFonts w:ascii="Times New Roman" w:hAnsi="Times New Roman" w:cs="Times New Roman"/>
        </w:rPr>
        <w:t xml:space="preserve">. </w:t>
      </w:r>
      <w:r w:rsidR="001D0913" w:rsidRPr="00FD1012">
        <w:rPr>
          <w:rFonts w:ascii="Times New Roman" w:hAnsi="Times New Roman" w:cs="Times New Roman"/>
        </w:rPr>
        <w:t xml:space="preserve"> </w:t>
      </w:r>
      <w:r w:rsidR="00BB3714" w:rsidRPr="00FD1012">
        <w:rPr>
          <w:rFonts w:ascii="Times New Roman" w:hAnsi="Times New Roman" w:cs="Times New Roman"/>
        </w:rPr>
        <w:t xml:space="preserve">Even if the Commission did make a general policy finding, it is still the Company’s burden to show in this rate case proceeding that </w:t>
      </w:r>
      <w:r w:rsidR="00BB3714" w:rsidRPr="00FD1012">
        <w:rPr>
          <w:rFonts w:ascii="Times New Roman" w:hAnsi="Times New Roman" w:cs="Times New Roman"/>
          <w:i/>
        </w:rPr>
        <w:t>its</w:t>
      </w:r>
      <w:r w:rsidR="00BB3714" w:rsidRPr="00FD1012">
        <w:rPr>
          <w:rFonts w:ascii="Times New Roman" w:hAnsi="Times New Roman" w:cs="Times New Roman"/>
        </w:rPr>
        <w:t xml:space="preserve"> proposed basic charge is reasonable.</w:t>
      </w:r>
      <w:r w:rsidR="00D92DDA" w:rsidRPr="00F954C7">
        <w:rPr>
          <w:rStyle w:val="FootnoteReference"/>
          <w:rFonts w:ascii="Times New Roman" w:hAnsi="Times New Roman" w:cs="Times New Roman"/>
        </w:rPr>
        <w:footnoteReference w:id="10"/>
      </w:r>
      <w:r w:rsidR="00BB3714" w:rsidRPr="00FD1012">
        <w:rPr>
          <w:rFonts w:ascii="Times New Roman" w:hAnsi="Times New Roman" w:cs="Times New Roman"/>
        </w:rPr>
        <w:t xml:space="preserve">  Because PacifiCorp has failed to present evidence regarding net metering</w:t>
      </w:r>
      <w:r w:rsidR="009A208F" w:rsidRPr="00FD1012">
        <w:rPr>
          <w:rFonts w:ascii="Times New Roman" w:hAnsi="Times New Roman" w:cs="Times New Roman"/>
        </w:rPr>
        <w:t>’s actual</w:t>
      </w:r>
      <w:r w:rsidR="00BB3714" w:rsidRPr="00FD1012">
        <w:rPr>
          <w:rFonts w:ascii="Times New Roman" w:hAnsi="Times New Roman" w:cs="Times New Roman"/>
        </w:rPr>
        <w:t xml:space="preserve"> impacts on its system, it is not appropriate to cite DG as a source of the Company’s inability to recover fixed costs</w:t>
      </w:r>
      <w:r w:rsidR="001D0913" w:rsidRPr="00FD1012">
        <w:rPr>
          <w:rFonts w:ascii="Times New Roman" w:hAnsi="Times New Roman" w:cs="Times New Roman"/>
        </w:rPr>
        <w:t xml:space="preserve">.   </w:t>
      </w:r>
    </w:p>
    <w:p w14:paraId="5F10588A" w14:textId="2102A82C" w:rsidR="00132465" w:rsidRPr="00F954C7" w:rsidRDefault="00AB279D" w:rsidP="0038516A">
      <w:pPr>
        <w:pStyle w:val="ListParagraph"/>
        <w:numPr>
          <w:ilvl w:val="1"/>
          <w:numId w:val="1"/>
        </w:numPr>
        <w:rPr>
          <w:rFonts w:ascii="Times New Roman" w:hAnsi="Times New Roman" w:cs="Times New Roman"/>
          <w:b/>
          <w:u w:val="single"/>
        </w:rPr>
      </w:pPr>
      <w:r w:rsidRPr="00F954C7">
        <w:rPr>
          <w:rFonts w:ascii="Times New Roman" w:hAnsi="Times New Roman" w:cs="Times New Roman"/>
          <w:b/>
        </w:rPr>
        <w:t>PacifiCorp’s Requested 81% Increase to the Residential Fixed C</w:t>
      </w:r>
      <w:r w:rsidR="00D92DDA" w:rsidRPr="00F954C7">
        <w:rPr>
          <w:rFonts w:ascii="Times New Roman" w:hAnsi="Times New Roman" w:cs="Times New Roman"/>
          <w:b/>
        </w:rPr>
        <w:t>harge V</w:t>
      </w:r>
      <w:r w:rsidR="00132465" w:rsidRPr="00F954C7">
        <w:rPr>
          <w:rFonts w:ascii="Times New Roman" w:hAnsi="Times New Roman" w:cs="Times New Roman"/>
          <w:b/>
        </w:rPr>
        <w:t>iolates</w:t>
      </w:r>
      <w:r w:rsidR="00CB70DB" w:rsidRPr="00F954C7">
        <w:rPr>
          <w:rFonts w:ascii="Times New Roman" w:hAnsi="Times New Roman" w:cs="Times New Roman"/>
          <w:b/>
        </w:rPr>
        <w:t xml:space="preserve"> Basic </w:t>
      </w:r>
      <w:r w:rsidR="0038516A" w:rsidRPr="00F954C7">
        <w:rPr>
          <w:rFonts w:ascii="Times New Roman" w:hAnsi="Times New Roman" w:cs="Times New Roman"/>
          <w:b/>
        </w:rPr>
        <w:t>Regulatory Ratemaking</w:t>
      </w:r>
      <w:r w:rsidR="00132465" w:rsidRPr="00F954C7">
        <w:rPr>
          <w:rFonts w:ascii="Times New Roman" w:hAnsi="Times New Roman" w:cs="Times New Roman"/>
          <w:b/>
        </w:rPr>
        <w:t xml:space="preserve"> Principles</w:t>
      </w:r>
      <w:r w:rsidRPr="00F954C7">
        <w:rPr>
          <w:rFonts w:ascii="Times New Roman" w:hAnsi="Times New Roman" w:cs="Times New Roman"/>
          <w:b/>
        </w:rPr>
        <w:t xml:space="preserve"> </w:t>
      </w:r>
      <w:r w:rsidR="00D24AAA">
        <w:rPr>
          <w:rFonts w:ascii="Times New Roman" w:hAnsi="Times New Roman" w:cs="Times New Roman"/>
          <w:b/>
        </w:rPr>
        <w:t>a</w:t>
      </w:r>
      <w:r w:rsidRPr="00F954C7">
        <w:rPr>
          <w:rFonts w:ascii="Times New Roman" w:hAnsi="Times New Roman" w:cs="Times New Roman"/>
          <w:b/>
        </w:rPr>
        <w:t>nd Contradicts This Commission’s Past Practice</w:t>
      </w:r>
      <w:r w:rsidR="00132465" w:rsidRPr="00F954C7">
        <w:rPr>
          <w:rFonts w:ascii="Times New Roman" w:hAnsi="Times New Roman" w:cs="Times New Roman"/>
          <w:b/>
          <w:u w:val="single"/>
        </w:rPr>
        <w:t xml:space="preserve"> </w:t>
      </w:r>
    </w:p>
    <w:p w14:paraId="1F29174C" w14:textId="77777777" w:rsidR="00BB3714" w:rsidRPr="00F954C7" w:rsidRDefault="00BB3714" w:rsidP="00BB3714">
      <w:pPr>
        <w:rPr>
          <w:rFonts w:ascii="Times New Roman" w:hAnsi="Times New Roman" w:cs="Times New Roman"/>
          <w:b/>
          <w:u w:val="single"/>
        </w:rPr>
      </w:pPr>
    </w:p>
    <w:p w14:paraId="1E60BF74" w14:textId="13E1AFC9" w:rsidR="00036C3A" w:rsidRPr="00FD1012" w:rsidRDefault="00FD1012" w:rsidP="00FD1012">
      <w:pPr>
        <w:pStyle w:val="ListParagraph"/>
        <w:numPr>
          <w:ilvl w:val="1"/>
          <w:numId w:val="9"/>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BB3714" w:rsidRPr="00FD1012">
        <w:rPr>
          <w:rFonts w:ascii="Times New Roman" w:hAnsi="Times New Roman" w:cs="Times New Roman"/>
        </w:rPr>
        <w:t xml:space="preserve">As noted by Public Counsel witness </w:t>
      </w:r>
      <w:r w:rsidR="009A208F" w:rsidRPr="00FD1012">
        <w:rPr>
          <w:rFonts w:ascii="Times New Roman" w:hAnsi="Times New Roman" w:cs="Times New Roman"/>
        </w:rPr>
        <w:t xml:space="preserve">Glenn </w:t>
      </w:r>
      <w:r w:rsidR="00BB3714" w:rsidRPr="00FD1012">
        <w:rPr>
          <w:rFonts w:ascii="Times New Roman" w:hAnsi="Times New Roman" w:cs="Times New Roman"/>
        </w:rPr>
        <w:t xml:space="preserve">Watkins, one of </w:t>
      </w:r>
      <w:r w:rsidR="009E19C7" w:rsidRPr="00FD1012">
        <w:rPr>
          <w:rFonts w:ascii="Times New Roman" w:hAnsi="Times New Roman" w:cs="Times New Roman"/>
        </w:rPr>
        <w:t xml:space="preserve">Professor </w:t>
      </w:r>
      <w:r w:rsidR="00BB3714" w:rsidRPr="00FD1012">
        <w:rPr>
          <w:rFonts w:ascii="Times New Roman" w:hAnsi="Times New Roman" w:cs="Times New Roman"/>
        </w:rPr>
        <w:t xml:space="preserve">Bonbright’s fundamental goals of regulatory policy is that regulation should serve </w:t>
      </w:r>
      <w:r w:rsidR="003D4453" w:rsidRPr="00FD1012">
        <w:rPr>
          <w:rFonts w:ascii="Times New Roman" w:hAnsi="Times New Roman" w:cs="Times New Roman"/>
        </w:rPr>
        <w:t xml:space="preserve">as </w:t>
      </w:r>
      <w:r w:rsidR="00BB3714" w:rsidRPr="00FD1012">
        <w:rPr>
          <w:rFonts w:ascii="Times New Roman" w:hAnsi="Times New Roman" w:cs="Times New Roman"/>
        </w:rPr>
        <w:t>a surrogate for competition to the greatest extent practicable.</w:t>
      </w:r>
      <w:r w:rsidR="00A16CF2" w:rsidRPr="00F954C7">
        <w:rPr>
          <w:rStyle w:val="FootnoteReference"/>
          <w:rFonts w:ascii="Times New Roman" w:hAnsi="Times New Roman" w:cs="Times New Roman"/>
        </w:rPr>
        <w:footnoteReference w:id="11"/>
      </w:r>
      <w:r w:rsidR="00A16CF2" w:rsidRPr="00FD1012">
        <w:rPr>
          <w:rFonts w:ascii="Times New Roman" w:hAnsi="Times New Roman" w:cs="Times New Roman"/>
        </w:rPr>
        <w:t xml:space="preserve"> </w:t>
      </w:r>
      <w:r w:rsidR="00C01D58" w:rsidRPr="00FD1012">
        <w:rPr>
          <w:rFonts w:ascii="Times New Roman" w:hAnsi="Times New Roman" w:cs="Times New Roman"/>
        </w:rPr>
        <w:t xml:space="preserve"> </w:t>
      </w:r>
      <w:r w:rsidR="0082182C" w:rsidRPr="00FD1012">
        <w:rPr>
          <w:rFonts w:ascii="Times New Roman" w:hAnsi="Times New Roman" w:cs="Times New Roman"/>
        </w:rPr>
        <w:t>As such</w:t>
      </w:r>
      <w:r w:rsidR="00252452" w:rsidRPr="00FD1012">
        <w:rPr>
          <w:rFonts w:ascii="Times New Roman" w:hAnsi="Times New Roman" w:cs="Times New Roman"/>
        </w:rPr>
        <w:t>,</w:t>
      </w:r>
      <w:r w:rsidR="0082182C" w:rsidRPr="00FD1012">
        <w:rPr>
          <w:rFonts w:ascii="Times New Roman" w:hAnsi="Times New Roman" w:cs="Times New Roman"/>
        </w:rPr>
        <w:t xml:space="preserve"> the pricing policy for a regulated public </w:t>
      </w:r>
      <w:r w:rsidR="0082182C" w:rsidRPr="00FD1012">
        <w:rPr>
          <w:rFonts w:ascii="Times New Roman" w:hAnsi="Times New Roman" w:cs="Times New Roman"/>
        </w:rPr>
        <w:lastRenderedPageBreak/>
        <w:t>utility should mirror competitive firms</w:t>
      </w:r>
      <w:r w:rsidR="00B97653" w:rsidRPr="00FD1012">
        <w:rPr>
          <w:rFonts w:ascii="Times New Roman" w:hAnsi="Times New Roman" w:cs="Times New Roman"/>
        </w:rPr>
        <w:t xml:space="preserve"> so that as many of the benefits stemming from competitive markets can accrue to ratepayers as possible</w:t>
      </w:r>
      <w:r w:rsidR="0082182C" w:rsidRPr="00FD1012">
        <w:rPr>
          <w:rFonts w:ascii="Times New Roman" w:hAnsi="Times New Roman" w:cs="Times New Roman"/>
        </w:rPr>
        <w:t>.</w:t>
      </w:r>
      <w:r w:rsidR="0082182C" w:rsidRPr="00F954C7">
        <w:rPr>
          <w:rStyle w:val="FootnoteReference"/>
          <w:rFonts w:ascii="Times New Roman" w:hAnsi="Times New Roman" w:cs="Times New Roman"/>
        </w:rPr>
        <w:footnoteReference w:id="12"/>
      </w:r>
      <w:r w:rsidR="0082182C" w:rsidRPr="00FD1012">
        <w:rPr>
          <w:rFonts w:ascii="Times New Roman" w:hAnsi="Times New Roman" w:cs="Times New Roman"/>
        </w:rPr>
        <w:t xml:space="preserve"> </w:t>
      </w:r>
    </w:p>
    <w:p w14:paraId="1348EAF3" w14:textId="54215ED3" w:rsidR="00F1789E" w:rsidRPr="00FD1012" w:rsidRDefault="00FD1012" w:rsidP="00FD1012">
      <w:pPr>
        <w:pStyle w:val="ListParagraph"/>
        <w:numPr>
          <w:ilvl w:val="1"/>
          <w:numId w:val="9"/>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82182C" w:rsidRPr="00FD1012">
        <w:rPr>
          <w:rFonts w:ascii="Times New Roman" w:hAnsi="Times New Roman" w:cs="Times New Roman"/>
        </w:rPr>
        <w:t xml:space="preserve">Because competitive firms do not have the advantage of having captive customers that are essentially forced to buy their product, </w:t>
      </w:r>
      <w:r w:rsidR="005E4775" w:rsidRPr="00FD1012">
        <w:rPr>
          <w:rFonts w:ascii="Times New Roman" w:hAnsi="Times New Roman" w:cs="Times New Roman"/>
        </w:rPr>
        <w:t xml:space="preserve">they </w:t>
      </w:r>
      <w:r w:rsidR="00036C3A" w:rsidRPr="00FD1012">
        <w:rPr>
          <w:rFonts w:ascii="Times New Roman" w:hAnsi="Times New Roman" w:cs="Times New Roman"/>
        </w:rPr>
        <w:t>are not able to demand</w:t>
      </w:r>
      <w:r w:rsidR="0082182C" w:rsidRPr="00FD1012">
        <w:rPr>
          <w:rFonts w:ascii="Times New Roman" w:hAnsi="Times New Roman" w:cs="Times New Roman"/>
        </w:rPr>
        <w:t xml:space="preserve"> access fees, or “fixed charges”</w:t>
      </w:r>
      <w:r w:rsidR="00550678" w:rsidRPr="00FD1012">
        <w:rPr>
          <w:rFonts w:ascii="Times New Roman" w:hAnsi="Times New Roman" w:cs="Times New Roman"/>
        </w:rPr>
        <w:t xml:space="preserve"> for providing service.  M</w:t>
      </w:r>
      <w:r w:rsidR="0082182C" w:rsidRPr="00FD1012">
        <w:rPr>
          <w:rFonts w:ascii="Times New Roman" w:hAnsi="Times New Roman" w:cs="Times New Roman"/>
        </w:rPr>
        <w:t xml:space="preserve">any competitive industries, such as the petroleum industry, have substantial fixed costs.  Yet because they operate in a competitive environment </w:t>
      </w:r>
      <w:r w:rsidR="00036C3A" w:rsidRPr="00FD1012">
        <w:rPr>
          <w:rFonts w:ascii="Times New Roman" w:hAnsi="Times New Roman" w:cs="Times New Roman"/>
        </w:rPr>
        <w:t>gasoline</w:t>
      </w:r>
      <w:r w:rsidR="00550678" w:rsidRPr="00FD1012">
        <w:rPr>
          <w:rFonts w:ascii="Times New Roman" w:hAnsi="Times New Roman" w:cs="Times New Roman"/>
        </w:rPr>
        <w:t xml:space="preserve"> companies</w:t>
      </w:r>
      <w:r w:rsidR="0082182C" w:rsidRPr="00FD1012">
        <w:rPr>
          <w:rFonts w:ascii="Times New Roman" w:hAnsi="Times New Roman" w:cs="Times New Roman"/>
        </w:rPr>
        <w:t xml:space="preserve"> are not able to charge customers a fixed charge to access </w:t>
      </w:r>
      <w:r w:rsidR="00036C3A" w:rsidRPr="00FD1012">
        <w:rPr>
          <w:rFonts w:ascii="Times New Roman" w:hAnsi="Times New Roman" w:cs="Times New Roman"/>
        </w:rPr>
        <w:t>their product.</w:t>
      </w:r>
      <w:r w:rsidR="00513899" w:rsidRPr="00F954C7">
        <w:rPr>
          <w:rStyle w:val="FootnoteReference"/>
          <w:rFonts w:ascii="Times New Roman" w:hAnsi="Times New Roman" w:cs="Times New Roman"/>
        </w:rPr>
        <w:footnoteReference w:id="13"/>
      </w:r>
      <w:r w:rsidR="00036C3A" w:rsidRPr="00FD1012">
        <w:rPr>
          <w:rFonts w:ascii="Times New Roman" w:hAnsi="Times New Roman" w:cs="Times New Roman"/>
        </w:rPr>
        <w:t xml:space="preserve">  Rather, the competitive market forces these firms to be efficient by requiring that they produce only as much gasoline as they can sell.</w:t>
      </w:r>
      <w:r w:rsidR="00036C3A" w:rsidRPr="00F954C7">
        <w:rPr>
          <w:rStyle w:val="FootnoteReference"/>
          <w:rFonts w:ascii="Times New Roman" w:hAnsi="Times New Roman" w:cs="Times New Roman"/>
        </w:rPr>
        <w:footnoteReference w:id="14"/>
      </w:r>
      <w:r w:rsidR="00036C3A" w:rsidRPr="00FD1012">
        <w:rPr>
          <w:rFonts w:ascii="Times New Roman" w:hAnsi="Times New Roman" w:cs="Times New Roman"/>
        </w:rPr>
        <w:t xml:space="preserve">  Most competitive market-based prices</w:t>
      </w:r>
      <w:r w:rsidR="00C01D58" w:rsidRPr="00FD1012">
        <w:rPr>
          <w:rFonts w:ascii="Times New Roman" w:hAnsi="Times New Roman" w:cs="Times New Roman"/>
        </w:rPr>
        <w:t xml:space="preserve">, even for very </w:t>
      </w:r>
      <w:r w:rsidR="00BA6EF8" w:rsidRPr="00FD1012">
        <w:rPr>
          <w:rFonts w:ascii="Times New Roman" w:hAnsi="Times New Roman" w:cs="Times New Roman"/>
        </w:rPr>
        <w:t>capital-intensive industries,</w:t>
      </w:r>
      <w:r w:rsidR="00036C3A" w:rsidRPr="00FD1012">
        <w:rPr>
          <w:rFonts w:ascii="Times New Roman" w:hAnsi="Times New Roman" w:cs="Times New Roman"/>
        </w:rPr>
        <w:t xml:space="preserve"> are structured on volumetric charges that vary directly with usage.</w:t>
      </w:r>
      <w:r w:rsidR="00C01D58" w:rsidRPr="00F954C7">
        <w:rPr>
          <w:rStyle w:val="FootnoteReference"/>
          <w:rFonts w:ascii="Times New Roman" w:hAnsi="Times New Roman" w:cs="Times New Roman"/>
        </w:rPr>
        <w:footnoteReference w:id="15"/>
      </w:r>
      <w:r w:rsidR="00036C3A" w:rsidRPr="00FD1012">
        <w:rPr>
          <w:rFonts w:ascii="Times New Roman" w:hAnsi="Times New Roman" w:cs="Times New Roman"/>
        </w:rPr>
        <w:t xml:space="preserve">  This is one reason why Commissions have traditionally favored energy charges over customer charges for regulate</w:t>
      </w:r>
      <w:r w:rsidR="00BA6EF8" w:rsidRPr="00FD1012">
        <w:rPr>
          <w:rFonts w:ascii="Times New Roman" w:hAnsi="Times New Roman" w:cs="Times New Roman"/>
        </w:rPr>
        <w:t>d</w:t>
      </w:r>
      <w:r w:rsidR="00036C3A" w:rsidRPr="00FD1012">
        <w:rPr>
          <w:rFonts w:ascii="Times New Roman" w:hAnsi="Times New Roman" w:cs="Times New Roman"/>
        </w:rPr>
        <w:t xml:space="preserve"> electric utilities.    </w:t>
      </w:r>
    </w:p>
    <w:p w14:paraId="4E6DDD43" w14:textId="1828BCE3" w:rsidR="00513899" w:rsidRPr="00F954C7" w:rsidRDefault="00F1789E" w:rsidP="00513899">
      <w:pPr>
        <w:pStyle w:val="ListParagraph"/>
        <w:numPr>
          <w:ilvl w:val="0"/>
          <w:numId w:val="2"/>
        </w:numPr>
        <w:rPr>
          <w:rFonts w:ascii="Times New Roman" w:hAnsi="Times New Roman" w:cs="Times New Roman"/>
          <w:b/>
        </w:rPr>
      </w:pPr>
      <w:r w:rsidRPr="00F954C7">
        <w:rPr>
          <w:rFonts w:ascii="Times New Roman" w:hAnsi="Times New Roman" w:cs="Times New Roman"/>
          <w:b/>
        </w:rPr>
        <w:t xml:space="preserve">The Company’s Proposal </w:t>
      </w:r>
      <w:r w:rsidR="00835D01" w:rsidRPr="00F954C7">
        <w:rPr>
          <w:rFonts w:ascii="Times New Roman" w:hAnsi="Times New Roman" w:cs="Times New Roman"/>
          <w:b/>
        </w:rPr>
        <w:t>F</w:t>
      </w:r>
      <w:r w:rsidRPr="00F954C7">
        <w:rPr>
          <w:rFonts w:ascii="Times New Roman" w:hAnsi="Times New Roman" w:cs="Times New Roman"/>
          <w:b/>
        </w:rPr>
        <w:t xml:space="preserve">ails to Promote </w:t>
      </w:r>
      <w:r w:rsidR="00513899" w:rsidRPr="00F954C7">
        <w:rPr>
          <w:rFonts w:ascii="Times New Roman" w:hAnsi="Times New Roman" w:cs="Times New Roman"/>
          <w:b/>
        </w:rPr>
        <w:t>Conservation and Energy Efficient Technologies</w:t>
      </w:r>
    </w:p>
    <w:p w14:paraId="0D4D25D1" w14:textId="77777777" w:rsidR="00513899" w:rsidRPr="00F954C7" w:rsidRDefault="00513899" w:rsidP="00513899">
      <w:pPr>
        <w:pStyle w:val="ListParagraph"/>
        <w:ind w:left="1440"/>
        <w:rPr>
          <w:rFonts w:ascii="Times New Roman" w:hAnsi="Times New Roman" w:cs="Times New Roman"/>
        </w:rPr>
      </w:pPr>
    </w:p>
    <w:p w14:paraId="50B4ABDA" w14:textId="24B2AF9E" w:rsidR="001D4CD1" w:rsidRPr="00FD1012" w:rsidRDefault="00FD1012" w:rsidP="00FD1012">
      <w:pPr>
        <w:pStyle w:val="ListParagraph"/>
        <w:numPr>
          <w:ilvl w:val="1"/>
          <w:numId w:val="10"/>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1D4CD1" w:rsidRPr="00FD1012">
        <w:rPr>
          <w:rFonts w:ascii="Times New Roman" w:hAnsi="Times New Roman" w:cs="Times New Roman"/>
        </w:rPr>
        <w:t xml:space="preserve">It is axiomatic that volumetric </w:t>
      </w:r>
      <w:r w:rsidR="00835D01" w:rsidRPr="00FD1012">
        <w:rPr>
          <w:rFonts w:ascii="Times New Roman" w:hAnsi="Times New Roman" w:cs="Times New Roman"/>
        </w:rPr>
        <w:t xml:space="preserve">electricity </w:t>
      </w:r>
      <w:r w:rsidR="001D4CD1" w:rsidRPr="00FD1012">
        <w:rPr>
          <w:rFonts w:ascii="Times New Roman" w:hAnsi="Times New Roman" w:cs="Times New Roman"/>
        </w:rPr>
        <w:t>rates</w:t>
      </w:r>
      <w:r w:rsidR="00835D01" w:rsidRPr="00FD1012">
        <w:rPr>
          <w:rFonts w:ascii="Times New Roman" w:hAnsi="Times New Roman" w:cs="Times New Roman"/>
        </w:rPr>
        <w:t>,</w:t>
      </w:r>
      <w:r w:rsidR="001D4CD1" w:rsidRPr="00FD1012">
        <w:rPr>
          <w:rFonts w:ascii="Times New Roman" w:hAnsi="Times New Roman" w:cs="Times New Roman"/>
        </w:rPr>
        <w:t xml:space="preserve"> rather than fixed charges</w:t>
      </w:r>
      <w:r w:rsidR="00835D01" w:rsidRPr="00FD1012">
        <w:rPr>
          <w:rFonts w:ascii="Times New Roman" w:hAnsi="Times New Roman" w:cs="Times New Roman"/>
        </w:rPr>
        <w:t>,</w:t>
      </w:r>
      <w:r w:rsidR="001D4CD1" w:rsidRPr="00FD1012">
        <w:rPr>
          <w:rFonts w:ascii="Times New Roman" w:hAnsi="Times New Roman" w:cs="Times New Roman"/>
        </w:rPr>
        <w:t xml:space="preserve"> </w:t>
      </w:r>
      <w:r w:rsidR="005E4775" w:rsidRPr="00FD1012">
        <w:rPr>
          <w:rFonts w:ascii="Times New Roman" w:hAnsi="Times New Roman" w:cs="Times New Roman"/>
        </w:rPr>
        <w:t xml:space="preserve">promote </w:t>
      </w:r>
      <w:r w:rsidR="00513899" w:rsidRPr="00FD1012">
        <w:rPr>
          <w:rFonts w:ascii="Times New Roman" w:hAnsi="Times New Roman" w:cs="Times New Roman"/>
        </w:rPr>
        <w:t xml:space="preserve">conservation and </w:t>
      </w:r>
      <w:r w:rsidR="005E4775" w:rsidRPr="00FD1012">
        <w:rPr>
          <w:rFonts w:ascii="Times New Roman" w:hAnsi="Times New Roman" w:cs="Times New Roman"/>
        </w:rPr>
        <w:t xml:space="preserve">energy </w:t>
      </w:r>
      <w:r w:rsidR="00513899" w:rsidRPr="00FD1012">
        <w:rPr>
          <w:rFonts w:ascii="Times New Roman" w:hAnsi="Times New Roman" w:cs="Times New Roman"/>
        </w:rPr>
        <w:t xml:space="preserve">efficient technologies, including </w:t>
      </w:r>
      <w:r w:rsidR="00550678" w:rsidRPr="00FD1012">
        <w:rPr>
          <w:rFonts w:ascii="Times New Roman" w:hAnsi="Times New Roman" w:cs="Times New Roman"/>
        </w:rPr>
        <w:t xml:space="preserve">solar </w:t>
      </w:r>
      <w:r w:rsidR="00513899" w:rsidRPr="00FD1012">
        <w:rPr>
          <w:rFonts w:ascii="Times New Roman" w:hAnsi="Times New Roman" w:cs="Times New Roman"/>
        </w:rPr>
        <w:t>DG</w:t>
      </w:r>
      <w:r w:rsidR="003213B3" w:rsidRPr="00FD1012">
        <w:rPr>
          <w:rFonts w:ascii="Times New Roman" w:hAnsi="Times New Roman" w:cs="Times New Roman"/>
        </w:rPr>
        <w:t>.</w:t>
      </w:r>
      <w:r w:rsidR="00603537" w:rsidRPr="00F954C7">
        <w:rPr>
          <w:rStyle w:val="FootnoteReference"/>
          <w:rFonts w:ascii="Times New Roman" w:hAnsi="Times New Roman" w:cs="Times New Roman"/>
        </w:rPr>
        <w:footnoteReference w:id="16"/>
      </w:r>
      <w:r w:rsidR="001D4CD1" w:rsidRPr="00FD1012">
        <w:rPr>
          <w:rFonts w:ascii="Times New Roman" w:hAnsi="Times New Roman" w:cs="Times New Roman"/>
        </w:rPr>
        <w:t xml:space="preserve">  It is also undisputed that the State of Washington has crafted an energy policy that promotes conservation and the proliferation of renewable energy development, including on-site solar </w:t>
      </w:r>
      <w:r w:rsidR="003F5C5C" w:rsidRPr="00FD1012">
        <w:rPr>
          <w:rFonts w:ascii="Times New Roman" w:hAnsi="Times New Roman" w:cs="Times New Roman"/>
        </w:rPr>
        <w:t>DG</w:t>
      </w:r>
      <w:r w:rsidR="001D4CD1" w:rsidRPr="00FD1012">
        <w:rPr>
          <w:rFonts w:ascii="Times New Roman" w:hAnsi="Times New Roman" w:cs="Times New Roman"/>
        </w:rPr>
        <w:t xml:space="preserve">. </w:t>
      </w:r>
      <w:r w:rsidR="00550678" w:rsidRPr="00FD1012">
        <w:rPr>
          <w:rFonts w:ascii="Times New Roman" w:hAnsi="Times New Roman" w:cs="Times New Roman"/>
        </w:rPr>
        <w:t xml:space="preserve"> </w:t>
      </w:r>
      <w:r w:rsidR="003F5C5C" w:rsidRPr="00FD1012">
        <w:rPr>
          <w:rFonts w:ascii="Times New Roman" w:hAnsi="Times New Roman" w:cs="Times New Roman"/>
        </w:rPr>
        <w:t>I</w:t>
      </w:r>
      <w:r w:rsidR="001D4CD1" w:rsidRPr="00FD1012">
        <w:rPr>
          <w:rFonts w:ascii="Times New Roman" w:hAnsi="Times New Roman" w:cs="Times New Roman"/>
        </w:rPr>
        <w:t xml:space="preserve">n </w:t>
      </w:r>
      <w:r w:rsidR="00550678" w:rsidRPr="00FD1012">
        <w:rPr>
          <w:rFonts w:ascii="Times New Roman" w:hAnsi="Times New Roman" w:cs="Times New Roman"/>
        </w:rPr>
        <w:t xml:space="preserve">his </w:t>
      </w:r>
      <w:r w:rsidR="00E23C61" w:rsidRPr="00FD1012">
        <w:rPr>
          <w:rFonts w:ascii="Times New Roman" w:hAnsi="Times New Roman" w:cs="Times New Roman"/>
        </w:rPr>
        <w:t>r</w:t>
      </w:r>
      <w:r w:rsidR="00550678" w:rsidRPr="00FD1012">
        <w:rPr>
          <w:rFonts w:ascii="Times New Roman" w:hAnsi="Times New Roman" w:cs="Times New Roman"/>
        </w:rPr>
        <w:t xml:space="preserve">ebuttal </w:t>
      </w:r>
      <w:r w:rsidR="00E23C61" w:rsidRPr="00FD1012">
        <w:rPr>
          <w:rFonts w:ascii="Times New Roman" w:hAnsi="Times New Roman" w:cs="Times New Roman"/>
        </w:rPr>
        <w:t>t</w:t>
      </w:r>
      <w:r w:rsidR="00550678" w:rsidRPr="00FD1012">
        <w:rPr>
          <w:rFonts w:ascii="Times New Roman" w:hAnsi="Times New Roman" w:cs="Times New Roman"/>
        </w:rPr>
        <w:t>estimony</w:t>
      </w:r>
      <w:r w:rsidR="00252452" w:rsidRPr="00FD1012">
        <w:rPr>
          <w:rFonts w:ascii="Times New Roman" w:hAnsi="Times New Roman" w:cs="Times New Roman"/>
        </w:rPr>
        <w:t>,</w:t>
      </w:r>
      <w:r w:rsidR="00550678" w:rsidRPr="00FD1012">
        <w:rPr>
          <w:rFonts w:ascii="Times New Roman" w:hAnsi="Times New Roman" w:cs="Times New Roman"/>
        </w:rPr>
        <w:t xml:space="preserve"> Company w</w:t>
      </w:r>
      <w:r w:rsidR="001D4CD1" w:rsidRPr="00FD1012">
        <w:rPr>
          <w:rFonts w:ascii="Times New Roman" w:hAnsi="Times New Roman" w:cs="Times New Roman"/>
        </w:rPr>
        <w:t xml:space="preserve">itness Bryce Dalley provides a </w:t>
      </w:r>
      <w:r w:rsidR="00651366" w:rsidRPr="00FD1012">
        <w:rPr>
          <w:rFonts w:ascii="Times New Roman" w:hAnsi="Times New Roman" w:cs="Times New Roman"/>
        </w:rPr>
        <w:t>three</w:t>
      </w:r>
      <w:r w:rsidR="00252452" w:rsidRPr="00FD1012">
        <w:rPr>
          <w:rFonts w:ascii="Times New Roman" w:hAnsi="Times New Roman" w:cs="Times New Roman"/>
        </w:rPr>
        <w:t>-</w:t>
      </w:r>
      <w:r w:rsidR="00651366" w:rsidRPr="00FD1012">
        <w:rPr>
          <w:rFonts w:ascii="Times New Roman" w:hAnsi="Times New Roman" w:cs="Times New Roman"/>
        </w:rPr>
        <w:t xml:space="preserve">page </w:t>
      </w:r>
      <w:r w:rsidR="001D4CD1" w:rsidRPr="00FD1012">
        <w:rPr>
          <w:rFonts w:ascii="Times New Roman" w:hAnsi="Times New Roman" w:cs="Times New Roman"/>
        </w:rPr>
        <w:t xml:space="preserve">synopsis of various </w:t>
      </w:r>
      <w:r w:rsidR="001D4CD1" w:rsidRPr="00FD1012">
        <w:rPr>
          <w:rFonts w:ascii="Times New Roman" w:hAnsi="Times New Roman" w:cs="Times New Roman"/>
        </w:rPr>
        <w:lastRenderedPageBreak/>
        <w:t xml:space="preserve">Washington statutes and an April 2014 Executive Order, all of which promote </w:t>
      </w:r>
      <w:r w:rsidR="00550678" w:rsidRPr="00FD1012">
        <w:rPr>
          <w:rFonts w:ascii="Times New Roman" w:hAnsi="Times New Roman" w:cs="Times New Roman"/>
        </w:rPr>
        <w:t>conservation, renewables</w:t>
      </w:r>
      <w:r w:rsidR="00252452" w:rsidRPr="00FD1012">
        <w:rPr>
          <w:rFonts w:ascii="Times New Roman" w:hAnsi="Times New Roman" w:cs="Times New Roman"/>
        </w:rPr>
        <w:t>,</w:t>
      </w:r>
      <w:r w:rsidR="00550678" w:rsidRPr="00FD1012">
        <w:rPr>
          <w:rFonts w:ascii="Times New Roman" w:hAnsi="Times New Roman" w:cs="Times New Roman"/>
        </w:rPr>
        <w:t xml:space="preserve"> and DG</w:t>
      </w:r>
      <w:r w:rsidR="001D4CD1" w:rsidRPr="00FD1012">
        <w:rPr>
          <w:rFonts w:ascii="Times New Roman" w:hAnsi="Times New Roman" w:cs="Times New Roman"/>
        </w:rPr>
        <w:t>.</w:t>
      </w:r>
      <w:r w:rsidR="00651366" w:rsidRPr="00F954C7">
        <w:rPr>
          <w:rStyle w:val="FootnoteReference"/>
          <w:rFonts w:ascii="Times New Roman" w:hAnsi="Times New Roman" w:cs="Times New Roman"/>
        </w:rPr>
        <w:footnoteReference w:id="17"/>
      </w:r>
    </w:p>
    <w:p w14:paraId="600AE932" w14:textId="760812BE" w:rsidR="003213B3" w:rsidRPr="00FD1012" w:rsidRDefault="00FD1012" w:rsidP="00FD1012">
      <w:pPr>
        <w:pStyle w:val="ListParagraph"/>
        <w:numPr>
          <w:ilvl w:val="1"/>
          <w:numId w:val="10"/>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651366" w:rsidRPr="00FD1012">
        <w:rPr>
          <w:rFonts w:ascii="Times New Roman" w:hAnsi="Times New Roman" w:cs="Times New Roman"/>
        </w:rPr>
        <w:t>Staff’s witness</w:t>
      </w:r>
      <w:r w:rsidR="001D4CD1" w:rsidRPr="00FD1012">
        <w:rPr>
          <w:rFonts w:ascii="Times New Roman" w:hAnsi="Times New Roman" w:cs="Times New Roman"/>
        </w:rPr>
        <w:t xml:space="preserve"> </w:t>
      </w:r>
      <w:r w:rsidR="009E19C7" w:rsidRPr="00FD1012">
        <w:rPr>
          <w:rFonts w:ascii="Times New Roman" w:hAnsi="Times New Roman" w:cs="Times New Roman"/>
        </w:rPr>
        <w:t xml:space="preserve">Mr. </w:t>
      </w:r>
      <w:r w:rsidR="001D4CD1" w:rsidRPr="00FD1012">
        <w:rPr>
          <w:rFonts w:ascii="Times New Roman" w:hAnsi="Times New Roman" w:cs="Times New Roman"/>
        </w:rPr>
        <w:t xml:space="preserve">Twitchell, who ultimately supports increasing the basic charge, </w:t>
      </w:r>
      <w:r w:rsidR="00D51BD4" w:rsidRPr="00FD1012">
        <w:rPr>
          <w:rFonts w:ascii="Times New Roman" w:hAnsi="Times New Roman" w:cs="Times New Roman"/>
        </w:rPr>
        <w:t>nonetheless unequivocally stated that increasing the basic charge</w:t>
      </w:r>
      <w:r w:rsidR="00651366" w:rsidRPr="00FD1012">
        <w:rPr>
          <w:rFonts w:ascii="Times New Roman" w:hAnsi="Times New Roman" w:cs="Times New Roman"/>
        </w:rPr>
        <w:t xml:space="preserve"> “is in</w:t>
      </w:r>
      <w:r w:rsidR="00651366" w:rsidRPr="00FD1012">
        <w:rPr>
          <w:rFonts w:ascii="Times New Roman" w:hAnsi="Times New Roman" w:cs="Times New Roman"/>
          <w:b/>
          <w:i/>
        </w:rPr>
        <w:t xml:space="preserve"> direct conflict </w:t>
      </w:r>
      <w:r w:rsidR="00651366" w:rsidRPr="00FD1012">
        <w:rPr>
          <w:rFonts w:ascii="Times New Roman" w:hAnsi="Times New Roman" w:cs="Times New Roman"/>
        </w:rPr>
        <w:t>with the second goal of creating price signals for customers that</w:t>
      </w:r>
      <w:r w:rsidR="00651366" w:rsidRPr="00FD1012">
        <w:rPr>
          <w:rFonts w:ascii="Times New Roman" w:hAnsi="Times New Roman" w:cs="Times New Roman"/>
          <w:b/>
          <w:i/>
        </w:rPr>
        <w:t xml:space="preserve"> encourage investments in energy efficiency and distributed energy</w:t>
      </w:r>
      <w:r w:rsidR="00651366" w:rsidRPr="00FD1012">
        <w:rPr>
          <w:rFonts w:ascii="Times New Roman" w:hAnsi="Times New Roman" w:cs="Times New Roman"/>
        </w:rPr>
        <w:t>.”</w:t>
      </w:r>
      <w:r w:rsidR="00651366" w:rsidRPr="00F954C7">
        <w:rPr>
          <w:rStyle w:val="FootnoteReference"/>
          <w:rFonts w:ascii="Times New Roman" w:hAnsi="Times New Roman" w:cs="Times New Roman"/>
        </w:rPr>
        <w:footnoteReference w:id="18"/>
      </w:r>
      <w:r w:rsidR="00651366" w:rsidRPr="00FD1012">
        <w:rPr>
          <w:rFonts w:ascii="Times New Roman" w:hAnsi="Times New Roman" w:cs="Times New Roman"/>
        </w:rPr>
        <w:t xml:space="preserve"> </w:t>
      </w:r>
      <w:r w:rsidR="009B1AA0" w:rsidRPr="00FD1012">
        <w:rPr>
          <w:rFonts w:ascii="Times New Roman" w:hAnsi="Times New Roman" w:cs="Times New Roman"/>
        </w:rPr>
        <w:t xml:space="preserve"> </w:t>
      </w:r>
      <w:r w:rsidR="003213B3" w:rsidRPr="00FD1012">
        <w:rPr>
          <w:rFonts w:ascii="Times New Roman" w:hAnsi="Times New Roman" w:cs="Times New Roman"/>
        </w:rPr>
        <w:t>Even the Company admits this fundamental point in the following testimony</w:t>
      </w:r>
      <w:r w:rsidR="00603537" w:rsidRPr="00FD1012">
        <w:rPr>
          <w:rFonts w:ascii="Times New Roman" w:hAnsi="Times New Roman" w:cs="Times New Roman"/>
        </w:rPr>
        <w:t xml:space="preserve"> of Ms. Steward</w:t>
      </w:r>
      <w:r w:rsidR="003213B3" w:rsidRPr="00FD1012">
        <w:rPr>
          <w:rFonts w:ascii="Times New Roman" w:hAnsi="Times New Roman" w:cs="Times New Roman"/>
        </w:rPr>
        <w:t>:</w:t>
      </w:r>
    </w:p>
    <w:p w14:paraId="46A91D8D" w14:textId="5CC46F4B" w:rsidR="003213B3" w:rsidRPr="00F954C7" w:rsidRDefault="003213B3" w:rsidP="003213B3">
      <w:pPr>
        <w:ind w:left="720" w:right="720"/>
        <w:jc w:val="both"/>
        <w:rPr>
          <w:rFonts w:ascii="Times New Roman" w:hAnsi="Times New Roman" w:cs="Times New Roman"/>
        </w:rPr>
      </w:pPr>
      <w:r w:rsidRPr="00F954C7">
        <w:rPr>
          <w:rFonts w:ascii="Times New Roman" w:hAnsi="Times New Roman" w:cs="Times New Roman"/>
        </w:rPr>
        <w:t xml:space="preserve">For an </w:t>
      </w:r>
      <w:r w:rsidRPr="00F954C7">
        <w:rPr>
          <w:rFonts w:ascii="Times New Roman" w:hAnsi="Times New Roman" w:cs="Times New Roman"/>
          <w:b/>
          <w:i/>
        </w:rPr>
        <w:t>average customer</w:t>
      </w:r>
      <w:r w:rsidRPr="00F954C7">
        <w:rPr>
          <w:rFonts w:ascii="Times New Roman" w:hAnsi="Times New Roman" w:cs="Times New Roman"/>
        </w:rPr>
        <w:t xml:space="preserve"> using approximately 1,300 kWh per month, at the proposed rates nearly 90 percent of the bill is related to energy charges.  </w:t>
      </w:r>
      <w:r w:rsidRPr="00F954C7">
        <w:rPr>
          <w:rFonts w:ascii="Times New Roman" w:hAnsi="Times New Roman" w:cs="Times New Roman"/>
          <w:b/>
          <w:i/>
        </w:rPr>
        <w:t>For a small user half the size of an average user, a significant portion—approximately 75 percent</w:t>
      </w:r>
      <w:r w:rsidR="00603537" w:rsidRPr="00F954C7">
        <w:rPr>
          <w:rStyle w:val="FootnoteReference"/>
          <w:rFonts w:ascii="Times New Roman" w:hAnsi="Times New Roman" w:cs="Times New Roman"/>
          <w:b/>
          <w:i/>
        </w:rPr>
        <w:footnoteReference w:id="19"/>
      </w:r>
      <w:r w:rsidRPr="00F954C7">
        <w:rPr>
          <w:rFonts w:ascii="Times New Roman" w:hAnsi="Times New Roman" w:cs="Times New Roman"/>
          <w:b/>
          <w:i/>
        </w:rPr>
        <w:t>—of the bill continues to be related to energy charges;</w:t>
      </w:r>
      <w:r w:rsidRPr="00F954C7">
        <w:rPr>
          <w:rFonts w:ascii="Times New Roman" w:hAnsi="Times New Roman" w:cs="Times New Roman"/>
        </w:rPr>
        <w:t xml:space="preserve"> and a high user twice the size of an average user will have 95 percent of the bill related to energy charges.  Therefore, all residential customers—and </w:t>
      </w:r>
      <w:r w:rsidRPr="00F954C7">
        <w:rPr>
          <w:rFonts w:ascii="Times New Roman" w:hAnsi="Times New Roman" w:cs="Times New Roman"/>
          <w:b/>
          <w:i/>
        </w:rPr>
        <w:t>high use customers in particular—will continue to have a price signal to conserve or pursue energy efficient technology</w:t>
      </w:r>
      <w:r w:rsidRPr="00F954C7">
        <w:rPr>
          <w:rFonts w:ascii="Times New Roman" w:hAnsi="Times New Roman" w:cs="Times New Roman"/>
        </w:rPr>
        <w:t>.</w:t>
      </w:r>
      <w:r w:rsidR="00513899" w:rsidRPr="00F954C7">
        <w:rPr>
          <w:rStyle w:val="FootnoteReference"/>
          <w:rFonts w:ascii="Times New Roman" w:hAnsi="Times New Roman" w:cs="Times New Roman"/>
        </w:rPr>
        <w:footnoteReference w:id="20"/>
      </w:r>
    </w:p>
    <w:p w14:paraId="1440D048" w14:textId="77777777" w:rsidR="00513899" w:rsidRPr="00F954C7" w:rsidRDefault="00513899" w:rsidP="003213B3">
      <w:pPr>
        <w:ind w:left="720" w:right="720"/>
        <w:jc w:val="both"/>
        <w:rPr>
          <w:rFonts w:ascii="Times New Roman" w:hAnsi="Times New Roman" w:cs="Times New Roman"/>
        </w:rPr>
      </w:pPr>
    </w:p>
    <w:p w14:paraId="2BBFE452" w14:textId="77777777" w:rsidR="00513899" w:rsidRPr="00F954C7" w:rsidRDefault="00513899" w:rsidP="00372885">
      <w:pPr>
        <w:spacing w:line="480" w:lineRule="auto"/>
        <w:rPr>
          <w:rFonts w:ascii="Times New Roman" w:hAnsi="Times New Roman" w:cs="Times New Roman"/>
        </w:rPr>
      </w:pPr>
      <w:r w:rsidRPr="00F954C7">
        <w:rPr>
          <w:rFonts w:ascii="Times New Roman" w:hAnsi="Times New Roman" w:cs="Times New Roman"/>
        </w:rPr>
        <w:t xml:space="preserve">This statement reveals several important factors for the Commission’s consideration.  </w:t>
      </w:r>
    </w:p>
    <w:p w14:paraId="4E06BDB7" w14:textId="71EBE248" w:rsidR="00513899" w:rsidRPr="00FD1012" w:rsidRDefault="00FD1012" w:rsidP="00FD1012">
      <w:pPr>
        <w:pStyle w:val="ListParagraph"/>
        <w:numPr>
          <w:ilvl w:val="0"/>
          <w:numId w:val="11"/>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13899" w:rsidRPr="00FD1012">
        <w:rPr>
          <w:rFonts w:ascii="Times New Roman" w:hAnsi="Times New Roman" w:cs="Times New Roman"/>
        </w:rPr>
        <w:t xml:space="preserve">First, this is an admission </w:t>
      </w:r>
      <w:r w:rsidR="00D51BD4" w:rsidRPr="00FD1012">
        <w:rPr>
          <w:rFonts w:ascii="Times New Roman" w:hAnsi="Times New Roman" w:cs="Times New Roman"/>
        </w:rPr>
        <w:t xml:space="preserve">by </w:t>
      </w:r>
      <w:r w:rsidR="00513899" w:rsidRPr="00FD1012">
        <w:rPr>
          <w:rFonts w:ascii="Times New Roman" w:hAnsi="Times New Roman" w:cs="Times New Roman"/>
        </w:rPr>
        <w:t>PacifiCorp that volumetric rates provide a price signal to conserve and pursue energy efficient technologies.</w:t>
      </w:r>
      <w:r w:rsidR="009B1AA0" w:rsidRPr="00FD1012">
        <w:rPr>
          <w:rFonts w:ascii="Times New Roman" w:hAnsi="Times New Roman" w:cs="Times New Roman"/>
        </w:rPr>
        <w:t xml:space="preserve"> </w:t>
      </w:r>
      <w:r w:rsidR="003F5C5C" w:rsidRPr="00FD1012">
        <w:rPr>
          <w:rFonts w:ascii="Times New Roman" w:hAnsi="Times New Roman" w:cs="Times New Roman"/>
        </w:rPr>
        <w:t xml:space="preserve"> </w:t>
      </w:r>
      <w:r w:rsidR="009B1AA0" w:rsidRPr="00FD1012">
        <w:rPr>
          <w:rFonts w:ascii="Times New Roman" w:hAnsi="Times New Roman" w:cs="Times New Roman"/>
        </w:rPr>
        <w:t xml:space="preserve">Ms. Steward merely attempts to minimize the impact of the Company’s proposed shift by noting that 90 percent of the residential bill would still be energy related.  </w:t>
      </w:r>
      <w:r w:rsidR="00513899" w:rsidRPr="00FD1012">
        <w:rPr>
          <w:rFonts w:ascii="Times New Roman" w:hAnsi="Times New Roman" w:cs="Times New Roman"/>
        </w:rPr>
        <w:t xml:space="preserve"> </w:t>
      </w:r>
    </w:p>
    <w:p w14:paraId="4AFBBFC7" w14:textId="0154E8A2" w:rsidR="001F7A96" w:rsidRPr="00FD1012" w:rsidRDefault="00FD1012" w:rsidP="00FD1012">
      <w:pPr>
        <w:pStyle w:val="ListParagraph"/>
        <w:numPr>
          <w:ilvl w:val="0"/>
          <w:numId w:val="11"/>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13899" w:rsidRPr="00FD1012">
        <w:rPr>
          <w:rFonts w:ascii="Times New Roman" w:hAnsi="Times New Roman" w:cs="Times New Roman"/>
        </w:rPr>
        <w:t>Second, the proposal by design punishes customers who have already invested their own dollars by reducing the percentage of their bill that they could have avoided under current rate structures.  As explained by TASC witness</w:t>
      </w:r>
      <w:r w:rsidR="009E19C7" w:rsidRPr="00FD1012">
        <w:rPr>
          <w:rFonts w:ascii="Times New Roman" w:hAnsi="Times New Roman" w:cs="Times New Roman"/>
        </w:rPr>
        <w:t>,</w:t>
      </w:r>
      <w:r w:rsidR="00EE1A9D" w:rsidRPr="00FD1012">
        <w:rPr>
          <w:rFonts w:ascii="Times New Roman" w:hAnsi="Times New Roman" w:cs="Times New Roman"/>
        </w:rPr>
        <w:t xml:space="preserve"> </w:t>
      </w:r>
      <w:r w:rsidR="00C46155" w:rsidRPr="00FD1012">
        <w:rPr>
          <w:rFonts w:ascii="Times New Roman" w:hAnsi="Times New Roman" w:cs="Times New Roman"/>
        </w:rPr>
        <w:t xml:space="preserve">Mark </w:t>
      </w:r>
      <w:r w:rsidR="00EE1A9D" w:rsidRPr="00FD1012">
        <w:rPr>
          <w:rFonts w:ascii="Times New Roman" w:hAnsi="Times New Roman" w:cs="Times New Roman"/>
        </w:rPr>
        <w:t>Fu</w:t>
      </w:r>
      <w:r w:rsidR="001F7A96" w:rsidRPr="00FD1012">
        <w:rPr>
          <w:rFonts w:ascii="Times New Roman" w:hAnsi="Times New Roman" w:cs="Times New Roman"/>
        </w:rPr>
        <w:t>lmer, “</w:t>
      </w:r>
      <w:r w:rsidR="001F7A96" w:rsidRPr="00FD1012">
        <w:rPr>
          <w:rFonts w:ascii="Times New Roman" w:hAnsi="Times New Roman" w:cs="Times New Roman"/>
          <w:w w:val="95"/>
        </w:rPr>
        <w:t>reduced</w:t>
      </w:r>
      <w:r w:rsidR="001F7A96" w:rsidRPr="00FD1012">
        <w:rPr>
          <w:rFonts w:ascii="Times New Roman" w:hAnsi="Times New Roman" w:cs="Times New Roman"/>
        </w:rPr>
        <w:t xml:space="preserve"> variable</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charges</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and</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higher</w:t>
      </w:r>
      <w:r w:rsidR="001F7A96" w:rsidRPr="00FD1012">
        <w:rPr>
          <w:rFonts w:ascii="Times New Roman" w:hAnsi="Times New Roman" w:cs="Times New Roman"/>
          <w:spacing w:val="-3"/>
        </w:rPr>
        <w:t xml:space="preserve"> </w:t>
      </w:r>
      <w:r w:rsidR="001F7A96" w:rsidRPr="00FD1012">
        <w:rPr>
          <w:rFonts w:ascii="Times New Roman" w:hAnsi="Times New Roman" w:cs="Times New Roman"/>
        </w:rPr>
        <w:t>fixed</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charges</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reduce</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the</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payback</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a</w:t>
      </w:r>
      <w:r w:rsidR="001F7A96" w:rsidRPr="00FD1012">
        <w:rPr>
          <w:rFonts w:ascii="Times New Roman" w:hAnsi="Times New Roman" w:cs="Times New Roman"/>
          <w:spacing w:val="-3"/>
        </w:rPr>
        <w:t xml:space="preserve"> </w:t>
      </w:r>
      <w:r w:rsidR="001F7A96" w:rsidRPr="00FD1012">
        <w:rPr>
          <w:rFonts w:ascii="Times New Roman" w:hAnsi="Times New Roman" w:cs="Times New Roman"/>
        </w:rPr>
        <w:t>customer</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experiences when</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making</w:t>
      </w:r>
      <w:r w:rsidR="001F7A96" w:rsidRPr="00FD1012">
        <w:rPr>
          <w:rFonts w:ascii="Times New Roman" w:hAnsi="Times New Roman" w:cs="Times New Roman"/>
          <w:spacing w:val="-1"/>
        </w:rPr>
        <w:t xml:space="preserve"> </w:t>
      </w:r>
      <w:r w:rsidR="001F7A96" w:rsidRPr="00FD1012">
        <w:rPr>
          <w:rFonts w:ascii="Times New Roman" w:hAnsi="Times New Roman" w:cs="Times New Roman"/>
        </w:rPr>
        <w:t>energy</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efficiency</w:t>
      </w:r>
      <w:r w:rsidR="001F7A96" w:rsidRPr="00FD1012">
        <w:rPr>
          <w:rFonts w:ascii="Times New Roman" w:hAnsi="Times New Roman" w:cs="Times New Roman"/>
          <w:spacing w:val="-1"/>
        </w:rPr>
        <w:t xml:space="preserve"> </w:t>
      </w:r>
      <w:r w:rsidR="001F7A96" w:rsidRPr="00FD1012">
        <w:rPr>
          <w:rFonts w:ascii="Times New Roman" w:hAnsi="Times New Roman" w:cs="Times New Roman"/>
        </w:rPr>
        <w:t>or</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solar</w:t>
      </w:r>
      <w:r w:rsidR="001F7A96" w:rsidRPr="00FD1012">
        <w:rPr>
          <w:rFonts w:ascii="Times New Roman" w:hAnsi="Times New Roman" w:cs="Times New Roman"/>
          <w:spacing w:val="-1"/>
        </w:rPr>
        <w:t xml:space="preserve"> </w:t>
      </w:r>
      <w:r w:rsidR="001F7A96" w:rsidRPr="00FD1012">
        <w:rPr>
          <w:rFonts w:ascii="Times New Roman" w:hAnsi="Times New Roman" w:cs="Times New Roman"/>
        </w:rPr>
        <w:lastRenderedPageBreak/>
        <w:t>DG</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investments:</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the</w:t>
      </w:r>
      <w:r w:rsidR="001F7A96" w:rsidRPr="00FD1012">
        <w:rPr>
          <w:rFonts w:ascii="Times New Roman" w:hAnsi="Times New Roman" w:cs="Times New Roman"/>
          <w:spacing w:val="-1"/>
        </w:rPr>
        <w:t xml:space="preserve"> </w:t>
      </w:r>
      <w:r w:rsidR="001F7A96" w:rsidRPr="00FD1012">
        <w:rPr>
          <w:rFonts w:ascii="Times New Roman" w:hAnsi="Times New Roman" w:cs="Times New Roman"/>
        </w:rPr>
        <w:t>fewer</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dollars</w:t>
      </w:r>
      <w:r w:rsidR="001F7A96" w:rsidRPr="00FD1012">
        <w:rPr>
          <w:rFonts w:ascii="Times New Roman" w:hAnsi="Times New Roman" w:cs="Times New Roman"/>
          <w:spacing w:val="-1"/>
        </w:rPr>
        <w:t xml:space="preserve"> </w:t>
      </w:r>
      <w:r w:rsidR="001F7A96" w:rsidRPr="00FD1012">
        <w:rPr>
          <w:rFonts w:ascii="Times New Roman" w:hAnsi="Times New Roman" w:cs="Times New Roman"/>
        </w:rPr>
        <w:t>per</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kilowatt</w:t>
      </w:r>
      <w:r w:rsidR="001F7A96" w:rsidRPr="00FD1012">
        <w:rPr>
          <w:rFonts w:ascii="Times New Roman" w:hAnsi="Times New Roman" w:cs="Times New Roman"/>
          <w:spacing w:val="32"/>
        </w:rPr>
        <w:t>-</w:t>
      </w:r>
      <w:r w:rsidR="001F7A96" w:rsidRPr="00FD1012">
        <w:rPr>
          <w:rFonts w:ascii="Times New Roman" w:hAnsi="Times New Roman" w:cs="Times New Roman"/>
        </w:rPr>
        <w:t>hour</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saved,</w:t>
      </w:r>
      <w:r w:rsidR="001F7A96" w:rsidRPr="00FD1012">
        <w:rPr>
          <w:rFonts w:ascii="Times New Roman" w:hAnsi="Times New Roman" w:cs="Times New Roman"/>
          <w:spacing w:val="-1"/>
        </w:rPr>
        <w:t xml:space="preserve"> </w:t>
      </w:r>
      <w:r w:rsidR="001F7A96" w:rsidRPr="00FD1012">
        <w:rPr>
          <w:rFonts w:ascii="Times New Roman" w:hAnsi="Times New Roman" w:cs="Times New Roman"/>
        </w:rPr>
        <w:t>the</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lower</w:t>
      </w:r>
      <w:r w:rsidR="001F7A96" w:rsidRPr="00FD1012">
        <w:rPr>
          <w:rFonts w:ascii="Times New Roman" w:hAnsi="Times New Roman" w:cs="Times New Roman"/>
          <w:spacing w:val="-1"/>
        </w:rPr>
        <w:t xml:space="preserve"> </w:t>
      </w:r>
      <w:r w:rsidR="001F7A96" w:rsidRPr="00FD1012">
        <w:rPr>
          <w:rFonts w:ascii="Times New Roman" w:hAnsi="Times New Roman" w:cs="Times New Roman"/>
        </w:rPr>
        <w:t>the</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return</w:t>
      </w:r>
      <w:r w:rsidR="001F7A96" w:rsidRPr="00FD1012">
        <w:rPr>
          <w:rFonts w:ascii="Times New Roman" w:hAnsi="Times New Roman" w:cs="Times New Roman"/>
          <w:spacing w:val="-1"/>
        </w:rPr>
        <w:t xml:space="preserve"> </w:t>
      </w:r>
      <w:r w:rsidR="001F7A96" w:rsidRPr="00FD1012">
        <w:rPr>
          <w:rFonts w:ascii="Times New Roman" w:hAnsi="Times New Roman" w:cs="Times New Roman"/>
        </w:rPr>
        <w:t>on</w:t>
      </w:r>
      <w:r w:rsidR="001F7A96" w:rsidRPr="00FD1012">
        <w:rPr>
          <w:rFonts w:ascii="Times New Roman" w:hAnsi="Times New Roman" w:cs="Times New Roman"/>
          <w:spacing w:val="-2"/>
        </w:rPr>
        <w:t xml:space="preserve"> </w:t>
      </w:r>
      <w:r w:rsidR="001F7A96" w:rsidRPr="00FD1012">
        <w:rPr>
          <w:rFonts w:ascii="Times New Roman" w:hAnsi="Times New Roman" w:cs="Times New Roman"/>
        </w:rPr>
        <w:t>the</w:t>
      </w:r>
      <w:r w:rsidR="001F7A96" w:rsidRPr="00FD1012">
        <w:rPr>
          <w:rFonts w:ascii="Times New Roman" w:hAnsi="Times New Roman" w:cs="Times New Roman"/>
          <w:spacing w:val="-1"/>
        </w:rPr>
        <w:t xml:space="preserve"> </w:t>
      </w:r>
      <w:r w:rsidR="001F7A96" w:rsidRPr="00FD1012">
        <w:rPr>
          <w:rFonts w:ascii="Times New Roman" w:hAnsi="Times New Roman" w:cs="Times New Roman"/>
        </w:rPr>
        <w:t>investment.”</w:t>
      </w:r>
      <w:r w:rsidR="001F7A96" w:rsidRPr="00F954C7">
        <w:rPr>
          <w:rStyle w:val="FootnoteReference"/>
          <w:rFonts w:ascii="Times New Roman" w:hAnsi="Times New Roman" w:cs="Times New Roman"/>
        </w:rPr>
        <w:footnoteReference w:id="21"/>
      </w:r>
      <w:r w:rsidR="00603537" w:rsidRPr="00FD1012">
        <w:rPr>
          <w:rFonts w:ascii="Times New Roman" w:hAnsi="Times New Roman" w:cs="Times New Roman"/>
        </w:rPr>
        <w:t xml:space="preserve">  As evidenced by Ms. Steward</w:t>
      </w:r>
      <w:r w:rsidR="009B1AA0" w:rsidRPr="00FD1012">
        <w:rPr>
          <w:rFonts w:ascii="Times New Roman" w:hAnsi="Times New Roman" w:cs="Times New Roman"/>
        </w:rPr>
        <w:t>’</w:t>
      </w:r>
      <w:r w:rsidR="00603537" w:rsidRPr="00FD1012">
        <w:rPr>
          <w:rFonts w:ascii="Times New Roman" w:hAnsi="Times New Roman" w:cs="Times New Roman"/>
        </w:rPr>
        <w:t xml:space="preserve">s statement above, customers that are already low users, including those that have already reduced their usage by conserving or installing efficiency measures, will now </w:t>
      </w:r>
      <w:r w:rsidR="00C46155" w:rsidRPr="00FD1012">
        <w:rPr>
          <w:rFonts w:ascii="Times New Roman" w:hAnsi="Times New Roman" w:cs="Times New Roman"/>
        </w:rPr>
        <w:t xml:space="preserve">be penalized with an overall 25% fixed rate charge that they can never avoid, </w:t>
      </w:r>
      <w:r w:rsidR="00603537" w:rsidRPr="00FD1012">
        <w:rPr>
          <w:rFonts w:ascii="Times New Roman" w:hAnsi="Times New Roman" w:cs="Times New Roman"/>
        </w:rPr>
        <w:t>reducing their ultimate savings.</w:t>
      </w:r>
    </w:p>
    <w:p w14:paraId="15832816" w14:textId="565E6D29" w:rsidR="00513899" w:rsidRPr="00FD1012" w:rsidRDefault="00FD1012" w:rsidP="00FD1012">
      <w:pPr>
        <w:pStyle w:val="ListParagraph"/>
        <w:numPr>
          <w:ilvl w:val="0"/>
          <w:numId w:val="11"/>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1F7A96" w:rsidRPr="00FD1012">
        <w:rPr>
          <w:rFonts w:ascii="Times New Roman" w:hAnsi="Times New Roman" w:cs="Times New Roman"/>
        </w:rPr>
        <w:t xml:space="preserve">Third, the </w:t>
      </w:r>
      <w:r w:rsidR="00C46155" w:rsidRPr="00FD1012">
        <w:rPr>
          <w:rFonts w:ascii="Times New Roman" w:hAnsi="Times New Roman" w:cs="Times New Roman"/>
        </w:rPr>
        <w:t xml:space="preserve">statement evidences the advantages of the proposed scheme for the Company’s high-use customers. </w:t>
      </w:r>
      <w:r w:rsidR="00BA6EF8" w:rsidRPr="00FD1012">
        <w:rPr>
          <w:rFonts w:ascii="Times New Roman" w:hAnsi="Times New Roman" w:cs="Times New Roman"/>
        </w:rPr>
        <w:t xml:space="preserve">Ms. Steward acknowledges that the greater the portion </w:t>
      </w:r>
      <w:r w:rsidR="009E19C7" w:rsidRPr="00FD1012">
        <w:rPr>
          <w:rFonts w:ascii="Times New Roman" w:hAnsi="Times New Roman" w:cs="Times New Roman"/>
        </w:rPr>
        <w:t>of the bill that is volumetric -</w:t>
      </w:r>
      <w:r w:rsidR="00BA6EF8" w:rsidRPr="00FD1012">
        <w:rPr>
          <w:rFonts w:ascii="Times New Roman" w:hAnsi="Times New Roman" w:cs="Times New Roman"/>
        </w:rPr>
        <w:t xml:space="preserve"> 95% for “high use customers in particular” - the more incentive a customer has to reduce usage.  Current high</w:t>
      </w:r>
      <w:r w:rsidR="003C15A7" w:rsidRPr="00FD1012">
        <w:rPr>
          <w:rFonts w:ascii="Times New Roman" w:hAnsi="Times New Roman" w:cs="Times New Roman"/>
        </w:rPr>
        <w:t>-</w:t>
      </w:r>
      <w:r w:rsidR="00BA6EF8" w:rsidRPr="00FD1012">
        <w:rPr>
          <w:rFonts w:ascii="Times New Roman" w:hAnsi="Times New Roman" w:cs="Times New Roman"/>
        </w:rPr>
        <w:t>use customers who do not take advantage of th</w:t>
      </w:r>
      <w:r w:rsidR="00267C85" w:rsidRPr="00FD1012">
        <w:rPr>
          <w:rFonts w:ascii="Times New Roman" w:hAnsi="Times New Roman" w:cs="Times New Roman"/>
        </w:rPr>
        <w:t>e rate design</w:t>
      </w:r>
      <w:r w:rsidR="00BA6EF8" w:rsidRPr="00FD1012">
        <w:rPr>
          <w:rFonts w:ascii="Times New Roman" w:hAnsi="Times New Roman" w:cs="Times New Roman"/>
        </w:rPr>
        <w:t xml:space="preserve"> will see no difference in bills, while low usage customers, who may have already </w:t>
      </w:r>
      <w:r w:rsidR="00267C85" w:rsidRPr="00FD1012">
        <w:rPr>
          <w:rFonts w:ascii="Times New Roman" w:hAnsi="Times New Roman" w:cs="Times New Roman"/>
        </w:rPr>
        <w:t>invested in efficiency will see their returns diminished.</w:t>
      </w:r>
    </w:p>
    <w:p w14:paraId="636BC1B2" w14:textId="7F8EB46D" w:rsidR="00651366" w:rsidRPr="00FD1012" w:rsidRDefault="00FD1012" w:rsidP="00FD1012">
      <w:pPr>
        <w:pStyle w:val="ListParagraph"/>
        <w:numPr>
          <w:ilvl w:val="0"/>
          <w:numId w:val="11"/>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651366" w:rsidRPr="00FD1012">
        <w:rPr>
          <w:rFonts w:ascii="Times New Roman" w:hAnsi="Times New Roman" w:cs="Times New Roman"/>
        </w:rPr>
        <w:t xml:space="preserve">Because the Commission is tasked with carrying out state energy policy, it should refuse to adopt such a major increase to the basic charge in light of the fact that doing so runs contrary to Washington’s goals of promoting conservation and </w:t>
      </w:r>
      <w:r w:rsidR="009B1AA0" w:rsidRPr="00FD1012">
        <w:rPr>
          <w:rFonts w:ascii="Times New Roman" w:hAnsi="Times New Roman" w:cs="Times New Roman"/>
        </w:rPr>
        <w:t>DG</w:t>
      </w:r>
      <w:r w:rsidR="00651366" w:rsidRPr="00FD1012">
        <w:rPr>
          <w:rFonts w:ascii="Times New Roman" w:hAnsi="Times New Roman" w:cs="Times New Roman"/>
        </w:rPr>
        <w:t xml:space="preserve">.   </w:t>
      </w:r>
    </w:p>
    <w:p w14:paraId="0E8D18E4" w14:textId="52F6F577" w:rsidR="00F1789E" w:rsidRPr="00F954C7" w:rsidRDefault="00F1789E" w:rsidP="00F1789E">
      <w:pPr>
        <w:pStyle w:val="ListParagraph"/>
        <w:numPr>
          <w:ilvl w:val="0"/>
          <w:numId w:val="2"/>
        </w:numPr>
        <w:rPr>
          <w:rFonts w:ascii="Times New Roman" w:hAnsi="Times New Roman" w:cs="Times New Roman"/>
          <w:b/>
        </w:rPr>
      </w:pPr>
      <w:r w:rsidRPr="00F954C7">
        <w:rPr>
          <w:rFonts w:ascii="Times New Roman" w:hAnsi="Times New Roman" w:cs="Times New Roman"/>
          <w:b/>
        </w:rPr>
        <w:t>The Company’s Proposal Violates the Princip</w:t>
      </w:r>
      <w:r w:rsidR="000B17A8">
        <w:rPr>
          <w:rFonts w:ascii="Times New Roman" w:hAnsi="Times New Roman" w:cs="Times New Roman"/>
          <w:b/>
        </w:rPr>
        <w:t>le</w:t>
      </w:r>
      <w:r w:rsidRPr="00F954C7">
        <w:rPr>
          <w:rFonts w:ascii="Times New Roman" w:hAnsi="Times New Roman" w:cs="Times New Roman"/>
          <w:b/>
        </w:rPr>
        <w:t xml:space="preserve"> of Gradualism </w:t>
      </w:r>
    </w:p>
    <w:p w14:paraId="709682E8" w14:textId="77777777" w:rsidR="00F1789E" w:rsidRPr="00F954C7" w:rsidRDefault="00F1789E" w:rsidP="00F1789E">
      <w:pPr>
        <w:rPr>
          <w:rFonts w:ascii="Times New Roman" w:hAnsi="Times New Roman" w:cs="Times New Roman"/>
        </w:rPr>
      </w:pPr>
    </w:p>
    <w:p w14:paraId="47DA1837" w14:textId="16D448BD" w:rsidR="005216D0" w:rsidRPr="00FD1012" w:rsidRDefault="00FD1012" w:rsidP="00FD1012">
      <w:pPr>
        <w:pStyle w:val="ListParagraph"/>
        <w:numPr>
          <w:ilvl w:val="0"/>
          <w:numId w:val="12"/>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1789E" w:rsidRPr="00FD1012">
        <w:rPr>
          <w:rFonts w:ascii="Times New Roman" w:hAnsi="Times New Roman" w:cs="Times New Roman"/>
        </w:rPr>
        <w:t xml:space="preserve">Gradualism refers to the principle that </w:t>
      </w:r>
      <w:r w:rsidR="005216D0" w:rsidRPr="00FD1012">
        <w:rPr>
          <w:rFonts w:ascii="Times New Roman" w:hAnsi="Times New Roman" w:cs="Times New Roman"/>
        </w:rPr>
        <w:t>drastic</w:t>
      </w:r>
      <w:r w:rsidR="00F1789E" w:rsidRPr="00FD1012">
        <w:rPr>
          <w:rFonts w:ascii="Times New Roman" w:hAnsi="Times New Roman" w:cs="Times New Roman"/>
        </w:rPr>
        <w:t xml:space="preserve"> changes to rates or rate structures shoul</w:t>
      </w:r>
      <w:r w:rsidR="005216D0" w:rsidRPr="00FD1012">
        <w:rPr>
          <w:rFonts w:ascii="Times New Roman" w:hAnsi="Times New Roman" w:cs="Times New Roman"/>
        </w:rPr>
        <w:t>d not occur in one proceeding.</w:t>
      </w:r>
      <w:r w:rsidR="005216D0" w:rsidRPr="00F954C7">
        <w:rPr>
          <w:rStyle w:val="FootnoteReference"/>
          <w:rFonts w:ascii="Times New Roman" w:hAnsi="Times New Roman" w:cs="Times New Roman"/>
        </w:rPr>
        <w:footnoteReference w:id="22"/>
      </w:r>
      <w:r w:rsidR="009B1AA0" w:rsidRPr="00FD1012">
        <w:rPr>
          <w:rFonts w:ascii="Times New Roman" w:hAnsi="Times New Roman" w:cs="Times New Roman"/>
        </w:rPr>
        <w:t xml:space="preserve">  The C</w:t>
      </w:r>
      <w:r w:rsidR="005216D0" w:rsidRPr="00FD1012">
        <w:rPr>
          <w:rFonts w:ascii="Times New Roman" w:hAnsi="Times New Roman" w:cs="Times New Roman"/>
        </w:rPr>
        <w:t>ommission has repeatedly pointed to this regulatory princip</w:t>
      </w:r>
      <w:r w:rsidR="003C15A7" w:rsidRPr="00FD1012">
        <w:rPr>
          <w:rFonts w:ascii="Times New Roman" w:hAnsi="Times New Roman" w:cs="Times New Roman"/>
        </w:rPr>
        <w:t>le</w:t>
      </w:r>
      <w:r w:rsidR="005216D0" w:rsidRPr="00FD1012">
        <w:rPr>
          <w:rFonts w:ascii="Times New Roman" w:hAnsi="Times New Roman" w:cs="Times New Roman"/>
        </w:rPr>
        <w:t xml:space="preserve"> in addressing rate changes.</w:t>
      </w:r>
      <w:r w:rsidR="005216D0" w:rsidRPr="00F954C7">
        <w:rPr>
          <w:rStyle w:val="FootnoteReference"/>
          <w:rFonts w:ascii="Times New Roman" w:hAnsi="Times New Roman" w:cs="Times New Roman"/>
        </w:rPr>
        <w:footnoteReference w:id="23"/>
      </w:r>
      <w:r w:rsidR="005216D0" w:rsidRPr="00FD1012">
        <w:rPr>
          <w:rFonts w:ascii="Times New Roman" w:hAnsi="Times New Roman" w:cs="Times New Roman"/>
        </w:rPr>
        <w:t xml:space="preserve">  For example in Docket UE-111190, the Commission stated</w:t>
      </w:r>
      <w:r w:rsidR="003C15A7" w:rsidRPr="00FD1012">
        <w:rPr>
          <w:rFonts w:ascii="Times New Roman" w:hAnsi="Times New Roman" w:cs="Times New Roman"/>
        </w:rPr>
        <w:t>,</w:t>
      </w:r>
      <w:r w:rsidR="005216D0" w:rsidRPr="00FD1012">
        <w:rPr>
          <w:rFonts w:ascii="Times New Roman" w:hAnsi="Times New Roman" w:cs="Times New Roman"/>
        </w:rPr>
        <w:t xml:space="preserve"> “when establishing an appropriate rate spread and rate design we consider not only the cost burden a customer class imposes on a utility but also the principles of rate stability and gradualism.”</w:t>
      </w:r>
      <w:r w:rsidR="005216D0" w:rsidRPr="00F954C7">
        <w:rPr>
          <w:rStyle w:val="FootnoteReference"/>
          <w:rFonts w:ascii="Times New Roman" w:hAnsi="Times New Roman" w:cs="Times New Roman"/>
        </w:rPr>
        <w:footnoteReference w:id="24"/>
      </w:r>
      <w:r w:rsidR="005216D0" w:rsidRPr="00FD1012">
        <w:rPr>
          <w:rFonts w:ascii="Times New Roman" w:hAnsi="Times New Roman" w:cs="Times New Roman"/>
        </w:rPr>
        <w:t xml:space="preserve">  Similarly in Docket UE-130043, the Commission approved a settlement </w:t>
      </w:r>
      <w:r w:rsidR="005216D0" w:rsidRPr="00FD1012">
        <w:rPr>
          <w:rFonts w:ascii="Times New Roman" w:hAnsi="Times New Roman" w:cs="Times New Roman"/>
        </w:rPr>
        <w:lastRenderedPageBreak/>
        <w:t xml:space="preserve">agreement that contained a moderate increase to the residential basic charge from $6.00 to </w:t>
      </w:r>
      <w:r w:rsidR="00E23C61" w:rsidRPr="00FD1012">
        <w:rPr>
          <w:rFonts w:ascii="Times New Roman" w:hAnsi="Times New Roman" w:cs="Times New Roman"/>
        </w:rPr>
        <w:t>$</w:t>
      </w:r>
      <w:r w:rsidR="005216D0" w:rsidRPr="00FD1012">
        <w:rPr>
          <w:rFonts w:ascii="Times New Roman" w:hAnsi="Times New Roman" w:cs="Times New Roman"/>
        </w:rPr>
        <w:t>7.75.  I</w:t>
      </w:r>
      <w:r w:rsidR="00E23C61" w:rsidRPr="00FD1012">
        <w:rPr>
          <w:rFonts w:ascii="Times New Roman" w:hAnsi="Times New Roman" w:cs="Times New Roman"/>
        </w:rPr>
        <w:t>n</w:t>
      </w:r>
      <w:r w:rsidR="005216D0" w:rsidRPr="00FD1012">
        <w:rPr>
          <w:rFonts w:ascii="Times New Roman" w:hAnsi="Times New Roman" w:cs="Times New Roman"/>
        </w:rPr>
        <w:t xml:space="preserve"> approving this </w:t>
      </w:r>
      <w:r w:rsidR="003C15A7" w:rsidRPr="00FD1012">
        <w:rPr>
          <w:rFonts w:ascii="Times New Roman" w:hAnsi="Times New Roman" w:cs="Times New Roman"/>
        </w:rPr>
        <w:t>modest increase</w:t>
      </w:r>
      <w:r w:rsidR="005216D0" w:rsidRPr="00FD1012">
        <w:rPr>
          <w:rFonts w:ascii="Times New Roman" w:hAnsi="Times New Roman" w:cs="Times New Roman"/>
        </w:rPr>
        <w:t>, the Commission stated that such an increase, “provides for recovery of additional fixed costs via the basic charge, but is significantly less than the increase to $10.00 requested by the Company, thus acknowledging the regulatory principle of gradualism</w:t>
      </w:r>
      <w:r w:rsidR="009E19C7" w:rsidRPr="00FD1012">
        <w:rPr>
          <w:rFonts w:ascii="Times New Roman" w:hAnsi="Times New Roman" w:cs="Times New Roman"/>
        </w:rPr>
        <w:t xml:space="preserve"> . . </w:t>
      </w:r>
      <w:r w:rsidR="005216D0" w:rsidRPr="00FD1012">
        <w:rPr>
          <w:rFonts w:ascii="Times New Roman" w:hAnsi="Times New Roman" w:cs="Times New Roman"/>
        </w:rPr>
        <w:t>.”</w:t>
      </w:r>
      <w:r w:rsidR="005216D0" w:rsidRPr="00F954C7">
        <w:rPr>
          <w:rStyle w:val="FootnoteReference"/>
          <w:rFonts w:ascii="Times New Roman" w:hAnsi="Times New Roman" w:cs="Times New Roman"/>
        </w:rPr>
        <w:footnoteReference w:id="25"/>
      </w:r>
    </w:p>
    <w:p w14:paraId="07813CF3" w14:textId="68F72FA2" w:rsidR="003F5C5C" w:rsidRPr="00FD1012" w:rsidRDefault="00FD1012" w:rsidP="00FD1012">
      <w:pPr>
        <w:pStyle w:val="ListParagraph"/>
        <w:numPr>
          <w:ilvl w:val="0"/>
          <w:numId w:val="12"/>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4D0E38" w:rsidRPr="00FD1012">
        <w:rPr>
          <w:rFonts w:ascii="Times New Roman" w:hAnsi="Times New Roman" w:cs="Times New Roman"/>
        </w:rPr>
        <w:t>The Company’s proposed $6.25</w:t>
      </w:r>
      <w:r w:rsidR="00C354E5" w:rsidRPr="00FD1012">
        <w:rPr>
          <w:rFonts w:ascii="Times New Roman" w:hAnsi="Times New Roman" w:cs="Times New Roman"/>
        </w:rPr>
        <w:t xml:space="preserve"> increase to the residential basic charge is unprecedented on a number of fronts.  First, customers in Washington have never experienced a fixed charge increase of this magnitude.</w:t>
      </w:r>
      <w:r w:rsidR="00C354E5" w:rsidRPr="00F954C7">
        <w:rPr>
          <w:rStyle w:val="FootnoteReference"/>
          <w:rFonts w:ascii="Times New Roman" w:hAnsi="Times New Roman" w:cs="Times New Roman"/>
        </w:rPr>
        <w:footnoteReference w:id="26"/>
      </w:r>
      <w:r w:rsidR="00C354E5" w:rsidRPr="00FD1012">
        <w:rPr>
          <w:rFonts w:ascii="Times New Roman" w:hAnsi="Times New Roman" w:cs="Times New Roman"/>
        </w:rPr>
        <w:t xml:space="preserve">  Second, as demonstrated in Figure 1 of Mr. Fulme</w:t>
      </w:r>
      <w:r w:rsidR="004D0E38" w:rsidRPr="00FD1012">
        <w:rPr>
          <w:rFonts w:ascii="Times New Roman" w:hAnsi="Times New Roman" w:cs="Times New Roman"/>
        </w:rPr>
        <w:t>r’s direct testimony, when the C</w:t>
      </w:r>
      <w:r w:rsidR="00C354E5" w:rsidRPr="00FD1012">
        <w:rPr>
          <w:rFonts w:ascii="Times New Roman" w:hAnsi="Times New Roman" w:cs="Times New Roman"/>
        </w:rPr>
        <w:t xml:space="preserve">ommission </w:t>
      </w:r>
      <w:r w:rsidR="00835D01" w:rsidRPr="00FD1012">
        <w:rPr>
          <w:rFonts w:ascii="Times New Roman" w:hAnsi="Times New Roman" w:cs="Times New Roman"/>
        </w:rPr>
        <w:t xml:space="preserve">has </w:t>
      </w:r>
      <w:r w:rsidR="00C354E5" w:rsidRPr="00FD1012">
        <w:rPr>
          <w:rFonts w:ascii="Times New Roman" w:hAnsi="Times New Roman" w:cs="Times New Roman"/>
        </w:rPr>
        <w:t xml:space="preserve">authorized an increase to the residential basic charge in the past, </w:t>
      </w:r>
      <w:r w:rsidR="004D0E38" w:rsidRPr="00FD1012">
        <w:rPr>
          <w:rFonts w:ascii="Times New Roman" w:hAnsi="Times New Roman" w:cs="Times New Roman"/>
        </w:rPr>
        <w:t>it</w:t>
      </w:r>
      <w:r w:rsidR="00C354E5" w:rsidRPr="00FD1012">
        <w:rPr>
          <w:rFonts w:ascii="Times New Roman" w:hAnsi="Times New Roman" w:cs="Times New Roman"/>
        </w:rPr>
        <w:t xml:space="preserve"> remained relatively flat for several years after the increase.</w:t>
      </w:r>
      <w:r w:rsidR="00C354E5" w:rsidRPr="00F954C7">
        <w:rPr>
          <w:rStyle w:val="FootnoteReference"/>
          <w:rFonts w:ascii="Times New Roman" w:hAnsi="Times New Roman" w:cs="Times New Roman"/>
        </w:rPr>
        <w:footnoteReference w:id="27"/>
      </w:r>
      <w:r w:rsidR="00C354E5" w:rsidRPr="00FD1012">
        <w:rPr>
          <w:rFonts w:ascii="Times New Roman" w:hAnsi="Times New Roman" w:cs="Times New Roman"/>
        </w:rPr>
        <w:t xml:space="preserve">  Since PacifiCorp just raised the basic charge by $1.75 (+29%) in 2013, raising it again so quickly</w:t>
      </w:r>
      <w:r w:rsidR="00835D01" w:rsidRPr="00FD1012">
        <w:rPr>
          <w:rFonts w:ascii="Times New Roman" w:hAnsi="Times New Roman" w:cs="Times New Roman"/>
        </w:rPr>
        <w:t xml:space="preserve">, </w:t>
      </w:r>
      <w:r w:rsidR="00C354E5" w:rsidRPr="00FD1012">
        <w:rPr>
          <w:rFonts w:ascii="Times New Roman" w:hAnsi="Times New Roman" w:cs="Times New Roman"/>
        </w:rPr>
        <w:t>especially by such a substantial amount</w:t>
      </w:r>
      <w:r w:rsidR="00835D01" w:rsidRPr="00FD1012">
        <w:rPr>
          <w:rFonts w:ascii="Times New Roman" w:hAnsi="Times New Roman" w:cs="Times New Roman"/>
        </w:rPr>
        <w:t>,</w:t>
      </w:r>
      <w:r w:rsidR="00C354E5" w:rsidRPr="00FD1012">
        <w:rPr>
          <w:rFonts w:ascii="Times New Roman" w:hAnsi="Times New Roman" w:cs="Times New Roman"/>
        </w:rPr>
        <w:t xml:space="preserve"> is unprecedented.</w:t>
      </w:r>
      <w:r w:rsidR="00C354E5" w:rsidRPr="00F954C7">
        <w:rPr>
          <w:rStyle w:val="FootnoteReference"/>
          <w:rFonts w:ascii="Times New Roman" w:hAnsi="Times New Roman" w:cs="Times New Roman"/>
        </w:rPr>
        <w:footnoteReference w:id="28"/>
      </w:r>
      <w:r w:rsidR="00C354E5" w:rsidRPr="00FD1012">
        <w:rPr>
          <w:rFonts w:ascii="Times New Roman" w:hAnsi="Times New Roman" w:cs="Times New Roman"/>
        </w:rPr>
        <w:t xml:space="preserve">    </w:t>
      </w:r>
    </w:p>
    <w:p w14:paraId="22B677CE" w14:textId="079731A3" w:rsidR="00CB70DB" w:rsidRPr="00F954C7" w:rsidRDefault="00AB279D" w:rsidP="0064579E">
      <w:pPr>
        <w:pStyle w:val="ListParagraph"/>
        <w:numPr>
          <w:ilvl w:val="0"/>
          <w:numId w:val="2"/>
        </w:numPr>
        <w:rPr>
          <w:rFonts w:ascii="Times New Roman" w:hAnsi="Times New Roman" w:cs="Times New Roman"/>
          <w:b/>
        </w:rPr>
      </w:pPr>
      <w:r w:rsidRPr="00F954C7">
        <w:rPr>
          <w:rFonts w:ascii="Times New Roman" w:hAnsi="Times New Roman" w:cs="Times New Roman"/>
          <w:b/>
        </w:rPr>
        <w:t>PacifiCorp’s Proposal</w:t>
      </w:r>
      <w:r w:rsidR="009B706B" w:rsidRPr="00F954C7">
        <w:rPr>
          <w:rFonts w:ascii="Times New Roman" w:hAnsi="Times New Roman" w:cs="Times New Roman"/>
          <w:b/>
        </w:rPr>
        <w:t xml:space="preserve"> </w:t>
      </w:r>
      <w:r w:rsidRPr="00F954C7">
        <w:rPr>
          <w:rFonts w:ascii="Times New Roman" w:hAnsi="Times New Roman" w:cs="Times New Roman"/>
          <w:b/>
        </w:rPr>
        <w:t>Creates Unnecessary Rate Shock</w:t>
      </w:r>
    </w:p>
    <w:p w14:paraId="4503C133" w14:textId="77777777" w:rsidR="0064579E" w:rsidRPr="00F954C7" w:rsidRDefault="0064579E" w:rsidP="0064579E">
      <w:pPr>
        <w:rPr>
          <w:rFonts w:ascii="Times New Roman" w:hAnsi="Times New Roman" w:cs="Times New Roman"/>
        </w:rPr>
      </w:pPr>
    </w:p>
    <w:p w14:paraId="413EA0AC" w14:textId="1745D7FA" w:rsidR="007C32E7" w:rsidRPr="00FD1012" w:rsidRDefault="00FD1012" w:rsidP="00FD1012">
      <w:pPr>
        <w:pStyle w:val="ListParagraph"/>
        <w:numPr>
          <w:ilvl w:val="0"/>
          <w:numId w:val="13"/>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241BDF" w:rsidRPr="00FD1012">
        <w:rPr>
          <w:rFonts w:ascii="Times New Roman" w:hAnsi="Times New Roman" w:cs="Times New Roman"/>
        </w:rPr>
        <w:t xml:space="preserve">The </w:t>
      </w:r>
      <w:r w:rsidR="009B706B" w:rsidRPr="00FD1012">
        <w:rPr>
          <w:rFonts w:ascii="Times New Roman" w:hAnsi="Times New Roman" w:cs="Times New Roman"/>
        </w:rPr>
        <w:t>Commission has also been very cognizant of customer reactions to drastic rate increases or changes in rate design, often referred to as “rate shock.”  In Docket UE-100749, PacifiCorp’s 2010 rate case, the Commission stated that while it considers the results of a valid COSS “we also consider principles of rate stability, gradualism, and the avoidance of rate shock.”</w:t>
      </w:r>
      <w:r w:rsidR="007C32E7" w:rsidRPr="00F954C7">
        <w:rPr>
          <w:rStyle w:val="FootnoteReference"/>
          <w:rFonts w:ascii="Times New Roman" w:hAnsi="Times New Roman" w:cs="Times New Roman"/>
        </w:rPr>
        <w:footnoteReference w:id="29"/>
      </w:r>
      <w:r w:rsidR="007C32E7" w:rsidRPr="00FD1012">
        <w:rPr>
          <w:rFonts w:ascii="Times New Roman" w:hAnsi="Times New Roman" w:cs="Times New Roman"/>
        </w:rPr>
        <w:t xml:space="preserve">  In that decision the </w:t>
      </w:r>
      <w:r w:rsidR="00267C85" w:rsidRPr="00FD1012">
        <w:rPr>
          <w:rFonts w:ascii="Times New Roman" w:hAnsi="Times New Roman" w:cs="Times New Roman"/>
        </w:rPr>
        <w:t>Commission</w:t>
      </w:r>
      <w:r w:rsidR="007C32E7" w:rsidRPr="00FD1012">
        <w:rPr>
          <w:rFonts w:ascii="Times New Roman" w:hAnsi="Times New Roman" w:cs="Times New Roman"/>
        </w:rPr>
        <w:t xml:space="preserve"> found that “the composite effect of the revision to the Company’s peak credit method, the proposed rate spread, and the revisions to rate design . . . </w:t>
      </w:r>
      <w:r w:rsidR="007C32E7" w:rsidRPr="00FD1012">
        <w:rPr>
          <w:rFonts w:ascii="Times New Roman" w:hAnsi="Times New Roman" w:cs="Times New Roman"/>
        </w:rPr>
        <w:lastRenderedPageBreak/>
        <w:t>could well result in rate shock.”</w:t>
      </w:r>
      <w:r w:rsidR="007C32E7" w:rsidRPr="00F954C7">
        <w:rPr>
          <w:rStyle w:val="FootnoteReference"/>
          <w:rFonts w:ascii="Times New Roman" w:hAnsi="Times New Roman" w:cs="Times New Roman"/>
        </w:rPr>
        <w:footnoteReference w:id="30"/>
      </w:r>
      <w:r w:rsidR="007C32E7" w:rsidRPr="00FD1012">
        <w:rPr>
          <w:rFonts w:ascii="Times New Roman" w:hAnsi="Times New Roman" w:cs="Times New Roman"/>
        </w:rPr>
        <w:t xml:space="preserve"> </w:t>
      </w:r>
      <w:r w:rsidR="003F5C5C" w:rsidRPr="00FD1012">
        <w:rPr>
          <w:rFonts w:ascii="Times New Roman" w:hAnsi="Times New Roman" w:cs="Times New Roman"/>
        </w:rPr>
        <w:t xml:space="preserve"> </w:t>
      </w:r>
      <w:r w:rsidR="007C32E7" w:rsidRPr="00FD1012">
        <w:rPr>
          <w:rFonts w:ascii="Times New Roman" w:hAnsi="Times New Roman" w:cs="Times New Roman"/>
        </w:rPr>
        <w:t>T</w:t>
      </w:r>
      <w:r w:rsidR="009B706B" w:rsidRPr="00FD1012">
        <w:rPr>
          <w:rFonts w:ascii="Times New Roman" w:hAnsi="Times New Roman" w:cs="Times New Roman"/>
        </w:rPr>
        <w:t xml:space="preserve">he Commission ultimately </w:t>
      </w:r>
      <w:r w:rsidR="007C32E7" w:rsidRPr="00FD1012">
        <w:rPr>
          <w:rFonts w:ascii="Times New Roman" w:hAnsi="Times New Roman" w:cs="Times New Roman"/>
        </w:rPr>
        <w:t xml:space="preserve">denied PacifiCorp’s proposal to increase the residential basic service charge because </w:t>
      </w:r>
    </w:p>
    <w:p w14:paraId="59B16B59" w14:textId="141033D3" w:rsidR="007C32E7" w:rsidRPr="00F954C7" w:rsidRDefault="007C32E7" w:rsidP="007C32E7">
      <w:pPr>
        <w:ind w:left="720" w:right="720"/>
        <w:jc w:val="both"/>
        <w:rPr>
          <w:rFonts w:ascii="Times New Roman" w:hAnsi="Times New Roman" w:cs="Times New Roman"/>
        </w:rPr>
      </w:pPr>
      <w:r w:rsidRPr="00F954C7">
        <w:rPr>
          <w:rFonts w:ascii="Times New Roman" w:hAnsi="Times New Roman" w:cs="Times New Roman"/>
        </w:rPr>
        <w:t xml:space="preserve">. . . </w:t>
      </w:r>
      <w:r w:rsidR="00241BDF">
        <w:rPr>
          <w:rFonts w:ascii="Times New Roman" w:hAnsi="Times New Roman" w:cs="Times New Roman"/>
        </w:rPr>
        <w:t>m</w:t>
      </w:r>
      <w:r w:rsidRPr="00F954C7">
        <w:rPr>
          <w:rFonts w:ascii="Times New Roman" w:hAnsi="Times New Roman" w:cs="Times New Roman"/>
        </w:rPr>
        <w:t xml:space="preserve">any customers will view any basic charge increase as an additional increase above and beyond the rates approved in this Order.  Those customers will not take into account the offsetting decrease in energy charges that would accompany an increase in their basic charge.  Given the significant increase in rates approved in this Order, </w:t>
      </w:r>
      <w:r w:rsidRPr="00F954C7">
        <w:rPr>
          <w:rFonts w:ascii="Times New Roman" w:hAnsi="Times New Roman" w:cs="Times New Roman"/>
          <w:b/>
          <w:i/>
        </w:rPr>
        <w:t xml:space="preserve">we do not want to wish to </w:t>
      </w:r>
      <w:r w:rsidR="00BE0CAF" w:rsidRPr="00F954C7">
        <w:rPr>
          <w:rFonts w:ascii="Times New Roman" w:hAnsi="Times New Roman" w:cs="Times New Roman"/>
          <w:b/>
          <w:i/>
        </w:rPr>
        <w:t xml:space="preserve">[sic] </w:t>
      </w:r>
      <w:r w:rsidRPr="00F954C7">
        <w:rPr>
          <w:rFonts w:ascii="Times New Roman" w:hAnsi="Times New Roman" w:cs="Times New Roman"/>
          <w:b/>
          <w:i/>
        </w:rPr>
        <w:t>add to the rate burden already imposed on customers, whether real or perceived</w:t>
      </w:r>
      <w:r w:rsidRPr="00F954C7">
        <w:rPr>
          <w:rFonts w:ascii="Times New Roman" w:hAnsi="Times New Roman" w:cs="Times New Roman"/>
        </w:rPr>
        <w:t>.  Not recovering some of the “basic” costs through the basic charge does not mean those costs will not be recovered; rather, those costs will just be recovered through the variable charges.</w:t>
      </w:r>
      <w:r w:rsidR="00C24DE2" w:rsidRPr="00F954C7">
        <w:rPr>
          <w:rStyle w:val="FootnoteReference"/>
          <w:rFonts w:ascii="Times New Roman" w:hAnsi="Times New Roman" w:cs="Times New Roman"/>
        </w:rPr>
        <w:footnoteReference w:id="31"/>
      </w:r>
    </w:p>
    <w:p w14:paraId="2B8270A4" w14:textId="0E3E73AF" w:rsidR="009B706B" w:rsidRPr="00F954C7" w:rsidRDefault="009B706B" w:rsidP="007C32E7">
      <w:pPr>
        <w:ind w:firstLine="720"/>
        <w:rPr>
          <w:rFonts w:ascii="Times New Roman" w:hAnsi="Times New Roman" w:cs="Times New Roman"/>
        </w:rPr>
      </w:pPr>
    </w:p>
    <w:p w14:paraId="09C06A26" w14:textId="51B4978A" w:rsidR="00380EEB" w:rsidRPr="00FD1012" w:rsidRDefault="00FD1012" w:rsidP="00FD1012">
      <w:pPr>
        <w:pStyle w:val="ListParagraph"/>
        <w:numPr>
          <w:ilvl w:val="0"/>
          <w:numId w:val="14"/>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B279D" w:rsidRPr="00FD1012">
        <w:rPr>
          <w:rFonts w:ascii="Times New Roman" w:hAnsi="Times New Roman" w:cs="Times New Roman"/>
        </w:rPr>
        <w:t>The evidence in this proceeding proves that Pacif</w:t>
      </w:r>
      <w:r w:rsidR="004A7548" w:rsidRPr="00FD1012">
        <w:rPr>
          <w:rFonts w:ascii="Times New Roman" w:hAnsi="Times New Roman" w:cs="Times New Roman"/>
        </w:rPr>
        <w:t>iCor</w:t>
      </w:r>
      <w:r w:rsidR="00AB279D" w:rsidRPr="00FD1012">
        <w:rPr>
          <w:rFonts w:ascii="Times New Roman" w:hAnsi="Times New Roman" w:cs="Times New Roman"/>
        </w:rPr>
        <w:t xml:space="preserve">p’s customers continue to disfavor increases to the basic service charge and would prefer to pay for electricity through volumetric rates.  </w:t>
      </w:r>
      <w:r w:rsidR="00241BDF" w:rsidRPr="00FD1012">
        <w:rPr>
          <w:rFonts w:ascii="Times New Roman" w:hAnsi="Times New Roman" w:cs="Times New Roman"/>
        </w:rPr>
        <w:t>T</w:t>
      </w:r>
      <w:r w:rsidR="00AB279D" w:rsidRPr="00FD1012">
        <w:rPr>
          <w:rFonts w:ascii="Times New Roman" w:hAnsi="Times New Roman" w:cs="Times New Roman"/>
        </w:rPr>
        <w:t xml:space="preserve">he Company conducted </w:t>
      </w:r>
      <w:r w:rsidR="00241BDF" w:rsidRPr="00FD1012">
        <w:rPr>
          <w:rFonts w:ascii="Times New Roman" w:hAnsi="Times New Roman" w:cs="Times New Roman"/>
        </w:rPr>
        <w:t xml:space="preserve">its own customer </w:t>
      </w:r>
      <w:r w:rsidR="00AB279D" w:rsidRPr="00FD1012">
        <w:rPr>
          <w:rFonts w:ascii="Times New Roman" w:hAnsi="Times New Roman" w:cs="Times New Roman"/>
        </w:rPr>
        <w:t>survey following Dock</w:t>
      </w:r>
      <w:r w:rsidR="00971A58" w:rsidRPr="00FD1012">
        <w:rPr>
          <w:rFonts w:ascii="Times New Roman" w:hAnsi="Times New Roman" w:cs="Times New Roman"/>
        </w:rPr>
        <w:t>et UE-130043</w:t>
      </w:r>
      <w:r w:rsidR="00241BDF" w:rsidRPr="00FD1012">
        <w:rPr>
          <w:rFonts w:ascii="Times New Roman" w:hAnsi="Times New Roman" w:cs="Times New Roman"/>
        </w:rPr>
        <w:t>, and an overwhelming</w:t>
      </w:r>
      <w:r w:rsidR="00971A58" w:rsidRPr="00FD1012">
        <w:rPr>
          <w:rFonts w:ascii="Times New Roman" w:hAnsi="Times New Roman" w:cs="Times New Roman"/>
        </w:rPr>
        <w:t xml:space="preserve"> 65</w:t>
      </w:r>
      <w:r w:rsidR="00AB279D" w:rsidRPr="00FD1012">
        <w:rPr>
          <w:rFonts w:ascii="Times New Roman" w:hAnsi="Times New Roman" w:cs="Times New Roman"/>
        </w:rPr>
        <w:t>% of customers disagreed or strongly disagreed with the statement that they would “</w:t>
      </w:r>
      <w:r w:rsidR="00895D56" w:rsidRPr="00FD1012">
        <w:rPr>
          <w:rFonts w:ascii="Times New Roman" w:hAnsi="Times New Roman" w:cs="Times New Roman"/>
        </w:rPr>
        <w:t>rather pay a higher basic charge and lower energy rates.”</w:t>
      </w:r>
      <w:r w:rsidR="00895D56" w:rsidRPr="00F954C7">
        <w:rPr>
          <w:rStyle w:val="FootnoteReference"/>
          <w:rFonts w:ascii="Times New Roman" w:hAnsi="Times New Roman" w:cs="Times New Roman"/>
        </w:rPr>
        <w:footnoteReference w:id="32"/>
      </w:r>
      <w:r w:rsidR="00895D56" w:rsidRPr="00FD1012">
        <w:rPr>
          <w:rFonts w:ascii="Times New Roman" w:hAnsi="Times New Roman" w:cs="Times New Roman"/>
        </w:rPr>
        <w:t xml:space="preserve"> </w:t>
      </w:r>
      <w:r w:rsidR="009E19C7" w:rsidRPr="00FD1012">
        <w:rPr>
          <w:rFonts w:ascii="Times New Roman" w:hAnsi="Times New Roman" w:cs="Times New Roman"/>
        </w:rPr>
        <w:t xml:space="preserve"> </w:t>
      </w:r>
      <w:r w:rsidR="00AB279D" w:rsidRPr="00FD1012">
        <w:rPr>
          <w:rFonts w:ascii="Times New Roman" w:hAnsi="Times New Roman" w:cs="Times New Roman"/>
        </w:rPr>
        <w:t xml:space="preserve">The Commission should continue to take customer </w:t>
      </w:r>
      <w:r w:rsidR="00895D56" w:rsidRPr="00FD1012">
        <w:rPr>
          <w:rFonts w:ascii="Times New Roman" w:hAnsi="Times New Roman" w:cs="Times New Roman"/>
        </w:rPr>
        <w:t>preferences</w:t>
      </w:r>
      <w:r w:rsidR="00AB279D" w:rsidRPr="00FD1012">
        <w:rPr>
          <w:rFonts w:ascii="Times New Roman" w:hAnsi="Times New Roman" w:cs="Times New Roman"/>
        </w:rPr>
        <w:t xml:space="preserve"> into account to avoid rate shock </w:t>
      </w:r>
      <w:r w:rsidR="00895D56" w:rsidRPr="00FD1012">
        <w:rPr>
          <w:rFonts w:ascii="Times New Roman" w:hAnsi="Times New Roman" w:cs="Times New Roman"/>
        </w:rPr>
        <w:t>and deny</w:t>
      </w:r>
      <w:r w:rsidR="00AB279D" w:rsidRPr="00FD1012">
        <w:rPr>
          <w:rFonts w:ascii="Times New Roman" w:hAnsi="Times New Roman" w:cs="Times New Roman"/>
        </w:rPr>
        <w:t xml:space="preserve"> PacifiCorp’s proposed 81% increase to the residential basic charge.  </w:t>
      </w:r>
    </w:p>
    <w:p w14:paraId="7223338B" w14:textId="699AC1F8" w:rsidR="00267C85" w:rsidRPr="00F954C7" w:rsidRDefault="0038516A" w:rsidP="00380EEB">
      <w:pPr>
        <w:pStyle w:val="ListParagraph"/>
        <w:numPr>
          <w:ilvl w:val="0"/>
          <w:numId w:val="2"/>
        </w:numPr>
        <w:rPr>
          <w:rFonts w:ascii="Times New Roman" w:hAnsi="Times New Roman" w:cs="Times New Roman"/>
        </w:rPr>
      </w:pPr>
      <w:r w:rsidRPr="00F954C7">
        <w:rPr>
          <w:rFonts w:ascii="Times New Roman" w:hAnsi="Times New Roman" w:cs="Times New Roman"/>
          <w:b/>
        </w:rPr>
        <w:t>PacifiCorp’s Proposed Increase to the Residential Basic Charge is Inc</w:t>
      </w:r>
      <w:r w:rsidR="008D0727" w:rsidRPr="00F954C7">
        <w:rPr>
          <w:rFonts w:ascii="Times New Roman" w:hAnsi="Times New Roman" w:cs="Times New Roman"/>
          <w:b/>
        </w:rPr>
        <w:t xml:space="preserve">onsistent with This Commission’s </w:t>
      </w:r>
      <w:r w:rsidRPr="00F954C7">
        <w:rPr>
          <w:rFonts w:ascii="Times New Roman" w:hAnsi="Times New Roman" w:cs="Times New Roman"/>
          <w:b/>
        </w:rPr>
        <w:t>Practice</w:t>
      </w:r>
    </w:p>
    <w:p w14:paraId="4B7D5302" w14:textId="77777777" w:rsidR="00267C85" w:rsidRPr="00F954C7" w:rsidRDefault="00267C85" w:rsidP="00380EEB">
      <w:pPr>
        <w:rPr>
          <w:rFonts w:ascii="Times New Roman" w:hAnsi="Times New Roman" w:cs="Times New Roman"/>
          <w:highlight w:val="yellow"/>
        </w:rPr>
      </w:pPr>
    </w:p>
    <w:p w14:paraId="3628DB14" w14:textId="0FBC16EE" w:rsidR="00380EEB" w:rsidRPr="00FD1012" w:rsidRDefault="00FD1012" w:rsidP="00FD1012">
      <w:pPr>
        <w:pStyle w:val="ListParagraph"/>
        <w:numPr>
          <w:ilvl w:val="0"/>
          <w:numId w:val="15"/>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BE0CAF" w:rsidRPr="00FD1012">
        <w:rPr>
          <w:rFonts w:ascii="Times New Roman" w:hAnsi="Times New Roman" w:cs="Times New Roman"/>
        </w:rPr>
        <w:t>PacifiCorp’s proposed 81% increase to the residential basic charge is also not consistent with this Commission’s past practice.  As the table below demonstrates, the Commission has not approved such a dramatic increase to residential fixed charges in any recent rate cases for any Washington utilit</w:t>
      </w:r>
      <w:r w:rsidR="00A53B07" w:rsidRPr="00FD1012">
        <w:rPr>
          <w:rFonts w:ascii="Times New Roman" w:hAnsi="Times New Roman" w:cs="Times New Roman"/>
        </w:rPr>
        <w:t>y</w:t>
      </w:r>
      <w:r w:rsidR="00BE0CAF" w:rsidRPr="00FD1012">
        <w:rPr>
          <w:rFonts w:ascii="Times New Roman" w:hAnsi="Times New Roman" w:cs="Times New Roman"/>
        </w:rPr>
        <w:t xml:space="preserve">. </w:t>
      </w:r>
      <w:r w:rsidR="003F5C5C" w:rsidRPr="00FD1012">
        <w:rPr>
          <w:rFonts w:ascii="Times New Roman" w:hAnsi="Times New Roman" w:cs="Times New Roman"/>
        </w:rPr>
        <w:t xml:space="preserve"> </w:t>
      </w:r>
      <w:r w:rsidR="00BE0CAF" w:rsidRPr="00FD1012">
        <w:rPr>
          <w:rFonts w:ascii="Times New Roman" w:hAnsi="Times New Roman" w:cs="Times New Roman"/>
        </w:rPr>
        <w:t xml:space="preserve">The Commission </w:t>
      </w:r>
      <w:r w:rsidR="00A53B07" w:rsidRPr="00FD1012">
        <w:rPr>
          <w:rFonts w:ascii="Times New Roman" w:hAnsi="Times New Roman" w:cs="Times New Roman"/>
        </w:rPr>
        <w:t xml:space="preserve">also </w:t>
      </w:r>
      <w:r w:rsidR="00BE0CAF" w:rsidRPr="00FD1012">
        <w:rPr>
          <w:rFonts w:ascii="Times New Roman" w:hAnsi="Times New Roman" w:cs="Times New Roman"/>
        </w:rPr>
        <w:t xml:space="preserve">has </w:t>
      </w:r>
      <w:r w:rsidR="00A53B07" w:rsidRPr="00FD1012">
        <w:rPr>
          <w:rFonts w:ascii="Times New Roman" w:hAnsi="Times New Roman" w:cs="Times New Roman"/>
        </w:rPr>
        <w:t>rarely</w:t>
      </w:r>
      <w:r w:rsidR="00BE0CAF" w:rsidRPr="00FD1012">
        <w:rPr>
          <w:rFonts w:ascii="Times New Roman" w:hAnsi="Times New Roman" w:cs="Times New Roman"/>
        </w:rPr>
        <w:t xml:space="preserve"> raised the residential basic charge in a utility’s rate case immediately following a fixed charge increase in a preceding case.   </w:t>
      </w:r>
    </w:p>
    <w:p w14:paraId="792673C2" w14:textId="77777777" w:rsidR="009E19C7" w:rsidRDefault="009E19C7" w:rsidP="00283080">
      <w:pPr>
        <w:spacing w:line="480" w:lineRule="auto"/>
        <w:rPr>
          <w:rFonts w:ascii="Times New Roman" w:hAnsi="Times New Roman" w:cs="Times New Roman"/>
        </w:rPr>
      </w:pPr>
    </w:p>
    <w:p w14:paraId="5333E01F" w14:textId="77777777" w:rsidR="009E19C7" w:rsidRPr="009E19C7" w:rsidRDefault="009E19C7" w:rsidP="009E19C7">
      <w:pPr>
        <w:spacing w:line="480" w:lineRule="auto"/>
        <w:ind w:firstLine="720"/>
        <w:rPr>
          <w:rFonts w:ascii="Times New Roman" w:hAnsi="Times New Roman" w:cs="Times New Roman"/>
        </w:rPr>
      </w:pPr>
    </w:p>
    <w:tbl>
      <w:tblPr>
        <w:tblStyle w:val="TableGrid"/>
        <w:tblW w:w="9622" w:type="dxa"/>
        <w:tblInd w:w="-324" w:type="dxa"/>
        <w:tblLayout w:type="fixed"/>
        <w:tblLook w:val="04A0" w:firstRow="1" w:lastRow="0" w:firstColumn="1" w:lastColumn="0" w:noHBand="0" w:noVBand="1"/>
      </w:tblPr>
      <w:tblGrid>
        <w:gridCol w:w="2879"/>
        <w:gridCol w:w="1705"/>
        <w:gridCol w:w="2436"/>
        <w:gridCol w:w="1265"/>
        <w:gridCol w:w="1337"/>
      </w:tblGrid>
      <w:tr w:rsidR="006E00DF" w:rsidRPr="00F954C7" w14:paraId="1FB095CB" w14:textId="77777777" w:rsidTr="006E00DF">
        <w:trPr>
          <w:trHeight w:val="719"/>
        </w:trPr>
        <w:tc>
          <w:tcPr>
            <w:tcW w:w="2879" w:type="dxa"/>
            <w:shd w:val="clear" w:color="auto" w:fill="000000" w:themeFill="text1"/>
          </w:tcPr>
          <w:p w14:paraId="596F1D14" w14:textId="77777777" w:rsidR="00395619" w:rsidRPr="00F954C7" w:rsidRDefault="00395619" w:rsidP="00835D01">
            <w:pPr>
              <w:jc w:val="center"/>
              <w:rPr>
                <w:rFonts w:ascii="Times New Roman" w:hAnsi="Times New Roman" w:cs="Times New Roman"/>
                <w:b/>
                <w:color w:val="FFFFFF" w:themeColor="background1"/>
                <w:sz w:val="20"/>
                <w:szCs w:val="20"/>
              </w:rPr>
            </w:pPr>
          </w:p>
          <w:p w14:paraId="79D45B8A" w14:textId="570B0A4B" w:rsidR="00986318" w:rsidRPr="00F954C7" w:rsidRDefault="00835D01" w:rsidP="00835D01">
            <w:pPr>
              <w:jc w:val="center"/>
              <w:rPr>
                <w:rFonts w:ascii="Times New Roman" w:hAnsi="Times New Roman" w:cs="Times New Roman"/>
                <w:b/>
                <w:color w:val="FFFFFF" w:themeColor="background1"/>
                <w:sz w:val="20"/>
                <w:szCs w:val="20"/>
              </w:rPr>
            </w:pPr>
            <w:r w:rsidRPr="00F954C7">
              <w:rPr>
                <w:rFonts w:ascii="Times New Roman" w:hAnsi="Times New Roman" w:cs="Times New Roman"/>
                <w:b/>
                <w:color w:val="FFFFFF" w:themeColor="background1"/>
                <w:sz w:val="20"/>
                <w:szCs w:val="20"/>
              </w:rPr>
              <w:t>Utility Rate Case</w:t>
            </w:r>
          </w:p>
          <w:p w14:paraId="5D96D029" w14:textId="77777777" w:rsidR="00835D01" w:rsidRPr="00F954C7" w:rsidRDefault="00835D01" w:rsidP="00B97653">
            <w:pPr>
              <w:jc w:val="right"/>
              <w:rPr>
                <w:rFonts w:ascii="Times New Roman" w:hAnsi="Times New Roman" w:cs="Times New Roman"/>
                <w:sz w:val="20"/>
                <w:szCs w:val="20"/>
              </w:rPr>
            </w:pPr>
          </w:p>
        </w:tc>
        <w:tc>
          <w:tcPr>
            <w:tcW w:w="1705" w:type="dxa"/>
            <w:shd w:val="clear" w:color="auto" w:fill="000000" w:themeFill="text1"/>
          </w:tcPr>
          <w:p w14:paraId="16BB7CEF" w14:textId="77777777" w:rsidR="00395619" w:rsidRPr="00F954C7" w:rsidRDefault="00395619" w:rsidP="00835D01">
            <w:pPr>
              <w:jc w:val="center"/>
              <w:rPr>
                <w:rFonts w:ascii="Times New Roman" w:hAnsi="Times New Roman" w:cs="Times New Roman"/>
                <w:b/>
                <w:color w:val="FFFFFF" w:themeColor="background1"/>
                <w:sz w:val="20"/>
                <w:szCs w:val="20"/>
              </w:rPr>
            </w:pPr>
          </w:p>
          <w:p w14:paraId="62C8B3AB" w14:textId="77777777" w:rsidR="00835D01" w:rsidRPr="00F954C7" w:rsidRDefault="00835D01" w:rsidP="00835D01">
            <w:pPr>
              <w:jc w:val="center"/>
              <w:rPr>
                <w:rFonts w:ascii="Times New Roman" w:hAnsi="Times New Roman" w:cs="Times New Roman"/>
                <w:b/>
                <w:color w:val="FFFFFF" w:themeColor="background1"/>
                <w:sz w:val="20"/>
                <w:szCs w:val="20"/>
              </w:rPr>
            </w:pPr>
            <w:r w:rsidRPr="00F954C7">
              <w:rPr>
                <w:rFonts w:ascii="Times New Roman" w:hAnsi="Times New Roman" w:cs="Times New Roman"/>
                <w:b/>
                <w:color w:val="FFFFFF" w:themeColor="background1"/>
                <w:sz w:val="20"/>
                <w:szCs w:val="20"/>
              </w:rPr>
              <w:t>Existing Basic Service Charge</w:t>
            </w:r>
          </w:p>
        </w:tc>
        <w:tc>
          <w:tcPr>
            <w:tcW w:w="2436" w:type="dxa"/>
            <w:shd w:val="clear" w:color="auto" w:fill="000000" w:themeFill="text1"/>
          </w:tcPr>
          <w:p w14:paraId="31B4892F" w14:textId="77777777" w:rsidR="00395619" w:rsidRPr="00F954C7" w:rsidRDefault="00395619" w:rsidP="00835D01">
            <w:pPr>
              <w:jc w:val="center"/>
              <w:rPr>
                <w:rFonts w:ascii="Times New Roman" w:hAnsi="Times New Roman" w:cs="Times New Roman"/>
                <w:b/>
                <w:color w:val="FFFFFF" w:themeColor="background1"/>
                <w:sz w:val="20"/>
                <w:szCs w:val="20"/>
              </w:rPr>
            </w:pPr>
          </w:p>
          <w:p w14:paraId="48A18EBF" w14:textId="75FF97ED" w:rsidR="00835D01" w:rsidRPr="00F954C7" w:rsidRDefault="00835D01" w:rsidP="00835D01">
            <w:pPr>
              <w:jc w:val="center"/>
              <w:rPr>
                <w:rFonts w:ascii="Times New Roman" w:hAnsi="Times New Roman" w:cs="Times New Roman"/>
                <w:b/>
                <w:color w:val="FFFFFF" w:themeColor="background1"/>
                <w:sz w:val="20"/>
                <w:szCs w:val="20"/>
              </w:rPr>
            </w:pPr>
            <w:r w:rsidRPr="00F954C7">
              <w:rPr>
                <w:rFonts w:ascii="Times New Roman" w:hAnsi="Times New Roman" w:cs="Times New Roman"/>
                <w:b/>
                <w:color w:val="FFFFFF" w:themeColor="background1"/>
                <w:sz w:val="20"/>
                <w:szCs w:val="20"/>
              </w:rPr>
              <w:t>Requested Residential Basic Service Charge</w:t>
            </w:r>
          </w:p>
        </w:tc>
        <w:tc>
          <w:tcPr>
            <w:tcW w:w="1265" w:type="dxa"/>
            <w:shd w:val="clear" w:color="auto" w:fill="000000" w:themeFill="text1"/>
          </w:tcPr>
          <w:p w14:paraId="697466B7" w14:textId="77777777" w:rsidR="00395619" w:rsidRPr="00F954C7" w:rsidRDefault="00395619" w:rsidP="00835D01">
            <w:pPr>
              <w:jc w:val="center"/>
              <w:rPr>
                <w:rFonts w:ascii="Times New Roman" w:hAnsi="Times New Roman" w:cs="Times New Roman"/>
                <w:b/>
                <w:color w:val="FFFFFF" w:themeColor="background1"/>
                <w:sz w:val="20"/>
                <w:szCs w:val="20"/>
              </w:rPr>
            </w:pPr>
          </w:p>
          <w:p w14:paraId="78EE173D" w14:textId="0D358655" w:rsidR="00835D01" w:rsidRPr="00F954C7" w:rsidRDefault="00395619" w:rsidP="00835D01">
            <w:pPr>
              <w:jc w:val="center"/>
              <w:rPr>
                <w:rFonts w:ascii="Times New Roman" w:hAnsi="Times New Roman" w:cs="Times New Roman"/>
                <w:b/>
                <w:color w:val="FFFFFF" w:themeColor="background1"/>
                <w:sz w:val="20"/>
                <w:szCs w:val="20"/>
              </w:rPr>
            </w:pPr>
            <w:r w:rsidRPr="00F954C7">
              <w:rPr>
                <w:rFonts w:ascii="Times New Roman" w:hAnsi="Times New Roman" w:cs="Times New Roman"/>
                <w:b/>
                <w:color w:val="FFFFFF" w:themeColor="background1"/>
                <w:sz w:val="20"/>
                <w:szCs w:val="20"/>
              </w:rPr>
              <w:t xml:space="preserve">Result of </w:t>
            </w:r>
            <w:r w:rsidR="00835D01" w:rsidRPr="00F954C7">
              <w:rPr>
                <w:rFonts w:ascii="Times New Roman" w:hAnsi="Times New Roman" w:cs="Times New Roman"/>
                <w:b/>
                <w:color w:val="FFFFFF" w:themeColor="background1"/>
                <w:sz w:val="20"/>
                <w:szCs w:val="20"/>
              </w:rPr>
              <w:t>Proceeding</w:t>
            </w:r>
          </w:p>
        </w:tc>
        <w:tc>
          <w:tcPr>
            <w:tcW w:w="1337" w:type="dxa"/>
            <w:shd w:val="clear" w:color="auto" w:fill="000000" w:themeFill="text1"/>
          </w:tcPr>
          <w:p w14:paraId="319571FE" w14:textId="77777777" w:rsidR="00395619" w:rsidRPr="00F954C7" w:rsidRDefault="00395619" w:rsidP="00835D01">
            <w:pPr>
              <w:jc w:val="center"/>
              <w:rPr>
                <w:rFonts w:ascii="Times New Roman" w:hAnsi="Times New Roman" w:cs="Times New Roman"/>
                <w:b/>
                <w:color w:val="FFFFFF" w:themeColor="background1"/>
                <w:sz w:val="20"/>
                <w:szCs w:val="20"/>
              </w:rPr>
            </w:pPr>
          </w:p>
          <w:p w14:paraId="60FE87E7" w14:textId="3A3F1991" w:rsidR="00835D01" w:rsidRPr="00F954C7" w:rsidRDefault="00395619" w:rsidP="00835D01">
            <w:pPr>
              <w:jc w:val="center"/>
              <w:rPr>
                <w:rFonts w:ascii="Times New Roman" w:hAnsi="Times New Roman" w:cs="Times New Roman"/>
                <w:b/>
                <w:color w:val="FFFFFF" w:themeColor="background1"/>
                <w:sz w:val="20"/>
                <w:szCs w:val="20"/>
              </w:rPr>
            </w:pPr>
            <w:r w:rsidRPr="00F954C7">
              <w:rPr>
                <w:rFonts w:ascii="Times New Roman" w:hAnsi="Times New Roman" w:cs="Times New Roman"/>
                <w:b/>
                <w:color w:val="FFFFFF" w:themeColor="background1"/>
                <w:sz w:val="20"/>
                <w:szCs w:val="20"/>
              </w:rPr>
              <w:t>Change (+/-)</w:t>
            </w:r>
          </w:p>
        </w:tc>
      </w:tr>
      <w:tr w:rsidR="00395619" w:rsidRPr="00F954C7" w14:paraId="53B0F44B" w14:textId="77777777" w:rsidTr="006E00DF">
        <w:trPr>
          <w:trHeight w:val="347"/>
        </w:trPr>
        <w:tc>
          <w:tcPr>
            <w:tcW w:w="2879" w:type="dxa"/>
            <w:shd w:val="clear" w:color="auto" w:fill="auto"/>
          </w:tcPr>
          <w:p w14:paraId="546F3D4C" w14:textId="77777777" w:rsidR="00835D01" w:rsidRPr="00F954C7" w:rsidRDefault="00835D01" w:rsidP="00835D01">
            <w:pPr>
              <w:rPr>
                <w:rFonts w:ascii="Times New Roman" w:hAnsi="Times New Roman" w:cs="Times New Roman"/>
                <w:sz w:val="20"/>
                <w:szCs w:val="20"/>
              </w:rPr>
            </w:pPr>
            <w:r w:rsidRPr="00F954C7">
              <w:rPr>
                <w:rFonts w:ascii="Times New Roman" w:hAnsi="Times New Roman" w:cs="Times New Roman"/>
                <w:sz w:val="20"/>
                <w:szCs w:val="20"/>
              </w:rPr>
              <w:t>PacifiCorp UE-080220 (2008)</w:t>
            </w:r>
            <w:r w:rsidRPr="00F954C7">
              <w:rPr>
                <w:rStyle w:val="FootnoteReference"/>
                <w:rFonts w:ascii="Times New Roman" w:hAnsi="Times New Roman" w:cs="Times New Roman"/>
              </w:rPr>
              <w:footnoteReference w:id="33"/>
            </w:r>
          </w:p>
        </w:tc>
        <w:tc>
          <w:tcPr>
            <w:tcW w:w="1705" w:type="dxa"/>
            <w:shd w:val="clear" w:color="auto" w:fill="auto"/>
          </w:tcPr>
          <w:p w14:paraId="4A8F816C"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$5.25/mo</w:t>
            </w:r>
          </w:p>
        </w:tc>
        <w:tc>
          <w:tcPr>
            <w:tcW w:w="2436" w:type="dxa"/>
            <w:shd w:val="clear" w:color="auto" w:fill="auto"/>
          </w:tcPr>
          <w:p w14:paraId="7E64ECE3"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$7.00/mo</w:t>
            </w:r>
          </w:p>
        </w:tc>
        <w:tc>
          <w:tcPr>
            <w:tcW w:w="1265" w:type="dxa"/>
            <w:shd w:val="clear" w:color="auto" w:fill="auto"/>
          </w:tcPr>
          <w:p w14:paraId="00E0CCCF"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1337" w:type="dxa"/>
            <w:shd w:val="clear" w:color="auto" w:fill="auto"/>
          </w:tcPr>
          <w:p w14:paraId="4B1DDCEB"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14.3%</w:t>
            </w:r>
          </w:p>
        </w:tc>
      </w:tr>
      <w:tr w:rsidR="00395619" w:rsidRPr="00F954C7" w14:paraId="25EB209B" w14:textId="77777777" w:rsidTr="006E00DF">
        <w:trPr>
          <w:trHeight w:val="331"/>
        </w:trPr>
        <w:tc>
          <w:tcPr>
            <w:tcW w:w="2879" w:type="dxa"/>
            <w:shd w:val="clear" w:color="auto" w:fill="auto"/>
          </w:tcPr>
          <w:p w14:paraId="4698CD25" w14:textId="77777777" w:rsidR="00835D01" w:rsidRPr="00F954C7" w:rsidRDefault="00835D01" w:rsidP="00835D01">
            <w:pPr>
              <w:rPr>
                <w:rFonts w:ascii="Times New Roman" w:hAnsi="Times New Roman" w:cs="Times New Roman"/>
                <w:sz w:val="20"/>
                <w:szCs w:val="20"/>
              </w:rPr>
            </w:pPr>
            <w:r w:rsidRPr="00F954C7">
              <w:rPr>
                <w:rFonts w:ascii="Times New Roman" w:hAnsi="Times New Roman" w:cs="Times New Roman"/>
                <w:sz w:val="20"/>
                <w:szCs w:val="20"/>
              </w:rPr>
              <w:t>PacifiCorp UE-090205 (2010)</w:t>
            </w:r>
            <w:r w:rsidRPr="00F954C7">
              <w:rPr>
                <w:rStyle w:val="FootnoteReference"/>
                <w:rFonts w:ascii="Times New Roman" w:hAnsi="Times New Roman" w:cs="Times New Roman"/>
              </w:rPr>
              <w:footnoteReference w:id="34"/>
            </w:r>
          </w:p>
        </w:tc>
        <w:tc>
          <w:tcPr>
            <w:tcW w:w="1705" w:type="dxa"/>
            <w:shd w:val="clear" w:color="auto" w:fill="auto"/>
          </w:tcPr>
          <w:p w14:paraId="6F02CD7E"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2436" w:type="dxa"/>
            <w:shd w:val="clear" w:color="auto" w:fill="auto"/>
          </w:tcPr>
          <w:p w14:paraId="59925ECC" w14:textId="28FEA503" w:rsidR="00835D01" w:rsidRPr="00F954C7" w:rsidRDefault="00835D01" w:rsidP="00CF3A64">
            <w:pPr>
              <w:jc w:val="center"/>
              <w:rPr>
                <w:rFonts w:ascii="Times New Roman" w:hAnsi="Times New Roman" w:cs="Times New Roman"/>
                <w:sz w:val="20"/>
                <w:szCs w:val="20"/>
              </w:rPr>
            </w:pPr>
            <w:r w:rsidRPr="00F954C7">
              <w:rPr>
                <w:rFonts w:ascii="Times New Roman" w:hAnsi="Times New Roman" w:cs="Times New Roman"/>
                <w:sz w:val="20"/>
                <w:szCs w:val="20"/>
              </w:rPr>
              <w:t>$7.00/mo</w:t>
            </w:r>
          </w:p>
        </w:tc>
        <w:tc>
          <w:tcPr>
            <w:tcW w:w="1265" w:type="dxa"/>
            <w:shd w:val="clear" w:color="auto" w:fill="auto"/>
          </w:tcPr>
          <w:p w14:paraId="5F4B940B"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1337" w:type="dxa"/>
            <w:shd w:val="clear" w:color="auto" w:fill="auto"/>
          </w:tcPr>
          <w:p w14:paraId="717B6553"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0%</w:t>
            </w:r>
          </w:p>
        </w:tc>
      </w:tr>
      <w:tr w:rsidR="00395619" w:rsidRPr="00F954C7" w14:paraId="3CC0FB7F" w14:textId="77777777" w:rsidTr="006E00DF">
        <w:trPr>
          <w:trHeight w:val="347"/>
        </w:trPr>
        <w:tc>
          <w:tcPr>
            <w:tcW w:w="2879" w:type="dxa"/>
            <w:shd w:val="clear" w:color="auto" w:fill="auto"/>
          </w:tcPr>
          <w:p w14:paraId="484EB319" w14:textId="77777777" w:rsidR="00835D01" w:rsidRPr="00F954C7" w:rsidRDefault="00835D01" w:rsidP="00835D01">
            <w:pPr>
              <w:rPr>
                <w:rFonts w:ascii="Times New Roman" w:hAnsi="Times New Roman" w:cs="Times New Roman"/>
                <w:sz w:val="20"/>
                <w:szCs w:val="20"/>
              </w:rPr>
            </w:pPr>
            <w:r w:rsidRPr="00F954C7">
              <w:rPr>
                <w:rFonts w:ascii="Times New Roman" w:hAnsi="Times New Roman" w:cs="Times New Roman"/>
                <w:sz w:val="20"/>
                <w:szCs w:val="20"/>
              </w:rPr>
              <w:t>PacifiCorp UE-100749 (2011)</w:t>
            </w:r>
            <w:r w:rsidRPr="00F954C7">
              <w:rPr>
                <w:rStyle w:val="FootnoteReference"/>
                <w:rFonts w:ascii="Times New Roman" w:hAnsi="Times New Roman" w:cs="Times New Roman"/>
              </w:rPr>
              <w:footnoteReference w:id="35"/>
            </w:r>
          </w:p>
        </w:tc>
        <w:tc>
          <w:tcPr>
            <w:tcW w:w="1705" w:type="dxa"/>
            <w:shd w:val="clear" w:color="auto" w:fill="auto"/>
          </w:tcPr>
          <w:p w14:paraId="0E39A94A"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2436" w:type="dxa"/>
            <w:shd w:val="clear" w:color="auto" w:fill="auto"/>
          </w:tcPr>
          <w:p w14:paraId="5520423D"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$9.00/mo</w:t>
            </w:r>
          </w:p>
        </w:tc>
        <w:tc>
          <w:tcPr>
            <w:tcW w:w="1265" w:type="dxa"/>
            <w:shd w:val="clear" w:color="auto" w:fill="auto"/>
          </w:tcPr>
          <w:p w14:paraId="519A0D81"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1337" w:type="dxa"/>
            <w:shd w:val="clear" w:color="auto" w:fill="auto"/>
          </w:tcPr>
          <w:p w14:paraId="1E04E48F"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0%</w:t>
            </w:r>
          </w:p>
        </w:tc>
      </w:tr>
      <w:tr w:rsidR="00395619" w:rsidRPr="00F954C7" w14:paraId="31455C67" w14:textId="77777777" w:rsidTr="006E00DF">
        <w:trPr>
          <w:trHeight w:val="347"/>
        </w:trPr>
        <w:tc>
          <w:tcPr>
            <w:tcW w:w="2879" w:type="dxa"/>
            <w:shd w:val="clear" w:color="auto" w:fill="auto"/>
          </w:tcPr>
          <w:p w14:paraId="527CFDCB" w14:textId="77777777" w:rsidR="00835D01" w:rsidRPr="00F954C7" w:rsidRDefault="00835D01" w:rsidP="00835D01">
            <w:pPr>
              <w:rPr>
                <w:rFonts w:ascii="Times New Roman" w:hAnsi="Times New Roman" w:cs="Times New Roman"/>
                <w:sz w:val="20"/>
                <w:szCs w:val="20"/>
              </w:rPr>
            </w:pPr>
            <w:r w:rsidRPr="00F954C7">
              <w:rPr>
                <w:rFonts w:ascii="Times New Roman" w:hAnsi="Times New Roman" w:cs="Times New Roman"/>
                <w:sz w:val="20"/>
                <w:szCs w:val="20"/>
              </w:rPr>
              <w:t>PacifiCorp UE-111190 (2012)</w:t>
            </w:r>
            <w:r w:rsidRPr="00F954C7">
              <w:rPr>
                <w:rStyle w:val="FootnoteReference"/>
                <w:rFonts w:ascii="Times New Roman" w:hAnsi="Times New Roman" w:cs="Times New Roman"/>
              </w:rPr>
              <w:footnoteReference w:id="36"/>
            </w:r>
          </w:p>
        </w:tc>
        <w:tc>
          <w:tcPr>
            <w:tcW w:w="1705" w:type="dxa"/>
            <w:shd w:val="clear" w:color="auto" w:fill="auto"/>
          </w:tcPr>
          <w:p w14:paraId="2021399A"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2436" w:type="dxa"/>
            <w:shd w:val="clear" w:color="auto" w:fill="auto"/>
          </w:tcPr>
          <w:p w14:paraId="35AB8F27"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$6.25/mo</w:t>
            </w:r>
          </w:p>
        </w:tc>
        <w:tc>
          <w:tcPr>
            <w:tcW w:w="1265" w:type="dxa"/>
            <w:shd w:val="clear" w:color="auto" w:fill="auto"/>
          </w:tcPr>
          <w:p w14:paraId="119FAC94"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$5.00/mo</w:t>
            </w:r>
          </w:p>
        </w:tc>
        <w:tc>
          <w:tcPr>
            <w:tcW w:w="1337" w:type="dxa"/>
            <w:shd w:val="clear" w:color="auto" w:fill="auto"/>
          </w:tcPr>
          <w:p w14:paraId="35AC6256" w14:textId="77777777" w:rsidR="00835D01" w:rsidRPr="00F954C7" w:rsidRDefault="00835D01" w:rsidP="00835D01">
            <w:pPr>
              <w:jc w:val="center"/>
              <w:rPr>
                <w:rFonts w:ascii="Times New Roman" w:hAnsi="Times New Roman" w:cs="Times New Roman"/>
                <w:color w:val="FF0000"/>
                <w:sz w:val="20"/>
                <w:szCs w:val="20"/>
              </w:rPr>
            </w:pPr>
            <w:r w:rsidRPr="00F954C7">
              <w:rPr>
                <w:rFonts w:ascii="Times New Roman" w:hAnsi="Times New Roman" w:cs="Times New Roman"/>
                <w:color w:val="FF0000"/>
                <w:sz w:val="20"/>
                <w:szCs w:val="20"/>
              </w:rPr>
              <w:t>-16.7%</w:t>
            </w:r>
          </w:p>
        </w:tc>
      </w:tr>
      <w:tr w:rsidR="00395619" w:rsidRPr="00F954C7" w14:paraId="6F03E456" w14:textId="77777777" w:rsidTr="006E00DF">
        <w:trPr>
          <w:trHeight w:val="347"/>
        </w:trPr>
        <w:tc>
          <w:tcPr>
            <w:tcW w:w="2879" w:type="dxa"/>
            <w:shd w:val="clear" w:color="auto" w:fill="auto"/>
          </w:tcPr>
          <w:p w14:paraId="4CF6A91E" w14:textId="77777777" w:rsidR="00835D01" w:rsidRPr="00F954C7" w:rsidRDefault="00835D01" w:rsidP="00835D01">
            <w:pPr>
              <w:rPr>
                <w:rFonts w:ascii="Times New Roman" w:hAnsi="Times New Roman" w:cs="Times New Roman"/>
                <w:sz w:val="20"/>
                <w:szCs w:val="20"/>
              </w:rPr>
            </w:pPr>
            <w:r w:rsidRPr="00F954C7">
              <w:rPr>
                <w:rFonts w:ascii="Times New Roman" w:hAnsi="Times New Roman" w:cs="Times New Roman"/>
                <w:sz w:val="20"/>
                <w:szCs w:val="20"/>
              </w:rPr>
              <w:t>PacifiCorp UE-130043 (2013)</w:t>
            </w:r>
            <w:r w:rsidRPr="00F954C7">
              <w:rPr>
                <w:rStyle w:val="FootnoteReference"/>
                <w:rFonts w:ascii="Times New Roman" w:hAnsi="Times New Roman" w:cs="Times New Roman"/>
              </w:rPr>
              <w:footnoteReference w:id="37"/>
            </w:r>
          </w:p>
        </w:tc>
        <w:tc>
          <w:tcPr>
            <w:tcW w:w="1705" w:type="dxa"/>
            <w:shd w:val="clear" w:color="auto" w:fill="auto"/>
          </w:tcPr>
          <w:p w14:paraId="2DC2CB9A"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2436" w:type="dxa"/>
            <w:shd w:val="clear" w:color="auto" w:fill="auto"/>
          </w:tcPr>
          <w:p w14:paraId="25099569"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$10.00/mo</w:t>
            </w:r>
          </w:p>
        </w:tc>
        <w:tc>
          <w:tcPr>
            <w:tcW w:w="1265" w:type="dxa"/>
            <w:shd w:val="clear" w:color="auto" w:fill="auto"/>
          </w:tcPr>
          <w:p w14:paraId="7BB5950A"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$7.75/mo</w:t>
            </w:r>
          </w:p>
        </w:tc>
        <w:tc>
          <w:tcPr>
            <w:tcW w:w="1337" w:type="dxa"/>
            <w:shd w:val="clear" w:color="auto" w:fill="auto"/>
          </w:tcPr>
          <w:p w14:paraId="00238DCF"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29%</w:t>
            </w:r>
          </w:p>
        </w:tc>
      </w:tr>
      <w:tr w:rsidR="00395619" w:rsidRPr="00F954C7" w14:paraId="6333F146" w14:textId="77777777" w:rsidTr="006E00DF">
        <w:trPr>
          <w:trHeight w:val="206"/>
        </w:trPr>
        <w:tc>
          <w:tcPr>
            <w:tcW w:w="2879" w:type="dxa"/>
            <w:shd w:val="clear" w:color="auto" w:fill="auto"/>
          </w:tcPr>
          <w:p w14:paraId="035BA28C" w14:textId="6EE81CC9" w:rsidR="00835D01" w:rsidRPr="00F954C7" w:rsidRDefault="005F515A" w:rsidP="00835D01">
            <w:pPr>
              <w:rPr>
                <w:rFonts w:ascii="Times New Roman" w:hAnsi="Times New Roman" w:cs="Times New Roman"/>
                <w:sz w:val="20"/>
                <w:szCs w:val="20"/>
                <w:highlight w:val="yellow"/>
              </w:rPr>
            </w:pPr>
            <w:r w:rsidRPr="000B17A8">
              <w:rPr>
                <w:rFonts w:ascii="Times New Roman" w:hAnsi="Times New Roman" w:cs="Times New Roman"/>
                <w:sz w:val="20"/>
                <w:szCs w:val="20"/>
              </w:rPr>
              <w:t xml:space="preserve">PacifiCorp UE-140094 </w:t>
            </w:r>
            <w:r w:rsidRPr="000B17A8">
              <w:rPr>
                <w:rFonts w:ascii="Times New Roman" w:hAnsi="Times New Roman" w:cs="Times New Roman"/>
                <w:sz w:val="16"/>
                <w:szCs w:val="16"/>
              </w:rPr>
              <w:t>(current</w:t>
            </w:r>
            <w:r w:rsidR="006D2F64" w:rsidRPr="000B17A8">
              <w:rPr>
                <w:rFonts w:ascii="Times New Roman" w:hAnsi="Times New Roman" w:cs="Times New Roman"/>
                <w:sz w:val="16"/>
                <w:szCs w:val="16"/>
              </w:rPr>
              <w:t xml:space="preserve"> docket</w:t>
            </w:r>
            <w:r w:rsidRPr="000B17A8">
              <w:rPr>
                <w:rFonts w:ascii="Times New Roman" w:hAnsi="Times New Roman" w:cs="Times New Roman"/>
                <w:sz w:val="16"/>
                <w:szCs w:val="16"/>
              </w:rPr>
              <w:t>)</w:t>
            </w:r>
          </w:p>
        </w:tc>
        <w:tc>
          <w:tcPr>
            <w:tcW w:w="1705" w:type="dxa"/>
            <w:shd w:val="clear" w:color="auto" w:fill="auto"/>
          </w:tcPr>
          <w:p w14:paraId="6D77748D" w14:textId="2212E19E" w:rsidR="00835D01" w:rsidRPr="00F954C7" w:rsidRDefault="00835D01" w:rsidP="00835D01">
            <w:pPr>
              <w:jc w:val="center"/>
              <w:rPr>
                <w:rFonts w:ascii="Times New Roman" w:hAnsi="Times New Roman" w:cs="Times New Roman"/>
                <w:sz w:val="20"/>
                <w:szCs w:val="20"/>
                <w:highlight w:val="yellow"/>
              </w:rPr>
            </w:pPr>
            <w:r w:rsidRPr="000B17A8">
              <w:rPr>
                <w:rFonts w:ascii="Times New Roman" w:hAnsi="Times New Roman" w:cs="Times New Roman"/>
                <w:sz w:val="20"/>
                <w:szCs w:val="20"/>
              </w:rPr>
              <w:t>$7.25</w:t>
            </w:r>
            <w:r w:rsidR="006D2F64">
              <w:rPr>
                <w:rFonts w:ascii="Times New Roman" w:hAnsi="Times New Roman" w:cs="Times New Roman"/>
                <w:sz w:val="20"/>
                <w:szCs w:val="20"/>
              </w:rPr>
              <w:t>/mo</w:t>
            </w:r>
          </w:p>
        </w:tc>
        <w:tc>
          <w:tcPr>
            <w:tcW w:w="2436" w:type="dxa"/>
            <w:shd w:val="clear" w:color="auto" w:fill="auto"/>
          </w:tcPr>
          <w:p w14:paraId="1ABF3F0F" w14:textId="496626B7" w:rsidR="00835D01" w:rsidRPr="00F954C7" w:rsidRDefault="00835D01" w:rsidP="00835D01">
            <w:pPr>
              <w:jc w:val="center"/>
              <w:rPr>
                <w:rFonts w:ascii="Times New Roman" w:hAnsi="Times New Roman" w:cs="Times New Roman"/>
                <w:sz w:val="20"/>
                <w:szCs w:val="20"/>
                <w:highlight w:val="yellow"/>
              </w:rPr>
            </w:pPr>
            <w:r w:rsidRPr="000B17A8">
              <w:rPr>
                <w:rFonts w:ascii="Times New Roman" w:hAnsi="Times New Roman" w:cs="Times New Roman"/>
                <w:sz w:val="20"/>
                <w:szCs w:val="20"/>
              </w:rPr>
              <w:t>$14.00</w:t>
            </w:r>
            <w:r w:rsidR="006D2F64">
              <w:rPr>
                <w:rFonts w:ascii="Times New Roman" w:hAnsi="Times New Roman" w:cs="Times New Roman"/>
                <w:sz w:val="20"/>
                <w:szCs w:val="20"/>
              </w:rPr>
              <w:t>/mo</w:t>
            </w:r>
          </w:p>
        </w:tc>
        <w:tc>
          <w:tcPr>
            <w:tcW w:w="1265" w:type="dxa"/>
            <w:shd w:val="clear" w:color="auto" w:fill="auto"/>
          </w:tcPr>
          <w:p w14:paraId="35E2E36A" w14:textId="77777777" w:rsidR="00835D01" w:rsidRPr="00F954C7" w:rsidRDefault="00835D01" w:rsidP="00835D01">
            <w:pPr>
              <w:jc w:val="center"/>
              <w:rPr>
                <w:rFonts w:ascii="Times New Roman" w:hAnsi="Times New Roman" w:cs="Times New Roman"/>
                <w:sz w:val="20"/>
                <w:szCs w:val="20"/>
                <w:highlight w:val="yellow"/>
              </w:rPr>
            </w:pPr>
            <w:r w:rsidRPr="000B17A8">
              <w:rPr>
                <w:rFonts w:ascii="Times New Roman" w:hAnsi="Times New Roman" w:cs="Times New Roman"/>
                <w:sz w:val="20"/>
                <w:szCs w:val="20"/>
              </w:rPr>
              <w:t>TBD</w:t>
            </w:r>
          </w:p>
        </w:tc>
        <w:tc>
          <w:tcPr>
            <w:tcW w:w="1337" w:type="dxa"/>
            <w:shd w:val="clear" w:color="auto" w:fill="auto"/>
          </w:tcPr>
          <w:p w14:paraId="5C3B1F7D" w14:textId="2BC25E09" w:rsidR="00835D01" w:rsidRPr="00F954C7" w:rsidRDefault="003F5C5C" w:rsidP="003F5C5C">
            <w:pPr>
              <w:jc w:val="center"/>
              <w:rPr>
                <w:rFonts w:ascii="Times New Roman" w:hAnsi="Times New Roman" w:cs="Times New Roman"/>
                <w:sz w:val="20"/>
                <w:szCs w:val="20"/>
                <w:highlight w:val="yellow"/>
              </w:rPr>
            </w:pPr>
            <w:r w:rsidRPr="000B17A8">
              <w:rPr>
                <w:rFonts w:ascii="Times New Roman" w:hAnsi="Times New Roman" w:cs="Times New Roman"/>
                <w:sz w:val="20"/>
                <w:szCs w:val="20"/>
              </w:rPr>
              <w:t>81% request</w:t>
            </w:r>
          </w:p>
        </w:tc>
      </w:tr>
      <w:tr w:rsidR="00395619" w:rsidRPr="00F954C7" w14:paraId="77CEBE9A" w14:textId="77777777" w:rsidTr="006E00DF">
        <w:trPr>
          <w:trHeight w:val="143"/>
        </w:trPr>
        <w:tc>
          <w:tcPr>
            <w:tcW w:w="9622" w:type="dxa"/>
            <w:gridSpan w:val="5"/>
            <w:shd w:val="clear" w:color="auto" w:fill="000000" w:themeFill="text1"/>
          </w:tcPr>
          <w:p w14:paraId="5ABBF5BA" w14:textId="77777777" w:rsidR="00835D01" w:rsidRPr="00F954C7" w:rsidRDefault="00835D01" w:rsidP="00835D01">
            <w:pPr>
              <w:jc w:val="center"/>
              <w:rPr>
                <w:rFonts w:ascii="Times New Roman" w:hAnsi="Times New Roman" w:cs="Times New Roman"/>
                <w:sz w:val="20"/>
                <w:szCs w:val="20"/>
              </w:rPr>
            </w:pPr>
          </w:p>
        </w:tc>
      </w:tr>
      <w:tr w:rsidR="00395619" w:rsidRPr="00F954C7" w14:paraId="54D423C2" w14:textId="77777777" w:rsidTr="006E00DF">
        <w:trPr>
          <w:trHeight w:val="347"/>
        </w:trPr>
        <w:tc>
          <w:tcPr>
            <w:tcW w:w="2879" w:type="dxa"/>
            <w:shd w:val="clear" w:color="auto" w:fill="auto"/>
          </w:tcPr>
          <w:p w14:paraId="51731893" w14:textId="77777777" w:rsidR="00835D01" w:rsidRPr="00F954C7" w:rsidRDefault="00835D01" w:rsidP="00835D01">
            <w:pPr>
              <w:rPr>
                <w:rFonts w:ascii="Times New Roman" w:hAnsi="Times New Roman" w:cs="Times New Roman"/>
                <w:sz w:val="20"/>
                <w:szCs w:val="20"/>
              </w:rPr>
            </w:pPr>
            <w:r w:rsidRPr="00F954C7">
              <w:rPr>
                <w:rFonts w:ascii="Times New Roman" w:hAnsi="Times New Roman" w:cs="Times New Roman"/>
                <w:sz w:val="20"/>
                <w:szCs w:val="20"/>
              </w:rPr>
              <w:t>Avista UE-090134 (2010)</w:t>
            </w:r>
            <w:r w:rsidRPr="00F954C7">
              <w:rPr>
                <w:rStyle w:val="FootnoteReference"/>
                <w:rFonts w:ascii="Times New Roman" w:hAnsi="Times New Roman" w:cs="Times New Roman"/>
              </w:rPr>
              <w:footnoteReference w:id="38"/>
            </w:r>
          </w:p>
        </w:tc>
        <w:tc>
          <w:tcPr>
            <w:tcW w:w="1705" w:type="dxa"/>
            <w:shd w:val="clear" w:color="auto" w:fill="auto"/>
          </w:tcPr>
          <w:p w14:paraId="47829858"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$5.75/mo</w:t>
            </w:r>
          </w:p>
        </w:tc>
        <w:tc>
          <w:tcPr>
            <w:tcW w:w="2436" w:type="dxa"/>
            <w:shd w:val="clear" w:color="auto" w:fill="auto"/>
          </w:tcPr>
          <w:p w14:paraId="781B32BE" w14:textId="66182CAC" w:rsidR="00835D01" w:rsidRPr="00F954C7" w:rsidRDefault="00835D01" w:rsidP="00CF3A64">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1265" w:type="dxa"/>
            <w:shd w:val="clear" w:color="auto" w:fill="auto"/>
          </w:tcPr>
          <w:p w14:paraId="4676ADDE"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1337" w:type="dxa"/>
            <w:shd w:val="clear" w:color="auto" w:fill="auto"/>
          </w:tcPr>
          <w:p w14:paraId="51F8E774"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4.4%</w:t>
            </w:r>
          </w:p>
        </w:tc>
      </w:tr>
      <w:tr w:rsidR="00395619" w:rsidRPr="00F954C7" w14:paraId="6C21801D" w14:textId="77777777" w:rsidTr="006E00DF">
        <w:trPr>
          <w:trHeight w:val="347"/>
        </w:trPr>
        <w:tc>
          <w:tcPr>
            <w:tcW w:w="2879" w:type="dxa"/>
            <w:shd w:val="clear" w:color="auto" w:fill="auto"/>
          </w:tcPr>
          <w:p w14:paraId="696CA26A" w14:textId="77777777" w:rsidR="00835D01" w:rsidRPr="00F954C7" w:rsidRDefault="00835D01" w:rsidP="00835D01">
            <w:pPr>
              <w:rPr>
                <w:rFonts w:ascii="Times New Roman" w:hAnsi="Times New Roman" w:cs="Times New Roman"/>
                <w:sz w:val="20"/>
                <w:szCs w:val="20"/>
              </w:rPr>
            </w:pPr>
            <w:r w:rsidRPr="00F954C7">
              <w:rPr>
                <w:rFonts w:ascii="Times New Roman" w:hAnsi="Times New Roman" w:cs="Times New Roman"/>
                <w:sz w:val="20"/>
                <w:szCs w:val="20"/>
              </w:rPr>
              <w:t>Avista UE-100467 (2010)</w:t>
            </w:r>
            <w:r w:rsidRPr="00F954C7">
              <w:rPr>
                <w:rStyle w:val="FootnoteReference"/>
                <w:rFonts w:ascii="Times New Roman" w:hAnsi="Times New Roman" w:cs="Times New Roman"/>
              </w:rPr>
              <w:footnoteReference w:id="39"/>
            </w:r>
          </w:p>
        </w:tc>
        <w:tc>
          <w:tcPr>
            <w:tcW w:w="1705" w:type="dxa"/>
            <w:shd w:val="clear" w:color="auto" w:fill="auto"/>
          </w:tcPr>
          <w:p w14:paraId="079FADA7"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2436" w:type="dxa"/>
            <w:shd w:val="clear" w:color="auto" w:fill="auto"/>
          </w:tcPr>
          <w:p w14:paraId="13D59DC9"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$10.00/mo</w:t>
            </w:r>
          </w:p>
        </w:tc>
        <w:tc>
          <w:tcPr>
            <w:tcW w:w="1265" w:type="dxa"/>
            <w:shd w:val="clear" w:color="auto" w:fill="auto"/>
          </w:tcPr>
          <w:p w14:paraId="0512F1C1"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1337" w:type="dxa"/>
            <w:shd w:val="clear" w:color="auto" w:fill="auto"/>
          </w:tcPr>
          <w:p w14:paraId="42D12266"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0%</w:t>
            </w:r>
          </w:p>
        </w:tc>
      </w:tr>
      <w:tr w:rsidR="00395619" w:rsidRPr="00F954C7" w14:paraId="02A868C6" w14:textId="77777777" w:rsidTr="006E00DF">
        <w:trPr>
          <w:trHeight w:val="269"/>
        </w:trPr>
        <w:tc>
          <w:tcPr>
            <w:tcW w:w="2879" w:type="dxa"/>
            <w:shd w:val="clear" w:color="auto" w:fill="auto"/>
          </w:tcPr>
          <w:p w14:paraId="7BD9DFC1" w14:textId="27DB8D1B" w:rsidR="00835D01" w:rsidRPr="00F954C7" w:rsidRDefault="00835D01" w:rsidP="00395619">
            <w:pPr>
              <w:rPr>
                <w:rFonts w:ascii="Times New Roman" w:hAnsi="Times New Roman" w:cs="Times New Roman"/>
                <w:sz w:val="20"/>
                <w:szCs w:val="20"/>
              </w:rPr>
            </w:pPr>
            <w:r w:rsidRPr="00F954C7">
              <w:rPr>
                <w:rFonts w:ascii="Times New Roman" w:hAnsi="Times New Roman" w:cs="Times New Roman"/>
                <w:sz w:val="20"/>
                <w:szCs w:val="20"/>
              </w:rPr>
              <w:t>Avista UE-110876 (2012)</w:t>
            </w:r>
            <w:r w:rsidRPr="00F954C7">
              <w:rPr>
                <w:rStyle w:val="FootnoteReference"/>
                <w:rFonts w:ascii="Times New Roman" w:hAnsi="Times New Roman" w:cs="Times New Roman"/>
              </w:rPr>
              <w:footnoteReference w:id="40"/>
            </w:r>
          </w:p>
        </w:tc>
        <w:tc>
          <w:tcPr>
            <w:tcW w:w="1705" w:type="dxa"/>
            <w:shd w:val="clear" w:color="auto" w:fill="auto"/>
          </w:tcPr>
          <w:p w14:paraId="2303770D"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$6.00/mo</w:t>
            </w:r>
          </w:p>
        </w:tc>
        <w:tc>
          <w:tcPr>
            <w:tcW w:w="2436" w:type="dxa"/>
            <w:shd w:val="clear" w:color="auto" w:fill="auto"/>
          </w:tcPr>
          <w:p w14:paraId="56FAECA9" w14:textId="4CBBCA1A" w:rsidR="00835D01" w:rsidRPr="00F954C7" w:rsidRDefault="00835D01" w:rsidP="00CF3A64">
            <w:pPr>
              <w:jc w:val="center"/>
              <w:rPr>
                <w:rFonts w:ascii="Times New Roman" w:hAnsi="Times New Roman" w:cs="Times New Roman"/>
                <w:sz w:val="20"/>
                <w:szCs w:val="20"/>
              </w:rPr>
            </w:pPr>
            <w:r w:rsidRPr="00F954C7">
              <w:rPr>
                <w:rFonts w:ascii="Times New Roman" w:hAnsi="Times New Roman" w:cs="Times New Roman"/>
                <w:sz w:val="20"/>
                <w:szCs w:val="20"/>
              </w:rPr>
              <w:t>$9.00/mo</w:t>
            </w:r>
          </w:p>
        </w:tc>
        <w:tc>
          <w:tcPr>
            <w:tcW w:w="1265" w:type="dxa"/>
            <w:shd w:val="clear" w:color="auto" w:fill="auto"/>
          </w:tcPr>
          <w:p w14:paraId="7355FF69"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$8.00/mo</w:t>
            </w:r>
          </w:p>
        </w:tc>
        <w:tc>
          <w:tcPr>
            <w:tcW w:w="1337" w:type="dxa"/>
            <w:shd w:val="clear" w:color="auto" w:fill="auto"/>
          </w:tcPr>
          <w:p w14:paraId="45344E30"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33.4%</w:t>
            </w:r>
          </w:p>
        </w:tc>
      </w:tr>
      <w:tr w:rsidR="00395619" w:rsidRPr="00F954C7" w14:paraId="4654B5B0" w14:textId="77777777" w:rsidTr="006E00DF">
        <w:trPr>
          <w:trHeight w:val="187"/>
        </w:trPr>
        <w:tc>
          <w:tcPr>
            <w:tcW w:w="9622" w:type="dxa"/>
            <w:gridSpan w:val="5"/>
            <w:shd w:val="clear" w:color="auto" w:fill="000000" w:themeFill="text1"/>
          </w:tcPr>
          <w:p w14:paraId="11C82589" w14:textId="77777777" w:rsidR="00835D01" w:rsidRPr="00F954C7" w:rsidRDefault="00835D01" w:rsidP="00835D01">
            <w:pPr>
              <w:jc w:val="center"/>
              <w:rPr>
                <w:rFonts w:ascii="Times New Roman" w:hAnsi="Times New Roman" w:cs="Times New Roman"/>
                <w:sz w:val="20"/>
                <w:szCs w:val="20"/>
              </w:rPr>
            </w:pPr>
          </w:p>
        </w:tc>
      </w:tr>
      <w:tr w:rsidR="00395619" w:rsidRPr="00F954C7" w14:paraId="6D9EDA22" w14:textId="77777777" w:rsidTr="006E00DF">
        <w:trPr>
          <w:trHeight w:val="362"/>
        </w:trPr>
        <w:tc>
          <w:tcPr>
            <w:tcW w:w="2879" w:type="dxa"/>
          </w:tcPr>
          <w:p w14:paraId="3ACB0544" w14:textId="77777777" w:rsidR="00835D01" w:rsidRPr="00F954C7" w:rsidRDefault="00835D01" w:rsidP="00835D01">
            <w:pPr>
              <w:pStyle w:val="Heading3"/>
              <w:spacing w:before="0"/>
              <w:rPr>
                <w:rFonts w:cs="Times New Roman"/>
                <w:b w:val="0"/>
                <w:sz w:val="20"/>
                <w:szCs w:val="20"/>
              </w:rPr>
            </w:pPr>
            <w:r w:rsidRPr="00F954C7">
              <w:rPr>
                <w:rFonts w:cs="Times New Roman"/>
                <w:b w:val="0"/>
                <w:sz w:val="20"/>
                <w:szCs w:val="20"/>
              </w:rPr>
              <w:t>PSE UE-090704 (2010)</w:t>
            </w:r>
            <w:r w:rsidRPr="009F2EC5">
              <w:rPr>
                <w:rStyle w:val="FootnoteReference"/>
                <w:rFonts w:cs="Times New Roman"/>
                <w:b w:val="0"/>
              </w:rPr>
              <w:footnoteReference w:id="41"/>
            </w:r>
          </w:p>
        </w:tc>
        <w:tc>
          <w:tcPr>
            <w:tcW w:w="1705" w:type="dxa"/>
          </w:tcPr>
          <w:p w14:paraId="1995E3DD"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$7.00/mo</w:t>
            </w:r>
          </w:p>
        </w:tc>
        <w:tc>
          <w:tcPr>
            <w:tcW w:w="2436" w:type="dxa"/>
          </w:tcPr>
          <w:p w14:paraId="265346D1" w14:textId="6469F48E" w:rsidR="00835D01" w:rsidRPr="00F954C7" w:rsidRDefault="00835D01" w:rsidP="00AD3612">
            <w:pPr>
              <w:jc w:val="center"/>
              <w:rPr>
                <w:rFonts w:ascii="Times New Roman" w:hAnsi="Times New Roman" w:cs="Times New Roman"/>
                <w:sz w:val="20"/>
                <w:szCs w:val="20"/>
              </w:rPr>
            </w:pPr>
            <w:r w:rsidRPr="00F954C7">
              <w:rPr>
                <w:rFonts w:ascii="Times New Roman" w:hAnsi="Times New Roman" w:cs="Times New Roman"/>
                <w:sz w:val="20"/>
                <w:szCs w:val="20"/>
              </w:rPr>
              <w:t>$7.59/mo</w:t>
            </w:r>
          </w:p>
        </w:tc>
        <w:tc>
          <w:tcPr>
            <w:tcW w:w="1265" w:type="dxa"/>
          </w:tcPr>
          <w:p w14:paraId="63D075DF"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$7.25/mo</w:t>
            </w:r>
          </w:p>
        </w:tc>
        <w:tc>
          <w:tcPr>
            <w:tcW w:w="1337" w:type="dxa"/>
          </w:tcPr>
          <w:p w14:paraId="4F46E3D2"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3.6%</w:t>
            </w:r>
          </w:p>
        </w:tc>
      </w:tr>
      <w:tr w:rsidR="00395619" w:rsidRPr="00F954C7" w14:paraId="165CB356" w14:textId="77777777" w:rsidTr="006E00DF">
        <w:trPr>
          <w:trHeight w:val="347"/>
        </w:trPr>
        <w:tc>
          <w:tcPr>
            <w:tcW w:w="2879" w:type="dxa"/>
          </w:tcPr>
          <w:p w14:paraId="02234B4F" w14:textId="77777777" w:rsidR="00835D01" w:rsidRPr="00F954C7" w:rsidRDefault="00835D01" w:rsidP="00835D01">
            <w:pPr>
              <w:rPr>
                <w:rFonts w:ascii="Times New Roman" w:hAnsi="Times New Roman" w:cs="Times New Roman"/>
                <w:sz w:val="20"/>
                <w:szCs w:val="20"/>
              </w:rPr>
            </w:pPr>
            <w:r w:rsidRPr="00F954C7">
              <w:rPr>
                <w:rFonts w:ascii="Times New Roman" w:hAnsi="Times New Roman" w:cs="Times New Roman"/>
                <w:sz w:val="20"/>
                <w:szCs w:val="20"/>
              </w:rPr>
              <w:t>PSE UE-111048 (2012)</w:t>
            </w:r>
            <w:r w:rsidRPr="00F954C7">
              <w:rPr>
                <w:rStyle w:val="FootnoteReference"/>
                <w:rFonts w:ascii="Times New Roman" w:hAnsi="Times New Roman" w:cs="Times New Roman"/>
              </w:rPr>
              <w:footnoteReference w:id="42"/>
            </w:r>
          </w:p>
        </w:tc>
        <w:tc>
          <w:tcPr>
            <w:tcW w:w="1705" w:type="dxa"/>
          </w:tcPr>
          <w:p w14:paraId="1F0CBA0B"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$7.25/mo</w:t>
            </w:r>
          </w:p>
        </w:tc>
        <w:tc>
          <w:tcPr>
            <w:tcW w:w="2436" w:type="dxa"/>
          </w:tcPr>
          <w:p w14:paraId="4649EF25" w14:textId="40BB3153" w:rsidR="00835D01" w:rsidRPr="00F954C7" w:rsidRDefault="00835D01" w:rsidP="00AD3612">
            <w:pPr>
              <w:jc w:val="center"/>
              <w:rPr>
                <w:rFonts w:ascii="Times New Roman" w:hAnsi="Times New Roman" w:cs="Times New Roman"/>
                <w:sz w:val="20"/>
                <w:szCs w:val="20"/>
              </w:rPr>
            </w:pPr>
            <w:r w:rsidRPr="00F954C7">
              <w:rPr>
                <w:rFonts w:ascii="Times New Roman" w:hAnsi="Times New Roman" w:cs="Times New Roman"/>
                <w:sz w:val="20"/>
                <w:szCs w:val="20"/>
              </w:rPr>
              <w:t>$7.86/mo</w:t>
            </w:r>
          </w:p>
        </w:tc>
        <w:tc>
          <w:tcPr>
            <w:tcW w:w="1265" w:type="dxa"/>
          </w:tcPr>
          <w:p w14:paraId="1D68434C"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$7.49/mo</w:t>
            </w:r>
          </w:p>
        </w:tc>
        <w:tc>
          <w:tcPr>
            <w:tcW w:w="1337" w:type="dxa"/>
          </w:tcPr>
          <w:p w14:paraId="43EA80D1"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3.3%</w:t>
            </w:r>
          </w:p>
        </w:tc>
      </w:tr>
      <w:tr w:rsidR="00395619" w:rsidRPr="00F954C7" w14:paraId="290B7E65" w14:textId="77777777" w:rsidTr="006E00DF">
        <w:trPr>
          <w:trHeight w:val="347"/>
        </w:trPr>
        <w:tc>
          <w:tcPr>
            <w:tcW w:w="2879" w:type="dxa"/>
          </w:tcPr>
          <w:p w14:paraId="7D58A2CF" w14:textId="54D09B74" w:rsidR="00835D01" w:rsidRPr="00F954C7" w:rsidRDefault="00835D01" w:rsidP="00835D01">
            <w:pPr>
              <w:rPr>
                <w:rFonts w:ascii="Times New Roman" w:hAnsi="Times New Roman" w:cs="Times New Roman"/>
                <w:sz w:val="20"/>
                <w:szCs w:val="20"/>
              </w:rPr>
            </w:pPr>
            <w:r w:rsidRPr="00F954C7">
              <w:rPr>
                <w:rFonts w:ascii="Times New Roman" w:hAnsi="Times New Roman" w:cs="Times New Roman"/>
                <w:sz w:val="20"/>
                <w:szCs w:val="20"/>
              </w:rPr>
              <w:t>PSE UE-130137, UE-121697 (2013)</w:t>
            </w:r>
            <w:r w:rsidR="002F15C0" w:rsidRPr="00F954C7">
              <w:rPr>
                <w:rStyle w:val="FootnoteReference"/>
                <w:rFonts w:ascii="Times New Roman" w:hAnsi="Times New Roman" w:cs="Times New Roman"/>
              </w:rPr>
              <w:t xml:space="preserve"> </w:t>
            </w:r>
            <w:r w:rsidR="002F15C0" w:rsidRPr="00F954C7">
              <w:rPr>
                <w:rStyle w:val="FootnoteReference"/>
                <w:rFonts w:ascii="Times New Roman" w:hAnsi="Times New Roman" w:cs="Times New Roman"/>
              </w:rPr>
              <w:footnoteReference w:id="43"/>
            </w:r>
          </w:p>
        </w:tc>
        <w:tc>
          <w:tcPr>
            <w:tcW w:w="1705" w:type="dxa"/>
          </w:tcPr>
          <w:p w14:paraId="4C6AE4B9"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$7.49/mo</w:t>
            </w:r>
          </w:p>
        </w:tc>
        <w:tc>
          <w:tcPr>
            <w:tcW w:w="2436" w:type="dxa"/>
          </w:tcPr>
          <w:p w14:paraId="3BD55B0F" w14:textId="711CD346" w:rsidR="00835D01" w:rsidRPr="00F954C7" w:rsidRDefault="00835D01" w:rsidP="002F15C0">
            <w:pPr>
              <w:jc w:val="center"/>
              <w:rPr>
                <w:rFonts w:ascii="Times New Roman" w:hAnsi="Times New Roman" w:cs="Times New Roman"/>
                <w:sz w:val="20"/>
                <w:szCs w:val="20"/>
              </w:rPr>
            </w:pPr>
            <w:r w:rsidRPr="00F954C7">
              <w:rPr>
                <w:rFonts w:ascii="Times New Roman" w:hAnsi="Times New Roman" w:cs="Times New Roman"/>
                <w:sz w:val="20"/>
                <w:szCs w:val="20"/>
              </w:rPr>
              <w:t>$7.88/mo</w:t>
            </w:r>
          </w:p>
        </w:tc>
        <w:tc>
          <w:tcPr>
            <w:tcW w:w="1265" w:type="dxa"/>
          </w:tcPr>
          <w:p w14:paraId="03131DBA" w14:textId="05DFC417" w:rsidR="00835D01" w:rsidRPr="00F954C7" w:rsidRDefault="00395619" w:rsidP="00AD3612">
            <w:pPr>
              <w:jc w:val="center"/>
              <w:rPr>
                <w:rFonts w:ascii="Times New Roman" w:hAnsi="Times New Roman" w:cs="Times New Roman"/>
                <w:sz w:val="20"/>
                <w:szCs w:val="20"/>
              </w:rPr>
            </w:pPr>
            <w:r w:rsidRPr="00F954C7">
              <w:rPr>
                <w:rFonts w:ascii="Times New Roman" w:hAnsi="Times New Roman" w:cs="Times New Roman"/>
                <w:sz w:val="20"/>
                <w:szCs w:val="20"/>
              </w:rPr>
              <w:t>$7.88/mo</w:t>
            </w:r>
          </w:p>
        </w:tc>
        <w:tc>
          <w:tcPr>
            <w:tcW w:w="1337" w:type="dxa"/>
          </w:tcPr>
          <w:p w14:paraId="0F6822CB" w14:textId="77777777" w:rsidR="00835D01" w:rsidRPr="00F954C7" w:rsidRDefault="00835D01" w:rsidP="00835D01">
            <w:pPr>
              <w:jc w:val="center"/>
              <w:rPr>
                <w:rFonts w:ascii="Times New Roman" w:hAnsi="Times New Roman" w:cs="Times New Roman"/>
                <w:sz w:val="20"/>
                <w:szCs w:val="20"/>
              </w:rPr>
            </w:pPr>
            <w:r w:rsidRPr="00F954C7">
              <w:rPr>
                <w:rFonts w:ascii="Times New Roman" w:hAnsi="Times New Roman" w:cs="Times New Roman"/>
                <w:sz w:val="20"/>
                <w:szCs w:val="20"/>
              </w:rPr>
              <w:t>5.1%</w:t>
            </w:r>
          </w:p>
        </w:tc>
      </w:tr>
    </w:tbl>
    <w:p w14:paraId="0452B1B1" w14:textId="77777777" w:rsidR="009E19C7" w:rsidRDefault="009E19C7" w:rsidP="009E19C7">
      <w:pPr>
        <w:spacing w:line="480" w:lineRule="auto"/>
        <w:ind w:firstLine="720"/>
        <w:rPr>
          <w:rFonts w:ascii="Times New Roman" w:hAnsi="Times New Roman" w:cs="Times New Roman"/>
        </w:rPr>
      </w:pPr>
    </w:p>
    <w:p w14:paraId="52935C79" w14:textId="7E4D565F" w:rsidR="007A5237" w:rsidRPr="00FD1012" w:rsidRDefault="00FD1012" w:rsidP="00A46E1B">
      <w:pPr>
        <w:pStyle w:val="ListParagraph"/>
        <w:numPr>
          <w:ilvl w:val="1"/>
          <w:numId w:val="16"/>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80EEB" w:rsidRPr="00FD1012">
        <w:rPr>
          <w:rFonts w:ascii="Times New Roman" w:hAnsi="Times New Roman" w:cs="Times New Roman"/>
        </w:rPr>
        <w:t xml:space="preserve">The Commission should deny PacifiCorp’s proposed massive increase to the residential basic charge </w:t>
      </w:r>
      <w:r w:rsidR="00986318" w:rsidRPr="00FD1012">
        <w:rPr>
          <w:rFonts w:ascii="Times New Roman" w:hAnsi="Times New Roman" w:cs="Times New Roman"/>
        </w:rPr>
        <w:t xml:space="preserve">because </w:t>
      </w:r>
      <w:r w:rsidR="004D0E38" w:rsidRPr="00FD1012">
        <w:rPr>
          <w:rFonts w:ascii="Times New Roman" w:hAnsi="Times New Roman" w:cs="Times New Roman"/>
        </w:rPr>
        <w:t>it conflicts</w:t>
      </w:r>
      <w:r w:rsidR="00380EEB" w:rsidRPr="00FD1012">
        <w:rPr>
          <w:rFonts w:ascii="Times New Roman" w:hAnsi="Times New Roman" w:cs="Times New Roman"/>
        </w:rPr>
        <w:t xml:space="preserve"> with regulatory objectives, state energy policy goal</w:t>
      </w:r>
      <w:r w:rsidR="004D0E38" w:rsidRPr="00FD1012">
        <w:rPr>
          <w:rFonts w:ascii="Times New Roman" w:hAnsi="Times New Roman" w:cs="Times New Roman"/>
        </w:rPr>
        <w:t>s</w:t>
      </w:r>
      <w:r w:rsidR="00380EEB" w:rsidRPr="00FD1012">
        <w:rPr>
          <w:rFonts w:ascii="Times New Roman" w:hAnsi="Times New Roman" w:cs="Times New Roman"/>
        </w:rPr>
        <w:t xml:space="preserve"> and this </w:t>
      </w:r>
      <w:r w:rsidR="00380EEB" w:rsidRPr="00FD1012">
        <w:rPr>
          <w:rFonts w:ascii="Times New Roman" w:hAnsi="Times New Roman" w:cs="Times New Roman"/>
        </w:rPr>
        <w:lastRenderedPageBreak/>
        <w:t>Commi</w:t>
      </w:r>
      <w:r w:rsidR="004D0E38" w:rsidRPr="00FD1012">
        <w:rPr>
          <w:rFonts w:ascii="Times New Roman" w:hAnsi="Times New Roman" w:cs="Times New Roman"/>
        </w:rPr>
        <w:t>ssion’s past practice.  If the C</w:t>
      </w:r>
      <w:r w:rsidR="00380EEB" w:rsidRPr="00FD1012">
        <w:rPr>
          <w:rFonts w:ascii="Times New Roman" w:hAnsi="Times New Roman" w:cs="Times New Roman"/>
        </w:rPr>
        <w:t xml:space="preserve">ommission is concerned about </w:t>
      </w:r>
      <w:r w:rsidR="004D0E38" w:rsidRPr="00FD1012">
        <w:rPr>
          <w:rFonts w:ascii="Times New Roman" w:hAnsi="Times New Roman" w:cs="Times New Roman"/>
        </w:rPr>
        <w:t>PacifiCorp’s</w:t>
      </w:r>
      <w:r w:rsidR="00380EEB" w:rsidRPr="00FD1012">
        <w:rPr>
          <w:rFonts w:ascii="Times New Roman" w:hAnsi="Times New Roman" w:cs="Times New Roman"/>
        </w:rPr>
        <w:t xml:space="preserve"> ability to recover its fixed costs</w:t>
      </w:r>
      <w:r w:rsidR="004D0E38" w:rsidRPr="00FD1012">
        <w:rPr>
          <w:rFonts w:ascii="Times New Roman" w:hAnsi="Times New Roman" w:cs="Times New Roman"/>
        </w:rPr>
        <w:t>,</w:t>
      </w:r>
      <w:r w:rsidR="00380EEB" w:rsidRPr="00FD1012">
        <w:rPr>
          <w:rFonts w:ascii="Times New Roman" w:hAnsi="Times New Roman" w:cs="Times New Roman"/>
        </w:rPr>
        <w:t xml:space="preserve"> </w:t>
      </w:r>
      <w:r w:rsidR="004D0E38" w:rsidRPr="00FD1012">
        <w:rPr>
          <w:rFonts w:ascii="Times New Roman" w:hAnsi="Times New Roman" w:cs="Times New Roman"/>
        </w:rPr>
        <w:t xml:space="preserve">it should </w:t>
      </w:r>
      <w:r w:rsidR="009E19C7" w:rsidRPr="00FD1012">
        <w:rPr>
          <w:rFonts w:ascii="Times New Roman" w:hAnsi="Times New Roman" w:cs="Times New Roman"/>
        </w:rPr>
        <w:t>encourage</w:t>
      </w:r>
      <w:r w:rsidR="00380EEB" w:rsidRPr="00FD1012">
        <w:rPr>
          <w:rFonts w:ascii="Times New Roman" w:hAnsi="Times New Roman" w:cs="Times New Roman"/>
        </w:rPr>
        <w:t xml:space="preserve"> the Company </w:t>
      </w:r>
      <w:r w:rsidR="004D0E38" w:rsidRPr="00FD1012">
        <w:rPr>
          <w:rFonts w:ascii="Times New Roman" w:hAnsi="Times New Roman" w:cs="Times New Roman"/>
        </w:rPr>
        <w:t>to propose alternative solutions</w:t>
      </w:r>
      <w:r w:rsidR="00380EEB" w:rsidRPr="00FD1012">
        <w:rPr>
          <w:rFonts w:ascii="Times New Roman" w:hAnsi="Times New Roman" w:cs="Times New Roman"/>
        </w:rPr>
        <w:t xml:space="preserve">.  TASC provides some </w:t>
      </w:r>
      <w:r w:rsidR="004D0E38" w:rsidRPr="00FD1012">
        <w:rPr>
          <w:rFonts w:ascii="Times New Roman" w:hAnsi="Times New Roman" w:cs="Times New Roman"/>
        </w:rPr>
        <w:t>alternative</w:t>
      </w:r>
      <w:r w:rsidR="00380EEB" w:rsidRPr="00FD1012">
        <w:rPr>
          <w:rFonts w:ascii="Times New Roman" w:hAnsi="Times New Roman" w:cs="Times New Roman"/>
        </w:rPr>
        <w:t xml:space="preserve"> suggestions in section</w:t>
      </w:r>
      <w:r w:rsidR="004D0E38" w:rsidRPr="00FD1012">
        <w:rPr>
          <w:rFonts w:ascii="Times New Roman" w:hAnsi="Times New Roman" w:cs="Times New Roman"/>
        </w:rPr>
        <w:t xml:space="preserve"> 3,</w:t>
      </w:r>
      <w:r w:rsidR="00380EEB" w:rsidRPr="00FD1012">
        <w:rPr>
          <w:rFonts w:ascii="Times New Roman" w:hAnsi="Times New Roman" w:cs="Times New Roman"/>
        </w:rPr>
        <w:t xml:space="preserve"> below.  </w:t>
      </w:r>
    </w:p>
    <w:p w14:paraId="0BD8E9F9" w14:textId="16F09742" w:rsidR="00906589" w:rsidRPr="00F954C7" w:rsidRDefault="00906589" w:rsidP="00380EEB">
      <w:pPr>
        <w:pStyle w:val="ListParagraph"/>
        <w:numPr>
          <w:ilvl w:val="1"/>
          <w:numId w:val="1"/>
        </w:numPr>
        <w:rPr>
          <w:rFonts w:ascii="Times New Roman" w:hAnsi="Times New Roman" w:cs="Times New Roman"/>
          <w:b/>
        </w:rPr>
      </w:pPr>
      <w:r w:rsidRPr="00F954C7">
        <w:rPr>
          <w:rFonts w:ascii="Times New Roman" w:hAnsi="Times New Roman" w:cs="Times New Roman"/>
          <w:b/>
        </w:rPr>
        <w:t xml:space="preserve">Even if </w:t>
      </w:r>
      <w:r w:rsidR="00A53B07">
        <w:rPr>
          <w:rFonts w:ascii="Times New Roman" w:hAnsi="Times New Roman" w:cs="Times New Roman"/>
          <w:b/>
        </w:rPr>
        <w:t>t</w:t>
      </w:r>
      <w:r w:rsidRPr="00F954C7">
        <w:rPr>
          <w:rFonts w:ascii="Times New Roman" w:hAnsi="Times New Roman" w:cs="Times New Roman"/>
          <w:b/>
        </w:rPr>
        <w:t xml:space="preserve">he Commission were to Agree </w:t>
      </w:r>
      <w:r w:rsidR="0038516A" w:rsidRPr="00F954C7">
        <w:rPr>
          <w:rFonts w:ascii="Times New Roman" w:hAnsi="Times New Roman" w:cs="Times New Roman"/>
          <w:b/>
        </w:rPr>
        <w:t>that T</w:t>
      </w:r>
      <w:r w:rsidR="00A66A56" w:rsidRPr="00F954C7">
        <w:rPr>
          <w:rFonts w:ascii="Times New Roman" w:hAnsi="Times New Roman" w:cs="Times New Roman"/>
          <w:b/>
        </w:rPr>
        <w:t>raditional R</w:t>
      </w:r>
      <w:r w:rsidRPr="00F954C7">
        <w:rPr>
          <w:rFonts w:ascii="Times New Roman" w:hAnsi="Times New Roman" w:cs="Times New Roman"/>
          <w:b/>
        </w:rPr>
        <w:t xml:space="preserve">atemaking </w:t>
      </w:r>
      <w:r w:rsidR="0038516A" w:rsidRPr="00F954C7">
        <w:rPr>
          <w:rFonts w:ascii="Times New Roman" w:hAnsi="Times New Roman" w:cs="Times New Roman"/>
          <w:b/>
        </w:rPr>
        <w:t xml:space="preserve">Should </w:t>
      </w:r>
      <w:r w:rsidRPr="00F954C7">
        <w:rPr>
          <w:rFonts w:ascii="Times New Roman" w:hAnsi="Times New Roman" w:cs="Times New Roman"/>
          <w:b/>
        </w:rPr>
        <w:t xml:space="preserve">be </w:t>
      </w:r>
      <w:r w:rsidR="003F759C" w:rsidRPr="00F954C7">
        <w:rPr>
          <w:rFonts w:ascii="Times New Roman" w:hAnsi="Times New Roman" w:cs="Times New Roman"/>
          <w:b/>
        </w:rPr>
        <w:t>M</w:t>
      </w:r>
      <w:r w:rsidR="0038516A" w:rsidRPr="00F954C7">
        <w:rPr>
          <w:rFonts w:ascii="Times New Roman" w:hAnsi="Times New Roman" w:cs="Times New Roman"/>
          <w:b/>
        </w:rPr>
        <w:t>odified</w:t>
      </w:r>
      <w:r w:rsidR="003F759C" w:rsidRPr="00F954C7">
        <w:rPr>
          <w:rFonts w:ascii="Times New Roman" w:hAnsi="Times New Roman" w:cs="Times New Roman"/>
          <w:b/>
        </w:rPr>
        <w:t xml:space="preserve"> Such that Fixed Charges are Recovered in the Fixed Component of R</w:t>
      </w:r>
      <w:r w:rsidRPr="00F954C7">
        <w:rPr>
          <w:rFonts w:ascii="Times New Roman" w:hAnsi="Times New Roman" w:cs="Times New Roman"/>
          <w:b/>
        </w:rPr>
        <w:t xml:space="preserve">ates, </w:t>
      </w:r>
      <w:r w:rsidR="0038516A" w:rsidRPr="00F954C7">
        <w:rPr>
          <w:rFonts w:ascii="Times New Roman" w:hAnsi="Times New Roman" w:cs="Times New Roman"/>
          <w:b/>
        </w:rPr>
        <w:t>PacifiCorp</w:t>
      </w:r>
      <w:r w:rsidRPr="00F954C7">
        <w:rPr>
          <w:rFonts w:ascii="Times New Roman" w:hAnsi="Times New Roman" w:cs="Times New Roman"/>
          <w:b/>
        </w:rPr>
        <w:t xml:space="preserve"> has </w:t>
      </w:r>
      <w:r w:rsidR="003F759C" w:rsidRPr="00F954C7">
        <w:rPr>
          <w:rFonts w:ascii="Times New Roman" w:hAnsi="Times New Roman" w:cs="Times New Roman"/>
          <w:b/>
        </w:rPr>
        <w:t>F</w:t>
      </w:r>
      <w:r w:rsidRPr="00F954C7">
        <w:rPr>
          <w:rFonts w:ascii="Times New Roman" w:hAnsi="Times New Roman" w:cs="Times New Roman"/>
          <w:b/>
        </w:rPr>
        <w:t xml:space="preserve">ailed </w:t>
      </w:r>
      <w:r w:rsidR="003F759C" w:rsidRPr="00F954C7">
        <w:rPr>
          <w:rFonts w:ascii="Times New Roman" w:hAnsi="Times New Roman" w:cs="Times New Roman"/>
          <w:b/>
        </w:rPr>
        <w:t>To Justify</w:t>
      </w:r>
      <w:r w:rsidRPr="00F954C7">
        <w:rPr>
          <w:rFonts w:ascii="Times New Roman" w:hAnsi="Times New Roman" w:cs="Times New Roman"/>
          <w:b/>
        </w:rPr>
        <w:t xml:space="preserve"> </w:t>
      </w:r>
      <w:r w:rsidR="0038516A" w:rsidRPr="00F954C7">
        <w:rPr>
          <w:rFonts w:ascii="Times New Roman" w:hAnsi="Times New Roman" w:cs="Times New Roman"/>
          <w:b/>
        </w:rPr>
        <w:t xml:space="preserve">its Proposal </w:t>
      </w:r>
    </w:p>
    <w:p w14:paraId="03943514" w14:textId="77777777" w:rsidR="003F759C" w:rsidRPr="00F954C7" w:rsidRDefault="003F759C" w:rsidP="003F759C">
      <w:pPr>
        <w:rPr>
          <w:rFonts w:ascii="Times New Roman" w:hAnsi="Times New Roman" w:cs="Times New Roman"/>
          <w:b/>
          <w:u w:val="single"/>
        </w:rPr>
      </w:pPr>
    </w:p>
    <w:p w14:paraId="2A92ED53" w14:textId="780372F2" w:rsidR="003F759C" w:rsidRPr="00FD1012" w:rsidRDefault="00FD1012" w:rsidP="00A46E1B">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66A56" w:rsidRPr="00FD1012">
        <w:rPr>
          <w:rFonts w:ascii="Times New Roman" w:hAnsi="Times New Roman" w:cs="Times New Roman"/>
        </w:rPr>
        <w:t xml:space="preserve">In this proceeding PacifiCorp suggests that the Commission should fundamentally change </w:t>
      </w:r>
      <w:r w:rsidR="00372885" w:rsidRPr="00FD1012">
        <w:rPr>
          <w:rFonts w:ascii="Times New Roman" w:hAnsi="Times New Roman" w:cs="Times New Roman"/>
        </w:rPr>
        <w:t>its</w:t>
      </w:r>
      <w:r w:rsidR="00A66A56" w:rsidRPr="00FD1012">
        <w:rPr>
          <w:rFonts w:ascii="Times New Roman" w:hAnsi="Times New Roman" w:cs="Times New Roman"/>
        </w:rPr>
        <w:t xml:space="preserve"> approach </w:t>
      </w:r>
      <w:r w:rsidR="00372885" w:rsidRPr="00FD1012">
        <w:rPr>
          <w:rFonts w:ascii="Times New Roman" w:hAnsi="Times New Roman" w:cs="Times New Roman"/>
        </w:rPr>
        <w:t xml:space="preserve">to rate design </w:t>
      </w:r>
      <w:r w:rsidR="00A66A56" w:rsidRPr="00FD1012">
        <w:rPr>
          <w:rFonts w:ascii="Times New Roman" w:hAnsi="Times New Roman" w:cs="Times New Roman"/>
        </w:rPr>
        <w:t>and argues that “[f]ixed costs are appropriate costs to include in determining the level of the residential monthly customer charge.”</w:t>
      </w:r>
      <w:r w:rsidR="00A66A56" w:rsidRPr="00F954C7">
        <w:rPr>
          <w:rStyle w:val="FootnoteReference"/>
          <w:rFonts w:ascii="Times New Roman" w:hAnsi="Times New Roman" w:cs="Times New Roman"/>
        </w:rPr>
        <w:footnoteReference w:id="44"/>
      </w:r>
      <w:r w:rsidR="00A66A56" w:rsidRPr="00FD1012">
        <w:rPr>
          <w:rFonts w:ascii="Times New Roman" w:hAnsi="Times New Roman" w:cs="Times New Roman"/>
        </w:rPr>
        <w:t xml:space="preserve">  In doing so the Company cites to </w:t>
      </w:r>
      <w:r w:rsidR="00372885" w:rsidRPr="00FD1012">
        <w:rPr>
          <w:rFonts w:ascii="Times New Roman" w:hAnsi="Times New Roman" w:cs="Times New Roman"/>
        </w:rPr>
        <w:t>the principle of cost causation.</w:t>
      </w:r>
      <w:r w:rsidR="00B82E89" w:rsidRPr="00F954C7">
        <w:rPr>
          <w:rStyle w:val="FootnoteReference"/>
          <w:rFonts w:ascii="Times New Roman" w:hAnsi="Times New Roman" w:cs="Times New Roman"/>
        </w:rPr>
        <w:footnoteReference w:id="45"/>
      </w:r>
      <w:r w:rsidR="00372885" w:rsidRPr="00FD1012">
        <w:rPr>
          <w:rFonts w:ascii="Times New Roman" w:hAnsi="Times New Roman" w:cs="Times New Roman"/>
        </w:rPr>
        <w:t xml:space="preserve">  However, as explained above, the Commission has traditionally rejected similar arguments.  Instead the Commission has favored rate designs that mimic competitive markets; promote conservation, efficiency, and renewable energy development; and that promote gra</w:t>
      </w:r>
      <w:r w:rsidR="003F5C5C" w:rsidRPr="00FD1012">
        <w:rPr>
          <w:rFonts w:ascii="Times New Roman" w:hAnsi="Times New Roman" w:cs="Times New Roman"/>
        </w:rPr>
        <w:t xml:space="preserve">dualism and avoid rate shock.  </w:t>
      </w:r>
      <w:r w:rsidR="00372885" w:rsidRPr="00FD1012">
        <w:rPr>
          <w:rFonts w:ascii="Times New Roman" w:hAnsi="Times New Roman" w:cs="Times New Roman"/>
        </w:rPr>
        <w:t>E</w:t>
      </w:r>
      <w:r w:rsidR="00A66A56" w:rsidRPr="00FD1012">
        <w:rPr>
          <w:rFonts w:ascii="Times New Roman" w:hAnsi="Times New Roman" w:cs="Times New Roman"/>
        </w:rPr>
        <w:t xml:space="preserve">ven if the Commission were to shift </w:t>
      </w:r>
      <w:r w:rsidR="004D0E38" w:rsidRPr="00FD1012">
        <w:rPr>
          <w:rFonts w:ascii="Times New Roman" w:hAnsi="Times New Roman" w:cs="Times New Roman"/>
        </w:rPr>
        <w:t>its</w:t>
      </w:r>
      <w:r w:rsidR="00372885" w:rsidRPr="00FD1012">
        <w:rPr>
          <w:rFonts w:ascii="Times New Roman" w:hAnsi="Times New Roman" w:cs="Times New Roman"/>
        </w:rPr>
        <w:t xml:space="preserve"> fund</w:t>
      </w:r>
      <w:r w:rsidR="004D0E38" w:rsidRPr="00FD1012">
        <w:rPr>
          <w:rFonts w:ascii="Times New Roman" w:hAnsi="Times New Roman" w:cs="Times New Roman"/>
        </w:rPr>
        <w:t>amental approach to rate design</w:t>
      </w:r>
      <w:r w:rsidR="00372885" w:rsidRPr="00FD1012">
        <w:rPr>
          <w:rFonts w:ascii="Times New Roman" w:hAnsi="Times New Roman" w:cs="Times New Roman"/>
        </w:rPr>
        <w:t xml:space="preserve"> and were to base its rate design decision </w:t>
      </w:r>
      <w:r w:rsidR="00A53B07" w:rsidRPr="00FD1012">
        <w:rPr>
          <w:rFonts w:ascii="Times New Roman" w:hAnsi="Times New Roman" w:cs="Times New Roman"/>
        </w:rPr>
        <w:t xml:space="preserve">exclusively </w:t>
      </w:r>
      <w:r w:rsidR="00372885" w:rsidRPr="00FD1012">
        <w:rPr>
          <w:rFonts w:ascii="Times New Roman" w:hAnsi="Times New Roman" w:cs="Times New Roman"/>
        </w:rPr>
        <w:t xml:space="preserve">on cost-causation principles, it should still reject PacifiCorp’s proposal because the Company has failed to prove that the costs it includes in the proposed customer charge are actually fixed costs. </w:t>
      </w:r>
    </w:p>
    <w:p w14:paraId="0D151BFB" w14:textId="375DB17D" w:rsidR="00936240" w:rsidRPr="00FD1012" w:rsidRDefault="00FD1012" w:rsidP="00A46E1B">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0842E4" w:rsidRPr="00FD1012">
        <w:rPr>
          <w:rFonts w:ascii="Times New Roman" w:hAnsi="Times New Roman" w:cs="Times New Roman"/>
        </w:rPr>
        <w:t xml:space="preserve">PacifiCorp’s implicit claim that its proposed basic charge reflects only “fixed” costs </w:t>
      </w:r>
      <w:r w:rsidR="004B3EAF" w:rsidRPr="00FD1012">
        <w:rPr>
          <w:rFonts w:ascii="Times New Roman" w:hAnsi="Times New Roman" w:cs="Times New Roman"/>
        </w:rPr>
        <w:t xml:space="preserve">that do not vary with usage </w:t>
      </w:r>
      <w:r w:rsidR="000842E4" w:rsidRPr="00FD1012">
        <w:rPr>
          <w:rFonts w:ascii="Times New Roman" w:hAnsi="Times New Roman" w:cs="Times New Roman"/>
        </w:rPr>
        <w:t>is misleading and fails to acknowledges that many costs the Company seeks to recover in the basic charge are actually long</w:t>
      </w:r>
      <w:r w:rsidR="00A53B07" w:rsidRPr="00FD1012">
        <w:rPr>
          <w:rFonts w:ascii="Times New Roman" w:hAnsi="Times New Roman" w:cs="Times New Roman"/>
        </w:rPr>
        <w:t>-</w:t>
      </w:r>
      <w:r w:rsidR="000842E4" w:rsidRPr="00FD1012">
        <w:rPr>
          <w:rFonts w:ascii="Times New Roman" w:hAnsi="Times New Roman" w:cs="Times New Roman"/>
        </w:rPr>
        <w:t>run marginal costs.</w:t>
      </w:r>
      <w:r w:rsidR="008B29A7" w:rsidRPr="00F954C7">
        <w:rPr>
          <w:rStyle w:val="FootnoteReference"/>
          <w:rFonts w:ascii="Times New Roman" w:hAnsi="Times New Roman" w:cs="Times New Roman"/>
        </w:rPr>
        <w:footnoteReference w:id="46"/>
      </w:r>
      <w:r w:rsidR="004B3EAF" w:rsidRPr="00FD1012">
        <w:rPr>
          <w:rFonts w:ascii="Times New Roman" w:hAnsi="Times New Roman" w:cs="Times New Roman"/>
        </w:rPr>
        <w:t xml:space="preserve">  The Company proposes to include in the residential basic charge all of the functionalized unbundled costs in the </w:t>
      </w:r>
      <w:r w:rsidR="004D0E38" w:rsidRPr="00FD1012">
        <w:rPr>
          <w:rFonts w:ascii="Times New Roman" w:hAnsi="Times New Roman" w:cs="Times New Roman"/>
        </w:rPr>
        <w:t>d</w:t>
      </w:r>
      <w:r w:rsidR="004B3EAF" w:rsidRPr="00FD1012">
        <w:rPr>
          <w:rFonts w:ascii="Times New Roman" w:hAnsi="Times New Roman" w:cs="Times New Roman"/>
        </w:rPr>
        <w:t xml:space="preserve">istribution category, which includes the entire radial system that connects the customer to the </w:t>
      </w:r>
      <w:r w:rsidR="004B3EAF" w:rsidRPr="00FD1012">
        <w:rPr>
          <w:rFonts w:ascii="Times New Roman" w:hAnsi="Times New Roman" w:cs="Times New Roman"/>
        </w:rPr>
        <w:lastRenderedPageBreak/>
        <w:t>higher voltage transmission system.</w:t>
      </w:r>
      <w:r w:rsidR="004B3EAF" w:rsidRPr="00F954C7">
        <w:rPr>
          <w:rStyle w:val="FootnoteReference"/>
          <w:rFonts w:ascii="Times New Roman" w:hAnsi="Times New Roman" w:cs="Times New Roman"/>
        </w:rPr>
        <w:footnoteReference w:id="47"/>
      </w:r>
      <w:r w:rsidR="00766DA0" w:rsidRPr="00FD1012">
        <w:rPr>
          <w:rFonts w:ascii="Times New Roman" w:hAnsi="Times New Roman" w:cs="Times New Roman"/>
        </w:rPr>
        <w:t xml:space="preserve">  This includes poles and wires, line transformers, service drops</w:t>
      </w:r>
      <w:r w:rsidR="00A53B07" w:rsidRPr="00FD1012">
        <w:rPr>
          <w:rFonts w:ascii="Times New Roman" w:hAnsi="Times New Roman" w:cs="Times New Roman"/>
        </w:rPr>
        <w:t>,</w:t>
      </w:r>
      <w:r w:rsidR="00766DA0" w:rsidRPr="00FD1012">
        <w:rPr>
          <w:rFonts w:ascii="Times New Roman" w:hAnsi="Times New Roman" w:cs="Times New Roman"/>
        </w:rPr>
        <w:t xml:space="preserve"> and meters.</w:t>
      </w:r>
      <w:r w:rsidR="00766DA0" w:rsidRPr="00F954C7">
        <w:rPr>
          <w:rStyle w:val="FootnoteReference"/>
          <w:rFonts w:ascii="Times New Roman" w:hAnsi="Times New Roman" w:cs="Times New Roman"/>
        </w:rPr>
        <w:footnoteReference w:id="48"/>
      </w:r>
      <w:r w:rsidR="00766DA0" w:rsidRPr="00FD1012">
        <w:rPr>
          <w:rFonts w:ascii="Times New Roman" w:hAnsi="Times New Roman" w:cs="Times New Roman"/>
        </w:rPr>
        <w:t xml:space="preserve">  </w:t>
      </w:r>
      <w:r w:rsidR="004B3EAF" w:rsidRPr="00FD1012">
        <w:rPr>
          <w:rFonts w:ascii="Times New Roman" w:hAnsi="Times New Roman" w:cs="Times New Roman"/>
        </w:rPr>
        <w:t xml:space="preserve">   </w:t>
      </w:r>
      <w:r w:rsidR="000842E4" w:rsidRPr="00FD1012">
        <w:rPr>
          <w:rFonts w:ascii="Times New Roman" w:hAnsi="Times New Roman" w:cs="Times New Roman"/>
        </w:rPr>
        <w:t xml:space="preserve">   </w:t>
      </w:r>
    </w:p>
    <w:p w14:paraId="2D34CE11" w14:textId="206EE0C1" w:rsidR="007264B4" w:rsidRPr="00FD1012" w:rsidRDefault="00FD1012" w:rsidP="00A46E1B">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766DA0" w:rsidRPr="00FD1012">
        <w:rPr>
          <w:rFonts w:ascii="Times New Roman" w:hAnsi="Times New Roman" w:cs="Times New Roman"/>
        </w:rPr>
        <w:t>But as explained by Mr. Fulmer, poles, wires, and distribution transformers are not directly proportional to the number of customer</w:t>
      </w:r>
      <w:r w:rsidR="005651F6" w:rsidRPr="00FD1012">
        <w:rPr>
          <w:rFonts w:ascii="Times New Roman" w:hAnsi="Times New Roman" w:cs="Times New Roman"/>
        </w:rPr>
        <w:t>s</w:t>
      </w:r>
      <w:r w:rsidR="00766DA0" w:rsidRPr="00FD1012">
        <w:rPr>
          <w:rFonts w:ascii="Times New Roman" w:hAnsi="Times New Roman" w:cs="Times New Roman"/>
        </w:rPr>
        <w:t>, nor are they “fixed.”</w:t>
      </w:r>
      <w:r w:rsidR="00766DA0" w:rsidRPr="00F954C7">
        <w:rPr>
          <w:rStyle w:val="FootnoteReference"/>
          <w:rFonts w:ascii="Times New Roman" w:hAnsi="Times New Roman" w:cs="Times New Roman"/>
        </w:rPr>
        <w:footnoteReference w:id="49"/>
      </w:r>
      <w:r w:rsidR="00766DA0" w:rsidRPr="00FD1012">
        <w:rPr>
          <w:rFonts w:ascii="Times New Roman" w:hAnsi="Times New Roman" w:cs="Times New Roman"/>
        </w:rPr>
        <w:t xml:space="preserve">  </w:t>
      </w:r>
      <w:r w:rsidR="007264B4" w:rsidRPr="00FD1012">
        <w:rPr>
          <w:rFonts w:ascii="Times New Roman" w:hAnsi="Times New Roman" w:cs="Times New Roman"/>
        </w:rPr>
        <w:t xml:space="preserve">In </w:t>
      </w:r>
      <w:r w:rsidR="005651F6" w:rsidRPr="00FD1012">
        <w:rPr>
          <w:rFonts w:ascii="Times New Roman" w:hAnsi="Times New Roman" w:cs="Times New Roman"/>
        </w:rPr>
        <w:t>attempting to rebut</w:t>
      </w:r>
      <w:r w:rsidR="007264B4" w:rsidRPr="00FD1012">
        <w:rPr>
          <w:rFonts w:ascii="Times New Roman" w:hAnsi="Times New Roman" w:cs="Times New Roman"/>
        </w:rPr>
        <w:t xml:space="preserve"> this </w:t>
      </w:r>
      <w:r w:rsidR="005651F6" w:rsidRPr="00FD1012">
        <w:rPr>
          <w:rFonts w:ascii="Times New Roman" w:hAnsi="Times New Roman" w:cs="Times New Roman"/>
        </w:rPr>
        <w:t>fact</w:t>
      </w:r>
      <w:r w:rsidR="007264B4" w:rsidRPr="00FD1012">
        <w:rPr>
          <w:rFonts w:ascii="Times New Roman" w:hAnsi="Times New Roman" w:cs="Times New Roman"/>
        </w:rPr>
        <w:t xml:space="preserve">, Ms. Steward </w:t>
      </w:r>
      <w:r w:rsidR="009E19C7" w:rsidRPr="00FD1012">
        <w:rPr>
          <w:rFonts w:ascii="Times New Roman" w:hAnsi="Times New Roman" w:cs="Times New Roman"/>
        </w:rPr>
        <w:t>testified</w:t>
      </w:r>
      <w:r w:rsidR="00691ABB" w:rsidRPr="00FD1012">
        <w:rPr>
          <w:rFonts w:ascii="Times New Roman" w:hAnsi="Times New Roman" w:cs="Times New Roman"/>
        </w:rPr>
        <w:t xml:space="preserve"> that </w:t>
      </w:r>
      <w:r w:rsidR="007264B4" w:rsidRPr="00FD1012">
        <w:rPr>
          <w:rFonts w:ascii="Times New Roman" w:hAnsi="Times New Roman" w:cs="Times New Roman"/>
        </w:rPr>
        <w:t>these assets will not vary in the “</w:t>
      </w:r>
      <w:r w:rsidR="007264B4" w:rsidRPr="00FD1012">
        <w:rPr>
          <w:rFonts w:ascii="Times New Roman" w:hAnsi="Times New Roman" w:cs="Times New Roman"/>
          <w:i/>
        </w:rPr>
        <w:t>near term.</w:t>
      </w:r>
      <w:r w:rsidR="007264B4" w:rsidRPr="00FD1012">
        <w:rPr>
          <w:rFonts w:ascii="Times New Roman" w:hAnsi="Times New Roman" w:cs="Times New Roman"/>
        </w:rPr>
        <w:t>”</w:t>
      </w:r>
      <w:r w:rsidR="007264B4" w:rsidRPr="00F954C7">
        <w:rPr>
          <w:rStyle w:val="FootnoteReference"/>
          <w:rFonts w:ascii="Times New Roman" w:hAnsi="Times New Roman" w:cs="Times New Roman"/>
        </w:rPr>
        <w:footnoteReference w:id="50"/>
      </w:r>
      <w:r w:rsidR="007264B4" w:rsidRPr="00FD1012">
        <w:rPr>
          <w:rFonts w:ascii="Times New Roman" w:hAnsi="Times New Roman" w:cs="Times New Roman"/>
        </w:rPr>
        <w:t xml:space="preserve">  </w:t>
      </w:r>
      <w:r w:rsidR="00691ABB" w:rsidRPr="00FD1012">
        <w:rPr>
          <w:rFonts w:ascii="Times New Roman" w:hAnsi="Times New Roman" w:cs="Times New Roman"/>
        </w:rPr>
        <w:t>This carefully chosen language does not dispute TASC</w:t>
      </w:r>
      <w:r w:rsidR="00A53B07" w:rsidRPr="00FD1012">
        <w:rPr>
          <w:rFonts w:ascii="Times New Roman" w:hAnsi="Times New Roman" w:cs="Times New Roman"/>
        </w:rPr>
        <w:t>’s</w:t>
      </w:r>
      <w:r w:rsidR="00691ABB" w:rsidRPr="00FD1012">
        <w:rPr>
          <w:rFonts w:ascii="Times New Roman" w:hAnsi="Times New Roman" w:cs="Times New Roman"/>
        </w:rPr>
        <w:t xml:space="preserve"> and Public Counsel’s observations that </w:t>
      </w:r>
      <w:r w:rsidR="0000641F" w:rsidRPr="00FD1012">
        <w:rPr>
          <w:rFonts w:ascii="Times New Roman" w:hAnsi="Times New Roman" w:cs="Times New Roman"/>
        </w:rPr>
        <w:t>certain distribution costs are</w:t>
      </w:r>
      <w:r w:rsidR="007264B4" w:rsidRPr="00FD1012">
        <w:rPr>
          <w:rFonts w:ascii="Times New Roman" w:hAnsi="Times New Roman" w:cs="Times New Roman"/>
        </w:rPr>
        <w:t xml:space="preserve">, </w:t>
      </w:r>
      <w:r w:rsidR="007264B4" w:rsidRPr="00FD1012">
        <w:rPr>
          <w:rFonts w:ascii="Times New Roman" w:hAnsi="Times New Roman" w:cs="Times New Roman"/>
          <w:i/>
        </w:rPr>
        <w:t xml:space="preserve">long-run </w:t>
      </w:r>
      <w:r w:rsidR="007264B4" w:rsidRPr="00FD1012">
        <w:rPr>
          <w:rFonts w:ascii="Times New Roman" w:hAnsi="Times New Roman" w:cs="Times New Roman"/>
        </w:rPr>
        <w:t>marginal costs that do indee</w:t>
      </w:r>
      <w:r w:rsidR="00EA73CF" w:rsidRPr="00FD1012">
        <w:rPr>
          <w:rFonts w:ascii="Times New Roman" w:hAnsi="Times New Roman" w:cs="Times New Roman"/>
        </w:rPr>
        <w:t>d vary over the long term as demand varies over time.</w:t>
      </w:r>
      <w:r w:rsidR="00EA73CF" w:rsidRPr="00F954C7">
        <w:rPr>
          <w:rStyle w:val="FootnoteReference"/>
          <w:rFonts w:ascii="Times New Roman" w:hAnsi="Times New Roman" w:cs="Times New Roman"/>
        </w:rPr>
        <w:footnoteReference w:id="51"/>
      </w:r>
      <w:r w:rsidR="00691ABB" w:rsidRPr="00FD1012">
        <w:rPr>
          <w:rFonts w:ascii="Times New Roman" w:hAnsi="Times New Roman" w:cs="Times New Roman"/>
        </w:rPr>
        <w:t xml:space="preserve"> </w:t>
      </w:r>
      <w:r w:rsidR="00EA73CF" w:rsidRPr="00FD1012">
        <w:rPr>
          <w:rFonts w:ascii="Times New Roman" w:hAnsi="Times New Roman" w:cs="Times New Roman"/>
        </w:rPr>
        <w:t xml:space="preserve"> </w:t>
      </w:r>
      <w:r w:rsidR="00A53B07" w:rsidRPr="00FD1012">
        <w:rPr>
          <w:rFonts w:ascii="Times New Roman" w:hAnsi="Times New Roman" w:cs="Times New Roman"/>
        </w:rPr>
        <w:t xml:space="preserve">Because </w:t>
      </w:r>
      <w:r w:rsidR="0000641F" w:rsidRPr="00FD1012">
        <w:rPr>
          <w:rFonts w:ascii="Times New Roman" w:hAnsi="Times New Roman" w:cs="Times New Roman"/>
        </w:rPr>
        <w:t>residential</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customer</w:t>
      </w:r>
      <w:r w:rsidR="00413654" w:rsidRPr="00FD1012">
        <w:rPr>
          <w:rFonts w:ascii="Times New Roman" w:hAnsi="Times New Roman" w:cs="Times New Roman"/>
        </w:rPr>
        <w:t>s</w:t>
      </w:r>
      <w:r w:rsidR="0000641F" w:rsidRPr="00FD1012">
        <w:rPr>
          <w:rFonts w:ascii="Times New Roman" w:hAnsi="Times New Roman" w:cs="Times New Roman"/>
        </w:rPr>
        <w:t xml:space="preserve"> do not have demand meters or pay demand charges</w:t>
      </w:r>
      <w:r w:rsidR="00A53B07" w:rsidRPr="00FD1012">
        <w:rPr>
          <w:rFonts w:ascii="Times New Roman" w:hAnsi="Times New Roman" w:cs="Times New Roman"/>
        </w:rPr>
        <w:t>,</w:t>
      </w:r>
      <w:r w:rsidR="0000641F" w:rsidRPr="00FD1012">
        <w:rPr>
          <w:rFonts w:ascii="Times New Roman" w:hAnsi="Times New Roman" w:cs="Times New Roman"/>
        </w:rPr>
        <w:t xml:space="preserve"> it</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is</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more</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appropriate</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to</w:t>
      </w:r>
      <w:r w:rsidR="0000641F" w:rsidRPr="00FD1012">
        <w:rPr>
          <w:rFonts w:ascii="Times New Roman" w:hAnsi="Times New Roman" w:cs="Times New Roman"/>
          <w:spacing w:val="-1"/>
        </w:rPr>
        <w:t xml:space="preserve"> </w:t>
      </w:r>
      <w:r w:rsidR="0000641F" w:rsidRPr="00FD1012">
        <w:rPr>
          <w:rFonts w:ascii="Times New Roman" w:hAnsi="Times New Roman" w:cs="Times New Roman"/>
        </w:rPr>
        <w:t>collect</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these</w:t>
      </w:r>
      <w:r w:rsidR="00A53B07" w:rsidRPr="00FD1012">
        <w:rPr>
          <w:rFonts w:ascii="Times New Roman" w:hAnsi="Times New Roman" w:cs="Times New Roman"/>
        </w:rPr>
        <w:t xml:space="preserve"> energy distribution</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costs</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via</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energy</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charges</w:t>
      </w:r>
      <w:r w:rsidR="0000641F" w:rsidRPr="00FD1012">
        <w:rPr>
          <w:rFonts w:ascii="Times New Roman" w:hAnsi="Times New Roman" w:cs="Times New Roman"/>
          <w:spacing w:val="-2"/>
        </w:rPr>
        <w:t xml:space="preserve"> </w:t>
      </w:r>
      <w:r w:rsidR="0000641F" w:rsidRPr="00FD1012">
        <w:rPr>
          <w:rFonts w:ascii="Times New Roman" w:hAnsi="Times New Roman" w:cs="Times New Roman"/>
        </w:rPr>
        <w:t>rather</w:t>
      </w:r>
      <w:r w:rsidR="0000641F" w:rsidRPr="00FD1012">
        <w:rPr>
          <w:rFonts w:ascii="Times New Roman" w:hAnsi="Times New Roman" w:cs="Times New Roman"/>
          <w:spacing w:val="-1"/>
        </w:rPr>
        <w:t xml:space="preserve"> </w:t>
      </w:r>
      <w:r w:rsidR="0000641F" w:rsidRPr="00FD1012">
        <w:rPr>
          <w:rFonts w:ascii="Times New Roman" w:hAnsi="Times New Roman" w:cs="Times New Roman"/>
        </w:rPr>
        <w:t>than</w:t>
      </w:r>
      <w:r w:rsidR="0000641F" w:rsidRPr="00FD1012">
        <w:rPr>
          <w:rFonts w:ascii="Times New Roman" w:hAnsi="Times New Roman" w:cs="Times New Roman"/>
          <w:spacing w:val="-2"/>
        </w:rPr>
        <w:t xml:space="preserve"> </w:t>
      </w:r>
      <w:r w:rsidR="004D0E38" w:rsidRPr="00FD1012">
        <w:rPr>
          <w:rFonts w:ascii="Times New Roman" w:hAnsi="Times New Roman" w:cs="Times New Roman"/>
          <w:spacing w:val="-2"/>
        </w:rPr>
        <w:t xml:space="preserve">fixed </w:t>
      </w:r>
      <w:r w:rsidR="0000641F" w:rsidRPr="00FD1012">
        <w:rPr>
          <w:rFonts w:ascii="Times New Roman" w:hAnsi="Times New Roman" w:cs="Times New Roman"/>
        </w:rPr>
        <w:t>customer charges.</w:t>
      </w:r>
      <w:r w:rsidR="0000641F" w:rsidRPr="00F954C7">
        <w:rPr>
          <w:rStyle w:val="FootnoteReference"/>
          <w:rFonts w:ascii="Times New Roman" w:hAnsi="Times New Roman" w:cs="Times New Roman"/>
        </w:rPr>
        <w:footnoteReference w:id="52"/>
      </w:r>
    </w:p>
    <w:p w14:paraId="64A9C745" w14:textId="58B10582" w:rsidR="00F340DE" w:rsidRPr="00FD1012" w:rsidRDefault="00FD1012" w:rsidP="00A46E1B">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00641F" w:rsidRPr="00FD1012">
        <w:rPr>
          <w:rFonts w:ascii="Times New Roman" w:hAnsi="Times New Roman" w:cs="Times New Roman"/>
        </w:rPr>
        <w:t>C</w:t>
      </w:r>
      <w:r w:rsidR="00F340DE" w:rsidRPr="00FD1012">
        <w:rPr>
          <w:rFonts w:ascii="Times New Roman" w:hAnsi="Times New Roman" w:cs="Times New Roman"/>
        </w:rPr>
        <w:t>ustomer charges</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should</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reflect</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at</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most</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only</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those</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costs</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that</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are</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directly</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proportional</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to</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the number</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of</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customers</w:t>
      </w:r>
      <w:r w:rsidR="001D0A96" w:rsidRPr="00FD1012">
        <w:rPr>
          <w:rFonts w:ascii="Times New Roman" w:hAnsi="Times New Roman" w:cs="Times New Roman"/>
        </w:rPr>
        <w:t>,</w:t>
      </w:r>
      <w:r w:rsidR="001D0A96" w:rsidRPr="00F954C7">
        <w:rPr>
          <w:rStyle w:val="FootnoteReference"/>
          <w:rFonts w:ascii="Times New Roman" w:hAnsi="Times New Roman" w:cs="Times New Roman"/>
        </w:rPr>
        <w:footnoteReference w:id="53"/>
      </w:r>
      <w:r w:rsidR="001D0A96" w:rsidRPr="00FD1012">
        <w:rPr>
          <w:rFonts w:ascii="Times New Roman" w:hAnsi="Times New Roman" w:cs="Times New Roman"/>
        </w:rPr>
        <w:t xml:space="preserve"> or as M</w:t>
      </w:r>
      <w:r w:rsidR="00F26F00" w:rsidRPr="00FD1012">
        <w:rPr>
          <w:rFonts w:ascii="Times New Roman" w:hAnsi="Times New Roman" w:cs="Times New Roman"/>
        </w:rPr>
        <w:t>r.</w:t>
      </w:r>
      <w:r w:rsidR="001D0A96" w:rsidRPr="00FD1012">
        <w:rPr>
          <w:rFonts w:ascii="Times New Roman" w:hAnsi="Times New Roman" w:cs="Times New Roman"/>
        </w:rPr>
        <w:t xml:space="preserve"> Watkins explains, “the costs that vary as a result of connecting a new customer and which are required in order to maintain a customer’s account.”</w:t>
      </w:r>
      <w:r w:rsidR="001D0A96" w:rsidRPr="00F954C7">
        <w:rPr>
          <w:rStyle w:val="FootnoteReference"/>
          <w:rFonts w:ascii="Times New Roman" w:hAnsi="Times New Roman" w:cs="Times New Roman"/>
        </w:rPr>
        <w:footnoteReference w:id="54"/>
      </w:r>
      <w:r w:rsidR="001D0A96" w:rsidRPr="00FD1012">
        <w:rPr>
          <w:rFonts w:ascii="Times New Roman" w:hAnsi="Times New Roman" w:cs="Times New Roman"/>
        </w:rPr>
        <w:t xml:space="preserve">  These</w:t>
      </w:r>
      <w:r w:rsidR="00F340DE" w:rsidRPr="00FD1012">
        <w:rPr>
          <w:rFonts w:ascii="Times New Roman" w:hAnsi="Times New Roman" w:cs="Times New Roman"/>
          <w:spacing w:val="-2"/>
        </w:rPr>
        <w:t xml:space="preserve"> </w:t>
      </w:r>
      <w:r w:rsidR="001D0A96" w:rsidRPr="00FD1012">
        <w:rPr>
          <w:rFonts w:ascii="Times New Roman" w:hAnsi="Times New Roman" w:cs="Times New Roman"/>
        </w:rPr>
        <w:t>include</w:t>
      </w:r>
      <w:r w:rsidR="00F340DE" w:rsidRPr="00FD1012">
        <w:rPr>
          <w:rFonts w:ascii="Times New Roman" w:hAnsi="Times New Roman" w:cs="Times New Roman"/>
        </w:rPr>
        <w:t>,</w:t>
      </w:r>
      <w:r w:rsidR="00F340DE" w:rsidRPr="00FD1012">
        <w:rPr>
          <w:rFonts w:ascii="Times New Roman" w:hAnsi="Times New Roman" w:cs="Times New Roman"/>
          <w:spacing w:val="-2"/>
        </w:rPr>
        <w:t xml:space="preserve"> </w:t>
      </w:r>
      <w:r w:rsidR="001D0A96" w:rsidRPr="00FD1012">
        <w:rPr>
          <w:rFonts w:ascii="Times New Roman" w:hAnsi="Times New Roman" w:cs="Times New Roman"/>
          <w:spacing w:val="-2"/>
        </w:rPr>
        <w:t>“</w:t>
      </w:r>
      <w:r w:rsidR="00F340DE" w:rsidRPr="00FD1012">
        <w:rPr>
          <w:rFonts w:ascii="Times New Roman" w:hAnsi="Times New Roman" w:cs="Times New Roman"/>
        </w:rPr>
        <w:t>and</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should</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generally</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be</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limited</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to,</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meters,</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service drops</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(i.e.,</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the</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line</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from</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the</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pole</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to</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the</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premises),</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the</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costs</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of</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reading</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meters</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and</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billing, and</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general</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customer</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service</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(i.e.,</w:t>
      </w:r>
      <w:r w:rsidR="00F340DE" w:rsidRPr="00FD1012">
        <w:rPr>
          <w:rFonts w:ascii="Times New Roman" w:hAnsi="Times New Roman" w:cs="Times New Roman"/>
          <w:spacing w:val="-1"/>
        </w:rPr>
        <w:t xml:space="preserve"> </w:t>
      </w:r>
      <w:r w:rsidR="00F340DE" w:rsidRPr="00FD1012">
        <w:rPr>
          <w:rFonts w:ascii="Times New Roman" w:hAnsi="Times New Roman" w:cs="Times New Roman"/>
        </w:rPr>
        <w:t>call</w:t>
      </w:r>
      <w:r w:rsidR="00F340DE" w:rsidRPr="00FD1012">
        <w:rPr>
          <w:rFonts w:ascii="Times New Roman" w:hAnsi="Times New Roman" w:cs="Times New Roman"/>
          <w:spacing w:val="-2"/>
        </w:rPr>
        <w:t xml:space="preserve"> </w:t>
      </w:r>
      <w:r w:rsidR="00F340DE" w:rsidRPr="00FD1012">
        <w:rPr>
          <w:rFonts w:ascii="Times New Roman" w:hAnsi="Times New Roman" w:cs="Times New Roman"/>
        </w:rPr>
        <w:t>center).</w:t>
      </w:r>
      <w:r w:rsidR="001D0A96" w:rsidRPr="00FD1012">
        <w:rPr>
          <w:rFonts w:ascii="Times New Roman" w:hAnsi="Times New Roman" w:cs="Times New Roman"/>
        </w:rPr>
        <w:t>”</w:t>
      </w:r>
      <w:r w:rsidR="001D0A96" w:rsidRPr="00F954C7">
        <w:rPr>
          <w:rStyle w:val="FootnoteReference"/>
          <w:rFonts w:ascii="Times New Roman" w:hAnsi="Times New Roman" w:cs="Times New Roman"/>
        </w:rPr>
        <w:footnoteReference w:id="55"/>
      </w:r>
      <w:r w:rsidR="001D0A96" w:rsidRPr="00FD1012">
        <w:rPr>
          <w:rFonts w:ascii="Times New Roman" w:hAnsi="Times New Roman" w:cs="Times New Roman"/>
        </w:rPr>
        <w:t xml:space="preserve">  </w:t>
      </w:r>
      <w:r w:rsidR="00F30963" w:rsidRPr="00FD1012">
        <w:rPr>
          <w:rFonts w:ascii="Times New Roman" w:hAnsi="Times New Roman" w:cs="Times New Roman"/>
        </w:rPr>
        <w:t xml:space="preserve">Even </w:t>
      </w:r>
      <w:r w:rsidR="00E23C61" w:rsidRPr="00FD1012">
        <w:rPr>
          <w:rFonts w:ascii="Times New Roman" w:hAnsi="Times New Roman" w:cs="Times New Roman"/>
        </w:rPr>
        <w:t>well</w:t>
      </w:r>
      <w:r w:rsidR="00A53B07" w:rsidRPr="00FD1012">
        <w:rPr>
          <w:rFonts w:ascii="Times New Roman" w:hAnsi="Times New Roman" w:cs="Times New Roman"/>
        </w:rPr>
        <w:t>-</w:t>
      </w:r>
      <w:r w:rsidR="00E23C61" w:rsidRPr="00FD1012">
        <w:rPr>
          <w:rFonts w:ascii="Times New Roman" w:hAnsi="Times New Roman" w:cs="Times New Roman"/>
        </w:rPr>
        <w:t xml:space="preserve">respected </w:t>
      </w:r>
      <w:r w:rsidR="00B97653" w:rsidRPr="00FD1012">
        <w:rPr>
          <w:rFonts w:ascii="Times New Roman" w:hAnsi="Times New Roman" w:cs="Times New Roman"/>
        </w:rPr>
        <w:t>industry sources</w:t>
      </w:r>
      <w:r w:rsidR="00F30963" w:rsidRPr="00FD1012">
        <w:rPr>
          <w:rFonts w:ascii="Times New Roman" w:hAnsi="Times New Roman" w:cs="Times New Roman"/>
        </w:rPr>
        <w:t xml:space="preserve">, such as the Regulatory Assistance Project, agree that “[t]raditionally, customer costs are those that are seen to vary with the number of </w:t>
      </w:r>
      <w:r w:rsidR="00F30963" w:rsidRPr="00FD1012">
        <w:rPr>
          <w:rFonts w:ascii="Times New Roman" w:hAnsi="Times New Roman" w:cs="Times New Roman"/>
        </w:rPr>
        <w:lastRenderedPageBreak/>
        <w:t>customers on the system: service drops (the line from the distribution radial to the home or business), meters, and billing and collection.”</w:t>
      </w:r>
      <w:r w:rsidR="00F30963" w:rsidRPr="00F954C7">
        <w:rPr>
          <w:rStyle w:val="FootnoteReference"/>
          <w:rFonts w:ascii="Times New Roman" w:hAnsi="Times New Roman" w:cs="Times New Roman"/>
          <w:spacing w:val="57"/>
        </w:rPr>
        <w:footnoteReference w:id="56"/>
      </w:r>
    </w:p>
    <w:p w14:paraId="66731472" w14:textId="1A2D2B50" w:rsidR="00BF211D" w:rsidRPr="00FD1012" w:rsidRDefault="00FD1012" w:rsidP="00A46E1B">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26F00" w:rsidRPr="00FD1012">
        <w:rPr>
          <w:rFonts w:ascii="Times New Roman" w:hAnsi="Times New Roman" w:cs="Times New Roman"/>
        </w:rPr>
        <w:t>Similarly, as explained by Public Counsel witness, Mr. Watkins, this Commission has already provided guidance on this issue.  In Docket UE-920433 involving Puget Sound Energy, the Commission clearly accepted the Basic Customer method, whereby only services drops and meters are customer related and where substantiations, poles, towers, fixtures, conduits and transformers are classified as demand related.</w:t>
      </w:r>
      <w:r w:rsidR="00F26F00" w:rsidRPr="00F954C7">
        <w:rPr>
          <w:rStyle w:val="FootnoteReference"/>
          <w:rFonts w:ascii="Times New Roman" w:hAnsi="Times New Roman" w:cs="Times New Roman"/>
        </w:rPr>
        <w:footnoteReference w:id="57"/>
      </w:r>
      <w:r w:rsidR="00464B6E" w:rsidRPr="00FD1012">
        <w:rPr>
          <w:rFonts w:ascii="Times New Roman" w:hAnsi="Times New Roman" w:cs="Times New Roman"/>
        </w:rPr>
        <w:t xml:space="preserve">  In doing so, the Commission also explicitly rejected the Minimum System Approach that would have classified transformers as customer related costs.</w:t>
      </w:r>
      <w:r w:rsidR="00464B6E" w:rsidRPr="00F954C7">
        <w:rPr>
          <w:rStyle w:val="FootnoteReference"/>
          <w:rFonts w:ascii="Times New Roman" w:hAnsi="Times New Roman" w:cs="Times New Roman"/>
        </w:rPr>
        <w:footnoteReference w:id="58"/>
      </w:r>
      <w:r w:rsidR="00464B6E" w:rsidRPr="00FD1012">
        <w:rPr>
          <w:rFonts w:ascii="Times New Roman" w:hAnsi="Times New Roman" w:cs="Times New Roman"/>
        </w:rPr>
        <w:t xml:space="preserve">   </w:t>
      </w:r>
      <w:r w:rsidR="00F26F00" w:rsidRPr="00FD1012">
        <w:rPr>
          <w:rFonts w:ascii="Times New Roman" w:hAnsi="Times New Roman" w:cs="Times New Roman"/>
        </w:rPr>
        <w:t xml:space="preserve">  </w:t>
      </w:r>
    </w:p>
    <w:p w14:paraId="4238BE9C" w14:textId="51E362CB" w:rsidR="00E12D77" w:rsidRPr="00FD1012" w:rsidRDefault="00FD1012" w:rsidP="00A46E1B">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630D40" w:rsidRPr="00FD1012">
        <w:rPr>
          <w:rFonts w:ascii="Times New Roman" w:hAnsi="Times New Roman" w:cs="Times New Roman"/>
        </w:rPr>
        <w:t>Despite the Commission’s historical pract</w:t>
      </w:r>
      <w:r w:rsidR="00AA47A5" w:rsidRPr="00FD1012">
        <w:rPr>
          <w:rFonts w:ascii="Times New Roman" w:hAnsi="Times New Roman" w:cs="Times New Roman"/>
        </w:rPr>
        <w:t>ice, Ms. Steward argues in her rebuttal t</w:t>
      </w:r>
      <w:r w:rsidR="00630D40" w:rsidRPr="00FD1012">
        <w:rPr>
          <w:rFonts w:ascii="Times New Roman" w:hAnsi="Times New Roman" w:cs="Times New Roman"/>
        </w:rPr>
        <w:t xml:space="preserve">estimony that PacifiCorp’s proposed increase to the residential basic charge is consistent </w:t>
      </w:r>
      <w:r w:rsidR="004D0E38" w:rsidRPr="00FD1012">
        <w:rPr>
          <w:rFonts w:ascii="Times New Roman" w:hAnsi="Times New Roman" w:cs="Times New Roman"/>
        </w:rPr>
        <w:t xml:space="preserve">with </w:t>
      </w:r>
      <w:r w:rsidR="00630D40" w:rsidRPr="00FD1012">
        <w:rPr>
          <w:rFonts w:ascii="Times New Roman" w:hAnsi="Times New Roman" w:cs="Times New Roman"/>
        </w:rPr>
        <w:t>similar charges in the state.</w:t>
      </w:r>
      <w:r w:rsidR="00630D40" w:rsidRPr="00F954C7">
        <w:rPr>
          <w:rStyle w:val="FootnoteReference"/>
          <w:rFonts w:ascii="Times New Roman" w:hAnsi="Times New Roman" w:cs="Times New Roman"/>
        </w:rPr>
        <w:footnoteReference w:id="59"/>
      </w:r>
      <w:r w:rsidR="00630D40" w:rsidRPr="00FD1012">
        <w:rPr>
          <w:rFonts w:ascii="Times New Roman" w:hAnsi="Times New Roman" w:cs="Times New Roman"/>
        </w:rPr>
        <w:t xml:space="preserve">  Yet Ms. Steward carelessly compares PacifiCorp’s requested charge to that of </w:t>
      </w:r>
      <w:r w:rsidR="00630D40" w:rsidRPr="00FD1012">
        <w:rPr>
          <w:rFonts w:ascii="Times New Roman" w:hAnsi="Times New Roman" w:cs="Times New Roman"/>
          <w:u w:val="single"/>
        </w:rPr>
        <w:t xml:space="preserve">all </w:t>
      </w:r>
      <w:r w:rsidR="00E12D77" w:rsidRPr="00FD1012">
        <w:rPr>
          <w:rFonts w:ascii="Times New Roman" w:hAnsi="Times New Roman" w:cs="Times New Roman"/>
          <w:u w:val="single"/>
        </w:rPr>
        <w:t>utilities</w:t>
      </w:r>
      <w:r w:rsidR="00E12D77" w:rsidRPr="00FD1012">
        <w:rPr>
          <w:rFonts w:ascii="Times New Roman" w:hAnsi="Times New Roman" w:cs="Times New Roman"/>
        </w:rPr>
        <w:t xml:space="preserve"> in the state, rather than just investor-owned utilities </w:t>
      </w:r>
      <w:r w:rsidR="00DC659A" w:rsidRPr="00FD1012">
        <w:rPr>
          <w:rFonts w:ascii="Times New Roman" w:hAnsi="Times New Roman" w:cs="Times New Roman"/>
        </w:rPr>
        <w:t xml:space="preserve">(“IOUs”) </w:t>
      </w:r>
      <w:r w:rsidR="00E12D77" w:rsidRPr="00FD1012">
        <w:rPr>
          <w:rFonts w:ascii="Times New Roman" w:hAnsi="Times New Roman" w:cs="Times New Roman"/>
        </w:rPr>
        <w:t xml:space="preserve">subject to </w:t>
      </w:r>
      <w:r w:rsidR="00DC659A" w:rsidRPr="00FD1012">
        <w:rPr>
          <w:rFonts w:ascii="Times New Roman" w:hAnsi="Times New Roman" w:cs="Times New Roman"/>
        </w:rPr>
        <w:t>t</w:t>
      </w:r>
      <w:r w:rsidR="00E12D77" w:rsidRPr="00FD1012">
        <w:rPr>
          <w:rFonts w:ascii="Times New Roman" w:hAnsi="Times New Roman" w:cs="Times New Roman"/>
        </w:rPr>
        <w:t xml:space="preserve">he jurisdiction </w:t>
      </w:r>
      <w:r w:rsidR="00DC659A" w:rsidRPr="00FD1012">
        <w:rPr>
          <w:rFonts w:ascii="Times New Roman" w:hAnsi="Times New Roman" w:cs="Times New Roman"/>
        </w:rPr>
        <w:t>of the</w:t>
      </w:r>
      <w:r w:rsidR="00E12D77" w:rsidRPr="00FD1012">
        <w:rPr>
          <w:rFonts w:ascii="Times New Roman" w:hAnsi="Times New Roman" w:cs="Times New Roman"/>
        </w:rPr>
        <w:t xml:space="preserve"> Commission.</w:t>
      </w:r>
      <w:r w:rsidR="00413654" w:rsidRPr="00F954C7">
        <w:rPr>
          <w:rStyle w:val="FootnoteReference"/>
          <w:rFonts w:ascii="Times New Roman" w:hAnsi="Times New Roman" w:cs="Times New Roman"/>
        </w:rPr>
        <w:footnoteReference w:id="60"/>
      </w:r>
      <w:r w:rsidR="00E12D77" w:rsidRPr="00FD1012">
        <w:rPr>
          <w:rFonts w:ascii="Times New Roman" w:hAnsi="Times New Roman" w:cs="Times New Roman"/>
        </w:rPr>
        <w:t xml:space="preserve">  Because the Commission has jurisdiction </w:t>
      </w:r>
      <w:r w:rsidR="00DC659A" w:rsidRPr="00FD1012">
        <w:rPr>
          <w:rFonts w:ascii="Times New Roman" w:hAnsi="Times New Roman" w:cs="Times New Roman"/>
        </w:rPr>
        <w:t xml:space="preserve">only </w:t>
      </w:r>
      <w:r w:rsidR="00E12D77" w:rsidRPr="00FD1012">
        <w:rPr>
          <w:rFonts w:ascii="Times New Roman" w:hAnsi="Times New Roman" w:cs="Times New Roman"/>
        </w:rPr>
        <w:t>over PacifiCorp, Puget Sound Energy, and A</w:t>
      </w:r>
      <w:r w:rsidR="00232DE3" w:rsidRPr="00FD1012">
        <w:rPr>
          <w:rFonts w:ascii="Times New Roman" w:hAnsi="Times New Roman" w:cs="Times New Roman"/>
        </w:rPr>
        <w:t>v</w:t>
      </w:r>
      <w:r w:rsidR="00E12D77" w:rsidRPr="00FD1012">
        <w:rPr>
          <w:rFonts w:ascii="Times New Roman" w:hAnsi="Times New Roman" w:cs="Times New Roman"/>
        </w:rPr>
        <w:t xml:space="preserve">ista, it can regulate </w:t>
      </w:r>
      <w:r w:rsidR="00DC659A" w:rsidRPr="00FD1012">
        <w:rPr>
          <w:rFonts w:ascii="Times New Roman" w:hAnsi="Times New Roman" w:cs="Times New Roman"/>
        </w:rPr>
        <w:t xml:space="preserve">only </w:t>
      </w:r>
      <w:r w:rsidR="00E12D77" w:rsidRPr="00FD1012">
        <w:rPr>
          <w:rFonts w:ascii="Times New Roman" w:hAnsi="Times New Roman" w:cs="Times New Roman"/>
        </w:rPr>
        <w:t>those ut</w:t>
      </w:r>
      <w:r w:rsidR="00F769FC" w:rsidRPr="00FD1012">
        <w:rPr>
          <w:rFonts w:ascii="Times New Roman" w:hAnsi="Times New Roman" w:cs="Times New Roman"/>
        </w:rPr>
        <w:t>ilities according to state and C</w:t>
      </w:r>
      <w:r w:rsidR="00E12D77" w:rsidRPr="00FD1012">
        <w:rPr>
          <w:rFonts w:ascii="Times New Roman" w:hAnsi="Times New Roman" w:cs="Times New Roman"/>
        </w:rPr>
        <w:t>ommission policy.</w:t>
      </w:r>
      <w:r w:rsidR="009C79D9" w:rsidRPr="00FD1012">
        <w:rPr>
          <w:rFonts w:ascii="Times New Roman" w:hAnsi="Times New Roman" w:cs="Times New Roman"/>
        </w:rPr>
        <w:t xml:space="preserve"> </w:t>
      </w:r>
      <w:r w:rsidR="001D4433" w:rsidRPr="00FD1012">
        <w:rPr>
          <w:rFonts w:ascii="Times New Roman" w:hAnsi="Times New Roman" w:cs="Times New Roman"/>
        </w:rPr>
        <w:t xml:space="preserve"> </w:t>
      </w:r>
      <w:r w:rsidR="009C79D9" w:rsidRPr="00FD1012">
        <w:rPr>
          <w:rFonts w:ascii="Times New Roman" w:hAnsi="Times New Roman" w:cs="Times New Roman"/>
        </w:rPr>
        <w:t xml:space="preserve">It has no jurisdiction over municipal and co-operative utilities, but must apply its policies consistently among the utilities it does regulate.  And </w:t>
      </w:r>
      <w:r w:rsidR="00DC659A" w:rsidRPr="00FD1012">
        <w:rPr>
          <w:rFonts w:ascii="Times New Roman" w:hAnsi="Times New Roman" w:cs="Times New Roman"/>
        </w:rPr>
        <w:t xml:space="preserve">when compared with the </w:t>
      </w:r>
      <w:r w:rsidR="00413654" w:rsidRPr="00FD1012">
        <w:rPr>
          <w:rFonts w:ascii="Times New Roman" w:hAnsi="Times New Roman" w:cs="Times New Roman"/>
        </w:rPr>
        <w:t>other Washington IOUs</w:t>
      </w:r>
      <w:r w:rsidR="00463A40" w:rsidRPr="00FD1012">
        <w:rPr>
          <w:rFonts w:ascii="Times New Roman" w:hAnsi="Times New Roman" w:cs="Times New Roman"/>
        </w:rPr>
        <w:t>”</w:t>
      </w:r>
      <w:r w:rsidR="00DC659A" w:rsidRPr="00FD1012">
        <w:rPr>
          <w:rFonts w:ascii="Times New Roman" w:hAnsi="Times New Roman" w:cs="Times New Roman"/>
        </w:rPr>
        <w:t xml:space="preserve">, PacifiCorp’s proposed basic service charge is more than double those </w:t>
      </w:r>
      <w:r w:rsidR="00DC659A" w:rsidRPr="00FD1012">
        <w:rPr>
          <w:rFonts w:ascii="Times New Roman" w:hAnsi="Times New Roman" w:cs="Times New Roman"/>
        </w:rPr>
        <w:lastRenderedPageBreak/>
        <w:t>of Puget Sound Energy and Avisita</w:t>
      </w:r>
      <w:r w:rsidR="00413654" w:rsidRPr="00FD1012">
        <w:rPr>
          <w:rFonts w:ascii="Times New Roman" w:hAnsi="Times New Roman" w:cs="Times New Roman"/>
        </w:rPr>
        <w:t>.</w:t>
      </w:r>
      <w:r w:rsidR="00413654" w:rsidRPr="00F954C7">
        <w:rPr>
          <w:rStyle w:val="FootnoteReference"/>
          <w:rFonts w:ascii="Times New Roman" w:hAnsi="Times New Roman" w:cs="Times New Roman"/>
        </w:rPr>
        <w:footnoteReference w:id="61"/>
      </w:r>
      <w:r w:rsidR="00413654" w:rsidRPr="00FD1012">
        <w:rPr>
          <w:rFonts w:ascii="Times New Roman" w:hAnsi="Times New Roman" w:cs="Times New Roman"/>
        </w:rPr>
        <w:t xml:space="preserve">  </w:t>
      </w:r>
      <w:r w:rsidR="00F769FC" w:rsidRPr="00FD1012">
        <w:rPr>
          <w:rFonts w:ascii="Times New Roman" w:hAnsi="Times New Roman" w:cs="Times New Roman"/>
        </w:rPr>
        <w:t>W</w:t>
      </w:r>
      <w:r w:rsidR="00232DE3" w:rsidRPr="00FD1012">
        <w:rPr>
          <w:rFonts w:ascii="Times New Roman" w:hAnsi="Times New Roman" w:cs="Times New Roman"/>
        </w:rPr>
        <w:t>hen</w:t>
      </w:r>
      <w:r w:rsidR="00E12D77" w:rsidRPr="00FD1012">
        <w:rPr>
          <w:rFonts w:ascii="Times New Roman" w:hAnsi="Times New Roman" w:cs="Times New Roman"/>
        </w:rPr>
        <w:t xml:space="preserve"> comparing PacifiCorp’s requested $14.00 basic charge to ot</w:t>
      </w:r>
      <w:r w:rsidR="00232DE3" w:rsidRPr="00FD1012">
        <w:rPr>
          <w:rFonts w:ascii="Times New Roman" w:hAnsi="Times New Roman" w:cs="Times New Roman"/>
        </w:rPr>
        <w:t>her similarly situated IOUs</w:t>
      </w:r>
      <w:r w:rsidR="00413654" w:rsidRPr="00FD1012">
        <w:rPr>
          <w:rFonts w:ascii="Times New Roman" w:hAnsi="Times New Roman" w:cs="Times New Roman"/>
        </w:rPr>
        <w:t xml:space="preserve"> across the country it is also </w:t>
      </w:r>
      <w:r w:rsidR="00E12D77" w:rsidRPr="00FD1012">
        <w:rPr>
          <w:rFonts w:ascii="Times New Roman" w:hAnsi="Times New Roman" w:cs="Times New Roman"/>
        </w:rPr>
        <w:t>quite high.</w:t>
      </w:r>
      <w:r w:rsidR="00E12D77" w:rsidRPr="00F954C7">
        <w:rPr>
          <w:rStyle w:val="FootnoteReference"/>
          <w:rFonts w:ascii="Times New Roman" w:hAnsi="Times New Roman" w:cs="Times New Roman"/>
        </w:rPr>
        <w:footnoteReference w:id="62"/>
      </w:r>
      <w:r w:rsidR="00E12D77" w:rsidRPr="00FD1012">
        <w:rPr>
          <w:rFonts w:ascii="Times New Roman" w:hAnsi="Times New Roman" w:cs="Times New Roman"/>
        </w:rPr>
        <w:t xml:space="preserve">            </w:t>
      </w:r>
      <w:r w:rsidR="00630D40" w:rsidRPr="00FD1012">
        <w:rPr>
          <w:rFonts w:ascii="Times New Roman" w:hAnsi="Times New Roman" w:cs="Times New Roman"/>
        </w:rPr>
        <w:t xml:space="preserve">  </w:t>
      </w:r>
    </w:p>
    <w:p w14:paraId="1AE75A84" w14:textId="1B51F192" w:rsidR="00232DE3" w:rsidRPr="00FD1012" w:rsidRDefault="00FD1012" w:rsidP="00A46E1B">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232DE3" w:rsidRPr="00FD1012">
        <w:rPr>
          <w:rFonts w:ascii="Times New Roman" w:hAnsi="Times New Roman" w:cs="Times New Roman"/>
        </w:rPr>
        <w:t>TASC ultimately recommends that the Commission maintain the current re</w:t>
      </w:r>
      <w:r w:rsidR="00F769FC" w:rsidRPr="00FD1012">
        <w:rPr>
          <w:rFonts w:ascii="Times New Roman" w:hAnsi="Times New Roman" w:cs="Times New Roman"/>
        </w:rPr>
        <w:t>sidential basic charge of $7.75.</w:t>
      </w:r>
      <w:r w:rsidR="00232DE3" w:rsidRPr="00FD1012">
        <w:rPr>
          <w:rFonts w:ascii="Times New Roman" w:hAnsi="Times New Roman" w:cs="Times New Roman"/>
        </w:rPr>
        <w:t xml:space="preserve"> </w:t>
      </w:r>
      <w:r w:rsidR="00F769FC" w:rsidRPr="00FD1012">
        <w:rPr>
          <w:rFonts w:ascii="Times New Roman" w:hAnsi="Times New Roman" w:cs="Times New Roman"/>
        </w:rPr>
        <w:t xml:space="preserve"> </w:t>
      </w:r>
      <w:r w:rsidR="00232DE3" w:rsidRPr="00FD1012">
        <w:rPr>
          <w:rFonts w:ascii="Times New Roman" w:hAnsi="Times New Roman" w:cs="Times New Roman"/>
        </w:rPr>
        <w:t xml:space="preserve">However, </w:t>
      </w:r>
      <w:r w:rsidR="00232DE3" w:rsidRPr="00FD1012">
        <w:rPr>
          <w:rFonts w:ascii="Times New Roman" w:hAnsi="Times New Roman" w:cs="Times New Roman"/>
          <w:i/>
        </w:rPr>
        <w:t>if</w:t>
      </w:r>
      <w:r w:rsidR="00232DE3" w:rsidRPr="00FD1012">
        <w:rPr>
          <w:rFonts w:ascii="Times New Roman" w:hAnsi="Times New Roman" w:cs="Times New Roman"/>
        </w:rPr>
        <w:t xml:space="preserve"> the Commission decides to depart from its traditional practice of valuing conservation and efficiency over purist interpretations of cost causation, </w:t>
      </w:r>
      <w:r w:rsidR="00F769FC" w:rsidRPr="00FD1012">
        <w:rPr>
          <w:rFonts w:ascii="Times New Roman" w:hAnsi="Times New Roman" w:cs="Times New Roman"/>
        </w:rPr>
        <w:t>it should</w:t>
      </w:r>
      <w:r w:rsidR="00232DE3" w:rsidRPr="00FD1012">
        <w:rPr>
          <w:rFonts w:ascii="Times New Roman" w:hAnsi="Times New Roman" w:cs="Times New Roman"/>
        </w:rPr>
        <w:t xml:space="preserve"> accept the recommendations of the Public Interveners and TASC, </w:t>
      </w:r>
      <w:r w:rsidR="00F769FC" w:rsidRPr="00FD1012">
        <w:rPr>
          <w:rFonts w:ascii="Times New Roman" w:hAnsi="Times New Roman" w:cs="Times New Roman"/>
        </w:rPr>
        <w:t>and</w:t>
      </w:r>
      <w:r w:rsidR="00232DE3" w:rsidRPr="00FD1012">
        <w:rPr>
          <w:rFonts w:ascii="Times New Roman" w:hAnsi="Times New Roman" w:cs="Times New Roman"/>
        </w:rPr>
        <w:t xml:space="preserve"> only include actual customer</w:t>
      </w:r>
      <w:r w:rsidR="009C79D9" w:rsidRPr="00FD1012">
        <w:rPr>
          <w:rFonts w:ascii="Times New Roman" w:hAnsi="Times New Roman" w:cs="Times New Roman"/>
        </w:rPr>
        <w:t>-</w:t>
      </w:r>
      <w:r w:rsidR="00232DE3" w:rsidRPr="00FD1012">
        <w:rPr>
          <w:rFonts w:ascii="Times New Roman" w:hAnsi="Times New Roman" w:cs="Times New Roman"/>
        </w:rPr>
        <w:t xml:space="preserve">related costs </w:t>
      </w:r>
      <w:r w:rsidR="00F769FC" w:rsidRPr="00FD1012">
        <w:rPr>
          <w:rFonts w:ascii="Times New Roman" w:hAnsi="Times New Roman" w:cs="Times New Roman"/>
        </w:rPr>
        <w:t>in the</w:t>
      </w:r>
      <w:r w:rsidR="00232DE3" w:rsidRPr="00FD1012">
        <w:rPr>
          <w:rFonts w:ascii="Times New Roman" w:hAnsi="Times New Roman" w:cs="Times New Roman"/>
        </w:rPr>
        <w:t xml:space="preserve"> residential basic charge.  </w:t>
      </w:r>
      <w:r w:rsidR="004B0717" w:rsidRPr="00FD1012">
        <w:rPr>
          <w:rFonts w:ascii="Times New Roman" w:hAnsi="Times New Roman" w:cs="Times New Roman"/>
        </w:rPr>
        <w:t>TASC’s analysis demonstrates that a charge no greater than $9</w:t>
      </w:r>
      <w:r w:rsidR="00232DE3" w:rsidRPr="00FD1012">
        <w:rPr>
          <w:rFonts w:ascii="Times New Roman" w:hAnsi="Times New Roman" w:cs="Times New Roman"/>
        </w:rPr>
        <w:t>.20</w:t>
      </w:r>
      <w:r w:rsidR="004B0717" w:rsidRPr="00FD1012">
        <w:rPr>
          <w:rFonts w:ascii="Times New Roman" w:hAnsi="Times New Roman" w:cs="Times New Roman"/>
        </w:rPr>
        <w:t xml:space="preserve"> is justified</w:t>
      </w:r>
      <w:r w:rsidR="00232DE3" w:rsidRPr="00FD1012">
        <w:rPr>
          <w:rFonts w:ascii="Times New Roman" w:hAnsi="Times New Roman" w:cs="Times New Roman"/>
        </w:rPr>
        <w:t xml:space="preserve"> based on actual customer</w:t>
      </w:r>
      <w:r w:rsidR="009C79D9" w:rsidRPr="00FD1012">
        <w:rPr>
          <w:rFonts w:ascii="Times New Roman" w:hAnsi="Times New Roman" w:cs="Times New Roman"/>
        </w:rPr>
        <w:t>-</w:t>
      </w:r>
      <w:r w:rsidR="00244E7A" w:rsidRPr="00FD1012">
        <w:rPr>
          <w:rFonts w:ascii="Times New Roman" w:hAnsi="Times New Roman" w:cs="Times New Roman"/>
        </w:rPr>
        <w:t>related</w:t>
      </w:r>
      <w:r w:rsidR="00232DE3" w:rsidRPr="00FD1012">
        <w:rPr>
          <w:rFonts w:ascii="Times New Roman" w:hAnsi="Times New Roman" w:cs="Times New Roman"/>
        </w:rPr>
        <w:t xml:space="preserve"> costs.</w:t>
      </w:r>
      <w:r w:rsidR="00232DE3" w:rsidRPr="00F954C7">
        <w:rPr>
          <w:rStyle w:val="FootnoteReference"/>
          <w:rFonts w:ascii="Times New Roman" w:hAnsi="Times New Roman" w:cs="Times New Roman"/>
        </w:rPr>
        <w:footnoteReference w:id="63"/>
      </w:r>
      <w:r w:rsidR="00232DE3" w:rsidRPr="00FD1012">
        <w:rPr>
          <w:rFonts w:ascii="Times New Roman" w:hAnsi="Times New Roman" w:cs="Times New Roman"/>
        </w:rPr>
        <w:t xml:space="preserve">  </w:t>
      </w:r>
    </w:p>
    <w:p w14:paraId="5BBC6133" w14:textId="77777777" w:rsidR="00232DE3" w:rsidRPr="00F954C7" w:rsidRDefault="00232DE3" w:rsidP="00232DE3">
      <w:pPr>
        <w:ind w:firstLine="720"/>
        <w:rPr>
          <w:rFonts w:ascii="Times New Roman" w:hAnsi="Times New Roman" w:cs="Times New Roman"/>
        </w:rPr>
      </w:pPr>
    </w:p>
    <w:p w14:paraId="605CDCB0" w14:textId="5341BE93" w:rsidR="004B0717" w:rsidRPr="00F954C7" w:rsidRDefault="0038516A" w:rsidP="00380EEB">
      <w:pPr>
        <w:pStyle w:val="ListParagraph"/>
        <w:numPr>
          <w:ilvl w:val="0"/>
          <w:numId w:val="1"/>
        </w:numPr>
        <w:rPr>
          <w:rFonts w:ascii="Times New Roman" w:hAnsi="Times New Roman" w:cs="Times New Roman"/>
          <w:b/>
        </w:rPr>
      </w:pPr>
      <w:r w:rsidRPr="00F954C7">
        <w:rPr>
          <w:rFonts w:ascii="Times New Roman" w:hAnsi="Times New Roman" w:cs="Times New Roman"/>
          <w:b/>
        </w:rPr>
        <w:t>Better Solutions Exist:</w:t>
      </w:r>
      <w:r w:rsidR="00A721FA" w:rsidRPr="00F954C7">
        <w:rPr>
          <w:rFonts w:ascii="Times New Roman" w:hAnsi="Times New Roman" w:cs="Times New Roman"/>
          <w:b/>
        </w:rPr>
        <w:t xml:space="preserve"> </w:t>
      </w:r>
      <w:r w:rsidR="004B0717" w:rsidRPr="00F954C7">
        <w:rPr>
          <w:rFonts w:ascii="Times New Roman" w:hAnsi="Times New Roman" w:cs="Times New Roman"/>
          <w:b/>
        </w:rPr>
        <w:t xml:space="preserve">The Commission Should </w:t>
      </w:r>
      <w:r w:rsidR="002454F9">
        <w:rPr>
          <w:rFonts w:ascii="Times New Roman" w:hAnsi="Times New Roman" w:cs="Times New Roman"/>
          <w:b/>
        </w:rPr>
        <w:t xml:space="preserve">Encourage </w:t>
      </w:r>
      <w:r w:rsidR="004B0717" w:rsidRPr="00F954C7">
        <w:rPr>
          <w:rFonts w:ascii="Times New Roman" w:hAnsi="Times New Roman" w:cs="Times New Roman"/>
          <w:b/>
        </w:rPr>
        <w:t xml:space="preserve">PacifiCorp to Propose </w:t>
      </w:r>
      <w:r w:rsidRPr="00F954C7">
        <w:rPr>
          <w:rFonts w:ascii="Times New Roman" w:hAnsi="Times New Roman" w:cs="Times New Roman"/>
          <w:b/>
        </w:rPr>
        <w:t xml:space="preserve">Better Alternatives </w:t>
      </w:r>
      <w:r w:rsidR="002454F9">
        <w:rPr>
          <w:rFonts w:ascii="Times New Roman" w:hAnsi="Times New Roman" w:cs="Times New Roman"/>
          <w:b/>
        </w:rPr>
        <w:t xml:space="preserve">to </w:t>
      </w:r>
      <w:r w:rsidR="004B0717" w:rsidRPr="00F954C7">
        <w:rPr>
          <w:rFonts w:ascii="Times New Roman" w:hAnsi="Times New Roman" w:cs="Times New Roman"/>
          <w:b/>
        </w:rPr>
        <w:t>Fully Recover its Fixed Costs</w:t>
      </w:r>
      <w:r w:rsidR="001B01A6" w:rsidRPr="00F954C7">
        <w:rPr>
          <w:rFonts w:ascii="Times New Roman" w:hAnsi="Times New Roman" w:cs="Times New Roman"/>
          <w:b/>
        </w:rPr>
        <w:t xml:space="preserve"> </w:t>
      </w:r>
    </w:p>
    <w:p w14:paraId="4C34BB09" w14:textId="77777777" w:rsidR="008021BF" w:rsidRPr="00F954C7" w:rsidRDefault="008021BF" w:rsidP="008021BF">
      <w:pPr>
        <w:rPr>
          <w:rFonts w:ascii="Times New Roman" w:hAnsi="Times New Roman" w:cs="Times New Roman"/>
          <w:b/>
          <w:u w:val="single"/>
        </w:rPr>
      </w:pPr>
    </w:p>
    <w:p w14:paraId="4A371659" w14:textId="0CB308E5" w:rsidR="004C6D8D" w:rsidRPr="00FD1012" w:rsidRDefault="00FD1012" w:rsidP="00A46E1B">
      <w:pPr>
        <w:pStyle w:val="ListParagraph"/>
        <w:numPr>
          <w:ilvl w:val="1"/>
          <w:numId w:val="18"/>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244E7A" w:rsidRPr="00FD1012">
        <w:rPr>
          <w:rFonts w:ascii="Times New Roman" w:hAnsi="Times New Roman" w:cs="Times New Roman"/>
        </w:rPr>
        <w:t xml:space="preserve">PacifiCorp’s primary justification for increasing the residential customer charge is its </w:t>
      </w:r>
      <w:r w:rsidR="004C6D8D" w:rsidRPr="00FD1012">
        <w:rPr>
          <w:rFonts w:ascii="Times New Roman" w:hAnsi="Times New Roman" w:cs="Times New Roman"/>
        </w:rPr>
        <w:t xml:space="preserve">perceived </w:t>
      </w:r>
      <w:r w:rsidR="00244E7A" w:rsidRPr="00FD1012">
        <w:rPr>
          <w:rFonts w:ascii="Times New Roman" w:hAnsi="Times New Roman" w:cs="Times New Roman"/>
        </w:rPr>
        <w:t>difficulty in recovering its fixed costs</w:t>
      </w:r>
      <w:r w:rsidR="004C6D8D" w:rsidRPr="00FD1012">
        <w:rPr>
          <w:rFonts w:ascii="Times New Roman" w:hAnsi="Times New Roman" w:cs="Times New Roman"/>
        </w:rPr>
        <w:t xml:space="preserve">.  The Company points to a </w:t>
      </w:r>
      <w:r w:rsidR="00244E7A" w:rsidRPr="00FD1012">
        <w:rPr>
          <w:rFonts w:ascii="Times New Roman" w:hAnsi="Times New Roman" w:cs="Times New Roman"/>
        </w:rPr>
        <w:t xml:space="preserve">changing utility landscape </w:t>
      </w:r>
      <w:r w:rsidR="004C6D8D" w:rsidRPr="00FD1012">
        <w:rPr>
          <w:rFonts w:ascii="Times New Roman" w:hAnsi="Times New Roman" w:cs="Times New Roman"/>
        </w:rPr>
        <w:t>where</w:t>
      </w:r>
      <w:r w:rsidR="00244E7A" w:rsidRPr="00FD1012">
        <w:rPr>
          <w:rFonts w:ascii="Times New Roman" w:hAnsi="Times New Roman" w:cs="Times New Roman"/>
        </w:rPr>
        <w:t xml:space="preserve"> conservation</w:t>
      </w:r>
      <w:r w:rsidR="00413654" w:rsidRPr="00FD1012">
        <w:rPr>
          <w:rFonts w:ascii="Times New Roman" w:hAnsi="Times New Roman" w:cs="Times New Roman"/>
        </w:rPr>
        <w:t xml:space="preserve"> and efficiency</w:t>
      </w:r>
      <w:r w:rsidR="00244E7A" w:rsidRPr="00FD1012">
        <w:rPr>
          <w:rFonts w:ascii="Times New Roman" w:hAnsi="Times New Roman" w:cs="Times New Roman"/>
        </w:rPr>
        <w:t xml:space="preserve"> </w:t>
      </w:r>
      <w:r w:rsidR="00413654" w:rsidRPr="00FD1012">
        <w:rPr>
          <w:rFonts w:ascii="Times New Roman" w:hAnsi="Times New Roman" w:cs="Times New Roman"/>
        </w:rPr>
        <w:t>are</w:t>
      </w:r>
      <w:r w:rsidR="004C6D8D" w:rsidRPr="00FD1012">
        <w:rPr>
          <w:rFonts w:ascii="Times New Roman" w:hAnsi="Times New Roman" w:cs="Times New Roman"/>
        </w:rPr>
        <w:t xml:space="preserve"> flourishing</w:t>
      </w:r>
      <w:r w:rsidR="00244E7A" w:rsidRPr="00FD1012">
        <w:rPr>
          <w:rFonts w:ascii="Times New Roman" w:hAnsi="Times New Roman" w:cs="Times New Roman"/>
        </w:rPr>
        <w:t xml:space="preserve">.  </w:t>
      </w:r>
      <w:r w:rsidR="002454F9" w:rsidRPr="00FD1012">
        <w:rPr>
          <w:rFonts w:ascii="Times New Roman" w:hAnsi="Times New Roman" w:cs="Times New Roman"/>
        </w:rPr>
        <w:t>But t</w:t>
      </w:r>
      <w:r w:rsidR="00244E7A" w:rsidRPr="00FD1012">
        <w:rPr>
          <w:rFonts w:ascii="Times New Roman" w:hAnsi="Times New Roman" w:cs="Times New Roman"/>
        </w:rPr>
        <w:t xml:space="preserve">he Company’s </w:t>
      </w:r>
      <w:r w:rsidR="004C6D8D" w:rsidRPr="00FD1012">
        <w:rPr>
          <w:rFonts w:ascii="Times New Roman" w:hAnsi="Times New Roman" w:cs="Times New Roman"/>
        </w:rPr>
        <w:t>reactionary</w:t>
      </w:r>
      <w:r w:rsidR="00244E7A" w:rsidRPr="00FD1012">
        <w:rPr>
          <w:rFonts w:ascii="Times New Roman" w:hAnsi="Times New Roman" w:cs="Times New Roman"/>
        </w:rPr>
        <w:t xml:space="preserve"> proposal </w:t>
      </w:r>
      <w:r w:rsidR="004C6D8D" w:rsidRPr="00FD1012">
        <w:rPr>
          <w:rFonts w:ascii="Times New Roman" w:hAnsi="Times New Roman" w:cs="Times New Roman"/>
        </w:rPr>
        <w:t>would</w:t>
      </w:r>
      <w:r w:rsidR="00244E7A" w:rsidRPr="00FD1012">
        <w:rPr>
          <w:rFonts w:ascii="Times New Roman" w:hAnsi="Times New Roman" w:cs="Times New Roman"/>
        </w:rPr>
        <w:t xml:space="preserve"> discourage </w:t>
      </w:r>
      <w:r w:rsidR="004C6D8D" w:rsidRPr="00FD1012">
        <w:rPr>
          <w:rFonts w:ascii="Times New Roman" w:hAnsi="Times New Roman" w:cs="Times New Roman"/>
        </w:rPr>
        <w:t>this transformation and is contrary to state policies</w:t>
      </w:r>
      <w:r w:rsidR="00244E7A" w:rsidRPr="00FD1012">
        <w:rPr>
          <w:rFonts w:ascii="Times New Roman" w:hAnsi="Times New Roman" w:cs="Times New Roman"/>
        </w:rPr>
        <w:t>.  Fortunately, there are other rate design solutions that can ensure, or even guarantee</w:t>
      </w:r>
      <w:r w:rsidR="00E23C61" w:rsidRPr="00FD1012">
        <w:rPr>
          <w:rFonts w:ascii="Times New Roman" w:hAnsi="Times New Roman" w:cs="Times New Roman"/>
        </w:rPr>
        <w:t>,</w:t>
      </w:r>
      <w:r w:rsidR="00244E7A" w:rsidRPr="00FD1012">
        <w:rPr>
          <w:rFonts w:ascii="Times New Roman" w:hAnsi="Times New Roman" w:cs="Times New Roman"/>
        </w:rPr>
        <w:t xml:space="preserve"> that </w:t>
      </w:r>
      <w:r w:rsidR="005651F6" w:rsidRPr="00FD1012">
        <w:rPr>
          <w:rFonts w:ascii="Times New Roman" w:hAnsi="Times New Roman" w:cs="Times New Roman"/>
        </w:rPr>
        <w:t>PacifiCorp</w:t>
      </w:r>
      <w:r w:rsidR="00244E7A" w:rsidRPr="00FD1012">
        <w:rPr>
          <w:rFonts w:ascii="Times New Roman" w:hAnsi="Times New Roman" w:cs="Times New Roman"/>
        </w:rPr>
        <w:t xml:space="preserve"> recovers its costs </w:t>
      </w:r>
      <w:r w:rsidR="00E23C61" w:rsidRPr="00FD1012">
        <w:rPr>
          <w:rFonts w:ascii="Times New Roman" w:hAnsi="Times New Roman" w:cs="Times New Roman"/>
        </w:rPr>
        <w:t>while still</w:t>
      </w:r>
      <w:r w:rsidR="00244E7A" w:rsidRPr="00FD1012">
        <w:rPr>
          <w:rFonts w:ascii="Times New Roman" w:hAnsi="Times New Roman" w:cs="Times New Roman"/>
        </w:rPr>
        <w:t xml:space="preserve"> promot</w:t>
      </w:r>
      <w:r w:rsidR="00E23C61" w:rsidRPr="00FD1012">
        <w:rPr>
          <w:rFonts w:ascii="Times New Roman" w:hAnsi="Times New Roman" w:cs="Times New Roman"/>
        </w:rPr>
        <w:t>ing</w:t>
      </w:r>
      <w:r w:rsidR="00244E7A" w:rsidRPr="00FD1012">
        <w:rPr>
          <w:rFonts w:ascii="Times New Roman" w:hAnsi="Times New Roman" w:cs="Times New Roman"/>
        </w:rPr>
        <w:t xml:space="preserve"> conservation and renewable energy.  </w:t>
      </w:r>
      <w:r w:rsidR="00F769FC" w:rsidRPr="00FD1012">
        <w:rPr>
          <w:rFonts w:ascii="Times New Roman" w:hAnsi="Times New Roman" w:cs="Times New Roman"/>
        </w:rPr>
        <w:t>If the Commission believes it is necessary to address fixed cost recovery issues, it should</w:t>
      </w:r>
      <w:r w:rsidR="00244E7A" w:rsidRPr="00FD1012">
        <w:rPr>
          <w:rFonts w:ascii="Times New Roman" w:hAnsi="Times New Roman" w:cs="Times New Roman"/>
        </w:rPr>
        <w:t xml:space="preserve"> </w:t>
      </w:r>
      <w:r w:rsidR="002454F9" w:rsidRPr="00FD1012">
        <w:rPr>
          <w:rFonts w:ascii="Times New Roman" w:hAnsi="Times New Roman" w:cs="Times New Roman"/>
        </w:rPr>
        <w:t>encourage</w:t>
      </w:r>
      <w:r w:rsidR="00244E7A" w:rsidRPr="00FD1012">
        <w:rPr>
          <w:rFonts w:ascii="Times New Roman" w:hAnsi="Times New Roman" w:cs="Times New Roman"/>
        </w:rPr>
        <w:t xml:space="preserve"> the Company to file a new application requesting </w:t>
      </w:r>
      <w:r w:rsidR="00971A58" w:rsidRPr="00FD1012">
        <w:rPr>
          <w:rFonts w:ascii="Times New Roman" w:hAnsi="Times New Roman" w:cs="Times New Roman"/>
        </w:rPr>
        <w:t xml:space="preserve">more appropriate relief, such as </w:t>
      </w:r>
      <w:r w:rsidR="00244E7A" w:rsidRPr="00FD1012">
        <w:rPr>
          <w:rFonts w:ascii="Times New Roman" w:hAnsi="Times New Roman" w:cs="Times New Roman"/>
        </w:rPr>
        <w:t xml:space="preserve">revenue decoupling, </w:t>
      </w:r>
      <w:r w:rsidR="00413654" w:rsidRPr="00FD1012">
        <w:rPr>
          <w:rFonts w:ascii="Times New Roman" w:hAnsi="Times New Roman" w:cs="Times New Roman"/>
        </w:rPr>
        <w:t>a properly constructed PCAM rider, a forward</w:t>
      </w:r>
      <w:r w:rsidR="00203FC1" w:rsidRPr="00FD1012">
        <w:rPr>
          <w:rFonts w:ascii="Times New Roman" w:hAnsi="Times New Roman" w:cs="Times New Roman"/>
        </w:rPr>
        <w:t>-</w:t>
      </w:r>
      <w:r w:rsidR="00413654" w:rsidRPr="00FD1012">
        <w:rPr>
          <w:rFonts w:ascii="Times New Roman" w:hAnsi="Times New Roman" w:cs="Times New Roman"/>
        </w:rPr>
        <w:t xml:space="preserve">looking test year or test years, or </w:t>
      </w:r>
      <w:r w:rsidR="00244E7A" w:rsidRPr="00FD1012">
        <w:rPr>
          <w:rFonts w:ascii="Times New Roman" w:hAnsi="Times New Roman" w:cs="Times New Roman"/>
        </w:rPr>
        <w:t>a minimum bill</w:t>
      </w:r>
      <w:r w:rsidR="004C6D8D" w:rsidRPr="00FD1012">
        <w:rPr>
          <w:rFonts w:ascii="Times New Roman" w:hAnsi="Times New Roman" w:cs="Times New Roman"/>
        </w:rPr>
        <w:t xml:space="preserve">.  </w:t>
      </w:r>
    </w:p>
    <w:p w14:paraId="31859C09" w14:textId="2DC71343" w:rsidR="004C6D8D" w:rsidRPr="00F954C7" w:rsidRDefault="004C6D8D" w:rsidP="004C6D8D">
      <w:pPr>
        <w:pStyle w:val="ListParagraph"/>
        <w:numPr>
          <w:ilvl w:val="1"/>
          <w:numId w:val="1"/>
        </w:numPr>
        <w:rPr>
          <w:rFonts w:ascii="Times New Roman" w:hAnsi="Times New Roman" w:cs="Times New Roman"/>
          <w:b/>
        </w:rPr>
      </w:pPr>
      <w:r w:rsidRPr="00F954C7">
        <w:rPr>
          <w:rFonts w:ascii="Times New Roman" w:hAnsi="Times New Roman" w:cs="Times New Roman"/>
          <w:b/>
        </w:rPr>
        <w:t xml:space="preserve">Decoupling </w:t>
      </w:r>
    </w:p>
    <w:p w14:paraId="0C04A2CB" w14:textId="77777777" w:rsidR="004C6D8D" w:rsidRPr="00F954C7" w:rsidRDefault="004C6D8D" w:rsidP="004C6D8D">
      <w:pPr>
        <w:rPr>
          <w:rFonts w:ascii="Times New Roman" w:hAnsi="Times New Roman" w:cs="Times New Roman"/>
        </w:rPr>
      </w:pPr>
    </w:p>
    <w:p w14:paraId="7C4E6CB2" w14:textId="7DEEC9B8" w:rsidR="0059781F" w:rsidRPr="00FD1012" w:rsidRDefault="00FD1012" w:rsidP="00A46E1B">
      <w:pPr>
        <w:pStyle w:val="ListParagraph"/>
        <w:numPr>
          <w:ilvl w:val="0"/>
          <w:numId w:val="19"/>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9781F" w:rsidRPr="00FD1012">
        <w:rPr>
          <w:rFonts w:ascii="Times New Roman" w:hAnsi="Times New Roman" w:cs="Times New Roman"/>
        </w:rPr>
        <w:t>In 2010, in</w:t>
      </w:r>
      <w:r w:rsidR="001E10D8" w:rsidRPr="00FD1012">
        <w:rPr>
          <w:rFonts w:ascii="Times New Roman" w:hAnsi="Times New Roman" w:cs="Times New Roman"/>
        </w:rPr>
        <w:t xml:space="preserve"> its</w:t>
      </w:r>
      <w:r w:rsidR="001168DC" w:rsidRPr="00FD1012">
        <w:rPr>
          <w:rFonts w:ascii="Times New Roman" w:hAnsi="Times New Roman" w:cs="Times New Roman"/>
        </w:rPr>
        <w:t xml:space="preserve"> Decoupling Policy Statement,</w:t>
      </w:r>
      <w:r w:rsidR="001E10D8" w:rsidRPr="00FD1012">
        <w:rPr>
          <w:rFonts w:ascii="Times New Roman" w:hAnsi="Times New Roman" w:cs="Times New Roman"/>
        </w:rPr>
        <w:t xml:space="preserve"> </w:t>
      </w:r>
      <w:r w:rsidR="0059781F" w:rsidRPr="00FD1012">
        <w:rPr>
          <w:rFonts w:ascii="Times New Roman" w:hAnsi="Times New Roman" w:cs="Times New Roman"/>
        </w:rPr>
        <w:t>The Com</w:t>
      </w:r>
      <w:r w:rsidR="00B6427B" w:rsidRPr="00FD1012">
        <w:rPr>
          <w:rFonts w:ascii="Times New Roman" w:hAnsi="Times New Roman" w:cs="Times New Roman"/>
        </w:rPr>
        <w:t>mission specifically found that</w:t>
      </w:r>
      <w:r w:rsidR="0059781F" w:rsidRPr="00FD1012">
        <w:rPr>
          <w:rFonts w:ascii="Times New Roman" w:hAnsi="Times New Roman" w:cs="Times New Roman"/>
        </w:rPr>
        <w:t>,</w:t>
      </w:r>
    </w:p>
    <w:p w14:paraId="6F2C414B" w14:textId="580C8E9B" w:rsidR="0059781F" w:rsidRPr="00F954C7" w:rsidRDefault="0059781F" w:rsidP="00B6427B">
      <w:pPr>
        <w:ind w:left="720" w:right="720"/>
        <w:jc w:val="both"/>
        <w:rPr>
          <w:rFonts w:ascii="Times New Roman" w:hAnsi="Times New Roman" w:cs="Times New Roman"/>
        </w:rPr>
      </w:pPr>
      <w:r w:rsidRPr="00F954C7">
        <w:rPr>
          <w:rFonts w:ascii="Times New Roman" w:hAnsi="Times New Roman" w:cs="Times New Roman"/>
        </w:rPr>
        <w:lastRenderedPageBreak/>
        <w:t>Under existing rate structures, the utilities recover some portion of their fixed costs through a volumetric charge.  If the magnitude of reductions in customer use lowers revenues below the level an efficiently and economically managed utility can be expected to manage, the reductions can lead to the utility not earning its authorized rate of return.</w:t>
      </w:r>
      <w:r w:rsidR="00B6427B" w:rsidRPr="00F954C7">
        <w:rPr>
          <w:rStyle w:val="FootnoteReference"/>
          <w:rFonts w:ascii="Times New Roman" w:hAnsi="Times New Roman" w:cs="Times New Roman"/>
        </w:rPr>
        <w:footnoteReference w:id="64"/>
      </w:r>
    </w:p>
    <w:p w14:paraId="53B3639C" w14:textId="77777777" w:rsidR="0059781F" w:rsidRPr="00F954C7" w:rsidRDefault="0059781F" w:rsidP="0059781F">
      <w:pPr>
        <w:spacing w:line="288" w:lineRule="auto"/>
        <w:rPr>
          <w:rFonts w:ascii="Times New Roman" w:hAnsi="Times New Roman" w:cs="Times New Roman"/>
        </w:rPr>
      </w:pPr>
    </w:p>
    <w:p w14:paraId="2AF24293" w14:textId="77777777" w:rsidR="00CD14B2" w:rsidRPr="00F954C7" w:rsidRDefault="0059781F" w:rsidP="00CD14B2">
      <w:pPr>
        <w:spacing w:line="480" w:lineRule="auto"/>
        <w:rPr>
          <w:rFonts w:ascii="Times New Roman" w:hAnsi="Times New Roman" w:cs="Times New Roman"/>
        </w:rPr>
      </w:pPr>
      <w:r w:rsidRPr="00F954C7">
        <w:rPr>
          <w:rFonts w:ascii="Times New Roman" w:hAnsi="Times New Roman" w:cs="Times New Roman"/>
        </w:rPr>
        <w:t xml:space="preserve">The </w:t>
      </w:r>
      <w:r w:rsidR="00CD14B2" w:rsidRPr="00F954C7">
        <w:rPr>
          <w:rFonts w:ascii="Times New Roman" w:hAnsi="Times New Roman" w:cs="Times New Roman"/>
        </w:rPr>
        <w:t>Commission</w:t>
      </w:r>
      <w:r w:rsidRPr="00F954C7">
        <w:rPr>
          <w:rFonts w:ascii="Times New Roman" w:hAnsi="Times New Roman" w:cs="Times New Roman"/>
        </w:rPr>
        <w:t xml:space="preserve"> therefore </w:t>
      </w:r>
      <w:r w:rsidR="00B6427B" w:rsidRPr="00F954C7">
        <w:rPr>
          <w:rFonts w:ascii="Times New Roman" w:hAnsi="Times New Roman" w:cs="Times New Roman"/>
        </w:rPr>
        <w:t>affirmatively invited the IOUs it regulates to file decoupling proposals as part of a general rate case.</w:t>
      </w:r>
      <w:r w:rsidR="00B6427B" w:rsidRPr="00F954C7">
        <w:rPr>
          <w:rStyle w:val="FootnoteReference"/>
          <w:rFonts w:ascii="Times New Roman" w:hAnsi="Times New Roman" w:cs="Times New Roman"/>
        </w:rPr>
        <w:footnoteReference w:id="65"/>
      </w:r>
      <w:r w:rsidR="00B6427B" w:rsidRPr="00F954C7">
        <w:rPr>
          <w:rFonts w:ascii="Times New Roman" w:hAnsi="Times New Roman" w:cs="Times New Roman"/>
        </w:rPr>
        <w:t xml:space="preserve">  </w:t>
      </w:r>
    </w:p>
    <w:p w14:paraId="6051AB8D" w14:textId="22ACE46B" w:rsidR="00D673F9" w:rsidRPr="00FD1012" w:rsidRDefault="00FD1012" w:rsidP="00A46E1B">
      <w:pPr>
        <w:pStyle w:val="ListParagraph"/>
        <w:numPr>
          <w:ilvl w:val="0"/>
          <w:numId w:val="20"/>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9781F" w:rsidRPr="00FD1012">
        <w:rPr>
          <w:rFonts w:ascii="Times New Roman" w:hAnsi="Times New Roman" w:cs="Times New Roman"/>
        </w:rPr>
        <w:t xml:space="preserve">In 2011, the Commission expressed surprise when </w:t>
      </w:r>
      <w:r w:rsidR="00463A40" w:rsidRPr="00FD1012">
        <w:rPr>
          <w:rFonts w:ascii="Times New Roman" w:hAnsi="Times New Roman" w:cs="Times New Roman"/>
        </w:rPr>
        <w:t>Puget Sound Energy (“</w:t>
      </w:r>
      <w:r w:rsidR="0059781F" w:rsidRPr="00FD1012">
        <w:rPr>
          <w:rFonts w:ascii="Times New Roman" w:hAnsi="Times New Roman" w:cs="Times New Roman"/>
        </w:rPr>
        <w:t>PSE</w:t>
      </w:r>
      <w:r w:rsidR="00463A40" w:rsidRPr="00FD1012">
        <w:rPr>
          <w:rFonts w:ascii="Times New Roman" w:hAnsi="Times New Roman" w:cs="Times New Roman"/>
        </w:rPr>
        <w:t>”)</w:t>
      </w:r>
      <w:r w:rsidR="002454F9" w:rsidRPr="00FD1012">
        <w:rPr>
          <w:rFonts w:ascii="Times New Roman" w:hAnsi="Times New Roman" w:cs="Times New Roman"/>
        </w:rPr>
        <w:t xml:space="preserve"> and Avista declined to offer </w:t>
      </w:r>
      <w:r w:rsidR="0059781F" w:rsidRPr="00FD1012">
        <w:rPr>
          <w:rFonts w:ascii="Times New Roman" w:hAnsi="Times New Roman" w:cs="Times New Roman"/>
        </w:rPr>
        <w:t>decoupling proposal</w:t>
      </w:r>
      <w:r w:rsidR="002454F9" w:rsidRPr="00FD1012">
        <w:rPr>
          <w:rFonts w:ascii="Times New Roman" w:hAnsi="Times New Roman" w:cs="Times New Roman"/>
        </w:rPr>
        <w:t>s</w:t>
      </w:r>
      <w:r w:rsidR="0059781F" w:rsidRPr="00FD1012">
        <w:rPr>
          <w:rFonts w:ascii="Times New Roman" w:hAnsi="Times New Roman" w:cs="Times New Roman"/>
        </w:rPr>
        <w:t xml:space="preserve">.  The Commission noted that leading up to its 2010 Decoupling Policy Statement, the utilities it regulates </w:t>
      </w:r>
      <w:r w:rsidR="00CD14B2" w:rsidRPr="00FD1012">
        <w:rPr>
          <w:rFonts w:ascii="Times New Roman" w:hAnsi="Times New Roman" w:cs="Times New Roman"/>
        </w:rPr>
        <w:t>“</w:t>
      </w:r>
      <w:r w:rsidR="0059781F" w:rsidRPr="00FD1012">
        <w:rPr>
          <w:rFonts w:ascii="Times New Roman" w:hAnsi="Times New Roman" w:cs="Times New Roman"/>
        </w:rPr>
        <w:t>. . . have consistently argued that without decoupling, they face a financial “disincentive” to conservation, which they nevertheless are required by statute to implement to the extent it is cost-effective to do so.</w:t>
      </w:r>
      <w:r w:rsidR="00CD14B2" w:rsidRPr="00FD1012">
        <w:rPr>
          <w:rFonts w:ascii="Times New Roman" w:hAnsi="Times New Roman" w:cs="Times New Roman"/>
        </w:rPr>
        <w:t>”</w:t>
      </w:r>
      <w:r w:rsidR="00CD14B2" w:rsidRPr="00F954C7">
        <w:rPr>
          <w:rStyle w:val="FootnoteReference"/>
          <w:rFonts w:ascii="Times New Roman" w:hAnsi="Times New Roman" w:cs="Times New Roman"/>
        </w:rPr>
        <w:footnoteReference w:id="66"/>
      </w:r>
      <w:r w:rsidR="00CD14B2" w:rsidRPr="00FD1012">
        <w:rPr>
          <w:rFonts w:ascii="Times New Roman" w:hAnsi="Times New Roman" w:cs="Times New Roman"/>
        </w:rPr>
        <w:t xml:space="preserve"> </w:t>
      </w:r>
    </w:p>
    <w:p w14:paraId="68279860" w14:textId="5DC398AA" w:rsidR="000378CF" w:rsidRPr="00FD1012" w:rsidRDefault="00FD1012" w:rsidP="00A46E1B">
      <w:pPr>
        <w:pStyle w:val="ListParagraph"/>
        <w:numPr>
          <w:ilvl w:val="0"/>
          <w:numId w:val="20"/>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D673F9" w:rsidRPr="00FD1012">
        <w:rPr>
          <w:rFonts w:ascii="Times New Roman" w:hAnsi="Times New Roman" w:cs="Times New Roman"/>
        </w:rPr>
        <w:t xml:space="preserve">Staff also appears to favor decoupling over increased residential basic service charges.  In his </w:t>
      </w:r>
      <w:r w:rsidR="005651F6" w:rsidRPr="00FD1012">
        <w:rPr>
          <w:rFonts w:ascii="Times New Roman" w:hAnsi="Times New Roman" w:cs="Times New Roman"/>
        </w:rPr>
        <w:t>d</w:t>
      </w:r>
      <w:r w:rsidR="00D673F9" w:rsidRPr="00FD1012">
        <w:rPr>
          <w:rFonts w:ascii="Times New Roman" w:hAnsi="Times New Roman" w:cs="Times New Roman"/>
        </w:rPr>
        <w:t xml:space="preserve">irect </w:t>
      </w:r>
      <w:r w:rsidR="005651F6" w:rsidRPr="00FD1012">
        <w:rPr>
          <w:rFonts w:ascii="Times New Roman" w:hAnsi="Times New Roman" w:cs="Times New Roman"/>
        </w:rPr>
        <w:t>t</w:t>
      </w:r>
      <w:r w:rsidR="00D673F9" w:rsidRPr="00FD1012">
        <w:rPr>
          <w:rFonts w:ascii="Times New Roman" w:hAnsi="Times New Roman" w:cs="Times New Roman"/>
        </w:rPr>
        <w:t xml:space="preserve">estimony, Mr. Twitchell explains that in some instances the Commission has sought to overcome a utility’s natural disincentive to pursue </w:t>
      </w:r>
      <w:r w:rsidR="00470309" w:rsidRPr="00FD1012">
        <w:rPr>
          <w:rFonts w:ascii="Times New Roman" w:hAnsi="Times New Roman" w:cs="Times New Roman"/>
        </w:rPr>
        <w:t>conservation</w:t>
      </w:r>
      <w:r w:rsidR="00D673F9" w:rsidRPr="00FD1012">
        <w:rPr>
          <w:rFonts w:ascii="Times New Roman" w:hAnsi="Times New Roman" w:cs="Times New Roman"/>
        </w:rPr>
        <w:t xml:space="preserve"> by implementing decoupling mechanisms.</w:t>
      </w:r>
      <w:r w:rsidR="00470309" w:rsidRPr="00F954C7">
        <w:rPr>
          <w:rStyle w:val="FootnoteReference"/>
          <w:rFonts w:ascii="Times New Roman" w:hAnsi="Times New Roman" w:cs="Times New Roman"/>
        </w:rPr>
        <w:footnoteReference w:id="67"/>
      </w:r>
      <w:r w:rsidR="00D673F9" w:rsidRPr="00FD1012">
        <w:rPr>
          <w:rFonts w:ascii="Times New Roman" w:hAnsi="Times New Roman" w:cs="Times New Roman"/>
        </w:rPr>
        <w:t xml:space="preserve">  Mr. Twitchell notes that PSE now has a decoupling mechanism and that if the </w:t>
      </w:r>
      <w:r w:rsidR="00470309" w:rsidRPr="00FD1012">
        <w:rPr>
          <w:rFonts w:ascii="Times New Roman" w:hAnsi="Times New Roman" w:cs="Times New Roman"/>
        </w:rPr>
        <w:t>Commission</w:t>
      </w:r>
      <w:r w:rsidR="00D673F9" w:rsidRPr="00FD1012">
        <w:rPr>
          <w:rFonts w:ascii="Times New Roman" w:hAnsi="Times New Roman" w:cs="Times New Roman"/>
        </w:rPr>
        <w:t xml:space="preserve"> approves a settlement </w:t>
      </w:r>
      <w:r w:rsidR="00470309" w:rsidRPr="00FD1012">
        <w:rPr>
          <w:rFonts w:ascii="Times New Roman" w:hAnsi="Times New Roman" w:cs="Times New Roman"/>
        </w:rPr>
        <w:t>agreement</w:t>
      </w:r>
      <w:r w:rsidR="00D673F9" w:rsidRPr="00FD1012">
        <w:rPr>
          <w:rFonts w:ascii="Times New Roman" w:hAnsi="Times New Roman" w:cs="Times New Roman"/>
        </w:rPr>
        <w:t>, Avista will have one too.</w:t>
      </w:r>
      <w:r w:rsidR="00470309" w:rsidRPr="00F954C7">
        <w:rPr>
          <w:rStyle w:val="FootnoteReference"/>
          <w:rFonts w:ascii="Times New Roman" w:hAnsi="Times New Roman" w:cs="Times New Roman"/>
        </w:rPr>
        <w:footnoteReference w:id="68"/>
      </w:r>
      <w:r w:rsidR="00470309" w:rsidRPr="00FD1012">
        <w:rPr>
          <w:rFonts w:ascii="Times New Roman" w:hAnsi="Times New Roman" w:cs="Times New Roman"/>
        </w:rPr>
        <w:t xml:space="preserve">  Mr. Twitchell’s preference for decoupling over fixed charges is evident in how he expresses support for the Company’s proposal.  </w:t>
      </w:r>
      <w:r w:rsidR="002454F9" w:rsidRPr="00FD1012">
        <w:rPr>
          <w:rFonts w:ascii="Times New Roman" w:hAnsi="Times New Roman" w:cs="Times New Roman"/>
        </w:rPr>
        <w:t>He</w:t>
      </w:r>
      <w:r w:rsidR="00470309" w:rsidRPr="00FD1012">
        <w:rPr>
          <w:rFonts w:ascii="Times New Roman" w:hAnsi="Times New Roman" w:cs="Times New Roman"/>
        </w:rPr>
        <w:t xml:space="preserve"> states that “</w:t>
      </w:r>
      <w:r w:rsidR="005651F6" w:rsidRPr="00FD1012">
        <w:rPr>
          <w:rFonts w:ascii="Times New Roman" w:hAnsi="Times New Roman" w:cs="Times New Roman"/>
          <w:b/>
          <w:i/>
        </w:rPr>
        <w:t>Absent d</w:t>
      </w:r>
      <w:r w:rsidR="00470309" w:rsidRPr="00FD1012">
        <w:rPr>
          <w:rFonts w:ascii="Times New Roman" w:hAnsi="Times New Roman" w:cs="Times New Roman"/>
          <w:b/>
          <w:i/>
        </w:rPr>
        <w:t>ecoupling</w:t>
      </w:r>
      <w:r w:rsidR="00470309" w:rsidRPr="00FD1012">
        <w:rPr>
          <w:rFonts w:ascii="Times New Roman" w:hAnsi="Times New Roman" w:cs="Times New Roman"/>
        </w:rPr>
        <w:t>, Staff believes it is appropriate” to increase residential fixed charges.</w:t>
      </w:r>
      <w:r w:rsidR="00470309" w:rsidRPr="00F954C7">
        <w:rPr>
          <w:rStyle w:val="FootnoteReference"/>
          <w:rFonts w:ascii="Times New Roman" w:hAnsi="Times New Roman" w:cs="Times New Roman"/>
        </w:rPr>
        <w:footnoteReference w:id="69"/>
      </w:r>
    </w:p>
    <w:p w14:paraId="338F908D" w14:textId="33C489A6" w:rsidR="004C6D8D" w:rsidRPr="00FD1012" w:rsidRDefault="00FD1012" w:rsidP="00A46E1B">
      <w:pPr>
        <w:pStyle w:val="ListParagraph"/>
        <w:numPr>
          <w:ilvl w:val="0"/>
          <w:numId w:val="20"/>
        </w:numPr>
        <w:spacing w:line="480" w:lineRule="auto"/>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31415E" w:rsidRPr="00FD1012">
        <w:rPr>
          <w:rFonts w:ascii="Times New Roman" w:hAnsi="Times New Roman" w:cs="Times New Roman"/>
        </w:rPr>
        <w:t xml:space="preserve">Company witness Dalley </w:t>
      </w:r>
      <w:r w:rsidR="005645E8" w:rsidRPr="00FD1012">
        <w:rPr>
          <w:rFonts w:ascii="Times New Roman" w:hAnsi="Times New Roman" w:cs="Times New Roman"/>
        </w:rPr>
        <w:t>acknowledged</w:t>
      </w:r>
      <w:r w:rsidR="0031415E" w:rsidRPr="00FD1012">
        <w:rPr>
          <w:rFonts w:ascii="Times New Roman" w:hAnsi="Times New Roman" w:cs="Times New Roman"/>
        </w:rPr>
        <w:t xml:space="preserve"> at hea</w:t>
      </w:r>
      <w:r w:rsidR="005645E8" w:rsidRPr="00FD1012">
        <w:rPr>
          <w:rFonts w:ascii="Times New Roman" w:hAnsi="Times New Roman" w:cs="Times New Roman"/>
        </w:rPr>
        <w:t>ring that</w:t>
      </w:r>
      <w:r w:rsidR="000378CF" w:rsidRPr="00FD1012">
        <w:rPr>
          <w:rFonts w:ascii="Times New Roman" w:hAnsi="Times New Roman" w:cs="Times New Roman"/>
        </w:rPr>
        <w:t xml:space="preserve"> decoupling</w:t>
      </w:r>
      <w:r w:rsidR="005645E8" w:rsidRPr="00FD1012">
        <w:rPr>
          <w:rFonts w:ascii="Times New Roman" w:hAnsi="Times New Roman" w:cs="Times New Roman"/>
        </w:rPr>
        <w:t>, just like the proposed increase to the residential basic charge,</w:t>
      </w:r>
      <w:r w:rsidR="000378CF" w:rsidRPr="00FD1012">
        <w:rPr>
          <w:rFonts w:ascii="Times New Roman" w:hAnsi="Times New Roman" w:cs="Times New Roman"/>
        </w:rPr>
        <w:t xml:space="preserve"> addresses fixed cost recovery issues directly</w:t>
      </w:r>
      <w:r w:rsidR="005645E8" w:rsidRPr="00FD1012">
        <w:rPr>
          <w:rFonts w:ascii="Times New Roman" w:hAnsi="Times New Roman" w:cs="Times New Roman"/>
        </w:rPr>
        <w:t>.</w:t>
      </w:r>
      <w:r w:rsidR="005645E8" w:rsidRPr="00F954C7">
        <w:rPr>
          <w:rStyle w:val="FootnoteReference"/>
          <w:rFonts w:ascii="Times New Roman" w:hAnsi="Times New Roman" w:cs="Times New Roman"/>
        </w:rPr>
        <w:footnoteReference w:id="70"/>
      </w:r>
      <w:r w:rsidR="005645E8" w:rsidRPr="00FD1012">
        <w:rPr>
          <w:rFonts w:ascii="Times New Roman" w:hAnsi="Times New Roman" w:cs="Times New Roman"/>
        </w:rPr>
        <w:t xml:space="preserve">  Because decoupling</w:t>
      </w:r>
      <w:r w:rsidR="000378CF" w:rsidRPr="00FD1012">
        <w:rPr>
          <w:rFonts w:ascii="Times New Roman" w:hAnsi="Times New Roman" w:cs="Times New Roman"/>
        </w:rPr>
        <w:t xml:space="preserve"> </w:t>
      </w:r>
      <w:r w:rsidR="00A8516E" w:rsidRPr="00FD1012">
        <w:rPr>
          <w:rFonts w:ascii="Times New Roman" w:hAnsi="Times New Roman" w:cs="Times New Roman"/>
        </w:rPr>
        <w:t>is a less discriminatory way of addressing fixed cost issues</w:t>
      </w:r>
      <w:r w:rsidR="00D673F9" w:rsidRPr="00FD1012">
        <w:rPr>
          <w:rFonts w:ascii="Times New Roman" w:hAnsi="Times New Roman" w:cs="Times New Roman"/>
        </w:rPr>
        <w:t>, t</w:t>
      </w:r>
      <w:r w:rsidR="000378CF" w:rsidRPr="00FD1012">
        <w:rPr>
          <w:rFonts w:ascii="Times New Roman" w:hAnsi="Times New Roman" w:cs="Times New Roman"/>
        </w:rPr>
        <w:t xml:space="preserve">he Commission should </w:t>
      </w:r>
      <w:r w:rsidR="00A8516E" w:rsidRPr="00FD1012">
        <w:rPr>
          <w:rFonts w:ascii="Times New Roman" w:hAnsi="Times New Roman" w:cs="Times New Roman"/>
        </w:rPr>
        <w:t xml:space="preserve">encourage </w:t>
      </w:r>
      <w:r w:rsidR="000378CF" w:rsidRPr="00FD1012">
        <w:rPr>
          <w:rFonts w:ascii="Times New Roman" w:hAnsi="Times New Roman" w:cs="Times New Roman"/>
        </w:rPr>
        <w:t xml:space="preserve">PacifiCorp to </w:t>
      </w:r>
      <w:r w:rsidR="00A8516E" w:rsidRPr="00FD1012">
        <w:rPr>
          <w:rFonts w:ascii="Times New Roman" w:hAnsi="Times New Roman" w:cs="Times New Roman"/>
        </w:rPr>
        <w:t xml:space="preserve">examine </w:t>
      </w:r>
      <w:r w:rsidR="000378CF" w:rsidRPr="00FD1012">
        <w:rPr>
          <w:rFonts w:ascii="Times New Roman" w:hAnsi="Times New Roman" w:cs="Times New Roman"/>
        </w:rPr>
        <w:t>a decoupling mechanism</w:t>
      </w:r>
      <w:r w:rsidR="00A8516E" w:rsidRPr="00FD1012">
        <w:rPr>
          <w:rFonts w:ascii="Times New Roman" w:hAnsi="Times New Roman" w:cs="Times New Roman"/>
        </w:rPr>
        <w:t xml:space="preserve"> as an alternative approach</w:t>
      </w:r>
      <w:r w:rsidR="000378CF" w:rsidRPr="00FD1012">
        <w:rPr>
          <w:rFonts w:ascii="Times New Roman" w:hAnsi="Times New Roman" w:cs="Times New Roman"/>
        </w:rPr>
        <w:t>.</w:t>
      </w:r>
      <w:r w:rsidR="000378CF" w:rsidRPr="00F954C7">
        <w:rPr>
          <w:rStyle w:val="FootnoteReference"/>
          <w:rFonts w:ascii="Times New Roman" w:hAnsi="Times New Roman" w:cs="Times New Roman"/>
        </w:rPr>
        <w:footnoteReference w:id="71"/>
      </w:r>
      <w:r w:rsidR="00D673F9" w:rsidRPr="00FD1012">
        <w:rPr>
          <w:rFonts w:ascii="Times New Roman" w:hAnsi="Times New Roman" w:cs="Times New Roman"/>
        </w:rPr>
        <w:t xml:space="preserve"> </w:t>
      </w:r>
    </w:p>
    <w:p w14:paraId="57608B26" w14:textId="5F7C8CBA" w:rsidR="004C6D8D" w:rsidRPr="00F954C7" w:rsidRDefault="00345C53" w:rsidP="004C6D8D">
      <w:pPr>
        <w:pStyle w:val="ListParagraph"/>
        <w:numPr>
          <w:ilvl w:val="1"/>
          <w:numId w:val="1"/>
        </w:numPr>
        <w:rPr>
          <w:rFonts w:ascii="Times New Roman" w:hAnsi="Times New Roman" w:cs="Times New Roman"/>
          <w:b/>
        </w:rPr>
      </w:pPr>
      <w:r w:rsidRPr="00F954C7">
        <w:rPr>
          <w:rFonts w:ascii="Times New Roman" w:hAnsi="Times New Roman" w:cs="Times New Roman"/>
          <w:b/>
        </w:rPr>
        <w:t>Power Cost Adjustment Mechanism (“PCAM”)</w:t>
      </w:r>
    </w:p>
    <w:p w14:paraId="25A9454B" w14:textId="77777777" w:rsidR="004C6D8D" w:rsidRPr="00F954C7" w:rsidRDefault="004C6D8D" w:rsidP="004C6D8D">
      <w:pPr>
        <w:rPr>
          <w:rFonts w:ascii="Times New Roman" w:hAnsi="Times New Roman" w:cs="Times New Roman"/>
        </w:rPr>
      </w:pPr>
    </w:p>
    <w:p w14:paraId="0FD3166D" w14:textId="70DBCD44" w:rsidR="004C6D8D" w:rsidRPr="00FD1012" w:rsidRDefault="00FD1012" w:rsidP="00A46E1B">
      <w:pPr>
        <w:pStyle w:val="ListParagraph"/>
        <w:numPr>
          <w:ilvl w:val="1"/>
          <w:numId w:val="21"/>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45C53" w:rsidRPr="00FD1012">
        <w:rPr>
          <w:rFonts w:ascii="Times New Roman" w:hAnsi="Times New Roman" w:cs="Times New Roman"/>
        </w:rPr>
        <w:t>A properly designed PCAM would protect a utility from unexpected and significant increases in power costs over a defined period.</w:t>
      </w:r>
      <w:r w:rsidR="00345C53" w:rsidRPr="00F954C7">
        <w:rPr>
          <w:rStyle w:val="FootnoteReference"/>
          <w:rFonts w:ascii="Times New Roman" w:hAnsi="Times New Roman" w:cs="Times New Roman"/>
        </w:rPr>
        <w:footnoteReference w:id="72"/>
      </w:r>
      <w:r w:rsidR="002454F9" w:rsidRPr="00FD1012">
        <w:rPr>
          <w:rFonts w:ascii="Times New Roman" w:hAnsi="Times New Roman" w:cs="Times New Roman"/>
        </w:rPr>
        <w:t xml:space="preserve"> </w:t>
      </w:r>
      <w:r w:rsidR="00345C53" w:rsidRPr="00FD1012">
        <w:rPr>
          <w:rFonts w:ascii="Times New Roman" w:hAnsi="Times New Roman" w:cs="Times New Roman"/>
        </w:rPr>
        <w:t xml:space="preserve"> </w:t>
      </w:r>
      <w:r w:rsidR="008A3AE6" w:rsidRPr="00FD1012">
        <w:rPr>
          <w:rFonts w:ascii="Times New Roman" w:hAnsi="Times New Roman" w:cs="Times New Roman"/>
        </w:rPr>
        <w:t>Such a mechanism would reduce revenue volatility and would help</w:t>
      </w:r>
      <w:r w:rsidR="00345C53" w:rsidRPr="00FD1012">
        <w:rPr>
          <w:rFonts w:ascii="Times New Roman" w:hAnsi="Times New Roman" w:cs="Times New Roman"/>
        </w:rPr>
        <w:t xml:space="preserve"> ensure that a utility recovers all of its significant power costs through a rate rider, there</w:t>
      </w:r>
      <w:r w:rsidR="00E23C61" w:rsidRPr="00FD1012">
        <w:rPr>
          <w:rFonts w:ascii="Times New Roman" w:hAnsi="Times New Roman" w:cs="Times New Roman"/>
        </w:rPr>
        <w:t>by</w:t>
      </w:r>
      <w:r w:rsidR="00345C53" w:rsidRPr="00FD1012">
        <w:rPr>
          <w:rFonts w:ascii="Times New Roman" w:hAnsi="Times New Roman" w:cs="Times New Roman"/>
        </w:rPr>
        <w:t xml:space="preserve"> reducing the risk that it will under-recover its generation costs.</w:t>
      </w:r>
      <w:r w:rsidR="008A3AE6" w:rsidRPr="00FD1012">
        <w:rPr>
          <w:rFonts w:ascii="Times New Roman" w:hAnsi="Times New Roman" w:cs="Times New Roman"/>
        </w:rPr>
        <w:t xml:space="preserve">  Unfortunately, </w:t>
      </w:r>
      <w:r w:rsidR="00FA2C9D" w:rsidRPr="00FD1012">
        <w:rPr>
          <w:rFonts w:ascii="Times New Roman" w:hAnsi="Times New Roman" w:cs="Times New Roman"/>
        </w:rPr>
        <w:t>PacifiCorp</w:t>
      </w:r>
      <w:r w:rsidR="008A3AE6" w:rsidRPr="00FD1012">
        <w:rPr>
          <w:rFonts w:ascii="Times New Roman" w:hAnsi="Times New Roman" w:cs="Times New Roman"/>
        </w:rPr>
        <w:t xml:space="preserve"> has not proposed a PCAM in this proceeding that conforms to the Commission’s specifications.</w:t>
      </w:r>
      <w:r w:rsidR="008A3AE6" w:rsidRPr="00F954C7">
        <w:rPr>
          <w:rStyle w:val="FootnoteReference"/>
          <w:rFonts w:ascii="Times New Roman" w:hAnsi="Times New Roman" w:cs="Times New Roman"/>
        </w:rPr>
        <w:footnoteReference w:id="73"/>
      </w:r>
      <w:r w:rsidR="009A4D84" w:rsidRPr="00FD1012">
        <w:rPr>
          <w:rFonts w:ascii="Times New Roman" w:hAnsi="Times New Roman" w:cs="Times New Roman"/>
        </w:rPr>
        <w:t xml:space="preserve">  </w:t>
      </w:r>
    </w:p>
    <w:p w14:paraId="300FFB76" w14:textId="3B5E9035" w:rsidR="004C6D8D" w:rsidRPr="00FD1012" w:rsidRDefault="00FD1012" w:rsidP="00A46E1B">
      <w:pPr>
        <w:pStyle w:val="ListParagraph"/>
        <w:numPr>
          <w:ilvl w:val="1"/>
          <w:numId w:val="21"/>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A4D84" w:rsidRPr="00FD1012">
        <w:rPr>
          <w:rFonts w:ascii="Times New Roman" w:hAnsi="Times New Roman" w:cs="Times New Roman"/>
        </w:rPr>
        <w:t xml:space="preserve">If the Commission wishes to address earnings volatility for PacifiCorp, it should encourage the Company to propose a PCAM that reflects prior Commission rulings and policy.  This is another way that earnings volatility can be mitigated without impeding efficiency and conservation goals.    </w:t>
      </w:r>
    </w:p>
    <w:p w14:paraId="1D23B8E8" w14:textId="11C9F690" w:rsidR="004C6D8D" w:rsidRPr="00F954C7" w:rsidRDefault="004C6D8D" w:rsidP="004C6D8D">
      <w:pPr>
        <w:pStyle w:val="ListParagraph"/>
        <w:numPr>
          <w:ilvl w:val="1"/>
          <w:numId w:val="1"/>
        </w:numPr>
        <w:rPr>
          <w:rFonts w:ascii="Times New Roman" w:hAnsi="Times New Roman" w:cs="Times New Roman"/>
          <w:b/>
        </w:rPr>
      </w:pPr>
      <w:r w:rsidRPr="00F954C7">
        <w:rPr>
          <w:rFonts w:ascii="Times New Roman" w:hAnsi="Times New Roman" w:cs="Times New Roman"/>
          <w:b/>
        </w:rPr>
        <w:t xml:space="preserve">Minimum Bill </w:t>
      </w:r>
    </w:p>
    <w:p w14:paraId="04278F01" w14:textId="77777777" w:rsidR="004C6D8D" w:rsidRPr="00F954C7" w:rsidRDefault="004C6D8D" w:rsidP="004C6D8D">
      <w:pPr>
        <w:ind w:left="720"/>
        <w:rPr>
          <w:rFonts w:ascii="Times New Roman" w:hAnsi="Times New Roman" w:cs="Times New Roman"/>
        </w:rPr>
      </w:pPr>
    </w:p>
    <w:p w14:paraId="21CEA59D" w14:textId="3DE7147E" w:rsidR="00C43B56" w:rsidRPr="00FD1012" w:rsidRDefault="00FD1012" w:rsidP="00A46E1B">
      <w:pPr>
        <w:pStyle w:val="ListParagraph"/>
        <w:numPr>
          <w:ilvl w:val="1"/>
          <w:numId w:val="22"/>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A4D84" w:rsidRPr="00FD1012">
        <w:rPr>
          <w:rFonts w:ascii="Times New Roman" w:hAnsi="Times New Roman" w:cs="Times New Roman"/>
        </w:rPr>
        <w:t>A minimum bill provision would allow the utility to set a minimum bill amount.</w:t>
      </w:r>
      <w:r w:rsidR="009A4D84" w:rsidRPr="00F954C7">
        <w:rPr>
          <w:rStyle w:val="FootnoteReference"/>
          <w:rFonts w:ascii="Times New Roman" w:hAnsi="Times New Roman" w:cs="Times New Roman"/>
        </w:rPr>
        <w:footnoteReference w:id="74"/>
      </w:r>
      <w:r w:rsidR="009A4D84" w:rsidRPr="00FD1012">
        <w:rPr>
          <w:rFonts w:ascii="Times New Roman" w:hAnsi="Times New Roman" w:cs="Times New Roman"/>
        </w:rPr>
        <w:t xml:space="preserve">  The customer would pay this minimum amount even if their applicable usage time</w:t>
      </w:r>
      <w:r w:rsidR="00E23C61" w:rsidRPr="00FD1012">
        <w:rPr>
          <w:rFonts w:ascii="Times New Roman" w:hAnsi="Times New Roman" w:cs="Times New Roman"/>
        </w:rPr>
        <w:t>s</w:t>
      </w:r>
      <w:r w:rsidR="009A4D84" w:rsidRPr="00FD1012">
        <w:rPr>
          <w:rFonts w:ascii="Times New Roman" w:hAnsi="Times New Roman" w:cs="Times New Roman"/>
        </w:rPr>
        <w:t xml:space="preserve"> the applicable rate were less than the minimum.</w:t>
      </w:r>
      <w:r w:rsidR="009A4D84" w:rsidRPr="00F954C7">
        <w:rPr>
          <w:rStyle w:val="FootnoteReference"/>
          <w:rFonts w:ascii="Times New Roman" w:hAnsi="Times New Roman" w:cs="Times New Roman"/>
        </w:rPr>
        <w:footnoteReference w:id="75"/>
      </w:r>
      <w:r w:rsidR="009A4D84" w:rsidRPr="00FD1012">
        <w:rPr>
          <w:rFonts w:ascii="Times New Roman" w:hAnsi="Times New Roman" w:cs="Times New Roman"/>
        </w:rPr>
        <w:t xml:space="preserve">   This allows the utility to collect a guaranteed amount of </w:t>
      </w:r>
      <w:r w:rsidR="009A4D84" w:rsidRPr="00FD1012">
        <w:rPr>
          <w:rFonts w:ascii="Times New Roman" w:hAnsi="Times New Roman" w:cs="Times New Roman"/>
        </w:rPr>
        <w:lastRenderedPageBreak/>
        <w:t>revenue from low usage customers, while still preserving primarily volumetric rates that encourage efficiency and conservation.</w:t>
      </w:r>
      <w:r w:rsidR="009A4D84" w:rsidRPr="00F954C7">
        <w:rPr>
          <w:rStyle w:val="FootnoteReference"/>
          <w:rFonts w:ascii="Times New Roman" w:hAnsi="Times New Roman" w:cs="Times New Roman"/>
        </w:rPr>
        <w:footnoteReference w:id="76"/>
      </w:r>
    </w:p>
    <w:p w14:paraId="13C9B98E" w14:textId="6509FD4A" w:rsidR="009A4D84" w:rsidRPr="00FD1012" w:rsidRDefault="00FD1012" w:rsidP="00A46E1B">
      <w:pPr>
        <w:pStyle w:val="ListParagraph"/>
        <w:numPr>
          <w:ilvl w:val="1"/>
          <w:numId w:val="22"/>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C43B56" w:rsidRPr="00FD1012">
        <w:rPr>
          <w:rFonts w:ascii="Times New Roman" w:hAnsi="Times New Roman" w:cs="Times New Roman"/>
        </w:rPr>
        <w:t>Public Counsel witness, Mr. Watkins, explains that in Texas, where there is total retail electric competition for most of the state’s utility customers,</w:t>
      </w:r>
      <w:r w:rsidR="00C43B56" w:rsidRPr="00F954C7">
        <w:rPr>
          <w:rStyle w:val="FootnoteReference"/>
          <w:rFonts w:ascii="Times New Roman" w:hAnsi="Times New Roman" w:cs="Times New Roman"/>
        </w:rPr>
        <w:footnoteReference w:id="77"/>
      </w:r>
      <w:r w:rsidR="00C43B56" w:rsidRPr="00FD1012">
        <w:rPr>
          <w:rFonts w:ascii="Times New Roman" w:hAnsi="Times New Roman" w:cs="Times New Roman"/>
        </w:rPr>
        <w:t xml:space="preserve"> 75% of providers waive any fixed fees when a minimum level of consumption is achieved.</w:t>
      </w:r>
      <w:r w:rsidR="00C43B56" w:rsidRPr="00F954C7">
        <w:rPr>
          <w:rStyle w:val="FootnoteReference"/>
          <w:rFonts w:ascii="Times New Roman" w:hAnsi="Times New Roman" w:cs="Times New Roman"/>
        </w:rPr>
        <w:footnoteReference w:id="78"/>
      </w:r>
      <w:r w:rsidR="00C43B56" w:rsidRPr="00FD1012">
        <w:rPr>
          <w:rFonts w:ascii="Times New Roman" w:hAnsi="Times New Roman" w:cs="Times New Roman"/>
        </w:rPr>
        <w:t xml:space="preserve">  As Mr. Watkins explains, this example demonstrates that when prices for electric utility service are allowed to develop in a competitive market, the resulting rate structure is similar to that found for other competitive services – that is, rates are based on volumetric, not fixed, pricing.</w:t>
      </w:r>
      <w:r w:rsidR="00C43B56" w:rsidRPr="00F954C7">
        <w:rPr>
          <w:rStyle w:val="FootnoteReference"/>
          <w:rFonts w:ascii="Times New Roman" w:hAnsi="Times New Roman" w:cs="Times New Roman"/>
        </w:rPr>
        <w:footnoteReference w:id="79"/>
      </w:r>
      <w:r w:rsidR="00C43B56" w:rsidRPr="00FD1012">
        <w:rPr>
          <w:rFonts w:ascii="Times New Roman" w:hAnsi="Times New Roman" w:cs="Times New Roman"/>
        </w:rPr>
        <w:t xml:space="preserve">     </w:t>
      </w:r>
      <w:r w:rsidR="009A4D84" w:rsidRPr="00FD1012">
        <w:rPr>
          <w:rFonts w:ascii="Times New Roman" w:hAnsi="Times New Roman" w:cs="Times New Roman"/>
        </w:rPr>
        <w:t xml:space="preserve">  </w:t>
      </w:r>
    </w:p>
    <w:p w14:paraId="00C42DA3" w14:textId="486CFE92" w:rsidR="009A7A11" w:rsidRPr="00F954C7" w:rsidRDefault="009A7A11" w:rsidP="009A7A11">
      <w:pPr>
        <w:pStyle w:val="ListParagraph"/>
        <w:numPr>
          <w:ilvl w:val="1"/>
          <w:numId w:val="1"/>
        </w:numPr>
        <w:rPr>
          <w:rFonts w:ascii="Times New Roman" w:hAnsi="Times New Roman" w:cs="Times New Roman"/>
          <w:b/>
        </w:rPr>
      </w:pPr>
      <w:r w:rsidRPr="00F954C7">
        <w:rPr>
          <w:rFonts w:ascii="Times New Roman" w:hAnsi="Times New Roman" w:cs="Times New Roman"/>
          <w:b/>
        </w:rPr>
        <w:t>Forward Looking Test Years</w:t>
      </w:r>
      <w:r w:rsidR="005645E8" w:rsidRPr="00F954C7">
        <w:rPr>
          <w:rFonts w:ascii="Times New Roman" w:hAnsi="Times New Roman" w:cs="Times New Roman"/>
          <w:b/>
        </w:rPr>
        <w:t xml:space="preserve"> and Multiyear Rate Plans</w:t>
      </w:r>
    </w:p>
    <w:p w14:paraId="44D5B847" w14:textId="77777777" w:rsidR="009A7A11" w:rsidRPr="00F954C7" w:rsidRDefault="009A7A11" w:rsidP="009A7A11">
      <w:pPr>
        <w:rPr>
          <w:rFonts w:ascii="Times New Roman" w:hAnsi="Times New Roman" w:cs="Times New Roman"/>
        </w:rPr>
      </w:pPr>
    </w:p>
    <w:p w14:paraId="3B5962D1" w14:textId="45B3A18D" w:rsidR="00B4361F" w:rsidRPr="00FD1012" w:rsidRDefault="00FD1012" w:rsidP="00A46E1B">
      <w:pPr>
        <w:pStyle w:val="ListParagraph"/>
        <w:numPr>
          <w:ilvl w:val="0"/>
          <w:numId w:val="23"/>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A7A11" w:rsidRPr="00FD1012">
        <w:rPr>
          <w:rFonts w:ascii="Times New Roman" w:hAnsi="Times New Roman" w:cs="Times New Roman"/>
        </w:rPr>
        <w:t xml:space="preserve">Forward-looking test years can help a utility attain earnings stability by basing </w:t>
      </w:r>
      <w:r w:rsidR="00AC29F9" w:rsidRPr="00FD1012">
        <w:rPr>
          <w:rFonts w:ascii="Times New Roman" w:hAnsi="Times New Roman" w:cs="Times New Roman"/>
        </w:rPr>
        <w:t xml:space="preserve">the utility’s </w:t>
      </w:r>
      <w:r w:rsidR="009A7A11" w:rsidRPr="00FD1012">
        <w:rPr>
          <w:rFonts w:ascii="Times New Roman" w:hAnsi="Times New Roman" w:cs="Times New Roman"/>
        </w:rPr>
        <w:t>revenue requirements on a future test period as opposed to a historical test year.</w:t>
      </w:r>
      <w:r w:rsidR="009A7A11" w:rsidRPr="00F954C7">
        <w:rPr>
          <w:rStyle w:val="FootnoteReference"/>
          <w:rFonts w:ascii="Times New Roman" w:hAnsi="Times New Roman" w:cs="Times New Roman"/>
        </w:rPr>
        <w:footnoteReference w:id="80"/>
      </w:r>
      <w:r w:rsidR="009A7A11" w:rsidRPr="00FD1012">
        <w:rPr>
          <w:rFonts w:ascii="Times New Roman" w:hAnsi="Times New Roman" w:cs="Times New Roman"/>
        </w:rPr>
        <w:t xml:space="preserve">  This allows the utility to recover costs for known upcoming investments as well as expected changes to retail sales.</w:t>
      </w:r>
      <w:r w:rsidR="009A7A11" w:rsidRPr="00F954C7">
        <w:rPr>
          <w:rStyle w:val="FootnoteReference"/>
          <w:rFonts w:ascii="Times New Roman" w:hAnsi="Times New Roman" w:cs="Times New Roman"/>
        </w:rPr>
        <w:footnoteReference w:id="81"/>
      </w:r>
      <w:r w:rsidR="009A7A11" w:rsidRPr="00FD1012">
        <w:rPr>
          <w:rFonts w:ascii="Times New Roman" w:hAnsi="Times New Roman" w:cs="Times New Roman"/>
        </w:rPr>
        <w:t xml:space="preserve">  </w:t>
      </w:r>
      <w:r w:rsidR="00826CF1" w:rsidRPr="00FD1012">
        <w:rPr>
          <w:rFonts w:ascii="Times New Roman" w:hAnsi="Times New Roman" w:cs="Times New Roman"/>
        </w:rPr>
        <w:t>Several forecast test years could also form the basis of a multiyear rate plan, similar to those instituted in other states.</w:t>
      </w:r>
      <w:r w:rsidR="00826CF1" w:rsidRPr="00F954C7">
        <w:rPr>
          <w:rStyle w:val="FootnoteReference"/>
          <w:rFonts w:ascii="Times New Roman" w:hAnsi="Times New Roman" w:cs="Times New Roman"/>
        </w:rPr>
        <w:footnoteReference w:id="82"/>
      </w:r>
      <w:r w:rsidR="00826CF1" w:rsidRPr="00FD1012">
        <w:rPr>
          <w:rFonts w:ascii="Times New Roman" w:hAnsi="Times New Roman" w:cs="Times New Roman"/>
        </w:rPr>
        <w:t xml:space="preserve">  </w:t>
      </w:r>
      <w:r w:rsidR="009A7A11" w:rsidRPr="00FD1012">
        <w:rPr>
          <w:rFonts w:ascii="Times New Roman" w:hAnsi="Times New Roman" w:cs="Times New Roman"/>
        </w:rPr>
        <w:t xml:space="preserve">This is just one more example of how PacifiCorp could address its fixed cost recovery issues without fundamentally changing its residential rate design.   </w:t>
      </w:r>
    </w:p>
    <w:p w14:paraId="617CA127" w14:textId="1749694E" w:rsidR="009A4D84" w:rsidRPr="00FD1012" w:rsidRDefault="00FD1012" w:rsidP="00A46E1B">
      <w:pPr>
        <w:pStyle w:val="ListParagraph"/>
        <w:numPr>
          <w:ilvl w:val="0"/>
          <w:numId w:val="23"/>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4C6D8D" w:rsidRPr="00FD1012">
        <w:rPr>
          <w:rFonts w:ascii="Times New Roman" w:hAnsi="Times New Roman" w:cs="Times New Roman"/>
        </w:rPr>
        <w:t>Under any of these</w:t>
      </w:r>
      <w:r w:rsidR="009A7A11" w:rsidRPr="00FD1012">
        <w:rPr>
          <w:rFonts w:ascii="Times New Roman" w:hAnsi="Times New Roman" w:cs="Times New Roman"/>
        </w:rPr>
        <w:t xml:space="preserve"> alternate</w:t>
      </w:r>
      <w:r w:rsidR="004C6D8D" w:rsidRPr="00FD1012">
        <w:rPr>
          <w:rFonts w:ascii="Times New Roman" w:hAnsi="Times New Roman" w:cs="Times New Roman"/>
        </w:rPr>
        <w:t xml:space="preserve"> approaches, the Company can </w:t>
      </w:r>
      <w:r w:rsidR="009A7A11" w:rsidRPr="00FD1012">
        <w:rPr>
          <w:rFonts w:ascii="Times New Roman" w:hAnsi="Times New Roman" w:cs="Times New Roman"/>
        </w:rPr>
        <w:t>address</w:t>
      </w:r>
      <w:r w:rsidR="004C6D8D" w:rsidRPr="00FD1012">
        <w:rPr>
          <w:rFonts w:ascii="Times New Roman" w:hAnsi="Times New Roman" w:cs="Times New Roman"/>
        </w:rPr>
        <w:t xml:space="preserve"> its fixed cost recovery issues while also promoting conversation and</w:t>
      </w:r>
      <w:r w:rsidR="009A7A11" w:rsidRPr="00FD1012">
        <w:rPr>
          <w:rFonts w:ascii="Times New Roman" w:hAnsi="Times New Roman" w:cs="Times New Roman"/>
        </w:rPr>
        <w:t xml:space="preserve"> renewable energy development.  As such, TASC requests that the Commission deny </w:t>
      </w:r>
      <w:r w:rsidR="00D6298B" w:rsidRPr="00FD1012">
        <w:rPr>
          <w:rFonts w:ascii="Times New Roman" w:hAnsi="Times New Roman" w:cs="Times New Roman"/>
        </w:rPr>
        <w:t xml:space="preserve">PacifiCorp’s proposed increase to the residential basic charge and direct it to propose an alternative solution.   </w:t>
      </w:r>
    </w:p>
    <w:p w14:paraId="137B5C06" w14:textId="49C1E4D8" w:rsidR="00CB70DB" w:rsidRPr="00F954C7" w:rsidRDefault="00B4361F" w:rsidP="00380EEB">
      <w:pPr>
        <w:pStyle w:val="ListParagraph"/>
        <w:numPr>
          <w:ilvl w:val="0"/>
          <w:numId w:val="1"/>
        </w:numPr>
        <w:rPr>
          <w:rFonts w:ascii="Times New Roman" w:hAnsi="Times New Roman" w:cs="Times New Roman"/>
        </w:rPr>
      </w:pPr>
      <w:r w:rsidRPr="00F954C7">
        <w:rPr>
          <w:rFonts w:ascii="Times New Roman" w:hAnsi="Times New Roman" w:cs="Times New Roman"/>
          <w:b/>
        </w:rPr>
        <w:lastRenderedPageBreak/>
        <w:t>The Commission S</w:t>
      </w:r>
      <w:r w:rsidR="001B01A6" w:rsidRPr="00F954C7">
        <w:rPr>
          <w:rFonts w:ascii="Times New Roman" w:hAnsi="Times New Roman" w:cs="Times New Roman"/>
          <w:b/>
        </w:rPr>
        <w:t>hould Hee</w:t>
      </w:r>
      <w:r w:rsidR="002F15C0">
        <w:rPr>
          <w:rFonts w:ascii="Times New Roman" w:hAnsi="Times New Roman" w:cs="Times New Roman"/>
          <w:b/>
        </w:rPr>
        <w:t xml:space="preserve">d the </w:t>
      </w:r>
      <w:r w:rsidR="00AC29F9">
        <w:rPr>
          <w:rFonts w:ascii="Times New Roman" w:hAnsi="Times New Roman" w:cs="Times New Roman"/>
          <w:b/>
        </w:rPr>
        <w:t xml:space="preserve">Advice </w:t>
      </w:r>
      <w:r w:rsidR="002F15C0">
        <w:rPr>
          <w:rFonts w:ascii="Times New Roman" w:hAnsi="Times New Roman" w:cs="Times New Roman"/>
          <w:b/>
        </w:rPr>
        <w:t>of Staff and Instruct</w:t>
      </w:r>
      <w:r w:rsidR="001B01A6" w:rsidRPr="00F954C7">
        <w:rPr>
          <w:rFonts w:ascii="Times New Roman" w:hAnsi="Times New Roman" w:cs="Times New Roman"/>
          <w:b/>
        </w:rPr>
        <w:t xml:space="preserve"> PacifiCorp that Demand Charges for DG Cus</w:t>
      </w:r>
      <w:r w:rsidRPr="00F954C7">
        <w:rPr>
          <w:rFonts w:ascii="Times New Roman" w:hAnsi="Times New Roman" w:cs="Times New Roman"/>
          <w:b/>
        </w:rPr>
        <w:t>tomers Are Not A</w:t>
      </w:r>
      <w:r w:rsidR="002F3D8C" w:rsidRPr="00F954C7">
        <w:rPr>
          <w:rFonts w:ascii="Times New Roman" w:hAnsi="Times New Roman" w:cs="Times New Roman"/>
          <w:b/>
        </w:rPr>
        <w:t>ppropriate</w:t>
      </w:r>
    </w:p>
    <w:p w14:paraId="7D1797BB" w14:textId="77777777" w:rsidR="002F3D8C" w:rsidRPr="00F954C7" w:rsidRDefault="002F3D8C" w:rsidP="002F3D8C">
      <w:pPr>
        <w:ind w:left="720"/>
        <w:rPr>
          <w:rFonts w:ascii="Times New Roman" w:hAnsi="Times New Roman" w:cs="Times New Roman"/>
        </w:rPr>
      </w:pPr>
    </w:p>
    <w:p w14:paraId="43822AB9" w14:textId="55693E00" w:rsidR="002F3D8C" w:rsidRPr="00FD1012" w:rsidRDefault="00A46E1B" w:rsidP="00A46E1B">
      <w:pPr>
        <w:pStyle w:val="ListParagraph"/>
        <w:numPr>
          <w:ilvl w:val="1"/>
          <w:numId w:val="24"/>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2F3D8C" w:rsidRPr="00FD1012">
        <w:rPr>
          <w:rFonts w:ascii="Times New Roman" w:hAnsi="Times New Roman" w:cs="Times New Roman"/>
        </w:rPr>
        <w:t>Although PacifiCorp is not proposing any DG</w:t>
      </w:r>
      <w:r w:rsidR="00AC29F9" w:rsidRPr="00FD1012">
        <w:rPr>
          <w:rFonts w:ascii="Times New Roman" w:hAnsi="Times New Roman" w:cs="Times New Roman"/>
        </w:rPr>
        <w:t>-</w:t>
      </w:r>
      <w:r w:rsidR="002F3D8C" w:rsidRPr="00FD1012">
        <w:rPr>
          <w:rFonts w:ascii="Times New Roman" w:hAnsi="Times New Roman" w:cs="Times New Roman"/>
        </w:rPr>
        <w:t>specific charges in this proceeding, Ms. Steward explains that the Company is preparing a new load research study that will allow the Company and the Commission to “better determine and reflect the unique costs of providing service to net metering and distributed generation customers.”</w:t>
      </w:r>
      <w:r w:rsidR="002F3D8C" w:rsidRPr="00F954C7">
        <w:rPr>
          <w:rStyle w:val="FootnoteReference"/>
          <w:rFonts w:ascii="Times New Roman" w:hAnsi="Times New Roman" w:cs="Times New Roman"/>
        </w:rPr>
        <w:footnoteReference w:id="83"/>
      </w:r>
      <w:r w:rsidR="002F3D8C" w:rsidRPr="00FD1012">
        <w:rPr>
          <w:rFonts w:ascii="Times New Roman" w:hAnsi="Times New Roman" w:cs="Times New Roman"/>
        </w:rPr>
        <w:t xml:space="preserve">  Despite the fact that this new load research study has not been completed, Ms. Steward nevertheless states her expectation that the Company will propose a three-part rate design with a demand component </w:t>
      </w:r>
      <w:r w:rsidR="002E47F3" w:rsidRPr="00FD1012">
        <w:rPr>
          <w:rFonts w:ascii="Times New Roman" w:hAnsi="Times New Roman" w:cs="Times New Roman"/>
        </w:rPr>
        <w:t>for DG customers.</w:t>
      </w:r>
      <w:r w:rsidR="002E47F3" w:rsidRPr="00F954C7">
        <w:rPr>
          <w:rStyle w:val="FootnoteReference"/>
          <w:rFonts w:ascii="Times New Roman" w:hAnsi="Times New Roman" w:cs="Times New Roman"/>
        </w:rPr>
        <w:footnoteReference w:id="84"/>
      </w:r>
      <w:r w:rsidR="002E47F3" w:rsidRPr="00FD1012">
        <w:rPr>
          <w:rFonts w:ascii="Times New Roman" w:hAnsi="Times New Roman" w:cs="Times New Roman"/>
        </w:rPr>
        <w:t xml:space="preserve">  </w:t>
      </w:r>
    </w:p>
    <w:p w14:paraId="29F9697C" w14:textId="417C7605" w:rsidR="005E206A" w:rsidRPr="00FD1012" w:rsidRDefault="00A46E1B" w:rsidP="00A46E1B">
      <w:pPr>
        <w:pStyle w:val="ListParagraph"/>
        <w:numPr>
          <w:ilvl w:val="1"/>
          <w:numId w:val="24"/>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2E47F3" w:rsidRPr="00FD1012">
        <w:rPr>
          <w:rFonts w:ascii="Times New Roman" w:hAnsi="Times New Roman" w:cs="Times New Roman"/>
        </w:rPr>
        <w:t>In response</w:t>
      </w:r>
      <w:r w:rsidR="00AC29F9" w:rsidRPr="00FD1012">
        <w:rPr>
          <w:rFonts w:ascii="Times New Roman" w:hAnsi="Times New Roman" w:cs="Times New Roman"/>
        </w:rPr>
        <w:t>,</w:t>
      </w:r>
      <w:r w:rsidR="002E47F3" w:rsidRPr="00FD1012">
        <w:rPr>
          <w:rFonts w:ascii="Times New Roman" w:hAnsi="Times New Roman" w:cs="Times New Roman"/>
        </w:rPr>
        <w:t xml:space="preserve"> Staff witness Mr. Twitchell, explains that “imposing a demand charge on DG customers would be inappropriate because it does not reflect the operations of Pacific Power’s WCA system, it would be unduly discriminatory, and Staff’s proposed rate spread would address many of the potential cost recovery issues associated with DG.”</w:t>
      </w:r>
      <w:r w:rsidR="002E47F3" w:rsidRPr="00F954C7">
        <w:rPr>
          <w:rStyle w:val="FootnoteReference"/>
          <w:rFonts w:ascii="Times New Roman" w:hAnsi="Times New Roman" w:cs="Times New Roman"/>
        </w:rPr>
        <w:footnoteReference w:id="85"/>
      </w:r>
      <w:r w:rsidR="00DC33DD" w:rsidRPr="00FD1012">
        <w:rPr>
          <w:rFonts w:ascii="Times New Roman" w:hAnsi="Times New Roman" w:cs="Times New Roman"/>
        </w:rPr>
        <w:t xml:space="preserve">  As such, Staff recommends that the Commission instruct PacifiCorp that a three-part rate design for DG customers is not acceptable and should not be included in its next rate case.</w:t>
      </w:r>
      <w:r w:rsidR="00DC33DD" w:rsidRPr="00F954C7">
        <w:rPr>
          <w:rStyle w:val="FootnoteReference"/>
          <w:rFonts w:ascii="Times New Roman" w:hAnsi="Times New Roman" w:cs="Times New Roman"/>
        </w:rPr>
        <w:footnoteReference w:id="86"/>
      </w:r>
      <w:r w:rsidR="005E206A" w:rsidRPr="00FD1012">
        <w:rPr>
          <w:rFonts w:ascii="Times New Roman" w:hAnsi="Times New Roman" w:cs="Times New Roman"/>
        </w:rPr>
        <w:t xml:space="preserve">  In rebuttal,</w:t>
      </w:r>
      <w:r w:rsidR="00DC33DD" w:rsidRPr="00FD1012">
        <w:rPr>
          <w:rFonts w:ascii="Times New Roman" w:hAnsi="Times New Roman" w:cs="Times New Roman"/>
        </w:rPr>
        <w:t xml:space="preserve"> Ms. Steward states that she finds it “perplexing that Staff would pre-judge a rate proposal.”</w:t>
      </w:r>
      <w:r w:rsidR="00DC33DD" w:rsidRPr="00F954C7">
        <w:rPr>
          <w:rStyle w:val="FootnoteReference"/>
          <w:rFonts w:ascii="Times New Roman" w:hAnsi="Times New Roman" w:cs="Times New Roman"/>
        </w:rPr>
        <w:footnoteReference w:id="87"/>
      </w:r>
      <w:r w:rsidR="00DC33DD" w:rsidRPr="00FD1012">
        <w:rPr>
          <w:rFonts w:ascii="Times New Roman" w:hAnsi="Times New Roman" w:cs="Times New Roman"/>
        </w:rPr>
        <w:t xml:space="preserve">  She further explains that the purpose of her direct testimony on the matter was to “inform the Commission that the Company is conducting load research to inform future rates.”</w:t>
      </w:r>
      <w:r w:rsidR="00DC33DD" w:rsidRPr="00F954C7">
        <w:rPr>
          <w:rStyle w:val="FootnoteReference"/>
          <w:rFonts w:ascii="Times New Roman" w:hAnsi="Times New Roman" w:cs="Times New Roman"/>
        </w:rPr>
        <w:footnoteReference w:id="88"/>
      </w:r>
      <w:r w:rsidR="005E206A" w:rsidRPr="00FD1012">
        <w:rPr>
          <w:rFonts w:ascii="Times New Roman" w:hAnsi="Times New Roman" w:cs="Times New Roman"/>
        </w:rPr>
        <w:t xml:space="preserve">  </w:t>
      </w:r>
    </w:p>
    <w:p w14:paraId="5F5082E1" w14:textId="5EC8667F" w:rsidR="005E206A" w:rsidRPr="00FD1012" w:rsidRDefault="00A46E1B" w:rsidP="00A46E1B">
      <w:pPr>
        <w:pStyle w:val="ListParagraph"/>
        <w:numPr>
          <w:ilvl w:val="1"/>
          <w:numId w:val="24"/>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E206A" w:rsidRPr="00FD1012">
        <w:rPr>
          <w:rFonts w:ascii="Times New Roman" w:hAnsi="Times New Roman" w:cs="Times New Roman"/>
        </w:rPr>
        <w:t xml:space="preserve">In light of Ms. Steward’s rebuttal testimony, it appears that the Company, not Staff, is pre-judging this issue.  Rather than wait for the results of its load study to propose rate design changes for DG customers, the Company assumes that it knows the results of its load research </w:t>
      </w:r>
      <w:r w:rsidR="005E206A" w:rsidRPr="00FD1012">
        <w:rPr>
          <w:rFonts w:ascii="Times New Roman" w:hAnsi="Times New Roman" w:cs="Times New Roman"/>
        </w:rPr>
        <w:lastRenderedPageBreak/>
        <w:t xml:space="preserve">study and the best rate design changes to address those results.  PacifiCorp’s foreshadowing that a demand rate is coming for DG renders its load research study a mere formality to justify discriminatory charges in its next rate case.  </w:t>
      </w:r>
    </w:p>
    <w:p w14:paraId="5FB21BCB" w14:textId="391CFAC9" w:rsidR="00477229" w:rsidRPr="00FD3E1E" w:rsidRDefault="00A46E1B" w:rsidP="00FD3E1E">
      <w:pPr>
        <w:pStyle w:val="ListParagraph"/>
        <w:numPr>
          <w:ilvl w:val="1"/>
          <w:numId w:val="24"/>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E206A" w:rsidRPr="00FD1012">
        <w:rPr>
          <w:rFonts w:ascii="Times New Roman" w:hAnsi="Times New Roman" w:cs="Times New Roman"/>
        </w:rPr>
        <w:t>Staff raises several valid concerns with a DG specific rate design that the Commission should carefully consider when the time comes.</w:t>
      </w:r>
      <w:r w:rsidR="000431B6" w:rsidRPr="00FD1012">
        <w:rPr>
          <w:rFonts w:ascii="Times New Roman" w:hAnsi="Times New Roman" w:cs="Times New Roman"/>
        </w:rPr>
        <w:t xml:space="preserve"> </w:t>
      </w:r>
      <w:r w:rsidR="005E206A" w:rsidRPr="00FD1012">
        <w:rPr>
          <w:rFonts w:ascii="Times New Roman" w:hAnsi="Times New Roman" w:cs="Times New Roman"/>
        </w:rPr>
        <w:t xml:space="preserve"> In light of PacifiCorp’s statements pre-judging the outcome of its load research study, the Commission should be very critical if the results of the study merely support the Company’s already stated preference for DG customers to pay a demand charge.  </w:t>
      </w:r>
    </w:p>
    <w:p w14:paraId="2A5D0811" w14:textId="0724C9DD" w:rsidR="00F237A9" w:rsidRPr="00F954C7" w:rsidRDefault="00AB2E79" w:rsidP="00380EEB">
      <w:pPr>
        <w:pStyle w:val="ListParagraph"/>
        <w:numPr>
          <w:ilvl w:val="0"/>
          <w:numId w:val="1"/>
        </w:numPr>
        <w:rPr>
          <w:rFonts w:ascii="Times New Roman" w:hAnsi="Times New Roman" w:cs="Times New Roman"/>
        </w:rPr>
      </w:pPr>
      <w:r w:rsidRPr="00F954C7">
        <w:rPr>
          <w:rFonts w:ascii="Times New Roman" w:hAnsi="Times New Roman" w:cs="Times New Roman"/>
          <w:b/>
        </w:rPr>
        <w:t>TASC S</w:t>
      </w:r>
      <w:r w:rsidR="005E206A" w:rsidRPr="00F954C7">
        <w:rPr>
          <w:rFonts w:ascii="Times New Roman" w:hAnsi="Times New Roman" w:cs="Times New Roman"/>
          <w:b/>
        </w:rPr>
        <w:t>upports The</w:t>
      </w:r>
      <w:r w:rsidR="00F237A9" w:rsidRPr="00F954C7">
        <w:rPr>
          <w:rFonts w:ascii="Times New Roman" w:hAnsi="Times New Roman" w:cs="Times New Roman"/>
          <w:b/>
        </w:rPr>
        <w:t xml:space="preserve"> </w:t>
      </w:r>
      <w:r w:rsidR="001B01A6" w:rsidRPr="00F954C7">
        <w:rPr>
          <w:rFonts w:ascii="Times New Roman" w:hAnsi="Times New Roman" w:cs="Times New Roman"/>
          <w:b/>
        </w:rPr>
        <w:t>Three</w:t>
      </w:r>
      <w:r w:rsidR="00AC29F9">
        <w:rPr>
          <w:rFonts w:ascii="Times New Roman" w:hAnsi="Times New Roman" w:cs="Times New Roman"/>
          <w:b/>
        </w:rPr>
        <w:t>-</w:t>
      </w:r>
      <w:r w:rsidR="001B01A6" w:rsidRPr="00F954C7">
        <w:rPr>
          <w:rFonts w:ascii="Times New Roman" w:hAnsi="Times New Roman" w:cs="Times New Roman"/>
          <w:b/>
        </w:rPr>
        <w:t>Part Tiered Rates Suggested By Staff</w:t>
      </w:r>
      <w:r w:rsidR="001B01A6" w:rsidRPr="00F954C7">
        <w:rPr>
          <w:rFonts w:ascii="Times New Roman" w:hAnsi="Times New Roman" w:cs="Times New Roman"/>
        </w:rPr>
        <w:t xml:space="preserve"> </w:t>
      </w:r>
    </w:p>
    <w:p w14:paraId="2DA869DB" w14:textId="77777777" w:rsidR="005E206A" w:rsidRPr="00F954C7" w:rsidRDefault="005E206A" w:rsidP="005E206A">
      <w:pPr>
        <w:pStyle w:val="ListParagraph"/>
        <w:rPr>
          <w:rFonts w:ascii="Times New Roman" w:hAnsi="Times New Roman" w:cs="Times New Roman"/>
        </w:rPr>
      </w:pPr>
    </w:p>
    <w:p w14:paraId="22AE1D6D" w14:textId="3DB5AE41" w:rsidR="00940122" w:rsidRPr="00A46E1B" w:rsidRDefault="00A46E1B" w:rsidP="00A46E1B">
      <w:pPr>
        <w:pStyle w:val="ListParagraph"/>
        <w:numPr>
          <w:ilvl w:val="1"/>
          <w:numId w:val="25"/>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B2E79" w:rsidRPr="00A46E1B">
        <w:rPr>
          <w:rFonts w:ascii="Times New Roman" w:hAnsi="Times New Roman" w:cs="Times New Roman"/>
        </w:rPr>
        <w:t>Staff proposes to change the number of residential rate tiers from two to three and proposes to change the cutoffs between tiers.</w:t>
      </w:r>
      <w:r w:rsidR="00AB2E79" w:rsidRPr="00F954C7">
        <w:rPr>
          <w:rStyle w:val="FootnoteReference"/>
          <w:rFonts w:ascii="Times New Roman" w:hAnsi="Times New Roman" w:cs="Times New Roman"/>
        </w:rPr>
        <w:footnoteReference w:id="89"/>
      </w:r>
      <w:r w:rsidR="00AB2E79" w:rsidRPr="00A46E1B">
        <w:rPr>
          <w:rFonts w:ascii="Times New Roman" w:hAnsi="Times New Roman" w:cs="Times New Roman"/>
        </w:rPr>
        <w:t xml:space="preserve">  This proposal creates a clearer price signal for residential customers to be more efficient </w:t>
      </w:r>
      <w:r w:rsidR="00AC29F9" w:rsidRPr="00A46E1B">
        <w:rPr>
          <w:rFonts w:ascii="Times New Roman" w:hAnsi="Times New Roman" w:cs="Times New Roman"/>
        </w:rPr>
        <w:t>and adheres</w:t>
      </w:r>
      <w:r w:rsidR="00AB2E79" w:rsidRPr="00A46E1B">
        <w:rPr>
          <w:rFonts w:ascii="Times New Roman" w:hAnsi="Times New Roman" w:cs="Times New Roman"/>
        </w:rPr>
        <w:t xml:space="preserve"> to cost-causation principles that </w:t>
      </w:r>
      <w:r w:rsidR="00AC29F9" w:rsidRPr="00A46E1B">
        <w:rPr>
          <w:rFonts w:ascii="Times New Roman" w:hAnsi="Times New Roman" w:cs="Times New Roman"/>
        </w:rPr>
        <w:t xml:space="preserve">appropriately </w:t>
      </w:r>
      <w:r w:rsidR="00AB2E79" w:rsidRPr="00A46E1B">
        <w:rPr>
          <w:rFonts w:ascii="Times New Roman" w:hAnsi="Times New Roman" w:cs="Times New Roman"/>
        </w:rPr>
        <w:t xml:space="preserve">assign a greater </w:t>
      </w:r>
      <w:r w:rsidR="00AC29F9" w:rsidRPr="00A46E1B">
        <w:rPr>
          <w:rFonts w:ascii="Times New Roman" w:hAnsi="Times New Roman" w:cs="Times New Roman"/>
        </w:rPr>
        <w:t xml:space="preserve">charge </w:t>
      </w:r>
      <w:r w:rsidR="00AB2E79" w:rsidRPr="00A46E1B">
        <w:rPr>
          <w:rFonts w:ascii="Times New Roman" w:hAnsi="Times New Roman" w:cs="Times New Roman"/>
        </w:rPr>
        <w:t>to high-use customers that impose higher costs on the system.</w:t>
      </w:r>
      <w:r w:rsidR="00AB2E79" w:rsidRPr="00F954C7">
        <w:rPr>
          <w:rStyle w:val="FootnoteReference"/>
          <w:rFonts w:ascii="Times New Roman" w:hAnsi="Times New Roman" w:cs="Times New Roman"/>
        </w:rPr>
        <w:footnoteReference w:id="90"/>
      </w:r>
    </w:p>
    <w:p w14:paraId="5726F36D" w14:textId="7DEAD158" w:rsidR="007E7DEE" w:rsidRPr="00A46E1B" w:rsidRDefault="00A46E1B" w:rsidP="00A46E1B">
      <w:pPr>
        <w:pStyle w:val="ListParagraph"/>
        <w:numPr>
          <w:ilvl w:val="1"/>
          <w:numId w:val="25"/>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B2E79" w:rsidRPr="00A46E1B">
        <w:rPr>
          <w:rFonts w:ascii="Times New Roman" w:hAnsi="Times New Roman" w:cs="Times New Roman"/>
        </w:rPr>
        <w:t>TASC generally supports this proposal.  However</w:t>
      </w:r>
      <w:r w:rsidR="00AC29F9" w:rsidRPr="00A46E1B">
        <w:rPr>
          <w:rFonts w:ascii="Times New Roman" w:hAnsi="Times New Roman" w:cs="Times New Roman"/>
        </w:rPr>
        <w:t>,</w:t>
      </w:r>
      <w:r w:rsidR="00AB2E79" w:rsidRPr="00A46E1B">
        <w:rPr>
          <w:rFonts w:ascii="Times New Roman" w:hAnsi="Times New Roman" w:cs="Times New Roman"/>
        </w:rPr>
        <w:t xml:space="preserve"> given Mr. Fulmer’s </w:t>
      </w:r>
      <w:r w:rsidR="002454F9" w:rsidRPr="00A46E1B">
        <w:rPr>
          <w:rFonts w:ascii="Times New Roman" w:hAnsi="Times New Roman" w:cs="Times New Roman"/>
        </w:rPr>
        <w:t>recommendation</w:t>
      </w:r>
      <w:r w:rsidR="00AB2E79" w:rsidRPr="00A46E1B">
        <w:rPr>
          <w:rFonts w:ascii="Times New Roman" w:hAnsi="Times New Roman" w:cs="Times New Roman"/>
        </w:rPr>
        <w:t xml:space="preserve"> that the residential basic charge should be no higher than $9 per month, TASC </w:t>
      </w:r>
      <w:r w:rsidR="002454F9" w:rsidRPr="00A46E1B">
        <w:rPr>
          <w:rFonts w:ascii="Times New Roman" w:hAnsi="Times New Roman" w:cs="Times New Roman"/>
        </w:rPr>
        <w:t>proposes</w:t>
      </w:r>
      <w:r w:rsidR="00AB2E79" w:rsidRPr="00A46E1B">
        <w:rPr>
          <w:rFonts w:ascii="Times New Roman" w:hAnsi="Times New Roman" w:cs="Times New Roman"/>
        </w:rPr>
        <w:t xml:space="preserve"> slightly different rates.</w:t>
      </w:r>
      <w:r w:rsidR="00AB2E79" w:rsidRPr="00F954C7">
        <w:rPr>
          <w:rStyle w:val="FootnoteReference"/>
          <w:rFonts w:ascii="Times New Roman" w:hAnsi="Times New Roman" w:cs="Times New Roman"/>
        </w:rPr>
        <w:footnoteReference w:id="91"/>
      </w:r>
      <w:r w:rsidR="00AB2E79" w:rsidRPr="00A46E1B">
        <w:rPr>
          <w:rFonts w:ascii="Times New Roman" w:hAnsi="Times New Roman" w:cs="Times New Roman"/>
        </w:rPr>
        <w:t xml:space="preserve">   With this in mind, TASC recommends the following </w:t>
      </w:r>
      <w:r w:rsidR="007E7DEE" w:rsidRPr="00A46E1B">
        <w:rPr>
          <w:rFonts w:ascii="Times New Roman" w:hAnsi="Times New Roman" w:cs="Times New Roman"/>
        </w:rPr>
        <w:t>three-tier</w:t>
      </w:r>
      <w:r w:rsidR="00AB2E79" w:rsidRPr="00A46E1B">
        <w:rPr>
          <w:rFonts w:ascii="Times New Roman" w:hAnsi="Times New Roman" w:cs="Times New Roman"/>
        </w:rPr>
        <w:t xml:space="preserve"> rate design for residential customers:</w:t>
      </w:r>
      <w:r w:rsidR="007E7DEE" w:rsidRPr="00F954C7">
        <w:rPr>
          <w:rStyle w:val="FootnoteReference"/>
          <w:rFonts w:ascii="Times New Roman" w:hAnsi="Times New Roman" w:cs="Times New Roman"/>
        </w:rPr>
        <w:footnoteReference w:id="92"/>
      </w:r>
    </w:p>
    <w:p w14:paraId="30EAB85C" w14:textId="77777777" w:rsidR="002454F9" w:rsidRDefault="002454F9" w:rsidP="007C3774">
      <w:pPr>
        <w:spacing w:line="480" w:lineRule="auto"/>
        <w:ind w:firstLine="360"/>
        <w:rPr>
          <w:rFonts w:ascii="Times New Roman" w:hAnsi="Times New Roman" w:cs="Times New Roman"/>
        </w:rPr>
      </w:pPr>
    </w:p>
    <w:p w14:paraId="37AF62AF" w14:textId="77777777" w:rsidR="002454F9" w:rsidRDefault="002454F9" w:rsidP="007C3774">
      <w:pPr>
        <w:spacing w:line="480" w:lineRule="auto"/>
        <w:ind w:firstLine="360"/>
      </w:pPr>
    </w:p>
    <w:tbl>
      <w:tblPr>
        <w:tblStyle w:val="TableGrid"/>
        <w:tblW w:w="9522" w:type="dxa"/>
        <w:tblInd w:w="-324" w:type="dxa"/>
        <w:tblLayout w:type="fixed"/>
        <w:tblLook w:val="04A0" w:firstRow="1" w:lastRow="0" w:firstColumn="1" w:lastColumn="0" w:noHBand="0" w:noVBand="1"/>
      </w:tblPr>
      <w:tblGrid>
        <w:gridCol w:w="3582"/>
        <w:gridCol w:w="2970"/>
        <w:gridCol w:w="2970"/>
      </w:tblGrid>
      <w:tr w:rsidR="00A00E67" w:rsidRPr="00F954C7" w14:paraId="4540B0BB" w14:textId="77777777" w:rsidTr="00A00E67">
        <w:trPr>
          <w:trHeight w:val="719"/>
        </w:trPr>
        <w:tc>
          <w:tcPr>
            <w:tcW w:w="3582" w:type="dxa"/>
            <w:shd w:val="clear" w:color="auto" w:fill="000000" w:themeFill="text1"/>
          </w:tcPr>
          <w:p w14:paraId="74EEE94D" w14:textId="77777777" w:rsidR="00A00E67" w:rsidRPr="00F954C7" w:rsidRDefault="00A00E67" w:rsidP="00A00E67">
            <w:pPr>
              <w:jc w:val="center"/>
              <w:rPr>
                <w:rFonts w:ascii="Times New Roman" w:hAnsi="Times New Roman" w:cs="Times New Roman"/>
                <w:b/>
                <w:color w:val="FFFFFF" w:themeColor="background1"/>
                <w:sz w:val="20"/>
                <w:szCs w:val="20"/>
              </w:rPr>
            </w:pPr>
          </w:p>
          <w:p w14:paraId="1F27EDB4" w14:textId="77777777" w:rsidR="00A00E67" w:rsidRPr="00F954C7" w:rsidRDefault="00A00E67" w:rsidP="00A00E67">
            <w:pPr>
              <w:jc w:val="right"/>
              <w:rPr>
                <w:rFonts w:ascii="Times New Roman" w:hAnsi="Times New Roman" w:cs="Times New Roman"/>
                <w:sz w:val="20"/>
                <w:szCs w:val="20"/>
              </w:rPr>
            </w:pPr>
          </w:p>
        </w:tc>
        <w:tc>
          <w:tcPr>
            <w:tcW w:w="2970" w:type="dxa"/>
            <w:shd w:val="clear" w:color="auto" w:fill="000000" w:themeFill="text1"/>
          </w:tcPr>
          <w:p w14:paraId="660C4EC0" w14:textId="77777777" w:rsidR="00A00E67" w:rsidRDefault="00A00E67" w:rsidP="00A00E67">
            <w:pPr>
              <w:jc w:val="center"/>
              <w:rPr>
                <w:rFonts w:ascii="Times New Roman" w:hAnsi="Times New Roman" w:cs="Times New Roman"/>
                <w:b/>
                <w:color w:val="FFFFFF" w:themeColor="background1"/>
                <w:sz w:val="20"/>
                <w:szCs w:val="20"/>
              </w:rPr>
            </w:pPr>
          </w:p>
          <w:p w14:paraId="00FF4B90" w14:textId="01361C2E" w:rsidR="00A00E67" w:rsidRPr="00F954C7" w:rsidRDefault="00A00E67" w:rsidP="00A00E6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Staff</w:t>
            </w:r>
          </w:p>
        </w:tc>
        <w:tc>
          <w:tcPr>
            <w:tcW w:w="2970" w:type="dxa"/>
            <w:shd w:val="clear" w:color="auto" w:fill="000000" w:themeFill="text1"/>
          </w:tcPr>
          <w:p w14:paraId="2613637A" w14:textId="77777777" w:rsidR="00A00E67" w:rsidRDefault="00A00E67" w:rsidP="00A00E67">
            <w:pPr>
              <w:jc w:val="center"/>
              <w:rPr>
                <w:rFonts w:ascii="Times New Roman" w:hAnsi="Times New Roman" w:cs="Times New Roman"/>
                <w:b/>
                <w:color w:val="FFFFFF" w:themeColor="background1"/>
                <w:sz w:val="20"/>
                <w:szCs w:val="20"/>
              </w:rPr>
            </w:pPr>
          </w:p>
          <w:p w14:paraId="42F17C77" w14:textId="25D2E121" w:rsidR="00A00E67" w:rsidRPr="00F954C7" w:rsidRDefault="00A00E67" w:rsidP="00A00E6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TASC</w:t>
            </w:r>
          </w:p>
        </w:tc>
      </w:tr>
      <w:tr w:rsidR="00A00E67" w:rsidRPr="00F954C7" w14:paraId="12DB427A" w14:textId="77777777" w:rsidTr="00A00E67">
        <w:trPr>
          <w:trHeight w:val="347"/>
        </w:trPr>
        <w:tc>
          <w:tcPr>
            <w:tcW w:w="3582" w:type="dxa"/>
            <w:shd w:val="clear" w:color="auto" w:fill="auto"/>
          </w:tcPr>
          <w:p w14:paraId="5DC8C50E" w14:textId="253E4CD5" w:rsidR="00A00E67" w:rsidRPr="00F954C7" w:rsidRDefault="00A00E67" w:rsidP="00A00E67">
            <w:pPr>
              <w:rPr>
                <w:rFonts w:ascii="Times New Roman" w:hAnsi="Times New Roman" w:cs="Times New Roman"/>
                <w:sz w:val="20"/>
                <w:szCs w:val="20"/>
              </w:rPr>
            </w:pPr>
            <w:r>
              <w:rPr>
                <w:rFonts w:ascii="Times New Roman" w:hAnsi="Times New Roman" w:cs="Times New Roman"/>
                <w:sz w:val="20"/>
                <w:szCs w:val="20"/>
              </w:rPr>
              <w:t>Basic Charge, $/month</w:t>
            </w:r>
          </w:p>
        </w:tc>
        <w:tc>
          <w:tcPr>
            <w:tcW w:w="2970" w:type="dxa"/>
            <w:shd w:val="clear" w:color="auto" w:fill="auto"/>
          </w:tcPr>
          <w:p w14:paraId="3DFD2D9F" w14:textId="68218F2E" w:rsidR="00A00E67" w:rsidRPr="00F954C7" w:rsidRDefault="00A00E67" w:rsidP="00A00E67">
            <w:pPr>
              <w:jc w:val="center"/>
              <w:rPr>
                <w:rFonts w:ascii="Times New Roman" w:hAnsi="Times New Roman" w:cs="Times New Roman"/>
                <w:sz w:val="20"/>
                <w:szCs w:val="20"/>
              </w:rPr>
            </w:pPr>
            <w:r>
              <w:rPr>
                <w:rFonts w:ascii="Times New Roman" w:hAnsi="Times New Roman" w:cs="Times New Roman"/>
                <w:sz w:val="20"/>
                <w:szCs w:val="20"/>
              </w:rPr>
              <w:t>13.00</w:t>
            </w:r>
          </w:p>
        </w:tc>
        <w:tc>
          <w:tcPr>
            <w:tcW w:w="2970" w:type="dxa"/>
            <w:shd w:val="clear" w:color="auto" w:fill="auto"/>
          </w:tcPr>
          <w:p w14:paraId="34CC0B53" w14:textId="6A7EB6A5" w:rsidR="00A00E67" w:rsidRPr="00F954C7" w:rsidRDefault="00A00E67" w:rsidP="00A00E67">
            <w:pPr>
              <w:jc w:val="center"/>
              <w:rPr>
                <w:rFonts w:ascii="Times New Roman" w:hAnsi="Times New Roman" w:cs="Times New Roman"/>
                <w:sz w:val="20"/>
                <w:szCs w:val="20"/>
              </w:rPr>
            </w:pPr>
            <w:r>
              <w:rPr>
                <w:rFonts w:ascii="Times New Roman" w:hAnsi="Times New Roman" w:cs="Times New Roman"/>
                <w:sz w:val="20"/>
                <w:szCs w:val="20"/>
              </w:rPr>
              <w:t>9.00</w:t>
            </w:r>
          </w:p>
        </w:tc>
      </w:tr>
      <w:tr w:rsidR="00A00E67" w:rsidRPr="00F954C7" w14:paraId="7319389C" w14:textId="77777777" w:rsidTr="00A00E67">
        <w:trPr>
          <w:trHeight w:val="331"/>
        </w:trPr>
        <w:tc>
          <w:tcPr>
            <w:tcW w:w="3582" w:type="dxa"/>
            <w:shd w:val="clear" w:color="auto" w:fill="auto"/>
          </w:tcPr>
          <w:p w14:paraId="0091F533" w14:textId="0293590F" w:rsidR="00A00E67" w:rsidRPr="00F954C7" w:rsidRDefault="00A00E67" w:rsidP="00A00E67">
            <w:pPr>
              <w:rPr>
                <w:rFonts w:ascii="Times New Roman" w:hAnsi="Times New Roman" w:cs="Times New Roman"/>
                <w:sz w:val="20"/>
                <w:szCs w:val="20"/>
              </w:rPr>
            </w:pPr>
            <w:r>
              <w:rPr>
                <w:rFonts w:ascii="Times New Roman" w:hAnsi="Times New Roman" w:cs="Times New Roman"/>
                <w:sz w:val="20"/>
                <w:szCs w:val="20"/>
              </w:rPr>
              <w:t>1</w:t>
            </w:r>
            <w:r w:rsidRPr="00A00E67">
              <w:rPr>
                <w:rFonts w:ascii="Times New Roman" w:hAnsi="Times New Roman" w:cs="Times New Roman"/>
                <w:sz w:val="20"/>
                <w:szCs w:val="20"/>
                <w:vertAlign w:val="superscript"/>
              </w:rPr>
              <w:t>st</w:t>
            </w:r>
            <w:r>
              <w:rPr>
                <w:rFonts w:ascii="Times New Roman" w:hAnsi="Times New Roman" w:cs="Times New Roman"/>
                <w:sz w:val="20"/>
                <w:szCs w:val="20"/>
              </w:rPr>
              <w:t xml:space="preserve"> Block (0-800 kWh), </w:t>
            </w:r>
            <w:r w:rsidR="00743B51">
              <w:rPr>
                <w:rFonts w:ascii="Times New Roman" w:hAnsi="Times New Roman" w:cs="Times New Roman"/>
                <w:sz w:val="20"/>
                <w:szCs w:val="20"/>
              </w:rPr>
              <w:t>¢kWh</w:t>
            </w:r>
          </w:p>
        </w:tc>
        <w:tc>
          <w:tcPr>
            <w:tcW w:w="2970" w:type="dxa"/>
            <w:shd w:val="clear" w:color="auto" w:fill="auto"/>
          </w:tcPr>
          <w:p w14:paraId="6DCFF293" w14:textId="5A581EA5" w:rsidR="00A00E67" w:rsidRPr="00F954C7" w:rsidRDefault="00743B51" w:rsidP="00A00E67">
            <w:pPr>
              <w:jc w:val="center"/>
              <w:rPr>
                <w:rFonts w:ascii="Times New Roman" w:hAnsi="Times New Roman" w:cs="Times New Roman"/>
                <w:sz w:val="20"/>
                <w:szCs w:val="20"/>
              </w:rPr>
            </w:pPr>
            <w:r>
              <w:rPr>
                <w:rFonts w:ascii="Times New Roman" w:hAnsi="Times New Roman" w:cs="Times New Roman"/>
                <w:sz w:val="20"/>
                <w:szCs w:val="20"/>
              </w:rPr>
              <w:t>6.472</w:t>
            </w:r>
          </w:p>
        </w:tc>
        <w:tc>
          <w:tcPr>
            <w:tcW w:w="2970" w:type="dxa"/>
            <w:shd w:val="clear" w:color="auto" w:fill="auto"/>
          </w:tcPr>
          <w:p w14:paraId="5D99DF52" w14:textId="6D48E4AF" w:rsidR="00A00E67" w:rsidRPr="00F954C7" w:rsidRDefault="00743B51" w:rsidP="00A00E67">
            <w:pPr>
              <w:jc w:val="center"/>
              <w:rPr>
                <w:rFonts w:ascii="Times New Roman" w:hAnsi="Times New Roman" w:cs="Times New Roman"/>
                <w:sz w:val="20"/>
                <w:szCs w:val="20"/>
              </w:rPr>
            </w:pPr>
            <w:r>
              <w:rPr>
                <w:rFonts w:ascii="Times New Roman" w:hAnsi="Times New Roman" w:cs="Times New Roman"/>
                <w:sz w:val="20"/>
                <w:szCs w:val="20"/>
              </w:rPr>
              <w:t>6.674</w:t>
            </w:r>
          </w:p>
        </w:tc>
      </w:tr>
      <w:tr w:rsidR="00A00E67" w:rsidRPr="00F954C7" w14:paraId="270571C7" w14:textId="77777777" w:rsidTr="00A00E67">
        <w:trPr>
          <w:trHeight w:val="347"/>
        </w:trPr>
        <w:tc>
          <w:tcPr>
            <w:tcW w:w="3582" w:type="dxa"/>
            <w:shd w:val="clear" w:color="auto" w:fill="auto"/>
          </w:tcPr>
          <w:p w14:paraId="299DA120" w14:textId="5B83573D" w:rsidR="00A00E67" w:rsidRPr="00F954C7" w:rsidRDefault="00743B51" w:rsidP="00743B51">
            <w:pPr>
              <w:rPr>
                <w:rFonts w:ascii="Times New Roman" w:hAnsi="Times New Roman" w:cs="Times New Roman"/>
                <w:sz w:val="20"/>
                <w:szCs w:val="20"/>
              </w:rPr>
            </w:pPr>
            <w:r>
              <w:rPr>
                <w:rFonts w:ascii="Times New Roman" w:hAnsi="Times New Roman" w:cs="Times New Roman"/>
                <w:sz w:val="20"/>
                <w:szCs w:val="20"/>
              </w:rPr>
              <w:t>2</w:t>
            </w:r>
            <w:r w:rsidRPr="00743B51">
              <w:rPr>
                <w:rFonts w:ascii="Times New Roman" w:hAnsi="Times New Roman" w:cs="Times New Roman"/>
                <w:sz w:val="20"/>
                <w:szCs w:val="20"/>
                <w:vertAlign w:val="superscript"/>
              </w:rPr>
              <w:t>nd</w:t>
            </w:r>
            <w:r>
              <w:rPr>
                <w:rFonts w:ascii="Times New Roman" w:hAnsi="Times New Roman" w:cs="Times New Roman"/>
                <w:sz w:val="20"/>
                <w:szCs w:val="20"/>
              </w:rPr>
              <w:t xml:space="preserve">  Block (801-1700 kWh), ¢kWh</w:t>
            </w:r>
          </w:p>
        </w:tc>
        <w:tc>
          <w:tcPr>
            <w:tcW w:w="2970" w:type="dxa"/>
            <w:shd w:val="clear" w:color="auto" w:fill="auto"/>
          </w:tcPr>
          <w:p w14:paraId="065E5B7C" w14:textId="5F6B992C" w:rsidR="00A00E67" w:rsidRPr="00F954C7" w:rsidRDefault="00743B51" w:rsidP="00A00E67">
            <w:pPr>
              <w:jc w:val="center"/>
              <w:rPr>
                <w:rFonts w:ascii="Times New Roman" w:hAnsi="Times New Roman" w:cs="Times New Roman"/>
                <w:sz w:val="20"/>
                <w:szCs w:val="20"/>
              </w:rPr>
            </w:pPr>
            <w:r>
              <w:rPr>
                <w:rFonts w:ascii="Times New Roman" w:hAnsi="Times New Roman" w:cs="Times New Roman"/>
                <w:sz w:val="20"/>
                <w:szCs w:val="20"/>
              </w:rPr>
              <w:t>9.170</w:t>
            </w:r>
          </w:p>
        </w:tc>
        <w:tc>
          <w:tcPr>
            <w:tcW w:w="2970" w:type="dxa"/>
            <w:shd w:val="clear" w:color="auto" w:fill="auto"/>
          </w:tcPr>
          <w:p w14:paraId="6CE84E01" w14:textId="59AB9935" w:rsidR="00A00E67" w:rsidRPr="00F954C7" w:rsidRDefault="00743B51" w:rsidP="00A00E67">
            <w:pPr>
              <w:jc w:val="center"/>
              <w:rPr>
                <w:rFonts w:ascii="Times New Roman" w:hAnsi="Times New Roman" w:cs="Times New Roman"/>
                <w:sz w:val="20"/>
                <w:szCs w:val="20"/>
              </w:rPr>
            </w:pPr>
            <w:r>
              <w:rPr>
                <w:rFonts w:ascii="Times New Roman" w:hAnsi="Times New Roman" w:cs="Times New Roman"/>
                <w:sz w:val="20"/>
                <w:szCs w:val="20"/>
              </w:rPr>
              <w:t>9.542</w:t>
            </w:r>
          </w:p>
        </w:tc>
      </w:tr>
      <w:tr w:rsidR="00A00E67" w:rsidRPr="00F954C7" w14:paraId="40A12F25" w14:textId="77777777" w:rsidTr="00A00E67">
        <w:trPr>
          <w:trHeight w:val="347"/>
        </w:trPr>
        <w:tc>
          <w:tcPr>
            <w:tcW w:w="3582" w:type="dxa"/>
            <w:shd w:val="clear" w:color="auto" w:fill="auto"/>
          </w:tcPr>
          <w:p w14:paraId="16EAAB0C" w14:textId="71013C32" w:rsidR="00A00E67" w:rsidRPr="00F954C7" w:rsidRDefault="00743B51" w:rsidP="00743B51">
            <w:pPr>
              <w:rPr>
                <w:rFonts w:ascii="Times New Roman" w:hAnsi="Times New Roman" w:cs="Times New Roman"/>
                <w:sz w:val="20"/>
                <w:szCs w:val="20"/>
              </w:rPr>
            </w:pPr>
            <w:r>
              <w:rPr>
                <w:rFonts w:ascii="Times New Roman" w:hAnsi="Times New Roman" w:cs="Times New Roman"/>
                <w:sz w:val="20"/>
                <w:szCs w:val="20"/>
              </w:rPr>
              <w:t>3</w:t>
            </w:r>
            <w:r w:rsidRPr="00743B51">
              <w:rPr>
                <w:rFonts w:ascii="Times New Roman" w:hAnsi="Times New Roman" w:cs="Times New Roman"/>
                <w:sz w:val="20"/>
                <w:szCs w:val="20"/>
                <w:vertAlign w:val="superscript"/>
              </w:rPr>
              <w:t>rd</w:t>
            </w:r>
            <w:r>
              <w:rPr>
                <w:rFonts w:ascii="Times New Roman" w:hAnsi="Times New Roman" w:cs="Times New Roman"/>
                <w:sz w:val="20"/>
                <w:szCs w:val="20"/>
              </w:rPr>
              <w:t xml:space="preserve">  Block (1701+ kWh), ¢kWh</w:t>
            </w:r>
          </w:p>
        </w:tc>
        <w:tc>
          <w:tcPr>
            <w:tcW w:w="2970" w:type="dxa"/>
            <w:shd w:val="clear" w:color="auto" w:fill="auto"/>
          </w:tcPr>
          <w:p w14:paraId="6C608324" w14:textId="47591FEA" w:rsidR="00A00E67" w:rsidRPr="00F954C7" w:rsidRDefault="00743B51" w:rsidP="00A00E67">
            <w:pPr>
              <w:jc w:val="center"/>
              <w:rPr>
                <w:rFonts w:ascii="Times New Roman" w:hAnsi="Times New Roman" w:cs="Times New Roman"/>
                <w:sz w:val="20"/>
                <w:szCs w:val="20"/>
              </w:rPr>
            </w:pPr>
            <w:r>
              <w:rPr>
                <w:rFonts w:ascii="Times New Roman" w:hAnsi="Times New Roman" w:cs="Times New Roman"/>
                <w:sz w:val="20"/>
                <w:szCs w:val="20"/>
              </w:rPr>
              <w:t>11.996</w:t>
            </w:r>
          </w:p>
        </w:tc>
        <w:tc>
          <w:tcPr>
            <w:tcW w:w="2970" w:type="dxa"/>
            <w:shd w:val="clear" w:color="auto" w:fill="auto"/>
          </w:tcPr>
          <w:p w14:paraId="4D93F815" w14:textId="0BD43C7F" w:rsidR="00A00E67" w:rsidRPr="00743B51" w:rsidRDefault="00743B51" w:rsidP="00A00E67">
            <w:pPr>
              <w:jc w:val="center"/>
              <w:rPr>
                <w:rFonts w:ascii="Times New Roman" w:hAnsi="Times New Roman" w:cs="Times New Roman"/>
                <w:sz w:val="20"/>
                <w:szCs w:val="20"/>
              </w:rPr>
            </w:pPr>
            <w:r w:rsidRPr="00743B51">
              <w:rPr>
                <w:rFonts w:ascii="Times New Roman" w:hAnsi="Times New Roman" w:cs="Times New Roman"/>
                <w:sz w:val="20"/>
                <w:szCs w:val="20"/>
              </w:rPr>
              <w:t>12.594</w:t>
            </w:r>
          </w:p>
        </w:tc>
      </w:tr>
    </w:tbl>
    <w:p w14:paraId="30F1C443" w14:textId="77777777" w:rsidR="005E206A" w:rsidRDefault="005E206A" w:rsidP="007E7DEE">
      <w:pPr>
        <w:rPr>
          <w:rFonts w:ascii="Times New Roman" w:hAnsi="Times New Roman" w:cs="Times New Roman"/>
        </w:rPr>
      </w:pPr>
    </w:p>
    <w:p w14:paraId="314FC8FA" w14:textId="77777777" w:rsidR="006D2F64" w:rsidRPr="00F954C7" w:rsidRDefault="006D2F64" w:rsidP="007E7DEE">
      <w:pPr>
        <w:rPr>
          <w:rFonts w:ascii="Times New Roman" w:hAnsi="Times New Roman" w:cs="Times New Roman"/>
        </w:rPr>
      </w:pPr>
    </w:p>
    <w:p w14:paraId="7F5B7CC7" w14:textId="77777777" w:rsidR="004B0717" w:rsidRPr="00F954C7" w:rsidRDefault="004B0717" w:rsidP="00380EEB">
      <w:pPr>
        <w:pStyle w:val="ListParagraph"/>
        <w:numPr>
          <w:ilvl w:val="0"/>
          <w:numId w:val="1"/>
        </w:numPr>
        <w:rPr>
          <w:rFonts w:ascii="Times New Roman" w:hAnsi="Times New Roman" w:cs="Times New Roman"/>
          <w:b/>
        </w:rPr>
      </w:pPr>
      <w:r w:rsidRPr="00F954C7">
        <w:rPr>
          <w:rFonts w:ascii="Times New Roman" w:hAnsi="Times New Roman" w:cs="Times New Roman"/>
          <w:b/>
        </w:rPr>
        <w:t>Conclusion</w:t>
      </w:r>
    </w:p>
    <w:p w14:paraId="10BAAC5A" w14:textId="77777777" w:rsidR="007E7DEE" w:rsidRPr="00F954C7" w:rsidRDefault="007E7DEE" w:rsidP="007E7DEE">
      <w:pPr>
        <w:rPr>
          <w:rFonts w:ascii="Times New Roman" w:hAnsi="Times New Roman" w:cs="Times New Roman"/>
        </w:rPr>
      </w:pPr>
    </w:p>
    <w:p w14:paraId="568B216A" w14:textId="0FF1632C" w:rsidR="00A8516E" w:rsidRPr="00A46E1B" w:rsidRDefault="00A46E1B" w:rsidP="00A46E1B">
      <w:pPr>
        <w:pStyle w:val="ListParagraph"/>
        <w:numPr>
          <w:ilvl w:val="0"/>
          <w:numId w:val="28"/>
        </w:num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7E7DEE" w:rsidRPr="00A46E1B">
        <w:rPr>
          <w:rFonts w:ascii="Times New Roman" w:hAnsi="Times New Roman" w:cs="Times New Roman"/>
        </w:rPr>
        <w:t xml:space="preserve">For all of the reasons stated herein, TASC </w:t>
      </w:r>
      <w:r w:rsidR="00A8516E" w:rsidRPr="00A46E1B">
        <w:rPr>
          <w:rFonts w:ascii="Times New Roman" w:hAnsi="Times New Roman" w:cs="Times New Roman"/>
        </w:rPr>
        <w:t xml:space="preserve">makes the following requests: </w:t>
      </w:r>
    </w:p>
    <w:p w14:paraId="2801FBDE" w14:textId="3B2EB88C" w:rsidR="00A8516E" w:rsidRDefault="00A8516E" w:rsidP="00FD1012">
      <w:pPr>
        <w:pStyle w:val="ListParagraph"/>
        <w:numPr>
          <w:ilvl w:val="0"/>
          <w:numId w:val="3"/>
        </w:numPr>
        <w:spacing w:line="480" w:lineRule="auto"/>
        <w:rPr>
          <w:rFonts w:ascii="Times New Roman" w:hAnsi="Times New Roman" w:cs="Times New Roman"/>
        </w:rPr>
      </w:pPr>
      <w:r w:rsidRPr="007C3774">
        <w:rPr>
          <w:rFonts w:ascii="Times New Roman" w:hAnsi="Times New Roman" w:cs="Times New Roman"/>
        </w:rPr>
        <w:t xml:space="preserve">TASC requests that </w:t>
      </w:r>
      <w:r w:rsidR="007E7DEE" w:rsidRPr="007C3774">
        <w:rPr>
          <w:rFonts w:ascii="Times New Roman" w:hAnsi="Times New Roman" w:cs="Times New Roman"/>
        </w:rPr>
        <w:t xml:space="preserve">that the Commission deny PacifiCorp’s request to increase the residential basic service charge.  </w:t>
      </w:r>
    </w:p>
    <w:p w14:paraId="25CA7EE7" w14:textId="262A9A3B" w:rsidR="00F7487A" w:rsidRDefault="00A8516E" w:rsidP="00FD1012">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TASC requests that the Commission find that </w:t>
      </w:r>
      <w:r w:rsidR="00F7487A">
        <w:rPr>
          <w:rFonts w:ascii="Times New Roman" w:hAnsi="Times New Roman" w:cs="Times New Roman"/>
        </w:rPr>
        <w:t>PacifiCorp</w:t>
      </w:r>
      <w:r>
        <w:rPr>
          <w:rFonts w:ascii="Times New Roman" w:hAnsi="Times New Roman" w:cs="Times New Roman"/>
        </w:rPr>
        <w:t xml:space="preserve"> has failed to demonstrate that DG is a </w:t>
      </w:r>
      <w:r w:rsidR="00F7487A">
        <w:rPr>
          <w:rFonts w:ascii="Times New Roman" w:hAnsi="Times New Roman" w:cs="Times New Roman"/>
        </w:rPr>
        <w:t xml:space="preserve">cause of its inability to recover fixed costs. </w:t>
      </w:r>
    </w:p>
    <w:p w14:paraId="61245D99" w14:textId="182CDA71" w:rsidR="00F7487A" w:rsidRDefault="00F7487A" w:rsidP="00FD1012">
      <w:pPr>
        <w:pStyle w:val="ListParagraph"/>
        <w:numPr>
          <w:ilvl w:val="0"/>
          <w:numId w:val="3"/>
        </w:numPr>
        <w:spacing w:line="480" w:lineRule="auto"/>
        <w:rPr>
          <w:rFonts w:ascii="Times New Roman" w:hAnsi="Times New Roman" w:cs="Times New Roman"/>
        </w:rPr>
      </w:pPr>
      <w:r>
        <w:rPr>
          <w:rFonts w:ascii="Times New Roman" w:hAnsi="Times New Roman" w:cs="Times New Roman"/>
        </w:rPr>
        <w:t>TASC recommends that the Commission</w:t>
      </w:r>
      <w:r w:rsidR="007E7DEE" w:rsidRPr="007C3774">
        <w:rPr>
          <w:rFonts w:ascii="Times New Roman" w:hAnsi="Times New Roman" w:cs="Times New Roman"/>
        </w:rPr>
        <w:t xml:space="preserve"> </w:t>
      </w:r>
      <w:r w:rsidR="006D2F64">
        <w:rPr>
          <w:rFonts w:ascii="Times New Roman" w:hAnsi="Times New Roman" w:cs="Times New Roman"/>
        </w:rPr>
        <w:t>encourage</w:t>
      </w:r>
      <w:r w:rsidR="006D2F64" w:rsidRPr="007C3774">
        <w:rPr>
          <w:rFonts w:ascii="Times New Roman" w:hAnsi="Times New Roman" w:cs="Times New Roman"/>
        </w:rPr>
        <w:t xml:space="preserve"> </w:t>
      </w:r>
      <w:r w:rsidR="007E7DEE" w:rsidRPr="007C3774">
        <w:rPr>
          <w:rFonts w:ascii="Times New Roman" w:hAnsi="Times New Roman" w:cs="Times New Roman"/>
        </w:rPr>
        <w:t xml:space="preserve">the Company to file a separate application to institute an alternative approach to fixed cost recovery issues such as revenue decoupling, a properly designed PCAM, a minimum bill approach, or use of a forward looking test year.  </w:t>
      </w:r>
    </w:p>
    <w:p w14:paraId="57044606" w14:textId="0BC4E2D7" w:rsidR="00F7487A" w:rsidRDefault="007E7DEE" w:rsidP="00FD1012">
      <w:pPr>
        <w:pStyle w:val="ListParagraph"/>
        <w:numPr>
          <w:ilvl w:val="0"/>
          <w:numId w:val="3"/>
        </w:numPr>
        <w:spacing w:line="480" w:lineRule="auto"/>
        <w:rPr>
          <w:rFonts w:ascii="Times New Roman" w:hAnsi="Times New Roman" w:cs="Times New Roman"/>
        </w:rPr>
      </w:pPr>
      <w:r w:rsidRPr="007C3774">
        <w:rPr>
          <w:rFonts w:ascii="Times New Roman" w:hAnsi="Times New Roman" w:cs="Times New Roman"/>
        </w:rPr>
        <w:t xml:space="preserve">If the Commission nevertheless decides that an increase to the residential basic charge is justified in this proceeding, </w:t>
      </w:r>
      <w:r w:rsidR="00F7487A">
        <w:rPr>
          <w:rFonts w:ascii="Times New Roman" w:hAnsi="Times New Roman" w:cs="Times New Roman"/>
        </w:rPr>
        <w:t>TASC requests that it</w:t>
      </w:r>
      <w:r w:rsidRPr="007C3774">
        <w:rPr>
          <w:rFonts w:ascii="Times New Roman" w:hAnsi="Times New Roman" w:cs="Times New Roman"/>
        </w:rPr>
        <w:t xml:space="preserve"> only allow such a charge to be based on actual customer related costs, not to exceed $9.00 per month.  </w:t>
      </w:r>
    </w:p>
    <w:p w14:paraId="79732DBC" w14:textId="1B3F1804" w:rsidR="00F7487A" w:rsidRDefault="00F7487A" w:rsidP="00FD1012">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TASC requests that the Commission specifically </w:t>
      </w:r>
      <w:r w:rsidR="007E7DEE" w:rsidRPr="007C3774">
        <w:rPr>
          <w:rFonts w:ascii="Times New Roman" w:hAnsi="Times New Roman" w:cs="Times New Roman"/>
        </w:rPr>
        <w:t xml:space="preserve">instruct the Company not to propose demand charges for DG customers in its next rate case.  </w:t>
      </w:r>
    </w:p>
    <w:p w14:paraId="7359D7DE" w14:textId="1157D6EF" w:rsidR="000431B6" w:rsidRPr="00F954C7" w:rsidRDefault="00F7487A" w:rsidP="00FD1012">
      <w:pPr>
        <w:pStyle w:val="ListParagraph"/>
        <w:numPr>
          <w:ilvl w:val="0"/>
          <w:numId w:val="3"/>
        </w:numPr>
        <w:spacing w:line="480" w:lineRule="auto"/>
      </w:pPr>
      <w:r>
        <w:rPr>
          <w:rFonts w:ascii="Times New Roman" w:hAnsi="Times New Roman" w:cs="Times New Roman"/>
        </w:rPr>
        <w:t xml:space="preserve">TASC requests that the Commission </w:t>
      </w:r>
      <w:r w:rsidR="007E7DEE" w:rsidRPr="007C3774">
        <w:rPr>
          <w:rFonts w:ascii="Times New Roman" w:hAnsi="Times New Roman" w:cs="Times New Roman"/>
        </w:rPr>
        <w:t xml:space="preserve">adopt Staff’s proposal to move to a three-tier rate design for residential customers.    </w:t>
      </w:r>
    </w:p>
    <w:p w14:paraId="267BA9FA" w14:textId="77777777" w:rsidR="000431B6" w:rsidRPr="00F954C7" w:rsidRDefault="000431B6" w:rsidP="007C3774">
      <w:pPr>
        <w:rPr>
          <w:rFonts w:ascii="Times New Roman" w:hAnsi="Times New Roman" w:cs="Times New Roman"/>
        </w:rPr>
      </w:pPr>
    </w:p>
    <w:p w14:paraId="7134A732" w14:textId="35F334CF" w:rsidR="000431B6" w:rsidRPr="00F954C7" w:rsidRDefault="00544C44" w:rsidP="007E7DEE">
      <w:pPr>
        <w:ind w:left="360"/>
        <w:rPr>
          <w:rFonts w:ascii="Times New Roman" w:hAnsi="Times New Roman" w:cs="Times New Roman"/>
        </w:rPr>
      </w:pPr>
      <w:r>
        <w:rPr>
          <w:rFonts w:ascii="Times New Roman" w:hAnsi="Times New Roman" w:cs="Times New Roman"/>
        </w:rPr>
        <w:lastRenderedPageBreak/>
        <w:t>DATED this 22</w:t>
      </w:r>
      <w:r w:rsidRPr="00544C44">
        <w:rPr>
          <w:rFonts w:ascii="Times New Roman" w:hAnsi="Times New Roman" w:cs="Times New Roman"/>
          <w:vertAlign w:val="superscript"/>
        </w:rPr>
        <w:t>nd</w:t>
      </w:r>
      <w:r>
        <w:rPr>
          <w:rFonts w:ascii="Times New Roman" w:hAnsi="Times New Roman" w:cs="Times New Roman"/>
        </w:rPr>
        <w:t xml:space="preserve"> day of </w:t>
      </w:r>
      <w:r w:rsidR="00554DAE">
        <w:rPr>
          <w:rFonts w:ascii="Times New Roman" w:hAnsi="Times New Roman" w:cs="Times New Roman"/>
        </w:rPr>
        <w:t>January</w:t>
      </w:r>
      <w:r>
        <w:rPr>
          <w:rFonts w:ascii="Times New Roman" w:hAnsi="Times New Roman" w:cs="Times New Roman"/>
        </w:rPr>
        <w:t xml:space="preserve"> 2015.</w:t>
      </w:r>
    </w:p>
    <w:p w14:paraId="151572AD" w14:textId="77777777" w:rsidR="000431B6" w:rsidRPr="00F954C7" w:rsidRDefault="000431B6" w:rsidP="007E7DEE">
      <w:pPr>
        <w:ind w:left="360"/>
        <w:rPr>
          <w:rFonts w:ascii="Times New Roman" w:hAnsi="Times New Roman" w:cs="Times New Roman"/>
        </w:rPr>
      </w:pPr>
    </w:p>
    <w:p w14:paraId="5A3CABB6" w14:textId="77777777" w:rsidR="00544C44" w:rsidRDefault="000431B6" w:rsidP="007E7DEE">
      <w:pPr>
        <w:ind w:left="360"/>
        <w:rPr>
          <w:rFonts w:ascii="Times New Roman" w:hAnsi="Times New Roman" w:cs="Times New Roman"/>
        </w:rPr>
      </w:pP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r w:rsidRPr="00F954C7">
        <w:rPr>
          <w:rFonts w:ascii="Times New Roman" w:hAnsi="Times New Roman" w:cs="Times New Roman"/>
        </w:rPr>
        <w:tab/>
      </w:r>
    </w:p>
    <w:p w14:paraId="2AE33944" w14:textId="47E3CE45" w:rsidR="00544C44" w:rsidRDefault="00A46E1B" w:rsidP="00544C44">
      <w:pPr>
        <w:ind w:left="4320" w:firstLine="720"/>
        <w:rPr>
          <w:rFonts w:ascii="Times New Roman" w:hAnsi="Times New Roman" w:cs="Times New Roman"/>
        </w:rPr>
      </w:pPr>
      <w:r>
        <w:rPr>
          <w:rFonts w:ascii="Times New Roman" w:hAnsi="Times New Roman" w:cs="Times New Roman"/>
        </w:rPr>
        <w:t>/</w:t>
      </w:r>
      <w:r w:rsidR="00544C44">
        <w:rPr>
          <w:rFonts w:ascii="Times New Roman" w:hAnsi="Times New Roman" w:cs="Times New Roman"/>
        </w:rPr>
        <w:t xml:space="preserve">s/ </w:t>
      </w:r>
      <w:r w:rsidR="00B64A07">
        <w:rPr>
          <w:rFonts w:ascii="Times New Roman" w:hAnsi="Times New Roman" w:cs="Times New Roman"/>
        </w:rPr>
        <w:t>KATHLEEN KAPLA</w:t>
      </w:r>
      <w:bookmarkStart w:id="4" w:name="_GoBack"/>
      <w:bookmarkEnd w:id="4"/>
    </w:p>
    <w:p w14:paraId="72DD07A0" w14:textId="64945DE6" w:rsidR="000431B6" w:rsidRPr="00F954C7" w:rsidRDefault="000431B6" w:rsidP="00544C44">
      <w:pPr>
        <w:ind w:left="4320" w:firstLine="720"/>
        <w:rPr>
          <w:rFonts w:ascii="Times New Roman" w:hAnsi="Times New Roman" w:cs="Times New Roman"/>
        </w:rPr>
      </w:pPr>
      <w:r w:rsidRPr="00F954C7">
        <w:rPr>
          <w:rFonts w:ascii="Times New Roman" w:hAnsi="Times New Roman" w:cs="Times New Roman"/>
        </w:rPr>
        <w:t>___________________________</w:t>
      </w:r>
    </w:p>
    <w:p w14:paraId="0AF44436" w14:textId="77777777" w:rsidR="00B64A07" w:rsidRPr="00F954C7" w:rsidRDefault="00B64A07" w:rsidP="00B64A07">
      <w:pPr>
        <w:ind w:left="5040"/>
        <w:rPr>
          <w:rFonts w:ascii="Times New Roman" w:hAnsi="Times New Roman" w:cs="Times New Roman"/>
          <w:b/>
        </w:rPr>
      </w:pPr>
      <w:r>
        <w:rPr>
          <w:rFonts w:ascii="Times New Roman" w:hAnsi="Times New Roman" w:cs="Times New Roman"/>
          <w:b/>
        </w:rPr>
        <w:t>Kathleen D. Kapla</w:t>
      </w:r>
    </w:p>
    <w:p w14:paraId="57E99366" w14:textId="77777777" w:rsidR="00B64A07" w:rsidRPr="00F954C7" w:rsidRDefault="00B64A07" w:rsidP="00B64A07">
      <w:pPr>
        <w:ind w:left="5040"/>
        <w:rPr>
          <w:rFonts w:ascii="Times New Roman" w:hAnsi="Times New Roman" w:cs="Times New Roman"/>
          <w:b/>
        </w:rPr>
      </w:pPr>
      <w:r>
        <w:rPr>
          <w:rFonts w:ascii="Times New Roman" w:hAnsi="Times New Roman" w:cs="Times New Roman"/>
          <w:b/>
        </w:rPr>
        <w:t>8205 31</w:t>
      </w:r>
      <w:r w:rsidRPr="00B64A07">
        <w:rPr>
          <w:rFonts w:ascii="Times New Roman" w:hAnsi="Times New Roman" w:cs="Times New Roman"/>
          <w:b/>
          <w:vertAlign w:val="superscript"/>
        </w:rPr>
        <w:t>st</w:t>
      </w:r>
      <w:r>
        <w:rPr>
          <w:rFonts w:ascii="Times New Roman" w:hAnsi="Times New Roman" w:cs="Times New Roman"/>
          <w:b/>
        </w:rPr>
        <w:t xml:space="preserve"> Ave., NE</w:t>
      </w:r>
    </w:p>
    <w:p w14:paraId="36C88A58" w14:textId="77777777" w:rsidR="00B64A07" w:rsidRPr="00F954C7" w:rsidRDefault="00B64A07" w:rsidP="00B64A07">
      <w:pPr>
        <w:ind w:left="5040"/>
        <w:rPr>
          <w:rFonts w:ascii="Times New Roman" w:hAnsi="Times New Roman" w:cs="Times New Roman"/>
          <w:b/>
        </w:rPr>
      </w:pPr>
      <w:r>
        <w:rPr>
          <w:rFonts w:ascii="Times New Roman" w:hAnsi="Times New Roman" w:cs="Times New Roman"/>
          <w:b/>
        </w:rPr>
        <w:t>Seattle, Washington 98115</w:t>
      </w:r>
    </w:p>
    <w:p w14:paraId="46702716" w14:textId="77777777" w:rsidR="00B64A07" w:rsidRPr="00F954C7" w:rsidRDefault="00B64A07" w:rsidP="00B64A07">
      <w:pPr>
        <w:ind w:left="5040"/>
        <w:rPr>
          <w:rFonts w:ascii="Times New Roman" w:hAnsi="Times New Roman" w:cs="Times New Roman"/>
          <w:b/>
        </w:rPr>
      </w:pPr>
      <w:r w:rsidRPr="00F954C7">
        <w:rPr>
          <w:rFonts w:ascii="Times New Roman" w:hAnsi="Times New Roman" w:cs="Times New Roman"/>
          <w:b/>
        </w:rPr>
        <w:t>(</w:t>
      </w:r>
      <w:r>
        <w:rPr>
          <w:rFonts w:ascii="Times New Roman" w:hAnsi="Times New Roman" w:cs="Times New Roman"/>
          <w:b/>
        </w:rPr>
        <w:t>206) 419-3632</w:t>
      </w:r>
    </w:p>
    <w:p w14:paraId="57985E04" w14:textId="77777777" w:rsidR="00B64A07" w:rsidRPr="00F954C7" w:rsidRDefault="00B64A07" w:rsidP="00B64A07">
      <w:pPr>
        <w:ind w:left="5040"/>
        <w:rPr>
          <w:rFonts w:ascii="Times New Roman" w:hAnsi="Times New Roman" w:cs="Times New Roman"/>
          <w:b/>
        </w:rPr>
        <w:sectPr w:rsidR="00B64A07" w:rsidRPr="00F954C7" w:rsidSect="00B64A07">
          <w:footerReference w:type="even" r:id="rId12"/>
          <w:footerReference w:type="default" r:id="rId13"/>
          <w:type w:val="continuous"/>
          <w:pgSz w:w="12240" w:h="15840"/>
          <w:pgMar w:top="1440" w:right="1440" w:bottom="1440" w:left="1440" w:header="720" w:footer="720" w:gutter="0"/>
          <w:cols w:space="720"/>
          <w:titlePg/>
          <w:docGrid w:linePitch="360"/>
        </w:sectPr>
      </w:pPr>
      <w:r>
        <w:rPr>
          <w:rFonts w:ascii="Times New Roman" w:hAnsi="Times New Roman" w:cs="Times New Roman"/>
          <w:b/>
        </w:rPr>
        <w:t>kkapla</w:t>
      </w:r>
      <w:r w:rsidRPr="00F954C7">
        <w:rPr>
          <w:rFonts w:ascii="Times New Roman" w:hAnsi="Times New Roman" w:cs="Times New Roman"/>
          <w:b/>
        </w:rPr>
        <w:t>@kfwlaw.com</w:t>
      </w:r>
    </w:p>
    <w:p w14:paraId="247A687B" w14:textId="77777777" w:rsidR="000431B6" w:rsidRPr="00F954C7" w:rsidRDefault="000431B6" w:rsidP="000431B6">
      <w:pPr>
        <w:ind w:left="360"/>
        <w:jc w:val="right"/>
        <w:rPr>
          <w:rFonts w:ascii="Times New Roman" w:hAnsi="Times New Roman" w:cs="Times New Roman"/>
        </w:rPr>
      </w:pPr>
    </w:p>
    <w:sectPr w:rsidR="000431B6" w:rsidRPr="00F954C7" w:rsidSect="00A46E1B">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225C" w14:textId="77777777" w:rsidR="00FD3E1E" w:rsidRDefault="00FD3E1E" w:rsidP="00784EE5">
      <w:r>
        <w:separator/>
      </w:r>
    </w:p>
  </w:endnote>
  <w:endnote w:type="continuationSeparator" w:id="0">
    <w:p w14:paraId="389AA0B0" w14:textId="77777777" w:rsidR="00FD3E1E" w:rsidRDefault="00FD3E1E" w:rsidP="0078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D8460" w14:textId="77777777" w:rsidR="00FD3E1E" w:rsidRDefault="00FD3E1E" w:rsidP="002916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5108E88" w14:textId="1326A09B" w:rsidR="00FD3E1E" w:rsidRDefault="00B64A07" w:rsidP="001A583A">
    <w:pPr>
      <w:pStyle w:val="Footer"/>
      <w:ind w:right="360"/>
    </w:pPr>
    <w:sdt>
      <w:sdtPr>
        <w:id w:val="969400743"/>
        <w:placeholder>
          <w:docPart w:val="3DA6E53DBD71B54A85056A03B7966B3E"/>
        </w:placeholder>
        <w:temporary/>
        <w:showingPlcHdr/>
      </w:sdtPr>
      <w:sdtEndPr/>
      <w:sdtContent>
        <w:r w:rsidR="00FD3E1E">
          <w:t>[Type text]</w:t>
        </w:r>
      </w:sdtContent>
    </w:sdt>
    <w:r w:rsidR="00FD3E1E">
      <w:ptab w:relativeTo="margin" w:alignment="center" w:leader="none"/>
    </w:r>
    <w:sdt>
      <w:sdtPr>
        <w:id w:val="969400748"/>
        <w:placeholder>
          <w:docPart w:val="D1E722344940EB4ABB39F301DF279738"/>
        </w:placeholder>
        <w:temporary/>
        <w:showingPlcHdr/>
      </w:sdtPr>
      <w:sdtEndPr/>
      <w:sdtContent>
        <w:r w:rsidR="00FD3E1E">
          <w:t>[Type text]</w:t>
        </w:r>
      </w:sdtContent>
    </w:sdt>
    <w:r w:rsidR="00FD3E1E">
      <w:ptab w:relativeTo="margin" w:alignment="right" w:leader="none"/>
    </w:r>
    <w:sdt>
      <w:sdtPr>
        <w:id w:val="969400753"/>
        <w:placeholder>
          <w:docPart w:val="288E37D8D075CA4BADBE72C99BF8A5CF"/>
        </w:placeholder>
        <w:temporary/>
        <w:showingPlcHdr/>
      </w:sdtPr>
      <w:sdtEndPr/>
      <w:sdtContent>
        <w:r w:rsidR="00FD3E1E">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2DAE1" w14:textId="4436BA4A" w:rsidR="00FD3E1E" w:rsidRPr="00F954C7" w:rsidRDefault="00FD3E1E" w:rsidP="000415F2">
    <w:pPr>
      <w:pStyle w:val="Footer"/>
      <w:rPr>
        <w:rFonts w:ascii="Times New Roman" w:hAnsi="Times New Roman" w:cs="Times New Roman"/>
        <w:sz w:val="20"/>
        <w:szCs w:val="20"/>
      </w:rPr>
    </w:pPr>
    <w:r w:rsidRPr="00F954C7">
      <w:rPr>
        <w:rFonts w:ascii="Times New Roman" w:hAnsi="Times New Roman" w:cs="Times New Roman"/>
        <w:sz w:val="20"/>
        <w:szCs w:val="20"/>
      </w:rPr>
      <w:t xml:space="preserve">THE ALLIANCE FOR SOLAR CHOICE BRIEF- </w:t>
    </w:r>
    <w:r w:rsidRPr="00F954C7">
      <w:rPr>
        <w:rStyle w:val="PageNumber"/>
        <w:rFonts w:ascii="Times New Roman" w:hAnsi="Times New Roman" w:cs="Times New Roman"/>
        <w:sz w:val="20"/>
        <w:szCs w:val="20"/>
      </w:rPr>
      <w:fldChar w:fldCharType="begin"/>
    </w:r>
    <w:r w:rsidRPr="00F954C7">
      <w:rPr>
        <w:rStyle w:val="PageNumber"/>
        <w:rFonts w:ascii="Times New Roman" w:hAnsi="Times New Roman" w:cs="Times New Roman"/>
        <w:sz w:val="20"/>
        <w:szCs w:val="20"/>
      </w:rPr>
      <w:instrText xml:space="preserve"> PAGE </w:instrText>
    </w:r>
    <w:r w:rsidRPr="00F954C7">
      <w:rPr>
        <w:rStyle w:val="PageNumber"/>
        <w:rFonts w:ascii="Times New Roman" w:hAnsi="Times New Roman" w:cs="Times New Roman"/>
        <w:sz w:val="20"/>
        <w:szCs w:val="20"/>
      </w:rPr>
      <w:fldChar w:fldCharType="separate"/>
    </w:r>
    <w:r w:rsidR="00B64A07">
      <w:rPr>
        <w:rStyle w:val="PageNumber"/>
        <w:rFonts w:ascii="Times New Roman" w:hAnsi="Times New Roman" w:cs="Times New Roman"/>
        <w:noProof/>
        <w:sz w:val="20"/>
        <w:szCs w:val="20"/>
      </w:rPr>
      <w:t>iv</w:t>
    </w:r>
    <w:r w:rsidRPr="00F954C7">
      <w:rPr>
        <w:rStyle w:val="PageNumber"/>
        <w:rFonts w:ascii="Times New Roman" w:hAnsi="Times New Roman" w:cs="Times New Roman"/>
        <w:sz w:val="20"/>
        <w:szCs w:val="20"/>
      </w:rPr>
      <w:fldChar w:fldCharType="end"/>
    </w:r>
  </w:p>
  <w:p w14:paraId="06313911" w14:textId="582E59AB" w:rsidR="00FD3E1E" w:rsidRPr="000415F2" w:rsidRDefault="00FD3E1E" w:rsidP="000415F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A5897" w14:textId="0295875F" w:rsidR="00FD3E1E" w:rsidRPr="00F954C7" w:rsidRDefault="00FD3E1E" w:rsidP="000415F2">
    <w:pPr>
      <w:pStyle w:val="Footer"/>
      <w:rPr>
        <w:rFonts w:ascii="Times New Roman" w:hAnsi="Times New Roman" w:cs="Times New Roman"/>
        <w:sz w:val="20"/>
        <w:szCs w:val="20"/>
      </w:rPr>
    </w:pPr>
    <w:r w:rsidRPr="00F954C7">
      <w:rPr>
        <w:rFonts w:ascii="Times New Roman" w:hAnsi="Times New Roman" w:cs="Times New Roman"/>
        <w:sz w:val="20"/>
        <w:szCs w:val="20"/>
      </w:rPr>
      <w:t xml:space="preserve">THE ALLIANCE FOR SOLAR CHOICE BREIF- </w:t>
    </w:r>
    <w:r w:rsidRPr="00F954C7">
      <w:rPr>
        <w:rStyle w:val="PageNumber"/>
        <w:rFonts w:ascii="Times New Roman" w:hAnsi="Times New Roman" w:cs="Times New Roman"/>
        <w:sz w:val="20"/>
        <w:szCs w:val="20"/>
      </w:rPr>
      <w:fldChar w:fldCharType="begin"/>
    </w:r>
    <w:r w:rsidRPr="00F954C7">
      <w:rPr>
        <w:rStyle w:val="PageNumber"/>
        <w:rFonts w:ascii="Times New Roman" w:hAnsi="Times New Roman" w:cs="Times New Roman"/>
        <w:sz w:val="20"/>
        <w:szCs w:val="20"/>
      </w:rPr>
      <w:instrText xml:space="preserve"> PAGE </w:instrText>
    </w:r>
    <w:r w:rsidRPr="00F954C7">
      <w:rPr>
        <w:rStyle w:val="PageNumber"/>
        <w:rFonts w:ascii="Times New Roman" w:hAnsi="Times New Roman" w:cs="Times New Roman"/>
        <w:sz w:val="20"/>
        <w:szCs w:val="20"/>
      </w:rPr>
      <w:fldChar w:fldCharType="separate"/>
    </w:r>
    <w:r w:rsidR="00B64A07">
      <w:rPr>
        <w:rStyle w:val="PageNumber"/>
        <w:rFonts w:ascii="Times New Roman" w:hAnsi="Times New Roman" w:cs="Times New Roman"/>
        <w:noProof/>
        <w:sz w:val="20"/>
        <w:szCs w:val="20"/>
      </w:rPr>
      <w:t>1</w:t>
    </w:r>
    <w:r w:rsidRPr="00F954C7">
      <w:rPr>
        <w:rStyle w:val="PageNumber"/>
        <w:rFonts w:ascii="Times New Roman" w:hAnsi="Times New Roman" w:cs="Times New Roman"/>
        <w:sz w:val="20"/>
        <w:szCs w:val="20"/>
      </w:rPr>
      <w:fldChar w:fldCharType="end"/>
    </w:r>
  </w:p>
  <w:p w14:paraId="419550D4" w14:textId="77777777" w:rsidR="00FD3E1E" w:rsidRPr="000415F2" w:rsidRDefault="00FD3E1E" w:rsidP="000415F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0B61C" w14:textId="77777777" w:rsidR="00B64A07" w:rsidRDefault="00B64A07" w:rsidP="002916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F8708E5" w14:textId="77777777" w:rsidR="00B64A07" w:rsidRDefault="00B64A07" w:rsidP="001A583A">
    <w:pPr>
      <w:pStyle w:val="Footer"/>
      <w:ind w:right="360"/>
    </w:pPr>
    <w:sdt>
      <w:sdtPr>
        <w:id w:val="381137113"/>
        <w:placeholder>
          <w:docPart w:val="3DA6E53DBD71B54A85056A03B7966B3E"/>
        </w:placeholder>
        <w:temporary/>
        <w:showingPlcHdr/>
      </w:sdtPr>
      <w:sdtContent>
        <w:r>
          <w:t>[Type text]</w:t>
        </w:r>
      </w:sdtContent>
    </w:sdt>
    <w:r>
      <w:ptab w:relativeTo="margin" w:alignment="center" w:leader="none"/>
    </w:r>
    <w:sdt>
      <w:sdtPr>
        <w:id w:val="-693768241"/>
        <w:placeholder>
          <w:docPart w:val="D1E722344940EB4ABB39F301DF279738"/>
        </w:placeholder>
        <w:temporary/>
        <w:showingPlcHdr/>
      </w:sdtPr>
      <w:sdtContent>
        <w:r>
          <w:t>[Type text]</w:t>
        </w:r>
      </w:sdtContent>
    </w:sdt>
    <w:r>
      <w:ptab w:relativeTo="margin" w:alignment="right" w:leader="none"/>
    </w:r>
    <w:sdt>
      <w:sdtPr>
        <w:id w:val="966699167"/>
        <w:placeholder>
          <w:docPart w:val="288E37D8D075CA4BADBE72C99BF8A5CF"/>
        </w:placeholder>
        <w:temporary/>
        <w:showingPlcHdr/>
      </w:sdtPr>
      <w:sdtContent>
        <w:r>
          <w:t>[Type text]</w:t>
        </w:r>
      </w:sdtContent>
    </w:sdt>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2EC8E" w14:textId="77777777" w:rsidR="00B64A07" w:rsidRPr="00F954C7" w:rsidRDefault="00B64A07" w:rsidP="000415F2">
    <w:pPr>
      <w:pStyle w:val="Footer"/>
      <w:rPr>
        <w:rFonts w:ascii="Times New Roman" w:hAnsi="Times New Roman" w:cs="Times New Roman"/>
        <w:sz w:val="20"/>
        <w:szCs w:val="20"/>
      </w:rPr>
    </w:pPr>
    <w:r w:rsidRPr="00F954C7">
      <w:rPr>
        <w:rFonts w:ascii="Times New Roman" w:hAnsi="Times New Roman" w:cs="Times New Roman"/>
        <w:sz w:val="20"/>
        <w:szCs w:val="20"/>
      </w:rPr>
      <w:t xml:space="preserve">THE ALLIANCE FOR SOLAR CHOICE BRIEF- </w:t>
    </w:r>
    <w:r w:rsidRPr="00F954C7">
      <w:rPr>
        <w:rStyle w:val="PageNumber"/>
        <w:rFonts w:ascii="Times New Roman" w:hAnsi="Times New Roman" w:cs="Times New Roman"/>
        <w:sz w:val="20"/>
        <w:szCs w:val="20"/>
      </w:rPr>
      <w:fldChar w:fldCharType="begin"/>
    </w:r>
    <w:r w:rsidRPr="00F954C7">
      <w:rPr>
        <w:rStyle w:val="PageNumber"/>
        <w:rFonts w:ascii="Times New Roman" w:hAnsi="Times New Roman" w:cs="Times New Roman"/>
        <w:sz w:val="20"/>
        <w:szCs w:val="20"/>
      </w:rPr>
      <w:instrText xml:space="preserve"> PAGE </w:instrText>
    </w:r>
    <w:r w:rsidRPr="00F954C7">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22</w:t>
    </w:r>
    <w:r w:rsidRPr="00F954C7">
      <w:rPr>
        <w:rStyle w:val="PageNumber"/>
        <w:rFonts w:ascii="Times New Roman" w:hAnsi="Times New Roman" w:cs="Times New Roman"/>
        <w:sz w:val="20"/>
        <w:szCs w:val="20"/>
      </w:rPr>
      <w:fldChar w:fldCharType="end"/>
    </w:r>
  </w:p>
  <w:p w14:paraId="1F59EC0A" w14:textId="77777777" w:rsidR="00B64A07" w:rsidRPr="000415F2" w:rsidRDefault="00B64A07" w:rsidP="000415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FDCEB" w14:textId="77777777" w:rsidR="00FD3E1E" w:rsidRDefault="00FD3E1E" w:rsidP="00784EE5">
      <w:r>
        <w:separator/>
      </w:r>
    </w:p>
  </w:footnote>
  <w:footnote w:type="continuationSeparator" w:id="0">
    <w:p w14:paraId="2B355D5C" w14:textId="77777777" w:rsidR="00FD3E1E" w:rsidRDefault="00FD3E1E" w:rsidP="00784EE5">
      <w:r>
        <w:continuationSeparator/>
      </w:r>
    </w:p>
  </w:footnote>
  <w:footnote w:id="1">
    <w:p w14:paraId="32AB5073" w14:textId="71F7994E"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GAW-6T, 17: 5-9.  </w:t>
      </w:r>
    </w:p>
  </w:footnote>
  <w:footnote w:id="2">
    <w:p w14:paraId="6F6299E0" w14:textId="2ED7D271"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JRS-1T, 21: 4-11. (Emphasis added).</w:t>
      </w:r>
    </w:p>
  </w:footnote>
  <w:footnote w:id="3">
    <w:p w14:paraId="4DCAC1B2" w14:textId="63C5D440"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23: 1-5. (Emphasis added).  </w:t>
      </w:r>
    </w:p>
  </w:footnote>
  <w:footnote w:id="4">
    <w:p w14:paraId="586C505D" w14:textId="0C75C6CC"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TR. 652: 4.</w:t>
      </w:r>
    </w:p>
  </w:footnote>
  <w:footnote w:id="5">
    <w:p w14:paraId="710359C7" w14:textId="5A8C4100"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TR. 652: 5.</w:t>
      </w:r>
    </w:p>
  </w:footnote>
  <w:footnote w:id="6">
    <w:p w14:paraId="28838F2E" w14:textId="3599B485"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TR. 615: 9-17; 652: 5-8.</w:t>
      </w:r>
    </w:p>
  </w:footnote>
  <w:footnote w:id="7">
    <w:p w14:paraId="0FBA3AB8" w14:textId="790C1C85"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JRS-13T, 24: 5-7.</w:t>
      </w:r>
    </w:p>
  </w:footnote>
  <w:footnote w:id="8">
    <w:p w14:paraId="369AB4BE" w14:textId="370EC8BB"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JRS-13T, 24: 14-20.</w:t>
      </w:r>
    </w:p>
  </w:footnote>
  <w:footnote w:id="9">
    <w:p w14:paraId="3F714F2D" w14:textId="27959734" w:rsidR="00FD3E1E" w:rsidRPr="00931AD0" w:rsidRDefault="00FD3E1E" w:rsidP="00931AD0">
      <w:pPr>
        <w:rPr>
          <w:rFonts w:ascii="Times" w:eastAsia="Times New Roman" w:hAnsi="Times" w:cs="Times New Roman"/>
          <w:sz w:val="20"/>
          <w:szCs w:val="20"/>
        </w:rPr>
      </w:pPr>
      <w:r w:rsidRPr="00931AD0">
        <w:rPr>
          <w:rStyle w:val="FootnoteReference"/>
          <w:rFonts w:ascii="Times New Roman" w:hAnsi="Times New Roman" w:cs="Times New Roman"/>
          <w:sz w:val="20"/>
          <w:szCs w:val="20"/>
        </w:rPr>
        <w:footnoteRef/>
      </w:r>
      <w:r w:rsidRPr="00931AD0">
        <w:rPr>
          <w:rFonts w:ascii="Times New Roman" w:hAnsi="Times New Roman" w:cs="Times New Roman"/>
          <w:sz w:val="20"/>
          <w:szCs w:val="20"/>
        </w:rPr>
        <w:t xml:space="preserve"> </w:t>
      </w:r>
      <w:r w:rsidRPr="00931AD0">
        <w:rPr>
          <w:rFonts w:ascii="Times New Roman" w:hAnsi="Times New Roman" w:cs="Times New Roman"/>
          <w:i/>
          <w:sz w:val="20"/>
          <w:szCs w:val="20"/>
        </w:rPr>
        <w:t xml:space="preserve">In the Matter of the Washington Utilities and Transportation Commission’s Investigation into </w:t>
      </w:r>
      <w:r w:rsidRPr="00931AD0">
        <w:rPr>
          <w:rFonts w:ascii="Times New Roman" w:eastAsia="Times New Roman" w:hAnsi="Times New Roman" w:cs="Times New Roman"/>
          <w:i/>
          <w:color w:val="333333"/>
          <w:sz w:val="20"/>
          <w:szCs w:val="20"/>
        </w:rPr>
        <w:t>the Potential for Distributed Energy in Washington State</w:t>
      </w:r>
      <w:r w:rsidRPr="00931AD0">
        <w:rPr>
          <w:rFonts w:ascii="Times New Roman" w:hAnsi="Times New Roman" w:cs="Times New Roman"/>
          <w:sz w:val="20"/>
          <w:szCs w:val="20"/>
        </w:rPr>
        <w:t xml:space="preserve">, Docket UE-110667, UTC Report on the Potential for Cost-Effective Distributed Generation in Areas Served by Investor-Owned Utilities in Washington State p.5 (October 7, 2011).  </w:t>
      </w:r>
    </w:p>
  </w:footnote>
  <w:footnote w:id="10">
    <w:p w14:paraId="3B547AB5" w14:textId="24358250"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WAC 480-07-540 (“Public service companies bear the burden of proof in general rate proceedings that propose changes that would increase any rate, charge, rental, or toll . . .”)</w:t>
      </w:r>
    </w:p>
  </w:footnote>
  <w:footnote w:id="11">
    <w:p w14:paraId="615F2275" w14:textId="7211C017"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GAW-1T, 18: 5-8 (</w:t>
      </w:r>
      <w:r w:rsidRPr="002275CC">
        <w:rPr>
          <w:rFonts w:ascii="Times New Roman" w:hAnsi="Times New Roman" w:cs="Times New Roman"/>
          <w:i/>
          <w:sz w:val="20"/>
          <w:szCs w:val="20"/>
        </w:rPr>
        <w:t>citing</w:t>
      </w:r>
      <w:r w:rsidRPr="002275CC">
        <w:rPr>
          <w:rFonts w:ascii="Times New Roman" w:hAnsi="Times New Roman" w:cs="Times New Roman"/>
          <w:sz w:val="20"/>
          <w:szCs w:val="20"/>
        </w:rPr>
        <w:t xml:space="preserve">, James C. Bonbright, et al., </w:t>
      </w:r>
      <w:r w:rsidRPr="002275CC">
        <w:rPr>
          <w:rFonts w:ascii="Times New Roman" w:hAnsi="Times New Roman" w:cs="Times New Roman"/>
          <w:i/>
          <w:sz w:val="20"/>
          <w:szCs w:val="20"/>
        </w:rPr>
        <w:t>Principles of Public Utility Rates</w:t>
      </w:r>
      <w:r w:rsidRPr="002275CC">
        <w:rPr>
          <w:rFonts w:ascii="Times New Roman" w:hAnsi="Times New Roman" w:cs="Times New Roman"/>
          <w:sz w:val="20"/>
          <w:szCs w:val="20"/>
          <w:u w:val="single"/>
        </w:rPr>
        <w:t>,</w:t>
      </w:r>
      <w:r w:rsidRPr="002275CC">
        <w:rPr>
          <w:rFonts w:ascii="Times New Roman" w:hAnsi="Times New Roman" w:cs="Times New Roman"/>
          <w:sz w:val="20"/>
          <w:szCs w:val="20"/>
        </w:rPr>
        <w:t xml:space="preserve"> p. 141 (Second Edition, 1988)).  </w:t>
      </w:r>
    </w:p>
  </w:footnote>
  <w:footnote w:id="12">
    <w:p w14:paraId="45DEDDC6" w14:textId="74425A54"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GAW-1T, 18: 8-10.</w:t>
      </w:r>
    </w:p>
  </w:footnote>
  <w:footnote w:id="13">
    <w:p w14:paraId="1D27820D" w14:textId="6032C986"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8: 15-17.  </w:t>
      </w:r>
    </w:p>
  </w:footnote>
  <w:footnote w:id="14">
    <w:p w14:paraId="55127BAF" w14:textId="2C0D23FF"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GAW-1T, 19: 6-12.</w:t>
      </w:r>
    </w:p>
  </w:footnote>
  <w:footnote w:id="15">
    <w:p w14:paraId="76AFFF13" w14:textId="0F2AA53D"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GAW-1T, 21: 8-13.</w:t>
      </w:r>
    </w:p>
  </w:footnote>
  <w:footnote w:id="16">
    <w:p w14:paraId="6CF4C988" w14:textId="4F1C4F40"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25: 8-11; Fulmer, Exh. No. MEF-1Tr, 3: 1-2; Watkins, Exh. No. GAW-1T, 21: 23 – 22: 2.</w:t>
      </w:r>
    </w:p>
  </w:footnote>
  <w:footnote w:id="17">
    <w:p w14:paraId="4916DCF6" w14:textId="5C69AC88"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Dalley, Exh. No. RBD-3T, 2: 16 – 5: 8.  </w:t>
      </w:r>
    </w:p>
  </w:footnote>
  <w:footnote w:id="18">
    <w:p w14:paraId="342F9416" w14:textId="336134D1"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25: 8-11.  (Emphasis added).  </w:t>
      </w:r>
    </w:p>
  </w:footnote>
  <w:footnote w:id="19">
    <w:p w14:paraId="76EE7BEB" w14:textId="51A68958"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Ms. Steward states that 77% of small users bills will be related to energy charges; Steward, Exh. No. JRS-13T, 31: 12-13.</w:t>
      </w:r>
    </w:p>
  </w:footnote>
  <w:footnote w:id="20">
    <w:p w14:paraId="17BDD6BE" w14:textId="4F88CF85"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JRS-1T, 21: 23 – 22: 6. (Emphasis added).    </w:t>
      </w:r>
    </w:p>
  </w:footnote>
  <w:footnote w:id="21">
    <w:p w14:paraId="39363C91" w14:textId="3C1451D2"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10: 17-20 </w:t>
      </w:r>
    </w:p>
  </w:footnote>
  <w:footnote w:id="22">
    <w:p w14:paraId="50735229" w14:textId="2820F1C9"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3: 14-15.  </w:t>
      </w:r>
    </w:p>
  </w:footnote>
  <w:footnote w:id="23">
    <w:p w14:paraId="7BE89C0C" w14:textId="599BB695" w:rsidR="00FD3E1E" w:rsidRPr="002275CC" w:rsidRDefault="00FD3E1E" w:rsidP="00696AD1">
      <w:pPr>
        <w:pStyle w:val="BodyText"/>
        <w:kinsoku w:val="0"/>
        <w:overflowPunct w:val="0"/>
        <w:spacing w:line="189" w:lineRule="exact"/>
        <w:ind w:left="0"/>
        <w:rPr>
          <w:sz w:val="20"/>
          <w:szCs w:val="20"/>
        </w:rPr>
      </w:pPr>
      <w:r w:rsidRPr="002275CC">
        <w:rPr>
          <w:rStyle w:val="FootnoteReference"/>
          <w:sz w:val="20"/>
          <w:szCs w:val="20"/>
        </w:rPr>
        <w:footnoteRef/>
      </w:r>
      <w:r w:rsidRPr="002275CC">
        <w:rPr>
          <w:sz w:val="20"/>
          <w:szCs w:val="20"/>
        </w:rPr>
        <w:t xml:space="preserve"> </w:t>
      </w:r>
      <w:r w:rsidRPr="002275CC">
        <w:rPr>
          <w:w w:val="105"/>
          <w:sz w:val="20"/>
          <w:szCs w:val="20"/>
        </w:rPr>
        <w:t>E.g.,</w:t>
      </w:r>
      <w:r w:rsidRPr="002275CC">
        <w:rPr>
          <w:spacing w:val="-10"/>
          <w:w w:val="105"/>
          <w:sz w:val="20"/>
          <w:szCs w:val="20"/>
        </w:rPr>
        <w:t xml:space="preserve"> </w:t>
      </w:r>
      <w:r w:rsidRPr="002275CC">
        <w:rPr>
          <w:spacing w:val="1"/>
          <w:w w:val="105"/>
          <w:sz w:val="20"/>
          <w:szCs w:val="20"/>
        </w:rPr>
        <w:t>The</w:t>
      </w:r>
      <w:r w:rsidRPr="002275CC">
        <w:rPr>
          <w:spacing w:val="-9"/>
          <w:w w:val="105"/>
          <w:sz w:val="20"/>
          <w:szCs w:val="20"/>
        </w:rPr>
        <w:t xml:space="preserve"> </w:t>
      </w:r>
      <w:r w:rsidRPr="002275CC">
        <w:rPr>
          <w:spacing w:val="1"/>
          <w:w w:val="105"/>
          <w:sz w:val="20"/>
          <w:szCs w:val="20"/>
        </w:rPr>
        <w:t>Commission’s</w:t>
      </w:r>
      <w:r w:rsidRPr="002275CC">
        <w:rPr>
          <w:spacing w:val="-10"/>
          <w:w w:val="105"/>
          <w:sz w:val="20"/>
          <w:szCs w:val="20"/>
        </w:rPr>
        <w:t xml:space="preserve"> </w:t>
      </w:r>
      <w:r w:rsidRPr="002275CC">
        <w:rPr>
          <w:w w:val="105"/>
          <w:sz w:val="20"/>
          <w:szCs w:val="20"/>
        </w:rPr>
        <w:t>Final</w:t>
      </w:r>
      <w:r w:rsidRPr="002275CC">
        <w:rPr>
          <w:spacing w:val="-9"/>
          <w:w w:val="105"/>
          <w:sz w:val="20"/>
          <w:szCs w:val="20"/>
        </w:rPr>
        <w:t xml:space="preserve"> </w:t>
      </w:r>
      <w:r w:rsidRPr="002275CC">
        <w:rPr>
          <w:spacing w:val="1"/>
          <w:w w:val="105"/>
          <w:sz w:val="20"/>
          <w:szCs w:val="20"/>
        </w:rPr>
        <w:t>Order</w:t>
      </w:r>
      <w:r w:rsidRPr="002275CC">
        <w:rPr>
          <w:spacing w:val="-10"/>
          <w:w w:val="105"/>
          <w:sz w:val="20"/>
          <w:szCs w:val="20"/>
        </w:rPr>
        <w:t xml:space="preserve"> </w:t>
      </w:r>
      <w:r w:rsidRPr="002275CC">
        <w:rPr>
          <w:w w:val="105"/>
          <w:sz w:val="20"/>
          <w:szCs w:val="20"/>
        </w:rPr>
        <w:t>in</w:t>
      </w:r>
      <w:r w:rsidRPr="002275CC">
        <w:rPr>
          <w:spacing w:val="-8"/>
          <w:w w:val="105"/>
          <w:sz w:val="20"/>
          <w:szCs w:val="20"/>
        </w:rPr>
        <w:t xml:space="preserve"> </w:t>
      </w:r>
      <w:r w:rsidRPr="002275CC">
        <w:rPr>
          <w:spacing w:val="1"/>
          <w:w w:val="105"/>
          <w:sz w:val="20"/>
          <w:szCs w:val="20"/>
        </w:rPr>
        <w:t>Docket</w:t>
      </w:r>
      <w:r w:rsidRPr="002275CC">
        <w:rPr>
          <w:spacing w:val="-10"/>
          <w:w w:val="105"/>
          <w:sz w:val="20"/>
          <w:szCs w:val="20"/>
        </w:rPr>
        <w:t xml:space="preserve"> </w:t>
      </w:r>
      <w:r w:rsidRPr="002275CC">
        <w:rPr>
          <w:spacing w:val="1"/>
          <w:w w:val="105"/>
          <w:sz w:val="20"/>
          <w:szCs w:val="20"/>
        </w:rPr>
        <w:t>UE-130043</w:t>
      </w:r>
      <w:r w:rsidRPr="002275CC">
        <w:rPr>
          <w:spacing w:val="-9"/>
          <w:w w:val="105"/>
          <w:sz w:val="20"/>
          <w:szCs w:val="20"/>
        </w:rPr>
        <w:t xml:space="preserve"> </w:t>
      </w:r>
      <w:r w:rsidRPr="002275CC">
        <w:rPr>
          <w:w w:val="105"/>
          <w:sz w:val="20"/>
          <w:szCs w:val="20"/>
        </w:rPr>
        <w:t>cites</w:t>
      </w:r>
      <w:r w:rsidRPr="002275CC">
        <w:rPr>
          <w:spacing w:val="-9"/>
          <w:w w:val="105"/>
          <w:sz w:val="20"/>
          <w:szCs w:val="20"/>
        </w:rPr>
        <w:t xml:space="preserve"> </w:t>
      </w:r>
      <w:r w:rsidRPr="002275CC">
        <w:rPr>
          <w:w w:val="105"/>
          <w:sz w:val="20"/>
          <w:szCs w:val="20"/>
        </w:rPr>
        <w:t>the</w:t>
      </w:r>
      <w:r w:rsidRPr="002275CC">
        <w:rPr>
          <w:spacing w:val="-9"/>
          <w:w w:val="105"/>
          <w:sz w:val="20"/>
          <w:szCs w:val="20"/>
        </w:rPr>
        <w:t xml:space="preserve"> </w:t>
      </w:r>
      <w:r w:rsidRPr="002275CC">
        <w:rPr>
          <w:w w:val="105"/>
          <w:sz w:val="20"/>
          <w:szCs w:val="20"/>
        </w:rPr>
        <w:t>princip</w:t>
      </w:r>
      <w:r>
        <w:rPr>
          <w:w w:val="105"/>
          <w:sz w:val="20"/>
          <w:szCs w:val="20"/>
        </w:rPr>
        <w:t>le</w:t>
      </w:r>
      <w:r w:rsidRPr="002275CC">
        <w:rPr>
          <w:spacing w:val="-10"/>
          <w:w w:val="105"/>
          <w:sz w:val="20"/>
          <w:szCs w:val="20"/>
        </w:rPr>
        <w:t xml:space="preserve"> </w:t>
      </w:r>
      <w:r w:rsidRPr="002275CC">
        <w:rPr>
          <w:w w:val="105"/>
          <w:sz w:val="20"/>
          <w:szCs w:val="20"/>
        </w:rPr>
        <w:t>of</w:t>
      </w:r>
      <w:r w:rsidRPr="002275CC">
        <w:rPr>
          <w:spacing w:val="-9"/>
          <w:w w:val="105"/>
          <w:sz w:val="20"/>
          <w:szCs w:val="20"/>
        </w:rPr>
        <w:t xml:space="preserve"> </w:t>
      </w:r>
      <w:r w:rsidRPr="002275CC">
        <w:rPr>
          <w:w w:val="105"/>
          <w:sz w:val="20"/>
          <w:szCs w:val="20"/>
        </w:rPr>
        <w:t>gradualism</w:t>
      </w:r>
      <w:r w:rsidRPr="002275CC">
        <w:rPr>
          <w:spacing w:val="-9"/>
          <w:w w:val="105"/>
          <w:sz w:val="20"/>
          <w:szCs w:val="20"/>
        </w:rPr>
        <w:t xml:space="preserve"> </w:t>
      </w:r>
      <w:r w:rsidRPr="002275CC">
        <w:rPr>
          <w:w w:val="105"/>
          <w:sz w:val="20"/>
          <w:szCs w:val="20"/>
        </w:rPr>
        <w:t>3</w:t>
      </w:r>
      <w:r w:rsidRPr="002275CC">
        <w:rPr>
          <w:spacing w:val="-9"/>
          <w:w w:val="105"/>
          <w:sz w:val="20"/>
          <w:szCs w:val="20"/>
        </w:rPr>
        <w:t xml:space="preserve"> </w:t>
      </w:r>
      <w:r w:rsidRPr="002275CC">
        <w:rPr>
          <w:w w:val="105"/>
          <w:sz w:val="20"/>
          <w:szCs w:val="20"/>
        </w:rPr>
        <w:t>separate</w:t>
      </w:r>
      <w:r w:rsidRPr="002275CC">
        <w:rPr>
          <w:spacing w:val="-9"/>
          <w:w w:val="105"/>
          <w:sz w:val="20"/>
          <w:szCs w:val="20"/>
        </w:rPr>
        <w:t xml:space="preserve"> </w:t>
      </w:r>
      <w:r w:rsidRPr="002275CC">
        <w:rPr>
          <w:w w:val="105"/>
          <w:sz w:val="20"/>
          <w:szCs w:val="20"/>
        </w:rPr>
        <w:t>times.</w:t>
      </w:r>
    </w:p>
  </w:footnote>
  <w:footnote w:id="24">
    <w:p w14:paraId="4D39279A" w14:textId="637597D6"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sidRPr="002275CC">
        <w:rPr>
          <w:rFonts w:ascii="Times New Roman" w:hAnsi="Times New Roman" w:cs="Times New Roman"/>
          <w:sz w:val="20"/>
          <w:szCs w:val="20"/>
        </w:rPr>
        <w:t xml:space="preserve">, Docket UE-111190, Order 07 at </w:t>
      </w:r>
      <w:r w:rsidRPr="002275CC">
        <w:rPr>
          <w:rFonts w:ascii="Times New Roman" w:hAnsi="Times New Roman" w:cs="Times New Roman"/>
          <w:color w:val="000000"/>
          <w:sz w:val="20"/>
          <w:szCs w:val="20"/>
        </w:rPr>
        <w:t>¶ 39 (</w:t>
      </w:r>
      <w:r w:rsidRPr="002275CC">
        <w:rPr>
          <w:rFonts w:ascii="Times New Roman" w:hAnsi="Times New Roman" w:cs="Times New Roman"/>
          <w:sz w:val="20"/>
          <w:szCs w:val="20"/>
        </w:rPr>
        <w:t>March 30, 2012).</w:t>
      </w:r>
    </w:p>
  </w:footnote>
  <w:footnote w:id="25">
    <w:p w14:paraId="6FEB90B4" w14:textId="5367693F"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Pr>
          <w:rFonts w:ascii="Times New Roman" w:hAnsi="Times New Roman" w:cs="Times New Roman"/>
          <w:i/>
          <w:sz w:val="20"/>
          <w:szCs w:val="20"/>
        </w:rPr>
        <w:t>,</w:t>
      </w:r>
      <w:r w:rsidRPr="002275CC">
        <w:rPr>
          <w:rFonts w:ascii="Times New Roman" w:hAnsi="Times New Roman" w:cs="Times New Roman"/>
          <w:sz w:val="20"/>
          <w:szCs w:val="20"/>
        </w:rPr>
        <w:t xml:space="preserve"> </w:t>
      </w:r>
      <w:r w:rsidRPr="002275CC">
        <w:rPr>
          <w:rFonts w:ascii="Times New Roman" w:hAnsi="Times New Roman" w:cs="Times New Roman"/>
          <w:spacing w:val="1"/>
          <w:w w:val="105"/>
          <w:sz w:val="20"/>
          <w:szCs w:val="20"/>
        </w:rPr>
        <w:t>Docket</w:t>
      </w:r>
      <w:r w:rsidRPr="002275CC">
        <w:rPr>
          <w:rFonts w:ascii="Times New Roman" w:hAnsi="Times New Roman" w:cs="Times New Roman"/>
          <w:spacing w:val="-10"/>
          <w:w w:val="105"/>
          <w:sz w:val="20"/>
          <w:szCs w:val="20"/>
        </w:rPr>
        <w:t xml:space="preserve"> </w:t>
      </w:r>
      <w:r w:rsidRPr="002275CC">
        <w:rPr>
          <w:rFonts w:ascii="Times New Roman" w:hAnsi="Times New Roman" w:cs="Times New Roman"/>
          <w:spacing w:val="1"/>
          <w:w w:val="105"/>
          <w:sz w:val="20"/>
          <w:szCs w:val="20"/>
        </w:rPr>
        <w:t>UE-130043, Order 05</w:t>
      </w:r>
      <w:r>
        <w:rPr>
          <w:rFonts w:ascii="Times New Roman" w:hAnsi="Times New Roman" w:cs="Times New Roman"/>
          <w:spacing w:val="1"/>
          <w:w w:val="105"/>
          <w:sz w:val="20"/>
          <w:szCs w:val="20"/>
        </w:rPr>
        <w:t xml:space="preserve"> at</w:t>
      </w:r>
      <w:r w:rsidRPr="002275CC">
        <w:rPr>
          <w:rFonts w:ascii="Times New Roman" w:hAnsi="Times New Roman" w:cs="Times New Roman"/>
          <w:spacing w:val="1"/>
          <w:w w:val="105"/>
          <w:sz w:val="20"/>
          <w:szCs w:val="20"/>
        </w:rPr>
        <w:t xml:space="preserve"> </w:t>
      </w:r>
      <w:r w:rsidRPr="002275CC">
        <w:rPr>
          <w:rFonts w:ascii="Times New Roman" w:hAnsi="Times New Roman" w:cs="Times New Roman"/>
          <w:color w:val="000000"/>
          <w:sz w:val="20"/>
          <w:szCs w:val="20"/>
        </w:rPr>
        <w:t>¶</w:t>
      </w:r>
      <w:r w:rsidRPr="002275CC">
        <w:rPr>
          <w:rFonts w:ascii="Times New Roman" w:hAnsi="Times New Roman" w:cs="Times New Roman"/>
          <w:spacing w:val="1"/>
          <w:w w:val="105"/>
          <w:sz w:val="20"/>
          <w:szCs w:val="20"/>
        </w:rPr>
        <w:t xml:space="preserve"> 246 (December 4, 2013).</w:t>
      </w:r>
    </w:p>
  </w:footnote>
  <w:footnote w:id="26">
    <w:p w14:paraId="247982AF" w14:textId="78F1CDCE"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3: 21-22.  </w:t>
      </w:r>
    </w:p>
  </w:footnote>
  <w:footnote w:id="27">
    <w:p w14:paraId="7E019A5D" w14:textId="6793A8AD"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4.  </w:t>
      </w:r>
    </w:p>
  </w:footnote>
  <w:footnote w:id="28">
    <w:p w14:paraId="4DF2B20F" w14:textId="688F3C7C"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4: 3-5. </w:t>
      </w:r>
    </w:p>
  </w:footnote>
  <w:footnote w:id="29">
    <w:p w14:paraId="0FC94E71" w14:textId="405D5965" w:rsidR="00FD3E1E" w:rsidRPr="002275CC" w:rsidRDefault="00FD3E1E">
      <w:pPr>
        <w:pStyle w:val="FootnoteText"/>
        <w:rPr>
          <w:rFonts w:ascii="Times New Roman" w:hAnsi="Times New Roman" w:cs="Times New Roman"/>
          <w:color w:val="000000"/>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sidRPr="002275CC">
        <w:rPr>
          <w:rFonts w:ascii="Times New Roman" w:hAnsi="Times New Roman" w:cs="Times New Roman"/>
          <w:sz w:val="20"/>
          <w:szCs w:val="20"/>
        </w:rPr>
        <w:t>, Docket UE-100749</w:t>
      </w:r>
      <w:r>
        <w:rPr>
          <w:rFonts w:ascii="Times New Roman" w:hAnsi="Times New Roman" w:cs="Times New Roman"/>
          <w:sz w:val="20"/>
          <w:szCs w:val="20"/>
        </w:rPr>
        <w:t xml:space="preserve">, Order 06 </w:t>
      </w:r>
      <w:r>
        <w:rPr>
          <w:rFonts w:ascii="Times New Roman" w:hAnsi="Times New Roman" w:cs="Times New Roman"/>
          <w:color w:val="000000"/>
          <w:sz w:val="20"/>
          <w:szCs w:val="20"/>
        </w:rPr>
        <w:t>¶315 (</w:t>
      </w:r>
      <w:r w:rsidRPr="002275CC">
        <w:rPr>
          <w:rFonts w:ascii="Times New Roman" w:hAnsi="Times New Roman" w:cs="Times New Roman"/>
          <w:sz w:val="20"/>
          <w:szCs w:val="20"/>
        </w:rPr>
        <w:t>March 25, 2011</w:t>
      </w:r>
      <w:r>
        <w:rPr>
          <w:rFonts w:ascii="Times New Roman" w:hAnsi="Times New Roman" w:cs="Times New Roman"/>
          <w:sz w:val="20"/>
          <w:szCs w:val="20"/>
        </w:rPr>
        <w:t>).</w:t>
      </w:r>
    </w:p>
  </w:footnote>
  <w:footnote w:id="30">
    <w:p w14:paraId="38A44B6A" w14:textId="758E6D44"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sidRPr="002275CC">
        <w:rPr>
          <w:rFonts w:ascii="Times New Roman" w:hAnsi="Times New Roman" w:cs="Times New Roman"/>
          <w:sz w:val="20"/>
          <w:szCs w:val="20"/>
        </w:rPr>
        <w:t>, Docket UE-100749</w:t>
      </w:r>
      <w:r>
        <w:rPr>
          <w:rFonts w:ascii="Times New Roman" w:hAnsi="Times New Roman" w:cs="Times New Roman"/>
          <w:sz w:val="20"/>
          <w:szCs w:val="20"/>
        </w:rPr>
        <w:t xml:space="preserve">, Order 06 </w:t>
      </w:r>
      <w:r>
        <w:rPr>
          <w:rFonts w:ascii="Times New Roman" w:hAnsi="Times New Roman" w:cs="Times New Roman"/>
          <w:color w:val="000000"/>
          <w:sz w:val="20"/>
          <w:szCs w:val="20"/>
        </w:rPr>
        <w:t>¶316 (</w:t>
      </w:r>
      <w:r w:rsidRPr="002275CC">
        <w:rPr>
          <w:rFonts w:ascii="Times New Roman" w:hAnsi="Times New Roman" w:cs="Times New Roman"/>
          <w:sz w:val="20"/>
          <w:szCs w:val="20"/>
        </w:rPr>
        <w:t>March 25, 2011</w:t>
      </w:r>
      <w:r>
        <w:rPr>
          <w:rFonts w:ascii="Times New Roman" w:hAnsi="Times New Roman" w:cs="Times New Roman"/>
          <w:sz w:val="20"/>
          <w:szCs w:val="20"/>
        </w:rPr>
        <w:t>).</w:t>
      </w:r>
    </w:p>
  </w:footnote>
  <w:footnote w:id="31">
    <w:p w14:paraId="1B23BB83" w14:textId="29B81EA7"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sidRPr="002275CC">
        <w:rPr>
          <w:rFonts w:ascii="Times New Roman" w:hAnsi="Times New Roman" w:cs="Times New Roman"/>
          <w:sz w:val="20"/>
          <w:szCs w:val="20"/>
        </w:rPr>
        <w:t>, Docket UE-100749</w:t>
      </w:r>
      <w:r>
        <w:rPr>
          <w:rFonts w:ascii="Times New Roman" w:hAnsi="Times New Roman" w:cs="Times New Roman"/>
          <w:sz w:val="20"/>
          <w:szCs w:val="20"/>
        </w:rPr>
        <w:t xml:space="preserve">, Order 06 </w:t>
      </w:r>
      <w:r>
        <w:rPr>
          <w:rFonts w:ascii="Times New Roman" w:hAnsi="Times New Roman" w:cs="Times New Roman"/>
          <w:color w:val="000000"/>
          <w:sz w:val="20"/>
          <w:szCs w:val="20"/>
        </w:rPr>
        <w:t>¶333 (</w:t>
      </w:r>
      <w:r w:rsidRPr="002275CC">
        <w:rPr>
          <w:rFonts w:ascii="Times New Roman" w:hAnsi="Times New Roman" w:cs="Times New Roman"/>
          <w:sz w:val="20"/>
          <w:szCs w:val="20"/>
        </w:rPr>
        <w:t>March 25, 2011</w:t>
      </w:r>
      <w:r>
        <w:rPr>
          <w:rFonts w:ascii="Times New Roman" w:hAnsi="Times New Roman" w:cs="Times New Roman"/>
          <w:sz w:val="20"/>
          <w:szCs w:val="20"/>
        </w:rPr>
        <w:t>).</w:t>
      </w:r>
    </w:p>
  </w:footnote>
  <w:footnote w:id="32">
    <w:p w14:paraId="05402A40" w14:textId="1C1A63F9"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Eberdt, Exh. No. CME-9T, 11: 3-7.</w:t>
      </w:r>
    </w:p>
  </w:footnote>
  <w:footnote w:id="33">
    <w:p w14:paraId="60AE5197" w14:textId="2420F138" w:rsidR="00FD3E1E" w:rsidRPr="002275CC" w:rsidRDefault="00FD3E1E" w:rsidP="00F20C7D">
      <w:pPr>
        <w:pStyle w:val="FootnoteText"/>
        <w:ind w:left="-810" w:firstLine="810"/>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sidRPr="002275CC">
        <w:rPr>
          <w:rFonts w:ascii="Times New Roman" w:hAnsi="Times New Roman" w:cs="Times New Roman"/>
          <w:sz w:val="20"/>
          <w:szCs w:val="20"/>
        </w:rPr>
        <w:t>, Docket UE-080220</w:t>
      </w:r>
      <w:r>
        <w:rPr>
          <w:rFonts w:ascii="Times New Roman" w:hAnsi="Times New Roman" w:cs="Times New Roman"/>
          <w:sz w:val="20"/>
          <w:szCs w:val="20"/>
        </w:rPr>
        <w:t xml:space="preserve">, Order 05 at </w:t>
      </w:r>
      <w:r>
        <w:rPr>
          <w:rFonts w:ascii="Times New Roman" w:hAnsi="Times New Roman" w:cs="Times New Roman"/>
          <w:color w:val="000000"/>
          <w:sz w:val="20"/>
          <w:szCs w:val="20"/>
        </w:rPr>
        <w:t>¶16</w:t>
      </w:r>
      <w:r w:rsidRPr="002275CC">
        <w:rPr>
          <w:rFonts w:ascii="Times New Roman" w:hAnsi="Times New Roman" w:cs="Times New Roman"/>
          <w:sz w:val="20"/>
          <w:szCs w:val="20"/>
        </w:rPr>
        <w:t xml:space="preserve"> </w:t>
      </w:r>
      <w:r>
        <w:rPr>
          <w:rFonts w:ascii="Times New Roman" w:hAnsi="Times New Roman" w:cs="Times New Roman"/>
          <w:sz w:val="20"/>
          <w:szCs w:val="20"/>
        </w:rPr>
        <w:t>(</w:t>
      </w:r>
      <w:r w:rsidRPr="002275CC">
        <w:rPr>
          <w:rFonts w:ascii="Times New Roman" w:hAnsi="Times New Roman" w:cs="Times New Roman"/>
          <w:sz w:val="20"/>
          <w:szCs w:val="20"/>
        </w:rPr>
        <w:t>October 8, 2008</w:t>
      </w:r>
      <w:r>
        <w:rPr>
          <w:rFonts w:ascii="Times New Roman" w:hAnsi="Times New Roman" w:cs="Times New Roman"/>
          <w:sz w:val="20"/>
          <w:szCs w:val="20"/>
        </w:rPr>
        <w:t>).</w:t>
      </w:r>
      <w:r w:rsidRPr="002275CC">
        <w:rPr>
          <w:rFonts w:ascii="Times New Roman" w:hAnsi="Times New Roman" w:cs="Times New Roman"/>
          <w:sz w:val="20"/>
          <w:szCs w:val="20"/>
        </w:rPr>
        <w:t xml:space="preserve"> </w:t>
      </w:r>
    </w:p>
  </w:footnote>
  <w:footnote w:id="34">
    <w:p w14:paraId="1A7CEB5E" w14:textId="12A516FB" w:rsidR="00FD3E1E" w:rsidRPr="002275CC" w:rsidRDefault="00FD3E1E" w:rsidP="00CF3A64">
      <w:pPr>
        <w:pStyle w:val="FootnoteText"/>
        <w:ind w:left="180" w:hanging="180"/>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Pr>
          <w:rFonts w:ascii="Times New Roman" w:hAnsi="Times New Roman" w:cs="Times New Roman"/>
          <w:sz w:val="20"/>
          <w:szCs w:val="20"/>
        </w:rPr>
        <w:t>, Docket UE-090205, Order 09</w:t>
      </w:r>
      <w:r w:rsidRPr="002275CC">
        <w:rPr>
          <w:rFonts w:ascii="Times New Roman" w:hAnsi="Times New Roman" w:cs="Times New Roman"/>
          <w:sz w:val="20"/>
          <w:szCs w:val="20"/>
        </w:rPr>
        <w:t xml:space="preserve"> </w:t>
      </w:r>
      <w:r>
        <w:rPr>
          <w:rFonts w:ascii="Times New Roman" w:hAnsi="Times New Roman" w:cs="Times New Roman"/>
          <w:sz w:val="20"/>
          <w:szCs w:val="20"/>
        </w:rPr>
        <w:t xml:space="preserve">at </w:t>
      </w:r>
      <w:r>
        <w:rPr>
          <w:rFonts w:ascii="Times New Roman" w:hAnsi="Times New Roman" w:cs="Times New Roman"/>
          <w:color w:val="000000"/>
          <w:sz w:val="20"/>
          <w:szCs w:val="20"/>
        </w:rPr>
        <w:t xml:space="preserve">¶19 </w:t>
      </w:r>
      <w:r>
        <w:rPr>
          <w:rFonts w:ascii="Times New Roman" w:hAnsi="Times New Roman" w:cs="Times New Roman"/>
          <w:sz w:val="20"/>
          <w:szCs w:val="20"/>
        </w:rPr>
        <w:t>(December 16, 2009)</w:t>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Pr>
          <w:rFonts w:ascii="Times New Roman" w:hAnsi="Times New Roman" w:cs="Times New Roman"/>
          <w:sz w:val="20"/>
          <w:szCs w:val="20"/>
        </w:rPr>
        <w:t>, Docket UE-090205,</w:t>
      </w:r>
      <w:r w:rsidRPr="002275CC">
        <w:rPr>
          <w:rFonts w:ascii="Times New Roman" w:hAnsi="Times New Roman" w:cs="Times New Roman"/>
          <w:sz w:val="20"/>
          <w:szCs w:val="20"/>
        </w:rPr>
        <w:t xml:space="preserve"> Initial Filing Tariff Pages</w:t>
      </w:r>
      <w:r>
        <w:rPr>
          <w:rFonts w:ascii="Times New Roman" w:hAnsi="Times New Roman" w:cs="Times New Roman"/>
          <w:sz w:val="20"/>
          <w:szCs w:val="20"/>
        </w:rPr>
        <w:t xml:space="preserve"> at</w:t>
      </w:r>
      <w:r w:rsidRPr="002275CC">
        <w:rPr>
          <w:rFonts w:ascii="Times New Roman" w:hAnsi="Times New Roman" w:cs="Times New Roman"/>
          <w:sz w:val="20"/>
          <w:szCs w:val="20"/>
        </w:rPr>
        <w:t xml:space="preserve"> </w:t>
      </w:r>
      <w:r>
        <w:rPr>
          <w:rFonts w:ascii="Times New Roman" w:hAnsi="Times New Roman" w:cs="Times New Roman"/>
          <w:sz w:val="20"/>
          <w:szCs w:val="20"/>
        </w:rPr>
        <w:t xml:space="preserve">p.2 (February 9, 2009). </w:t>
      </w:r>
    </w:p>
  </w:footnote>
  <w:footnote w:id="35">
    <w:p w14:paraId="4C3D2646" w14:textId="35B6E05E" w:rsidR="00FD3E1E" w:rsidRPr="002275CC" w:rsidRDefault="00FD3E1E" w:rsidP="00253746">
      <w:pPr>
        <w:pStyle w:val="FootnoteText"/>
        <w:ind w:left="180" w:hanging="180"/>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sidRPr="002275CC">
        <w:rPr>
          <w:rFonts w:ascii="Times New Roman" w:hAnsi="Times New Roman" w:cs="Times New Roman"/>
          <w:sz w:val="20"/>
          <w:szCs w:val="20"/>
        </w:rPr>
        <w:t>, Docket UE-100749</w:t>
      </w:r>
      <w:r w:rsidRPr="00BD0ED2">
        <w:rPr>
          <w:rFonts w:ascii="Times New Roman" w:hAnsi="Times New Roman" w:cs="Times New Roman"/>
          <w:sz w:val="20"/>
          <w:szCs w:val="20"/>
        </w:rPr>
        <w:t xml:space="preserve"> </w:t>
      </w:r>
      <w:r>
        <w:rPr>
          <w:rFonts w:ascii="Times New Roman" w:hAnsi="Times New Roman" w:cs="Times New Roman"/>
          <w:sz w:val="20"/>
          <w:szCs w:val="20"/>
        </w:rPr>
        <w:t xml:space="preserve">Order 06 at </w:t>
      </w:r>
      <w:r>
        <w:rPr>
          <w:rFonts w:ascii="Times New Roman" w:hAnsi="Times New Roman" w:cs="Times New Roman"/>
          <w:color w:val="000000"/>
          <w:sz w:val="20"/>
          <w:szCs w:val="20"/>
        </w:rPr>
        <w:t>¶330 (</w:t>
      </w:r>
      <w:r w:rsidRPr="002275CC">
        <w:rPr>
          <w:rFonts w:ascii="Times New Roman" w:hAnsi="Times New Roman" w:cs="Times New Roman"/>
          <w:sz w:val="20"/>
          <w:szCs w:val="20"/>
        </w:rPr>
        <w:t>March 25, 2011</w:t>
      </w:r>
      <w:r>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sidRPr="002275CC">
        <w:rPr>
          <w:rFonts w:ascii="Times New Roman" w:hAnsi="Times New Roman" w:cs="Times New Roman"/>
          <w:sz w:val="20"/>
          <w:szCs w:val="20"/>
        </w:rPr>
        <w:t>, Docket UE-100749</w:t>
      </w:r>
      <w:r w:rsidRPr="00BD0ED2">
        <w:rPr>
          <w:rFonts w:ascii="Times New Roman" w:hAnsi="Times New Roman" w:cs="Times New Roman"/>
          <w:sz w:val="20"/>
          <w:szCs w:val="20"/>
        </w:rPr>
        <w:t xml:space="preserve"> </w:t>
      </w:r>
      <w:r>
        <w:rPr>
          <w:rFonts w:ascii="Times New Roman" w:hAnsi="Times New Roman" w:cs="Times New Roman"/>
          <w:sz w:val="20"/>
          <w:szCs w:val="20"/>
        </w:rPr>
        <w:t xml:space="preserve">Order 06 at </w:t>
      </w:r>
      <w:r>
        <w:rPr>
          <w:rFonts w:ascii="Times New Roman" w:hAnsi="Times New Roman" w:cs="Times New Roman"/>
          <w:color w:val="000000"/>
          <w:sz w:val="20"/>
          <w:szCs w:val="20"/>
        </w:rPr>
        <w:t>¶332 (</w:t>
      </w:r>
      <w:r w:rsidRPr="002275CC">
        <w:rPr>
          <w:rFonts w:ascii="Times New Roman" w:hAnsi="Times New Roman" w:cs="Times New Roman"/>
          <w:sz w:val="20"/>
          <w:szCs w:val="20"/>
        </w:rPr>
        <w:t>March 25, 2011</w:t>
      </w:r>
      <w:r>
        <w:rPr>
          <w:rFonts w:ascii="Times New Roman" w:hAnsi="Times New Roman" w:cs="Times New Roman"/>
          <w:sz w:val="20"/>
          <w:szCs w:val="20"/>
        </w:rPr>
        <w:t>).</w:t>
      </w:r>
    </w:p>
  </w:footnote>
  <w:footnote w:id="36">
    <w:p w14:paraId="60F22C03" w14:textId="51B8A0E3" w:rsidR="00FD3E1E" w:rsidRPr="002275CC" w:rsidRDefault="00FD3E1E" w:rsidP="00592A43">
      <w:pPr>
        <w:pStyle w:val="FootnoteText"/>
        <w:ind w:left="180" w:hanging="180"/>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sidRPr="002275CC">
        <w:rPr>
          <w:rFonts w:ascii="Times New Roman" w:hAnsi="Times New Roman" w:cs="Times New Roman"/>
          <w:sz w:val="20"/>
          <w:szCs w:val="20"/>
        </w:rPr>
        <w:t>, Docket UE-111190</w:t>
      </w:r>
      <w:r>
        <w:rPr>
          <w:rFonts w:ascii="Times New Roman" w:hAnsi="Times New Roman" w:cs="Times New Roman"/>
          <w:sz w:val="20"/>
          <w:szCs w:val="20"/>
        </w:rPr>
        <w:t xml:space="preserve">, Order 07 at </w:t>
      </w:r>
      <w:r>
        <w:rPr>
          <w:rFonts w:ascii="Times New Roman" w:hAnsi="Times New Roman" w:cs="Times New Roman"/>
          <w:color w:val="000000"/>
          <w:sz w:val="20"/>
          <w:szCs w:val="20"/>
        </w:rPr>
        <w:t>¶16</w:t>
      </w:r>
      <w:r w:rsidRPr="002275CC">
        <w:rPr>
          <w:rFonts w:ascii="Times New Roman" w:hAnsi="Times New Roman" w:cs="Times New Roman"/>
          <w:sz w:val="20"/>
          <w:szCs w:val="20"/>
        </w:rPr>
        <w:t xml:space="preserve"> </w:t>
      </w:r>
      <w:r>
        <w:rPr>
          <w:rFonts w:ascii="Times New Roman" w:hAnsi="Times New Roman" w:cs="Times New Roman"/>
          <w:sz w:val="20"/>
          <w:szCs w:val="20"/>
        </w:rPr>
        <w:t>(</w:t>
      </w:r>
      <w:r w:rsidRPr="002275CC">
        <w:rPr>
          <w:rFonts w:ascii="Times New Roman" w:hAnsi="Times New Roman" w:cs="Times New Roman"/>
          <w:sz w:val="20"/>
          <w:szCs w:val="20"/>
        </w:rPr>
        <w:t>March 30, 2012</w:t>
      </w:r>
      <w:r>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sidRPr="002275CC">
        <w:rPr>
          <w:rFonts w:ascii="Times New Roman" w:hAnsi="Times New Roman" w:cs="Times New Roman"/>
          <w:sz w:val="20"/>
          <w:szCs w:val="20"/>
        </w:rPr>
        <w:t>, Docket UE-111190</w:t>
      </w:r>
      <w:r>
        <w:rPr>
          <w:rFonts w:ascii="Times New Roman" w:hAnsi="Times New Roman" w:cs="Times New Roman"/>
          <w:sz w:val="20"/>
          <w:szCs w:val="20"/>
        </w:rPr>
        <w:t xml:space="preserve">, Order 07 at </w:t>
      </w:r>
      <w:r>
        <w:rPr>
          <w:rFonts w:ascii="Times New Roman" w:hAnsi="Times New Roman" w:cs="Times New Roman"/>
          <w:color w:val="000000"/>
          <w:sz w:val="20"/>
          <w:szCs w:val="20"/>
        </w:rPr>
        <w:t xml:space="preserve">¶39 </w:t>
      </w:r>
      <w:r>
        <w:rPr>
          <w:rFonts w:ascii="Times New Roman" w:hAnsi="Times New Roman" w:cs="Times New Roman"/>
          <w:sz w:val="20"/>
          <w:szCs w:val="20"/>
        </w:rPr>
        <w:t>(</w:t>
      </w:r>
      <w:r w:rsidRPr="002275CC">
        <w:rPr>
          <w:rFonts w:ascii="Times New Roman" w:hAnsi="Times New Roman" w:cs="Times New Roman"/>
          <w:sz w:val="20"/>
          <w:szCs w:val="20"/>
        </w:rPr>
        <w:t>March 30, 2012</w:t>
      </w:r>
      <w:r>
        <w:rPr>
          <w:rFonts w:ascii="Times New Roman" w:hAnsi="Times New Roman" w:cs="Times New Roman"/>
          <w:sz w:val="20"/>
          <w:szCs w:val="20"/>
        </w:rPr>
        <w:t>).</w:t>
      </w:r>
      <w:r w:rsidRPr="002275CC">
        <w:rPr>
          <w:rFonts w:ascii="Times New Roman" w:hAnsi="Times New Roman" w:cs="Times New Roman"/>
          <w:sz w:val="20"/>
          <w:szCs w:val="20"/>
        </w:rPr>
        <w:t xml:space="preserve"> </w:t>
      </w:r>
    </w:p>
  </w:footnote>
  <w:footnote w:id="37">
    <w:p w14:paraId="458F4E19" w14:textId="489BC2D6" w:rsidR="00FD3E1E" w:rsidRPr="002275CC" w:rsidRDefault="00FD3E1E" w:rsidP="001404AA">
      <w:pPr>
        <w:pStyle w:val="FootnoteText"/>
        <w:ind w:left="180" w:hanging="180"/>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PacifiCorp, d/b/a Pacific Power &amp; Light Co.</w:t>
      </w:r>
      <w:r w:rsidRPr="002275CC">
        <w:rPr>
          <w:rFonts w:ascii="Times New Roman" w:hAnsi="Times New Roman" w:cs="Times New Roman"/>
          <w:sz w:val="20"/>
          <w:szCs w:val="20"/>
        </w:rPr>
        <w:t xml:space="preserve"> </w:t>
      </w:r>
      <w:r w:rsidRPr="002275CC">
        <w:rPr>
          <w:rFonts w:ascii="Times New Roman" w:hAnsi="Times New Roman" w:cs="Times New Roman"/>
          <w:spacing w:val="1"/>
          <w:w w:val="105"/>
          <w:sz w:val="20"/>
          <w:szCs w:val="20"/>
        </w:rPr>
        <w:t>Docket</w:t>
      </w:r>
      <w:r w:rsidRPr="002275CC">
        <w:rPr>
          <w:rFonts w:ascii="Times New Roman" w:hAnsi="Times New Roman" w:cs="Times New Roman"/>
          <w:spacing w:val="-10"/>
          <w:w w:val="105"/>
          <w:sz w:val="20"/>
          <w:szCs w:val="20"/>
        </w:rPr>
        <w:t xml:space="preserve"> </w:t>
      </w:r>
      <w:r w:rsidRPr="002275CC">
        <w:rPr>
          <w:rFonts w:ascii="Times New Roman" w:hAnsi="Times New Roman" w:cs="Times New Roman"/>
          <w:spacing w:val="1"/>
          <w:w w:val="105"/>
          <w:sz w:val="20"/>
          <w:szCs w:val="20"/>
        </w:rPr>
        <w:t>UE-130043</w:t>
      </w:r>
      <w:r>
        <w:rPr>
          <w:rFonts w:ascii="Times New Roman" w:hAnsi="Times New Roman" w:cs="Times New Roman"/>
          <w:sz w:val="20"/>
          <w:szCs w:val="20"/>
        </w:rPr>
        <w:t>,</w:t>
      </w:r>
      <w:r w:rsidRPr="002275CC">
        <w:rPr>
          <w:rFonts w:ascii="Times New Roman" w:hAnsi="Times New Roman" w:cs="Times New Roman"/>
          <w:sz w:val="20"/>
          <w:szCs w:val="20"/>
        </w:rPr>
        <w:t xml:space="preserve"> Settlement Agreement </w:t>
      </w:r>
      <w:r>
        <w:rPr>
          <w:rFonts w:ascii="Times New Roman" w:hAnsi="Times New Roman" w:cs="Times New Roman"/>
          <w:sz w:val="20"/>
          <w:szCs w:val="20"/>
        </w:rPr>
        <w:t xml:space="preserve">at </w:t>
      </w:r>
      <w:r>
        <w:rPr>
          <w:rFonts w:ascii="Times New Roman" w:hAnsi="Times New Roman" w:cs="Times New Roman"/>
          <w:color w:val="000000"/>
          <w:sz w:val="20"/>
          <w:szCs w:val="20"/>
        </w:rPr>
        <w:t xml:space="preserve">¶11 </w:t>
      </w:r>
      <w:r>
        <w:rPr>
          <w:rFonts w:ascii="Times New Roman" w:hAnsi="Times New Roman" w:cs="Times New Roman"/>
          <w:sz w:val="20"/>
          <w:szCs w:val="20"/>
        </w:rPr>
        <w:t xml:space="preserve">(August 21, 2013). </w:t>
      </w:r>
      <w:r w:rsidRPr="002275CC">
        <w:rPr>
          <w:rFonts w:ascii="Times New Roman" w:hAnsi="Times New Roman" w:cs="Times New Roman"/>
          <w:sz w:val="20"/>
          <w:szCs w:val="20"/>
        </w:rPr>
        <w:t xml:space="preserve"> </w:t>
      </w:r>
    </w:p>
  </w:footnote>
  <w:footnote w:id="38">
    <w:p w14:paraId="25B3FB36" w14:textId="47071F79" w:rsidR="00FD3E1E" w:rsidRPr="002275CC" w:rsidRDefault="00FD3E1E" w:rsidP="00CF3A64">
      <w:pPr>
        <w:pStyle w:val="FootnoteText"/>
        <w:ind w:left="180" w:hanging="180"/>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Avista Corporation</w:t>
      </w:r>
      <w:r>
        <w:rPr>
          <w:rFonts w:ascii="Times New Roman" w:hAnsi="Times New Roman" w:cs="Times New Roman"/>
          <w:sz w:val="20"/>
          <w:szCs w:val="20"/>
        </w:rPr>
        <w:t xml:space="preserve">, </w:t>
      </w:r>
      <w:r w:rsidRPr="002275CC">
        <w:rPr>
          <w:rFonts w:ascii="Times New Roman" w:hAnsi="Times New Roman" w:cs="Times New Roman"/>
          <w:sz w:val="20"/>
          <w:szCs w:val="20"/>
        </w:rPr>
        <w:t>Docket UE-090134</w:t>
      </w:r>
      <w:r>
        <w:rPr>
          <w:rFonts w:ascii="Times New Roman" w:hAnsi="Times New Roman" w:cs="Times New Roman"/>
          <w:sz w:val="20"/>
          <w:szCs w:val="20"/>
        </w:rPr>
        <w:t xml:space="preserve">, Order 10 at </w:t>
      </w:r>
      <w:r>
        <w:rPr>
          <w:rFonts w:ascii="Times New Roman" w:hAnsi="Times New Roman" w:cs="Times New Roman"/>
          <w:color w:val="000000"/>
          <w:sz w:val="20"/>
          <w:szCs w:val="20"/>
        </w:rPr>
        <w:t xml:space="preserve">¶30 </w:t>
      </w:r>
      <w:r>
        <w:rPr>
          <w:rFonts w:ascii="Times New Roman" w:hAnsi="Times New Roman" w:cs="Times New Roman"/>
          <w:sz w:val="20"/>
          <w:szCs w:val="20"/>
        </w:rPr>
        <w:t>(</w:t>
      </w:r>
      <w:r w:rsidRPr="002275CC">
        <w:rPr>
          <w:rFonts w:ascii="Times New Roman" w:hAnsi="Times New Roman" w:cs="Times New Roman"/>
          <w:sz w:val="20"/>
          <w:szCs w:val="20"/>
        </w:rPr>
        <w:t>December 22, 2009</w:t>
      </w:r>
      <w:r>
        <w:rPr>
          <w:rFonts w:ascii="Times New Roman" w:hAnsi="Times New Roman" w:cs="Times New Roman"/>
          <w:sz w:val="20"/>
          <w:szCs w:val="20"/>
        </w:rPr>
        <w:t>);</w:t>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Avista Corporation</w:t>
      </w:r>
      <w:r>
        <w:rPr>
          <w:rFonts w:ascii="Times New Roman" w:hAnsi="Times New Roman" w:cs="Times New Roman"/>
          <w:sz w:val="20"/>
          <w:szCs w:val="20"/>
        </w:rPr>
        <w:t xml:space="preserve">, </w:t>
      </w:r>
      <w:r w:rsidRPr="002275CC">
        <w:rPr>
          <w:rFonts w:ascii="Times New Roman" w:hAnsi="Times New Roman" w:cs="Times New Roman"/>
          <w:sz w:val="20"/>
          <w:szCs w:val="20"/>
        </w:rPr>
        <w:t>Docket UE-090134</w:t>
      </w:r>
      <w:r>
        <w:rPr>
          <w:rFonts w:ascii="Times New Roman" w:hAnsi="Times New Roman" w:cs="Times New Roman"/>
          <w:sz w:val="20"/>
          <w:szCs w:val="20"/>
        </w:rPr>
        <w:t xml:space="preserve">, Order 10 at </w:t>
      </w:r>
      <w:r>
        <w:rPr>
          <w:rFonts w:ascii="Times New Roman" w:hAnsi="Times New Roman" w:cs="Times New Roman"/>
          <w:color w:val="000000"/>
          <w:sz w:val="20"/>
          <w:szCs w:val="20"/>
        </w:rPr>
        <w:t xml:space="preserve">¶292 </w:t>
      </w:r>
      <w:r>
        <w:rPr>
          <w:rFonts w:ascii="Times New Roman" w:hAnsi="Times New Roman" w:cs="Times New Roman"/>
          <w:sz w:val="20"/>
          <w:szCs w:val="20"/>
        </w:rPr>
        <w:t>(</w:t>
      </w:r>
      <w:r w:rsidRPr="002275CC">
        <w:rPr>
          <w:rFonts w:ascii="Times New Roman" w:hAnsi="Times New Roman" w:cs="Times New Roman"/>
          <w:sz w:val="20"/>
          <w:szCs w:val="20"/>
        </w:rPr>
        <w:t>December 22, 2009</w:t>
      </w:r>
      <w:r>
        <w:rPr>
          <w:rFonts w:ascii="Times New Roman" w:hAnsi="Times New Roman" w:cs="Times New Roman"/>
          <w:sz w:val="20"/>
          <w:szCs w:val="20"/>
        </w:rPr>
        <w:t xml:space="preserve">); </w:t>
      </w:r>
      <w:r w:rsidRPr="002275CC">
        <w:rPr>
          <w:rFonts w:ascii="Times New Roman" w:hAnsi="Times New Roman" w:cs="Times New Roman"/>
          <w:i/>
          <w:sz w:val="20"/>
          <w:szCs w:val="20"/>
        </w:rPr>
        <w:t>WUTC v. Avista Corporation</w:t>
      </w:r>
      <w:r w:rsidRPr="002275CC">
        <w:rPr>
          <w:rFonts w:ascii="Times New Roman" w:hAnsi="Times New Roman" w:cs="Times New Roman"/>
          <w:sz w:val="20"/>
          <w:szCs w:val="20"/>
        </w:rPr>
        <w:t>, Docket UE-090134</w:t>
      </w:r>
      <w:r>
        <w:rPr>
          <w:rFonts w:ascii="Times New Roman" w:hAnsi="Times New Roman" w:cs="Times New Roman"/>
          <w:sz w:val="20"/>
          <w:szCs w:val="20"/>
        </w:rPr>
        <w:t xml:space="preserve">, </w:t>
      </w:r>
      <w:r w:rsidRPr="002275CC">
        <w:rPr>
          <w:rFonts w:ascii="Times New Roman" w:hAnsi="Times New Roman" w:cs="Times New Roman"/>
          <w:sz w:val="20"/>
          <w:szCs w:val="20"/>
        </w:rPr>
        <w:t xml:space="preserve">Initial Filing Tariff Pages </w:t>
      </w:r>
      <w:r>
        <w:rPr>
          <w:rFonts w:ascii="Times New Roman" w:hAnsi="Times New Roman" w:cs="Times New Roman"/>
          <w:sz w:val="20"/>
          <w:szCs w:val="20"/>
        </w:rPr>
        <w:t>at p. 1 (</w:t>
      </w:r>
      <w:r w:rsidRPr="002275CC">
        <w:rPr>
          <w:rFonts w:ascii="Times New Roman" w:hAnsi="Times New Roman" w:cs="Times New Roman"/>
          <w:sz w:val="20"/>
          <w:szCs w:val="20"/>
        </w:rPr>
        <w:t>January 23, 2009</w:t>
      </w:r>
      <w:r>
        <w:rPr>
          <w:rFonts w:ascii="Times New Roman" w:hAnsi="Times New Roman" w:cs="Times New Roman"/>
          <w:sz w:val="20"/>
          <w:szCs w:val="20"/>
        </w:rPr>
        <w:t>).</w:t>
      </w:r>
      <w:r w:rsidRPr="002275CC">
        <w:rPr>
          <w:rFonts w:ascii="Times New Roman" w:hAnsi="Times New Roman" w:cs="Times New Roman"/>
          <w:sz w:val="20"/>
          <w:szCs w:val="20"/>
        </w:rPr>
        <w:t xml:space="preserve">  </w:t>
      </w:r>
    </w:p>
  </w:footnote>
  <w:footnote w:id="39">
    <w:p w14:paraId="4AAF363D" w14:textId="36F7E078" w:rsidR="00FD3E1E" w:rsidRPr="002275CC" w:rsidRDefault="00FD3E1E" w:rsidP="00F20C7D">
      <w:pPr>
        <w:pStyle w:val="FootnoteText"/>
        <w:ind w:left="-810" w:firstLine="810"/>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Avista Corporation</w:t>
      </w:r>
      <w:r>
        <w:rPr>
          <w:rFonts w:ascii="Times New Roman" w:hAnsi="Times New Roman" w:cs="Times New Roman"/>
          <w:sz w:val="20"/>
          <w:szCs w:val="20"/>
        </w:rPr>
        <w:t xml:space="preserve">, Docket UG-100468, Order 07 at </w:t>
      </w:r>
      <w:r>
        <w:rPr>
          <w:rFonts w:ascii="Times New Roman" w:hAnsi="Times New Roman" w:cs="Times New Roman"/>
          <w:color w:val="000000"/>
          <w:sz w:val="20"/>
          <w:szCs w:val="20"/>
        </w:rPr>
        <w:t>¶32</w:t>
      </w:r>
      <w:r w:rsidRPr="002275CC">
        <w:rPr>
          <w:rFonts w:ascii="Times New Roman" w:hAnsi="Times New Roman" w:cs="Times New Roman"/>
          <w:sz w:val="20"/>
          <w:szCs w:val="20"/>
        </w:rPr>
        <w:t xml:space="preserve"> </w:t>
      </w:r>
      <w:r>
        <w:rPr>
          <w:rFonts w:ascii="Times New Roman" w:hAnsi="Times New Roman" w:cs="Times New Roman"/>
          <w:sz w:val="20"/>
          <w:szCs w:val="20"/>
        </w:rPr>
        <w:t>(November 19, 2010).</w:t>
      </w:r>
    </w:p>
  </w:footnote>
  <w:footnote w:id="40">
    <w:p w14:paraId="3EC0A777" w14:textId="536923ED" w:rsidR="00FD3E1E" w:rsidRPr="00F51627" w:rsidRDefault="00FD3E1E" w:rsidP="00CF3A64">
      <w:pPr>
        <w:pStyle w:val="FootnoteText"/>
        <w:ind w:left="180" w:hanging="180"/>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WUTC v. Avista Corporation</w:t>
      </w:r>
      <w:r>
        <w:rPr>
          <w:rFonts w:ascii="Times New Roman" w:hAnsi="Times New Roman" w:cs="Times New Roman"/>
          <w:sz w:val="20"/>
          <w:szCs w:val="20"/>
        </w:rPr>
        <w:t xml:space="preserve">, Dockets UE-110876 and </w:t>
      </w:r>
      <w:r w:rsidRPr="002275CC">
        <w:rPr>
          <w:rFonts w:ascii="Times New Roman" w:hAnsi="Times New Roman" w:cs="Times New Roman"/>
          <w:sz w:val="20"/>
          <w:szCs w:val="20"/>
        </w:rPr>
        <w:t>UE-120436</w:t>
      </w:r>
      <w:r>
        <w:rPr>
          <w:rFonts w:ascii="Times New Roman" w:hAnsi="Times New Roman" w:cs="Times New Roman"/>
          <w:sz w:val="20"/>
          <w:szCs w:val="20"/>
        </w:rPr>
        <w:t xml:space="preserve">, Order 09 at </w:t>
      </w:r>
      <w:r>
        <w:rPr>
          <w:rFonts w:ascii="Times New Roman" w:hAnsi="Times New Roman" w:cs="Times New Roman"/>
          <w:color w:val="000000"/>
          <w:sz w:val="20"/>
          <w:szCs w:val="20"/>
        </w:rPr>
        <w:t xml:space="preserve">¶44 </w:t>
      </w:r>
      <w:r>
        <w:rPr>
          <w:rFonts w:ascii="Times New Roman" w:hAnsi="Times New Roman" w:cs="Times New Roman"/>
          <w:sz w:val="20"/>
          <w:szCs w:val="20"/>
        </w:rPr>
        <w:t>(December 26, 2012);</w:t>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 xml:space="preserve">WUTC v. </w:t>
      </w:r>
      <w:r w:rsidRPr="00F51627">
        <w:rPr>
          <w:rFonts w:ascii="Times New Roman" w:hAnsi="Times New Roman" w:cs="Times New Roman"/>
          <w:i/>
          <w:sz w:val="20"/>
          <w:szCs w:val="20"/>
        </w:rPr>
        <w:t>Avista Corporation</w:t>
      </w:r>
      <w:r w:rsidRPr="00F51627">
        <w:rPr>
          <w:rFonts w:ascii="Times New Roman" w:hAnsi="Times New Roman" w:cs="Times New Roman"/>
          <w:sz w:val="20"/>
          <w:szCs w:val="20"/>
        </w:rPr>
        <w:t xml:space="preserve">, Docket UE-110876, Initial Filing </w:t>
      </w:r>
      <w:r>
        <w:rPr>
          <w:rFonts w:ascii="Times New Roman" w:hAnsi="Times New Roman" w:cs="Times New Roman"/>
          <w:sz w:val="20"/>
          <w:szCs w:val="20"/>
        </w:rPr>
        <w:t>Tariff Pages at</w:t>
      </w:r>
      <w:r w:rsidRPr="00F51627">
        <w:rPr>
          <w:rFonts w:ascii="Times New Roman" w:hAnsi="Times New Roman" w:cs="Times New Roman"/>
          <w:sz w:val="20"/>
          <w:szCs w:val="20"/>
        </w:rPr>
        <w:t xml:space="preserve"> p.1 (May 16, 2011)</w:t>
      </w:r>
    </w:p>
  </w:footnote>
  <w:footnote w:id="41">
    <w:p w14:paraId="1A505226" w14:textId="61DA5988" w:rsidR="00FD3E1E" w:rsidRPr="00F51627" w:rsidRDefault="00FD3E1E" w:rsidP="00AD3612">
      <w:pPr>
        <w:pStyle w:val="FootnoteText"/>
        <w:ind w:left="180" w:hanging="180"/>
        <w:rPr>
          <w:rFonts w:ascii="Times New Roman" w:hAnsi="Times New Roman" w:cs="Times New Roman"/>
          <w:sz w:val="20"/>
          <w:szCs w:val="20"/>
        </w:rPr>
      </w:pPr>
      <w:r w:rsidRPr="00F51627">
        <w:rPr>
          <w:rStyle w:val="FootnoteReference"/>
          <w:rFonts w:ascii="Times New Roman" w:hAnsi="Times New Roman" w:cs="Times New Roman"/>
          <w:sz w:val="20"/>
          <w:szCs w:val="20"/>
        </w:rPr>
        <w:footnoteRef/>
      </w:r>
      <w:r w:rsidRPr="00F51627">
        <w:rPr>
          <w:rFonts w:ascii="Times New Roman" w:hAnsi="Times New Roman" w:cs="Times New Roman"/>
          <w:sz w:val="20"/>
          <w:szCs w:val="20"/>
        </w:rPr>
        <w:t xml:space="preserve"> </w:t>
      </w:r>
      <w:r w:rsidRPr="00F51627">
        <w:rPr>
          <w:rFonts w:ascii="Times New Roman" w:hAnsi="Times New Roman" w:cs="Times New Roman"/>
          <w:i/>
          <w:sz w:val="20"/>
          <w:szCs w:val="20"/>
        </w:rPr>
        <w:t>WUTC v. Puget Sound Energy, Inc</w:t>
      </w:r>
      <w:r w:rsidRPr="00F51627">
        <w:rPr>
          <w:rFonts w:ascii="Times New Roman" w:hAnsi="Times New Roman" w:cs="Times New Roman"/>
          <w:sz w:val="20"/>
          <w:szCs w:val="20"/>
        </w:rPr>
        <w:t>., Dockets UE-0907</w:t>
      </w:r>
      <w:r>
        <w:rPr>
          <w:rFonts w:ascii="Times New Roman" w:hAnsi="Times New Roman" w:cs="Times New Roman"/>
          <w:sz w:val="20"/>
          <w:szCs w:val="20"/>
        </w:rPr>
        <w:t>04 and UG-090705, Order 11</w:t>
      </w:r>
      <w:r w:rsidRPr="00F51627">
        <w:rPr>
          <w:rFonts w:ascii="Times New Roman" w:hAnsi="Times New Roman" w:cs="Times New Roman"/>
          <w:sz w:val="20"/>
          <w:szCs w:val="20"/>
        </w:rPr>
        <w:t xml:space="preserve"> at</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¶309 </w:t>
      </w:r>
      <w:r w:rsidRPr="00F51627">
        <w:rPr>
          <w:rFonts w:ascii="Times New Roman" w:hAnsi="Times New Roman" w:cs="Times New Roman"/>
          <w:sz w:val="20"/>
          <w:szCs w:val="20"/>
        </w:rPr>
        <w:t xml:space="preserve">(April 2, 2010); </w:t>
      </w:r>
      <w:r w:rsidRPr="00F51627">
        <w:rPr>
          <w:rFonts w:ascii="Times New Roman" w:hAnsi="Times New Roman" w:cs="Times New Roman"/>
          <w:i/>
          <w:sz w:val="20"/>
          <w:szCs w:val="20"/>
        </w:rPr>
        <w:t>WUTC v. Puget Sound Energy, Inc</w:t>
      </w:r>
      <w:r w:rsidRPr="00F51627">
        <w:rPr>
          <w:rFonts w:ascii="Times New Roman" w:hAnsi="Times New Roman" w:cs="Times New Roman"/>
          <w:sz w:val="20"/>
          <w:szCs w:val="20"/>
        </w:rPr>
        <w:t>., Docket UE-090704</w:t>
      </w:r>
      <w:r>
        <w:rPr>
          <w:rFonts w:ascii="Times New Roman" w:hAnsi="Times New Roman" w:cs="Times New Roman"/>
          <w:sz w:val="20"/>
          <w:szCs w:val="20"/>
        </w:rPr>
        <w:t xml:space="preserve">, </w:t>
      </w:r>
      <w:r w:rsidRPr="00F51627">
        <w:rPr>
          <w:rFonts w:ascii="Times New Roman" w:hAnsi="Times New Roman" w:cs="Times New Roman"/>
          <w:sz w:val="20"/>
          <w:szCs w:val="20"/>
        </w:rPr>
        <w:t xml:space="preserve">Initial Filing </w:t>
      </w:r>
      <w:r>
        <w:rPr>
          <w:rFonts w:ascii="Times New Roman" w:hAnsi="Times New Roman" w:cs="Times New Roman"/>
          <w:sz w:val="20"/>
          <w:szCs w:val="20"/>
        </w:rPr>
        <w:t>Tariff Pages at</w:t>
      </w:r>
      <w:r w:rsidRPr="00F51627">
        <w:rPr>
          <w:rFonts w:ascii="Times New Roman" w:hAnsi="Times New Roman" w:cs="Times New Roman"/>
          <w:sz w:val="20"/>
          <w:szCs w:val="20"/>
        </w:rPr>
        <w:t xml:space="preserve"> p.</w:t>
      </w:r>
      <w:r>
        <w:rPr>
          <w:rFonts w:ascii="Times New Roman" w:hAnsi="Times New Roman" w:cs="Times New Roman"/>
          <w:sz w:val="20"/>
          <w:szCs w:val="20"/>
        </w:rPr>
        <w:t>2</w:t>
      </w:r>
      <w:r w:rsidRPr="00F51627">
        <w:rPr>
          <w:rFonts w:ascii="Times New Roman" w:hAnsi="Times New Roman" w:cs="Times New Roman"/>
          <w:sz w:val="20"/>
          <w:szCs w:val="20"/>
        </w:rPr>
        <w:t xml:space="preserve"> </w:t>
      </w:r>
      <w:r>
        <w:rPr>
          <w:rFonts w:ascii="Times New Roman" w:hAnsi="Times New Roman" w:cs="Times New Roman"/>
          <w:sz w:val="20"/>
          <w:szCs w:val="20"/>
        </w:rPr>
        <w:t>(May 8, 2009).</w:t>
      </w:r>
    </w:p>
  </w:footnote>
  <w:footnote w:id="42">
    <w:p w14:paraId="507E21E5" w14:textId="5706706A" w:rsidR="00FD3E1E" w:rsidRPr="00F51627" w:rsidRDefault="00FD3E1E" w:rsidP="00AD3612">
      <w:pPr>
        <w:pStyle w:val="FootnoteText"/>
        <w:ind w:left="180" w:hanging="180"/>
        <w:rPr>
          <w:rFonts w:ascii="Times New Roman" w:hAnsi="Times New Roman" w:cs="Times New Roman"/>
          <w:sz w:val="20"/>
          <w:szCs w:val="20"/>
        </w:rPr>
      </w:pPr>
      <w:r w:rsidRPr="00F51627">
        <w:rPr>
          <w:rStyle w:val="FootnoteReference"/>
          <w:rFonts w:ascii="Times New Roman" w:hAnsi="Times New Roman" w:cs="Times New Roman"/>
          <w:sz w:val="20"/>
          <w:szCs w:val="20"/>
        </w:rPr>
        <w:footnoteRef/>
      </w:r>
      <w:r w:rsidRPr="00F51627">
        <w:rPr>
          <w:rFonts w:ascii="Times New Roman" w:hAnsi="Times New Roman" w:cs="Times New Roman"/>
          <w:sz w:val="20"/>
          <w:szCs w:val="20"/>
        </w:rPr>
        <w:t xml:space="preserve"> </w:t>
      </w:r>
      <w:r w:rsidRPr="00F51627">
        <w:rPr>
          <w:rFonts w:ascii="Times New Roman" w:hAnsi="Times New Roman" w:cs="Times New Roman"/>
          <w:i/>
          <w:sz w:val="20"/>
          <w:szCs w:val="20"/>
        </w:rPr>
        <w:t>WUTC v. Puget Sound Energy, Inc</w:t>
      </w:r>
      <w:r>
        <w:rPr>
          <w:rFonts w:ascii="Times New Roman" w:hAnsi="Times New Roman" w:cs="Times New Roman"/>
          <w:sz w:val="20"/>
          <w:szCs w:val="20"/>
        </w:rPr>
        <w:t xml:space="preserve">., Docket UE-111048, Order 08 at </w:t>
      </w:r>
      <w:r>
        <w:rPr>
          <w:rFonts w:ascii="Times New Roman" w:hAnsi="Times New Roman" w:cs="Times New Roman"/>
          <w:color w:val="000000"/>
          <w:sz w:val="20"/>
          <w:szCs w:val="20"/>
        </w:rPr>
        <w:t xml:space="preserve">¶339 </w:t>
      </w:r>
      <w:r>
        <w:rPr>
          <w:rFonts w:ascii="Times New Roman" w:hAnsi="Times New Roman" w:cs="Times New Roman"/>
          <w:sz w:val="20"/>
          <w:szCs w:val="20"/>
        </w:rPr>
        <w:t>(May 7, 2012)</w:t>
      </w:r>
      <w:r w:rsidRPr="00F51627">
        <w:rPr>
          <w:rFonts w:ascii="Times New Roman" w:hAnsi="Times New Roman" w:cs="Times New Roman"/>
          <w:sz w:val="20"/>
          <w:szCs w:val="20"/>
        </w:rPr>
        <w:t xml:space="preserve">; </w:t>
      </w:r>
      <w:r w:rsidRPr="00F51627">
        <w:rPr>
          <w:rFonts w:ascii="Times New Roman" w:hAnsi="Times New Roman" w:cs="Times New Roman"/>
          <w:i/>
          <w:sz w:val="20"/>
          <w:szCs w:val="20"/>
        </w:rPr>
        <w:t>WUTC v. Puget Sound Energy, Inc</w:t>
      </w:r>
      <w:r w:rsidRPr="00F51627">
        <w:rPr>
          <w:rFonts w:ascii="Times New Roman" w:hAnsi="Times New Roman" w:cs="Times New Roman"/>
          <w:sz w:val="20"/>
          <w:szCs w:val="20"/>
        </w:rPr>
        <w:t>., Docket UE-111048</w:t>
      </w:r>
      <w:r>
        <w:rPr>
          <w:rFonts w:ascii="Times New Roman" w:hAnsi="Times New Roman" w:cs="Times New Roman"/>
          <w:sz w:val="20"/>
          <w:szCs w:val="20"/>
        </w:rPr>
        <w:t>,</w:t>
      </w:r>
      <w:r w:rsidRPr="00F51627">
        <w:rPr>
          <w:rFonts w:ascii="Times New Roman" w:hAnsi="Times New Roman" w:cs="Times New Roman"/>
          <w:sz w:val="20"/>
          <w:szCs w:val="20"/>
        </w:rPr>
        <w:t xml:space="preserve"> Initial Filing </w:t>
      </w:r>
      <w:r>
        <w:rPr>
          <w:rFonts w:ascii="Times New Roman" w:hAnsi="Times New Roman" w:cs="Times New Roman"/>
          <w:sz w:val="20"/>
          <w:szCs w:val="20"/>
        </w:rPr>
        <w:t>Tariff Pages at p.2 (June 13, 2011).</w:t>
      </w:r>
    </w:p>
  </w:footnote>
  <w:footnote w:id="43">
    <w:p w14:paraId="7450A4D6" w14:textId="77777777" w:rsidR="00FD3E1E" w:rsidRPr="00F51627" w:rsidRDefault="00FD3E1E" w:rsidP="002F15C0">
      <w:pPr>
        <w:pStyle w:val="FootnoteText"/>
        <w:ind w:left="180" w:hanging="180"/>
        <w:rPr>
          <w:rFonts w:ascii="Times New Roman" w:hAnsi="Times New Roman" w:cs="Times New Roman"/>
          <w:sz w:val="20"/>
          <w:szCs w:val="20"/>
        </w:rPr>
      </w:pPr>
      <w:r w:rsidRPr="00F51627">
        <w:rPr>
          <w:rStyle w:val="FootnoteReference"/>
          <w:rFonts w:ascii="Times New Roman" w:hAnsi="Times New Roman" w:cs="Times New Roman"/>
          <w:sz w:val="20"/>
          <w:szCs w:val="20"/>
        </w:rPr>
        <w:footnoteRef/>
      </w:r>
      <w:r w:rsidRPr="00F51627">
        <w:rPr>
          <w:rFonts w:ascii="Times New Roman" w:hAnsi="Times New Roman" w:cs="Times New Roman"/>
          <w:sz w:val="20"/>
          <w:szCs w:val="20"/>
        </w:rPr>
        <w:t xml:space="preserve"> </w:t>
      </w:r>
      <w:r w:rsidRPr="00F51627">
        <w:rPr>
          <w:rFonts w:ascii="Times New Roman" w:hAnsi="Times New Roman" w:cs="Times New Roman"/>
          <w:i/>
          <w:sz w:val="20"/>
          <w:szCs w:val="20"/>
        </w:rPr>
        <w:t>WUTC v. Puget Sound Energy, Inc</w:t>
      </w:r>
      <w:r w:rsidRPr="00F51627">
        <w:rPr>
          <w:rFonts w:ascii="Times New Roman" w:hAnsi="Times New Roman" w:cs="Times New Roman"/>
          <w:sz w:val="20"/>
          <w:szCs w:val="20"/>
        </w:rPr>
        <w:t xml:space="preserve">., </w:t>
      </w:r>
      <w:r>
        <w:rPr>
          <w:rFonts w:ascii="Times New Roman" w:hAnsi="Times New Roman" w:cs="Times New Roman"/>
          <w:sz w:val="20"/>
          <w:szCs w:val="20"/>
        </w:rPr>
        <w:t>Docket UE-130137, Initial Filing Tariff Pages at p.2</w:t>
      </w:r>
      <w:r w:rsidRPr="00F51627">
        <w:rPr>
          <w:rFonts w:ascii="Times New Roman" w:hAnsi="Times New Roman" w:cs="Times New Roman"/>
          <w:sz w:val="20"/>
          <w:szCs w:val="20"/>
        </w:rPr>
        <w:t xml:space="preserve"> </w:t>
      </w:r>
      <w:r>
        <w:rPr>
          <w:rFonts w:ascii="Times New Roman" w:hAnsi="Times New Roman" w:cs="Times New Roman"/>
          <w:sz w:val="20"/>
          <w:szCs w:val="20"/>
        </w:rPr>
        <w:t>(February 1, 2013)</w:t>
      </w:r>
      <w:r w:rsidRPr="00F51627">
        <w:rPr>
          <w:rFonts w:ascii="Times New Roman" w:hAnsi="Times New Roman" w:cs="Times New Roman"/>
          <w:sz w:val="20"/>
          <w:szCs w:val="20"/>
        </w:rPr>
        <w:t xml:space="preserve">; </w:t>
      </w:r>
      <w:r w:rsidRPr="00F51627">
        <w:rPr>
          <w:rFonts w:ascii="Times New Roman" w:hAnsi="Times New Roman" w:cs="Times New Roman"/>
          <w:i/>
          <w:sz w:val="20"/>
          <w:szCs w:val="20"/>
        </w:rPr>
        <w:t>Puget Sound Energy, Inc.</w:t>
      </w:r>
      <w:r>
        <w:rPr>
          <w:rFonts w:ascii="Times New Roman" w:hAnsi="Times New Roman" w:cs="Times New Roman"/>
          <w:i/>
          <w:sz w:val="20"/>
          <w:szCs w:val="20"/>
        </w:rPr>
        <w:t>,</w:t>
      </w:r>
      <w:r w:rsidRPr="00F51627">
        <w:rPr>
          <w:rFonts w:ascii="Times New Roman" w:hAnsi="Times New Roman" w:cs="Times New Roman"/>
          <w:i/>
          <w:sz w:val="20"/>
          <w:szCs w:val="20"/>
        </w:rPr>
        <w:t xml:space="preserve"> </w:t>
      </w:r>
      <w:r w:rsidRPr="00F62A08">
        <w:rPr>
          <w:rFonts w:ascii="Times New Roman" w:hAnsi="Times New Roman" w:cs="Times New Roman"/>
          <w:sz w:val="20"/>
          <w:szCs w:val="20"/>
        </w:rPr>
        <w:t>Customer Bill Insert</w:t>
      </w:r>
      <w:r>
        <w:rPr>
          <w:rFonts w:ascii="Times New Roman" w:hAnsi="Times New Roman" w:cs="Times New Roman"/>
          <w:sz w:val="20"/>
          <w:szCs w:val="20"/>
        </w:rPr>
        <w:t xml:space="preserve"> at p.15 (May 2013).</w:t>
      </w:r>
    </w:p>
  </w:footnote>
  <w:footnote w:id="44">
    <w:p w14:paraId="2ABB00AF" w14:textId="334050DA"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JRS-1T, 19: 2-3.  </w:t>
      </w:r>
    </w:p>
  </w:footnote>
  <w:footnote w:id="45">
    <w:p w14:paraId="589503D2" w14:textId="361B36C9"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JRS-13T: 8-10.</w:t>
      </w:r>
    </w:p>
  </w:footnote>
  <w:footnote w:id="46">
    <w:p w14:paraId="3C50A014" w14:textId="77777777" w:rsidR="00FD3E1E" w:rsidRPr="002275CC" w:rsidRDefault="00FD3E1E" w:rsidP="008B29A7">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JRS-1T, 19: 2-3.  </w:t>
      </w:r>
    </w:p>
  </w:footnote>
  <w:footnote w:id="47">
    <w:p w14:paraId="44EFA47C" w14:textId="48716500"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JRS-1T, 19: 5-6; 19: 10-11.</w:t>
      </w:r>
    </w:p>
  </w:footnote>
  <w:footnote w:id="48">
    <w:p w14:paraId="484F5F0B" w14:textId="4C143B5A"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JRS-1T, 19: 11-14.</w:t>
      </w:r>
    </w:p>
  </w:footnote>
  <w:footnote w:id="49">
    <w:p w14:paraId="3DFD28EA" w14:textId="3FFFB67A"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7: 3-4.</w:t>
      </w:r>
    </w:p>
  </w:footnote>
  <w:footnote w:id="50">
    <w:p w14:paraId="3BB67D6A" w14:textId="2E9BA467"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JRS-13T, 27: 6. (Emphasis added). </w:t>
      </w:r>
    </w:p>
  </w:footnote>
  <w:footnote w:id="51">
    <w:p w14:paraId="6D0AAEE6" w14:textId="661107E5"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7: 4-6; Watkins, Exh. No. GAW-1T, 18: 14; Watkins, Exh. No. GAW-6T, 18: 15-16. </w:t>
      </w:r>
    </w:p>
  </w:footnote>
  <w:footnote w:id="52">
    <w:p w14:paraId="672A300F" w14:textId="6C4F893A"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7: 10-13. </w:t>
      </w:r>
    </w:p>
  </w:footnote>
  <w:footnote w:id="53">
    <w:p w14:paraId="029360DA" w14:textId="23747193"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6: 20-21.</w:t>
      </w:r>
    </w:p>
  </w:footnote>
  <w:footnote w:id="54">
    <w:p w14:paraId="51DA69DD" w14:textId="3ED714E3"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GAW-1T, 27: 5-7.  </w:t>
      </w:r>
    </w:p>
  </w:footnote>
  <w:footnote w:id="55">
    <w:p w14:paraId="722C1134" w14:textId="3FFBFDF7"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6: 22 – 7: 2.  </w:t>
      </w:r>
    </w:p>
  </w:footnote>
  <w:footnote w:id="56">
    <w:p w14:paraId="7CE15DC8" w14:textId="6B54D05B" w:rsidR="00FD3E1E" w:rsidRPr="002275CC" w:rsidRDefault="00FD3E1E" w:rsidP="00F30963">
      <w:pPr>
        <w:widowControl w:val="0"/>
        <w:autoSpaceDE w:val="0"/>
        <w:autoSpaceDN w:val="0"/>
        <w:adjustRightInd w:val="0"/>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9: 17 – 10: 1 (</w:t>
      </w:r>
      <w:r w:rsidRPr="002275CC">
        <w:rPr>
          <w:rFonts w:ascii="Times New Roman" w:hAnsi="Times New Roman" w:cs="Times New Roman"/>
          <w:i/>
          <w:sz w:val="20"/>
          <w:szCs w:val="20"/>
        </w:rPr>
        <w:t>citing</w:t>
      </w:r>
      <w:r w:rsidRPr="002275CC">
        <w:rPr>
          <w:rFonts w:ascii="Times New Roman" w:hAnsi="Times New Roman" w:cs="Times New Roman"/>
          <w:sz w:val="20"/>
          <w:szCs w:val="20"/>
        </w:rPr>
        <w:t>, Weston, Frederick, “Charging For Distribution Utility Services: Issues In Rate Design,” the Regulatory Assistance Project. December, 2000, p. 30).</w:t>
      </w:r>
    </w:p>
  </w:footnote>
  <w:footnote w:id="57">
    <w:p w14:paraId="15798B4A" w14:textId="6645D8CA"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GAW-6T, 19: 4-24 (</w:t>
      </w:r>
      <w:r w:rsidRPr="002275CC">
        <w:rPr>
          <w:rFonts w:ascii="Times New Roman" w:hAnsi="Times New Roman" w:cs="Times New Roman"/>
          <w:i/>
          <w:sz w:val="20"/>
          <w:szCs w:val="20"/>
        </w:rPr>
        <w:t xml:space="preserve">citing, Washington Util. &amp; Transp. Comm’n v. Puget Sound Power &amp; Light. Co., </w:t>
      </w:r>
      <w:r w:rsidRPr="002275CC">
        <w:rPr>
          <w:rFonts w:ascii="Times New Roman" w:hAnsi="Times New Roman" w:cs="Times New Roman"/>
          <w:sz w:val="20"/>
          <w:szCs w:val="20"/>
        </w:rPr>
        <w:t>Ninth Supplemental Order on Rate Design Issues, Docket UE-920433, p.11 (August 17, 1993).</w:t>
      </w:r>
    </w:p>
  </w:footnote>
  <w:footnote w:id="58">
    <w:p w14:paraId="28817A9F" w14:textId="714C748F"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GAW-6T, 19: 4-24 (</w:t>
      </w:r>
      <w:r w:rsidRPr="002275CC">
        <w:rPr>
          <w:rFonts w:ascii="Times New Roman" w:hAnsi="Times New Roman" w:cs="Times New Roman"/>
          <w:i/>
          <w:sz w:val="20"/>
          <w:szCs w:val="20"/>
        </w:rPr>
        <w:t xml:space="preserve">citing, Washington Util. &amp; Transp. Comm’n v. Puget Sound Power &amp; Light. Co., </w:t>
      </w:r>
      <w:r w:rsidRPr="002275CC">
        <w:rPr>
          <w:rFonts w:ascii="Times New Roman" w:hAnsi="Times New Roman" w:cs="Times New Roman"/>
          <w:sz w:val="20"/>
          <w:szCs w:val="20"/>
        </w:rPr>
        <w:t xml:space="preserve">Ninth Supplemental Order on Rate Design Issues, Docket UE-920433, p.11 (August 17, 1993).  </w:t>
      </w:r>
    </w:p>
  </w:footnote>
  <w:footnote w:id="59">
    <w:p w14:paraId="14133AC4" w14:textId="7EAF2962"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JRS-13T, 25: 1-8.  </w:t>
      </w:r>
    </w:p>
  </w:footnote>
  <w:footnote w:id="60">
    <w:p w14:paraId="4F359981" w14:textId="22406A6E"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Exh. No. JRS-20.</w:t>
      </w:r>
    </w:p>
  </w:footnote>
  <w:footnote w:id="61">
    <w:p w14:paraId="28CD25B0" w14:textId="2BB3613D" w:rsidR="00FD3E1E" w:rsidRPr="002275CC" w:rsidRDefault="00FD3E1E" w:rsidP="00413654">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TR. 518: 9-16.</w:t>
      </w:r>
    </w:p>
  </w:footnote>
  <w:footnote w:id="62">
    <w:p w14:paraId="73C43A97" w14:textId="7B0943EA"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5: 3-4; Figure 2. </w:t>
      </w:r>
    </w:p>
  </w:footnote>
  <w:footnote w:id="63">
    <w:p w14:paraId="76E4F52D" w14:textId="0A4F62A5"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7: 22 –8: 2. </w:t>
      </w:r>
    </w:p>
  </w:footnote>
  <w:footnote w:id="64">
    <w:p w14:paraId="74C7B3E3" w14:textId="70B3A7D7" w:rsidR="00FD3E1E" w:rsidRPr="00022DF2" w:rsidRDefault="00FD3E1E">
      <w:pPr>
        <w:pStyle w:val="FootnoteText"/>
        <w:rPr>
          <w:rFonts w:ascii="Times New Roman" w:hAnsi="Times New Roman" w:cs="Times New Roman"/>
          <w:sz w:val="20"/>
          <w:szCs w:val="20"/>
        </w:rPr>
      </w:pPr>
      <w:r w:rsidRPr="00022DF2">
        <w:rPr>
          <w:rStyle w:val="FootnoteReference"/>
          <w:rFonts w:ascii="Times New Roman" w:hAnsi="Times New Roman" w:cs="Times New Roman"/>
          <w:sz w:val="20"/>
          <w:szCs w:val="20"/>
        </w:rPr>
        <w:footnoteRef/>
      </w:r>
      <w:r w:rsidRPr="00022DF2">
        <w:rPr>
          <w:rFonts w:ascii="Times New Roman" w:hAnsi="Times New Roman" w:cs="Times New Roman"/>
          <w:sz w:val="20"/>
          <w:szCs w:val="20"/>
        </w:rPr>
        <w:t xml:space="preserve"> </w:t>
      </w:r>
      <w:r w:rsidRPr="00022DF2">
        <w:rPr>
          <w:rFonts w:ascii="Times New Roman" w:hAnsi="Times New Roman" w:cs="Times New Roman"/>
          <w:i/>
          <w:sz w:val="20"/>
          <w:szCs w:val="20"/>
        </w:rPr>
        <w:t xml:space="preserve">WUTC, </w:t>
      </w:r>
      <w:r w:rsidRPr="00022DF2">
        <w:rPr>
          <w:rFonts w:ascii="Times New Roman" w:hAnsi="Times New Roman" w:cs="Times New Roman"/>
          <w:sz w:val="20"/>
          <w:szCs w:val="20"/>
        </w:rPr>
        <w:t xml:space="preserve">Docket U-100522, Decoupling Policy Statement at ¶9 (November 4, 2010). </w:t>
      </w:r>
    </w:p>
  </w:footnote>
  <w:footnote w:id="65">
    <w:p w14:paraId="4D23D2BB" w14:textId="675D7465" w:rsidR="00FD3E1E" w:rsidRPr="00595A9A" w:rsidRDefault="00FD3E1E" w:rsidP="00B6427B">
      <w:pPr>
        <w:pStyle w:val="FootnoteText"/>
        <w:rPr>
          <w:rFonts w:ascii="Times New Roman" w:hAnsi="Times New Roman" w:cs="Times New Roman"/>
          <w:sz w:val="20"/>
          <w:szCs w:val="20"/>
          <w:highlight w:val="yellow"/>
        </w:rPr>
      </w:pPr>
      <w:r w:rsidRPr="00022DF2">
        <w:rPr>
          <w:rStyle w:val="FootnoteReference"/>
          <w:rFonts w:ascii="Times New Roman" w:hAnsi="Times New Roman" w:cs="Times New Roman"/>
          <w:sz w:val="20"/>
          <w:szCs w:val="20"/>
        </w:rPr>
        <w:footnoteRef/>
      </w:r>
      <w:r w:rsidRPr="00022DF2">
        <w:rPr>
          <w:rFonts w:ascii="Times New Roman" w:hAnsi="Times New Roman" w:cs="Times New Roman"/>
          <w:sz w:val="20"/>
          <w:szCs w:val="20"/>
        </w:rPr>
        <w:t xml:space="preserve"> </w:t>
      </w:r>
      <w:r w:rsidRPr="00022DF2">
        <w:rPr>
          <w:rFonts w:ascii="Times New Roman" w:hAnsi="Times New Roman" w:cs="Times New Roman"/>
          <w:i/>
          <w:sz w:val="20"/>
          <w:szCs w:val="20"/>
        </w:rPr>
        <w:t xml:space="preserve">WUTC, </w:t>
      </w:r>
      <w:r w:rsidRPr="00022DF2">
        <w:rPr>
          <w:rFonts w:ascii="Times New Roman" w:hAnsi="Times New Roman" w:cs="Times New Roman"/>
          <w:sz w:val="20"/>
          <w:szCs w:val="20"/>
        </w:rPr>
        <w:t xml:space="preserve">Docket U-100522, Decoupling Policy Statement at ¶28 (November 4, 2010). </w:t>
      </w:r>
    </w:p>
  </w:footnote>
  <w:footnote w:id="66">
    <w:p w14:paraId="42C5EC2C" w14:textId="2C519058" w:rsidR="00FD3E1E" w:rsidRPr="002275CC" w:rsidRDefault="00FD3E1E">
      <w:pPr>
        <w:pStyle w:val="FootnoteText"/>
        <w:rPr>
          <w:rFonts w:ascii="Times New Roman" w:hAnsi="Times New Roman" w:cs="Times New Roman"/>
          <w:sz w:val="20"/>
          <w:szCs w:val="20"/>
        </w:rPr>
      </w:pPr>
      <w:r w:rsidRPr="00022DF2">
        <w:rPr>
          <w:rStyle w:val="FootnoteReference"/>
          <w:rFonts w:ascii="Times New Roman" w:hAnsi="Times New Roman" w:cs="Times New Roman"/>
          <w:sz w:val="20"/>
          <w:szCs w:val="20"/>
        </w:rPr>
        <w:footnoteRef/>
      </w:r>
      <w:r w:rsidRPr="00022DF2">
        <w:rPr>
          <w:rFonts w:ascii="Times New Roman" w:hAnsi="Times New Roman" w:cs="Times New Roman"/>
          <w:sz w:val="20"/>
          <w:szCs w:val="20"/>
        </w:rPr>
        <w:t xml:space="preserve"> </w:t>
      </w:r>
      <w:r w:rsidRPr="00022DF2">
        <w:rPr>
          <w:rFonts w:ascii="Times New Roman" w:hAnsi="Times New Roman" w:cs="Times New Roman"/>
          <w:i/>
          <w:sz w:val="20"/>
          <w:szCs w:val="20"/>
        </w:rPr>
        <w:t>WUTC v. Puget Sound Energy, Inc</w:t>
      </w:r>
      <w:r w:rsidRPr="00022DF2">
        <w:rPr>
          <w:rFonts w:ascii="Times New Roman" w:hAnsi="Times New Roman" w:cs="Times New Roman"/>
          <w:sz w:val="20"/>
          <w:szCs w:val="20"/>
        </w:rPr>
        <w:t>., Docket UG-111049, Order 08 at ¶438 (May 7, 2012).</w:t>
      </w:r>
    </w:p>
  </w:footnote>
  <w:footnote w:id="67">
    <w:p w14:paraId="68F3557B" w14:textId="65F8E156"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24: 5-11.</w:t>
      </w:r>
    </w:p>
  </w:footnote>
  <w:footnote w:id="68">
    <w:p w14:paraId="57A140FC" w14:textId="7D658A92"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24: 5-11.</w:t>
      </w:r>
    </w:p>
  </w:footnote>
  <w:footnote w:id="69">
    <w:p w14:paraId="43E0E803" w14:textId="4F0A7D58"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24: 12-15. (Emphasis added).</w:t>
      </w:r>
    </w:p>
  </w:footnote>
  <w:footnote w:id="70">
    <w:p w14:paraId="7C16D578" w14:textId="45D15919"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Dalley, TR. 402: 9-12.</w:t>
      </w:r>
    </w:p>
  </w:footnote>
  <w:footnote w:id="71">
    <w:p w14:paraId="4F655101" w14:textId="38ACF28F"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022DF2">
        <w:rPr>
          <w:rFonts w:ascii="Times New Roman" w:hAnsi="Times New Roman" w:cs="Times New Roman"/>
          <w:i/>
          <w:sz w:val="20"/>
          <w:szCs w:val="20"/>
        </w:rPr>
        <w:t xml:space="preserve">WUTC, </w:t>
      </w:r>
      <w:r w:rsidRPr="00022DF2">
        <w:rPr>
          <w:rFonts w:ascii="Times New Roman" w:hAnsi="Times New Roman" w:cs="Times New Roman"/>
          <w:sz w:val="20"/>
          <w:szCs w:val="20"/>
        </w:rPr>
        <w:t>Docket U-100522, Decoupling Policy Statement at ¶28 (November 4, 2010).</w:t>
      </w:r>
    </w:p>
  </w:footnote>
  <w:footnote w:id="72">
    <w:p w14:paraId="463652A8" w14:textId="4BC5D231"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7: 7-8.</w:t>
      </w:r>
    </w:p>
  </w:footnote>
  <w:footnote w:id="73">
    <w:p w14:paraId="20AEE550" w14:textId="045D1767"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t>
      </w:r>
      <w:r w:rsidRPr="002275CC">
        <w:rPr>
          <w:rFonts w:ascii="Times New Roman" w:hAnsi="Times New Roman" w:cs="Times New Roman"/>
          <w:i/>
          <w:sz w:val="20"/>
          <w:szCs w:val="20"/>
        </w:rPr>
        <w:t xml:space="preserve">See, </w:t>
      </w:r>
      <w:r w:rsidRPr="002275CC">
        <w:rPr>
          <w:rFonts w:ascii="Times New Roman" w:hAnsi="Times New Roman" w:cs="Times New Roman"/>
          <w:sz w:val="20"/>
          <w:szCs w:val="20"/>
        </w:rPr>
        <w:t xml:space="preserve">Twitchell, Exh. No. JBT-1T, 7: 14-20.  </w:t>
      </w:r>
    </w:p>
  </w:footnote>
  <w:footnote w:id="74">
    <w:p w14:paraId="483D0B3F" w14:textId="557D9D78"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14: 5-14.</w:t>
      </w:r>
    </w:p>
  </w:footnote>
  <w:footnote w:id="75">
    <w:p w14:paraId="34F48E4A" w14:textId="07AC032F"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14: 5-14.</w:t>
      </w:r>
    </w:p>
  </w:footnote>
  <w:footnote w:id="76">
    <w:p w14:paraId="0E4030D2" w14:textId="56B50CC1"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14: 5-14.</w:t>
      </w:r>
    </w:p>
  </w:footnote>
  <w:footnote w:id="77">
    <w:p w14:paraId="2A172D9C" w14:textId="0810624F"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GAW-1T, 25: 1-2. </w:t>
      </w:r>
    </w:p>
  </w:footnote>
  <w:footnote w:id="78">
    <w:p w14:paraId="0E1CF459" w14:textId="7806B7D9"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GAW-1T, 26: 2-4.</w:t>
      </w:r>
    </w:p>
  </w:footnote>
  <w:footnote w:id="79">
    <w:p w14:paraId="40E18618" w14:textId="2C5DC758"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Watkins, Exh. No. GAW-1T, 26: 5-9.</w:t>
      </w:r>
    </w:p>
  </w:footnote>
  <w:footnote w:id="80">
    <w:p w14:paraId="4D3183E4" w14:textId="5DD5285D"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13: 9-10.</w:t>
      </w:r>
    </w:p>
  </w:footnote>
  <w:footnote w:id="81">
    <w:p w14:paraId="2D5324FA" w14:textId="5385972C"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MEF-1Tr, 13: 10-11.</w:t>
      </w:r>
    </w:p>
  </w:footnote>
  <w:footnote w:id="82">
    <w:p w14:paraId="7E2AEFEC" w14:textId="5095EEA7"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Dalley, TR. 400: 1-10.</w:t>
      </w:r>
    </w:p>
  </w:footnote>
  <w:footnote w:id="83">
    <w:p w14:paraId="24BB4321" w14:textId="0EE4B38E"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JRS-1T, 25: 16-18.  </w:t>
      </w:r>
    </w:p>
  </w:footnote>
  <w:footnote w:id="84">
    <w:p w14:paraId="59D165AB" w14:textId="183B932B"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JRS-1T, 26: 8-10.  </w:t>
      </w:r>
    </w:p>
  </w:footnote>
  <w:footnote w:id="85">
    <w:p w14:paraId="72580891" w14:textId="73FAE6B3"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38: 6-9.</w:t>
      </w:r>
    </w:p>
  </w:footnote>
  <w:footnote w:id="86">
    <w:p w14:paraId="7CB2FEF6" w14:textId="4C4DA9B2"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38: 10-11.</w:t>
      </w:r>
    </w:p>
  </w:footnote>
  <w:footnote w:id="87">
    <w:p w14:paraId="1F639ACA" w14:textId="4693557C"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JRS-13T, 47: 11.</w:t>
      </w:r>
    </w:p>
  </w:footnote>
  <w:footnote w:id="88">
    <w:p w14:paraId="113B05BB" w14:textId="40E2EF33"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Steward, Exh. No. JRS-13T, 47: 13-14.</w:t>
      </w:r>
    </w:p>
  </w:footnote>
  <w:footnote w:id="89">
    <w:p w14:paraId="1205EBA1" w14:textId="45E91732"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27: 7-10.</w:t>
      </w:r>
    </w:p>
  </w:footnote>
  <w:footnote w:id="90">
    <w:p w14:paraId="1831F81E" w14:textId="5E25802E"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Twitchell, Exh. No. JBT-1T, 27: 18-22.</w:t>
      </w:r>
    </w:p>
  </w:footnote>
  <w:footnote w:id="91">
    <w:p w14:paraId="2AA62E31" w14:textId="5F88B1A0" w:rsidR="00FD3E1E" w:rsidRPr="002275CC" w:rsidRDefault="00FD3E1E">
      <w:pPr>
        <w:pStyle w:val="FootnoteText"/>
        <w:rPr>
          <w:rFonts w:ascii="Times New Roman" w:hAnsi="Times New Roman" w:cs="Times New Roman"/>
          <w:sz w:val="20"/>
          <w:szCs w:val="20"/>
        </w:rPr>
      </w:pPr>
      <w:r w:rsidRPr="002275CC">
        <w:rPr>
          <w:rStyle w:val="FootnoteReference"/>
          <w:rFonts w:ascii="Times New Roman" w:hAnsi="Times New Roman" w:cs="Times New Roman"/>
          <w:sz w:val="20"/>
          <w:szCs w:val="20"/>
        </w:rPr>
        <w:footnoteRef/>
      </w:r>
      <w:r w:rsidRPr="002275CC">
        <w:rPr>
          <w:rFonts w:ascii="Times New Roman" w:hAnsi="Times New Roman" w:cs="Times New Roman"/>
          <w:sz w:val="20"/>
          <w:szCs w:val="20"/>
        </w:rPr>
        <w:t xml:space="preserve"> Fulmer, Exh. No. MEF-6T, 4: 17-22.</w:t>
      </w:r>
    </w:p>
  </w:footnote>
  <w:footnote w:id="92">
    <w:p w14:paraId="56027DBF" w14:textId="4A085638" w:rsidR="00FD3E1E" w:rsidRPr="002275CC" w:rsidRDefault="00FD3E1E" w:rsidP="007E7DEE">
      <w:pPr>
        <w:pStyle w:val="BodyText"/>
        <w:kinsoku w:val="0"/>
        <w:overflowPunct w:val="0"/>
        <w:ind w:left="0"/>
        <w:rPr>
          <w:b/>
          <w:bCs/>
          <w:sz w:val="20"/>
          <w:szCs w:val="20"/>
        </w:rPr>
      </w:pPr>
      <w:r w:rsidRPr="002275CC">
        <w:rPr>
          <w:rStyle w:val="FootnoteReference"/>
          <w:sz w:val="20"/>
          <w:szCs w:val="20"/>
        </w:rPr>
        <w:footnoteRef/>
      </w:r>
      <w:r w:rsidRPr="002275CC">
        <w:rPr>
          <w:sz w:val="20"/>
          <w:szCs w:val="20"/>
        </w:rPr>
        <w:t xml:space="preserve"> Fulmer, Exh. No. MEF-6T, 5: 4-5, Table</w:t>
      </w:r>
      <w:r w:rsidRPr="002275CC">
        <w:rPr>
          <w:spacing w:val="-2"/>
          <w:sz w:val="20"/>
          <w:szCs w:val="20"/>
        </w:rPr>
        <w:t xml:space="preserve"> </w:t>
      </w:r>
      <w:r w:rsidRPr="002275CC">
        <w:rPr>
          <w:sz w:val="20"/>
          <w:szCs w:val="20"/>
        </w:rPr>
        <w:t>1.</w:t>
      </w:r>
    </w:p>
    <w:p w14:paraId="4EC0B5C9" w14:textId="4C403372" w:rsidR="00FD3E1E" w:rsidRPr="002275CC" w:rsidRDefault="00FD3E1E">
      <w:pPr>
        <w:pStyle w:val="FootnoteText"/>
        <w:rPr>
          <w:rFonts w:ascii="Times New Roman" w:hAnsi="Times New Roman" w:cs="Times New Roman"/>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AF0"/>
    <w:multiLevelType w:val="hybridMultilevel"/>
    <w:tmpl w:val="7CE61E00"/>
    <w:lvl w:ilvl="0" w:tplc="AEDCB2C4">
      <w:start w:val="22"/>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EF257D"/>
    <w:multiLevelType w:val="multilevel"/>
    <w:tmpl w:val="0D54910E"/>
    <w:lvl w:ilvl="0">
      <w:start w:val="52"/>
      <w:numFmt w:val="decimal"/>
      <w:lvlText w:val="%1"/>
      <w:lvlJc w:val="left"/>
      <w:pPr>
        <w:tabs>
          <w:tab w:val="num" w:pos="720"/>
        </w:tabs>
        <w:ind w:left="0" w:hanging="360"/>
      </w:pPr>
      <w:rPr>
        <w:rFonts w:ascii="Times New Roman" w:hAnsi="Times New Roman" w:hint="default"/>
        <w:b w:val="0"/>
        <w:bCs w:val="0"/>
        <w:i/>
        <w:iCs/>
        <w:sz w:val="24"/>
        <w:szCs w:val="24"/>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nsid w:val="0E810FB1"/>
    <w:multiLevelType w:val="hybridMultilevel"/>
    <w:tmpl w:val="4F0E2EFA"/>
    <w:lvl w:ilvl="0" w:tplc="B9EE94FE">
      <w:start w:val="46"/>
      <w:numFmt w:val="decimal"/>
      <w:lvlText w:val="%1"/>
      <w:lvlJc w:val="left"/>
      <w:pPr>
        <w:tabs>
          <w:tab w:val="num" w:pos="720"/>
        </w:tabs>
        <w:ind w:left="0" w:hanging="360"/>
      </w:pPr>
      <w:rPr>
        <w:rFonts w:ascii="Times New Roman" w:hAnsi="Times New Roman" w:hint="default"/>
        <w:b w:val="0"/>
        <w:bCs w:val="0"/>
        <w:i/>
        <w:iCs/>
        <w:sz w:val="24"/>
        <w:szCs w:val="24"/>
      </w:rPr>
    </w:lvl>
    <w:lvl w:ilvl="1" w:tplc="AFBC6F08">
      <w:start w:val="50"/>
      <w:numFmt w:val="decimal"/>
      <w:lvlText w:val="%2"/>
      <w:lvlJc w:val="left"/>
      <w:pPr>
        <w:tabs>
          <w:tab w:val="num" w:pos="72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061B2"/>
    <w:multiLevelType w:val="hybridMultilevel"/>
    <w:tmpl w:val="8A184054"/>
    <w:lvl w:ilvl="0" w:tplc="33AEE980">
      <w:start w:val="9"/>
      <w:numFmt w:val="decimal"/>
      <w:lvlText w:val="%1"/>
      <w:lvlJc w:val="left"/>
      <w:pPr>
        <w:tabs>
          <w:tab w:val="num" w:pos="36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9A5798"/>
    <w:multiLevelType w:val="hybridMultilevel"/>
    <w:tmpl w:val="330E2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E22E5"/>
    <w:multiLevelType w:val="hybridMultilevel"/>
    <w:tmpl w:val="E30CD7AC"/>
    <w:lvl w:ilvl="0" w:tplc="5046F382">
      <w:start w:val="2"/>
      <w:numFmt w:val="decimal"/>
      <w:lvlText w:val="%1."/>
      <w:lvlJc w:val="left"/>
      <w:pPr>
        <w:tabs>
          <w:tab w:val="num" w:pos="360"/>
        </w:tabs>
        <w:ind w:left="360" w:hanging="720"/>
      </w:pPr>
      <w:rPr>
        <w:rFonts w:ascii="Times New Roman" w:hAnsi="Times New Roman" w:hint="default"/>
        <w:b w:val="0"/>
        <w:bCs w:val="0"/>
        <w:i/>
        <w:iCs/>
        <w:sz w:val="24"/>
        <w:szCs w:val="24"/>
      </w:rPr>
    </w:lvl>
    <w:lvl w:ilvl="1" w:tplc="0D76E592">
      <w:start w:val="2"/>
      <w:numFmt w:val="decimal"/>
      <w:lvlText w:val="%2"/>
      <w:lvlJc w:val="left"/>
      <w:pPr>
        <w:tabs>
          <w:tab w:val="num" w:pos="72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03B2E"/>
    <w:multiLevelType w:val="multilevel"/>
    <w:tmpl w:val="FEF4634C"/>
    <w:lvl w:ilvl="0">
      <w:start w:val="2"/>
      <w:numFmt w:val="decimal"/>
      <w:lvlText w:val="%1."/>
      <w:lvlJc w:val="left"/>
      <w:pPr>
        <w:tabs>
          <w:tab w:val="num" w:pos="360"/>
        </w:tabs>
        <w:ind w:left="360" w:hanging="720"/>
      </w:pPr>
      <w:rPr>
        <w:rFonts w:ascii="Times New Roman" w:hAnsi="Times New Roman" w:hint="default"/>
        <w:b w:val="0"/>
        <w:bCs w:val="0"/>
        <w:i/>
        <w:iCs/>
        <w:sz w:val="24"/>
        <w:szCs w:val="24"/>
      </w:rPr>
    </w:lvl>
    <w:lvl w:ilvl="1">
      <w:start w:val="2"/>
      <w:numFmt w:val="decimal"/>
      <w:lvlText w:val="%2"/>
      <w:lvlJc w:val="left"/>
      <w:pPr>
        <w:tabs>
          <w:tab w:val="num" w:pos="360"/>
        </w:tabs>
        <w:ind w:left="360" w:hanging="720"/>
      </w:pPr>
      <w:rPr>
        <w:rFonts w:ascii="Times New Roman" w:hAnsi="Times New Roman" w:hint="default"/>
        <w:b w:val="0"/>
        <w:bCs w:val="0"/>
        <w:i/>
        <w:iCs/>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FD6E1A"/>
    <w:multiLevelType w:val="hybridMultilevel"/>
    <w:tmpl w:val="29309FE8"/>
    <w:lvl w:ilvl="0" w:tplc="E02A45A2">
      <w:start w:val="1"/>
      <w:numFmt w:val="decimal"/>
      <w:lvlText w:val="%1"/>
      <w:lvlJc w:val="left"/>
      <w:pPr>
        <w:tabs>
          <w:tab w:val="num" w:pos="360"/>
        </w:tabs>
        <w:ind w:left="360" w:hanging="720"/>
      </w:pPr>
      <w:rPr>
        <w:rFonts w:ascii="Times New Roman" w:hAnsi="Times New Roman" w:hint="default"/>
        <w:b w:val="0"/>
        <w:bCs w:val="0"/>
        <w:i/>
        <w:iCs/>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EC06654"/>
    <w:multiLevelType w:val="hybridMultilevel"/>
    <w:tmpl w:val="02D87FCC"/>
    <w:lvl w:ilvl="0" w:tplc="5046F382">
      <w:start w:val="2"/>
      <w:numFmt w:val="decimal"/>
      <w:lvlText w:val="%1."/>
      <w:lvlJc w:val="left"/>
      <w:pPr>
        <w:tabs>
          <w:tab w:val="num" w:pos="360"/>
        </w:tabs>
        <w:ind w:left="360" w:hanging="720"/>
      </w:pPr>
      <w:rPr>
        <w:rFonts w:ascii="Times New Roman" w:hAnsi="Times New Roman" w:hint="default"/>
        <w:b w:val="0"/>
        <w:bCs w:val="0"/>
        <w:i/>
        <w:iCs/>
        <w:sz w:val="24"/>
        <w:szCs w:val="24"/>
      </w:rPr>
    </w:lvl>
    <w:lvl w:ilvl="1" w:tplc="A468D266">
      <w:start w:val="1"/>
      <w:numFmt w:val="decimal"/>
      <w:lvlText w:val="%2"/>
      <w:lvlJc w:val="left"/>
      <w:pPr>
        <w:tabs>
          <w:tab w:val="num" w:pos="72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A1656"/>
    <w:multiLevelType w:val="hybridMultilevel"/>
    <w:tmpl w:val="0A1416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86F5D69"/>
    <w:multiLevelType w:val="hybridMultilevel"/>
    <w:tmpl w:val="7DF48094"/>
    <w:lvl w:ilvl="0" w:tplc="33AEE980">
      <w:start w:val="9"/>
      <w:numFmt w:val="decimal"/>
      <w:lvlText w:val="%1"/>
      <w:lvlJc w:val="left"/>
      <w:pPr>
        <w:tabs>
          <w:tab w:val="num" w:pos="360"/>
        </w:tabs>
        <w:ind w:left="0" w:hanging="360"/>
      </w:pPr>
      <w:rPr>
        <w:rFonts w:ascii="Times New Roman" w:hAnsi="Times New Roman" w:hint="default"/>
        <w:b w:val="0"/>
        <w:bCs w:val="0"/>
        <w:i/>
        <w:iCs/>
        <w:sz w:val="24"/>
        <w:szCs w:val="24"/>
      </w:rPr>
    </w:lvl>
    <w:lvl w:ilvl="1" w:tplc="DE6447DC">
      <w:start w:val="10"/>
      <w:numFmt w:val="decimal"/>
      <w:lvlText w:val="%2"/>
      <w:lvlJc w:val="left"/>
      <w:pPr>
        <w:tabs>
          <w:tab w:val="num" w:pos="36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05908"/>
    <w:multiLevelType w:val="hybridMultilevel"/>
    <w:tmpl w:val="8FBCBA40"/>
    <w:lvl w:ilvl="0" w:tplc="4A4000AC">
      <w:start w:val="18"/>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CB1C18"/>
    <w:multiLevelType w:val="hybridMultilevel"/>
    <w:tmpl w:val="1124E386"/>
    <w:lvl w:ilvl="0" w:tplc="29CAADBC">
      <w:start w:val="52"/>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83171"/>
    <w:multiLevelType w:val="hybridMultilevel"/>
    <w:tmpl w:val="17CC6354"/>
    <w:lvl w:ilvl="0" w:tplc="A8B47762">
      <w:start w:val="26"/>
      <w:numFmt w:val="decimal"/>
      <w:lvlText w:val="%1"/>
      <w:lvlJc w:val="left"/>
      <w:pPr>
        <w:tabs>
          <w:tab w:val="num" w:pos="720"/>
        </w:tabs>
        <w:ind w:left="0" w:hanging="360"/>
      </w:pPr>
      <w:rPr>
        <w:rFonts w:ascii="Times New Roman" w:hAnsi="Times New Roman" w:hint="default"/>
        <w:b w:val="0"/>
        <w:bCs w:val="0"/>
        <w:i/>
        <w:iCs/>
        <w:sz w:val="24"/>
        <w:szCs w:val="24"/>
      </w:rPr>
    </w:lvl>
    <w:lvl w:ilvl="1" w:tplc="40266F16">
      <w:start w:val="27"/>
      <w:numFmt w:val="decimal"/>
      <w:lvlText w:val="%2"/>
      <w:lvlJc w:val="left"/>
      <w:pPr>
        <w:tabs>
          <w:tab w:val="num" w:pos="72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D00B8"/>
    <w:multiLevelType w:val="hybridMultilevel"/>
    <w:tmpl w:val="5CCEC6CE"/>
    <w:lvl w:ilvl="0" w:tplc="AFBC6F08">
      <w:start w:val="50"/>
      <w:numFmt w:val="decimal"/>
      <w:lvlText w:val="%1"/>
      <w:lvlJc w:val="left"/>
      <w:pPr>
        <w:tabs>
          <w:tab w:val="num" w:pos="1440"/>
        </w:tabs>
        <w:ind w:left="720" w:hanging="360"/>
      </w:pPr>
      <w:rPr>
        <w:rFonts w:ascii="Times New Roman" w:hAnsi="Times New Roman" w:hint="default"/>
        <w:b w:val="0"/>
        <w:bCs w:val="0"/>
        <w:i/>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FC31A6"/>
    <w:multiLevelType w:val="hybridMultilevel"/>
    <w:tmpl w:val="EFD69950"/>
    <w:lvl w:ilvl="0" w:tplc="2E225200">
      <w:start w:val="36"/>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7370854"/>
    <w:multiLevelType w:val="hybridMultilevel"/>
    <w:tmpl w:val="FEF4634C"/>
    <w:lvl w:ilvl="0" w:tplc="5046F382">
      <w:start w:val="2"/>
      <w:numFmt w:val="decimal"/>
      <w:lvlText w:val="%1."/>
      <w:lvlJc w:val="left"/>
      <w:pPr>
        <w:tabs>
          <w:tab w:val="num" w:pos="360"/>
        </w:tabs>
        <w:ind w:left="360" w:hanging="720"/>
      </w:pPr>
      <w:rPr>
        <w:rFonts w:ascii="Times New Roman" w:hAnsi="Times New Roman" w:hint="default"/>
        <w:b w:val="0"/>
        <w:bCs w:val="0"/>
        <w:i/>
        <w:iCs/>
        <w:sz w:val="24"/>
        <w:szCs w:val="24"/>
      </w:rPr>
    </w:lvl>
    <w:lvl w:ilvl="1" w:tplc="29F4D1FE">
      <w:start w:val="2"/>
      <w:numFmt w:val="decimal"/>
      <w:lvlText w:val="%2"/>
      <w:lvlJc w:val="left"/>
      <w:pPr>
        <w:tabs>
          <w:tab w:val="num" w:pos="360"/>
        </w:tabs>
        <w:ind w:left="360" w:hanging="72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56407"/>
    <w:multiLevelType w:val="multilevel"/>
    <w:tmpl w:val="5CCEC6CE"/>
    <w:lvl w:ilvl="0">
      <w:start w:val="50"/>
      <w:numFmt w:val="decimal"/>
      <w:lvlText w:val="%1"/>
      <w:lvlJc w:val="left"/>
      <w:pPr>
        <w:tabs>
          <w:tab w:val="num" w:pos="1440"/>
        </w:tabs>
        <w:ind w:left="720" w:hanging="360"/>
      </w:pPr>
      <w:rPr>
        <w:rFonts w:ascii="Times New Roman" w:hAnsi="Times New Roman" w:hint="default"/>
        <w:b w:val="0"/>
        <w:bCs w:val="0"/>
        <w:i/>
        <w:i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0332A3B"/>
    <w:multiLevelType w:val="hybridMultilevel"/>
    <w:tmpl w:val="1FBE2492"/>
    <w:lvl w:ilvl="0" w:tplc="718A49A4">
      <w:start w:val="1"/>
      <w:numFmt w:val="lowerRoman"/>
      <w:lvlText w:val="%1."/>
      <w:lvlJc w:val="left"/>
      <w:pPr>
        <w:ind w:left="2880" w:hanging="72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7263C8F"/>
    <w:multiLevelType w:val="hybridMultilevel"/>
    <w:tmpl w:val="0B681544"/>
    <w:lvl w:ilvl="0" w:tplc="108891C4">
      <w:start w:val="16"/>
      <w:numFmt w:val="decimal"/>
      <w:lvlText w:val="%1"/>
      <w:lvlJc w:val="left"/>
      <w:pPr>
        <w:tabs>
          <w:tab w:val="num" w:pos="720"/>
        </w:tabs>
        <w:ind w:left="0" w:hanging="360"/>
      </w:pPr>
      <w:rPr>
        <w:rFonts w:ascii="Times New Roman" w:hAnsi="Times New Roman" w:hint="default"/>
        <w:b w:val="0"/>
        <w:bCs w:val="0"/>
        <w:i/>
        <w:iCs/>
        <w:sz w:val="24"/>
        <w:szCs w:val="24"/>
      </w:rPr>
    </w:lvl>
    <w:lvl w:ilvl="1" w:tplc="7DFA5392">
      <w:start w:val="16"/>
      <w:numFmt w:val="decimal"/>
      <w:lvlText w:val="%2"/>
      <w:lvlJc w:val="left"/>
      <w:pPr>
        <w:tabs>
          <w:tab w:val="num" w:pos="72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0577E"/>
    <w:multiLevelType w:val="hybridMultilevel"/>
    <w:tmpl w:val="6B1ED122"/>
    <w:lvl w:ilvl="0" w:tplc="02E0BBA2">
      <w:start w:val="37"/>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61811"/>
    <w:multiLevelType w:val="hybridMultilevel"/>
    <w:tmpl w:val="0D54910E"/>
    <w:lvl w:ilvl="0" w:tplc="29CAADBC">
      <w:start w:val="52"/>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58D235B8"/>
    <w:multiLevelType w:val="hybridMultilevel"/>
    <w:tmpl w:val="3C469F4C"/>
    <w:lvl w:ilvl="0" w:tplc="A97219C8">
      <w:start w:val="44"/>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329DB"/>
    <w:multiLevelType w:val="hybridMultilevel"/>
    <w:tmpl w:val="E39A4E08"/>
    <w:lvl w:ilvl="0" w:tplc="D4A41978">
      <w:start w:val="28"/>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ED302EA"/>
    <w:multiLevelType w:val="hybridMultilevel"/>
    <w:tmpl w:val="15F49DD4"/>
    <w:lvl w:ilvl="0" w:tplc="38A81640">
      <w:start w:val="7"/>
      <w:numFmt w:val="decimal"/>
      <w:lvlText w:val="%1"/>
      <w:lvlJc w:val="left"/>
      <w:pPr>
        <w:tabs>
          <w:tab w:val="num" w:pos="360"/>
        </w:tabs>
        <w:ind w:left="0" w:hanging="360"/>
      </w:pPr>
      <w:rPr>
        <w:rFonts w:ascii="Times New Roman" w:hAnsi="Times New Roman" w:hint="default"/>
        <w:b w:val="0"/>
        <w:bCs w:val="0"/>
        <w:i/>
        <w:iCs/>
        <w:sz w:val="24"/>
        <w:szCs w:val="24"/>
      </w:rPr>
    </w:lvl>
    <w:lvl w:ilvl="1" w:tplc="E0C6C6EA">
      <w:start w:val="7"/>
      <w:numFmt w:val="decimal"/>
      <w:lvlText w:val="%2"/>
      <w:lvlJc w:val="left"/>
      <w:pPr>
        <w:tabs>
          <w:tab w:val="num" w:pos="36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A2B83"/>
    <w:multiLevelType w:val="hybridMultilevel"/>
    <w:tmpl w:val="F410D594"/>
    <w:lvl w:ilvl="0" w:tplc="E2E4F4B4">
      <w:start w:val="24"/>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5275B2"/>
    <w:multiLevelType w:val="hybridMultilevel"/>
    <w:tmpl w:val="FDEE5B36"/>
    <w:lvl w:ilvl="0" w:tplc="7B40C754">
      <w:start w:val="28"/>
      <w:numFmt w:val="decimal"/>
      <w:lvlText w:val="%1"/>
      <w:lvlJc w:val="left"/>
      <w:pPr>
        <w:tabs>
          <w:tab w:val="num" w:pos="1440"/>
        </w:tabs>
        <w:ind w:left="720" w:hanging="360"/>
      </w:pPr>
      <w:rPr>
        <w:rFonts w:ascii="Times New Roman" w:hAnsi="Times New Roman" w:hint="default"/>
        <w:b w:val="0"/>
        <w:bCs w:val="0"/>
        <w:i/>
        <w:iCs/>
        <w:sz w:val="24"/>
        <w:szCs w:val="24"/>
      </w:rPr>
    </w:lvl>
    <w:lvl w:ilvl="1" w:tplc="65B2E638">
      <w:start w:val="35"/>
      <w:numFmt w:val="decimal"/>
      <w:lvlText w:val="%2"/>
      <w:lvlJc w:val="left"/>
      <w:pPr>
        <w:tabs>
          <w:tab w:val="num" w:pos="72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21E2A"/>
    <w:multiLevelType w:val="hybridMultilevel"/>
    <w:tmpl w:val="ED8A8118"/>
    <w:lvl w:ilvl="0" w:tplc="51D6E2A8">
      <w:start w:val="40"/>
      <w:numFmt w:val="decimal"/>
      <w:lvlText w:val="%1"/>
      <w:lvlJc w:val="left"/>
      <w:pPr>
        <w:tabs>
          <w:tab w:val="num" w:pos="720"/>
        </w:tabs>
        <w:ind w:left="0" w:hanging="360"/>
      </w:pPr>
      <w:rPr>
        <w:rFonts w:ascii="Times New Roman" w:hAnsi="Times New Roman" w:hint="default"/>
        <w:b w:val="0"/>
        <w:bCs w:val="0"/>
        <w:i/>
        <w:iCs/>
        <w:sz w:val="24"/>
        <w:szCs w:val="24"/>
      </w:rPr>
    </w:lvl>
    <w:lvl w:ilvl="1" w:tplc="4FCEE5E6">
      <w:start w:val="40"/>
      <w:numFmt w:val="decimal"/>
      <w:lvlText w:val="%2"/>
      <w:lvlJc w:val="left"/>
      <w:pPr>
        <w:tabs>
          <w:tab w:val="num" w:pos="72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CE6A37"/>
    <w:multiLevelType w:val="multilevel"/>
    <w:tmpl w:val="02D87FCC"/>
    <w:lvl w:ilvl="0">
      <w:start w:val="2"/>
      <w:numFmt w:val="decimal"/>
      <w:lvlText w:val="%1."/>
      <w:lvlJc w:val="left"/>
      <w:pPr>
        <w:tabs>
          <w:tab w:val="num" w:pos="360"/>
        </w:tabs>
        <w:ind w:left="360" w:hanging="720"/>
      </w:pPr>
      <w:rPr>
        <w:rFonts w:ascii="Times New Roman" w:hAnsi="Times New Roman" w:hint="default"/>
        <w:b w:val="0"/>
        <w:bCs w:val="0"/>
        <w:i/>
        <w:iCs/>
        <w:sz w:val="24"/>
        <w:szCs w:val="24"/>
      </w:rPr>
    </w:lvl>
    <w:lvl w:ilvl="1">
      <w:start w:val="1"/>
      <w:numFmt w:val="decimal"/>
      <w:lvlText w:val="%2"/>
      <w:lvlJc w:val="left"/>
      <w:pPr>
        <w:tabs>
          <w:tab w:val="num" w:pos="720"/>
        </w:tabs>
        <w:ind w:left="0" w:hanging="360"/>
      </w:pPr>
      <w:rPr>
        <w:rFonts w:ascii="Times New Roman" w:hAnsi="Times New Roman" w:hint="default"/>
        <w:b w:val="0"/>
        <w:bCs w:val="0"/>
        <w:i/>
        <w:iCs/>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C14D38"/>
    <w:multiLevelType w:val="hybridMultilevel"/>
    <w:tmpl w:val="3B3A96F2"/>
    <w:lvl w:ilvl="0" w:tplc="1FBA8726">
      <w:start w:val="14"/>
      <w:numFmt w:val="decimal"/>
      <w:lvlText w:val="%1"/>
      <w:lvlJc w:val="left"/>
      <w:pPr>
        <w:tabs>
          <w:tab w:val="num" w:pos="1080"/>
        </w:tabs>
        <w:ind w:left="720" w:hanging="360"/>
      </w:pPr>
      <w:rPr>
        <w:rFonts w:ascii="Times New Roman" w:hAnsi="Times New Roman" w:hint="default"/>
        <w:b w:val="0"/>
        <w:bCs w:val="0"/>
        <w:i/>
        <w:iCs/>
        <w:sz w:val="24"/>
        <w:szCs w:val="24"/>
      </w:rPr>
    </w:lvl>
    <w:lvl w:ilvl="1" w:tplc="AF5AB750">
      <w:start w:val="14"/>
      <w:numFmt w:val="decimal"/>
      <w:lvlText w:val="%2"/>
      <w:lvlJc w:val="left"/>
      <w:pPr>
        <w:tabs>
          <w:tab w:val="num" w:pos="72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C485E"/>
    <w:multiLevelType w:val="hybridMultilevel"/>
    <w:tmpl w:val="FE162ECC"/>
    <w:lvl w:ilvl="0" w:tplc="AB8A4E2E">
      <w:start w:val="25"/>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570E7A"/>
    <w:multiLevelType w:val="hybridMultilevel"/>
    <w:tmpl w:val="008437D0"/>
    <w:lvl w:ilvl="0" w:tplc="A468D266">
      <w:start w:val="1"/>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D7735D2"/>
    <w:multiLevelType w:val="hybridMultilevel"/>
    <w:tmpl w:val="EFD8EB06"/>
    <w:lvl w:ilvl="0" w:tplc="A97219C8">
      <w:start w:val="44"/>
      <w:numFmt w:val="decimal"/>
      <w:lvlText w:val="%1"/>
      <w:lvlJc w:val="left"/>
      <w:pPr>
        <w:tabs>
          <w:tab w:val="num" w:pos="720"/>
        </w:tabs>
        <w:ind w:left="0" w:hanging="360"/>
      </w:pPr>
      <w:rPr>
        <w:rFonts w:ascii="Times New Roman" w:hAnsi="Times New Roman" w:hint="default"/>
        <w:b w:val="0"/>
        <w:bCs w:val="0"/>
        <w:i/>
        <w:iCs/>
        <w:sz w:val="24"/>
        <w:szCs w:val="24"/>
      </w:rPr>
    </w:lvl>
    <w:lvl w:ilvl="1" w:tplc="B9EE94FE">
      <w:start w:val="46"/>
      <w:numFmt w:val="decimal"/>
      <w:lvlText w:val="%2"/>
      <w:lvlJc w:val="left"/>
      <w:pPr>
        <w:tabs>
          <w:tab w:val="num" w:pos="72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05673"/>
    <w:multiLevelType w:val="multilevel"/>
    <w:tmpl w:val="29309FE8"/>
    <w:lvl w:ilvl="0">
      <w:start w:val="1"/>
      <w:numFmt w:val="decimal"/>
      <w:lvlText w:val="%1"/>
      <w:lvlJc w:val="left"/>
      <w:pPr>
        <w:tabs>
          <w:tab w:val="num" w:pos="360"/>
        </w:tabs>
        <w:ind w:left="360" w:hanging="720"/>
      </w:pPr>
      <w:rPr>
        <w:rFonts w:ascii="Times New Roman" w:hAnsi="Times New Roman" w:hint="default"/>
        <w:b w:val="0"/>
        <w:bCs w:val="0"/>
        <w:i/>
        <w:iCs/>
        <w:sz w:val="24"/>
        <w:szCs w:val="24"/>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4">
    <w:nsid w:val="7B5B16CF"/>
    <w:multiLevelType w:val="hybridMultilevel"/>
    <w:tmpl w:val="5C165014"/>
    <w:lvl w:ilvl="0" w:tplc="E5767CF0">
      <w:start w:val="42"/>
      <w:numFmt w:val="decimal"/>
      <w:lvlText w:val="%1"/>
      <w:lvlJc w:val="left"/>
      <w:pPr>
        <w:tabs>
          <w:tab w:val="num" w:pos="720"/>
        </w:tabs>
        <w:ind w:left="0" w:hanging="360"/>
      </w:pPr>
      <w:rPr>
        <w:rFonts w:ascii="Times New Roman" w:hAnsi="Times New Roman" w:hint="default"/>
        <w:b w:val="0"/>
        <w:bCs w:val="0"/>
        <w:i/>
        <w:iCs/>
        <w:sz w:val="24"/>
        <w:szCs w:val="24"/>
      </w:rPr>
    </w:lvl>
    <w:lvl w:ilvl="1" w:tplc="70829368">
      <w:start w:val="42"/>
      <w:numFmt w:val="decimal"/>
      <w:lvlText w:val="%2"/>
      <w:lvlJc w:val="left"/>
      <w:pPr>
        <w:tabs>
          <w:tab w:val="num" w:pos="720"/>
        </w:tabs>
        <w:ind w:left="0" w:hanging="360"/>
      </w:pPr>
      <w:rPr>
        <w:rFonts w:ascii="Times New Roman" w:hAnsi="Times New Roman" w:hint="default"/>
        <w:b w:val="0"/>
        <w:bCs w:val="0"/>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11112C"/>
    <w:multiLevelType w:val="hybridMultilevel"/>
    <w:tmpl w:val="F27AEB00"/>
    <w:lvl w:ilvl="0" w:tplc="58540454">
      <w:start w:val="26"/>
      <w:numFmt w:val="decimal"/>
      <w:lvlText w:val="%1"/>
      <w:lvlJc w:val="left"/>
      <w:pPr>
        <w:tabs>
          <w:tab w:val="num" w:pos="720"/>
        </w:tabs>
        <w:ind w:left="0" w:hanging="360"/>
      </w:pPr>
      <w:rPr>
        <w:rFonts w:ascii="Times New Roman" w:hAnsi="Times New Roman" w:hint="default"/>
        <w:b w:val="0"/>
        <w:bCs w:val="0"/>
        <w:i/>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8"/>
  </w:num>
  <w:num w:numId="3">
    <w:abstractNumId w:val="9"/>
  </w:num>
  <w:num w:numId="4">
    <w:abstractNumId w:val="7"/>
  </w:num>
  <w:num w:numId="5">
    <w:abstractNumId w:val="16"/>
  </w:num>
  <w:num w:numId="6">
    <w:abstractNumId w:val="24"/>
  </w:num>
  <w:num w:numId="7">
    <w:abstractNumId w:val="3"/>
  </w:num>
  <w:num w:numId="8">
    <w:abstractNumId w:val="10"/>
  </w:num>
  <w:num w:numId="9">
    <w:abstractNumId w:val="29"/>
  </w:num>
  <w:num w:numId="10">
    <w:abstractNumId w:val="19"/>
  </w:num>
  <w:num w:numId="11">
    <w:abstractNumId w:val="11"/>
  </w:num>
  <w:num w:numId="12">
    <w:abstractNumId w:val="0"/>
  </w:num>
  <w:num w:numId="13">
    <w:abstractNumId w:val="25"/>
  </w:num>
  <w:num w:numId="14">
    <w:abstractNumId w:val="30"/>
  </w:num>
  <w:num w:numId="15">
    <w:abstractNumId w:val="35"/>
  </w:num>
  <w:num w:numId="16">
    <w:abstractNumId w:val="13"/>
  </w:num>
  <w:num w:numId="17">
    <w:abstractNumId w:val="23"/>
  </w:num>
  <w:num w:numId="18">
    <w:abstractNumId w:val="26"/>
  </w:num>
  <w:num w:numId="19">
    <w:abstractNumId w:val="15"/>
  </w:num>
  <w:num w:numId="20">
    <w:abstractNumId w:val="20"/>
  </w:num>
  <w:num w:numId="21">
    <w:abstractNumId w:val="27"/>
  </w:num>
  <w:num w:numId="22">
    <w:abstractNumId w:val="34"/>
  </w:num>
  <w:num w:numId="23">
    <w:abstractNumId w:val="22"/>
  </w:num>
  <w:num w:numId="24">
    <w:abstractNumId w:val="32"/>
  </w:num>
  <w:num w:numId="25">
    <w:abstractNumId w:val="2"/>
  </w:num>
  <w:num w:numId="26">
    <w:abstractNumId w:val="14"/>
  </w:num>
  <w:num w:numId="27">
    <w:abstractNumId w:val="17"/>
  </w:num>
  <w:num w:numId="28">
    <w:abstractNumId w:val="12"/>
  </w:num>
  <w:num w:numId="29">
    <w:abstractNumId w:val="33"/>
  </w:num>
  <w:num w:numId="30">
    <w:abstractNumId w:val="21"/>
  </w:num>
  <w:num w:numId="31">
    <w:abstractNumId w:val="1"/>
  </w:num>
  <w:num w:numId="32">
    <w:abstractNumId w:val="31"/>
  </w:num>
  <w:num w:numId="33">
    <w:abstractNumId w:val="6"/>
  </w:num>
  <w:num w:numId="34">
    <w:abstractNumId w:val="8"/>
  </w:num>
  <w:num w:numId="35">
    <w:abstractNumId w:val="28"/>
  </w:num>
  <w:num w:numId="3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A4"/>
    <w:rsid w:val="0000641F"/>
    <w:rsid w:val="00022DF2"/>
    <w:rsid w:val="00032A02"/>
    <w:rsid w:val="00036C3A"/>
    <w:rsid w:val="000378CF"/>
    <w:rsid w:val="000415F2"/>
    <w:rsid w:val="000431B6"/>
    <w:rsid w:val="0004454F"/>
    <w:rsid w:val="000842E4"/>
    <w:rsid w:val="00084A95"/>
    <w:rsid w:val="000A2E65"/>
    <w:rsid w:val="000B17A8"/>
    <w:rsid w:val="00112053"/>
    <w:rsid w:val="001168DC"/>
    <w:rsid w:val="00132465"/>
    <w:rsid w:val="001404AA"/>
    <w:rsid w:val="0016248F"/>
    <w:rsid w:val="0016785D"/>
    <w:rsid w:val="00175856"/>
    <w:rsid w:val="001947A4"/>
    <w:rsid w:val="0019652F"/>
    <w:rsid w:val="001A3D12"/>
    <w:rsid w:val="001A4B7E"/>
    <w:rsid w:val="001A583A"/>
    <w:rsid w:val="001B01A6"/>
    <w:rsid w:val="001B0366"/>
    <w:rsid w:val="001D0913"/>
    <w:rsid w:val="001D0A96"/>
    <w:rsid w:val="001D4433"/>
    <w:rsid w:val="001D4CD1"/>
    <w:rsid w:val="001E10D8"/>
    <w:rsid w:val="001E4EE2"/>
    <w:rsid w:val="001F7A96"/>
    <w:rsid w:val="00203FC1"/>
    <w:rsid w:val="00210D98"/>
    <w:rsid w:val="002275CC"/>
    <w:rsid w:val="00232DE3"/>
    <w:rsid w:val="00232F3D"/>
    <w:rsid w:val="00241BDF"/>
    <w:rsid w:val="00241E7B"/>
    <w:rsid w:val="00244E7A"/>
    <w:rsid w:val="002454F9"/>
    <w:rsid w:val="00252452"/>
    <w:rsid w:val="00253746"/>
    <w:rsid w:val="00254243"/>
    <w:rsid w:val="00267C85"/>
    <w:rsid w:val="00273E3E"/>
    <w:rsid w:val="002757E4"/>
    <w:rsid w:val="00283080"/>
    <w:rsid w:val="00287FC8"/>
    <w:rsid w:val="002916DE"/>
    <w:rsid w:val="002A25BC"/>
    <w:rsid w:val="002E47F3"/>
    <w:rsid w:val="002F15C0"/>
    <w:rsid w:val="002F3D8C"/>
    <w:rsid w:val="0031415E"/>
    <w:rsid w:val="003213B3"/>
    <w:rsid w:val="00323F8A"/>
    <w:rsid w:val="00345C53"/>
    <w:rsid w:val="00354BB4"/>
    <w:rsid w:val="00372885"/>
    <w:rsid w:val="00380EEB"/>
    <w:rsid w:val="0038516A"/>
    <w:rsid w:val="00387F4B"/>
    <w:rsid w:val="00390116"/>
    <w:rsid w:val="00395619"/>
    <w:rsid w:val="003A2C8E"/>
    <w:rsid w:val="003C15A7"/>
    <w:rsid w:val="003C770E"/>
    <w:rsid w:val="003D0A52"/>
    <w:rsid w:val="003D2183"/>
    <w:rsid w:val="003D4453"/>
    <w:rsid w:val="003E54AA"/>
    <w:rsid w:val="003F5C5C"/>
    <w:rsid w:val="003F5D6F"/>
    <w:rsid w:val="003F759C"/>
    <w:rsid w:val="00407034"/>
    <w:rsid w:val="00411C51"/>
    <w:rsid w:val="004130FC"/>
    <w:rsid w:val="00413654"/>
    <w:rsid w:val="00420627"/>
    <w:rsid w:val="004305AA"/>
    <w:rsid w:val="00452D0D"/>
    <w:rsid w:val="00463A40"/>
    <w:rsid w:val="00464B6E"/>
    <w:rsid w:val="00470309"/>
    <w:rsid w:val="00473EA0"/>
    <w:rsid w:val="00477229"/>
    <w:rsid w:val="004A7548"/>
    <w:rsid w:val="004B0717"/>
    <w:rsid w:val="004B3EAF"/>
    <w:rsid w:val="004C6D8D"/>
    <w:rsid w:val="004D0E38"/>
    <w:rsid w:val="004D1249"/>
    <w:rsid w:val="004D1627"/>
    <w:rsid w:val="004F2315"/>
    <w:rsid w:val="00513899"/>
    <w:rsid w:val="00514835"/>
    <w:rsid w:val="005216D0"/>
    <w:rsid w:val="00544C44"/>
    <w:rsid w:val="00550678"/>
    <w:rsid w:val="00554DAE"/>
    <w:rsid w:val="005645E8"/>
    <w:rsid w:val="005651F6"/>
    <w:rsid w:val="00574985"/>
    <w:rsid w:val="00584A29"/>
    <w:rsid w:val="00592A43"/>
    <w:rsid w:val="00595A9A"/>
    <w:rsid w:val="0059781F"/>
    <w:rsid w:val="005C6154"/>
    <w:rsid w:val="005D7C3F"/>
    <w:rsid w:val="005E206A"/>
    <w:rsid w:val="005E4775"/>
    <w:rsid w:val="005F515A"/>
    <w:rsid w:val="00602992"/>
    <w:rsid w:val="00603537"/>
    <w:rsid w:val="00610759"/>
    <w:rsid w:val="0061710C"/>
    <w:rsid w:val="00630D40"/>
    <w:rsid w:val="0064579E"/>
    <w:rsid w:val="00651366"/>
    <w:rsid w:val="006557DB"/>
    <w:rsid w:val="0066753D"/>
    <w:rsid w:val="00673E39"/>
    <w:rsid w:val="006901BA"/>
    <w:rsid w:val="00691ABB"/>
    <w:rsid w:val="00696AD1"/>
    <w:rsid w:val="006A52A7"/>
    <w:rsid w:val="006A5A46"/>
    <w:rsid w:val="006A65E1"/>
    <w:rsid w:val="006B61E6"/>
    <w:rsid w:val="006B63CB"/>
    <w:rsid w:val="006C1592"/>
    <w:rsid w:val="006D2F64"/>
    <w:rsid w:val="006D6647"/>
    <w:rsid w:val="006E00DF"/>
    <w:rsid w:val="006E7722"/>
    <w:rsid w:val="007264B4"/>
    <w:rsid w:val="00727C56"/>
    <w:rsid w:val="00743B51"/>
    <w:rsid w:val="00766DA0"/>
    <w:rsid w:val="00781432"/>
    <w:rsid w:val="00784EE5"/>
    <w:rsid w:val="00785C3F"/>
    <w:rsid w:val="007A5237"/>
    <w:rsid w:val="007C32E7"/>
    <w:rsid w:val="007C3774"/>
    <w:rsid w:val="007E793A"/>
    <w:rsid w:val="007E7DEE"/>
    <w:rsid w:val="008021BF"/>
    <w:rsid w:val="008113B8"/>
    <w:rsid w:val="008118C2"/>
    <w:rsid w:val="0082182C"/>
    <w:rsid w:val="00826CF1"/>
    <w:rsid w:val="00835D01"/>
    <w:rsid w:val="008518F2"/>
    <w:rsid w:val="00861928"/>
    <w:rsid w:val="00895D56"/>
    <w:rsid w:val="00897A08"/>
    <w:rsid w:val="008A3AE6"/>
    <w:rsid w:val="008B29A7"/>
    <w:rsid w:val="008D06D6"/>
    <w:rsid w:val="008D0727"/>
    <w:rsid w:val="008E4A35"/>
    <w:rsid w:val="008E7710"/>
    <w:rsid w:val="008F6C52"/>
    <w:rsid w:val="00906589"/>
    <w:rsid w:val="00920AF3"/>
    <w:rsid w:val="00931AD0"/>
    <w:rsid w:val="00936240"/>
    <w:rsid w:val="00940122"/>
    <w:rsid w:val="00970239"/>
    <w:rsid w:val="00971A58"/>
    <w:rsid w:val="00986318"/>
    <w:rsid w:val="009931EF"/>
    <w:rsid w:val="009A156D"/>
    <w:rsid w:val="009A208F"/>
    <w:rsid w:val="009A4D84"/>
    <w:rsid w:val="009A54C7"/>
    <w:rsid w:val="009A7A11"/>
    <w:rsid w:val="009B1AA0"/>
    <w:rsid w:val="009B39D4"/>
    <w:rsid w:val="009B706B"/>
    <w:rsid w:val="009C79D9"/>
    <w:rsid w:val="009D0AE6"/>
    <w:rsid w:val="009E19C7"/>
    <w:rsid w:val="009F2EC5"/>
    <w:rsid w:val="00A00E67"/>
    <w:rsid w:val="00A0700D"/>
    <w:rsid w:val="00A16CF2"/>
    <w:rsid w:val="00A33C64"/>
    <w:rsid w:val="00A3565F"/>
    <w:rsid w:val="00A432F2"/>
    <w:rsid w:val="00A46E1B"/>
    <w:rsid w:val="00A53B07"/>
    <w:rsid w:val="00A66A56"/>
    <w:rsid w:val="00A721FA"/>
    <w:rsid w:val="00A8501D"/>
    <w:rsid w:val="00A8516E"/>
    <w:rsid w:val="00A92507"/>
    <w:rsid w:val="00AA47A5"/>
    <w:rsid w:val="00AB279D"/>
    <w:rsid w:val="00AB2E79"/>
    <w:rsid w:val="00AC29F9"/>
    <w:rsid w:val="00AD3612"/>
    <w:rsid w:val="00AD3E07"/>
    <w:rsid w:val="00B00A9D"/>
    <w:rsid w:val="00B10167"/>
    <w:rsid w:val="00B23D04"/>
    <w:rsid w:val="00B37EDA"/>
    <w:rsid w:val="00B4361F"/>
    <w:rsid w:val="00B50D5E"/>
    <w:rsid w:val="00B6427B"/>
    <w:rsid w:val="00B64A07"/>
    <w:rsid w:val="00B82E89"/>
    <w:rsid w:val="00B97653"/>
    <w:rsid w:val="00B97904"/>
    <w:rsid w:val="00BA6EF8"/>
    <w:rsid w:val="00BB1C59"/>
    <w:rsid w:val="00BB3714"/>
    <w:rsid w:val="00BC553F"/>
    <w:rsid w:val="00BD0ED2"/>
    <w:rsid w:val="00BD4D96"/>
    <w:rsid w:val="00BD7C6B"/>
    <w:rsid w:val="00BE0CAF"/>
    <w:rsid w:val="00BE2663"/>
    <w:rsid w:val="00BF211D"/>
    <w:rsid w:val="00BF4B90"/>
    <w:rsid w:val="00C01D58"/>
    <w:rsid w:val="00C20DBB"/>
    <w:rsid w:val="00C24DE2"/>
    <w:rsid w:val="00C354E5"/>
    <w:rsid w:val="00C43B56"/>
    <w:rsid w:val="00C44717"/>
    <w:rsid w:val="00C447AC"/>
    <w:rsid w:val="00C46155"/>
    <w:rsid w:val="00C540D7"/>
    <w:rsid w:val="00C603F4"/>
    <w:rsid w:val="00C60C1C"/>
    <w:rsid w:val="00C911BF"/>
    <w:rsid w:val="00CB70DB"/>
    <w:rsid w:val="00CD14B2"/>
    <w:rsid w:val="00CD1DD1"/>
    <w:rsid w:val="00CF3A64"/>
    <w:rsid w:val="00D2059B"/>
    <w:rsid w:val="00D24AAA"/>
    <w:rsid w:val="00D51BD4"/>
    <w:rsid w:val="00D600A7"/>
    <w:rsid w:val="00D6298B"/>
    <w:rsid w:val="00D673F9"/>
    <w:rsid w:val="00D87200"/>
    <w:rsid w:val="00D92DDA"/>
    <w:rsid w:val="00D93BD6"/>
    <w:rsid w:val="00D949FA"/>
    <w:rsid w:val="00DC33DD"/>
    <w:rsid w:val="00DC659A"/>
    <w:rsid w:val="00DD144A"/>
    <w:rsid w:val="00E04723"/>
    <w:rsid w:val="00E12D77"/>
    <w:rsid w:val="00E14D2C"/>
    <w:rsid w:val="00E174C7"/>
    <w:rsid w:val="00E23C61"/>
    <w:rsid w:val="00E51217"/>
    <w:rsid w:val="00E5402F"/>
    <w:rsid w:val="00E630C3"/>
    <w:rsid w:val="00E64329"/>
    <w:rsid w:val="00E735D6"/>
    <w:rsid w:val="00E8796F"/>
    <w:rsid w:val="00E90BE0"/>
    <w:rsid w:val="00E92BFA"/>
    <w:rsid w:val="00E937BF"/>
    <w:rsid w:val="00E94522"/>
    <w:rsid w:val="00EA73CF"/>
    <w:rsid w:val="00EC3BC0"/>
    <w:rsid w:val="00ED751E"/>
    <w:rsid w:val="00EE1A9D"/>
    <w:rsid w:val="00EE6EB1"/>
    <w:rsid w:val="00F1789E"/>
    <w:rsid w:val="00F20C7D"/>
    <w:rsid w:val="00F233D9"/>
    <w:rsid w:val="00F237A9"/>
    <w:rsid w:val="00F2477E"/>
    <w:rsid w:val="00F26F00"/>
    <w:rsid w:val="00F30963"/>
    <w:rsid w:val="00F30CDC"/>
    <w:rsid w:val="00F340DE"/>
    <w:rsid w:val="00F51627"/>
    <w:rsid w:val="00F52249"/>
    <w:rsid w:val="00F53600"/>
    <w:rsid w:val="00F62A08"/>
    <w:rsid w:val="00F72400"/>
    <w:rsid w:val="00F7487A"/>
    <w:rsid w:val="00F769FC"/>
    <w:rsid w:val="00F91F05"/>
    <w:rsid w:val="00F933AA"/>
    <w:rsid w:val="00F954C7"/>
    <w:rsid w:val="00FA2C9D"/>
    <w:rsid w:val="00FA4E25"/>
    <w:rsid w:val="00FB1BDB"/>
    <w:rsid w:val="00FC5B00"/>
    <w:rsid w:val="00FD1012"/>
    <w:rsid w:val="00FD3E1E"/>
    <w:rsid w:val="00FD495C"/>
    <w:rsid w:val="00FD52A4"/>
    <w:rsid w:val="00FF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0AA7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5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835D01"/>
    <w:pPr>
      <w:keepNext/>
      <w:keepLines/>
      <w:spacing w:before="20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A4"/>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ar"/>
    <w:basedOn w:val="Normal"/>
    <w:link w:val="FootnoteTextChar"/>
    <w:uiPriority w:val="99"/>
    <w:unhideWhenUsed/>
    <w:qFormat/>
    <w:rsid w:val="00784EE5"/>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784EE5"/>
  </w:style>
  <w:style w:type="character" w:styleId="FootnoteReference">
    <w:name w:val="footnote reference"/>
    <w:basedOn w:val="DefaultParagraphFont"/>
    <w:uiPriority w:val="99"/>
    <w:unhideWhenUsed/>
    <w:qFormat/>
    <w:rsid w:val="00784EE5"/>
    <w:rPr>
      <w:vertAlign w:val="superscript"/>
    </w:rPr>
  </w:style>
  <w:style w:type="paragraph" w:styleId="BodyText">
    <w:name w:val="Body Text"/>
    <w:basedOn w:val="Normal"/>
    <w:link w:val="BodyTextChar"/>
    <w:uiPriority w:val="1"/>
    <w:qFormat/>
    <w:rsid w:val="001F7A96"/>
    <w:pPr>
      <w:widowControl w:val="0"/>
      <w:autoSpaceDE w:val="0"/>
      <w:autoSpaceDN w:val="0"/>
      <w:adjustRightInd w:val="0"/>
      <w:ind w:left="100"/>
    </w:pPr>
    <w:rPr>
      <w:rFonts w:ascii="Times New Roman" w:hAnsi="Times New Roman" w:cs="Times New Roman"/>
    </w:rPr>
  </w:style>
  <w:style w:type="character" w:customStyle="1" w:styleId="BodyTextChar">
    <w:name w:val="Body Text Char"/>
    <w:basedOn w:val="DefaultParagraphFont"/>
    <w:link w:val="BodyText"/>
    <w:uiPriority w:val="1"/>
    <w:rsid w:val="001F7A96"/>
    <w:rPr>
      <w:rFonts w:ascii="Times New Roman" w:hAnsi="Times New Roman" w:cs="Times New Roman"/>
    </w:rPr>
  </w:style>
  <w:style w:type="paragraph" w:styleId="Footer">
    <w:name w:val="footer"/>
    <w:basedOn w:val="Normal"/>
    <w:link w:val="FooterChar"/>
    <w:unhideWhenUsed/>
    <w:rsid w:val="009B706B"/>
    <w:pPr>
      <w:tabs>
        <w:tab w:val="center" w:pos="4320"/>
        <w:tab w:val="right" w:pos="8640"/>
      </w:tabs>
    </w:pPr>
  </w:style>
  <w:style w:type="character" w:customStyle="1" w:styleId="FooterChar">
    <w:name w:val="Footer Char"/>
    <w:basedOn w:val="DefaultParagraphFont"/>
    <w:link w:val="Footer"/>
    <w:rsid w:val="009B706B"/>
  </w:style>
  <w:style w:type="character" w:styleId="PageNumber">
    <w:name w:val="page number"/>
    <w:basedOn w:val="DefaultParagraphFont"/>
    <w:unhideWhenUsed/>
    <w:rsid w:val="009B706B"/>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uiPriority w:val="99"/>
    <w:rsid w:val="007C32E7"/>
    <w:rPr>
      <w:sz w:val="22"/>
    </w:rPr>
  </w:style>
  <w:style w:type="character" w:styleId="CommentReference">
    <w:name w:val="annotation reference"/>
    <w:basedOn w:val="DefaultParagraphFont"/>
    <w:uiPriority w:val="99"/>
    <w:semiHidden/>
    <w:unhideWhenUsed/>
    <w:rsid w:val="00895D56"/>
    <w:rPr>
      <w:sz w:val="18"/>
      <w:szCs w:val="18"/>
    </w:rPr>
  </w:style>
  <w:style w:type="paragraph" w:styleId="CommentText">
    <w:name w:val="annotation text"/>
    <w:basedOn w:val="Normal"/>
    <w:link w:val="CommentTextChar"/>
    <w:uiPriority w:val="99"/>
    <w:semiHidden/>
    <w:unhideWhenUsed/>
    <w:rsid w:val="00895D56"/>
  </w:style>
  <w:style w:type="character" w:customStyle="1" w:styleId="CommentTextChar">
    <w:name w:val="Comment Text Char"/>
    <w:basedOn w:val="DefaultParagraphFont"/>
    <w:link w:val="CommentText"/>
    <w:uiPriority w:val="99"/>
    <w:semiHidden/>
    <w:rsid w:val="00895D56"/>
  </w:style>
  <w:style w:type="paragraph" w:styleId="CommentSubject">
    <w:name w:val="annotation subject"/>
    <w:basedOn w:val="CommentText"/>
    <w:next w:val="CommentText"/>
    <w:link w:val="CommentSubjectChar"/>
    <w:uiPriority w:val="99"/>
    <w:semiHidden/>
    <w:unhideWhenUsed/>
    <w:rsid w:val="00895D56"/>
    <w:rPr>
      <w:b/>
      <w:bCs/>
      <w:sz w:val="20"/>
      <w:szCs w:val="20"/>
    </w:rPr>
  </w:style>
  <w:style w:type="character" w:customStyle="1" w:styleId="CommentSubjectChar">
    <w:name w:val="Comment Subject Char"/>
    <w:basedOn w:val="CommentTextChar"/>
    <w:link w:val="CommentSubject"/>
    <w:uiPriority w:val="99"/>
    <w:semiHidden/>
    <w:rsid w:val="00895D56"/>
    <w:rPr>
      <w:b/>
      <w:bCs/>
      <w:sz w:val="20"/>
      <w:szCs w:val="20"/>
    </w:rPr>
  </w:style>
  <w:style w:type="paragraph" w:styleId="BalloonText">
    <w:name w:val="Balloon Text"/>
    <w:basedOn w:val="Normal"/>
    <w:link w:val="BalloonTextChar"/>
    <w:uiPriority w:val="99"/>
    <w:semiHidden/>
    <w:unhideWhenUsed/>
    <w:rsid w:val="00895D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D56"/>
    <w:rPr>
      <w:rFonts w:ascii="Lucida Grande" w:hAnsi="Lucida Grande" w:cs="Lucida Grande"/>
      <w:sz w:val="18"/>
      <w:szCs w:val="18"/>
    </w:rPr>
  </w:style>
  <w:style w:type="character" w:customStyle="1" w:styleId="Heading3Char">
    <w:name w:val="Heading 3 Char"/>
    <w:basedOn w:val="DefaultParagraphFont"/>
    <w:link w:val="Heading3"/>
    <w:uiPriority w:val="9"/>
    <w:rsid w:val="00835D01"/>
    <w:rPr>
      <w:rFonts w:ascii="Times New Roman" w:eastAsiaTheme="majorEastAsia" w:hAnsi="Times New Roman" w:cstheme="majorBidi"/>
      <w:b/>
      <w:bCs/>
    </w:rPr>
  </w:style>
  <w:style w:type="table" w:styleId="TableGrid">
    <w:name w:val="Table Grid"/>
    <w:basedOn w:val="TableNormal"/>
    <w:uiPriority w:val="59"/>
    <w:rsid w:val="00835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D01"/>
    <w:rPr>
      <w:color w:val="0000FF" w:themeColor="hyperlink"/>
      <w:u w:val="single"/>
    </w:rPr>
  </w:style>
  <w:style w:type="paragraph" w:customStyle="1" w:styleId="CourtName">
    <w:name w:val="CourtName"/>
    <w:basedOn w:val="Normal"/>
    <w:rsid w:val="00D93BD6"/>
    <w:pPr>
      <w:jc w:val="center"/>
    </w:pPr>
    <w:rPr>
      <w:rFonts w:ascii="Times New Roman" w:eastAsia="Times New Roman" w:hAnsi="Times New Roman" w:cs="Times New Roman"/>
    </w:rPr>
  </w:style>
  <w:style w:type="paragraph" w:styleId="Header">
    <w:name w:val="header"/>
    <w:basedOn w:val="Normal"/>
    <w:link w:val="HeaderChar"/>
    <w:uiPriority w:val="99"/>
    <w:unhideWhenUsed/>
    <w:rsid w:val="00D93BD6"/>
    <w:pPr>
      <w:tabs>
        <w:tab w:val="center" w:pos="4320"/>
        <w:tab w:val="right" w:pos="8640"/>
      </w:tabs>
    </w:pPr>
  </w:style>
  <w:style w:type="character" w:customStyle="1" w:styleId="HeaderChar">
    <w:name w:val="Header Char"/>
    <w:basedOn w:val="DefaultParagraphFont"/>
    <w:link w:val="Header"/>
    <w:uiPriority w:val="99"/>
    <w:rsid w:val="00D93BD6"/>
  </w:style>
  <w:style w:type="table" w:styleId="LightShading-Accent1">
    <w:name w:val="Light Shading Accent 1"/>
    <w:basedOn w:val="TableNormal"/>
    <w:uiPriority w:val="60"/>
    <w:rsid w:val="00032A02"/>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9652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9652F"/>
    <w:pPr>
      <w:spacing w:line="276" w:lineRule="auto"/>
      <w:outlineLvl w:val="9"/>
    </w:pPr>
    <w:rPr>
      <w:color w:val="365F91" w:themeColor="accent1" w:themeShade="BF"/>
      <w:sz w:val="28"/>
      <w:szCs w:val="28"/>
    </w:rPr>
  </w:style>
  <w:style w:type="paragraph" w:styleId="TOC3">
    <w:name w:val="toc 3"/>
    <w:basedOn w:val="Normal"/>
    <w:next w:val="Normal"/>
    <w:autoRedefine/>
    <w:uiPriority w:val="39"/>
    <w:unhideWhenUsed/>
    <w:rsid w:val="0019652F"/>
    <w:pPr>
      <w:ind w:left="480"/>
    </w:pPr>
    <w:rPr>
      <w:sz w:val="22"/>
      <w:szCs w:val="22"/>
    </w:rPr>
  </w:style>
  <w:style w:type="paragraph" w:styleId="TOC1">
    <w:name w:val="toc 1"/>
    <w:basedOn w:val="Normal"/>
    <w:next w:val="Normal"/>
    <w:autoRedefine/>
    <w:uiPriority w:val="39"/>
    <w:semiHidden/>
    <w:unhideWhenUsed/>
    <w:rsid w:val="0019652F"/>
    <w:pPr>
      <w:spacing w:before="120"/>
    </w:pPr>
    <w:rPr>
      <w:b/>
    </w:rPr>
  </w:style>
  <w:style w:type="paragraph" w:styleId="TOC2">
    <w:name w:val="toc 2"/>
    <w:basedOn w:val="Normal"/>
    <w:next w:val="Normal"/>
    <w:autoRedefine/>
    <w:uiPriority w:val="39"/>
    <w:semiHidden/>
    <w:unhideWhenUsed/>
    <w:rsid w:val="0019652F"/>
    <w:pPr>
      <w:ind w:left="240"/>
    </w:pPr>
    <w:rPr>
      <w:b/>
      <w:sz w:val="22"/>
      <w:szCs w:val="22"/>
    </w:rPr>
  </w:style>
  <w:style w:type="paragraph" w:styleId="TOC4">
    <w:name w:val="toc 4"/>
    <w:basedOn w:val="Normal"/>
    <w:next w:val="Normal"/>
    <w:autoRedefine/>
    <w:uiPriority w:val="39"/>
    <w:semiHidden/>
    <w:unhideWhenUsed/>
    <w:rsid w:val="0019652F"/>
    <w:pPr>
      <w:ind w:left="720"/>
    </w:pPr>
    <w:rPr>
      <w:sz w:val="20"/>
      <w:szCs w:val="20"/>
    </w:rPr>
  </w:style>
  <w:style w:type="paragraph" w:styleId="TOC5">
    <w:name w:val="toc 5"/>
    <w:basedOn w:val="Normal"/>
    <w:next w:val="Normal"/>
    <w:autoRedefine/>
    <w:uiPriority w:val="39"/>
    <w:semiHidden/>
    <w:unhideWhenUsed/>
    <w:rsid w:val="0019652F"/>
    <w:pPr>
      <w:ind w:left="960"/>
    </w:pPr>
    <w:rPr>
      <w:sz w:val="20"/>
      <w:szCs w:val="20"/>
    </w:rPr>
  </w:style>
  <w:style w:type="paragraph" w:styleId="TOC6">
    <w:name w:val="toc 6"/>
    <w:basedOn w:val="Normal"/>
    <w:next w:val="Normal"/>
    <w:autoRedefine/>
    <w:uiPriority w:val="39"/>
    <w:semiHidden/>
    <w:unhideWhenUsed/>
    <w:rsid w:val="0019652F"/>
    <w:pPr>
      <w:ind w:left="1200"/>
    </w:pPr>
    <w:rPr>
      <w:sz w:val="20"/>
      <w:szCs w:val="20"/>
    </w:rPr>
  </w:style>
  <w:style w:type="paragraph" w:styleId="TOC7">
    <w:name w:val="toc 7"/>
    <w:basedOn w:val="Normal"/>
    <w:next w:val="Normal"/>
    <w:autoRedefine/>
    <w:uiPriority w:val="39"/>
    <w:semiHidden/>
    <w:unhideWhenUsed/>
    <w:rsid w:val="0019652F"/>
    <w:pPr>
      <w:ind w:left="1440"/>
    </w:pPr>
    <w:rPr>
      <w:sz w:val="20"/>
      <w:szCs w:val="20"/>
    </w:rPr>
  </w:style>
  <w:style w:type="paragraph" w:styleId="TOC8">
    <w:name w:val="toc 8"/>
    <w:basedOn w:val="Normal"/>
    <w:next w:val="Normal"/>
    <w:autoRedefine/>
    <w:uiPriority w:val="39"/>
    <w:semiHidden/>
    <w:unhideWhenUsed/>
    <w:rsid w:val="0019652F"/>
    <w:pPr>
      <w:ind w:left="1680"/>
    </w:pPr>
    <w:rPr>
      <w:sz w:val="20"/>
      <w:szCs w:val="20"/>
    </w:rPr>
  </w:style>
  <w:style w:type="paragraph" w:styleId="TOC9">
    <w:name w:val="toc 9"/>
    <w:basedOn w:val="Normal"/>
    <w:next w:val="Normal"/>
    <w:autoRedefine/>
    <w:uiPriority w:val="39"/>
    <w:semiHidden/>
    <w:unhideWhenUsed/>
    <w:rsid w:val="0019652F"/>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5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835D01"/>
    <w:pPr>
      <w:keepNext/>
      <w:keepLines/>
      <w:spacing w:before="200"/>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A4"/>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ar"/>
    <w:basedOn w:val="Normal"/>
    <w:link w:val="FootnoteTextChar"/>
    <w:uiPriority w:val="99"/>
    <w:unhideWhenUsed/>
    <w:qFormat/>
    <w:rsid w:val="00784EE5"/>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784EE5"/>
  </w:style>
  <w:style w:type="character" w:styleId="FootnoteReference">
    <w:name w:val="footnote reference"/>
    <w:basedOn w:val="DefaultParagraphFont"/>
    <w:uiPriority w:val="99"/>
    <w:unhideWhenUsed/>
    <w:qFormat/>
    <w:rsid w:val="00784EE5"/>
    <w:rPr>
      <w:vertAlign w:val="superscript"/>
    </w:rPr>
  </w:style>
  <w:style w:type="paragraph" w:styleId="BodyText">
    <w:name w:val="Body Text"/>
    <w:basedOn w:val="Normal"/>
    <w:link w:val="BodyTextChar"/>
    <w:uiPriority w:val="1"/>
    <w:qFormat/>
    <w:rsid w:val="001F7A96"/>
    <w:pPr>
      <w:widowControl w:val="0"/>
      <w:autoSpaceDE w:val="0"/>
      <w:autoSpaceDN w:val="0"/>
      <w:adjustRightInd w:val="0"/>
      <w:ind w:left="100"/>
    </w:pPr>
    <w:rPr>
      <w:rFonts w:ascii="Times New Roman" w:hAnsi="Times New Roman" w:cs="Times New Roman"/>
    </w:rPr>
  </w:style>
  <w:style w:type="character" w:customStyle="1" w:styleId="BodyTextChar">
    <w:name w:val="Body Text Char"/>
    <w:basedOn w:val="DefaultParagraphFont"/>
    <w:link w:val="BodyText"/>
    <w:uiPriority w:val="1"/>
    <w:rsid w:val="001F7A96"/>
    <w:rPr>
      <w:rFonts w:ascii="Times New Roman" w:hAnsi="Times New Roman" w:cs="Times New Roman"/>
    </w:rPr>
  </w:style>
  <w:style w:type="paragraph" w:styleId="Footer">
    <w:name w:val="footer"/>
    <w:basedOn w:val="Normal"/>
    <w:link w:val="FooterChar"/>
    <w:unhideWhenUsed/>
    <w:rsid w:val="009B706B"/>
    <w:pPr>
      <w:tabs>
        <w:tab w:val="center" w:pos="4320"/>
        <w:tab w:val="right" w:pos="8640"/>
      </w:tabs>
    </w:pPr>
  </w:style>
  <w:style w:type="character" w:customStyle="1" w:styleId="FooterChar">
    <w:name w:val="Footer Char"/>
    <w:basedOn w:val="DefaultParagraphFont"/>
    <w:link w:val="Footer"/>
    <w:rsid w:val="009B706B"/>
  </w:style>
  <w:style w:type="character" w:styleId="PageNumber">
    <w:name w:val="page number"/>
    <w:basedOn w:val="DefaultParagraphFont"/>
    <w:unhideWhenUsed/>
    <w:rsid w:val="009B706B"/>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uiPriority w:val="99"/>
    <w:rsid w:val="007C32E7"/>
    <w:rPr>
      <w:sz w:val="22"/>
    </w:rPr>
  </w:style>
  <w:style w:type="character" w:styleId="CommentReference">
    <w:name w:val="annotation reference"/>
    <w:basedOn w:val="DefaultParagraphFont"/>
    <w:uiPriority w:val="99"/>
    <w:semiHidden/>
    <w:unhideWhenUsed/>
    <w:rsid w:val="00895D56"/>
    <w:rPr>
      <w:sz w:val="18"/>
      <w:szCs w:val="18"/>
    </w:rPr>
  </w:style>
  <w:style w:type="paragraph" w:styleId="CommentText">
    <w:name w:val="annotation text"/>
    <w:basedOn w:val="Normal"/>
    <w:link w:val="CommentTextChar"/>
    <w:uiPriority w:val="99"/>
    <w:semiHidden/>
    <w:unhideWhenUsed/>
    <w:rsid w:val="00895D56"/>
  </w:style>
  <w:style w:type="character" w:customStyle="1" w:styleId="CommentTextChar">
    <w:name w:val="Comment Text Char"/>
    <w:basedOn w:val="DefaultParagraphFont"/>
    <w:link w:val="CommentText"/>
    <w:uiPriority w:val="99"/>
    <w:semiHidden/>
    <w:rsid w:val="00895D56"/>
  </w:style>
  <w:style w:type="paragraph" w:styleId="CommentSubject">
    <w:name w:val="annotation subject"/>
    <w:basedOn w:val="CommentText"/>
    <w:next w:val="CommentText"/>
    <w:link w:val="CommentSubjectChar"/>
    <w:uiPriority w:val="99"/>
    <w:semiHidden/>
    <w:unhideWhenUsed/>
    <w:rsid w:val="00895D56"/>
    <w:rPr>
      <w:b/>
      <w:bCs/>
      <w:sz w:val="20"/>
      <w:szCs w:val="20"/>
    </w:rPr>
  </w:style>
  <w:style w:type="character" w:customStyle="1" w:styleId="CommentSubjectChar">
    <w:name w:val="Comment Subject Char"/>
    <w:basedOn w:val="CommentTextChar"/>
    <w:link w:val="CommentSubject"/>
    <w:uiPriority w:val="99"/>
    <w:semiHidden/>
    <w:rsid w:val="00895D56"/>
    <w:rPr>
      <w:b/>
      <w:bCs/>
      <w:sz w:val="20"/>
      <w:szCs w:val="20"/>
    </w:rPr>
  </w:style>
  <w:style w:type="paragraph" w:styleId="BalloonText">
    <w:name w:val="Balloon Text"/>
    <w:basedOn w:val="Normal"/>
    <w:link w:val="BalloonTextChar"/>
    <w:uiPriority w:val="99"/>
    <w:semiHidden/>
    <w:unhideWhenUsed/>
    <w:rsid w:val="00895D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D56"/>
    <w:rPr>
      <w:rFonts w:ascii="Lucida Grande" w:hAnsi="Lucida Grande" w:cs="Lucida Grande"/>
      <w:sz w:val="18"/>
      <w:szCs w:val="18"/>
    </w:rPr>
  </w:style>
  <w:style w:type="character" w:customStyle="1" w:styleId="Heading3Char">
    <w:name w:val="Heading 3 Char"/>
    <w:basedOn w:val="DefaultParagraphFont"/>
    <w:link w:val="Heading3"/>
    <w:uiPriority w:val="9"/>
    <w:rsid w:val="00835D01"/>
    <w:rPr>
      <w:rFonts w:ascii="Times New Roman" w:eastAsiaTheme="majorEastAsia" w:hAnsi="Times New Roman" w:cstheme="majorBidi"/>
      <w:b/>
      <w:bCs/>
    </w:rPr>
  </w:style>
  <w:style w:type="table" w:styleId="TableGrid">
    <w:name w:val="Table Grid"/>
    <w:basedOn w:val="TableNormal"/>
    <w:uiPriority w:val="59"/>
    <w:rsid w:val="00835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D01"/>
    <w:rPr>
      <w:color w:val="0000FF" w:themeColor="hyperlink"/>
      <w:u w:val="single"/>
    </w:rPr>
  </w:style>
  <w:style w:type="paragraph" w:customStyle="1" w:styleId="CourtName">
    <w:name w:val="CourtName"/>
    <w:basedOn w:val="Normal"/>
    <w:rsid w:val="00D93BD6"/>
    <w:pPr>
      <w:jc w:val="center"/>
    </w:pPr>
    <w:rPr>
      <w:rFonts w:ascii="Times New Roman" w:eastAsia="Times New Roman" w:hAnsi="Times New Roman" w:cs="Times New Roman"/>
    </w:rPr>
  </w:style>
  <w:style w:type="paragraph" w:styleId="Header">
    <w:name w:val="header"/>
    <w:basedOn w:val="Normal"/>
    <w:link w:val="HeaderChar"/>
    <w:uiPriority w:val="99"/>
    <w:unhideWhenUsed/>
    <w:rsid w:val="00D93BD6"/>
    <w:pPr>
      <w:tabs>
        <w:tab w:val="center" w:pos="4320"/>
        <w:tab w:val="right" w:pos="8640"/>
      </w:tabs>
    </w:pPr>
  </w:style>
  <w:style w:type="character" w:customStyle="1" w:styleId="HeaderChar">
    <w:name w:val="Header Char"/>
    <w:basedOn w:val="DefaultParagraphFont"/>
    <w:link w:val="Header"/>
    <w:uiPriority w:val="99"/>
    <w:rsid w:val="00D93BD6"/>
  </w:style>
  <w:style w:type="table" w:styleId="LightShading-Accent1">
    <w:name w:val="Light Shading Accent 1"/>
    <w:basedOn w:val="TableNormal"/>
    <w:uiPriority w:val="60"/>
    <w:rsid w:val="00032A02"/>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9652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9652F"/>
    <w:pPr>
      <w:spacing w:line="276" w:lineRule="auto"/>
      <w:outlineLvl w:val="9"/>
    </w:pPr>
    <w:rPr>
      <w:color w:val="365F91" w:themeColor="accent1" w:themeShade="BF"/>
      <w:sz w:val="28"/>
      <w:szCs w:val="28"/>
    </w:rPr>
  </w:style>
  <w:style w:type="paragraph" w:styleId="TOC3">
    <w:name w:val="toc 3"/>
    <w:basedOn w:val="Normal"/>
    <w:next w:val="Normal"/>
    <w:autoRedefine/>
    <w:uiPriority w:val="39"/>
    <w:unhideWhenUsed/>
    <w:rsid w:val="0019652F"/>
    <w:pPr>
      <w:ind w:left="480"/>
    </w:pPr>
    <w:rPr>
      <w:sz w:val="22"/>
      <w:szCs w:val="22"/>
    </w:rPr>
  </w:style>
  <w:style w:type="paragraph" w:styleId="TOC1">
    <w:name w:val="toc 1"/>
    <w:basedOn w:val="Normal"/>
    <w:next w:val="Normal"/>
    <w:autoRedefine/>
    <w:uiPriority w:val="39"/>
    <w:semiHidden/>
    <w:unhideWhenUsed/>
    <w:rsid w:val="0019652F"/>
    <w:pPr>
      <w:spacing w:before="120"/>
    </w:pPr>
    <w:rPr>
      <w:b/>
    </w:rPr>
  </w:style>
  <w:style w:type="paragraph" w:styleId="TOC2">
    <w:name w:val="toc 2"/>
    <w:basedOn w:val="Normal"/>
    <w:next w:val="Normal"/>
    <w:autoRedefine/>
    <w:uiPriority w:val="39"/>
    <w:semiHidden/>
    <w:unhideWhenUsed/>
    <w:rsid w:val="0019652F"/>
    <w:pPr>
      <w:ind w:left="240"/>
    </w:pPr>
    <w:rPr>
      <w:b/>
      <w:sz w:val="22"/>
      <w:szCs w:val="22"/>
    </w:rPr>
  </w:style>
  <w:style w:type="paragraph" w:styleId="TOC4">
    <w:name w:val="toc 4"/>
    <w:basedOn w:val="Normal"/>
    <w:next w:val="Normal"/>
    <w:autoRedefine/>
    <w:uiPriority w:val="39"/>
    <w:semiHidden/>
    <w:unhideWhenUsed/>
    <w:rsid w:val="0019652F"/>
    <w:pPr>
      <w:ind w:left="720"/>
    </w:pPr>
    <w:rPr>
      <w:sz w:val="20"/>
      <w:szCs w:val="20"/>
    </w:rPr>
  </w:style>
  <w:style w:type="paragraph" w:styleId="TOC5">
    <w:name w:val="toc 5"/>
    <w:basedOn w:val="Normal"/>
    <w:next w:val="Normal"/>
    <w:autoRedefine/>
    <w:uiPriority w:val="39"/>
    <w:semiHidden/>
    <w:unhideWhenUsed/>
    <w:rsid w:val="0019652F"/>
    <w:pPr>
      <w:ind w:left="960"/>
    </w:pPr>
    <w:rPr>
      <w:sz w:val="20"/>
      <w:szCs w:val="20"/>
    </w:rPr>
  </w:style>
  <w:style w:type="paragraph" w:styleId="TOC6">
    <w:name w:val="toc 6"/>
    <w:basedOn w:val="Normal"/>
    <w:next w:val="Normal"/>
    <w:autoRedefine/>
    <w:uiPriority w:val="39"/>
    <w:semiHidden/>
    <w:unhideWhenUsed/>
    <w:rsid w:val="0019652F"/>
    <w:pPr>
      <w:ind w:left="1200"/>
    </w:pPr>
    <w:rPr>
      <w:sz w:val="20"/>
      <w:szCs w:val="20"/>
    </w:rPr>
  </w:style>
  <w:style w:type="paragraph" w:styleId="TOC7">
    <w:name w:val="toc 7"/>
    <w:basedOn w:val="Normal"/>
    <w:next w:val="Normal"/>
    <w:autoRedefine/>
    <w:uiPriority w:val="39"/>
    <w:semiHidden/>
    <w:unhideWhenUsed/>
    <w:rsid w:val="0019652F"/>
    <w:pPr>
      <w:ind w:left="1440"/>
    </w:pPr>
    <w:rPr>
      <w:sz w:val="20"/>
      <w:szCs w:val="20"/>
    </w:rPr>
  </w:style>
  <w:style w:type="paragraph" w:styleId="TOC8">
    <w:name w:val="toc 8"/>
    <w:basedOn w:val="Normal"/>
    <w:next w:val="Normal"/>
    <w:autoRedefine/>
    <w:uiPriority w:val="39"/>
    <w:semiHidden/>
    <w:unhideWhenUsed/>
    <w:rsid w:val="0019652F"/>
    <w:pPr>
      <w:ind w:left="1680"/>
    </w:pPr>
    <w:rPr>
      <w:sz w:val="20"/>
      <w:szCs w:val="20"/>
    </w:rPr>
  </w:style>
  <w:style w:type="paragraph" w:styleId="TOC9">
    <w:name w:val="toc 9"/>
    <w:basedOn w:val="Normal"/>
    <w:next w:val="Normal"/>
    <w:autoRedefine/>
    <w:uiPriority w:val="39"/>
    <w:semiHidden/>
    <w:unhideWhenUsed/>
    <w:rsid w:val="0019652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7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4.xml"/><Relationship Id="rId7" Type="http://schemas.openxmlformats.org/officeDocument/2006/relationships/footnotes" Target="foot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5.xml"/><Relationship Id="rId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A6E53DBD71B54A85056A03B7966B3E"/>
        <w:category>
          <w:name w:val="General"/>
          <w:gallery w:val="placeholder"/>
        </w:category>
        <w:types>
          <w:type w:val="bbPlcHdr"/>
        </w:types>
        <w:behaviors>
          <w:behavior w:val="content"/>
        </w:behaviors>
        <w:guid w:val="{F113715B-6327-BB4D-A8DC-18513CA90B4F}"/>
      </w:docPartPr>
      <w:docPartBody>
        <w:p w:rsidR="00144C9F" w:rsidRDefault="00144C9F" w:rsidP="00144C9F">
          <w:pPr>
            <w:pStyle w:val="3DA6E53DBD71B54A85056A03B7966B3E"/>
          </w:pPr>
          <w:r>
            <w:t>[Type text]</w:t>
          </w:r>
        </w:p>
      </w:docPartBody>
    </w:docPart>
    <w:docPart>
      <w:docPartPr>
        <w:name w:val="D1E722344940EB4ABB39F301DF279738"/>
        <w:category>
          <w:name w:val="General"/>
          <w:gallery w:val="placeholder"/>
        </w:category>
        <w:types>
          <w:type w:val="bbPlcHdr"/>
        </w:types>
        <w:behaviors>
          <w:behavior w:val="content"/>
        </w:behaviors>
        <w:guid w:val="{32C4D3FC-4DF7-6847-B7E3-1ECB69E85F6A}"/>
      </w:docPartPr>
      <w:docPartBody>
        <w:p w:rsidR="00144C9F" w:rsidRDefault="00144C9F" w:rsidP="00144C9F">
          <w:pPr>
            <w:pStyle w:val="D1E722344940EB4ABB39F301DF279738"/>
          </w:pPr>
          <w:r>
            <w:t>[Type text]</w:t>
          </w:r>
        </w:p>
      </w:docPartBody>
    </w:docPart>
    <w:docPart>
      <w:docPartPr>
        <w:name w:val="288E37D8D075CA4BADBE72C99BF8A5CF"/>
        <w:category>
          <w:name w:val="General"/>
          <w:gallery w:val="placeholder"/>
        </w:category>
        <w:types>
          <w:type w:val="bbPlcHdr"/>
        </w:types>
        <w:behaviors>
          <w:behavior w:val="content"/>
        </w:behaviors>
        <w:guid w:val="{68DF2A21-4E32-B541-8A1A-75F62124183E}"/>
      </w:docPartPr>
      <w:docPartBody>
        <w:p w:rsidR="00144C9F" w:rsidRDefault="00144C9F" w:rsidP="00144C9F">
          <w:pPr>
            <w:pStyle w:val="288E37D8D075CA4BADBE72C99BF8A5C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9F"/>
    <w:rsid w:val="000B6FB3"/>
    <w:rsid w:val="0010252A"/>
    <w:rsid w:val="00144C9F"/>
    <w:rsid w:val="003314AE"/>
    <w:rsid w:val="003D66B2"/>
    <w:rsid w:val="008F4255"/>
    <w:rsid w:val="009039BC"/>
    <w:rsid w:val="00BC6E9B"/>
    <w:rsid w:val="00DC24F3"/>
    <w:rsid w:val="00E1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A6E53DBD71B54A85056A03B7966B3E">
    <w:name w:val="3DA6E53DBD71B54A85056A03B7966B3E"/>
    <w:rsid w:val="00144C9F"/>
  </w:style>
  <w:style w:type="paragraph" w:customStyle="1" w:styleId="D1E722344940EB4ABB39F301DF279738">
    <w:name w:val="D1E722344940EB4ABB39F301DF279738"/>
    <w:rsid w:val="00144C9F"/>
  </w:style>
  <w:style w:type="paragraph" w:customStyle="1" w:styleId="288E37D8D075CA4BADBE72C99BF8A5CF">
    <w:name w:val="288E37D8D075CA4BADBE72C99BF8A5CF"/>
    <w:rsid w:val="00144C9F"/>
  </w:style>
  <w:style w:type="paragraph" w:customStyle="1" w:styleId="CD71B6A2E62ECB419E18C03D1CDD1643">
    <w:name w:val="CD71B6A2E62ECB419E18C03D1CDD1643"/>
    <w:rsid w:val="00144C9F"/>
  </w:style>
  <w:style w:type="paragraph" w:customStyle="1" w:styleId="DF58169E39C34649989436401A883245">
    <w:name w:val="DF58169E39C34649989436401A883245"/>
    <w:rsid w:val="00144C9F"/>
  </w:style>
  <w:style w:type="paragraph" w:customStyle="1" w:styleId="0AADBD1F4324B448A5E1F27A74A1032C">
    <w:name w:val="0AADBD1F4324B448A5E1F27A74A1032C"/>
    <w:rsid w:val="00144C9F"/>
  </w:style>
  <w:style w:type="paragraph" w:customStyle="1" w:styleId="B618CB4562D8F64AB390D9BCBF6C24D0">
    <w:name w:val="B618CB4562D8F64AB390D9BCBF6C24D0"/>
    <w:rsid w:val="00144C9F"/>
  </w:style>
  <w:style w:type="paragraph" w:customStyle="1" w:styleId="B9AF96F49B69524EB416F403A6BF2DB9">
    <w:name w:val="B9AF96F49B69524EB416F403A6BF2DB9"/>
    <w:rsid w:val="00144C9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A6E53DBD71B54A85056A03B7966B3E">
    <w:name w:val="3DA6E53DBD71B54A85056A03B7966B3E"/>
    <w:rsid w:val="00144C9F"/>
  </w:style>
  <w:style w:type="paragraph" w:customStyle="1" w:styleId="D1E722344940EB4ABB39F301DF279738">
    <w:name w:val="D1E722344940EB4ABB39F301DF279738"/>
    <w:rsid w:val="00144C9F"/>
  </w:style>
  <w:style w:type="paragraph" w:customStyle="1" w:styleId="288E37D8D075CA4BADBE72C99BF8A5CF">
    <w:name w:val="288E37D8D075CA4BADBE72C99BF8A5CF"/>
    <w:rsid w:val="00144C9F"/>
  </w:style>
  <w:style w:type="paragraph" w:customStyle="1" w:styleId="CD71B6A2E62ECB419E18C03D1CDD1643">
    <w:name w:val="CD71B6A2E62ECB419E18C03D1CDD1643"/>
    <w:rsid w:val="00144C9F"/>
  </w:style>
  <w:style w:type="paragraph" w:customStyle="1" w:styleId="DF58169E39C34649989436401A883245">
    <w:name w:val="DF58169E39C34649989436401A883245"/>
    <w:rsid w:val="00144C9F"/>
  </w:style>
  <w:style w:type="paragraph" w:customStyle="1" w:styleId="0AADBD1F4324B448A5E1F27A74A1032C">
    <w:name w:val="0AADBD1F4324B448A5E1F27A74A1032C"/>
    <w:rsid w:val="00144C9F"/>
  </w:style>
  <w:style w:type="paragraph" w:customStyle="1" w:styleId="B618CB4562D8F64AB390D9BCBF6C24D0">
    <w:name w:val="B618CB4562D8F64AB390D9BCBF6C24D0"/>
    <w:rsid w:val="00144C9F"/>
  </w:style>
  <w:style w:type="paragraph" w:customStyle="1" w:styleId="B9AF96F49B69524EB416F403A6BF2DB9">
    <w:name w:val="B9AF96F49B69524EB416F403A6BF2DB9"/>
    <w:rsid w:val="00144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2015-01-22T08:00:00+00:00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0BB6B-4F5A-4279-AB3E-037C94F00D98}"/>
</file>

<file path=customXml/itemProps2.xml><?xml version="1.0" encoding="utf-8"?>
<ds:datastoreItem xmlns:ds="http://schemas.openxmlformats.org/officeDocument/2006/customXml" ds:itemID="{DC1F90D7-A63B-4259-80F3-0434F0103B8D}"/>
</file>

<file path=customXml/itemProps3.xml><?xml version="1.0" encoding="utf-8"?>
<ds:datastoreItem xmlns:ds="http://schemas.openxmlformats.org/officeDocument/2006/customXml" ds:itemID="{77394CE0-C160-394E-9607-AA11DD727BCF}"/>
</file>

<file path=customXml/itemProps4.xml><?xml version="1.0" encoding="utf-8"?>
<ds:datastoreItem xmlns:ds="http://schemas.openxmlformats.org/officeDocument/2006/customXml" ds:itemID="{25618BB4-C009-4368-AD64-F3587F93DB7F}"/>
</file>

<file path=customXml/itemProps5.xml><?xml version="1.0" encoding="utf-8"?>
<ds:datastoreItem xmlns:ds="http://schemas.openxmlformats.org/officeDocument/2006/customXml" ds:itemID="{1553CA7C-D342-42AE-ABB7-7BBB318F9D9C}"/>
</file>

<file path=docProps/app.xml><?xml version="1.0" encoding="utf-8"?>
<Properties xmlns="http://schemas.openxmlformats.org/officeDocument/2006/extended-properties" xmlns:vt="http://schemas.openxmlformats.org/officeDocument/2006/docPropsVTypes">
  <Template>Normal.dotm</Template>
  <TotalTime>24</TotalTime>
  <Pages>27</Pages>
  <Words>6055</Words>
  <Characters>34516</Characters>
  <Application>Microsoft Macintosh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Keyes, Fox &amp; Wiedman, LLC</Company>
  <LinksUpToDate>false</LinksUpToDate>
  <CharactersWithSpaces>40491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Schlesinger</dc:creator>
  <cp:keywords/>
  <dc:description/>
  <cp:lastModifiedBy>Kimberly Kooles</cp:lastModifiedBy>
  <cp:revision>7</cp:revision>
  <cp:lastPrinted>2015-01-22T14:34:00Z</cp:lastPrinted>
  <dcterms:created xsi:type="dcterms:W3CDTF">2015-01-22T14:15:00Z</dcterms:created>
  <dcterms:modified xsi:type="dcterms:W3CDTF">2015-01-22T18:37:00Z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