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680"/>
      </w:tblGrid>
      <w:tr w:rsidR="006E177C" w:rsidRPr="00770E9A" w:rsidTr="00732760">
        <w:trPr>
          <w:trHeight w:hRule="exact"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Pr="00770E9A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E177C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6E177C" w:rsidRDefault="006E177C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0D0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5A30D0" w:rsidRDefault="005A30D0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A30D0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5A30D0" w:rsidRDefault="005A30D0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96DCD" w:rsidRPr="00770E9A" w:rsidTr="00732760">
        <w:trPr>
          <w:trHeight w:val="288"/>
        </w:trPr>
        <w:tc>
          <w:tcPr>
            <w:tcW w:w="680" w:type="dxa"/>
            <w:tcMar>
              <w:left w:w="14" w:type="dxa"/>
              <w:right w:w="14" w:type="dxa"/>
            </w:tcMar>
            <w:vAlign w:val="center"/>
          </w:tcPr>
          <w:p w:rsidR="00196DCD" w:rsidRDefault="00196DCD" w:rsidP="00196DC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6E177C" w:rsidRDefault="006E177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177C" w:rsidRDefault="006E177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E177C" w:rsidSect="00A45623">
          <w:headerReference w:type="default" r:id="rId7"/>
          <w:footerReference w:type="default" r:id="rId8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6E177C" w:rsidTr="00BE1330">
        <w:tc>
          <w:tcPr>
            <w:tcW w:w="8887" w:type="dxa"/>
          </w:tcPr>
          <w:p w:rsidR="006E177C" w:rsidRPr="00BE1330" w:rsidRDefault="006E177C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6E177C" w:rsidTr="00BE1330">
        <w:tc>
          <w:tcPr>
            <w:tcW w:w="8887" w:type="dxa"/>
          </w:tcPr>
          <w:p w:rsidR="006E177C" w:rsidRPr="00BE1330" w:rsidRDefault="006E177C" w:rsidP="003E688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BE13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6E177C" w:rsidRDefault="006E177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218B9" w:rsidRDefault="00B218B9" w:rsidP="00B218B9">
      <w:pPr>
        <w:pStyle w:val="ListParagraph"/>
        <w:numPr>
          <w:ilvl w:val="0"/>
          <w:numId w:val="3"/>
        </w:numPr>
        <w:tabs>
          <w:tab w:val="left" w:pos="108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862325">
        <w:rPr>
          <w:rFonts w:ascii="Arial" w:hAnsi="Arial" w:cs="Arial"/>
          <w:sz w:val="20"/>
          <w:szCs w:val="20"/>
        </w:rPr>
        <w:t>Monthly Allowed Delivery Revenue Per Customer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862325">
        <w:rPr>
          <w:rFonts w:ascii="Arial" w:hAnsi="Arial" w:cs="Arial"/>
          <w:sz w:val="20"/>
          <w:szCs w:val="20"/>
        </w:rPr>
        <w:t>:</w:t>
      </w:r>
    </w:p>
    <w:p w:rsidR="005A30D0" w:rsidRPr="00862325" w:rsidRDefault="005A30D0" w:rsidP="00B218B9">
      <w:pPr>
        <w:pStyle w:val="ListParagraph"/>
        <w:numPr>
          <w:ilvl w:val="0"/>
          <w:numId w:val="3"/>
        </w:numPr>
        <w:tabs>
          <w:tab w:val="left" w:pos="108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B218B9" w:rsidRPr="00370096" w:rsidRDefault="00B218B9" w:rsidP="00B218B9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Non-Residential</w:t>
      </w:r>
      <w:r>
        <w:rPr>
          <w:rFonts w:ascii="Arial" w:hAnsi="Arial" w:cs="Arial"/>
          <w:b/>
          <w:sz w:val="20"/>
          <w:szCs w:val="20"/>
        </w:rPr>
        <w:t xml:space="preserve">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B218B9" w:rsidTr="00B218B9">
        <w:trPr>
          <w:trHeight w:val="291"/>
        </w:trPr>
        <w:tc>
          <w:tcPr>
            <w:tcW w:w="1301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B218B9" w:rsidRPr="00370096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164.80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170.42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176.22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182.18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159.29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170.33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176.09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162.52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168.06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173.77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179.66</w:t>
            </w: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150.22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155.35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160.63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138.27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143.00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147.88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152.91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76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142.93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147.82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152.87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158.06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143.53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148.44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153.51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158.7</w:t>
            </w:r>
            <w:r w:rsidR="00E315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148.05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153.12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158.35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163.73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149.60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154.73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160.01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165.45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143.44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148.36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153.42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158.63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291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151.01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156.18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161.51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167.00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  <w:tr w:rsidR="00B218B9" w:rsidTr="00B218B9">
        <w:trPr>
          <w:trHeight w:val="307"/>
        </w:trPr>
        <w:tc>
          <w:tcPr>
            <w:tcW w:w="1301" w:type="dxa"/>
          </w:tcPr>
          <w:p w:rsidR="00B218B9" w:rsidRPr="005676C4" w:rsidRDefault="00B218B9" w:rsidP="00B218B9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158.85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164.30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169.90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175.68</w:t>
            </w:r>
          </w:p>
        </w:tc>
        <w:tc>
          <w:tcPr>
            <w:tcW w:w="1278" w:type="dxa"/>
          </w:tcPr>
          <w:p w:rsidR="00B218B9" w:rsidRDefault="00B218B9" w:rsidP="00B218B9">
            <w:pPr>
              <w:spacing w:after="0"/>
              <w:jc w:val="center"/>
            </w:pPr>
          </w:p>
        </w:tc>
      </w:tr>
    </w:tbl>
    <w:p w:rsidR="00B218B9" w:rsidRDefault="00B218B9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196DCD" w:rsidRDefault="00AA7EBB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96DCD" w:rsidRPr="00A34D84">
        <w:rPr>
          <w:rFonts w:ascii="Arial" w:hAnsi="Arial" w:cs="Arial"/>
          <w:sz w:val="20"/>
          <w:szCs w:val="20"/>
        </w:rPr>
        <w:t>.</w:t>
      </w:r>
      <w:r w:rsidR="00196DCD">
        <w:rPr>
          <w:rFonts w:ascii="Arial" w:hAnsi="Arial" w:cs="Arial"/>
          <w:sz w:val="20"/>
          <w:szCs w:val="20"/>
        </w:rPr>
        <w:tab/>
        <w:t>Process:</w:t>
      </w:r>
    </w:p>
    <w:p w:rsidR="00196DCD" w:rsidRDefault="00196DCD" w:rsidP="00196DC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196DCD" w:rsidRDefault="00196DCD" w:rsidP="00196DCD">
      <w:pPr>
        <w:pStyle w:val="ListParagraph"/>
        <w:numPr>
          <w:ilvl w:val="0"/>
          <w:numId w:val="2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amounts accrued in the RDA Balancing Account, including interest, for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>Non-Residential Customers through the end of the calendar year will be surcharged or refunded to the same group of Customers (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5A30D0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Customers) during the subsequent May 1 through April 30 rate year.  </w:t>
      </w: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440"/>
        <w:rPr>
          <w:rFonts w:ascii="Arial" w:hAnsi="Arial" w:cs="Arial"/>
          <w:sz w:val="20"/>
          <w:szCs w:val="20"/>
        </w:rPr>
      </w:pP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 xml:space="preserve">No later than April 1 of each year </w:t>
      </w:r>
      <w:r w:rsidR="00577197">
        <w:rPr>
          <w:rFonts w:ascii="Arial" w:hAnsi="Arial" w:cs="Arial"/>
          <w:sz w:val="20"/>
          <w:szCs w:val="20"/>
        </w:rPr>
        <w:t xml:space="preserve">following the initial effective date of this schedule, </w:t>
      </w:r>
      <w:r>
        <w:rPr>
          <w:rFonts w:ascii="Arial" w:hAnsi="Arial" w:cs="Arial"/>
          <w:sz w:val="20"/>
          <w:szCs w:val="20"/>
        </w:rPr>
        <w:t xml:space="preserve">the Company will make a filing to set new </w:t>
      </w:r>
      <w:r w:rsidR="00B218B9">
        <w:rPr>
          <w:rFonts w:ascii="Arial" w:hAnsi="Arial" w:cs="Arial"/>
          <w:sz w:val="20"/>
          <w:szCs w:val="20"/>
        </w:rPr>
        <w:t xml:space="preserve">decoupling </w:t>
      </w:r>
      <w:r>
        <w:rPr>
          <w:rFonts w:ascii="Arial" w:hAnsi="Arial" w:cs="Arial"/>
          <w:sz w:val="20"/>
          <w:szCs w:val="20"/>
        </w:rPr>
        <w:t>rates under this Schedule 139 to be effective May 1 of the same year.</w:t>
      </w:r>
    </w:p>
    <w:p w:rsidR="00196DCD" w:rsidRDefault="00196DCD" w:rsidP="00196DCD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196DCD" w:rsidRPr="00816156" w:rsidRDefault="00196DCD" w:rsidP="00C20273">
      <w:pPr>
        <w:pStyle w:val="ListParagraph"/>
        <w:numPr>
          <w:ilvl w:val="0"/>
          <w:numId w:val="4"/>
        </w:numPr>
        <w:tabs>
          <w:tab w:val="left" w:pos="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TERM</w:t>
      </w:r>
      <w:r w:rsidRPr="00816156">
        <w:rPr>
          <w:rStyle w:val="Custom2"/>
          <w:rFonts w:cs="Arial"/>
          <w:b/>
          <w:szCs w:val="20"/>
        </w:rPr>
        <w:t>:</w:t>
      </w:r>
    </w:p>
    <w:p w:rsidR="006E177C" w:rsidRPr="005A30D0" w:rsidRDefault="005A30D0" w:rsidP="005A30D0">
      <w:pPr>
        <w:pStyle w:val="ListParagraph"/>
        <w:tabs>
          <w:tab w:val="left" w:pos="360"/>
          <w:tab w:val="left" w:pos="1440"/>
          <w:tab w:val="left" w:pos="9360"/>
          <w:tab w:val="left" w:pos="9450"/>
        </w:tabs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Accruals</w:t>
      </w:r>
      <w:r w:rsidR="0069783F">
        <w:rPr>
          <w:rFonts w:ascii="Arial" w:hAnsi="Arial" w:cs="Arial"/>
          <w:sz w:val="20"/>
          <w:szCs w:val="20"/>
        </w:rPr>
        <w:t xml:space="preserve"> under t</w:t>
      </w:r>
      <w:r w:rsidR="00196DCD">
        <w:rPr>
          <w:rFonts w:ascii="Arial" w:hAnsi="Arial" w:cs="Arial"/>
          <w:sz w:val="20"/>
          <w:szCs w:val="20"/>
        </w:rPr>
        <w:t xml:space="preserve">his mechanism shall </w:t>
      </w:r>
      <w:r w:rsidR="0069783F">
        <w:rPr>
          <w:rFonts w:ascii="Arial" w:hAnsi="Arial" w:cs="Arial"/>
          <w:sz w:val="20"/>
          <w:szCs w:val="20"/>
        </w:rPr>
        <w:t xml:space="preserve">continue </w:t>
      </w:r>
      <w:r w:rsidR="00196DCD">
        <w:rPr>
          <w:rFonts w:ascii="Arial" w:hAnsi="Arial" w:cs="Arial"/>
          <w:sz w:val="20"/>
          <w:szCs w:val="20"/>
        </w:rPr>
        <w:t>until the effective date of rates approved in the Company’s next general rate case, but may be continued</w:t>
      </w:r>
      <w:r>
        <w:rPr>
          <w:rFonts w:ascii="Arial" w:hAnsi="Arial" w:cs="Arial"/>
          <w:sz w:val="20"/>
          <w:szCs w:val="20"/>
        </w:rPr>
        <w:t xml:space="preserve"> beyond that general rate case</w:t>
      </w:r>
      <w:r w:rsidR="00196DCD">
        <w:rPr>
          <w:rFonts w:ascii="Arial" w:hAnsi="Arial" w:cs="Arial"/>
          <w:sz w:val="20"/>
          <w:szCs w:val="20"/>
        </w:rPr>
        <w:t>, subject to approval by the Commission.</w:t>
      </w:r>
      <w:r w:rsidR="0069783F">
        <w:rPr>
          <w:rFonts w:ascii="Arial" w:hAnsi="Arial" w:cs="Arial"/>
          <w:sz w:val="20"/>
          <w:szCs w:val="20"/>
        </w:rPr>
        <w:t xml:space="preserve">  If this mechanism is discontinued, amounts remaining in the RDA balancing account at that time will continue to be amortized </w:t>
      </w:r>
      <w:r w:rsidR="00FB53AF">
        <w:rPr>
          <w:rFonts w:ascii="Arial" w:hAnsi="Arial" w:cs="Arial"/>
          <w:sz w:val="20"/>
          <w:szCs w:val="20"/>
        </w:rPr>
        <w:t xml:space="preserve">through the rates charged under this schedule </w:t>
      </w:r>
      <w:r w:rsidR="0069783F">
        <w:rPr>
          <w:rFonts w:ascii="Arial" w:hAnsi="Arial" w:cs="Arial"/>
          <w:sz w:val="20"/>
          <w:szCs w:val="20"/>
        </w:rPr>
        <w:t>until the balance is cleared.</w:t>
      </w:r>
    </w:p>
    <w:sectPr w:rsidR="006E177C" w:rsidRPr="005A30D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B9" w:rsidRDefault="00B218B9" w:rsidP="00B963E0">
      <w:pPr>
        <w:spacing w:after="0" w:line="240" w:lineRule="auto"/>
      </w:pPr>
      <w:r>
        <w:separator/>
      </w:r>
    </w:p>
  </w:endnote>
  <w:endnote w:type="continuationSeparator" w:id="0">
    <w:p w:rsidR="00B218B9" w:rsidRDefault="00B218B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B9" w:rsidRDefault="000548B0" w:rsidP="008346E7">
    <w:pPr>
      <w:pStyle w:val="Footer"/>
      <w:ind w:left="-720"/>
      <w:rPr>
        <w:rFonts w:ascii="Arial" w:hAnsi="Arial" w:cs="Arial"/>
        <w:b/>
        <w:sz w:val="20"/>
        <w:szCs w:val="20"/>
      </w:rPr>
    </w:pPr>
    <w:r w:rsidRPr="000548B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>
            <w:txbxContent>
              <w:p w:rsidR="00B218B9" w:rsidRDefault="00B218B9" w:rsidP="008346E7"/>
            </w:txbxContent>
          </v:textbox>
        </v:shape>
      </w:pict>
    </w:r>
  </w:p>
  <w:p w:rsidR="00B218B9" w:rsidRDefault="00B218B9" w:rsidP="008346E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5A30D0">
      <w:rPr>
        <w:rFonts w:ascii="Arial" w:hAnsi="Arial" w:cs="Arial"/>
        <w:sz w:val="20"/>
        <w:szCs w:val="20"/>
      </w:rPr>
      <w:t xml:space="preserve">May </w:t>
    </w:r>
    <w:r>
      <w:rPr>
        <w:rFonts w:ascii="Arial" w:hAnsi="Arial" w:cs="Arial"/>
        <w:sz w:val="20"/>
        <w:szCs w:val="20"/>
      </w:rPr>
      <w:t>1, 2013</w:t>
    </w:r>
  </w:p>
  <w:p w:rsidR="00B218B9" w:rsidRDefault="00B218B9" w:rsidP="008346E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B218B9" w:rsidRDefault="00B218B9" w:rsidP="008346E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B218B9" w:rsidRDefault="00B218B9" w:rsidP="008346E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B218B9" w:rsidRPr="007D434A" w:rsidTr="00196DCD">
      <w:trPr>
        <w:trHeight w:val="422"/>
      </w:trPr>
      <w:tc>
        <w:tcPr>
          <w:tcW w:w="558" w:type="dxa"/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B218B9" w:rsidRPr="007D434A" w:rsidRDefault="00B218B9" w:rsidP="00196DC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B218B9" w:rsidRPr="006E75FB" w:rsidRDefault="00B218B9" w:rsidP="00F632C9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B9" w:rsidRDefault="00B218B9" w:rsidP="00B963E0">
      <w:pPr>
        <w:spacing w:after="0" w:line="240" w:lineRule="auto"/>
      </w:pPr>
      <w:r>
        <w:separator/>
      </w:r>
    </w:p>
  </w:footnote>
  <w:footnote w:type="continuationSeparator" w:id="0">
    <w:p w:rsidR="00B218B9" w:rsidRDefault="00B218B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B9" w:rsidRDefault="00B218B9" w:rsidP="00E61AEC">
    <w:pPr>
      <w:pStyle w:val="NoSpacing"/>
      <w:ind w:right="3600"/>
      <w:jc w:val="right"/>
      <w:rPr>
        <w:u w:val="single"/>
      </w:rPr>
    </w:pPr>
  </w:p>
  <w:p w:rsidR="00B218B9" w:rsidRDefault="00B218B9" w:rsidP="00E61AEC">
    <w:pPr>
      <w:pStyle w:val="NoSpacing"/>
      <w:ind w:right="3600"/>
      <w:jc w:val="right"/>
      <w:rPr>
        <w:u w:val="single"/>
      </w:rPr>
    </w:pPr>
  </w:p>
  <w:p w:rsidR="00B218B9" w:rsidRPr="00E61AEC" w:rsidRDefault="00B218B9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139-b</w:t>
    </w:r>
  </w:p>
  <w:p w:rsidR="00B218B9" w:rsidRPr="00B963E0" w:rsidRDefault="00B218B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218B9" w:rsidRPr="00B64632" w:rsidRDefault="000548B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0548B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B218B9" w:rsidRDefault="00B218B9"/>
            </w:txbxContent>
          </v:textbox>
        </v:shape>
      </w:pict>
    </w:r>
    <w:r w:rsidR="00B218B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47EF"/>
    <w:multiLevelType w:val="hybridMultilevel"/>
    <w:tmpl w:val="1FAEC7CC"/>
    <w:lvl w:ilvl="0" w:tplc="11569622">
      <w:start w:val="2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A167E97"/>
    <w:multiLevelType w:val="hybridMultilevel"/>
    <w:tmpl w:val="9058F9C8"/>
    <w:lvl w:ilvl="0" w:tplc="97785F2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176CF"/>
    <w:rsid w:val="0003601D"/>
    <w:rsid w:val="00053192"/>
    <w:rsid w:val="000548B0"/>
    <w:rsid w:val="00060533"/>
    <w:rsid w:val="0008711D"/>
    <w:rsid w:val="0009579F"/>
    <w:rsid w:val="000A1DBB"/>
    <w:rsid w:val="000A5C09"/>
    <w:rsid w:val="000B0263"/>
    <w:rsid w:val="000C04B8"/>
    <w:rsid w:val="000C0571"/>
    <w:rsid w:val="000D2886"/>
    <w:rsid w:val="000F642C"/>
    <w:rsid w:val="00104A70"/>
    <w:rsid w:val="001235CB"/>
    <w:rsid w:val="0013127F"/>
    <w:rsid w:val="001351A6"/>
    <w:rsid w:val="00143924"/>
    <w:rsid w:val="00145423"/>
    <w:rsid w:val="001601CC"/>
    <w:rsid w:val="00186C0A"/>
    <w:rsid w:val="00196DCD"/>
    <w:rsid w:val="001B2774"/>
    <w:rsid w:val="001B2937"/>
    <w:rsid w:val="001B2E67"/>
    <w:rsid w:val="001C0C09"/>
    <w:rsid w:val="001E7D52"/>
    <w:rsid w:val="001F3E4B"/>
    <w:rsid w:val="001F5B0A"/>
    <w:rsid w:val="002104EB"/>
    <w:rsid w:val="00211594"/>
    <w:rsid w:val="00212172"/>
    <w:rsid w:val="00212367"/>
    <w:rsid w:val="00214FB0"/>
    <w:rsid w:val="00216666"/>
    <w:rsid w:val="00225C37"/>
    <w:rsid w:val="002304B5"/>
    <w:rsid w:val="0023057D"/>
    <w:rsid w:val="0023458C"/>
    <w:rsid w:val="00235B37"/>
    <w:rsid w:val="00240DFA"/>
    <w:rsid w:val="00251AA3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325AC"/>
    <w:rsid w:val="00350702"/>
    <w:rsid w:val="00350A9F"/>
    <w:rsid w:val="003930FE"/>
    <w:rsid w:val="003A5EFC"/>
    <w:rsid w:val="003B3AED"/>
    <w:rsid w:val="003C30BE"/>
    <w:rsid w:val="003D5068"/>
    <w:rsid w:val="003D6A10"/>
    <w:rsid w:val="003D6A6F"/>
    <w:rsid w:val="003E688D"/>
    <w:rsid w:val="003F48BD"/>
    <w:rsid w:val="00401C8E"/>
    <w:rsid w:val="004370DE"/>
    <w:rsid w:val="00444CC7"/>
    <w:rsid w:val="00466466"/>
    <w:rsid w:val="00466546"/>
    <w:rsid w:val="00466A71"/>
    <w:rsid w:val="0047056F"/>
    <w:rsid w:val="00487170"/>
    <w:rsid w:val="004A7502"/>
    <w:rsid w:val="004F57E2"/>
    <w:rsid w:val="004F68AB"/>
    <w:rsid w:val="0051210B"/>
    <w:rsid w:val="005141B1"/>
    <w:rsid w:val="005241EE"/>
    <w:rsid w:val="00543EA4"/>
    <w:rsid w:val="005743AB"/>
    <w:rsid w:val="005746B6"/>
    <w:rsid w:val="00577197"/>
    <w:rsid w:val="00582516"/>
    <w:rsid w:val="00596AA0"/>
    <w:rsid w:val="005A30D0"/>
    <w:rsid w:val="005C3370"/>
    <w:rsid w:val="005D563D"/>
    <w:rsid w:val="005E09BA"/>
    <w:rsid w:val="005E0F6B"/>
    <w:rsid w:val="006573B8"/>
    <w:rsid w:val="0069783F"/>
    <w:rsid w:val="006A72BD"/>
    <w:rsid w:val="006B473E"/>
    <w:rsid w:val="006C27C7"/>
    <w:rsid w:val="006D2365"/>
    <w:rsid w:val="006E177C"/>
    <w:rsid w:val="006E75FB"/>
    <w:rsid w:val="00703E53"/>
    <w:rsid w:val="00707DF4"/>
    <w:rsid w:val="00716A97"/>
    <w:rsid w:val="00732760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312C9"/>
    <w:rsid w:val="008346E7"/>
    <w:rsid w:val="00872647"/>
    <w:rsid w:val="00880B8E"/>
    <w:rsid w:val="0089595B"/>
    <w:rsid w:val="008A3E31"/>
    <w:rsid w:val="008A742D"/>
    <w:rsid w:val="008A7C37"/>
    <w:rsid w:val="008B3592"/>
    <w:rsid w:val="008C1F4D"/>
    <w:rsid w:val="008E58E7"/>
    <w:rsid w:val="008F3BC1"/>
    <w:rsid w:val="009342D5"/>
    <w:rsid w:val="00941F3E"/>
    <w:rsid w:val="00957A0B"/>
    <w:rsid w:val="0099361B"/>
    <w:rsid w:val="009B1D7A"/>
    <w:rsid w:val="009C5A5E"/>
    <w:rsid w:val="00A0363D"/>
    <w:rsid w:val="00A1049A"/>
    <w:rsid w:val="00A2487E"/>
    <w:rsid w:val="00A42F11"/>
    <w:rsid w:val="00A45623"/>
    <w:rsid w:val="00A55507"/>
    <w:rsid w:val="00A742E6"/>
    <w:rsid w:val="00A839AA"/>
    <w:rsid w:val="00A93A69"/>
    <w:rsid w:val="00AA14E3"/>
    <w:rsid w:val="00AA347A"/>
    <w:rsid w:val="00AA55FC"/>
    <w:rsid w:val="00AA7EBB"/>
    <w:rsid w:val="00AB4028"/>
    <w:rsid w:val="00AB5920"/>
    <w:rsid w:val="00AD4897"/>
    <w:rsid w:val="00B0749D"/>
    <w:rsid w:val="00B14006"/>
    <w:rsid w:val="00B218B9"/>
    <w:rsid w:val="00B248DC"/>
    <w:rsid w:val="00B30E8E"/>
    <w:rsid w:val="00B36BDC"/>
    <w:rsid w:val="00B42E7C"/>
    <w:rsid w:val="00B60AD9"/>
    <w:rsid w:val="00B64632"/>
    <w:rsid w:val="00B70BA0"/>
    <w:rsid w:val="00B87F9C"/>
    <w:rsid w:val="00B963E0"/>
    <w:rsid w:val="00BA1F04"/>
    <w:rsid w:val="00BC7E42"/>
    <w:rsid w:val="00BE1330"/>
    <w:rsid w:val="00BE428A"/>
    <w:rsid w:val="00C06D5B"/>
    <w:rsid w:val="00C070F6"/>
    <w:rsid w:val="00C07562"/>
    <w:rsid w:val="00C16609"/>
    <w:rsid w:val="00C20273"/>
    <w:rsid w:val="00C207F2"/>
    <w:rsid w:val="00C27AA6"/>
    <w:rsid w:val="00C33152"/>
    <w:rsid w:val="00C42132"/>
    <w:rsid w:val="00C67B1F"/>
    <w:rsid w:val="00C701FF"/>
    <w:rsid w:val="00C72F93"/>
    <w:rsid w:val="00C8366F"/>
    <w:rsid w:val="00C850A3"/>
    <w:rsid w:val="00CB7B61"/>
    <w:rsid w:val="00CE40EB"/>
    <w:rsid w:val="00CE71D5"/>
    <w:rsid w:val="00CF3A26"/>
    <w:rsid w:val="00D02C25"/>
    <w:rsid w:val="00D06425"/>
    <w:rsid w:val="00D075B2"/>
    <w:rsid w:val="00D079BA"/>
    <w:rsid w:val="00D11CE5"/>
    <w:rsid w:val="00D11EBD"/>
    <w:rsid w:val="00D261F2"/>
    <w:rsid w:val="00D4002E"/>
    <w:rsid w:val="00D408AA"/>
    <w:rsid w:val="00D5139F"/>
    <w:rsid w:val="00D6353E"/>
    <w:rsid w:val="00D66E05"/>
    <w:rsid w:val="00D712C1"/>
    <w:rsid w:val="00D736F2"/>
    <w:rsid w:val="00D768B3"/>
    <w:rsid w:val="00D80755"/>
    <w:rsid w:val="00D81917"/>
    <w:rsid w:val="00DB26F9"/>
    <w:rsid w:val="00DB3D30"/>
    <w:rsid w:val="00DB60D7"/>
    <w:rsid w:val="00DC040E"/>
    <w:rsid w:val="00DC2AAE"/>
    <w:rsid w:val="00DD6F7A"/>
    <w:rsid w:val="00DF04B6"/>
    <w:rsid w:val="00E002F2"/>
    <w:rsid w:val="00E07D30"/>
    <w:rsid w:val="00E12B4A"/>
    <w:rsid w:val="00E31580"/>
    <w:rsid w:val="00E526ED"/>
    <w:rsid w:val="00E61AEC"/>
    <w:rsid w:val="00E61F7C"/>
    <w:rsid w:val="00E72373"/>
    <w:rsid w:val="00E72596"/>
    <w:rsid w:val="00E74A20"/>
    <w:rsid w:val="00E8479C"/>
    <w:rsid w:val="00E84B31"/>
    <w:rsid w:val="00E9001F"/>
    <w:rsid w:val="00E94710"/>
    <w:rsid w:val="00EB5E30"/>
    <w:rsid w:val="00EC32DA"/>
    <w:rsid w:val="00EC4414"/>
    <w:rsid w:val="00ED3337"/>
    <w:rsid w:val="00ED6D74"/>
    <w:rsid w:val="00EF663C"/>
    <w:rsid w:val="00F468B3"/>
    <w:rsid w:val="00F518C8"/>
    <w:rsid w:val="00F53FC2"/>
    <w:rsid w:val="00F57C21"/>
    <w:rsid w:val="00F632C9"/>
    <w:rsid w:val="00F77D3D"/>
    <w:rsid w:val="00F86A24"/>
    <w:rsid w:val="00FA08B4"/>
    <w:rsid w:val="00FA1B13"/>
    <w:rsid w:val="00FA31C3"/>
    <w:rsid w:val="00FB53AF"/>
    <w:rsid w:val="00FC03F6"/>
    <w:rsid w:val="00FC24C7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96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6B4D2EF-692F-4D09-A957-DFAD7505D7A1}"/>
</file>

<file path=customXml/itemProps2.xml><?xml version="1.0" encoding="utf-8"?>
<ds:datastoreItem xmlns:ds="http://schemas.openxmlformats.org/officeDocument/2006/customXml" ds:itemID="{DC71423E-654E-4B30-915C-451C04C203BD}"/>
</file>

<file path=customXml/itemProps3.xml><?xml version="1.0" encoding="utf-8"?>
<ds:datastoreItem xmlns:ds="http://schemas.openxmlformats.org/officeDocument/2006/customXml" ds:itemID="{F4EBADEA-C72F-4275-8353-12985DD439B2}"/>
</file>

<file path=customXml/itemProps4.xml><?xml version="1.0" encoding="utf-8"?>
<ds:datastoreItem xmlns:ds="http://schemas.openxmlformats.org/officeDocument/2006/customXml" ds:itemID="{7797AB33-F92A-4BE7-9578-25BAE3B84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9</cp:revision>
  <dcterms:created xsi:type="dcterms:W3CDTF">2013-02-21T18:29:00Z</dcterms:created>
  <dcterms:modified xsi:type="dcterms:W3CDTF">2013-02-28T17:22:00Z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