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0A678" w14:textId="77777777" w:rsidR="00B03496" w:rsidRDefault="00B03496" w:rsidP="00951A4C">
      <w:pPr>
        <w:pStyle w:val="Header"/>
        <w:tabs>
          <w:tab w:val="clear" w:pos="4320"/>
          <w:tab w:val="clear" w:pos="8640"/>
          <w:tab w:val="left" w:pos="2430"/>
        </w:tabs>
        <w:jc w:val="center"/>
        <w:rPr>
          <w:sz w:val="24"/>
          <w:szCs w:val="24"/>
        </w:rPr>
      </w:pPr>
    </w:p>
    <w:p w14:paraId="48CECC41" w14:textId="77777777" w:rsidR="00B03496" w:rsidRDefault="00B03496" w:rsidP="00951A4C">
      <w:pPr>
        <w:pStyle w:val="Header"/>
        <w:tabs>
          <w:tab w:val="clear" w:pos="4320"/>
          <w:tab w:val="clear" w:pos="8640"/>
          <w:tab w:val="left" w:pos="2430"/>
        </w:tabs>
        <w:jc w:val="center"/>
        <w:rPr>
          <w:sz w:val="24"/>
          <w:szCs w:val="24"/>
        </w:rPr>
      </w:pPr>
    </w:p>
    <w:p w14:paraId="0BF0ED14" w14:textId="77777777" w:rsidR="00B03496" w:rsidRDefault="00B03496" w:rsidP="00951A4C">
      <w:pPr>
        <w:pStyle w:val="Header"/>
        <w:tabs>
          <w:tab w:val="clear" w:pos="4320"/>
          <w:tab w:val="clear" w:pos="8640"/>
          <w:tab w:val="left" w:pos="2430"/>
        </w:tabs>
        <w:jc w:val="center"/>
        <w:rPr>
          <w:sz w:val="24"/>
          <w:szCs w:val="24"/>
        </w:rPr>
      </w:pPr>
    </w:p>
    <w:p w14:paraId="34EAA4A3" w14:textId="77777777" w:rsidR="00B03496" w:rsidRDefault="00B03496" w:rsidP="00951A4C">
      <w:pPr>
        <w:pStyle w:val="Header"/>
        <w:tabs>
          <w:tab w:val="clear" w:pos="4320"/>
          <w:tab w:val="clear" w:pos="8640"/>
          <w:tab w:val="left" w:pos="2430"/>
        </w:tabs>
        <w:jc w:val="center"/>
        <w:rPr>
          <w:sz w:val="24"/>
          <w:szCs w:val="24"/>
        </w:rPr>
      </w:pPr>
    </w:p>
    <w:p w14:paraId="5BB64D61" w14:textId="7A68CDB8" w:rsidR="007B7439" w:rsidRPr="00DE3409" w:rsidRDefault="007B7439" w:rsidP="00951A4C">
      <w:pPr>
        <w:pStyle w:val="Header"/>
        <w:tabs>
          <w:tab w:val="clear" w:pos="4320"/>
          <w:tab w:val="clear" w:pos="8640"/>
          <w:tab w:val="left" w:pos="2430"/>
        </w:tabs>
        <w:jc w:val="center"/>
        <w:rPr>
          <w:sz w:val="24"/>
          <w:szCs w:val="24"/>
        </w:rPr>
      </w:pPr>
      <w:r w:rsidRPr="00DE3409">
        <w:rPr>
          <w:sz w:val="24"/>
          <w:szCs w:val="24"/>
        </w:rPr>
        <w:t>BEFORE THE</w:t>
      </w:r>
      <w:r w:rsidR="001711D5" w:rsidRPr="00DE3409">
        <w:rPr>
          <w:sz w:val="24"/>
          <w:szCs w:val="24"/>
        </w:rPr>
        <w:t xml:space="preserve"> </w:t>
      </w:r>
      <w:r w:rsidRPr="00DE3409">
        <w:rPr>
          <w:sz w:val="24"/>
          <w:szCs w:val="24"/>
        </w:rPr>
        <w:t>WASHINGTON UTILITIES AND TRANSPORTATION COMMISSION</w:t>
      </w:r>
    </w:p>
    <w:p w14:paraId="7BC35ED9" w14:textId="77777777" w:rsidR="007B7439" w:rsidRPr="00DE3409" w:rsidRDefault="007B7439" w:rsidP="00951A4C">
      <w:pPr>
        <w:pStyle w:val="Header"/>
        <w:rPr>
          <w:sz w:val="24"/>
          <w:szCs w:val="24"/>
        </w:rPr>
      </w:pPr>
    </w:p>
    <w:tbl>
      <w:tblPr>
        <w:tblW w:w="9678" w:type="dxa"/>
        <w:tblInd w:w="124" w:type="dxa"/>
        <w:tblLayout w:type="fixed"/>
        <w:tblCellMar>
          <w:left w:w="124" w:type="dxa"/>
          <w:right w:w="124" w:type="dxa"/>
        </w:tblCellMar>
        <w:tblLook w:val="0000" w:firstRow="0" w:lastRow="0" w:firstColumn="0" w:lastColumn="0" w:noHBand="0" w:noVBand="0"/>
      </w:tblPr>
      <w:tblGrid>
        <w:gridCol w:w="5088"/>
        <w:gridCol w:w="4590"/>
      </w:tblGrid>
      <w:tr w:rsidR="007B7439" w:rsidRPr="00DE3409" w14:paraId="60E286A3" w14:textId="77777777" w:rsidTr="001711D5">
        <w:tc>
          <w:tcPr>
            <w:tcW w:w="5088" w:type="dxa"/>
            <w:tcBorders>
              <w:top w:val="single" w:sz="6" w:space="0" w:color="FFFFFF"/>
              <w:left w:val="single" w:sz="6" w:space="0" w:color="FFFFFF"/>
              <w:bottom w:val="single" w:sz="7" w:space="0" w:color="000000"/>
              <w:right w:val="single" w:sz="6" w:space="0" w:color="FFFFFF"/>
            </w:tcBorders>
          </w:tcPr>
          <w:p w14:paraId="47BE62FA" w14:textId="77777777" w:rsidR="007B7439" w:rsidRPr="00DE3409" w:rsidRDefault="007B7439" w:rsidP="00951A4C">
            <w:pPr>
              <w:pStyle w:val="Header"/>
              <w:tabs>
                <w:tab w:val="left" w:pos="681"/>
                <w:tab w:val="left" w:pos="1401"/>
              </w:tabs>
              <w:rPr>
                <w:sz w:val="24"/>
                <w:szCs w:val="24"/>
              </w:rPr>
            </w:pPr>
            <w:r w:rsidRPr="00DE3409">
              <w:rPr>
                <w:sz w:val="24"/>
                <w:szCs w:val="24"/>
              </w:rPr>
              <w:t>WASHINGTON UTILITIES AND TRANSPORTATION COMMISSION,</w:t>
            </w:r>
          </w:p>
          <w:p w14:paraId="6DE7FBAA" w14:textId="77777777" w:rsidR="007B7439" w:rsidRPr="00DE3409" w:rsidRDefault="007B7439" w:rsidP="00951A4C">
            <w:pPr>
              <w:pStyle w:val="Header"/>
              <w:tabs>
                <w:tab w:val="left" w:pos="681"/>
                <w:tab w:val="left" w:pos="1401"/>
              </w:tabs>
              <w:rPr>
                <w:sz w:val="24"/>
                <w:szCs w:val="24"/>
              </w:rPr>
            </w:pPr>
          </w:p>
          <w:p w14:paraId="77AEA9B5" w14:textId="77777777" w:rsidR="007B7439" w:rsidRPr="00DE3409" w:rsidRDefault="007B7439" w:rsidP="00951A4C">
            <w:pPr>
              <w:pStyle w:val="Header"/>
              <w:tabs>
                <w:tab w:val="left" w:pos="681"/>
                <w:tab w:val="left" w:pos="1401"/>
              </w:tabs>
              <w:rPr>
                <w:sz w:val="24"/>
                <w:szCs w:val="24"/>
              </w:rPr>
            </w:pPr>
            <w:r w:rsidRPr="00DE3409">
              <w:rPr>
                <w:sz w:val="24"/>
                <w:szCs w:val="24"/>
              </w:rPr>
              <w:tab/>
            </w:r>
            <w:r w:rsidRPr="00DE3409">
              <w:rPr>
                <w:sz w:val="24"/>
                <w:szCs w:val="24"/>
              </w:rPr>
              <w:tab/>
              <w:t>Complainant,</w:t>
            </w:r>
          </w:p>
          <w:p w14:paraId="02B175D3" w14:textId="77777777" w:rsidR="007B7439" w:rsidRPr="00DE3409" w:rsidRDefault="007B7439" w:rsidP="00951A4C">
            <w:pPr>
              <w:pStyle w:val="Header"/>
              <w:tabs>
                <w:tab w:val="left" w:pos="681"/>
                <w:tab w:val="left" w:pos="1401"/>
              </w:tabs>
              <w:rPr>
                <w:sz w:val="24"/>
                <w:szCs w:val="24"/>
              </w:rPr>
            </w:pPr>
          </w:p>
          <w:p w14:paraId="6D01D6DF" w14:textId="77777777" w:rsidR="007B7439" w:rsidRPr="00DE3409" w:rsidRDefault="007B7439" w:rsidP="00951A4C">
            <w:pPr>
              <w:pStyle w:val="Header"/>
              <w:tabs>
                <w:tab w:val="left" w:pos="681"/>
                <w:tab w:val="left" w:pos="1401"/>
              </w:tabs>
              <w:rPr>
                <w:sz w:val="24"/>
                <w:szCs w:val="24"/>
              </w:rPr>
            </w:pPr>
            <w:r w:rsidRPr="00DE3409">
              <w:rPr>
                <w:sz w:val="24"/>
                <w:szCs w:val="24"/>
              </w:rPr>
              <w:t>v.</w:t>
            </w:r>
          </w:p>
          <w:p w14:paraId="7A9D2431" w14:textId="77777777" w:rsidR="007B7439" w:rsidRPr="00DE3409" w:rsidRDefault="007B7439" w:rsidP="00951A4C">
            <w:pPr>
              <w:pStyle w:val="Header"/>
              <w:tabs>
                <w:tab w:val="left" w:pos="681"/>
                <w:tab w:val="left" w:pos="1401"/>
              </w:tabs>
              <w:rPr>
                <w:sz w:val="24"/>
                <w:szCs w:val="24"/>
              </w:rPr>
            </w:pPr>
          </w:p>
          <w:p w14:paraId="79827464" w14:textId="77777777" w:rsidR="007B7439" w:rsidRPr="00DE3409" w:rsidRDefault="007B7439" w:rsidP="00951A4C">
            <w:pPr>
              <w:pStyle w:val="Header"/>
              <w:tabs>
                <w:tab w:val="left" w:pos="681"/>
                <w:tab w:val="left" w:pos="1401"/>
              </w:tabs>
              <w:rPr>
                <w:sz w:val="24"/>
                <w:szCs w:val="24"/>
              </w:rPr>
            </w:pPr>
            <w:r w:rsidRPr="00DE3409">
              <w:rPr>
                <w:sz w:val="24"/>
                <w:szCs w:val="24"/>
              </w:rPr>
              <w:t xml:space="preserve">PACIFIC POWER &amp; LIGHT COMPANY, a division of PacifiCorp, </w:t>
            </w:r>
          </w:p>
          <w:p w14:paraId="1CB825A1" w14:textId="77777777" w:rsidR="007B7439" w:rsidRPr="00DE3409" w:rsidRDefault="007B7439" w:rsidP="00951A4C">
            <w:pPr>
              <w:pStyle w:val="Header"/>
              <w:tabs>
                <w:tab w:val="left" w:pos="681"/>
                <w:tab w:val="left" w:pos="1401"/>
              </w:tabs>
              <w:rPr>
                <w:sz w:val="24"/>
                <w:szCs w:val="24"/>
              </w:rPr>
            </w:pPr>
          </w:p>
          <w:p w14:paraId="5F884A5B" w14:textId="77777777" w:rsidR="007B7439" w:rsidRPr="00DE3409" w:rsidRDefault="007B7439" w:rsidP="00951A4C">
            <w:pPr>
              <w:pStyle w:val="Header"/>
              <w:tabs>
                <w:tab w:val="left" w:pos="681"/>
                <w:tab w:val="left" w:pos="1401"/>
              </w:tabs>
              <w:rPr>
                <w:sz w:val="24"/>
                <w:szCs w:val="24"/>
              </w:rPr>
            </w:pPr>
            <w:r w:rsidRPr="00DE3409">
              <w:rPr>
                <w:sz w:val="24"/>
                <w:szCs w:val="24"/>
              </w:rPr>
              <w:tab/>
            </w:r>
            <w:r w:rsidRPr="00DE3409">
              <w:rPr>
                <w:sz w:val="24"/>
                <w:szCs w:val="24"/>
              </w:rPr>
              <w:tab/>
              <w:t>Respondent.</w:t>
            </w:r>
          </w:p>
          <w:p w14:paraId="716E89D0" w14:textId="77777777" w:rsidR="007B7439" w:rsidRDefault="007B7439" w:rsidP="00951A4C">
            <w:pPr>
              <w:pStyle w:val="Header"/>
              <w:tabs>
                <w:tab w:val="left" w:pos="681"/>
                <w:tab w:val="left" w:pos="1401"/>
              </w:tabs>
              <w:rPr>
                <w:sz w:val="24"/>
                <w:szCs w:val="24"/>
              </w:rPr>
            </w:pPr>
          </w:p>
          <w:p w14:paraId="707A2FB2" w14:textId="48975A43" w:rsidR="00945828" w:rsidRPr="00DE3409" w:rsidRDefault="00945828" w:rsidP="00951A4C">
            <w:pPr>
              <w:pStyle w:val="Header"/>
              <w:tabs>
                <w:tab w:val="left" w:pos="681"/>
                <w:tab w:val="left" w:pos="1401"/>
              </w:tabs>
              <w:rPr>
                <w:sz w:val="24"/>
                <w:szCs w:val="24"/>
              </w:rPr>
            </w:pPr>
          </w:p>
        </w:tc>
        <w:tc>
          <w:tcPr>
            <w:tcW w:w="4590" w:type="dxa"/>
            <w:tcBorders>
              <w:top w:val="single" w:sz="6" w:space="0" w:color="FFFFFF"/>
              <w:left w:val="single" w:sz="7" w:space="0" w:color="000000"/>
              <w:bottom w:val="single" w:sz="6" w:space="0" w:color="FFFFFF"/>
              <w:right w:val="single" w:sz="6" w:space="0" w:color="FFFFFF"/>
            </w:tcBorders>
          </w:tcPr>
          <w:p w14:paraId="6E65FFFC" w14:textId="3D27DB9E" w:rsidR="007B7439" w:rsidRPr="00DE3409" w:rsidRDefault="007B7439" w:rsidP="00951A4C">
            <w:pPr>
              <w:pStyle w:val="Header"/>
              <w:ind w:left="416"/>
              <w:rPr>
                <w:sz w:val="24"/>
                <w:szCs w:val="24"/>
              </w:rPr>
            </w:pPr>
            <w:r w:rsidRPr="00DE3409">
              <w:rPr>
                <w:sz w:val="24"/>
                <w:szCs w:val="24"/>
              </w:rPr>
              <w:t>DOCKET UE-1</w:t>
            </w:r>
            <w:r w:rsidR="00945828">
              <w:rPr>
                <w:sz w:val="24"/>
                <w:szCs w:val="24"/>
              </w:rPr>
              <w:t>44160</w:t>
            </w:r>
            <w:r w:rsidRPr="00DE3409">
              <w:rPr>
                <w:sz w:val="24"/>
                <w:szCs w:val="24"/>
              </w:rPr>
              <w:t xml:space="preserve"> </w:t>
            </w:r>
          </w:p>
          <w:p w14:paraId="5A1A6ADE" w14:textId="77777777" w:rsidR="007B7439" w:rsidRPr="00DE3409" w:rsidRDefault="007B7439" w:rsidP="00951A4C">
            <w:pPr>
              <w:pStyle w:val="Header"/>
              <w:ind w:left="416"/>
              <w:rPr>
                <w:sz w:val="24"/>
                <w:szCs w:val="24"/>
              </w:rPr>
            </w:pPr>
          </w:p>
          <w:p w14:paraId="4282BE75" w14:textId="77777777" w:rsidR="007B7439" w:rsidRPr="00DE3409" w:rsidRDefault="007B7439" w:rsidP="00951A4C">
            <w:pPr>
              <w:pStyle w:val="Header"/>
              <w:ind w:left="416"/>
              <w:rPr>
                <w:sz w:val="24"/>
                <w:szCs w:val="24"/>
              </w:rPr>
            </w:pPr>
          </w:p>
          <w:p w14:paraId="2CD1795A" w14:textId="77777777" w:rsidR="007B7439" w:rsidRPr="00DE3409" w:rsidRDefault="007B7439" w:rsidP="00951A4C">
            <w:pPr>
              <w:pStyle w:val="Header"/>
              <w:ind w:left="416"/>
              <w:rPr>
                <w:sz w:val="24"/>
                <w:szCs w:val="24"/>
              </w:rPr>
            </w:pPr>
          </w:p>
          <w:p w14:paraId="7B294C48" w14:textId="77777777" w:rsidR="007B7439" w:rsidRPr="00DE3409" w:rsidRDefault="007B7439" w:rsidP="00951A4C">
            <w:pPr>
              <w:pStyle w:val="Header"/>
              <w:ind w:left="416"/>
              <w:rPr>
                <w:sz w:val="24"/>
                <w:szCs w:val="24"/>
              </w:rPr>
            </w:pPr>
          </w:p>
          <w:p w14:paraId="3720F0A7" w14:textId="77777777" w:rsidR="007B7439" w:rsidRPr="00DE3409" w:rsidRDefault="007B7439" w:rsidP="00951A4C">
            <w:pPr>
              <w:pStyle w:val="Header"/>
              <w:ind w:left="416"/>
              <w:rPr>
                <w:sz w:val="24"/>
                <w:szCs w:val="24"/>
              </w:rPr>
            </w:pPr>
          </w:p>
          <w:p w14:paraId="57472EFD" w14:textId="3FEAC903" w:rsidR="007B7439" w:rsidRPr="00DE3409" w:rsidRDefault="007B7439" w:rsidP="00951A4C">
            <w:pPr>
              <w:ind w:left="464"/>
              <w:rPr>
                <w:szCs w:val="24"/>
              </w:rPr>
            </w:pPr>
          </w:p>
        </w:tc>
      </w:tr>
    </w:tbl>
    <w:p w14:paraId="6D53F62D" w14:textId="60DC588E" w:rsidR="00B373C1" w:rsidRDefault="00B373C1" w:rsidP="00951A4C">
      <w:pPr>
        <w:pStyle w:val="Header"/>
        <w:rPr>
          <w:sz w:val="24"/>
          <w:szCs w:val="24"/>
        </w:rPr>
      </w:pPr>
    </w:p>
    <w:p w14:paraId="38A9E9B9" w14:textId="77777777" w:rsidR="00945828" w:rsidRDefault="00945828" w:rsidP="00951A4C">
      <w:pPr>
        <w:pStyle w:val="Header"/>
        <w:rPr>
          <w:sz w:val="24"/>
          <w:szCs w:val="24"/>
        </w:rPr>
      </w:pPr>
    </w:p>
    <w:p w14:paraId="69782D1B" w14:textId="77777777" w:rsidR="00945828" w:rsidRDefault="00945828" w:rsidP="00951A4C">
      <w:pPr>
        <w:pStyle w:val="Header"/>
        <w:rPr>
          <w:sz w:val="24"/>
          <w:szCs w:val="24"/>
        </w:rPr>
      </w:pPr>
    </w:p>
    <w:p w14:paraId="0F650643" w14:textId="77777777" w:rsidR="00945828" w:rsidRDefault="00945828" w:rsidP="00951A4C">
      <w:pPr>
        <w:pStyle w:val="Header"/>
        <w:rPr>
          <w:sz w:val="24"/>
          <w:szCs w:val="24"/>
        </w:rPr>
      </w:pPr>
    </w:p>
    <w:p w14:paraId="31ADF63B" w14:textId="77777777" w:rsidR="00945828" w:rsidRPr="00DE3409" w:rsidRDefault="00945828" w:rsidP="00951A4C">
      <w:pPr>
        <w:pStyle w:val="Header"/>
        <w:rPr>
          <w:sz w:val="24"/>
          <w:szCs w:val="24"/>
        </w:rPr>
      </w:pPr>
    </w:p>
    <w:p w14:paraId="23FAEBE3" w14:textId="1D8D7DD8" w:rsidR="00B373C1" w:rsidRPr="00DE3409" w:rsidRDefault="00B373C1" w:rsidP="00951A4C">
      <w:pPr>
        <w:pStyle w:val="Header"/>
        <w:jc w:val="center"/>
        <w:rPr>
          <w:b/>
          <w:sz w:val="24"/>
          <w:szCs w:val="24"/>
        </w:rPr>
      </w:pPr>
      <w:r w:rsidRPr="00DE3409">
        <w:rPr>
          <w:b/>
          <w:sz w:val="24"/>
          <w:szCs w:val="24"/>
        </w:rPr>
        <w:t>INITIAL BRIEF ON BEHALF OF COMMISSION STAFF</w:t>
      </w:r>
    </w:p>
    <w:p w14:paraId="05E6EC78" w14:textId="77777777" w:rsidR="001711D5" w:rsidRPr="00DE3409" w:rsidRDefault="001711D5" w:rsidP="00951A4C">
      <w:pPr>
        <w:pStyle w:val="Header"/>
        <w:jc w:val="center"/>
        <w:rPr>
          <w:b/>
          <w:sz w:val="24"/>
          <w:szCs w:val="24"/>
        </w:rPr>
      </w:pPr>
    </w:p>
    <w:p w14:paraId="34152FE8" w14:textId="04859133" w:rsidR="001711D5" w:rsidRPr="00DE3409" w:rsidRDefault="00945828" w:rsidP="00951A4C">
      <w:pPr>
        <w:ind w:left="3600" w:firstLine="720"/>
        <w:rPr>
          <w:bCs/>
          <w:szCs w:val="24"/>
        </w:rPr>
      </w:pPr>
      <w:r>
        <w:rPr>
          <w:bCs/>
          <w:szCs w:val="24"/>
        </w:rPr>
        <w:t>September</w:t>
      </w:r>
      <w:r w:rsidR="001711D5" w:rsidRPr="00DE3409">
        <w:rPr>
          <w:bCs/>
          <w:szCs w:val="24"/>
        </w:rPr>
        <w:t xml:space="preserve"> </w:t>
      </w:r>
      <w:r>
        <w:rPr>
          <w:bCs/>
          <w:szCs w:val="24"/>
        </w:rPr>
        <w:t>11</w:t>
      </w:r>
      <w:r w:rsidR="001711D5" w:rsidRPr="00DE3409">
        <w:rPr>
          <w:bCs/>
          <w:szCs w:val="24"/>
        </w:rPr>
        <w:t>, 2015</w:t>
      </w:r>
    </w:p>
    <w:p w14:paraId="2BDBA2BC" w14:textId="77777777" w:rsidR="001711D5" w:rsidRPr="00DE3409" w:rsidRDefault="001711D5" w:rsidP="00951A4C">
      <w:pPr>
        <w:rPr>
          <w:bCs/>
          <w:szCs w:val="24"/>
        </w:rPr>
      </w:pPr>
    </w:p>
    <w:p w14:paraId="23FEDCC4" w14:textId="77777777" w:rsidR="001711D5" w:rsidRPr="00DE3409" w:rsidRDefault="001711D5" w:rsidP="00951A4C">
      <w:pPr>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ROBERT W. FERGUSON</w:t>
      </w:r>
    </w:p>
    <w:p w14:paraId="03681636" w14:textId="77777777" w:rsidR="001711D5" w:rsidRPr="00DE3409" w:rsidRDefault="001711D5" w:rsidP="00951A4C">
      <w:pPr>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t xml:space="preserve">Attorney General </w:t>
      </w:r>
    </w:p>
    <w:p w14:paraId="4B28C246" w14:textId="77777777" w:rsidR="001711D5" w:rsidRPr="00DE3409" w:rsidRDefault="001711D5" w:rsidP="00951A4C">
      <w:pPr>
        <w:rPr>
          <w:bCs/>
          <w:szCs w:val="24"/>
        </w:rPr>
      </w:pPr>
    </w:p>
    <w:p w14:paraId="04356286" w14:textId="07C9BA7E" w:rsidR="00F1557E" w:rsidRPr="00DE3409" w:rsidRDefault="001711D5" w:rsidP="00951A4C">
      <w:pPr>
        <w:rPr>
          <w:bCs/>
          <w:szCs w:val="24"/>
        </w:rPr>
      </w:pP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Pr="00DE3409">
        <w:rPr>
          <w:bCs/>
          <w:szCs w:val="24"/>
        </w:rPr>
        <w:tab/>
      </w:r>
      <w:r w:rsidR="00945828">
        <w:rPr>
          <w:bCs/>
          <w:szCs w:val="24"/>
        </w:rPr>
        <w:t>CHRISTOPHER M. CASEY</w:t>
      </w:r>
    </w:p>
    <w:p w14:paraId="433184AB" w14:textId="61042287" w:rsidR="001711D5" w:rsidRPr="00DE3409" w:rsidRDefault="001711D5" w:rsidP="00951A4C">
      <w:pPr>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Assistant Attorney General </w:t>
      </w:r>
    </w:p>
    <w:p w14:paraId="5DBB66C4" w14:textId="77777777" w:rsidR="001711D5" w:rsidRPr="00DE3409" w:rsidRDefault="001711D5" w:rsidP="00951A4C">
      <w:pPr>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Office of the Attorney General </w:t>
      </w:r>
    </w:p>
    <w:p w14:paraId="79625473" w14:textId="77777777" w:rsidR="001711D5" w:rsidRPr="00DE3409" w:rsidRDefault="001711D5" w:rsidP="00951A4C">
      <w:pPr>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Utilities &amp; Transportation Division</w:t>
      </w:r>
    </w:p>
    <w:p w14:paraId="05E27E05" w14:textId="03E4433B" w:rsidR="001711D5" w:rsidRPr="00DE3409" w:rsidRDefault="001711D5" w:rsidP="00951A4C">
      <w:pPr>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1400 S</w:t>
      </w:r>
      <w:r w:rsidR="00945828">
        <w:rPr>
          <w:szCs w:val="24"/>
        </w:rPr>
        <w:t>.</w:t>
      </w:r>
      <w:r w:rsidRPr="00DE3409">
        <w:rPr>
          <w:szCs w:val="24"/>
        </w:rPr>
        <w:t xml:space="preserve"> Evergreen Park Drive S.W.</w:t>
      </w:r>
    </w:p>
    <w:p w14:paraId="5D092AFB" w14:textId="77777777" w:rsidR="001711D5" w:rsidRPr="00DE3409" w:rsidRDefault="001711D5" w:rsidP="00951A4C">
      <w:pPr>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P.O. Box 40128</w:t>
      </w:r>
    </w:p>
    <w:p w14:paraId="43C2BC9F" w14:textId="77777777" w:rsidR="001711D5" w:rsidRPr="00DE3409" w:rsidRDefault="001711D5" w:rsidP="00951A4C">
      <w:pPr>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Olympia, WA  98504-0128 </w:t>
      </w:r>
    </w:p>
    <w:p w14:paraId="2412781E" w14:textId="787D8F02" w:rsidR="0026572D" w:rsidRPr="00DE3409" w:rsidRDefault="001711D5" w:rsidP="00951A4C">
      <w:pPr>
        <w:rPr>
          <w:b/>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(360) 664-</w:t>
      </w:r>
      <w:r w:rsidR="00FD7711" w:rsidRPr="00DE3409">
        <w:rPr>
          <w:szCs w:val="24"/>
        </w:rPr>
        <w:t>118</w:t>
      </w:r>
      <w:r w:rsidR="00945828">
        <w:rPr>
          <w:szCs w:val="24"/>
        </w:rPr>
        <w:t>9</w:t>
      </w:r>
    </w:p>
    <w:p w14:paraId="21EA8FC8" w14:textId="77777777" w:rsidR="007B560E" w:rsidRPr="00DE3409" w:rsidRDefault="007B560E" w:rsidP="00951A4C">
      <w:pPr>
        <w:rPr>
          <w:b/>
          <w:szCs w:val="24"/>
        </w:rPr>
        <w:sectPr w:rsidR="007B560E" w:rsidRPr="00DE3409" w:rsidSect="00D93C30">
          <w:pgSz w:w="12240" w:h="15840" w:code="1"/>
          <w:pgMar w:top="1440" w:right="1440" w:bottom="1152" w:left="1440" w:header="288" w:footer="432" w:gutter="0"/>
          <w:cols w:space="720"/>
          <w:docGrid w:linePitch="360"/>
        </w:sectPr>
      </w:pPr>
    </w:p>
    <w:p w14:paraId="003E1C93" w14:textId="40749E19" w:rsidR="00B373C1" w:rsidRPr="00DE3409" w:rsidRDefault="00FD7711" w:rsidP="00951A4C">
      <w:pPr>
        <w:jc w:val="center"/>
        <w:rPr>
          <w:color w:val="auto"/>
          <w:szCs w:val="24"/>
        </w:rPr>
      </w:pPr>
      <w:r w:rsidRPr="00DE3409">
        <w:rPr>
          <w:b/>
          <w:color w:val="auto"/>
          <w:szCs w:val="24"/>
        </w:rPr>
        <w:lastRenderedPageBreak/>
        <w:t>TABLE OF CONTENTS</w:t>
      </w:r>
    </w:p>
    <w:p w14:paraId="54E1EB84" w14:textId="77777777" w:rsidR="00FD7711" w:rsidRPr="00DE3409" w:rsidRDefault="00FD7711" w:rsidP="00951A4C">
      <w:pPr>
        <w:rPr>
          <w:color w:val="auto"/>
          <w:szCs w:val="24"/>
        </w:rPr>
      </w:pPr>
    </w:p>
    <w:p w14:paraId="73CACDD9" w14:textId="77777777" w:rsidR="00FD7711" w:rsidRPr="00DE3409" w:rsidRDefault="00FD7711" w:rsidP="00951A4C">
      <w:pPr>
        <w:rPr>
          <w:szCs w:val="24"/>
        </w:rPr>
      </w:pPr>
    </w:p>
    <w:p w14:paraId="5CA6CB8F" w14:textId="327FB5A1" w:rsidR="00CB7539" w:rsidRDefault="00CB7539" w:rsidP="00CB7539">
      <w:pPr>
        <w:keepNext/>
        <w:tabs>
          <w:tab w:val="left" w:pos="720"/>
          <w:tab w:val="left" w:pos="1440"/>
          <w:tab w:val="left" w:pos="2160"/>
          <w:tab w:val="right" w:leader="dot" w:pos="9187"/>
        </w:tabs>
        <w:rPr>
          <w:color w:val="auto"/>
          <w:szCs w:val="24"/>
        </w:rPr>
      </w:pPr>
      <w:r w:rsidRPr="005A46FA">
        <w:rPr>
          <w:color w:val="auto"/>
          <w:szCs w:val="24"/>
        </w:rPr>
        <w:t xml:space="preserve">I.  </w:t>
      </w:r>
      <w:r>
        <w:rPr>
          <w:color w:val="auto"/>
          <w:szCs w:val="24"/>
        </w:rPr>
        <w:tab/>
      </w:r>
      <w:r w:rsidRPr="005A46FA">
        <w:rPr>
          <w:color w:val="auto"/>
          <w:szCs w:val="24"/>
        </w:rPr>
        <w:t>INTRODUCTION</w:t>
      </w:r>
      <w:r>
        <w:rPr>
          <w:color w:val="auto"/>
          <w:szCs w:val="24"/>
        </w:rPr>
        <w:t xml:space="preserve"> </w:t>
      </w:r>
      <w:r>
        <w:rPr>
          <w:color w:val="auto"/>
          <w:szCs w:val="24"/>
        </w:rPr>
        <w:tab/>
      </w:r>
      <w:r w:rsidR="002D4476">
        <w:rPr>
          <w:color w:val="auto"/>
          <w:szCs w:val="24"/>
        </w:rPr>
        <w:t>1</w:t>
      </w:r>
    </w:p>
    <w:p w14:paraId="05DC110F" w14:textId="77777777" w:rsidR="00CB7539" w:rsidRPr="005A46FA" w:rsidRDefault="00CB7539" w:rsidP="00CB7539">
      <w:pPr>
        <w:keepNext/>
        <w:tabs>
          <w:tab w:val="left" w:pos="720"/>
          <w:tab w:val="left" w:pos="1440"/>
          <w:tab w:val="left" w:pos="2160"/>
          <w:tab w:val="right" w:leader="dot" w:pos="9187"/>
        </w:tabs>
        <w:rPr>
          <w:color w:val="auto"/>
          <w:szCs w:val="24"/>
        </w:rPr>
      </w:pPr>
    </w:p>
    <w:p w14:paraId="66871356" w14:textId="03534C39" w:rsidR="00CB7539" w:rsidRDefault="00CB7539" w:rsidP="00CB7539">
      <w:pPr>
        <w:pStyle w:val="WUTCParagraph"/>
        <w:numPr>
          <w:ilvl w:val="0"/>
          <w:numId w:val="0"/>
        </w:numPr>
        <w:tabs>
          <w:tab w:val="clear" w:pos="1440"/>
          <w:tab w:val="left" w:pos="720"/>
          <w:tab w:val="right" w:leader="dot" w:pos="9187"/>
        </w:tabs>
        <w:spacing w:line="240" w:lineRule="auto"/>
        <w:rPr>
          <w:lang w:val="en-US"/>
        </w:rPr>
      </w:pPr>
      <w:r w:rsidRPr="005A46FA">
        <w:rPr>
          <w:lang w:val="en-US"/>
        </w:rPr>
        <w:t xml:space="preserve">II. </w:t>
      </w:r>
      <w:r>
        <w:rPr>
          <w:lang w:val="en-US"/>
        </w:rPr>
        <w:tab/>
      </w:r>
      <w:r w:rsidRPr="00CB7539">
        <w:rPr>
          <w:sz w:val="22"/>
          <w:lang w:val="en-US"/>
        </w:rPr>
        <w:t xml:space="preserve">ISSUES </w:t>
      </w:r>
      <w:r>
        <w:rPr>
          <w:lang w:val="en-US"/>
        </w:rPr>
        <w:tab/>
      </w:r>
      <w:r w:rsidR="002D4476">
        <w:rPr>
          <w:lang w:val="en-US"/>
        </w:rPr>
        <w:t>3</w:t>
      </w:r>
    </w:p>
    <w:p w14:paraId="66FDAE7F" w14:textId="77777777" w:rsidR="00CB7539" w:rsidRPr="005A46FA" w:rsidRDefault="00CB7539" w:rsidP="00CB7539">
      <w:pPr>
        <w:pStyle w:val="WUTCParagraph"/>
        <w:numPr>
          <w:ilvl w:val="0"/>
          <w:numId w:val="0"/>
        </w:numPr>
        <w:tabs>
          <w:tab w:val="clear" w:pos="1440"/>
          <w:tab w:val="left" w:pos="720"/>
          <w:tab w:val="right" w:leader="dot" w:pos="9187"/>
        </w:tabs>
        <w:spacing w:line="240" w:lineRule="auto"/>
        <w:rPr>
          <w:lang w:val="en-US"/>
        </w:rPr>
      </w:pPr>
    </w:p>
    <w:p w14:paraId="2D1C1953" w14:textId="0BC99C78" w:rsidR="00CB7539" w:rsidRDefault="00CB7539" w:rsidP="00CB7539">
      <w:pPr>
        <w:pStyle w:val="WUTCParagraph"/>
        <w:numPr>
          <w:ilvl w:val="0"/>
          <w:numId w:val="0"/>
        </w:numPr>
        <w:tabs>
          <w:tab w:val="left" w:pos="720"/>
          <w:tab w:val="right" w:leader="dot" w:pos="9187"/>
        </w:tabs>
        <w:spacing w:line="240" w:lineRule="auto"/>
        <w:rPr>
          <w:lang w:val="en-US"/>
        </w:rPr>
      </w:pPr>
      <w:r w:rsidRPr="005A46FA">
        <w:t>I</w:t>
      </w:r>
      <w:r w:rsidRPr="005A46FA">
        <w:rPr>
          <w:lang w:val="en-US"/>
        </w:rPr>
        <w:t>II</w:t>
      </w:r>
      <w:r w:rsidRPr="005A46FA">
        <w:t xml:space="preserve">.  </w:t>
      </w:r>
      <w:r>
        <w:tab/>
      </w:r>
      <w:r w:rsidRPr="005A46FA">
        <w:rPr>
          <w:lang w:val="en-US"/>
        </w:rPr>
        <w:t xml:space="preserve">ARGUMENT </w:t>
      </w:r>
      <w:r>
        <w:rPr>
          <w:lang w:val="en-US"/>
        </w:rPr>
        <w:tab/>
      </w:r>
      <w:r w:rsidR="002D4476">
        <w:rPr>
          <w:lang w:val="en-US"/>
        </w:rPr>
        <w:t>3</w:t>
      </w:r>
    </w:p>
    <w:p w14:paraId="2A04612A" w14:textId="77777777" w:rsidR="00CB7539" w:rsidRPr="005A46FA" w:rsidRDefault="00CB7539" w:rsidP="00CB7539">
      <w:pPr>
        <w:pStyle w:val="WUTCParagraph"/>
        <w:numPr>
          <w:ilvl w:val="0"/>
          <w:numId w:val="0"/>
        </w:numPr>
        <w:tabs>
          <w:tab w:val="left" w:pos="720"/>
          <w:tab w:val="right" w:leader="dot" w:pos="9187"/>
        </w:tabs>
        <w:spacing w:line="240" w:lineRule="auto"/>
        <w:rPr>
          <w:lang w:val="en-US"/>
        </w:rPr>
      </w:pPr>
    </w:p>
    <w:p w14:paraId="05106433" w14:textId="77777777"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sidRPr="005A46FA">
        <w:rPr>
          <w:lang w:val="en-US"/>
        </w:rPr>
        <w:t xml:space="preserve">1. </w:t>
      </w:r>
      <w:r>
        <w:rPr>
          <w:lang w:val="en-US"/>
        </w:rPr>
        <w:tab/>
      </w:r>
      <w:r w:rsidRPr="005A46FA">
        <w:rPr>
          <w:lang w:val="en-US"/>
        </w:rPr>
        <w:t xml:space="preserve">PURPA Requires PacifiCorp to Purchase QF Power at Its </w:t>
      </w:r>
    </w:p>
    <w:p w14:paraId="60E0A722" w14:textId="12D4C7A5"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Pr>
          <w:lang w:val="en-US"/>
        </w:rPr>
        <w:tab/>
      </w:r>
      <w:r w:rsidRPr="005A46FA">
        <w:rPr>
          <w:lang w:val="en-US"/>
        </w:rPr>
        <w:t>“Full Avoided Cost”</w:t>
      </w:r>
      <w:r>
        <w:rPr>
          <w:lang w:val="en-US"/>
        </w:rPr>
        <w:t xml:space="preserve"> </w:t>
      </w:r>
      <w:r>
        <w:rPr>
          <w:lang w:val="en-US"/>
        </w:rPr>
        <w:tab/>
      </w:r>
      <w:r w:rsidR="002D4476">
        <w:rPr>
          <w:lang w:val="en-US"/>
        </w:rPr>
        <w:t>3</w:t>
      </w:r>
    </w:p>
    <w:p w14:paraId="25789C71" w14:textId="77777777" w:rsidR="00CB7539" w:rsidRPr="005A46FA" w:rsidRDefault="00CB7539" w:rsidP="00CB7539">
      <w:pPr>
        <w:pStyle w:val="WUTCParagraph"/>
        <w:numPr>
          <w:ilvl w:val="0"/>
          <w:numId w:val="0"/>
        </w:numPr>
        <w:tabs>
          <w:tab w:val="left" w:pos="720"/>
          <w:tab w:val="left" w:pos="2160"/>
          <w:tab w:val="right" w:leader="dot" w:pos="9187"/>
        </w:tabs>
        <w:spacing w:line="240" w:lineRule="auto"/>
        <w:rPr>
          <w:lang w:val="en-US"/>
        </w:rPr>
      </w:pPr>
    </w:p>
    <w:p w14:paraId="1F1673C5" w14:textId="77777777"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sidRPr="005A46FA">
        <w:rPr>
          <w:lang w:val="en-US"/>
        </w:rPr>
        <w:t xml:space="preserve">2. </w:t>
      </w:r>
      <w:r>
        <w:rPr>
          <w:lang w:val="en-US"/>
        </w:rPr>
        <w:tab/>
      </w:r>
      <w:r w:rsidRPr="005A46FA">
        <w:rPr>
          <w:lang w:val="en-US"/>
        </w:rPr>
        <w:t xml:space="preserve">PacifiCorp’s Standard Offer Protects Customer Indifference to the </w:t>
      </w:r>
    </w:p>
    <w:p w14:paraId="3B640271" w14:textId="493ED8FA"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Pr>
          <w:lang w:val="en-US"/>
        </w:rPr>
        <w:tab/>
      </w:r>
      <w:r w:rsidRPr="005A46FA">
        <w:rPr>
          <w:lang w:val="en-US"/>
        </w:rPr>
        <w:t>Purchase of QF Power, but Has Failed to Encourage QF Development</w:t>
      </w:r>
      <w:r>
        <w:rPr>
          <w:lang w:val="en-US"/>
        </w:rPr>
        <w:t xml:space="preserve"> </w:t>
      </w:r>
      <w:r>
        <w:rPr>
          <w:lang w:val="en-US"/>
        </w:rPr>
        <w:tab/>
      </w:r>
      <w:r w:rsidR="002D4476">
        <w:rPr>
          <w:lang w:val="en-US"/>
        </w:rPr>
        <w:t>6</w:t>
      </w:r>
    </w:p>
    <w:p w14:paraId="06BE7389" w14:textId="77777777" w:rsidR="00CB7539" w:rsidRPr="005A46FA" w:rsidRDefault="00CB7539" w:rsidP="00CB7539">
      <w:pPr>
        <w:pStyle w:val="WUTCParagraph"/>
        <w:numPr>
          <w:ilvl w:val="0"/>
          <w:numId w:val="0"/>
        </w:numPr>
        <w:tabs>
          <w:tab w:val="left" w:pos="720"/>
          <w:tab w:val="left" w:pos="2160"/>
          <w:tab w:val="right" w:leader="dot" w:pos="9187"/>
        </w:tabs>
        <w:spacing w:line="240" w:lineRule="auto"/>
        <w:rPr>
          <w:lang w:val="en-US"/>
        </w:rPr>
      </w:pPr>
    </w:p>
    <w:p w14:paraId="5362F103" w14:textId="77777777"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sidRPr="005A46FA">
        <w:rPr>
          <w:lang w:val="en-US"/>
        </w:rPr>
        <w:t xml:space="preserve">3. </w:t>
      </w:r>
      <w:r>
        <w:rPr>
          <w:lang w:val="en-US"/>
        </w:rPr>
        <w:tab/>
      </w:r>
      <w:r w:rsidRPr="005A46FA">
        <w:rPr>
          <w:lang w:val="en-US"/>
        </w:rPr>
        <w:t xml:space="preserve">PacifiCorp’s Proposed Change to the Commission’s Avoided Cost </w:t>
      </w:r>
    </w:p>
    <w:p w14:paraId="15C4DA4E" w14:textId="40CAEEE7"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Pr>
          <w:lang w:val="en-US"/>
        </w:rPr>
        <w:tab/>
      </w:r>
      <w:r w:rsidRPr="005A46FA">
        <w:rPr>
          <w:lang w:val="en-US"/>
        </w:rPr>
        <w:t>Methodology Fails to Capture the Company’s Full Avoided Cost</w:t>
      </w:r>
      <w:r>
        <w:rPr>
          <w:lang w:val="en-US"/>
        </w:rPr>
        <w:t xml:space="preserve"> </w:t>
      </w:r>
      <w:r>
        <w:rPr>
          <w:lang w:val="en-US"/>
        </w:rPr>
        <w:tab/>
      </w:r>
      <w:r w:rsidR="002D4476">
        <w:rPr>
          <w:lang w:val="en-US"/>
        </w:rPr>
        <w:t>8</w:t>
      </w:r>
    </w:p>
    <w:p w14:paraId="3BF7B07D" w14:textId="77777777" w:rsidR="00CB7539" w:rsidRDefault="00CB7539" w:rsidP="00CB7539">
      <w:pPr>
        <w:pStyle w:val="WUTCParagraph"/>
        <w:numPr>
          <w:ilvl w:val="0"/>
          <w:numId w:val="0"/>
        </w:numPr>
        <w:tabs>
          <w:tab w:val="left" w:pos="720"/>
          <w:tab w:val="left" w:pos="2160"/>
          <w:tab w:val="right" w:leader="dot" w:pos="9187"/>
        </w:tabs>
        <w:spacing w:line="240" w:lineRule="auto"/>
        <w:rPr>
          <w:lang w:val="en-US"/>
        </w:rPr>
      </w:pPr>
    </w:p>
    <w:p w14:paraId="283A7032" w14:textId="19D1DE99"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sidRPr="005A46FA">
        <w:rPr>
          <w:lang w:val="en-US"/>
        </w:rPr>
        <w:t xml:space="preserve">4. </w:t>
      </w:r>
      <w:r>
        <w:rPr>
          <w:lang w:val="en-US"/>
        </w:rPr>
        <w:tab/>
      </w:r>
      <w:r w:rsidRPr="005A46FA">
        <w:rPr>
          <w:lang w:val="en-US"/>
        </w:rPr>
        <w:t>Staff’s Proposal Reasonably Accounts for PacifiCorp’s Full Avoided Costs</w:t>
      </w:r>
      <w:r>
        <w:rPr>
          <w:lang w:val="en-US"/>
        </w:rPr>
        <w:t xml:space="preserve"> </w:t>
      </w:r>
      <w:r>
        <w:rPr>
          <w:lang w:val="en-US"/>
        </w:rPr>
        <w:tab/>
      </w:r>
      <w:r w:rsidR="002D4476">
        <w:rPr>
          <w:lang w:val="en-US"/>
        </w:rPr>
        <w:t>14</w:t>
      </w:r>
    </w:p>
    <w:p w14:paraId="64EEFE43" w14:textId="77777777" w:rsidR="00CB7539" w:rsidRPr="005A46FA" w:rsidRDefault="00CB7539" w:rsidP="00CB7539">
      <w:pPr>
        <w:pStyle w:val="WUTCParagraph"/>
        <w:numPr>
          <w:ilvl w:val="0"/>
          <w:numId w:val="0"/>
        </w:numPr>
        <w:tabs>
          <w:tab w:val="left" w:pos="720"/>
          <w:tab w:val="left" w:pos="2160"/>
          <w:tab w:val="right" w:leader="dot" w:pos="9187"/>
        </w:tabs>
        <w:spacing w:line="240" w:lineRule="auto"/>
        <w:rPr>
          <w:lang w:val="en-US"/>
        </w:rPr>
      </w:pPr>
    </w:p>
    <w:p w14:paraId="3F9D30D9" w14:textId="77777777"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sidRPr="005A46FA">
        <w:rPr>
          <w:lang w:val="en-US"/>
        </w:rPr>
        <w:t xml:space="preserve">5. </w:t>
      </w:r>
      <w:r>
        <w:rPr>
          <w:lang w:val="en-US"/>
        </w:rPr>
        <w:tab/>
      </w:r>
      <w:r w:rsidRPr="005A46FA">
        <w:rPr>
          <w:lang w:val="en-US"/>
        </w:rPr>
        <w:t xml:space="preserve">PacifiCorp’s Alternate Rate Design Would Further Discourage </w:t>
      </w:r>
    </w:p>
    <w:p w14:paraId="0C67CCE0" w14:textId="35AC8E76"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Pr>
          <w:lang w:val="en-US"/>
        </w:rPr>
        <w:tab/>
      </w:r>
      <w:r w:rsidRPr="005A46FA">
        <w:rPr>
          <w:lang w:val="en-US"/>
        </w:rPr>
        <w:t>QF Development</w:t>
      </w:r>
      <w:r>
        <w:rPr>
          <w:lang w:val="en-US"/>
        </w:rPr>
        <w:t xml:space="preserve"> </w:t>
      </w:r>
      <w:r>
        <w:rPr>
          <w:lang w:val="en-US"/>
        </w:rPr>
        <w:tab/>
      </w:r>
      <w:r w:rsidR="002D4476">
        <w:rPr>
          <w:lang w:val="en-US"/>
        </w:rPr>
        <w:t>16</w:t>
      </w:r>
    </w:p>
    <w:p w14:paraId="052B7144" w14:textId="77777777" w:rsidR="00CB7539" w:rsidRPr="005A46FA" w:rsidRDefault="00CB7539" w:rsidP="00CB7539">
      <w:pPr>
        <w:pStyle w:val="WUTCParagraph"/>
        <w:numPr>
          <w:ilvl w:val="0"/>
          <w:numId w:val="0"/>
        </w:numPr>
        <w:tabs>
          <w:tab w:val="left" w:pos="720"/>
          <w:tab w:val="left" w:pos="2160"/>
          <w:tab w:val="right" w:leader="dot" w:pos="9187"/>
        </w:tabs>
        <w:spacing w:line="240" w:lineRule="auto"/>
      </w:pPr>
    </w:p>
    <w:p w14:paraId="6EA4E08B" w14:textId="77777777"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sidRPr="005A46FA">
        <w:rPr>
          <w:lang w:val="en-US"/>
        </w:rPr>
        <w:t xml:space="preserve">6. </w:t>
      </w:r>
      <w:r>
        <w:rPr>
          <w:lang w:val="en-US"/>
        </w:rPr>
        <w:tab/>
      </w:r>
      <w:r w:rsidRPr="005A46FA">
        <w:rPr>
          <w:lang w:val="en-US"/>
        </w:rPr>
        <w:t xml:space="preserve">PacifiCorp Should Include A Market Risk Premium in Its Next </w:t>
      </w:r>
    </w:p>
    <w:p w14:paraId="46472018" w14:textId="6968BE13"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Pr>
          <w:lang w:val="en-US"/>
        </w:rPr>
        <w:tab/>
      </w:r>
      <w:r>
        <w:rPr>
          <w:lang w:val="en-US"/>
        </w:rPr>
        <w:tab/>
      </w:r>
      <w:r w:rsidRPr="005A46FA">
        <w:rPr>
          <w:lang w:val="en-US"/>
        </w:rPr>
        <w:t xml:space="preserve">Avoided Cost Filing </w:t>
      </w:r>
      <w:r>
        <w:rPr>
          <w:lang w:val="en-US"/>
        </w:rPr>
        <w:tab/>
      </w:r>
      <w:r w:rsidR="002D4476">
        <w:rPr>
          <w:lang w:val="en-US"/>
        </w:rPr>
        <w:t>17</w:t>
      </w:r>
    </w:p>
    <w:p w14:paraId="31A70C44" w14:textId="77777777" w:rsidR="00CB7539" w:rsidRPr="005A46FA" w:rsidRDefault="00CB7539" w:rsidP="00CB7539">
      <w:pPr>
        <w:pStyle w:val="WUTCParagraph"/>
        <w:numPr>
          <w:ilvl w:val="0"/>
          <w:numId w:val="0"/>
        </w:numPr>
        <w:tabs>
          <w:tab w:val="left" w:pos="720"/>
          <w:tab w:val="left" w:pos="2160"/>
          <w:tab w:val="right" w:leader="dot" w:pos="9187"/>
        </w:tabs>
        <w:spacing w:line="240" w:lineRule="auto"/>
      </w:pPr>
    </w:p>
    <w:p w14:paraId="708E547B" w14:textId="1E2372A2" w:rsidR="00CB7539" w:rsidRDefault="00CB7539" w:rsidP="00CB7539">
      <w:pPr>
        <w:pStyle w:val="WUTCParagraph"/>
        <w:numPr>
          <w:ilvl w:val="0"/>
          <w:numId w:val="0"/>
        </w:numPr>
        <w:tabs>
          <w:tab w:val="left" w:pos="720"/>
          <w:tab w:val="left" w:pos="2160"/>
          <w:tab w:val="right" w:leader="dot" w:pos="9187"/>
        </w:tabs>
        <w:spacing w:line="240" w:lineRule="auto"/>
        <w:rPr>
          <w:lang w:val="en-US"/>
        </w:rPr>
      </w:pPr>
      <w:r w:rsidRPr="005A46FA">
        <w:rPr>
          <w:lang w:val="en-US"/>
        </w:rPr>
        <w:t xml:space="preserve">IV. </w:t>
      </w:r>
      <w:r>
        <w:rPr>
          <w:lang w:val="en-US"/>
        </w:rPr>
        <w:tab/>
      </w:r>
      <w:r w:rsidRPr="005A46FA">
        <w:rPr>
          <w:lang w:val="en-US"/>
        </w:rPr>
        <w:t>CONCLUSION</w:t>
      </w:r>
      <w:r>
        <w:rPr>
          <w:lang w:val="en-US"/>
        </w:rPr>
        <w:t xml:space="preserve"> </w:t>
      </w:r>
      <w:r>
        <w:rPr>
          <w:lang w:val="en-US"/>
        </w:rPr>
        <w:tab/>
      </w:r>
      <w:r w:rsidR="002D4476">
        <w:rPr>
          <w:lang w:val="en-US"/>
        </w:rPr>
        <w:t>18</w:t>
      </w:r>
    </w:p>
    <w:p w14:paraId="1F4BF356" w14:textId="77777777" w:rsidR="00CB7539" w:rsidRDefault="00CB7539" w:rsidP="00CB7539">
      <w:pPr>
        <w:pStyle w:val="WUTCParagraph"/>
        <w:numPr>
          <w:ilvl w:val="0"/>
          <w:numId w:val="0"/>
        </w:numPr>
        <w:tabs>
          <w:tab w:val="left" w:pos="720"/>
          <w:tab w:val="left" w:pos="2160"/>
          <w:tab w:val="right" w:leader="dot" w:pos="9187"/>
        </w:tabs>
        <w:spacing w:line="240" w:lineRule="auto"/>
        <w:rPr>
          <w:lang w:val="en-US"/>
        </w:rPr>
      </w:pPr>
    </w:p>
    <w:p w14:paraId="3FC2FF70" w14:textId="77777777" w:rsidR="00CB7539" w:rsidRPr="005A46FA" w:rsidRDefault="00CB7539" w:rsidP="00CB7539">
      <w:pPr>
        <w:pStyle w:val="WUTCParagraph"/>
        <w:numPr>
          <w:ilvl w:val="0"/>
          <w:numId w:val="0"/>
        </w:numPr>
        <w:tabs>
          <w:tab w:val="left" w:pos="720"/>
          <w:tab w:val="left" w:pos="2160"/>
          <w:tab w:val="right" w:leader="dot" w:pos="9187"/>
        </w:tabs>
        <w:spacing w:line="240" w:lineRule="auto"/>
        <w:rPr>
          <w:lang w:val="en-US"/>
        </w:rPr>
      </w:pPr>
    </w:p>
    <w:p w14:paraId="4D29CF60" w14:textId="722EB5EF" w:rsidR="00954712" w:rsidRPr="00DE3409" w:rsidRDefault="007A367F">
      <w:pPr>
        <w:spacing w:after="200" w:line="276" w:lineRule="auto"/>
        <w:rPr>
          <w:szCs w:val="24"/>
        </w:rPr>
      </w:pPr>
      <w:r>
        <w:rPr>
          <w:szCs w:val="24"/>
        </w:rPr>
        <w:br w:type="page"/>
      </w:r>
    </w:p>
    <w:p w14:paraId="050693FB" w14:textId="4076CC4B" w:rsidR="00954712" w:rsidRDefault="007A367F" w:rsidP="007A367F">
      <w:pPr>
        <w:tabs>
          <w:tab w:val="left" w:pos="720"/>
          <w:tab w:val="left" w:pos="1440"/>
          <w:tab w:val="left" w:pos="2160"/>
          <w:tab w:val="right" w:leader="dot" w:pos="8640"/>
        </w:tabs>
        <w:jc w:val="center"/>
        <w:rPr>
          <w:szCs w:val="24"/>
        </w:rPr>
      </w:pPr>
      <w:r>
        <w:rPr>
          <w:b/>
          <w:szCs w:val="24"/>
        </w:rPr>
        <w:t>TABLE OF AUTHORITIES</w:t>
      </w:r>
    </w:p>
    <w:p w14:paraId="7B748748" w14:textId="77777777" w:rsidR="007A367F" w:rsidRDefault="007A367F" w:rsidP="007A367F">
      <w:pPr>
        <w:tabs>
          <w:tab w:val="left" w:pos="720"/>
          <w:tab w:val="left" w:pos="1440"/>
          <w:tab w:val="left" w:pos="2160"/>
          <w:tab w:val="right" w:leader="dot" w:pos="8640"/>
        </w:tabs>
        <w:rPr>
          <w:szCs w:val="24"/>
        </w:rPr>
      </w:pPr>
    </w:p>
    <w:p w14:paraId="6F435790" w14:textId="77777777" w:rsidR="007A367F" w:rsidRDefault="007A367F" w:rsidP="007A367F">
      <w:pPr>
        <w:tabs>
          <w:tab w:val="left" w:pos="720"/>
          <w:tab w:val="left" w:pos="1440"/>
          <w:tab w:val="left" w:pos="2160"/>
          <w:tab w:val="right" w:leader="dot" w:pos="8640"/>
        </w:tabs>
        <w:rPr>
          <w:szCs w:val="24"/>
        </w:rPr>
      </w:pPr>
    </w:p>
    <w:p w14:paraId="23E998E0" w14:textId="5ED122B5" w:rsidR="007A367F" w:rsidRPr="007A367F" w:rsidRDefault="007A367F" w:rsidP="007A367F">
      <w:pPr>
        <w:tabs>
          <w:tab w:val="left" w:pos="720"/>
          <w:tab w:val="left" w:pos="1440"/>
          <w:tab w:val="left" w:pos="2160"/>
          <w:tab w:val="right" w:leader="dot" w:pos="8640"/>
        </w:tabs>
        <w:jc w:val="center"/>
        <w:rPr>
          <w:b/>
          <w:i/>
          <w:szCs w:val="24"/>
        </w:rPr>
      </w:pPr>
      <w:r w:rsidRPr="007A367F">
        <w:rPr>
          <w:b/>
          <w:i/>
          <w:szCs w:val="24"/>
        </w:rPr>
        <w:t>Table of Cases</w:t>
      </w:r>
    </w:p>
    <w:p w14:paraId="2594F6EA" w14:textId="77777777" w:rsidR="007A367F" w:rsidRDefault="007A367F" w:rsidP="007A367F">
      <w:pPr>
        <w:tabs>
          <w:tab w:val="left" w:pos="720"/>
          <w:tab w:val="left" w:pos="1440"/>
          <w:tab w:val="left" w:pos="2160"/>
          <w:tab w:val="right" w:leader="dot" w:pos="8640"/>
        </w:tabs>
        <w:rPr>
          <w:i/>
          <w:szCs w:val="24"/>
        </w:rPr>
      </w:pPr>
    </w:p>
    <w:p w14:paraId="30156519" w14:textId="77777777" w:rsidR="00C92687" w:rsidRDefault="00C92687" w:rsidP="00C92687">
      <w:pPr>
        <w:tabs>
          <w:tab w:val="left" w:pos="720"/>
          <w:tab w:val="left" w:pos="1440"/>
          <w:tab w:val="left" w:pos="2160"/>
          <w:tab w:val="right" w:leader="dot" w:pos="9187"/>
        </w:tabs>
      </w:pPr>
      <w:r w:rsidRPr="00500263">
        <w:rPr>
          <w:i/>
        </w:rPr>
        <w:t>Am. Paper Inst. v. Am. Elec. Power Serv. Corp</w:t>
      </w:r>
      <w:r>
        <w:t xml:space="preserve">., </w:t>
      </w:r>
    </w:p>
    <w:p w14:paraId="3FD43AB6" w14:textId="2AFFEC48" w:rsidR="00C92687" w:rsidRDefault="00C92687" w:rsidP="00C92687">
      <w:pPr>
        <w:tabs>
          <w:tab w:val="left" w:pos="720"/>
          <w:tab w:val="left" w:pos="1440"/>
          <w:tab w:val="left" w:pos="2160"/>
          <w:tab w:val="right" w:leader="dot" w:pos="9187"/>
        </w:tabs>
        <w:ind w:firstLine="720"/>
        <w:rPr>
          <w:i/>
        </w:rPr>
      </w:pPr>
      <w:r>
        <w:t xml:space="preserve">461 U.S. 402 (1983) </w:t>
      </w:r>
      <w:r>
        <w:tab/>
      </w:r>
      <w:r w:rsidR="006D14CC">
        <w:t>2, 4</w:t>
      </w:r>
    </w:p>
    <w:p w14:paraId="4BDD2EA9" w14:textId="77777777" w:rsidR="00C92687" w:rsidRDefault="00C92687" w:rsidP="00C92687">
      <w:pPr>
        <w:tabs>
          <w:tab w:val="left" w:pos="720"/>
          <w:tab w:val="left" w:pos="1440"/>
          <w:tab w:val="left" w:pos="2160"/>
          <w:tab w:val="right" w:leader="dot" w:pos="9187"/>
        </w:tabs>
        <w:rPr>
          <w:i/>
        </w:rPr>
      </w:pPr>
    </w:p>
    <w:p w14:paraId="7F53DB5D" w14:textId="77777777" w:rsidR="00C92687" w:rsidRDefault="00C92687" w:rsidP="00C92687">
      <w:pPr>
        <w:tabs>
          <w:tab w:val="left" w:pos="720"/>
          <w:tab w:val="left" w:pos="1440"/>
          <w:tab w:val="left" w:pos="2160"/>
          <w:tab w:val="right" w:leader="dot" w:pos="9187"/>
        </w:tabs>
      </w:pPr>
      <w:r w:rsidRPr="00603CC7">
        <w:rPr>
          <w:i/>
        </w:rPr>
        <w:t>FERC v. Mississippi</w:t>
      </w:r>
      <w:r w:rsidRPr="00603CC7">
        <w:t xml:space="preserve">, </w:t>
      </w:r>
    </w:p>
    <w:p w14:paraId="4F13740C" w14:textId="173BAD72" w:rsidR="00C92687" w:rsidRDefault="00C92687" w:rsidP="00C92687">
      <w:pPr>
        <w:tabs>
          <w:tab w:val="left" w:pos="720"/>
          <w:tab w:val="left" w:pos="1440"/>
          <w:tab w:val="left" w:pos="2160"/>
          <w:tab w:val="right" w:leader="dot" w:pos="9187"/>
        </w:tabs>
        <w:ind w:firstLine="720"/>
      </w:pPr>
      <w:r>
        <w:t xml:space="preserve">456 U.S. 742 (1982) </w:t>
      </w:r>
      <w:r>
        <w:tab/>
      </w:r>
      <w:r w:rsidR="006D14CC">
        <w:t>1, 4</w:t>
      </w:r>
    </w:p>
    <w:p w14:paraId="3857D48A" w14:textId="77777777" w:rsidR="00C92687" w:rsidRDefault="00C92687" w:rsidP="00C92687">
      <w:pPr>
        <w:tabs>
          <w:tab w:val="left" w:pos="720"/>
          <w:tab w:val="left" w:pos="1440"/>
          <w:tab w:val="left" w:pos="2160"/>
          <w:tab w:val="right" w:leader="dot" w:pos="9187"/>
        </w:tabs>
      </w:pPr>
    </w:p>
    <w:p w14:paraId="1C81865B" w14:textId="77777777" w:rsidR="00C92687" w:rsidRDefault="00C92687" w:rsidP="00C92687">
      <w:pPr>
        <w:tabs>
          <w:tab w:val="left" w:pos="720"/>
          <w:tab w:val="left" w:pos="1440"/>
          <w:tab w:val="left" w:pos="2160"/>
          <w:tab w:val="right" w:leader="dot" w:pos="9187"/>
        </w:tabs>
      </w:pPr>
      <w:r w:rsidRPr="00603CC7">
        <w:rPr>
          <w:i/>
        </w:rPr>
        <w:t>Indep. Energy Producers Ass’n, Inc. v. Cal. Pub. Utils. Comm’n</w:t>
      </w:r>
      <w:r w:rsidRPr="00603CC7">
        <w:t xml:space="preserve">, </w:t>
      </w:r>
    </w:p>
    <w:p w14:paraId="300C0AD4" w14:textId="6779A75C" w:rsidR="00C92687" w:rsidRDefault="00C92687" w:rsidP="00C92687">
      <w:pPr>
        <w:tabs>
          <w:tab w:val="left" w:pos="720"/>
          <w:tab w:val="left" w:pos="1440"/>
          <w:tab w:val="left" w:pos="2160"/>
          <w:tab w:val="right" w:leader="dot" w:pos="9187"/>
        </w:tabs>
        <w:ind w:firstLine="720"/>
      </w:pPr>
      <w:r>
        <w:t>36 F.3d 848</w:t>
      </w:r>
      <w:r w:rsidRPr="00603CC7">
        <w:t xml:space="preserve"> (9th Cir. 1994)</w:t>
      </w:r>
      <w:r>
        <w:t xml:space="preserve"> </w:t>
      </w:r>
      <w:r>
        <w:tab/>
      </w:r>
      <w:r w:rsidR="006D14CC">
        <w:t>4</w:t>
      </w:r>
    </w:p>
    <w:p w14:paraId="59084294" w14:textId="77777777" w:rsidR="00C92687" w:rsidRDefault="00C92687" w:rsidP="00C92687">
      <w:pPr>
        <w:tabs>
          <w:tab w:val="left" w:pos="720"/>
          <w:tab w:val="left" w:pos="1440"/>
          <w:tab w:val="left" w:pos="2160"/>
          <w:tab w:val="right" w:leader="dot" w:pos="9187"/>
        </w:tabs>
      </w:pPr>
    </w:p>
    <w:p w14:paraId="7FC6BA84" w14:textId="77777777" w:rsidR="007A367F" w:rsidRDefault="007A367F" w:rsidP="00C92687">
      <w:pPr>
        <w:tabs>
          <w:tab w:val="left" w:pos="720"/>
          <w:tab w:val="left" w:pos="1440"/>
          <w:tab w:val="left" w:pos="2160"/>
          <w:tab w:val="right" w:leader="dot" w:pos="9187"/>
        </w:tabs>
        <w:rPr>
          <w:i/>
          <w:szCs w:val="24"/>
        </w:rPr>
      </w:pPr>
    </w:p>
    <w:p w14:paraId="586A1592" w14:textId="09E0E259" w:rsidR="00015867" w:rsidRDefault="00015867" w:rsidP="00C92687">
      <w:pPr>
        <w:tabs>
          <w:tab w:val="left" w:pos="720"/>
          <w:tab w:val="left" w:pos="1440"/>
          <w:tab w:val="left" w:pos="2160"/>
          <w:tab w:val="right" w:leader="dot" w:pos="9187"/>
        </w:tabs>
        <w:jc w:val="center"/>
        <w:rPr>
          <w:szCs w:val="24"/>
        </w:rPr>
      </w:pPr>
      <w:r>
        <w:rPr>
          <w:b/>
          <w:i/>
          <w:szCs w:val="24"/>
        </w:rPr>
        <w:t>Table of Administrative Cases</w:t>
      </w:r>
    </w:p>
    <w:p w14:paraId="6F42A301" w14:textId="77777777" w:rsidR="00015867" w:rsidRDefault="00015867" w:rsidP="00C92687">
      <w:pPr>
        <w:tabs>
          <w:tab w:val="left" w:pos="720"/>
          <w:tab w:val="left" w:pos="1440"/>
          <w:tab w:val="left" w:pos="2160"/>
          <w:tab w:val="right" w:leader="dot" w:pos="9187"/>
        </w:tabs>
        <w:rPr>
          <w:szCs w:val="24"/>
        </w:rPr>
      </w:pPr>
    </w:p>
    <w:p w14:paraId="7FAED356" w14:textId="77777777" w:rsidR="00C92687" w:rsidRDefault="00C92687" w:rsidP="00C92687">
      <w:pPr>
        <w:tabs>
          <w:tab w:val="left" w:pos="720"/>
          <w:tab w:val="left" w:pos="1440"/>
          <w:tab w:val="left" w:pos="2160"/>
          <w:tab w:val="right" w:leader="dot" w:pos="9187"/>
        </w:tabs>
      </w:pPr>
      <w:r w:rsidRPr="00603CC7">
        <w:rPr>
          <w:i/>
        </w:rPr>
        <w:t>In re Cal. Pub. Utils. Comm’n</w:t>
      </w:r>
      <w:r w:rsidRPr="00603CC7">
        <w:t xml:space="preserve">, </w:t>
      </w:r>
    </w:p>
    <w:p w14:paraId="70EE844C" w14:textId="71B663DA" w:rsidR="00C92687" w:rsidRDefault="00C92687" w:rsidP="00C92687">
      <w:pPr>
        <w:tabs>
          <w:tab w:val="left" w:pos="720"/>
          <w:tab w:val="left" w:pos="1440"/>
          <w:tab w:val="left" w:pos="2160"/>
          <w:tab w:val="right" w:leader="dot" w:pos="9187"/>
        </w:tabs>
        <w:ind w:firstLine="720"/>
      </w:pPr>
      <w:r w:rsidRPr="00603CC7">
        <w:t xml:space="preserve">133 FERC ¶ 61059, </w:t>
      </w:r>
      <w:r w:rsidRPr="00AB0977">
        <w:t>2010 FERC LEXIS 1886</w:t>
      </w:r>
      <w:r>
        <w:t xml:space="preserve"> </w:t>
      </w:r>
      <w:r>
        <w:tab/>
      </w:r>
      <w:r w:rsidR="006D14CC">
        <w:t>6</w:t>
      </w:r>
    </w:p>
    <w:p w14:paraId="095653C5" w14:textId="77777777" w:rsidR="00C92687" w:rsidRDefault="00C92687" w:rsidP="00C92687">
      <w:pPr>
        <w:tabs>
          <w:tab w:val="left" w:pos="720"/>
          <w:tab w:val="left" w:pos="1440"/>
          <w:tab w:val="left" w:pos="2160"/>
          <w:tab w:val="right" w:leader="dot" w:pos="9187"/>
        </w:tabs>
      </w:pPr>
    </w:p>
    <w:p w14:paraId="4FD85F4B" w14:textId="77777777" w:rsidR="00C92687" w:rsidRDefault="00C92687" w:rsidP="00C92687">
      <w:pPr>
        <w:tabs>
          <w:tab w:val="left" w:pos="720"/>
          <w:tab w:val="left" w:pos="1440"/>
          <w:tab w:val="left" w:pos="2160"/>
          <w:tab w:val="right" w:leader="dot" w:pos="9187"/>
        </w:tabs>
      </w:pPr>
      <w:r w:rsidRPr="00603CC7">
        <w:rPr>
          <w:i/>
        </w:rPr>
        <w:t>In the Matter of PacifiCorp 2015 Integrated Resource Plan,</w:t>
      </w:r>
      <w:r w:rsidRPr="00603CC7">
        <w:t xml:space="preserve"> </w:t>
      </w:r>
    </w:p>
    <w:p w14:paraId="3ACC98F6" w14:textId="4D6D1FA7" w:rsidR="00C92687" w:rsidRDefault="00C92687" w:rsidP="00C92687">
      <w:pPr>
        <w:tabs>
          <w:tab w:val="left" w:pos="720"/>
          <w:tab w:val="left" w:pos="1440"/>
          <w:tab w:val="left" w:pos="2160"/>
          <w:tab w:val="right" w:leader="dot" w:pos="9187"/>
        </w:tabs>
        <w:ind w:firstLine="720"/>
      </w:pPr>
      <w:r w:rsidRPr="00603CC7">
        <w:t xml:space="preserve">Docket UE-140546, PacifiCorp 2015 IRP, Volume I </w:t>
      </w:r>
      <w:r>
        <w:tab/>
      </w:r>
      <w:r w:rsidR="006D14CC">
        <w:t>10-12</w:t>
      </w:r>
    </w:p>
    <w:p w14:paraId="5614F19A" w14:textId="77777777" w:rsidR="00C92687" w:rsidRDefault="00C92687" w:rsidP="00C92687">
      <w:pPr>
        <w:tabs>
          <w:tab w:val="left" w:pos="720"/>
          <w:tab w:val="left" w:pos="1440"/>
          <w:tab w:val="left" w:pos="2160"/>
          <w:tab w:val="right" w:leader="dot" w:pos="9187"/>
        </w:tabs>
        <w:ind w:firstLine="720"/>
      </w:pPr>
    </w:p>
    <w:p w14:paraId="7C8591C9" w14:textId="5CCA7683" w:rsidR="00C92687" w:rsidRDefault="00C92687" w:rsidP="00C92687">
      <w:pPr>
        <w:tabs>
          <w:tab w:val="left" w:pos="720"/>
          <w:tab w:val="left" w:pos="1440"/>
          <w:tab w:val="left" w:pos="2160"/>
          <w:tab w:val="right" w:leader="dot" w:pos="9187"/>
        </w:tabs>
      </w:pPr>
      <w:r w:rsidRPr="002B7757">
        <w:rPr>
          <w:i/>
        </w:rPr>
        <w:t xml:space="preserve">Small Power Production and Cogeneration Facilities; Regulations Implementing Section 210 of the Public </w:t>
      </w:r>
      <w:r w:rsidR="00F37C7B">
        <w:rPr>
          <w:i/>
        </w:rPr>
        <w:t>U</w:t>
      </w:r>
      <w:r w:rsidRPr="002B7757">
        <w:rPr>
          <w:i/>
        </w:rPr>
        <w:t xml:space="preserve">tility Regulatory Policy Act of </w:t>
      </w:r>
      <w:r w:rsidRPr="002B7757">
        <w:t xml:space="preserve">1978, </w:t>
      </w:r>
    </w:p>
    <w:p w14:paraId="2B36BAFD" w14:textId="31A86E94" w:rsidR="00C92687" w:rsidRDefault="00C92687" w:rsidP="00C92687">
      <w:pPr>
        <w:tabs>
          <w:tab w:val="left" w:pos="720"/>
          <w:tab w:val="left" w:pos="1440"/>
          <w:tab w:val="left" w:pos="2160"/>
          <w:tab w:val="right" w:leader="dot" w:pos="9187"/>
        </w:tabs>
        <w:ind w:firstLine="720"/>
      </w:pPr>
      <w:r w:rsidRPr="002B7757">
        <w:t>45 Fed. Reg. 12,214, 1222</w:t>
      </w:r>
      <w:r>
        <w:t xml:space="preserve">2, </w:t>
      </w:r>
      <w:r w:rsidRPr="002B7757">
        <w:t>Order No. 69 (Feb. 25, 1980)</w:t>
      </w:r>
      <w:r w:rsidRPr="00AB0977">
        <w:t xml:space="preserve"> </w:t>
      </w:r>
      <w:r>
        <w:tab/>
      </w:r>
      <w:r w:rsidR="006D14CC">
        <w:t>passim</w:t>
      </w:r>
    </w:p>
    <w:p w14:paraId="6DB05632" w14:textId="77777777" w:rsidR="00C92687" w:rsidRDefault="00C92687" w:rsidP="00C92687">
      <w:pPr>
        <w:tabs>
          <w:tab w:val="left" w:pos="720"/>
          <w:tab w:val="left" w:pos="1440"/>
          <w:tab w:val="left" w:pos="2160"/>
          <w:tab w:val="right" w:leader="dot" w:pos="9187"/>
        </w:tabs>
      </w:pPr>
    </w:p>
    <w:p w14:paraId="20E7B7A6" w14:textId="7B758B73" w:rsidR="00C92687" w:rsidRDefault="00C92687" w:rsidP="00C92687">
      <w:pPr>
        <w:tabs>
          <w:tab w:val="left" w:pos="720"/>
          <w:tab w:val="left" w:pos="1440"/>
          <w:tab w:val="left" w:pos="2160"/>
          <w:tab w:val="right" w:leader="dot" w:pos="9187"/>
        </w:tabs>
        <w:rPr>
          <w:i/>
        </w:rPr>
      </w:pPr>
      <w:r>
        <w:rPr>
          <w:i/>
        </w:rPr>
        <w:t>Southern Cal. Edis</w:t>
      </w:r>
      <w:r w:rsidRPr="00603CC7">
        <w:rPr>
          <w:i/>
        </w:rPr>
        <w:t>on Co</w:t>
      </w:r>
      <w:r w:rsidR="00E17FDA">
        <w:rPr>
          <w:i/>
        </w:rPr>
        <w:t>.</w:t>
      </w:r>
      <w:r w:rsidRPr="00603CC7">
        <w:rPr>
          <w:i/>
        </w:rPr>
        <w:t xml:space="preserve">, et al., </w:t>
      </w:r>
    </w:p>
    <w:p w14:paraId="747D1BF7" w14:textId="25A6F391" w:rsidR="00C92687" w:rsidRDefault="00C92687" w:rsidP="00C92687">
      <w:pPr>
        <w:tabs>
          <w:tab w:val="left" w:pos="720"/>
          <w:tab w:val="left" w:pos="1440"/>
          <w:tab w:val="left" w:pos="2160"/>
          <w:tab w:val="right" w:leader="dot" w:pos="9187"/>
        </w:tabs>
        <w:ind w:firstLine="720"/>
      </w:pPr>
      <w:r>
        <w:t>71 FERC ¶ 61,269</w:t>
      </w:r>
      <w:r w:rsidRPr="00603CC7">
        <w:t xml:space="preserve"> (1995)</w:t>
      </w:r>
      <w:r>
        <w:t xml:space="preserve"> </w:t>
      </w:r>
      <w:r>
        <w:tab/>
      </w:r>
      <w:r w:rsidR="006D14CC">
        <w:t>4</w:t>
      </w:r>
    </w:p>
    <w:p w14:paraId="7EA6C990" w14:textId="77777777" w:rsidR="00C92687" w:rsidRDefault="00C92687" w:rsidP="00C92687">
      <w:pPr>
        <w:tabs>
          <w:tab w:val="left" w:pos="720"/>
          <w:tab w:val="left" w:pos="1440"/>
          <w:tab w:val="left" w:pos="2160"/>
          <w:tab w:val="right" w:leader="dot" w:pos="9187"/>
        </w:tabs>
      </w:pPr>
    </w:p>
    <w:p w14:paraId="5F8F9CCF" w14:textId="77777777" w:rsidR="00C92687" w:rsidRDefault="00C92687" w:rsidP="00C92687">
      <w:pPr>
        <w:tabs>
          <w:tab w:val="left" w:pos="720"/>
          <w:tab w:val="left" w:pos="1440"/>
          <w:tab w:val="left" w:pos="2160"/>
          <w:tab w:val="right" w:leader="dot" w:pos="9187"/>
        </w:tabs>
      </w:pPr>
      <w:r w:rsidRPr="000F23BD">
        <w:rPr>
          <w:i/>
        </w:rPr>
        <w:t>Wash. Utils &amp; Transp. Comm’n v. Pacific Power &amp; Light Co.</w:t>
      </w:r>
      <w:r>
        <w:t xml:space="preserve">, </w:t>
      </w:r>
    </w:p>
    <w:p w14:paraId="237FA903" w14:textId="5FDA27AF" w:rsidR="00C92687" w:rsidRDefault="00C92687" w:rsidP="00C92687">
      <w:pPr>
        <w:tabs>
          <w:tab w:val="left" w:pos="720"/>
          <w:tab w:val="left" w:pos="1440"/>
          <w:tab w:val="left" w:pos="2160"/>
          <w:tab w:val="right" w:leader="dot" w:pos="9187"/>
        </w:tabs>
        <w:ind w:firstLine="720"/>
      </w:pPr>
      <w:r>
        <w:t xml:space="preserve">Docket UE-140762 </w:t>
      </w:r>
      <w:r w:rsidRPr="00C72B59">
        <w:t>(Nov. 14, 2014)</w:t>
      </w:r>
      <w:r>
        <w:t xml:space="preserve"> </w:t>
      </w:r>
      <w:r>
        <w:tab/>
      </w:r>
      <w:r w:rsidR="006D14CC">
        <w:t>14</w:t>
      </w:r>
    </w:p>
    <w:p w14:paraId="47F4200B" w14:textId="77777777" w:rsidR="00015867" w:rsidRDefault="00015867" w:rsidP="00C92687">
      <w:pPr>
        <w:tabs>
          <w:tab w:val="left" w:pos="720"/>
          <w:tab w:val="left" w:pos="1440"/>
          <w:tab w:val="left" w:pos="2160"/>
          <w:tab w:val="right" w:leader="dot" w:pos="9187"/>
        </w:tabs>
        <w:rPr>
          <w:szCs w:val="24"/>
        </w:rPr>
      </w:pPr>
    </w:p>
    <w:p w14:paraId="380932E7" w14:textId="77777777" w:rsidR="00015867" w:rsidRDefault="00015867" w:rsidP="00C92687">
      <w:pPr>
        <w:tabs>
          <w:tab w:val="left" w:pos="720"/>
          <w:tab w:val="left" w:pos="1440"/>
          <w:tab w:val="left" w:pos="2160"/>
          <w:tab w:val="right" w:leader="dot" w:pos="9187"/>
        </w:tabs>
        <w:rPr>
          <w:szCs w:val="24"/>
        </w:rPr>
      </w:pPr>
    </w:p>
    <w:p w14:paraId="50A56F93" w14:textId="28227B97" w:rsidR="00015867" w:rsidRDefault="00015867" w:rsidP="00C92687">
      <w:pPr>
        <w:tabs>
          <w:tab w:val="left" w:pos="720"/>
          <w:tab w:val="left" w:pos="1440"/>
          <w:tab w:val="left" w:pos="2160"/>
          <w:tab w:val="right" w:leader="dot" w:pos="9187"/>
        </w:tabs>
        <w:jc w:val="center"/>
        <w:rPr>
          <w:szCs w:val="24"/>
        </w:rPr>
      </w:pPr>
      <w:r>
        <w:rPr>
          <w:b/>
          <w:i/>
          <w:szCs w:val="24"/>
        </w:rPr>
        <w:t>Statutes and Rules</w:t>
      </w:r>
    </w:p>
    <w:p w14:paraId="0E13C969" w14:textId="77777777" w:rsidR="00015867" w:rsidRDefault="00015867" w:rsidP="00C92687">
      <w:pPr>
        <w:tabs>
          <w:tab w:val="left" w:pos="720"/>
          <w:tab w:val="left" w:pos="1440"/>
          <w:tab w:val="left" w:pos="2160"/>
          <w:tab w:val="right" w:leader="dot" w:pos="9187"/>
        </w:tabs>
        <w:rPr>
          <w:szCs w:val="24"/>
        </w:rPr>
      </w:pPr>
    </w:p>
    <w:p w14:paraId="3483758B" w14:textId="5AA43518" w:rsidR="00C92687" w:rsidRDefault="00C92687" w:rsidP="00C92687">
      <w:pPr>
        <w:tabs>
          <w:tab w:val="left" w:pos="720"/>
          <w:tab w:val="left" w:pos="1440"/>
          <w:tab w:val="right" w:leader="dot" w:pos="9187"/>
        </w:tabs>
      </w:pPr>
      <w:r w:rsidRPr="00603CC7">
        <w:t>WAC 480-107-055</w:t>
      </w:r>
      <w:r>
        <w:t xml:space="preserve"> </w:t>
      </w:r>
      <w:r>
        <w:tab/>
      </w:r>
      <w:r w:rsidR="006D14CC">
        <w:t>7</w:t>
      </w:r>
    </w:p>
    <w:p w14:paraId="13FC8C6F" w14:textId="77777777" w:rsidR="004D1A5A" w:rsidRDefault="004D1A5A" w:rsidP="00C92687">
      <w:pPr>
        <w:tabs>
          <w:tab w:val="left" w:pos="720"/>
          <w:tab w:val="left" w:pos="1440"/>
          <w:tab w:val="right" w:leader="dot" w:pos="9187"/>
        </w:tabs>
      </w:pPr>
    </w:p>
    <w:p w14:paraId="2C2F764C" w14:textId="3074C9CE" w:rsidR="004D1A5A" w:rsidRDefault="004D1A5A" w:rsidP="00C92687">
      <w:pPr>
        <w:tabs>
          <w:tab w:val="left" w:pos="720"/>
          <w:tab w:val="left" w:pos="1440"/>
          <w:tab w:val="right" w:leader="dot" w:pos="9187"/>
        </w:tabs>
      </w:pPr>
      <w:r>
        <w:t xml:space="preserve">WAC 480-109-210(2)(a)(i)(e) </w:t>
      </w:r>
      <w:r>
        <w:tab/>
        <w:t>15</w:t>
      </w:r>
    </w:p>
    <w:p w14:paraId="32412DD6" w14:textId="77777777" w:rsidR="00C92687" w:rsidRDefault="00C92687" w:rsidP="00C92687">
      <w:pPr>
        <w:tabs>
          <w:tab w:val="left" w:pos="720"/>
          <w:tab w:val="left" w:pos="1440"/>
          <w:tab w:val="left" w:pos="2160"/>
          <w:tab w:val="right" w:leader="dot" w:pos="9187"/>
        </w:tabs>
      </w:pPr>
    </w:p>
    <w:p w14:paraId="09884A81" w14:textId="2D02D997" w:rsidR="00C92687" w:rsidRDefault="00C92687" w:rsidP="00C92687">
      <w:pPr>
        <w:tabs>
          <w:tab w:val="left" w:pos="720"/>
          <w:tab w:val="left" w:pos="1440"/>
          <w:tab w:val="left" w:pos="2160"/>
          <w:tab w:val="right" w:leader="dot" w:pos="9187"/>
        </w:tabs>
      </w:pPr>
      <w:r>
        <w:t xml:space="preserve">16 U.S.C. § 824a-3(a) </w:t>
      </w:r>
      <w:r>
        <w:tab/>
      </w:r>
      <w:r w:rsidR="006D14CC">
        <w:t>4</w:t>
      </w:r>
    </w:p>
    <w:p w14:paraId="459A2347" w14:textId="77777777" w:rsidR="00C92687" w:rsidRDefault="00C92687" w:rsidP="00C92687">
      <w:pPr>
        <w:tabs>
          <w:tab w:val="left" w:pos="720"/>
          <w:tab w:val="left" w:pos="1440"/>
          <w:tab w:val="left" w:pos="2160"/>
          <w:tab w:val="right" w:leader="dot" w:pos="9187"/>
        </w:tabs>
      </w:pPr>
    </w:p>
    <w:p w14:paraId="4C9EEF95" w14:textId="676EABB4" w:rsidR="00C92687" w:rsidRDefault="00C92687" w:rsidP="00C92687">
      <w:pPr>
        <w:tabs>
          <w:tab w:val="left" w:pos="720"/>
          <w:tab w:val="left" w:pos="1440"/>
          <w:tab w:val="right" w:leader="dot" w:pos="9187"/>
        </w:tabs>
      </w:pPr>
      <w:r>
        <w:t xml:space="preserve">16 U.S.C. §824a-3(b) </w:t>
      </w:r>
      <w:r>
        <w:tab/>
      </w:r>
      <w:r w:rsidR="006D14CC">
        <w:t>2,</w:t>
      </w:r>
      <w:r w:rsidR="004D1A5A">
        <w:t xml:space="preserve"> </w:t>
      </w:r>
      <w:r w:rsidR="006D14CC">
        <w:t>6</w:t>
      </w:r>
    </w:p>
    <w:p w14:paraId="200E80C4" w14:textId="77777777" w:rsidR="004D1A5A" w:rsidRDefault="004D1A5A" w:rsidP="00C92687">
      <w:pPr>
        <w:tabs>
          <w:tab w:val="left" w:pos="720"/>
          <w:tab w:val="left" w:pos="1440"/>
          <w:tab w:val="right" w:leader="dot" w:pos="9187"/>
        </w:tabs>
      </w:pPr>
    </w:p>
    <w:p w14:paraId="31370E00" w14:textId="0B6E9EE2" w:rsidR="004D1A5A" w:rsidRDefault="004D1A5A" w:rsidP="00C92687">
      <w:pPr>
        <w:tabs>
          <w:tab w:val="left" w:pos="720"/>
          <w:tab w:val="left" w:pos="1440"/>
          <w:tab w:val="right" w:leader="dot" w:pos="9187"/>
        </w:tabs>
      </w:pPr>
      <w:r>
        <w:t xml:space="preserve">16 U.S.C. §824a-3(d) </w:t>
      </w:r>
      <w:r>
        <w:tab/>
        <w:t>5</w:t>
      </w:r>
    </w:p>
    <w:p w14:paraId="23F18CF5" w14:textId="77777777" w:rsidR="00C92687" w:rsidRDefault="00C92687" w:rsidP="00C92687">
      <w:pPr>
        <w:tabs>
          <w:tab w:val="left" w:pos="720"/>
          <w:tab w:val="left" w:pos="1440"/>
          <w:tab w:val="right" w:leader="dot" w:pos="9187"/>
        </w:tabs>
      </w:pPr>
    </w:p>
    <w:p w14:paraId="085A143A" w14:textId="618FC5E8" w:rsidR="00C92687" w:rsidRDefault="00C92687" w:rsidP="00C92687">
      <w:pPr>
        <w:tabs>
          <w:tab w:val="left" w:pos="720"/>
          <w:tab w:val="left" w:pos="1440"/>
          <w:tab w:val="left" w:pos="2160"/>
          <w:tab w:val="right" w:leader="dot" w:pos="9187"/>
        </w:tabs>
      </w:pPr>
      <w:r>
        <w:t>16 U.S.C. § 824a-3</w:t>
      </w:r>
      <w:r w:rsidRPr="00603CC7">
        <w:t>(e)</w:t>
      </w:r>
      <w:r>
        <w:t xml:space="preserve"> </w:t>
      </w:r>
      <w:r>
        <w:tab/>
      </w:r>
      <w:r w:rsidR="006D14CC">
        <w:t>5</w:t>
      </w:r>
    </w:p>
    <w:p w14:paraId="562D27B0" w14:textId="77777777" w:rsidR="00C92687" w:rsidRDefault="00C92687" w:rsidP="00C92687">
      <w:pPr>
        <w:tabs>
          <w:tab w:val="left" w:pos="720"/>
          <w:tab w:val="left" w:pos="1440"/>
          <w:tab w:val="left" w:pos="2160"/>
          <w:tab w:val="right" w:leader="dot" w:pos="9187"/>
        </w:tabs>
      </w:pPr>
    </w:p>
    <w:p w14:paraId="02C6BA88" w14:textId="63A84A3E" w:rsidR="00C92687" w:rsidRDefault="00C92687" w:rsidP="00C92687">
      <w:pPr>
        <w:tabs>
          <w:tab w:val="left" w:pos="720"/>
          <w:tab w:val="left" w:pos="1440"/>
          <w:tab w:val="right" w:leader="dot" w:pos="9187"/>
        </w:tabs>
      </w:pPr>
      <w:r w:rsidRPr="00603CC7">
        <w:t>16 U.S.C. § 824a-3(f)</w:t>
      </w:r>
      <w:r>
        <w:t xml:space="preserve"> </w:t>
      </w:r>
      <w:r>
        <w:tab/>
      </w:r>
      <w:r w:rsidR="006D14CC">
        <w:t>4</w:t>
      </w:r>
    </w:p>
    <w:p w14:paraId="625E60A1" w14:textId="77777777" w:rsidR="00C92687" w:rsidRDefault="00C92687" w:rsidP="00C92687">
      <w:pPr>
        <w:tabs>
          <w:tab w:val="left" w:pos="720"/>
          <w:tab w:val="left" w:pos="1440"/>
          <w:tab w:val="right" w:leader="dot" w:pos="9187"/>
        </w:tabs>
      </w:pPr>
    </w:p>
    <w:p w14:paraId="1CEEB57F" w14:textId="618320CB" w:rsidR="00C92687" w:rsidRDefault="00C92687" w:rsidP="004D1A5A">
      <w:pPr>
        <w:tabs>
          <w:tab w:val="left" w:pos="720"/>
          <w:tab w:val="left" w:pos="1440"/>
          <w:tab w:val="right" w:leader="dot" w:pos="9187"/>
        </w:tabs>
      </w:pPr>
      <w:r w:rsidRPr="00603CC7">
        <w:t>18 C.F.R. § 292.304</w:t>
      </w:r>
      <w:r>
        <w:t xml:space="preserve"> </w:t>
      </w:r>
      <w:r>
        <w:tab/>
      </w:r>
      <w:r w:rsidR="004D1A5A">
        <w:t>5, 6</w:t>
      </w:r>
    </w:p>
    <w:p w14:paraId="7EAEADE6" w14:textId="77777777" w:rsidR="00C92687" w:rsidRDefault="00C92687" w:rsidP="00C92687">
      <w:pPr>
        <w:tabs>
          <w:tab w:val="left" w:pos="720"/>
          <w:tab w:val="left" w:pos="1440"/>
          <w:tab w:val="right" w:leader="dot" w:pos="9187"/>
        </w:tabs>
      </w:pPr>
    </w:p>
    <w:p w14:paraId="0CB58490" w14:textId="27896568" w:rsidR="00C92687" w:rsidRDefault="00C92687" w:rsidP="00C92687">
      <w:pPr>
        <w:tabs>
          <w:tab w:val="left" w:pos="720"/>
          <w:tab w:val="left" w:pos="1440"/>
          <w:tab w:val="left" w:pos="2160"/>
          <w:tab w:val="right" w:leader="dot" w:pos="9187"/>
        </w:tabs>
      </w:pPr>
      <w:r w:rsidRPr="00603CC7">
        <w:t>18 C.F.R. § 292.30</w:t>
      </w:r>
      <w:r>
        <w:t xml:space="preserve">4(b) </w:t>
      </w:r>
      <w:r>
        <w:tab/>
      </w:r>
      <w:r w:rsidR="004D1A5A">
        <w:t>2</w:t>
      </w:r>
    </w:p>
    <w:p w14:paraId="05B1E282" w14:textId="77777777" w:rsidR="00C92687" w:rsidRDefault="00C92687" w:rsidP="00C92687">
      <w:pPr>
        <w:tabs>
          <w:tab w:val="left" w:pos="720"/>
          <w:tab w:val="left" w:pos="1440"/>
          <w:tab w:val="left" w:pos="2160"/>
          <w:tab w:val="right" w:leader="dot" w:pos="9187"/>
        </w:tabs>
      </w:pPr>
    </w:p>
    <w:p w14:paraId="2AAB2E01" w14:textId="7E8DF6F7" w:rsidR="00C92687" w:rsidRDefault="00C92687" w:rsidP="00C92687">
      <w:pPr>
        <w:tabs>
          <w:tab w:val="left" w:pos="720"/>
          <w:tab w:val="left" w:pos="1440"/>
          <w:tab w:val="left" w:pos="2160"/>
          <w:tab w:val="right" w:leader="dot" w:pos="9187"/>
        </w:tabs>
      </w:pPr>
      <w:r>
        <w:t>18 C</w:t>
      </w:r>
      <w:r w:rsidR="008120D5">
        <w:t>.</w:t>
      </w:r>
      <w:r>
        <w:t>F</w:t>
      </w:r>
      <w:r w:rsidR="008120D5">
        <w:t>.</w:t>
      </w:r>
      <w:r>
        <w:t xml:space="preserve">R § 292.304(b)(2) </w:t>
      </w:r>
      <w:r>
        <w:tab/>
      </w:r>
      <w:r w:rsidR="004D1A5A">
        <w:t>4</w:t>
      </w:r>
    </w:p>
    <w:p w14:paraId="26AF98E2" w14:textId="77777777" w:rsidR="00C92687" w:rsidRDefault="00C92687" w:rsidP="00C92687">
      <w:pPr>
        <w:tabs>
          <w:tab w:val="left" w:pos="720"/>
          <w:tab w:val="left" w:pos="1440"/>
          <w:tab w:val="left" w:pos="2160"/>
          <w:tab w:val="right" w:leader="dot" w:pos="9187"/>
        </w:tabs>
      </w:pPr>
    </w:p>
    <w:p w14:paraId="04109DDB" w14:textId="44B2F36C" w:rsidR="00C92687" w:rsidRDefault="00C92687" w:rsidP="00C92687">
      <w:pPr>
        <w:tabs>
          <w:tab w:val="left" w:pos="720"/>
          <w:tab w:val="left" w:pos="1440"/>
          <w:tab w:val="left" w:pos="2160"/>
          <w:tab w:val="right" w:leader="dot" w:pos="9187"/>
        </w:tabs>
      </w:pPr>
      <w:r>
        <w:t>18 C</w:t>
      </w:r>
      <w:r w:rsidR="008120D5">
        <w:t>.</w:t>
      </w:r>
      <w:r>
        <w:t>F</w:t>
      </w:r>
      <w:r w:rsidR="008120D5">
        <w:t>.</w:t>
      </w:r>
      <w:r>
        <w:t xml:space="preserve">R § 292.101(b)(6) </w:t>
      </w:r>
      <w:r>
        <w:tab/>
      </w:r>
      <w:r w:rsidR="004D1A5A">
        <w:t>2, 5, 6</w:t>
      </w:r>
    </w:p>
    <w:p w14:paraId="447E84A1" w14:textId="77777777" w:rsidR="004D1A5A" w:rsidRDefault="004D1A5A" w:rsidP="00C92687">
      <w:pPr>
        <w:tabs>
          <w:tab w:val="left" w:pos="720"/>
          <w:tab w:val="left" w:pos="1440"/>
          <w:tab w:val="left" w:pos="2160"/>
          <w:tab w:val="right" w:leader="dot" w:pos="9187"/>
        </w:tabs>
      </w:pPr>
    </w:p>
    <w:p w14:paraId="2DFCE405" w14:textId="018BA28B" w:rsidR="004D1A5A" w:rsidRDefault="004D1A5A" w:rsidP="004D1A5A">
      <w:pPr>
        <w:tabs>
          <w:tab w:val="left" w:pos="720"/>
          <w:tab w:val="left" w:pos="1440"/>
          <w:tab w:val="left" w:pos="2160"/>
          <w:tab w:val="right" w:leader="dot" w:pos="9187"/>
        </w:tabs>
      </w:pPr>
      <w:r>
        <w:t xml:space="preserve">18 C.F.R. § 292.304(c)(1) </w:t>
      </w:r>
      <w:r>
        <w:tab/>
        <w:t>6</w:t>
      </w:r>
    </w:p>
    <w:p w14:paraId="54642DFE" w14:textId="77777777" w:rsidR="00C92687" w:rsidRDefault="00C92687" w:rsidP="00C92687">
      <w:pPr>
        <w:tabs>
          <w:tab w:val="left" w:pos="720"/>
          <w:tab w:val="left" w:pos="1440"/>
          <w:tab w:val="left" w:pos="2160"/>
          <w:tab w:val="right" w:leader="dot" w:pos="9187"/>
        </w:tabs>
      </w:pPr>
    </w:p>
    <w:p w14:paraId="0C848499" w14:textId="64E751B6" w:rsidR="00C92687" w:rsidRDefault="00C92687" w:rsidP="00C92687">
      <w:pPr>
        <w:tabs>
          <w:tab w:val="left" w:pos="720"/>
          <w:tab w:val="left" w:pos="1440"/>
          <w:tab w:val="left" w:pos="2160"/>
          <w:tab w:val="right" w:leader="dot" w:pos="9187"/>
        </w:tabs>
      </w:pPr>
      <w:r>
        <w:t xml:space="preserve">18 C.F.R. § 292.304(c)(1) </w:t>
      </w:r>
      <w:r>
        <w:tab/>
      </w:r>
      <w:r w:rsidR="004D1A5A">
        <w:t>6</w:t>
      </w:r>
    </w:p>
    <w:p w14:paraId="651D9ADF" w14:textId="77777777" w:rsidR="00C92687" w:rsidRDefault="00C92687" w:rsidP="00C92687">
      <w:pPr>
        <w:tabs>
          <w:tab w:val="left" w:pos="720"/>
          <w:tab w:val="left" w:pos="1440"/>
          <w:tab w:val="left" w:pos="2160"/>
          <w:tab w:val="right" w:leader="dot" w:pos="9187"/>
        </w:tabs>
      </w:pPr>
    </w:p>
    <w:p w14:paraId="5A13496E" w14:textId="77777777" w:rsidR="004D1A5A" w:rsidRDefault="004D1A5A" w:rsidP="004D1A5A">
      <w:pPr>
        <w:tabs>
          <w:tab w:val="left" w:pos="720"/>
          <w:tab w:val="left" w:pos="1440"/>
          <w:tab w:val="left" w:pos="2160"/>
          <w:tab w:val="right" w:leader="dot" w:pos="9187"/>
        </w:tabs>
      </w:pPr>
      <w:r>
        <w:t xml:space="preserve">18 C.F.R. § 292.304(e) </w:t>
      </w:r>
      <w:r>
        <w:tab/>
        <w:t>5</w:t>
      </w:r>
    </w:p>
    <w:p w14:paraId="04F0217F" w14:textId="77777777" w:rsidR="004D1A5A" w:rsidRDefault="004D1A5A" w:rsidP="004D1A5A">
      <w:pPr>
        <w:tabs>
          <w:tab w:val="left" w:pos="720"/>
          <w:tab w:val="left" w:pos="1440"/>
          <w:tab w:val="left" w:pos="2160"/>
          <w:tab w:val="right" w:leader="dot" w:pos="9187"/>
        </w:tabs>
      </w:pPr>
      <w:r>
        <w:t xml:space="preserve"> </w:t>
      </w:r>
    </w:p>
    <w:p w14:paraId="2BEF02D6" w14:textId="77777777" w:rsidR="00015867" w:rsidRDefault="00015867" w:rsidP="00C92687">
      <w:pPr>
        <w:tabs>
          <w:tab w:val="left" w:pos="720"/>
          <w:tab w:val="left" w:pos="1440"/>
          <w:tab w:val="left" w:pos="2160"/>
          <w:tab w:val="right" w:leader="dot" w:pos="9187"/>
        </w:tabs>
        <w:rPr>
          <w:szCs w:val="24"/>
        </w:rPr>
      </w:pPr>
    </w:p>
    <w:p w14:paraId="0827E28E" w14:textId="77777777" w:rsidR="00C92687" w:rsidRDefault="00C92687" w:rsidP="00C92687">
      <w:pPr>
        <w:tabs>
          <w:tab w:val="left" w:pos="720"/>
          <w:tab w:val="left" w:pos="1440"/>
          <w:tab w:val="left" w:pos="2160"/>
          <w:tab w:val="right" w:leader="dot" w:pos="9187"/>
        </w:tabs>
        <w:rPr>
          <w:szCs w:val="24"/>
        </w:rPr>
      </w:pPr>
    </w:p>
    <w:p w14:paraId="6DAE1A98" w14:textId="389F298E" w:rsidR="00015867" w:rsidRDefault="00015867" w:rsidP="00C92687">
      <w:pPr>
        <w:tabs>
          <w:tab w:val="left" w:pos="720"/>
          <w:tab w:val="left" w:pos="1440"/>
          <w:tab w:val="left" w:pos="2160"/>
          <w:tab w:val="right" w:leader="dot" w:pos="9187"/>
        </w:tabs>
        <w:jc w:val="center"/>
        <w:rPr>
          <w:szCs w:val="24"/>
        </w:rPr>
      </w:pPr>
      <w:r>
        <w:rPr>
          <w:b/>
          <w:i/>
          <w:szCs w:val="24"/>
        </w:rPr>
        <w:t>Other Authorities</w:t>
      </w:r>
    </w:p>
    <w:p w14:paraId="0648F9AE" w14:textId="77777777" w:rsidR="00015867" w:rsidRDefault="00015867" w:rsidP="00C92687">
      <w:pPr>
        <w:tabs>
          <w:tab w:val="left" w:pos="720"/>
          <w:tab w:val="left" w:pos="1440"/>
          <w:tab w:val="left" w:pos="2160"/>
          <w:tab w:val="right" w:leader="dot" w:pos="9187"/>
        </w:tabs>
        <w:rPr>
          <w:szCs w:val="24"/>
        </w:rPr>
      </w:pPr>
    </w:p>
    <w:p w14:paraId="3EE463A8" w14:textId="338FA0FE" w:rsidR="00C92687" w:rsidRDefault="00C92687" w:rsidP="00C92687">
      <w:pPr>
        <w:tabs>
          <w:tab w:val="left" w:pos="720"/>
          <w:tab w:val="left" w:pos="1440"/>
          <w:tab w:val="left" w:pos="2160"/>
          <w:tab w:val="right" w:leader="dot" w:pos="9187"/>
        </w:tabs>
      </w:pPr>
      <w:r w:rsidRPr="00BD05C8">
        <w:t xml:space="preserve">Robert E. Burns &amp; Kenneth Rose, PURPA Title II Compliance Manual </w:t>
      </w:r>
      <w:r w:rsidRPr="00603CC7">
        <w:t>33</w:t>
      </w:r>
      <w:r>
        <w:t xml:space="preserve"> (Mar. 2014) </w:t>
      </w:r>
      <w:r>
        <w:tab/>
      </w:r>
      <w:r w:rsidR="003C14C0">
        <w:t>5</w:t>
      </w:r>
    </w:p>
    <w:p w14:paraId="7CB1370D" w14:textId="77777777" w:rsidR="00015867" w:rsidRDefault="00015867" w:rsidP="00015867">
      <w:pPr>
        <w:tabs>
          <w:tab w:val="left" w:pos="720"/>
          <w:tab w:val="left" w:pos="1440"/>
          <w:tab w:val="left" w:pos="2160"/>
          <w:tab w:val="right" w:leader="dot" w:pos="8640"/>
        </w:tabs>
        <w:rPr>
          <w:szCs w:val="24"/>
        </w:rPr>
      </w:pPr>
    </w:p>
    <w:p w14:paraId="69BC853B" w14:textId="77777777" w:rsidR="00015867" w:rsidRPr="00DE3409" w:rsidRDefault="00015867" w:rsidP="00015867">
      <w:pPr>
        <w:tabs>
          <w:tab w:val="left" w:pos="720"/>
          <w:tab w:val="left" w:pos="1440"/>
          <w:tab w:val="left" w:pos="2160"/>
          <w:tab w:val="right" w:leader="dot" w:pos="8640"/>
        </w:tabs>
        <w:rPr>
          <w:szCs w:val="24"/>
        </w:rPr>
      </w:pPr>
    </w:p>
    <w:p w14:paraId="367281FB" w14:textId="77777777" w:rsidR="00FD7711" w:rsidRPr="00DE3409" w:rsidRDefault="00FD7711" w:rsidP="00951A4C">
      <w:pPr>
        <w:rPr>
          <w:color w:val="auto"/>
          <w:szCs w:val="24"/>
        </w:rPr>
      </w:pPr>
    </w:p>
    <w:p w14:paraId="61F15B37" w14:textId="77777777" w:rsidR="00FD7711" w:rsidRPr="00DE3409" w:rsidRDefault="00FD7711" w:rsidP="00951A4C">
      <w:pPr>
        <w:rPr>
          <w:color w:val="auto"/>
          <w:szCs w:val="24"/>
        </w:rPr>
      </w:pPr>
    </w:p>
    <w:p w14:paraId="2A2AA124" w14:textId="77777777" w:rsidR="00FD7711" w:rsidRPr="00DE3409" w:rsidRDefault="00FD7711" w:rsidP="00951A4C">
      <w:pPr>
        <w:rPr>
          <w:color w:val="auto"/>
          <w:szCs w:val="24"/>
        </w:rPr>
        <w:sectPr w:rsidR="00FD7711" w:rsidRPr="00DE3409" w:rsidSect="00126870">
          <w:footerReference w:type="default" r:id="rId11"/>
          <w:pgSz w:w="12240" w:h="15840" w:code="1"/>
          <w:pgMar w:top="1440" w:right="1440" w:bottom="1440" w:left="1440" w:header="288" w:footer="432" w:gutter="0"/>
          <w:pgNumType w:fmt="lowerRoman" w:start="1"/>
          <w:cols w:space="720"/>
          <w:docGrid w:linePitch="360"/>
        </w:sectPr>
      </w:pPr>
    </w:p>
    <w:p w14:paraId="11B42996" w14:textId="53885416" w:rsidR="0009119D" w:rsidRPr="00BA5229" w:rsidRDefault="0009119D" w:rsidP="00BA5229">
      <w:pPr>
        <w:keepNext/>
        <w:spacing w:line="480" w:lineRule="auto"/>
        <w:jc w:val="center"/>
        <w:rPr>
          <w:b/>
          <w:color w:val="auto"/>
          <w:szCs w:val="24"/>
        </w:rPr>
      </w:pPr>
      <w:r w:rsidRPr="00BA5229">
        <w:rPr>
          <w:b/>
          <w:color w:val="auto"/>
          <w:szCs w:val="24"/>
        </w:rPr>
        <w:t>I.  INTRODUCTION</w:t>
      </w:r>
    </w:p>
    <w:p w14:paraId="113FB729" w14:textId="2412AF83" w:rsidR="009F5001" w:rsidRPr="00BA5229" w:rsidRDefault="00C60373" w:rsidP="00BA5229">
      <w:pPr>
        <w:pStyle w:val="WUTCParagraph"/>
        <w:tabs>
          <w:tab w:val="clear" w:pos="1440"/>
        </w:tabs>
        <w:rPr>
          <w:lang w:val="en-US"/>
        </w:rPr>
      </w:pPr>
      <w:r w:rsidRPr="00BA5229">
        <w:rPr>
          <w:lang w:val="en-US"/>
        </w:rPr>
        <w:tab/>
      </w:r>
      <w:r w:rsidR="00585280" w:rsidRPr="00BA5229">
        <w:rPr>
          <w:lang w:val="en-US"/>
        </w:rPr>
        <w:t>This docket concerns the</w:t>
      </w:r>
      <w:r w:rsidR="009F5001" w:rsidRPr="00BA5229">
        <w:rPr>
          <w:lang w:val="en-US"/>
        </w:rPr>
        <w:t xml:space="preserve"> </w:t>
      </w:r>
      <w:r w:rsidR="006B155C">
        <w:rPr>
          <w:lang w:val="en-US"/>
        </w:rPr>
        <w:t>S</w:t>
      </w:r>
      <w:r w:rsidR="009F5001" w:rsidRPr="00BA5229">
        <w:rPr>
          <w:lang w:val="en-US"/>
        </w:rPr>
        <w:t>chedule 37 tariff</w:t>
      </w:r>
      <w:r w:rsidR="00976671" w:rsidRPr="00BA5229">
        <w:rPr>
          <w:lang w:val="en-US"/>
        </w:rPr>
        <w:t xml:space="preserve"> of Pacific Power &amp; Light Company (“PacifiCorp” or the “Company”)</w:t>
      </w:r>
      <w:r w:rsidR="00EF3C58" w:rsidRPr="00BA5229">
        <w:rPr>
          <w:lang w:val="en-US"/>
        </w:rPr>
        <w:t>, which</w:t>
      </w:r>
      <w:r w:rsidR="0028070B" w:rsidRPr="00BA5229">
        <w:rPr>
          <w:lang w:val="en-US"/>
        </w:rPr>
        <w:t xml:space="preserve"> </w:t>
      </w:r>
      <w:r w:rsidR="009F5001" w:rsidRPr="00BA5229">
        <w:rPr>
          <w:lang w:val="en-US"/>
        </w:rPr>
        <w:t>contain</w:t>
      </w:r>
      <w:r w:rsidR="00F045F1" w:rsidRPr="00BA5229">
        <w:rPr>
          <w:lang w:val="en-US"/>
        </w:rPr>
        <w:t>s</w:t>
      </w:r>
      <w:r w:rsidR="009F5001" w:rsidRPr="00BA5229">
        <w:rPr>
          <w:lang w:val="en-US"/>
        </w:rPr>
        <w:t xml:space="preserve"> standard offer rates </w:t>
      </w:r>
      <w:r w:rsidR="00585280" w:rsidRPr="00BA5229">
        <w:rPr>
          <w:lang w:val="en-US"/>
        </w:rPr>
        <w:t>available to cogeneration and small power producing facilities</w:t>
      </w:r>
      <w:r w:rsidR="00977F3D" w:rsidRPr="00BA5229">
        <w:rPr>
          <w:lang w:val="en-US"/>
        </w:rPr>
        <w:t xml:space="preserve"> (</w:t>
      </w:r>
      <w:r w:rsidR="00585280" w:rsidRPr="00BA5229">
        <w:rPr>
          <w:lang w:val="en-US"/>
        </w:rPr>
        <w:t xml:space="preserve">known as qualifying facilities </w:t>
      </w:r>
      <w:r w:rsidR="00977F3D" w:rsidRPr="00BA5229">
        <w:rPr>
          <w:lang w:val="en-US"/>
        </w:rPr>
        <w:t>or “QFs”)</w:t>
      </w:r>
      <w:r w:rsidR="00977F3D" w:rsidRPr="00BA5229">
        <w:rPr>
          <w:color w:val="000000"/>
          <w:lang w:val="en-US" w:eastAsia="en-US"/>
        </w:rPr>
        <w:t xml:space="preserve"> </w:t>
      </w:r>
      <w:r w:rsidR="00977F3D" w:rsidRPr="00BA5229">
        <w:rPr>
          <w:lang w:val="en-US"/>
        </w:rPr>
        <w:t>with a nameplate capacity of 2 megawatts (</w:t>
      </w:r>
      <w:r w:rsidR="00F27BE5">
        <w:rPr>
          <w:lang w:val="en-US"/>
        </w:rPr>
        <w:t>“</w:t>
      </w:r>
      <w:r w:rsidR="00977F3D" w:rsidRPr="00BA5229">
        <w:rPr>
          <w:lang w:val="en-US"/>
        </w:rPr>
        <w:t>MW</w:t>
      </w:r>
      <w:r w:rsidR="00F27BE5">
        <w:rPr>
          <w:lang w:val="en-US"/>
        </w:rPr>
        <w:t>”</w:t>
      </w:r>
      <w:r w:rsidR="00977F3D" w:rsidRPr="00BA5229">
        <w:rPr>
          <w:lang w:val="en-US"/>
        </w:rPr>
        <w:t xml:space="preserve">) or </w:t>
      </w:r>
      <w:r w:rsidR="007A0C85">
        <w:rPr>
          <w:lang w:val="en-US"/>
        </w:rPr>
        <w:t>fewer</w:t>
      </w:r>
      <w:r w:rsidR="00977F3D" w:rsidRPr="00BA5229">
        <w:rPr>
          <w:lang w:val="en-US"/>
        </w:rPr>
        <w:t xml:space="preserve">. The </w:t>
      </w:r>
      <w:r w:rsidR="006B155C">
        <w:rPr>
          <w:lang w:val="en-US"/>
        </w:rPr>
        <w:t>S</w:t>
      </w:r>
      <w:r w:rsidR="00977F3D" w:rsidRPr="00BA5229">
        <w:rPr>
          <w:lang w:val="en-US"/>
        </w:rPr>
        <w:t xml:space="preserve">chedule 37 tariff </w:t>
      </w:r>
      <w:r w:rsidR="0028070B" w:rsidRPr="00BA5229">
        <w:rPr>
          <w:lang w:val="en-US"/>
        </w:rPr>
        <w:t xml:space="preserve">in effect </w:t>
      </w:r>
      <w:r w:rsidR="009F5001" w:rsidRPr="00BA5229">
        <w:rPr>
          <w:lang w:val="en-US"/>
        </w:rPr>
        <w:t xml:space="preserve">protects </w:t>
      </w:r>
      <w:r w:rsidR="00F045F1" w:rsidRPr="00BA5229">
        <w:rPr>
          <w:lang w:val="en-US"/>
        </w:rPr>
        <w:t>the Company’s interest</w:t>
      </w:r>
      <w:r w:rsidR="00E17FDA">
        <w:rPr>
          <w:lang w:val="en-US"/>
        </w:rPr>
        <w:t xml:space="preserve"> of minimizing QF costs</w:t>
      </w:r>
      <w:r w:rsidR="00976671" w:rsidRPr="00BA5229">
        <w:rPr>
          <w:lang w:val="en-US"/>
        </w:rPr>
        <w:t xml:space="preserve">, but </w:t>
      </w:r>
      <w:r w:rsidR="00F045F1" w:rsidRPr="00BA5229">
        <w:rPr>
          <w:lang w:val="en-US"/>
        </w:rPr>
        <w:t>has</w:t>
      </w:r>
      <w:r w:rsidR="00585280" w:rsidRPr="00BA5229">
        <w:rPr>
          <w:lang w:val="en-US"/>
        </w:rPr>
        <w:t xml:space="preserve"> failed</w:t>
      </w:r>
      <w:r w:rsidR="00F045F1" w:rsidRPr="00BA5229">
        <w:rPr>
          <w:lang w:val="en-US"/>
        </w:rPr>
        <w:t xml:space="preserve"> </w:t>
      </w:r>
      <w:r w:rsidR="00585280" w:rsidRPr="00BA5229">
        <w:rPr>
          <w:lang w:val="en-US"/>
        </w:rPr>
        <w:t>to encourage</w:t>
      </w:r>
      <w:r w:rsidR="00F045F1" w:rsidRPr="00BA5229">
        <w:rPr>
          <w:lang w:val="en-US"/>
        </w:rPr>
        <w:t xml:space="preserve"> </w:t>
      </w:r>
      <w:r w:rsidR="00977F3D" w:rsidRPr="00BA5229">
        <w:rPr>
          <w:lang w:val="en-US"/>
        </w:rPr>
        <w:t xml:space="preserve">QF </w:t>
      </w:r>
      <w:r w:rsidR="00F045F1" w:rsidRPr="00BA5229">
        <w:rPr>
          <w:lang w:val="en-US"/>
        </w:rPr>
        <w:t>development</w:t>
      </w:r>
      <w:r w:rsidR="006E20B1" w:rsidRPr="00BA5229">
        <w:rPr>
          <w:lang w:val="en-US"/>
        </w:rPr>
        <w:t xml:space="preserve">. </w:t>
      </w:r>
      <w:r w:rsidR="00F045F1" w:rsidRPr="00BA5229">
        <w:rPr>
          <w:lang w:val="en-US"/>
        </w:rPr>
        <w:t>PacifiCorp seeks to tip the balance even further in its favor</w:t>
      </w:r>
      <w:r w:rsidR="00585280" w:rsidRPr="00BA5229">
        <w:rPr>
          <w:lang w:val="en-US"/>
        </w:rPr>
        <w:t xml:space="preserve"> by reducing the rate available</w:t>
      </w:r>
      <w:r w:rsidR="00E63C5A" w:rsidRPr="00BA5229">
        <w:rPr>
          <w:lang w:val="en-US"/>
        </w:rPr>
        <w:t xml:space="preserve"> in its standard offer</w:t>
      </w:r>
      <w:r w:rsidR="00585280" w:rsidRPr="00BA5229">
        <w:rPr>
          <w:lang w:val="en-US"/>
        </w:rPr>
        <w:t xml:space="preserve"> </w:t>
      </w:r>
      <w:r w:rsidR="0028070B" w:rsidRPr="00BA5229">
        <w:rPr>
          <w:lang w:val="en-US"/>
        </w:rPr>
        <w:t>to these small qualifying facilities</w:t>
      </w:r>
      <w:r w:rsidR="00F045F1" w:rsidRPr="00BA5229">
        <w:rPr>
          <w:lang w:val="en-US"/>
        </w:rPr>
        <w:t xml:space="preserve">. </w:t>
      </w:r>
    </w:p>
    <w:p w14:paraId="7E14B2ED" w14:textId="6C642212" w:rsidR="00762E0A" w:rsidRPr="00BA5229" w:rsidRDefault="009F5001" w:rsidP="00BA5229">
      <w:pPr>
        <w:pStyle w:val="WUTCParagraph"/>
        <w:tabs>
          <w:tab w:val="clear" w:pos="1440"/>
        </w:tabs>
        <w:rPr>
          <w:lang w:val="en-US"/>
        </w:rPr>
      </w:pPr>
      <w:r w:rsidRPr="00BA5229">
        <w:rPr>
          <w:lang w:val="en-US"/>
        </w:rPr>
        <w:t xml:space="preserve"> </w:t>
      </w:r>
      <w:r w:rsidRPr="00BA5229">
        <w:rPr>
          <w:lang w:val="en-US"/>
        </w:rPr>
        <w:tab/>
      </w:r>
      <w:r w:rsidR="000A056A" w:rsidRPr="00BA5229">
        <w:rPr>
          <w:lang w:val="en-US"/>
        </w:rPr>
        <w:t xml:space="preserve">PacifiCorp </w:t>
      </w:r>
      <w:r w:rsidR="00AA2B07" w:rsidRPr="00BA5229">
        <w:rPr>
          <w:lang w:val="en-US"/>
        </w:rPr>
        <w:t xml:space="preserve">seeks to </w:t>
      </w:r>
      <w:r w:rsidR="00977F3D" w:rsidRPr="00BA5229">
        <w:rPr>
          <w:lang w:val="en-US"/>
        </w:rPr>
        <w:t xml:space="preserve">reduce the rate by </w:t>
      </w:r>
      <w:r w:rsidR="00AA2B07" w:rsidRPr="00BA5229">
        <w:rPr>
          <w:lang w:val="en-US"/>
        </w:rPr>
        <w:t>chang</w:t>
      </w:r>
      <w:r w:rsidR="00977F3D" w:rsidRPr="00BA5229">
        <w:rPr>
          <w:lang w:val="en-US"/>
        </w:rPr>
        <w:t>ing</w:t>
      </w:r>
      <w:r w:rsidR="00AA2B07" w:rsidRPr="00BA5229">
        <w:rPr>
          <w:lang w:val="en-US"/>
        </w:rPr>
        <w:t xml:space="preserve"> the method </w:t>
      </w:r>
      <w:r w:rsidR="0097033A" w:rsidRPr="00BA5229">
        <w:rPr>
          <w:lang w:val="en-US"/>
        </w:rPr>
        <w:t>used by</w:t>
      </w:r>
      <w:r w:rsidR="00AA2B07" w:rsidRPr="00BA5229">
        <w:rPr>
          <w:lang w:val="en-US"/>
        </w:rPr>
        <w:t xml:space="preserve"> the Washington</w:t>
      </w:r>
      <w:r w:rsidR="00976671" w:rsidRPr="00BA5229">
        <w:rPr>
          <w:lang w:val="en-US"/>
        </w:rPr>
        <w:t xml:space="preserve"> Utilities and </w:t>
      </w:r>
      <w:r w:rsidR="00AA2B07" w:rsidRPr="00BA5229">
        <w:rPr>
          <w:lang w:val="en-US"/>
        </w:rPr>
        <w:t xml:space="preserve">Transportation Commission (“Commission”) to determine </w:t>
      </w:r>
      <w:r w:rsidR="00E63C5A" w:rsidRPr="00BA5229">
        <w:rPr>
          <w:lang w:val="en-US"/>
        </w:rPr>
        <w:t xml:space="preserve">the costs that the Company avoids </w:t>
      </w:r>
      <w:r w:rsidR="00976DB2" w:rsidRPr="00BA5229">
        <w:rPr>
          <w:lang w:val="en-US"/>
        </w:rPr>
        <w:t>when it</w:t>
      </w:r>
      <w:r w:rsidR="00E63C5A" w:rsidRPr="00BA5229">
        <w:rPr>
          <w:lang w:val="en-US"/>
        </w:rPr>
        <w:t xml:space="preserve"> purchas</w:t>
      </w:r>
      <w:r w:rsidR="00976DB2" w:rsidRPr="00BA5229">
        <w:rPr>
          <w:lang w:val="en-US"/>
        </w:rPr>
        <w:t>es</w:t>
      </w:r>
      <w:r w:rsidR="00E63C5A" w:rsidRPr="00BA5229">
        <w:rPr>
          <w:lang w:val="en-US"/>
        </w:rPr>
        <w:t xml:space="preserve"> QF power</w:t>
      </w:r>
      <w:r w:rsidR="00762E0A" w:rsidRPr="00BA5229">
        <w:rPr>
          <w:lang w:val="en-US"/>
        </w:rPr>
        <w:t xml:space="preserve">. </w:t>
      </w:r>
      <w:r w:rsidR="00AA2B07" w:rsidRPr="00BA5229">
        <w:rPr>
          <w:lang w:val="en-US"/>
        </w:rPr>
        <w:t xml:space="preserve">Specifically, PacifiCorp seeks to eliminate payments </w:t>
      </w:r>
      <w:r w:rsidR="00E63C5A" w:rsidRPr="00BA5229">
        <w:rPr>
          <w:lang w:val="en-US"/>
        </w:rPr>
        <w:t xml:space="preserve">to QFs </w:t>
      </w:r>
      <w:r w:rsidR="00AA2B07" w:rsidRPr="00BA5229">
        <w:rPr>
          <w:lang w:val="en-US"/>
        </w:rPr>
        <w:t xml:space="preserve">for capacity </w:t>
      </w:r>
      <w:r w:rsidR="00E63C5A" w:rsidRPr="00BA5229">
        <w:rPr>
          <w:lang w:val="en-US"/>
        </w:rPr>
        <w:t xml:space="preserve">that are </w:t>
      </w:r>
      <w:r w:rsidR="00AA2B07" w:rsidRPr="00BA5229">
        <w:rPr>
          <w:lang w:val="en-US"/>
        </w:rPr>
        <w:t xml:space="preserve">based on the costs of a </w:t>
      </w:r>
      <w:r w:rsidR="00824272" w:rsidRPr="00BA5229">
        <w:rPr>
          <w:lang w:val="en-US"/>
        </w:rPr>
        <w:t>thermal generator</w:t>
      </w:r>
      <w:r w:rsidR="00AA2B07" w:rsidRPr="00BA5229">
        <w:rPr>
          <w:lang w:val="en-US"/>
        </w:rPr>
        <w:t xml:space="preserve"> </w:t>
      </w:r>
      <w:r w:rsidR="00824272" w:rsidRPr="00BA5229">
        <w:rPr>
          <w:lang w:val="en-US"/>
        </w:rPr>
        <w:t xml:space="preserve">because the Company’s Integrated Resource Plan </w:t>
      </w:r>
      <w:r w:rsidR="004719BC" w:rsidRPr="00BA5229">
        <w:rPr>
          <w:lang w:val="en-US"/>
        </w:rPr>
        <w:t>(“IRP”)</w:t>
      </w:r>
      <w:r w:rsidR="00824272" w:rsidRPr="00BA5229">
        <w:rPr>
          <w:lang w:val="en-US"/>
        </w:rPr>
        <w:t xml:space="preserve"> does not call for </w:t>
      </w:r>
      <w:r w:rsidR="00F94826" w:rsidRPr="00BA5229">
        <w:rPr>
          <w:lang w:val="en-US"/>
        </w:rPr>
        <w:t xml:space="preserve">construction of </w:t>
      </w:r>
      <w:r w:rsidR="00824272" w:rsidRPr="00BA5229">
        <w:rPr>
          <w:lang w:val="en-US"/>
        </w:rPr>
        <w:t>another thermal resource in the next ten years</w:t>
      </w:r>
      <w:r w:rsidR="00AA2B07" w:rsidRPr="00BA5229">
        <w:rPr>
          <w:lang w:val="en-US"/>
        </w:rPr>
        <w:t>.</w:t>
      </w:r>
      <w:r w:rsidR="00AA2B07" w:rsidRPr="00BA5229">
        <w:rPr>
          <w:rStyle w:val="FootnoteReference"/>
          <w:lang w:val="en-US"/>
        </w:rPr>
        <w:footnoteReference w:id="2"/>
      </w:r>
      <w:r w:rsidR="00AA2B07" w:rsidRPr="00BA5229">
        <w:rPr>
          <w:lang w:val="en-US"/>
        </w:rPr>
        <w:t xml:space="preserve"> </w:t>
      </w:r>
      <w:r w:rsidR="00465142" w:rsidRPr="00BA5229">
        <w:rPr>
          <w:lang w:val="en-US"/>
        </w:rPr>
        <w:t>If e</w:t>
      </w:r>
      <w:r w:rsidR="000472F5" w:rsidRPr="00BA5229">
        <w:rPr>
          <w:lang w:val="en-US"/>
        </w:rPr>
        <w:t>liminat</w:t>
      </w:r>
      <w:r w:rsidR="00465142" w:rsidRPr="00BA5229">
        <w:rPr>
          <w:lang w:val="en-US"/>
        </w:rPr>
        <w:t xml:space="preserve">ed, </w:t>
      </w:r>
      <w:r w:rsidR="00645930" w:rsidRPr="00BA5229">
        <w:rPr>
          <w:lang w:val="en-US"/>
        </w:rPr>
        <w:t>the Company</w:t>
      </w:r>
      <w:r w:rsidR="00465142" w:rsidRPr="00BA5229">
        <w:rPr>
          <w:lang w:val="en-US"/>
        </w:rPr>
        <w:t xml:space="preserve"> would purchase </w:t>
      </w:r>
      <w:r w:rsidR="000472F5" w:rsidRPr="00BA5229">
        <w:rPr>
          <w:lang w:val="en-US"/>
        </w:rPr>
        <w:t xml:space="preserve">QF power </w:t>
      </w:r>
      <w:r w:rsidR="00465142" w:rsidRPr="00BA5229">
        <w:rPr>
          <w:lang w:val="en-US"/>
        </w:rPr>
        <w:t>at</w:t>
      </w:r>
      <w:r w:rsidR="00144216" w:rsidRPr="00BA5229">
        <w:rPr>
          <w:lang w:val="en-US"/>
        </w:rPr>
        <w:t xml:space="preserve"> a </w:t>
      </w:r>
      <w:r w:rsidR="00465142" w:rsidRPr="00BA5229">
        <w:rPr>
          <w:lang w:val="en-US"/>
        </w:rPr>
        <w:t xml:space="preserve">rate that equals </w:t>
      </w:r>
      <w:r w:rsidR="00976671" w:rsidRPr="00BA5229">
        <w:rPr>
          <w:lang w:val="en-US"/>
        </w:rPr>
        <w:t xml:space="preserve">its </w:t>
      </w:r>
      <w:r w:rsidR="00976DB2" w:rsidRPr="00BA5229">
        <w:rPr>
          <w:lang w:val="en-US"/>
        </w:rPr>
        <w:t>projection</w:t>
      </w:r>
      <w:r w:rsidR="00F629D8" w:rsidRPr="00BA5229">
        <w:rPr>
          <w:lang w:val="en-US"/>
        </w:rPr>
        <w:t xml:space="preserve"> </w:t>
      </w:r>
      <w:r w:rsidR="00E63C5A" w:rsidRPr="00BA5229">
        <w:rPr>
          <w:lang w:val="en-US"/>
        </w:rPr>
        <w:t>for</w:t>
      </w:r>
      <w:r w:rsidR="006E20B1" w:rsidRPr="00BA5229">
        <w:rPr>
          <w:lang w:val="en-US"/>
        </w:rPr>
        <w:t xml:space="preserve"> the</w:t>
      </w:r>
      <w:r w:rsidR="005C5E8F" w:rsidRPr="00BA5229">
        <w:rPr>
          <w:lang w:val="en-US"/>
        </w:rPr>
        <w:t xml:space="preserve"> </w:t>
      </w:r>
      <w:r w:rsidR="006E20B1" w:rsidRPr="00BA5229">
        <w:rPr>
          <w:lang w:val="en-US"/>
        </w:rPr>
        <w:t>market price</w:t>
      </w:r>
      <w:r w:rsidR="005C5E8F" w:rsidRPr="00BA5229">
        <w:rPr>
          <w:lang w:val="en-US"/>
        </w:rPr>
        <w:t xml:space="preserve"> </w:t>
      </w:r>
      <w:r w:rsidR="00E63C5A" w:rsidRPr="00BA5229">
        <w:rPr>
          <w:lang w:val="en-US"/>
        </w:rPr>
        <w:t>of</w:t>
      </w:r>
      <w:r w:rsidR="005C5E8F" w:rsidRPr="00BA5229">
        <w:rPr>
          <w:lang w:val="en-US"/>
        </w:rPr>
        <w:t xml:space="preserve"> wholesale power</w:t>
      </w:r>
      <w:r w:rsidR="00F629D8" w:rsidRPr="00BA5229">
        <w:rPr>
          <w:lang w:val="en-US"/>
        </w:rPr>
        <w:t xml:space="preserve">. </w:t>
      </w:r>
      <w:r w:rsidR="00762E0A" w:rsidRPr="00BA5229">
        <w:rPr>
          <w:lang w:val="en-US"/>
        </w:rPr>
        <w:t xml:space="preserve">PacifiCorp’s </w:t>
      </w:r>
      <w:r w:rsidR="007540CD" w:rsidRPr="00BA5229">
        <w:rPr>
          <w:lang w:val="en-US"/>
        </w:rPr>
        <w:t xml:space="preserve">proposal </w:t>
      </w:r>
      <w:r w:rsidR="006E20B1" w:rsidRPr="00BA5229">
        <w:rPr>
          <w:lang w:val="en-US"/>
        </w:rPr>
        <w:t>would</w:t>
      </w:r>
      <w:r w:rsidR="007540CD" w:rsidRPr="00BA5229">
        <w:rPr>
          <w:lang w:val="en-US"/>
        </w:rPr>
        <w:t xml:space="preserve"> </w:t>
      </w:r>
      <w:r w:rsidR="00762E0A" w:rsidRPr="00BA5229">
        <w:rPr>
          <w:lang w:val="en-US"/>
        </w:rPr>
        <w:t xml:space="preserve">suppress the rate </w:t>
      </w:r>
      <w:r w:rsidR="004719BC" w:rsidRPr="00BA5229">
        <w:rPr>
          <w:lang w:val="en-US"/>
        </w:rPr>
        <w:t xml:space="preserve">for </w:t>
      </w:r>
      <w:r w:rsidR="00F94826" w:rsidRPr="00BA5229">
        <w:rPr>
          <w:lang w:val="en-US"/>
        </w:rPr>
        <w:t xml:space="preserve">QF </w:t>
      </w:r>
      <w:r w:rsidR="004719BC" w:rsidRPr="00BA5229">
        <w:rPr>
          <w:lang w:val="en-US"/>
        </w:rPr>
        <w:t>power</w:t>
      </w:r>
      <w:r w:rsidR="0028070B" w:rsidRPr="00BA5229">
        <w:rPr>
          <w:lang w:val="en-US"/>
        </w:rPr>
        <w:t>,</w:t>
      </w:r>
      <w:r w:rsidR="00844F7E" w:rsidRPr="00BA5229">
        <w:rPr>
          <w:lang w:val="en-US"/>
        </w:rPr>
        <w:t xml:space="preserve"> </w:t>
      </w:r>
      <w:r w:rsidR="00E63C5A" w:rsidRPr="00BA5229">
        <w:rPr>
          <w:lang w:val="en-US"/>
        </w:rPr>
        <w:t>and thus</w:t>
      </w:r>
      <w:r w:rsidR="00844F7E" w:rsidRPr="00BA5229">
        <w:rPr>
          <w:lang w:val="en-US"/>
        </w:rPr>
        <w:t xml:space="preserve"> </w:t>
      </w:r>
      <w:r w:rsidR="006E20B1" w:rsidRPr="00BA5229">
        <w:rPr>
          <w:lang w:val="en-US"/>
        </w:rPr>
        <w:t xml:space="preserve">further </w:t>
      </w:r>
      <w:r w:rsidR="0028070B" w:rsidRPr="00BA5229">
        <w:rPr>
          <w:lang w:val="en-US"/>
        </w:rPr>
        <w:t>discourag</w:t>
      </w:r>
      <w:r w:rsidR="00E63C5A" w:rsidRPr="00BA5229">
        <w:rPr>
          <w:lang w:val="en-US"/>
        </w:rPr>
        <w:t>e</w:t>
      </w:r>
      <w:r w:rsidR="00844F7E" w:rsidRPr="00BA5229">
        <w:rPr>
          <w:lang w:val="en-US"/>
        </w:rPr>
        <w:t xml:space="preserve"> </w:t>
      </w:r>
      <w:r w:rsidR="00697DE3" w:rsidRPr="00BA5229">
        <w:rPr>
          <w:lang w:val="en-US"/>
        </w:rPr>
        <w:t>QF</w:t>
      </w:r>
      <w:r w:rsidR="00844F7E" w:rsidRPr="00BA5229">
        <w:rPr>
          <w:lang w:val="en-US"/>
        </w:rPr>
        <w:t xml:space="preserve"> development</w:t>
      </w:r>
      <w:r w:rsidR="004719BC" w:rsidRPr="00BA5229">
        <w:rPr>
          <w:lang w:val="en-US"/>
        </w:rPr>
        <w:t xml:space="preserve"> in </w:t>
      </w:r>
      <w:r w:rsidR="00F94826" w:rsidRPr="00BA5229">
        <w:rPr>
          <w:lang w:val="en-US"/>
        </w:rPr>
        <w:t xml:space="preserve">its </w:t>
      </w:r>
      <w:r w:rsidR="004719BC" w:rsidRPr="00BA5229">
        <w:rPr>
          <w:lang w:val="en-US"/>
        </w:rPr>
        <w:t>Washington</w:t>
      </w:r>
      <w:r w:rsidR="00F94826" w:rsidRPr="00BA5229">
        <w:rPr>
          <w:lang w:val="en-US"/>
        </w:rPr>
        <w:t xml:space="preserve"> service territory</w:t>
      </w:r>
      <w:r w:rsidR="00844F7E" w:rsidRPr="00BA5229">
        <w:rPr>
          <w:lang w:val="en-US"/>
        </w:rPr>
        <w:t xml:space="preserve">. </w:t>
      </w:r>
      <w:r w:rsidR="005839D1">
        <w:rPr>
          <w:lang w:val="en-US"/>
        </w:rPr>
        <w:t xml:space="preserve">The Commission should reject PacifiCorp’s proposal. </w:t>
      </w:r>
    </w:p>
    <w:p w14:paraId="6F4C4CEA" w14:textId="4FD0C2E7" w:rsidR="00844F7E" w:rsidRPr="00BA5229" w:rsidRDefault="00844F7E" w:rsidP="00BA5229">
      <w:pPr>
        <w:pStyle w:val="WUTCParagraph"/>
        <w:tabs>
          <w:tab w:val="clear" w:pos="1440"/>
        </w:tabs>
        <w:rPr>
          <w:lang w:val="en-US"/>
        </w:rPr>
      </w:pPr>
      <w:r w:rsidRPr="00BA5229">
        <w:rPr>
          <w:lang w:val="en-US"/>
        </w:rPr>
        <w:t xml:space="preserve"> </w:t>
      </w:r>
      <w:r w:rsidRPr="00BA5229">
        <w:rPr>
          <w:lang w:val="en-US"/>
        </w:rPr>
        <w:tab/>
      </w:r>
      <w:r w:rsidR="005C5E8F" w:rsidRPr="00BA5229">
        <w:rPr>
          <w:lang w:val="en-US"/>
        </w:rPr>
        <w:t>PacifiCorp’s proposal</w:t>
      </w:r>
      <w:r w:rsidR="00E17FDA">
        <w:rPr>
          <w:lang w:val="en-US"/>
        </w:rPr>
        <w:t xml:space="preserve"> also</w:t>
      </w:r>
      <w:r w:rsidR="005C5E8F" w:rsidRPr="00BA5229">
        <w:rPr>
          <w:lang w:val="en-US"/>
        </w:rPr>
        <w:t xml:space="preserve"> contradicts the </w:t>
      </w:r>
      <w:r w:rsidR="0028070B" w:rsidRPr="00BA5229">
        <w:rPr>
          <w:lang w:val="en-US"/>
        </w:rPr>
        <w:t>Public Utilities Regulatory Policies Act of 1978 (“PURPA”)</w:t>
      </w:r>
      <w:r w:rsidR="005C5E8F" w:rsidRPr="00BA5229">
        <w:rPr>
          <w:lang w:val="en-US"/>
        </w:rPr>
        <w:t xml:space="preserve">. </w:t>
      </w:r>
      <w:r w:rsidRPr="00BA5229">
        <w:rPr>
          <w:lang w:val="en-US"/>
        </w:rPr>
        <w:t xml:space="preserve">Congress enacted PURPA to encourage the development of </w:t>
      </w:r>
      <w:r w:rsidR="00F94826" w:rsidRPr="00BA5229">
        <w:rPr>
          <w:lang w:val="en-US"/>
        </w:rPr>
        <w:t>QFs</w:t>
      </w:r>
      <w:r w:rsidRPr="00BA5229">
        <w:rPr>
          <w:lang w:val="en-US"/>
        </w:rPr>
        <w:t>.</w:t>
      </w:r>
      <w:r w:rsidRPr="00BA5229">
        <w:rPr>
          <w:rStyle w:val="FootnoteReference"/>
          <w:lang w:val="en-US"/>
        </w:rPr>
        <w:footnoteReference w:id="3"/>
      </w:r>
      <w:r w:rsidRPr="00BA5229">
        <w:rPr>
          <w:lang w:val="en-US"/>
        </w:rPr>
        <w:t xml:space="preserve"> The federal scheme dictates that electric utilities, like PacifiCorp, must purchase power generated by QFs at the </w:t>
      </w:r>
      <w:r w:rsidR="009745FF" w:rsidRPr="00BA5229">
        <w:rPr>
          <w:lang w:val="en-US"/>
        </w:rPr>
        <w:t>utility’s</w:t>
      </w:r>
      <w:r w:rsidRPr="00BA5229">
        <w:rPr>
          <w:lang w:val="en-US"/>
        </w:rPr>
        <w:t xml:space="preserve"> </w:t>
      </w:r>
      <w:r w:rsidR="0028070B" w:rsidRPr="00BA5229">
        <w:rPr>
          <w:lang w:val="en-US"/>
        </w:rPr>
        <w:t>“</w:t>
      </w:r>
      <w:r w:rsidRPr="00BA5229">
        <w:rPr>
          <w:i/>
          <w:lang w:val="en-US"/>
        </w:rPr>
        <w:t>full</w:t>
      </w:r>
      <w:r w:rsidRPr="00BA5229">
        <w:rPr>
          <w:lang w:val="en-US"/>
        </w:rPr>
        <w:t xml:space="preserve"> </w:t>
      </w:r>
      <w:r w:rsidRPr="00BA5229">
        <w:rPr>
          <w:i/>
          <w:lang w:val="en-US"/>
        </w:rPr>
        <w:t>avoided cost</w:t>
      </w:r>
      <w:r w:rsidR="0028070B" w:rsidRPr="00BA5229">
        <w:rPr>
          <w:i/>
          <w:lang w:val="en-US"/>
        </w:rPr>
        <w:t>”</w:t>
      </w:r>
      <w:r w:rsidR="00E17FDA">
        <w:rPr>
          <w:i/>
          <w:lang w:val="en-US"/>
        </w:rPr>
        <w:t xml:space="preserve"> </w:t>
      </w:r>
      <w:r w:rsidRPr="00BA5229">
        <w:rPr>
          <w:lang w:val="en-US"/>
        </w:rPr>
        <w:t>—</w:t>
      </w:r>
      <w:r w:rsidR="00E17FDA">
        <w:rPr>
          <w:lang w:val="en-US"/>
        </w:rPr>
        <w:t xml:space="preserve"> </w:t>
      </w:r>
      <w:r w:rsidRPr="00BA5229">
        <w:rPr>
          <w:lang w:val="en-US"/>
        </w:rPr>
        <w:t xml:space="preserve">that is, the cost that the utility avoids by not having to generate </w:t>
      </w:r>
      <w:r w:rsidR="00697DE3" w:rsidRPr="00BA5229">
        <w:rPr>
          <w:lang w:val="en-US"/>
        </w:rPr>
        <w:t xml:space="preserve">power </w:t>
      </w:r>
      <w:r w:rsidRPr="00BA5229">
        <w:rPr>
          <w:lang w:val="en-US"/>
        </w:rPr>
        <w:t xml:space="preserve">itself or purchase </w:t>
      </w:r>
      <w:r w:rsidR="00697DE3" w:rsidRPr="00BA5229">
        <w:rPr>
          <w:lang w:val="en-US"/>
        </w:rPr>
        <w:t>power</w:t>
      </w:r>
      <w:r w:rsidRPr="00BA5229">
        <w:rPr>
          <w:lang w:val="en-US"/>
        </w:rPr>
        <w:t xml:space="preserve"> from another source.</w:t>
      </w:r>
      <w:r w:rsidRPr="00BA5229">
        <w:rPr>
          <w:rStyle w:val="FootnoteReference"/>
          <w:lang w:val="en-US"/>
        </w:rPr>
        <w:footnoteReference w:id="4"/>
      </w:r>
      <w:r w:rsidR="009745FF" w:rsidRPr="00BA5229">
        <w:rPr>
          <w:lang w:val="en-US"/>
        </w:rPr>
        <w:t xml:space="preserve"> PacifiCorp’s proposal</w:t>
      </w:r>
      <w:r w:rsidR="001F4439" w:rsidRPr="00BA5229">
        <w:rPr>
          <w:lang w:val="en-US"/>
        </w:rPr>
        <w:t xml:space="preserve"> </w:t>
      </w:r>
      <w:r w:rsidR="00F94826" w:rsidRPr="00BA5229">
        <w:rPr>
          <w:lang w:val="en-US"/>
        </w:rPr>
        <w:t>fails to</w:t>
      </w:r>
      <w:r w:rsidR="004719BC" w:rsidRPr="00BA5229">
        <w:rPr>
          <w:lang w:val="en-US"/>
        </w:rPr>
        <w:t xml:space="preserve"> capture </w:t>
      </w:r>
      <w:r w:rsidR="000E44E1" w:rsidRPr="00BA5229">
        <w:rPr>
          <w:lang w:val="en-US"/>
        </w:rPr>
        <w:t>its</w:t>
      </w:r>
      <w:r w:rsidR="004719BC" w:rsidRPr="00BA5229">
        <w:rPr>
          <w:lang w:val="en-US"/>
        </w:rPr>
        <w:t xml:space="preserve"> full </w:t>
      </w:r>
      <w:r w:rsidR="00177195" w:rsidRPr="00BA5229">
        <w:rPr>
          <w:lang w:val="en-US"/>
        </w:rPr>
        <w:t>avoided cost</w:t>
      </w:r>
      <w:r w:rsidR="00697DE3" w:rsidRPr="00BA5229">
        <w:rPr>
          <w:lang w:val="en-US"/>
        </w:rPr>
        <w:t xml:space="preserve"> </w:t>
      </w:r>
      <w:r w:rsidR="001F4439" w:rsidRPr="00BA5229">
        <w:rPr>
          <w:lang w:val="en-US"/>
        </w:rPr>
        <w:t xml:space="preserve">because </w:t>
      </w:r>
      <w:r w:rsidR="000E44E1" w:rsidRPr="00BA5229">
        <w:rPr>
          <w:lang w:val="en-US"/>
        </w:rPr>
        <w:t xml:space="preserve">the Company’s </w:t>
      </w:r>
      <w:r w:rsidR="00F27BE5">
        <w:rPr>
          <w:lang w:val="en-US"/>
        </w:rPr>
        <w:t>estimated cost of market purchases</w:t>
      </w:r>
      <w:r w:rsidR="000E44E1" w:rsidRPr="00BA5229">
        <w:rPr>
          <w:lang w:val="en-US"/>
        </w:rPr>
        <w:t xml:space="preserve"> do</w:t>
      </w:r>
      <w:r w:rsidR="00F27BE5">
        <w:rPr>
          <w:lang w:val="en-US"/>
        </w:rPr>
        <w:t>es</w:t>
      </w:r>
      <w:r w:rsidR="000E44E1" w:rsidRPr="00BA5229">
        <w:rPr>
          <w:lang w:val="en-US"/>
        </w:rPr>
        <w:t xml:space="preserve"> not account for the </w:t>
      </w:r>
      <w:r w:rsidR="00F27BE5">
        <w:rPr>
          <w:lang w:val="en-US"/>
        </w:rPr>
        <w:t xml:space="preserve">significant risk that it will not be able to purchase the amount of power it needs at the price it predicts. The Company avoids this market risk when it purchases </w:t>
      </w:r>
      <w:r w:rsidR="000E44E1" w:rsidRPr="00BA5229">
        <w:rPr>
          <w:lang w:val="en-US"/>
        </w:rPr>
        <w:t>QF power</w:t>
      </w:r>
      <w:r w:rsidR="00FC6B29" w:rsidRPr="00BA5229">
        <w:rPr>
          <w:lang w:val="en-US"/>
        </w:rPr>
        <w:t xml:space="preserve"> </w:t>
      </w:r>
      <w:r w:rsidR="00F27BE5">
        <w:rPr>
          <w:lang w:val="en-US"/>
        </w:rPr>
        <w:t>instead of power on the wholesale market</w:t>
      </w:r>
      <w:r w:rsidR="00557FDC">
        <w:rPr>
          <w:lang w:val="en-US"/>
        </w:rPr>
        <w:t>. Accordingly, the Company’s full avoided cost rate should include the value of avoided market risk</w:t>
      </w:r>
      <w:r w:rsidR="000E44E1" w:rsidRPr="00BA5229">
        <w:rPr>
          <w:lang w:val="en-US"/>
        </w:rPr>
        <w:t>.</w:t>
      </w:r>
      <w:r w:rsidR="00177195" w:rsidRPr="00BA5229">
        <w:rPr>
          <w:lang w:val="en-US"/>
        </w:rPr>
        <w:t xml:space="preserve"> </w:t>
      </w:r>
    </w:p>
    <w:p w14:paraId="6B0CA443" w14:textId="6C4B87C3" w:rsidR="009224D0" w:rsidRDefault="00697DE3" w:rsidP="00BA5229">
      <w:pPr>
        <w:pStyle w:val="WUTCParagraph"/>
        <w:tabs>
          <w:tab w:val="clear" w:pos="1440"/>
        </w:tabs>
        <w:rPr>
          <w:lang w:val="en-US"/>
        </w:rPr>
      </w:pPr>
      <w:r w:rsidRPr="00BA5229">
        <w:rPr>
          <w:lang w:val="en-US"/>
        </w:rPr>
        <w:t xml:space="preserve"> </w:t>
      </w:r>
      <w:r w:rsidRPr="00BA5229">
        <w:rPr>
          <w:lang w:val="en-US"/>
        </w:rPr>
        <w:tab/>
      </w:r>
      <w:r w:rsidR="00177195" w:rsidRPr="00BA5229">
        <w:rPr>
          <w:lang w:val="en-US"/>
        </w:rPr>
        <w:t xml:space="preserve">To more accurately capture the </w:t>
      </w:r>
      <w:r w:rsidR="00E63C5A" w:rsidRPr="00BA5229">
        <w:rPr>
          <w:lang w:val="en-US"/>
        </w:rPr>
        <w:t>Company</w:t>
      </w:r>
      <w:r w:rsidR="009B15AB">
        <w:rPr>
          <w:lang w:val="en-US"/>
        </w:rPr>
        <w:t>’s full avoided cost</w:t>
      </w:r>
      <w:r w:rsidR="00177195" w:rsidRPr="00BA5229">
        <w:rPr>
          <w:lang w:val="en-US"/>
        </w:rPr>
        <w:t>, Commission staff (“Staff”) proposes that PacifiCorp calculate its avoided cost</w:t>
      </w:r>
      <w:r w:rsidR="00557FDC">
        <w:rPr>
          <w:lang w:val="en-US"/>
        </w:rPr>
        <w:t xml:space="preserve"> of</w:t>
      </w:r>
      <w:r w:rsidR="00177195" w:rsidRPr="00BA5229">
        <w:rPr>
          <w:lang w:val="en-US"/>
        </w:rPr>
        <w:t xml:space="preserve"> </w:t>
      </w:r>
      <w:r w:rsidR="00557FDC" w:rsidRPr="00BA5229">
        <w:rPr>
          <w:lang w:val="en-US"/>
        </w:rPr>
        <w:t xml:space="preserve">capacity </w:t>
      </w:r>
      <w:r w:rsidR="00177195" w:rsidRPr="00BA5229">
        <w:rPr>
          <w:lang w:val="en-US"/>
        </w:rPr>
        <w:t>using the same method</w:t>
      </w:r>
      <w:r w:rsidR="0061711C" w:rsidRPr="00BA5229">
        <w:rPr>
          <w:lang w:val="en-US"/>
        </w:rPr>
        <w:t>ology</w:t>
      </w:r>
      <w:r w:rsidR="00177195" w:rsidRPr="00BA5229">
        <w:rPr>
          <w:lang w:val="en-US"/>
        </w:rPr>
        <w:t xml:space="preserve"> that the Commission recently adopted for calculating incremental cost in the context of renewable</w:t>
      </w:r>
      <w:r w:rsidR="0061711C" w:rsidRPr="00BA5229">
        <w:rPr>
          <w:lang w:val="en-US"/>
        </w:rPr>
        <w:t xml:space="preserve"> portfolio standard reporting. The incremental cost methodology is a vetted approach developed to address a common issue:  to determine the cost that a utility would have incurred but for a regulatory requirement to purchase a different generation resource.</w:t>
      </w:r>
      <w:r w:rsidR="0061711C" w:rsidRPr="00BA5229">
        <w:rPr>
          <w:rStyle w:val="FootnoteReference"/>
          <w:lang w:val="en-US"/>
        </w:rPr>
        <w:footnoteReference w:id="5"/>
      </w:r>
      <w:r w:rsidR="0061711C" w:rsidRPr="00BA5229">
        <w:rPr>
          <w:lang w:val="en-US"/>
        </w:rPr>
        <w:t xml:space="preserve"> Staff’s proposal </w:t>
      </w:r>
      <w:r w:rsidR="00F52CEF" w:rsidRPr="00BA5229">
        <w:rPr>
          <w:lang w:val="en-US"/>
        </w:rPr>
        <w:t xml:space="preserve">more accurately captures </w:t>
      </w:r>
      <w:r w:rsidR="00144216" w:rsidRPr="00BA5229">
        <w:rPr>
          <w:lang w:val="en-US"/>
        </w:rPr>
        <w:t>PacifiCorp’s full avoided cost</w:t>
      </w:r>
      <w:r w:rsidR="00454667" w:rsidRPr="00BA5229">
        <w:rPr>
          <w:lang w:val="en-US"/>
        </w:rPr>
        <w:t xml:space="preserve"> by basing its calculation</w:t>
      </w:r>
      <w:r w:rsidR="00144216" w:rsidRPr="00BA5229">
        <w:rPr>
          <w:lang w:val="en-US"/>
        </w:rPr>
        <w:t xml:space="preserve"> </w:t>
      </w:r>
      <w:r w:rsidR="00557FDC">
        <w:rPr>
          <w:lang w:val="en-US"/>
        </w:rPr>
        <w:t>of avoided</w:t>
      </w:r>
      <w:r w:rsidR="005C5E8F" w:rsidRPr="00BA5229">
        <w:rPr>
          <w:lang w:val="en-US"/>
        </w:rPr>
        <w:t xml:space="preserve"> capacity</w:t>
      </w:r>
      <w:r w:rsidR="00557FDC">
        <w:rPr>
          <w:lang w:val="en-US"/>
        </w:rPr>
        <w:t xml:space="preserve"> costs</w:t>
      </w:r>
      <w:r w:rsidR="005C5E8F" w:rsidRPr="00BA5229">
        <w:rPr>
          <w:lang w:val="en-US"/>
        </w:rPr>
        <w:t xml:space="preserve"> </w:t>
      </w:r>
      <w:r w:rsidR="00144216" w:rsidRPr="00BA5229">
        <w:rPr>
          <w:lang w:val="en-US"/>
        </w:rPr>
        <w:t>on the lowest-cost resource identified in the Company’s most recent IRP</w:t>
      </w:r>
      <w:r w:rsidR="00F52CEF" w:rsidRPr="00BA5229">
        <w:rPr>
          <w:lang w:val="en-US"/>
        </w:rPr>
        <w:t>.</w:t>
      </w:r>
      <w:r w:rsidR="00454667" w:rsidRPr="00BA5229">
        <w:rPr>
          <w:lang w:val="en-US"/>
        </w:rPr>
        <w:t xml:space="preserve"> </w:t>
      </w:r>
      <w:r w:rsidR="00F52CEF" w:rsidRPr="00BA5229">
        <w:rPr>
          <w:lang w:val="en-US"/>
        </w:rPr>
        <w:t xml:space="preserve">Staff’s proposal represents an </w:t>
      </w:r>
      <w:r w:rsidR="000E44E1" w:rsidRPr="00BA5229">
        <w:rPr>
          <w:lang w:val="en-US"/>
        </w:rPr>
        <w:t xml:space="preserve">8.8 percent increase </w:t>
      </w:r>
      <w:r w:rsidR="009B15AB" w:rsidRPr="00BA5229">
        <w:rPr>
          <w:lang w:val="en-US"/>
        </w:rPr>
        <w:t xml:space="preserve">to the avoided cost rate </w:t>
      </w:r>
      <w:r w:rsidR="000E44E1" w:rsidRPr="00BA5229">
        <w:rPr>
          <w:lang w:val="en-US"/>
        </w:rPr>
        <w:t xml:space="preserve">when compared to the Company’s current tariff, and an </w:t>
      </w:r>
      <w:r w:rsidR="00F52CEF" w:rsidRPr="00BA5229">
        <w:rPr>
          <w:lang w:val="en-US"/>
        </w:rPr>
        <w:t xml:space="preserve">18.4 percent increase when compared to the Company’s proposal. </w:t>
      </w:r>
    </w:p>
    <w:p w14:paraId="285BB368" w14:textId="5DE337C6" w:rsidR="00ED0F4B" w:rsidRPr="00BA5229" w:rsidRDefault="009224D0" w:rsidP="00BA5229">
      <w:pPr>
        <w:pStyle w:val="WUTCParagraph"/>
        <w:tabs>
          <w:tab w:val="clear" w:pos="1440"/>
        </w:tabs>
        <w:rPr>
          <w:lang w:val="en-US"/>
        </w:rPr>
      </w:pPr>
      <w:r>
        <w:rPr>
          <w:lang w:val="en-US"/>
        </w:rPr>
        <w:t xml:space="preserve"> </w:t>
      </w:r>
      <w:r>
        <w:rPr>
          <w:lang w:val="en-US"/>
        </w:rPr>
        <w:tab/>
        <w:t xml:space="preserve">Consistent with federal law, Staff’s proposal strikes an appropriate balance between </w:t>
      </w:r>
      <w:r w:rsidR="00EE1098" w:rsidRPr="009224D0">
        <w:rPr>
          <w:lang w:val="en-US"/>
        </w:rPr>
        <w:t>encourag</w:t>
      </w:r>
      <w:r w:rsidR="00EE1098">
        <w:rPr>
          <w:lang w:val="en-US"/>
        </w:rPr>
        <w:t>ing</w:t>
      </w:r>
      <w:r w:rsidR="00EE1098" w:rsidRPr="009224D0">
        <w:rPr>
          <w:lang w:val="en-US"/>
        </w:rPr>
        <w:t xml:space="preserve"> </w:t>
      </w:r>
      <w:r w:rsidR="009B15AB">
        <w:rPr>
          <w:lang w:val="en-US"/>
        </w:rPr>
        <w:t xml:space="preserve">QF </w:t>
      </w:r>
      <w:r w:rsidR="00EE1098" w:rsidRPr="009224D0">
        <w:rPr>
          <w:lang w:val="en-US"/>
        </w:rPr>
        <w:t>development</w:t>
      </w:r>
      <w:r w:rsidR="00EE1098">
        <w:rPr>
          <w:lang w:val="en-US"/>
        </w:rPr>
        <w:t xml:space="preserve"> and </w:t>
      </w:r>
      <w:r>
        <w:rPr>
          <w:lang w:val="en-US"/>
        </w:rPr>
        <w:t>ensuring that customers do not b</w:t>
      </w:r>
      <w:r w:rsidR="00EE1098">
        <w:rPr>
          <w:lang w:val="en-US"/>
        </w:rPr>
        <w:t>e</w:t>
      </w:r>
      <w:r>
        <w:rPr>
          <w:lang w:val="en-US"/>
        </w:rPr>
        <w:t xml:space="preserve">ar costs above the </w:t>
      </w:r>
      <w:r w:rsidR="00557FDC">
        <w:rPr>
          <w:lang w:val="en-US"/>
        </w:rPr>
        <w:t xml:space="preserve">service costs the </w:t>
      </w:r>
      <w:r>
        <w:rPr>
          <w:lang w:val="en-US"/>
        </w:rPr>
        <w:t xml:space="preserve">Company would otherwise </w:t>
      </w:r>
      <w:r w:rsidR="00557FDC">
        <w:rPr>
          <w:lang w:val="en-US"/>
        </w:rPr>
        <w:t>incur</w:t>
      </w:r>
      <w:r w:rsidRPr="009224D0">
        <w:rPr>
          <w:lang w:val="en-US"/>
        </w:rPr>
        <w:t>.</w:t>
      </w:r>
      <w:r>
        <w:rPr>
          <w:lang w:val="en-US"/>
        </w:rPr>
        <w:t xml:space="preserve"> The Commission should adopt Staff’s proposal.</w:t>
      </w:r>
    </w:p>
    <w:p w14:paraId="362209BA" w14:textId="0E490BA8" w:rsidR="00666C2D" w:rsidRPr="00BA5229" w:rsidRDefault="00666C2D" w:rsidP="00CB7539">
      <w:pPr>
        <w:pStyle w:val="WUTCParagraph"/>
        <w:keepNext/>
        <w:numPr>
          <w:ilvl w:val="0"/>
          <w:numId w:val="0"/>
        </w:numPr>
        <w:tabs>
          <w:tab w:val="clear" w:pos="1440"/>
        </w:tabs>
        <w:jc w:val="center"/>
        <w:rPr>
          <w:b/>
          <w:lang w:val="en-US"/>
        </w:rPr>
      </w:pPr>
      <w:r w:rsidRPr="00BA5229">
        <w:rPr>
          <w:b/>
          <w:lang w:val="en-US"/>
        </w:rPr>
        <w:t xml:space="preserve">II. </w:t>
      </w:r>
      <w:r w:rsidR="00CB7539">
        <w:rPr>
          <w:b/>
          <w:lang w:val="en-US"/>
        </w:rPr>
        <w:t xml:space="preserve"> </w:t>
      </w:r>
      <w:r w:rsidR="00CB7539" w:rsidRPr="00BA5229">
        <w:rPr>
          <w:b/>
          <w:lang w:val="en-US"/>
        </w:rPr>
        <w:t>ISSUES</w:t>
      </w:r>
    </w:p>
    <w:p w14:paraId="11A88001" w14:textId="77777777" w:rsidR="000E44E1" w:rsidRPr="00BA5229" w:rsidRDefault="005C5E8F" w:rsidP="00C214E4">
      <w:pPr>
        <w:pStyle w:val="WUTCParagraph"/>
        <w:keepNext/>
        <w:tabs>
          <w:tab w:val="clear" w:pos="1440"/>
        </w:tabs>
        <w:rPr>
          <w:lang w:val="en-US"/>
        </w:rPr>
      </w:pPr>
      <w:r w:rsidRPr="00BA5229">
        <w:rPr>
          <w:lang w:val="en-US"/>
        </w:rPr>
        <w:t xml:space="preserve"> </w:t>
      </w:r>
      <w:r w:rsidRPr="00BA5229">
        <w:rPr>
          <w:lang w:val="en-US"/>
        </w:rPr>
        <w:tab/>
      </w:r>
      <w:r w:rsidR="000E44E1" w:rsidRPr="00BA5229">
        <w:rPr>
          <w:lang w:val="en-US"/>
        </w:rPr>
        <w:t>This case involves the following issues:</w:t>
      </w:r>
    </w:p>
    <w:p w14:paraId="50A9576F" w14:textId="57CFFB37" w:rsidR="00FC6B29" w:rsidRDefault="00FC6B29" w:rsidP="00BA5229">
      <w:pPr>
        <w:pStyle w:val="WUTCParagraph"/>
        <w:numPr>
          <w:ilvl w:val="0"/>
          <w:numId w:val="29"/>
        </w:numPr>
        <w:tabs>
          <w:tab w:val="clear" w:pos="1440"/>
        </w:tabs>
        <w:rPr>
          <w:lang w:val="en-US"/>
        </w:rPr>
      </w:pPr>
      <w:r w:rsidRPr="00BA5229">
        <w:rPr>
          <w:lang w:val="en-US"/>
        </w:rPr>
        <w:t xml:space="preserve">Whether PacifiCorp </w:t>
      </w:r>
      <w:r w:rsidR="009B15AB">
        <w:rPr>
          <w:lang w:val="en-US"/>
        </w:rPr>
        <w:t xml:space="preserve">already </w:t>
      </w:r>
      <w:r w:rsidRPr="00BA5229">
        <w:rPr>
          <w:lang w:val="en-US"/>
        </w:rPr>
        <w:t>has sufficient capacity to meet its load service obligations</w:t>
      </w:r>
      <w:r w:rsidR="009B15AB">
        <w:rPr>
          <w:lang w:val="en-US"/>
        </w:rPr>
        <w:t xml:space="preserve"> for the next ten years</w:t>
      </w:r>
      <w:r w:rsidRPr="00BA5229">
        <w:rPr>
          <w:lang w:val="en-US"/>
        </w:rPr>
        <w:t>.</w:t>
      </w:r>
    </w:p>
    <w:p w14:paraId="7955489F" w14:textId="7A9B1F29" w:rsidR="009B15AB" w:rsidRDefault="009B15AB" w:rsidP="00BA5229">
      <w:pPr>
        <w:pStyle w:val="WUTCParagraph"/>
        <w:numPr>
          <w:ilvl w:val="0"/>
          <w:numId w:val="29"/>
        </w:numPr>
        <w:tabs>
          <w:tab w:val="clear" w:pos="1440"/>
        </w:tabs>
        <w:rPr>
          <w:lang w:val="en-US"/>
        </w:rPr>
      </w:pPr>
      <w:r>
        <w:rPr>
          <w:lang w:val="en-US"/>
        </w:rPr>
        <w:t xml:space="preserve">Whether PacifiCorp </w:t>
      </w:r>
      <w:r w:rsidR="0016349C">
        <w:rPr>
          <w:lang w:val="en-US"/>
        </w:rPr>
        <w:t xml:space="preserve">will purchase bulk power on the wholesale market within the next ten years to meet its </w:t>
      </w:r>
      <w:r w:rsidR="0016349C" w:rsidRPr="0016349C">
        <w:rPr>
          <w:lang w:val="en-US"/>
        </w:rPr>
        <w:t>load service obligations</w:t>
      </w:r>
      <w:r w:rsidR="0016349C">
        <w:rPr>
          <w:lang w:val="en-US"/>
        </w:rPr>
        <w:t>.</w:t>
      </w:r>
    </w:p>
    <w:p w14:paraId="5E1F876C" w14:textId="5ED45371" w:rsidR="0016349C" w:rsidRPr="00BA5229" w:rsidRDefault="0016349C" w:rsidP="00BA5229">
      <w:pPr>
        <w:pStyle w:val="WUTCParagraph"/>
        <w:numPr>
          <w:ilvl w:val="0"/>
          <w:numId w:val="29"/>
        </w:numPr>
        <w:tabs>
          <w:tab w:val="clear" w:pos="1440"/>
        </w:tabs>
        <w:rPr>
          <w:lang w:val="en-US"/>
        </w:rPr>
      </w:pPr>
      <w:r>
        <w:rPr>
          <w:lang w:val="en-US"/>
        </w:rPr>
        <w:t xml:space="preserve">Whether </w:t>
      </w:r>
      <w:r w:rsidRPr="0016349C">
        <w:rPr>
          <w:lang w:val="en-US"/>
        </w:rPr>
        <w:t>PacifiCorp</w:t>
      </w:r>
      <w:r>
        <w:rPr>
          <w:lang w:val="en-US"/>
        </w:rPr>
        <w:t xml:space="preserve"> knows, with legal certainty, the purchase price of the bulk power it plans to obtain </w:t>
      </w:r>
      <w:r w:rsidRPr="0016349C">
        <w:rPr>
          <w:lang w:val="en-US"/>
        </w:rPr>
        <w:t>on the wholesale market</w:t>
      </w:r>
      <w:r>
        <w:rPr>
          <w:lang w:val="en-US"/>
        </w:rPr>
        <w:t>.</w:t>
      </w:r>
    </w:p>
    <w:p w14:paraId="48DFA0B3" w14:textId="0184B66E" w:rsidR="000E44E1" w:rsidRPr="00BA5229" w:rsidRDefault="005C5E8F" w:rsidP="00BA5229">
      <w:pPr>
        <w:pStyle w:val="WUTCParagraph"/>
        <w:numPr>
          <w:ilvl w:val="0"/>
          <w:numId w:val="29"/>
        </w:numPr>
        <w:tabs>
          <w:tab w:val="clear" w:pos="1440"/>
        </w:tabs>
        <w:rPr>
          <w:lang w:val="en-US"/>
        </w:rPr>
      </w:pPr>
      <w:r w:rsidRPr="00BA5229">
        <w:rPr>
          <w:lang w:val="en-US"/>
        </w:rPr>
        <w:t xml:space="preserve">Whether the purchase of QF power enables PacifiCorp to avoid </w:t>
      </w:r>
      <w:r w:rsidR="00C97992">
        <w:rPr>
          <w:lang w:val="en-US"/>
        </w:rPr>
        <w:t>market risk</w:t>
      </w:r>
      <w:r w:rsidRPr="00BA5229">
        <w:rPr>
          <w:lang w:val="en-US"/>
        </w:rPr>
        <w:t xml:space="preserve"> costs </w:t>
      </w:r>
      <w:r w:rsidR="00C97992">
        <w:rPr>
          <w:lang w:val="en-US"/>
        </w:rPr>
        <w:t>associated with its heavy reliance on future market purchases of bulk power to meet its load service obligations</w:t>
      </w:r>
      <w:r w:rsidR="001D4344" w:rsidRPr="00BA5229">
        <w:rPr>
          <w:lang w:val="en-US"/>
        </w:rPr>
        <w:t>.</w:t>
      </w:r>
    </w:p>
    <w:p w14:paraId="5D49BBD6" w14:textId="12837ECF" w:rsidR="000E44E1" w:rsidRPr="00BA5229" w:rsidRDefault="001D4344" w:rsidP="00BA5229">
      <w:pPr>
        <w:pStyle w:val="WUTCParagraph"/>
        <w:numPr>
          <w:ilvl w:val="0"/>
          <w:numId w:val="29"/>
        </w:numPr>
        <w:tabs>
          <w:tab w:val="clear" w:pos="1440"/>
        </w:tabs>
        <w:rPr>
          <w:lang w:val="en-US"/>
        </w:rPr>
      </w:pPr>
      <w:r w:rsidRPr="00BA5229">
        <w:rPr>
          <w:lang w:val="en-US"/>
        </w:rPr>
        <w:t xml:space="preserve">Whether PacifiCorp’s </w:t>
      </w:r>
      <w:r w:rsidR="00E63C5A" w:rsidRPr="00BA5229">
        <w:rPr>
          <w:lang w:val="en-US"/>
        </w:rPr>
        <w:t xml:space="preserve">projected price for </w:t>
      </w:r>
      <w:r w:rsidRPr="00BA5229">
        <w:rPr>
          <w:lang w:val="en-US"/>
        </w:rPr>
        <w:t xml:space="preserve">wholesale energy </w:t>
      </w:r>
      <w:r w:rsidR="00E63C5A" w:rsidRPr="00BA5229">
        <w:rPr>
          <w:lang w:val="en-US"/>
        </w:rPr>
        <w:t xml:space="preserve">fully </w:t>
      </w:r>
      <w:r w:rsidRPr="00BA5229">
        <w:rPr>
          <w:lang w:val="en-US"/>
        </w:rPr>
        <w:t xml:space="preserve">captures </w:t>
      </w:r>
      <w:r w:rsidR="00C97992" w:rsidRPr="00C97992">
        <w:rPr>
          <w:lang w:val="en-US"/>
        </w:rPr>
        <w:t xml:space="preserve">the </w:t>
      </w:r>
      <w:r w:rsidR="00C97992">
        <w:rPr>
          <w:lang w:val="en-US"/>
        </w:rPr>
        <w:t>market risk</w:t>
      </w:r>
      <w:r w:rsidR="00C97992" w:rsidRPr="00C97992">
        <w:rPr>
          <w:lang w:val="en-US"/>
        </w:rPr>
        <w:t xml:space="preserve"> costs that the Company avoids </w:t>
      </w:r>
      <w:r w:rsidR="00C97992">
        <w:rPr>
          <w:lang w:val="en-US"/>
        </w:rPr>
        <w:t>by purchasing QF power instead of power on the wholesale market</w:t>
      </w:r>
      <w:r w:rsidRPr="00BA5229">
        <w:rPr>
          <w:lang w:val="en-US"/>
        </w:rPr>
        <w:t>.</w:t>
      </w:r>
      <w:r w:rsidR="00863EBA">
        <w:rPr>
          <w:lang w:val="en-US"/>
        </w:rPr>
        <w:t xml:space="preserve"> </w:t>
      </w:r>
    </w:p>
    <w:p w14:paraId="19DC7B91" w14:textId="5B5743FF" w:rsidR="001D4344" w:rsidRPr="00BA5229" w:rsidRDefault="001D4344" w:rsidP="00BA5229">
      <w:pPr>
        <w:pStyle w:val="WUTCParagraph"/>
        <w:numPr>
          <w:ilvl w:val="0"/>
          <w:numId w:val="29"/>
        </w:numPr>
        <w:tabs>
          <w:tab w:val="clear" w:pos="1440"/>
        </w:tabs>
        <w:rPr>
          <w:lang w:val="en-US"/>
        </w:rPr>
      </w:pPr>
      <w:r w:rsidRPr="00BA5229">
        <w:rPr>
          <w:lang w:val="en-US"/>
        </w:rPr>
        <w:t xml:space="preserve">Whether Staff’s proposal reasonably </w:t>
      </w:r>
      <w:r w:rsidR="009224D0">
        <w:rPr>
          <w:lang w:val="en-US"/>
        </w:rPr>
        <w:t>accounts for</w:t>
      </w:r>
      <w:r w:rsidRPr="00BA5229">
        <w:rPr>
          <w:lang w:val="en-US"/>
        </w:rPr>
        <w:t xml:space="preserve"> the aggregate capacity </w:t>
      </w:r>
      <w:r w:rsidR="00863EBA">
        <w:rPr>
          <w:lang w:val="en-US"/>
        </w:rPr>
        <w:t>costs</w:t>
      </w:r>
      <w:r w:rsidRPr="00BA5229">
        <w:rPr>
          <w:lang w:val="en-US"/>
        </w:rPr>
        <w:t xml:space="preserve"> </w:t>
      </w:r>
      <w:r w:rsidR="00C97992">
        <w:rPr>
          <w:lang w:val="en-US"/>
        </w:rPr>
        <w:t xml:space="preserve">associated with market risk </w:t>
      </w:r>
      <w:r w:rsidRPr="00BA5229">
        <w:rPr>
          <w:lang w:val="en-US"/>
        </w:rPr>
        <w:t xml:space="preserve">that </w:t>
      </w:r>
      <w:r w:rsidR="00196E0E" w:rsidRPr="00BA5229">
        <w:rPr>
          <w:lang w:val="en-US"/>
        </w:rPr>
        <w:t xml:space="preserve">the Company </w:t>
      </w:r>
      <w:r w:rsidRPr="00BA5229">
        <w:rPr>
          <w:lang w:val="en-US"/>
        </w:rPr>
        <w:t>avoids through the purchase of QF power.</w:t>
      </w:r>
      <w:r w:rsidR="00863EBA">
        <w:rPr>
          <w:lang w:val="en-US"/>
        </w:rPr>
        <w:t xml:space="preserve"> </w:t>
      </w:r>
    </w:p>
    <w:p w14:paraId="77974E5E" w14:textId="440F7644" w:rsidR="00ED0F4B" w:rsidRPr="00BA5229" w:rsidRDefault="00ED0F4B" w:rsidP="00BA5229">
      <w:pPr>
        <w:pStyle w:val="WUTCParagraph"/>
        <w:numPr>
          <w:ilvl w:val="0"/>
          <w:numId w:val="0"/>
        </w:numPr>
        <w:jc w:val="center"/>
        <w:rPr>
          <w:b/>
          <w:lang w:val="en-US"/>
        </w:rPr>
      </w:pPr>
      <w:r w:rsidRPr="00BA5229">
        <w:rPr>
          <w:b/>
        </w:rPr>
        <w:t>I</w:t>
      </w:r>
      <w:r w:rsidRPr="00BA5229">
        <w:rPr>
          <w:b/>
          <w:lang w:val="en-US"/>
        </w:rPr>
        <w:t>I</w:t>
      </w:r>
      <w:r w:rsidR="00666C2D" w:rsidRPr="00BA5229">
        <w:rPr>
          <w:b/>
          <w:lang w:val="en-US"/>
        </w:rPr>
        <w:t>I</w:t>
      </w:r>
      <w:r w:rsidRPr="00BA5229">
        <w:rPr>
          <w:b/>
        </w:rPr>
        <w:t xml:space="preserve">.  </w:t>
      </w:r>
      <w:r w:rsidR="00666C2D" w:rsidRPr="00BA5229">
        <w:rPr>
          <w:b/>
          <w:lang w:val="en-US"/>
        </w:rPr>
        <w:t xml:space="preserve">ARGUMENT </w:t>
      </w:r>
    </w:p>
    <w:p w14:paraId="58003CD8" w14:textId="4815DCBC" w:rsidR="000A056A" w:rsidRPr="00BA5229" w:rsidRDefault="00666C2D" w:rsidP="00CB7539">
      <w:pPr>
        <w:pStyle w:val="WUTCParagraph"/>
        <w:numPr>
          <w:ilvl w:val="0"/>
          <w:numId w:val="0"/>
        </w:numPr>
        <w:tabs>
          <w:tab w:val="clear" w:pos="1440"/>
        </w:tabs>
        <w:spacing w:line="240" w:lineRule="auto"/>
        <w:ind w:left="1440" w:hanging="720"/>
        <w:rPr>
          <w:b/>
          <w:lang w:val="en-US"/>
        </w:rPr>
      </w:pPr>
      <w:r w:rsidRPr="00BA5229">
        <w:rPr>
          <w:b/>
          <w:lang w:val="en-US"/>
        </w:rPr>
        <w:t xml:space="preserve">1. </w:t>
      </w:r>
      <w:r w:rsidR="00CB7539">
        <w:rPr>
          <w:b/>
          <w:lang w:val="en-US"/>
        </w:rPr>
        <w:tab/>
      </w:r>
      <w:r w:rsidRPr="00BA5229">
        <w:rPr>
          <w:b/>
          <w:lang w:val="en-US"/>
        </w:rPr>
        <w:t xml:space="preserve">PURPA Requires PacifiCorp </w:t>
      </w:r>
      <w:r w:rsidR="000C01FD" w:rsidRPr="00BA5229">
        <w:rPr>
          <w:b/>
          <w:lang w:val="en-US"/>
        </w:rPr>
        <w:t>to</w:t>
      </w:r>
      <w:r w:rsidRPr="00BA5229">
        <w:rPr>
          <w:b/>
          <w:lang w:val="en-US"/>
        </w:rPr>
        <w:t xml:space="preserve"> Purchase QF Power </w:t>
      </w:r>
      <w:r w:rsidR="000C01FD" w:rsidRPr="00BA5229">
        <w:rPr>
          <w:b/>
          <w:lang w:val="en-US"/>
        </w:rPr>
        <w:t>at</w:t>
      </w:r>
      <w:r w:rsidRPr="00BA5229">
        <w:rPr>
          <w:b/>
          <w:lang w:val="en-US"/>
        </w:rPr>
        <w:t xml:space="preserve"> Its </w:t>
      </w:r>
      <w:r w:rsidR="00D82F97" w:rsidRPr="00BA5229">
        <w:rPr>
          <w:b/>
          <w:lang w:val="en-US"/>
        </w:rPr>
        <w:t>“</w:t>
      </w:r>
      <w:r w:rsidRPr="00BA5229">
        <w:rPr>
          <w:b/>
          <w:lang w:val="en-US"/>
        </w:rPr>
        <w:t>Full Avoided Cost</w:t>
      </w:r>
      <w:r w:rsidR="00D82F97" w:rsidRPr="00BA5229">
        <w:rPr>
          <w:b/>
          <w:lang w:val="en-US"/>
        </w:rPr>
        <w:t>”</w:t>
      </w:r>
    </w:p>
    <w:p w14:paraId="72E4A188" w14:textId="77777777" w:rsidR="00CB7539" w:rsidRPr="00BA5229" w:rsidRDefault="00CB7539" w:rsidP="00CB7539">
      <w:pPr>
        <w:pStyle w:val="WUTCParagraph"/>
        <w:numPr>
          <w:ilvl w:val="0"/>
          <w:numId w:val="0"/>
        </w:numPr>
        <w:tabs>
          <w:tab w:val="clear" w:pos="1440"/>
        </w:tabs>
        <w:spacing w:line="240" w:lineRule="auto"/>
        <w:rPr>
          <w:b/>
          <w:lang w:val="en-US"/>
        </w:rPr>
      </w:pPr>
    </w:p>
    <w:p w14:paraId="70D634D7" w14:textId="325AEE89" w:rsidR="00986678" w:rsidRPr="00BA5229" w:rsidRDefault="00FC7B2F" w:rsidP="00BA5229">
      <w:pPr>
        <w:pStyle w:val="WUTCParagraph"/>
        <w:tabs>
          <w:tab w:val="clear" w:pos="1440"/>
        </w:tabs>
        <w:rPr>
          <w:lang w:val="en-US"/>
        </w:rPr>
      </w:pPr>
      <w:r w:rsidRPr="00BA5229">
        <w:rPr>
          <w:lang w:val="en-US"/>
        </w:rPr>
        <w:tab/>
      </w:r>
      <w:r w:rsidR="00F62D1F" w:rsidRPr="00BA5229">
        <w:t>Congress enacted PURPA</w:t>
      </w:r>
      <w:r w:rsidR="00F62D1F" w:rsidRPr="00BA5229">
        <w:fldChar w:fldCharType="begin"/>
      </w:r>
      <w:r w:rsidR="00F62D1F" w:rsidRPr="00BA5229">
        <w:instrText xml:space="preserve"> TA \s "PURPA" </w:instrText>
      </w:r>
      <w:r w:rsidR="00F62D1F" w:rsidRPr="00BA5229">
        <w:fldChar w:fldCharType="end"/>
      </w:r>
      <w:r w:rsidR="00F62D1F" w:rsidRPr="00BA5229">
        <w:t xml:space="preserve"> to encourage the development of cogeneration and small power production facilities</w:t>
      </w:r>
      <w:r w:rsidR="00D6349F" w:rsidRPr="00BA5229">
        <w:rPr>
          <w:lang w:val="en-US"/>
        </w:rPr>
        <w:t xml:space="preserve"> (</w:t>
      </w:r>
      <w:r w:rsidR="00D936F1" w:rsidRPr="00BA5229">
        <w:rPr>
          <w:lang w:val="en-US"/>
        </w:rPr>
        <w:t>known as qualifying facilities or QFs</w:t>
      </w:r>
      <w:r w:rsidR="00D6349F" w:rsidRPr="00BA5229">
        <w:rPr>
          <w:lang w:val="en-US"/>
        </w:rPr>
        <w:t xml:space="preserve">) </w:t>
      </w:r>
      <w:r w:rsidR="00F62D1F" w:rsidRPr="00BA5229">
        <w:t>by creating a market for the power they produce and by exempting them from certain state and federal laws governing electric utilities.</w:t>
      </w:r>
      <w:r w:rsidR="00F62D1F" w:rsidRPr="00BA5229">
        <w:rPr>
          <w:rStyle w:val="FootnoteReference"/>
          <w:lang w:val="en-US"/>
        </w:rPr>
        <w:footnoteReference w:id="6"/>
      </w:r>
      <w:r w:rsidR="00F62D1F" w:rsidRPr="00BA5229">
        <w:t xml:space="preserve"> </w:t>
      </w:r>
      <w:r w:rsidR="00AF19E7" w:rsidRPr="00BA5229">
        <w:rPr>
          <w:lang w:val="en-US"/>
        </w:rPr>
        <w:t>PURPA requires utilities</w:t>
      </w:r>
      <w:r w:rsidR="00965BDA">
        <w:rPr>
          <w:lang w:val="en-US"/>
        </w:rPr>
        <w:t>,</w:t>
      </w:r>
      <w:r w:rsidR="00AF19E7" w:rsidRPr="00BA5229">
        <w:rPr>
          <w:lang w:val="en-US"/>
        </w:rPr>
        <w:t xml:space="preserve"> like PacifiCorp</w:t>
      </w:r>
      <w:r w:rsidR="00965BDA">
        <w:rPr>
          <w:lang w:val="en-US"/>
        </w:rPr>
        <w:t>,</w:t>
      </w:r>
      <w:r w:rsidR="00AF19E7" w:rsidRPr="00BA5229">
        <w:rPr>
          <w:lang w:val="en-US"/>
        </w:rPr>
        <w:t xml:space="preserve"> to purchase </w:t>
      </w:r>
      <w:r w:rsidR="00B76858" w:rsidRPr="00BA5229">
        <w:rPr>
          <w:lang w:val="en-US"/>
        </w:rPr>
        <w:t>power</w:t>
      </w:r>
      <w:r w:rsidR="00AF19E7" w:rsidRPr="00BA5229">
        <w:rPr>
          <w:lang w:val="en-US"/>
        </w:rPr>
        <w:t xml:space="preserve"> </w:t>
      </w:r>
      <w:r w:rsidR="00D6349F" w:rsidRPr="00BA5229">
        <w:rPr>
          <w:lang w:val="en-US"/>
        </w:rPr>
        <w:t>produced</w:t>
      </w:r>
      <w:r w:rsidR="00AF19E7" w:rsidRPr="00BA5229">
        <w:rPr>
          <w:lang w:val="en-US"/>
        </w:rPr>
        <w:t xml:space="preserve"> by QFs at rates that</w:t>
      </w:r>
      <w:r w:rsidR="00E17FDA">
        <w:rPr>
          <w:lang w:val="en-US"/>
        </w:rPr>
        <w:t>:</w:t>
      </w:r>
      <w:r w:rsidR="00AF19E7" w:rsidRPr="00BA5229">
        <w:rPr>
          <w:lang w:val="en-US"/>
        </w:rPr>
        <w:t xml:space="preserve"> </w:t>
      </w:r>
      <w:r w:rsidR="001D4344" w:rsidRPr="00BA5229">
        <w:rPr>
          <w:lang w:val="en-US"/>
        </w:rPr>
        <w:t xml:space="preserve">(1) </w:t>
      </w:r>
      <w:r w:rsidR="00AF19E7" w:rsidRPr="00BA5229">
        <w:rPr>
          <w:lang w:val="en-US"/>
        </w:rPr>
        <w:t>are just and reasonable to electric custo</w:t>
      </w:r>
      <w:r w:rsidR="001D4344" w:rsidRPr="00BA5229">
        <w:rPr>
          <w:lang w:val="en-US"/>
        </w:rPr>
        <w:t>mers</w:t>
      </w:r>
      <w:r w:rsidR="008C7F64">
        <w:rPr>
          <w:lang w:val="en-US"/>
        </w:rPr>
        <w:t>;</w:t>
      </w:r>
      <w:r w:rsidR="00AF19E7" w:rsidRPr="00BA5229">
        <w:rPr>
          <w:lang w:val="en-US"/>
        </w:rPr>
        <w:t xml:space="preserve"> </w:t>
      </w:r>
      <w:r w:rsidR="001D4344" w:rsidRPr="00BA5229">
        <w:rPr>
          <w:lang w:val="en-US"/>
        </w:rPr>
        <w:t xml:space="preserve">(2) </w:t>
      </w:r>
      <w:r w:rsidR="00AF19E7" w:rsidRPr="00BA5229">
        <w:rPr>
          <w:lang w:val="en-US"/>
        </w:rPr>
        <w:t>do not discriminate against QFs</w:t>
      </w:r>
      <w:r w:rsidR="008C7F64">
        <w:rPr>
          <w:lang w:val="en-US"/>
        </w:rPr>
        <w:t>;</w:t>
      </w:r>
      <w:r w:rsidR="00AF19E7" w:rsidRPr="00BA5229">
        <w:rPr>
          <w:lang w:val="en-US"/>
        </w:rPr>
        <w:t xml:space="preserve"> and </w:t>
      </w:r>
      <w:r w:rsidR="001D4344" w:rsidRPr="00BA5229">
        <w:rPr>
          <w:lang w:val="en-US"/>
        </w:rPr>
        <w:t xml:space="preserve">(3) </w:t>
      </w:r>
      <w:r w:rsidR="00AF19E7" w:rsidRPr="00BA5229">
        <w:rPr>
          <w:lang w:val="en-US"/>
        </w:rPr>
        <w:t>do not exceed the incremental cost to the utility of alternative electric energy.</w:t>
      </w:r>
      <w:r w:rsidR="00AF19E7" w:rsidRPr="00BA5229">
        <w:rPr>
          <w:vertAlign w:val="superscript"/>
          <w:lang w:val="en-US"/>
        </w:rPr>
        <w:footnoteReference w:id="7"/>
      </w:r>
      <w:r w:rsidR="00D6349F" w:rsidRPr="00BA5229">
        <w:rPr>
          <w:lang w:val="en-US"/>
        </w:rPr>
        <w:t xml:space="preserve"> By these terms, Congress intended to </w:t>
      </w:r>
      <w:r w:rsidR="00B76858" w:rsidRPr="00BA5229">
        <w:rPr>
          <w:lang w:val="en-US"/>
        </w:rPr>
        <w:t>encourage</w:t>
      </w:r>
      <w:r w:rsidR="00D6349F" w:rsidRPr="00BA5229">
        <w:rPr>
          <w:lang w:val="en-US"/>
        </w:rPr>
        <w:t xml:space="preserve"> QF production</w:t>
      </w:r>
      <w:r w:rsidR="00B76858" w:rsidRPr="00BA5229">
        <w:rPr>
          <w:lang w:val="en-US"/>
        </w:rPr>
        <w:t xml:space="preserve"> while preserving </w:t>
      </w:r>
      <w:r w:rsidR="00EE1098">
        <w:rPr>
          <w:lang w:val="en-US"/>
        </w:rPr>
        <w:t>ratepayer</w:t>
      </w:r>
      <w:r w:rsidR="00B76858" w:rsidRPr="00BA5229">
        <w:rPr>
          <w:lang w:val="en-US"/>
        </w:rPr>
        <w:t xml:space="preserve"> indifference to the utility’s purchase of QF power.</w:t>
      </w:r>
      <w:r w:rsidR="00B76858" w:rsidRPr="00BA5229">
        <w:rPr>
          <w:color w:val="000000"/>
          <w:vertAlign w:val="superscript"/>
          <w:lang w:val="en-US" w:eastAsia="en-US"/>
        </w:rPr>
        <w:t xml:space="preserve"> </w:t>
      </w:r>
      <w:r w:rsidR="00B76858" w:rsidRPr="00BA5229">
        <w:rPr>
          <w:vertAlign w:val="superscript"/>
          <w:lang w:val="en-US"/>
        </w:rPr>
        <w:footnoteReference w:id="8"/>
      </w:r>
      <w:r w:rsidR="00B76858" w:rsidRPr="00BA5229">
        <w:rPr>
          <w:lang w:val="en-US"/>
        </w:rPr>
        <w:t xml:space="preserve">   </w:t>
      </w:r>
    </w:p>
    <w:p w14:paraId="52280A4B" w14:textId="4465F7F8" w:rsidR="00F62D1F" w:rsidRPr="00BA5229" w:rsidRDefault="00AF19E7" w:rsidP="00BA5229">
      <w:pPr>
        <w:pStyle w:val="WUTCParagraph"/>
        <w:tabs>
          <w:tab w:val="clear" w:pos="1440"/>
        </w:tabs>
        <w:rPr>
          <w:lang w:val="en-US"/>
        </w:rPr>
      </w:pPr>
      <w:r w:rsidRPr="00BA5229">
        <w:rPr>
          <w:lang w:val="en-US"/>
        </w:rPr>
        <w:t xml:space="preserve"> </w:t>
      </w:r>
      <w:r w:rsidRPr="00BA5229">
        <w:rPr>
          <w:lang w:val="en-US"/>
        </w:rPr>
        <w:tab/>
      </w:r>
      <w:r w:rsidR="00B76858" w:rsidRPr="00BA5229">
        <w:rPr>
          <w:lang w:val="en-US"/>
        </w:rPr>
        <w:t>Federal and state utility regulators execute PURPA jointly</w:t>
      </w:r>
      <w:r w:rsidR="00986678" w:rsidRPr="00BA5229">
        <w:rPr>
          <w:lang w:val="en-US"/>
        </w:rPr>
        <w:t>. Congress</w:t>
      </w:r>
      <w:r w:rsidR="00F62D1F" w:rsidRPr="00BA5229">
        <w:rPr>
          <w:lang w:val="en-US"/>
        </w:rPr>
        <w:t xml:space="preserve"> tasked the Federal Energy Regulatory Commission (“FERC”) with promulgating rules “necessary to encourage [QF] power production,” including rules requiring utilities to purchase electricity from QFs.</w:t>
      </w:r>
      <w:r w:rsidR="00F62D1F" w:rsidRPr="00BA5229">
        <w:rPr>
          <w:rStyle w:val="FootnoteReference"/>
          <w:lang w:val="en-US"/>
        </w:rPr>
        <w:footnoteReference w:id="9"/>
      </w:r>
      <w:r w:rsidR="00F62D1F" w:rsidRPr="00BA5229">
        <w:rPr>
          <w:lang w:val="en-US"/>
        </w:rPr>
        <w:t xml:space="preserve"> It afforded state utility commissions considerable discretion to implement </w:t>
      </w:r>
      <w:r w:rsidRPr="00BA5229">
        <w:rPr>
          <w:lang w:val="en-US"/>
        </w:rPr>
        <w:t>FERC’s</w:t>
      </w:r>
      <w:r w:rsidR="00F62D1F" w:rsidRPr="00BA5229">
        <w:rPr>
          <w:lang w:val="en-US"/>
        </w:rPr>
        <w:t xml:space="preserve"> rules</w:t>
      </w:r>
      <w:r w:rsidRPr="00BA5229">
        <w:rPr>
          <w:lang w:val="en-US"/>
        </w:rPr>
        <w:t xml:space="preserve">, including the responsibility </w:t>
      </w:r>
      <w:r w:rsidR="00B76858" w:rsidRPr="00BA5229">
        <w:rPr>
          <w:lang w:val="en-US"/>
        </w:rPr>
        <w:t>for</w:t>
      </w:r>
      <w:r w:rsidRPr="00BA5229">
        <w:rPr>
          <w:lang w:val="en-US"/>
        </w:rPr>
        <w:t xml:space="preserve"> determining </w:t>
      </w:r>
      <w:r w:rsidR="00DF749C" w:rsidRPr="00BA5229">
        <w:rPr>
          <w:lang w:val="en-US"/>
        </w:rPr>
        <w:t xml:space="preserve">the rate </w:t>
      </w:r>
      <w:r w:rsidR="00066345" w:rsidRPr="00BA5229">
        <w:rPr>
          <w:lang w:val="en-US"/>
        </w:rPr>
        <w:t xml:space="preserve">each utility </w:t>
      </w:r>
      <w:r w:rsidR="00DF749C" w:rsidRPr="00BA5229">
        <w:rPr>
          <w:lang w:val="en-US"/>
        </w:rPr>
        <w:t xml:space="preserve">must </w:t>
      </w:r>
      <w:r w:rsidR="006B5D70" w:rsidRPr="00BA5229">
        <w:rPr>
          <w:lang w:val="en-US"/>
        </w:rPr>
        <w:t>pay</w:t>
      </w:r>
      <w:r w:rsidR="00455164" w:rsidRPr="00BA5229">
        <w:rPr>
          <w:lang w:val="en-US"/>
        </w:rPr>
        <w:t xml:space="preserve"> for QF power</w:t>
      </w:r>
      <w:r w:rsidR="00F62D1F" w:rsidRPr="00BA5229">
        <w:rPr>
          <w:lang w:val="en-US"/>
        </w:rPr>
        <w:t>.</w:t>
      </w:r>
      <w:r w:rsidR="00F62D1F" w:rsidRPr="00BA5229">
        <w:rPr>
          <w:rStyle w:val="FootnoteReference"/>
          <w:lang w:val="en-US"/>
        </w:rPr>
        <w:footnoteReference w:id="10"/>
      </w:r>
      <w:r w:rsidR="00F62D1F" w:rsidRPr="00BA5229">
        <w:rPr>
          <w:lang w:val="en-US"/>
        </w:rPr>
        <w:t xml:space="preserve"> </w:t>
      </w:r>
    </w:p>
    <w:p w14:paraId="4D37393E" w14:textId="0D5BD541" w:rsidR="007350E4" w:rsidRPr="0012762D" w:rsidRDefault="00F62D1F" w:rsidP="0081708A">
      <w:pPr>
        <w:pStyle w:val="WUTCParagraph"/>
        <w:tabs>
          <w:tab w:val="clear" w:pos="1440"/>
        </w:tabs>
        <w:rPr>
          <w:lang w:val="en-US"/>
        </w:rPr>
      </w:pPr>
      <w:r w:rsidRPr="0012762D">
        <w:rPr>
          <w:lang w:val="en-US"/>
        </w:rPr>
        <w:t xml:space="preserve"> </w:t>
      </w:r>
      <w:r w:rsidRPr="0012762D">
        <w:rPr>
          <w:lang w:val="en-US"/>
        </w:rPr>
        <w:tab/>
      </w:r>
      <w:r w:rsidR="006B5D70" w:rsidRPr="0012762D">
        <w:rPr>
          <w:lang w:val="en-US"/>
        </w:rPr>
        <w:t xml:space="preserve">In its rules, </w:t>
      </w:r>
      <w:r w:rsidRPr="0012762D">
        <w:rPr>
          <w:lang w:val="en-US"/>
        </w:rPr>
        <w:t xml:space="preserve">FERC opted to establish </w:t>
      </w:r>
      <w:r w:rsidR="00DF749C" w:rsidRPr="0012762D">
        <w:rPr>
          <w:lang w:val="en-US"/>
        </w:rPr>
        <w:t xml:space="preserve">rates for </w:t>
      </w:r>
      <w:r w:rsidRPr="0012762D">
        <w:rPr>
          <w:lang w:val="en-US"/>
        </w:rPr>
        <w:t>QF</w:t>
      </w:r>
      <w:r w:rsidR="00DF749C" w:rsidRPr="0012762D">
        <w:rPr>
          <w:lang w:val="en-US"/>
        </w:rPr>
        <w:t xml:space="preserve"> power</w:t>
      </w:r>
      <w:r w:rsidRPr="0012762D">
        <w:rPr>
          <w:lang w:val="en-US"/>
        </w:rPr>
        <w:t xml:space="preserve"> at the statutory ceiling. </w:t>
      </w:r>
      <w:r w:rsidR="00DE34F9" w:rsidRPr="0012762D">
        <w:rPr>
          <w:lang w:val="en-US"/>
        </w:rPr>
        <w:t xml:space="preserve">FERC recognized that </w:t>
      </w:r>
      <w:r w:rsidR="001F4A1D" w:rsidRPr="0012762D">
        <w:rPr>
          <w:lang w:val="en-US"/>
        </w:rPr>
        <w:t xml:space="preserve">allocating savings from QF production to the many customers of the utility would provide insignificant rate reductions to </w:t>
      </w:r>
      <w:r w:rsidR="00DE34F9" w:rsidRPr="0012762D">
        <w:rPr>
          <w:lang w:val="en-US"/>
        </w:rPr>
        <w:t>any individual customer</w:t>
      </w:r>
      <w:r w:rsidR="00C64C55" w:rsidRPr="0012762D">
        <w:rPr>
          <w:lang w:val="en-US"/>
        </w:rPr>
        <w:t>;</w:t>
      </w:r>
      <w:r w:rsidR="00DE34F9" w:rsidRPr="0012762D">
        <w:rPr>
          <w:lang w:val="en-US"/>
        </w:rPr>
        <w:t xml:space="preserve"> however, </w:t>
      </w:r>
      <w:r w:rsidR="001F4A1D" w:rsidRPr="0012762D">
        <w:rPr>
          <w:lang w:val="en-US"/>
        </w:rPr>
        <w:t>allocating</w:t>
      </w:r>
      <w:r w:rsidR="00DE34F9" w:rsidRPr="0012762D">
        <w:rPr>
          <w:lang w:val="en-US"/>
        </w:rPr>
        <w:t xml:space="preserve"> these savings to the relatively small group of QFs could provide a significant incentive for greater development of these technologies.</w:t>
      </w:r>
      <w:r w:rsidR="00DE34F9" w:rsidRPr="00BA5229">
        <w:rPr>
          <w:rStyle w:val="FootnoteReference"/>
          <w:lang w:val="en-US"/>
        </w:rPr>
        <w:footnoteReference w:id="11"/>
      </w:r>
      <w:r w:rsidR="00C64C55" w:rsidRPr="0012762D">
        <w:rPr>
          <w:lang w:val="en-US"/>
        </w:rPr>
        <w:t xml:space="preserve"> </w:t>
      </w:r>
      <w:r w:rsidR="009B5ABE" w:rsidRPr="0012762D">
        <w:rPr>
          <w:lang w:val="en-US"/>
        </w:rPr>
        <w:t xml:space="preserve">FERC rules </w:t>
      </w:r>
      <w:r w:rsidR="00DE34F9" w:rsidRPr="0012762D">
        <w:rPr>
          <w:lang w:val="en-US"/>
        </w:rPr>
        <w:t xml:space="preserve">therefore </w:t>
      </w:r>
      <w:r w:rsidR="009B5ABE" w:rsidRPr="0012762D">
        <w:rPr>
          <w:lang w:val="en-US"/>
        </w:rPr>
        <w:t xml:space="preserve">require utilities to purchase </w:t>
      </w:r>
      <w:r w:rsidR="009224D0" w:rsidRPr="0012762D">
        <w:rPr>
          <w:lang w:val="en-US"/>
        </w:rPr>
        <w:t xml:space="preserve">QF </w:t>
      </w:r>
      <w:r w:rsidR="00455164" w:rsidRPr="0012762D">
        <w:rPr>
          <w:lang w:val="en-US"/>
        </w:rPr>
        <w:t>power</w:t>
      </w:r>
      <w:r w:rsidR="009B5ABE" w:rsidRPr="0012762D">
        <w:rPr>
          <w:lang w:val="en-US"/>
        </w:rPr>
        <w:t xml:space="preserve"> at rates that equal the utility’s </w:t>
      </w:r>
      <w:r w:rsidR="00196E0E" w:rsidRPr="0012762D">
        <w:rPr>
          <w:lang w:val="en-US"/>
        </w:rPr>
        <w:t>“</w:t>
      </w:r>
      <w:r w:rsidR="009B5ABE" w:rsidRPr="0012762D">
        <w:rPr>
          <w:i/>
          <w:lang w:val="en-US"/>
        </w:rPr>
        <w:t>full</w:t>
      </w:r>
      <w:r w:rsidR="009B5ABE" w:rsidRPr="0012762D">
        <w:rPr>
          <w:lang w:val="en-US"/>
        </w:rPr>
        <w:t xml:space="preserve"> </w:t>
      </w:r>
      <w:r w:rsidR="009B5ABE" w:rsidRPr="0012762D">
        <w:rPr>
          <w:i/>
          <w:lang w:val="en-US"/>
        </w:rPr>
        <w:t>avoided cost</w:t>
      </w:r>
      <w:r w:rsidR="00196E0E" w:rsidRPr="0012762D">
        <w:rPr>
          <w:i/>
          <w:lang w:val="en-US"/>
        </w:rPr>
        <w:t>”</w:t>
      </w:r>
      <w:r w:rsidR="00E17FDA">
        <w:rPr>
          <w:i/>
          <w:lang w:val="en-US"/>
        </w:rPr>
        <w:t xml:space="preserve"> </w:t>
      </w:r>
      <w:r w:rsidR="009B5ABE" w:rsidRPr="0012762D">
        <w:rPr>
          <w:lang w:val="en-US"/>
        </w:rPr>
        <w:t>—</w:t>
      </w:r>
      <w:r w:rsidR="00E17FDA">
        <w:rPr>
          <w:lang w:val="en-US"/>
        </w:rPr>
        <w:t xml:space="preserve"> </w:t>
      </w:r>
      <w:r w:rsidR="009B5ABE" w:rsidRPr="0012762D">
        <w:rPr>
          <w:lang w:val="en-US"/>
        </w:rPr>
        <w:t>that is,</w:t>
      </w:r>
      <w:r w:rsidR="00066345" w:rsidRPr="0012762D">
        <w:rPr>
          <w:lang w:val="en-US"/>
        </w:rPr>
        <w:t xml:space="preserve"> the cost</w:t>
      </w:r>
      <w:r w:rsidR="003C1EC7" w:rsidRPr="0012762D">
        <w:rPr>
          <w:lang w:val="en-US"/>
        </w:rPr>
        <w:t xml:space="preserve"> </w:t>
      </w:r>
      <w:r w:rsidR="00066345" w:rsidRPr="0012762D">
        <w:rPr>
          <w:lang w:val="en-US"/>
        </w:rPr>
        <w:t>the utility avoids by not having to generate itself or purchase electricity from another source</w:t>
      </w:r>
      <w:r w:rsidR="009B5ABE" w:rsidRPr="0012762D">
        <w:rPr>
          <w:lang w:val="en-US"/>
        </w:rPr>
        <w:t>.</w:t>
      </w:r>
      <w:r w:rsidR="009B5ABE" w:rsidRPr="00BA5229">
        <w:rPr>
          <w:rStyle w:val="FootnoteReference"/>
          <w:lang w:val="en-US"/>
        </w:rPr>
        <w:footnoteReference w:id="12"/>
      </w:r>
      <w:r w:rsidR="00DF749C" w:rsidRPr="0012762D">
        <w:rPr>
          <w:lang w:val="en-US"/>
        </w:rPr>
        <w:t xml:space="preserve"> </w:t>
      </w:r>
      <w:r w:rsidR="003573FD" w:rsidRPr="0012762D">
        <w:rPr>
          <w:lang w:val="en-US"/>
        </w:rPr>
        <w:t xml:space="preserve">The </w:t>
      </w:r>
      <w:r w:rsidR="0092435B" w:rsidRPr="0012762D">
        <w:rPr>
          <w:lang w:val="en-US"/>
        </w:rPr>
        <w:t>“</w:t>
      </w:r>
      <w:r w:rsidR="003573FD" w:rsidRPr="0012762D">
        <w:rPr>
          <w:lang w:val="en-US"/>
        </w:rPr>
        <w:t>full avoided cost</w:t>
      </w:r>
      <w:r w:rsidR="0092435B" w:rsidRPr="0012762D">
        <w:rPr>
          <w:lang w:val="en-US"/>
        </w:rPr>
        <w:t>”</w:t>
      </w:r>
      <w:r w:rsidR="003573FD" w:rsidRPr="0012762D">
        <w:rPr>
          <w:lang w:val="en-US"/>
        </w:rPr>
        <w:t xml:space="preserve"> standard </w:t>
      </w:r>
      <w:r w:rsidR="00797EE1" w:rsidRPr="0012762D">
        <w:rPr>
          <w:lang w:val="en-US"/>
        </w:rPr>
        <w:t>provide</w:t>
      </w:r>
      <w:r w:rsidR="003573FD" w:rsidRPr="0012762D">
        <w:rPr>
          <w:lang w:val="en-US"/>
        </w:rPr>
        <w:t>s</w:t>
      </w:r>
      <w:r w:rsidR="007C6369" w:rsidRPr="0012762D">
        <w:rPr>
          <w:lang w:val="en-US"/>
        </w:rPr>
        <w:t xml:space="preserve"> </w:t>
      </w:r>
      <w:r w:rsidR="0092435B" w:rsidRPr="0012762D">
        <w:rPr>
          <w:lang w:val="en-US"/>
        </w:rPr>
        <w:t>maximum</w:t>
      </w:r>
      <w:r w:rsidR="00797EE1" w:rsidRPr="0012762D">
        <w:rPr>
          <w:lang w:val="en-US"/>
        </w:rPr>
        <w:t xml:space="preserve"> incentive for </w:t>
      </w:r>
      <w:r w:rsidR="0092435B" w:rsidRPr="0012762D">
        <w:rPr>
          <w:lang w:val="en-US"/>
        </w:rPr>
        <w:t>QF</w:t>
      </w:r>
      <w:r w:rsidR="00797EE1" w:rsidRPr="0012762D">
        <w:rPr>
          <w:lang w:val="en-US"/>
        </w:rPr>
        <w:t xml:space="preserve"> </w:t>
      </w:r>
      <w:r w:rsidR="0092435B" w:rsidRPr="0012762D">
        <w:rPr>
          <w:lang w:val="en-US"/>
        </w:rPr>
        <w:t xml:space="preserve">development </w:t>
      </w:r>
      <w:r w:rsidR="00797EE1" w:rsidRPr="0012762D">
        <w:rPr>
          <w:lang w:val="en-US"/>
        </w:rPr>
        <w:t xml:space="preserve">while </w:t>
      </w:r>
      <w:r w:rsidR="0092435B" w:rsidRPr="0012762D">
        <w:rPr>
          <w:lang w:val="en-US"/>
        </w:rPr>
        <w:t xml:space="preserve">still </w:t>
      </w:r>
      <w:r w:rsidR="00B65395" w:rsidRPr="0012762D">
        <w:rPr>
          <w:lang w:val="en-US"/>
        </w:rPr>
        <w:t xml:space="preserve">ensuring that neither utilities nor </w:t>
      </w:r>
      <w:r w:rsidR="00710069" w:rsidRPr="0012762D">
        <w:rPr>
          <w:lang w:val="en-US"/>
        </w:rPr>
        <w:t xml:space="preserve">their </w:t>
      </w:r>
      <w:r w:rsidR="00E062B0" w:rsidRPr="0012762D">
        <w:rPr>
          <w:lang w:val="en-US"/>
        </w:rPr>
        <w:t>customers</w:t>
      </w:r>
      <w:r w:rsidR="00B65395" w:rsidRPr="0012762D">
        <w:rPr>
          <w:lang w:val="en-US"/>
        </w:rPr>
        <w:t xml:space="preserve"> subsidize QF development by incurring QF costs </w:t>
      </w:r>
      <w:r w:rsidR="00066345" w:rsidRPr="0012762D">
        <w:rPr>
          <w:lang w:val="en-US"/>
        </w:rPr>
        <w:t xml:space="preserve">that </w:t>
      </w:r>
      <w:r w:rsidR="00B65395" w:rsidRPr="0012762D">
        <w:rPr>
          <w:lang w:val="en-US"/>
        </w:rPr>
        <w:t>exceed the utility’s own service costs</w:t>
      </w:r>
      <w:r w:rsidR="00E062B0" w:rsidRPr="0012762D">
        <w:rPr>
          <w:lang w:val="en-US"/>
        </w:rPr>
        <w:t xml:space="preserve">. </w:t>
      </w:r>
    </w:p>
    <w:p w14:paraId="11F2229F" w14:textId="23D3C266" w:rsidR="004969C2" w:rsidRPr="00BA5229" w:rsidRDefault="004969C2" w:rsidP="00BA5229">
      <w:pPr>
        <w:pStyle w:val="WUTCParagraph"/>
        <w:tabs>
          <w:tab w:val="clear" w:pos="1440"/>
        </w:tabs>
        <w:rPr>
          <w:lang w:val="en-US"/>
        </w:rPr>
      </w:pPr>
      <w:r w:rsidRPr="00BA5229">
        <w:rPr>
          <w:lang w:val="en-US"/>
        </w:rPr>
        <w:t xml:space="preserve"> </w:t>
      </w:r>
      <w:r w:rsidRPr="00BA5229">
        <w:rPr>
          <w:lang w:val="en-US"/>
        </w:rPr>
        <w:tab/>
      </w:r>
      <w:r w:rsidR="0096696C" w:rsidRPr="00BA5229">
        <w:rPr>
          <w:lang w:val="en-US"/>
        </w:rPr>
        <w:t xml:space="preserve">Under </w:t>
      </w:r>
      <w:r w:rsidRPr="00BA5229">
        <w:rPr>
          <w:lang w:val="en-US"/>
        </w:rPr>
        <w:t>FERC rules</w:t>
      </w:r>
      <w:r w:rsidR="0096696C" w:rsidRPr="00BA5229">
        <w:rPr>
          <w:lang w:val="en-US"/>
        </w:rPr>
        <w:t>,</w:t>
      </w:r>
      <w:r w:rsidRPr="00BA5229">
        <w:rPr>
          <w:lang w:val="en-US"/>
        </w:rPr>
        <w:t xml:space="preserve"> </w:t>
      </w:r>
      <w:r w:rsidR="0096696C" w:rsidRPr="00BA5229">
        <w:rPr>
          <w:lang w:val="en-US"/>
        </w:rPr>
        <w:t xml:space="preserve">the </w:t>
      </w:r>
      <w:r w:rsidRPr="00BA5229">
        <w:rPr>
          <w:lang w:val="en-US"/>
        </w:rPr>
        <w:t xml:space="preserve">full avoided cost </w:t>
      </w:r>
      <w:r w:rsidR="0096696C" w:rsidRPr="00BA5229">
        <w:rPr>
          <w:lang w:val="en-US"/>
        </w:rPr>
        <w:t>must account for the</w:t>
      </w:r>
      <w:r w:rsidRPr="00BA5229">
        <w:rPr>
          <w:lang w:val="en-US"/>
        </w:rPr>
        <w:t xml:space="preserve"> value </w:t>
      </w:r>
      <w:r w:rsidR="0096696C" w:rsidRPr="00BA5229">
        <w:rPr>
          <w:lang w:val="en-US"/>
        </w:rPr>
        <w:t>of</w:t>
      </w:r>
      <w:r w:rsidRPr="00BA5229">
        <w:rPr>
          <w:lang w:val="en-US"/>
        </w:rPr>
        <w:t xml:space="preserve"> both the energy </w:t>
      </w:r>
      <w:r w:rsidR="0096696C" w:rsidRPr="00BA5229">
        <w:rPr>
          <w:lang w:val="en-US"/>
        </w:rPr>
        <w:t xml:space="preserve">costs </w:t>
      </w:r>
      <w:r w:rsidRPr="00BA5229">
        <w:rPr>
          <w:lang w:val="en-US"/>
        </w:rPr>
        <w:t xml:space="preserve">and </w:t>
      </w:r>
      <w:r w:rsidR="0096696C" w:rsidRPr="00BA5229">
        <w:rPr>
          <w:lang w:val="en-US"/>
        </w:rPr>
        <w:t xml:space="preserve">the </w:t>
      </w:r>
      <w:r w:rsidRPr="00BA5229">
        <w:rPr>
          <w:lang w:val="en-US"/>
        </w:rPr>
        <w:t xml:space="preserve">capacity costs </w:t>
      </w:r>
      <w:r w:rsidR="0096696C" w:rsidRPr="00BA5229">
        <w:rPr>
          <w:lang w:val="en-US"/>
        </w:rPr>
        <w:t>that the utility</w:t>
      </w:r>
      <w:r w:rsidRPr="00BA5229">
        <w:rPr>
          <w:lang w:val="en-US"/>
        </w:rPr>
        <w:t xml:space="preserve"> </w:t>
      </w:r>
      <w:r w:rsidR="00257CA0" w:rsidRPr="00BA5229">
        <w:rPr>
          <w:lang w:val="en-US"/>
        </w:rPr>
        <w:t xml:space="preserve">avoids by </w:t>
      </w:r>
      <w:r w:rsidRPr="00BA5229">
        <w:rPr>
          <w:lang w:val="en-US"/>
        </w:rPr>
        <w:t>purchas</w:t>
      </w:r>
      <w:r w:rsidR="00D82F97" w:rsidRPr="00BA5229">
        <w:rPr>
          <w:lang w:val="en-US"/>
        </w:rPr>
        <w:t>ing</w:t>
      </w:r>
      <w:r w:rsidRPr="00BA5229">
        <w:rPr>
          <w:lang w:val="en-US"/>
        </w:rPr>
        <w:t xml:space="preserve"> QF power. Energy costs are </w:t>
      </w:r>
      <w:r w:rsidR="00257CA0" w:rsidRPr="00BA5229">
        <w:rPr>
          <w:lang w:val="en-US"/>
        </w:rPr>
        <w:t>the variable costs associated with the production of electric energy (kilowatt-hours); they primarily represent the cost of fuel, operation, and maintenance expenses.</w:t>
      </w:r>
      <w:r w:rsidR="00257CA0" w:rsidRPr="00BA5229">
        <w:rPr>
          <w:rStyle w:val="FootnoteReference"/>
          <w:lang w:val="en-US"/>
        </w:rPr>
        <w:footnoteReference w:id="13"/>
      </w:r>
      <w:r w:rsidR="00257CA0" w:rsidRPr="00BA5229">
        <w:rPr>
          <w:lang w:val="en-US"/>
        </w:rPr>
        <w:t xml:space="preserve"> Capacity costs are the fixed costs associated with the capability to deliver </w:t>
      </w:r>
      <w:r w:rsidR="00D82F97" w:rsidRPr="00BA5229">
        <w:rPr>
          <w:lang w:val="en-US"/>
        </w:rPr>
        <w:t>the electric energy</w:t>
      </w:r>
      <w:r w:rsidR="00257CA0" w:rsidRPr="00BA5229">
        <w:rPr>
          <w:lang w:val="en-US"/>
        </w:rPr>
        <w:t>; they primarily represent the capital cost of the facilities.</w:t>
      </w:r>
      <w:r w:rsidR="00257CA0" w:rsidRPr="00BA5229">
        <w:rPr>
          <w:rStyle w:val="FootnoteReference"/>
          <w:lang w:val="en-US"/>
        </w:rPr>
        <w:footnoteReference w:id="14"/>
      </w:r>
      <w:r w:rsidR="00257CA0" w:rsidRPr="00BA5229">
        <w:rPr>
          <w:lang w:val="en-US"/>
        </w:rPr>
        <w:t xml:space="preserve"> Under the f</w:t>
      </w:r>
      <w:r w:rsidRPr="00BA5229">
        <w:rPr>
          <w:lang w:val="en-US"/>
        </w:rPr>
        <w:t>ull avoided cost standard</w:t>
      </w:r>
      <w:r w:rsidR="00257CA0" w:rsidRPr="00BA5229">
        <w:rPr>
          <w:lang w:val="en-US"/>
        </w:rPr>
        <w:t>, rates</w:t>
      </w:r>
      <w:r w:rsidR="00863EBA">
        <w:rPr>
          <w:lang w:val="en-US"/>
        </w:rPr>
        <w:t xml:space="preserve"> for QF power</w:t>
      </w:r>
      <w:r w:rsidR="00257CA0" w:rsidRPr="00BA5229">
        <w:rPr>
          <w:lang w:val="en-US"/>
        </w:rPr>
        <w:t xml:space="preserve"> must</w:t>
      </w:r>
      <w:r w:rsidRPr="00BA5229">
        <w:rPr>
          <w:lang w:val="en-US"/>
        </w:rPr>
        <w:t xml:space="preserve"> include a v</w:t>
      </w:r>
      <w:r w:rsidR="004946BD" w:rsidRPr="00BA5229">
        <w:rPr>
          <w:lang w:val="en-US"/>
        </w:rPr>
        <w:t>alue for capacity</w:t>
      </w:r>
      <w:r w:rsidR="00863EBA">
        <w:rPr>
          <w:lang w:val="en-US"/>
        </w:rPr>
        <w:t>,</w:t>
      </w:r>
      <w:r w:rsidR="004946BD" w:rsidRPr="00BA5229">
        <w:rPr>
          <w:lang w:val="en-US"/>
        </w:rPr>
        <w:t xml:space="preserve"> unless </w:t>
      </w:r>
      <w:r w:rsidR="00950C09" w:rsidRPr="00BA5229">
        <w:rPr>
          <w:lang w:val="en-US"/>
        </w:rPr>
        <w:t>the</w:t>
      </w:r>
      <w:r w:rsidR="00863EBA">
        <w:rPr>
          <w:lang w:val="en-US"/>
        </w:rPr>
        <w:t xml:space="preserve"> purchasing</w:t>
      </w:r>
      <w:r w:rsidR="00950C09" w:rsidRPr="00BA5229">
        <w:rPr>
          <w:lang w:val="en-US"/>
        </w:rPr>
        <w:t xml:space="preserve"> utility can demonstrate that it does not need capacity over its ten-year planning horizon.</w:t>
      </w:r>
      <w:r w:rsidR="00950C09" w:rsidRPr="00BA5229">
        <w:rPr>
          <w:rStyle w:val="FootnoteReference"/>
          <w:lang w:val="en-US"/>
        </w:rPr>
        <w:footnoteReference w:id="15"/>
      </w:r>
    </w:p>
    <w:p w14:paraId="1DCB0F38" w14:textId="424A1C07" w:rsidR="0067632D" w:rsidRPr="00BA5229" w:rsidRDefault="00455164" w:rsidP="00BA5229">
      <w:pPr>
        <w:pStyle w:val="WUTCParagraph"/>
        <w:tabs>
          <w:tab w:val="clear" w:pos="1440"/>
        </w:tabs>
        <w:rPr>
          <w:lang w:val="en-US"/>
        </w:rPr>
      </w:pPr>
      <w:r w:rsidRPr="00BA5229">
        <w:rPr>
          <w:lang w:val="en-US"/>
        </w:rPr>
        <w:t xml:space="preserve"> </w:t>
      </w:r>
      <w:r w:rsidRPr="00BA5229">
        <w:rPr>
          <w:lang w:val="en-US"/>
        </w:rPr>
        <w:tab/>
      </w:r>
      <w:r w:rsidR="006B7DA8" w:rsidRPr="00BA5229">
        <w:rPr>
          <w:lang w:val="en-US"/>
        </w:rPr>
        <w:t>Congress assigned to state utility commissions the nebulous task of determining the full avoided cost of each utility subject to its jurisdiction.</w:t>
      </w:r>
      <w:r w:rsidR="006B7DA8" w:rsidRPr="00BA5229">
        <w:rPr>
          <w:rStyle w:val="FootnoteReference"/>
          <w:lang w:val="en-US"/>
        </w:rPr>
        <w:footnoteReference w:id="16"/>
      </w:r>
      <w:r w:rsidR="006B7DA8" w:rsidRPr="00BA5229">
        <w:rPr>
          <w:lang w:val="en-US"/>
        </w:rPr>
        <w:t xml:space="preserve"> </w:t>
      </w:r>
      <w:r w:rsidR="00950C09" w:rsidRPr="00BA5229">
        <w:rPr>
          <w:lang w:val="en-US"/>
        </w:rPr>
        <w:t>Full a</w:t>
      </w:r>
      <w:r w:rsidR="006B7DA8" w:rsidRPr="00BA5229">
        <w:rPr>
          <w:lang w:val="en-US"/>
        </w:rPr>
        <w:t>voided</w:t>
      </w:r>
      <w:r w:rsidR="006B7DA8" w:rsidRPr="00BA5229">
        <w:rPr>
          <w:vanish/>
          <w:lang w:val="en-US"/>
        </w:rPr>
        <w:t> [3]</w:t>
      </w:r>
      <w:r w:rsidR="006B7DA8" w:rsidRPr="00BA5229">
        <w:rPr>
          <w:lang w:val="en-US"/>
        </w:rPr>
        <w:t xml:space="preserve"> cost rates </w:t>
      </w:r>
      <w:r w:rsidR="00A02D6D">
        <w:rPr>
          <w:lang w:val="en-US"/>
        </w:rPr>
        <w:t>are impossible to calculate</w:t>
      </w:r>
      <w:r w:rsidR="006B7DA8" w:rsidRPr="00BA5229">
        <w:rPr>
          <w:lang w:val="en-US"/>
        </w:rPr>
        <w:t xml:space="preserve"> with precision because they depend on numerous </w:t>
      </w:r>
      <w:r w:rsidR="00196E0E" w:rsidRPr="00BA5229">
        <w:rPr>
          <w:lang w:val="en-US"/>
        </w:rPr>
        <w:t xml:space="preserve">data, </w:t>
      </w:r>
      <w:r w:rsidR="006B7DA8" w:rsidRPr="00BA5229">
        <w:rPr>
          <w:lang w:val="en-US"/>
        </w:rPr>
        <w:t xml:space="preserve">assumptions, estimates, and calculations. FERC’s rules </w:t>
      </w:r>
      <w:r w:rsidR="008256A8" w:rsidRPr="00BA5229">
        <w:rPr>
          <w:lang w:val="en-US"/>
        </w:rPr>
        <w:t>provide a list of factors for state</w:t>
      </w:r>
      <w:r w:rsidR="001F4A1D" w:rsidRPr="00BA5229">
        <w:rPr>
          <w:lang w:val="en-US"/>
        </w:rPr>
        <w:t xml:space="preserve"> regulator</w:t>
      </w:r>
      <w:r w:rsidR="008256A8" w:rsidRPr="00BA5229">
        <w:rPr>
          <w:lang w:val="en-US"/>
        </w:rPr>
        <w:t>s to consider</w:t>
      </w:r>
      <w:r w:rsidR="0067632D" w:rsidRPr="00BA5229">
        <w:rPr>
          <w:lang w:val="en-US"/>
        </w:rPr>
        <w:t xml:space="preserve"> </w:t>
      </w:r>
      <w:r w:rsidR="008256A8" w:rsidRPr="00BA5229">
        <w:rPr>
          <w:lang w:val="en-US"/>
        </w:rPr>
        <w:t>in determining a utility’s avoided cost.</w:t>
      </w:r>
      <w:r w:rsidR="0067632D" w:rsidRPr="00BA5229">
        <w:rPr>
          <w:rStyle w:val="FootnoteReference"/>
          <w:lang w:val="en-US"/>
        </w:rPr>
        <w:footnoteReference w:id="17"/>
      </w:r>
      <w:r w:rsidR="008256A8" w:rsidRPr="00BA5229">
        <w:rPr>
          <w:lang w:val="en-US"/>
        </w:rPr>
        <w:t xml:space="preserve"> An issue basic to many of these factors is the recognition of the capacity value of QFs.</w:t>
      </w:r>
      <w:r w:rsidR="008256A8" w:rsidRPr="00BA5229">
        <w:rPr>
          <w:rStyle w:val="FootnoteReference"/>
          <w:lang w:val="en-US"/>
        </w:rPr>
        <w:footnoteReference w:id="18"/>
      </w:r>
      <w:r w:rsidR="00CD60DA" w:rsidRPr="00BA5229">
        <w:rPr>
          <w:lang w:val="en-US"/>
        </w:rPr>
        <w:t xml:space="preserve"> </w:t>
      </w:r>
      <w:r w:rsidR="0025535C" w:rsidRPr="00BA5229">
        <w:rPr>
          <w:lang w:val="en-US"/>
        </w:rPr>
        <w:t xml:space="preserve">In practical application, </w:t>
      </w:r>
      <w:r w:rsidR="001F4A1D" w:rsidRPr="00BA5229">
        <w:rPr>
          <w:lang w:val="en-US"/>
        </w:rPr>
        <w:t xml:space="preserve">state utility commissions have </w:t>
      </w:r>
      <w:r w:rsidR="0025535C" w:rsidRPr="00BA5229">
        <w:rPr>
          <w:lang w:val="en-US"/>
        </w:rPr>
        <w:t>a “wide degree of latitude” to determine avoided cost rates.</w:t>
      </w:r>
      <w:r w:rsidR="0025535C" w:rsidRPr="00BA5229">
        <w:rPr>
          <w:rStyle w:val="FootnoteReference"/>
          <w:lang w:val="en-US"/>
        </w:rPr>
        <w:footnoteReference w:id="19"/>
      </w:r>
    </w:p>
    <w:p w14:paraId="44474572" w14:textId="750C556F" w:rsidR="0025535C" w:rsidRPr="00FD2D0F" w:rsidRDefault="001F4A1D" w:rsidP="00FD2D0F">
      <w:pPr>
        <w:pStyle w:val="WUTCParagraph"/>
        <w:tabs>
          <w:tab w:val="clear" w:pos="1440"/>
        </w:tabs>
        <w:rPr>
          <w:lang w:val="en-US"/>
        </w:rPr>
      </w:pPr>
      <w:r w:rsidRPr="00BA5229">
        <w:rPr>
          <w:lang w:val="en-US"/>
        </w:rPr>
        <w:t xml:space="preserve"> </w:t>
      </w:r>
      <w:r w:rsidRPr="00BA5229">
        <w:rPr>
          <w:lang w:val="en-US"/>
        </w:rPr>
        <w:tab/>
      </w:r>
      <w:r w:rsidR="002A5557" w:rsidRPr="00BA5229">
        <w:rPr>
          <w:lang w:val="en-US"/>
        </w:rPr>
        <w:t xml:space="preserve">FERC rules </w:t>
      </w:r>
      <w:r w:rsidR="00513A83" w:rsidRPr="00BA5229">
        <w:rPr>
          <w:lang w:val="en-US"/>
        </w:rPr>
        <w:t>also</w:t>
      </w:r>
      <w:r w:rsidR="002A5557" w:rsidRPr="00BA5229">
        <w:rPr>
          <w:lang w:val="en-US"/>
        </w:rPr>
        <w:t xml:space="preserve"> require </w:t>
      </w:r>
      <w:r w:rsidR="00F372BF" w:rsidRPr="00BA5229">
        <w:rPr>
          <w:lang w:val="en-US"/>
        </w:rPr>
        <w:t xml:space="preserve">that each utility make available </w:t>
      </w:r>
      <w:r w:rsidR="00950C09" w:rsidRPr="00BA5229">
        <w:rPr>
          <w:lang w:val="en-US"/>
        </w:rPr>
        <w:t xml:space="preserve">a </w:t>
      </w:r>
      <w:r w:rsidR="00F372BF" w:rsidRPr="00BA5229">
        <w:rPr>
          <w:lang w:val="en-US"/>
        </w:rPr>
        <w:t>standard offer</w:t>
      </w:r>
      <w:r w:rsidR="00950C09" w:rsidRPr="00BA5229">
        <w:rPr>
          <w:lang w:val="en-US"/>
        </w:rPr>
        <w:t xml:space="preserve"> of</w:t>
      </w:r>
      <w:r w:rsidR="00F372BF" w:rsidRPr="00BA5229">
        <w:rPr>
          <w:lang w:val="en-US"/>
        </w:rPr>
        <w:t xml:space="preserve"> full avoided cost rates </w:t>
      </w:r>
      <w:r w:rsidR="00774EE6" w:rsidRPr="00BA5229">
        <w:rPr>
          <w:lang w:val="en-US"/>
        </w:rPr>
        <w:t>to QF</w:t>
      </w:r>
      <w:r w:rsidR="00F372BF" w:rsidRPr="00BA5229">
        <w:rPr>
          <w:lang w:val="en-US"/>
        </w:rPr>
        <w:t>s</w:t>
      </w:r>
      <w:r w:rsidR="00774EE6" w:rsidRPr="00BA5229">
        <w:rPr>
          <w:lang w:val="en-US"/>
        </w:rPr>
        <w:t xml:space="preserve"> with a design capacity of 100 kilowatts or less</w:t>
      </w:r>
      <w:r w:rsidR="002A5557" w:rsidRPr="00BA5229">
        <w:rPr>
          <w:lang w:val="en-US"/>
        </w:rPr>
        <w:t>.</w:t>
      </w:r>
      <w:r w:rsidR="00592738" w:rsidRPr="00BA5229">
        <w:rPr>
          <w:rStyle w:val="FootnoteReference"/>
          <w:lang w:val="en-US"/>
        </w:rPr>
        <w:footnoteReference w:id="20"/>
      </w:r>
      <w:r w:rsidR="00F372BF" w:rsidRPr="00BA5229">
        <w:rPr>
          <w:lang w:val="en-US"/>
        </w:rPr>
        <w:t xml:space="preserve"> </w:t>
      </w:r>
      <w:r w:rsidR="00FD2D0F">
        <w:rPr>
          <w:lang w:val="en-US"/>
        </w:rPr>
        <w:t xml:space="preserve">Standard offers are intended </w:t>
      </w:r>
      <w:r w:rsidR="00FD2D0F" w:rsidRPr="00FD2D0F">
        <w:rPr>
          <w:lang w:val="en-US"/>
        </w:rPr>
        <w:t>to facilitate the ability of very small QFs</w:t>
      </w:r>
      <w:r w:rsidR="00FD2D0F" w:rsidRPr="00FD2D0F">
        <w:rPr>
          <w:rFonts w:ascii="Palatino" w:eastAsiaTheme="minorHAnsi" w:hAnsi="Palatino" w:cs="Palatino"/>
          <w:lang w:val="en-US" w:eastAsia="en-US"/>
        </w:rPr>
        <w:t xml:space="preserve"> </w:t>
      </w:r>
      <w:r w:rsidR="00FD2D0F" w:rsidRPr="00FD2D0F">
        <w:rPr>
          <w:lang w:val="en-US"/>
        </w:rPr>
        <w:t>to sell to utilities</w:t>
      </w:r>
      <w:r w:rsidR="00FD2D0F">
        <w:rPr>
          <w:lang w:val="en-US"/>
        </w:rPr>
        <w:t xml:space="preserve"> by </w:t>
      </w:r>
      <w:r w:rsidR="00FD2D0F" w:rsidRPr="00FD2D0F">
        <w:rPr>
          <w:lang w:val="en-US"/>
        </w:rPr>
        <w:t>reduc</w:t>
      </w:r>
      <w:r w:rsidR="00FD2D0F">
        <w:rPr>
          <w:lang w:val="en-US"/>
        </w:rPr>
        <w:t>ing</w:t>
      </w:r>
      <w:r w:rsidR="00FD2D0F" w:rsidRPr="00FD2D0F">
        <w:rPr>
          <w:lang w:val="en-US"/>
        </w:rPr>
        <w:t xml:space="preserve"> the transaction costs associated with determinin</w:t>
      </w:r>
      <w:r w:rsidR="00FD2D0F">
        <w:rPr>
          <w:lang w:val="en-US"/>
        </w:rPr>
        <w:t>g individualized avoided cost rates.</w:t>
      </w:r>
      <w:r w:rsidR="00774EE6" w:rsidRPr="00BA5229">
        <w:rPr>
          <w:rStyle w:val="FootnoteReference"/>
          <w:lang w:val="en-US"/>
        </w:rPr>
        <w:footnoteReference w:id="21"/>
      </w:r>
      <w:r w:rsidR="00774EE6" w:rsidRPr="00FD2D0F">
        <w:rPr>
          <w:lang w:val="en-US"/>
        </w:rPr>
        <w:t xml:space="preserve"> </w:t>
      </w:r>
      <w:r w:rsidR="00EE1098" w:rsidRPr="00FD2D0F">
        <w:rPr>
          <w:lang w:val="en-US"/>
        </w:rPr>
        <w:t>Realizing that</w:t>
      </w:r>
      <w:r w:rsidR="00592738" w:rsidRPr="00FD2D0F">
        <w:rPr>
          <w:lang w:val="en-US"/>
        </w:rPr>
        <w:t xml:space="preserve"> standard offers can significantly encourage QF development, FERC provided state utility commissions with the authority to raise the design capacity cap and to establish the term of standard offers </w:t>
      </w:r>
      <w:r w:rsidR="00F372BF" w:rsidRPr="00FD2D0F">
        <w:rPr>
          <w:lang w:val="en-US"/>
        </w:rPr>
        <w:t>at their discretion</w:t>
      </w:r>
      <w:r w:rsidR="00592738" w:rsidRPr="00FD2D0F">
        <w:rPr>
          <w:lang w:val="en-US"/>
        </w:rPr>
        <w:t>.</w:t>
      </w:r>
      <w:r w:rsidR="00592738" w:rsidRPr="00BA5229">
        <w:rPr>
          <w:rStyle w:val="FootnoteReference"/>
          <w:lang w:val="en-US"/>
        </w:rPr>
        <w:footnoteReference w:id="22"/>
      </w:r>
      <w:r w:rsidR="00592738" w:rsidRPr="00FD2D0F">
        <w:rPr>
          <w:lang w:val="en-US"/>
        </w:rPr>
        <w:t xml:space="preserve"> </w:t>
      </w:r>
      <w:r w:rsidR="00D936F1" w:rsidRPr="00FD2D0F">
        <w:rPr>
          <w:lang w:val="en-US"/>
        </w:rPr>
        <w:tab/>
      </w:r>
    </w:p>
    <w:p w14:paraId="21E73F06" w14:textId="3BBF2706" w:rsidR="001F4A1D" w:rsidRPr="00BA5229" w:rsidRDefault="001F4A1D" w:rsidP="00CB7539">
      <w:pPr>
        <w:pStyle w:val="WUTCParagraph"/>
        <w:numPr>
          <w:ilvl w:val="0"/>
          <w:numId w:val="0"/>
        </w:numPr>
        <w:tabs>
          <w:tab w:val="clear" w:pos="1440"/>
        </w:tabs>
        <w:spacing w:line="240" w:lineRule="auto"/>
        <w:ind w:left="1440" w:hanging="720"/>
        <w:rPr>
          <w:b/>
          <w:lang w:val="en-US"/>
        </w:rPr>
      </w:pPr>
      <w:r w:rsidRPr="00BA5229">
        <w:rPr>
          <w:b/>
          <w:lang w:val="en-US"/>
        </w:rPr>
        <w:t xml:space="preserve">2. </w:t>
      </w:r>
      <w:r w:rsidR="00CB7539">
        <w:rPr>
          <w:b/>
          <w:lang w:val="en-US"/>
        </w:rPr>
        <w:tab/>
      </w:r>
      <w:r w:rsidR="003D59F4" w:rsidRPr="00BA5229">
        <w:rPr>
          <w:b/>
          <w:lang w:val="en-US"/>
        </w:rPr>
        <w:t xml:space="preserve">PacifiCorp’s Standard Offer </w:t>
      </w:r>
      <w:r w:rsidR="00EE1098">
        <w:rPr>
          <w:b/>
          <w:lang w:val="en-US"/>
        </w:rPr>
        <w:t>Protects</w:t>
      </w:r>
      <w:r w:rsidR="003D59F4" w:rsidRPr="00BA5229">
        <w:rPr>
          <w:b/>
          <w:lang w:val="en-US"/>
        </w:rPr>
        <w:t xml:space="preserve"> Customer Indifference </w:t>
      </w:r>
      <w:r w:rsidR="000C01FD" w:rsidRPr="00BA5229">
        <w:rPr>
          <w:b/>
          <w:lang w:val="en-US"/>
        </w:rPr>
        <w:t>to the Purchase of</w:t>
      </w:r>
      <w:r w:rsidR="003D59F4" w:rsidRPr="00BA5229">
        <w:rPr>
          <w:b/>
          <w:lang w:val="en-US"/>
        </w:rPr>
        <w:t xml:space="preserve"> QF Power</w:t>
      </w:r>
      <w:r w:rsidR="00DA58C8">
        <w:rPr>
          <w:b/>
          <w:lang w:val="en-US"/>
        </w:rPr>
        <w:t>,</w:t>
      </w:r>
      <w:r w:rsidR="00981041" w:rsidRPr="00BA5229">
        <w:rPr>
          <w:b/>
          <w:lang w:val="en-US"/>
        </w:rPr>
        <w:t xml:space="preserve"> </w:t>
      </w:r>
      <w:r w:rsidR="005167E5" w:rsidRPr="00BA5229">
        <w:rPr>
          <w:b/>
          <w:lang w:val="en-US"/>
        </w:rPr>
        <w:t>but Has Failed to</w:t>
      </w:r>
      <w:r w:rsidR="00981041" w:rsidRPr="00BA5229">
        <w:rPr>
          <w:b/>
          <w:lang w:val="en-US"/>
        </w:rPr>
        <w:t xml:space="preserve"> Encourag</w:t>
      </w:r>
      <w:r w:rsidR="005167E5" w:rsidRPr="00BA5229">
        <w:rPr>
          <w:b/>
          <w:lang w:val="en-US"/>
        </w:rPr>
        <w:t>e</w:t>
      </w:r>
      <w:r w:rsidR="00981041" w:rsidRPr="00BA5229">
        <w:rPr>
          <w:b/>
          <w:lang w:val="en-US"/>
        </w:rPr>
        <w:t xml:space="preserve"> QF Development</w:t>
      </w:r>
    </w:p>
    <w:p w14:paraId="36B0E7F3" w14:textId="77777777" w:rsidR="00CB7539" w:rsidRPr="00BA5229" w:rsidRDefault="00CB7539" w:rsidP="00CB7539">
      <w:pPr>
        <w:pStyle w:val="WUTCParagraph"/>
        <w:numPr>
          <w:ilvl w:val="0"/>
          <w:numId w:val="0"/>
        </w:numPr>
        <w:tabs>
          <w:tab w:val="clear" w:pos="1440"/>
        </w:tabs>
        <w:spacing w:line="240" w:lineRule="auto"/>
        <w:rPr>
          <w:b/>
          <w:lang w:val="en-US"/>
        </w:rPr>
      </w:pPr>
    </w:p>
    <w:p w14:paraId="271D241C" w14:textId="295B37F2" w:rsidR="00DA58C8" w:rsidRDefault="00513A83" w:rsidP="00DA58C8">
      <w:pPr>
        <w:pStyle w:val="WUTCParagraph"/>
        <w:tabs>
          <w:tab w:val="clear" w:pos="1440"/>
        </w:tabs>
        <w:rPr>
          <w:lang w:val="en-US"/>
        </w:rPr>
      </w:pPr>
      <w:r w:rsidRPr="00BA5229">
        <w:rPr>
          <w:lang w:val="en-US"/>
        </w:rPr>
        <w:t xml:space="preserve"> </w:t>
      </w:r>
      <w:r w:rsidRPr="00BA5229">
        <w:rPr>
          <w:lang w:val="en-US"/>
        </w:rPr>
        <w:tab/>
      </w:r>
      <w:r w:rsidR="000C01FD" w:rsidRPr="00BA5229">
        <w:rPr>
          <w:lang w:val="en-US"/>
        </w:rPr>
        <w:t xml:space="preserve">PacifiCorp </w:t>
      </w:r>
      <w:r w:rsidR="00FA57ED" w:rsidRPr="00BA5229">
        <w:rPr>
          <w:lang w:val="en-US"/>
        </w:rPr>
        <w:t>testifie</w:t>
      </w:r>
      <w:r w:rsidR="00950C09" w:rsidRPr="00BA5229">
        <w:rPr>
          <w:lang w:val="en-US"/>
        </w:rPr>
        <w:t>d</w:t>
      </w:r>
      <w:r w:rsidR="00FA57ED" w:rsidRPr="00BA5229">
        <w:rPr>
          <w:lang w:val="en-US"/>
        </w:rPr>
        <w:t xml:space="preserve"> </w:t>
      </w:r>
      <w:r w:rsidR="00421C83" w:rsidRPr="00BA5229">
        <w:rPr>
          <w:lang w:val="en-US"/>
        </w:rPr>
        <w:t xml:space="preserve">that PURPA </w:t>
      </w:r>
      <w:r w:rsidR="0073147E" w:rsidRPr="00BA5229">
        <w:rPr>
          <w:lang w:val="en-US"/>
        </w:rPr>
        <w:t>“</w:t>
      </w:r>
      <w:r w:rsidR="00421C83" w:rsidRPr="00BA5229">
        <w:rPr>
          <w:lang w:val="en-US"/>
        </w:rPr>
        <w:t>mandates</w:t>
      </w:r>
      <w:r w:rsidR="0073147E" w:rsidRPr="00BA5229">
        <w:rPr>
          <w:lang w:val="en-US"/>
        </w:rPr>
        <w:t>”</w:t>
      </w:r>
      <w:r w:rsidR="00421C83" w:rsidRPr="00BA5229">
        <w:rPr>
          <w:lang w:val="en-US"/>
        </w:rPr>
        <w:t xml:space="preserve"> customer indifference to its purchase of QF power.</w:t>
      </w:r>
      <w:r w:rsidR="00FA57ED" w:rsidRPr="00BA5229">
        <w:rPr>
          <w:rStyle w:val="FootnoteReference"/>
          <w:lang w:val="en-US"/>
        </w:rPr>
        <w:footnoteReference w:id="23"/>
      </w:r>
      <w:r w:rsidR="00FA57ED" w:rsidRPr="00BA5229">
        <w:rPr>
          <w:lang w:val="en-US"/>
        </w:rPr>
        <w:t xml:space="preserve"> The Company </w:t>
      </w:r>
      <w:r w:rsidR="00BB7D2F" w:rsidRPr="00BA5229">
        <w:rPr>
          <w:lang w:val="en-US"/>
        </w:rPr>
        <w:t>conflates the policy aspiration underlying the law</w:t>
      </w:r>
      <w:r w:rsidR="008C7F64">
        <w:rPr>
          <w:lang w:val="en-US"/>
        </w:rPr>
        <w:t xml:space="preserve"> </w:t>
      </w:r>
      <w:r w:rsidR="00D26902" w:rsidRPr="00BA5229">
        <w:rPr>
          <w:lang w:val="en-US"/>
        </w:rPr>
        <w:t>—</w:t>
      </w:r>
      <w:r w:rsidR="008C7F64">
        <w:rPr>
          <w:lang w:val="en-US"/>
        </w:rPr>
        <w:t xml:space="preserve"> </w:t>
      </w:r>
      <w:r w:rsidR="00D26902" w:rsidRPr="00BA5229">
        <w:rPr>
          <w:lang w:val="en-US"/>
        </w:rPr>
        <w:t>that customers do not subsidize QF development</w:t>
      </w:r>
      <w:r w:rsidR="008C7F64">
        <w:rPr>
          <w:lang w:val="en-US"/>
        </w:rPr>
        <w:t xml:space="preserve"> </w:t>
      </w:r>
      <w:r w:rsidR="00D26902" w:rsidRPr="00BA5229">
        <w:rPr>
          <w:lang w:val="en-US"/>
        </w:rPr>
        <w:t>—</w:t>
      </w:r>
      <w:r w:rsidR="008C7F64">
        <w:rPr>
          <w:lang w:val="en-US"/>
        </w:rPr>
        <w:t xml:space="preserve"> </w:t>
      </w:r>
      <w:r w:rsidR="00D26902" w:rsidRPr="00BA5229">
        <w:rPr>
          <w:lang w:val="en-US"/>
        </w:rPr>
        <w:t>with the legal standard for assessing whether rates for</w:t>
      </w:r>
      <w:r w:rsidR="00863EBA">
        <w:rPr>
          <w:lang w:val="en-US"/>
        </w:rPr>
        <w:t xml:space="preserve"> the purchase of</w:t>
      </w:r>
      <w:r w:rsidR="00D26902" w:rsidRPr="00BA5229">
        <w:rPr>
          <w:lang w:val="en-US"/>
        </w:rPr>
        <w:t xml:space="preserve"> QF power are lawful</w:t>
      </w:r>
      <w:r w:rsidR="0073147E" w:rsidRPr="00BA5229">
        <w:rPr>
          <w:lang w:val="en-US"/>
        </w:rPr>
        <w:t>.</w:t>
      </w:r>
      <w:r w:rsidR="0073147E" w:rsidRPr="00BA5229">
        <w:rPr>
          <w:rStyle w:val="FootnoteReference"/>
          <w:lang w:val="en-US"/>
        </w:rPr>
        <w:footnoteReference w:id="24"/>
      </w:r>
      <w:r w:rsidR="00D26902" w:rsidRPr="00BA5229">
        <w:rPr>
          <w:lang w:val="en-US"/>
        </w:rPr>
        <w:t xml:space="preserve"> The Commission should </w:t>
      </w:r>
      <w:r w:rsidR="009949F0" w:rsidRPr="00BA5229">
        <w:rPr>
          <w:lang w:val="en-US"/>
        </w:rPr>
        <w:t>remain wary of</w:t>
      </w:r>
      <w:r w:rsidR="00D26902" w:rsidRPr="00BA5229">
        <w:rPr>
          <w:lang w:val="en-US"/>
        </w:rPr>
        <w:t xml:space="preserve"> </w:t>
      </w:r>
      <w:r w:rsidR="00807D03" w:rsidRPr="00BA5229">
        <w:rPr>
          <w:lang w:val="en-US"/>
        </w:rPr>
        <w:t>overlooking this distinction</w:t>
      </w:r>
      <w:r w:rsidR="00904870" w:rsidRPr="00BA5229">
        <w:rPr>
          <w:lang w:val="en-US"/>
        </w:rPr>
        <w:t xml:space="preserve">. Federal law requires that rates for </w:t>
      </w:r>
      <w:r w:rsidR="009949F0" w:rsidRPr="00BA5229">
        <w:rPr>
          <w:lang w:val="en-US"/>
        </w:rPr>
        <w:t>QF</w:t>
      </w:r>
      <w:r w:rsidR="00904870" w:rsidRPr="00BA5229">
        <w:rPr>
          <w:lang w:val="en-US"/>
        </w:rPr>
        <w:t xml:space="preserve"> power are set at PacifiCorp</w:t>
      </w:r>
      <w:r w:rsidR="009949F0" w:rsidRPr="00BA5229">
        <w:rPr>
          <w:lang w:val="en-US"/>
        </w:rPr>
        <w:t xml:space="preserve">’s </w:t>
      </w:r>
      <w:r w:rsidR="009949F0" w:rsidRPr="00BA5229">
        <w:rPr>
          <w:i/>
          <w:lang w:val="en-US"/>
        </w:rPr>
        <w:t>full</w:t>
      </w:r>
      <w:r w:rsidR="009949F0" w:rsidRPr="00BA5229">
        <w:rPr>
          <w:lang w:val="en-US"/>
        </w:rPr>
        <w:t xml:space="preserve"> </w:t>
      </w:r>
      <w:r w:rsidR="009949F0" w:rsidRPr="00BA5229">
        <w:rPr>
          <w:i/>
          <w:lang w:val="en-US"/>
        </w:rPr>
        <w:t>avoided cost</w:t>
      </w:r>
      <w:r w:rsidR="007B1730" w:rsidRPr="00BA5229">
        <w:rPr>
          <w:lang w:val="en-US"/>
        </w:rPr>
        <w:t xml:space="preserve">, not </w:t>
      </w:r>
      <w:r w:rsidR="00DA58C8">
        <w:rPr>
          <w:lang w:val="en-US"/>
        </w:rPr>
        <w:t xml:space="preserve">at rates that ensure </w:t>
      </w:r>
      <w:r w:rsidR="007B1730" w:rsidRPr="00BA5229">
        <w:rPr>
          <w:lang w:val="en-US"/>
        </w:rPr>
        <w:t>customer indifference</w:t>
      </w:r>
      <w:r w:rsidR="00904870" w:rsidRPr="00BA5229">
        <w:rPr>
          <w:lang w:val="en-US"/>
        </w:rPr>
        <w:t>.</w:t>
      </w:r>
      <w:r w:rsidR="00904870" w:rsidRPr="00BA5229">
        <w:rPr>
          <w:vertAlign w:val="superscript"/>
          <w:lang w:val="en-US"/>
        </w:rPr>
        <w:footnoteReference w:id="25"/>
      </w:r>
    </w:p>
    <w:p w14:paraId="62C88751" w14:textId="23DE99B4" w:rsidR="00A8251C" w:rsidRPr="00EE1098" w:rsidRDefault="00DA58C8" w:rsidP="00EE1098">
      <w:pPr>
        <w:pStyle w:val="WUTCParagraph"/>
        <w:tabs>
          <w:tab w:val="clear" w:pos="1440"/>
        </w:tabs>
        <w:rPr>
          <w:lang w:val="en-US"/>
        </w:rPr>
      </w:pPr>
      <w:r>
        <w:rPr>
          <w:lang w:val="en-US"/>
        </w:rPr>
        <w:t xml:space="preserve"> </w:t>
      </w:r>
      <w:r>
        <w:rPr>
          <w:lang w:val="en-US"/>
        </w:rPr>
        <w:tab/>
      </w:r>
      <w:r w:rsidR="00EE1098">
        <w:rPr>
          <w:lang w:val="en-US"/>
        </w:rPr>
        <w:t xml:space="preserve">Customer indifference is achieved when rates for QF power accurately reflect the Company’s full avoided cost. </w:t>
      </w:r>
      <w:r w:rsidR="00B319E5" w:rsidRPr="00EE1098">
        <w:rPr>
          <w:lang w:val="en-US"/>
        </w:rPr>
        <w:t>Commission rules</w:t>
      </w:r>
      <w:r w:rsidR="00E57B00" w:rsidRPr="00EE1098">
        <w:rPr>
          <w:lang w:val="en-US"/>
        </w:rPr>
        <w:t xml:space="preserve"> require </w:t>
      </w:r>
      <w:r w:rsidR="00B319E5" w:rsidRPr="00EE1098">
        <w:rPr>
          <w:lang w:val="en-US"/>
        </w:rPr>
        <w:t xml:space="preserve">PacifiCorp </w:t>
      </w:r>
      <w:r w:rsidR="00E57B00" w:rsidRPr="00EE1098">
        <w:rPr>
          <w:lang w:val="en-US"/>
        </w:rPr>
        <w:t>to</w:t>
      </w:r>
      <w:r w:rsidR="00B319E5" w:rsidRPr="00EE1098">
        <w:rPr>
          <w:lang w:val="en-US"/>
        </w:rPr>
        <w:t xml:space="preserve"> update its standard offer rates annually</w:t>
      </w:r>
      <w:r w:rsidR="00EE1098">
        <w:rPr>
          <w:lang w:val="en-US"/>
        </w:rPr>
        <w:t>, which supports the policy aspiration of customer indifference</w:t>
      </w:r>
      <w:r w:rsidR="00B319E5" w:rsidRPr="00EE1098">
        <w:rPr>
          <w:lang w:val="en-US"/>
        </w:rPr>
        <w:t>.</w:t>
      </w:r>
      <w:r w:rsidR="00B319E5" w:rsidRPr="00BA5229">
        <w:rPr>
          <w:rStyle w:val="FootnoteReference"/>
          <w:lang w:val="en-US"/>
        </w:rPr>
        <w:footnoteReference w:id="26"/>
      </w:r>
      <w:r w:rsidR="00B319E5" w:rsidRPr="00EE1098">
        <w:rPr>
          <w:lang w:val="en-US"/>
        </w:rPr>
        <w:t xml:space="preserve"> </w:t>
      </w:r>
      <w:r w:rsidR="00E57B00" w:rsidRPr="00EE1098">
        <w:rPr>
          <w:lang w:val="en-US"/>
        </w:rPr>
        <w:t>This update accounts for changes in market and system conditions and helps ensure the most current avoided cost price information applies to new QF contracts. Moreover, PacifiCorp’s standard offer is available</w:t>
      </w:r>
      <w:r w:rsidR="00E57B00" w:rsidRPr="00BA5229">
        <w:t xml:space="preserve"> </w:t>
      </w:r>
      <w:r w:rsidR="00E17FDA" w:rsidRPr="00EE1098">
        <w:rPr>
          <w:lang w:val="en-US"/>
        </w:rPr>
        <w:t xml:space="preserve">only </w:t>
      </w:r>
      <w:r w:rsidR="00E57B00" w:rsidRPr="00BA5229">
        <w:t xml:space="preserve">to QFs </w:t>
      </w:r>
      <w:r w:rsidR="00E17FDA">
        <w:rPr>
          <w:lang w:val="en-US"/>
        </w:rPr>
        <w:t>having</w:t>
      </w:r>
      <w:r w:rsidR="00E57B00" w:rsidRPr="00BA5229">
        <w:t xml:space="preserve"> a design capacity of up to 2 MW</w:t>
      </w:r>
      <w:r w:rsidR="00E57B00" w:rsidRPr="00EE1098">
        <w:rPr>
          <w:lang w:val="en-US"/>
        </w:rPr>
        <w:t>,</w:t>
      </w:r>
      <w:r w:rsidR="00E57B00" w:rsidRPr="00BA5229">
        <w:t xml:space="preserve"> and </w:t>
      </w:r>
      <w:r w:rsidR="00EC7B5E" w:rsidRPr="00EE1098">
        <w:rPr>
          <w:lang w:val="en-US"/>
        </w:rPr>
        <w:t xml:space="preserve">fixed rates are available </w:t>
      </w:r>
      <w:r w:rsidR="00E17FDA" w:rsidRPr="00EE1098">
        <w:rPr>
          <w:lang w:val="en-US"/>
        </w:rPr>
        <w:t xml:space="preserve">only </w:t>
      </w:r>
      <w:r w:rsidR="00E57B00" w:rsidRPr="00EE1098">
        <w:rPr>
          <w:lang w:val="en-US"/>
        </w:rPr>
        <w:t>for a</w:t>
      </w:r>
      <w:r w:rsidR="00BB4828" w:rsidRPr="00EE1098">
        <w:rPr>
          <w:lang w:val="en-US"/>
        </w:rPr>
        <w:t xml:space="preserve"> period of</w:t>
      </w:r>
      <w:r w:rsidR="00E57B00" w:rsidRPr="00EE1098">
        <w:rPr>
          <w:lang w:val="en-US"/>
        </w:rPr>
        <w:t xml:space="preserve"> </w:t>
      </w:r>
      <w:r w:rsidR="007A0C85">
        <w:t xml:space="preserve">five </w:t>
      </w:r>
      <w:r w:rsidR="00E57B00" w:rsidRPr="00BA5229">
        <w:t>year</w:t>
      </w:r>
      <w:r w:rsidR="00BB4828" w:rsidRPr="00EE1098">
        <w:rPr>
          <w:lang w:val="en-US"/>
        </w:rPr>
        <w:t>s</w:t>
      </w:r>
      <w:r w:rsidR="00E57B00" w:rsidRPr="00BA5229">
        <w:t>.</w:t>
      </w:r>
      <w:r w:rsidR="00E57B00" w:rsidRPr="00BA5229">
        <w:rPr>
          <w:rStyle w:val="FootnoteReference"/>
          <w:lang w:val="en-US"/>
        </w:rPr>
        <w:footnoteReference w:id="27"/>
      </w:r>
      <w:r w:rsidR="00E57B00" w:rsidRPr="00EE1098">
        <w:rPr>
          <w:lang w:val="en-US"/>
        </w:rPr>
        <w:t xml:space="preserve"> </w:t>
      </w:r>
      <w:r w:rsidR="00E57B00" w:rsidRPr="00BA5229">
        <w:t xml:space="preserve">As </w:t>
      </w:r>
      <w:r w:rsidR="00282D69" w:rsidRPr="00BA5229">
        <w:t xml:space="preserve">Staff witness </w:t>
      </w:r>
      <w:r w:rsidR="00E57B00" w:rsidRPr="00BA5229">
        <w:t>Mr. Twitchell explained, “</w:t>
      </w:r>
      <w:r w:rsidR="00D57013">
        <w:rPr>
          <w:lang w:val="en-US"/>
        </w:rPr>
        <w:t>Washington’</w:t>
      </w:r>
      <w:r w:rsidR="00E57B00" w:rsidRPr="00EE1098">
        <w:rPr>
          <w:lang w:val="en-US"/>
        </w:rPr>
        <w:t>s use of a five-year term for the standard offer tariff benefits the Company and ratepayers by ensuring that avoided cost rates accurately reflect current market conditions.”</w:t>
      </w:r>
      <w:r w:rsidR="00E57B00" w:rsidRPr="00BA5229">
        <w:rPr>
          <w:rStyle w:val="FootnoteReference"/>
          <w:lang w:val="en-US"/>
        </w:rPr>
        <w:footnoteReference w:id="28"/>
      </w:r>
      <w:r w:rsidR="00E57B00" w:rsidRPr="00EE1098">
        <w:rPr>
          <w:lang w:val="en-US"/>
        </w:rPr>
        <w:t xml:space="preserve"> </w:t>
      </w:r>
      <w:r w:rsidR="00282D69" w:rsidRPr="00EE1098">
        <w:rPr>
          <w:lang w:val="en-US"/>
        </w:rPr>
        <w:t>PacifiCorp</w:t>
      </w:r>
      <w:r w:rsidR="00F66A7C" w:rsidRPr="00EE1098">
        <w:rPr>
          <w:lang w:val="en-US"/>
        </w:rPr>
        <w:t xml:space="preserve"> acknowledged that </w:t>
      </w:r>
      <w:r w:rsidR="00E57B00" w:rsidRPr="00EE1098">
        <w:rPr>
          <w:lang w:val="en-US"/>
        </w:rPr>
        <w:t>such</w:t>
      </w:r>
      <w:r w:rsidR="00F66A7C" w:rsidRPr="00EE1098">
        <w:rPr>
          <w:lang w:val="en-US"/>
        </w:rPr>
        <w:t xml:space="preserve"> </w:t>
      </w:r>
      <w:r w:rsidR="00E57B00" w:rsidRPr="00EE1098">
        <w:rPr>
          <w:lang w:val="en-US"/>
        </w:rPr>
        <w:t>practices are</w:t>
      </w:r>
      <w:r w:rsidR="00F66A7C" w:rsidRPr="00EE1098">
        <w:rPr>
          <w:lang w:val="en-US"/>
        </w:rPr>
        <w:t xml:space="preserve"> </w:t>
      </w:r>
      <w:r w:rsidR="00981041" w:rsidRPr="00EE1098">
        <w:rPr>
          <w:lang w:val="en-US"/>
        </w:rPr>
        <w:t>“</w:t>
      </w:r>
      <w:r w:rsidR="00F66A7C" w:rsidRPr="00EE1098">
        <w:rPr>
          <w:lang w:val="en-US"/>
        </w:rPr>
        <w:t>consistent with customer indifference</w:t>
      </w:r>
      <w:r w:rsidR="00981041" w:rsidRPr="00EE1098">
        <w:rPr>
          <w:lang w:val="en-US"/>
        </w:rPr>
        <w:t>.”</w:t>
      </w:r>
      <w:r w:rsidR="00B319E5" w:rsidRPr="00BA5229">
        <w:rPr>
          <w:rStyle w:val="FootnoteReference"/>
          <w:lang w:val="en-US"/>
        </w:rPr>
        <w:footnoteReference w:id="29"/>
      </w:r>
      <w:r w:rsidR="00B319E5" w:rsidRPr="00EE1098">
        <w:rPr>
          <w:lang w:val="en-US"/>
        </w:rPr>
        <w:t xml:space="preserve"> </w:t>
      </w:r>
    </w:p>
    <w:p w14:paraId="1789FA14" w14:textId="2DBB64EF" w:rsidR="00421C83" w:rsidRPr="00BA5229" w:rsidRDefault="00A8251C" w:rsidP="00BA5229">
      <w:pPr>
        <w:pStyle w:val="WUTCParagraph"/>
        <w:tabs>
          <w:tab w:val="clear" w:pos="1440"/>
        </w:tabs>
        <w:rPr>
          <w:lang w:val="en-US"/>
        </w:rPr>
      </w:pPr>
      <w:r w:rsidRPr="00BA5229">
        <w:rPr>
          <w:lang w:val="en-US"/>
        </w:rPr>
        <w:t xml:space="preserve"> </w:t>
      </w:r>
      <w:r w:rsidRPr="00BA5229">
        <w:rPr>
          <w:lang w:val="en-US"/>
        </w:rPr>
        <w:tab/>
      </w:r>
      <w:r w:rsidR="00863EBA">
        <w:rPr>
          <w:lang w:val="en-US"/>
        </w:rPr>
        <w:t>T</w:t>
      </w:r>
      <w:r w:rsidR="00282D69" w:rsidRPr="00BA5229">
        <w:rPr>
          <w:lang w:val="en-US"/>
        </w:rPr>
        <w:t>he Company’s standard offer</w:t>
      </w:r>
      <w:r w:rsidR="007A0C85">
        <w:rPr>
          <w:lang w:val="en-US"/>
        </w:rPr>
        <w:t>,</w:t>
      </w:r>
      <w:r w:rsidR="00282D69" w:rsidRPr="00BA5229">
        <w:rPr>
          <w:lang w:val="en-US"/>
        </w:rPr>
        <w:t xml:space="preserve"> </w:t>
      </w:r>
      <w:r w:rsidR="00863EBA">
        <w:rPr>
          <w:lang w:val="en-US"/>
        </w:rPr>
        <w:t>however</w:t>
      </w:r>
      <w:r w:rsidR="007A0C85">
        <w:rPr>
          <w:lang w:val="en-US"/>
        </w:rPr>
        <w:t>,</w:t>
      </w:r>
      <w:r w:rsidR="00863EBA">
        <w:rPr>
          <w:lang w:val="en-US"/>
        </w:rPr>
        <w:t xml:space="preserve"> </w:t>
      </w:r>
      <w:r w:rsidR="00282D69" w:rsidRPr="00BA5229">
        <w:rPr>
          <w:lang w:val="en-US"/>
        </w:rPr>
        <w:t>is not available to Q</w:t>
      </w:r>
      <w:r w:rsidR="00E314CD" w:rsidRPr="00BA5229">
        <w:rPr>
          <w:lang w:val="en-US"/>
        </w:rPr>
        <w:t>Fs that exceed the 2 MW design capacity limit</w:t>
      </w:r>
      <w:r w:rsidRPr="00BA5229">
        <w:rPr>
          <w:lang w:val="en-US"/>
        </w:rPr>
        <w:t>. Instead, these larger projects m</w:t>
      </w:r>
      <w:r w:rsidR="007B1730" w:rsidRPr="00BA5229">
        <w:rPr>
          <w:lang w:val="en-US"/>
        </w:rPr>
        <w:t>u</w:t>
      </w:r>
      <w:r w:rsidRPr="00BA5229">
        <w:rPr>
          <w:lang w:val="en-US"/>
        </w:rPr>
        <w:t>st negotia</w:t>
      </w:r>
      <w:r w:rsidR="00863EBA">
        <w:rPr>
          <w:lang w:val="en-US"/>
        </w:rPr>
        <w:t>te their rate</w:t>
      </w:r>
      <w:r w:rsidR="00E17FDA">
        <w:rPr>
          <w:lang w:val="en-US"/>
        </w:rPr>
        <w:t>s</w:t>
      </w:r>
      <w:r w:rsidR="00863EBA">
        <w:rPr>
          <w:lang w:val="en-US"/>
        </w:rPr>
        <w:t xml:space="preserve"> and terms with PacifiCorp</w:t>
      </w:r>
      <w:r w:rsidRPr="00BA5229">
        <w:rPr>
          <w:lang w:val="en-US"/>
        </w:rPr>
        <w:t>.</w:t>
      </w:r>
      <w:r w:rsidRPr="00BA5229">
        <w:rPr>
          <w:rStyle w:val="FootnoteReference"/>
          <w:lang w:val="en-US"/>
        </w:rPr>
        <w:footnoteReference w:id="30"/>
      </w:r>
      <w:r w:rsidR="00E57B00" w:rsidRPr="00BA5229">
        <w:rPr>
          <w:lang w:val="en-US"/>
        </w:rPr>
        <w:t xml:space="preserve"> </w:t>
      </w:r>
      <w:r w:rsidR="00A246D2" w:rsidRPr="00BA5229">
        <w:rPr>
          <w:lang w:val="en-US"/>
        </w:rPr>
        <w:t xml:space="preserve">The standard offer </w:t>
      </w:r>
      <w:r w:rsidR="005808DB" w:rsidRPr="00BA5229">
        <w:rPr>
          <w:lang w:val="en-US"/>
        </w:rPr>
        <w:t>provides a starting point for these negotiations.</w:t>
      </w:r>
      <w:r w:rsidR="006A6F22" w:rsidRPr="00BA5229">
        <w:rPr>
          <w:rStyle w:val="FootnoteReference"/>
          <w:lang w:val="en-US"/>
        </w:rPr>
        <w:footnoteReference w:id="31"/>
      </w:r>
      <w:r w:rsidR="00A246D2" w:rsidRPr="00BA5229">
        <w:rPr>
          <w:lang w:val="en-US"/>
        </w:rPr>
        <w:t xml:space="preserve"> </w:t>
      </w:r>
      <w:r w:rsidR="00E57B00" w:rsidRPr="00BA5229">
        <w:rPr>
          <w:lang w:val="en-US"/>
        </w:rPr>
        <w:t>It is</w:t>
      </w:r>
      <w:r w:rsidR="00BB4828">
        <w:rPr>
          <w:lang w:val="en-US"/>
        </w:rPr>
        <w:t xml:space="preserve"> critical</w:t>
      </w:r>
      <w:r w:rsidR="00E57B00" w:rsidRPr="00BA5229">
        <w:rPr>
          <w:lang w:val="en-US"/>
        </w:rPr>
        <w:t xml:space="preserve"> </w:t>
      </w:r>
      <w:r w:rsidR="005808DB" w:rsidRPr="00BA5229">
        <w:rPr>
          <w:lang w:val="en-US"/>
        </w:rPr>
        <w:t xml:space="preserve">therefore </w:t>
      </w:r>
      <w:r w:rsidR="00E57B00" w:rsidRPr="00BA5229">
        <w:rPr>
          <w:lang w:val="en-US"/>
        </w:rPr>
        <w:t xml:space="preserve">that PacifiCorp’s standard offer </w:t>
      </w:r>
      <w:r w:rsidR="00A246D2" w:rsidRPr="00BA5229">
        <w:rPr>
          <w:lang w:val="en-US"/>
        </w:rPr>
        <w:t>accurately account for the Company’s full avoided cost</w:t>
      </w:r>
      <w:r w:rsidR="005808DB" w:rsidRPr="00BA5229">
        <w:rPr>
          <w:lang w:val="en-US"/>
        </w:rPr>
        <w:t xml:space="preserve"> because failure to do so would place these larger QF developers in a disadvantaged negotiating position</w:t>
      </w:r>
      <w:r w:rsidR="00A246D2" w:rsidRPr="00BA5229">
        <w:rPr>
          <w:lang w:val="en-US"/>
        </w:rPr>
        <w:t>.</w:t>
      </w:r>
      <w:r w:rsidR="005808DB" w:rsidRPr="00BA5229">
        <w:rPr>
          <w:rStyle w:val="FootnoteReference"/>
          <w:lang w:val="en-US"/>
        </w:rPr>
        <w:footnoteReference w:id="32"/>
      </w:r>
      <w:r w:rsidR="00A246D2" w:rsidRPr="00BA5229">
        <w:rPr>
          <w:lang w:val="en-US"/>
        </w:rPr>
        <w:t xml:space="preserve"> </w:t>
      </w:r>
    </w:p>
    <w:p w14:paraId="5A49842F" w14:textId="1F1EE762" w:rsidR="00962472" w:rsidRPr="00BA5229" w:rsidRDefault="005808DB" w:rsidP="00BA5229">
      <w:pPr>
        <w:pStyle w:val="WUTCParagraph"/>
        <w:tabs>
          <w:tab w:val="clear" w:pos="1440"/>
        </w:tabs>
        <w:rPr>
          <w:lang w:val="en-US"/>
        </w:rPr>
      </w:pPr>
      <w:r w:rsidRPr="00BA5229">
        <w:rPr>
          <w:lang w:val="en-US"/>
        </w:rPr>
        <w:t xml:space="preserve"> </w:t>
      </w:r>
      <w:r w:rsidRPr="00BA5229">
        <w:rPr>
          <w:lang w:val="en-US"/>
        </w:rPr>
        <w:tab/>
      </w:r>
      <w:r w:rsidR="005167E5" w:rsidRPr="00BA5229">
        <w:rPr>
          <w:lang w:val="en-US"/>
        </w:rPr>
        <w:t xml:space="preserve">The terms of PacifiCorp’s standard offer </w:t>
      </w:r>
      <w:r w:rsidR="00420ABA">
        <w:rPr>
          <w:lang w:val="en-US"/>
        </w:rPr>
        <w:t>protect</w:t>
      </w:r>
      <w:r w:rsidR="005167E5" w:rsidRPr="00BA5229">
        <w:rPr>
          <w:lang w:val="en-US"/>
        </w:rPr>
        <w:t xml:space="preserve"> customer indifference,</w:t>
      </w:r>
      <w:r w:rsidR="005167E5" w:rsidRPr="00BA5229">
        <w:rPr>
          <w:color w:val="000000"/>
          <w:lang w:val="en-US" w:eastAsia="en-US"/>
        </w:rPr>
        <w:t xml:space="preserve"> </w:t>
      </w:r>
      <w:r w:rsidR="005167E5" w:rsidRPr="00BA5229">
        <w:rPr>
          <w:lang w:val="en-US"/>
        </w:rPr>
        <w:t>but ha</w:t>
      </w:r>
      <w:r w:rsidR="007B1730" w:rsidRPr="00BA5229">
        <w:rPr>
          <w:lang w:val="en-US"/>
        </w:rPr>
        <w:t>ve</w:t>
      </w:r>
      <w:r w:rsidR="005167E5" w:rsidRPr="00BA5229">
        <w:rPr>
          <w:lang w:val="en-US"/>
        </w:rPr>
        <w:t xml:space="preserve"> failed to encourage QF development. Only three QFs, with a combined </w:t>
      </w:r>
      <w:r w:rsidR="00282D69" w:rsidRPr="00BA5229">
        <w:rPr>
          <w:lang w:val="en-US"/>
        </w:rPr>
        <w:t xml:space="preserve">design </w:t>
      </w:r>
      <w:r w:rsidR="005167E5" w:rsidRPr="00BA5229">
        <w:rPr>
          <w:lang w:val="en-US"/>
        </w:rPr>
        <w:t>capacity of approximately 4</w:t>
      </w:r>
      <w:r w:rsidR="00282D69" w:rsidRPr="00BA5229">
        <w:rPr>
          <w:lang w:val="en-US"/>
        </w:rPr>
        <w:t xml:space="preserve"> </w:t>
      </w:r>
      <w:r w:rsidR="005167E5" w:rsidRPr="00BA5229">
        <w:rPr>
          <w:lang w:val="en-US"/>
        </w:rPr>
        <w:t>MW, are located in the Company’s Washington service territory.</w:t>
      </w:r>
      <w:r w:rsidR="005167E5" w:rsidRPr="00BA5229">
        <w:rPr>
          <w:vertAlign w:val="superscript"/>
          <w:lang w:val="en-US"/>
        </w:rPr>
        <w:footnoteReference w:id="33"/>
      </w:r>
      <w:r w:rsidR="001A1752" w:rsidRPr="00BA5229">
        <w:rPr>
          <w:lang w:val="en-US"/>
        </w:rPr>
        <w:t xml:space="preserve"> </w:t>
      </w:r>
      <w:r w:rsidR="00EC7B5E" w:rsidRPr="00BA5229">
        <w:rPr>
          <w:lang w:val="en-US"/>
        </w:rPr>
        <w:t xml:space="preserve">All three take advantage of PacifiCorp’s standard offer. </w:t>
      </w:r>
      <w:r w:rsidR="001A1752" w:rsidRPr="00BA5229">
        <w:rPr>
          <w:lang w:val="en-US"/>
        </w:rPr>
        <w:t>Two of these QFs went into service in 1986, the other in 2006.</w:t>
      </w:r>
      <w:r w:rsidR="001A1752" w:rsidRPr="00BA5229">
        <w:rPr>
          <w:rStyle w:val="FootnoteReference"/>
          <w:lang w:val="en-US"/>
        </w:rPr>
        <w:footnoteReference w:id="34"/>
      </w:r>
      <w:r w:rsidR="001A1752" w:rsidRPr="00BA5229">
        <w:rPr>
          <w:lang w:val="en-US"/>
        </w:rPr>
        <w:t xml:space="preserve"> No new QFs are under development.</w:t>
      </w:r>
      <w:r w:rsidR="001A1752" w:rsidRPr="00BA5229">
        <w:rPr>
          <w:rStyle w:val="FootnoteReference"/>
          <w:lang w:val="en-US"/>
        </w:rPr>
        <w:footnoteReference w:id="35"/>
      </w:r>
      <w:r w:rsidR="001A1752" w:rsidRPr="00BA5229">
        <w:rPr>
          <w:lang w:val="en-US"/>
        </w:rPr>
        <w:t xml:space="preserve"> In contrast, PacifiCorp has </w:t>
      </w:r>
      <w:r w:rsidR="00EC7B5E" w:rsidRPr="00BA5229">
        <w:rPr>
          <w:lang w:val="en-US"/>
        </w:rPr>
        <w:t>138 QFs, representing approximately 1,728 MW of installed capacity, either operating or under development in its remaining jurisdictions.</w:t>
      </w:r>
      <w:r w:rsidR="00EC7B5E" w:rsidRPr="00BA5229">
        <w:rPr>
          <w:rStyle w:val="FootnoteReference"/>
          <w:lang w:val="en-US"/>
        </w:rPr>
        <w:footnoteReference w:id="36"/>
      </w:r>
      <w:r w:rsidR="00EC7B5E" w:rsidRPr="00BA5229">
        <w:rPr>
          <w:lang w:val="en-US"/>
        </w:rPr>
        <w:t xml:space="preserve"> The lack of QF development in </w:t>
      </w:r>
      <w:r w:rsidR="006A6F22" w:rsidRPr="00BA5229">
        <w:rPr>
          <w:lang w:val="en-US"/>
        </w:rPr>
        <w:t>PacifiCorp</w:t>
      </w:r>
      <w:r w:rsidR="00EC7B5E" w:rsidRPr="00BA5229">
        <w:rPr>
          <w:lang w:val="en-US"/>
        </w:rPr>
        <w:t xml:space="preserve">’s Washington service territory indicates that </w:t>
      </w:r>
      <w:r w:rsidR="006A6F22" w:rsidRPr="00BA5229">
        <w:rPr>
          <w:lang w:val="en-US"/>
        </w:rPr>
        <w:t>the Company’s</w:t>
      </w:r>
      <w:r w:rsidR="003F5A87" w:rsidRPr="00BA5229">
        <w:rPr>
          <w:lang w:val="en-US"/>
        </w:rPr>
        <w:t xml:space="preserve"> standard offer do</w:t>
      </w:r>
      <w:r w:rsidR="008B68D4" w:rsidRPr="00BA5229">
        <w:rPr>
          <w:lang w:val="en-US"/>
        </w:rPr>
        <w:t>es</w:t>
      </w:r>
      <w:r w:rsidR="003F5A87" w:rsidRPr="00BA5229">
        <w:rPr>
          <w:lang w:val="en-US"/>
        </w:rPr>
        <w:t xml:space="preserve"> not provide adequate certainty to QF developers </w:t>
      </w:r>
      <w:r w:rsidR="007B1730" w:rsidRPr="00BA5229">
        <w:rPr>
          <w:lang w:val="en-US"/>
        </w:rPr>
        <w:t>to finance new projects</w:t>
      </w:r>
      <w:r w:rsidR="003F5A87" w:rsidRPr="00BA5229">
        <w:rPr>
          <w:lang w:val="en-US"/>
        </w:rPr>
        <w:t>, and that developers have been unable to negotiate</w:t>
      </w:r>
      <w:r w:rsidR="00D832CB">
        <w:rPr>
          <w:lang w:val="en-US"/>
        </w:rPr>
        <w:t xml:space="preserve"> for</w:t>
      </w:r>
      <w:r w:rsidR="003F5A87" w:rsidRPr="00BA5229">
        <w:rPr>
          <w:lang w:val="en-US"/>
        </w:rPr>
        <w:t xml:space="preserve"> </w:t>
      </w:r>
      <w:r w:rsidR="00D832CB" w:rsidRPr="00BA5229">
        <w:rPr>
          <w:lang w:val="en-US"/>
        </w:rPr>
        <w:t xml:space="preserve">more favorable terms </w:t>
      </w:r>
      <w:r w:rsidR="003F5A87" w:rsidRPr="00BA5229">
        <w:rPr>
          <w:lang w:val="en-US"/>
        </w:rPr>
        <w:t xml:space="preserve">with the </w:t>
      </w:r>
      <w:r w:rsidR="006A6F22" w:rsidRPr="00BA5229">
        <w:rPr>
          <w:lang w:val="en-US"/>
        </w:rPr>
        <w:t>C</w:t>
      </w:r>
      <w:r w:rsidR="003F5A87" w:rsidRPr="00BA5229">
        <w:rPr>
          <w:lang w:val="en-US"/>
        </w:rPr>
        <w:t>ompany.</w:t>
      </w:r>
      <w:r w:rsidR="00DD4B55">
        <w:rPr>
          <w:rStyle w:val="FootnoteReference"/>
          <w:lang w:val="en-US"/>
        </w:rPr>
        <w:footnoteReference w:id="37"/>
      </w:r>
      <w:r w:rsidR="003F5A87" w:rsidRPr="00BA5229">
        <w:rPr>
          <w:lang w:val="en-US"/>
        </w:rPr>
        <w:t xml:space="preserve"> </w:t>
      </w:r>
    </w:p>
    <w:p w14:paraId="4D6A648E" w14:textId="60C86C0F" w:rsidR="00962472" w:rsidRPr="00BA5229" w:rsidRDefault="00962472" w:rsidP="00CB7539">
      <w:pPr>
        <w:pStyle w:val="WUTCParagraph"/>
        <w:numPr>
          <w:ilvl w:val="0"/>
          <w:numId w:val="0"/>
        </w:numPr>
        <w:tabs>
          <w:tab w:val="clear" w:pos="1440"/>
        </w:tabs>
        <w:spacing w:line="240" w:lineRule="auto"/>
        <w:ind w:left="1440" w:hanging="720"/>
        <w:rPr>
          <w:b/>
          <w:lang w:val="en-US"/>
        </w:rPr>
      </w:pPr>
      <w:r w:rsidRPr="00BA5229">
        <w:rPr>
          <w:b/>
          <w:lang w:val="en-US"/>
        </w:rPr>
        <w:t xml:space="preserve">3. </w:t>
      </w:r>
      <w:r w:rsidR="00CB7539">
        <w:rPr>
          <w:b/>
          <w:lang w:val="en-US"/>
        </w:rPr>
        <w:tab/>
      </w:r>
      <w:r w:rsidRPr="00BA5229">
        <w:rPr>
          <w:b/>
          <w:lang w:val="en-US"/>
        </w:rPr>
        <w:t>PacifiCorp’s Proposed Change to the Commission’s Avoided Cost Methodology Fails to Capture the Company’s Full Avoided Cost</w:t>
      </w:r>
    </w:p>
    <w:p w14:paraId="40E30876" w14:textId="77777777" w:rsidR="00CB7539" w:rsidRPr="00BA5229" w:rsidRDefault="00CB7539" w:rsidP="00CB7539">
      <w:pPr>
        <w:pStyle w:val="WUTCParagraph"/>
        <w:numPr>
          <w:ilvl w:val="0"/>
          <w:numId w:val="0"/>
        </w:numPr>
        <w:tabs>
          <w:tab w:val="clear" w:pos="1440"/>
        </w:tabs>
        <w:spacing w:line="240" w:lineRule="auto"/>
        <w:rPr>
          <w:b/>
          <w:lang w:val="en-US"/>
        </w:rPr>
      </w:pPr>
    </w:p>
    <w:p w14:paraId="3A99ED60" w14:textId="41B20149" w:rsidR="00A25C34" w:rsidRPr="00BA5229" w:rsidRDefault="007B1730" w:rsidP="00BA5229">
      <w:pPr>
        <w:pStyle w:val="WUTCParagraph"/>
        <w:tabs>
          <w:tab w:val="clear" w:pos="1440"/>
        </w:tabs>
        <w:rPr>
          <w:lang w:val="en-US"/>
        </w:rPr>
      </w:pPr>
      <w:r w:rsidRPr="00BA5229">
        <w:rPr>
          <w:lang w:val="en-US"/>
        </w:rPr>
        <w:t xml:space="preserve"> </w:t>
      </w:r>
      <w:r w:rsidRPr="00BA5229">
        <w:rPr>
          <w:lang w:val="en-US"/>
        </w:rPr>
        <w:tab/>
      </w:r>
      <w:r w:rsidR="00E82A4A" w:rsidRPr="00BA5229">
        <w:rPr>
          <w:lang w:val="en-US"/>
        </w:rPr>
        <w:t xml:space="preserve">PacifiCorp’s full avoided cost </w:t>
      </w:r>
      <w:r w:rsidR="00BB4828">
        <w:rPr>
          <w:lang w:val="en-US"/>
        </w:rPr>
        <w:t xml:space="preserve">rate </w:t>
      </w:r>
      <w:r w:rsidR="00E82A4A" w:rsidRPr="00BA5229">
        <w:rPr>
          <w:lang w:val="en-US"/>
        </w:rPr>
        <w:t xml:space="preserve">properly includes values for both its avoided energy costs and its avoided capacity costs. </w:t>
      </w:r>
      <w:r w:rsidRPr="00BA5229">
        <w:rPr>
          <w:lang w:val="en-US"/>
        </w:rPr>
        <w:t xml:space="preserve">FERC </w:t>
      </w:r>
      <w:r w:rsidR="00BB4828" w:rsidRPr="00BA5229">
        <w:rPr>
          <w:lang w:val="en-US"/>
        </w:rPr>
        <w:t xml:space="preserve">Order </w:t>
      </w:r>
      <w:r w:rsidR="00BB4828">
        <w:rPr>
          <w:lang w:val="en-US"/>
        </w:rPr>
        <w:t xml:space="preserve">No. </w:t>
      </w:r>
      <w:r w:rsidR="00BB4828" w:rsidRPr="00BA5229">
        <w:rPr>
          <w:lang w:val="en-US"/>
        </w:rPr>
        <w:t>69</w:t>
      </w:r>
      <w:r w:rsidR="00BB4828">
        <w:rPr>
          <w:lang w:val="en-US"/>
        </w:rPr>
        <w:t xml:space="preserve"> </w:t>
      </w:r>
      <w:r w:rsidRPr="00BA5229">
        <w:rPr>
          <w:lang w:val="en-US"/>
        </w:rPr>
        <w:t>established that full avoided costs rates properly include a value for capacity whenever the QF reduce</w:t>
      </w:r>
      <w:r w:rsidR="00EE3547" w:rsidRPr="00BA5229">
        <w:rPr>
          <w:lang w:val="en-US"/>
        </w:rPr>
        <w:t>s</w:t>
      </w:r>
      <w:r w:rsidRPr="00BA5229">
        <w:rPr>
          <w:lang w:val="en-US"/>
        </w:rPr>
        <w:t xml:space="preserve"> the utility’s need to purchase power on the wholesale market</w:t>
      </w:r>
      <w:r w:rsidR="00A25C34" w:rsidRPr="00BA5229">
        <w:rPr>
          <w:lang w:val="en-US"/>
        </w:rPr>
        <w:t>:</w:t>
      </w:r>
    </w:p>
    <w:p w14:paraId="76C9762B" w14:textId="07D08F48" w:rsidR="00A25C34" w:rsidRPr="00BA5229" w:rsidRDefault="007B1730" w:rsidP="00BA5229">
      <w:pPr>
        <w:pStyle w:val="WUTCParagraph"/>
        <w:numPr>
          <w:ilvl w:val="0"/>
          <w:numId w:val="0"/>
        </w:numPr>
        <w:tabs>
          <w:tab w:val="clear" w:pos="1440"/>
        </w:tabs>
        <w:spacing w:after="100" w:afterAutospacing="1" w:line="240" w:lineRule="auto"/>
        <w:ind w:left="720"/>
        <w:rPr>
          <w:lang w:val="en-US"/>
        </w:rPr>
      </w:pPr>
      <w:r w:rsidRPr="00BA5229">
        <w:t>If [a QF] demonstrates a degree of reliability that would permit the utility to defer or avoid</w:t>
      </w:r>
      <w:r w:rsidR="00905B27" w:rsidRPr="00BA5229">
        <w:t xml:space="preserve"> construction of a generating unit or the purchase of firm power from another utility, then the rate for such </w:t>
      </w:r>
      <w:r w:rsidR="00603CC7" w:rsidRPr="00BA5229">
        <w:t>purchase</w:t>
      </w:r>
      <w:r w:rsidR="00905B27" w:rsidRPr="00BA5229">
        <w:t xml:space="preserve"> should be based on the avoidance of both energy and capacity costs.</w:t>
      </w:r>
      <w:r w:rsidR="00905B27" w:rsidRPr="00BA5229">
        <w:rPr>
          <w:rStyle w:val="FootnoteReference"/>
        </w:rPr>
        <w:footnoteReference w:id="38"/>
      </w:r>
      <w:r w:rsidR="00042645" w:rsidRPr="00BA5229">
        <w:rPr>
          <w:lang w:val="en-US"/>
        </w:rPr>
        <w:t xml:space="preserve"> </w:t>
      </w:r>
      <w:r w:rsidR="00A25C34" w:rsidRPr="00BA5229">
        <w:rPr>
          <w:lang w:val="en-US"/>
        </w:rPr>
        <w:t xml:space="preserve"> </w:t>
      </w:r>
    </w:p>
    <w:p w14:paraId="4D9E49B7" w14:textId="3B392B6D" w:rsidR="00B962B4" w:rsidRPr="00BA5229" w:rsidRDefault="00905B27" w:rsidP="00BA5229">
      <w:pPr>
        <w:pStyle w:val="WUTCParagraph"/>
        <w:numPr>
          <w:ilvl w:val="0"/>
          <w:numId w:val="0"/>
        </w:numPr>
        <w:tabs>
          <w:tab w:val="clear" w:pos="1440"/>
        </w:tabs>
        <w:rPr>
          <w:lang w:val="en-US"/>
        </w:rPr>
      </w:pPr>
      <w:r w:rsidRPr="00BA5229">
        <w:t xml:space="preserve">FERC </w:t>
      </w:r>
      <w:r w:rsidR="00603CC7" w:rsidRPr="00BA5229">
        <w:t>recognized</w:t>
      </w:r>
      <w:r w:rsidR="007A0C85">
        <w:rPr>
          <w:lang w:val="en-US"/>
        </w:rPr>
        <w:t>,</w:t>
      </w:r>
      <w:r w:rsidR="0017334F" w:rsidRPr="00BA5229">
        <w:t xml:space="preserve"> however</w:t>
      </w:r>
      <w:r w:rsidR="007A0C85">
        <w:rPr>
          <w:lang w:val="en-US"/>
        </w:rPr>
        <w:t>,</w:t>
      </w:r>
      <w:r w:rsidRPr="00BA5229">
        <w:t xml:space="preserve"> that determining avoided capacity costs is “an extremely difficult exercise . . . based on estimation and forecasting of future </w:t>
      </w:r>
      <w:r w:rsidR="00603CC7" w:rsidRPr="00BA5229">
        <w:t>occurrences</w:t>
      </w:r>
      <w:r w:rsidRPr="00BA5229">
        <w:t>.”</w:t>
      </w:r>
      <w:r w:rsidR="00B962B4" w:rsidRPr="00BA5229">
        <w:rPr>
          <w:rStyle w:val="FootnoteReference"/>
        </w:rPr>
        <w:footnoteReference w:id="39"/>
      </w:r>
      <w:r w:rsidR="00B962B4" w:rsidRPr="00BA5229">
        <w:t xml:space="preserve"> Therefore, FERC determined that </w:t>
      </w:r>
      <w:r w:rsidR="005D6608" w:rsidRPr="00BA5229">
        <w:t xml:space="preserve">it will consider a method for </w:t>
      </w:r>
      <w:r w:rsidR="00EE3547" w:rsidRPr="00BA5229">
        <w:t xml:space="preserve">calculating the value of capacity satisfactory </w:t>
      </w:r>
      <w:r w:rsidR="00B962B4" w:rsidRPr="00BA5229">
        <w:t xml:space="preserve">to the extent that </w:t>
      </w:r>
      <w:r w:rsidR="00EE3547" w:rsidRPr="00BA5229">
        <w:t>it</w:t>
      </w:r>
      <w:r w:rsidR="00B962B4" w:rsidRPr="00BA5229">
        <w:t xml:space="preserve"> </w:t>
      </w:r>
      <w:r w:rsidR="00EE3547" w:rsidRPr="00BA5229">
        <w:t>“</w:t>
      </w:r>
      <w:r w:rsidR="00603CC7" w:rsidRPr="00D832CB">
        <w:t>reasonably</w:t>
      </w:r>
      <w:r w:rsidR="00B962B4" w:rsidRPr="00D832CB">
        <w:t xml:space="preserve"> accounts for the utility’s avoided costs</w:t>
      </w:r>
      <w:r w:rsidR="00B962B4" w:rsidRPr="00BA5229">
        <w:t>, and does not fail to provide the required encouragement of cogeneration and small power production</w:t>
      </w:r>
      <w:r w:rsidR="005D6608" w:rsidRPr="00BA5229">
        <w:t>.”</w:t>
      </w:r>
      <w:r w:rsidR="005D6608" w:rsidRPr="00BA5229">
        <w:rPr>
          <w:rStyle w:val="FootnoteReference"/>
        </w:rPr>
        <w:footnoteReference w:id="40"/>
      </w:r>
      <w:r w:rsidR="00EE3547" w:rsidRPr="00BA5229">
        <w:t xml:space="preserve"> </w:t>
      </w:r>
      <w:r w:rsidR="00E82A4A" w:rsidRPr="00BA5229">
        <w:rPr>
          <w:lang w:val="en-US"/>
        </w:rPr>
        <w:t>PacifiCorp’s proposed method for calculating its full avoided cost does not “reasonably account” for the capacity costs it avoids</w:t>
      </w:r>
      <w:r w:rsidR="00BB4828">
        <w:rPr>
          <w:lang w:val="en-US"/>
        </w:rPr>
        <w:t xml:space="preserve"> by purchasing QF power</w:t>
      </w:r>
      <w:r w:rsidR="00E82A4A" w:rsidRPr="00BA5229">
        <w:rPr>
          <w:lang w:val="en-US"/>
        </w:rPr>
        <w:t xml:space="preserve">. </w:t>
      </w:r>
    </w:p>
    <w:p w14:paraId="6F334355" w14:textId="49E2B83E" w:rsidR="005839D1" w:rsidRPr="00BA5229" w:rsidRDefault="001B1B80" w:rsidP="00DD4B55">
      <w:pPr>
        <w:pStyle w:val="WUTCParagraph"/>
        <w:tabs>
          <w:tab w:val="clear" w:pos="1440"/>
        </w:tabs>
      </w:pPr>
      <w:r w:rsidRPr="00BA5229">
        <w:t xml:space="preserve"> </w:t>
      </w:r>
      <w:r w:rsidRPr="00BA5229">
        <w:tab/>
      </w:r>
      <w:r w:rsidR="00F12DDA" w:rsidRPr="00BA5229">
        <w:t xml:space="preserve">In this docket, PacifiCorp proposes to eliminate the capacity payments made to QFs. </w:t>
      </w:r>
      <w:r w:rsidR="00034A96" w:rsidRPr="00BA5229">
        <w:t xml:space="preserve">Specifically, PacifiCorp proposes to </w:t>
      </w:r>
      <w:r w:rsidR="00EE3547" w:rsidRPr="00BA5229">
        <w:rPr>
          <w:i/>
        </w:rPr>
        <w:t xml:space="preserve">only </w:t>
      </w:r>
      <w:r w:rsidR="00034A96" w:rsidRPr="00BA5229">
        <w:t>make capacity payments based on the fix</w:t>
      </w:r>
      <w:r w:rsidR="00BB4420" w:rsidRPr="00BA5229">
        <w:t>e</w:t>
      </w:r>
      <w:r w:rsidR="00034A96" w:rsidRPr="00BA5229">
        <w:t xml:space="preserve">d costs of a combined cycle combustion turbine when its </w:t>
      </w:r>
      <w:r w:rsidR="006A7E5E">
        <w:rPr>
          <w:lang w:val="en-US"/>
        </w:rPr>
        <w:t>IRP</w:t>
      </w:r>
      <w:r w:rsidR="00034A96" w:rsidRPr="00BA5229">
        <w:t xml:space="preserve"> calls for</w:t>
      </w:r>
      <w:r w:rsidR="007E53B5" w:rsidRPr="00BA5229">
        <w:t xml:space="preserve"> a new thermal resource to be constructed within the next ten years.</w:t>
      </w:r>
      <w:r w:rsidR="007E53B5" w:rsidRPr="00BA5229">
        <w:rPr>
          <w:rStyle w:val="FootnoteReference"/>
        </w:rPr>
        <w:footnoteReference w:id="41"/>
      </w:r>
      <w:r w:rsidR="007E53B5" w:rsidRPr="00BA5229">
        <w:t xml:space="preserve"> Th</w:t>
      </w:r>
      <w:r w:rsidR="006A7E5E">
        <w:rPr>
          <w:lang w:val="en-US"/>
        </w:rPr>
        <w:t>e Company’s proposal</w:t>
      </w:r>
      <w:r w:rsidR="007E53B5" w:rsidRPr="00BA5229">
        <w:t xml:space="preserve"> is a departure from </w:t>
      </w:r>
      <w:r w:rsidR="00656AF9">
        <w:rPr>
          <w:lang w:val="en-US"/>
        </w:rPr>
        <w:t>the</w:t>
      </w:r>
      <w:r w:rsidR="007E53B5" w:rsidRPr="00BA5229">
        <w:t xml:space="preserve"> current practice of calculating its avoided capacity costs based on a </w:t>
      </w:r>
      <w:r w:rsidR="00F12DDA" w:rsidRPr="00BA5229">
        <w:t xml:space="preserve">simple </w:t>
      </w:r>
      <w:r w:rsidR="00E82A4A" w:rsidRPr="00BA5229">
        <w:t>cycle</w:t>
      </w:r>
      <w:r w:rsidR="00F12DDA" w:rsidRPr="00BA5229">
        <w:t xml:space="preserve"> combustion turbine, </w:t>
      </w:r>
      <w:r w:rsidR="007E53B5" w:rsidRPr="00BA5229">
        <w:t>but prorating the unit</w:t>
      </w:r>
      <w:r w:rsidR="00F12DDA" w:rsidRPr="00BA5229">
        <w:t>’</w:t>
      </w:r>
      <w:r w:rsidR="007E53B5" w:rsidRPr="00BA5229">
        <w:t xml:space="preserve">s costs </w:t>
      </w:r>
      <w:r w:rsidR="00F12DDA" w:rsidRPr="00BA5229">
        <w:t xml:space="preserve">down </w:t>
      </w:r>
      <w:r w:rsidR="007E53B5" w:rsidRPr="00BA5229">
        <w:t>to just 25 percent on the assumption that the Company only incurs capacity costs to meet its needs during the three peak months of the year.</w:t>
      </w:r>
      <w:r w:rsidR="007E53B5" w:rsidRPr="00BA5229">
        <w:rPr>
          <w:rStyle w:val="FootnoteReference"/>
        </w:rPr>
        <w:footnoteReference w:id="42"/>
      </w:r>
      <w:r w:rsidR="007E53B5" w:rsidRPr="00BA5229">
        <w:t xml:space="preserve"> </w:t>
      </w:r>
    </w:p>
    <w:p w14:paraId="6BE69EC6" w14:textId="6AE61F35" w:rsidR="00E82A4A" w:rsidRPr="00BA5229" w:rsidRDefault="007A2398" w:rsidP="00BA5229">
      <w:pPr>
        <w:pStyle w:val="WUTCParagraph"/>
        <w:tabs>
          <w:tab w:val="clear" w:pos="1440"/>
        </w:tabs>
      </w:pPr>
      <w:r w:rsidRPr="00BA5229">
        <w:t xml:space="preserve"> </w:t>
      </w:r>
      <w:r w:rsidRPr="00BA5229">
        <w:tab/>
      </w:r>
      <w:r w:rsidR="00F77680" w:rsidRPr="00BA5229">
        <w:t>By eliminating its capacity payments, t</w:t>
      </w:r>
      <w:r w:rsidR="00042645" w:rsidRPr="00BA5229">
        <w:t xml:space="preserve">he Company’s proposal would limit its </w:t>
      </w:r>
      <w:r w:rsidR="007E53B5" w:rsidRPr="00BA5229">
        <w:t>full avoided cost</w:t>
      </w:r>
      <w:r w:rsidRPr="00BA5229">
        <w:t xml:space="preserve"> rate</w:t>
      </w:r>
      <w:r w:rsidR="007E53B5" w:rsidRPr="00BA5229">
        <w:t xml:space="preserve"> </w:t>
      </w:r>
      <w:r w:rsidR="00F12DDA" w:rsidRPr="00BA5229">
        <w:t xml:space="preserve">to </w:t>
      </w:r>
      <w:r w:rsidR="00F77680" w:rsidRPr="00BA5229">
        <w:t>its cost for energy</w:t>
      </w:r>
      <w:r w:rsidR="00E82A4A" w:rsidRPr="00BA5229">
        <w:rPr>
          <w:lang w:val="en-US"/>
        </w:rPr>
        <w:t xml:space="preserve">, which equals its </w:t>
      </w:r>
      <w:r w:rsidR="006A7E5E">
        <w:rPr>
          <w:lang w:val="en-US"/>
        </w:rPr>
        <w:t>projection</w:t>
      </w:r>
      <w:r w:rsidR="00E82A4A" w:rsidRPr="00BA5229">
        <w:rPr>
          <w:lang w:val="en-US"/>
        </w:rPr>
        <w:t xml:space="preserve"> of the market price for wholesale power</w:t>
      </w:r>
      <w:r w:rsidR="00F77680" w:rsidRPr="00BA5229">
        <w:t xml:space="preserve">. The Company calculates </w:t>
      </w:r>
      <w:r w:rsidR="00E82A4A" w:rsidRPr="00BA5229">
        <w:rPr>
          <w:lang w:val="en-US"/>
        </w:rPr>
        <w:t>its avoided energy cost</w:t>
      </w:r>
      <w:r w:rsidR="008C1316" w:rsidRPr="00BA5229">
        <w:t xml:space="preserve"> by </w:t>
      </w:r>
      <w:r w:rsidR="00E82A4A" w:rsidRPr="00BA5229">
        <w:t>running</w:t>
      </w:r>
      <w:r w:rsidR="008C1316" w:rsidRPr="00BA5229">
        <w:t xml:space="preserve"> t</w:t>
      </w:r>
      <w:r w:rsidR="00BB4420" w:rsidRPr="00BA5229">
        <w:t>w</w:t>
      </w:r>
      <w:r w:rsidR="008C1316" w:rsidRPr="00BA5229">
        <w:t xml:space="preserve">o </w:t>
      </w:r>
      <w:r w:rsidR="002369D7" w:rsidRPr="00BA5229">
        <w:rPr>
          <w:lang w:val="en-US"/>
        </w:rPr>
        <w:t>iterations</w:t>
      </w:r>
      <w:r w:rsidR="008C1316" w:rsidRPr="00BA5229">
        <w:rPr>
          <w:lang w:val="en-US"/>
        </w:rPr>
        <w:t xml:space="preserve"> of its Generation and Regulation Initiative Decision (“G</w:t>
      </w:r>
      <w:r w:rsidR="002369D7" w:rsidRPr="00BA5229">
        <w:rPr>
          <w:lang w:val="en-US"/>
        </w:rPr>
        <w:t>RID</w:t>
      </w:r>
      <w:r w:rsidR="008C1316" w:rsidRPr="00BA5229">
        <w:rPr>
          <w:lang w:val="en-US"/>
        </w:rPr>
        <w:t>”) model: one with its system as it is, and another with a generic QF resource that generates 50 average MW</w:t>
      </w:r>
      <w:r w:rsidR="00E17FDA">
        <w:rPr>
          <w:lang w:val="en-US"/>
        </w:rPr>
        <w:t xml:space="preserve"> </w:t>
      </w:r>
      <w:r w:rsidR="002369D7" w:rsidRPr="00BA5229">
        <w:rPr>
          <w:lang w:val="en-US"/>
        </w:rPr>
        <w:t>—</w:t>
      </w:r>
      <w:r w:rsidR="00E17FDA">
        <w:rPr>
          <w:lang w:val="en-US"/>
        </w:rPr>
        <w:t xml:space="preserve"> </w:t>
      </w:r>
      <w:r w:rsidR="002369D7" w:rsidRPr="00BA5229">
        <w:rPr>
          <w:lang w:val="en-US"/>
        </w:rPr>
        <w:t xml:space="preserve">the </w:t>
      </w:r>
      <w:r w:rsidR="008C1316" w:rsidRPr="00BA5229">
        <w:rPr>
          <w:lang w:val="en-US"/>
        </w:rPr>
        <w:t xml:space="preserve">difference in cost </w:t>
      </w:r>
      <w:r w:rsidR="00E82A4A" w:rsidRPr="00BA5229">
        <w:rPr>
          <w:lang w:val="en-US"/>
        </w:rPr>
        <w:t>between</w:t>
      </w:r>
      <w:r w:rsidR="008C1316" w:rsidRPr="00BA5229">
        <w:rPr>
          <w:lang w:val="en-US"/>
        </w:rPr>
        <w:t xml:space="preserve"> the two portfolios is the </w:t>
      </w:r>
      <w:r w:rsidR="00051A45" w:rsidRPr="00BA5229">
        <w:rPr>
          <w:lang w:val="en-US"/>
        </w:rPr>
        <w:t xml:space="preserve">Company’s </w:t>
      </w:r>
      <w:r w:rsidR="008C1316" w:rsidRPr="00BA5229">
        <w:rPr>
          <w:lang w:val="en-US"/>
        </w:rPr>
        <w:t xml:space="preserve">avoided cost </w:t>
      </w:r>
      <w:r w:rsidR="00F77680" w:rsidRPr="00BA5229">
        <w:rPr>
          <w:lang w:val="en-US"/>
        </w:rPr>
        <w:t>for energy</w:t>
      </w:r>
      <w:r w:rsidR="007E53B5" w:rsidRPr="00BA5229">
        <w:t>.</w:t>
      </w:r>
      <w:r w:rsidR="007E53B5" w:rsidRPr="00BA5229">
        <w:rPr>
          <w:rStyle w:val="FootnoteReference"/>
        </w:rPr>
        <w:footnoteReference w:id="43"/>
      </w:r>
      <w:r w:rsidR="00F12DDA" w:rsidRPr="00BA5229">
        <w:t xml:space="preserve"> </w:t>
      </w:r>
      <w:r w:rsidR="00603CC7" w:rsidRPr="00BA5229">
        <w:t>PacifiCorp</w:t>
      </w:r>
      <w:r w:rsidR="00051A45" w:rsidRPr="00BA5229">
        <w:t xml:space="preserve"> testified that avoided market transactions constituted over 99 percent of the difference in the two portfolios.</w:t>
      </w:r>
      <w:r w:rsidR="00E82A4A" w:rsidRPr="00BA5229">
        <w:rPr>
          <w:rStyle w:val="FootnoteReference"/>
        </w:rPr>
        <w:footnoteReference w:id="44"/>
      </w:r>
      <w:r w:rsidR="00051A45" w:rsidRPr="00BA5229">
        <w:t xml:space="preserve"> Thus, PacifiCorp’s avoided cost for energy essentially equals its projection of market price.  </w:t>
      </w:r>
    </w:p>
    <w:p w14:paraId="7F0FE816" w14:textId="38D5B2AD" w:rsidR="00855CC0" w:rsidRPr="00BA5229" w:rsidRDefault="00E82A4A" w:rsidP="00BA5229">
      <w:pPr>
        <w:pStyle w:val="WUTCParagraph"/>
        <w:tabs>
          <w:tab w:val="clear" w:pos="1440"/>
        </w:tabs>
      </w:pPr>
      <w:r w:rsidRPr="00BA5229">
        <w:rPr>
          <w:lang w:val="en-US"/>
        </w:rPr>
        <w:t xml:space="preserve"> </w:t>
      </w:r>
      <w:r w:rsidRPr="00BA5229">
        <w:rPr>
          <w:lang w:val="en-US"/>
        </w:rPr>
        <w:tab/>
      </w:r>
      <w:r w:rsidR="00051A45" w:rsidRPr="00BA5229">
        <w:t xml:space="preserve">The Company’s </w:t>
      </w:r>
      <w:r w:rsidR="00240E99" w:rsidRPr="00BA5229">
        <w:t>projection of the market price</w:t>
      </w:r>
      <w:r w:rsidR="007A0C85">
        <w:rPr>
          <w:lang w:val="en-US"/>
        </w:rPr>
        <w:t>,</w:t>
      </w:r>
      <w:r w:rsidR="00240E99" w:rsidRPr="00BA5229">
        <w:t xml:space="preserve"> </w:t>
      </w:r>
      <w:r w:rsidR="00051A45" w:rsidRPr="00BA5229">
        <w:t>however</w:t>
      </w:r>
      <w:r w:rsidR="007A0C85">
        <w:rPr>
          <w:lang w:val="en-US"/>
        </w:rPr>
        <w:t>,</w:t>
      </w:r>
      <w:r w:rsidR="00240E99" w:rsidRPr="00BA5229">
        <w:t xml:space="preserve"> </w:t>
      </w:r>
      <w:r w:rsidR="00EE3547" w:rsidRPr="00BA5229">
        <w:t>fails to</w:t>
      </w:r>
      <w:r w:rsidR="00240E99" w:rsidRPr="00BA5229">
        <w:t xml:space="preserve"> </w:t>
      </w:r>
      <w:r w:rsidR="00EE3547" w:rsidRPr="00BA5229">
        <w:t>“</w:t>
      </w:r>
      <w:r w:rsidR="00E21E74" w:rsidRPr="00BA5229">
        <w:t>reasonably account</w:t>
      </w:r>
      <w:r w:rsidR="00EE3547" w:rsidRPr="00BA5229">
        <w:t>”</w:t>
      </w:r>
      <w:r w:rsidR="00E21E74" w:rsidRPr="00BA5229">
        <w:t xml:space="preserve"> for the capacity costs </w:t>
      </w:r>
      <w:r w:rsidR="00EE3547" w:rsidRPr="00BA5229">
        <w:t xml:space="preserve">that </w:t>
      </w:r>
      <w:r w:rsidR="00E21E74" w:rsidRPr="00BA5229">
        <w:t>it avoids by purchasing QF power</w:t>
      </w:r>
      <w:r w:rsidR="00F12DDA" w:rsidRPr="00BA5229">
        <w:t xml:space="preserve"> </w:t>
      </w:r>
      <w:r w:rsidR="003442D5" w:rsidRPr="00BA5229">
        <w:t>because it</w:t>
      </w:r>
      <w:r w:rsidR="00E21E74" w:rsidRPr="00BA5229">
        <w:t xml:space="preserve"> do</w:t>
      </w:r>
      <w:r w:rsidR="003442D5" w:rsidRPr="00BA5229">
        <w:t>es</w:t>
      </w:r>
      <w:r w:rsidR="00E21E74" w:rsidRPr="00BA5229">
        <w:t xml:space="preserve"> not account for </w:t>
      </w:r>
      <w:r w:rsidR="006A7E5E">
        <w:rPr>
          <w:lang w:val="en-US"/>
        </w:rPr>
        <w:t>market risk</w:t>
      </w:r>
      <w:r w:rsidR="008C7F64">
        <w:rPr>
          <w:lang w:val="en-US"/>
        </w:rPr>
        <w:t xml:space="preserve"> </w:t>
      </w:r>
      <w:r w:rsidR="006A7E5E">
        <w:rPr>
          <w:lang w:val="en-US"/>
        </w:rPr>
        <w:t>—</w:t>
      </w:r>
      <w:r w:rsidR="008C7F64">
        <w:rPr>
          <w:lang w:val="en-US"/>
        </w:rPr>
        <w:t xml:space="preserve"> </w:t>
      </w:r>
      <w:r w:rsidR="006A7E5E">
        <w:rPr>
          <w:lang w:val="en-US"/>
        </w:rPr>
        <w:t>e.</w:t>
      </w:r>
      <w:r w:rsidR="00A54806">
        <w:rPr>
          <w:lang w:val="en-US"/>
        </w:rPr>
        <w:t xml:space="preserve">g., </w:t>
      </w:r>
      <w:r w:rsidR="00E21E74" w:rsidRPr="00BA5229">
        <w:t xml:space="preserve">the significant risk that </w:t>
      </w:r>
      <w:r w:rsidR="007F468C" w:rsidRPr="00BA5229">
        <w:rPr>
          <w:lang w:val="en-US"/>
        </w:rPr>
        <w:t xml:space="preserve">the Company will not be able to acquire </w:t>
      </w:r>
      <w:r w:rsidR="00E21E74" w:rsidRPr="00BA5229">
        <w:t xml:space="preserve">the </w:t>
      </w:r>
      <w:r w:rsidR="006A7E5E">
        <w:rPr>
          <w:lang w:val="en-US"/>
        </w:rPr>
        <w:t>quantity</w:t>
      </w:r>
      <w:r w:rsidR="00E21E74" w:rsidRPr="00BA5229">
        <w:t xml:space="preserve"> of power </w:t>
      </w:r>
      <w:r w:rsidR="000222FD">
        <w:rPr>
          <w:lang w:val="en-US"/>
        </w:rPr>
        <w:t>it</w:t>
      </w:r>
      <w:r w:rsidR="00E21E74" w:rsidRPr="00BA5229">
        <w:t xml:space="preserve"> needs at the price it anticipates.</w:t>
      </w:r>
      <w:r w:rsidR="00DF3D18" w:rsidRPr="00BA5229">
        <w:t xml:space="preserve"> </w:t>
      </w:r>
      <w:r w:rsidR="007F468C" w:rsidRPr="00BA5229">
        <w:rPr>
          <w:lang w:val="en-US"/>
        </w:rPr>
        <w:t xml:space="preserve"> In fact,</w:t>
      </w:r>
      <w:r w:rsidR="00BB4420" w:rsidRPr="00BA5229">
        <w:t xml:space="preserve"> </w:t>
      </w:r>
      <w:r w:rsidR="00DF3D18" w:rsidRPr="00BA5229">
        <w:t xml:space="preserve">PacifiCorp has significantly less capacity </w:t>
      </w:r>
      <w:r w:rsidR="00E17FDA" w:rsidRPr="00BA5229">
        <w:t>th</w:t>
      </w:r>
      <w:r w:rsidR="00E17FDA">
        <w:rPr>
          <w:lang w:val="en-US"/>
        </w:rPr>
        <w:t>an</w:t>
      </w:r>
      <w:r w:rsidR="00DF3D18" w:rsidRPr="00BA5229">
        <w:t xml:space="preserve"> it needs to meet system demand.</w:t>
      </w:r>
      <w:r w:rsidR="007F468C" w:rsidRPr="00BA5229">
        <w:rPr>
          <w:rStyle w:val="FootnoteReference"/>
        </w:rPr>
        <w:footnoteReference w:id="45"/>
      </w:r>
      <w:r w:rsidR="00DF3D18" w:rsidRPr="00BA5229">
        <w:t xml:space="preserve"> Although the capacity acquisition </w:t>
      </w:r>
      <w:r w:rsidR="00603CC7" w:rsidRPr="00BA5229">
        <w:t>strategy</w:t>
      </w:r>
      <w:r w:rsidR="00DF3D18" w:rsidRPr="00BA5229">
        <w:t xml:space="preserve"> presented in the Company’s 2015 IRP does not call for a new Company-built thermal resource until 2028, it does call for the annual acquisition of </w:t>
      </w:r>
      <w:r w:rsidR="00603CC7" w:rsidRPr="00BA5229">
        <w:t>significant</w:t>
      </w:r>
      <w:r w:rsidR="00DF3D18" w:rsidRPr="00BA5229">
        <w:t xml:space="preserve"> amounts of capacity from market resources</w:t>
      </w:r>
      <w:r w:rsidR="00247BAF" w:rsidRPr="00BA5229">
        <w:t>, which the Company calls front office transactions (“FOTs”)</w:t>
      </w:r>
      <w:r w:rsidR="00DF3D18" w:rsidRPr="00BA5229">
        <w:t>.</w:t>
      </w:r>
      <w:r w:rsidR="00DF3D18" w:rsidRPr="00BA5229">
        <w:rPr>
          <w:rStyle w:val="FootnoteReference"/>
        </w:rPr>
        <w:footnoteReference w:id="46"/>
      </w:r>
      <w:r w:rsidR="00DF3D18" w:rsidRPr="00BA5229">
        <w:t xml:space="preserve"> </w:t>
      </w:r>
      <w:r w:rsidR="00247BAF" w:rsidRPr="00BA5229">
        <w:t>The Company defines FOTs as “proxy resources, assumed to</w:t>
      </w:r>
      <w:r w:rsidR="006451A6" w:rsidRPr="00BA5229">
        <w:t xml:space="preserve"> be firm, that represent procur</w:t>
      </w:r>
      <w:r w:rsidR="00247BAF" w:rsidRPr="00BA5229">
        <w:t xml:space="preserve">ement activity made on an on-going basis </w:t>
      </w:r>
      <w:r w:rsidR="00247BAF" w:rsidRPr="00BA5229">
        <w:rPr>
          <w:i/>
        </w:rPr>
        <w:t>to help the Company cover short positions</w:t>
      </w:r>
      <w:r w:rsidR="00247BAF" w:rsidRPr="00BA5229">
        <w:t>.”</w:t>
      </w:r>
      <w:r w:rsidR="00247BAF" w:rsidRPr="00BA5229">
        <w:rPr>
          <w:rStyle w:val="FootnoteReference"/>
        </w:rPr>
        <w:footnoteReference w:id="47"/>
      </w:r>
      <w:r w:rsidR="00247BAF" w:rsidRPr="00BA5229">
        <w:t xml:space="preserve"> </w:t>
      </w:r>
      <w:r w:rsidR="00466995">
        <w:rPr>
          <w:lang w:val="en-US"/>
        </w:rPr>
        <w:t>Importantly</w:t>
      </w:r>
      <w:r w:rsidR="00466995" w:rsidRPr="00466995">
        <w:rPr>
          <w:lang w:val="en-US"/>
        </w:rPr>
        <w:t>, “</w:t>
      </w:r>
      <w:r w:rsidR="00466995" w:rsidRPr="00466995">
        <w:rPr>
          <w:i/>
          <w:lang w:val="en-US"/>
        </w:rPr>
        <w:t>FOT prices are determined at the time of the transition</w:t>
      </w:r>
      <w:r w:rsidR="00466995" w:rsidRPr="00466995">
        <w:rPr>
          <w:lang w:val="en-US"/>
        </w:rPr>
        <w:t>, usually via an exchange or third party broker, and are based on the then-current forward market price of power.”</w:t>
      </w:r>
      <w:r w:rsidR="00466995" w:rsidRPr="00466995">
        <w:rPr>
          <w:vertAlign w:val="superscript"/>
          <w:lang w:val="en-US"/>
        </w:rPr>
        <w:footnoteReference w:id="48"/>
      </w:r>
      <w:r w:rsidR="00466995">
        <w:rPr>
          <w:lang w:val="en-US"/>
        </w:rPr>
        <w:t xml:space="preserve"> </w:t>
      </w:r>
      <w:r w:rsidR="00855CC0" w:rsidRPr="00BA5229">
        <w:rPr>
          <w:lang w:val="en-US"/>
        </w:rPr>
        <w:t xml:space="preserve">According to its 2013 IRP Update, the Company will require over 1,400 MW </w:t>
      </w:r>
      <w:r w:rsidR="00E17FDA">
        <w:rPr>
          <w:lang w:val="en-US"/>
        </w:rPr>
        <w:t>in</w:t>
      </w:r>
      <w:r w:rsidR="00855CC0" w:rsidRPr="00BA5229">
        <w:rPr>
          <w:lang w:val="en-US"/>
        </w:rPr>
        <w:t xml:space="preserve"> FOT</w:t>
      </w:r>
      <w:r w:rsidR="000222FD">
        <w:rPr>
          <w:lang w:val="en-US"/>
        </w:rPr>
        <w:t>s</w:t>
      </w:r>
      <w:r w:rsidR="00855CC0" w:rsidRPr="00BA5229">
        <w:rPr>
          <w:lang w:val="en-US"/>
        </w:rPr>
        <w:t xml:space="preserve"> in 2026, the last year before it builds a new major thermal resource, to meet system demand.</w:t>
      </w:r>
      <w:r w:rsidR="00855CC0" w:rsidRPr="00BA5229">
        <w:rPr>
          <w:rStyle w:val="FootnoteReference"/>
          <w:lang w:val="en-US"/>
        </w:rPr>
        <w:footnoteReference w:id="49"/>
      </w:r>
      <w:r w:rsidR="00855CC0" w:rsidRPr="00BA5229">
        <w:rPr>
          <w:lang w:val="en-US"/>
        </w:rPr>
        <w:t xml:space="preserve"> </w:t>
      </w:r>
    </w:p>
    <w:p w14:paraId="50D52DC6" w14:textId="196436F9" w:rsidR="00101F83" w:rsidRPr="00BA5229" w:rsidRDefault="00855CC0" w:rsidP="00BA5229">
      <w:pPr>
        <w:pStyle w:val="WUTCParagraph"/>
        <w:tabs>
          <w:tab w:val="clear" w:pos="1440"/>
        </w:tabs>
      </w:pPr>
      <w:r w:rsidRPr="00BA5229">
        <w:rPr>
          <w:lang w:val="en-US"/>
        </w:rPr>
        <w:t xml:space="preserve"> </w:t>
      </w:r>
      <w:r w:rsidRPr="00BA5229">
        <w:rPr>
          <w:lang w:val="en-US"/>
        </w:rPr>
        <w:tab/>
      </w:r>
      <w:r w:rsidR="00DF3D18" w:rsidRPr="00BA5229">
        <w:t xml:space="preserve">In the </w:t>
      </w:r>
      <w:r w:rsidR="00251DA9" w:rsidRPr="00BA5229">
        <w:t>t</w:t>
      </w:r>
      <w:r w:rsidR="00DF3D18" w:rsidRPr="00BA5229">
        <w:t>en-year period fro</w:t>
      </w:r>
      <w:r w:rsidR="00251DA9" w:rsidRPr="00BA5229">
        <w:t>m</w:t>
      </w:r>
      <w:r w:rsidR="00DF3D18" w:rsidRPr="00BA5229">
        <w:t xml:space="preserve"> 2015 to 2024, the Company’s </w:t>
      </w:r>
      <w:r w:rsidR="00251DA9" w:rsidRPr="00BA5229">
        <w:t>IRP</w:t>
      </w:r>
      <w:r w:rsidR="00DF3D18" w:rsidRPr="00BA5229">
        <w:t xml:space="preserve"> call</w:t>
      </w:r>
      <w:r w:rsidR="00251DA9" w:rsidRPr="00BA5229">
        <w:t>s</w:t>
      </w:r>
      <w:r w:rsidR="00DF3D18" w:rsidRPr="00BA5229">
        <w:t xml:space="preserve"> for an average annual procurement of 84</w:t>
      </w:r>
      <w:r w:rsidRPr="00BA5229">
        <w:rPr>
          <w:lang w:val="en-US"/>
        </w:rPr>
        <w:t>3</w:t>
      </w:r>
      <w:r w:rsidR="00DF3D18" w:rsidRPr="00BA5229">
        <w:t xml:space="preserve"> MW of capacity </w:t>
      </w:r>
      <w:r w:rsidR="00A54806">
        <w:rPr>
          <w:lang w:val="en-US"/>
        </w:rPr>
        <w:t>from</w:t>
      </w:r>
      <w:r w:rsidR="00DF3D18" w:rsidRPr="00BA5229">
        <w:t xml:space="preserve"> </w:t>
      </w:r>
      <w:r w:rsidR="00247BAF" w:rsidRPr="00BA5229">
        <w:t>FOTs</w:t>
      </w:r>
      <w:r w:rsidR="00DF3D18" w:rsidRPr="00BA5229">
        <w:t>.</w:t>
      </w:r>
      <w:r w:rsidR="00DF3D18" w:rsidRPr="00BA5229">
        <w:rPr>
          <w:rStyle w:val="FootnoteReference"/>
        </w:rPr>
        <w:footnoteReference w:id="50"/>
      </w:r>
      <w:r w:rsidR="00247BAF" w:rsidRPr="00BA5229">
        <w:t xml:space="preserve"> For </w:t>
      </w:r>
      <w:r w:rsidR="00603CC7" w:rsidRPr="00BA5229">
        <w:t>comparison</w:t>
      </w:r>
      <w:r w:rsidR="00247BAF" w:rsidRPr="00BA5229">
        <w:t xml:space="preserve">, </w:t>
      </w:r>
      <w:r w:rsidR="00251DA9" w:rsidRPr="00BA5229">
        <w:t>PacifiCorp’s</w:t>
      </w:r>
      <w:r w:rsidR="00247BAF" w:rsidRPr="00BA5229">
        <w:t xml:space="preserve"> </w:t>
      </w:r>
      <w:r w:rsidR="00251DA9" w:rsidRPr="00BA5229">
        <w:t>average annual procurement of capacity from FOTs</w:t>
      </w:r>
      <w:r w:rsidRPr="00BA5229">
        <w:rPr>
          <w:lang w:val="en-US"/>
        </w:rPr>
        <w:t xml:space="preserve"> (</w:t>
      </w:r>
      <w:r w:rsidR="00251DA9" w:rsidRPr="00BA5229">
        <w:t>843 MW</w:t>
      </w:r>
      <w:r w:rsidRPr="00BA5229">
        <w:rPr>
          <w:lang w:val="en-US"/>
        </w:rPr>
        <w:t xml:space="preserve">) </w:t>
      </w:r>
      <w:r w:rsidR="00251DA9" w:rsidRPr="00BA5229">
        <w:t xml:space="preserve">is </w:t>
      </w:r>
      <w:r w:rsidR="00247BAF" w:rsidRPr="00BA5229">
        <w:t>virtually</w:t>
      </w:r>
      <w:r w:rsidR="00251DA9" w:rsidRPr="00BA5229">
        <w:t xml:space="preserve"> double the </w:t>
      </w:r>
      <w:r w:rsidR="00247BAF" w:rsidRPr="00BA5229">
        <w:t xml:space="preserve">design </w:t>
      </w:r>
      <w:r w:rsidR="00251DA9" w:rsidRPr="00BA5229">
        <w:t xml:space="preserve">capacity of the </w:t>
      </w:r>
      <w:r w:rsidR="00247BAF" w:rsidRPr="00BA5229">
        <w:t xml:space="preserve">next thermal </w:t>
      </w:r>
      <w:r w:rsidR="00251DA9" w:rsidRPr="00BA5229">
        <w:t>resource that the Company currently plans to put into service in 2028</w:t>
      </w:r>
      <w:r w:rsidRPr="00BA5229">
        <w:rPr>
          <w:lang w:val="en-US"/>
        </w:rPr>
        <w:t xml:space="preserve"> (423 MW)</w:t>
      </w:r>
      <w:r w:rsidR="00251DA9" w:rsidRPr="00BA5229">
        <w:t>.</w:t>
      </w:r>
      <w:r w:rsidR="00251DA9" w:rsidRPr="00BA5229">
        <w:rPr>
          <w:rStyle w:val="FootnoteReference"/>
        </w:rPr>
        <w:footnoteReference w:id="51"/>
      </w:r>
      <w:r w:rsidR="00251DA9" w:rsidRPr="00BA5229">
        <w:t xml:space="preserve">  </w:t>
      </w:r>
      <w:r w:rsidR="00051A45" w:rsidRPr="00BA5229">
        <w:t>In other words</w:t>
      </w:r>
      <w:r w:rsidR="00D463FC" w:rsidRPr="00BA5229">
        <w:t>, PacifiCorp is</w:t>
      </w:r>
      <w:r w:rsidR="00D94FA4">
        <w:rPr>
          <w:lang w:val="en-US"/>
        </w:rPr>
        <w:t>,</w:t>
      </w:r>
      <w:r w:rsidR="00D463FC" w:rsidRPr="00BA5229">
        <w:t xml:space="preserve"> </w:t>
      </w:r>
      <w:r w:rsidRPr="00BA5229">
        <w:rPr>
          <w:lang w:val="en-US"/>
        </w:rPr>
        <w:t>on average</w:t>
      </w:r>
      <w:r w:rsidR="00D94FA4">
        <w:rPr>
          <w:lang w:val="en-US"/>
        </w:rPr>
        <w:t>,</w:t>
      </w:r>
      <w:r w:rsidRPr="00BA5229">
        <w:rPr>
          <w:lang w:val="en-US"/>
        </w:rPr>
        <w:t xml:space="preserve"> </w:t>
      </w:r>
      <w:r w:rsidR="00D463FC" w:rsidRPr="00BA5229">
        <w:t>approximately two utility-scale power plants short of meeting its capacity needs every single year for the next ten years.</w:t>
      </w:r>
      <w:r w:rsidR="00101F83" w:rsidRPr="00BA5229">
        <w:t xml:space="preserve"> </w:t>
      </w:r>
    </w:p>
    <w:p w14:paraId="5D19FB12" w14:textId="349DA47B" w:rsidR="00101F83" w:rsidRPr="00BA5229" w:rsidRDefault="00101F83" w:rsidP="00BA5229">
      <w:pPr>
        <w:pStyle w:val="WUTCParagraph"/>
        <w:tabs>
          <w:tab w:val="clear" w:pos="1440"/>
        </w:tabs>
      </w:pPr>
      <w:r w:rsidRPr="00BA5229">
        <w:t xml:space="preserve"> </w:t>
      </w:r>
      <w:r w:rsidRPr="00BA5229">
        <w:tab/>
      </w:r>
      <w:r w:rsidR="00603CC7" w:rsidRPr="00BA5229">
        <w:t>Critically</w:t>
      </w:r>
      <w:r w:rsidRPr="00BA5229">
        <w:t xml:space="preserve">, </w:t>
      </w:r>
      <w:r w:rsidR="001E729E" w:rsidRPr="00BA5229">
        <w:t xml:space="preserve">FOTs are not market purchases of bulk power that the Company has already </w:t>
      </w:r>
      <w:r w:rsidR="00603CC7" w:rsidRPr="00BA5229">
        <w:t>acquired</w:t>
      </w:r>
      <w:r w:rsidR="001E729E" w:rsidRPr="00BA5229">
        <w:t xml:space="preserve">, they are purchases the Company </w:t>
      </w:r>
      <w:r w:rsidR="001E729E" w:rsidRPr="00BA5229">
        <w:rPr>
          <w:i/>
        </w:rPr>
        <w:t>plans on making</w:t>
      </w:r>
      <w:r w:rsidR="001E729E" w:rsidRPr="00BA5229">
        <w:t xml:space="preserve"> </w:t>
      </w:r>
      <w:r w:rsidR="001E729E" w:rsidRPr="00BA5229">
        <w:rPr>
          <w:i/>
        </w:rPr>
        <w:t>at some future date</w:t>
      </w:r>
      <w:r w:rsidR="003442D5" w:rsidRPr="00BA5229">
        <w:t xml:space="preserve"> to meet system demand</w:t>
      </w:r>
      <w:r w:rsidR="001E729E" w:rsidRPr="00BA5229">
        <w:t>.</w:t>
      </w:r>
      <w:r w:rsidR="00D94FA4">
        <w:rPr>
          <w:rStyle w:val="FootnoteReference"/>
        </w:rPr>
        <w:footnoteReference w:id="52"/>
      </w:r>
      <w:r w:rsidR="001E729E" w:rsidRPr="00BA5229">
        <w:t xml:space="preserve"> As </w:t>
      </w:r>
      <w:r w:rsidR="00051A45" w:rsidRPr="00BA5229">
        <w:t xml:space="preserve">Staff </w:t>
      </w:r>
      <w:r w:rsidR="001E729E" w:rsidRPr="00BA5229">
        <w:t>testified, “</w:t>
      </w:r>
      <w:r w:rsidRPr="00BA5229">
        <w:t xml:space="preserve">Any QF that enters </w:t>
      </w:r>
      <w:r w:rsidR="003442D5" w:rsidRPr="00BA5229">
        <w:t>[</w:t>
      </w:r>
      <w:r w:rsidRPr="00BA5229">
        <w:t>PacifiCorp</w:t>
      </w:r>
      <w:r w:rsidR="003442D5" w:rsidRPr="00BA5229">
        <w:t>’</w:t>
      </w:r>
      <w:r w:rsidRPr="00BA5229">
        <w:t>s</w:t>
      </w:r>
      <w:r w:rsidR="003442D5" w:rsidRPr="00BA5229">
        <w:t>]</w:t>
      </w:r>
      <w:r w:rsidRPr="00BA5229">
        <w:t xml:space="preserve"> system prior to a </w:t>
      </w:r>
      <w:r w:rsidR="003442D5" w:rsidRPr="00BA5229">
        <w:t xml:space="preserve">future market purchase will reduce the amount of capacity that the Company needs to </w:t>
      </w:r>
      <w:r w:rsidR="00603CC7" w:rsidRPr="00BA5229">
        <w:t>acquire</w:t>
      </w:r>
      <w:r w:rsidR="003442D5" w:rsidRPr="00BA5229">
        <w:t>, and must be compensated appropriately for these avoided capacity costs.”</w:t>
      </w:r>
      <w:r w:rsidR="003442D5" w:rsidRPr="00BA5229">
        <w:rPr>
          <w:rStyle w:val="FootnoteReference"/>
        </w:rPr>
        <w:footnoteReference w:id="53"/>
      </w:r>
    </w:p>
    <w:p w14:paraId="7C44DE09" w14:textId="5524E78A" w:rsidR="008B663B" w:rsidRPr="00BA5229" w:rsidRDefault="00F12DDA" w:rsidP="00BA5229">
      <w:pPr>
        <w:pStyle w:val="WUTCParagraph"/>
        <w:tabs>
          <w:tab w:val="clear" w:pos="1440"/>
        </w:tabs>
      </w:pPr>
      <w:r w:rsidRPr="00BA5229">
        <w:t xml:space="preserve"> </w:t>
      </w:r>
      <w:r w:rsidRPr="00BA5229">
        <w:tab/>
      </w:r>
      <w:r w:rsidR="00D463FC" w:rsidRPr="00BA5229">
        <w:t xml:space="preserve">PacifiCorp </w:t>
      </w:r>
      <w:r w:rsidR="00247BAF" w:rsidRPr="00BA5229">
        <w:t xml:space="preserve">witness Mr. Dickman </w:t>
      </w:r>
      <w:r w:rsidR="00D463FC" w:rsidRPr="00BA5229">
        <w:t>acknowledge</w:t>
      </w:r>
      <w:r w:rsidR="00811441" w:rsidRPr="00BA5229">
        <w:t>d</w:t>
      </w:r>
      <w:r w:rsidR="00D463FC" w:rsidRPr="00BA5229">
        <w:t xml:space="preserve"> that </w:t>
      </w:r>
      <w:r w:rsidR="00247BAF" w:rsidRPr="00BA5229">
        <w:t>the Company’s IRP “identifies FOTs as necessary to address capacity shortfalls.”</w:t>
      </w:r>
      <w:r w:rsidR="00247BAF" w:rsidRPr="00BA5229">
        <w:rPr>
          <w:rStyle w:val="FootnoteReference"/>
        </w:rPr>
        <w:footnoteReference w:id="54"/>
      </w:r>
      <w:r w:rsidR="00D463FC" w:rsidRPr="00BA5229">
        <w:t xml:space="preserve"> </w:t>
      </w:r>
      <w:r w:rsidR="00101F83" w:rsidRPr="00BA5229">
        <w:t>Mr. Dickman further testifie</w:t>
      </w:r>
      <w:r w:rsidR="00D94FA4">
        <w:rPr>
          <w:lang w:val="en-US"/>
        </w:rPr>
        <w:t>d</w:t>
      </w:r>
      <w:r w:rsidR="00101F83" w:rsidRPr="00BA5229">
        <w:t xml:space="preserve"> that</w:t>
      </w:r>
      <w:r w:rsidR="00E17FDA">
        <w:rPr>
          <w:lang w:val="en-US"/>
        </w:rPr>
        <w:t xml:space="preserve"> he</w:t>
      </w:r>
      <w:r w:rsidR="00101F83" w:rsidRPr="00BA5229">
        <w:t xml:space="preserve"> agree</w:t>
      </w:r>
      <w:r w:rsidR="00E17FDA">
        <w:rPr>
          <w:lang w:val="en-US"/>
        </w:rPr>
        <w:t>s</w:t>
      </w:r>
      <w:r w:rsidR="00101F83" w:rsidRPr="00BA5229">
        <w:t xml:space="preserve"> that </w:t>
      </w:r>
      <w:r w:rsidR="00E17FDA">
        <w:rPr>
          <w:lang w:val="en-US"/>
        </w:rPr>
        <w:t>“</w:t>
      </w:r>
      <w:r w:rsidR="00101F83" w:rsidRPr="00BA5229">
        <w:t>a QF that enters PacifiCorp’s system will reduce the need for FOT purchases (which, in</w:t>
      </w:r>
      <w:r w:rsidR="00C43153" w:rsidRPr="00BA5229">
        <w:t xml:space="preserve"> tu</w:t>
      </w:r>
      <w:r w:rsidR="00101F83" w:rsidRPr="00BA5229">
        <w:t>rn, address a capacity shortfall) during its five year term.”</w:t>
      </w:r>
      <w:r w:rsidR="00101F83" w:rsidRPr="00BA5229">
        <w:rPr>
          <w:rStyle w:val="FootnoteReference"/>
        </w:rPr>
        <w:footnoteReference w:id="55"/>
      </w:r>
      <w:r w:rsidR="00101F83" w:rsidRPr="00BA5229">
        <w:t xml:space="preserve"> </w:t>
      </w:r>
      <w:r w:rsidR="00C43153" w:rsidRPr="00BA5229">
        <w:t>Mr. Dickman</w:t>
      </w:r>
      <w:r w:rsidR="007A0C85">
        <w:rPr>
          <w:lang w:val="en-US"/>
        </w:rPr>
        <w:t>,</w:t>
      </w:r>
      <w:r w:rsidR="00C43153" w:rsidRPr="00BA5229">
        <w:t xml:space="preserve"> however</w:t>
      </w:r>
      <w:r w:rsidR="007A0C85">
        <w:rPr>
          <w:lang w:val="en-US"/>
        </w:rPr>
        <w:t>,</w:t>
      </w:r>
      <w:r w:rsidR="00C43153" w:rsidRPr="00BA5229">
        <w:t xml:space="preserve"> </w:t>
      </w:r>
      <w:r w:rsidR="00EF4527" w:rsidRPr="00BA5229">
        <w:t xml:space="preserve">contends that </w:t>
      </w:r>
      <w:r w:rsidR="00985879" w:rsidRPr="00BA5229">
        <w:t xml:space="preserve">avoided </w:t>
      </w:r>
      <w:r w:rsidR="00EF4527" w:rsidRPr="00BA5229">
        <w:t xml:space="preserve">FOTs </w:t>
      </w:r>
      <w:r w:rsidR="00985879" w:rsidRPr="00BA5229">
        <w:t xml:space="preserve">“represent the costs of </w:t>
      </w:r>
      <w:r w:rsidR="00985879" w:rsidRPr="00BA5229">
        <w:rPr>
          <w:i/>
        </w:rPr>
        <w:t>energy and capacity</w:t>
      </w:r>
      <w:r w:rsidR="00985879" w:rsidRPr="00BA5229">
        <w:t xml:space="preserve"> that the Company will actually inc</w:t>
      </w:r>
      <w:r w:rsidR="00A045E1" w:rsidRPr="00BA5229">
        <w:t>ur without the addition of a QF</w:t>
      </w:r>
      <w:r w:rsidR="00985879" w:rsidRPr="00BA5229">
        <w:t>”</w:t>
      </w:r>
      <w:r w:rsidR="00A045E1" w:rsidRPr="00BA5229">
        <w:t xml:space="preserve"> and</w:t>
      </w:r>
      <w:r w:rsidR="00E17FDA">
        <w:rPr>
          <w:lang w:val="en-US"/>
        </w:rPr>
        <w:t xml:space="preserve"> that</w:t>
      </w:r>
      <w:r w:rsidR="00A045E1" w:rsidRPr="00BA5229">
        <w:t xml:space="preserve"> therefore, QFs should not get any additional capacity payment based on the costs of a thermal resource.</w:t>
      </w:r>
      <w:r w:rsidR="00985879" w:rsidRPr="00BA5229">
        <w:rPr>
          <w:rStyle w:val="FootnoteReference"/>
        </w:rPr>
        <w:footnoteReference w:id="56"/>
      </w:r>
      <w:r w:rsidR="00985879" w:rsidRPr="00BA5229">
        <w:t xml:space="preserve"> </w:t>
      </w:r>
      <w:r w:rsidR="008B663B" w:rsidRPr="00BA5229">
        <w:t xml:space="preserve">Mr. Dickman is </w:t>
      </w:r>
      <w:r w:rsidR="00E17FDA">
        <w:rPr>
          <w:lang w:val="en-US"/>
        </w:rPr>
        <w:t>incorrect</w:t>
      </w:r>
      <w:r w:rsidR="00A045E1" w:rsidRPr="00BA5229">
        <w:t xml:space="preserve">. </w:t>
      </w:r>
    </w:p>
    <w:p w14:paraId="577C763C" w14:textId="73D13A0F" w:rsidR="006451A6" w:rsidRPr="00BA5229" w:rsidRDefault="008B663B" w:rsidP="00834B2B">
      <w:pPr>
        <w:pStyle w:val="WUTCParagraph"/>
        <w:tabs>
          <w:tab w:val="clear" w:pos="1440"/>
        </w:tabs>
      </w:pPr>
      <w:r w:rsidRPr="00BA5229">
        <w:t xml:space="preserve"> </w:t>
      </w:r>
      <w:r w:rsidRPr="00BA5229">
        <w:tab/>
      </w:r>
      <w:r w:rsidRPr="00BA5229">
        <w:rPr>
          <w:lang w:val="en-US"/>
        </w:rPr>
        <w:t xml:space="preserve">Again, PacifiCorp conflates two distinct concepts:  its projection </w:t>
      </w:r>
      <w:r w:rsidR="00F1316F">
        <w:rPr>
          <w:lang w:val="en-US"/>
        </w:rPr>
        <w:t>regarding</w:t>
      </w:r>
      <w:r w:rsidRPr="00BA5229">
        <w:rPr>
          <w:lang w:val="en-US"/>
        </w:rPr>
        <w:t xml:space="preserve"> the cost of FOTs and the cost that the Company will “actually incur.”</w:t>
      </w:r>
      <w:r w:rsidR="00F1316F">
        <w:rPr>
          <w:rStyle w:val="FootnoteReference"/>
          <w:lang w:val="en-US"/>
        </w:rPr>
        <w:footnoteReference w:id="57"/>
      </w:r>
      <w:r w:rsidRPr="00BA5229">
        <w:rPr>
          <w:lang w:val="en-US"/>
        </w:rPr>
        <w:t xml:space="preserve"> </w:t>
      </w:r>
      <w:r w:rsidRPr="00834B2B">
        <w:rPr>
          <w:lang w:val="en-US"/>
        </w:rPr>
        <w:t>Mr. Dickman alleges that Staff “misapprehends the nature of FOT market purchases” because “FOTs are firm products” and thus, “the price of the seller</w:t>
      </w:r>
      <w:r w:rsidR="0086047A" w:rsidRPr="00834B2B">
        <w:rPr>
          <w:lang w:val="en-US"/>
        </w:rPr>
        <w:t>’</w:t>
      </w:r>
      <w:r w:rsidRPr="00834B2B">
        <w:rPr>
          <w:lang w:val="en-US"/>
        </w:rPr>
        <w:t>s capacity is embedded in the price of the market transaction.”</w:t>
      </w:r>
      <w:r w:rsidRPr="00BA5229">
        <w:rPr>
          <w:rStyle w:val="FootnoteReference"/>
          <w:lang w:val="en-US"/>
        </w:rPr>
        <w:footnoteReference w:id="58"/>
      </w:r>
      <w:r w:rsidRPr="00834B2B">
        <w:rPr>
          <w:lang w:val="en-US"/>
        </w:rPr>
        <w:t xml:space="preserve"> </w:t>
      </w:r>
      <w:r w:rsidR="0086047A" w:rsidRPr="00834B2B">
        <w:rPr>
          <w:lang w:val="en-US"/>
        </w:rPr>
        <w:t>Mr. Dickman would be correct if the Company had already contracted for the firm delivery of bulk power to meet system demand, and thus knew</w:t>
      </w:r>
      <w:r w:rsidR="009D6CF3" w:rsidRPr="00834B2B">
        <w:rPr>
          <w:lang w:val="en-US"/>
        </w:rPr>
        <w:t>,</w:t>
      </w:r>
      <w:r w:rsidR="0086047A" w:rsidRPr="00834B2B">
        <w:rPr>
          <w:lang w:val="en-US"/>
        </w:rPr>
        <w:t xml:space="preserve"> with </w:t>
      </w:r>
      <w:r w:rsidR="000222FD">
        <w:rPr>
          <w:lang w:val="en-US"/>
        </w:rPr>
        <w:t xml:space="preserve">legal </w:t>
      </w:r>
      <w:r w:rsidR="0086047A" w:rsidRPr="00834B2B">
        <w:rPr>
          <w:lang w:val="en-US"/>
        </w:rPr>
        <w:t>certainty</w:t>
      </w:r>
      <w:r w:rsidR="009D6CF3" w:rsidRPr="00834B2B">
        <w:rPr>
          <w:lang w:val="en-US"/>
        </w:rPr>
        <w:t>,</w:t>
      </w:r>
      <w:r w:rsidR="0086047A" w:rsidRPr="00834B2B">
        <w:rPr>
          <w:lang w:val="en-US"/>
        </w:rPr>
        <w:t xml:space="preserve"> the cost of the market transaction</w:t>
      </w:r>
      <w:r w:rsidR="009D6CF3" w:rsidRPr="00834B2B">
        <w:rPr>
          <w:lang w:val="en-US"/>
        </w:rPr>
        <w:t>s</w:t>
      </w:r>
      <w:r w:rsidR="0086047A" w:rsidRPr="00834B2B">
        <w:rPr>
          <w:lang w:val="en-US"/>
        </w:rPr>
        <w:t xml:space="preserve"> that QFs enable </w:t>
      </w:r>
      <w:r w:rsidR="00D94FA4" w:rsidRPr="00834B2B">
        <w:rPr>
          <w:lang w:val="en-US"/>
        </w:rPr>
        <w:t>it</w:t>
      </w:r>
      <w:r w:rsidR="0086047A" w:rsidRPr="00834B2B">
        <w:rPr>
          <w:lang w:val="en-US"/>
        </w:rPr>
        <w:t xml:space="preserve"> to avoid. </w:t>
      </w:r>
      <w:r w:rsidR="00AC6429">
        <w:rPr>
          <w:lang w:val="en-US"/>
        </w:rPr>
        <w:t>But, as long as the market transaction is merely anticipated, so too is the price.</w:t>
      </w:r>
    </w:p>
    <w:p w14:paraId="54D5AD56" w14:textId="511AF439" w:rsidR="0086047A" w:rsidRPr="00BA5229" w:rsidRDefault="006451A6" w:rsidP="00CE4F40">
      <w:pPr>
        <w:pStyle w:val="WUTCParagraph"/>
        <w:tabs>
          <w:tab w:val="clear" w:pos="1440"/>
        </w:tabs>
      </w:pPr>
      <w:r w:rsidRPr="00BA5229">
        <w:rPr>
          <w:lang w:val="en-US"/>
        </w:rPr>
        <w:t xml:space="preserve"> </w:t>
      </w:r>
      <w:r w:rsidRPr="00BA5229">
        <w:rPr>
          <w:lang w:val="en-US"/>
        </w:rPr>
        <w:tab/>
      </w:r>
      <w:r w:rsidR="0015417C" w:rsidRPr="00BA5229">
        <w:rPr>
          <w:lang w:val="en-US"/>
        </w:rPr>
        <w:t xml:space="preserve">FERC confirms that </w:t>
      </w:r>
      <w:r w:rsidR="00F1316F">
        <w:rPr>
          <w:lang w:val="en-US"/>
        </w:rPr>
        <w:t>a utility’s</w:t>
      </w:r>
      <w:r w:rsidR="00A54806">
        <w:rPr>
          <w:lang w:val="en-US"/>
        </w:rPr>
        <w:t xml:space="preserve"> </w:t>
      </w:r>
      <w:r w:rsidR="00CE4F40">
        <w:rPr>
          <w:lang w:val="en-US"/>
        </w:rPr>
        <w:t xml:space="preserve">cost estimates for </w:t>
      </w:r>
      <w:r w:rsidR="00CE4F40" w:rsidRPr="00CE4F40">
        <w:rPr>
          <w:lang w:val="en-US"/>
        </w:rPr>
        <w:t>future market acquisitions</w:t>
      </w:r>
      <w:r w:rsidR="00AC6429">
        <w:rPr>
          <w:lang w:val="en-US"/>
        </w:rPr>
        <w:t xml:space="preserve"> are</w:t>
      </w:r>
      <w:r w:rsidR="00CE4F40">
        <w:rPr>
          <w:lang w:val="en-US"/>
        </w:rPr>
        <w:t xml:space="preserve"> not a sufficient basis for establishing </w:t>
      </w:r>
      <w:r w:rsidR="0015417C" w:rsidRPr="00CE4F40">
        <w:rPr>
          <w:lang w:val="en-US"/>
        </w:rPr>
        <w:t>full avoided cost</w:t>
      </w:r>
      <w:r w:rsidR="00811441" w:rsidRPr="00CE4F40">
        <w:rPr>
          <w:lang w:val="en-US"/>
        </w:rPr>
        <w:t xml:space="preserve">. </w:t>
      </w:r>
      <w:r w:rsidR="006948B3" w:rsidRPr="00CE4F40">
        <w:rPr>
          <w:lang w:val="en-US"/>
        </w:rPr>
        <w:t xml:space="preserve">FERC states: </w:t>
      </w:r>
    </w:p>
    <w:p w14:paraId="462D65D2" w14:textId="60F4D5C5" w:rsidR="0015417C" w:rsidRPr="00BA5229" w:rsidRDefault="0015417C" w:rsidP="00BA5229">
      <w:pPr>
        <w:pStyle w:val="WUTCParagraph"/>
        <w:numPr>
          <w:ilvl w:val="0"/>
          <w:numId w:val="0"/>
        </w:numPr>
        <w:tabs>
          <w:tab w:val="clear" w:pos="1440"/>
        </w:tabs>
        <w:spacing w:after="100" w:afterAutospacing="1" w:line="240" w:lineRule="auto"/>
        <w:ind w:left="720"/>
        <w:rPr>
          <w:lang w:val="en-US"/>
        </w:rPr>
      </w:pPr>
      <w:r w:rsidRPr="00BA5229">
        <w:rPr>
          <w:lang w:val="en-US"/>
        </w:rPr>
        <w:t xml:space="preserve">If a [QF] contracts to deliver power . . . it may enable the purchasing utility to avoid entering into a bulk power purchase agreement with another utility. The rate for such a purchase should be based on the price at which such power </w:t>
      </w:r>
      <w:r w:rsidRPr="00D94FA4">
        <w:rPr>
          <w:i/>
          <w:lang w:val="en-US"/>
        </w:rPr>
        <w:t>is purchased, or can expect to be purchased, based upon bona fide offers</w:t>
      </w:r>
      <w:r w:rsidRPr="00BA5229">
        <w:rPr>
          <w:lang w:val="en-US"/>
        </w:rPr>
        <w:t xml:space="preserve"> from another utility.</w:t>
      </w:r>
      <w:r w:rsidRPr="00BA5229">
        <w:rPr>
          <w:rStyle w:val="FootnoteReference"/>
          <w:lang w:val="en-US"/>
        </w:rPr>
        <w:footnoteReference w:id="59"/>
      </w:r>
    </w:p>
    <w:p w14:paraId="0438284A" w14:textId="54AD0A64" w:rsidR="007B1730" w:rsidRPr="00BA5229" w:rsidRDefault="0015417C" w:rsidP="00BA5229">
      <w:pPr>
        <w:pStyle w:val="WUTCParagraph"/>
        <w:numPr>
          <w:ilvl w:val="0"/>
          <w:numId w:val="0"/>
        </w:numPr>
        <w:tabs>
          <w:tab w:val="clear" w:pos="1440"/>
        </w:tabs>
      </w:pPr>
      <w:r w:rsidRPr="00BA5229">
        <w:rPr>
          <w:lang w:val="en-US"/>
        </w:rPr>
        <w:t xml:space="preserve">PacifiCorp does not know the purchase </w:t>
      </w:r>
      <w:r w:rsidR="009D6CF3" w:rsidRPr="00BA5229">
        <w:rPr>
          <w:lang w:val="en-US"/>
        </w:rPr>
        <w:t xml:space="preserve">price </w:t>
      </w:r>
      <w:r w:rsidRPr="00BA5229">
        <w:rPr>
          <w:lang w:val="en-US"/>
        </w:rPr>
        <w:t xml:space="preserve">of FOTs because it has not yet entered into </w:t>
      </w:r>
      <w:r w:rsidR="009D6CF3" w:rsidRPr="00BA5229">
        <w:rPr>
          <w:lang w:val="en-US"/>
        </w:rPr>
        <w:t>the necessary</w:t>
      </w:r>
      <w:r w:rsidR="006451A6" w:rsidRPr="00BA5229">
        <w:rPr>
          <w:lang w:val="en-US"/>
        </w:rPr>
        <w:t xml:space="preserve"> </w:t>
      </w:r>
      <w:r w:rsidRPr="00BA5229">
        <w:rPr>
          <w:lang w:val="en-US"/>
        </w:rPr>
        <w:t>power purchase agreement</w:t>
      </w:r>
      <w:r w:rsidR="009D6CF3" w:rsidRPr="00BA5229">
        <w:rPr>
          <w:lang w:val="en-US"/>
        </w:rPr>
        <w:t xml:space="preserve">s to meet </w:t>
      </w:r>
      <w:r w:rsidR="00CE4F40">
        <w:rPr>
          <w:lang w:val="en-US"/>
        </w:rPr>
        <w:t xml:space="preserve">its </w:t>
      </w:r>
      <w:r w:rsidR="009D6CF3" w:rsidRPr="00BA5229">
        <w:rPr>
          <w:lang w:val="en-US"/>
        </w:rPr>
        <w:t>load</w:t>
      </w:r>
      <w:r w:rsidRPr="00BA5229">
        <w:rPr>
          <w:lang w:val="en-US"/>
        </w:rPr>
        <w:t xml:space="preserve"> nor has it obtained bona fide offers</w:t>
      </w:r>
      <w:r w:rsidR="009D6CF3" w:rsidRPr="00BA5229">
        <w:rPr>
          <w:lang w:val="en-US"/>
        </w:rPr>
        <w:t xml:space="preserve"> that establish the price </w:t>
      </w:r>
      <w:r w:rsidR="00F1316F">
        <w:rPr>
          <w:lang w:val="en-US"/>
        </w:rPr>
        <w:t xml:space="preserve">at which </w:t>
      </w:r>
      <w:r w:rsidR="009D6CF3" w:rsidRPr="00BA5229">
        <w:rPr>
          <w:lang w:val="en-US"/>
        </w:rPr>
        <w:t xml:space="preserve">it can expect to purchase </w:t>
      </w:r>
      <w:r w:rsidR="00CE4F40">
        <w:rPr>
          <w:lang w:val="en-US"/>
        </w:rPr>
        <w:t>such</w:t>
      </w:r>
      <w:r w:rsidR="009D6CF3" w:rsidRPr="00BA5229">
        <w:rPr>
          <w:lang w:val="en-US"/>
        </w:rPr>
        <w:t xml:space="preserve"> power</w:t>
      </w:r>
      <w:r w:rsidRPr="00BA5229">
        <w:rPr>
          <w:lang w:val="en-US"/>
        </w:rPr>
        <w:t>.</w:t>
      </w:r>
      <w:r w:rsidR="00CE4F40">
        <w:rPr>
          <w:rStyle w:val="FootnoteReference"/>
          <w:lang w:val="en-US"/>
        </w:rPr>
        <w:footnoteReference w:id="60"/>
      </w:r>
      <w:r w:rsidRPr="00BA5229">
        <w:rPr>
          <w:lang w:val="en-US"/>
        </w:rPr>
        <w:t xml:space="preserve"> Rather, </w:t>
      </w:r>
      <w:r w:rsidR="00C5758A" w:rsidRPr="00BA5229">
        <w:rPr>
          <w:lang w:val="en-US"/>
        </w:rPr>
        <w:t xml:space="preserve">the Company predicted the cost of </w:t>
      </w:r>
      <w:r w:rsidR="00D94FA4">
        <w:rPr>
          <w:lang w:val="en-US"/>
        </w:rPr>
        <w:t>its</w:t>
      </w:r>
      <w:r w:rsidR="00C5758A" w:rsidRPr="00BA5229">
        <w:rPr>
          <w:lang w:val="en-US"/>
        </w:rPr>
        <w:t xml:space="preserve"> future purchases using its GRID model.</w:t>
      </w:r>
      <w:r w:rsidRPr="00BA5229">
        <w:rPr>
          <w:rStyle w:val="FootnoteReference"/>
          <w:lang w:val="en-US"/>
        </w:rPr>
        <w:footnoteReference w:id="61"/>
      </w:r>
      <w:r w:rsidRPr="00BA5229">
        <w:rPr>
          <w:lang w:val="en-US"/>
        </w:rPr>
        <w:t xml:space="preserve"> </w:t>
      </w:r>
      <w:r w:rsidR="006451A6" w:rsidRPr="00BA5229">
        <w:rPr>
          <w:lang w:val="en-US"/>
        </w:rPr>
        <w:t>Unfortunately,</w:t>
      </w:r>
      <w:r w:rsidR="00C5758A" w:rsidRPr="00BA5229">
        <w:t xml:space="preserve"> </w:t>
      </w:r>
      <w:r w:rsidR="006451A6" w:rsidRPr="00BA5229">
        <w:rPr>
          <w:lang w:val="en-US"/>
        </w:rPr>
        <w:t xml:space="preserve">the Company’s </w:t>
      </w:r>
      <w:r w:rsidR="002369D7" w:rsidRPr="00BA5229">
        <w:rPr>
          <w:lang w:val="en-US"/>
        </w:rPr>
        <w:t>GRID</w:t>
      </w:r>
      <w:r w:rsidR="008C1316" w:rsidRPr="00BA5229">
        <w:rPr>
          <w:lang w:val="en-US"/>
        </w:rPr>
        <w:t xml:space="preserve"> model</w:t>
      </w:r>
      <w:r w:rsidR="00C5758A" w:rsidRPr="00BA5229">
        <w:rPr>
          <w:lang w:val="en-US"/>
        </w:rPr>
        <w:t xml:space="preserve"> </w:t>
      </w:r>
      <w:r w:rsidR="006451A6" w:rsidRPr="00BA5229">
        <w:rPr>
          <w:lang w:val="en-US"/>
        </w:rPr>
        <w:t>is not</w:t>
      </w:r>
      <w:r w:rsidR="008C1316" w:rsidRPr="00BA5229">
        <w:rPr>
          <w:lang w:val="en-US"/>
        </w:rPr>
        <w:t xml:space="preserve"> a magic crystal ball that accurately predicts future</w:t>
      </w:r>
      <w:r w:rsidR="000C18D6" w:rsidRPr="00BA5229">
        <w:rPr>
          <w:lang w:val="en-US"/>
        </w:rPr>
        <w:t xml:space="preserve"> costs</w:t>
      </w:r>
      <w:r w:rsidR="008C1316" w:rsidRPr="00BA5229">
        <w:rPr>
          <w:lang w:val="en-US"/>
        </w:rPr>
        <w:t>.</w:t>
      </w:r>
    </w:p>
    <w:p w14:paraId="5F8D58B6" w14:textId="7C62BF7D" w:rsidR="008C1316" w:rsidRPr="00BA5229" w:rsidRDefault="008C1316" w:rsidP="00BA5229">
      <w:pPr>
        <w:pStyle w:val="WUTCParagraph"/>
        <w:tabs>
          <w:tab w:val="clear" w:pos="1440"/>
        </w:tabs>
      </w:pPr>
      <w:r w:rsidRPr="00BA5229">
        <w:rPr>
          <w:lang w:val="en-US"/>
        </w:rPr>
        <w:t xml:space="preserve"> </w:t>
      </w:r>
      <w:r w:rsidRPr="00BA5229">
        <w:rPr>
          <w:lang w:val="en-US"/>
        </w:rPr>
        <w:tab/>
      </w:r>
      <w:r w:rsidR="00D6757E" w:rsidRPr="00BA5229">
        <w:rPr>
          <w:lang w:val="en-US"/>
        </w:rPr>
        <w:t xml:space="preserve">PacifiCorp’s market risk is pronounced given its heavy reliance on FOTs. </w:t>
      </w:r>
      <w:r w:rsidR="00412F72" w:rsidRPr="00BA5229">
        <w:rPr>
          <w:lang w:val="en-US"/>
        </w:rPr>
        <w:t xml:space="preserve">The Company’s projection of market price is based on many interrelated assumptions, including hydropower availability, unplanned generator outages, and changing demand throughout the </w:t>
      </w:r>
      <w:r w:rsidR="001536BF" w:rsidRPr="00BA5229">
        <w:rPr>
          <w:lang w:val="en-US"/>
        </w:rPr>
        <w:t>W</w:t>
      </w:r>
      <w:r w:rsidR="00412F72" w:rsidRPr="00BA5229">
        <w:rPr>
          <w:lang w:val="en-US"/>
        </w:rPr>
        <w:t xml:space="preserve">estern </w:t>
      </w:r>
      <w:r w:rsidR="009D6CF3" w:rsidRPr="00BA5229">
        <w:rPr>
          <w:lang w:val="en-US"/>
        </w:rPr>
        <w:t>U.S.</w:t>
      </w:r>
      <w:r w:rsidR="00412F72" w:rsidRPr="00BA5229">
        <w:rPr>
          <w:rStyle w:val="FootnoteReference"/>
          <w:lang w:val="en-US"/>
        </w:rPr>
        <w:footnoteReference w:id="62"/>
      </w:r>
      <w:r w:rsidR="00412F72" w:rsidRPr="00BA5229">
        <w:rPr>
          <w:lang w:val="en-US"/>
        </w:rPr>
        <w:t xml:space="preserve"> As Staff noted, “</w:t>
      </w:r>
      <w:r w:rsidR="009D6CF3" w:rsidRPr="00BA5229">
        <w:rPr>
          <w:lang w:val="en-US"/>
        </w:rPr>
        <w:t>[U]nexpected</w:t>
      </w:r>
      <w:r w:rsidR="00412F72" w:rsidRPr="00BA5229">
        <w:rPr>
          <w:lang w:val="en-US"/>
        </w:rPr>
        <w:t xml:space="preserve"> variation in any one of these factors could create higher market prices, as the California energy crisis showed, which represents a significant risk to [the Company].”</w:t>
      </w:r>
      <w:r w:rsidR="00412F72" w:rsidRPr="00BA5229">
        <w:rPr>
          <w:rStyle w:val="FootnoteReference"/>
          <w:lang w:val="en-US"/>
        </w:rPr>
        <w:footnoteReference w:id="63"/>
      </w:r>
      <w:r w:rsidR="001536BF" w:rsidRPr="00BA5229">
        <w:rPr>
          <w:lang w:val="en-US"/>
        </w:rPr>
        <w:t xml:space="preserve"> Given the multitude of factors that could dramatically impact market</w:t>
      </w:r>
      <w:r w:rsidR="000C18D6" w:rsidRPr="00BA5229">
        <w:rPr>
          <w:lang w:val="en-US"/>
        </w:rPr>
        <w:t xml:space="preserve"> price,</w:t>
      </w:r>
      <w:r w:rsidR="00D94FA4">
        <w:rPr>
          <w:lang w:val="en-US"/>
        </w:rPr>
        <w:t xml:space="preserve"> and the Company’s heavy reliance on FOTs,</w:t>
      </w:r>
      <w:r w:rsidR="000C18D6" w:rsidRPr="00BA5229">
        <w:rPr>
          <w:lang w:val="en-US"/>
        </w:rPr>
        <w:t xml:space="preserve"> avoiding </w:t>
      </w:r>
      <w:r w:rsidR="00CE4F40">
        <w:rPr>
          <w:lang w:val="en-US"/>
        </w:rPr>
        <w:t>market</w:t>
      </w:r>
      <w:r w:rsidR="000C18D6" w:rsidRPr="00BA5229">
        <w:rPr>
          <w:lang w:val="en-US"/>
        </w:rPr>
        <w:t xml:space="preserve"> risk </w:t>
      </w:r>
      <w:r w:rsidR="00CF6A0E">
        <w:rPr>
          <w:lang w:val="en-US"/>
        </w:rPr>
        <w:t>through</w:t>
      </w:r>
      <w:r w:rsidR="000C18D6" w:rsidRPr="00BA5229">
        <w:rPr>
          <w:lang w:val="en-US"/>
        </w:rPr>
        <w:t xml:space="preserve"> the purchase of QF power provides material value to the </w:t>
      </w:r>
      <w:r w:rsidR="009D6CF3" w:rsidRPr="00BA5229">
        <w:rPr>
          <w:lang w:val="en-US"/>
        </w:rPr>
        <w:t>C</w:t>
      </w:r>
      <w:r w:rsidR="000C18D6" w:rsidRPr="00BA5229">
        <w:rPr>
          <w:lang w:val="en-US"/>
        </w:rPr>
        <w:t>ompany.</w:t>
      </w:r>
    </w:p>
    <w:p w14:paraId="122BA164" w14:textId="38A89E80" w:rsidR="00B1582E" w:rsidRPr="00BA5229" w:rsidRDefault="009D6CF3" w:rsidP="00BA5229">
      <w:pPr>
        <w:pStyle w:val="WUTCParagraph"/>
        <w:tabs>
          <w:tab w:val="clear" w:pos="1440"/>
        </w:tabs>
      </w:pPr>
      <w:r w:rsidRPr="00BA5229">
        <w:rPr>
          <w:lang w:val="en-US"/>
        </w:rPr>
        <w:t xml:space="preserve"> </w:t>
      </w:r>
      <w:r w:rsidRPr="00BA5229">
        <w:rPr>
          <w:lang w:val="en-US"/>
        </w:rPr>
        <w:tab/>
      </w:r>
      <w:r w:rsidR="00BF4920" w:rsidRPr="00BA5229">
        <w:rPr>
          <w:lang w:val="en-US"/>
        </w:rPr>
        <w:t>PacifiCorp</w:t>
      </w:r>
      <w:r w:rsidR="007A0C85">
        <w:rPr>
          <w:lang w:val="en-US"/>
        </w:rPr>
        <w:t>,</w:t>
      </w:r>
      <w:r w:rsidR="00BF4920" w:rsidRPr="00BA5229">
        <w:rPr>
          <w:lang w:val="en-US"/>
        </w:rPr>
        <w:t xml:space="preserve"> however</w:t>
      </w:r>
      <w:r w:rsidR="007A0C85">
        <w:rPr>
          <w:lang w:val="en-US"/>
        </w:rPr>
        <w:t>,</w:t>
      </w:r>
      <w:r w:rsidR="00BF4920" w:rsidRPr="00BA5229">
        <w:rPr>
          <w:lang w:val="en-US"/>
        </w:rPr>
        <w:t xml:space="preserve"> attempts to minimize the capacity value that QFs provide to its system by testifying th</w:t>
      </w:r>
      <w:r w:rsidR="007A0C85">
        <w:rPr>
          <w:lang w:val="en-US"/>
        </w:rPr>
        <w:t>at fixed-price contracts for QF</w:t>
      </w:r>
      <w:r w:rsidR="00BF4920" w:rsidRPr="00BA5229">
        <w:rPr>
          <w:lang w:val="en-US"/>
        </w:rPr>
        <w:t xml:space="preserve"> power: (1) create financial risk rather than mitigate risk, and (2) are not appropriate hedging mechanisms. </w:t>
      </w:r>
      <w:r w:rsidR="00BC6E00" w:rsidRPr="00BA5229">
        <w:rPr>
          <w:lang w:val="en-US"/>
        </w:rPr>
        <w:t>To the first point, PacifiCorp argues that market prices are i</w:t>
      </w:r>
      <w:r w:rsidR="00EE1098">
        <w:rPr>
          <w:lang w:val="en-US"/>
        </w:rPr>
        <w:t>n a period of sustained decline</w:t>
      </w:r>
      <w:r w:rsidR="00BC6E00" w:rsidRPr="00BA5229">
        <w:rPr>
          <w:lang w:val="en-US"/>
        </w:rPr>
        <w:t>, and thus, fixed price QF contracts expose the Company to risk by locking in a rate that does not decline with the market-rate.</w:t>
      </w:r>
      <w:r w:rsidR="00BC6E00" w:rsidRPr="00BA5229">
        <w:rPr>
          <w:rStyle w:val="FootnoteReference"/>
          <w:lang w:val="en-US"/>
        </w:rPr>
        <w:footnoteReference w:id="64"/>
      </w:r>
      <w:r w:rsidR="00BC6E00" w:rsidRPr="00BA5229">
        <w:rPr>
          <w:lang w:val="en-US"/>
        </w:rPr>
        <w:t xml:space="preserve"> </w:t>
      </w:r>
      <w:r w:rsidR="00A41A4C" w:rsidRPr="00BA5229">
        <w:rPr>
          <w:lang w:val="en-US"/>
        </w:rPr>
        <w:t xml:space="preserve">The Company neglected to mention that market price </w:t>
      </w:r>
      <w:r w:rsidR="00CF6A0E" w:rsidRPr="00BA5229">
        <w:rPr>
          <w:lang w:val="en-US"/>
        </w:rPr>
        <w:t xml:space="preserve">also </w:t>
      </w:r>
      <w:r w:rsidR="00A41A4C" w:rsidRPr="00BA5229">
        <w:rPr>
          <w:lang w:val="en-US"/>
        </w:rPr>
        <w:t>can rise. FERC understood that a utility’s true avoided cost would stray from a rate fixed at the initiation of the contract</w:t>
      </w:r>
      <w:r w:rsidR="00CE4F40">
        <w:rPr>
          <w:lang w:val="en-US"/>
        </w:rPr>
        <w:t xml:space="preserve"> between the utility and the QF</w:t>
      </w:r>
      <w:r w:rsidR="00A41A4C" w:rsidRPr="00BA5229">
        <w:rPr>
          <w:lang w:val="en-US"/>
        </w:rPr>
        <w:t>; nevertheless, it found that Congress did not intend a “minute-by-minute evaluation of cost,” and that</w:t>
      </w:r>
      <w:r w:rsidR="00B1582E" w:rsidRPr="00BA5229">
        <w:rPr>
          <w:lang w:val="en-US"/>
        </w:rPr>
        <w:t>, “in the long run, ‘overestimations’ and ‘underestimations’ of avoided costs would balance out.”</w:t>
      </w:r>
      <w:r w:rsidR="00B1582E" w:rsidRPr="00BA5229">
        <w:rPr>
          <w:rStyle w:val="FootnoteReference"/>
          <w:lang w:val="en-US"/>
        </w:rPr>
        <w:footnoteReference w:id="65"/>
      </w:r>
      <w:r w:rsidR="00A41A4C" w:rsidRPr="00BA5229">
        <w:rPr>
          <w:lang w:val="en-US"/>
        </w:rPr>
        <w:t xml:space="preserve"> </w:t>
      </w:r>
      <w:r w:rsidR="00B1582E" w:rsidRPr="00BA5229">
        <w:rPr>
          <w:lang w:val="en-US"/>
        </w:rPr>
        <w:t xml:space="preserve">As already noted, annual updates to the Company’s full avoided cost rate and the limited five-year term of the standard offer in Washington help ensure avoided cost rates accurately reflect current market conditions, and thus </w:t>
      </w:r>
      <w:r w:rsidR="00CE4F40">
        <w:rPr>
          <w:lang w:val="en-US"/>
        </w:rPr>
        <w:t xml:space="preserve">do </w:t>
      </w:r>
      <w:r w:rsidR="00B1582E" w:rsidRPr="00BA5229">
        <w:rPr>
          <w:lang w:val="en-US"/>
        </w:rPr>
        <w:t>not stray far from</w:t>
      </w:r>
      <w:r w:rsidR="00CE4F40">
        <w:rPr>
          <w:lang w:val="en-US"/>
        </w:rPr>
        <w:t xml:space="preserve"> the Company’s</w:t>
      </w:r>
      <w:r w:rsidR="00B1582E" w:rsidRPr="00BA5229">
        <w:rPr>
          <w:lang w:val="en-US"/>
        </w:rPr>
        <w:t xml:space="preserve"> true cost</w:t>
      </w:r>
      <w:r w:rsidR="00CE4F40">
        <w:rPr>
          <w:lang w:val="en-US"/>
        </w:rPr>
        <w:t xml:space="preserve"> of service</w:t>
      </w:r>
      <w:r w:rsidR="00B1582E" w:rsidRPr="00BA5229">
        <w:rPr>
          <w:lang w:val="en-US"/>
        </w:rPr>
        <w:t>.</w:t>
      </w:r>
    </w:p>
    <w:p w14:paraId="5A20B534" w14:textId="71B57E7B" w:rsidR="00B1582E" w:rsidRPr="00BA5229" w:rsidRDefault="00B1582E" w:rsidP="00BA5229">
      <w:pPr>
        <w:pStyle w:val="WUTCParagraph"/>
        <w:tabs>
          <w:tab w:val="clear" w:pos="1440"/>
        </w:tabs>
      </w:pPr>
      <w:r w:rsidRPr="00BA5229">
        <w:rPr>
          <w:lang w:val="en-US"/>
        </w:rPr>
        <w:t xml:space="preserve"> </w:t>
      </w:r>
      <w:r w:rsidRPr="00BA5229">
        <w:rPr>
          <w:lang w:val="en-US"/>
        </w:rPr>
        <w:tab/>
        <w:t>To the second point,</w:t>
      </w:r>
      <w:r w:rsidR="00171802" w:rsidRPr="00BA5229">
        <w:rPr>
          <w:lang w:val="en-US"/>
        </w:rPr>
        <w:t xml:space="preserve"> PacifiCorp argues that fixed-price QF contracts are not appropriate hedging mechanisms because they do not have a predetermined quantity or time of delivery, only a predetermined price.</w:t>
      </w:r>
      <w:r w:rsidR="00171802" w:rsidRPr="00BA5229">
        <w:rPr>
          <w:rStyle w:val="FootnoteReference"/>
          <w:lang w:val="en-US"/>
        </w:rPr>
        <w:footnoteReference w:id="66"/>
      </w:r>
      <w:r w:rsidR="00171802" w:rsidRPr="00BA5229">
        <w:rPr>
          <w:lang w:val="en-US"/>
        </w:rPr>
        <w:t xml:space="preserve"> Here, the Company again overlooks the fact that FOTs are merely </w:t>
      </w:r>
      <w:r w:rsidR="00171802" w:rsidRPr="00BA5229">
        <w:rPr>
          <w:i/>
          <w:lang w:val="en-US"/>
        </w:rPr>
        <w:t>anticipated purchases</w:t>
      </w:r>
      <w:r w:rsidR="004D4031" w:rsidRPr="00BA5229">
        <w:rPr>
          <w:i/>
          <w:lang w:val="en-US"/>
        </w:rPr>
        <w:t xml:space="preserve"> containing price estimates</w:t>
      </w:r>
      <w:r w:rsidR="00171802" w:rsidRPr="00BA5229">
        <w:rPr>
          <w:lang w:val="en-US"/>
        </w:rPr>
        <w:t xml:space="preserve">, and therefore do not have a predetermined quantity, time of delivery, or price. </w:t>
      </w:r>
      <w:r w:rsidR="00DA5407" w:rsidRPr="00BA5229">
        <w:rPr>
          <w:lang w:val="en-US"/>
        </w:rPr>
        <w:t>Only after FOTs “[are] purchased, or can expect to be purchased, based upon bona fide offers from another utility” do they provide the Company with a predetermined quantity, time of delivery, or price.</w:t>
      </w:r>
      <w:r w:rsidR="003F10A9">
        <w:rPr>
          <w:rStyle w:val="FootnoteReference"/>
          <w:lang w:val="en-US"/>
        </w:rPr>
        <w:footnoteReference w:id="67"/>
      </w:r>
      <w:r w:rsidR="00DA5407" w:rsidRPr="00BA5229">
        <w:rPr>
          <w:lang w:val="en-US"/>
        </w:rPr>
        <w:t xml:space="preserve"> </w:t>
      </w:r>
      <w:r w:rsidR="00CF6A0E">
        <w:rPr>
          <w:lang w:val="en-US"/>
        </w:rPr>
        <w:t xml:space="preserve">QFs mitigate the Company’s exposure to market risk. </w:t>
      </w:r>
    </w:p>
    <w:p w14:paraId="5E72696A" w14:textId="51CBA8E1" w:rsidR="009B3C60" w:rsidRPr="00BA5229" w:rsidRDefault="00DA5407" w:rsidP="00BA5229">
      <w:pPr>
        <w:pStyle w:val="WUTCParagraph"/>
        <w:numPr>
          <w:ilvl w:val="0"/>
          <w:numId w:val="0"/>
        </w:numPr>
        <w:tabs>
          <w:tab w:val="clear" w:pos="1440"/>
        </w:tabs>
        <w:rPr>
          <w:lang w:val="en-US"/>
        </w:rPr>
      </w:pPr>
      <w:r w:rsidRPr="00BA5229">
        <w:rPr>
          <w:lang w:val="en-US"/>
        </w:rPr>
        <w:t xml:space="preserve"> </w:t>
      </w:r>
      <w:r w:rsidRPr="00BA5229">
        <w:rPr>
          <w:lang w:val="en-US"/>
        </w:rPr>
        <w:tab/>
        <w:t xml:space="preserve">Of note, in the context of arguing that Washington customers should pay for </w:t>
      </w:r>
      <w:r w:rsidR="009B3C60" w:rsidRPr="00BA5229">
        <w:rPr>
          <w:lang w:val="en-US"/>
        </w:rPr>
        <w:t xml:space="preserve">out-of-state QF expenses, PacifiCorp testified </w:t>
      </w:r>
      <w:r w:rsidR="00CF6A0E">
        <w:rPr>
          <w:lang w:val="en-US"/>
        </w:rPr>
        <w:t xml:space="preserve">in its 2014 general rate case </w:t>
      </w:r>
      <w:r w:rsidR="009B3C60" w:rsidRPr="00BA5229">
        <w:rPr>
          <w:lang w:val="en-US"/>
        </w:rPr>
        <w:t>that QFs contribute to its total system</w:t>
      </w:r>
      <w:r w:rsidR="009B3C60" w:rsidRPr="00BA5229">
        <w:rPr>
          <w:i/>
          <w:lang w:val="en-US"/>
        </w:rPr>
        <w:t xml:space="preserve"> </w:t>
      </w:r>
      <w:r w:rsidR="009B3C60" w:rsidRPr="00BA5229">
        <w:rPr>
          <w:lang w:val="en-US"/>
        </w:rPr>
        <w:t>capacity needs and provide resource diversity benefits.</w:t>
      </w:r>
      <w:r w:rsidR="009B3C60" w:rsidRPr="00BA5229">
        <w:rPr>
          <w:vertAlign w:val="superscript"/>
          <w:lang w:val="en-US"/>
        </w:rPr>
        <w:footnoteReference w:id="68"/>
      </w:r>
      <w:r w:rsidR="009B3C60" w:rsidRPr="00BA5229">
        <w:rPr>
          <w:lang w:val="en-US"/>
        </w:rPr>
        <w:t xml:space="preserve"> </w:t>
      </w:r>
      <w:r w:rsidR="00BC37ED" w:rsidRPr="00BA5229">
        <w:rPr>
          <w:lang w:val="en-US"/>
        </w:rPr>
        <w:t>In particular, PacifiCorp argued that market prices do not reflect its actual avoided costs “because [market price] fails to account for the impact of a QF on the Company’s existing resources or the QFs ability to defer future capacity additions.”</w:t>
      </w:r>
      <w:r w:rsidR="00BC37ED" w:rsidRPr="00BA5229">
        <w:rPr>
          <w:rStyle w:val="FootnoteReference"/>
          <w:lang w:val="en-US"/>
        </w:rPr>
        <w:footnoteReference w:id="69"/>
      </w:r>
      <w:r w:rsidR="00BC37ED" w:rsidRPr="00BA5229">
        <w:rPr>
          <w:lang w:val="en-US"/>
        </w:rPr>
        <w:t xml:space="preserve"> The Company </w:t>
      </w:r>
      <w:r w:rsidR="001E0DAE" w:rsidRPr="00BA5229">
        <w:rPr>
          <w:lang w:val="en-US"/>
        </w:rPr>
        <w:t>further argued</w:t>
      </w:r>
      <w:r w:rsidR="00BC37ED" w:rsidRPr="00BA5229">
        <w:rPr>
          <w:lang w:val="en-US"/>
        </w:rPr>
        <w:t xml:space="preserve"> that QFs, as emission-free resources, “may act as a hedge against future carbon regulation, the exact nature of which is currently unknown.”</w:t>
      </w:r>
      <w:r w:rsidR="00BC37ED" w:rsidRPr="00BA5229">
        <w:rPr>
          <w:rStyle w:val="FootnoteReference"/>
          <w:lang w:val="en-US"/>
        </w:rPr>
        <w:footnoteReference w:id="70"/>
      </w:r>
      <w:r w:rsidR="00BC37ED" w:rsidRPr="00BA5229">
        <w:rPr>
          <w:lang w:val="en-US"/>
        </w:rPr>
        <w:t xml:space="preserve"> </w:t>
      </w:r>
      <w:r w:rsidR="001E0DAE" w:rsidRPr="00BA5229">
        <w:rPr>
          <w:lang w:val="en-US"/>
        </w:rPr>
        <w:t>Moreover</w:t>
      </w:r>
      <w:r w:rsidR="00BC37ED" w:rsidRPr="00BA5229">
        <w:rPr>
          <w:lang w:val="en-US"/>
        </w:rPr>
        <w:t xml:space="preserve">, </w:t>
      </w:r>
      <w:r w:rsidR="003F10A9">
        <w:rPr>
          <w:lang w:val="en-US"/>
        </w:rPr>
        <w:t xml:space="preserve">the Company asserted, </w:t>
      </w:r>
      <w:r w:rsidR="00BC37ED" w:rsidRPr="00BA5229">
        <w:rPr>
          <w:lang w:val="en-US"/>
        </w:rPr>
        <w:t>“QFs provide diversity to the Company’s resource portfolio, which can act to reduce risk.”</w:t>
      </w:r>
      <w:r w:rsidR="00BC37ED" w:rsidRPr="00BA5229">
        <w:rPr>
          <w:rStyle w:val="FootnoteReference"/>
          <w:lang w:val="en-US"/>
        </w:rPr>
        <w:footnoteReference w:id="71"/>
      </w:r>
      <w:r w:rsidR="00AF2BA7" w:rsidRPr="00BA5229">
        <w:rPr>
          <w:lang w:val="en-US"/>
        </w:rPr>
        <w:t xml:space="preserve"> PacifiCorp’s testimony in its last general rate case, </w:t>
      </w:r>
      <w:r w:rsidR="007E1F12" w:rsidRPr="00BA5229">
        <w:rPr>
          <w:lang w:val="en-US"/>
        </w:rPr>
        <w:t>does not support its position</w:t>
      </w:r>
      <w:r w:rsidR="001E0DAE" w:rsidRPr="00BA5229">
        <w:rPr>
          <w:lang w:val="en-US"/>
        </w:rPr>
        <w:t xml:space="preserve"> in this docket</w:t>
      </w:r>
      <w:r w:rsidR="00CF6A0E">
        <w:rPr>
          <w:lang w:val="en-US"/>
        </w:rPr>
        <w:t>.</w:t>
      </w:r>
      <w:r w:rsidR="00531F30">
        <w:rPr>
          <w:lang w:val="en-US"/>
        </w:rPr>
        <w:t xml:space="preserve"> </w:t>
      </w:r>
      <w:r w:rsidR="00CF6A0E">
        <w:rPr>
          <w:lang w:val="en-US"/>
        </w:rPr>
        <w:t xml:space="preserve">Rather, </w:t>
      </w:r>
      <w:r w:rsidR="00531F30">
        <w:rPr>
          <w:lang w:val="en-US"/>
        </w:rPr>
        <w:t>it supports the position of Staff</w:t>
      </w:r>
      <w:r w:rsidR="001E0DAE" w:rsidRPr="00BA5229">
        <w:rPr>
          <w:lang w:val="en-US"/>
        </w:rPr>
        <w:t>.</w:t>
      </w:r>
    </w:p>
    <w:p w14:paraId="733DF9E0" w14:textId="1E9FB6F1" w:rsidR="009D6CF3" w:rsidRPr="00BA5229" w:rsidRDefault="00F90039" w:rsidP="00CB7539">
      <w:pPr>
        <w:pStyle w:val="WUTCParagraph"/>
        <w:numPr>
          <w:ilvl w:val="0"/>
          <w:numId w:val="0"/>
        </w:numPr>
        <w:tabs>
          <w:tab w:val="clear" w:pos="1440"/>
        </w:tabs>
        <w:ind w:firstLine="720"/>
        <w:rPr>
          <w:b/>
          <w:lang w:val="en-US"/>
        </w:rPr>
      </w:pPr>
      <w:r w:rsidRPr="00BA5229">
        <w:rPr>
          <w:b/>
          <w:lang w:val="en-US"/>
        </w:rPr>
        <w:t xml:space="preserve">4. </w:t>
      </w:r>
      <w:r w:rsidR="00CB7539">
        <w:rPr>
          <w:b/>
          <w:lang w:val="en-US"/>
        </w:rPr>
        <w:tab/>
      </w:r>
      <w:r w:rsidRPr="00BA5229">
        <w:rPr>
          <w:b/>
          <w:lang w:val="en-US"/>
        </w:rPr>
        <w:t>Staff’s Proposal Reasonably Accounts for PacifiCorp’s Full Avoided Costs</w:t>
      </w:r>
    </w:p>
    <w:p w14:paraId="13E3D8CD" w14:textId="1218EB31" w:rsidR="006A2344" w:rsidRPr="00BA5229" w:rsidRDefault="00F90039" w:rsidP="00BA5229">
      <w:pPr>
        <w:pStyle w:val="WUTCParagraph"/>
        <w:tabs>
          <w:tab w:val="clear" w:pos="1440"/>
        </w:tabs>
      </w:pPr>
      <w:r w:rsidRPr="00BA5229">
        <w:rPr>
          <w:lang w:val="en-US"/>
        </w:rPr>
        <w:t xml:space="preserve"> </w:t>
      </w:r>
      <w:r w:rsidRPr="00BA5229">
        <w:rPr>
          <w:lang w:val="en-US"/>
        </w:rPr>
        <w:tab/>
        <w:t>To more accurately capture the capacity value PacifiCorp avoids by purchasing QF power, Staff proposes to calculate the Company’s full avoided cost using the same methodology that the Commission recently adopted for calculating incremental cost in the context of renewable portfolio standard</w:t>
      </w:r>
      <w:r w:rsidR="00EE1098">
        <w:rPr>
          <w:lang w:val="en-US"/>
        </w:rPr>
        <w:t xml:space="preserve"> (“RPS”)</w:t>
      </w:r>
      <w:r w:rsidRPr="00BA5229">
        <w:rPr>
          <w:lang w:val="en-US"/>
        </w:rPr>
        <w:t xml:space="preserve"> reporting. The incremental cost methodology, codified in WAC 480-109-210, is ideally suited to </w:t>
      </w:r>
      <w:r w:rsidR="00244D0D" w:rsidRPr="00BA5229">
        <w:rPr>
          <w:lang w:val="en-US"/>
        </w:rPr>
        <w:t>calculating</w:t>
      </w:r>
      <w:r w:rsidRPr="00BA5229">
        <w:rPr>
          <w:lang w:val="en-US"/>
        </w:rPr>
        <w:t xml:space="preserve"> the Company’s full avoided cost because </w:t>
      </w:r>
      <w:r w:rsidR="00244D0D" w:rsidRPr="00BA5229">
        <w:rPr>
          <w:lang w:val="en-US"/>
        </w:rPr>
        <w:t xml:space="preserve">it serves a common purpose:  to determine the avoided costs that the Company would </w:t>
      </w:r>
      <w:r w:rsidR="003F10A9">
        <w:rPr>
          <w:lang w:val="en-US"/>
        </w:rPr>
        <w:t>incur</w:t>
      </w:r>
      <w:r w:rsidR="00244D0D" w:rsidRPr="00BA5229">
        <w:rPr>
          <w:lang w:val="en-US"/>
        </w:rPr>
        <w:t xml:space="preserve"> but for the regulatory requirement to purchase power from a different source (a QF in this case, or a renewable resource in the case of the RPS).</w:t>
      </w:r>
      <w:r w:rsidR="00244D0D" w:rsidRPr="00BA5229">
        <w:rPr>
          <w:rStyle w:val="FootnoteReference"/>
          <w:lang w:val="en-US"/>
        </w:rPr>
        <w:footnoteReference w:id="72"/>
      </w:r>
      <w:r w:rsidR="00244D0D" w:rsidRPr="00BA5229">
        <w:rPr>
          <w:lang w:val="en-US"/>
        </w:rPr>
        <w:t xml:space="preserve"> </w:t>
      </w:r>
    </w:p>
    <w:p w14:paraId="2373CE9E" w14:textId="33E18F2A" w:rsidR="006A2344" w:rsidRPr="00BA5229" w:rsidRDefault="006A2344" w:rsidP="00BA5229">
      <w:pPr>
        <w:pStyle w:val="WUTCParagraph"/>
        <w:tabs>
          <w:tab w:val="clear" w:pos="1440"/>
        </w:tabs>
      </w:pPr>
      <w:r w:rsidRPr="00BA5229">
        <w:rPr>
          <w:lang w:val="en-US"/>
        </w:rPr>
        <w:t xml:space="preserve"> </w:t>
      </w:r>
      <w:r w:rsidRPr="00BA5229">
        <w:rPr>
          <w:lang w:val="en-US"/>
        </w:rPr>
        <w:tab/>
      </w:r>
      <w:r w:rsidR="00653D4E" w:rsidRPr="00BA5229">
        <w:rPr>
          <w:lang w:val="en-US"/>
        </w:rPr>
        <w:t xml:space="preserve">Specifically, </w:t>
      </w:r>
      <w:r w:rsidR="00244D0D" w:rsidRPr="00BA5229">
        <w:rPr>
          <w:lang w:val="en-US"/>
        </w:rPr>
        <w:t xml:space="preserve">Staff </w:t>
      </w:r>
      <w:r w:rsidR="00653D4E" w:rsidRPr="00BA5229">
        <w:rPr>
          <w:lang w:val="en-US"/>
        </w:rPr>
        <w:t>recommends</w:t>
      </w:r>
      <w:r w:rsidR="00EE0EDB" w:rsidRPr="00BA5229">
        <w:rPr>
          <w:lang w:val="en-US"/>
        </w:rPr>
        <w:t xml:space="preserve"> that the Commission continue to establish PacifiCorp’s avoided cost</w:t>
      </w:r>
      <w:r w:rsidR="00EE0EDB" w:rsidRPr="00BA5229">
        <w:rPr>
          <w:color w:val="000000"/>
          <w:lang w:val="en-US" w:eastAsia="en-US"/>
        </w:rPr>
        <w:t xml:space="preserve"> of </w:t>
      </w:r>
      <w:r w:rsidR="00EE0EDB" w:rsidRPr="00BA5229">
        <w:rPr>
          <w:i/>
          <w:lang w:val="en-US"/>
        </w:rPr>
        <w:t>energy</w:t>
      </w:r>
      <w:r w:rsidR="00EE0EDB" w:rsidRPr="00BA5229">
        <w:rPr>
          <w:lang w:val="en-US"/>
        </w:rPr>
        <w:t xml:space="preserve"> using the </w:t>
      </w:r>
      <w:r w:rsidR="00DC3F1E" w:rsidRPr="00BA5229">
        <w:rPr>
          <w:lang w:val="en-US"/>
        </w:rPr>
        <w:t>Company’s</w:t>
      </w:r>
      <w:r w:rsidR="00EE0EDB" w:rsidRPr="00BA5229">
        <w:rPr>
          <w:lang w:val="en-US"/>
        </w:rPr>
        <w:t xml:space="preserve"> calculation.</w:t>
      </w:r>
      <w:r w:rsidR="00EE0EDB" w:rsidRPr="00BA5229">
        <w:rPr>
          <w:rStyle w:val="FootnoteReference"/>
          <w:lang w:val="en-US"/>
        </w:rPr>
        <w:footnoteReference w:id="73"/>
      </w:r>
      <w:r w:rsidR="00DC3F1E" w:rsidRPr="00BA5229">
        <w:rPr>
          <w:lang w:val="en-US"/>
        </w:rPr>
        <w:t xml:space="preserve"> </w:t>
      </w:r>
      <w:r w:rsidR="00CF6A0E">
        <w:rPr>
          <w:lang w:val="en-US"/>
        </w:rPr>
        <w:t>The</w:t>
      </w:r>
      <w:r w:rsidR="00653D4E" w:rsidRPr="00BA5229">
        <w:rPr>
          <w:lang w:val="en-US"/>
        </w:rPr>
        <w:t xml:space="preserve"> Company calculates its avoided energy cost by running two iterations of </w:t>
      </w:r>
      <w:r w:rsidR="003F10A9">
        <w:rPr>
          <w:lang w:val="en-US"/>
        </w:rPr>
        <w:t xml:space="preserve">its </w:t>
      </w:r>
      <w:r w:rsidR="00653D4E" w:rsidRPr="00BA5229">
        <w:rPr>
          <w:lang w:val="en-US"/>
        </w:rPr>
        <w:t>GRID model: one with its system as it is, and another with a generic QF resource that generates 50 average MW</w:t>
      </w:r>
      <w:r w:rsidR="007017F5">
        <w:rPr>
          <w:lang w:val="en-US"/>
        </w:rPr>
        <w:t xml:space="preserve"> </w:t>
      </w:r>
      <w:r w:rsidR="00653D4E" w:rsidRPr="00BA5229">
        <w:rPr>
          <w:lang w:val="en-US"/>
        </w:rPr>
        <w:t>—</w:t>
      </w:r>
      <w:r w:rsidR="007017F5">
        <w:rPr>
          <w:lang w:val="en-US"/>
        </w:rPr>
        <w:t xml:space="preserve"> </w:t>
      </w:r>
      <w:r w:rsidR="00653D4E" w:rsidRPr="00BA5229">
        <w:rPr>
          <w:lang w:val="en-US"/>
        </w:rPr>
        <w:t>the difference in cost between the two portfolios is the Company’s</w:t>
      </w:r>
      <w:r w:rsidR="00CF6A0E">
        <w:rPr>
          <w:lang w:val="en-US"/>
        </w:rPr>
        <w:t xml:space="preserve"> </w:t>
      </w:r>
      <w:r w:rsidR="00653D4E" w:rsidRPr="00BA5229">
        <w:rPr>
          <w:lang w:val="en-US"/>
        </w:rPr>
        <w:t>avoided cost for energy.</w:t>
      </w:r>
      <w:r w:rsidR="00653D4E" w:rsidRPr="00BA5229">
        <w:rPr>
          <w:vertAlign w:val="superscript"/>
          <w:lang w:val="en-US"/>
        </w:rPr>
        <w:footnoteReference w:id="74"/>
      </w:r>
      <w:r w:rsidR="00DC3F1E" w:rsidRPr="00BA5229">
        <w:rPr>
          <w:color w:val="000000"/>
          <w:lang w:val="en-US" w:eastAsia="en-US"/>
        </w:rPr>
        <w:t xml:space="preserve"> </w:t>
      </w:r>
      <w:r w:rsidR="00E66749">
        <w:rPr>
          <w:lang w:val="en-US"/>
        </w:rPr>
        <w:t>Staff</w:t>
      </w:r>
      <w:r w:rsidR="00DC3F1E" w:rsidRPr="00BA5229">
        <w:rPr>
          <w:lang w:val="en-US"/>
        </w:rPr>
        <w:t xml:space="preserve"> next recommends that the Commission</w:t>
      </w:r>
      <w:r w:rsidR="00DC3F1E" w:rsidRPr="00BA5229">
        <w:rPr>
          <w:color w:val="000000"/>
          <w:lang w:val="en-US" w:eastAsia="en-US"/>
        </w:rPr>
        <w:t xml:space="preserve"> </w:t>
      </w:r>
      <w:r w:rsidR="00DC3F1E" w:rsidRPr="00BA5229">
        <w:rPr>
          <w:lang w:val="en-US"/>
        </w:rPr>
        <w:t xml:space="preserve">establish PacifiCorp’s avoided cost of </w:t>
      </w:r>
      <w:r w:rsidR="00DC3F1E" w:rsidRPr="00BA5229">
        <w:rPr>
          <w:i/>
          <w:lang w:val="en-US"/>
        </w:rPr>
        <w:t>capacity</w:t>
      </w:r>
      <w:r w:rsidR="00DC3F1E" w:rsidRPr="00BA5229">
        <w:rPr>
          <w:lang w:val="en-US"/>
        </w:rPr>
        <w:t xml:space="preserve"> using the </w:t>
      </w:r>
      <w:r w:rsidR="006021C2" w:rsidRPr="00BA5229">
        <w:rPr>
          <w:lang w:val="en-US"/>
        </w:rPr>
        <w:t xml:space="preserve">incremental cost </w:t>
      </w:r>
      <w:r w:rsidR="00DC3F1E" w:rsidRPr="00BA5229">
        <w:rPr>
          <w:lang w:val="en-US"/>
        </w:rPr>
        <w:t>method</w:t>
      </w:r>
      <w:r w:rsidR="00CF6A0E">
        <w:rPr>
          <w:lang w:val="en-US"/>
        </w:rPr>
        <w:t>ology</w:t>
      </w:r>
      <w:r w:rsidR="00DC3F1E" w:rsidRPr="00BA5229">
        <w:rPr>
          <w:lang w:val="en-US"/>
        </w:rPr>
        <w:t xml:space="preserve"> codified in WAC 480-109-210(2)(a).</w:t>
      </w:r>
      <w:r w:rsidR="00DC3F1E" w:rsidRPr="00BA5229">
        <w:rPr>
          <w:color w:val="000000"/>
          <w:lang w:val="en-US" w:eastAsia="en-US"/>
        </w:rPr>
        <w:t xml:space="preserve"> </w:t>
      </w:r>
      <w:r w:rsidR="00CF6A0E">
        <w:rPr>
          <w:color w:val="000000"/>
          <w:lang w:val="en-US" w:eastAsia="en-US"/>
        </w:rPr>
        <w:t>T</w:t>
      </w:r>
      <w:r w:rsidR="00DC3F1E" w:rsidRPr="00BA5229">
        <w:rPr>
          <w:lang w:val="en-US"/>
        </w:rPr>
        <w:t xml:space="preserve">he Company calculates its avoided </w:t>
      </w:r>
      <w:r w:rsidR="00531F30">
        <w:rPr>
          <w:lang w:val="en-US"/>
        </w:rPr>
        <w:t>capacity</w:t>
      </w:r>
      <w:r w:rsidR="00DC3F1E" w:rsidRPr="00BA5229">
        <w:rPr>
          <w:lang w:val="en-US"/>
        </w:rPr>
        <w:t xml:space="preserve"> cost based on the </w:t>
      </w:r>
      <w:r w:rsidR="003F10A9">
        <w:rPr>
          <w:lang w:val="en-US"/>
        </w:rPr>
        <w:t xml:space="preserve">lowest-cost </w:t>
      </w:r>
      <w:r w:rsidR="00DC3F1E" w:rsidRPr="00BA5229">
        <w:rPr>
          <w:lang w:val="en-US"/>
        </w:rPr>
        <w:t>capacit</w:t>
      </w:r>
      <w:r w:rsidR="00531F30">
        <w:rPr>
          <w:lang w:val="en-US"/>
        </w:rPr>
        <w:t xml:space="preserve">y resource identified in its </w:t>
      </w:r>
      <w:r w:rsidR="003F10A9">
        <w:rPr>
          <w:lang w:val="en-US"/>
        </w:rPr>
        <w:t>IRP</w:t>
      </w:r>
      <w:r w:rsidR="00DC3F1E" w:rsidRPr="00BA5229">
        <w:rPr>
          <w:lang w:val="en-US"/>
        </w:rPr>
        <w:t xml:space="preserve"> </w:t>
      </w:r>
      <w:r w:rsidR="00531F30">
        <w:rPr>
          <w:lang w:val="en-US"/>
        </w:rPr>
        <w:t>most</w:t>
      </w:r>
      <w:r w:rsidR="00531F30" w:rsidRPr="00BA5229">
        <w:rPr>
          <w:lang w:val="en-US"/>
        </w:rPr>
        <w:t xml:space="preserve"> recent</w:t>
      </w:r>
      <w:r w:rsidR="00531F30">
        <w:rPr>
          <w:lang w:val="en-US"/>
        </w:rPr>
        <w:t>ly</w:t>
      </w:r>
      <w:r w:rsidR="00531F30" w:rsidRPr="00BA5229">
        <w:rPr>
          <w:lang w:val="en-US"/>
        </w:rPr>
        <w:t xml:space="preserve"> </w:t>
      </w:r>
      <w:r w:rsidR="00DC3F1E" w:rsidRPr="00BA5229">
        <w:rPr>
          <w:lang w:val="en-US"/>
        </w:rPr>
        <w:t>acknowledged by the Commission.</w:t>
      </w:r>
      <w:r w:rsidR="00DC3F1E" w:rsidRPr="00BA5229">
        <w:rPr>
          <w:rStyle w:val="FootnoteReference"/>
          <w:lang w:val="en-US"/>
        </w:rPr>
        <w:footnoteReference w:id="75"/>
      </w:r>
      <w:r w:rsidR="00DC3F1E" w:rsidRPr="00BA5229">
        <w:rPr>
          <w:lang w:val="en-US"/>
        </w:rPr>
        <w:t xml:space="preserve"> Staff proposes to include payments for capacity in the</w:t>
      </w:r>
      <w:r w:rsidR="003F10A9">
        <w:rPr>
          <w:lang w:val="en-US"/>
        </w:rPr>
        <w:t xml:space="preserve"> Company’s</w:t>
      </w:r>
      <w:r w:rsidR="00DC3F1E" w:rsidRPr="00BA5229">
        <w:rPr>
          <w:lang w:val="en-US"/>
        </w:rPr>
        <w:t xml:space="preserve"> full avoided cost rate </w:t>
      </w:r>
      <w:r w:rsidR="003F10A9">
        <w:rPr>
          <w:lang w:val="en-US"/>
        </w:rPr>
        <w:t>whenever</w:t>
      </w:r>
      <w:r w:rsidR="00DC3F1E" w:rsidRPr="00BA5229">
        <w:rPr>
          <w:lang w:val="en-US"/>
        </w:rPr>
        <w:t xml:space="preserve"> </w:t>
      </w:r>
      <w:r w:rsidR="003F10A9">
        <w:rPr>
          <w:lang w:val="en-US"/>
        </w:rPr>
        <w:t>it</w:t>
      </w:r>
      <w:r w:rsidR="00DC3F1E" w:rsidRPr="00BA5229">
        <w:rPr>
          <w:lang w:val="en-US"/>
        </w:rPr>
        <w:t xml:space="preserve"> has an avoidable capacity acquisition</w:t>
      </w:r>
      <w:r w:rsidR="007017F5">
        <w:rPr>
          <w:lang w:val="en-US"/>
        </w:rPr>
        <w:t xml:space="preserve"> </w:t>
      </w:r>
      <w:r w:rsidR="00DC3F1E" w:rsidRPr="00BA5229">
        <w:rPr>
          <w:lang w:val="en-US"/>
        </w:rPr>
        <w:t>—</w:t>
      </w:r>
      <w:r w:rsidR="007017F5">
        <w:rPr>
          <w:lang w:val="en-US"/>
        </w:rPr>
        <w:t xml:space="preserve"> </w:t>
      </w:r>
      <w:r w:rsidR="00DC3F1E" w:rsidRPr="00BA5229">
        <w:rPr>
          <w:lang w:val="en-US"/>
        </w:rPr>
        <w:t>whether a new thermal resource or market purchases of bulk power</w:t>
      </w:r>
      <w:r w:rsidR="007017F5">
        <w:rPr>
          <w:lang w:val="en-US"/>
        </w:rPr>
        <w:t xml:space="preserve"> </w:t>
      </w:r>
      <w:r w:rsidR="00DC3F1E" w:rsidRPr="00BA5229">
        <w:rPr>
          <w:lang w:val="en-US"/>
        </w:rPr>
        <w:t>—</w:t>
      </w:r>
      <w:r w:rsidR="007017F5">
        <w:rPr>
          <w:lang w:val="en-US"/>
        </w:rPr>
        <w:t xml:space="preserve"> </w:t>
      </w:r>
      <w:r w:rsidR="00DC3F1E" w:rsidRPr="00BA5229">
        <w:rPr>
          <w:lang w:val="en-US"/>
        </w:rPr>
        <w:t>within PURPA’s ten-year planning horizon.</w:t>
      </w:r>
      <w:r w:rsidR="00092B4B" w:rsidRPr="00BA5229">
        <w:rPr>
          <w:rStyle w:val="FootnoteReference"/>
          <w:lang w:val="en-US"/>
        </w:rPr>
        <w:footnoteReference w:id="76"/>
      </w:r>
    </w:p>
    <w:p w14:paraId="44ECD738" w14:textId="0E2D36A9" w:rsidR="00517495" w:rsidRPr="00BA5229" w:rsidRDefault="006A2344" w:rsidP="00EB7A7E">
      <w:pPr>
        <w:pStyle w:val="WUTCParagraph"/>
        <w:numPr>
          <w:ilvl w:val="0"/>
          <w:numId w:val="0"/>
        </w:numPr>
        <w:tabs>
          <w:tab w:val="clear" w:pos="1440"/>
        </w:tabs>
      </w:pPr>
      <w:r w:rsidRPr="00517495">
        <w:rPr>
          <w:lang w:val="en-US"/>
        </w:rPr>
        <w:t xml:space="preserve"> </w:t>
      </w:r>
      <w:r w:rsidRPr="00517495">
        <w:rPr>
          <w:lang w:val="en-US"/>
        </w:rPr>
        <w:tab/>
      </w:r>
      <w:r w:rsidR="006021C2" w:rsidRPr="00517495">
        <w:rPr>
          <w:lang w:val="en-US"/>
        </w:rPr>
        <w:t>Importantly, the incremental cost method was developed in consultation with numerous stakeholders, including representatives from PacifiCorp, and was ultimately supported by all parties involved.</w:t>
      </w:r>
      <w:r w:rsidR="006021C2" w:rsidRPr="00BA5229">
        <w:rPr>
          <w:rStyle w:val="FootnoteReference"/>
          <w:lang w:val="en-US"/>
        </w:rPr>
        <w:footnoteReference w:id="77"/>
      </w:r>
      <w:r w:rsidR="006021C2" w:rsidRPr="00517495">
        <w:rPr>
          <w:lang w:val="en-US"/>
        </w:rPr>
        <w:t xml:space="preserve"> Staff </w:t>
      </w:r>
      <w:r w:rsidRPr="00517495">
        <w:rPr>
          <w:lang w:val="en-US"/>
        </w:rPr>
        <w:t xml:space="preserve">considers </w:t>
      </w:r>
      <w:r w:rsidR="006021C2" w:rsidRPr="00517495">
        <w:rPr>
          <w:lang w:val="en-US"/>
        </w:rPr>
        <w:t xml:space="preserve">the incremental cost method appropriate </w:t>
      </w:r>
      <w:r w:rsidRPr="00517495">
        <w:rPr>
          <w:lang w:val="en-US"/>
        </w:rPr>
        <w:t>for determin</w:t>
      </w:r>
      <w:r w:rsidR="00517495" w:rsidRPr="00517495">
        <w:rPr>
          <w:lang w:val="en-US"/>
        </w:rPr>
        <w:t>ing the</w:t>
      </w:r>
      <w:r w:rsidRPr="00517495">
        <w:rPr>
          <w:lang w:val="en-US"/>
        </w:rPr>
        <w:t xml:space="preserve"> avoided costs of capacity because of the consensus </w:t>
      </w:r>
      <w:r w:rsidR="00517495" w:rsidRPr="00517495">
        <w:rPr>
          <w:lang w:val="en-US"/>
        </w:rPr>
        <w:t>reached among</w:t>
      </w:r>
      <w:r w:rsidRPr="00517495">
        <w:rPr>
          <w:lang w:val="en-US"/>
        </w:rPr>
        <w:t xml:space="preserve"> stakeholders in developing the calculation</w:t>
      </w:r>
      <w:r w:rsidR="00517495" w:rsidRPr="00517495">
        <w:rPr>
          <w:lang w:val="en-US"/>
        </w:rPr>
        <w:t>,</w:t>
      </w:r>
      <w:r w:rsidRPr="00517495">
        <w:rPr>
          <w:lang w:val="en-US"/>
        </w:rPr>
        <w:t xml:space="preserve"> </w:t>
      </w:r>
      <w:r w:rsidR="00517495" w:rsidRPr="00517495">
        <w:rPr>
          <w:lang w:val="en-US"/>
        </w:rPr>
        <w:t>and because of</w:t>
      </w:r>
      <w:r w:rsidRPr="00517495">
        <w:rPr>
          <w:lang w:val="en-US"/>
        </w:rPr>
        <w:t xml:space="preserve"> the </w:t>
      </w:r>
      <w:r w:rsidR="00517495" w:rsidRPr="00517495">
        <w:rPr>
          <w:lang w:val="en-US"/>
        </w:rPr>
        <w:t xml:space="preserve">method’s applicability </w:t>
      </w:r>
      <w:r w:rsidRPr="00517495">
        <w:rPr>
          <w:lang w:val="en-US"/>
        </w:rPr>
        <w:t>to the avoided cost issue.</w:t>
      </w:r>
      <w:r w:rsidRPr="00BA5229">
        <w:rPr>
          <w:rStyle w:val="FootnoteReference"/>
          <w:lang w:val="en-US"/>
        </w:rPr>
        <w:footnoteReference w:id="78"/>
      </w:r>
      <w:r w:rsidR="00461B7C">
        <w:rPr>
          <w:lang w:val="en-US"/>
        </w:rPr>
        <w:t xml:space="preserve"> </w:t>
      </w:r>
      <w:r w:rsidR="002736A3">
        <w:rPr>
          <w:lang w:val="en-US"/>
        </w:rPr>
        <w:t>T</w:t>
      </w:r>
      <w:r w:rsidR="00517495" w:rsidRPr="00517495">
        <w:rPr>
          <w:lang w:val="en-US"/>
        </w:rPr>
        <w:t xml:space="preserve">he incremental cost methodology is a vetted, consensus approach to </w:t>
      </w:r>
      <w:r w:rsidR="00461B7C">
        <w:rPr>
          <w:lang w:val="en-US"/>
        </w:rPr>
        <w:t>calculat</w:t>
      </w:r>
      <w:r w:rsidR="00CF6A0E">
        <w:rPr>
          <w:lang w:val="en-US"/>
        </w:rPr>
        <w:t>ing</w:t>
      </w:r>
      <w:r w:rsidR="00517495" w:rsidRPr="00517495">
        <w:rPr>
          <w:lang w:val="en-US"/>
        </w:rPr>
        <w:t xml:space="preserve"> </w:t>
      </w:r>
      <w:r w:rsidR="00461B7C">
        <w:rPr>
          <w:lang w:val="en-US"/>
        </w:rPr>
        <w:t>the Company’s avoided cost of capacity</w:t>
      </w:r>
      <w:r w:rsidR="00517495" w:rsidRPr="00517495">
        <w:rPr>
          <w:lang w:val="en-US"/>
        </w:rPr>
        <w:t>.</w:t>
      </w:r>
    </w:p>
    <w:p w14:paraId="54B7007A" w14:textId="30138DAD" w:rsidR="00BD6694" w:rsidRDefault="00092B4B" w:rsidP="00BD6694">
      <w:pPr>
        <w:pStyle w:val="WUTCParagraph"/>
        <w:tabs>
          <w:tab w:val="clear" w:pos="1440"/>
        </w:tabs>
      </w:pPr>
      <w:r w:rsidRPr="00BD6694">
        <w:rPr>
          <w:lang w:val="en-US"/>
        </w:rPr>
        <w:t xml:space="preserve"> </w:t>
      </w:r>
      <w:r w:rsidRPr="00BD6694">
        <w:rPr>
          <w:lang w:val="en-US"/>
        </w:rPr>
        <w:tab/>
        <w:t>PacifiCorp</w:t>
      </w:r>
      <w:r w:rsidR="007A0C85">
        <w:rPr>
          <w:lang w:val="en-US"/>
        </w:rPr>
        <w:t>,</w:t>
      </w:r>
      <w:r w:rsidR="006A2344" w:rsidRPr="00BD6694">
        <w:rPr>
          <w:lang w:val="en-US"/>
        </w:rPr>
        <w:t xml:space="preserve"> however</w:t>
      </w:r>
      <w:r w:rsidR="007A0C85">
        <w:rPr>
          <w:lang w:val="en-US"/>
        </w:rPr>
        <w:t>,</w:t>
      </w:r>
      <w:r w:rsidRPr="00BD6694">
        <w:rPr>
          <w:lang w:val="en-US"/>
        </w:rPr>
        <w:t xml:space="preserve"> characterizes </w:t>
      </w:r>
      <w:r w:rsidR="006A2344" w:rsidRPr="00BD6694">
        <w:rPr>
          <w:lang w:val="en-US"/>
        </w:rPr>
        <w:t>the incremental cost method as “simplified” and “inappropriate for determining the price paid to QFs.”</w:t>
      </w:r>
      <w:r w:rsidR="006A2344" w:rsidRPr="00BA5229">
        <w:rPr>
          <w:rStyle w:val="FootnoteReference"/>
          <w:lang w:val="en-US"/>
        </w:rPr>
        <w:footnoteReference w:id="79"/>
      </w:r>
      <w:r w:rsidR="006A2344" w:rsidRPr="00BD6694">
        <w:rPr>
          <w:lang w:val="en-US"/>
        </w:rPr>
        <w:t xml:space="preserve"> T</w:t>
      </w:r>
      <w:r w:rsidR="00473DE2" w:rsidRPr="00BD6694">
        <w:rPr>
          <w:lang w:val="en-US"/>
        </w:rPr>
        <w:t>he crux of the Company’s argument is</w:t>
      </w:r>
      <w:r w:rsidR="00517495" w:rsidRPr="00BD6694">
        <w:rPr>
          <w:lang w:val="en-US"/>
        </w:rPr>
        <w:t>,</w:t>
      </w:r>
      <w:r w:rsidR="00473DE2" w:rsidRPr="00BD6694">
        <w:rPr>
          <w:lang w:val="en-US"/>
        </w:rPr>
        <w:t xml:space="preserve"> again</w:t>
      </w:r>
      <w:r w:rsidR="00517495" w:rsidRPr="00BD6694">
        <w:rPr>
          <w:lang w:val="en-US"/>
        </w:rPr>
        <w:t>,</w:t>
      </w:r>
      <w:r w:rsidR="00473DE2" w:rsidRPr="00BD6694">
        <w:rPr>
          <w:lang w:val="en-US"/>
        </w:rPr>
        <w:t xml:space="preserve"> that QFs should not receive a capacity payment based on the cost of a thermal resource when the Company does not plan to build another thermal resource for more than ten years.</w:t>
      </w:r>
      <w:r w:rsidR="00473DE2" w:rsidRPr="00BA5229">
        <w:rPr>
          <w:rStyle w:val="FootnoteReference"/>
          <w:lang w:val="en-US"/>
        </w:rPr>
        <w:footnoteReference w:id="80"/>
      </w:r>
      <w:r w:rsidR="00473DE2" w:rsidRPr="00BD6694">
        <w:rPr>
          <w:lang w:val="en-US"/>
        </w:rPr>
        <w:t xml:space="preserve"> </w:t>
      </w:r>
      <w:r w:rsidR="00434189" w:rsidRPr="00BD6694">
        <w:rPr>
          <w:lang w:val="en-US"/>
        </w:rPr>
        <w:t xml:space="preserve">PacifiCorp’s </w:t>
      </w:r>
      <w:r w:rsidR="00473DE2" w:rsidRPr="00BD6694">
        <w:rPr>
          <w:lang w:val="en-US"/>
        </w:rPr>
        <w:t xml:space="preserve">criticism </w:t>
      </w:r>
      <w:r w:rsidR="00517495" w:rsidRPr="00BD6694">
        <w:rPr>
          <w:lang w:val="en-US"/>
        </w:rPr>
        <w:t xml:space="preserve">is </w:t>
      </w:r>
      <w:r w:rsidR="00434189" w:rsidRPr="00BD6694">
        <w:rPr>
          <w:lang w:val="en-US"/>
        </w:rPr>
        <w:t xml:space="preserve">inapt because </w:t>
      </w:r>
      <w:r w:rsidR="00517495" w:rsidRPr="00BD6694">
        <w:rPr>
          <w:lang w:val="en-US"/>
        </w:rPr>
        <w:t xml:space="preserve">under Staff’s proposal, the capacity payment represents avoided market risk, not deferred </w:t>
      </w:r>
      <w:r w:rsidR="00BD6694" w:rsidRPr="00BD6694">
        <w:rPr>
          <w:lang w:val="en-US"/>
        </w:rPr>
        <w:t xml:space="preserve">thermal </w:t>
      </w:r>
      <w:r w:rsidR="00517495" w:rsidRPr="00BD6694">
        <w:rPr>
          <w:lang w:val="en-US"/>
        </w:rPr>
        <w:t>plant investment.</w:t>
      </w:r>
      <w:r w:rsidR="00BD6694" w:rsidRPr="00BD6694">
        <w:rPr>
          <w:lang w:val="en-US"/>
        </w:rPr>
        <w:t xml:space="preserve"> In particular, </w:t>
      </w:r>
      <w:r w:rsidR="00434189" w:rsidRPr="00BD6694">
        <w:rPr>
          <w:lang w:val="en-US"/>
        </w:rPr>
        <w:t xml:space="preserve">the capacity payment is necessary to capture the market risk inherent </w:t>
      </w:r>
      <w:r w:rsidR="00CF6A0E">
        <w:rPr>
          <w:lang w:val="en-US"/>
        </w:rPr>
        <w:t>in</w:t>
      </w:r>
      <w:r w:rsidR="00434189" w:rsidRPr="00BD6694">
        <w:rPr>
          <w:lang w:val="en-US"/>
        </w:rPr>
        <w:t xml:space="preserve"> the Company’s heavy reliance on FOTs to meet system demand</w:t>
      </w:r>
      <w:r w:rsidR="007017F5">
        <w:rPr>
          <w:lang w:val="en-US"/>
        </w:rPr>
        <w:t xml:space="preserve"> </w:t>
      </w:r>
      <w:r w:rsidR="00434189" w:rsidRPr="00BD6694">
        <w:rPr>
          <w:lang w:val="en-US"/>
        </w:rPr>
        <w:t>—</w:t>
      </w:r>
      <w:r w:rsidR="007017F5">
        <w:rPr>
          <w:lang w:val="en-US"/>
        </w:rPr>
        <w:t xml:space="preserve"> </w:t>
      </w:r>
      <w:r w:rsidR="00434189" w:rsidRPr="00BD6694">
        <w:rPr>
          <w:lang w:val="en-US"/>
        </w:rPr>
        <w:t xml:space="preserve">a cost avoided when QF power displaces the need to </w:t>
      </w:r>
      <w:r w:rsidR="00517495" w:rsidRPr="00BD6694">
        <w:rPr>
          <w:lang w:val="en-US"/>
        </w:rPr>
        <w:t>purchase</w:t>
      </w:r>
      <w:r w:rsidR="00434189" w:rsidRPr="00BD6694">
        <w:rPr>
          <w:lang w:val="en-US"/>
        </w:rPr>
        <w:t xml:space="preserve"> </w:t>
      </w:r>
      <w:r w:rsidR="00BD6694" w:rsidRPr="00BD6694">
        <w:rPr>
          <w:lang w:val="en-US"/>
        </w:rPr>
        <w:t xml:space="preserve">market </w:t>
      </w:r>
      <w:r w:rsidR="00434189" w:rsidRPr="00BD6694">
        <w:rPr>
          <w:lang w:val="en-US"/>
        </w:rPr>
        <w:t>power.</w:t>
      </w:r>
      <w:r w:rsidR="00BD6694" w:rsidRPr="00BD6694">
        <w:rPr>
          <w:lang w:val="en-US"/>
        </w:rPr>
        <w:t xml:space="preserve"> </w:t>
      </w:r>
      <w:r w:rsidR="00434189" w:rsidRPr="00BD6694">
        <w:rPr>
          <w:lang w:val="en-US"/>
        </w:rPr>
        <w:t xml:space="preserve">Staff’s proposal uses </w:t>
      </w:r>
      <w:r w:rsidR="00434189" w:rsidRPr="00786FD2">
        <w:rPr>
          <w:i/>
          <w:lang w:val="en-US"/>
        </w:rPr>
        <w:t xml:space="preserve">the lowest-cost capacity resource identified in </w:t>
      </w:r>
      <w:r w:rsidR="008D6ED1" w:rsidRPr="00786FD2">
        <w:rPr>
          <w:i/>
          <w:lang w:val="en-US"/>
        </w:rPr>
        <w:t>the</w:t>
      </w:r>
      <w:r w:rsidR="00434189" w:rsidRPr="00786FD2">
        <w:rPr>
          <w:i/>
          <w:lang w:val="en-US"/>
        </w:rPr>
        <w:t xml:space="preserve"> </w:t>
      </w:r>
      <w:r w:rsidR="00BD6694" w:rsidRPr="00786FD2">
        <w:rPr>
          <w:i/>
          <w:lang w:val="en-US"/>
        </w:rPr>
        <w:t>Company’s</w:t>
      </w:r>
      <w:r w:rsidR="00434189" w:rsidRPr="00786FD2">
        <w:rPr>
          <w:i/>
          <w:lang w:val="en-US"/>
        </w:rPr>
        <w:t xml:space="preserve"> IRP</w:t>
      </w:r>
      <w:r w:rsidR="00434189" w:rsidRPr="00BD6694">
        <w:rPr>
          <w:lang w:val="en-US"/>
        </w:rPr>
        <w:t xml:space="preserve"> to “reasonably account” for </w:t>
      </w:r>
      <w:r w:rsidR="008D6ED1" w:rsidRPr="00BD6694">
        <w:rPr>
          <w:lang w:val="en-US"/>
        </w:rPr>
        <w:t xml:space="preserve">the </w:t>
      </w:r>
      <w:r w:rsidR="00BD6694" w:rsidRPr="00BD6694">
        <w:rPr>
          <w:lang w:val="en-US"/>
        </w:rPr>
        <w:t xml:space="preserve">capacity costs that the Company avoids by purchasing QF power. </w:t>
      </w:r>
    </w:p>
    <w:p w14:paraId="02F78A09" w14:textId="672BC290" w:rsidR="008D6ED1" w:rsidRPr="00DD4B55" w:rsidRDefault="00BD6694" w:rsidP="00BD6694">
      <w:pPr>
        <w:pStyle w:val="WUTCParagraph"/>
        <w:tabs>
          <w:tab w:val="clear" w:pos="1440"/>
        </w:tabs>
      </w:pPr>
      <w:r>
        <w:rPr>
          <w:lang w:val="en-US"/>
        </w:rPr>
        <w:t xml:space="preserve"> </w:t>
      </w:r>
      <w:r>
        <w:rPr>
          <w:lang w:val="en-US"/>
        </w:rPr>
        <w:tab/>
      </w:r>
      <w:r w:rsidR="00EB7A7E" w:rsidRPr="00EB7A7E">
        <w:rPr>
          <w:lang w:val="en-US"/>
        </w:rPr>
        <w:t xml:space="preserve">Staff’s proposal </w:t>
      </w:r>
      <w:r w:rsidR="00EB7A7E">
        <w:rPr>
          <w:lang w:val="en-US"/>
        </w:rPr>
        <w:t>is c</w:t>
      </w:r>
      <w:r w:rsidR="00EB7A7E" w:rsidRPr="00EB7A7E">
        <w:rPr>
          <w:lang w:val="en-US"/>
        </w:rPr>
        <w:t>onsistent with the “full avoided cost” standard</w:t>
      </w:r>
      <w:r w:rsidR="00EB7A7E">
        <w:rPr>
          <w:lang w:val="en-US"/>
        </w:rPr>
        <w:t>. It</w:t>
      </w:r>
      <w:r w:rsidR="00EB7A7E" w:rsidRPr="00BD6694">
        <w:rPr>
          <w:lang w:val="en-US"/>
        </w:rPr>
        <w:t xml:space="preserve"> represents an 8.8 percent increase when compared to the Company’s current tariff, and an 18.4 percent increase to the avoided cost rate when compared to the Company’s proposal.</w:t>
      </w:r>
      <w:r w:rsidR="00EB7A7E" w:rsidRPr="00BA5229">
        <w:rPr>
          <w:rStyle w:val="FootnoteReference"/>
          <w:lang w:val="en-US"/>
        </w:rPr>
        <w:footnoteReference w:id="81"/>
      </w:r>
      <w:r w:rsidR="00EB7A7E">
        <w:rPr>
          <w:lang w:val="en-US"/>
        </w:rPr>
        <w:t xml:space="preserve"> Importantly,</w:t>
      </w:r>
      <w:r w:rsidR="00EB7A7E" w:rsidRPr="00EB7A7E">
        <w:rPr>
          <w:lang w:val="en-US"/>
        </w:rPr>
        <w:t xml:space="preserve"> Staff’s proposal strikes an appropriate balance between </w:t>
      </w:r>
      <w:r w:rsidR="00EE1098" w:rsidRPr="00EB7A7E">
        <w:rPr>
          <w:lang w:val="en-US"/>
        </w:rPr>
        <w:t xml:space="preserve">encouraging QF development </w:t>
      </w:r>
      <w:r w:rsidR="00EE1098">
        <w:rPr>
          <w:lang w:val="en-US"/>
        </w:rPr>
        <w:t xml:space="preserve">and </w:t>
      </w:r>
      <w:r w:rsidR="00EB7A7E" w:rsidRPr="00EB7A7E">
        <w:rPr>
          <w:lang w:val="en-US"/>
        </w:rPr>
        <w:t>ensuring that customers do not b</w:t>
      </w:r>
      <w:r w:rsidR="00EE1098">
        <w:rPr>
          <w:lang w:val="en-US"/>
        </w:rPr>
        <w:t>e</w:t>
      </w:r>
      <w:r w:rsidR="00EB7A7E" w:rsidRPr="00EB7A7E">
        <w:rPr>
          <w:lang w:val="en-US"/>
        </w:rPr>
        <w:t xml:space="preserve">ar costs above those that the Company would otherwise </w:t>
      </w:r>
      <w:r w:rsidR="00461B7C">
        <w:rPr>
          <w:lang w:val="en-US"/>
        </w:rPr>
        <w:t>incur</w:t>
      </w:r>
      <w:r w:rsidR="00EB7A7E" w:rsidRPr="00EB7A7E">
        <w:rPr>
          <w:lang w:val="en-US"/>
        </w:rPr>
        <w:t>.</w:t>
      </w:r>
      <w:r w:rsidR="00EB7A7E">
        <w:rPr>
          <w:lang w:val="en-US"/>
        </w:rPr>
        <w:t xml:space="preserve"> </w:t>
      </w:r>
    </w:p>
    <w:p w14:paraId="2FCCB490" w14:textId="68A3EC1C" w:rsidR="00DD4B55" w:rsidRDefault="00DD4B55" w:rsidP="00CB7539">
      <w:pPr>
        <w:pStyle w:val="WUTCParagraph"/>
        <w:numPr>
          <w:ilvl w:val="0"/>
          <w:numId w:val="0"/>
        </w:numPr>
        <w:tabs>
          <w:tab w:val="clear" w:pos="1440"/>
        </w:tabs>
        <w:spacing w:line="240" w:lineRule="auto"/>
        <w:ind w:left="1440" w:hanging="720"/>
        <w:rPr>
          <w:b/>
          <w:lang w:val="en-US"/>
        </w:rPr>
      </w:pPr>
      <w:r>
        <w:rPr>
          <w:b/>
          <w:lang w:val="en-US"/>
        </w:rPr>
        <w:t xml:space="preserve">5. </w:t>
      </w:r>
      <w:r w:rsidR="00CB7539">
        <w:rPr>
          <w:b/>
          <w:lang w:val="en-US"/>
        </w:rPr>
        <w:tab/>
      </w:r>
      <w:r>
        <w:rPr>
          <w:b/>
          <w:lang w:val="en-US"/>
        </w:rPr>
        <w:t>PacifiCorp’s Alternate Rate Design Would Further Discourage QF Development</w:t>
      </w:r>
    </w:p>
    <w:p w14:paraId="047A733F" w14:textId="77777777" w:rsidR="00CB7539" w:rsidRPr="00DD4B55" w:rsidRDefault="00CB7539" w:rsidP="00CB7539">
      <w:pPr>
        <w:pStyle w:val="WUTCParagraph"/>
        <w:numPr>
          <w:ilvl w:val="0"/>
          <w:numId w:val="0"/>
        </w:numPr>
        <w:tabs>
          <w:tab w:val="clear" w:pos="1440"/>
        </w:tabs>
        <w:spacing w:line="240" w:lineRule="auto"/>
        <w:rPr>
          <w:b/>
        </w:rPr>
      </w:pPr>
    </w:p>
    <w:p w14:paraId="797244F7" w14:textId="41C9C50F" w:rsidR="00DD4B55" w:rsidRPr="00DD4B55" w:rsidRDefault="00DD4B55" w:rsidP="00BD6694">
      <w:pPr>
        <w:pStyle w:val="WUTCParagraph"/>
        <w:tabs>
          <w:tab w:val="clear" w:pos="1440"/>
        </w:tabs>
      </w:pPr>
      <w:r>
        <w:rPr>
          <w:lang w:val="en-US"/>
        </w:rPr>
        <w:t xml:space="preserve"> </w:t>
      </w:r>
      <w:r>
        <w:rPr>
          <w:lang w:val="en-US"/>
        </w:rPr>
        <w:tab/>
      </w:r>
      <w:r w:rsidRPr="00DD4B55">
        <w:rPr>
          <w:lang w:val="en-US"/>
        </w:rPr>
        <w:t xml:space="preserve">In testimony, PacifiCorp proposed an alternate rate design that was not part of </w:t>
      </w:r>
      <w:r w:rsidR="00B13BE5">
        <w:rPr>
          <w:lang w:val="en-US"/>
        </w:rPr>
        <w:t>its</w:t>
      </w:r>
      <w:r w:rsidRPr="00DD4B55">
        <w:rPr>
          <w:lang w:val="en-US"/>
        </w:rPr>
        <w:t xml:space="preserve"> original filing. Consistent with </w:t>
      </w:r>
      <w:r w:rsidR="00B13BE5">
        <w:rPr>
          <w:lang w:val="en-US"/>
        </w:rPr>
        <w:t>rates</w:t>
      </w:r>
      <w:r w:rsidRPr="00DD4B55">
        <w:rPr>
          <w:lang w:val="en-US"/>
        </w:rPr>
        <w:t xml:space="preserve"> currently in effect, the original filing provided a fixed rate for QF power regardless of the time of generation; the price </w:t>
      </w:r>
      <w:r w:rsidR="00B13BE5">
        <w:rPr>
          <w:lang w:val="en-US"/>
        </w:rPr>
        <w:t>reflects</w:t>
      </w:r>
      <w:r w:rsidRPr="00DD4B55">
        <w:rPr>
          <w:lang w:val="en-US"/>
        </w:rPr>
        <w:t xml:space="preserve"> an annual average that includes periods of higher avoided costs </w:t>
      </w:r>
      <w:r w:rsidR="00B13BE5">
        <w:rPr>
          <w:lang w:val="en-US"/>
        </w:rPr>
        <w:t>(</w:t>
      </w:r>
      <w:r w:rsidRPr="00DD4B55">
        <w:rPr>
          <w:lang w:val="en-US"/>
        </w:rPr>
        <w:t>during times of peak demand</w:t>
      </w:r>
      <w:r w:rsidR="00B13BE5">
        <w:rPr>
          <w:lang w:val="en-US"/>
        </w:rPr>
        <w:t>)</w:t>
      </w:r>
      <w:r w:rsidRPr="00DD4B55">
        <w:rPr>
          <w:lang w:val="en-US"/>
        </w:rPr>
        <w:t xml:space="preserve"> and </w:t>
      </w:r>
      <w:r w:rsidR="00B13BE5" w:rsidRPr="00DD4B55">
        <w:rPr>
          <w:lang w:val="en-US"/>
        </w:rPr>
        <w:t>low</w:t>
      </w:r>
      <w:r w:rsidR="00B13BE5">
        <w:rPr>
          <w:lang w:val="en-US"/>
        </w:rPr>
        <w:t>er</w:t>
      </w:r>
      <w:r w:rsidRPr="00DD4B55">
        <w:rPr>
          <w:lang w:val="en-US"/>
        </w:rPr>
        <w:t xml:space="preserve"> avoided cost</w:t>
      </w:r>
      <w:r w:rsidR="002736A3">
        <w:rPr>
          <w:lang w:val="en-US"/>
        </w:rPr>
        <w:t>s</w:t>
      </w:r>
      <w:r w:rsidRPr="00DD4B55">
        <w:rPr>
          <w:lang w:val="en-US"/>
        </w:rPr>
        <w:t>.</w:t>
      </w:r>
      <w:r w:rsidRPr="00DD4B55">
        <w:rPr>
          <w:vertAlign w:val="superscript"/>
          <w:lang w:val="en-US"/>
        </w:rPr>
        <w:footnoteReference w:id="82"/>
      </w:r>
      <w:r w:rsidRPr="00DD4B55">
        <w:rPr>
          <w:lang w:val="en-US"/>
        </w:rPr>
        <w:t xml:space="preserve"> As an alternative to this flat </w:t>
      </w:r>
      <w:r w:rsidR="00B13BE5">
        <w:rPr>
          <w:lang w:val="en-US"/>
        </w:rPr>
        <w:t xml:space="preserve">fixed </w:t>
      </w:r>
      <w:r w:rsidRPr="00DD4B55">
        <w:rPr>
          <w:lang w:val="en-US"/>
        </w:rPr>
        <w:t>price, the Company propose</w:t>
      </w:r>
      <w:r w:rsidR="009F7C1B">
        <w:rPr>
          <w:lang w:val="en-US"/>
        </w:rPr>
        <w:t>s</w:t>
      </w:r>
      <w:r w:rsidRPr="00DD4B55">
        <w:rPr>
          <w:lang w:val="en-US"/>
        </w:rPr>
        <w:t xml:space="preserve"> to revise its tariff to differentiate the energy payment into on- and off-peak</w:t>
      </w:r>
      <w:r w:rsidR="009F7C1B">
        <w:rPr>
          <w:lang w:val="en-US"/>
        </w:rPr>
        <w:t xml:space="preserve"> periods, with prices during on-</w:t>
      </w:r>
      <w:r w:rsidRPr="00DD4B55">
        <w:rPr>
          <w:lang w:val="en-US"/>
        </w:rPr>
        <w:t>peak periods set higher to reflect the increased value of QF generation.</w:t>
      </w:r>
      <w:r>
        <w:rPr>
          <w:lang w:val="en-US"/>
        </w:rPr>
        <w:t xml:space="preserve"> The Commission should reject the Company’s alternative rate design.</w:t>
      </w:r>
    </w:p>
    <w:p w14:paraId="7FED5A78" w14:textId="5C2A8640" w:rsidR="00DD4B55" w:rsidRPr="009429A6" w:rsidRDefault="00DD4B55" w:rsidP="00B13BE5">
      <w:pPr>
        <w:pStyle w:val="WUTCParagraph"/>
        <w:tabs>
          <w:tab w:val="clear" w:pos="1440"/>
        </w:tabs>
      </w:pPr>
      <w:r>
        <w:rPr>
          <w:lang w:val="en-US"/>
        </w:rPr>
        <w:t xml:space="preserve"> </w:t>
      </w:r>
      <w:r>
        <w:rPr>
          <w:lang w:val="en-US"/>
        </w:rPr>
        <w:tab/>
        <w:t xml:space="preserve">Staff opposes the </w:t>
      </w:r>
      <w:r w:rsidRPr="00DD4B55">
        <w:rPr>
          <w:lang w:val="en-US"/>
        </w:rPr>
        <w:t>Company’s alternative rate design</w:t>
      </w:r>
      <w:r>
        <w:rPr>
          <w:lang w:val="en-US"/>
        </w:rPr>
        <w:t xml:space="preserve"> because it would further discourage QF development</w:t>
      </w:r>
      <w:r w:rsidRPr="00DD4B55">
        <w:rPr>
          <w:lang w:val="en-US"/>
        </w:rPr>
        <w:t>.</w:t>
      </w:r>
      <w:r>
        <w:rPr>
          <w:lang w:val="en-US"/>
        </w:rPr>
        <w:t xml:space="preserve"> As noted above, the five-year term for fixed rates in PacifiCorp’s standard offer </w:t>
      </w:r>
      <w:r w:rsidR="002736A3">
        <w:rPr>
          <w:lang w:val="en-US"/>
        </w:rPr>
        <w:t>discourages</w:t>
      </w:r>
      <w:r>
        <w:rPr>
          <w:lang w:val="en-US"/>
        </w:rPr>
        <w:t xml:space="preserve"> QF </w:t>
      </w:r>
      <w:r w:rsidR="004732DB">
        <w:rPr>
          <w:lang w:val="en-US"/>
        </w:rPr>
        <w:t>development</w:t>
      </w:r>
      <w:r>
        <w:rPr>
          <w:lang w:val="en-US"/>
        </w:rPr>
        <w:t xml:space="preserve"> because it </w:t>
      </w:r>
      <w:r w:rsidRPr="00DD4B55">
        <w:rPr>
          <w:lang w:val="en-US"/>
        </w:rPr>
        <w:t xml:space="preserve">does not provide adequate </w:t>
      </w:r>
      <w:r w:rsidR="004732DB">
        <w:rPr>
          <w:lang w:val="en-US"/>
        </w:rPr>
        <w:t xml:space="preserve">revenue </w:t>
      </w:r>
      <w:r w:rsidRPr="00DD4B55">
        <w:rPr>
          <w:lang w:val="en-US"/>
        </w:rPr>
        <w:t xml:space="preserve">certainty </w:t>
      </w:r>
      <w:r w:rsidR="009F7C1B">
        <w:rPr>
          <w:lang w:val="en-US"/>
        </w:rPr>
        <w:t>to persuade</w:t>
      </w:r>
      <w:r w:rsidRPr="00DD4B55">
        <w:rPr>
          <w:lang w:val="en-US"/>
        </w:rPr>
        <w:t xml:space="preserve"> QF developers to finance new projects</w:t>
      </w:r>
      <w:r w:rsidR="004732DB">
        <w:rPr>
          <w:lang w:val="en-US"/>
        </w:rPr>
        <w:t>.</w:t>
      </w:r>
      <w:r w:rsidR="004732DB">
        <w:rPr>
          <w:rStyle w:val="FootnoteReference"/>
          <w:lang w:val="en-US"/>
        </w:rPr>
        <w:footnoteReference w:id="83"/>
      </w:r>
      <w:r w:rsidR="004732DB">
        <w:rPr>
          <w:lang w:val="en-US"/>
        </w:rPr>
        <w:t xml:space="preserve"> Staff found, “Creating time differentiated QF rates would only subject developers to greater uncertainty and further discourage future QF development.”</w:t>
      </w:r>
      <w:r w:rsidR="004732DB">
        <w:rPr>
          <w:rStyle w:val="FootnoteReference"/>
          <w:lang w:val="en-US"/>
        </w:rPr>
        <w:footnoteReference w:id="84"/>
      </w:r>
      <w:r w:rsidR="004732DB">
        <w:rPr>
          <w:lang w:val="en-US"/>
        </w:rPr>
        <w:t xml:space="preserve"> Staff also found that the Company’</w:t>
      </w:r>
      <w:r w:rsidR="009F7C1B">
        <w:rPr>
          <w:lang w:val="en-US"/>
        </w:rPr>
        <w:t xml:space="preserve">s alternative rate design would </w:t>
      </w:r>
      <w:r w:rsidR="004732DB">
        <w:rPr>
          <w:lang w:val="en-US"/>
        </w:rPr>
        <w:t>disproportionately affect</w:t>
      </w:r>
      <w:r w:rsidR="00B13BE5">
        <w:rPr>
          <w:lang w:val="en-US"/>
        </w:rPr>
        <w:t xml:space="preserve"> QFs</w:t>
      </w:r>
      <w:r w:rsidR="004732DB">
        <w:rPr>
          <w:lang w:val="en-US"/>
        </w:rPr>
        <w:t xml:space="preserve"> by fuel type</w:t>
      </w:r>
      <w:r w:rsidR="0008746F">
        <w:rPr>
          <w:lang w:val="en-US"/>
        </w:rPr>
        <w:t xml:space="preserve">:  </w:t>
      </w:r>
      <w:r w:rsidR="004732DB">
        <w:rPr>
          <w:lang w:val="en-US"/>
        </w:rPr>
        <w:t>on average, solar facilities would gain revenue, while wind and hydro facilities would lose revenue.</w:t>
      </w:r>
      <w:r w:rsidR="004732DB">
        <w:rPr>
          <w:rStyle w:val="FootnoteReference"/>
          <w:lang w:val="en-US"/>
        </w:rPr>
        <w:footnoteReference w:id="85"/>
      </w:r>
      <w:r w:rsidR="004732DB">
        <w:rPr>
          <w:lang w:val="en-US"/>
        </w:rPr>
        <w:t xml:space="preserve"> Staff recommends that the Commission reject the Company’s alternative rate design to avoid discouraging QF development by creating greater </w:t>
      </w:r>
      <w:r w:rsidR="00B13BE5">
        <w:rPr>
          <w:lang w:val="en-US"/>
        </w:rPr>
        <w:t xml:space="preserve">cost recovery </w:t>
      </w:r>
      <w:r w:rsidR="004732DB">
        <w:rPr>
          <w:lang w:val="en-US"/>
        </w:rPr>
        <w:t>uncertainty for QF developers.</w:t>
      </w:r>
    </w:p>
    <w:p w14:paraId="53CDD0A1" w14:textId="7E0E6BE9" w:rsidR="009429A6" w:rsidRDefault="009429A6" w:rsidP="00CB7539">
      <w:pPr>
        <w:pStyle w:val="WUTCParagraph"/>
        <w:numPr>
          <w:ilvl w:val="0"/>
          <w:numId w:val="0"/>
        </w:numPr>
        <w:tabs>
          <w:tab w:val="clear" w:pos="1440"/>
        </w:tabs>
        <w:spacing w:line="240" w:lineRule="auto"/>
        <w:ind w:left="1440" w:hanging="720"/>
        <w:rPr>
          <w:b/>
          <w:lang w:val="en-US"/>
        </w:rPr>
      </w:pPr>
      <w:r>
        <w:rPr>
          <w:b/>
          <w:lang w:val="en-US"/>
        </w:rPr>
        <w:t xml:space="preserve">6. </w:t>
      </w:r>
      <w:r w:rsidR="00CB7539">
        <w:rPr>
          <w:b/>
          <w:lang w:val="en-US"/>
        </w:rPr>
        <w:tab/>
      </w:r>
      <w:r>
        <w:rPr>
          <w:b/>
          <w:lang w:val="en-US"/>
        </w:rPr>
        <w:t xml:space="preserve">PacifiCorp </w:t>
      </w:r>
      <w:r w:rsidR="00DB1A1C">
        <w:rPr>
          <w:b/>
          <w:lang w:val="en-US"/>
        </w:rPr>
        <w:t xml:space="preserve">Should Include A Market Risk Premium in Its Next Avoided Cost Filing </w:t>
      </w:r>
    </w:p>
    <w:p w14:paraId="78EED92C" w14:textId="77777777" w:rsidR="00CB7539" w:rsidRPr="009429A6" w:rsidRDefault="00CB7539" w:rsidP="00CB7539">
      <w:pPr>
        <w:pStyle w:val="WUTCParagraph"/>
        <w:numPr>
          <w:ilvl w:val="0"/>
          <w:numId w:val="0"/>
        </w:numPr>
        <w:tabs>
          <w:tab w:val="clear" w:pos="1440"/>
        </w:tabs>
        <w:spacing w:line="240" w:lineRule="auto"/>
        <w:rPr>
          <w:b/>
        </w:rPr>
      </w:pPr>
    </w:p>
    <w:p w14:paraId="73926F89" w14:textId="171280FB" w:rsidR="009429A6" w:rsidRPr="00BA5229" w:rsidRDefault="00DB1A1C" w:rsidP="00B13BE5">
      <w:pPr>
        <w:pStyle w:val="WUTCParagraph"/>
        <w:tabs>
          <w:tab w:val="clear" w:pos="1440"/>
        </w:tabs>
      </w:pPr>
      <w:r>
        <w:rPr>
          <w:lang w:val="en-US"/>
        </w:rPr>
        <w:t xml:space="preserve"> </w:t>
      </w:r>
      <w:r>
        <w:rPr>
          <w:lang w:val="en-US"/>
        </w:rPr>
        <w:tab/>
        <w:t>Staff recommends that the Commission order PacifiCorp to include a market risk premium in its next avoided cost filing. Quantifying the market risk that a utility faces, and could avo</w:t>
      </w:r>
      <w:r w:rsidR="009F7C1B">
        <w:rPr>
          <w:lang w:val="en-US"/>
        </w:rPr>
        <w:t>id</w:t>
      </w:r>
      <w:r>
        <w:rPr>
          <w:lang w:val="en-US"/>
        </w:rPr>
        <w:t xml:space="preserve"> by purchasing QF power, presented a challenge for Staff.</w:t>
      </w:r>
      <w:r>
        <w:rPr>
          <w:rStyle w:val="FootnoteReference"/>
          <w:lang w:val="en-US"/>
        </w:rPr>
        <w:footnoteReference w:id="86"/>
      </w:r>
      <w:r>
        <w:rPr>
          <w:lang w:val="en-US"/>
        </w:rPr>
        <w:t xml:space="preserve"> Staff found, however, that quantifying market risk is an important issue that affects the avoided cost calculations of all three of Washington’s </w:t>
      </w:r>
      <w:r w:rsidR="00AC7D6B">
        <w:rPr>
          <w:lang w:val="en-US"/>
        </w:rPr>
        <w:t>investor</w:t>
      </w:r>
      <w:r>
        <w:rPr>
          <w:lang w:val="en-US"/>
        </w:rPr>
        <w:t>-owned electric utilities</w:t>
      </w:r>
      <w:r w:rsidR="003373DB">
        <w:rPr>
          <w:lang w:val="en-US"/>
        </w:rPr>
        <w:t>, and is one that all three utilities should address</w:t>
      </w:r>
      <w:r>
        <w:rPr>
          <w:lang w:val="en-US"/>
        </w:rPr>
        <w:t>.</w:t>
      </w:r>
      <w:r>
        <w:rPr>
          <w:rStyle w:val="FootnoteReference"/>
          <w:lang w:val="en-US"/>
        </w:rPr>
        <w:footnoteReference w:id="87"/>
      </w:r>
      <w:r>
        <w:rPr>
          <w:lang w:val="en-US"/>
        </w:rPr>
        <w:t xml:space="preserve"> Staff therefore recommends that the Commission </w:t>
      </w:r>
      <w:r w:rsidR="003373DB">
        <w:rPr>
          <w:lang w:val="en-US"/>
        </w:rPr>
        <w:t>order PacifiCorp to propose a means for calculating a market risk premium in its next avoided cost filing.</w:t>
      </w:r>
      <w:r w:rsidR="003373DB">
        <w:rPr>
          <w:rStyle w:val="FootnoteReference"/>
          <w:lang w:val="en-US"/>
        </w:rPr>
        <w:footnoteReference w:id="88"/>
      </w:r>
      <w:r w:rsidR="003373DB">
        <w:rPr>
          <w:lang w:val="en-US"/>
        </w:rPr>
        <w:t xml:space="preserve"> The </w:t>
      </w:r>
      <w:r w:rsidR="009F7C1B">
        <w:rPr>
          <w:lang w:val="en-US"/>
        </w:rPr>
        <w:t xml:space="preserve">Commission’s </w:t>
      </w:r>
      <w:r w:rsidR="003373DB">
        <w:rPr>
          <w:lang w:val="en-US"/>
        </w:rPr>
        <w:t xml:space="preserve">order would also serve as guidance to the state’s other </w:t>
      </w:r>
      <w:r w:rsidR="00AC7D6B" w:rsidRPr="00AC7D6B">
        <w:rPr>
          <w:lang w:val="en-US"/>
        </w:rPr>
        <w:t>investor</w:t>
      </w:r>
      <w:r w:rsidR="003373DB" w:rsidRPr="003373DB">
        <w:rPr>
          <w:lang w:val="en-US"/>
        </w:rPr>
        <w:t>-owned utilities</w:t>
      </w:r>
      <w:r w:rsidR="003373DB">
        <w:rPr>
          <w:lang w:val="en-US"/>
        </w:rPr>
        <w:t xml:space="preserve">, who should proactively work to address market risk in their </w:t>
      </w:r>
      <w:r w:rsidR="009F7C1B">
        <w:rPr>
          <w:lang w:val="en-US"/>
        </w:rPr>
        <w:t xml:space="preserve">own </w:t>
      </w:r>
      <w:r w:rsidR="003373DB">
        <w:rPr>
          <w:lang w:val="en-US"/>
        </w:rPr>
        <w:t xml:space="preserve">avoided cost filings. </w:t>
      </w:r>
    </w:p>
    <w:p w14:paraId="296B0E6C" w14:textId="18F22C5D" w:rsidR="00CF2EA1" w:rsidRPr="00BA5229" w:rsidRDefault="008D6ED1" w:rsidP="00BA5229">
      <w:pPr>
        <w:pStyle w:val="WUTCParagraph"/>
        <w:numPr>
          <w:ilvl w:val="0"/>
          <w:numId w:val="0"/>
        </w:numPr>
        <w:tabs>
          <w:tab w:val="clear" w:pos="1440"/>
        </w:tabs>
        <w:jc w:val="center"/>
        <w:rPr>
          <w:lang w:val="en-US"/>
        </w:rPr>
      </w:pPr>
      <w:r w:rsidRPr="00BA5229">
        <w:rPr>
          <w:b/>
          <w:lang w:val="en-US"/>
        </w:rPr>
        <w:t xml:space="preserve">IV. </w:t>
      </w:r>
      <w:r w:rsidR="00CB7539">
        <w:rPr>
          <w:b/>
          <w:lang w:val="en-US"/>
        </w:rPr>
        <w:t xml:space="preserve"> </w:t>
      </w:r>
      <w:r w:rsidRPr="00BA5229">
        <w:rPr>
          <w:b/>
          <w:lang w:val="en-US"/>
        </w:rPr>
        <w:t>CONCLUSION</w:t>
      </w:r>
    </w:p>
    <w:p w14:paraId="74DA06E5" w14:textId="7D3C6258" w:rsidR="00BD30E2" w:rsidRPr="00BA5229" w:rsidRDefault="00DB66C8" w:rsidP="00BA5229">
      <w:pPr>
        <w:pStyle w:val="WUTCParagraph"/>
        <w:tabs>
          <w:tab w:val="clear" w:pos="1440"/>
        </w:tabs>
        <w:rPr>
          <w:lang w:val="en-US"/>
        </w:rPr>
      </w:pPr>
      <w:r w:rsidRPr="00BA5229">
        <w:tab/>
      </w:r>
      <w:r w:rsidR="00FA06B0" w:rsidRPr="00BA5229">
        <w:rPr>
          <w:lang w:val="en-US"/>
        </w:rPr>
        <w:t>PURPA requires PacifiCo</w:t>
      </w:r>
      <w:r w:rsidR="00C87768">
        <w:rPr>
          <w:lang w:val="en-US"/>
        </w:rPr>
        <w:t xml:space="preserve">rp to purchase QF power at its </w:t>
      </w:r>
      <w:r w:rsidR="00FA06B0" w:rsidRPr="00BA5229">
        <w:rPr>
          <w:lang w:val="en-US"/>
        </w:rPr>
        <w:t>full avoided cos</w:t>
      </w:r>
      <w:r w:rsidR="00C87768">
        <w:rPr>
          <w:lang w:val="en-US"/>
        </w:rPr>
        <w:t>t.</w:t>
      </w:r>
      <w:r w:rsidR="00FA06B0" w:rsidRPr="00BA5229">
        <w:rPr>
          <w:lang w:val="en-US"/>
        </w:rPr>
        <w:t xml:space="preserve"> </w:t>
      </w:r>
      <w:r w:rsidR="008D6ED1" w:rsidRPr="00BA5229">
        <w:rPr>
          <w:lang w:val="en-US"/>
        </w:rPr>
        <w:t xml:space="preserve">In this case, PacifiCorp and Staff agree that </w:t>
      </w:r>
      <w:r w:rsidR="00BD30E2" w:rsidRPr="00BA5229">
        <w:rPr>
          <w:lang w:val="en-US"/>
        </w:rPr>
        <w:t>each QF that enters PacifiCorp’s system will reduce the need for the Company to purchase FOTs, which, in turn, address a capacity shortfall</w:t>
      </w:r>
      <w:r w:rsidR="00EB7A7E">
        <w:rPr>
          <w:lang w:val="en-US"/>
        </w:rPr>
        <w:t>.</w:t>
      </w:r>
      <w:r w:rsidR="00BD30E2" w:rsidRPr="00BA5229">
        <w:rPr>
          <w:vertAlign w:val="superscript"/>
          <w:lang w:val="en-US"/>
        </w:rPr>
        <w:footnoteReference w:id="89"/>
      </w:r>
      <w:r w:rsidR="00BD30E2" w:rsidRPr="00BA5229">
        <w:rPr>
          <w:lang w:val="en-US"/>
        </w:rPr>
        <w:t xml:space="preserve"> PacifiCorp and Staff disagree</w:t>
      </w:r>
      <w:r w:rsidR="007A0C85">
        <w:rPr>
          <w:lang w:val="en-US"/>
        </w:rPr>
        <w:t>,</w:t>
      </w:r>
      <w:r w:rsidR="00BD30E2" w:rsidRPr="00BA5229">
        <w:rPr>
          <w:lang w:val="en-US"/>
        </w:rPr>
        <w:t xml:space="preserve"> </w:t>
      </w:r>
      <w:r w:rsidR="00FA06B0" w:rsidRPr="00BA5229">
        <w:rPr>
          <w:lang w:val="en-US"/>
        </w:rPr>
        <w:t>however</w:t>
      </w:r>
      <w:r w:rsidR="007A0C85">
        <w:rPr>
          <w:lang w:val="en-US"/>
        </w:rPr>
        <w:t>,</w:t>
      </w:r>
      <w:r w:rsidR="00FA06B0" w:rsidRPr="00BA5229">
        <w:rPr>
          <w:lang w:val="en-US"/>
        </w:rPr>
        <w:t xml:space="preserve"> </w:t>
      </w:r>
      <w:r w:rsidR="00BD30E2" w:rsidRPr="00BA5229">
        <w:rPr>
          <w:lang w:val="en-US"/>
        </w:rPr>
        <w:t>about how to appropriately capture</w:t>
      </w:r>
      <w:r w:rsidR="00FA06B0" w:rsidRPr="00BA5229">
        <w:rPr>
          <w:lang w:val="en-US"/>
        </w:rPr>
        <w:t xml:space="preserve"> the</w:t>
      </w:r>
      <w:r w:rsidR="00BD30E2" w:rsidRPr="00BA5229">
        <w:rPr>
          <w:lang w:val="en-US"/>
        </w:rPr>
        <w:t xml:space="preserve"> capacity costs inherent </w:t>
      </w:r>
      <w:r w:rsidR="009F7C1B">
        <w:rPr>
          <w:lang w:val="en-US"/>
        </w:rPr>
        <w:t>in</w:t>
      </w:r>
      <w:r w:rsidR="00BD30E2" w:rsidRPr="00BA5229">
        <w:rPr>
          <w:lang w:val="en-US"/>
        </w:rPr>
        <w:t xml:space="preserve"> </w:t>
      </w:r>
      <w:r w:rsidR="00FA06B0" w:rsidRPr="00BA5229">
        <w:rPr>
          <w:lang w:val="en-US"/>
        </w:rPr>
        <w:t xml:space="preserve">the Company’s reliance on </w:t>
      </w:r>
      <w:r w:rsidR="00BD30E2" w:rsidRPr="00BA5229">
        <w:rPr>
          <w:lang w:val="en-US"/>
        </w:rPr>
        <w:t>FOTs</w:t>
      </w:r>
      <w:r w:rsidR="00FA06B0" w:rsidRPr="00BA5229">
        <w:rPr>
          <w:lang w:val="en-US"/>
        </w:rPr>
        <w:t xml:space="preserve">, which it avoids </w:t>
      </w:r>
      <w:r w:rsidR="009F7C1B">
        <w:rPr>
          <w:lang w:val="en-US"/>
        </w:rPr>
        <w:t>through</w:t>
      </w:r>
      <w:r w:rsidR="00FA06B0" w:rsidRPr="00BA5229">
        <w:rPr>
          <w:lang w:val="en-US"/>
        </w:rPr>
        <w:t xml:space="preserve"> the</w:t>
      </w:r>
      <w:r w:rsidR="00BD30E2" w:rsidRPr="00BA5229">
        <w:rPr>
          <w:lang w:val="en-US"/>
        </w:rPr>
        <w:t xml:space="preserve"> </w:t>
      </w:r>
      <w:r w:rsidR="00FA06B0" w:rsidRPr="00BA5229">
        <w:rPr>
          <w:lang w:val="en-US"/>
        </w:rPr>
        <w:t>purchase of QF power. According to FERC, a method for calculating the value of capacity from QFs satisfies the full avoided cost standard to the extent that it “reasonably accounts” for the utility’s avoided capacity costs.</w:t>
      </w:r>
    </w:p>
    <w:p w14:paraId="64EB206A" w14:textId="0F27D582" w:rsidR="00FA06B0" w:rsidRPr="00BA5229" w:rsidRDefault="00BD30E2" w:rsidP="00BA5229">
      <w:pPr>
        <w:pStyle w:val="WUTCParagraph"/>
        <w:tabs>
          <w:tab w:val="clear" w:pos="1440"/>
        </w:tabs>
        <w:rPr>
          <w:lang w:val="en-US"/>
        </w:rPr>
      </w:pPr>
      <w:r w:rsidRPr="00BA5229">
        <w:rPr>
          <w:lang w:val="en-US"/>
        </w:rPr>
        <w:t xml:space="preserve"> </w:t>
      </w:r>
      <w:r w:rsidRPr="00BA5229">
        <w:rPr>
          <w:lang w:val="en-US"/>
        </w:rPr>
        <w:tab/>
        <w:t>PacifiCorp</w:t>
      </w:r>
      <w:r w:rsidR="007A0C85">
        <w:rPr>
          <w:lang w:val="en-US"/>
        </w:rPr>
        <w:t>’s</w:t>
      </w:r>
      <w:r w:rsidRPr="00BA5229">
        <w:rPr>
          <w:lang w:val="en-US"/>
        </w:rPr>
        <w:t xml:space="preserve"> propose</w:t>
      </w:r>
      <w:r w:rsidR="000D036A">
        <w:rPr>
          <w:lang w:val="en-US"/>
        </w:rPr>
        <w:t>d</w:t>
      </w:r>
      <w:r w:rsidRPr="00BA5229">
        <w:rPr>
          <w:lang w:val="en-US"/>
        </w:rPr>
        <w:t xml:space="preserve"> change to the Commission’s avoided cost methodology </w:t>
      </w:r>
      <w:r w:rsidR="00FA06B0" w:rsidRPr="00BA5229">
        <w:rPr>
          <w:lang w:val="en-US"/>
        </w:rPr>
        <w:t xml:space="preserve">fails to “reasonably account” for the capacity costs that it avoids by purchasing QF power because it does not adequately account for </w:t>
      </w:r>
      <w:r w:rsidR="000D036A">
        <w:rPr>
          <w:lang w:val="en-US"/>
        </w:rPr>
        <w:t>market risk</w:t>
      </w:r>
      <w:r w:rsidR="007017F5">
        <w:rPr>
          <w:lang w:val="en-US"/>
        </w:rPr>
        <w:t xml:space="preserve"> </w:t>
      </w:r>
      <w:r w:rsidR="000D036A">
        <w:rPr>
          <w:lang w:val="en-US"/>
        </w:rPr>
        <w:t>—</w:t>
      </w:r>
      <w:r w:rsidR="007017F5">
        <w:rPr>
          <w:lang w:val="en-US"/>
        </w:rPr>
        <w:t xml:space="preserve"> </w:t>
      </w:r>
      <w:r w:rsidR="000D036A">
        <w:rPr>
          <w:lang w:val="en-US"/>
        </w:rPr>
        <w:t xml:space="preserve">e.g., </w:t>
      </w:r>
      <w:r w:rsidR="00FA06B0" w:rsidRPr="00BA5229">
        <w:rPr>
          <w:lang w:val="en-US"/>
        </w:rPr>
        <w:t xml:space="preserve">the significant risk that the Company will not be able to acquire the quantity of power it needs </w:t>
      </w:r>
      <w:r w:rsidR="000D036A">
        <w:rPr>
          <w:lang w:val="en-US"/>
        </w:rPr>
        <w:t xml:space="preserve">at the price it anticipates. </w:t>
      </w:r>
      <w:r w:rsidR="00FA06B0" w:rsidRPr="00BA5229">
        <w:rPr>
          <w:lang w:val="en-US"/>
        </w:rPr>
        <w:t>PacifiCorp’s proposal therefore does not account for the Company’s full avoided cost.</w:t>
      </w:r>
    </w:p>
    <w:p w14:paraId="1474D1F6" w14:textId="3E4B15B9" w:rsidR="00FF49B5" w:rsidRPr="000D036A" w:rsidRDefault="00FA06B0" w:rsidP="0016349C">
      <w:pPr>
        <w:pStyle w:val="WUTCParagraph"/>
        <w:tabs>
          <w:tab w:val="clear" w:pos="1440"/>
        </w:tabs>
        <w:rPr>
          <w:lang w:val="en-US"/>
        </w:rPr>
      </w:pPr>
      <w:r w:rsidRPr="000D036A">
        <w:rPr>
          <w:lang w:val="en-US"/>
        </w:rPr>
        <w:t xml:space="preserve"> </w:t>
      </w:r>
      <w:r w:rsidRPr="000D036A">
        <w:rPr>
          <w:lang w:val="en-US"/>
        </w:rPr>
        <w:tab/>
      </w:r>
      <w:r w:rsidR="009F7C1B">
        <w:rPr>
          <w:lang w:val="en-US"/>
        </w:rPr>
        <w:t xml:space="preserve">By contrast, </w:t>
      </w:r>
      <w:r w:rsidRPr="000D036A">
        <w:rPr>
          <w:lang w:val="en-US"/>
        </w:rPr>
        <w:t>S</w:t>
      </w:r>
      <w:r w:rsidR="00BD30E2" w:rsidRPr="000D036A">
        <w:rPr>
          <w:lang w:val="en-US"/>
        </w:rPr>
        <w:t xml:space="preserve">taff’s proposal </w:t>
      </w:r>
      <w:r w:rsidR="000D036A" w:rsidRPr="000D036A">
        <w:rPr>
          <w:lang w:val="en-US"/>
        </w:rPr>
        <w:t>does</w:t>
      </w:r>
      <w:r w:rsidR="00FF49B5" w:rsidRPr="000D036A">
        <w:rPr>
          <w:lang w:val="en-US"/>
        </w:rPr>
        <w:t xml:space="preserve"> “</w:t>
      </w:r>
      <w:r w:rsidR="00BD30E2" w:rsidRPr="000D036A">
        <w:rPr>
          <w:lang w:val="en-US"/>
        </w:rPr>
        <w:t>reasonably account</w:t>
      </w:r>
      <w:r w:rsidR="00FF49B5" w:rsidRPr="000D036A">
        <w:rPr>
          <w:lang w:val="en-US"/>
        </w:rPr>
        <w:t>”</w:t>
      </w:r>
      <w:r w:rsidR="00BD30E2" w:rsidRPr="000D036A">
        <w:rPr>
          <w:lang w:val="en-US"/>
        </w:rPr>
        <w:t xml:space="preserve"> for </w:t>
      </w:r>
      <w:r w:rsidR="00FF49B5" w:rsidRPr="000D036A">
        <w:rPr>
          <w:lang w:val="en-US"/>
        </w:rPr>
        <w:t>PacifiCorp’s</w:t>
      </w:r>
      <w:r w:rsidR="00BD30E2" w:rsidRPr="000D036A">
        <w:rPr>
          <w:lang w:val="en-US"/>
        </w:rPr>
        <w:t xml:space="preserve"> </w:t>
      </w:r>
      <w:r w:rsidR="000D036A" w:rsidRPr="000D036A">
        <w:rPr>
          <w:lang w:val="en-US"/>
        </w:rPr>
        <w:t>avoided capacity costs</w:t>
      </w:r>
      <w:r w:rsidR="00FF49B5" w:rsidRPr="000D036A">
        <w:rPr>
          <w:lang w:val="en-US"/>
        </w:rPr>
        <w:t xml:space="preserve"> by using</w:t>
      </w:r>
      <w:r w:rsidR="000D036A" w:rsidRPr="000D036A">
        <w:rPr>
          <w:lang w:val="en-US"/>
        </w:rPr>
        <w:t xml:space="preserve"> the vetted, consensus approach of the incremental cost methodology</w:t>
      </w:r>
      <w:r w:rsidR="00230347">
        <w:rPr>
          <w:lang w:val="en-US"/>
        </w:rPr>
        <w:t>.</w:t>
      </w:r>
      <w:r w:rsidR="000D036A" w:rsidRPr="000D036A">
        <w:rPr>
          <w:lang w:val="en-US"/>
        </w:rPr>
        <w:t xml:space="preserve"> Staff’s proposal captures the market risk costs inherent to the Company’s heavy dependence on FOTs to service system demand based on the</w:t>
      </w:r>
      <w:r w:rsidR="00FF49B5" w:rsidRPr="000D036A">
        <w:rPr>
          <w:lang w:val="en-US"/>
        </w:rPr>
        <w:t xml:space="preserve"> lowest-cost capacity resource identified in the </w:t>
      </w:r>
      <w:r w:rsidR="000D036A" w:rsidRPr="000D036A">
        <w:rPr>
          <w:lang w:val="en-US"/>
        </w:rPr>
        <w:t>Company’s</w:t>
      </w:r>
      <w:r w:rsidR="00FF49B5" w:rsidRPr="000D036A">
        <w:rPr>
          <w:lang w:val="en-US"/>
        </w:rPr>
        <w:t xml:space="preserve"> IRP</w:t>
      </w:r>
      <w:r w:rsidR="000D036A">
        <w:rPr>
          <w:lang w:val="en-US"/>
        </w:rPr>
        <w:t xml:space="preserve">. </w:t>
      </w:r>
      <w:r w:rsidR="00FF49B5" w:rsidRPr="000D036A">
        <w:rPr>
          <w:lang w:val="en-US"/>
        </w:rPr>
        <w:t>Staff’s proposal therefore more accurately accounts for the Company’s full avoided cost.</w:t>
      </w:r>
    </w:p>
    <w:p w14:paraId="1F4240BA" w14:textId="3206F21A" w:rsidR="00BA5229" w:rsidRPr="00BA5229" w:rsidRDefault="00FF49B5" w:rsidP="00BA5229">
      <w:pPr>
        <w:pStyle w:val="WUTCParagraph"/>
        <w:tabs>
          <w:tab w:val="clear" w:pos="1440"/>
        </w:tabs>
      </w:pPr>
      <w:r w:rsidRPr="00BA5229">
        <w:rPr>
          <w:lang w:val="en-US"/>
        </w:rPr>
        <w:t xml:space="preserve"> </w:t>
      </w:r>
      <w:r w:rsidRPr="00BA5229">
        <w:rPr>
          <w:lang w:val="en-US"/>
        </w:rPr>
        <w:tab/>
        <w:t xml:space="preserve">PacifiCorp </w:t>
      </w:r>
      <w:r w:rsidR="00A100FB">
        <w:rPr>
          <w:lang w:val="en-US"/>
        </w:rPr>
        <w:t>gripe</w:t>
      </w:r>
      <w:r w:rsidR="00230347">
        <w:rPr>
          <w:lang w:val="en-US"/>
        </w:rPr>
        <w:t>s</w:t>
      </w:r>
      <w:r w:rsidR="00BA5229" w:rsidRPr="00BA5229">
        <w:rPr>
          <w:lang w:val="en-US"/>
        </w:rPr>
        <w:t xml:space="preserve"> that Staff’s proposal could cause customers to pay for QF costs above the Company’s true avoided cost. The Commission should take comfort in the fact that customer indifference is protected by the limited five-year term of the standard offer in Washington, which helps ensure avoided cost rates accurately reflect </w:t>
      </w:r>
      <w:r w:rsidR="008C3570">
        <w:rPr>
          <w:lang w:val="en-US"/>
        </w:rPr>
        <w:t>near-term</w:t>
      </w:r>
      <w:r w:rsidR="00BA5229" w:rsidRPr="00BA5229">
        <w:rPr>
          <w:lang w:val="en-US"/>
        </w:rPr>
        <w:t xml:space="preserve"> market conditions.</w:t>
      </w:r>
    </w:p>
    <w:p w14:paraId="58655D0E" w14:textId="7FF45128" w:rsidR="007270E6" w:rsidRPr="00BA5229" w:rsidRDefault="00880B00" w:rsidP="00BA5229">
      <w:pPr>
        <w:pStyle w:val="WUTCParagraph"/>
        <w:tabs>
          <w:tab w:val="clear" w:pos="1440"/>
        </w:tabs>
        <w:rPr>
          <w:lang w:val="en-US"/>
        </w:rPr>
      </w:pPr>
      <w:r w:rsidRPr="00BA5229">
        <w:rPr>
          <w:lang w:val="en-US"/>
        </w:rPr>
        <w:tab/>
        <w:t xml:space="preserve">Staff’s </w:t>
      </w:r>
      <w:r w:rsidR="00BA5229" w:rsidRPr="00BA5229">
        <w:rPr>
          <w:lang w:val="en-US"/>
        </w:rPr>
        <w:t>proposal</w:t>
      </w:r>
      <w:r w:rsidRPr="00BA5229">
        <w:rPr>
          <w:lang w:val="en-US"/>
        </w:rPr>
        <w:t xml:space="preserve"> in this proceeding </w:t>
      </w:r>
      <w:r w:rsidR="00BA5229" w:rsidRPr="00BA5229">
        <w:rPr>
          <w:lang w:val="en-US"/>
        </w:rPr>
        <w:t>is</w:t>
      </w:r>
      <w:r w:rsidRPr="00BA5229">
        <w:rPr>
          <w:lang w:val="en-US"/>
        </w:rPr>
        <w:t xml:space="preserve"> consistent with </w:t>
      </w:r>
      <w:r w:rsidR="00BA5229" w:rsidRPr="00BA5229">
        <w:rPr>
          <w:lang w:val="en-US"/>
        </w:rPr>
        <w:t>PURPA</w:t>
      </w:r>
      <w:r w:rsidR="009F7C1B">
        <w:rPr>
          <w:lang w:val="en-US"/>
        </w:rPr>
        <w:t xml:space="preserve"> and</w:t>
      </w:r>
      <w:r w:rsidR="00BA5229" w:rsidRPr="00BA5229">
        <w:rPr>
          <w:lang w:val="en-US"/>
        </w:rPr>
        <w:t xml:space="preserve"> FERC rules, and strikes an appropriate balance between encouraging QF developme</w:t>
      </w:r>
      <w:r w:rsidR="008C3570">
        <w:rPr>
          <w:lang w:val="en-US"/>
        </w:rPr>
        <w:t>nt and ensuring that customers d</w:t>
      </w:r>
      <w:r w:rsidR="00BA5229" w:rsidRPr="00BA5229">
        <w:rPr>
          <w:lang w:val="en-US"/>
        </w:rPr>
        <w:t xml:space="preserve">o not subsidize QF development. </w:t>
      </w:r>
      <w:r w:rsidR="00A100FB">
        <w:rPr>
          <w:lang w:val="en-US"/>
        </w:rPr>
        <w:t>The Commission should</w:t>
      </w:r>
      <w:r w:rsidRPr="00BA5229">
        <w:rPr>
          <w:lang w:val="en-US"/>
        </w:rPr>
        <w:t xml:space="preserve"> adopt</w:t>
      </w:r>
      <w:r w:rsidR="00A100FB">
        <w:rPr>
          <w:lang w:val="en-US"/>
        </w:rPr>
        <w:t xml:space="preserve"> Staff’s proposal</w:t>
      </w:r>
      <w:r w:rsidRPr="00BA5229">
        <w:rPr>
          <w:lang w:val="en-US"/>
        </w:rPr>
        <w:t xml:space="preserve">. </w:t>
      </w:r>
    </w:p>
    <w:p w14:paraId="744AD118" w14:textId="633A1C5D" w:rsidR="00913457" w:rsidRPr="00BA5229" w:rsidRDefault="009D1DB0" w:rsidP="00BA5229">
      <w:pPr>
        <w:pStyle w:val="WUTCParagraph"/>
        <w:numPr>
          <w:ilvl w:val="0"/>
          <w:numId w:val="0"/>
        </w:numPr>
        <w:tabs>
          <w:tab w:val="clear" w:pos="1440"/>
        </w:tabs>
      </w:pPr>
      <w:r w:rsidRPr="00BA5229">
        <w:tab/>
      </w:r>
      <w:r w:rsidR="00302751" w:rsidRPr="00BA5229">
        <w:t xml:space="preserve">Dated this </w:t>
      </w:r>
      <w:r w:rsidR="00945828" w:rsidRPr="00BA5229">
        <w:rPr>
          <w:lang w:val="en-US"/>
        </w:rPr>
        <w:t>11</w:t>
      </w:r>
      <w:r w:rsidR="00945828" w:rsidRPr="00BA5229">
        <w:rPr>
          <w:vertAlign w:val="superscript"/>
          <w:lang w:val="en-US"/>
        </w:rPr>
        <w:t>th</w:t>
      </w:r>
      <w:r w:rsidR="0063598A" w:rsidRPr="00BA5229">
        <w:rPr>
          <w:lang w:val="en-US"/>
        </w:rPr>
        <w:t xml:space="preserve"> </w:t>
      </w:r>
      <w:r w:rsidR="00302751" w:rsidRPr="00BA5229">
        <w:t xml:space="preserve">day of </w:t>
      </w:r>
      <w:r w:rsidR="00945828" w:rsidRPr="00BA5229">
        <w:rPr>
          <w:lang w:val="en-US"/>
        </w:rPr>
        <w:t>September</w:t>
      </w:r>
      <w:r w:rsidR="00302751" w:rsidRPr="00BA5229">
        <w:t xml:space="preserve"> 201</w:t>
      </w:r>
      <w:r w:rsidR="0063598A" w:rsidRPr="00BA5229">
        <w:rPr>
          <w:lang w:val="en-US"/>
        </w:rPr>
        <w:t>5</w:t>
      </w:r>
      <w:r w:rsidR="00302751" w:rsidRPr="00BA5229">
        <w:t>.</w:t>
      </w:r>
    </w:p>
    <w:p w14:paraId="2175678F" w14:textId="77777777" w:rsidR="00A21621" w:rsidRPr="00DE3409" w:rsidRDefault="00A21621" w:rsidP="00951A4C">
      <w:pPr>
        <w:ind w:left="720"/>
        <w:rPr>
          <w:szCs w:val="24"/>
        </w:rPr>
      </w:pPr>
      <w:r w:rsidRPr="00DE3409">
        <w:rPr>
          <w:szCs w:val="24"/>
        </w:rPr>
        <w:tab/>
      </w:r>
      <w:r w:rsidRPr="00DE3409">
        <w:rPr>
          <w:szCs w:val="24"/>
        </w:rPr>
        <w:tab/>
      </w:r>
      <w:r w:rsidRPr="00DE3409">
        <w:rPr>
          <w:szCs w:val="24"/>
        </w:rPr>
        <w:tab/>
      </w:r>
      <w:r w:rsidRPr="00DE3409">
        <w:rPr>
          <w:szCs w:val="24"/>
        </w:rPr>
        <w:tab/>
      </w:r>
      <w:r w:rsidRPr="00DE3409">
        <w:rPr>
          <w:szCs w:val="24"/>
        </w:rPr>
        <w:tab/>
      </w:r>
      <w:r w:rsidRPr="00DE3409">
        <w:rPr>
          <w:szCs w:val="24"/>
        </w:rPr>
        <w:tab/>
        <w:t xml:space="preserve">Respectfully submitted, </w:t>
      </w:r>
    </w:p>
    <w:p w14:paraId="3012A65A" w14:textId="77777777" w:rsidR="00A21621" w:rsidRPr="00DE3409" w:rsidRDefault="00A21621" w:rsidP="00951A4C">
      <w:pPr>
        <w:pStyle w:val="BodyTextIndent2"/>
        <w:rPr>
          <w:rFonts w:ascii="Times New Roman" w:hAnsi="Times New Roman"/>
        </w:rPr>
      </w:pPr>
    </w:p>
    <w:p w14:paraId="56849686" w14:textId="77777777" w:rsidR="00A21621" w:rsidRPr="00DE3409" w:rsidRDefault="00A21621" w:rsidP="00951A4C">
      <w:pPr>
        <w:ind w:left="5040"/>
        <w:jc w:val="both"/>
        <w:rPr>
          <w:szCs w:val="24"/>
        </w:rPr>
      </w:pPr>
      <w:r w:rsidRPr="00DE3409">
        <w:rPr>
          <w:szCs w:val="24"/>
        </w:rPr>
        <w:t>ROBERT W. FERGUSON</w:t>
      </w:r>
    </w:p>
    <w:p w14:paraId="378F65A0" w14:textId="77777777" w:rsidR="00A21621" w:rsidRPr="00DE3409" w:rsidRDefault="00A21621" w:rsidP="00951A4C">
      <w:pPr>
        <w:ind w:firstLine="5040"/>
        <w:jc w:val="both"/>
        <w:rPr>
          <w:szCs w:val="24"/>
        </w:rPr>
      </w:pPr>
      <w:r w:rsidRPr="00DE3409">
        <w:rPr>
          <w:szCs w:val="24"/>
        </w:rPr>
        <w:t>Attorney General</w:t>
      </w:r>
    </w:p>
    <w:p w14:paraId="133A87E4" w14:textId="77777777" w:rsidR="00A21621" w:rsidRPr="00DE3409" w:rsidRDefault="00A21621" w:rsidP="00951A4C">
      <w:pPr>
        <w:jc w:val="both"/>
        <w:rPr>
          <w:szCs w:val="24"/>
        </w:rPr>
      </w:pPr>
    </w:p>
    <w:p w14:paraId="477BE45C" w14:textId="77777777" w:rsidR="00A21621" w:rsidRPr="00DE3409" w:rsidRDefault="00A21621" w:rsidP="00951A4C">
      <w:pPr>
        <w:ind w:left="1440" w:firstLine="3600"/>
        <w:jc w:val="both"/>
        <w:rPr>
          <w:szCs w:val="24"/>
        </w:rPr>
      </w:pPr>
    </w:p>
    <w:p w14:paraId="76F46F8A" w14:textId="77777777" w:rsidR="00A21621" w:rsidRPr="00DE3409" w:rsidRDefault="00A21621" w:rsidP="00951A4C">
      <w:pPr>
        <w:ind w:left="1440" w:firstLine="3600"/>
        <w:jc w:val="both"/>
        <w:rPr>
          <w:szCs w:val="24"/>
        </w:rPr>
      </w:pPr>
      <w:r w:rsidRPr="00DE3409">
        <w:rPr>
          <w:szCs w:val="24"/>
        </w:rPr>
        <w:t>______________________________</w:t>
      </w:r>
    </w:p>
    <w:p w14:paraId="7D3136D7" w14:textId="2B88A73D" w:rsidR="00F1001C" w:rsidRDefault="00945828" w:rsidP="00951A4C">
      <w:pPr>
        <w:ind w:left="1440" w:firstLine="3600"/>
        <w:jc w:val="both"/>
        <w:rPr>
          <w:szCs w:val="24"/>
        </w:rPr>
      </w:pPr>
      <w:r>
        <w:rPr>
          <w:szCs w:val="24"/>
        </w:rPr>
        <w:t>CHRISTOPHER M. CASEY</w:t>
      </w:r>
    </w:p>
    <w:p w14:paraId="12D98C44" w14:textId="461CD8B5" w:rsidR="00F1001C" w:rsidRPr="00DE3409" w:rsidRDefault="00F1001C" w:rsidP="00951A4C">
      <w:pPr>
        <w:ind w:left="1440" w:firstLine="3600"/>
        <w:jc w:val="both"/>
        <w:rPr>
          <w:szCs w:val="24"/>
        </w:rPr>
      </w:pPr>
      <w:r>
        <w:rPr>
          <w:szCs w:val="24"/>
        </w:rPr>
        <w:t xml:space="preserve">Assistant Attorney General </w:t>
      </w:r>
    </w:p>
    <w:p w14:paraId="42A782E5" w14:textId="77777777" w:rsidR="00A21621" w:rsidRPr="00DE3409" w:rsidRDefault="00A21621" w:rsidP="00951A4C">
      <w:pPr>
        <w:ind w:left="2160" w:firstLine="2880"/>
        <w:jc w:val="both"/>
        <w:rPr>
          <w:szCs w:val="24"/>
        </w:rPr>
      </w:pPr>
      <w:r w:rsidRPr="00DE3409">
        <w:rPr>
          <w:szCs w:val="24"/>
        </w:rPr>
        <w:t>Counsel for Washington Utilities and</w:t>
      </w:r>
    </w:p>
    <w:p w14:paraId="613E9B58" w14:textId="116A7E68" w:rsidR="00144A93" w:rsidRPr="00DE3409" w:rsidRDefault="00A21621" w:rsidP="00951A4C">
      <w:pPr>
        <w:ind w:left="2880" w:firstLine="2160"/>
        <w:jc w:val="both"/>
        <w:rPr>
          <w:szCs w:val="24"/>
        </w:rPr>
      </w:pPr>
      <w:r w:rsidRPr="00DE3409">
        <w:rPr>
          <w:szCs w:val="24"/>
        </w:rPr>
        <w:t>Transportation Commission Staff</w:t>
      </w:r>
    </w:p>
    <w:p w14:paraId="0FF8AA64" w14:textId="5BD526CB" w:rsidR="009D1DB0" w:rsidRPr="00DE3409" w:rsidRDefault="009D1DB0" w:rsidP="00951A4C">
      <w:pPr>
        <w:tabs>
          <w:tab w:val="left" w:pos="3617"/>
        </w:tabs>
        <w:rPr>
          <w:szCs w:val="24"/>
          <w:lang w:val="x-none" w:eastAsia="x-none"/>
        </w:rPr>
      </w:pPr>
    </w:p>
    <w:sectPr w:rsidR="009D1DB0" w:rsidRPr="00DE3409" w:rsidSect="003C14C0">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925A9" w14:textId="77777777" w:rsidR="0081708A" w:rsidRDefault="0081708A" w:rsidP="00302751">
      <w:r>
        <w:separator/>
      </w:r>
    </w:p>
  </w:endnote>
  <w:endnote w:type="continuationSeparator" w:id="0">
    <w:p w14:paraId="285C7F0A" w14:textId="77777777" w:rsidR="0081708A" w:rsidRDefault="0081708A" w:rsidP="00302751">
      <w:r>
        <w:continuationSeparator/>
      </w:r>
    </w:p>
  </w:endnote>
  <w:endnote w:type="continuationNotice" w:id="1">
    <w:p w14:paraId="4B9203C4" w14:textId="77777777" w:rsidR="0081708A" w:rsidRDefault="00817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C0ED8" w14:textId="77777777" w:rsidR="0081708A" w:rsidRPr="007B7439" w:rsidRDefault="0081708A" w:rsidP="007B7439">
    <w:pPr>
      <w:pStyle w:val="Footer"/>
      <w:rPr>
        <w:sz w:val="20"/>
      </w:rPr>
    </w:pPr>
  </w:p>
  <w:p w14:paraId="52F269BB" w14:textId="77777777" w:rsidR="0081708A" w:rsidRPr="00654B38" w:rsidRDefault="0081708A">
    <w:pPr>
      <w:pStyle w:val="Footer"/>
      <w:rPr>
        <w:sz w:val="20"/>
      </w:rPr>
    </w:pPr>
    <w:r>
      <w:rPr>
        <w:sz w:val="20"/>
      </w:rPr>
      <w:t xml:space="preserve">INITIAL BRIEF ON BEHALF OF </w:t>
    </w:r>
    <w:r w:rsidRPr="00654B38">
      <w:rPr>
        <w:sz w:val="20"/>
      </w:rPr>
      <w:t>COMMISSION STAFF</w:t>
    </w:r>
    <w:r>
      <w:rPr>
        <w:sz w:val="20"/>
      </w:rPr>
      <w:t xml:space="preserve"> </w:t>
    </w:r>
    <w:r w:rsidRPr="00654B38">
      <w:rPr>
        <w:sz w:val="20"/>
      </w:rPr>
      <w:t xml:space="preserve">- </w:t>
    </w:r>
    <w:r w:rsidRPr="00654B38">
      <w:rPr>
        <w:sz w:val="20"/>
      </w:rPr>
      <w:fldChar w:fldCharType="begin"/>
    </w:r>
    <w:r w:rsidRPr="00654B38">
      <w:rPr>
        <w:sz w:val="20"/>
      </w:rPr>
      <w:instrText xml:space="preserve"> PAGE   \* MERGEFORMAT </w:instrText>
    </w:r>
    <w:r w:rsidRPr="00654B38">
      <w:rPr>
        <w:sz w:val="20"/>
      </w:rPr>
      <w:fldChar w:fldCharType="separate"/>
    </w:r>
    <w:r>
      <w:rPr>
        <w:noProof/>
        <w:sz w:val="20"/>
      </w:rPr>
      <w:t>iii</w:t>
    </w:r>
    <w:r w:rsidRPr="00654B38">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D8DF6" w14:textId="77777777" w:rsidR="0081708A" w:rsidRPr="00654B38" w:rsidRDefault="0081708A">
    <w:pPr>
      <w:pStyle w:val="Footer"/>
      <w:rPr>
        <w:sz w:val="20"/>
      </w:rPr>
    </w:pPr>
    <w:r>
      <w:rPr>
        <w:sz w:val="20"/>
      </w:rPr>
      <w:t xml:space="preserve">INITIAL BRIEF ON BEHALF OF </w:t>
    </w:r>
    <w:r w:rsidRPr="00654B38">
      <w:rPr>
        <w:sz w:val="20"/>
      </w:rPr>
      <w:t>COMMISSION STAFF</w:t>
    </w:r>
    <w:r>
      <w:rPr>
        <w:sz w:val="20"/>
      </w:rPr>
      <w:t xml:space="preserve"> </w:t>
    </w:r>
    <w:r w:rsidRPr="00654B38">
      <w:rPr>
        <w:sz w:val="20"/>
      </w:rPr>
      <w:t xml:space="preserve">- </w:t>
    </w:r>
    <w:r w:rsidRPr="00654B38">
      <w:rPr>
        <w:sz w:val="20"/>
      </w:rPr>
      <w:fldChar w:fldCharType="begin"/>
    </w:r>
    <w:r w:rsidRPr="00654B38">
      <w:rPr>
        <w:sz w:val="20"/>
      </w:rPr>
      <w:instrText xml:space="preserve"> PAGE   \* MERGEFORMAT </w:instrText>
    </w:r>
    <w:r w:rsidRPr="00654B38">
      <w:rPr>
        <w:sz w:val="20"/>
      </w:rPr>
      <w:fldChar w:fldCharType="separate"/>
    </w:r>
    <w:r w:rsidR="007C2586">
      <w:rPr>
        <w:noProof/>
        <w:sz w:val="20"/>
      </w:rPr>
      <w:t>12</w:t>
    </w:r>
    <w:r w:rsidRPr="00654B38">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99728" w14:textId="77777777" w:rsidR="0081708A" w:rsidRDefault="0081708A" w:rsidP="00302751">
      <w:r>
        <w:separator/>
      </w:r>
    </w:p>
  </w:footnote>
  <w:footnote w:type="continuationSeparator" w:id="0">
    <w:p w14:paraId="16CB3331" w14:textId="77777777" w:rsidR="0081708A" w:rsidRDefault="0081708A" w:rsidP="00302751">
      <w:r>
        <w:continuationSeparator/>
      </w:r>
    </w:p>
  </w:footnote>
  <w:footnote w:type="continuationNotice" w:id="1">
    <w:p w14:paraId="61AF4569" w14:textId="77777777" w:rsidR="0081708A" w:rsidRDefault="0081708A"/>
  </w:footnote>
  <w:footnote w:id="2">
    <w:p w14:paraId="2A948B6E" w14:textId="28158384" w:rsidR="0081708A" w:rsidRPr="00603CC7" w:rsidRDefault="0081708A" w:rsidP="00AA2B07">
      <w:pPr>
        <w:pStyle w:val="FootnoteText"/>
      </w:pPr>
      <w:r w:rsidRPr="00603CC7">
        <w:rPr>
          <w:rStyle w:val="FootnoteReference"/>
        </w:rPr>
        <w:footnoteRef/>
      </w:r>
      <w:r w:rsidRPr="00603CC7">
        <w:t xml:space="preserve"> Declaration of Brian S. Dickman</w:t>
      </w:r>
      <w:r>
        <w:t xml:space="preserve"> ¶ 4</w:t>
      </w:r>
      <w:r w:rsidRPr="00603CC7">
        <w:t xml:space="preserve">. </w:t>
      </w:r>
    </w:p>
  </w:footnote>
  <w:footnote w:id="3">
    <w:p w14:paraId="4A973F28" w14:textId="54959A27" w:rsidR="0081708A" w:rsidRPr="00603CC7" w:rsidRDefault="0081708A">
      <w:pPr>
        <w:pStyle w:val="FootnoteText"/>
      </w:pPr>
      <w:r w:rsidRPr="00603CC7">
        <w:rPr>
          <w:rStyle w:val="FootnoteReference"/>
        </w:rPr>
        <w:footnoteRef/>
      </w:r>
      <w:r w:rsidRPr="00603CC7">
        <w:t xml:space="preserve"> </w:t>
      </w:r>
      <w:r w:rsidRPr="00603CC7">
        <w:rPr>
          <w:i/>
        </w:rPr>
        <w:t>FERC v. Mississippi</w:t>
      </w:r>
      <w:r w:rsidRPr="00603CC7">
        <w:t>, 456 U.S. 742, 751 (1982).</w:t>
      </w:r>
    </w:p>
  </w:footnote>
  <w:footnote w:id="4">
    <w:p w14:paraId="6D93A9A6" w14:textId="08B42BBA" w:rsidR="0081708A" w:rsidRPr="00603CC7" w:rsidRDefault="0081708A">
      <w:pPr>
        <w:pStyle w:val="FootnoteText"/>
      </w:pPr>
      <w:r w:rsidRPr="00603CC7">
        <w:rPr>
          <w:rStyle w:val="FootnoteReference"/>
        </w:rPr>
        <w:footnoteRef/>
      </w:r>
      <w:r w:rsidRPr="00603CC7">
        <w:t xml:space="preserve"> </w:t>
      </w:r>
      <w:r w:rsidRPr="008167D6">
        <w:rPr>
          <w:i/>
        </w:rPr>
        <w:t>Am. Paper Inst. v. Am. Elec. Power Serv. Corp</w:t>
      </w:r>
      <w:r>
        <w:t xml:space="preserve">., 461 U.S. 402, 406 (1983); </w:t>
      </w:r>
      <w:r>
        <w:rPr>
          <w:i/>
        </w:rPr>
        <w:t xml:space="preserve">see also </w:t>
      </w:r>
      <w:r w:rsidRPr="00603CC7">
        <w:t>16 U.S.C. §824a-3(b); 18 C.F.R. § 292.30</w:t>
      </w:r>
      <w:r>
        <w:t>4</w:t>
      </w:r>
      <w:r w:rsidRPr="00603CC7">
        <w:t>(b); 18 C.F.R. § 292.101</w:t>
      </w:r>
      <w:r>
        <w:t>(b)</w:t>
      </w:r>
      <w:r w:rsidRPr="00603CC7">
        <w:t>(6).</w:t>
      </w:r>
    </w:p>
  </w:footnote>
  <w:footnote w:id="5">
    <w:p w14:paraId="1B0F2932" w14:textId="3C2D866A" w:rsidR="0081708A" w:rsidRPr="00603CC7" w:rsidRDefault="0081708A">
      <w:pPr>
        <w:pStyle w:val="FootnoteText"/>
      </w:pPr>
      <w:r w:rsidRPr="00603CC7">
        <w:rPr>
          <w:rStyle w:val="FootnoteReference"/>
        </w:rPr>
        <w:footnoteRef/>
      </w:r>
      <w:r w:rsidRPr="00603CC7">
        <w:t xml:space="preserve"> Declaration of Jeremy B. Twitchell</w:t>
      </w:r>
      <w:r>
        <w:t xml:space="preserve"> ¶ 32</w:t>
      </w:r>
      <w:r w:rsidRPr="00603CC7">
        <w:t xml:space="preserve">. </w:t>
      </w:r>
    </w:p>
  </w:footnote>
  <w:footnote w:id="6">
    <w:p w14:paraId="43DE85BB" w14:textId="41CD9C30" w:rsidR="0081708A" w:rsidRPr="00603CC7" w:rsidRDefault="0081708A" w:rsidP="00F62D1F">
      <w:pPr>
        <w:pStyle w:val="FootnoteText"/>
      </w:pPr>
      <w:r w:rsidRPr="00603CC7">
        <w:rPr>
          <w:rStyle w:val="FootnoteReference"/>
        </w:rPr>
        <w:footnoteRef/>
      </w:r>
      <w:r w:rsidRPr="00603CC7">
        <w:t xml:space="preserve"> </w:t>
      </w:r>
      <w:r w:rsidRPr="00603CC7">
        <w:rPr>
          <w:i/>
        </w:rPr>
        <w:t>FERC v. Mississippi</w:t>
      </w:r>
      <w:r>
        <w:t xml:space="preserve">, 456 U.S. 742, 751 (1982); </w:t>
      </w:r>
      <w:r w:rsidRPr="00603CC7">
        <w:t>16 U.S.C. § 824a-3(a), (e).</w:t>
      </w:r>
    </w:p>
  </w:footnote>
  <w:footnote w:id="7">
    <w:p w14:paraId="7359FFBC" w14:textId="77777777" w:rsidR="0081708A" w:rsidRPr="00603CC7" w:rsidRDefault="0081708A" w:rsidP="00AF19E7">
      <w:pPr>
        <w:pStyle w:val="FootnoteText"/>
      </w:pPr>
      <w:r w:rsidRPr="00603CC7">
        <w:rPr>
          <w:rStyle w:val="FootnoteReference"/>
        </w:rPr>
        <w:footnoteRef/>
      </w:r>
      <w:r w:rsidRPr="00603CC7">
        <w:t xml:space="preserve"> 16 U.S.C. § 824a-3(b).</w:t>
      </w:r>
    </w:p>
  </w:footnote>
  <w:footnote w:id="8">
    <w:p w14:paraId="14F1A87B" w14:textId="043A1168" w:rsidR="0081708A" w:rsidRPr="00603CC7" w:rsidRDefault="0081708A" w:rsidP="00B76858">
      <w:pPr>
        <w:pStyle w:val="FootnoteText"/>
      </w:pPr>
      <w:r w:rsidRPr="00603CC7">
        <w:rPr>
          <w:rStyle w:val="FootnoteReference"/>
        </w:rPr>
        <w:footnoteRef/>
      </w:r>
      <w:r w:rsidRPr="00603CC7">
        <w:t xml:space="preserve"> </w:t>
      </w:r>
      <w:r w:rsidRPr="00603CC7">
        <w:rPr>
          <w:i/>
        </w:rPr>
        <w:t>Southern Cal. Edison Co</w:t>
      </w:r>
      <w:r>
        <w:rPr>
          <w:i/>
        </w:rPr>
        <w:t>.</w:t>
      </w:r>
      <w:r w:rsidRPr="00603CC7">
        <w:rPr>
          <w:i/>
        </w:rPr>
        <w:t xml:space="preserve">, et al., </w:t>
      </w:r>
      <w:r w:rsidRPr="00603CC7">
        <w:t>71 FERC ¶ 61,269, 62,080 (1995) (“[Congress intended] to make ratepayers indifferent as to whether the utility used more traditional sources of power or the newly-encouraged alternatives”).</w:t>
      </w:r>
    </w:p>
  </w:footnote>
  <w:footnote w:id="9">
    <w:p w14:paraId="4ABD3318" w14:textId="77777777" w:rsidR="0081708A" w:rsidRPr="00603CC7" w:rsidRDefault="0081708A" w:rsidP="00F62D1F">
      <w:pPr>
        <w:pStyle w:val="FootnoteText"/>
      </w:pPr>
      <w:r w:rsidRPr="00603CC7">
        <w:rPr>
          <w:rStyle w:val="FootnoteReference"/>
        </w:rPr>
        <w:footnoteRef/>
      </w:r>
      <w:r w:rsidRPr="00603CC7">
        <w:t xml:space="preserve"> 16 U.S.C. § 824a-3(a).</w:t>
      </w:r>
    </w:p>
  </w:footnote>
  <w:footnote w:id="10">
    <w:p w14:paraId="575E0997" w14:textId="70D2D4B2" w:rsidR="0081708A" w:rsidRPr="00603CC7" w:rsidRDefault="0081708A" w:rsidP="00F62D1F">
      <w:pPr>
        <w:pStyle w:val="FootnoteText"/>
      </w:pPr>
      <w:r w:rsidRPr="00603CC7">
        <w:rPr>
          <w:rStyle w:val="FootnoteReference"/>
        </w:rPr>
        <w:footnoteRef/>
      </w:r>
      <w:r w:rsidRPr="00603CC7">
        <w:t xml:space="preserve"> 16 U.S.C. § 824a-3(f); </w:t>
      </w:r>
      <w:r w:rsidRPr="002B7757">
        <w:rPr>
          <w:i/>
        </w:rPr>
        <w:t>FERC v. Miss.</w:t>
      </w:r>
      <w:r w:rsidRPr="002B7757">
        <w:t>, 456 U.S. at 751</w:t>
      </w:r>
      <w:r w:rsidRPr="00603CC7">
        <w:t xml:space="preserve">; see also </w:t>
      </w:r>
      <w:r w:rsidRPr="00603CC7">
        <w:rPr>
          <w:i/>
        </w:rPr>
        <w:t>Indep. Energy Producers Ass’n, Inc. v. Cal. Pub. Utils. Comm’n</w:t>
      </w:r>
      <w:r w:rsidRPr="00603CC7">
        <w:t>, 36 F.3d 848, 856 (9th Cir. 1994) (PURPA delegates to the states “broad authority” to implement its QF provisions).</w:t>
      </w:r>
    </w:p>
  </w:footnote>
  <w:footnote w:id="11">
    <w:p w14:paraId="43EE522F" w14:textId="6EDF20B5" w:rsidR="0081708A" w:rsidRPr="00603CC7" w:rsidRDefault="0081708A">
      <w:pPr>
        <w:pStyle w:val="FootnoteText"/>
      </w:pPr>
      <w:r w:rsidRPr="00603CC7">
        <w:rPr>
          <w:rStyle w:val="FootnoteReference"/>
        </w:rPr>
        <w:footnoteRef/>
      </w:r>
      <w:r w:rsidRPr="00603CC7">
        <w:t xml:space="preserve"> </w:t>
      </w:r>
      <w:r w:rsidRPr="002B7757">
        <w:rPr>
          <w:i/>
        </w:rPr>
        <w:t>Small Power Production and Cogeneration Facilities; Regulations Implementing Section 210 of the</w:t>
      </w:r>
      <w:r>
        <w:rPr>
          <w:i/>
        </w:rPr>
        <w:t xml:space="preserve"> Public U</w:t>
      </w:r>
      <w:r w:rsidRPr="002B7757">
        <w:rPr>
          <w:i/>
        </w:rPr>
        <w:t xml:space="preserve">tility Regulatory Policy Act of </w:t>
      </w:r>
      <w:r w:rsidRPr="002B7757">
        <w:t>1978, Order No. 69, 45 Fed. Reg. 12,214, 1222</w:t>
      </w:r>
      <w:r>
        <w:t>2</w:t>
      </w:r>
      <w:r w:rsidRPr="002B7757">
        <w:t xml:space="preserve"> (Feb. 25, 1980)</w:t>
      </w:r>
      <w:r w:rsidRPr="00AB0977">
        <w:t xml:space="preserve"> </w:t>
      </w:r>
      <w:r>
        <w:t xml:space="preserve">(“FERC </w:t>
      </w:r>
      <w:r w:rsidRPr="00603CC7">
        <w:t xml:space="preserve">Order </w:t>
      </w:r>
      <w:r>
        <w:t xml:space="preserve">No. </w:t>
      </w:r>
      <w:r w:rsidRPr="00603CC7">
        <w:t>69</w:t>
      </w:r>
      <w:r>
        <w:t>”)</w:t>
      </w:r>
      <w:r w:rsidRPr="002B7757">
        <w:t xml:space="preserve">; See also </w:t>
      </w:r>
      <w:r w:rsidRPr="00AB0977">
        <w:t>FERC Order No. 69</w:t>
      </w:r>
      <w:r>
        <w:t xml:space="preserve"> at</w:t>
      </w:r>
      <w:r w:rsidRPr="002B7757">
        <w:t xml:space="preserve"> 12225-6)</w:t>
      </w:r>
      <w:r>
        <w:t>.</w:t>
      </w:r>
    </w:p>
  </w:footnote>
  <w:footnote w:id="12">
    <w:p w14:paraId="18288183" w14:textId="19FD7BF8" w:rsidR="0081708A" w:rsidRPr="00603CC7" w:rsidRDefault="0081708A" w:rsidP="00AD7273">
      <w:pPr>
        <w:pStyle w:val="FootnoteText"/>
      </w:pPr>
      <w:r w:rsidRPr="00603CC7">
        <w:rPr>
          <w:rStyle w:val="FootnoteReference"/>
        </w:rPr>
        <w:footnoteRef/>
      </w:r>
      <w:r w:rsidRPr="00603CC7">
        <w:t xml:space="preserve">  </w:t>
      </w:r>
      <w:r w:rsidRPr="00500263">
        <w:rPr>
          <w:i/>
        </w:rPr>
        <w:t>Am. Paper Inst. v. Am. Elec. Power Serv. Corp</w:t>
      </w:r>
      <w:r>
        <w:t xml:space="preserve">., 461 U.S. 402, 406 (1983) (“[FERC regulation], 18 CFR § 292.304(b)(2), requires a utility to purchase electricity from a qualifying facility at a rate equal to the utility's </w:t>
      </w:r>
      <w:r w:rsidRPr="00500263">
        <w:t>full avoided cost</w:t>
      </w:r>
      <w:r>
        <w:t>. The utility's full avoided cost is ‘the cost to the electric utility of the electric energy which, but for the purchase from such [QF], such utility would generate or purchase from another source.’ PURPA § 210(d), 16 U. S. C. § 824a-3(d). See 18 CFR § 292.101(b)(6) (the term full ‘avoided costs’ used in the regulations is the equivalent of the term ‘incremental cost of alternative electric energy’ used in § 210(d) of PURPA).”).</w:t>
      </w:r>
    </w:p>
  </w:footnote>
  <w:footnote w:id="13">
    <w:p w14:paraId="30D80DD4" w14:textId="65D0AB31" w:rsidR="0081708A" w:rsidRPr="00603CC7" w:rsidRDefault="0081708A">
      <w:pPr>
        <w:pStyle w:val="FootnoteText"/>
      </w:pPr>
      <w:r w:rsidRPr="00603CC7">
        <w:rPr>
          <w:rStyle w:val="FootnoteReference"/>
        </w:rPr>
        <w:footnoteRef/>
      </w:r>
      <w:r w:rsidRPr="00603CC7">
        <w:t xml:space="preserve"> </w:t>
      </w:r>
      <w:r w:rsidRPr="00BD05C8">
        <w:t xml:space="preserve">Robert E. Burns &amp; Kenneth Rose, PURPA Title II Compliance Manual </w:t>
      </w:r>
      <w:r w:rsidRPr="00603CC7">
        <w:t>33</w:t>
      </w:r>
      <w:r>
        <w:t xml:space="preserve"> (Mar. 2014); </w:t>
      </w:r>
      <w:r>
        <w:rPr>
          <w:i/>
        </w:rPr>
        <w:t>s</w:t>
      </w:r>
      <w:r w:rsidRPr="00603CC7">
        <w:rPr>
          <w:i/>
        </w:rPr>
        <w:t>ee also</w:t>
      </w:r>
      <w:r w:rsidRPr="00603CC7">
        <w:t xml:space="preserve"> </w:t>
      </w:r>
      <w:r w:rsidRPr="00AB0977">
        <w:t>FERC Order No. 69</w:t>
      </w:r>
      <w:r>
        <w:t xml:space="preserve"> at </w:t>
      </w:r>
      <w:r w:rsidRPr="00603CC7">
        <w:t xml:space="preserve">12225. </w:t>
      </w:r>
    </w:p>
  </w:footnote>
  <w:footnote w:id="14">
    <w:p w14:paraId="6C19E377" w14:textId="78383F38" w:rsidR="0081708A" w:rsidRPr="00603CC7" w:rsidRDefault="0081708A">
      <w:pPr>
        <w:pStyle w:val="FootnoteText"/>
      </w:pPr>
      <w:r w:rsidRPr="00603CC7">
        <w:rPr>
          <w:rStyle w:val="FootnoteReference"/>
        </w:rPr>
        <w:footnoteRef/>
      </w:r>
      <w:r w:rsidRPr="00603CC7">
        <w:t xml:space="preserve"> </w:t>
      </w:r>
      <w:r w:rsidRPr="0081708A">
        <w:rPr>
          <w:i/>
        </w:rPr>
        <w:t>Id.</w:t>
      </w:r>
      <w:r w:rsidRPr="00603CC7">
        <w:t xml:space="preserve"> </w:t>
      </w:r>
    </w:p>
  </w:footnote>
  <w:footnote w:id="15">
    <w:p w14:paraId="1A96033D" w14:textId="2999E6E8" w:rsidR="0081708A" w:rsidRPr="00603CC7" w:rsidRDefault="0081708A">
      <w:pPr>
        <w:pStyle w:val="FootnoteText"/>
      </w:pPr>
      <w:r w:rsidRPr="00603CC7">
        <w:rPr>
          <w:rStyle w:val="FootnoteReference"/>
        </w:rPr>
        <w:footnoteRef/>
      </w:r>
      <w:r w:rsidRPr="00603CC7">
        <w:t xml:space="preserve"> </w:t>
      </w:r>
      <w:r w:rsidRPr="00603CC7">
        <w:rPr>
          <w:i/>
        </w:rPr>
        <w:t>See</w:t>
      </w:r>
      <w:r w:rsidRPr="00603CC7">
        <w:t xml:space="preserve"> 18 C.F.R. § 292.304; </w:t>
      </w:r>
      <w:r w:rsidRPr="00603CC7">
        <w:rPr>
          <w:i/>
        </w:rPr>
        <w:t>see also</w:t>
      </w:r>
      <w:r w:rsidRPr="00603CC7">
        <w:t xml:space="preserve"> </w:t>
      </w:r>
      <w:r w:rsidRPr="00AB0977">
        <w:t>FERC Order No. 69</w:t>
      </w:r>
      <w:r>
        <w:t xml:space="preserve"> at </w:t>
      </w:r>
      <w:r w:rsidRPr="00603CC7">
        <w:t>12225-6.</w:t>
      </w:r>
    </w:p>
  </w:footnote>
  <w:footnote w:id="16">
    <w:p w14:paraId="213FB9EF" w14:textId="13432ACC" w:rsidR="0081708A" w:rsidRPr="00603CC7" w:rsidRDefault="0081708A">
      <w:pPr>
        <w:pStyle w:val="FootnoteText"/>
      </w:pPr>
      <w:r w:rsidRPr="00603CC7">
        <w:rPr>
          <w:rStyle w:val="FootnoteReference"/>
        </w:rPr>
        <w:footnoteRef/>
      </w:r>
      <w:r w:rsidRPr="00603CC7">
        <w:t xml:space="preserve"> 16 U.S.C. § 824a-3(e).</w:t>
      </w:r>
    </w:p>
  </w:footnote>
  <w:footnote w:id="17">
    <w:p w14:paraId="344C0245" w14:textId="3B019741" w:rsidR="0081708A" w:rsidRPr="00603CC7" w:rsidRDefault="0081708A">
      <w:pPr>
        <w:pStyle w:val="FootnoteText"/>
      </w:pPr>
      <w:r w:rsidRPr="00603CC7">
        <w:rPr>
          <w:rStyle w:val="FootnoteReference"/>
        </w:rPr>
        <w:footnoteRef/>
      </w:r>
      <w:r w:rsidRPr="00603CC7">
        <w:t xml:space="preserve"> 18 C.F.R. § 292.304(e). </w:t>
      </w:r>
    </w:p>
  </w:footnote>
  <w:footnote w:id="18">
    <w:p w14:paraId="771CCF5D" w14:textId="4DAEDDA0" w:rsidR="0081708A" w:rsidRPr="00603CC7" w:rsidRDefault="0081708A">
      <w:pPr>
        <w:pStyle w:val="FootnoteText"/>
      </w:pPr>
      <w:r w:rsidRPr="00603CC7">
        <w:rPr>
          <w:rStyle w:val="FootnoteReference"/>
        </w:rPr>
        <w:footnoteRef/>
      </w:r>
      <w:r w:rsidRPr="00603CC7">
        <w:t xml:space="preserve"> </w:t>
      </w:r>
      <w:r w:rsidRPr="00AB0977">
        <w:t>FERC Order No. 69</w:t>
      </w:r>
      <w:r>
        <w:t xml:space="preserve"> at </w:t>
      </w:r>
      <w:r w:rsidRPr="00603CC7">
        <w:t>12225.</w:t>
      </w:r>
    </w:p>
  </w:footnote>
  <w:footnote w:id="19">
    <w:p w14:paraId="153912D7" w14:textId="3BE36BDA" w:rsidR="0081708A" w:rsidRPr="00603CC7" w:rsidRDefault="0081708A">
      <w:pPr>
        <w:pStyle w:val="FootnoteText"/>
      </w:pPr>
      <w:r w:rsidRPr="00603CC7">
        <w:rPr>
          <w:rStyle w:val="FootnoteReference"/>
        </w:rPr>
        <w:footnoteRef/>
      </w:r>
      <w:r w:rsidRPr="00603CC7">
        <w:t xml:space="preserve"> </w:t>
      </w:r>
      <w:r w:rsidRPr="00603CC7">
        <w:rPr>
          <w:i/>
        </w:rPr>
        <w:t>In re Cal. Pub. Utils. Comm’n</w:t>
      </w:r>
      <w:r w:rsidRPr="00603CC7">
        <w:t xml:space="preserve">, 133 FERC ¶ 61059, </w:t>
      </w:r>
      <w:r w:rsidRPr="00AB0977">
        <w:t>2010 FERC LEXIS 1886</w:t>
      </w:r>
      <w:r w:rsidRPr="00603CC7">
        <w:fldChar w:fldCharType="begin"/>
      </w:r>
      <w:r w:rsidRPr="00603CC7">
        <w:instrText xml:space="preserve"> TA \l "</w:instrText>
      </w:r>
      <w:r w:rsidRPr="00603CC7">
        <w:rPr>
          <w:i/>
        </w:rPr>
        <w:instrText>In re Cal. Pub. Utils. Comm’n</w:instrText>
      </w:r>
      <w:r w:rsidRPr="00603CC7">
        <w:instrText>,</w:instrText>
      </w:r>
      <w:r w:rsidRPr="00603CC7">
        <w:br/>
        <w:instrText xml:space="preserve">133 FERC ¶ 61059, 2010 WL 4144227" \s "133 FERC" \c 3 </w:instrText>
      </w:r>
      <w:r w:rsidRPr="00603CC7">
        <w:fldChar w:fldCharType="end"/>
      </w:r>
      <w:r w:rsidRPr="00603CC7">
        <w:t xml:space="preserve">; </w:t>
      </w:r>
      <w:r w:rsidRPr="00603CC7">
        <w:rPr>
          <w:i/>
        </w:rPr>
        <w:t>Am. Paper Inst., Inc. v. Am. Elec. Power Serv. Corp.</w:t>
      </w:r>
      <w:r>
        <w:t xml:space="preserve">, 461 U.S. 402, 416 </w:t>
      </w:r>
      <w:r w:rsidRPr="00603CC7">
        <w:t>(1983)</w:t>
      </w:r>
      <w:r w:rsidRPr="00603CC7">
        <w:fldChar w:fldCharType="begin"/>
      </w:r>
      <w:r w:rsidRPr="00603CC7">
        <w:instrText xml:space="preserve"> TA \l "</w:instrText>
      </w:r>
      <w:r w:rsidRPr="00603CC7">
        <w:rPr>
          <w:i/>
        </w:rPr>
        <w:instrText>Am. Paper Inst., Inc. v. Am. Elec. Power Serv. Corp.</w:instrText>
      </w:r>
      <w:r w:rsidRPr="00603CC7">
        <w:instrText>,</w:instrText>
      </w:r>
      <w:r w:rsidRPr="00603CC7">
        <w:br/>
        <w:instrText xml:space="preserve">461 U.S. 402, 103 S. Ct. 1921, 76 L. Ed. 2d 22 (1983)" \s "Am. Paper" \c 1 </w:instrText>
      </w:r>
      <w:r w:rsidRPr="00603CC7">
        <w:fldChar w:fldCharType="end"/>
      </w:r>
      <w:r w:rsidRPr="00603CC7">
        <w:t xml:space="preserve">; </w:t>
      </w:r>
      <w:r w:rsidRPr="00603CC7">
        <w:rPr>
          <w:i/>
        </w:rPr>
        <w:t>Indep. Energy</w:t>
      </w:r>
      <w:r w:rsidRPr="00603CC7">
        <w:rPr>
          <w:i/>
        </w:rPr>
        <w:fldChar w:fldCharType="begin"/>
      </w:r>
      <w:r w:rsidRPr="00603CC7">
        <w:instrText xml:space="preserve"> TA \s "Indep. Energy" </w:instrText>
      </w:r>
      <w:r w:rsidRPr="00603CC7">
        <w:rPr>
          <w:i/>
        </w:rPr>
        <w:fldChar w:fldCharType="end"/>
      </w:r>
      <w:r w:rsidRPr="00603CC7">
        <w:rPr>
          <w:i/>
        </w:rPr>
        <w:t xml:space="preserve"> Producers Ass’n, Inc. v. Cal. Pub. Utils. Comm’n</w:t>
      </w:r>
      <w:r w:rsidRPr="00603CC7">
        <w:t>, 36 F.3d at 856 (9th Cir. 1994) (PURPA delegates to the states “broad authority” to implement its QF provisions).</w:t>
      </w:r>
    </w:p>
  </w:footnote>
  <w:footnote w:id="20">
    <w:p w14:paraId="258FBA2D" w14:textId="50315DBB" w:rsidR="0081708A" w:rsidRPr="00603CC7" w:rsidRDefault="0081708A">
      <w:pPr>
        <w:pStyle w:val="FootnoteText"/>
      </w:pPr>
      <w:r w:rsidRPr="00603CC7">
        <w:rPr>
          <w:rStyle w:val="FootnoteReference"/>
        </w:rPr>
        <w:footnoteRef/>
      </w:r>
      <w:r w:rsidRPr="00603CC7">
        <w:t xml:space="preserve"> 18 C.F.R. § 292.304(c)(1).</w:t>
      </w:r>
    </w:p>
  </w:footnote>
  <w:footnote w:id="21">
    <w:p w14:paraId="6459E863" w14:textId="4CF2AB6C" w:rsidR="0081708A" w:rsidRPr="00603CC7" w:rsidRDefault="0081708A">
      <w:pPr>
        <w:pStyle w:val="FootnoteText"/>
      </w:pPr>
      <w:r w:rsidRPr="00603CC7">
        <w:rPr>
          <w:rStyle w:val="FootnoteReference"/>
        </w:rPr>
        <w:footnoteRef/>
      </w:r>
      <w:r w:rsidRPr="00603CC7">
        <w:t xml:space="preserve"> </w:t>
      </w:r>
      <w:r w:rsidRPr="00AB0977">
        <w:t xml:space="preserve">FERC Order No. 69 </w:t>
      </w:r>
      <w:r>
        <w:t xml:space="preserve">at </w:t>
      </w:r>
      <w:r w:rsidRPr="00603CC7">
        <w:t>12223.</w:t>
      </w:r>
    </w:p>
  </w:footnote>
  <w:footnote w:id="22">
    <w:p w14:paraId="734FB6A5" w14:textId="7BC57F58" w:rsidR="0081708A" w:rsidRPr="00603CC7" w:rsidRDefault="0081708A">
      <w:pPr>
        <w:pStyle w:val="FootnoteText"/>
      </w:pPr>
      <w:r w:rsidRPr="00603CC7">
        <w:rPr>
          <w:rStyle w:val="FootnoteReference"/>
        </w:rPr>
        <w:footnoteRef/>
      </w:r>
      <w:r w:rsidRPr="00603CC7">
        <w:t xml:space="preserve"> </w:t>
      </w:r>
      <w:r w:rsidRPr="003238FF">
        <w:rPr>
          <w:i/>
        </w:rPr>
        <w:t>Id</w:t>
      </w:r>
      <w:r>
        <w:t>.</w:t>
      </w:r>
      <w:r w:rsidRPr="00603CC7">
        <w:t xml:space="preserve">; 18 C.F.R. § 292.304(c). </w:t>
      </w:r>
    </w:p>
  </w:footnote>
  <w:footnote w:id="23">
    <w:p w14:paraId="76CF04C7" w14:textId="05A65449" w:rsidR="0081708A" w:rsidRPr="00603CC7" w:rsidRDefault="0081708A">
      <w:pPr>
        <w:pStyle w:val="FootnoteText"/>
      </w:pPr>
      <w:r w:rsidRPr="00603CC7">
        <w:rPr>
          <w:rStyle w:val="FootnoteReference"/>
        </w:rPr>
        <w:footnoteRef/>
      </w:r>
      <w:r w:rsidRPr="00603CC7">
        <w:t xml:space="preserve"> Declaration of Brian S. Dickman ¶ 6 (“In order to maintain the ratepayer indifference objective mandated by the Public Utility Regulatory Policies Act of 1978, deferred capacity costs must be included in avoided costs in a manner consistent with the Company’s resource procurement plans identified in its IRP.”).</w:t>
      </w:r>
    </w:p>
  </w:footnote>
  <w:footnote w:id="24">
    <w:p w14:paraId="4958CDAC" w14:textId="2C2CD383" w:rsidR="0081708A" w:rsidRPr="00603CC7" w:rsidRDefault="0081708A">
      <w:pPr>
        <w:pStyle w:val="FootnoteText"/>
      </w:pPr>
      <w:r w:rsidRPr="00603CC7">
        <w:rPr>
          <w:rStyle w:val="FootnoteReference"/>
        </w:rPr>
        <w:footnoteRef/>
      </w:r>
      <w:r w:rsidRPr="00603CC7">
        <w:t xml:space="preserve"> Rebuttal Declaration of Brian S. Dickman ¶ 9 (“Including a thermal resource capacity adder on top of the price of avoided market transactions would over-compensate QFs and would squarely conflict with PURPA's ‘customer indifference’ standard.”); </w:t>
      </w:r>
      <w:r w:rsidRPr="00603CC7">
        <w:rPr>
          <w:i/>
        </w:rPr>
        <w:t>see also</w:t>
      </w:r>
      <w:r w:rsidRPr="00603CC7">
        <w:t xml:space="preserve"> ¶¶ 11, 21, 29.</w:t>
      </w:r>
    </w:p>
  </w:footnote>
  <w:footnote w:id="25">
    <w:p w14:paraId="6FD7B3A0" w14:textId="04699E5D" w:rsidR="0081708A" w:rsidRPr="00603CC7" w:rsidRDefault="0081708A" w:rsidP="00904870">
      <w:pPr>
        <w:pStyle w:val="FootnoteText"/>
      </w:pPr>
      <w:r w:rsidRPr="00603CC7">
        <w:rPr>
          <w:rStyle w:val="FootnoteReference"/>
        </w:rPr>
        <w:footnoteRef/>
      </w:r>
      <w:r w:rsidRPr="00603CC7">
        <w:t xml:space="preserve"> 16 U.S.C. § 824a-3(b); 18 C.F.R. §§ 292.101(b)(6),</w:t>
      </w:r>
      <w:r w:rsidRPr="00603CC7">
        <w:fldChar w:fldCharType="begin"/>
      </w:r>
      <w:r w:rsidRPr="00603CC7">
        <w:instrText xml:space="preserve"> TA \l "18 C.F.R. § 292.101(b)(6)" \s "18 C.F.R. § 292.101(b)(6)" \c 6 </w:instrText>
      </w:r>
      <w:r w:rsidRPr="00603CC7">
        <w:fldChar w:fldCharType="end"/>
      </w:r>
      <w:r w:rsidRPr="00603CC7">
        <w:t xml:space="preserve"> .304 (emphasis added).</w:t>
      </w:r>
    </w:p>
  </w:footnote>
  <w:footnote w:id="26">
    <w:p w14:paraId="2313AEED" w14:textId="77777777" w:rsidR="0081708A" w:rsidRPr="00603CC7" w:rsidRDefault="0081708A" w:rsidP="00B319E5">
      <w:pPr>
        <w:pStyle w:val="FootnoteText"/>
      </w:pPr>
      <w:r w:rsidRPr="00603CC7">
        <w:rPr>
          <w:rStyle w:val="FootnoteReference"/>
        </w:rPr>
        <w:footnoteRef/>
      </w:r>
      <w:r w:rsidRPr="00603CC7">
        <w:t xml:space="preserve"> WAC 480-107-055.</w:t>
      </w:r>
    </w:p>
  </w:footnote>
  <w:footnote w:id="27">
    <w:p w14:paraId="59FEB56C" w14:textId="77777777" w:rsidR="0081708A" w:rsidRPr="00603CC7" w:rsidRDefault="0081708A" w:rsidP="00E57B00">
      <w:pPr>
        <w:pStyle w:val="FootnoteText"/>
      </w:pPr>
      <w:r w:rsidRPr="00603CC7">
        <w:rPr>
          <w:rStyle w:val="FootnoteReference"/>
        </w:rPr>
        <w:footnoteRef/>
      </w:r>
      <w:r w:rsidRPr="00603CC7">
        <w:t xml:space="preserve"> Declaration of Brian S. Dickman ¶ 4.</w:t>
      </w:r>
    </w:p>
  </w:footnote>
  <w:footnote w:id="28">
    <w:p w14:paraId="25A1C773" w14:textId="4DDBE3D3" w:rsidR="0081708A" w:rsidRPr="00603CC7" w:rsidRDefault="0081708A" w:rsidP="00E57B00">
      <w:pPr>
        <w:pStyle w:val="FootnoteText"/>
      </w:pPr>
      <w:r w:rsidRPr="00603CC7">
        <w:rPr>
          <w:rStyle w:val="FootnoteReference"/>
        </w:rPr>
        <w:footnoteRef/>
      </w:r>
      <w:r w:rsidRPr="00603CC7">
        <w:t xml:space="preserve"> </w:t>
      </w:r>
      <w:r w:rsidRPr="00474686">
        <w:t xml:space="preserve">Declaration of </w:t>
      </w:r>
      <w:r>
        <w:t xml:space="preserve">Jeremy B. </w:t>
      </w:r>
      <w:r w:rsidRPr="00603CC7">
        <w:t>Twitchell ¶ 40.</w:t>
      </w:r>
    </w:p>
  </w:footnote>
  <w:footnote w:id="29">
    <w:p w14:paraId="213FBF7F" w14:textId="77777777" w:rsidR="0081708A" w:rsidRPr="00603CC7" w:rsidRDefault="0081708A" w:rsidP="00B319E5">
      <w:pPr>
        <w:pStyle w:val="FootnoteText"/>
      </w:pPr>
      <w:r w:rsidRPr="00603CC7">
        <w:rPr>
          <w:rStyle w:val="FootnoteReference"/>
        </w:rPr>
        <w:footnoteRef/>
      </w:r>
      <w:r w:rsidRPr="00603CC7">
        <w:t xml:space="preserve"> Rebuttal Declaration of Brian S. Dickman ¶ 21. </w:t>
      </w:r>
    </w:p>
  </w:footnote>
  <w:footnote w:id="30">
    <w:p w14:paraId="6813C3B2" w14:textId="5078D98C" w:rsidR="0081708A" w:rsidRPr="00603CC7" w:rsidRDefault="0081708A">
      <w:pPr>
        <w:pStyle w:val="FootnoteText"/>
      </w:pPr>
      <w:r w:rsidRPr="00603CC7">
        <w:rPr>
          <w:rStyle w:val="FootnoteReference"/>
        </w:rPr>
        <w:footnoteRef/>
      </w:r>
      <w:r w:rsidRPr="00603CC7">
        <w:t xml:space="preserve"> </w:t>
      </w:r>
      <w:r w:rsidRPr="00474686">
        <w:t xml:space="preserve">Declaration of Jeremy B. Twitchell </w:t>
      </w:r>
      <w:r w:rsidRPr="00603CC7">
        <w:t>¶ 39.</w:t>
      </w:r>
    </w:p>
  </w:footnote>
  <w:footnote w:id="31">
    <w:p w14:paraId="29B76C86" w14:textId="39083257" w:rsidR="0081708A" w:rsidRPr="00603CC7" w:rsidRDefault="0081708A">
      <w:pPr>
        <w:pStyle w:val="FootnoteText"/>
      </w:pPr>
      <w:r w:rsidRPr="00603CC7">
        <w:rPr>
          <w:rStyle w:val="FootnoteReference"/>
        </w:rPr>
        <w:footnoteRef/>
      </w:r>
      <w:r w:rsidRPr="00603CC7">
        <w:t xml:space="preserve"> </w:t>
      </w:r>
      <w:r w:rsidRPr="0081708A">
        <w:rPr>
          <w:i/>
        </w:rPr>
        <w:t>Id</w:t>
      </w:r>
      <w:r>
        <w:t>.</w:t>
      </w:r>
    </w:p>
  </w:footnote>
  <w:footnote w:id="32">
    <w:p w14:paraId="0AD18A82" w14:textId="7C701B8E" w:rsidR="0081708A" w:rsidRPr="00603CC7" w:rsidRDefault="0081708A">
      <w:pPr>
        <w:pStyle w:val="FootnoteText"/>
      </w:pPr>
      <w:r w:rsidRPr="00603CC7">
        <w:rPr>
          <w:rStyle w:val="FootnoteReference"/>
        </w:rPr>
        <w:footnoteRef/>
      </w:r>
      <w:r w:rsidRPr="00603CC7">
        <w:t xml:space="preserve"> </w:t>
      </w:r>
      <w:r w:rsidRPr="0081708A">
        <w:rPr>
          <w:i/>
        </w:rPr>
        <w:t>Id</w:t>
      </w:r>
      <w:r>
        <w:t>.</w:t>
      </w:r>
      <w:r w:rsidRPr="00603CC7">
        <w:t xml:space="preserve"> </w:t>
      </w:r>
    </w:p>
  </w:footnote>
  <w:footnote w:id="33">
    <w:p w14:paraId="49DBD64E" w14:textId="65642124" w:rsidR="0081708A" w:rsidRPr="00603CC7" w:rsidRDefault="0081708A" w:rsidP="005167E5">
      <w:pPr>
        <w:pStyle w:val="FootnoteText"/>
      </w:pPr>
      <w:r w:rsidRPr="00603CC7">
        <w:rPr>
          <w:rStyle w:val="FootnoteReference"/>
        </w:rPr>
        <w:footnoteRef/>
      </w:r>
      <w:r w:rsidRPr="00603CC7">
        <w:t xml:space="preserve"> </w:t>
      </w:r>
      <w:r>
        <w:t>Unopposed Joint Motion to Admit Evidence,</w:t>
      </w:r>
      <w:r w:rsidRPr="005B442D">
        <w:t xml:space="preserve"> Exhibit 1: Redacted list of qualifying facilities on PacifiCorp’s system</w:t>
      </w:r>
      <w:r>
        <w:t xml:space="preserve"> (May 7, 2015) (On May 12, 2015, Order 03 granted the </w:t>
      </w:r>
      <w:r w:rsidRPr="005B442D">
        <w:t>Unopposed Joint Motion to Admit Evidence</w:t>
      </w:r>
      <w:r>
        <w:t>).</w:t>
      </w:r>
      <w:r w:rsidRPr="00603CC7">
        <w:t xml:space="preserve"> </w:t>
      </w:r>
    </w:p>
  </w:footnote>
  <w:footnote w:id="34">
    <w:p w14:paraId="2C49389C" w14:textId="36F770DF" w:rsidR="0081708A" w:rsidRPr="00603CC7" w:rsidRDefault="0081708A">
      <w:pPr>
        <w:pStyle w:val="FootnoteText"/>
      </w:pPr>
      <w:r w:rsidRPr="00603CC7">
        <w:rPr>
          <w:rStyle w:val="FootnoteReference"/>
        </w:rPr>
        <w:footnoteRef/>
      </w:r>
      <w:r w:rsidRPr="00603CC7">
        <w:t xml:space="preserve"> </w:t>
      </w:r>
      <w:r w:rsidRPr="0081708A">
        <w:rPr>
          <w:i/>
        </w:rPr>
        <w:t>Id</w:t>
      </w:r>
      <w:r>
        <w:t>.</w:t>
      </w:r>
    </w:p>
  </w:footnote>
  <w:footnote w:id="35">
    <w:p w14:paraId="0114ADE8" w14:textId="36A651CE" w:rsidR="0081708A" w:rsidRPr="00603CC7" w:rsidRDefault="0081708A">
      <w:pPr>
        <w:pStyle w:val="FootnoteText"/>
      </w:pPr>
      <w:r w:rsidRPr="00603CC7">
        <w:rPr>
          <w:rStyle w:val="FootnoteReference"/>
        </w:rPr>
        <w:footnoteRef/>
      </w:r>
      <w:r w:rsidRPr="00603CC7">
        <w:t xml:space="preserve"> </w:t>
      </w:r>
      <w:r w:rsidRPr="0081708A">
        <w:rPr>
          <w:i/>
        </w:rPr>
        <w:t>Id</w:t>
      </w:r>
      <w:r>
        <w:t>.</w:t>
      </w:r>
    </w:p>
  </w:footnote>
  <w:footnote w:id="36">
    <w:p w14:paraId="5A0441A1" w14:textId="5FDCA07E" w:rsidR="0081708A" w:rsidRPr="00603CC7" w:rsidRDefault="0081708A">
      <w:pPr>
        <w:pStyle w:val="FootnoteText"/>
      </w:pPr>
      <w:r w:rsidRPr="00603CC7">
        <w:rPr>
          <w:rStyle w:val="FootnoteReference"/>
        </w:rPr>
        <w:footnoteRef/>
      </w:r>
      <w:r w:rsidRPr="00603CC7">
        <w:t xml:space="preserve"> </w:t>
      </w:r>
      <w:r w:rsidRPr="0081708A">
        <w:rPr>
          <w:i/>
        </w:rPr>
        <w:t>Id</w:t>
      </w:r>
      <w:r>
        <w:t>.</w:t>
      </w:r>
    </w:p>
  </w:footnote>
  <w:footnote w:id="37">
    <w:p w14:paraId="66D3DF26" w14:textId="1A0EF97F" w:rsidR="0081708A" w:rsidRDefault="0081708A">
      <w:pPr>
        <w:pStyle w:val="FootnoteText"/>
      </w:pPr>
      <w:r>
        <w:rPr>
          <w:rStyle w:val="FootnoteReference"/>
        </w:rPr>
        <w:footnoteRef/>
      </w:r>
      <w:r>
        <w:t xml:space="preserve"> </w:t>
      </w:r>
      <w:r w:rsidRPr="00050CFD">
        <w:rPr>
          <w:i/>
        </w:rPr>
        <w:t>See</w:t>
      </w:r>
      <w:r>
        <w:t xml:space="preserve"> </w:t>
      </w:r>
      <w:r w:rsidRPr="00474686">
        <w:t xml:space="preserve">Declaration of Jeremy B. Twitchell </w:t>
      </w:r>
      <w:r>
        <w:t>¶ 40</w:t>
      </w:r>
      <w:r w:rsidRPr="00DD4B55">
        <w:t>.</w:t>
      </w:r>
    </w:p>
  </w:footnote>
  <w:footnote w:id="38">
    <w:p w14:paraId="1685B9FE" w14:textId="6D767F94" w:rsidR="0081708A" w:rsidRPr="00603CC7" w:rsidRDefault="0081708A">
      <w:pPr>
        <w:pStyle w:val="FootnoteText"/>
      </w:pPr>
      <w:r w:rsidRPr="00603CC7">
        <w:rPr>
          <w:rStyle w:val="FootnoteReference"/>
        </w:rPr>
        <w:footnoteRef/>
      </w:r>
      <w:r w:rsidRPr="00603CC7">
        <w:t xml:space="preserve"> </w:t>
      </w:r>
      <w:r w:rsidRPr="00AB0977">
        <w:t xml:space="preserve">FERC Order No. 69 </w:t>
      </w:r>
      <w:r>
        <w:t xml:space="preserve">at </w:t>
      </w:r>
      <w:r w:rsidRPr="00603CC7">
        <w:t xml:space="preserve">12225. </w:t>
      </w:r>
    </w:p>
  </w:footnote>
  <w:footnote w:id="39">
    <w:p w14:paraId="55ECA394" w14:textId="17EA779A" w:rsidR="0081708A" w:rsidRPr="00603CC7" w:rsidRDefault="0081708A">
      <w:pPr>
        <w:pStyle w:val="FootnoteText"/>
      </w:pPr>
      <w:r w:rsidRPr="00603CC7">
        <w:rPr>
          <w:rStyle w:val="FootnoteReference"/>
        </w:rPr>
        <w:footnoteRef/>
      </w:r>
      <w:r w:rsidRPr="00603CC7">
        <w:t xml:space="preserve"> </w:t>
      </w:r>
      <w:r w:rsidRPr="0081708A">
        <w:rPr>
          <w:i/>
        </w:rPr>
        <w:t>Id</w:t>
      </w:r>
      <w:r>
        <w:t>.</w:t>
      </w:r>
      <w:r w:rsidRPr="00AB0977">
        <w:t xml:space="preserve"> </w:t>
      </w:r>
      <w:r>
        <w:t xml:space="preserve">at </w:t>
      </w:r>
      <w:r w:rsidRPr="00603CC7">
        <w:t>12226.</w:t>
      </w:r>
    </w:p>
  </w:footnote>
  <w:footnote w:id="40">
    <w:p w14:paraId="1F8D3495" w14:textId="4332FC60" w:rsidR="0081708A" w:rsidRPr="00603CC7" w:rsidRDefault="0081708A">
      <w:pPr>
        <w:pStyle w:val="FootnoteText"/>
      </w:pPr>
      <w:r w:rsidRPr="00603CC7">
        <w:rPr>
          <w:rStyle w:val="FootnoteReference"/>
        </w:rPr>
        <w:footnoteRef/>
      </w:r>
      <w:r w:rsidRPr="00603CC7">
        <w:t xml:space="preserve"> </w:t>
      </w:r>
      <w:r w:rsidRPr="0081708A">
        <w:rPr>
          <w:i/>
        </w:rPr>
        <w:t>Id</w:t>
      </w:r>
      <w:r>
        <w:t>.</w:t>
      </w:r>
      <w:r w:rsidRPr="00603CC7">
        <w:t xml:space="preserve"> (emphasis added).</w:t>
      </w:r>
    </w:p>
  </w:footnote>
  <w:footnote w:id="41">
    <w:p w14:paraId="251EB9D9" w14:textId="2771396A" w:rsidR="0081708A" w:rsidRPr="00603CC7" w:rsidRDefault="0081708A">
      <w:pPr>
        <w:pStyle w:val="FootnoteText"/>
      </w:pPr>
      <w:r w:rsidRPr="00603CC7">
        <w:rPr>
          <w:rStyle w:val="FootnoteReference"/>
        </w:rPr>
        <w:footnoteRef/>
      </w:r>
      <w:r w:rsidRPr="00603CC7">
        <w:t xml:space="preserve"> Declaration of Brian S. Dickman ¶ </w:t>
      </w:r>
      <w:r>
        <w:t>7</w:t>
      </w:r>
      <w:r w:rsidRPr="00603CC7">
        <w:t xml:space="preserve">. </w:t>
      </w:r>
    </w:p>
  </w:footnote>
  <w:footnote w:id="42">
    <w:p w14:paraId="17C99543" w14:textId="51982531" w:rsidR="0081708A" w:rsidRPr="00603CC7" w:rsidRDefault="0081708A">
      <w:pPr>
        <w:pStyle w:val="FootnoteText"/>
      </w:pPr>
      <w:r w:rsidRPr="00603CC7">
        <w:rPr>
          <w:rStyle w:val="FootnoteReference"/>
        </w:rPr>
        <w:footnoteRef/>
      </w:r>
      <w:r w:rsidRPr="00603CC7">
        <w:t xml:space="preserve"> </w:t>
      </w:r>
      <w:r w:rsidRPr="0081708A">
        <w:rPr>
          <w:i/>
        </w:rPr>
        <w:t>Id</w:t>
      </w:r>
      <w:r>
        <w:t>. at</w:t>
      </w:r>
      <w:r w:rsidRPr="00603CC7">
        <w:t xml:space="preserve"> ¶ 1</w:t>
      </w:r>
      <w:r>
        <w:t>0</w:t>
      </w:r>
      <w:r w:rsidRPr="00603CC7">
        <w:t>.</w:t>
      </w:r>
    </w:p>
  </w:footnote>
  <w:footnote w:id="43">
    <w:p w14:paraId="1A2A9F78" w14:textId="546617E0" w:rsidR="0081708A" w:rsidRPr="00603CC7" w:rsidRDefault="0081708A">
      <w:pPr>
        <w:pStyle w:val="FootnoteText"/>
      </w:pPr>
      <w:r w:rsidRPr="00603CC7">
        <w:rPr>
          <w:rStyle w:val="FootnoteReference"/>
        </w:rPr>
        <w:footnoteRef/>
      </w:r>
      <w:r w:rsidRPr="00603CC7">
        <w:t xml:space="preserve"> </w:t>
      </w:r>
      <w:r w:rsidRPr="00474686">
        <w:t xml:space="preserve">Declaration of Jeremy B. Twitchell </w:t>
      </w:r>
      <w:r w:rsidRPr="00603CC7">
        <w:t xml:space="preserve">¶¶ 22-23; </w:t>
      </w:r>
      <w:r>
        <w:rPr>
          <w:i/>
        </w:rPr>
        <w:t>s</w:t>
      </w:r>
      <w:r w:rsidRPr="00603CC7">
        <w:rPr>
          <w:i/>
        </w:rPr>
        <w:t xml:space="preserve">ee also </w:t>
      </w:r>
      <w:r w:rsidRPr="00603CC7">
        <w:t>Declaration of Brian S. Dickman ¶¶ 12, 7.</w:t>
      </w:r>
    </w:p>
  </w:footnote>
  <w:footnote w:id="44">
    <w:p w14:paraId="3F55CA93" w14:textId="3678E8C5" w:rsidR="0081708A" w:rsidRPr="00603CC7" w:rsidRDefault="0081708A">
      <w:pPr>
        <w:pStyle w:val="FootnoteText"/>
      </w:pPr>
      <w:r w:rsidRPr="00603CC7">
        <w:rPr>
          <w:rStyle w:val="FootnoteReference"/>
        </w:rPr>
        <w:footnoteRef/>
      </w:r>
      <w:r w:rsidRPr="00603CC7">
        <w:t xml:space="preserve"> Decl</w:t>
      </w:r>
      <w:r>
        <w:t>aration of Brian S. Dickman ¶ 12</w:t>
      </w:r>
      <w:r w:rsidRPr="00603CC7">
        <w:t xml:space="preserve">. </w:t>
      </w:r>
    </w:p>
  </w:footnote>
  <w:footnote w:id="45">
    <w:p w14:paraId="254C04F1" w14:textId="74E329E6" w:rsidR="0081708A" w:rsidRPr="00603CC7" w:rsidRDefault="0081708A">
      <w:pPr>
        <w:pStyle w:val="FootnoteText"/>
      </w:pPr>
      <w:r w:rsidRPr="00603CC7">
        <w:rPr>
          <w:rStyle w:val="FootnoteReference"/>
        </w:rPr>
        <w:footnoteRef/>
      </w:r>
      <w:r>
        <w:t xml:space="preserve"> </w:t>
      </w:r>
      <w:r w:rsidRPr="00474686">
        <w:t>Declaration of Jeremy B. Twitchell</w:t>
      </w:r>
      <w:r w:rsidRPr="00603CC7">
        <w:t xml:space="preserve"> ¶ 16; </w:t>
      </w:r>
      <w:r>
        <w:rPr>
          <w:i/>
        </w:rPr>
        <w:t>s</w:t>
      </w:r>
      <w:r w:rsidRPr="00603CC7">
        <w:rPr>
          <w:i/>
        </w:rPr>
        <w:t xml:space="preserve">ee also </w:t>
      </w:r>
      <w:r w:rsidRPr="00603CC7">
        <w:t>Declaration of Brian S. Dickman ¶ 11.</w:t>
      </w:r>
    </w:p>
  </w:footnote>
  <w:footnote w:id="46">
    <w:p w14:paraId="5DCD0587" w14:textId="27B73814" w:rsidR="0081708A" w:rsidRPr="00603CC7" w:rsidRDefault="0081708A">
      <w:pPr>
        <w:pStyle w:val="FootnoteText"/>
      </w:pPr>
      <w:r w:rsidRPr="00603CC7">
        <w:rPr>
          <w:rStyle w:val="FootnoteReference"/>
        </w:rPr>
        <w:footnoteRef/>
      </w:r>
      <w:r w:rsidRPr="00603CC7">
        <w:t xml:space="preserve"> </w:t>
      </w:r>
      <w:r w:rsidRPr="00474686">
        <w:t xml:space="preserve">Declaration of Jeremy B. Twitchell </w:t>
      </w:r>
      <w:r w:rsidRPr="00603CC7">
        <w:t xml:space="preserve">¶ 16. </w:t>
      </w:r>
    </w:p>
  </w:footnote>
  <w:footnote w:id="47">
    <w:p w14:paraId="4348CAFB" w14:textId="3485D24C" w:rsidR="0081708A" w:rsidRPr="00603CC7" w:rsidRDefault="0081708A" w:rsidP="00247BAF">
      <w:pPr>
        <w:pStyle w:val="FootnoteText"/>
      </w:pPr>
      <w:r w:rsidRPr="00603CC7">
        <w:rPr>
          <w:rStyle w:val="FootnoteReference"/>
        </w:rPr>
        <w:footnoteRef/>
      </w:r>
      <w:r w:rsidRPr="00603CC7">
        <w:t xml:space="preserve"> </w:t>
      </w:r>
      <w:r w:rsidRPr="00556E25">
        <w:rPr>
          <w:i/>
        </w:rPr>
        <w:t>Id</w:t>
      </w:r>
      <w:r>
        <w:t>. at</w:t>
      </w:r>
      <w:r w:rsidRPr="00474686">
        <w:t xml:space="preserve"> </w:t>
      </w:r>
      <w:r w:rsidRPr="00603CC7">
        <w:t xml:space="preserve">¶ 17 (citing </w:t>
      </w:r>
      <w:r w:rsidRPr="00603CC7">
        <w:rPr>
          <w:i/>
        </w:rPr>
        <w:t>In the Matter of PacifiCorp 2015 Integrated Resource Plan,</w:t>
      </w:r>
      <w:r w:rsidRPr="00603CC7">
        <w:t xml:space="preserve"> Docket UE-140546, PacifiCorp 2015 IRP, Volume I </w:t>
      </w:r>
      <w:r>
        <w:t>at</w:t>
      </w:r>
      <w:r w:rsidRPr="00603CC7">
        <w:t xml:space="preserve"> 128 (</w:t>
      </w:r>
      <w:r w:rsidRPr="00466995">
        <w:t>emphasis added</w:t>
      </w:r>
      <w:r w:rsidRPr="00603CC7">
        <w:t>).</w:t>
      </w:r>
      <w:r>
        <w:t xml:space="preserve"> </w:t>
      </w:r>
    </w:p>
  </w:footnote>
  <w:footnote w:id="48">
    <w:p w14:paraId="3A7D19C7" w14:textId="30609BAA" w:rsidR="0081708A" w:rsidRDefault="0081708A" w:rsidP="00466995">
      <w:pPr>
        <w:pStyle w:val="FootnoteText"/>
      </w:pPr>
      <w:r>
        <w:rPr>
          <w:rStyle w:val="FootnoteReference"/>
        </w:rPr>
        <w:footnoteRef/>
      </w:r>
      <w:r>
        <w:t xml:space="preserve"> </w:t>
      </w:r>
      <w:r w:rsidRPr="00466995">
        <w:rPr>
          <w:i/>
        </w:rPr>
        <w:t>In the Matter of PacifiCorp 2015 Integrated Resource Plan,</w:t>
      </w:r>
      <w:r w:rsidRPr="00466995">
        <w:t xml:space="preserve"> Docket UE-140546, PacifiCorp 2015 IRP, Volume I </w:t>
      </w:r>
      <w:r>
        <w:t>at</w:t>
      </w:r>
      <w:r w:rsidRPr="00466995">
        <w:t xml:space="preserve"> 128 (emphasis added).</w:t>
      </w:r>
    </w:p>
  </w:footnote>
  <w:footnote w:id="49">
    <w:p w14:paraId="676C132A" w14:textId="69F89E0F" w:rsidR="0081708A" w:rsidRPr="00603CC7" w:rsidRDefault="0081708A">
      <w:pPr>
        <w:pStyle w:val="FootnoteText"/>
      </w:pPr>
      <w:r w:rsidRPr="00603CC7">
        <w:rPr>
          <w:rStyle w:val="FootnoteReference"/>
        </w:rPr>
        <w:footnoteRef/>
      </w:r>
      <w:r w:rsidRPr="00603CC7">
        <w:t xml:space="preserve"> Declaration of Brian S. Dickman ¶ 11.</w:t>
      </w:r>
    </w:p>
  </w:footnote>
  <w:footnote w:id="50">
    <w:p w14:paraId="3C9FE38B" w14:textId="5E187344" w:rsidR="0081708A" w:rsidRPr="00603CC7" w:rsidRDefault="0081708A">
      <w:pPr>
        <w:pStyle w:val="FootnoteText"/>
      </w:pPr>
      <w:r w:rsidRPr="00603CC7">
        <w:rPr>
          <w:rStyle w:val="FootnoteReference"/>
        </w:rPr>
        <w:footnoteRef/>
      </w:r>
      <w:r w:rsidRPr="00603CC7">
        <w:t xml:space="preserve"> </w:t>
      </w:r>
      <w:r w:rsidRPr="00474686">
        <w:t xml:space="preserve">Declaration of Jeremy B. Twitchell </w:t>
      </w:r>
      <w:r w:rsidRPr="00603CC7">
        <w:t xml:space="preserve">¶ 16 (citing </w:t>
      </w:r>
      <w:r w:rsidRPr="00603CC7">
        <w:rPr>
          <w:i/>
        </w:rPr>
        <w:t>In the Matter of PacifiCorp 2015 Integrated Resource Plan,</w:t>
      </w:r>
      <w:r w:rsidRPr="00603CC7">
        <w:t xml:space="preserve"> Docket UE-140546, PacifiCorp 2015 IRP, Volume I </w:t>
      </w:r>
      <w:r>
        <w:t>at</w:t>
      </w:r>
      <w:r w:rsidRPr="00603CC7">
        <w:t xml:space="preserve"> 196).</w:t>
      </w:r>
    </w:p>
  </w:footnote>
  <w:footnote w:id="51">
    <w:p w14:paraId="5A214474" w14:textId="2E53266E" w:rsidR="0081708A" w:rsidRPr="00603CC7" w:rsidRDefault="0081708A">
      <w:pPr>
        <w:pStyle w:val="FootnoteText"/>
      </w:pPr>
      <w:r w:rsidRPr="00603CC7">
        <w:rPr>
          <w:rStyle w:val="FootnoteReference"/>
        </w:rPr>
        <w:footnoteRef/>
      </w:r>
      <w:r w:rsidRPr="00603CC7">
        <w:t xml:space="preserve"> </w:t>
      </w:r>
      <w:r w:rsidRPr="0081708A">
        <w:rPr>
          <w:i/>
        </w:rPr>
        <w:t>Id</w:t>
      </w:r>
      <w:r>
        <w:t>.</w:t>
      </w:r>
    </w:p>
  </w:footnote>
  <w:footnote w:id="52">
    <w:p w14:paraId="1EBBDB1A" w14:textId="351D794D" w:rsidR="0081708A" w:rsidRDefault="0081708A">
      <w:pPr>
        <w:pStyle w:val="FootnoteText"/>
      </w:pPr>
      <w:r>
        <w:rPr>
          <w:rStyle w:val="FootnoteReference"/>
        </w:rPr>
        <w:footnoteRef/>
      </w:r>
      <w:r>
        <w:t xml:space="preserve"> </w:t>
      </w:r>
      <w:r w:rsidRPr="0081708A">
        <w:rPr>
          <w:i/>
        </w:rPr>
        <w:t>Id</w:t>
      </w:r>
      <w:r>
        <w:t>. at</w:t>
      </w:r>
      <w:r w:rsidRPr="00094060">
        <w:t xml:space="preserve"> ¶ 17</w:t>
      </w:r>
      <w:r>
        <w:t xml:space="preserve">; see also </w:t>
      </w:r>
      <w:r w:rsidRPr="00094060">
        <w:rPr>
          <w:i/>
        </w:rPr>
        <w:t>In the Matter of PacifiCorp 2015 Integrated Resource Plan,</w:t>
      </w:r>
      <w:r w:rsidRPr="00094060">
        <w:t xml:space="preserve"> Docket UE-140546, PacifiCorp 2015 IRP, Volume I at 128</w:t>
      </w:r>
      <w:r>
        <w:t xml:space="preserve">. </w:t>
      </w:r>
    </w:p>
  </w:footnote>
  <w:footnote w:id="53">
    <w:p w14:paraId="17BA0CD8" w14:textId="2661D4BB" w:rsidR="0081708A" w:rsidRPr="00603CC7" w:rsidRDefault="0081708A">
      <w:pPr>
        <w:pStyle w:val="FootnoteText"/>
      </w:pPr>
      <w:r w:rsidRPr="00603CC7">
        <w:rPr>
          <w:rStyle w:val="FootnoteReference"/>
        </w:rPr>
        <w:footnoteRef/>
      </w:r>
      <w:r w:rsidRPr="00603CC7">
        <w:t xml:space="preserve"> </w:t>
      </w:r>
      <w:r w:rsidRPr="0081708A">
        <w:rPr>
          <w:i/>
        </w:rPr>
        <w:t>Id</w:t>
      </w:r>
      <w:r>
        <w:t>. at</w:t>
      </w:r>
      <w:r w:rsidRPr="00474686">
        <w:t xml:space="preserve"> </w:t>
      </w:r>
      <w:r w:rsidRPr="00603CC7">
        <w:t>¶ 19.</w:t>
      </w:r>
    </w:p>
  </w:footnote>
  <w:footnote w:id="54">
    <w:p w14:paraId="5F37F628" w14:textId="63700B0C" w:rsidR="0081708A" w:rsidRPr="00603CC7" w:rsidRDefault="0081708A">
      <w:pPr>
        <w:pStyle w:val="FootnoteText"/>
      </w:pPr>
      <w:r w:rsidRPr="00603CC7">
        <w:rPr>
          <w:rStyle w:val="FootnoteReference"/>
        </w:rPr>
        <w:footnoteRef/>
      </w:r>
      <w:r w:rsidRPr="00603CC7">
        <w:t xml:space="preserve"> Rebuttal Declaration of Brian S. Dickman ¶ 6.</w:t>
      </w:r>
    </w:p>
  </w:footnote>
  <w:footnote w:id="55">
    <w:p w14:paraId="6E52AB74" w14:textId="2939CFB3" w:rsidR="0081708A" w:rsidRPr="00603CC7" w:rsidRDefault="0081708A">
      <w:pPr>
        <w:pStyle w:val="FootnoteText"/>
      </w:pPr>
      <w:r w:rsidRPr="00603CC7">
        <w:rPr>
          <w:rStyle w:val="FootnoteReference"/>
        </w:rPr>
        <w:footnoteRef/>
      </w:r>
      <w:r w:rsidRPr="00603CC7">
        <w:t xml:space="preserve"> </w:t>
      </w:r>
      <w:r w:rsidRPr="0081708A">
        <w:rPr>
          <w:i/>
        </w:rPr>
        <w:t>Id</w:t>
      </w:r>
      <w:r>
        <w:t>. at</w:t>
      </w:r>
      <w:r w:rsidRPr="00603CC7">
        <w:t xml:space="preserve"> ¶ 9.</w:t>
      </w:r>
    </w:p>
  </w:footnote>
  <w:footnote w:id="56">
    <w:p w14:paraId="3A0558CE" w14:textId="47FF8A6E" w:rsidR="0081708A" w:rsidRPr="00603CC7" w:rsidRDefault="0081708A">
      <w:pPr>
        <w:pStyle w:val="FootnoteText"/>
      </w:pPr>
      <w:r w:rsidRPr="00603CC7">
        <w:rPr>
          <w:rStyle w:val="FootnoteReference"/>
        </w:rPr>
        <w:footnoteRef/>
      </w:r>
      <w:r w:rsidRPr="00603CC7">
        <w:t xml:space="preserve"> </w:t>
      </w:r>
      <w:r w:rsidRPr="0081708A">
        <w:rPr>
          <w:i/>
        </w:rPr>
        <w:t>Id</w:t>
      </w:r>
      <w:r w:rsidRPr="00050CFD">
        <w:t>. at</w:t>
      </w:r>
      <w:r>
        <w:t xml:space="preserve"> </w:t>
      </w:r>
      <w:r w:rsidRPr="00603CC7">
        <w:t>¶ 7.</w:t>
      </w:r>
    </w:p>
  </w:footnote>
  <w:footnote w:id="57">
    <w:p w14:paraId="02F8CD51" w14:textId="498BF597" w:rsidR="0081708A" w:rsidRDefault="0081708A">
      <w:pPr>
        <w:pStyle w:val="FootnoteText"/>
      </w:pPr>
      <w:r>
        <w:rPr>
          <w:rStyle w:val="FootnoteReference"/>
        </w:rPr>
        <w:footnoteRef/>
      </w:r>
      <w:r>
        <w:t xml:space="preserve"> </w:t>
      </w:r>
      <w:bookmarkStart w:id="0" w:name="_GoBack"/>
      <w:r w:rsidRPr="00556E25">
        <w:rPr>
          <w:i/>
        </w:rPr>
        <w:t>Id</w:t>
      </w:r>
      <w:bookmarkEnd w:id="0"/>
      <w:r>
        <w:t>.</w:t>
      </w:r>
    </w:p>
  </w:footnote>
  <w:footnote w:id="58">
    <w:p w14:paraId="777DE037" w14:textId="1B968D6F" w:rsidR="0081708A" w:rsidRPr="00603CC7" w:rsidRDefault="0081708A">
      <w:pPr>
        <w:pStyle w:val="FootnoteText"/>
      </w:pPr>
      <w:r w:rsidRPr="00603CC7">
        <w:rPr>
          <w:rStyle w:val="FootnoteReference"/>
        </w:rPr>
        <w:footnoteRef/>
      </w:r>
      <w:r w:rsidRPr="00603CC7">
        <w:t xml:space="preserve"> </w:t>
      </w:r>
      <w:r w:rsidRPr="00556E25">
        <w:rPr>
          <w:i/>
        </w:rPr>
        <w:t>Id</w:t>
      </w:r>
      <w:r w:rsidRPr="00050CFD">
        <w:t>. at</w:t>
      </w:r>
      <w:r>
        <w:t xml:space="preserve"> </w:t>
      </w:r>
      <w:r w:rsidRPr="00603CC7">
        <w:t>¶ 8.</w:t>
      </w:r>
    </w:p>
  </w:footnote>
  <w:footnote w:id="59">
    <w:p w14:paraId="387F0D23" w14:textId="3FD07A04" w:rsidR="0081708A" w:rsidRPr="00603CC7" w:rsidRDefault="0081708A">
      <w:pPr>
        <w:pStyle w:val="FootnoteText"/>
      </w:pPr>
      <w:r w:rsidRPr="00603CC7">
        <w:rPr>
          <w:rStyle w:val="FootnoteReference"/>
        </w:rPr>
        <w:footnoteRef/>
      </w:r>
      <w:r w:rsidRPr="00603CC7">
        <w:t xml:space="preserve"> </w:t>
      </w:r>
      <w:r w:rsidRPr="00AB0977">
        <w:t xml:space="preserve">FERC Order No. 69 at </w:t>
      </w:r>
      <w:r w:rsidRPr="00603CC7">
        <w:t>12226</w:t>
      </w:r>
      <w:r>
        <w:t xml:space="preserve"> (emphasis added)</w:t>
      </w:r>
      <w:r w:rsidRPr="00603CC7">
        <w:t xml:space="preserve">. </w:t>
      </w:r>
    </w:p>
  </w:footnote>
  <w:footnote w:id="60">
    <w:p w14:paraId="0A0CBB8E" w14:textId="38845244" w:rsidR="0081708A" w:rsidRDefault="0081708A">
      <w:pPr>
        <w:pStyle w:val="FootnoteText"/>
      </w:pPr>
      <w:r>
        <w:rPr>
          <w:rStyle w:val="FootnoteReference"/>
        </w:rPr>
        <w:footnoteRef/>
      </w:r>
      <w:r>
        <w:t xml:space="preserve"> </w:t>
      </w:r>
      <w:r w:rsidRPr="00094060">
        <w:t xml:space="preserve">Declaration of Jeremy B. Twitchell ¶ 17; see also </w:t>
      </w:r>
      <w:r w:rsidRPr="00094060">
        <w:rPr>
          <w:i/>
        </w:rPr>
        <w:t>In the Matter of PacifiCorp 2015 Integrated Resource Plan,</w:t>
      </w:r>
      <w:r w:rsidRPr="00094060">
        <w:t xml:space="preserve"> Docket UE-140546, PacifiCorp 2015 IRP, Volume I at 128.</w:t>
      </w:r>
    </w:p>
  </w:footnote>
  <w:footnote w:id="61">
    <w:p w14:paraId="7F1C6D41" w14:textId="3FF73ED2" w:rsidR="0081708A" w:rsidRPr="00603CC7" w:rsidRDefault="0081708A">
      <w:pPr>
        <w:pStyle w:val="FootnoteText"/>
      </w:pPr>
      <w:r w:rsidRPr="00603CC7">
        <w:rPr>
          <w:rStyle w:val="FootnoteReference"/>
        </w:rPr>
        <w:footnoteRef/>
      </w:r>
      <w:r w:rsidRPr="00603CC7">
        <w:t xml:space="preserve"> See </w:t>
      </w:r>
      <w:r w:rsidRPr="00474686">
        <w:t xml:space="preserve">Declaration of Jeremy B. Twitchell </w:t>
      </w:r>
      <w:r w:rsidRPr="00603CC7">
        <w:t>¶ 19.</w:t>
      </w:r>
    </w:p>
  </w:footnote>
  <w:footnote w:id="62">
    <w:p w14:paraId="46434412" w14:textId="680BF647" w:rsidR="0081708A" w:rsidRPr="00603CC7" w:rsidRDefault="0081708A">
      <w:pPr>
        <w:pStyle w:val="FootnoteText"/>
      </w:pPr>
      <w:r w:rsidRPr="00603CC7">
        <w:rPr>
          <w:rStyle w:val="FootnoteReference"/>
        </w:rPr>
        <w:footnoteRef/>
      </w:r>
      <w:r w:rsidRPr="00603CC7">
        <w:t xml:space="preserve"> </w:t>
      </w:r>
      <w:r w:rsidRPr="00556E25">
        <w:rPr>
          <w:i/>
        </w:rPr>
        <w:t>Id</w:t>
      </w:r>
      <w:r w:rsidRPr="00050CFD">
        <w:t>. at</w:t>
      </w:r>
      <w:r>
        <w:t xml:space="preserve"> </w:t>
      </w:r>
      <w:r w:rsidRPr="00603CC7">
        <w:t>¶ 25.</w:t>
      </w:r>
    </w:p>
  </w:footnote>
  <w:footnote w:id="63">
    <w:p w14:paraId="5C28789A" w14:textId="658B009E" w:rsidR="0081708A" w:rsidRPr="00603CC7" w:rsidRDefault="0081708A">
      <w:pPr>
        <w:pStyle w:val="FootnoteText"/>
      </w:pPr>
      <w:r w:rsidRPr="00603CC7">
        <w:rPr>
          <w:rStyle w:val="FootnoteReference"/>
        </w:rPr>
        <w:footnoteRef/>
      </w:r>
      <w:r w:rsidRPr="00603CC7">
        <w:t xml:space="preserve"> </w:t>
      </w:r>
      <w:r w:rsidRPr="00556E25">
        <w:rPr>
          <w:i/>
        </w:rPr>
        <w:t>Id</w:t>
      </w:r>
      <w:r w:rsidRPr="00603CC7">
        <w:t xml:space="preserve">. </w:t>
      </w:r>
    </w:p>
  </w:footnote>
  <w:footnote w:id="64">
    <w:p w14:paraId="535C5622" w14:textId="022D0442" w:rsidR="0081708A" w:rsidRPr="00603CC7" w:rsidRDefault="0081708A">
      <w:pPr>
        <w:pStyle w:val="FootnoteText"/>
      </w:pPr>
      <w:r w:rsidRPr="00603CC7">
        <w:rPr>
          <w:rStyle w:val="FootnoteReference"/>
        </w:rPr>
        <w:footnoteRef/>
      </w:r>
      <w:r w:rsidRPr="00603CC7">
        <w:t xml:space="preserve"> Rebuttal Declaration of Brian S. Dickman ¶ 17.</w:t>
      </w:r>
    </w:p>
  </w:footnote>
  <w:footnote w:id="65">
    <w:p w14:paraId="47A9F8BB" w14:textId="22646D9D" w:rsidR="0081708A" w:rsidRPr="00603CC7" w:rsidRDefault="0081708A">
      <w:pPr>
        <w:pStyle w:val="FootnoteText"/>
      </w:pPr>
      <w:r w:rsidRPr="00603CC7">
        <w:rPr>
          <w:rStyle w:val="FootnoteReference"/>
        </w:rPr>
        <w:footnoteRef/>
      </w:r>
      <w:r w:rsidRPr="00603CC7">
        <w:t xml:space="preserve"> </w:t>
      </w:r>
      <w:r w:rsidRPr="00AB0977">
        <w:t xml:space="preserve">FERC Order No. 69 at </w:t>
      </w:r>
      <w:r w:rsidRPr="00603CC7">
        <w:t xml:space="preserve">12224. </w:t>
      </w:r>
    </w:p>
  </w:footnote>
  <w:footnote w:id="66">
    <w:p w14:paraId="621256F2" w14:textId="53B7E688" w:rsidR="0081708A" w:rsidRPr="00603CC7" w:rsidRDefault="0081708A">
      <w:pPr>
        <w:pStyle w:val="FootnoteText"/>
      </w:pPr>
      <w:r w:rsidRPr="00603CC7">
        <w:rPr>
          <w:rStyle w:val="FootnoteReference"/>
        </w:rPr>
        <w:footnoteRef/>
      </w:r>
      <w:r w:rsidRPr="00603CC7">
        <w:t xml:space="preserve"> Rebuttal Declaration of Brian S. Dickman ¶18.</w:t>
      </w:r>
    </w:p>
  </w:footnote>
  <w:footnote w:id="67">
    <w:p w14:paraId="3868ED14" w14:textId="72038C02" w:rsidR="0081708A" w:rsidRDefault="0081708A">
      <w:pPr>
        <w:pStyle w:val="FootnoteText"/>
      </w:pPr>
      <w:r>
        <w:rPr>
          <w:rStyle w:val="FootnoteReference"/>
        </w:rPr>
        <w:footnoteRef/>
      </w:r>
      <w:r>
        <w:t xml:space="preserve"> </w:t>
      </w:r>
      <w:r w:rsidRPr="00AB0977">
        <w:rPr>
          <w:i/>
        </w:rPr>
        <w:t>See</w:t>
      </w:r>
      <w:r>
        <w:t xml:space="preserve"> </w:t>
      </w:r>
      <w:r w:rsidRPr="00AB0977">
        <w:t xml:space="preserve">FERC Order No. 69 at </w:t>
      </w:r>
      <w:r w:rsidRPr="003F10A9">
        <w:t>12226.</w:t>
      </w:r>
    </w:p>
  </w:footnote>
  <w:footnote w:id="68">
    <w:p w14:paraId="5F2BE064" w14:textId="506E6179" w:rsidR="0081708A" w:rsidRPr="00603CC7" w:rsidRDefault="0081708A" w:rsidP="009B3C60">
      <w:pPr>
        <w:pStyle w:val="FootnoteText"/>
      </w:pPr>
      <w:r w:rsidRPr="00603CC7">
        <w:rPr>
          <w:rStyle w:val="FootnoteReference"/>
        </w:rPr>
        <w:footnoteRef/>
      </w:r>
      <w:r w:rsidRPr="00603CC7">
        <w:t xml:space="preserve"> </w:t>
      </w:r>
      <w:r w:rsidRPr="000F23BD">
        <w:rPr>
          <w:i/>
        </w:rPr>
        <w:t>Wash. Utils &amp; Transp. Comm’n v. Pacific Power &amp; Light Co.</w:t>
      </w:r>
      <w:r>
        <w:t xml:space="preserve">, Docket UE-140762, </w:t>
      </w:r>
      <w:r w:rsidRPr="00C72B59">
        <w:t>Rebuttal Testimony of Gregory N. Duvall, Exh</w:t>
      </w:r>
      <w:r>
        <w:t>.</w:t>
      </w:r>
      <w:r w:rsidRPr="00C72B59">
        <w:t xml:space="preserve"> No. GND-4T, at 14:19 - 19:26 (Nov. 14, 2014).</w:t>
      </w:r>
      <w:r>
        <w:t xml:space="preserve"> </w:t>
      </w:r>
    </w:p>
  </w:footnote>
  <w:footnote w:id="69">
    <w:p w14:paraId="762448CE" w14:textId="5DA5E553" w:rsidR="0081708A" w:rsidRPr="00603CC7" w:rsidRDefault="0081708A">
      <w:pPr>
        <w:pStyle w:val="FootnoteText"/>
      </w:pPr>
      <w:r w:rsidRPr="00603CC7">
        <w:rPr>
          <w:rStyle w:val="FootnoteReference"/>
        </w:rPr>
        <w:footnoteRef/>
      </w:r>
      <w:r w:rsidRPr="00603CC7">
        <w:t xml:space="preserve"> </w:t>
      </w:r>
      <w:r w:rsidRPr="00556E25">
        <w:rPr>
          <w:i/>
        </w:rPr>
        <w:t>Id</w:t>
      </w:r>
      <w:r>
        <w:t>.</w:t>
      </w:r>
      <w:r w:rsidRPr="00C72B59">
        <w:t xml:space="preserve"> at 14:19 – 15:1</w:t>
      </w:r>
      <w:r w:rsidRPr="00603CC7">
        <w:t>.</w:t>
      </w:r>
    </w:p>
  </w:footnote>
  <w:footnote w:id="70">
    <w:p w14:paraId="1FBD2B1A" w14:textId="6E2E6962" w:rsidR="0081708A" w:rsidRPr="00603CC7" w:rsidRDefault="0081708A">
      <w:pPr>
        <w:pStyle w:val="FootnoteText"/>
      </w:pPr>
      <w:r w:rsidRPr="00603CC7">
        <w:rPr>
          <w:rStyle w:val="FootnoteReference"/>
        </w:rPr>
        <w:footnoteRef/>
      </w:r>
      <w:r w:rsidRPr="00603CC7">
        <w:t xml:space="preserve"> </w:t>
      </w:r>
      <w:r w:rsidRPr="00556E25">
        <w:rPr>
          <w:i/>
        </w:rPr>
        <w:t>Id</w:t>
      </w:r>
      <w:r w:rsidRPr="00050CFD">
        <w:t>.</w:t>
      </w:r>
      <w:r w:rsidRPr="00603CC7">
        <w:t xml:space="preserve"> at 18:1-2.</w:t>
      </w:r>
    </w:p>
  </w:footnote>
  <w:footnote w:id="71">
    <w:p w14:paraId="2139E1BC" w14:textId="58029284" w:rsidR="0081708A" w:rsidRPr="00603CC7" w:rsidRDefault="0081708A">
      <w:pPr>
        <w:pStyle w:val="FootnoteText"/>
      </w:pPr>
      <w:r w:rsidRPr="00603CC7">
        <w:rPr>
          <w:rStyle w:val="FootnoteReference"/>
        </w:rPr>
        <w:footnoteRef/>
      </w:r>
      <w:r w:rsidRPr="00603CC7">
        <w:t xml:space="preserve"> </w:t>
      </w:r>
      <w:r w:rsidRPr="00556E25">
        <w:rPr>
          <w:i/>
        </w:rPr>
        <w:t>Id</w:t>
      </w:r>
      <w:r w:rsidRPr="00050CFD">
        <w:t>.</w:t>
      </w:r>
      <w:r>
        <w:t xml:space="preserve"> </w:t>
      </w:r>
      <w:r w:rsidRPr="00603CC7">
        <w:t>at 18:7-8.</w:t>
      </w:r>
    </w:p>
  </w:footnote>
  <w:footnote w:id="72">
    <w:p w14:paraId="0F36D0CE" w14:textId="3D9BD6B4" w:rsidR="0081708A" w:rsidRPr="00603CC7" w:rsidRDefault="0081708A">
      <w:pPr>
        <w:pStyle w:val="FootnoteText"/>
      </w:pPr>
      <w:r w:rsidRPr="00603CC7">
        <w:rPr>
          <w:rStyle w:val="FootnoteReference"/>
        </w:rPr>
        <w:footnoteRef/>
      </w:r>
      <w:r w:rsidRPr="00603CC7">
        <w:t xml:space="preserve"> </w:t>
      </w:r>
      <w:r w:rsidRPr="00DA0D10">
        <w:t xml:space="preserve">Declaration of Jeremy B. Twitchell </w:t>
      </w:r>
      <w:r w:rsidRPr="00603CC7">
        <w:t>¶ 31.</w:t>
      </w:r>
    </w:p>
  </w:footnote>
  <w:footnote w:id="73">
    <w:p w14:paraId="5AB1C456" w14:textId="3F796EDE" w:rsidR="0081708A" w:rsidRPr="00603CC7" w:rsidRDefault="0081708A">
      <w:pPr>
        <w:pStyle w:val="FootnoteText"/>
      </w:pPr>
      <w:r w:rsidRPr="00603CC7">
        <w:rPr>
          <w:rStyle w:val="FootnoteReference"/>
        </w:rPr>
        <w:footnoteRef/>
      </w:r>
      <w:r w:rsidRPr="00603CC7">
        <w:t xml:space="preserve"> </w:t>
      </w:r>
      <w:r w:rsidRPr="00556E25">
        <w:rPr>
          <w:i/>
        </w:rPr>
        <w:t>Id</w:t>
      </w:r>
      <w:r w:rsidRPr="00050CFD">
        <w:t xml:space="preserve">. at </w:t>
      </w:r>
      <w:r w:rsidRPr="00603CC7">
        <w:t>¶ 35.</w:t>
      </w:r>
    </w:p>
  </w:footnote>
  <w:footnote w:id="74">
    <w:p w14:paraId="0E7C50F0" w14:textId="0680349E" w:rsidR="0081708A" w:rsidRPr="00603CC7" w:rsidRDefault="0081708A" w:rsidP="00653D4E">
      <w:pPr>
        <w:pStyle w:val="FootnoteText"/>
      </w:pPr>
      <w:r w:rsidRPr="00603CC7">
        <w:rPr>
          <w:rStyle w:val="FootnoteReference"/>
        </w:rPr>
        <w:footnoteRef/>
      </w:r>
      <w:r w:rsidRPr="00603CC7">
        <w:t xml:space="preserve"> </w:t>
      </w:r>
      <w:r w:rsidRPr="00556E25">
        <w:rPr>
          <w:i/>
        </w:rPr>
        <w:t>Id</w:t>
      </w:r>
      <w:r w:rsidRPr="00050CFD">
        <w:t xml:space="preserve">. at </w:t>
      </w:r>
      <w:r w:rsidRPr="00603CC7">
        <w:t xml:space="preserve">¶¶ 22-23; </w:t>
      </w:r>
      <w:r w:rsidRPr="00603CC7">
        <w:rPr>
          <w:i/>
        </w:rPr>
        <w:t xml:space="preserve">See also </w:t>
      </w:r>
      <w:r w:rsidRPr="00603CC7">
        <w:t>Declaration of Brian S. Dickman ¶¶ 12, 7.</w:t>
      </w:r>
    </w:p>
  </w:footnote>
  <w:footnote w:id="75">
    <w:p w14:paraId="0DDFBEF9" w14:textId="6D193B5E" w:rsidR="0081708A" w:rsidRPr="00603CC7" w:rsidRDefault="0081708A">
      <w:pPr>
        <w:pStyle w:val="FootnoteText"/>
      </w:pPr>
      <w:r w:rsidRPr="00603CC7">
        <w:rPr>
          <w:rStyle w:val="FootnoteReference"/>
        </w:rPr>
        <w:footnoteRef/>
      </w:r>
      <w:r w:rsidRPr="00603CC7">
        <w:t xml:space="preserve"> WAC 480-109-210(2)(a)(i)(e).</w:t>
      </w:r>
      <w:r>
        <w:t xml:space="preserve"> </w:t>
      </w:r>
    </w:p>
  </w:footnote>
  <w:footnote w:id="76">
    <w:p w14:paraId="46A0690C" w14:textId="514246E2" w:rsidR="0081708A" w:rsidRPr="00603CC7" w:rsidRDefault="0081708A">
      <w:pPr>
        <w:pStyle w:val="FootnoteText"/>
      </w:pPr>
      <w:r w:rsidRPr="00603CC7">
        <w:rPr>
          <w:rStyle w:val="FootnoteReference"/>
        </w:rPr>
        <w:footnoteRef/>
      </w:r>
      <w:r w:rsidRPr="00603CC7">
        <w:t xml:space="preserve"> </w:t>
      </w:r>
      <w:r w:rsidRPr="00DA0D10">
        <w:t xml:space="preserve">Declaration of Jeremy B. Twitchell </w:t>
      </w:r>
      <w:r w:rsidRPr="00603CC7">
        <w:t>¶ 36.</w:t>
      </w:r>
    </w:p>
  </w:footnote>
  <w:footnote w:id="77">
    <w:p w14:paraId="7232AE06" w14:textId="4ED4F0CB" w:rsidR="0081708A" w:rsidRPr="00603CC7" w:rsidRDefault="0081708A">
      <w:pPr>
        <w:pStyle w:val="FootnoteText"/>
      </w:pPr>
      <w:r w:rsidRPr="00603CC7">
        <w:rPr>
          <w:rStyle w:val="FootnoteReference"/>
        </w:rPr>
        <w:footnoteRef/>
      </w:r>
      <w:r w:rsidRPr="00603CC7">
        <w:t xml:space="preserve"> </w:t>
      </w:r>
      <w:r w:rsidRPr="00556E25">
        <w:rPr>
          <w:i/>
        </w:rPr>
        <w:t>Id</w:t>
      </w:r>
      <w:r w:rsidRPr="00050CFD">
        <w:t xml:space="preserve">. at </w:t>
      </w:r>
      <w:r w:rsidRPr="00603CC7">
        <w:t>¶ 33.</w:t>
      </w:r>
    </w:p>
  </w:footnote>
  <w:footnote w:id="78">
    <w:p w14:paraId="51B952C8" w14:textId="41AB7753" w:rsidR="0081708A" w:rsidRPr="00603CC7" w:rsidRDefault="0081708A">
      <w:pPr>
        <w:pStyle w:val="FootnoteText"/>
      </w:pPr>
      <w:r w:rsidRPr="00603CC7">
        <w:rPr>
          <w:rStyle w:val="FootnoteReference"/>
        </w:rPr>
        <w:footnoteRef/>
      </w:r>
      <w:r w:rsidRPr="00603CC7">
        <w:t xml:space="preserve"> </w:t>
      </w:r>
      <w:r w:rsidRPr="00556E25">
        <w:rPr>
          <w:i/>
        </w:rPr>
        <w:t>Id</w:t>
      </w:r>
      <w:r w:rsidRPr="00603CC7">
        <w:t>.</w:t>
      </w:r>
    </w:p>
  </w:footnote>
  <w:footnote w:id="79">
    <w:p w14:paraId="67748CFB" w14:textId="3A691A36" w:rsidR="0081708A" w:rsidRPr="00603CC7" w:rsidRDefault="0081708A">
      <w:pPr>
        <w:pStyle w:val="FootnoteText"/>
      </w:pPr>
      <w:r w:rsidRPr="00603CC7">
        <w:rPr>
          <w:rStyle w:val="FootnoteReference"/>
        </w:rPr>
        <w:footnoteRef/>
      </w:r>
      <w:r w:rsidRPr="00603CC7">
        <w:t xml:space="preserve"> Rebuttal Declaration of Brian S. Dickman ¶¶ 14-15.</w:t>
      </w:r>
    </w:p>
  </w:footnote>
  <w:footnote w:id="80">
    <w:p w14:paraId="59923B3C" w14:textId="6A5A3875" w:rsidR="0081708A" w:rsidRPr="00603CC7" w:rsidRDefault="0081708A">
      <w:pPr>
        <w:pStyle w:val="FootnoteText"/>
      </w:pPr>
      <w:r w:rsidRPr="00603CC7">
        <w:rPr>
          <w:rStyle w:val="FootnoteReference"/>
        </w:rPr>
        <w:footnoteRef/>
      </w:r>
      <w:r w:rsidRPr="00603CC7">
        <w:t xml:space="preserve"> </w:t>
      </w:r>
      <w:r w:rsidRPr="00556E25">
        <w:rPr>
          <w:i/>
        </w:rPr>
        <w:t>Id</w:t>
      </w:r>
      <w:r w:rsidRPr="00603CC7">
        <w:t>.</w:t>
      </w:r>
    </w:p>
  </w:footnote>
  <w:footnote w:id="81">
    <w:p w14:paraId="6AAFF985" w14:textId="2FD6DF7A" w:rsidR="0081708A" w:rsidRPr="00603CC7" w:rsidRDefault="0081708A" w:rsidP="00EB7A7E">
      <w:pPr>
        <w:pStyle w:val="FootnoteText"/>
      </w:pPr>
      <w:r w:rsidRPr="00603CC7">
        <w:rPr>
          <w:rStyle w:val="FootnoteReference"/>
        </w:rPr>
        <w:footnoteRef/>
      </w:r>
      <w:r w:rsidRPr="00603CC7">
        <w:t xml:space="preserve"> </w:t>
      </w:r>
      <w:r w:rsidRPr="00DA0D10">
        <w:t xml:space="preserve">Declaration of Jeremy B. Twitchell </w:t>
      </w:r>
      <w:r w:rsidRPr="00603CC7">
        <w:t>¶ 39.</w:t>
      </w:r>
    </w:p>
  </w:footnote>
  <w:footnote w:id="82">
    <w:p w14:paraId="343CD2F3" w14:textId="77777777" w:rsidR="0081708A" w:rsidRDefault="0081708A" w:rsidP="00DD4B55">
      <w:pPr>
        <w:pStyle w:val="FootnoteText"/>
      </w:pPr>
      <w:r>
        <w:rPr>
          <w:rStyle w:val="FootnoteReference"/>
        </w:rPr>
        <w:footnoteRef/>
      </w:r>
      <w:r>
        <w:t xml:space="preserve"> </w:t>
      </w:r>
      <w:r w:rsidRPr="00214CF4">
        <w:t>Declaration of Brian S. Dickman ¶ 16</w:t>
      </w:r>
      <w:r>
        <w:t>.</w:t>
      </w:r>
    </w:p>
  </w:footnote>
  <w:footnote w:id="83">
    <w:p w14:paraId="483A8384" w14:textId="0A709938" w:rsidR="0081708A" w:rsidRDefault="0081708A">
      <w:pPr>
        <w:pStyle w:val="FootnoteText"/>
      </w:pPr>
      <w:r>
        <w:rPr>
          <w:rStyle w:val="FootnoteReference"/>
        </w:rPr>
        <w:footnoteRef/>
      </w:r>
      <w:r>
        <w:t xml:space="preserve"> </w:t>
      </w:r>
      <w:r w:rsidRPr="00DA0D10">
        <w:t xml:space="preserve">Declaration of Jeremy B. Twitchell </w:t>
      </w:r>
      <w:r w:rsidRPr="004732DB">
        <w:t xml:space="preserve">¶ </w:t>
      </w:r>
      <w:r>
        <w:t>40</w:t>
      </w:r>
      <w:r w:rsidRPr="004732DB">
        <w:t>.</w:t>
      </w:r>
    </w:p>
  </w:footnote>
  <w:footnote w:id="84">
    <w:p w14:paraId="64C06130" w14:textId="56354BBD" w:rsidR="0081708A" w:rsidRDefault="0081708A">
      <w:pPr>
        <w:pStyle w:val="FootnoteText"/>
      </w:pPr>
      <w:r>
        <w:rPr>
          <w:rStyle w:val="FootnoteReference"/>
        </w:rPr>
        <w:footnoteRef/>
      </w:r>
      <w:r>
        <w:t xml:space="preserve"> </w:t>
      </w:r>
      <w:r w:rsidRPr="00556E25">
        <w:rPr>
          <w:i/>
        </w:rPr>
        <w:t>Id</w:t>
      </w:r>
      <w:r>
        <w:t>.</w:t>
      </w:r>
    </w:p>
  </w:footnote>
  <w:footnote w:id="85">
    <w:p w14:paraId="04A62DEB" w14:textId="4541D612" w:rsidR="0081708A" w:rsidRDefault="0081708A">
      <w:pPr>
        <w:pStyle w:val="FootnoteText"/>
      </w:pPr>
      <w:r>
        <w:rPr>
          <w:rStyle w:val="FootnoteReference"/>
        </w:rPr>
        <w:footnoteRef/>
      </w:r>
      <w:r>
        <w:t xml:space="preserve"> </w:t>
      </w:r>
      <w:r w:rsidRPr="00556E25">
        <w:rPr>
          <w:i/>
        </w:rPr>
        <w:t>Id</w:t>
      </w:r>
      <w:r w:rsidRPr="004732DB">
        <w:t>.</w:t>
      </w:r>
    </w:p>
  </w:footnote>
  <w:footnote w:id="86">
    <w:p w14:paraId="277D66FF" w14:textId="2AB93CB4" w:rsidR="0081708A" w:rsidRDefault="0081708A">
      <w:pPr>
        <w:pStyle w:val="FootnoteText"/>
      </w:pPr>
      <w:r>
        <w:rPr>
          <w:rStyle w:val="FootnoteReference"/>
        </w:rPr>
        <w:footnoteRef/>
      </w:r>
      <w:r>
        <w:t xml:space="preserve"> </w:t>
      </w:r>
      <w:r w:rsidRPr="00556E25">
        <w:rPr>
          <w:i/>
        </w:rPr>
        <w:t>Id</w:t>
      </w:r>
      <w:r w:rsidRPr="00050CFD">
        <w:t xml:space="preserve">. at </w:t>
      </w:r>
      <w:r w:rsidRPr="00DB1A1C">
        <w:t xml:space="preserve">¶ </w:t>
      </w:r>
      <w:r>
        <w:t>3</w:t>
      </w:r>
      <w:r w:rsidRPr="00DB1A1C">
        <w:t>0.</w:t>
      </w:r>
    </w:p>
  </w:footnote>
  <w:footnote w:id="87">
    <w:p w14:paraId="290E233E" w14:textId="2D9531C1" w:rsidR="0081708A" w:rsidRDefault="0081708A">
      <w:pPr>
        <w:pStyle w:val="FootnoteText"/>
      </w:pPr>
      <w:r>
        <w:rPr>
          <w:rStyle w:val="FootnoteReference"/>
        </w:rPr>
        <w:footnoteRef/>
      </w:r>
      <w:r>
        <w:t xml:space="preserve"> </w:t>
      </w:r>
      <w:r w:rsidRPr="00556E25">
        <w:rPr>
          <w:i/>
        </w:rPr>
        <w:t>Id</w:t>
      </w:r>
      <w:r w:rsidRPr="00DB1A1C">
        <w:t>.</w:t>
      </w:r>
    </w:p>
  </w:footnote>
  <w:footnote w:id="88">
    <w:p w14:paraId="2D4561A7" w14:textId="4F4E4F02" w:rsidR="0081708A" w:rsidRDefault="0081708A">
      <w:pPr>
        <w:pStyle w:val="FootnoteText"/>
      </w:pPr>
      <w:r>
        <w:rPr>
          <w:rStyle w:val="FootnoteReference"/>
        </w:rPr>
        <w:footnoteRef/>
      </w:r>
      <w:r>
        <w:t xml:space="preserve"> </w:t>
      </w:r>
      <w:r w:rsidRPr="00556E25">
        <w:rPr>
          <w:i/>
        </w:rPr>
        <w:t>Id</w:t>
      </w:r>
      <w:r w:rsidRPr="003373DB">
        <w:t>.</w:t>
      </w:r>
    </w:p>
  </w:footnote>
  <w:footnote w:id="89">
    <w:p w14:paraId="1BA20835" w14:textId="77777777" w:rsidR="0081708A" w:rsidRPr="00603CC7" w:rsidRDefault="0081708A" w:rsidP="00BD30E2">
      <w:pPr>
        <w:pStyle w:val="FootnoteText"/>
      </w:pPr>
      <w:r w:rsidRPr="00603CC7">
        <w:rPr>
          <w:rStyle w:val="FootnoteReference"/>
        </w:rPr>
        <w:footnoteRef/>
      </w:r>
      <w:r w:rsidRPr="00603CC7">
        <w:t xml:space="preserve"> Rebuttal Declaration of Brian S. Dickman ¶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3620"/>
    <w:multiLevelType w:val="hybridMultilevel"/>
    <w:tmpl w:val="66507148"/>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35296"/>
    <w:multiLevelType w:val="hybridMultilevel"/>
    <w:tmpl w:val="DC3EB2AA"/>
    <w:lvl w:ilvl="0" w:tplc="76DC5A48">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F0E89"/>
    <w:multiLevelType w:val="hybridMultilevel"/>
    <w:tmpl w:val="183AC526"/>
    <w:lvl w:ilvl="0" w:tplc="FAD0C446">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313537"/>
    <w:multiLevelType w:val="hybridMultilevel"/>
    <w:tmpl w:val="F9B4211A"/>
    <w:lvl w:ilvl="0" w:tplc="6B308CE0">
      <w:start w:val="1"/>
      <w:numFmt w:val="upperRoman"/>
      <w:lvlText w:val="%1."/>
      <w:lvlJc w:val="left"/>
      <w:pPr>
        <w:ind w:left="90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3B4247"/>
    <w:multiLevelType w:val="hybridMultilevel"/>
    <w:tmpl w:val="A71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95728"/>
    <w:multiLevelType w:val="hybridMultilevel"/>
    <w:tmpl w:val="CCF42E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2EC711E"/>
    <w:multiLevelType w:val="hybridMultilevel"/>
    <w:tmpl w:val="A162C682"/>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3F3B34"/>
    <w:multiLevelType w:val="hybridMultilevel"/>
    <w:tmpl w:val="E5CC4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03A94"/>
    <w:multiLevelType w:val="hybridMultilevel"/>
    <w:tmpl w:val="12FC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13C9D"/>
    <w:multiLevelType w:val="hybridMultilevel"/>
    <w:tmpl w:val="15C465A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BC7D78"/>
    <w:multiLevelType w:val="hybridMultilevel"/>
    <w:tmpl w:val="853015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052392"/>
    <w:multiLevelType w:val="hybridMultilevel"/>
    <w:tmpl w:val="B652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57545"/>
    <w:multiLevelType w:val="hybridMultilevel"/>
    <w:tmpl w:val="3814C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C65EE"/>
    <w:multiLevelType w:val="hybridMultilevel"/>
    <w:tmpl w:val="6C02E268"/>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E576D7"/>
    <w:multiLevelType w:val="hybridMultilevel"/>
    <w:tmpl w:val="AD9CAA38"/>
    <w:lvl w:ilvl="0" w:tplc="594646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740FBF"/>
    <w:multiLevelType w:val="hybridMultilevel"/>
    <w:tmpl w:val="8468207C"/>
    <w:lvl w:ilvl="0" w:tplc="C55C04C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22D2A"/>
    <w:multiLevelType w:val="hybridMultilevel"/>
    <w:tmpl w:val="2B6C5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EB3C67"/>
    <w:multiLevelType w:val="hybridMultilevel"/>
    <w:tmpl w:val="9CC253CC"/>
    <w:lvl w:ilvl="0" w:tplc="1DAA4C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F22F1C"/>
    <w:multiLevelType w:val="hybridMultilevel"/>
    <w:tmpl w:val="5FA6F160"/>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01DA1"/>
    <w:multiLevelType w:val="hybridMultilevel"/>
    <w:tmpl w:val="A460757C"/>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BA1031"/>
    <w:multiLevelType w:val="hybridMultilevel"/>
    <w:tmpl w:val="7FC64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F27C83"/>
    <w:multiLevelType w:val="hybridMultilevel"/>
    <w:tmpl w:val="F23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31D5B"/>
    <w:multiLevelType w:val="hybridMultilevel"/>
    <w:tmpl w:val="A6684EDA"/>
    <w:lvl w:ilvl="0" w:tplc="7DF80E38">
      <w:start w:val="1"/>
      <w:numFmt w:val="decimal"/>
      <w:pStyle w:val="WUTCParagraph"/>
      <w:lvlText w:val="%1"/>
      <w:lvlJc w:val="left"/>
      <w:pPr>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566340"/>
    <w:multiLevelType w:val="hybridMultilevel"/>
    <w:tmpl w:val="A380E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D0B89"/>
    <w:multiLevelType w:val="hybridMultilevel"/>
    <w:tmpl w:val="E468E758"/>
    <w:lvl w:ilvl="0" w:tplc="07C8FC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B7021C"/>
    <w:multiLevelType w:val="hybridMultilevel"/>
    <w:tmpl w:val="256CEFC4"/>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0076D3"/>
    <w:multiLevelType w:val="hybridMultilevel"/>
    <w:tmpl w:val="36BE6B0E"/>
    <w:lvl w:ilvl="0" w:tplc="663460AA">
      <w:start w:val="1"/>
      <w:numFmt w:val="bullet"/>
      <w:lvlText w:val=""/>
      <w:lvlJc w:val="left"/>
      <w:pPr>
        <w:ind w:left="2520" w:hanging="720"/>
      </w:pPr>
      <w:rPr>
        <w:rFonts w:ascii="Symbol" w:hAnsi="Symbol" w:hint="default"/>
        <w:b w:val="0"/>
        <w:i w:val="0"/>
        <w:sz w:val="24"/>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7DE875D7"/>
    <w:multiLevelType w:val="hybridMultilevel"/>
    <w:tmpl w:val="12FC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15"/>
  </w:num>
  <w:num w:numId="4">
    <w:abstractNumId w:val="23"/>
    <w:lvlOverride w:ilvl="0">
      <w:startOverride w:val="3"/>
    </w:lvlOverride>
  </w:num>
  <w:num w:numId="5">
    <w:abstractNumId w:val="16"/>
  </w:num>
  <w:num w:numId="6">
    <w:abstractNumId w:val="17"/>
  </w:num>
  <w:num w:numId="7">
    <w:abstractNumId w:val="0"/>
  </w:num>
  <w:num w:numId="8">
    <w:abstractNumId w:val="9"/>
  </w:num>
  <w:num w:numId="9">
    <w:abstractNumId w:val="13"/>
  </w:num>
  <w:num w:numId="10">
    <w:abstractNumId w:val="19"/>
  </w:num>
  <w:num w:numId="11">
    <w:abstractNumId w:val="28"/>
  </w:num>
  <w:num w:numId="12">
    <w:abstractNumId w:val="4"/>
  </w:num>
  <w:num w:numId="13">
    <w:abstractNumId w:val="10"/>
  </w:num>
  <w:num w:numId="14">
    <w:abstractNumId w:val="7"/>
  </w:num>
  <w:num w:numId="15">
    <w:abstractNumId w:val="24"/>
  </w:num>
  <w:num w:numId="16">
    <w:abstractNumId w:val="11"/>
  </w:num>
  <w:num w:numId="17">
    <w:abstractNumId w:val="1"/>
  </w:num>
  <w:num w:numId="18">
    <w:abstractNumId w:val="6"/>
  </w:num>
  <w:num w:numId="19">
    <w:abstractNumId w:val="2"/>
  </w:num>
  <w:num w:numId="20">
    <w:abstractNumId w:val="27"/>
  </w:num>
  <w:num w:numId="21">
    <w:abstractNumId w:val="12"/>
  </w:num>
  <w:num w:numId="22">
    <w:abstractNumId w:val="18"/>
  </w:num>
  <w:num w:numId="23">
    <w:abstractNumId w:val="25"/>
  </w:num>
  <w:num w:numId="24">
    <w:abstractNumId w:val="21"/>
  </w:num>
  <w:num w:numId="25">
    <w:abstractNumId w:val="26"/>
  </w:num>
  <w:num w:numId="26">
    <w:abstractNumId w:val="14"/>
  </w:num>
  <w:num w:numId="27">
    <w:abstractNumId w:val="20"/>
  </w:num>
  <w:num w:numId="28">
    <w:abstractNumId w:val="8"/>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activeWritingStyle w:appName="MSWord" w:lang="en-US" w:vendorID="64" w:dllVersion="131078" w:nlCheck="1" w:checkStyle="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51"/>
    <w:rsid w:val="0000196E"/>
    <w:rsid w:val="000108D8"/>
    <w:rsid w:val="0001319B"/>
    <w:rsid w:val="00015867"/>
    <w:rsid w:val="000222FD"/>
    <w:rsid w:val="000322F9"/>
    <w:rsid w:val="00034A96"/>
    <w:rsid w:val="00035AC4"/>
    <w:rsid w:val="00042645"/>
    <w:rsid w:val="00046653"/>
    <w:rsid w:val="00046A07"/>
    <w:rsid w:val="000472F5"/>
    <w:rsid w:val="00050CFD"/>
    <w:rsid w:val="00051A45"/>
    <w:rsid w:val="00061667"/>
    <w:rsid w:val="00064292"/>
    <w:rsid w:val="00066345"/>
    <w:rsid w:val="00084629"/>
    <w:rsid w:val="0008746F"/>
    <w:rsid w:val="0008792E"/>
    <w:rsid w:val="0009119D"/>
    <w:rsid w:val="00092B4B"/>
    <w:rsid w:val="00094060"/>
    <w:rsid w:val="000940DD"/>
    <w:rsid w:val="00094B61"/>
    <w:rsid w:val="000A056A"/>
    <w:rsid w:val="000A4757"/>
    <w:rsid w:val="000A7561"/>
    <w:rsid w:val="000B02B2"/>
    <w:rsid w:val="000B04AD"/>
    <w:rsid w:val="000B1FAB"/>
    <w:rsid w:val="000B58F8"/>
    <w:rsid w:val="000B72E2"/>
    <w:rsid w:val="000C01FD"/>
    <w:rsid w:val="000C18D6"/>
    <w:rsid w:val="000C4198"/>
    <w:rsid w:val="000C4EE1"/>
    <w:rsid w:val="000C572D"/>
    <w:rsid w:val="000D036A"/>
    <w:rsid w:val="000D1B4F"/>
    <w:rsid w:val="000D2823"/>
    <w:rsid w:val="000D7924"/>
    <w:rsid w:val="000E2497"/>
    <w:rsid w:val="000E44E1"/>
    <w:rsid w:val="000F0C98"/>
    <w:rsid w:val="000F23BD"/>
    <w:rsid w:val="000F7BAB"/>
    <w:rsid w:val="0010170B"/>
    <w:rsid w:val="00101F83"/>
    <w:rsid w:val="00103711"/>
    <w:rsid w:val="001133D1"/>
    <w:rsid w:val="00115327"/>
    <w:rsid w:val="00117F6C"/>
    <w:rsid w:val="0012054B"/>
    <w:rsid w:val="00126870"/>
    <w:rsid w:val="0012762D"/>
    <w:rsid w:val="00130E2D"/>
    <w:rsid w:val="00132784"/>
    <w:rsid w:val="001349E8"/>
    <w:rsid w:val="00136DFE"/>
    <w:rsid w:val="00143E9B"/>
    <w:rsid w:val="00144216"/>
    <w:rsid w:val="00144A93"/>
    <w:rsid w:val="001536BF"/>
    <w:rsid w:val="001536CA"/>
    <w:rsid w:val="0015417C"/>
    <w:rsid w:val="00161753"/>
    <w:rsid w:val="00162A68"/>
    <w:rsid w:val="0016349C"/>
    <w:rsid w:val="00166F09"/>
    <w:rsid w:val="001711D5"/>
    <w:rsid w:val="00171802"/>
    <w:rsid w:val="0017334F"/>
    <w:rsid w:val="00177195"/>
    <w:rsid w:val="00183623"/>
    <w:rsid w:val="00191483"/>
    <w:rsid w:val="00196E0E"/>
    <w:rsid w:val="001A1752"/>
    <w:rsid w:val="001A6541"/>
    <w:rsid w:val="001B1B80"/>
    <w:rsid w:val="001B743E"/>
    <w:rsid w:val="001D08EC"/>
    <w:rsid w:val="001D0998"/>
    <w:rsid w:val="001D2BCC"/>
    <w:rsid w:val="001D4344"/>
    <w:rsid w:val="001D5EF0"/>
    <w:rsid w:val="001E06F6"/>
    <w:rsid w:val="001E0DAE"/>
    <w:rsid w:val="001E729E"/>
    <w:rsid w:val="001F30F6"/>
    <w:rsid w:val="001F4439"/>
    <w:rsid w:val="001F4A1D"/>
    <w:rsid w:val="001F7710"/>
    <w:rsid w:val="001F7B36"/>
    <w:rsid w:val="00200AEF"/>
    <w:rsid w:val="00211639"/>
    <w:rsid w:val="00212842"/>
    <w:rsid w:val="00213A4A"/>
    <w:rsid w:val="00213E13"/>
    <w:rsid w:val="00214CF4"/>
    <w:rsid w:val="00216491"/>
    <w:rsid w:val="002254B6"/>
    <w:rsid w:val="0022641B"/>
    <w:rsid w:val="00226616"/>
    <w:rsid w:val="00230347"/>
    <w:rsid w:val="00231620"/>
    <w:rsid w:val="002369D7"/>
    <w:rsid w:val="00240E99"/>
    <w:rsid w:val="0024244B"/>
    <w:rsid w:val="00242FF4"/>
    <w:rsid w:val="00244C47"/>
    <w:rsid w:val="00244D0D"/>
    <w:rsid w:val="0024537E"/>
    <w:rsid w:val="00247BAF"/>
    <w:rsid w:val="0025091B"/>
    <w:rsid w:val="00251DA9"/>
    <w:rsid w:val="00252A6F"/>
    <w:rsid w:val="0025535C"/>
    <w:rsid w:val="00255498"/>
    <w:rsid w:val="00257CA0"/>
    <w:rsid w:val="00263BA2"/>
    <w:rsid w:val="0026572D"/>
    <w:rsid w:val="002736A3"/>
    <w:rsid w:val="002750D7"/>
    <w:rsid w:val="0028070B"/>
    <w:rsid w:val="00280D76"/>
    <w:rsid w:val="00282D69"/>
    <w:rsid w:val="0028339C"/>
    <w:rsid w:val="00284023"/>
    <w:rsid w:val="00286AE9"/>
    <w:rsid w:val="002900F8"/>
    <w:rsid w:val="002954CD"/>
    <w:rsid w:val="002A39A2"/>
    <w:rsid w:val="002A5557"/>
    <w:rsid w:val="002A7359"/>
    <w:rsid w:val="002B37A3"/>
    <w:rsid w:val="002B566B"/>
    <w:rsid w:val="002B5931"/>
    <w:rsid w:val="002B7757"/>
    <w:rsid w:val="002C1BEF"/>
    <w:rsid w:val="002D37FE"/>
    <w:rsid w:val="002D4476"/>
    <w:rsid w:val="002E63A4"/>
    <w:rsid w:val="002F7758"/>
    <w:rsid w:val="00302751"/>
    <w:rsid w:val="003027B9"/>
    <w:rsid w:val="00304490"/>
    <w:rsid w:val="00310609"/>
    <w:rsid w:val="00312D08"/>
    <w:rsid w:val="00315FCB"/>
    <w:rsid w:val="00321A1D"/>
    <w:rsid w:val="0032373B"/>
    <w:rsid w:val="003238FF"/>
    <w:rsid w:val="003267F0"/>
    <w:rsid w:val="003373DB"/>
    <w:rsid w:val="003442D5"/>
    <w:rsid w:val="00344AFE"/>
    <w:rsid w:val="003459B1"/>
    <w:rsid w:val="00346F3B"/>
    <w:rsid w:val="00351CBB"/>
    <w:rsid w:val="003521E9"/>
    <w:rsid w:val="00352B69"/>
    <w:rsid w:val="003546CD"/>
    <w:rsid w:val="00355770"/>
    <w:rsid w:val="003573FD"/>
    <w:rsid w:val="00365ECF"/>
    <w:rsid w:val="003762E5"/>
    <w:rsid w:val="00381B10"/>
    <w:rsid w:val="00382246"/>
    <w:rsid w:val="00384470"/>
    <w:rsid w:val="00384C3F"/>
    <w:rsid w:val="0038534A"/>
    <w:rsid w:val="00386FAE"/>
    <w:rsid w:val="003903AE"/>
    <w:rsid w:val="00390D06"/>
    <w:rsid w:val="003921AA"/>
    <w:rsid w:val="003921ED"/>
    <w:rsid w:val="003A0284"/>
    <w:rsid w:val="003A059A"/>
    <w:rsid w:val="003A37D3"/>
    <w:rsid w:val="003A4309"/>
    <w:rsid w:val="003B187E"/>
    <w:rsid w:val="003B252D"/>
    <w:rsid w:val="003C14C0"/>
    <w:rsid w:val="003C1844"/>
    <w:rsid w:val="003C1EC7"/>
    <w:rsid w:val="003C5042"/>
    <w:rsid w:val="003D0FD8"/>
    <w:rsid w:val="003D53AB"/>
    <w:rsid w:val="003D59F4"/>
    <w:rsid w:val="003E59F1"/>
    <w:rsid w:val="003E63CD"/>
    <w:rsid w:val="003E6794"/>
    <w:rsid w:val="003F07FD"/>
    <w:rsid w:val="003F10A9"/>
    <w:rsid w:val="003F4F71"/>
    <w:rsid w:val="003F53A4"/>
    <w:rsid w:val="003F5A87"/>
    <w:rsid w:val="004001B0"/>
    <w:rsid w:val="004022DE"/>
    <w:rsid w:val="00412F72"/>
    <w:rsid w:val="00420ABA"/>
    <w:rsid w:val="00421C83"/>
    <w:rsid w:val="0042347F"/>
    <w:rsid w:val="004257BE"/>
    <w:rsid w:val="00431278"/>
    <w:rsid w:val="00433D5A"/>
    <w:rsid w:val="00433FFA"/>
    <w:rsid w:val="00434189"/>
    <w:rsid w:val="00450CDF"/>
    <w:rsid w:val="00453983"/>
    <w:rsid w:val="00454667"/>
    <w:rsid w:val="00455164"/>
    <w:rsid w:val="004566F7"/>
    <w:rsid w:val="00461B7C"/>
    <w:rsid w:val="00462CA9"/>
    <w:rsid w:val="00462E28"/>
    <w:rsid w:val="0046339F"/>
    <w:rsid w:val="00465142"/>
    <w:rsid w:val="00466995"/>
    <w:rsid w:val="004719BC"/>
    <w:rsid w:val="004732DB"/>
    <w:rsid w:val="0047380D"/>
    <w:rsid w:val="00473DE2"/>
    <w:rsid w:val="00474686"/>
    <w:rsid w:val="004924E7"/>
    <w:rsid w:val="0049405B"/>
    <w:rsid w:val="004946BD"/>
    <w:rsid w:val="00494F39"/>
    <w:rsid w:val="00495F9B"/>
    <w:rsid w:val="004969C2"/>
    <w:rsid w:val="004A563B"/>
    <w:rsid w:val="004A7020"/>
    <w:rsid w:val="004A7391"/>
    <w:rsid w:val="004A7A1B"/>
    <w:rsid w:val="004A7B7B"/>
    <w:rsid w:val="004B6439"/>
    <w:rsid w:val="004B65EF"/>
    <w:rsid w:val="004B6FFC"/>
    <w:rsid w:val="004C0472"/>
    <w:rsid w:val="004D10A4"/>
    <w:rsid w:val="004D1A5A"/>
    <w:rsid w:val="004D4031"/>
    <w:rsid w:val="004D5713"/>
    <w:rsid w:val="004D63A6"/>
    <w:rsid w:val="004E25E5"/>
    <w:rsid w:val="004E2D64"/>
    <w:rsid w:val="004E46FB"/>
    <w:rsid w:val="004F0162"/>
    <w:rsid w:val="004F21D2"/>
    <w:rsid w:val="004F3B3A"/>
    <w:rsid w:val="00500263"/>
    <w:rsid w:val="00503184"/>
    <w:rsid w:val="005075BB"/>
    <w:rsid w:val="005103A9"/>
    <w:rsid w:val="00513A83"/>
    <w:rsid w:val="005167E5"/>
    <w:rsid w:val="00517495"/>
    <w:rsid w:val="0052043C"/>
    <w:rsid w:val="005215BC"/>
    <w:rsid w:val="00530899"/>
    <w:rsid w:val="00531F30"/>
    <w:rsid w:val="005409DE"/>
    <w:rsid w:val="00540F41"/>
    <w:rsid w:val="00544DD2"/>
    <w:rsid w:val="00545D12"/>
    <w:rsid w:val="00556E25"/>
    <w:rsid w:val="00557FDC"/>
    <w:rsid w:val="00561428"/>
    <w:rsid w:val="00562C54"/>
    <w:rsid w:val="00563D17"/>
    <w:rsid w:val="00567225"/>
    <w:rsid w:val="005713CF"/>
    <w:rsid w:val="00574055"/>
    <w:rsid w:val="00574527"/>
    <w:rsid w:val="005808DB"/>
    <w:rsid w:val="005839D1"/>
    <w:rsid w:val="00585280"/>
    <w:rsid w:val="005864D8"/>
    <w:rsid w:val="00587EC8"/>
    <w:rsid w:val="00592738"/>
    <w:rsid w:val="00596274"/>
    <w:rsid w:val="00596B6C"/>
    <w:rsid w:val="0059793D"/>
    <w:rsid w:val="005A0CB4"/>
    <w:rsid w:val="005A176C"/>
    <w:rsid w:val="005A207B"/>
    <w:rsid w:val="005A70B0"/>
    <w:rsid w:val="005B422B"/>
    <w:rsid w:val="005B442D"/>
    <w:rsid w:val="005B509E"/>
    <w:rsid w:val="005C0838"/>
    <w:rsid w:val="005C2909"/>
    <w:rsid w:val="005C2D88"/>
    <w:rsid w:val="005C5E8F"/>
    <w:rsid w:val="005D14B9"/>
    <w:rsid w:val="005D151A"/>
    <w:rsid w:val="005D1EE5"/>
    <w:rsid w:val="005D55FA"/>
    <w:rsid w:val="005D6608"/>
    <w:rsid w:val="005D79B1"/>
    <w:rsid w:val="005F050D"/>
    <w:rsid w:val="006021C2"/>
    <w:rsid w:val="00603CC7"/>
    <w:rsid w:val="006113A2"/>
    <w:rsid w:val="0061702C"/>
    <w:rsid w:val="0061711C"/>
    <w:rsid w:val="006222FA"/>
    <w:rsid w:val="00622E0F"/>
    <w:rsid w:val="00627847"/>
    <w:rsid w:val="00632ACC"/>
    <w:rsid w:val="00634296"/>
    <w:rsid w:val="00634AF2"/>
    <w:rsid w:val="0063598A"/>
    <w:rsid w:val="0064168A"/>
    <w:rsid w:val="00644A71"/>
    <w:rsid w:val="006451A6"/>
    <w:rsid w:val="00645930"/>
    <w:rsid w:val="00652054"/>
    <w:rsid w:val="00653D4E"/>
    <w:rsid w:val="00654B38"/>
    <w:rsid w:val="006562BE"/>
    <w:rsid w:val="00656AF9"/>
    <w:rsid w:val="006612B5"/>
    <w:rsid w:val="00665B0C"/>
    <w:rsid w:val="00666C2D"/>
    <w:rsid w:val="0067632D"/>
    <w:rsid w:val="006808D1"/>
    <w:rsid w:val="00681078"/>
    <w:rsid w:val="006936D4"/>
    <w:rsid w:val="00693878"/>
    <w:rsid w:val="006948B3"/>
    <w:rsid w:val="0069775D"/>
    <w:rsid w:val="00697DE3"/>
    <w:rsid w:val="006A2344"/>
    <w:rsid w:val="006A6F22"/>
    <w:rsid w:val="006A7E5E"/>
    <w:rsid w:val="006B1447"/>
    <w:rsid w:val="006B155C"/>
    <w:rsid w:val="006B5D70"/>
    <w:rsid w:val="006B7DA8"/>
    <w:rsid w:val="006C7FA7"/>
    <w:rsid w:val="006D14CC"/>
    <w:rsid w:val="006E0B56"/>
    <w:rsid w:val="006E20B1"/>
    <w:rsid w:val="006E5149"/>
    <w:rsid w:val="006E6BA4"/>
    <w:rsid w:val="006F5303"/>
    <w:rsid w:val="006F6DA2"/>
    <w:rsid w:val="006F6E49"/>
    <w:rsid w:val="007017F5"/>
    <w:rsid w:val="00704F19"/>
    <w:rsid w:val="00710069"/>
    <w:rsid w:val="007111C7"/>
    <w:rsid w:val="00717649"/>
    <w:rsid w:val="0072050E"/>
    <w:rsid w:val="00725C4A"/>
    <w:rsid w:val="007266F7"/>
    <w:rsid w:val="007270E6"/>
    <w:rsid w:val="0073147E"/>
    <w:rsid w:val="007334F2"/>
    <w:rsid w:val="007350E4"/>
    <w:rsid w:val="00736293"/>
    <w:rsid w:val="00736570"/>
    <w:rsid w:val="00742DCA"/>
    <w:rsid w:val="0074395E"/>
    <w:rsid w:val="0074598E"/>
    <w:rsid w:val="0075086C"/>
    <w:rsid w:val="00751873"/>
    <w:rsid w:val="007540CD"/>
    <w:rsid w:val="00762E0A"/>
    <w:rsid w:val="007649CE"/>
    <w:rsid w:val="00766A87"/>
    <w:rsid w:val="00766D38"/>
    <w:rsid w:val="00771AD5"/>
    <w:rsid w:val="007740B0"/>
    <w:rsid w:val="00774EE6"/>
    <w:rsid w:val="007833F6"/>
    <w:rsid w:val="00784A75"/>
    <w:rsid w:val="00786FD2"/>
    <w:rsid w:val="00790821"/>
    <w:rsid w:val="0079448E"/>
    <w:rsid w:val="00794AA8"/>
    <w:rsid w:val="007979A2"/>
    <w:rsid w:val="00797EE1"/>
    <w:rsid w:val="007A0C85"/>
    <w:rsid w:val="007A2398"/>
    <w:rsid w:val="007A367F"/>
    <w:rsid w:val="007A6E00"/>
    <w:rsid w:val="007B1730"/>
    <w:rsid w:val="007B3369"/>
    <w:rsid w:val="007B560E"/>
    <w:rsid w:val="007B7439"/>
    <w:rsid w:val="007C008E"/>
    <w:rsid w:val="007C2586"/>
    <w:rsid w:val="007C44DB"/>
    <w:rsid w:val="007C6369"/>
    <w:rsid w:val="007D1AFE"/>
    <w:rsid w:val="007E198F"/>
    <w:rsid w:val="007E1F12"/>
    <w:rsid w:val="007E2312"/>
    <w:rsid w:val="007E53B5"/>
    <w:rsid w:val="007E74CC"/>
    <w:rsid w:val="007E780A"/>
    <w:rsid w:val="007F02C0"/>
    <w:rsid w:val="007F468C"/>
    <w:rsid w:val="007F4ADC"/>
    <w:rsid w:val="00800C0C"/>
    <w:rsid w:val="0080595C"/>
    <w:rsid w:val="00807D03"/>
    <w:rsid w:val="00811441"/>
    <w:rsid w:val="008120D5"/>
    <w:rsid w:val="00813924"/>
    <w:rsid w:val="008167D6"/>
    <w:rsid w:val="0081708A"/>
    <w:rsid w:val="00824272"/>
    <w:rsid w:val="008256A8"/>
    <w:rsid w:val="00834B2B"/>
    <w:rsid w:val="00836B84"/>
    <w:rsid w:val="00844F7E"/>
    <w:rsid w:val="00852525"/>
    <w:rsid w:val="00854C2F"/>
    <w:rsid w:val="00855CC0"/>
    <w:rsid w:val="0086047A"/>
    <w:rsid w:val="00861222"/>
    <w:rsid w:val="00863EBA"/>
    <w:rsid w:val="0086648F"/>
    <w:rsid w:val="00872744"/>
    <w:rsid w:val="00875BE7"/>
    <w:rsid w:val="00877965"/>
    <w:rsid w:val="0088013E"/>
    <w:rsid w:val="00880B00"/>
    <w:rsid w:val="00882CF0"/>
    <w:rsid w:val="0088383C"/>
    <w:rsid w:val="008840EA"/>
    <w:rsid w:val="008901A3"/>
    <w:rsid w:val="00891C60"/>
    <w:rsid w:val="008963FC"/>
    <w:rsid w:val="008A5716"/>
    <w:rsid w:val="008B0D0D"/>
    <w:rsid w:val="008B17E0"/>
    <w:rsid w:val="008B5185"/>
    <w:rsid w:val="008B663B"/>
    <w:rsid w:val="008B68D4"/>
    <w:rsid w:val="008B799C"/>
    <w:rsid w:val="008C1316"/>
    <w:rsid w:val="008C3570"/>
    <w:rsid w:val="008C3F48"/>
    <w:rsid w:val="008C7F64"/>
    <w:rsid w:val="008D633A"/>
    <w:rsid w:val="008D6ED1"/>
    <w:rsid w:val="008F6FBD"/>
    <w:rsid w:val="0090093F"/>
    <w:rsid w:val="00902B00"/>
    <w:rsid w:val="009032B7"/>
    <w:rsid w:val="00904870"/>
    <w:rsid w:val="00904C70"/>
    <w:rsid w:val="009052E5"/>
    <w:rsid w:val="00905B27"/>
    <w:rsid w:val="00906BEC"/>
    <w:rsid w:val="00910E23"/>
    <w:rsid w:val="009124FE"/>
    <w:rsid w:val="00912C0F"/>
    <w:rsid w:val="00913457"/>
    <w:rsid w:val="00914E19"/>
    <w:rsid w:val="0092191B"/>
    <w:rsid w:val="00922362"/>
    <w:rsid w:val="009224D0"/>
    <w:rsid w:val="0092435B"/>
    <w:rsid w:val="00924758"/>
    <w:rsid w:val="009350FC"/>
    <w:rsid w:val="00940A58"/>
    <w:rsid w:val="009429A6"/>
    <w:rsid w:val="00943CDB"/>
    <w:rsid w:val="00945828"/>
    <w:rsid w:val="0094708E"/>
    <w:rsid w:val="00950C09"/>
    <w:rsid w:val="00951A4C"/>
    <w:rsid w:val="00954712"/>
    <w:rsid w:val="009555D9"/>
    <w:rsid w:val="00962472"/>
    <w:rsid w:val="00965BDA"/>
    <w:rsid w:val="0096696C"/>
    <w:rsid w:val="0097033A"/>
    <w:rsid w:val="00971160"/>
    <w:rsid w:val="00971999"/>
    <w:rsid w:val="009745FF"/>
    <w:rsid w:val="00976671"/>
    <w:rsid w:val="00976DB2"/>
    <w:rsid w:val="00976F72"/>
    <w:rsid w:val="00977F3D"/>
    <w:rsid w:val="00981041"/>
    <w:rsid w:val="0098285B"/>
    <w:rsid w:val="00985879"/>
    <w:rsid w:val="00986678"/>
    <w:rsid w:val="009949F0"/>
    <w:rsid w:val="009A0911"/>
    <w:rsid w:val="009B15AB"/>
    <w:rsid w:val="009B3C60"/>
    <w:rsid w:val="009B5ABE"/>
    <w:rsid w:val="009B5EFC"/>
    <w:rsid w:val="009C0933"/>
    <w:rsid w:val="009C22AC"/>
    <w:rsid w:val="009C7F8F"/>
    <w:rsid w:val="009D1DB0"/>
    <w:rsid w:val="009D45AD"/>
    <w:rsid w:val="009D4787"/>
    <w:rsid w:val="009D6CF3"/>
    <w:rsid w:val="009F2AD9"/>
    <w:rsid w:val="009F5001"/>
    <w:rsid w:val="009F7C1B"/>
    <w:rsid w:val="00A02D6D"/>
    <w:rsid w:val="00A045E1"/>
    <w:rsid w:val="00A100FB"/>
    <w:rsid w:val="00A10C18"/>
    <w:rsid w:val="00A115D2"/>
    <w:rsid w:val="00A17D20"/>
    <w:rsid w:val="00A21621"/>
    <w:rsid w:val="00A21B1F"/>
    <w:rsid w:val="00A22820"/>
    <w:rsid w:val="00A23AD4"/>
    <w:rsid w:val="00A246D2"/>
    <w:rsid w:val="00A25BAC"/>
    <w:rsid w:val="00A25C34"/>
    <w:rsid w:val="00A408BE"/>
    <w:rsid w:val="00A41A4C"/>
    <w:rsid w:val="00A45570"/>
    <w:rsid w:val="00A50B86"/>
    <w:rsid w:val="00A54806"/>
    <w:rsid w:val="00A723DB"/>
    <w:rsid w:val="00A8251C"/>
    <w:rsid w:val="00A93692"/>
    <w:rsid w:val="00AA1480"/>
    <w:rsid w:val="00AA292F"/>
    <w:rsid w:val="00AA2B07"/>
    <w:rsid w:val="00AA559D"/>
    <w:rsid w:val="00AB0977"/>
    <w:rsid w:val="00AB3111"/>
    <w:rsid w:val="00AC0AEE"/>
    <w:rsid w:val="00AC0E5D"/>
    <w:rsid w:val="00AC1D78"/>
    <w:rsid w:val="00AC3C29"/>
    <w:rsid w:val="00AC6429"/>
    <w:rsid w:val="00AC7104"/>
    <w:rsid w:val="00AC7D6B"/>
    <w:rsid w:val="00AD47E9"/>
    <w:rsid w:val="00AD5319"/>
    <w:rsid w:val="00AD7273"/>
    <w:rsid w:val="00AD737F"/>
    <w:rsid w:val="00AE05C6"/>
    <w:rsid w:val="00AE1E9F"/>
    <w:rsid w:val="00AE4E48"/>
    <w:rsid w:val="00AE5C42"/>
    <w:rsid w:val="00AE78B8"/>
    <w:rsid w:val="00AF19E7"/>
    <w:rsid w:val="00AF2BA7"/>
    <w:rsid w:val="00B01130"/>
    <w:rsid w:val="00B01371"/>
    <w:rsid w:val="00B01D54"/>
    <w:rsid w:val="00B03496"/>
    <w:rsid w:val="00B04E78"/>
    <w:rsid w:val="00B06144"/>
    <w:rsid w:val="00B11966"/>
    <w:rsid w:val="00B13BE5"/>
    <w:rsid w:val="00B1582E"/>
    <w:rsid w:val="00B164DF"/>
    <w:rsid w:val="00B16833"/>
    <w:rsid w:val="00B24200"/>
    <w:rsid w:val="00B309F8"/>
    <w:rsid w:val="00B319E5"/>
    <w:rsid w:val="00B373C1"/>
    <w:rsid w:val="00B40502"/>
    <w:rsid w:val="00B46179"/>
    <w:rsid w:val="00B461C5"/>
    <w:rsid w:val="00B51E6D"/>
    <w:rsid w:val="00B540AC"/>
    <w:rsid w:val="00B55473"/>
    <w:rsid w:val="00B556A8"/>
    <w:rsid w:val="00B61B5A"/>
    <w:rsid w:val="00B65395"/>
    <w:rsid w:val="00B7035C"/>
    <w:rsid w:val="00B70D20"/>
    <w:rsid w:val="00B76858"/>
    <w:rsid w:val="00B77CE7"/>
    <w:rsid w:val="00B80117"/>
    <w:rsid w:val="00B937E4"/>
    <w:rsid w:val="00B956D5"/>
    <w:rsid w:val="00B95A1C"/>
    <w:rsid w:val="00B962B4"/>
    <w:rsid w:val="00BA01F6"/>
    <w:rsid w:val="00BA5229"/>
    <w:rsid w:val="00BA7BDD"/>
    <w:rsid w:val="00BB08E7"/>
    <w:rsid w:val="00BB1D74"/>
    <w:rsid w:val="00BB201F"/>
    <w:rsid w:val="00BB21F3"/>
    <w:rsid w:val="00BB4420"/>
    <w:rsid w:val="00BB4828"/>
    <w:rsid w:val="00BB6A79"/>
    <w:rsid w:val="00BB7D2F"/>
    <w:rsid w:val="00BC2704"/>
    <w:rsid w:val="00BC37ED"/>
    <w:rsid w:val="00BC6E00"/>
    <w:rsid w:val="00BD05C8"/>
    <w:rsid w:val="00BD30E2"/>
    <w:rsid w:val="00BD322B"/>
    <w:rsid w:val="00BD5D01"/>
    <w:rsid w:val="00BD6694"/>
    <w:rsid w:val="00BE418D"/>
    <w:rsid w:val="00BE4B5C"/>
    <w:rsid w:val="00BE6B0E"/>
    <w:rsid w:val="00BF4920"/>
    <w:rsid w:val="00C02F72"/>
    <w:rsid w:val="00C166B8"/>
    <w:rsid w:val="00C20747"/>
    <w:rsid w:val="00C211D5"/>
    <w:rsid w:val="00C214E4"/>
    <w:rsid w:val="00C2637D"/>
    <w:rsid w:val="00C33738"/>
    <w:rsid w:val="00C3379B"/>
    <w:rsid w:val="00C35710"/>
    <w:rsid w:val="00C42DA1"/>
    <w:rsid w:val="00C43153"/>
    <w:rsid w:val="00C54AFF"/>
    <w:rsid w:val="00C5758A"/>
    <w:rsid w:val="00C60373"/>
    <w:rsid w:val="00C61E52"/>
    <w:rsid w:val="00C63CD3"/>
    <w:rsid w:val="00C649C6"/>
    <w:rsid w:val="00C64C55"/>
    <w:rsid w:val="00C726DC"/>
    <w:rsid w:val="00C72AC3"/>
    <w:rsid w:val="00C72B59"/>
    <w:rsid w:val="00C7524F"/>
    <w:rsid w:val="00C770CE"/>
    <w:rsid w:val="00C837EB"/>
    <w:rsid w:val="00C8438F"/>
    <w:rsid w:val="00C86BE4"/>
    <w:rsid w:val="00C87079"/>
    <w:rsid w:val="00C87768"/>
    <w:rsid w:val="00C922B9"/>
    <w:rsid w:val="00C92687"/>
    <w:rsid w:val="00C9329A"/>
    <w:rsid w:val="00C97992"/>
    <w:rsid w:val="00C97997"/>
    <w:rsid w:val="00CA0262"/>
    <w:rsid w:val="00CA0C94"/>
    <w:rsid w:val="00CA4522"/>
    <w:rsid w:val="00CA49EF"/>
    <w:rsid w:val="00CA76AC"/>
    <w:rsid w:val="00CA7E4B"/>
    <w:rsid w:val="00CB54FA"/>
    <w:rsid w:val="00CB5DE5"/>
    <w:rsid w:val="00CB7539"/>
    <w:rsid w:val="00CD102E"/>
    <w:rsid w:val="00CD287F"/>
    <w:rsid w:val="00CD2E45"/>
    <w:rsid w:val="00CD5DD7"/>
    <w:rsid w:val="00CD60DA"/>
    <w:rsid w:val="00CE4F40"/>
    <w:rsid w:val="00CF2EA1"/>
    <w:rsid w:val="00CF6A0E"/>
    <w:rsid w:val="00D01D4A"/>
    <w:rsid w:val="00D15211"/>
    <w:rsid w:val="00D1741A"/>
    <w:rsid w:val="00D2291F"/>
    <w:rsid w:val="00D25534"/>
    <w:rsid w:val="00D26244"/>
    <w:rsid w:val="00D26902"/>
    <w:rsid w:val="00D334D5"/>
    <w:rsid w:val="00D341B9"/>
    <w:rsid w:val="00D41121"/>
    <w:rsid w:val="00D42D2A"/>
    <w:rsid w:val="00D45D51"/>
    <w:rsid w:val="00D463FC"/>
    <w:rsid w:val="00D46B46"/>
    <w:rsid w:val="00D50577"/>
    <w:rsid w:val="00D57013"/>
    <w:rsid w:val="00D571C5"/>
    <w:rsid w:val="00D57FB0"/>
    <w:rsid w:val="00D6349F"/>
    <w:rsid w:val="00D6757E"/>
    <w:rsid w:val="00D708B2"/>
    <w:rsid w:val="00D74DBD"/>
    <w:rsid w:val="00D75D90"/>
    <w:rsid w:val="00D76811"/>
    <w:rsid w:val="00D76BA4"/>
    <w:rsid w:val="00D816C1"/>
    <w:rsid w:val="00D82F97"/>
    <w:rsid w:val="00D832CB"/>
    <w:rsid w:val="00D84B67"/>
    <w:rsid w:val="00D874F6"/>
    <w:rsid w:val="00D87C36"/>
    <w:rsid w:val="00D92EEC"/>
    <w:rsid w:val="00D936F1"/>
    <w:rsid w:val="00D93C30"/>
    <w:rsid w:val="00D94FA4"/>
    <w:rsid w:val="00D96DB5"/>
    <w:rsid w:val="00DA0598"/>
    <w:rsid w:val="00DA07DD"/>
    <w:rsid w:val="00DA0D10"/>
    <w:rsid w:val="00DA4FF6"/>
    <w:rsid w:val="00DA5407"/>
    <w:rsid w:val="00DA58C8"/>
    <w:rsid w:val="00DA6021"/>
    <w:rsid w:val="00DA7562"/>
    <w:rsid w:val="00DB01F6"/>
    <w:rsid w:val="00DB1A1C"/>
    <w:rsid w:val="00DB2D62"/>
    <w:rsid w:val="00DB43C0"/>
    <w:rsid w:val="00DB5870"/>
    <w:rsid w:val="00DB66C8"/>
    <w:rsid w:val="00DB6D41"/>
    <w:rsid w:val="00DC15DC"/>
    <w:rsid w:val="00DC25CD"/>
    <w:rsid w:val="00DC2BE4"/>
    <w:rsid w:val="00DC3F1E"/>
    <w:rsid w:val="00DC3FEE"/>
    <w:rsid w:val="00DC584F"/>
    <w:rsid w:val="00DD0DB7"/>
    <w:rsid w:val="00DD4B55"/>
    <w:rsid w:val="00DE3409"/>
    <w:rsid w:val="00DE34F9"/>
    <w:rsid w:val="00DF02A6"/>
    <w:rsid w:val="00DF3D18"/>
    <w:rsid w:val="00DF749C"/>
    <w:rsid w:val="00E05E5E"/>
    <w:rsid w:val="00E062B0"/>
    <w:rsid w:val="00E06748"/>
    <w:rsid w:val="00E07776"/>
    <w:rsid w:val="00E10560"/>
    <w:rsid w:val="00E12A72"/>
    <w:rsid w:val="00E17FDA"/>
    <w:rsid w:val="00E21E74"/>
    <w:rsid w:val="00E26D9A"/>
    <w:rsid w:val="00E314CD"/>
    <w:rsid w:val="00E35292"/>
    <w:rsid w:val="00E44A49"/>
    <w:rsid w:val="00E46940"/>
    <w:rsid w:val="00E47351"/>
    <w:rsid w:val="00E47FCA"/>
    <w:rsid w:val="00E50757"/>
    <w:rsid w:val="00E5523C"/>
    <w:rsid w:val="00E57B00"/>
    <w:rsid w:val="00E63C5A"/>
    <w:rsid w:val="00E66749"/>
    <w:rsid w:val="00E703BB"/>
    <w:rsid w:val="00E814F3"/>
    <w:rsid w:val="00E82A4A"/>
    <w:rsid w:val="00E8619F"/>
    <w:rsid w:val="00E865C6"/>
    <w:rsid w:val="00E9743E"/>
    <w:rsid w:val="00EA1A04"/>
    <w:rsid w:val="00EB7A7E"/>
    <w:rsid w:val="00EC0454"/>
    <w:rsid w:val="00EC287E"/>
    <w:rsid w:val="00EC7B5E"/>
    <w:rsid w:val="00EC7F8B"/>
    <w:rsid w:val="00ED0F4B"/>
    <w:rsid w:val="00EE0EDB"/>
    <w:rsid w:val="00EE1098"/>
    <w:rsid w:val="00EE3547"/>
    <w:rsid w:val="00EF200B"/>
    <w:rsid w:val="00EF3C58"/>
    <w:rsid w:val="00EF4527"/>
    <w:rsid w:val="00F01FCC"/>
    <w:rsid w:val="00F034C6"/>
    <w:rsid w:val="00F045F1"/>
    <w:rsid w:val="00F1001C"/>
    <w:rsid w:val="00F1271F"/>
    <w:rsid w:val="00F12DDA"/>
    <w:rsid w:val="00F1316F"/>
    <w:rsid w:val="00F13C2C"/>
    <w:rsid w:val="00F142C2"/>
    <w:rsid w:val="00F151EA"/>
    <w:rsid w:val="00F1557E"/>
    <w:rsid w:val="00F20099"/>
    <w:rsid w:val="00F22831"/>
    <w:rsid w:val="00F25D21"/>
    <w:rsid w:val="00F27BE5"/>
    <w:rsid w:val="00F33FA0"/>
    <w:rsid w:val="00F372BF"/>
    <w:rsid w:val="00F37C7B"/>
    <w:rsid w:val="00F42525"/>
    <w:rsid w:val="00F455D2"/>
    <w:rsid w:val="00F45BFE"/>
    <w:rsid w:val="00F46F73"/>
    <w:rsid w:val="00F47E1E"/>
    <w:rsid w:val="00F500DA"/>
    <w:rsid w:val="00F52CEF"/>
    <w:rsid w:val="00F55CE0"/>
    <w:rsid w:val="00F56D96"/>
    <w:rsid w:val="00F629D8"/>
    <w:rsid w:val="00F62D1F"/>
    <w:rsid w:val="00F66A7C"/>
    <w:rsid w:val="00F71FB6"/>
    <w:rsid w:val="00F75BF0"/>
    <w:rsid w:val="00F77680"/>
    <w:rsid w:val="00F77C36"/>
    <w:rsid w:val="00F806EA"/>
    <w:rsid w:val="00F90039"/>
    <w:rsid w:val="00F94826"/>
    <w:rsid w:val="00F94C96"/>
    <w:rsid w:val="00F979C8"/>
    <w:rsid w:val="00FA06B0"/>
    <w:rsid w:val="00FA0C03"/>
    <w:rsid w:val="00FA57ED"/>
    <w:rsid w:val="00FA59B7"/>
    <w:rsid w:val="00FA72E3"/>
    <w:rsid w:val="00FB0E59"/>
    <w:rsid w:val="00FB2338"/>
    <w:rsid w:val="00FB73DA"/>
    <w:rsid w:val="00FC28F5"/>
    <w:rsid w:val="00FC4186"/>
    <w:rsid w:val="00FC6B29"/>
    <w:rsid w:val="00FC7B2F"/>
    <w:rsid w:val="00FD0D24"/>
    <w:rsid w:val="00FD2D0F"/>
    <w:rsid w:val="00FD62BC"/>
    <w:rsid w:val="00FD7711"/>
    <w:rsid w:val="00FD7AC4"/>
    <w:rsid w:val="00FE19C5"/>
    <w:rsid w:val="00FF00A9"/>
    <w:rsid w:val="00FF053B"/>
    <w:rsid w:val="00FF49B5"/>
    <w:rsid w:val="00FF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0E5F826"/>
  <w15:docId w15:val="{978BC8F4-86B7-47D8-9BB6-5A82FE5E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51"/>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302751"/>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B04E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4E7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751"/>
    <w:rPr>
      <w:rFonts w:ascii="Times New Roman" w:eastAsia="Times New Roman" w:hAnsi="Times New Roman" w:cs="Times New Roman"/>
      <w:b/>
      <w:snapToGrid w:val="0"/>
      <w:sz w:val="28"/>
      <w:szCs w:val="20"/>
    </w:rPr>
  </w:style>
  <w:style w:type="paragraph" w:styleId="Header">
    <w:name w:val="header"/>
    <w:basedOn w:val="Normal"/>
    <w:link w:val="HeaderChar"/>
    <w:rsid w:val="00302751"/>
    <w:pPr>
      <w:tabs>
        <w:tab w:val="center" w:pos="4320"/>
        <w:tab w:val="right" w:pos="8640"/>
      </w:tabs>
    </w:pPr>
    <w:rPr>
      <w:color w:val="auto"/>
      <w:sz w:val="20"/>
    </w:rPr>
  </w:style>
  <w:style w:type="character" w:customStyle="1" w:styleId="HeaderChar">
    <w:name w:val="Header Char"/>
    <w:basedOn w:val="DefaultParagraphFont"/>
    <w:link w:val="Header"/>
    <w:rsid w:val="00302751"/>
    <w:rPr>
      <w:rFonts w:ascii="Times New Roman" w:eastAsia="Times New Roman" w:hAnsi="Times New Roman" w:cs="Times New Roman"/>
      <w:sz w:val="20"/>
      <w:szCs w:val="20"/>
    </w:rPr>
  </w:style>
  <w:style w:type="paragraph" w:customStyle="1" w:styleId="WUTCParagraph">
    <w:name w:val="WUTC Paragraph"/>
    <w:basedOn w:val="Normal"/>
    <w:link w:val="WUTCParagraphChar"/>
    <w:qFormat/>
    <w:rsid w:val="00302751"/>
    <w:pPr>
      <w:numPr>
        <w:numId w:val="4"/>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302751"/>
    <w:rPr>
      <w:rFonts w:ascii="Times New Roman" w:eastAsia="Times New Roman" w:hAnsi="Times New Roman" w:cs="Times New Roman"/>
      <w:sz w:val="24"/>
      <w:szCs w:val="24"/>
      <w:lang w:val="x-none" w:eastAsia="x-non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30275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302751"/>
    <w:rPr>
      <w:rFonts w:ascii="Times New Roman" w:eastAsia="Times New Roman" w:hAnsi="Times New Roman" w:cs="Times New Roman"/>
      <w:color w:val="000000"/>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uiPriority w:val="99"/>
    <w:qFormat/>
    <w:rsid w:val="00302751"/>
    <w:rPr>
      <w:vertAlign w:val="superscript"/>
    </w:rPr>
  </w:style>
  <w:style w:type="paragraph" w:customStyle="1" w:styleId="center">
    <w:name w:val="center"/>
    <w:basedOn w:val="Normal"/>
    <w:rsid w:val="00302751"/>
    <w:pPr>
      <w:keepLines/>
      <w:spacing w:before="240" w:line="240" w:lineRule="atLeast"/>
      <w:jc w:val="center"/>
    </w:pPr>
    <w:rPr>
      <w:color w:val="auto"/>
      <w:lang w:eastAsia="zh-CN"/>
    </w:rPr>
  </w:style>
  <w:style w:type="paragraph" w:styleId="Footer">
    <w:name w:val="footer"/>
    <w:basedOn w:val="Normal"/>
    <w:link w:val="FooterChar"/>
    <w:uiPriority w:val="99"/>
    <w:unhideWhenUsed/>
    <w:rsid w:val="004F21D2"/>
    <w:pPr>
      <w:tabs>
        <w:tab w:val="center" w:pos="4680"/>
        <w:tab w:val="right" w:pos="9360"/>
      </w:tabs>
    </w:pPr>
  </w:style>
  <w:style w:type="character" w:customStyle="1" w:styleId="FooterChar">
    <w:name w:val="Footer Char"/>
    <w:basedOn w:val="DefaultParagraphFont"/>
    <w:link w:val="Footer"/>
    <w:uiPriority w:val="99"/>
    <w:rsid w:val="004F21D2"/>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453983"/>
    <w:rPr>
      <w:sz w:val="16"/>
      <w:szCs w:val="16"/>
    </w:rPr>
  </w:style>
  <w:style w:type="paragraph" w:styleId="CommentText">
    <w:name w:val="annotation text"/>
    <w:basedOn w:val="Normal"/>
    <w:link w:val="CommentTextChar"/>
    <w:uiPriority w:val="99"/>
    <w:semiHidden/>
    <w:unhideWhenUsed/>
    <w:rsid w:val="00453983"/>
    <w:rPr>
      <w:sz w:val="20"/>
    </w:rPr>
  </w:style>
  <w:style w:type="character" w:customStyle="1" w:styleId="CommentTextChar">
    <w:name w:val="Comment Text Char"/>
    <w:basedOn w:val="DefaultParagraphFont"/>
    <w:link w:val="CommentText"/>
    <w:uiPriority w:val="99"/>
    <w:semiHidden/>
    <w:rsid w:val="004539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3983"/>
    <w:rPr>
      <w:b/>
      <w:bCs/>
    </w:rPr>
  </w:style>
  <w:style w:type="character" w:customStyle="1" w:styleId="CommentSubjectChar">
    <w:name w:val="Comment Subject Char"/>
    <w:basedOn w:val="CommentTextChar"/>
    <w:link w:val="CommentSubject"/>
    <w:uiPriority w:val="99"/>
    <w:semiHidden/>
    <w:rsid w:val="0045398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53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983"/>
    <w:rPr>
      <w:rFonts w:ascii="Segoe UI" w:eastAsia="Times New Roman" w:hAnsi="Segoe UI" w:cs="Segoe UI"/>
      <w:color w:val="000000"/>
      <w:sz w:val="18"/>
      <w:szCs w:val="18"/>
    </w:rPr>
  </w:style>
  <w:style w:type="paragraph" w:styleId="BodyTextIndent2">
    <w:name w:val="Body Text Indent 2"/>
    <w:basedOn w:val="Normal"/>
    <w:link w:val="BodyTextIndent2Char"/>
    <w:rsid w:val="007B7439"/>
    <w:pPr>
      <w:ind w:left="686"/>
    </w:pPr>
    <w:rPr>
      <w:rFonts w:ascii="Palatino Linotype" w:hAnsi="Palatino Linotype"/>
      <w:color w:val="auto"/>
      <w:szCs w:val="24"/>
    </w:rPr>
  </w:style>
  <w:style w:type="character" w:customStyle="1" w:styleId="BodyTextIndent2Char">
    <w:name w:val="Body Text Indent 2 Char"/>
    <w:basedOn w:val="DefaultParagraphFont"/>
    <w:link w:val="BodyTextIndent2"/>
    <w:rsid w:val="007B7439"/>
    <w:rPr>
      <w:rFonts w:ascii="Palatino Linotype" w:eastAsia="Times New Roman" w:hAnsi="Palatino Linotype" w:cs="Times New Roman"/>
      <w:sz w:val="24"/>
      <w:szCs w:val="24"/>
    </w:rPr>
  </w:style>
  <w:style w:type="paragraph" w:styleId="ListParagraph">
    <w:name w:val="List Paragraph"/>
    <w:basedOn w:val="Normal"/>
    <w:link w:val="ListParagraphChar"/>
    <w:uiPriority w:val="34"/>
    <w:qFormat/>
    <w:rsid w:val="00CA7E4B"/>
    <w:pPr>
      <w:spacing w:after="160" w:line="259" w:lineRule="auto"/>
      <w:ind w:left="720"/>
      <w:contextualSpacing/>
    </w:pPr>
    <w:rPr>
      <w:rFonts w:asciiTheme="minorHAnsi" w:eastAsiaTheme="minorHAnsi" w:hAnsiTheme="minorHAnsi" w:cstheme="minorBidi"/>
      <w:color w:val="auto"/>
      <w:sz w:val="22"/>
      <w:szCs w:val="22"/>
    </w:rPr>
  </w:style>
  <w:style w:type="paragraph" w:styleId="BodyTextIndent">
    <w:name w:val="Body Text Indent"/>
    <w:basedOn w:val="Normal"/>
    <w:link w:val="BodyTextIndentChar"/>
    <w:uiPriority w:val="99"/>
    <w:semiHidden/>
    <w:unhideWhenUsed/>
    <w:rsid w:val="00252A6F"/>
    <w:pPr>
      <w:spacing w:after="120"/>
      <w:ind w:left="360"/>
    </w:pPr>
  </w:style>
  <w:style w:type="character" w:customStyle="1" w:styleId="BodyTextIndentChar">
    <w:name w:val="Body Text Indent Char"/>
    <w:basedOn w:val="DefaultParagraphFont"/>
    <w:link w:val="BodyTextIndent"/>
    <w:uiPriority w:val="99"/>
    <w:semiHidden/>
    <w:rsid w:val="00252A6F"/>
    <w:rPr>
      <w:rFonts w:ascii="Times New Roman" w:eastAsia="Times New Roman" w:hAnsi="Times New Roman" w:cs="Times New Roman"/>
      <w:color w:val="000000"/>
      <w:sz w:val="24"/>
      <w:szCs w:val="20"/>
    </w:rPr>
  </w:style>
  <w:style w:type="character" w:customStyle="1" w:styleId="Heading2Char">
    <w:name w:val="Heading 2 Char"/>
    <w:basedOn w:val="DefaultParagraphFont"/>
    <w:link w:val="Heading2"/>
    <w:uiPriority w:val="9"/>
    <w:semiHidden/>
    <w:rsid w:val="00B04E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04E78"/>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390D0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390D06"/>
    <w:rPr>
      <w:rFonts w:ascii="Consolas" w:eastAsia="Calibri" w:hAnsi="Consolas" w:cs="Times New Roman"/>
      <w:sz w:val="21"/>
      <w:szCs w:val="21"/>
    </w:rPr>
  </w:style>
  <w:style w:type="character" w:customStyle="1" w:styleId="ListParagraphChar">
    <w:name w:val="List Paragraph Char"/>
    <w:basedOn w:val="DefaultParagraphFont"/>
    <w:link w:val="ListParagraph"/>
    <w:uiPriority w:val="34"/>
    <w:locked/>
    <w:rsid w:val="00390D06"/>
  </w:style>
  <w:style w:type="character" w:styleId="Hyperlink">
    <w:name w:val="Hyperlink"/>
    <w:basedOn w:val="DefaultParagraphFont"/>
    <w:uiPriority w:val="99"/>
    <w:unhideWhenUsed/>
    <w:rsid w:val="0052043C"/>
    <w:rPr>
      <w:color w:val="0000FF" w:themeColor="hyperlink"/>
      <w:u w:val="single"/>
    </w:rPr>
  </w:style>
  <w:style w:type="paragraph" w:styleId="BodyText">
    <w:name w:val="Body Text"/>
    <w:basedOn w:val="Normal"/>
    <w:link w:val="BodyTextChar"/>
    <w:uiPriority w:val="99"/>
    <w:semiHidden/>
    <w:unhideWhenUsed/>
    <w:rsid w:val="0073147E"/>
    <w:pPr>
      <w:spacing w:after="120"/>
    </w:pPr>
  </w:style>
  <w:style w:type="character" w:customStyle="1" w:styleId="BodyTextChar">
    <w:name w:val="Body Text Char"/>
    <w:basedOn w:val="DefaultParagraphFont"/>
    <w:link w:val="BodyText"/>
    <w:uiPriority w:val="99"/>
    <w:semiHidden/>
    <w:rsid w:val="0073147E"/>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2015-09-11T22:53:57+00:00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DA332-35D7-4935-B8EF-4DBF66ECC0F3}"/>
</file>

<file path=customXml/itemProps2.xml><?xml version="1.0" encoding="utf-8"?>
<ds:datastoreItem xmlns:ds="http://schemas.openxmlformats.org/officeDocument/2006/customXml" ds:itemID="{7D45AD5F-E6F6-45E6-9353-022F397297DD}"/>
</file>

<file path=customXml/itemProps3.xml><?xml version="1.0" encoding="utf-8"?>
<ds:datastoreItem xmlns:ds="http://schemas.openxmlformats.org/officeDocument/2006/customXml" ds:itemID="{EBEE18EA-7FCE-4532-A37E-016D5E891E98}"/>
</file>

<file path=customXml/itemProps4.xml><?xml version="1.0" encoding="utf-8"?>
<ds:datastoreItem xmlns:ds="http://schemas.openxmlformats.org/officeDocument/2006/customXml" ds:itemID="{189AD2DC-34C2-461B-98BF-C572C95B58A0}"/>
</file>

<file path=customXml/itemProps5.xml><?xml version="1.0" encoding="utf-8"?>
<ds:datastoreItem xmlns:ds="http://schemas.openxmlformats.org/officeDocument/2006/customXml" ds:itemID="{C72761C3-B551-41F9-AEDB-D47B02239A4A}"/>
</file>

<file path=docProps/app.xml><?xml version="1.0" encoding="utf-8"?>
<Properties xmlns="http://schemas.openxmlformats.org/officeDocument/2006/extended-properties" xmlns:vt="http://schemas.openxmlformats.org/officeDocument/2006/docPropsVTypes">
  <Template>Normal.dotm</Template>
  <TotalTime>792</TotalTime>
  <Pages>23</Pages>
  <Words>5001</Words>
  <Characters>28510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O. Gorsuch</dc:creator>
  <cp:lastModifiedBy>Gross, Krista (UTC)</cp:lastModifiedBy>
  <cp:revision>40</cp:revision>
  <cp:lastPrinted>2015-09-11T21:43:00Z</cp:lastPrinted>
  <dcterms:created xsi:type="dcterms:W3CDTF">2015-09-09T20:19:00Z</dcterms:created>
  <dcterms:modified xsi:type="dcterms:W3CDTF">2015-09-11T22:29:00Z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