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Default="00252B75">
      <w:r>
        <w:rPr>
          <w:noProof/>
        </w:rPr>
        <w:drawing>
          <wp:anchor distT="0" distB="0" distL="114300" distR="114300" simplePos="0" relativeHeight="251657728" behindDoc="1" locked="1" layoutInCell="1" allowOverlap="1">
            <wp:simplePos x="0" y="0"/>
            <wp:positionH relativeFrom="page">
              <wp:align>left</wp:align>
            </wp:positionH>
            <wp:positionV relativeFrom="page">
              <wp:align>top</wp:align>
            </wp:positionV>
            <wp:extent cx="7699375" cy="2743835"/>
            <wp:effectExtent l="19050" t="0" r="0" b="0"/>
            <wp:wrapNone/>
            <wp:docPr id="2" name="Picture 2" descr="LNG&amp;S-LH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amp;S-LH_top"/>
                    <pic:cNvPicPr>
                      <a:picLocks noChangeAspect="1" noChangeArrowheads="1"/>
                    </pic:cNvPicPr>
                  </pic:nvPicPr>
                  <pic:blipFill>
                    <a:blip r:embed="rId8" cstate="print"/>
                    <a:srcRect/>
                    <a:stretch>
                      <a:fillRect/>
                    </a:stretch>
                  </pic:blipFill>
                  <pic:spPr bwMode="auto">
                    <a:xfrm>
                      <a:off x="0" y="0"/>
                      <a:ext cx="7699375" cy="2743835"/>
                    </a:xfrm>
                    <a:prstGeom prst="rect">
                      <a:avLst/>
                    </a:prstGeom>
                    <a:noFill/>
                  </pic:spPr>
                </pic:pic>
              </a:graphicData>
            </a:graphic>
          </wp:anchor>
        </w:drawing>
      </w:r>
    </w:p>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914BB" w:rsidRDefault="008914BB" w:rsidP="00E75987">
      <w:pPr>
        <w:jc w:val="right"/>
        <w:rPr>
          <w:sz w:val="18"/>
          <w:szCs w:val="18"/>
        </w:rPr>
      </w:pPr>
    </w:p>
    <w:p w:rsidR="00E75987" w:rsidRDefault="00E75987" w:rsidP="008576BE">
      <w:pPr>
        <w:jc w:val="right"/>
        <w:rPr>
          <w:sz w:val="18"/>
          <w:szCs w:val="18"/>
        </w:rPr>
      </w:pPr>
    </w:p>
    <w:p w:rsidR="008576BE" w:rsidRDefault="008576BE" w:rsidP="008576BE">
      <w:pPr>
        <w:jc w:val="right"/>
        <w:outlineLvl w:val="0"/>
        <w:rPr>
          <w:rFonts w:ascii="Times New Roman" w:hAnsi="Times New Roman"/>
          <w:sz w:val="18"/>
          <w:szCs w:val="18"/>
        </w:rPr>
      </w:pPr>
      <w:r>
        <w:rPr>
          <w:rFonts w:ascii="Times New Roman" w:hAnsi="Times New Roman"/>
          <w:sz w:val="18"/>
          <w:szCs w:val="18"/>
        </w:rPr>
        <w:t>Brooks E. Harlow</w:t>
      </w:r>
    </w:p>
    <w:p w:rsidR="008576BE" w:rsidRDefault="008576BE" w:rsidP="008576BE">
      <w:pPr>
        <w:jc w:val="right"/>
        <w:rPr>
          <w:rFonts w:ascii="Times New Roman" w:hAnsi="Times New Roman"/>
          <w:sz w:val="18"/>
          <w:szCs w:val="18"/>
        </w:rPr>
      </w:pPr>
      <w:r>
        <w:rPr>
          <w:rFonts w:ascii="Times New Roman" w:hAnsi="Times New Roman"/>
          <w:sz w:val="18"/>
          <w:szCs w:val="18"/>
        </w:rPr>
        <w:t>(703) 584-8680</w:t>
      </w:r>
    </w:p>
    <w:p w:rsidR="008576BE" w:rsidRPr="00740475" w:rsidRDefault="008576BE" w:rsidP="008576BE">
      <w:pPr>
        <w:jc w:val="right"/>
        <w:rPr>
          <w:rFonts w:ascii="Times New Roman" w:hAnsi="Times New Roman"/>
          <w:sz w:val="18"/>
          <w:szCs w:val="18"/>
        </w:rPr>
      </w:pPr>
      <w:r>
        <w:rPr>
          <w:rFonts w:ascii="Times New Roman" w:hAnsi="Times New Roman"/>
          <w:sz w:val="18"/>
          <w:szCs w:val="18"/>
        </w:rPr>
        <w:t>bharlow@fcclaw.com</w:t>
      </w:r>
    </w:p>
    <w:p w:rsidR="001966CB" w:rsidRDefault="00D70E93" w:rsidP="000A6A4A">
      <w:pPr>
        <w:jc w:val="both"/>
      </w:pPr>
      <w:r>
        <w:t>October 25</w:t>
      </w:r>
      <w:r w:rsidR="00CD5A01">
        <w:t>,</w:t>
      </w:r>
      <w:r w:rsidR="00A44EBB" w:rsidRPr="00F0415D">
        <w:t xml:space="preserve"> 2012</w:t>
      </w:r>
    </w:p>
    <w:p w:rsidR="001966CB" w:rsidRDefault="001966CB" w:rsidP="000A6A4A">
      <w:pPr>
        <w:jc w:val="both"/>
      </w:pPr>
    </w:p>
    <w:p w:rsidR="001966CB" w:rsidRPr="001966CB" w:rsidRDefault="005A4DE9" w:rsidP="000A6A4A">
      <w:pPr>
        <w:jc w:val="both"/>
        <w:rPr>
          <w:b/>
          <w:u w:val="single"/>
        </w:rPr>
      </w:pPr>
      <w:r>
        <w:rPr>
          <w:b/>
          <w:u w:val="single"/>
        </w:rPr>
        <w:t>VIA WUTC WEB PORTAL</w:t>
      </w:r>
    </w:p>
    <w:p w:rsidR="001966CB" w:rsidRDefault="001966CB" w:rsidP="000A6A4A">
      <w:pPr>
        <w:jc w:val="both"/>
        <w:rPr>
          <w:b/>
        </w:rPr>
      </w:pPr>
    </w:p>
    <w:p w:rsidR="001476B6" w:rsidRDefault="000F6097" w:rsidP="000A6A4A">
      <w:pPr>
        <w:jc w:val="both"/>
      </w:pPr>
      <w:r>
        <w:t xml:space="preserve">Mr. </w:t>
      </w:r>
      <w:r w:rsidR="00200F62">
        <w:t>David Danner</w:t>
      </w:r>
    </w:p>
    <w:p w:rsidR="000F6097" w:rsidRDefault="009657B6" w:rsidP="000A6A4A">
      <w:pPr>
        <w:jc w:val="both"/>
      </w:pPr>
      <w:r>
        <w:t>Executive Director</w:t>
      </w:r>
    </w:p>
    <w:p w:rsidR="001966CB" w:rsidRDefault="000F6097" w:rsidP="000A6A4A">
      <w:pPr>
        <w:jc w:val="both"/>
      </w:pPr>
      <w:r>
        <w:t>Washington Utilities and Transportation Commission</w:t>
      </w:r>
    </w:p>
    <w:p w:rsidR="001966CB" w:rsidRDefault="000F6097" w:rsidP="000A6A4A">
      <w:pPr>
        <w:jc w:val="both"/>
      </w:pPr>
      <w:r>
        <w:t>1300 S. Evergreen Park Drive, S.W.</w:t>
      </w:r>
    </w:p>
    <w:p w:rsidR="000F6097" w:rsidRDefault="000F6097" w:rsidP="000A6A4A">
      <w:pPr>
        <w:jc w:val="both"/>
      </w:pPr>
      <w:r>
        <w:t>Olympia, WA  98504-7250</w:t>
      </w:r>
    </w:p>
    <w:p w:rsidR="00EB4F16" w:rsidRDefault="00EB4F16" w:rsidP="000A6A4A">
      <w:pPr>
        <w:jc w:val="both"/>
      </w:pPr>
    </w:p>
    <w:p w:rsidR="00EB4F16" w:rsidRPr="00EB4F16" w:rsidRDefault="00EB4F16" w:rsidP="000F6097">
      <w:pPr>
        <w:jc w:val="both"/>
        <w:rPr>
          <w:b/>
        </w:rPr>
      </w:pPr>
      <w:r>
        <w:rPr>
          <w:b/>
        </w:rPr>
        <w:t>Re:</w:t>
      </w:r>
      <w:r>
        <w:rPr>
          <w:b/>
        </w:rPr>
        <w:tab/>
      </w:r>
      <w:r w:rsidR="00A44EBB">
        <w:rPr>
          <w:b/>
        </w:rPr>
        <w:t>UT-120451</w:t>
      </w:r>
      <w:r w:rsidR="00AC0EBE">
        <w:rPr>
          <w:b/>
        </w:rPr>
        <w:t xml:space="preserve"> Response</w:t>
      </w:r>
      <w:r w:rsidR="000F6097">
        <w:rPr>
          <w:b/>
        </w:rPr>
        <w:t xml:space="preserve"> </w:t>
      </w:r>
      <w:r w:rsidR="00AC0EBE">
        <w:rPr>
          <w:b/>
        </w:rPr>
        <w:t>of Dex One to Workshop Question</w:t>
      </w:r>
      <w:r w:rsidR="005A75DA">
        <w:rPr>
          <w:b/>
        </w:rPr>
        <w:t>s</w:t>
      </w:r>
    </w:p>
    <w:p w:rsidR="001966CB" w:rsidRDefault="001966CB" w:rsidP="000A6A4A">
      <w:pPr>
        <w:jc w:val="both"/>
      </w:pPr>
    </w:p>
    <w:p w:rsidR="001966CB" w:rsidRDefault="001966CB" w:rsidP="000A6A4A">
      <w:pPr>
        <w:jc w:val="both"/>
      </w:pPr>
      <w:r>
        <w:t xml:space="preserve">Dear </w:t>
      </w:r>
      <w:r w:rsidR="000F6097">
        <w:t xml:space="preserve">Mr. </w:t>
      </w:r>
      <w:r w:rsidR="00200F62">
        <w:t>Danner</w:t>
      </w:r>
      <w:r>
        <w:t>:</w:t>
      </w:r>
    </w:p>
    <w:p w:rsidR="001966CB" w:rsidRDefault="001966CB" w:rsidP="000A6A4A">
      <w:pPr>
        <w:jc w:val="both"/>
      </w:pPr>
    </w:p>
    <w:p w:rsidR="00A44EBB" w:rsidRDefault="00EB4F16" w:rsidP="00A44EBB">
      <w:pPr>
        <w:spacing w:line="276" w:lineRule="auto"/>
        <w:rPr>
          <w:rFonts w:ascii="Times New Roman" w:eastAsiaTheme="minorHAnsi" w:hAnsi="Times New Roman"/>
        </w:rPr>
      </w:pPr>
      <w:r>
        <w:tab/>
      </w:r>
      <w:r w:rsidR="00A44EBB" w:rsidRPr="00A44EBB">
        <w:rPr>
          <w:rFonts w:ascii="Times New Roman" w:eastAsiaTheme="minorHAnsi" w:hAnsi="Times New Roman"/>
        </w:rPr>
        <w:t>Dex One</w:t>
      </w:r>
      <w:r w:rsidR="00252B75">
        <w:rPr>
          <w:rFonts w:ascii="Times New Roman" w:eastAsiaTheme="minorHAnsi" w:hAnsi="Times New Roman"/>
        </w:rPr>
        <w:t xml:space="preserve"> Corporation</w:t>
      </w:r>
      <w:r w:rsidR="00AC0EBE">
        <w:rPr>
          <w:rFonts w:ascii="Times New Roman" w:eastAsiaTheme="minorHAnsi" w:hAnsi="Times New Roman"/>
        </w:rPr>
        <w:t xml:space="preserve"> (“Dex One”)</w:t>
      </w:r>
      <w:r w:rsidR="00A44EBB" w:rsidRPr="00A44EBB">
        <w:rPr>
          <w:rFonts w:ascii="Times New Roman" w:eastAsiaTheme="minorHAnsi" w:hAnsi="Times New Roman"/>
        </w:rPr>
        <w:t xml:space="preserve"> </w:t>
      </w:r>
      <w:r w:rsidR="00AC0EBE">
        <w:rPr>
          <w:rFonts w:ascii="Times New Roman" w:eastAsiaTheme="minorHAnsi" w:hAnsi="Times New Roman"/>
        </w:rPr>
        <w:t xml:space="preserve">appreciated the opportunity to participate in the workshop last week in the above-referenced docket.  We trust that the information exchanged led to greater </w:t>
      </w:r>
      <w:r w:rsidR="004D261B">
        <w:rPr>
          <w:rFonts w:ascii="Times New Roman" w:eastAsiaTheme="minorHAnsi" w:hAnsi="Times New Roman"/>
        </w:rPr>
        <w:t>understanding and will enable the</w:t>
      </w:r>
      <w:r w:rsidR="00AC0EBE">
        <w:rPr>
          <w:rFonts w:ascii="Times New Roman" w:eastAsiaTheme="minorHAnsi" w:hAnsi="Times New Roman"/>
        </w:rPr>
        <w:t xml:space="preserve"> Commission to proceed reasonably promptly with a rule that will satisfy the needs and demands of the public </w:t>
      </w:r>
      <w:r w:rsidR="007A1676">
        <w:rPr>
          <w:rFonts w:ascii="Times New Roman" w:eastAsiaTheme="minorHAnsi" w:hAnsi="Times New Roman"/>
        </w:rPr>
        <w:t>and the great majority of the stakeholders in the docket</w:t>
      </w:r>
      <w:r w:rsidR="005A75DA">
        <w:rPr>
          <w:rFonts w:ascii="Times New Roman" w:eastAsiaTheme="minorHAnsi" w:hAnsi="Times New Roman"/>
        </w:rPr>
        <w:t xml:space="preserve"> who support—at least in part—relaxation of WAC 480-120-251 to permit optional opt-in delivery of residential white pages</w:t>
      </w:r>
      <w:r w:rsidR="007A1676">
        <w:rPr>
          <w:rFonts w:ascii="Times New Roman" w:eastAsiaTheme="minorHAnsi" w:hAnsi="Times New Roman"/>
        </w:rPr>
        <w:t>.  This letter responds to two specific questions posed to Dex One at the workshop.</w:t>
      </w:r>
    </w:p>
    <w:p w:rsidR="007A1676" w:rsidRDefault="007A1676" w:rsidP="00A44EBB">
      <w:pPr>
        <w:spacing w:line="276" w:lineRule="auto"/>
        <w:rPr>
          <w:rFonts w:ascii="Times New Roman" w:eastAsiaTheme="minorHAnsi" w:hAnsi="Times New Roman"/>
        </w:rPr>
      </w:pPr>
    </w:p>
    <w:p w:rsidR="007A1676" w:rsidRDefault="00A44EBB" w:rsidP="007A1676">
      <w:pPr>
        <w:spacing w:line="276" w:lineRule="auto"/>
        <w:rPr>
          <w:rFonts w:ascii="Times New Roman" w:eastAsiaTheme="minorHAnsi" w:hAnsi="Times New Roman"/>
        </w:rPr>
      </w:pPr>
      <w:r>
        <w:rPr>
          <w:rFonts w:ascii="Times New Roman" w:eastAsiaTheme="minorHAnsi" w:hAnsi="Times New Roman"/>
        </w:rPr>
        <w:tab/>
      </w:r>
      <w:r w:rsidR="007A1676">
        <w:rPr>
          <w:rFonts w:ascii="Times New Roman" w:eastAsiaTheme="minorHAnsi" w:hAnsi="Times New Roman"/>
        </w:rPr>
        <w:t>First, Dex One was asked how many consumers set their directory preference</w:t>
      </w:r>
      <w:r w:rsidR="005A75DA">
        <w:rPr>
          <w:rFonts w:ascii="Times New Roman" w:eastAsiaTheme="minorHAnsi" w:hAnsi="Times New Roman"/>
        </w:rPr>
        <w:t>s</w:t>
      </w:r>
      <w:r w:rsidR="007A1676">
        <w:rPr>
          <w:rFonts w:ascii="Times New Roman" w:eastAsiaTheme="minorHAnsi" w:hAnsi="Times New Roman"/>
        </w:rPr>
        <w:t xml:space="preserve"> using the Internet versus calling Dex One’s toll free number.  </w:t>
      </w:r>
      <w:r w:rsidR="00D70E93">
        <w:rPr>
          <w:rFonts w:ascii="Times New Roman" w:eastAsiaTheme="minorHAnsi" w:hAnsi="Times New Roman"/>
        </w:rPr>
        <w:t xml:space="preserve">For opt-in customers in the </w:t>
      </w:r>
      <w:r w:rsidR="007A1676">
        <w:rPr>
          <w:rFonts w:ascii="Times New Roman" w:eastAsiaTheme="minorHAnsi" w:hAnsi="Times New Roman"/>
        </w:rPr>
        <w:t>Las Vegas, Salt Lake City, and Tucson</w:t>
      </w:r>
      <w:r w:rsidR="00D70E93">
        <w:rPr>
          <w:rFonts w:ascii="Times New Roman" w:eastAsiaTheme="minorHAnsi" w:hAnsi="Times New Roman"/>
        </w:rPr>
        <w:t xml:space="preserve"> markets</w:t>
      </w:r>
      <w:r w:rsidR="007A1676">
        <w:rPr>
          <w:rFonts w:ascii="Times New Roman" w:eastAsiaTheme="minorHAnsi" w:hAnsi="Times New Roman"/>
        </w:rPr>
        <w:t xml:space="preserve"> </w:t>
      </w:r>
      <w:r w:rsidR="00D70E93">
        <w:rPr>
          <w:rFonts w:ascii="Times New Roman" w:eastAsiaTheme="minorHAnsi" w:hAnsi="Times New Roman"/>
        </w:rPr>
        <w:t>to date in 2012, about 7%</w:t>
      </w:r>
      <w:r w:rsidR="007A1676">
        <w:rPr>
          <w:rFonts w:ascii="Times New Roman" w:eastAsiaTheme="minorHAnsi" w:hAnsi="Times New Roman"/>
        </w:rPr>
        <w:t xml:space="preserve"> have used Dex One’s website and </w:t>
      </w:r>
      <w:r w:rsidR="00D70E93">
        <w:rPr>
          <w:rFonts w:ascii="Times New Roman" w:eastAsiaTheme="minorHAnsi" w:hAnsi="Times New Roman"/>
        </w:rPr>
        <w:t>about 93</w:t>
      </w:r>
      <w:r w:rsidR="007A1676">
        <w:rPr>
          <w:rFonts w:ascii="Times New Roman" w:eastAsiaTheme="minorHAnsi" w:hAnsi="Times New Roman"/>
        </w:rPr>
        <w:t xml:space="preserve">% called Dex One’s toll-free number </w:t>
      </w:r>
      <w:r w:rsidR="00D70E93">
        <w:rPr>
          <w:rFonts w:ascii="Times New Roman" w:eastAsiaTheme="minorHAnsi" w:hAnsi="Times New Roman"/>
        </w:rPr>
        <w:t xml:space="preserve">to request </w:t>
      </w:r>
      <w:proofErr w:type="gramStart"/>
      <w:r w:rsidR="00D70E93">
        <w:rPr>
          <w:rFonts w:ascii="Times New Roman" w:eastAsiaTheme="minorHAnsi" w:hAnsi="Times New Roman"/>
        </w:rPr>
        <w:t>a residential white pages</w:t>
      </w:r>
      <w:proofErr w:type="gramEnd"/>
      <w:r w:rsidR="007A1676">
        <w:rPr>
          <w:rFonts w:ascii="Times New Roman" w:eastAsiaTheme="minorHAnsi" w:hAnsi="Times New Roman"/>
        </w:rPr>
        <w:t>.</w:t>
      </w:r>
    </w:p>
    <w:p w:rsidR="007A1676" w:rsidRDefault="007A1676" w:rsidP="007A1676">
      <w:pPr>
        <w:spacing w:line="276" w:lineRule="auto"/>
        <w:rPr>
          <w:rFonts w:ascii="Times New Roman" w:eastAsiaTheme="minorHAnsi" w:hAnsi="Times New Roman"/>
        </w:rPr>
      </w:pPr>
    </w:p>
    <w:p w:rsidR="006B4055" w:rsidRDefault="007A1676" w:rsidP="00BD27F9">
      <w:pPr>
        <w:spacing w:line="276" w:lineRule="auto"/>
        <w:rPr>
          <w:rFonts w:ascii="Times New Roman" w:eastAsiaTheme="minorHAnsi" w:hAnsi="Times New Roman"/>
        </w:rPr>
      </w:pPr>
      <w:r>
        <w:rPr>
          <w:rFonts w:ascii="Times New Roman" w:eastAsiaTheme="minorHAnsi" w:hAnsi="Times New Roman"/>
        </w:rPr>
        <w:tab/>
        <w:t xml:space="preserve">Second, </w:t>
      </w:r>
      <w:r w:rsidR="006B4055">
        <w:rPr>
          <w:rFonts w:ascii="Times New Roman" w:eastAsiaTheme="minorHAnsi" w:hAnsi="Times New Roman"/>
        </w:rPr>
        <w:t>there was a question about upcoming deadlines.  T</w:t>
      </w:r>
      <w:r>
        <w:rPr>
          <w:rFonts w:ascii="Times New Roman" w:eastAsiaTheme="minorHAnsi" w:hAnsi="Times New Roman"/>
        </w:rPr>
        <w:t>his winter</w:t>
      </w:r>
      <w:r w:rsidR="00470ED2">
        <w:rPr>
          <w:rFonts w:ascii="Times New Roman" w:eastAsiaTheme="minorHAnsi" w:hAnsi="Times New Roman"/>
        </w:rPr>
        <w:t xml:space="preserve"> Dex One will be planning for distribution of its 2013 residential white pages.  Lead times for ordering printed copies are several months in major metropolitan markets, as millions of pages must be printed, </w:t>
      </w:r>
      <w:r w:rsidR="00470ED2">
        <w:rPr>
          <w:rFonts w:ascii="Times New Roman" w:eastAsiaTheme="minorHAnsi" w:hAnsi="Times New Roman"/>
        </w:rPr>
        <w:lastRenderedPageBreak/>
        <w:t xml:space="preserve">bound, and shipped to distribution points in those markets.  </w:t>
      </w:r>
      <w:r>
        <w:rPr>
          <w:rFonts w:ascii="Times New Roman" w:eastAsiaTheme="minorHAnsi" w:hAnsi="Times New Roman"/>
        </w:rPr>
        <w:t>The dea</w:t>
      </w:r>
      <w:r w:rsidR="006B4055">
        <w:rPr>
          <w:rFonts w:ascii="Times New Roman" w:eastAsiaTheme="minorHAnsi" w:hAnsi="Times New Roman"/>
        </w:rPr>
        <w:t>dlines for the Tacoma</w:t>
      </w:r>
      <w:r>
        <w:rPr>
          <w:rFonts w:ascii="Times New Roman" w:eastAsiaTheme="minorHAnsi" w:hAnsi="Times New Roman"/>
        </w:rPr>
        <w:t xml:space="preserve"> and Seattle </w:t>
      </w:r>
      <w:r w:rsidR="006B4055">
        <w:rPr>
          <w:rFonts w:ascii="Times New Roman" w:eastAsiaTheme="minorHAnsi" w:hAnsi="Times New Roman"/>
        </w:rPr>
        <w:t xml:space="preserve">titles are </w:t>
      </w:r>
      <w:r w:rsidR="006B4055" w:rsidRPr="006B4055">
        <w:rPr>
          <w:rFonts w:ascii="Times New Roman" w:eastAsiaTheme="minorHAnsi" w:hAnsi="Times New Roman"/>
          <w:b/>
          <w:i/>
        </w:rPr>
        <w:t>early January</w:t>
      </w:r>
      <w:r w:rsidR="006B4055">
        <w:rPr>
          <w:rFonts w:ascii="Times New Roman" w:eastAsiaTheme="minorHAnsi" w:hAnsi="Times New Roman"/>
        </w:rPr>
        <w:t xml:space="preserve"> and mid to late </w:t>
      </w:r>
      <w:r w:rsidR="006B4055" w:rsidRPr="006B4055">
        <w:rPr>
          <w:rFonts w:ascii="Times New Roman" w:eastAsiaTheme="minorHAnsi" w:hAnsi="Times New Roman"/>
          <w:b/>
          <w:i/>
        </w:rPr>
        <w:t>March</w:t>
      </w:r>
      <w:r w:rsidR="006C0307">
        <w:rPr>
          <w:rFonts w:ascii="Times New Roman" w:eastAsiaTheme="minorHAnsi" w:hAnsi="Times New Roman"/>
        </w:rPr>
        <w:t>, respectively.</w:t>
      </w:r>
    </w:p>
    <w:p w:rsidR="006C0307" w:rsidRDefault="006C0307" w:rsidP="00BD27F9">
      <w:pPr>
        <w:spacing w:line="276" w:lineRule="auto"/>
        <w:rPr>
          <w:rFonts w:ascii="Times New Roman" w:eastAsiaTheme="minorHAnsi" w:hAnsi="Times New Roman"/>
        </w:rPr>
      </w:pPr>
    </w:p>
    <w:p w:rsidR="00BD27F9" w:rsidRDefault="006B4055" w:rsidP="006B4055">
      <w:pPr>
        <w:spacing w:line="276" w:lineRule="auto"/>
        <w:ind w:firstLine="720"/>
        <w:rPr>
          <w:rFonts w:ascii="Times New Roman" w:eastAsiaTheme="minorHAnsi" w:hAnsi="Times New Roman"/>
        </w:rPr>
      </w:pPr>
      <w:r>
        <w:rPr>
          <w:rFonts w:ascii="Times New Roman" w:eastAsiaTheme="minorHAnsi" w:hAnsi="Times New Roman"/>
        </w:rPr>
        <w:t>The residential white pages for Tacoma and Seattle are substantial, consuming very large quantities of recycled paper and other resources in markets that have a very high adoption of alternatives and very low demand for residential white pages.  Seattle, in particular, has expressed great concern on behalf of its citizens who object to the waste of resources need</w:t>
      </w:r>
      <w:r w:rsidR="004D261B">
        <w:rPr>
          <w:rFonts w:ascii="Times New Roman" w:eastAsiaTheme="minorHAnsi" w:hAnsi="Times New Roman"/>
        </w:rPr>
        <w:t>ed</w:t>
      </w:r>
      <w:r>
        <w:rPr>
          <w:rFonts w:ascii="Times New Roman" w:eastAsiaTheme="minorHAnsi" w:hAnsi="Times New Roman"/>
        </w:rPr>
        <w:t xml:space="preserve"> to produce, distribute, and then recycle unwanted directories.  Accordingly, </w:t>
      </w:r>
      <w:r w:rsidR="00470ED2">
        <w:rPr>
          <w:rFonts w:ascii="Times New Roman" w:eastAsiaTheme="minorHAnsi" w:hAnsi="Times New Roman"/>
        </w:rPr>
        <w:t xml:space="preserve">Dex One will greatly appreciate any steps </w:t>
      </w:r>
      <w:r w:rsidR="00A44EBB" w:rsidRPr="00A44EBB">
        <w:rPr>
          <w:rFonts w:ascii="Times New Roman" w:eastAsiaTheme="minorHAnsi" w:hAnsi="Times New Roman"/>
        </w:rPr>
        <w:t xml:space="preserve">the Commission </w:t>
      </w:r>
      <w:r w:rsidR="00470ED2">
        <w:rPr>
          <w:rFonts w:ascii="Times New Roman" w:eastAsiaTheme="minorHAnsi" w:hAnsi="Times New Roman"/>
        </w:rPr>
        <w:t xml:space="preserve">may be able to take to </w:t>
      </w:r>
      <w:r w:rsidR="00A44EBB" w:rsidRPr="00A44EBB">
        <w:rPr>
          <w:rFonts w:ascii="Times New Roman" w:eastAsiaTheme="minorHAnsi" w:hAnsi="Times New Roman"/>
        </w:rPr>
        <w:t xml:space="preserve">expedite the completion of the rulemaking to repeal or modify WAC 480-120-251.  </w:t>
      </w:r>
      <w:r w:rsidR="007B3C13">
        <w:rPr>
          <w:rFonts w:ascii="Times New Roman" w:eastAsiaTheme="minorHAnsi" w:hAnsi="Times New Roman"/>
        </w:rPr>
        <w:t xml:space="preserve">The sooner Dex One can implement “upon request” delivery of residential white pages in Washington, the better for all concerned.  </w:t>
      </w:r>
    </w:p>
    <w:p w:rsidR="00BD27F9" w:rsidRDefault="00BD27F9" w:rsidP="00BD27F9">
      <w:pPr>
        <w:spacing w:line="276" w:lineRule="auto"/>
        <w:rPr>
          <w:rFonts w:ascii="Times New Roman" w:eastAsiaTheme="minorHAnsi" w:hAnsi="Times New Roman"/>
        </w:rPr>
      </w:pPr>
    </w:p>
    <w:p w:rsidR="00A44EBB" w:rsidRDefault="00A44EBB" w:rsidP="00A44EBB">
      <w:pPr>
        <w:spacing w:after="200" w:line="276" w:lineRule="auto"/>
        <w:rPr>
          <w:rFonts w:ascii="Times New Roman" w:eastAsiaTheme="minorHAnsi" w:hAnsi="Times New Roman"/>
        </w:rPr>
      </w:pPr>
      <w:r>
        <w:rPr>
          <w:rFonts w:ascii="Times New Roman" w:eastAsiaTheme="minorHAnsi" w:hAnsi="Times New Roman"/>
        </w:rPr>
        <w:tab/>
      </w:r>
      <w:r w:rsidR="00EF0FD1">
        <w:rPr>
          <w:rFonts w:ascii="Times New Roman" w:eastAsiaTheme="minorHAnsi" w:hAnsi="Times New Roman"/>
        </w:rPr>
        <w:t xml:space="preserve">Finally, Dex One appreciates the Commission’s consideration of the need to update its directory rule.  Dex </w:t>
      </w:r>
      <w:proofErr w:type="gramStart"/>
      <w:r w:rsidR="00EF0FD1">
        <w:rPr>
          <w:rFonts w:ascii="Times New Roman" w:eastAsiaTheme="minorHAnsi" w:hAnsi="Times New Roman"/>
        </w:rPr>
        <w:t>One</w:t>
      </w:r>
      <w:proofErr w:type="gramEnd"/>
      <w:r w:rsidR="00EF0FD1">
        <w:rPr>
          <w:rFonts w:ascii="Times New Roman" w:eastAsiaTheme="minorHAnsi" w:hAnsi="Times New Roman"/>
        </w:rPr>
        <w:t xml:space="preserve"> is certainly sensitive to the directory needs of the most vulnerable consumers.</w:t>
      </w:r>
      <w:r w:rsidR="00927D8B">
        <w:rPr>
          <w:rStyle w:val="FootnoteReference"/>
          <w:rFonts w:ascii="Times New Roman" w:eastAsiaTheme="minorHAnsi" w:hAnsi="Times New Roman"/>
        </w:rPr>
        <w:footnoteReference w:id="1"/>
      </w:r>
      <w:r w:rsidR="00EF0FD1">
        <w:rPr>
          <w:rFonts w:ascii="Times New Roman" w:eastAsiaTheme="minorHAnsi" w:hAnsi="Times New Roman"/>
        </w:rPr>
        <w:t xml:space="preserve">  But it is hard to imagine any consumer who is capable of looking up and calling a phone number in the residential white pages who would not be equally capable of finding and calling the toll free number that appears five times—in extra large fonts—on</w:t>
      </w:r>
      <w:r w:rsidR="004D261B">
        <w:rPr>
          <w:rFonts w:ascii="Times New Roman" w:eastAsiaTheme="minorHAnsi" w:hAnsi="Times New Roman"/>
        </w:rPr>
        <w:t>,</w:t>
      </w:r>
      <w:r w:rsidR="00EF0FD1">
        <w:rPr>
          <w:rFonts w:ascii="Times New Roman" w:eastAsiaTheme="minorHAnsi" w:hAnsi="Times New Roman"/>
        </w:rPr>
        <w:t xml:space="preserve"> in, and around Dex One’s yellow pages, to request the residential white pages.  </w:t>
      </w:r>
      <w:r w:rsidR="00BD27F9">
        <w:rPr>
          <w:rFonts w:ascii="Times New Roman" w:eastAsiaTheme="minorHAnsi" w:hAnsi="Times New Roman"/>
        </w:rPr>
        <w:t xml:space="preserve">We would be happy to </w:t>
      </w:r>
      <w:r w:rsidR="006B4055">
        <w:rPr>
          <w:rFonts w:ascii="Times New Roman" w:eastAsiaTheme="minorHAnsi" w:hAnsi="Times New Roman"/>
        </w:rPr>
        <w:t>answer any additional question</w:t>
      </w:r>
      <w:r w:rsidR="00D70E93">
        <w:rPr>
          <w:rFonts w:ascii="Times New Roman" w:eastAsiaTheme="minorHAnsi" w:hAnsi="Times New Roman"/>
        </w:rPr>
        <w:t>s</w:t>
      </w:r>
      <w:r w:rsidR="00BD27F9">
        <w:rPr>
          <w:rFonts w:ascii="Times New Roman" w:eastAsiaTheme="minorHAnsi" w:hAnsi="Times New Roman"/>
        </w:rPr>
        <w:t xml:space="preserve"> the Commission </w:t>
      </w:r>
      <w:r w:rsidR="006B4055">
        <w:rPr>
          <w:rFonts w:ascii="Times New Roman" w:eastAsiaTheme="minorHAnsi" w:hAnsi="Times New Roman"/>
        </w:rPr>
        <w:t xml:space="preserve">may have </w:t>
      </w:r>
      <w:r w:rsidR="00BD27F9">
        <w:rPr>
          <w:rFonts w:ascii="Times New Roman" w:eastAsiaTheme="minorHAnsi" w:hAnsi="Times New Roman"/>
        </w:rPr>
        <w:t xml:space="preserve">as it </w:t>
      </w:r>
      <w:r w:rsidR="006B4055">
        <w:rPr>
          <w:rFonts w:ascii="Times New Roman" w:eastAsiaTheme="minorHAnsi" w:hAnsi="Times New Roman"/>
        </w:rPr>
        <w:t>completes this</w:t>
      </w:r>
      <w:r w:rsidR="00BD27F9">
        <w:rPr>
          <w:rFonts w:ascii="Times New Roman" w:eastAsiaTheme="minorHAnsi" w:hAnsi="Times New Roman"/>
        </w:rPr>
        <w:t xml:space="preserve"> rulemaking process. </w:t>
      </w:r>
    </w:p>
    <w:p w:rsidR="00555475" w:rsidRDefault="00555475" w:rsidP="00555475">
      <w:r>
        <w:tab/>
      </w:r>
      <w:r>
        <w:tab/>
      </w:r>
      <w:r>
        <w:tab/>
      </w:r>
      <w:r>
        <w:tab/>
      </w:r>
      <w:r>
        <w:tab/>
      </w:r>
      <w:r w:rsidR="00A44EBB">
        <w:t>Very truly yours</w:t>
      </w:r>
      <w:r>
        <w:t>,</w:t>
      </w:r>
    </w:p>
    <w:p w:rsidR="00555475" w:rsidRDefault="00555475" w:rsidP="00555475"/>
    <w:p w:rsidR="00555475" w:rsidRDefault="006F1773" w:rsidP="00915857">
      <w:pPr>
        <w:ind w:left="3600"/>
      </w:pPr>
      <w:r w:rsidRPr="006F1773">
        <w:rPr>
          <w:noProof/>
        </w:rPr>
        <w:drawing>
          <wp:inline distT="0" distB="0" distL="0" distR="0">
            <wp:extent cx="1933575" cy="390525"/>
            <wp:effectExtent l="19050" t="0" r="9525" b="0"/>
            <wp:docPr id="1" name="Picture 1"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JSM\Admin\Firm Docs\Digital Signature - BEH.png"/>
                    <pic:cNvPicPr>
                      <a:picLocks noChangeAspect="1" noChangeArrowheads="1"/>
                    </pic:cNvPicPr>
                  </pic:nvPicPr>
                  <pic:blipFill>
                    <a:blip r:embed="rId9" cstate="print"/>
                    <a:srcRect/>
                    <a:stretch>
                      <a:fillRect/>
                    </a:stretch>
                  </pic:blipFill>
                  <pic:spPr bwMode="auto">
                    <a:xfrm>
                      <a:off x="0" y="0"/>
                      <a:ext cx="1933575" cy="390525"/>
                    </a:xfrm>
                    <a:prstGeom prst="rect">
                      <a:avLst/>
                    </a:prstGeom>
                    <a:noFill/>
                    <a:ln w="9525">
                      <a:noFill/>
                      <a:miter lim="800000"/>
                      <a:headEnd/>
                      <a:tailEnd/>
                    </a:ln>
                  </pic:spPr>
                </pic:pic>
              </a:graphicData>
            </a:graphic>
          </wp:inline>
        </w:drawing>
      </w:r>
    </w:p>
    <w:p w:rsidR="00555475" w:rsidRDefault="00555475" w:rsidP="00555475"/>
    <w:p w:rsidR="00555475" w:rsidRDefault="00555475" w:rsidP="00555475">
      <w:r>
        <w:tab/>
      </w:r>
      <w:r>
        <w:tab/>
      </w:r>
      <w:r>
        <w:tab/>
      </w:r>
      <w:r>
        <w:tab/>
      </w:r>
      <w:r>
        <w:tab/>
      </w:r>
      <w:r w:rsidR="0016576F">
        <w:t>Brooks E. Harlow</w:t>
      </w:r>
    </w:p>
    <w:p w:rsidR="00555475" w:rsidRDefault="0085114B" w:rsidP="00555475">
      <w:r>
        <w:tab/>
      </w:r>
      <w:r>
        <w:tab/>
      </w:r>
      <w:r>
        <w:tab/>
      </w:r>
      <w:r>
        <w:tab/>
      </w:r>
      <w:r>
        <w:tab/>
      </w:r>
    </w:p>
    <w:p w:rsidR="00555475" w:rsidRDefault="00555475" w:rsidP="00555475">
      <w:pPr>
        <w:rPr>
          <w:i/>
        </w:rPr>
      </w:pPr>
      <w:r>
        <w:tab/>
      </w:r>
      <w:r>
        <w:tab/>
      </w:r>
      <w:r>
        <w:tab/>
      </w:r>
      <w:r>
        <w:tab/>
      </w:r>
      <w:r>
        <w:tab/>
      </w:r>
      <w:r>
        <w:rPr>
          <w:i/>
        </w:rPr>
        <w:t xml:space="preserve">Counsel for </w:t>
      </w:r>
      <w:r w:rsidR="00A44EBB">
        <w:rPr>
          <w:i/>
        </w:rPr>
        <w:t>Dex One.</w:t>
      </w:r>
    </w:p>
    <w:p w:rsidR="00555475" w:rsidRDefault="00555475" w:rsidP="00555475">
      <w:pPr>
        <w:rPr>
          <w:i/>
        </w:rPr>
      </w:pPr>
    </w:p>
    <w:p w:rsidR="00A44EBB" w:rsidRPr="007D0B5E" w:rsidRDefault="00A44EBB" w:rsidP="00A44EBB">
      <w:pPr>
        <w:rPr>
          <w:rFonts w:ascii="Times New Roman" w:hAnsi="Times New Roman"/>
          <w:sz w:val="20"/>
        </w:rPr>
      </w:pPr>
      <w:r>
        <w:rPr>
          <w:rFonts w:ascii="Times New Roman" w:hAnsi="Times New Roman"/>
          <w:i/>
          <w:sz w:val="20"/>
        </w:rPr>
        <w:t>CC via email:</w:t>
      </w:r>
    </w:p>
    <w:p w:rsidR="00EF0FD1" w:rsidRDefault="00EF0FD1" w:rsidP="00A44EBB">
      <w:pPr>
        <w:rPr>
          <w:sz w:val="20"/>
        </w:rPr>
      </w:pPr>
    </w:p>
    <w:p w:rsidR="003126E5" w:rsidRDefault="003126E5" w:rsidP="00A44EBB">
      <w:pPr>
        <w:rPr>
          <w:sz w:val="20"/>
        </w:rPr>
      </w:pPr>
      <w:r>
        <w:rPr>
          <w:sz w:val="20"/>
        </w:rPr>
        <w:t>Mr. Jeff</w:t>
      </w:r>
      <w:r w:rsidR="00F70679">
        <w:rPr>
          <w:sz w:val="20"/>
        </w:rPr>
        <w:t>rey</w:t>
      </w:r>
      <w:r>
        <w:rPr>
          <w:sz w:val="20"/>
        </w:rPr>
        <w:t xml:space="preserve"> </w:t>
      </w:r>
      <w:proofErr w:type="spellStart"/>
      <w:r>
        <w:rPr>
          <w:sz w:val="20"/>
        </w:rPr>
        <w:t>Goltz</w:t>
      </w:r>
      <w:proofErr w:type="spellEnd"/>
    </w:p>
    <w:p w:rsidR="003126E5" w:rsidRDefault="003126E5" w:rsidP="00A44EBB">
      <w:pPr>
        <w:rPr>
          <w:sz w:val="20"/>
        </w:rPr>
      </w:pPr>
      <w:r>
        <w:rPr>
          <w:sz w:val="20"/>
        </w:rPr>
        <w:t>Mr. Pat</w:t>
      </w:r>
      <w:r w:rsidR="00F70679">
        <w:rPr>
          <w:sz w:val="20"/>
        </w:rPr>
        <w:t>rick</w:t>
      </w:r>
      <w:r>
        <w:rPr>
          <w:sz w:val="20"/>
        </w:rPr>
        <w:t xml:space="preserve"> </w:t>
      </w:r>
      <w:proofErr w:type="spellStart"/>
      <w:r>
        <w:rPr>
          <w:sz w:val="20"/>
        </w:rPr>
        <w:t>Oshie</w:t>
      </w:r>
      <w:proofErr w:type="spellEnd"/>
    </w:p>
    <w:p w:rsidR="003126E5" w:rsidRDefault="003126E5" w:rsidP="00A44EBB">
      <w:pPr>
        <w:rPr>
          <w:sz w:val="20"/>
        </w:rPr>
      </w:pPr>
      <w:r>
        <w:rPr>
          <w:sz w:val="20"/>
        </w:rPr>
        <w:t>Mr. Phil</w:t>
      </w:r>
      <w:r w:rsidR="00F70679">
        <w:rPr>
          <w:sz w:val="20"/>
        </w:rPr>
        <w:t>ip</w:t>
      </w:r>
      <w:r>
        <w:rPr>
          <w:sz w:val="20"/>
        </w:rPr>
        <w:t xml:space="preserve"> Jones</w:t>
      </w:r>
    </w:p>
    <w:p w:rsidR="00A3484B" w:rsidRDefault="003126E5" w:rsidP="00A44EBB">
      <w:pPr>
        <w:rPr>
          <w:sz w:val="20"/>
        </w:rPr>
      </w:pPr>
      <w:r>
        <w:rPr>
          <w:sz w:val="20"/>
        </w:rPr>
        <w:t xml:space="preserve">Mr. </w:t>
      </w:r>
      <w:r w:rsidR="00A3484B">
        <w:rPr>
          <w:sz w:val="20"/>
        </w:rPr>
        <w:t>Brian Thomas</w:t>
      </w:r>
    </w:p>
    <w:p w:rsidR="003126E5" w:rsidRDefault="003126E5" w:rsidP="00A44EBB">
      <w:pPr>
        <w:rPr>
          <w:sz w:val="20"/>
        </w:rPr>
      </w:pPr>
      <w:r>
        <w:rPr>
          <w:sz w:val="20"/>
        </w:rPr>
        <w:t>Mr. Greg Kopta</w:t>
      </w:r>
    </w:p>
    <w:p w:rsidR="003126E5" w:rsidRDefault="003126E5" w:rsidP="00A44EBB">
      <w:pPr>
        <w:rPr>
          <w:sz w:val="20"/>
        </w:rPr>
      </w:pPr>
      <w:r>
        <w:rPr>
          <w:sz w:val="20"/>
        </w:rPr>
        <w:t>Mr. William Weinman</w:t>
      </w:r>
    </w:p>
    <w:p w:rsidR="00200F62" w:rsidRDefault="003126E5" w:rsidP="00A44EBB">
      <w:r>
        <w:rPr>
          <w:sz w:val="20"/>
        </w:rPr>
        <w:t xml:space="preserve">Mr. </w:t>
      </w:r>
      <w:r w:rsidR="00A44EBB">
        <w:rPr>
          <w:sz w:val="20"/>
        </w:rPr>
        <w:t>John Cupp</w:t>
      </w:r>
    </w:p>
    <w:sectPr w:rsidR="00200F62" w:rsidSect="001379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8E7" w:rsidRDefault="002B28E7" w:rsidP="00F452C3">
      <w:r>
        <w:separator/>
      </w:r>
    </w:p>
  </w:endnote>
  <w:endnote w:type="continuationSeparator" w:id="0">
    <w:p w:rsidR="002B28E7" w:rsidRDefault="002B28E7" w:rsidP="00F45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5B" w:rsidRDefault="007C3D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5B" w:rsidRDefault="007C3D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5B" w:rsidRDefault="007C3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8E7" w:rsidRDefault="002B28E7" w:rsidP="00F452C3">
      <w:r>
        <w:separator/>
      </w:r>
    </w:p>
  </w:footnote>
  <w:footnote w:type="continuationSeparator" w:id="0">
    <w:p w:rsidR="002B28E7" w:rsidRDefault="002B28E7" w:rsidP="00F452C3">
      <w:r>
        <w:continuationSeparator/>
      </w:r>
    </w:p>
  </w:footnote>
  <w:footnote w:id="1">
    <w:p w:rsidR="00927D8B" w:rsidRDefault="00927D8B" w:rsidP="00927D8B">
      <w:pPr>
        <w:pStyle w:val="FootnoteText"/>
      </w:pPr>
      <w:r>
        <w:rPr>
          <w:rStyle w:val="FootnoteReference"/>
        </w:rPr>
        <w:footnoteRef/>
      </w:r>
      <w:r>
        <w:t xml:space="preserve"> Stereotypes and assumptions about any demographic are not necessarily true, </w:t>
      </w:r>
      <w:r w:rsidRPr="00506C75">
        <w:rPr>
          <w:i/>
        </w:rPr>
        <w:t>e.g.</w:t>
      </w:r>
      <w:r>
        <w:t xml:space="preserve"> the elderly.  Counsel mentioned a recent </w:t>
      </w:r>
      <w:r w:rsidR="00506C75">
        <w:t xml:space="preserve">Georgetown University </w:t>
      </w:r>
      <w:r>
        <w:t xml:space="preserve">economic </w:t>
      </w:r>
      <w:r w:rsidR="00506C75">
        <w:t>study</w:t>
      </w:r>
      <w:r>
        <w:t xml:space="preserve"> in the workshop, </w:t>
      </w:r>
      <w:r w:rsidR="00506C75">
        <w:t>in which the authors</w:t>
      </w:r>
      <w:r>
        <w:t xml:space="preserve"> concluded that, “While regulatory reform in landline telecommunications needs to be sensitive to potentially vulnerable segments of society, it should not be sidetracked by nonexistent concerns, such as a “vulnerable”</w:t>
      </w:r>
      <w:r w:rsidR="00506C75">
        <w:t xml:space="preserve"> </w:t>
      </w:r>
      <w:r>
        <w:t xml:space="preserve">elderly population.”  The paper can be found here:  </w:t>
      </w:r>
      <w:hyperlink r:id="rId1" w:history="1">
        <w:r w:rsidR="00D0088F" w:rsidRPr="00AD629D">
          <w:rPr>
            <w:rStyle w:val="Hyperlink"/>
          </w:rPr>
          <w:t>http://www.gcbpp.org/files/EPV/EPV_Mayo_Macher_Wireless_Revolution_the_Elderly.pdf</w:t>
        </w:r>
      </w:hyperlink>
      <w:r w:rsidR="00D0088F">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5B" w:rsidRDefault="007C3D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A9" w:rsidRDefault="00716C27" w:rsidP="00BA5CDF">
    <w:pPr>
      <w:pStyle w:val="Header"/>
    </w:pPr>
    <w:r>
      <w:t>UT-</w:t>
    </w:r>
    <w:r w:rsidR="00A44EBB">
      <w:t>120451</w:t>
    </w:r>
  </w:p>
  <w:p w:rsidR="00716C27" w:rsidRDefault="006F1773" w:rsidP="00BA5CDF">
    <w:pPr>
      <w:pStyle w:val="Header"/>
    </w:pPr>
    <w:r>
      <w:t>October 25</w:t>
    </w:r>
    <w:r w:rsidR="00716C27">
      <w:t>, 2012</w:t>
    </w:r>
  </w:p>
  <w:p w:rsidR="002241A9" w:rsidRDefault="002241A9" w:rsidP="00BA5CDF">
    <w:pPr>
      <w:pStyle w:val="Header"/>
    </w:pPr>
    <w:r>
      <w:t xml:space="preserve">Page </w:t>
    </w:r>
    <w:r w:rsidR="00946C66">
      <w:fldChar w:fldCharType="begin"/>
    </w:r>
    <w:r w:rsidR="00DE361D">
      <w:instrText xml:space="preserve"> PAGE </w:instrText>
    </w:r>
    <w:r w:rsidR="00946C66">
      <w:fldChar w:fldCharType="separate"/>
    </w:r>
    <w:r w:rsidR="006C0307">
      <w:rPr>
        <w:noProof/>
      </w:rPr>
      <w:t>2</w:t>
    </w:r>
    <w:r w:rsidR="00946C66">
      <w:fldChar w:fldCharType="end"/>
    </w:r>
    <w:r>
      <w:t xml:space="preserve"> of </w:t>
    </w:r>
    <w:r w:rsidR="00946C66">
      <w:fldChar w:fldCharType="begin"/>
    </w:r>
    <w:r w:rsidR="00DE361D">
      <w:instrText xml:space="preserve"> NUMPAGES  </w:instrText>
    </w:r>
    <w:r w:rsidR="00946C66">
      <w:fldChar w:fldCharType="separate"/>
    </w:r>
    <w:r w:rsidR="006C0307">
      <w:rPr>
        <w:noProof/>
      </w:rPr>
      <w:t>3</w:t>
    </w:r>
    <w:r w:rsidR="00946C66">
      <w:fldChar w:fldCharType="end"/>
    </w:r>
  </w:p>
  <w:p w:rsidR="002241A9" w:rsidRDefault="002241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5B" w:rsidRDefault="007C3D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68E8"/>
    <w:multiLevelType w:val="hybridMultilevel"/>
    <w:tmpl w:val="9A380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rsids>
    <w:rsidRoot w:val="001966CB"/>
    <w:rsid w:val="00022A83"/>
    <w:rsid w:val="0002506D"/>
    <w:rsid w:val="00053892"/>
    <w:rsid w:val="0008467E"/>
    <w:rsid w:val="00092049"/>
    <w:rsid w:val="000A2D50"/>
    <w:rsid w:val="000A41E9"/>
    <w:rsid w:val="000A6A4A"/>
    <w:rsid w:val="000B7F4C"/>
    <w:rsid w:val="000C2191"/>
    <w:rsid w:val="000C3CC6"/>
    <w:rsid w:val="000D289B"/>
    <w:rsid w:val="000F6097"/>
    <w:rsid w:val="00100B1B"/>
    <w:rsid w:val="00121A26"/>
    <w:rsid w:val="00137938"/>
    <w:rsid w:val="001476B6"/>
    <w:rsid w:val="0016576F"/>
    <w:rsid w:val="001779EA"/>
    <w:rsid w:val="001966CB"/>
    <w:rsid w:val="001A6EC7"/>
    <w:rsid w:val="001A7FEE"/>
    <w:rsid w:val="001D319B"/>
    <w:rsid w:val="00200F62"/>
    <w:rsid w:val="00210691"/>
    <w:rsid w:val="00221B09"/>
    <w:rsid w:val="002241A9"/>
    <w:rsid w:val="0023065A"/>
    <w:rsid w:val="00252B75"/>
    <w:rsid w:val="00273062"/>
    <w:rsid w:val="00285A15"/>
    <w:rsid w:val="002A6F1F"/>
    <w:rsid w:val="002B28E7"/>
    <w:rsid w:val="002C48AD"/>
    <w:rsid w:val="002C5BBC"/>
    <w:rsid w:val="002E4FF7"/>
    <w:rsid w:val="002E697A"/>
    <w:rsid w:val="00302022"/>
    <w:rsid w:val="003126E5"/>
    <w:rsid w:val="00316A13"/>
    <w:rsid w:val="00324E2F"/>
    <w:rsid w:val="00364C23"/>
    <w:rsid w:val="003B09AF"/>
    <w:rsid w:val="003B50D7"/>
    <w:rsid w:val="003B5AAF"/>
    <w:rsid w:val="003C3CFE"/>
    <w:rsid w:val="003F07DC"/>
    <w:rsid w:val="00401424"/>
    <w:rsid w:val="0041052A"/>
    <w:rsid w:val="00436B86"/>
    <w:rsid w:val="004468F5"/>
    <w:rsid w:val="00456712"/>
    <w:rsid w:val="00470ED2"/>
    <w:rsid w:val="00477197"/>
    <w:rsid w:val="004771A4"/>
    <w:rsid w:val="00492894"/>
    <w:rsid w:val="004C5CB2"/>
    <w:rsid w:val="004D261B"/>
    <w:rsid w:val="004F6455"/>
    <w:rsid w:val="00506C75"/>
    <w:rsid w:val="00512905"/>
    <w:rsid w:val="00512DEF"/>
    <w:rsid w:val="00531FDE"/>
    <w:rsid w:val="005324FE"/>
    <w:rsid w:val="00555475"/>
    <w:rsid w:val="005A4DE9"/>
    <w:rsid w:val="005A75DA"/>
    <w:rsid w:val="005B106C"/>
    <w:rsid w:val="005C16FD"/>
    <w:rsid w:val="005C2D10"/>
    <w:rsid w:val="005D5B15"/>
    <w:rsid w:val="005E75A6"/>
    <w:rsid w:val="005F4EB7"/>
    <w:rsid w:val="00610C57"/>
    <w:rsid w:val="00617F4E"/>
    <w:rsid w:val="0063253F"/>
    <w:rsid w:val="00640151"/>
    <w:rsid w:val="006B4055"/>
    <w:rsid w:val="006B6BD7"/>
    <w:rsid w:val="006C0307"/>
    <w:rsid w:val="006D214B"/>
    <w:rsid w:val="006D35E9"/>
    <w:rsid w:val="006D6578"/>
    <w:rsid w:val="006F16A9"/>
    <w:rsid w:val="006F1773"/>
    <w:rsid w:val="007055AB"/>
    <w:rsid w:val="0071040C"/>
    <w:rsid w:val="00716C27"/>
    <w:rsid w:val="00732591"/>
    <w:rsid w:val="00746E99"/>
    <w:rsid w:val="00747E01"/>
    <w:rsid w:val="00753308"/>
    <w:rsid w:val="00764C9B"/>
    <w:rsid w:val="00772AB3"/>
    <w:rsid w:val="00774273"/>
    <w:rsid w:val="00780594"/>
    <w:rsid w:val="007A1676"/>
    <w:rsid w:val="007B1437"/>
    <w:rsid w:val="007B3C13"/>
    <w:rsid w:val="007C3D5B"/>
    <w:rsid w:val="007E1E7F"/>
    <w:rsid w:val="008075EB"/>
    <w:rsid w:val="008170F3"/>
    <w:rsid w:val="00821B42"/>
    <w:rsid w:val="0085114B"/>
    <w:rsid w:val="008576BE"/>
    <w:rsid w:val="00864740"/>
    <w:rsid w:val="008914BB"/>
    <w:rsid w:val="008A1A2F"/>
    <w:rsid w:val="008A1CD2"/>
    <w:rsid w:val="008B02A1"/>
    <w:rsid w:val="008B3FB2"/>
    <w:rsid w:val="00915857"/>
    <w:rsid w:val="00927D8B"/>
    <w:rsid w:val="00946C66"/>
    <w:rsid w:val="009541A6"/>
    <w:rsid w:val="009657B6"/>
    <w:rsid w:val="009802C0"/>
    <w:rsid w:val="009C0CB9"/>
    <w:rsid w:val="00A2791D"/>
    <w:rsid w:val="00A3484B"/>
    <w:rsid w:val="00A44EBB"/>
    <w:rsid w:val="00A606CA"/>
    <w:rsid w:val="00A63253"/>
    <w:rsid w:val="00A81C07"/>
    <w:rsid w:val="00A87773"/>
    <w:rsid w:val="00AC0EBE"/>
    <w:rsid w:val="00AD0687"/>
    <w:rsid w:val="00B34C22"/>
    <w:rsid w:val="00B37D7D"/>
    <w:rsid w:val="00B76D13"/>
    <w:rsid w:val="00B95D75"/>
    <w:rsid w:val="00BA5CDF"/>
    <w:rsid w:val="00BA71D9"/>
    <w:rsid w:val="00BB5D47"/>
    <w:rsid w:val="00BD27F9"/>
    <w:rsid w:val="00BD4274"/>
    <w:rsid w:val="00C11975"/>
    <w:rsid w:val="00C14492"/>
    <w:rsid w:val="00C4257C"/>
    <w:rsid w:val="00C6077A"/>
    <w:rsid w:val="00C75A2E"/>
    <w:rsid w:val="00CD5A01"/>
    <w:rsid w:val="00CE3DB7"/>
    <w:rsid w:val="00D0088F"/>
    <w:rsid w:val="00D07B31"/>
    <w:rsid w:val="00D11CDA"/>
    <w:rsid w:val="00D70E93"/>
    <w:rsid w:val="00D94F65"/>
    <w:rsid w:val="00DE361D"/>
    <w:rsid w:val="00DE4460"/>
    <w:rsid w:val="00E07758"/>
    <w:rsid w:val="00E412FA"/>
    <w:rsid w:val="00E44410"/>
    <w:rsid w:val="00E64220"/>
    <w:rsid w:val="00E75987"/>
    <w:rsid w:val="00EA3416"/>
    <w:rsid w:val="00EB35C8"/>
    <w:rsid w:val="00EB4F16"/>
    <w:rsid w:val="00EB654C"/>
    <w:rsid w:val="00EC4BB4"/>
    <w:rsid w:val="00EE09CC"/>
    <w:rsid w:val="00EF0FD1"/>
    <w:rsid w:val="00EF2C7C"/>
    <w:rsid w:val="00F0415D"/>
    <w:rsid w:val="00F2377A"/>
    <w:rsid w:val="00F420AC"/>
    <w:rsid w:val="00F452C3"/>
    <w:rsid w:val="00F53475"/>
    <w:rsid w:val="00F70679"/>
    <w:rsid w:val="00F7536A"/>
    <w:rsid w:val="00F971D6"/>
    <w:rsid w:val="00FA28D1"/>
    <w:rsid w:val="00FB7686"/>
    <w:rsid w:val="00FD187E"/>
    <w:rsid w:val="00FD42A7"/>
    <w:rsid w:val="00FD7C65"/>
    <w:rsid w:val="00FE1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semiHidden/>
    <w:unhideWhenUsed/>
    <w:rsid w:val="005D5B15"/>
    <w:pPr>
      <w:tabs>
        <w:tab w:val="center" w:pos="4680"/>
        <w:tab w:val="right" w:pos="9360"/>
      </w:tabs>
    </w:pPr>
  </w:style>
  <w:style w:type="character" w:customStyle="1" w:styleId="FooterChar">
    <w:name w:val="Footer Char"/>
    <w:basedOn w:val="DefaultParagraphFont"/>
    <w:link w:val="Footer"/>
    <w:uiPriority w:val="99"/>
    <w:semiHidden/>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b/>
      <w:bCs/>
    </w:rPr>
  </w:style>
  <w:style w:type="paragraph" w:styleId="ListParagraph">
    <w:name w:val="List Paragraph"/>
    <w:basedOn w:val="Normal"/>
    <w:uiPriority w:val="34"/>
    <w:qFormat/>
    <w:rsid w:val="00324E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gcbpp.org/files/EPV/EPV_Mayo_Macher_Wireless_Revolution_the_Elder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10EA4E-008B-4F1B-A51A-D9A22871F5EC}"/>
</file>

<file path=customXml/itemProps2.xml><?xml version="1.0" encoding="utf-8"?>
<ds:datastoreItem xmlns:ds="http://schemas.openxmlformats.org/officeDocument/2006/customXml" ds:itemID="{7D694F09-6121-49E3-BD0E-1528DFC68D0B}"/>
</file>

<file path=customXml/itemProps3.xml><?xml version="1.0" encoding="utf-8"?>
<ds:datastoreItem xmlns:ds="http://schemas.openxmlformats.org/officeDocument/2006/customXml" ds:itemID="{0BA2EA27-E82C-48E7-A91A-54A3A296023E}"/>
</file>

<file path=customXml/itemProps4.xml><?xml version="1.0" encoding="utf-8"?>
<ds:datastoreItem xmlns:ds="http://schemas.openxmlformats.org/officeDocument/2006/customXml" ds:itemID="{76716C91-044F-48B6-825B-5B988AC81AAF}"/>
</file>

<file path=customXml/itemProps5.xml><?xml version="1.0" encoding="utf-8"?>
<ds:datastoreItem xmlns:ds="http://schemas.openxmlformats.org/officeDocument/2006/customXml" ds:itemID="{204A96EE-EC05-493F-8661-5E6E538FDFA5}"/>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2789</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2012-10-25T20:35:00Z</dcterms:created>
  <dcterms:modified xsi:type="dcterms:W3CDTF">2012-10-25T20:36:00Z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