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D2C83" w14:textId="2AB2E2DE" w:rsidR="00FD536A" w:rsidRDefault="00FD536A">
      <w:pPr>
        <w:ind w:right="720"/>
        <w:jc w:val="center"/>
        <w:rPr>
          <w:b/>
          <w:bCs/>
          <w:sz w:val="24"/>
          <w:szCs w:val="24"/>
        </w:rPr>
      </w:pPr>
      <w:bookmarkStart w:id="0" w:name="_GoBack"/>
      <w:bookmarkEnd w:id="0"/>
      <w:r>
        <w:rPr>
          <w:b/>
          <w:bCs/>
          <w:sz w:val="24"/>
          <w:szCs w:val="24"/>
        </w:rPr>
        <w:t>AVISTA CORP.</w:t>
      </w:r>
    </w:p>
    <w:p w14:paraId="2A7162E6" w14:textId="77777777" w:rsidR="00FD536A" w:rsidRDefault="00FD536A">
      <w:pPr>
        <w:pStyle w:val="Heading3"/>
      </w:pPr>
      <w:r>
        <w:t>RESPONSE TO REQUEST FOR INFORMATION</w:t>
      </w:r>
    </w:p>
    <w:p w14:paraId="5AEBEC11" w14:textId="77777777" w:rsidR="00FD536A" w:rsidRDefault="00FD536A">
      <w:pPr>
        <w:jc w:val="center"/>
        <w:rPr>
          <w:b/>
          <w:bCs/>
          <w:sz w:val="24"/>
          <w:szCs w:val="24"/>
        </w:rPr>
      </w:pPr>
    </w:p>
    <w:p w14:paraId="27CC3233" w14:textId="77777777" w:rsidR="00FD536A" w:rsidRDefault="00FD536A" w:rsidP="00F731E6">
      <w:pPr>
        <w:pStyle w:val="Heading1"/>
        <w:tabs>
          <w:tab w:val="clear" w:pos="4320"/>
          <w:tab w:val="left" w:pos="4770"/>
        </w:tabs>
      </w:pPr>
      <w:r>
        <w:t>JURISDICTION:</w:t>
      </w:r>
      <w:r>
        <w:tab/>
      </w:r>
      <w:r w:rsidR="00E64D12">
        <w:t>W</w:t>
      </w:r>
      <w:r w:rsidR="00AA791F">
        <w:t>ASHINGTON</w:t>
      </w:r>
      <w:r>
        <w:tab/>
        <w:t>DATE PREPARED:</w:t>
      </w:r>
      <w:r>
        <w:tab/>
      </w:r>
      <w:r w:rsidR="00AE5001">
        <w:t>1/11/2018</w:t>
      </w:r>
    </w:p>
    <w:p w14:paraId="5FAEA930" w14:textId="77777777" w:rsidR="00FD536A" w:rsidRDefault="00FD536A" w:rsidP="00F731E6">
      <w:pPr>
        <w:pStyle w:val="Heading1"/>
        <w:tabs>
          <w:tab w:val="clear" w:pos="4320"/>
          <w:tab w:val="left" w:pos="4770"/>
        </w:tabs>
      </w:pPr>
      <w:r>
        <w:t>CASE NO</w:t>
      </w:r>
      <w:r w:rsidR="00A92E80">
        <w:t>.</w:t>
      </w:r>
      <w:r>
        <w:t>:</w:t>
      </w:r>
      <w:r>
        <w:tab/>
      </w:r>
      <w:r w:rsidRPr="00941853">
        <w:t>U</w:t>
      </w:r>
      <w:r w:rsidR="00E64D12" w:rsidRPr="00941853">
        <w:t>E-</w:t>
      </w:r>
      <w:r w:rsidR="009727ED">
        <w:t>1</w:t>
      </w:r>
      <w:r w:rsidR="007D6101">
        <w:t>70485</w:t>
      </w:r>
      <w:r w:rsidR="00E64D12" w:rsidRPr="00941853">
        <w:t xml:space="preserve"> &amp; </w:t>
      </w:r>
      <w:r w:rsidR="00C73FA6" w:rsidRPr="00941853">
        <w:t>UG-</w:t>
      </w:r>
      <w:r w:rsidR="00B76EAC">
        <w:t>1</w:t>
      </w:r>
      <w:r w:rsidR="007D6101">
        <w:t>70486</w:t>
      </w:r>
      <w:r>
        <w:tab/>
        <w:t>WITNESS:</w:t>
      </w:r>
      <w:r>
        <w:tab/>
      </w:r>
      <w:r w:rsidR="00F731E6">
        <w:tab/>
      </w:r>
      <w:r w:rsidR="00F731E6">
        <w:tab/>
      </w:r>
      <w:r w:rsidR="002C4999">
        <w:t>M</w:t>
      </w:r>
      <w:r w:rsidR="0095650D">
        <w:t>ark</w:t>
      </w:r>
      <w:r w:rsidR="002C4999">
        <w:t xml:space="preserve"> Thies</w:t>
      </w:r>
    </w:p>
    <w:p w14:paraId="4A9D8E66" w14:textId="77777777" w:rsidR="001004DE" w:rsidRDefault="00C73FA6" w:rsidP="00F731E6">
      <w:pPr>
        <w:pStyle w:val="Heading1"/>
        <w:tabs>
          <w:tab w:val="clear" w:pos="4320"/>
          <w:tab w:val="left" w:pos="4770"/>
        </w:tabs>
      </w:pPr>
      <w:r>
        <w:t>REQUESTER:</w:t>
      </w:r>
      <w:r>
        <w:tab/>
      </w:r>
      <w:r w:rsidR="007D6101">
        <w:t>UTC Staff</w:t>
      </w:r>
      <w:r w:rsidR="00FD536A">
        <w:tab/>
        <w:t>RESPONDER:</w:t>
      </w:r>
      <w:r w:rsidR="00FD536A">
        <w:tab/>
      </w:r>
      <w:r w:rsidR="00F731E6">
        <w:tab/>
      </w:r>
      <w:r w:rsidR="00F731E6">
        <w:tab/>
      </w:r>
      <w:r w:rsidR="001034DE">
        <w:t>Liz Andrews</w:t>
      </w:r>
      <w:r w:rsidR="0039280C">
        <w:t>/Don Falkner</w:t>
      </w:r>
    </w:p>
    <w:p w14:paraId="196CB17A" w14:textId="77777777" w:rsidR="002C4999" w:rsidRDefault="00FD536A" w:rsidP="002C4999">
      <w:pPr>
        <w:pStyle w:val="Heading1"/>
        <w:tabs>
          <w:tab w:val="clear" w:pos="4320"/>
          <w:tab w:val="left" w:pos="4770"/>
        </w:tabs>
      </w:pPr>
      <w:r>
        <w:t>TYPE:</w:t>
      </w:r>
      <w:r>
        <w:tab/>
      </w:r>
      <w:r w:rsidR="002C4999">
        <w:t>Bench Request</w:t>
      </w:r>
      <w:r w:rsidR="002C4999">
        <w:tab/>
        <w:t>DEPT:</w:t>
      </w:r>
      <w:r w:rsidR="002C4999">
        <w:tab/>
      </w:r>
      <w:r w:rsidR="002C4999">
        <w:tab/>
      </w:r>
      <w:r w:rsidR="002C4999">
        <w:tab/>
        <w:t>State &amp; Federal Regulation</w:t>
      </w:r>
    </w:p>
    <w:p w14:paraId="79E167AA" w14:textId="77777777" w:rsidR="00FD536A" w:rsidRDefault="002C4999" w:rsidP="002C4999">
      <w:pPr>
        <w:pStyle w:val="Heading1"/>
        <w:tabs>
          <w:tab w:val="clear" w:pos="4320"/>
          <w:tab w:val="left" w:pos="4770"/>
        </w:tabs>
      </w:pPr>
      <w:r>
        <w:t>REQUEST NO.</w:t>
      </w:r>
      <w:r w:rsidRPr="008E3932">
        <w:t>:</w:t>
      </w:r>
      <w:r w:rsidRPr="008E3932">
        <w:tab/>
      </w:r>
      <w:r>
        <w:t>Bench Request No. 1</w:t>
      </w:r>
      <w:r w:rsidR="004A7704">
        <w:tab/>
      </w:r>
      <w:r w:rsidR="00FD536A">
        <w:t>TELEPHONE:</w:t>
      </w:r>
      <w:r w:rsidR="00FD536A">
        <w:tab/>
      </w:r>
      <w:r w:rsidR="00F731E6">
        <w:tab/>
      </w:r>
      <w:r w:rsidR="00F731E6">
        <w:tab/>
      </w:r>
      <w:r w:rsidR="00FD536A">
        <w:t>(509) 495</w:t>
      </w:r>
      <w:r w:rsidR="00FE3E7F">
        <w:t>-</w:t>
      </w:r>
      <w:r w:rsidR="001034DE">
        <w:t>8601</w:t>
      </w:r>
    </w:p>
    <w:p w14:paraId="5752D67F" w14:textId="77777777" w:rsidR="00FD536A" w:rsidRDefault="00AA791F" w:rsidP="00FE3E7F">
      <w:pPr>
        <w:tabs>
          <w:tab w:val="left" w:pos="1890"/>
          <w:tab w:val="left" w:pos="4770"/>
          <w:tab w:val="left" w:pos="6480"/>
        </w:tabs>
        <w:ind w:right="-216"/>
        <w:rPr>
          <w:sz w:val="24"/>
          <w:szCs w:val="24"/>
        </w:rPr>
      </w:pPr>
      <w:r>
        <w:rPr>
          <w:sz w:val="24"/>
          <w:szCs w:val="24"/>
        </w:rPr>
        <w:tab/>
      </w:r>
      <w:r>
        <w:rPr>
          <w:sz w:val="24"/>
          <w:szCs w:val="24"/>
        </w:rPr>
        <w:tab/>
        <w:t>EMAIL:</w:t>
      </w:r>
      <w:r>
        <w:rPr>
          <w:sz w:val="24"/>
          <w:szCs w:val="24"/>
        </w:rPr>
        <w:tab/>
      </w:r>
      <w:r w:rsidR="00941853">
        <w:rPr>
          <w:sz w:val="24"/>
          <w:szCs w:val="24"/>
        </w:rPr>
        <w:tab/>
      </w:r>
      <w:r w:rsidR="001034DE">
        <w:rPr>
          <w:sz w:val="24"/>
          <w:szCs w:val="24"/>
        </w:rPr>
        <w:t>liz.andrews</w:t>
      </w:r>
      <w:r w:rsidR="001D4BE0">
        <w:rPr>
          <w:sz w:val="24"/>
          <w:szCs w:val="24"/>
        </w:rPr>
        <w:t>@avistacorp.com</w:t>
      </w:r>
    </w:p>
    <w:p w14:paraId="1FFBBC27" w14:textId="77777777" w:rsidR="000E629D" w:rsidRDefault="000E629D">
      <w:pPr>
        <w:tabs>
          <w:tab w:val="left" w:pos="1890"/>
          <w:tab w:val="left" w:pos="4320"/>
          <w:tab w:val="left" w:pos="6480"/>
        </w:tabs>
        <w:rPr>
          <w:sz w:val="24"/>
          <w:szCs w:val="24"/>
        </w:rPr>
      </w:pPr>
    </w:p>
    <w:p w14:paraId="176DDADE" w14:textId="77777777" w:rsidR="00FD536A" w:rsidRDefault="00FD536A">
      <w:pPr>
        <w:tabs>
          <w:tab w:val="left" w:pos="1890"/>
          <w:tab w:val="left" w:pos="4320"/>
          <w:tab w:val="left" w:pos="6480"/>
        </w:tabs>
        <w:jc w:val="both"/>
        <w:rPr>
          <w:b/>
          <w:bCs/>
          <w:sz w:val="24"/>
          <w:szCs w:val="24"/>
        </w:rPr>
      </w:pPr>
      <w:r>
        <w:rPr>
          <w:b/>
          <w:bCs/>
          <w:sz w:val="24"/>
          <w:szCs w:val="24"/>
        </w:rPr>
        <w:t>REQUEST:</w:t>
      </w:r>
    </w:p>
    <w:p w14:paraId="6C72410D" w14:textId="77777777" w:rsidR="002C4999" w:rsidRPr="002C4999" w:rsidRDefault="002C4999" w:rsidP="002C4999">
      <w:pPr>
        <w:pStyle w:val="Default"/>
      </w:pPr>
      <w:r w:rsidRPr="002C4999">
        <w:t xml:space="preserve">Please provide the following: </w:t>
      </w:r>
    </w:p>
    <w:p w14:paraId="763677B8" w14:textId="77777777" w:rsidR="002C4999" w:rsidRPr="002C4999" w:rsidRDefault="002C4999" w:rsidP="002C4999">
      <w:pPr>
        <w:pStyle w:val="Default"/>
        <w:spacing w:after="147"/>
        <w:ind w:left="270" w:hanging="270"/>
      </w:pPr>
      <w:r w:rsidRPr="002C4999">
        <w:t xml:space="preserve">A. Accumulated Deferred Federal Income Tax (ADFIT) balance as of December 31, 2017. </w:t>
      </w:r>
    </w:p>
    <w:p w14:paraId="229BD28B" w14:textId="77777777" w:rsidR="002C4999" w:rsidRPr="002C4999" w:rsidRDefault="002C4999" w:rsidP="002C4999">
      <w:pPr>
        <w:pStyle w:val="Default"/>
        <w:spacing w:after="147"/>
        <w:ind w:left="270" w:hanging="270"/>
      </w:pPr>
      <w:r w:rsidRPr="002C4999">
        <w:t xml:space="preserve">B. The amount of excess deferred income tax reserve as described in IRC Sec 168(i)(9)(A)(ii) as of December 31, 2017, to comply with the TCJA. </w:t>
      </w:r>
    </w:p>
    <w:p w14:paraId="4EE8EC59" w14:textId="77777777" w:rsidR="002C4999" w:rsidRPr="002C4999" w:rsidRDefault="002C4999" w:rsidP="002C4999">
      <w:pPr>
        <w:pStyle w:val="Default"/>
        <w:ind w:left="270" w:hanging="270"/>
      </w:pPr>
      <w:r w:rsidRPr="002C4999">
        <w:t xml:space="preserve">C. The amount of excess deferred income tax expense the Company is currently collecting as of January 1, 2018, until the anticipated effective date of this general rate case. </w:t>
      </w:r>
    </w:p>
    <w:p w14:paraId="58BFE19B" w14:textId="77777777" w:rsidR="002C4999" w:rsidRDefault="002C4999" w:rsidP="002C4999">
      <w:pPr>
        <w:pStyle w:val="Default"/>
        <w:spacing w:after="147"/>
        <w:ind w:left="270" w:hanging="270"/>
        <w:rPr>
          <w:color w:val="auto"/>
        </w:rPr>
      </w:pPr>
      <w:r w:rsidRPr="002C4999">
        <w:rPr>
          <w:color w:val="auto"/>
        </w:rPr>
        <w:t xml:space="preserve">D. A proposed amortization schedule for parts B and C of this bench request along with a supporting rationale for each schedule. Please identify and describe the amortization assumption, e.g., composite, average rate, or other alternative method. </w:t>
      </w:r>
    </w:p>
    <w:p w14:paraId="543ED7E4" w14:textId="77777777" w:rsidR="002C4999" w:rsidRDefault="002C4999" w:rsidP="002C4999">
      <w:pPr>
        <w:pStyle w:val="Default"/>
        <w:spacing w:after="147"/>
        <w:ind w:left="270" w:hanging="270"/>
        <w:rPr>
          <w:color w:val="auto"/>
        </w:rPr>
      </w:pPr>
      <w:r w:rsidRPr="002C4999">
        <w:rPr>
          <w:color w:val="auto"/>
        </w:rPr>
        <w:t xml:space="preserve">E. For the current proceeding, provide an updated revenue requirement based on the Company’s rebuttal position that accounts for the anticipated impacts of the TCJA. </w:t>
      </w:r>
    </w:p>
    <w:p w14:paraId="09ED24D7" w14:textId="77777777" w:rsidR="002C4999" w:rsidRDefault="002C4999" w:rsidP="002C4999">
      <w:pPr>
        <w:pStyle w:val="Default"/>
        <w:spacing w:after="147"/>
        <w:ind w:left="270" w:hanging="270"/>
        <w:rPr>
          <w:color w:val="auto"/>
        </w:rPr>
      </w:pPr>
      <w:r w:rsidRPr="002C4999">
        <w:rPr>
          <w:color w:val="auto"/>
        </w:rPr>
        <w:t xml:space="preserve">F. In the event that all impacts of the TCJA are not fully known to the Company by the due date set forth in this bench request, a projected date by which the Company intends to file an accounting petition to address the impacts. </w:t>
      </w:r>
    </w:p>
    <w:p w14:paraId="69AB0BDE" w14:textId="77777777" w:rsidR="002C4999" w:rsidRPr="002C4999" w:rsidRDefault="002C4999" w:rsidP="002C4999">
      <w:pPr>
        <w:pStyle w:val="Default"/>
        <w:spacing w:after="147"/>
        <w:ind w:left="270" w:hanging="270"/>
        <w:rPr>
          <w:color w:val="auto"/>
        </w:rPr>
      </w:pPr>
      <w:r w:rsidRPr="002C4999">
        <w:rPr>
          <w:color w:val="auto"/>
        </w:rPr>
        <w:t xml:space="preserve">G. Supporting workpapers in electronic format with all formulas and links intact. See WAC 480-07-510(3)(e). </w:t>
      </w:r>
    </w:p>
    <w:p w14:paraId="61F33397" w14:textId="77777777" w:rsidR="00637CFC" w:rsidRDefault="00FD536A" w:rsidP="0089450C">
      <w:pPr>
        <w:tabs>
          <w:tab w:val="left" w:pos="1890"/>
          <w:tab w:val="left" w:pos="4320"/>
          <w:tab w:val="left" w:pos="6480"/>
        </w:tabs>
        <w:jc w:val="both"/>
        <w:rPr>
          <w:b/>
          <w:sz w:val="24"/>
          <w:szCs w:val="24"/>
        </w:rPr>
      </w:pPr>
      <w:r w:rsidRPr="002C4999">
        <w:rPr>
          <w:b/>
          <w:sz w:val="24"/>
          <w:szCs w:val="24"/>
        </w:rPr>
        <w:t>RESPONSE:</w:t>
      </w:r>
    </w:p>
    <w:p w14:paraId="4A0F0FEE" w14:textId="77777777" w:rsidR="0095650D" w:rsidRDefault="0089450C" w:rsidP="00292F69">
      <w:pPr>
        <w:adjustRightInd w:val="0"/>
        <w:jc w:val="both"/>
        <w:rPr>
          <w:sz w:val="24"/>
          <w:szCs w:val="24"/>
        </w:rPr>
      </w:pPr>
      <w:r w:rsidRPr="000B68A0">
        <w:rPr>
          <w:sz w:val="24"/>
          <w:szCs w:val="24"/>
        </w:rPr>
        <w:t xml:space="preserve">A.-G. </w:t>
      </w:r>
      <w:r w:rsidR="00B03F8E" w:rsidRPr="000B68A0">
        <w:rPr>
          <w:sz w:val="24"/>
          <w:szCs w:val="24"/>
        </w:rPr>
        <w:t xml:space="preserve">  </w:t>
      </w:r>
      <w:r w:rsidR="0095650D">
        <w:rPr>
          <w:sz w:val="24"/>
          <w:szCs w:val="24"/>
        </w:rPr>
        <w:t xml:space="preserve">For the reasons outlined below, the Company at this time is not able to quantify all of the impacts of the Tax Cuts and Jobs Act (TCJA). </w:t>
      </w:r>
      <w:r w:rsidR="00774EC0">
        <w:rPr>
          <w:sz w:val="24"/>
          <w:szCs w:val="24"/>
        </w:rPr>
        <w:t xml:space="preserve">Nevertheless, </w:t>
      </w:r>
      <w:r w:rsidR="0095650D">
        <w:rPr>
          <w:sz w:val="24"/>
          <w:szCs w:val="24"/>
        </w:rPr>
        <w:t xml:space="preserve">all of the benefits associated with the costs paid by customers related to the TCJA will be returned to customers as discussed in this response. </w:t>
      </w:r>
    </w:p>
    <w:p w14:paraId="3EE302C4" w14:textId="77777777" w:rsidR="0095650D" w:rsidRDefault="0095650D" w:rsidP="00292F69">
      <w:pPr>
        <w:adjustRightInd w:val="0"/>
        <w:jc w:val="both"/>
        <w:rPr>
          <w:sz w:val="24"/>
          <w:szCs w:val="24"/>
        </w:rPr>
      </w:pPr>
    </w:p>
    <w:p w14:paraId="25EDE2DC" w14:textId="333E9D9D" w:rsidR="003B4C5A" w:rsidRPr="000B68A0" w:rsidRDefault="002C4999" w:rsidP="00292F69">
      <w:pPr>
        <w:adjustRightInd w:val="0"/>
        <w:jc w:val="both"/>
        <w:rPr>
          <w:sz w:val="24"/>
          <w:szCs w:val="24"/>
        </w:rPr>
      </w:pPr>
      <w:r w:rsidRPr="000B68A0">
        <w:rPr>
          <w:sz w:val="24"/>
          <w:szCs w:val="24"/>
        </w:rPr>
        <w:t xml:space="preserve">The Company is </w:t>
      </w:r>
      <w:r w:rsidR="003B4C5A" w:rsidRPr="000B68A0">
        <w:rPr>
          <w:sz w:val="24"/>
          <w:szCs w:val="24"/>
        </w:rPr>
        <w:t xml:space="preserve">in </w:t>
      </w:r>
      <w:r w:rsidRPr="000B68A0">
        <w:rPr>
          <w:sz w:val="24"/>
          <w:szCs w:val="24"/>
        </w:rPr>
        <w:t xml:space="preserve">the process of evaluating the impacts of the new </w:t>
      </w:r>
      <w:r w:rsidR="00D81FE7">
        <w:rPr>
          <w:sz w:val="24"/>
          <w:szCs w:val="24"/>
        </w:rPr>
        <w:t>legislation</w:t>
      </w:r>
      <w:r w:rsidR="00D81FE7" w:rsidRPr="000B68A0">
        <w:rPr>
          <w:sz w:val="24"/>
          <w:szCs w:val="24"/>
        </w:rPr>
        <w:t xml:space="preserve"> </w:t>
      </w:r>
      <w:r w:rsidR="00292F69" w:rsidRPr="000B68A0">
        <w:rPr>
          <w:sz w:val="24"/>
          <w:szCs w:val="24"/>
        </w:rPr>
        <w:t>(H.R.1 — Tax Cuts and Jobs Act) signed into law December 22, 2017</w:t>
      </w:r>
      <w:r w:rsidRPr="000B68A0">
        <w:rPr>
          <w:sz w:val="24"/>
          <w:szCs w:val="24"/>
        </w:rPr>
        <w:t xml:space="preserve">, </w:t>
      </w:r>
      <w:r w:rsidR="00292F69" w:rsidRPr="000B68A0">
        <w:rPr>
          <w:sz w:val="24"/>
          <w:szCs w:val="24"/>
        </w:rPr>
        <w:t xml:space="preserve">with most provisions going into effect on January 1, 2018.  The Act contains provisions that impact regulated utilities' federal tax obligations, including </w:t>
      </w:r>
      <w:r w:rsidR="00A6577B">
        <w:rPr>
          <w:sz w:val="24"/>
          <w:szCs w:val="24"/>
        </w:rPr>
        <w:t xml:space="preserve">a </w:t>
      </w:r>
      <w:r w:rsidR="00292F69" w:rsidRPr="000B68A0">
        <w:rPr>
          <w:sz w:val="24"/>
          <w:szCs w:val="24"/>
        </w:rPr>
        <w:t xml:space="preserve">reduction to the corporate income tax rate.  The Company is </w:t>
      </w:r>
      <w:r w:rsidRPr="000B68A0">
        <w:rPr>
          <w:sz w:val="24"/>
          <w:szCs w:val="24"/>
        </w:rPr>
        <w:t xml:space="preserve">preparing to comply with the </w:t>
      </w:r>
      <w:r w:rsidR="00A6577B">
        <w:rPr>
          <w:sz w:val="24"/>
          <w:szCs w:val="24"/>
        </w:rPr>
        <w:t xml:space="preserve">financial </w:t>
      </w:r>
      <w:r w:rsidRPr="000B68A0">
        <w:rPr>
          <w:sz w:val="24"/>
          <w:szCs w:val="24"/>
        </w:rPr>
        <w:t xml:space="preserve">accounting requirements of </w:t>
      </w:r>
      <w:r w:rsidR="00AA212B">
        <w:rPr>
          <w:sz w:val="24"/>
          <w:szCs w:val="24"/>
        </w:rPr>
        <w:t>Accounting Standards Codification (</w:t>
      </w:r>
      <w:r w:rsidRPr="000B68A0">
        <w:rPr>
          <w:sz w:val="24"/>
          <w:szCs w:val="24"/>
        </w:rPr>
        <w:t>ASC</w:t>
      </w:r>
      <w:r w:rsidR="00AA212B">
        <w:rPr>
          <w:sz w:val="24"/>
          <w:szCs w:val="24"/>
        </w:rPr>
        <w:t>)</w:t>
      </w:r>
      <w:r w:rsidRPr="000B68A0">
        <w:rPr>
          <w:sz w:val="24"/>
          <w:szCs w:val="24"/>
        </w:rPr>
        <w:t>-740 which requires recognition of the effect of tax law changes to be recognized in the period of enactment, in this case, December 2017</w:t>
      </w:r>
      <w:r w:rsidR="00A6577B">
        <w:rPr>
          <w:sz w:val="24"/>
          <w:szCs w:val="24"/>
        </w:rPr>
        <w:t>.</w:t>
      </w:r>
      <w:r w:rsidRPr="000B68A0">
        <w:rPr>
          <w:sz w:val="24"/>
          <w:szCs w:val="24"/>
        </w:rPr>
        <w:t xml:space="preserve">  </w:t>
      </w:r>
      <w:r w:rsidR="003B4C5A" w:rsidRPr="000B68A0">
        <w:rPr>
          <w:sz w:val="24"/>
          <w:szCs w:val="24"/>
        </w:rPr>
        <w:t xml:space="preserve">The Accumulated Deferred Federal Income Tax (ADFIT) balance as of December 31, 2017 is </w:t>
      </w:r>
      <w:r w:rsidR="000E7289">
        <w:rPr>
          <w:sz w:val="24"/>
          <w:szCs w:val="24"/>
        </w:rPr>
        <w:t>not finalized</w:t>
      </w:r>
      <w:r w:rsidR="003B4C5A" w:rsidRPr="000B68A0">
        <w:rPr>
          <w:sz w:val="24"/>
          <w:szCs w:val="24"/>
        </w:rPr>
        <w:t xml:space="preserve"> at this time as the Company is still closing and additional time is necessary to comply wit</w:t>
      </w:r>
      <w:r w:rsidR="000E7289">
        <w:rPr>
          <w:sz w:val="24"/>
          <w:szCs w:val="24"/>
        </w:rPr>
        <w:t>h ASC-740 as of December 2017.</w:t>
      </w:r>
    </w:p>
    <w:p w14:paraId="3224DA9A" w14:textId="77777777" w:rsidR="003B4C5A" w:rsidRPr="000B68A0" w:rsidRDefault="003B4C5A" w:rsidP="000B68A0">
      <w:pPr>
        <w:adjustRightInd w:val="0"/>
        <w:jc w:val="both"/>
        <w:rPr>
          <w:sz w:val="24"/>
          <w:szCs w:val="24"/>
        </w:rPr>
      </w:pPr>
    </w:p>
    <w:p w14:paraId="4AE32721" w14:textId="77777777" w:rsidR="002D46AB" w:rsidRDefault="00292F69" w:rsidP="0095650D">
      <w:pPr>
        <w:adjustRightInd w:val="0"/>
        <w:jc w:val="both"/>
        <w:rPr>
          <w:sz w:val="24"/>
          <w:szCs w:val="24"/>
        </w:rPr>
      </w:pPr>
      <w:r w:rsidRPr="000B68A0">
        <w:rPr>
          <w:sz w:val="24"/>
          <w:szCs w:val="24"/>
        </w:rPr>
        <w:t>Due to the lengthy and complex nature of the TCJA, it is not possible at this time to identify all specific changes in Avista’s federal tax obligations that may be impacted by the passage of the TCJA</w:t>
      </w:r>
      <w:r w:rsidR="00AE5001">
        <w:rPr>
          <w:sz w:val="24"/>
          <w:szCs w:val="24"/>
        </w:rPr>
        <w:t xml:space="preserve"> law</w:t>
      </w:r>
      <w:r w:rsidRPr="000B68A0">
        <w:rPr>
          <w:sz w:val="24"/>
          <w:szCs w:val="24"/>
        </w:rPr>
        <w:t xml:space="preserve">.  </w:t>
      </w:r>
      <w:r w:rsidR="00A6577B">
        <w:rPr>
          <w:sz w:val="24"/>
          <w:szCs w:val="24"/>
        </w:rPr>
        <w:t>T</w:t>
      </w:r>
      <w:r w:rsidR="0031159E" w:rsidRPr="000B68A0">
        <w:rPr>
          <w:sz w:val="24"/>
          <w:szCs w:val="24"/>
        </w:rPr>
        <w:t xml:space="preserve">he Company </w:t>
      </w:r>
      <w:r w:rsidR="00A6577B">
        <w:rPr>
          <w:sz w:val="24"/>
          <w:szCs w:val="24"/>
        </w:rPr>
        <w:t xml:space="preserve">is </w:t>
      </w:r>
      <w:r w:rsidR="0031159E" w:rsidRPr="000B68A0">
        <w:rPr>
          <w:sz w:val="24"/>
          <w:szCs w:val="24"/>
        </w:rPr>
        <w:t>work</w:t>
      </w:r>
      <w:r w:rsidR="00A6577B">
        <w:rPr>
          <w:sz w:val="24"/>
          <w:szCs w:val="24"/>
        </w:rPr>
        <w:t>ing</w:t>
      </w:r>
      <w:r w:rsidR="0031159E" w:rsidRPr="000B68A0">
        <w:rPr>
          <w:sz w:val="24"/>
          <w:szCs w:val="24"/>
        </w:rPr>
        <w:t xml:space="preserve"> with its tax </w:t>
      </w:r>
      <w:r w:rsidR="00A6577B">
        <w:rPr>
          <w:sz w:val="24"/>
          <w:szCs w:val="24"/>
        </w:rPr>
        <w:t>consultant</w:t>
      </w:r>
      <w:r w:rsidR="00AA212B">
        <w:rPr>
          <w:sz w:val="24"/>
          <w:szCs w:val="24"/>
        </w:rPr>
        <w:t>s</w:t>
      </w:r>
      <w:r w:rsidR="0031159E" w:rsidRPr="000B68A0">
        <w:rPr>
          <w:sz w:val="24"/>
          <w:szCs w:val="24"/>
        </w:rPr>
        <w:t xml:space="preserve"> to ensure the impacts of the tax code revisions are</w:t>
      </w:r>
      <w:r w:rsidR="00A6577B">
        <w:rPr>
          <w:sz w:val="24"/>
          <w:szCs w:val="24"/>
        </w:rPr>
        <w:t xml:space="preserve"> appropriately calculated.</w:t>
      </w:r>
    </w:p>
    <w:p w14:paraId="0760E705" w14:textId="77777777" w:rsidR="00075B4F" w:rsidRDefault="00075B4F" w:rsidP="0095650D">
      <w:pPr>
        <w:adjustRightInd w:val="0"/>
        <w:jc w:val="both"/>
        <w:rPr>
          <w:sz w:val="24"/>
          <w:szCs w:val="24"/>
        </w:rPr>
      </w:pPr>
    </w:p>
    <w:p w14:paraId="2B8B6FFA" w14:textId="77777777" w:rsidR="008D31F0" w:rsidRPr="000B68A0" w:rsidRDefault="00A6577B" w:rsidP="008D31F0">
      <w:pPr>
        <w:adjustRightInd w:val="0"/>
        <w:jc w:val="both"/>
        <w:rPr>
          <w:sz w:val="24"/>
          <w:szCs w:val="24"/>
        </w:rPr>
      </w:pPr>
      <w:r>
        <w:rPr>
          <w:sz w:val="23"/>
          <w:szCs w:val="23"/>
        </w:rPr>
        <w:lastRenderedPageBreak/>
        <w:t>There are numerous</w:t>
      </w:r>
      <w:r w:rsidR="002D46AB">
        <w:rPr>
          <w:sz w:val="23"/>
          <w:szCs w:val="23"/>
        </w:rPr>
        <w:t xml:space="preserve"> provisions, </w:t>
      </w:r>
      <w:r>
        <w:rPr>
          <w:sz w:val="23"/>
          <w:szCs w:val="23"/>
        </w:rPr>
        <w:t xml:space="preserve">with </w:t>
      </w:r>
      <w:r w:rsidR="002D46AB">
        <w:rPr>
          <w:sz w:val="23"/>
          <w:szCs w:val="23"/>
        </w:rPr>
        <w:t xml:space="preserve">the </w:t>
      </w:r>
      <w:r>
        <w:rPr>
          <w:sz w:val="23"/>
          <w:szCs w:val="23"/>
        </w:rPr>
        <w:t>primary provision being the</w:t>
      </w:r>
      <w:r w:rsidR="002D46AB">
        <w:rPr>
          <w:sz w:val="23"/>
          <w:szCs w:val="23"/>
        </w:rPr>
        <w:t xml:space="preserve"> reduction in the federal corporate tax rate </w:t>
      </w:r>
      <w:r w:rsidR="002D46AB" w:rsidRPr="000B68A0">
        <w:rPr>
          <w:sz w:val="24"/>
          <w:szCs w:val="24"/>
        </w:rPr>
        <w:t>from 35% to 21%</w:t>
      </w:r>
      <w:r w:rsidR="000E7289">
        <w:rPr>
          <w:sz w:val="24"/>
          <w:szCs w:val="24"/>
        </w:rPr>
        <w:t>.  H</w:t>
      </w:r>
      <w:r w:rsidR="002D46AB" w:rsidRPr="000B68A0">
        <w:rPr>
          <w:sz w:val="24"/>
          <w:szCs w:val="24"/>
        </w:rPr>
        <w:t xml:space="preserve">owever, this is only one </w:t>
      </w:r>
      <w:r>
        <w:rPr>
          <w:sz w:val="24"/>
          <w:szCs w:val="24"/>
        </w:rPr>
        <w:t>aspect</w:t>
      </w:r>
      <w:r w:rsidRPr="000B68A0">
        <w:rPr>
          <w:sz w:val="24"/>
          <w:szCs w:val="24"/>
        </w:rPr>
        <w:t xml:space="preserve"> </w:t>
      </w:r>
      <w:r w:rsidR="002D46AB" w:rsidRPr="000B68A0">
        <w:rPr>
          <w:sz w:val="24"/>
          <w:szCs w:val="24"/>
        </w:rPr>
        <w:t>of the expected impact of the tax code</w:t>
      </w:r>
      <w:r w:rsidR="008D31F0" w:rsidRPr="000B68A0">
        <w:rPr>
          <w:sz w:val="24"/>
          <w:szCs w:val="24"/>
        </w:rPr>
        <w:t xml:space="preserve"> </w:t>
      </w:r>
      <w:r w:rsidR="002D46AB" w:rsidRPr="000B68A0">
        <w:rPr>
          <w:sz w:val="24"/>
          <w:szCs w:val="24"/>
        </w:rPr>
        <w:t xml:space="preserve">reform and should not be considered in isolation. </w:t>
      </w:r>
      <w:r w:rsidR="008D31F0" w:rsidRPr="000B68A0">
        <w:rPr>
          <w:sz w:val="24"/>
          <w:szCs w:val="24"/>
        </w:rPr>
        <w:t xml:space="preserve">For example, the change in the federal corporate income tax rates results in excess deferred income tax assets and liabilities which must be </w:t>
      </w:r>
      <w:r>
        <w:rPr>
          <w:sz w:val="24"/>
          <w:szCs w:val="24"/>
        </w:rPr>
        <w:t>revalued,</w:t>
      </w:r>
      <w:r w:rsidR="008D31F0" w:rsidRPr="000B68A0">
        <w:rPr>
          <w:sz w:val="24"/>
          <w:szCs w:val="24"/>
        </w:rPr>
        <w:t xml:space="preserve"> as well </w:t>
      </w:r>
      <w:r w:rsidR="008D31F0">
        <w:rPr>
          <w:sz w:val="24"/>
          <w:szCs w:val="24"/>
        </w:rPr>
        <w:t>as other possible expenses that may no longer be deductible</w:t>
      </w:r>
      <w:r>
        <w:rPr>
          <w:sz w:val="24"/>
          <w:szCs w:val="24"/>
        </w:rPr>
        <w:t>, and impacts on future cash flows which will impact financing levels</w:t>
      </w:r>
      <w:r w:rsidR="008D31F0" w:rsidRPr="000B68A0">
        <w:rPr>
          <w:sz w:val="24"/>
          <w:szCs w:val="24"/>
        </w:rPr>
        <w:t>.</w:t>
      </w:r>
      <w:r w:rsidR="00BA6F23">
        <w:rPr>
          <w:rStyle w:val="FootnoteReference"/>
          <w:sz w:val="24"/>
          <w:szCs w:val="24"/>
        </w:rPr>
        <w:footnoteReference w:id="1"/>
      </w:r>
      <w:r w:rsidR="008D31F0" w:rsidRPr="000B68A0">
        <w:rPr>
          <w:sz w:val="24"/>
          <w:szCs w:val="24"/>
        </w:rPr>
        <w:t xml:space="preserve"> </w:t>
      </w:r>
    </w:p>
    <w:p w14:paraId="1F539666" w14:textId="77777777" w:rsidR="008D31F0" w:rsidRPr="000B68A0" w:rsidRDefault="008D31F0" w:rsidP="008D31F0">
      <w:pPr>
        <w:adjustRightInd w:val="0"/>
        <w:jc w:val="both"/>
        <w:rPr>
          <w:sz w:val="24"/>
          <w:szCs w:val="24"/>
        </w:rPr>
      </w:pPr>
    </w:p>
    <w:p w14:paraId="64BD92F5" w14:textId="737BAD4A" w:rsidR="00950F46" w:rsidRPr="000B68A0" w:rsidRDefault="002D46AB" w:rsidP="008D31F0">
      <w:pPr>
        <w:adjustRightInd w:val="0"/>
        <w:jc w:val="both"/>
        <w:rPr>
          <w:sz w:val="24"/>
          <w:szCs w:val="24"/>
        </w:rPr>
      </w:pPr>
      <w:r w:rsidRPr="000B68A0">
        <w:rPr>
          <w:sz w:val="24"/>
          <w:szCs w:val="24"/>
        </w:rPr>
        <w:t>Avista’s current retail rates (and its proposed rebuttal revenue requirement position in this general rate case proceeding) assume a federal corporate tax rate of 35 percent. The revised corporate tax rate in the TC</w:t>
      </w:r>
      <w:r w:rsidR="00AE5001">
        <w:rPr>
          <w:sz w:val="24"/>
          <w:szCs w:val="24"/>
        </w:rPr>
        <w:t>J</w:t>
      </w:r>
      <w:r w:rsidRPr="000B68A0">
        <w:rPr>
          <w:sz w:val="24"/>
          <w:szCs w:val="24"/>
        </w:rPr>
        <w:t>A</w:t>
      </w:r>
      <w:r w:rsidR="00A6577B">
        <w:rPr>
          <w:sz w:val="24"/>
          <w:szCs w:val="24"/>
        </w:rPr>
        <w:t xml:space="preserve"> for 2018 and</w:t>
      </w:r>
      <w:r w:rsidR="00774EC0">
        <w:rPr>
          <w:sz w:val="24"/>
          <w:szCs w:val="24"/>
        </w:rPr>
        <w:t xml:space="preserve"> going</w:t>
      </w:r>
      <w:r w:rsidR="00A6577B">
        <w:rPr>
          <w:sz w:val="24"/>
          <w:szCs w:val="24"/>
        </w:rPr>
        <w:t xml:space="preserve"> forward</w:t>
      </w:r>
      <w:r w:rsidRPr="000B68A0">
        <w:rPr>
          <w:sz w:val="24"/>
          <w:szCs w:val="24"/>
        </w:rPr>
        <w:t xml:space="preserve"> is 21 percent, which w</w:t>
      </w:r>
      <w:r w:rsidR="00950F46" w:rsidRPr="000B68A0">
        <w:rPr>
          <w:sz w:val="24"/>
          <w:szCs w:val="24"/>
        </w:rPr>
        <w:t>ill</w:t>
      </w:r>
      <w:r w:rsidRPr="000B68A0">
        <w:rPr>
          <w:sz w:val="24"/>
          <w:szCs w:val="24"/>
        </w:rPr>
        <w:t xml:space="preserve"> </w:t>
      </w:r>
      <w:r w:rsidR="00950F46" w:rsidRPr="000B68A0">
        <w:rPr>
          <w:sz w:val="24"/>
          <w:szCs w:val="24"/>
        </w:rPr>
        <w:t xml:space="preserve">reduce current and deferred income tax expense </w:t>
      </w:r>
      <w:r w:rsidRPr="000B68A0">
        <w:rPr>
          <w:sz w:val="24"/>
          <w:szCs w:val="24"/>
        </w:rPr>
        <w:t xml:space="preserve">customers </w:t>
      </w:r>
      <w:r w:rsidR="00950F46" w:rsidRPr="000B68A0">
        <w:rPr>
          <w:sz w:val="24"/>
          <w:szCs w:val="24"/>
        </w:rPr>
        <w:t xml:space="preserve">currently </w:t>
      </w:r>
      <w:r w:rsidRPr="000B68A0">
        <w:rPr>
          <w:sz w:val="24"/>
          <w:szCs w:val="24"/>
        </w:rPr>
        <w:t>assume in cost of service</w:t>
      </w:r>
      <w:r w:rsidR="00A6577B">
        <w:rPr>
          <w:sz w:val="24"/>
          <w:szCs w:val="24"/>
        </w:rPr>
        <w:t xml:space="preserve">.  It </w:t>
      </w:r>
      <w:r w:rsidRPr="000B68A0">
        <w:rPr>
          <w:sz w:val="24"/>
          <w:szCs w:val="24"/>
        </w:rPr>
        <w:t xml:space="preserve">will </w:t>
      </w:r>
      <w:r w:rsidR="00A6577B">
        <w:rPr>
          <w:sz w:val="24"/>
          <w:szCs w:val="24"/>
        </w:rPr>
        <w:t xml:space="preserve">also have an </w:t>
      </w:r>
      <w:r w:rsidRPr="000B68A0">
        <w:rPr>
          <w:sz w:val="24"/>
          <w:szCs w:val="24"/>
        </w:rPr>
        <w:t>impact on the Company's ADFIT balance currently included in rate base (i.e., as ADFIT balances decline, rate base balances increase)</w:t>
      </w:r>
      <w:r w:rsidR="0039280C">
        <w:rPr>
          <w:sz w:val="24"/>
          <w:szCs w:val="24"/>
        </w:rPr>
        <w:t>.</w:t>
      </w:r>
      <w:r w:rsidR="008D31F0" w:rsidRPr="000B68A0">
        <w:rPr>
          <w:sz w:val="24"/>
          <w:szCs w:val="24"/>
        </w:rPr>
        <w:t xml:space="preserve"> </w:t>
      </w:r>
    </w:p>
    <w:p w14:paraId="57BB9AEB" w14:textId="77777777" w:rsidR="00950F46" w:rsidRPr="000B68A0" w:rsidRDefault="00950F46" w:rsidP="008D31F0">
      <w:pPr>
        <w:adjustRightInd w:val="0"/>
        <w:jc w:val="both"/>
        <w:rPr>
          <w:sz w:val="24"/>
          <w:szCs w:val="24"/>
        </w:rPr>
      </w:pPr>
    </w:p>
    <w:p w14:paraId="53330203" w14:textId="77777777" w:rsidR="002C4999" w:rsidRDefault="002C4999" w:rsidP="008D31F0">
      <w:pPr>
        <w:adjustRightInd w:val="0"/>
        <w:jc w:val="both"/>
        <w:rPr>
          <w:sz w:val="24"/>
          <w:szCs w:val="24"/>
        </w:rPr>
      </w:pPr>
      <w:r w:rsidRPr="00DA1753">
        <w:rPr>
          <w:sz w:val="24"/>
          <w:szCs w:val="24"/>
        </w:rPr>
        <w:t>As it relates to our regulated operations</w:t>
      </w:r>
      <w:r w:rsidR="00BA6F23">
        <w:rPr>
          <w:sz w:val="24"/>
          <w:szCs w:val="24"/>
        </w:rPr>
        <w:t>,</w:t>
      </w:r>
      <w:r>
        <w:rPr>
          <w:sz w:val="24"/>
          <w:szCs w:val="24"/>
        </w:rPr>
        <w:t xml:space="preserve"> the Company</w:t>
      </w:r>
      <w:r w:rsidR="0039280C">
        <w:rPr>
          <w:sz w:val="24"/>
          <w:szCs w:val="24"/>
        </w:rPr>
        <w:t xml:space="preserve"> </w:t>
      </w:r>
      <w:r w:rsidR="00075B4F">
        <w:rPr>
          <w:sz w:val="24"/>
          <w:szCs w:val="24"/>
        </w:rPr>
        <w:t xml:space="preserve">is in the process of determining </w:t>
      </w:r>
      <w:r>
        <w:rPr>
          <w:sz w:val="24"/>
          <w:szCs w:val="24"/>
        </w:rPr>
        <w:t xml:space="preserve">the overall </w:t>
      </w:r>
      <w:r w:rsidR="0031159E">
        <w:rPr>
          <w:sz w:val="24"/>
          <w:szCs w:val="24"/>
        </w:rPr>
        <w:t>tax benefit of the TCJA</w:t>
      </w:r>
      <w:r w:rsidR="0039280C">
        <w:rPr>
          <w:sz w:val="24"/>
          <w:szCs w:val="24"/>
        </w:rPr>
        <w:t xml:space="preserve"> in the</w:t>
      </w:r>
      <w:r>
        <w:rPr>
          <w:sz w:val="24"/>
          <w:szCs w:val="24"/>
        </w:rPr>
        <w:t xml:space="preserve"> following areas:</w:t>
      </w:r>
    </w:p>
    <w:p w14:paraId="66E1025B" w14:textId="77777777" w:rsidR="00774EC0" w:rsidRDefault="00774EC0" w:rsidP="008D31F0">
      <w:pPr>
        <w:adjustRightInd w:val="0"/>
        <w:jc w:val="both"/>
        <w:rPr>
          <w:sz w:val="24"/>
          <w:szCs w:val="24"/>
        </w:rPr>
      </w:pPr>
    </w:p>
    <w:p w14:paraId="61245205" w14:textId="77777777" w:rsidR="0031159E" w:rsidRDefault="00774EC0" w:rsidP="00292F69">
      <w:pPr>
        <w:pStyle w:val="ListParagraph"/>
        <w:numPr>
          <w:ilvl w:val="1"/>
          <w:numId w:val="27"/>
        </w:numPr>
        <w:spacing w:after="160" w:line="259" w:lineRule="auto"/>
        <w:jc w:val="both"/>
        <w:rPr>
          <w:sz w:val="24"/>
          <w:szCs w:val="24"/>
        </w:rPr>
      </w:pPr>
      <w:r>
        <w:rPr>
          <w:sz w:val="24"/>
          <w:szCs w:val="24"/>
        </w:rPr>
        <w:t xml:space="preserve">The current </w:t>
      </w:r>
      <w:r w:rsidR="00AE5001">
        <w:rPr>
          <w:sz w:val="24"/>
          <w:szCs w:val="24"/>
        </w:rPr>
        <w:t xml:space="preserve">and deferred income </w:t>
      </w:r>
      <w:r w:rsidR="002C4999">
        <w:rPr>
          <w:sz w:val="24"/>
          <w:szCs w:val="24"/>
        </w:rPr>
        <w:t xml:space="preserve">tax expense and </w:t>
      </w:r>
      <w:r w:rsidR="0031159E">
        <w:rPr>
          <w:sz w:val="24"/>
          <w:szCs w:val="24"/>
        </w:rPr>
        <w:t xml:space="preserve">conversion factor (or gross up to cover </w:t>
      </w:r>
      <w:r w:rsidR="008D5534">
        <w:rPr>
          <w:sz w:val="24"/>
          <w:szCs w:val="24"/>
        </w:rPr>
        <w:t xml:space="preserve">tax </w:t>
      </w:r>
      <w:r w:rsidR="0031159E">
        <w:rPr>
          <w:sz w:val="24"/>
          <w:szCs w:val="24"/>
        </w:rPr>
        <w:t xml:space="preserve">expenses) </w:t>
      </w:r>
      <w:r w:rsidR="004929A8">
        <w:rPr>
          <w:sz w:val="24"/>
          <w:szCs w:val="24"/>
        </w:rPr>
        <w:t xml:space="preserve">will change </w:t>
      </w:r>
      <w:r w:rsidR="0031159E">
        <w:rPr>
          <w:sz w:val="24"/>
          <w:szCs w:val="24"/>
        </w:rPr>
        <w:t xml:space="preserve">as </w:t>
      </w:r>
      <w:r w:rsidR="008D5534">
        <w:rPr>
          <w:sz w:val="24"/>
          <w:szCs w:val="24"/>
        </w:rPr>
        <w:t xml:space="preserve">a </w:t>
      </w:r>
      <w:r w:rsidR="0031159E">
        <w:rPr>
          <w:sz w:val="24"/>
          <w:szCs w:val="24"/>
        </w:rPr>
        <w:t>result of l</w:t>
      </w:r>
      <w:r w:rsidR="0031159E" w:rsidRPr="0031159E">
        <w:rPr>
          <w:sz w:val="24"/>
          <w:szCs w:val="24"/>
        </w:rPr>
        <w:t>owering the tax rate from 35% of taxable income to 21% of taxable income</w:t>
      </w:r>
      <w:r w:rsidR="0039280C">
        <w:rPr>
          <w:sz w:val="24"/>
          <w:szCs w:val="24"/>
        </w:rPr>
        <w:t xml:space="preserve"> - </w:t>
      </w:r>
      <w:r w:rsidR="00075B4F">
        <w:rPr>
          <w:sz w:val="24"/>
          <w:szCs w:val="24"/>
        </w:rPr>
        <w:t>T</w:t>
      </w:r>
      <w:r w:rsidR="00AE5001">
        <w:rPr>
          <w:sz w:val="24"/>
          <w:szCs w:val="24"/>
        </w:rPr>
        <w:t xml:space="preserve">he </w:t>
      </w:r>
      <w:r w:rsidR="008D5534">
        <w:rPr>
          <w:sz w:val="24"/>
          <w:szCs w:val="24"/>
        </w:rPr>
        <w:t xml:space="preserve">TCJA </w:t>
      </w:r>
      <w:r w:rsidR="0031159E" w:rsidRPr="000E7289">
        <w:rPr>
          <w:sz w:val="24"/>
          <w:szCs w:val="24"/>
          <w:u w:val="single"/>
        </w:rPr>
        <w:t xml:space="preserve">benefit to </w:t>
      </w:r>
      <w:r w:rsidR="0039280C">
        <w:rPr>
          <w:sz w:val="24"/>
          <w:szCs w:val="24"/>
          <w:u w:val="single"/>
        </w:rPr>
        <w:t xml:space="preserve">Washington </w:t>
      </w:r>
      <w:r w:rsidR="0031159E" w:rsidRPr="000E7289">
        <w:rPr>
          <w:sz w:val="24"/>
          <w:szCs w:val="24"/>
          <w:u w:val="single"/>
        </w:rPr>
        <w:t>customers</w:t>
      </w:r>
      <w:r w:rsidR="00075B4F">
        <w:rPr>
          <w:sz w:val="24"/>
          <w:szCs w:val="24"/>
          <w:u w:val="single"/>
        </w:rPr>
        <w:t>,</w:t>
      </w:r>
      <w:r w:rsidR="0031159E">
        <w:rPr>
          <w:sz w:val="24"/>
          <w:szCs w:val="24"/>
        </w:rPr>
        <w:t xml:space="preserve"> </w:t>
      </w:r>
      <w:r w:rsidR="0039280C">
        <w:rPr>
          <w:sz w:val="24"/>
          <w:szCs w:val="24"/>
        </w:rPr>
        <w:t>when known,</w:t>
      </w:r>
      <w:r w:rsidR="008D5534">
        <w:rPr>
          <w:sz w:val="24"/>
          <w:szCs w:val="24"/>
        </w:rPr>
        <w:t xml:space="preserve"> </w:t>
      </w:r>
      <w:r w:rsidR="0039280C">
        <w:rPr>
          <w:sz w:val="24"/>
          <w:szCs w:val="24"/>
        </w:rPr>
        <w:t xml:space="preserve">ultimately </w:t>
      </w:r>
      <w:r w:rsidR="00075B4F">
        <w:rPr>
          <w:sz w:val="24"/>
          <w:szCs w:val="24"/>
        </w:rPr>
        <w:t xml:space="preserve">will </w:t>
      </w:r>
      <w:r w:rsidR="0039280C">
        <w:rPr>
          <w:sz w:val="24"/>
          <w:szCs w:val="24"/>
        </w:rPr>
        <w:t xml:space="preserve">offset a portion of the increase in </w:t>
      </w:r>
      <w:r w:rsidR="008D5534">
        <w:rPr>
          <w:sz w:val="24"/>
          <w:szCs w:val="24"/>
        </w:rPr>
        <w:t>base rates</w:t>
      </w:r>
      <w:r w:rsidR="003B4C5A">
        <w:rPr>
          <w:sz w:val="24"/>
          <w:szCs w:val="24"/>
        </w:rPr>
        <w:t xml:space="preserve"> proposed by the Company </w:t>
      </w:r>
      <w:r w:rsidR="000B68A0">
        <w:rPr>
          <w:sz w:val="24"/>
          <w:szCs w:val="24"/>
        </w:rPr>
        <w:t xml:space="preserve">on rebuttal </w:t>
      </w:r>
      <w:r w:rsidR="003B4C5A">
        <w:rPr>
          <w:sz w:val="24"/>
          <w:szCs w:val="24"/>
        </w:rPr>
        <w:t>in this general rate case proceeding</w:t>
      </w:r>
      <w:r w:rsidR="0031159E">
        <w:rPr>
          <w:sz w:val="24"/>
          <w:szCs w:val="24"/>
        </w:rPr>
        <w:t>.</w:t>
      </w:r>
      <w:r w:rsidR="00DD06FC">
        <w:rPr>
          <w:sz w:val="24"/>
          <w:szCs w:val="24"/>
        </w:rPr>
        <w:t xml:space="preserve">  </w:t>
      </w:r>
    </w:p>
    <w:p w14:paraId="496B7869" w14:textId="5A569E37" w:rsidR="0031159E" w:rsidRDefault="00A846B8" w:rsidP="00292F69">
      <w:pPr>
        <w:pStyle w:val="ListParagraph"/>
        <w:numPr>
          <w:ilvl w:val="1"/>
          <w:numId w:val="27"/>
        </w:numPr>
        <w:spacing w:after="160" w:line="259" w:lineRule="auto"/>
        <w:jc w:val="both"/>
        <w:rPr>
          <w:sz w:val="24"/>
          <w:szCs w:val="24"/>
        </w:rPr>
      </w:pPr>
      <w:r w:rsidRPr="00B172EF">
        <w:rPr>
          <w:sz w:val="24"/>
          <w:szCs w:val="24"/>
        </w:rPr>
        <w:t xml:space="preserve">Deferred tax amounts are required to be revalued at the lower corporate rate (21%).  The revaluation for both plant and non-plant amounts associated with regulated utility operations results in a balance sheet reclassification from deferred tax to deferred regulatory assets or liabilities.  </w:t>
      </w:r>
      <w:r w:rsidR="0089450C">
        <w:rPr>
          <w:sz w:val="24"/>
          <w:szCs w:val="24"/>
        </w:rPr>
        <w:t>(A</w:t>
      </w:r>
      <w:r w:rsidR="0089450C" w:rsidRPr="002C4999">
        <w:rPr>
          <w:sz w:val="24"/>
          <w:szCs w:val="24"/>
        </w:rPr>
        <w:t xml:space="preserve">mount of excess deferred </w:t>
      </w:r>
      <w:r w:rsidR="0089450C">
        <w:rPr>
          <w:sz w:val="24"/>
          <w:szCs w:val="24"/>
        </w:rPr>
        <w:t xml:space="preserve">federal </w:t>
      </w:r>
      <w:r w:rsidR="0089450C" w:rsidRPr="002C4999">
        <w:rPr>
          <w:sz w:val="24"/>
          <w:szCs w:val="24"/>
        </w:rPr>
        <w:t>income tax reserve as described in IRC Sec 168(i)(9)(A)(ii) as of December 31, 2017</w:t>
      </w:r>
      <w:r w:rsidR="0089450C">
        <w:rPr>
          <w:sz w:val="24"/>
          <w:szCs w:val="24"/>
        </w:rPr>
        <w:t>.)</w:t>
      </w:r>
      <w:r w:rsidR="0031159E" w:rsidRPr="008D5534">
        <w:rPr>
          <w:sz w:val="24"/>
          <w:szCs w:val="24"/>
        </w:rPr>
        <w:t xml:space="preserve"> </w:t>
      </w:r>
      <w:r w:rsidR="0039280C">
        <w:rPr>
          <w:sz w:val="24"/>
          <w:szCs w:val="24"/>
        </w:rPr>
        <w:t>–</w:t>
      </w:r>
      <w:r w:rsidR="0031159E" w:rsidRPr="008D5534">
        <w:rPr>
          <w:sz w:val="24"/>
          <w:szCs w:val="24"/>
        </w:rPr>
        <w:t xml:space="preserve"> </w:t>
      </w:r>
      <w:r w:rsidR="008D5534" w:rsidRPr="008D5534">
        <w:rPr>
          <w:sz w:val="24"/>
          <w:szCs w:val="24"/>
        </w:rPr>
        <w:t xml:space="preserve">This will impact plant and non-plant related regulatory balances, both increasing and decreasing the overall TCJA benefit for customers. This is under evaluation and Washington’s </w:t>
      </w:r>
      <w:r>
        <w:rPr>
          <w:sz w:val="24"/>
          <w:szCs w:val="24"/>
        </w:rPr>
        <w:t xml:space="preserve">jurisdictional </w:t>
      </w:r>
      <w:r w:rsidR="008D5534" w:rsidRPr="008D5534">
        <w:rPr>
          <w:sz w:val="24"/>
          <w:szCs w:val="24"/>
        </w:rPr>
        <w:t xml:space="preserve">electric and natural gas benefit of these items are </w:t>
      </w:r>
      <w:r w:rsidR="008D5534" w:rsidRPr="000E7289">
        <w:rPr>
          <w:sz w:val="24"/>
          <w:szCs w:val="24"/>
          <w:u w:val="single"/>
        </w:rPr>
        <w:t xml:space="preserve">currently </w:t>
      </w:r>
      <w:r>
        <w:rPr>
          <w:sz w:val="24"/>
          <w:szCs w:val="24"/>
          <w:u w:val="single"/>
        </w:rPr>
        <w:t>not available</w:t>
      </w:r>
      <w:r w:rsidR="00D95FB0">
        <w:rPr>
          <w:sz w:val="24"/>
          <w:szCs w:val="24"/>
          <w:u w:val="single"/>
        </w:rPr>
        <w:t>.</w:t>
      </w:r>
      <w:r w:rsidR="008D5534" w:rsidRPr="008D5534">
        <w:rPr>
          <w:sz w:val="24"/>
          <w:szCs w:val="24"/>
        </w:rPr>
        <w:t xml:space="preserve">  As a part of this item, </w:t>
      </w:r>
      <w:r w:rsidR="0089450C">
        <w:rPr>
          <w:sz w:val="24"/>
          <w:szCs w:val="24"/>
        </w:rPr>
        <w:t>a</w:t>
      </w:r>
      <w:r w:rsidR="0031159E" w:rsidRPr="008D5534">
        <w:rPr>
          <w:sz w:val="24"/>
          <w:szCs w:val="24"/>
        </w:rPr>
        <w:t>mortization of deferred tax amounts that represent the difference between the historical 35% rate and the revised 21% rate</w:t>
      </w:r>
      <w:r w:rsidR="008D5534">
        <w:rPr>
          <w:sz w:val="24"/>
          <w:szCs w:val="24"/>
        </w:rPr>
        <w:t xml:space="preserve"> need to be determined. </w:t>
      </w:r>
      <w:r w:rsidR="000E7289">
        <w:rPr>
          <w:sz w:val="24"/>
          <w:szCs w:val="24"/>
        </w:rPr>
        <w:t xml:space="preserve"> For plant-</w:t>
      </w:r>
      <w:r w:rsidR="0089450C">
        <w:rPr>
          <w:sz w:val="24"/>
          <w:szCs w:val="24"/>
        </w:rPr>
        <w:t>related excess deferred income tax expense</w:t>
      </w:r>
      <w:r w:rsidR="000E7289">
        <w:rPr>
          <w:sz w:val="24"/>
          <w:szCs w:val="24"/>
        </w:rPr>
        <w:t>,</w:t>
      </w:r>
      <w:r w:rsidR="0089450C">
        <w:rPr>
          <w:sz w:val="24"/>
          <w:szCs w:val="24"/>
        </w:rPr>
        <w:t xml:space="preserve"> the Company anticipates this would be amortized </w:t>
      </w:r>
      <w:r w:rsidR="00AE5001">
        <w:rPr>
          <w:sz w:val="24"/>
          <w:szCs w:val="24"/>
        </w:rPr>
        <w:t xml:space="preserve">in accordance with the TCJA’s average rate assumption method (ARAM). (The Company estimates the ARAM for Avista results in an amortization period of </w:t>
      </w:r>
      <w:r>
        <w:rPr>
          <w:sz w:val="24"/>
          <w:szCs w:val="24"/>
        </w:rPr>
        <w:t xml:space="preserve">approximately </w:t>
      </w:r>
      <w:r w:rsidR="0089450C">
        <w:rPr>
          <w:sz w:val="24"/>
          <w:szCs w:val="24"/>
        </w:rPr>
        <w:t>36 years.</w:t>
      </w:r>
      <w:r w:rsidR="00AE5001">
        <w:rPr>
          <w:sz w:val="24"/>
          <w:szCs w:val="24"/>
        </w:rPr>
        <w:t>)</w:t>
      </w:r>
      <w:r w:rsidR="0089450C">
        <w:rPr>
          <w:sz w:val="24"/>
          <w:szCs w:val="24"/>
        </w:rPr>
        <w:t xml:space="preserve"> For non-plant related excess deferred income tax expense, further review is necessary to determine the appropriate amortization schedule.</w:t>
      </w:r>
      <w:r w:rsidR="00F266FA">
        <w:rPr>
          <w:sz w:val="24"/>
          <w:szCs w:val="24"/>
        </w:rPr>
        <w:t xml:space="preserve"> </w:t>
      </w:r>
      <w:r w:rsidR="003B4C5A">
        <w:rPr>
          <w:sz w:val="24"/>
          <w:szCs w:val="24"/>
        </w:rPr>
        <w:t xml:space="preserve">The overall benefit to be returned to </w:t>
      </w:r>
      <w:r w:rsidR="000B68A0">
        <w:rPr>
          <w:sz w:val="24"/>
          <w:szCs w:val="24"/>
        </w:rPr>
        <w:t xml:space="preserve">Washington electric and natural gas </w:t>
      </w:r>
      <w:r w:rsidR="003B4C5A">
        <w:rPr>
          <w:sz w:val="24"/>
          <w:szCs w:val="24"/>
        </w:rPr>
        <w:t>cust</w:t>
      </w:r>
      <w:r w:rsidR="00AE5001">
        <w:rPr>
          <w:sz w:val="24"/>
          <w:szCs w:val="24"/>
        </w:rPr>
        <w:t xml:space="preserve">omers as </w:t>
      </w:r>
      <w:r w:rsidR="00AA212B">
        <w:rPr>
          <w:sz w:val="24"/>
          <w:szCs w:val="24"/>
        </w:rPr>
        <w:t xml:space="preserve">a </w:t>
      </w:r>
      <w:r w:rsidR="00AE5001">
        <w:rPr>
          <w:sz w:val="24"/>
          <w:szCs w:val="24"/>
        </w:rPr>
        <w:t xml:space="preserve">result of this item has not been finalized </w:t>
      </w:r>
      <w:r w:rsidR="003B4C5A">
        <w:rPr>
          <w:sz w:val="24"/>
          <w:szCs w:val="24"/>
        </w:rPr>
        <w:t>at this time.</w:t>
      </w:r>
      <w:r>
        <w:rPr>
          <w:sz w:val="24"/>
          <w:szCs w:val="24"/>
        </w:rPr>
        <w:t xml:space="preserve">  This is an important aspect of the new law, for if the ARAM methodology for deferred taxes is not properly implemented, Avista will lose the benefit of Accelerated Tax Depreciation.</w:t>
      </w:r>
    </w:p>
    <w:p w14:paraId="3AF731E1" w14:textId="77777777" w:rsidR="0089450C" w:rsidRDefault="0089450C" w:rsidP="00292F69">
      <w:pPr>
        <w:pStyle w:val="ListParagraph"/>
        <w:numPr>
          <w:ilvl w:val="1"/>
          <w:numId w:val="27"/>
        </w:numPr>
        <w:spacing w:after="160" w:line="259" w:lineRule="auto"/>
        <w:jc w:val="both"/>
        <w:rPr>
          <w:sz w:val="24"/>
          <w:szCs w:val="24"/>
        </w:rPr>
      </w:pPr>
      <w:r w:rsidRPr="000B68A0">
        <w:rPr>
          <w:sz w:val="24"/>
          <w:szCs w:val="24"/>
        </w:rPr>
        <w:t xml:space="preserve">Lastly, </w:t>
      </w:r>
      <w:r w:rsidR="000E7289">
        <w:rPr>
          <w:sz w:val="24"/>
          <w:szCs w:val="24"/>
        </w:rPr>
        <w:t xml:space="preserve">it also has an </w:t>
      </w:r>
      <w:r w:rsidR="00F266FA" w:rsidRPr="000B68A0">
        <w:rPr>
          <w:sz w:val="24"/>
          <w:szCs w:val="24"/>
        </w:rPr>
        <w:t xml:space="preserve">impact </w:t>
      </w:r>
      <w:r w:rsidR="003B4C5A" w:rsidRPr="000B68A0">
        <w:rPr>
          <w:sz w:val="24"/>
          <w:szCs w:val="24"/>
        </w:rPr>
        <w:t xml:space="preserve">on </w:t>
      </w:r>
      <w:r w:rsidR="00F266FA" w:rsidRPr="000B68A0">
        <w:rPr>
          <w:sz w:val="24"/>
          <w:szCs w:val="24"/>
        </w:rPr>
        <w:t xml:space="preserve">pro formed net plant, including the </w:t>
      </w:r>
      <w:r w:rsidR="00B03F8E" w:rsidRPr="000B68A0">
        <w:rPr>
          <w:sz w:val="24"/>
          <w:szCs w:val="24"/>
        </w:rPr>
        <w:t xml:space="preserve">overall </w:t>
      </w:r>
      <w:r w:rsidR="00F266FA" w:rsidRPr="000B68A0">
        <w:rPr>
          <w:sz w:val="24"/>
          <w:szCs w:val="24"/>
        </w:rPr>
        <w:t xml:space="preserve">impact </w:t>
      </w:r>
      <w:r w:rsidR="00B03F8E" w:rsidRPr="000B68A0">
        <w:rPr>
          <w:sz w:val="24"/>
          <w:szCs w:val="24"/>
        </w:rPr>
        <w:t xml:space="preserve">on </w:t>
      </w:r>
      <w:r w:rsidR="00F266FA" w:rsidRPr="000B68A0">
        <w:rPr>
          <w:sz w:val="24"/>
          <w:szCs w:val="24"/>
        </w:rPr>
        <w:t>accumulated deferred federal income tax balances</w:t>
      </w:r>
      <w:r w:rsidR="00B03F8E" w:rsidRPr="000B68A0">
        <w:rPr>
          <w:sz w:val="24"/>
          <w:szCs w:val="24"/>
        </w:rPr>
        <w:t xml:space="preserve"> of reflecting the TCJA (</w:t>
      </w:r>
      <w:r w:rsidR="00F266FA" w:rsidRPr="000B68A0">
        <w:rPr>
          <w:sz w:val="24"/>
          <w:szCs w:val="24"/>
        </w:rPr>
        <w:t>possibly increasing overall net rate base</w:t>
      </w:r>
      <w:r w:rsidR="0043739B" w:rsidRPr="000B68A0">
        <w:rPr>
          <w:sz w:val="24"/>
          <w:szCs w:val="24"/>
        </w:rPr>
        <w:t>, and increasing annual revenue requirement</w:t>
      </w:r>
      <w:r w:rsidR="00B03F8E" w:rsidRPr="000B68A0">
        <w:rPr>
          <w:sz w:val="24"/>
          <w:szCs w:val="24"/>
        </w:rPr>
        <w:t>)</w:t>
      </w:r>
      <w:r w:rsidR="00F266FA" w:rsidRPr="000B68A0">
        <w:rPr>
          <w:sz w:val="24"/>
          <w:szCs w:val="24"/>
        </w:rPr>
        <w:t xml:space="preserve">. </w:t>
      </w:r>
    </w:p>
    <w:p w14:paraId="3841677F" w14:textId="480082D7" w:rsidR="004929A8" w:rsidRDefault="004929A8" w:rsidP="00292F69">
      <w:pPr>
        <w:pStyle w:val="ListParagraph"/>
        <w:numPr>
          <w:ilvl w:val="1"/>
          <w:numId w:val="27"/>
        </w:numPr>
        <w:spacing w:after="160" w:line="259" w:lineRule="auto"/>
        <w:jc w:val="both"/>
        <w:rPr>
          <w:sz w:val="24"/>
          <w:szCs w:val="24"/>
        </w:rPr>
      </w:pPr>
      <w:r>
        <w:rPr>
          <w:sz w:val="24"/>
          <w:szCs w:val="24"/>
        </w:rPr>
        <w:t xml:space="preserve">The following are </w:t>
      </w:r>
      <w:r w:rsidR="00FD0075">
        <w:rPr>
          <w:sz w:val="24"/>
          <w:szCs w:val="24"/>
        </w:rPr>
        <w:t>some of</w:t>
      </w:r>
      <w:r>
        <w:rPr>
          <w:sz w:val="24"/>
          <w:szCs w:val="24"/>
        </w:rPr>
        <w:t xml:space="preserve"> the complications that prevent a certain determination of the tax impact at this time:</w:t>
      </w:r>
    </w:p>
    <w:p w14:paraId="402C360C" w14:textId="4AB60F7F" w:rsidR="00D47F90" w:rsidRPr="00D47F90" w:rsidRDefault="00D47F90" w:rsidP="00D47F90">
      <w:pPr>
        <w:pStyle w:val="ListParagraph"/>
        <w:numPr>
          <w:ilvl w:val="2"/>
          <w:numId w:val="27"/>
        </w:numPr>
        <w:spacing w:after="160" w:line="259" w:lineRule="auto"/>
        <w:jc w:val="both"/>
        <w:rPr>
          <w:sz w:val="24"/>
          <w:szCs w:val="24"/>
        </w:rPr>
      </w:pPr>
      <w:r w:rsidRPr="00D47F90">
        <w:rPr>
          <w:sz w:val="24"/>
          <w:szCs w:val="24"/>
        </w:rPr>
        <w:lastRenderedPageBreak/>
        <w:t xml:space="preserve">Financial closing for year-end 2017 is still in progress, and not </w:t>
      </w:r>
      <w:r w:rsidR="00350EBE">
        <w:rPr>
          <w:sz w:val="24"/>
          <w:szCs w:val="24"/>
        </w:rPr>
        <w:t xml:space="preserve">is </w:t>
      </w:r>
      <w:r w:rsidRPr="00D47F90">
        <w:rPr>
          <w:sz w:val="24"/>
          <w:szCs w:val="24"/>
        </w:rPr>
        <w:t>completed, nor audited;</w:t>
      </w:r>
    </w:p>
    <w:p w14:paraId="6DCCFC9E" w14:textId="0B1CF812" w:rsidR="00D47F90" w:rsidRPr="00D47F90" w:rsidRDefault="00D47F90" w:rsidP="00D47F90">
      <w:pPr>
        <w:pStyle w:val="ListParagraph"/>
        <w:numPr>
          <w:ilvl w:val="2"/>
          <w:numId w:val="27"/>
        </w:numPr>
        <w:spacing w:after="160" w:line="259" w:lineRule="auto"/>
        <w:jc w:val="both"/>
        <w:rPr>
          <w:sz w:val="24"/>
          <w:szCs w:val="24"/>
        </w:rPr>
      </w:pPr>
      <w:r w:rsidRPr="00D47F90">
        <w:rPr>
          <w:sz w:val="24"/>
          <w:szCs w:val="24"/>
        </w:rPr>
        <w:t xml:space="preserve">All the year-end accounting is being done at the Company's system level, not </w:t>
      </w:r>
      <w:r w:rsidR="00AA212B">
        <w:rPr>
          <w:sz w:val="24"/>
          <w:szCs w:val="24"/>
        </w:rPr>
        <w:t>service and</w:t>
      </w:r>
      <w:r w:rsidR="00FD0075">
        <w:rPr>
          <w:sz w:val="24"/>
          <w:szCs w:val="24"/>
        </w:rPr>
        <w:t xml:space="preserve"> </w:t>
      </w:r>
      <w:r w:rsidRPr="00D47F90">
        <w:rPr>
          <w:sz w:val="24"/>
          <w:szCs w:val="24"/>
        </w:rPr>
        <w:t>jurisdictional levels (</w:t>
      </w:r>
      <w:r>
        <w:rPr>
          <w:sz w:val="24"/>
          <w:szCs w:val="24"/>
        </w:rPr>
        <w:t>g</w:t>
      </w:r>
      <w:r w:rsidRPr="00D47F90">
        <w:rPr>
          <w:sz w:val="24"/>
          <w:szCs w:val="24"/>
        </w:rPr>
        <w:t xml:space="preserve">oing to </w:t>
      </w:r>
      <w:r w:rsidR="00FD0075">
        <w:rPr>
          <w:sz w:val="24"/>
          <w:szCs w:val="24"/>
        </w:rPr>
        <w:t>those additional</w:t>
      </w:r>
      <w:r w:rsidRPr="00D47F90">
        <w:rPr>
          <w:sz w:val="24"/>
          <w:szCs w:val="24"/>
        </w:rPr>
        <w:t xml:space="preserve"> levels </w:t>
      </w:r>
      <w:r w:rsidR="00FD0075">
        <w:rPr>
          <w:sz w:val="24"/>
          <w:szCs w:val="24"/>
        </w:rPr>
        <w:t xml:space="preserve">of detail </w:t>
      </w:r>
      <w:r w:rsidR="00AF27DE">
        <w:rPr>
          <w:sz w:val="24"/>
          <w:szCs w:val="24"/>
        </w:rPr>
        <w:t>requires additional time to complete</w:t>
      </w:r>
      <w:r>
        <w:rPr>
          <w:sz w:val="24"/>
          <w:szCs w:val="24"/>
        </w:rPr>
        <w:t>)</w:t>
      </w:r>
      <w:r w:rsidRPr="00D47F90">
        <w:rPr>
          <w:sz w:val="24"/>
          <w:szCs w:val="24"/>
        </w:rPr>
        <w:t>;</w:t>
      </w:r>
    </w:p>
    <w:p w14:paraId="6C042E82" w14:textId="77777777" w:rsidR="00D47F90" w:rsidRPr="00D47F90" w:rsidRDefault="00D47F90" w:rsidP="00D47F90">
      <w:pPr>
        <w:pStyle w:val="ListParagraph"/>
        <w:numPr>
          <w:ilvl w:val="2"/>
          <w:numId w:val="27"/>
        </w:numPr>
        <w:spacing w:after="160" w:line="259" w:lineRule="auto"/>
        <w:jc w:val="both"/>
        <w:rPr>
          <w:sz w:val="24"/>
          <w:szCs w:val="24"/>
        </w:rPr>
      </w:pPr>
      <w:r w:rsidRPr="00D47F90">
        <w:rPr>
          <w:sz w:val="24"/>
          <w:szCs w:val="24"/>
        </w:rPr>
        <w:t>Not properly capturing deferred tax turnaround using the prescribed Average Rate Adjustment Mechanism in regulated customer rates would subject the Company to a normalization violation which would eliminate our ability to take advantage of accelerated tax depreciation;</w:t>
      </w:r>
    </w:p>
    <w:p w14:paraId="77792DD4" w14:textId="71658761" w:rsidR="00D47F90" w:rsidRPr="00D47F90" w:rsidRDefault="00D47F90" w:rsidP="00D47F90">
      <w:pPr>
        <w:pStyle w:val="ListParagraph"/>
        <w:numPr>
          <w:ilvl w:val="2"/>
          <w:numId w:val="27"/>
        </w:numPr>
        <w:spacing w:after="160" w:line="259" w:lineRule="auto"/>
        <w:jc w:val="both"/>
        <w:rPr>
          <w:sz w:val="24"/>
          <w:szCs w:val="24"/>
        </w:rPr>
      </w:pPr>
      <w:r w:rsidRPr="00D47F90">
        <w:rPr>
          <w:sz w:val="24"/>
          <w:szCs w:val="24"/>
        </w:rPr>
        <w:t xml:space="preserve">The non-excess deferred tax balance will be growing at </w:t>
      </w:r>
      <w:r w:rsidR="00D95FB0">
        <w:rPr>
          <w:sz w:val="24"/>
          <w:szCs w:val="24"/>
        </w:rPr>
        <w:t xml:space="preserve">a </w:t>
      </w:r>
      <w:r w:rsidRPr="00D47F90">
        <w:rPr>
          <w:sz w:val="24"/>
          <w:szCs w:val="24"/>
        </w:rPr>
        <w:t>slower pace than previously projected due to new deferred taxes accumulating at the lower 21% rate versus 35%</w:t>
      </w:r>
      <w:r w:rsidR="00FD0075">
        <w:rPr>
          <w:sz w:val="24"/>
          <w:szCs w:val="24"/>
        </w:rPr>
        <w:t>; which will create upward rate pressure;</w:t>
      </w:r>
    </w:p>
    <w:p w14:paraId="7EE020E9" w14:textId="0FEC3E3F" w:rsidR="00D47F90" w:rsidRPr="00D47F90" w:rsidRDefault="00D47F90" w:rsidP="00D47F90">
      <w:pPr>
        <w:pStyle w:val="ListParagraph"/>
        <w:numPr>
          <w:ilvl w:val="2"/>
          <w:numId w:val="27"/>
        </w:numPr>
        <w:spacing w:after="160" w:line="259" w:lineRule="auto"/>
        <w:jc w:val="both"/>
        <w:rPr>
          <w:sz w:val="24"/>
          <w:szCs w:val="24"/>
        </w:rPr>
      </w:pPr>
      <w:r w:rsidRPr="00D47F90">
        <w:rPr>
          <w:sz w:val="24"/>
          <w:szCs w:val="24"/>
        </w:rPr>
        <w:t>The excess deferred taxes will revers</w:t>
      </w:r>
      <w:r w:rsidR="00FD0075">
        <w:rPr>
          <w:sz w:val="24"/>
          <w:szCs w:val="24"/>
        </w:rPr>
        <w:t>e</w:t>
      </w:r>
      <w:r w:rsidRPr="00D47F90">
        <w:rPr>
          <w:sz w:val="24"/>
          <w:szCs w:val="24"/>
        </w:rPr>
        <w:t xml:space="preserve"> over time, which will also reduc</w:t>
      </w:r>
      <w:r w:rsidR="00D95FB0">
        <w:rPr>
          <w:sz w:val="24"/>
          <w:szCs w:val="24"/>
        </w:rPr>
        <w:t>e</w:t>
      </w:r>
      <w:r w:rsidRPr="00D47F90">
        <w:rPr>
          <w:sz w:val="24"/>
          <w:szCs w:val="24"/>
        </w:rPr>
        <w:t xml:space="preserve"> deferred tax balances</w:t>
      </w:r>
      <w:r w:rsidR="00FD0075">
        <w:rPr>
          <w:sz w:val="24"/>
          <w:szCs w:val="24"/>
        </w:rPr>
        <w:t xml:space="preserve">, creating additional upward rate pressure; </w:t>
      </w:r>
    </w:p>
    <w:p w14:paraId="775B976F" w14:textId="77777777" w:rsidR="00D47F90" w:rsidRPr="00D47F90" w:rsidRDefault="00D47F90" w:rsidP="00D47F90">
      <w:pPr>
        <w:pStyle w:val="ListParagraph"/>
        <w:numPr>
          <w:ilvl w:val="2"/>
          <w:numId w:val="27"/>
        </w:numPr>
        <w:spacing w:after="160" w:line="259" w:lineRule="auto"/>
        <w:jc w:val="both"/>
        <w:rPr>
          <w:sz w:val="24"/>
          <w:szCs w:val="24"/>
        </w:rPr>
      </w:pPr>
      <w:r w:rsidRPr="00D47F90">
        <w:rPr>
          <w:sz w:val="24"/>
          <w:szCs w:val="24"/>
        </w:rPr>
        <w:t xml:space="preserve"> Utilities have been exempted from the 100% capital expensing regulations, as well as the limitations on the deductibility of interest expense, however, previously anticipated Bonus Depreciation for 2018 and 2019 has been eliminated; and</w:t>
      </w:r>
    </w:p>
    <w:p w14:paraId="0FCD62DB" w14:textId="1DD665E3" w:rsidR="004929A8" w:rsidRPr="0083692C" w:rsidRDefault="00FD0075" w:rsidP="0083692C">
      <w:pPr>
        <w:pStyle w:val="ListParagraph"/>
        <w:numPr>
          <w:ilvl w:val="2"/>
          <w:numId w:val="27"/>
        </w:numPr>
        <w:spacing w:after="160" w:line="259" w:lineRule="auto"/>
        <w:jc w:val="both"/>
        <w:rPr>
          <w:sz w:val="24"/>
          <w:szCs w:val="24"/>
        </w:rPr>
      </w:pPr>
      <w:r>
        <w:rPr>
          <w:sz w:val="24"/>
          <w:szCs w:val="24"/>
        </w:rPr>
        <w:t>With</w:t>
      </w:r>
      <w:r w:rsidR="00D47F90" w:rsidRPr="00D47F90">
        <w:rPr>
          <w:sz w:val="24"/>
          <w:szCs w:val="24"/>
        </w:rPr>
        <w:t xml:space="preserve"> the very limited amount of time since the legislation has been signed into law, </w:t>
      </w:r>
      <w:r>
        <w:rPr>
          <w:sz w:val="24"/>
          <w:szCs w:val="24"/>
        </w:rPr>
        <w:t xml:space="preserve">we are not aware if </w:t>
      </w:r>
      <w:r w:rsidR="00D47F90" w:rsidRPr="00D47F90">
        <w:rPr>
          <w:sz w:val="24"/>
          <w:szCs w:val="24"/>
        </w:rPr>
        <w:t>the IRS has  begun addressing directive treasury regulations associated with implementing the various aspects of the new tax legislation in H.R. 1, and the Company cannot anticipate what changes those might hold for implementation.</w:t>
      </w:r>
    </w:p>
    <w:p w14:paraId="555623D4" w14:textId="77777777" w:rsidR="002C4999" w:rsidRPr="002C4999" w:rsidRDefault="002C4999" w:rsidP="00292F69">
      <w:pPr>
        <w:pStyle w:val="ListParagraph"/>
        <w:spacing w:after="160" w:line="259" w:lineRule="auto"/>
        <w:ind w:left="1080"/>
        <w:jc w:val="both"/>
        <w:rPr>
          <w:sz w:val="24"/>
          <w:szCs w:val="24"/>
        </w:rPr>
      </w:pPr>
      <w:r w:rsidRPr="002C4999">
        <w:rPr>
          <w:sz w:val="24"/>
          <w:szCs w:val="24"/>
        </w:rPr>
        <w:t xml:space="preserve">  </w:t>
      </w:r>
    </w:p>
    <w:p w14:paraId="64A965AA" w14:textId="77777777" w:rsidR="002C4999" w:rsidRDefault="002C4999" w:rsidP="00292F69">
      <w:pPr>
        <w:spacing w:after="160" w:line="259" w:lineRule="auto"/>
        <w:jc w:val="both"/>
        <w:rPr>
          <w:sz w:val="24"/>
          <w:szCs w:val="24"/>
        </w:rPr>
      </w:pPr>
      <w:r w:rsidRPr="00DA1753">
        <w:rPr>
          <w:sz w:val="24"/>
          <w:szCs w:val="24"/>
        </w:rPr>
        <w:t xml:space="preserve">This </w:t>
      </w:r>
      <w:r w:rsidR="000B68A0">
        <w:rPr>
          <w:sz w:val="24"/>
          <w:szCs w:val="24"/>
        </w:rPr>
        <w:t xml:space="preserve">overall </w:t>
      </w:r>
      <w:r w:rsidR="00B03F8E">
        <w:rPr>
          <w:sz w:val="24"/>
          <w:szCs w:val="24"/>
        </w:rPr>
        <w:t xml:space="preserve">evaluation </w:t>
      </w:r>
      <w:r w:rsidRPr="00DA1753">
        <w:rPr>
          <w:sz w:val="24"/>
          <w:szCs w:val="24"/>
        </w:rPr>
        <w:t xml:space="preserve">is an extensive task.  </w:t>
      </w:r>
      <w:r w:rsidR="00B03F8E">
        <w:rPr>
          <w:sz w:val="24"/>
          <w:szCs w:val="24"/>
        </w:rPr>
        <w:t>I</w:t>
      </w:r>
      <w:r w:rsidRPr="00DA1753">
        <w:rPr>
          <w:sz w:val="24"/>
          <w:szCs w:val="24"/>
        </w:rPr>
        <w:t xml:space="preserve">n the meantime, the Company </w:t>
      </w:r>
      <w:r w:rsidR="00FC3B36" w:rsidRPr="00DA1753">
        <w:rPr>
          <w:sz w:val="24"/>
          <w:szCs w:val="24"/>
        </w:rPr>
        <w:t>propos</w:t>
      </w:r>
      <w:r w:rsidR="00FC3B36">
        <w:rPr>
          <w:sz w:val="24"/>
          <w:szCs w:val="24"/>
        </w:rPr>
        <w:t>ed</w:t>
      </w:r>
      <w:r w:rsidR="00FC3B36" w:rsidRPr="00DA1753">
        <w:rPr>
          <w:sz w:val="24"/>
          <w:szCs w:val="24"/>
        </w:rPr>
        <w:t xml:space="preserve"> </w:t>
      </w:r>
      <w:r w:rsidRPr="00DA1753">
        <w:rPr>
          <w:sz w:val="24"/>
          <w:szCs w:val="24"/>
        </w:rPr>
        <w:t>a regulatory deferred accounting process to capture</w:t>
      </w:r>
      <w:r>
        <w:rPr>
          <w:sz w:val="24"/>
          <w:szCs w:val="24"/>
        </w:rPr>
        <w:t xml:space="preserve"> the</w:t>
      </w:r>
      <w:r w:rsidRPr="00DA1753">
        <w:rPr>
          <w:sz w:val="24"/>
          <w:szCs w:val="24"/>
        </w:rPr>
        <w:t xml:space="preserve"> benefits </w:t>
      </w:r>
      <w:r>
        <w:rPr>
          <w:sz w:val="24"/>
          <w:szCs w:val="24"/>
        </w:rPr>
        <w:t xml:space="preserve">of the TCJA </w:t>
      </w:r>
      <w:r w:rsidRPr="00DA1753">
        <w:rPr>
          <w:sz w:val="24"/>
          <w:szCs w:val="24"/>
        </w:rPr>
        <w:t xml:space="preserve">until </w:t>
      </w:r>
      <w:r>
        <w:rPr>
          <w:sz w:val="24"/>
          <w:szCs w:val="24"/>
        </w:rPr>
        <w:t xml:space="preserve">such time as </w:t>
      </w:r>
      <w:r w:rsidR="00A846B8">
        <w:rPr>
          <w:sz w:val="24"/>
          <w:szCs w:val="24"/>
        </w:rPr>
        <w:t>the</w:t>
      </w:r>
      <w:r w:rsidR="0095650D">
        <w:rPr>
          <w:sz w:val="24"/>
          <w:szCs w:val="24"/>
        </w:rPr>
        <w:t xml:space="preserve"> </w:t>
      </w:r>
      <w:r w:rsidRPr="00075B4F">
        <w:rPr>
          <w:sz w:val="24"/>
          <w:szCs w:val="24"/>
        </w:rPr>
        <w:t xml:space="preserve">benefits </w:t>
      </w:r>
      <w:r w:rsidR="00075B4F">
        <w:rPr>
          <w:sz w:val="24"/>
          <w:szCs w:val="24"/>
        </w:rPr>
        <w:t>are</w:t>
      </w:r>
      <w:r w:rsidRPr="00075B4F">
        <w:rPr>
          <w:sz w:val="24"/>
          <w:szCs w:val="24"/>
        </w:rPr>
        <w:t xml:space="preserve"> reflected in base rates.  </w:t>
      </w:r>
      <w:r w:rsidR="00FC3B36">
        <w:rPr>
          <w:sz w:val="24"/>
          <w:szCs w:val="24"/>
        </w:rPr>
        <w:t>To that end, on December 29, 2017, the Company filed with the WUTC separate electric and natural gas “</w:t>
      </w:r>
      <w:r w:rsidR="00FC3B36" w:rsidRPr="00F7140C">
        <w:rPr>
          <w:sz w:val="24"/>
          <w:szCs w:val="24"/>
        </w:rPr>
        <w:t>Petition</w:t>
      </w:r>
      <w:r w:rsidR="00FC3B36">
        <w:rPr>
          <w:sz w:val="24"/>
          <w:szCs w:val="24"/>
        </w:rPr>
        <w:t>[s]</w:t>
      </w:r>
      <w:r w:rsidR="00FC3B36" w:rsidRPr="00F7140C">
        <w:rPr>
          <w:sz w:val="24"/>
          <w:szCs w:val="24"/>
        </w:rPr>
        <w:t xml:space="preserve"> for an Order Authorizing Deferral of Federal Income Tax Expenses for the Effects of Revisions of the Federal Income Tax Code Upon Avista’s Cost of Service</w:t>
      </w:r>
      <w:r w:rsidR="00FC3B36">
        <w:rPr>
          <w:sz w:val="24"/>
          <w:szCs w:val="24"/>
        </w:rPr>
        <w:t xml:space="preserve">.”  In each Petition, the Company requests </w:t>
      </w:r>
      <w:r w:rsidR="00FC3B36" w:rsidRPr="00EB6DE6">
        <w:rPr>
          <w:sz w:val="24"/>
          <w:szCs w:val="24"/>
        </w:rPr>
        <w:t xml:space="preserve">an order authorizing it to utilize deferred accounting for the impact to its federal income tax (FIT) expenses due to the revisions of the federal income tax code caused by enactment of the </w:t>
      </w:r>
      <w:r w:rsidR="00FC3B36">
        <w:rPr>
          <w:sz w:val="24"/>
          <w:szCs w:val="24"/>
        </w:rPr>
        <w:t xml:space="preserve">tax reform.  </w:t>
      </w:r>
      <w:r w:rsidR="00FC3B36" w:rsidRPr="00EB6DE6">
        <w:rPr>
          <w:sz w:val="24"/>
          <w:szCs w:val="24"/>
        </w:rPr>
        <w:t>Since the federal income tax code changes are effective beginning January 1, 2018, Avista would defer the impact of the changes to federal income tax expenses beginning in January 2018</w:t>
      </w:r>
      <w:r w:rsidR="00FC3B36">
        <w:rPr>
          <w:sz w:val="24"/>
          <w:szCs w:val="24"/>
        </w:rPr>
        <w:t xml:space="preserve"> until all benefits have been captured through the deferral and refunded to customers through a special tariff.</w:t>
      </w:r>
      <w:r w:rsidR="00FC3B36" w:rsidRPr="00EB6DE6">
        <w:rPr>
          <w:sz w:val="24"/>
          <w:szCs w:val="24"/>
        </w:rPr>
        <w:t xml:space="preserve">  </w:t>
      </w:r>
      <w:r w:rsidR="0031159E" w:rsidRPr="00075B4F">
        <w:rPr>
          <w:sz w:val="24"/>
          <w:szCs w:val="24"/>
        </w:rPr>
        <w:t>Avista fully expects that all the financial impacts of changes to the federal tax code will be addressed in a manner that properly captures those</w:t>
      </w:r>
      <w:r w:rsidR="0031159E" w:rsidRPr="0031159E">
        <w:rPr>
          <w:sz w:val="24"/>
          <w:szCs w:val="24"/>
        </w:rPr>
        <w:t xml:space="preserve"> impacts and are properly incorporated in customers’ rates</w:t>
      </w:r>
      <w:r w:rsidR="008D5534">
        <w:rPr>
          <w:sz w:val="24"/>
          <w:szCs w:val="24"/>
        </w:rPr>
        <w:t xml:space="preserve"> so that customers receive the </w:t>
      </w:r>
      <w:r w:rsidR="00075B4F">
        <w:rPr>
          <w:sz w:val="24"/>
          <w:szCs w:val="24"/>
        </w:rPr>
        <w:t>benefits associated with all costs paid by customers</w:t>
      </w:r>
      <w:r w:rsidR="0031159E" w:rsidRPr="0031159E">
        <w:rPr>
          <w:sz w:val="24"/>
          <w:szCs w:val="24"/>
        </w:rPr>
        <w:t xml:space="preserve">. </w:t>
      </w:r>
    </w:p>
    <w:p w14:paraId="51AE08F1" w14:textId="77777777" w:rsidR="00735EAE" w:rsidRDefault="002C4999" w:rsidP="00292F69">
      <w:pPr>
        <w:tabs>
          <w:tab w:val="left" w:pos="1890"/>
          <w:tab w:val="left" w:pos="4320"/>
          <w:tab w:val="left" w:pos="6480"/>
        </w:tabs>
        <w:jc w:val="both"/>
        <w:rPr>
          <w:sz w:val="24"/>
          <w:szCs w:val="24"/>
        </w:rPr>
      </w:pPr>
      <w:r>
        <w:rPr>
          <w:sz w:val="24"/>
          <w:szCs w:val="24"/>
        </w:rPr>
        <w:t xml:space="preserve">As it relates to the revenue requirement requested by the Company in this rate case proceeding, the Company is in the process of determining the </w:t>
      </w:r>
      <w:r w:rsidR="00DD06FC">
        <w:rPr>
          <w:sz w:val="24"/>
          <w:szCs w:val="24"/>
        </w:rPr>
        <w:t xml:space="preserve">overall </w:t>
      </w:r>
      <w:r>
        <w:rPr>
          <w:sz w:val="24"/>
          <w:szCs w:val="24"/>
        </w:rPr>
        <w:t xml:space="preserve">impact of the </w:t>
      </w:r>
      <w:r w:rsidR="000B68A0">
        <w:rPr>
          <w:sz w:val="24"/>
          <w:szCs w:val="24"/>
        </w:rPr>
        <w:t>TCJA</w:t>
      </w:r>
      <w:r>
        <w:rPr>
          <w:sz w:val="24"/>
          <w:szCs w:val="24"/>
        </w:rPr>
        <w:t xml:space="preserve"> on its request for rate relief. </w:t>
      </w:r>
      <w:r w:rsidR="00733AB8">
        <w:rPr>
          <w:sz w:val="24"/>
          <w:szCs w:val="24"/>
        </w:rPr>
        <w:t>It presently believes that it can complete its analyses before the end of March 2018.</w:t>
      </w:r>
      <w:r>
        <w:rPr>
          <w:sz w:val="24"/>
          <w:szCs w:val="24"/>
        </w:rPr>
        <w:t xml:space="preserve"> </w:t>
      </w:r>
      <w:r w:rsidR="0043739B">
        <w:rPr>
          <w:sz w:val="24"/>
          <w:szCs w:val="24"/>
        </w:rPr>
        <w:t>The Company proposes that by March 30, 2018</w:t>
      </w:r>
      <w:r w:rsidR="0043739B">
        <w:rPr>
          <w:rStyle w:val="FootnoteReference"/>
          <w:sz w:val="24"/>
          <w:szCs w:val="24"/>
        </w:rPr>
        <w:footnoteReference w:id="2"/>
      </w:r>
      <w:r w:rsidR="0043739B">
        <w:rPr>
          <w:sz w:val="24"/>
          <w:szCs w:val="24"/>
        </w:rPr>
        <w:t>, in this Docket (UE-</w:t>
      </w:r>
      <w:r w:rsidR="000B68A0">
        <w:rPr>
          <w:sz w:val="24"/>
          <w:szCs w:val="24"/>
        </w:rPr>
        <w:t>170485</w:t>
      </w:r>
      <w:r w:rsidR="0043739B">
        <w:rPr>
          <w:sz w:val="24"/>
          <w:szCs w:val="24"/>
        </w:rPr>
        <w:t>/UG-</w:t>
      </w:r>
      <w:r w:rsidR="000B68A0">
        <w:rPr>
          <w:sz w:val="24"/>
          <w:szCs w:val="24"/>
        </w:rPr>
        <w:t>170486</w:t>
      </w:r>
      <w:r w:rsidR="0043739B">
        <w:rPr>
          <w:sz w:val="24"/>
          <w:szCs w:val="24"/>
        </w:rPr>
        <w:t xml:space="preserve">), </w:t>
      </w:r>
      <w:r w:rsidR="00925428">
        <w:rPr>
          <w:sz w:val="24"/>
          <w:szCs w:val="24"/>
        </w:rPr>
        <w:t>it will</w:t>
      </w:r>
      <w:r w:rsidR="0043739B">
        <w:rPr>
          <w:sz w:val="24"/>
          <w:szCs w:val="24"/>
        </w:rPr>
        <w:t xml:space="preserve"> file a report with the Commission </w:t>
      </w:r>
      <w:r w:rsidR="001A5E72">
        <w:rPr>
          <w:sz w:val="24"/>
          <w:szCs w:val="24"/>
        </w:rPr>
        <w:t xml:space="preserve">providing </w:t>
      </w:r>
      <w:r w:rsidR="0043739B">
        <w:rPr>
          <w:sz w:val="24"/>
          <w:szCs w:val="24"/>
        </w:rPr>
        <w:t>the requested information in items A.</w:t>
      </w:r>
      <w:r w:rsidR="009838B3">
        <w:rPr>
          <w:sz w:val="24"/>
          <w:szCs w:val="24"/>
        </w:rPr>
        <w:t xml:space="preserve"> - </w:t>
      </w:r>
      <w:r w:rsidR="0043739B">
        <w:rPr>
          <w:sz w:val="24"/>
          <w:szCs w:val="24"/>
        </w:rPr>
        <w:t>G</w:t>
      </w:r>
      <w:r w:rsidR="009838B3">
        <w:rPr>
          <w:sz w:val="24"/>
          <w:szCs w:val="24"/>
        </w:rPr>
        <w:t>.</w:t>
      </w:r>
      <w:r w:rsidR="0043739B">
        <w:rPr>
          <w:sz w:val="24"/>
          <w:szCs w:val="24"/>
        </w:rPr>
        <w:t xml:space="preserve"> of this Bench Request, including its estimated overall benefit </w:t>
      </w:r>
      <w:r w:rsidR="00735EAE">
        <w:rPr>
          <w:sz w:val="24"/>
          <w:szCs w:val="24"/>
        </w:rPr>
        <w:t xml:space="preserve">to customers of the TCJA </w:t>
      </w:r>
      <w:r w:rsidR="001A5E72">
        <w:rPr>
          <w:sz w:val="24"/>
          <w:szCs w:val="24"/>
        </w:rPr>
        <w:t xml:space="preserve">along with </w:t>
      </w:r>
      <w:r w:rsidR="00735EAE">
        <w:rPr>
          <w:sz w:val="24"/>
          <w:szCs w:val="24"/>
        </w:rPr>
        <w:t xml:space="preserve">all supporting workpapers. </w:t>
      </w:r>
      <w:r w:rsidR="001A5E72">
        <w:rPr>
          <w:sz w:val="24"/>
          <w:szCs w:val="24"/>
        </w:rPr>
        <w:t>T</w:t>
      </w:r>
      <w:r w:rsidR="006F13F1">
        <w:rPr>
          <w:sz w:val="24"/>
          <w:szCs w:val="24"/>
        </w:rPr>
        <w:t>h</w:t>
      </w:r>
      <w:r w:rsidR="001A5E72">
        <w:rPr>
          <w:sz w:val="24"/>
          <w:szCs w:val="24"/>
        </w:rPr>
        <w:t xml:space="preserve">is will provide an opportunity </w:t>
      </w:r>
      <w:r w:rsidR="001A5E72">
        <w:rPr>
          <w:sz w:val="24"/>
          <w:szCs w:val="24"/>
        </w:rPr>
        <w:lastRenderedPageBreak/>
        <w:t xml:space="preserve">for the Commission and interested parties to audit this information, and if satisfied, to allow such tax benefit to be passed </w:t>
      </w:r>
      <w:r w:rsidR="006F13F1">
        <w:rPr>
          <w:sz w:val="24"/>
          <w:szCs w:val="24"/>
        </w:rPr>
        <w:t>through</w:t>
      </w:r>
      <w:r w:rsidR="001A5E72">
        <w:rPr>
          <w:sz w:val="24"/>
          <w:szCs w:val="24"/>
        </w:rPr>
        <w:t xml:space="preserve"> to customers by May 1, 2018</w:t>
      </w:r>
      <w:r w:rsidR="008907E8">
        <w:rPr>
          <w:sz w:val="24"/>
          <w:szCs w:val="24"/>
        </w:rPr>
        <w:t xml:space="preserve"> – at the same time as new rates are effective in this proceeding.  This would avoid the need to increase rates as a result of this case, only to lower them shortly thereafter once the benefits of tax reform have been calculated.  In short, it would be preferable to synchronize these rate adjustments if possible.</w:t>
      </w:r>
    </w:p>
    <w:p w14:paraId="1C99EBC1" w14:textId="77777777" w:rsidR="00735EAE" w:rsidRDefault="00735EAE" w:rsidP="00292F69">
      <w:pPr>
        <w:tabs>
          <w:tab w:val="left" w:pos="1890"/>
          <w:tab w:val="left" w:pos="4320"/>
          <w:tab w:val="left" w:pos="6480"/>
        </w:tabs>
        <w:jc w:val="both"/>
        <w:rPr>
          <w:sz w:val="24"/>
          <w:szCs w:val="24"/>
        </w:rPr>
      </w:pPr>
    </w:p>
    <w:p w14:paraId="57F61BA9" w14:textId="77777777" w:rsidR="00E1479F" w:rsidRDefault="004E0D3B" w:rsidP="00292F69">
      <w:pPr>
        <w:tabs>
          <w:tab w:val="left" w:pos="1890"/>
          <w:tab w:val="left" w:pos="4320"/>
          <w:tab w:val="left" w:pos="6480"/>
        </w:tabs>
        <w:jc w:val="both"/>
        <w:rPr>
          <w:sz w:val="24"/>
          <w:szCs w:val="24"/>
        </w:rPr>
      </w:pPr>
      <w:r>
        <w:rPr>
          <w:sz w:val="24"/>
          <w:szCs w:val="24"/>
        </w:rPr>
        <w:t>To that end</w:t>
      </w:r>
      <w:r w:rsidR="00E1479F">
        <w:rPr>
          <w:sz w:val="24"/>
          <w:szCs w:val="24"/>
        </w:rPr>
        <w:t>, t</w:t>
      </w:r>
      <w:r w:rsidR="00735EAE">
        <w:rPr>
          <w:sz w:val="24"/>
          <w:szCs w:val="24"/>
        </w:rPr>
        <w:t xml:space="preserve">he Company </w:t>
      </w:r>
      <w:r w:rsidR="00925428">
        <w:rPr>
          <w:sz w:val="24"/>
          <w:szCs w:val="24"/>
        </w:rPr>
        <w:t>would file</w:t>
      </w:r>
      <w:r w:rsidR="00735EAE" w:rsidRPr="009838B3">
        <w:rPr>
          <w:sz w:val="24"/>
          <w:szCs w:val="24"/>
          <w:u w:val="single"/>
        </w:rPr>
        <w:t xml:space="preserve"> a separate</w:t>
      </w:r>
      <w:r w:rsidR="00925428">
        <w:rPr>
          <w:sz w:val="24"/>
          <w:szCs w:val="24"/>
          <w:u w:val="single"/>
        </w:rPr>
        <w:t xml:space="preserve"> rebate</w:t>
      </w:r>
      <w:r w:rsidR="00735EAE" w:rsidRPr="009838B3">
        <w:rPr>
          <w:sz w:val="24"/>
          <w:szCs w:val="24"/>
          <w:u w:val="single"/>
        </w:rPr>
        <w:t xml:space="preserve"> tariff</w:t>
      </w:r>
      <w:r w:rsidR="00E1479F" w:rsidRPr="009838B3">
        <w:rPr>
          <w:sz w:val="24"/>
          <w:szCs w:val="24"/>
          <w:u w:val="single"/>
        </w:rPr>
        <w:t>, effective May 1, 2018</w:t>
      </w:r>
      <w:r>
        <w:rPr>
          <w:sz w:val="24"/>
          <w:szCs w:val="24"/>
          <w:u w:val="single"/>
        </w:rPr>
        <w:t>,</w:t>
      </w:r>
      <w:r w:rsidR="00735EAE">
        <w:rPr>
          <w:sz w:val="24"/>
          <w:szCs w:val="24"/>
        </w:rPr>
        <w:t xml:space="preserve"> the overall benefit to customers of the TCJA, as well as include the return of the January – April</w:t>
      </w:r>
      <w:r w:rsidR="00E1479F">
        <w:rPr>
          <w:sz w:val="24"/>
          <w:szCs w:val="24"/>
        </w:rPr>
        <w:t xml:space="preserve"> 2018</w:t>
      </w:r>
      <w:r w:rsidR="00735EAE">
        <w:rPr>
          <w:sz w:val="24"/>
          <w:szCs w:val="24"/>
        </w:rPr>
        <w:t xml:space="preserve"> deferred balance owed customers</w:t>
      </w:r>
      <w:r w:rsidR="006F13F1">
        <w:rPr>
          <w:sz w:val="24"/>
          <w:szCs w:val="24"/>
        </w:rPr>
        <w:t>.</w:t>
      </w:r>
      <w:r w:rsidR="00E1479F">
        <w:rPr>
          <w:sz w:val="24"/>
          <w:szCs w:val="24"/>
        </w:rPr>
        <w:t xml:space="preserve"> This separate </w:t>
      </w:r>
      <w:r w:rsidR="00925428">
        <w:rPr>
          <w:sz w:val="24"/>
          <w:szCs w:val="24"/>
        </w:rPr>
        <w:t xml:space="preserve">rebate </w:t>
      </w:r>
      <w:r w:rsidR="00E1479F">
        <w:rPr>
          <w:sz w:val="24"/>
          <w:szCs w:val="24"/>
        </w:rPr>
        <w:t>tariff would remain in place until such time as any deferred balances have been returned to customers and the impact of the TCJA are reflected in base rates.</w:t>
      </w:r>
      <w:r w:rsidR="006F13F1">
        <w:rPr>
          <w:sz w:val="24"/>
          <w:szCs w:val="24"/>
        </w:rPr>
        <w:t xml:space="preserve"> </w:t>
      </w:r>
      <w:r w:rsidR="00325802">
        <w:rPr>
          <w:sz w:val="24"/>
          <w:szCs w:val="24"/>
        </w:rPr>
        <w:t xml:space="preserve">This electric and natural gas </w:t>
      </w:r>
      <w:r w:rsidR="00925428">
        <w:rPr>
          <w:sz w:val="24"/>
          <w:szCs w:val="24"/>
        </w:rPr>
        <w:t xml:space="preserve">rebate </w:t>
      </w:r>
      <w:r w:rsidR="00325802">
        <w:rPr>
          <w:sz w:val="24"/>
          <w:szCs w:val="24"/>
        </w:rPr>
        <w:t xml:space="preserve">tariff will subsequently be revised effective May 1, 2019 and May 1, 2020 to reflect the benefits of the TCJA associated with years 2 and 3 of the rate plan.  </w:t>
      </w:r>
      <w:r w:rsidR="006F13F1">
        <w:rPr>
          <w:sz w:val="24"/>
          <w:szCs w:val="24"/>
        </w:rPr>
        <w:t>By proceeding in this manner, the benefits reflected through this separate</w:t>
      </w:r>
      <w:r w:rsidR="00925428">
        <w:rPr>
          <w:sz w:val="24"/>
          <w:szCs w:val="24"/>
        </w:rPr>
        <w:t xml:space="preserve"> rebate</w:t>
      </w:r>
      <w:r w:rsidR="006F13F1">
        <w:rPr>
          <w:sz w:val="24"/>
          <w:szCs w:val="24"/>
        </w:rPr>
        <w:t xml:space="preserve"> tariff will serve to offset a portion of the new rates implemented on May 1, 2018</w:t>
      </w:r>
      <w:r w:rsidR="00325802">
        <w:rPr>
          <w:sz w:val="24"/>
          <w:szCs w:val="24"/>
        </w:rPr>
        <w:t xml:space="preserve"> (and the subsequent changes effective May 1, 2019 and May 1, 2020)</w:t>
      </w:r>
      <w:r w:rsidR="006F13F1">
        <w:rPr>
          <w:sz w:val="24"/>
          <w:szCs w:val="24"/>
        </w:rPr>
        <w:t>.  Otherwise customers may face the prospect of multiple rate changes, both up and down, only contributing to customer’s confusion.</w:t>
      </w:r>
      <w:r w:rsidR="006F13F1">
        <w:rPr>
          <w:rStyle w:val="FootnoteReference"/>
          <w:sz w:val="24"/>
          <w:szCs w:val="24"/>
        </w:rPr>
        <w:footnoteReference w:id="3"/>
      </w:r>
      <w:r w:rsidR="006F13F1">
        <w:rPr>
          <w:sz w:val="24"/>
          <w:szCs w:val="24"/>
        </w:rPr>
        <w:t xml:space="preserve">  </w:t>
      </w:r>
    </w:p>
    <w:p w14:paraId="1790065A" w14:textId="77777777" w:rsidR="00E1479F" w:rsidRDefault="00E1479F" w:rsidP="00292F69">
      <w:pPr>
        <w:tabs>
          <w:tab w:val="left" w:pos="1890"/>
          <w:tab w:val="left" w:pos="4320"/>
          <w:tab w:val="left" w:pos="6480"/>
        </w:tabs>
        <w:jc w:val="both"/>
        <w:rPr>
          <w:sz w:val="24"/>
          <w:szCs w:val="24"/>
        </w:rPr>
      </w:pPr>
    </w:p>
    <w:p w14:paraId="0B506A03" w14:textId="77777777" w:rsidR="002C4999" w:rsidRDefault="001E0915" w:rsidP="00292F69">
      <w:pPr>
        <w:tabs>
          <w:tab w:val="left" w:pos="1890"/>
          <w:tab w:val="left" w:pos="4320"/>
          <w:tab w:val="left" w:pos="6480"/>
        </w:tabs>
        <w:jc w:val="both"/>
        <w:rPr>
          <w:sz w:val="24"/>
          <w:szCs w:val="24"/>
        </w:rPr>
      </w:pPr>
      <w:r>
        <w:rPr>
          <w:sz w:val="24"/>
          <w:szCs w:val="24"/>
        </w:rPr>
        <w:t>Apart from any tax benefits that will accrue to customers, i</w:t>
      </w:r>
      <w:r w:rsidR="00E1479F" w:rsidRPr="00A42C25">
        <w:rPr>
          <w:sz w:val="24"/>
          <w:szCs w:val="24"/>
        </w:rPr>
        <w:t xml:space="preserve">t is important at this time for the Commission to continue with the </w:t>
      </w:r>
      <w:r w:rsidR="00094E6D">
        <w:rPr>
          <w:sz w:val="24"/>
          <w:szCs w:val="24"/>
        </w:rPr>
        <w:t xml:space="preserve">resolution of all issues in this </w:t>
      </w:r>
      <w:r w:rsidR="00E1479F" w:rsidRPr="00A42C25">
        <w:rPr>
          <w:sz w:val="24"/>
          <w:szCs w:val="24"/>
        </w:rPr>
        <w:t>current general rate case proceeding</w:t>
      </w:r>
      <w:r>
        <w:rPr>
          <w:sz w:val="24"/>
          <w:szCs w:val="24"/>
        </w:rPr>
        <w:t>,</w:t>
      </w:r>
      <w:r w:rsidR="00E1479F" w:rsidRPr="00A42C25">
        <w:rPr>
          <w:sz w:val="24"/>
          <w:szCs w:val="24"/>
        </w:rPr>
        <w:t xml:space="preserve"> in order to establish current levels of expense for cost recovery for Avista effective May 1, 2018, including updated levels of </w:t>
      </w:r>
      <w:r w:rsidR="009D4D8E" w:rsidRPr="00A42C25">
        <w:rPr>
          <w:sz w:val="24"/>
          <w:szCs w:val="24"/>
        </w:rPr>
        <w:t xml:space="preserve">utility </w:t>
      </w:r>
      <w:r w:rsidR="00E1479F" w:rsidRPr="00A42C25">
        <w:rPr>
          <w:sz w:val="24"/>
          <w:szCs w:val="24"/>
        </w:rPr>
        <w:t xml:space="preserve">plant, power supply costs, </w:t>
      </w:r>
      <w:r w:rsidR="009D4D8E" w:rsidRPr="00A42C25">
        <w:rPr>
          <w:sz w:val="24"/>
          <w:szCs w:val="24"/>
        </w:rPr>
        <w:t>and other utility expenses/revenues</w:t>
      </w:r>
      <w:r w:rsidR="00E1479F" w:rsidRPr="00A42C25">
        <w:rPr>
          <w:sz w:val="24"/>
          <w:szCs w:val="24"/>
        </w:rPr>
        <w:t xml:space="preserve">. </w:t>
      </w:r>
      <w:r>
        <w:rPr>
          <w:sz w:val="24"/>
          <w:szCs w:val="24"/>
        </w:rPr>
        <w:t xml:space="preserve">Decisions on these issues must be made, irrespective of the final resolution of the tax changes. </w:t>
      </w:r>
      <w:r w:rsidR="00E1479F" w:rsidRPr="00A42C25">
        <w:rPr>
          <w:sz w:val="24"/>
          <w:szCs w:val="24"/>
        </w:rPr>
        <w:t>The separate</w:t>
      </w:r>
      <w:r w:rsidR="00925428">
        <w:rPr>
          <w:sz w:val="24"/>
          <w:szCs w:val="24"/>
        </w:rPr>
        <w:t xml:space="preserve"> </w:t>
      </w:r>
      <w:r w:rsidR="00774EC0">
        <w:rPr>
          <w:sz w:val="24"/>
          <w:szCs w:val="24"/>
        </w:rPr>
        <w:t>rebate</w:t>
      </w:r>
      <w:r w:rsidR="00E1479F" w:rsidRPr="00A42C25">
        <w:rPr>
          <w:sz w:val="24"/>
          <w:szCs w:val="24"/>
        </w:rPr>
        <w:t xml:space="preserve"> tariff, as proposed by Avista, the amount of which to be determined by March 30, 2018, would capture the TCJA </w:t>
      </w:r>
      <w:r w:rsidR="00094E6D">
        <w:rPr>
          <w:sz w:val="24"/>
          <w:szCs w:val="24"/>
        </w:rPr>
        <w:t xml:space="preserve">benefits </w:t>
      </w:r>
      <w:r w:rsidR="00E1479F" w:rsidRPr="00A42C25">
        <w:rPr>
          <w:sz w:val="24"/>
          <w:szCs w:val="24"/>
        </w:rPr>
        <w:t xml:space="preserve">for customers, </w:t>
      </w:r>
      <w:r w:rsidR="00094E6D">
        <w:rPr>
          <w:sz w:val="24"/>
          <w:szCs w:val="24"/>
        </w:rPr>
        <w:t xml:space="preserve">also </w:t>
      </w:r>
      <w:r w:rsidR="00E1479F" w:rsidRPr="00A42C25">
        <w:rPr>
          <w:sz w:val="24"/>
          <w:szCs w:val="24"/>
        </w:rPr>
        <w:t>effective May 1, 2018. This would ensure customers were to</w:t>
      </w:r>
      <w:r w:rsidR="00E1479F">
        <w:rPr>
          <w:sz w:val="24"/>
          <w:szCs w:val="24"/>
        </w:rPr>
        <w:t xml:space="preserve"> recei</w:t>
      </w:r>
      <w:r w:rsidR="009D4D8E">
        <w:rPr>
          <w:sz w:val="24"/>
          <w:szCs w:val="24"/>
        </w:rPr>
        <w:t xml:space="preserve">ve the benefit of the TCJA, while establishing new base rates for Avista. </w:t>
      </w:r>
    </w:p>
    <w:p w14:paraId="26FFBB39" w14:textId="77777777" w:rsidR="00325802" w:rsidRDefault="00325802" w:rsidP="00292F69">
      <w:pPr>
        <w:tabs>
          <w:tab w:val="left" w:pos="1890"/>
          <w:tab w:val="left" w:pos="4320"/>
          <w:tab w:val="left" w:pos="6480"/>
        </w:tabs>
        <w:jc w:val="both"/>
        <w:rPr>
          <w:sz w:val="24"/>
          <w:szCs w:val="24"/>
        </w:rPr>
      </w:pPr>
    </w:p>
    <w:p w14:paraId="3BBE5425" w14:textId="77777777" w:rsidR="00325802" w:rsidRDefault="00325802" w:rsidP="00292F69">
      <w:pPr>
        <w:tabs>
          <w:tab w:val="left" w:pos="1890"/>
          <w:tab w:val="left" w:pos="4320"/>
          <w:tab w:val="left" w:pos="6480"/>
        </w:tabs>
        <w:jc w:val="both"/>
        <w:rPr>
          <w:sz w:val="24"/>
          <w:szCs w:val="24"/>
        </w:rPr>
      </w:pPr>
      <w:r>
        <w:rPr>
          <w:sz w:val="24"/>
          <w:szCs w:val="24"/>
        </w:rPr>
        <w:t>Company witness Mr. Mark Thies will be available at the hearing to respond to question</w:t>
      </w:r>
      <w:r w:rsidR="001C7388">
        <w:rPr>
          <w:sz w:val="24"/>
          <w:szCs w:val="24"/>
        </w:rPr>
        <w:t>s</w:t>
      </w:r>
      <w:r>
        <w:rPr>
          <w:sz w:val="24"/>
          <w:szCs w:val="24"/>
        </w:rPr>
        <w:t xml:space="preserve"> and concerns. </w:t>
      </w:r>
    </w:p>
    <w:p w14:paraId="0FAEF280" w14:textId="77777777" w:rsidR="00325802" w:rsidRDefault="00325802" w:rsidP="00292F69">
      <w:pPr>
        <w:tabs>
          <w:tab w:val="left" w:pos="1890"/>
          <w:tab w:val="left" w:pos="4320"/>
          <w:tab w:val="left" w:pos="6480"/>
        </w:tabs>
        <w:jc w:val="both"/>
        <w:rPr>
          <w:sz w:val="24"/>
          <w:szCs w:val="24"/>
        </w:rPr>
      </w:pPr>
    </w:p>
    <w:p w14:paraId="4599D0EC" w14:textId="77777777" w:rsidR="00325802" w:rsidRPr="002C4999" w:rsidRDefault="00325802" w:rsidP="00292F69">
      <w:pPr>
        <w:tabs>
          <w:tab w:val="left" w:pos="1890"/>
          <w:tab w:val="left" w:pos="4320"/>
          <w:tab w:val="left" w:pos="6480"/>
        </w:tabs>
        <w:jc w:val="both"/>
        <w:rPr>
          <w:b/>
          <w:sz w:val="24"/>
          <w:szCs w:val="24"/>
        </w:rPr>
      </w:pPr>
    </w:p>
    <w:sectPr w:rsidR="00325802" w:rsidRPr="002C4999" w:rsidSect="00941853">
      <w:headerReference w:type="default" r:id="rId11"/>
      <w:footerReference w:type="default" r:id="rId12"/>
      <w:footerReference w:type="first" r:id="rId13"/>
      <w:pgSz w:w="12240" w:h="15840" w:code="1"/>
      <w:pgMar w:top="720"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06A12" w14:textId="77777777" w:rsidR="004D1D24" w:rsidRDefault="004D1D24">
      <w:r>
        <w:separator/>
      </w:r>
    </w:p>
  </w:endnote>
  <w:endnote w:type="continuationSeparator" w:id="0">
    <w:p w14:paraId="664F2787" w14:textId="77777777" w:rsidR="004D1D24" w:rsidRDefault="004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0D305" w14:textId="77777777" w:rsidR="00DA234F" w:rsidRDefault="00DA234F" w:rsidP="00056C64">
    <w:pPr>
      <w:pStyle w:val="Footer"/>
      <w:jc w:val="center"/>
    </w:pPr>
    <w:r>
      <w:t xml:space="preserve">Page </w:t>
    </w:r>
    <w:r w:rsidR="00A0351B">
      <w:rPr>
        <w:rStyle w:val="PageNumber"/>
      </w:rPr>
      <w:fldChar w:fldCharType="begin"/>
    </w:r>
    <w:r>
      <w:rPr>
        <w:rStyle w:val="PageNumber"/>
      </w:rPr>
      <w:instrText xml:space="preserve"> PAGE </w:instrText>
    </w:r>
    <w:r w:rsidR="00A0351B">
      <w:rPr>
        <w:rStyle w:val="PageNumber"/>
      </w:rPr>
      <w:fldChar w:fldCharType="separate"/>
    </w:r>
    <w:r w:rsidR="00EE5DA8">
      <w:rPr>
        <w:rStyle w:val="PageNumber"/>
        <w:noProof/>
      </w:rPr>
      <w:t>1</w:t>
    </w:r>
    <w:r w:rsidR="00A0351B">
      <w:rPr>
        <w:rStyle w:val="PageNumber"/>
      </w:rPr>
      <w:fldChar w:fldCharType="end"/>
    </w:r>
    <w:r>
      <w:rPr>
        <w:rStyle w:val="PageNumber"/>
      </w:rPr>
      <w:t xml:space="preserve"> of </w:t>
    </w:r>
    <w:r w:rsidR="00A0351B">
      <w:rPr>
        <w:rStyle w:val="PageNumber"/>
      </w:rPr>
      <w:fldChar w:fldCharType="begin"/>
    </w:r>
    <w:r>
      <w:rPr>
        <w:rStyle w:val="PageNumber"/>
      </w:rPr>
      <w:instrText xml:space="preserve"> NUMPAGES </w:instrText>
    </w:r>
    <w:r w:rsidR="00A0351B">
      <w:rPr>
        <w:rStyle w:val="PageNumber"/>
      </w:rPr>
      <w:fldChar w:fldCharType="separate"/>
    </w:r>
    <w:r w:rsidR="00EE5DA8">
      <w:rPr>
        <w:rStyle w:val="PageNumber"/>
        <w:noProof/>
      </w:rPr>
      <w:t>4</w:t>
    </w:r>
    <w:r w:rsidR="00A0351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F8B61" w14:textId="77777777" w:rsidR="00DA234F" w:rsidRDefault="00DA234F" w:rsidP="00E64D12">
    <w:pPr>
      <w:pStyle w:val="Footer"/>
      <w:jc w:val="center"/>
    </w:pPr>
    <w:r>
      <w:t xml:space="preserve">Page </w:t>
    </w:r>
    <w:r w:rsidR="00A0351B">
      <w:rPr>
        <w:rStyle w:val="PageNumber"/>
      </w:rPr>
      <w:fldChar w:fldCharType="begin"/>
    </w:r>
    <w:r>
      <w:rPr>
        <w:rStyle w:val="PageNumber"/>
      </w:rPr>
      <w:instrText xml:space="preserve"> PAGE </w:instrText>
    </w:r>
    <w:r w:rsidR="00A0351B">
      <w:rPr>
        <w:rStyle w:val="PageNumber"/>
      </w:rPr>
      <w:fldChar w:fldCharType="separate"/>
    </w:r>
    <w:r>
      <w:rPr>
        <w:rStyle w:val="PageNumber"/>
        <w:noProof/>
      </w:rPr>
      <w:t>1</w:t>
    </w:r>
    <w:r w:rsidR="00A0351B">
      <w:rPr>
        <w:rStyle w:val="PageNumber"/>
      </w:rPr>
      <w:fldChar w:fldCharType="end"/>
    </w:r>
    <w:r>
      <w:rPr>
        <w:rStyle w:val="PageNumber"/>
      </w:rPr>
      <w:t xml:space="preserve"> of </w:t>
    </w:r>
    <w:r w:rsidR="00A0351B">
      <w:rPr>
        <w:rStyle w:val="PageNumber"/>
      </w:rPr>
      <w:fldChar w:fldCharType="begin"/>
    </w:r>
    <w:r>
      <w:rPr>
        <w:rStyle w:val="PageNumber"/>
      </w:rPr>
      <w:instrText xml:space="preserve"> NUMPAGES </w:instrText>
    </w:r>
    <w:r w:rsidR="00A0351B">
      <w:rPr>
        <w:rStyle w:val="PageNumber"/>
      </w:rPr>
      <w:fldChar w:fldCharType="separate"/>
    </w:r>
    <w:r w:rsidR="00480158">
      <w:rPr>
        <w:rStyle w:val="PageNumber"/>
        <w:noProof/>
      </w:rPr>
      <w:t>4</w:t>
    </w:r>
    <w:r w:rsidR="00A0351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4AD18" w14:textId="77777777" w:rsidR="004D1D24" w:rsidRDefault="004D1D24">
      <w:r>
        <w:separator/>
      </w:r>
    </w:p>
  </w:footnote>
  <w:footnote w:type="continuationSeparator" w:id="0">
    <w:p w14:paraId="08B22990" w14:textId="77777777" w:rsidR="004D1D24" w:rsidRDefault="004D1D24">
      <w:r>
        <w:continuationSeparator/>
      </w:r>
    </w:p>
  </w:footnote>
  <w:footnote w:id="1">
    <w:p w14:paraId="7BD63DB0" w14:textId="77777777" w:rsidR="00BA6F23" w:rsidRDefault="00BA6F23">
      <w:pPr>
        <w:pStyle w:val="FootnoteText"/>
      </w:pPr>
      <w:r>
        <w:rPr>
          <w:rStyle w:val="FootnoteReference"/>
        </w:rPr>
        <w:footnoteRef/>
      </w:r>
      <w:r>
        <w:t xml:space="preserve"> </w:t>
      </w:r>
      <w:r w:rsidRPr="00BA6F23">
        <w:t xml:space="preserve">Because we have not yet been able to calculate all of the benefits related to </w:t>
      </w:r>
      <w:r>
        <w:t xml:space="preserve">the </w:t>
      </w:r>
      <w:r w:rsidRPr="00BA6F23">
        <w:t>TCJA, the Company cannot yet publically release any “partial” information without triggering certain filings with the Securities and Exchange Commission.</w:t>
      </w:r>
    </w:p>
  </w:footnote>
  <w:footnote w:id="2">
    <w:p w14:paraId="650993B4" w14:textId="77777777" w:rsidR="0043739B" w:rsidRPr="000B68A0" w:rsidRDefault="0043739B">
      <w:pPr>
        <w:pStyle w:val="FootnoteText"/>
      </w:pPr>
      <w:r>
        <w:rPr>
          <w:rStyle w:val="FootnoteReference"/>
        </w:rPr>
        <w:footnoteRef/>
      </w:r>
      <w:r>
        <w:t xml:space="preserve"> </w:t>
      </w:r>
      <w:r w:rsidRPr="000B68A0">
        <w:t xml:space="preserve">March 30, 2018 is consistent with that proposed by the Idaho Public Utilities Commission (IPUC) Staff in its Staff Memo to the IPUC on January </w:t>
      </w:r>
      <w:r w:rsidR="00121D5B">
        <w:t>5</w:t>
      </w:r>
      <w:r w:rsidRPr="000B68A0">
        <w:t>, 2018</w:t>
      </w:r>
      <w:r w:rsidR="00094E6D">
        <w:t>. IPUC Staff’s memo proposes that “</w:t>
      </w:r>
      <w:r w:rsidR="00094E6D" w:rsidRPr="00D81FE7">
        <w:t xml:space="preserve">By Friday, March 30, 2018, </w:t>
      </w:r>
      <w:r w:rsidR="00094E6D">
        <w:t xml:space="preserve">[each utility will] </w:t>
      </w:r>
      <w:r w:rsidR="00094E6D" w:rsidRPr="00D81FE7">
        <w:t xml:space="preserve">file a report to identify and quantify all tax changes individually. Each utility's report must include proposed </w:t>
      </w:r>
      <w:r w:rsidR="00925428">
        <w:t xml:space="preserve">rebate </w:t>
      </w:r>
      <w:r w:rsidR="00094E6D" w:rsidRPr="00D81FE7">
        <w:t>tariff schedules that show the revenue requirement impacts from the Act, with the differences between the law in effect on December 31, 2017 and the law in effect on and after January 1, 2018</w:t>
      </w:r>
      <w:r w:rsidRPr="000B68A0">
        <w:t>.</w:t>
      </w:r>
      <w:r w:rsidR="00094E6D">
        <w:t>”</w:t>
      </w:r>
    </w:p>
  </w:footnote>
  <w:footnote w:id="3">
    <w:p w14:paraId="3B744984" w14:textId="77777777" w:rsidR="006F13F1" w:rsidRDefault="006F13F1">
      <w:pPr>
        <w:pStyle w:val="FootnoteText"/>
      </w:pPr>
      <w:r>
        <w:rPr>
          <w:rStyle w:val="FootnoteReference"/>
        </w:rPr>
        <w:footnoteRef/>
      </w:r>
      <w:r>
        <w:t xml:space="preserve"> At the time of the Company’s filed report on March 30, 2018, the Company will describe </w:t>
      </w:r>
      <w:r w:rsidR="00094E6D">
        <w:t>how it proposes to spread the tax benefit to customers and over what time period for each portion of the tax benefit and deferred balance.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3C2D0" w14:textId="77777777" w:rsidR="00DA234F" w:rsidRDefault="00DA234F">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0"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2"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3" w15:restartNumberingAfterBreak="0">
    <w:nsid w:val="3C5A012C"/>
    <w:multiLevelType w:val="hybridMultilevel"/>
    <w:tmpl w:val="0AC445B4"/>
    <w:lvl w:ilvl="0" w:tplc="04090015">
      <w:start w:val="1"/>
      <w:numFmt w:val="upperLetter"/>
      <w:lvlText w:val="%1."/>
      <w:lvlJc w:val="left"/>
      <w:pPr>
        <w:ind w:left="450" w:hanging="360"/>
      </w:pPr>
    </w:lvl>
    <w:lvl w:ilvl="1" w:tplc="0409000F">
      <w:start w:val="1"/>
      <w:numFmt w:val="decimal"/>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5"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6"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7"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8"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9"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0"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2"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3"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5"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6" w15:restartNumberingAfterBreak="0">
    <w:nsid w:val="72950226"/>
    <w:multiLevelType w:val="hybridMultilevel"/>
    <w:tmpl w:val="C96E0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6"/>
  </w:num>
  <w:num w:numId="2">
    <w:abstractNumId w:val="18"/>
  </w:num>
  <w:num w:numId="3">
    <w:abstractNumId w:val="11"/>
  </w:num>
  <w:num w:numId="4">
    <w:abstractNumId w:val="0"/>
  </w:num>
  <w:num w:numId="5">
    <w:abstractNumId w:val="25"/>
  </w:num>
  <w:num w:numId="6">
    <w:abstractNumId w:val="22"/>
  </w:num>
  <w:num w:numId="7">
    <w:abstractNumId w:val="7"/>
  </w:num>
  <w:num w:numId="8">
    <w:abstractNumId w:val="24"/>
  </w:num>
  <w:num w:numId="9">
    <w:abstractNumId w:val="3"/>
  </w:num>
  <w:num w:numId="10">
    <w:abstractNumId w:val="17"/>
  </w:num>
  <w:num w:numId="11">
    <w:abstractNumId w:val="2"/>
  </w:num>
  <w:num w:numId="12">
    <w:abstractNumId w:val="8"/>
  </w:num>
  <w:num w:numId="13">
    <w:abstractNumId w:val="27"/>
  </w:num>
  <w:num w:numId="14">
    <w:abstractNumId w:val="4"/>
  </w:num>
  <w:num w:numId="15">
    <w:abstractNumId w:val="5"/>
  </w:num>
  <w:num w:numId="16">
    <w:abstractNumId w:val="6"/>
  </w:num>
  <w:num w:numId="17">
    <w:abstractNumId w:val="15"/>
  </w:num>
  <w:num w:numId="18">
    <w:abstractNumId w:val="21"/>
  </w:num>
  <w:num w:numId="19">
    <w:abstractNumId w:val="9"/>
  </w:num>
  <w:num w:numId="20">
    <w:abstractNumId w:val="12"/>
  </w:num>
  <w:num w:numId="21">
    <w:abstractNumId w:val="1"/>
  </w:num>
  <w:num w:numId="22">
    <w:abstractNumId w:val="19"/>
  </w:num>
  <w:num w:numId="23">
    <w:abstractNumId w:val="14"/>
  </w:num>
  <w:num w:numId="24">
    <w:abstractNumId w:val="10"/>
  </w:num>
  <w:num w:numId="25">
    <w:abstractNumId w:val="23"/>
  </w:num>
  <w:num w:numId="26">
    <w:abstractNumId w:val="20"/>
  </w:num>
  <w:num w:numId="27">
    <w:abstractNumId w:val="1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1142D"/>
    <w:rsid w:val="000121D0"/>
    <w:rsid w:val="000177E6"/>
    <w:rsid w:val="00023B8E"/>
    <w:rsid w:val="00056C64"/>
    <w:rsid w:val="00075B4F"/>
    <w:rsid w:val="00081D52"/>
    <w:rsid w:val="00094E6D"/>
    <w:rsid w:val="000B68A0"/>
    <w:rsid w:val="000E629D"/>
    <w:rsid w:val="000E7289"/>
    <w:rsid w:val="001004DE"/>
    <w:rsid w:val="001034DE"/>
    <w:rsid w:val="0011273E"/>
    <w:rsid w:val="00121D5B"/>
    <w:rsid w:val="0012408C"/>
    <w:rsid w:val="00144F53"/>
    <w:rsid w:val="00147CD2"/>
    <w:rsid w:val="00153C42"/>
    <w:rsid w:val="00177390"/>
    <w:rsid w:val="00186A26"/>
    <w:rsid w:val="001A3F42"/>
    <w:rsid w:val="001A5E72"/>
    <w:rsid w:val="001B03C0"/>
    <w:rsid w:val="001C7388"/>
    <w:rsid w:val="001D4BE0"/>
    <w:rsid w:val="001E06F3"/>
    <w:rsid w:val="001E07A6"/>
    <w:rsid w:val="001E0915"/>
    <w:rsid w:val="001F2C4B"/>
    <w:rsid w:val="001F6472"/>
    <w:rsid w:val="002146D9"/>
    <w:rsid w:val="00236EDE"/>
    <w:rsid w:val="002677D5"/>
    <w:rsid w:val="00285078"/>
    <w:rsid w:val="00292F69"/>
    <w:rsid w:val="002B16E6"/>
    <w:rsid w:val="002C1F99"/>
    <w:rsid w:val="002C4999"/>
    <w:rsid w:val="002D46AB"/>
    <w:rsid w:val="002D4804"/>
    <w:rsid w:val="002E674E"/>
    <w:rsid w:val="0031159E"/>
    <w:rsid w:val="00325802"/>
    <w:rsid w:val="00332BDD"/>
    <w:rsid w:val="003348C4"/>
    <w:rsid w:val="00350EBE"/>
    <w:rsid w:val="00375C8C"/>
    <w:rsid w:val="0038329F"/>
    <w:rsid w:val="00383DD3"/>
    <w:rsid w:val="0039280C"/>
    <w:rsid w:val="003B4C5A"/>
    <w:rsid w:val="003B4E20"/>
    <w:rsid w:val="003C0AED"/>
    <w:rsid w:val="003C1D9A"/>
    <w:rsid w:val="003E487F"/>
    <w:rsid w:val="003E50F1"/>
    <w:rsid w:val="00417AA4"/>
    <w:rsid w:val="00422CC4"/>
    <w:rsid w:val="0043739B"/>
    <w:rsid w:val="00446369"/>
    <w:rsid w:val="00480158"/>
    <w:rsid w:val="004929A8"/>
    <w:rsid w:val="004A7704"/>
    <w:rsid w:val="004C436E"/>
    <w:rsid w:val="004D1D24"/>
    <w:rsid w:val="004E0D3B"/>
    <w:rsid w:val="004F03CE"/>
    <w:rsid w:val="004F0E06"/>
    <w:rsid w:val="004F7DA8"/>
    <w:rsid w:val="00500F1F"/>
    <w:rsid w:val="005048A8"/>
    <w:rsid w:val="005050C4"/>
    <w:rsid w:val="0055045F"/>
    <w:rsid w:val="005906BD"/>
    <w:rsid w:val="00591481"/>
    <w:rsid w:val="005A2255"/>
    <w:rsid w:val="005A49F0"/>
    <w:rsid w:val="005C0BD8"/>
    <w:rsid w:val="005C1EDF"/>
    <w:rsid w:val="005D72D7"/>
    <w:rsid w:val="005E7C5F"/>
    <w:rsid w:val="006045D3"/>
    <w:rsid w:val="00633F9B"/>
    <w:rsid w:val="00637CFC"/>
    <w:rsid w:val="00663AE9"/>
    <w:rsid w:val="006709C3"/>
    <w:rsid w:val="006769D2"/>
    <w:rsid w:val="00684ADD"/>
    <w:rsid w:val="00692B66"/>
    <w:rsid w:val="006A15D9"/>
    <w:rsid w:val="006A19E8"/>
    <w:rsid w:val="006F13F1"/>
    <w:rsid w:val="00733AB8"/>
    <w:rsid w:val="00735EAE"/>
    <w:rsid w:val="00741CF2"/>
    <w:rsid w:val="00753FE9"/>
    <w:rsid w:val="00754422"/>
    <w:rsid w:val="00774EC0"/>
    <w:rsid w:val="007A30D4"/>
    <w:rsid w:val="007B5EE6"/>
    <w:rsid w:val="007D2738"/>
    <w:rsid w:val="007D6101"/>
    <w:rsid w:val="007E3A66"/>
    <w:rsid w:val="008022DE"/>
    <w:rsid w:val="008074FC"/>
    <w:rsid w:val="0083692C"/>
    <w:rsid w:val="008907E8"/>
    <w:rsid w:val="00893D6F"/>
    <w:rsid w:val="0089450C"/>
    <w:rsid w:val="008D1DFC"/>
    <w:rsid w:val="008D31F0"/>
    <w:rsid w:val="008D5534"/>
    <w:rsid w:val="008E3932"/>
    <w:rsid w:val="009052D2"/>
    <w:rsid w:val="00925428"/>
    <w:rsid w:val="009257B1"/>
    <w:rsid w:val="00926EF7"/>
    <w:rsid w:val="00941853"/>
    <w:rsid w:val="00950F46"/>
    <w:rsid w:val="00951C9B"/>
    <w:rsid w:val="0095650D"/>
    <w:rsid w:val="00957712"/>
    <w:rsid w:val="009727ED"/>
    <w:rsid w:val="009838B3"/>
    <w:rsid w:val="009D4D8E"/>
    <w:rsid w:val="009D7503"/>
    <w:rsid w:val="00A0351B"/>
    <w:rsid w:val="00A42C25"/>
    <w:rsid w:val="00A6577B"/>
    <w:rsid w:val="00A825B8"/>
    <w:rsid w:val="00A82D5A"/>
    <w:rsid w:val="00A846B8"/>
    <w:rsid w:val="00A92E80"/>
    <w:rsid w:val="00A96A19"/>
    <w:rsid w:val="00AA212B"/>
    <w:rsid w:val="00AA791F"/>
    <w:rsid w:val="00AB15F5"/>
    <w:rsid w:val="00AB5D5A"/>
    <w:rsid w:val="00AE5001"/>
    <w:rsid w:val="00AF27DE"/>
    <w:rsid w:val="00B03F8E"/>
    <w:rsid w:val="00B25021"/>
    <w:rsid w:val="00B41482"/>
    <w:rsid w:val="00B72352"/>
    <w:rsid w:val="00B76EAC"/>
    <w:rsid w:val="00B94201"/>
    <w:rsid w:val="00BA6F23"/>
    <w:rsid w:val="00BB73DC"/>
    <w:rsid w:val="00BD5789"/>
    <w:rsid w:val="00BF784C"/>
    <w:rsid w:val="00C040A5"/>
    <w:rsid w:val="00C35E6B"/>
    <w:rsid w:val="00C3641F"/>
    <w:rsid w:val="00C41F75"/>
    <w:rsid w:val="00C73FA6"/>
    <w:rsid w:val="00C83E18"/>
    <w:rsid w:val="00CA15F9"/>
    <w:rsid w:val="00CB380D"/>
    <w:rsid w:val="00CD4D4E"/>
    <w:rsid w:val="00D04046"/>
    <w:rsid w:val="00D323DF"/>
    <w:rsid w:val="00D376F6"/>
    <w:rsid w:val="00D40664"/>
    <w:rsid w:val="00D41724"/>
    <w:rsid w:val="00D47F90"/>
    <w:rsid w:val="00D75120"/>
    <w:rsid w:val="00D77A4E"/>
    <w:rsid w:val="00D81FE7"/>
    <w:rsid w:val="00D82930"/>
    <w:rsid w:val="00D95FB0"/>
    <w:rsid w:val="00DA234F"/>
    <w:rsid w:val="00DB4781"/>
    <w:rsid w:val="00DD06FC"/>
    <w:rsid w:val="00DE5D38"/>
    <w:rsid w:val="00E1479F"/>
    <w:rsid w:val="00E404F2"/>
    <w:rsid w:val="00E43DB3"/>
    <w:rsid w:val="00E64D12"/>
    <w:rsid w:val="00E84C7F"/>
    <w:rsid w:val="00E94E42"/>
    <w:rsid w:val="00EA2239"/>
    <w:rsid w:val="00EC527F"/>
    <w:rsid w:val="00ED1DE2"/>
    <w:rsid w:val="00ED6C6D"/>
    <w:rsid w:val="00EE30BA"/>
    <w:rsid w:val="00EE5DA8"/>
    <w:rsid w:val="00F06D34"/>
    <w:rsid w:val="00F266FA"/>
    <w:rsid w:val="00F268AE"/>
    <w:rsid w:val="00F45461"/>
    <w:rsid w:val="00F514A7"/>
    <w:rsid w:val="00F731E6"/>
    <w:rsid w:val="00F87AEC"/>
    <w:rsid w:val="00FA4AFD"/>
    <w:rsid w:val="00FC099B"/>
    <w:rsid w:val="00FC1828"/>
    <w:rsid w:val="00FC3B36"/>
    <w:rsid w:val="00FD0075"/>
    <w:rsid w:val="00FD0578"/>
    <w:rsid w:val="00FD159D"/>
    <w:rsid w:val="00FD536A"/>
    <w:rsid w:val="00FD6FAC"/>
    <w:rsid w:val="00FE3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4DE9A"/>
  <w15:docId w15:val="{CB7C2EF7-9A75-4E85-8211-6BFEF8BF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C42"/>
    <w:pPr>
      <w:autoSpaceDE w:val="0"/>
      <w:autoSpaceDN w:val="0"/>
    </w:pPr>
  </w:style>
  <w:style w:type="paragraph" w:styleId="Heading1">
    <w:name w:val="heading 1"/>
    <w:basedOn w:val="Normal"/>
    <w:next w:val="Normal"/>
    <w:qFormat/>
    <w:rsid w:val="00153C42"/>
    <w:pPr>
      <w:keepNext/>
      <w:tabs>
        <w:tab w:val="left" w:pos="1890"/>
        <w:tab w:val="left" w:pos="4320"/>
        <w:tab w:val="left" w:pos="6390"/>
      </w:tabs>
      <w:outlineLvl w:val="0"/>
    </w:pPr>
    <w:rPr>
      <w:sz w:val="24"/>
      <w:szCs w:val="24"/>
    </w:rPr>
  </w:style>
  <w:style w:type="paragraph" w:styleId="Heading2">
    <w:name w:val="heading 2"/>
    <w:basedOn w:val="Normal"/>
    <w:next w:val="Normal"/>
    <w:qFormat/>
    <w:rsid w:val="00153C42"/>
    <w:pPr>
      <w:keepNext/>
      <w:ind w:right="540"/>
      <w:jc w:val="center"/>
      <w:outlineLvl w:val="1"/>
    </w:pPr>
    <w:rPr>
      <w:b/>
      <w:bCs/>
      <w:sz w:val="24"/>
      <w:szCs w:val="24"/>
    </w:rPr>
  </w:style>
  <w:style w:type="paragraph" w:styleId="Heading3">
    <w:name w:val="heading 3"/>
    <w:basedOn w:val="Normal"/>
    <w:next w:val="Normal"/>
    <w:qFormat/>
    <w:rsid w:val="00153C42"/>
    <w:pPr>
      <w:keepNext/>
      <w:ind w:right="180"/>
      <w:jc w:val="center"/>
      <w:outlineLvl w:val="2"/>
    </w:pPr>
    <w:rPr>
      <w:b/>
      <w:bCs/>
      <w:sz w:val="24"/>
      <w:szCs w:val="24"/>
    </w:rPr>
  </w:style>
  <w:style w:type="paragraph" w:styleId="Heading4">
    <w:name w:val="heading 4"/>
    <w:basedOn w:val="Normal"/>
    <w:next w:val="Normal"/>
    <w:qFormat/>
    <w:rsid w:val="00153C42"/>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3C42"/>
    <w:pPr>
      <w:tabs>
        <w:tab w:val="center" w:pos="4320"/>
        <w:tab w:val="right" w:pos="8640"/>
      </w:tabs>
    </w:pPr>
  </w:style>
  <w:style w:type="paragraph" w:styleId="Footer">
    <w:name w:val="footer"/>
    <w:basedOn w:val="Normal"/>
    <w:rsid w:val="00153C42"/>
    <w:pPr>
      <w:tabs>
        <w:tab w:val="center" w:pos="4320"/>
        <w:tab w:val="right" w:pos="8640"/>
      </w:tabs>
    </w:pPr>
  </w:style>
  <w:style w:type="character" w:styleId="PageNumber">
    <w:name w:val="page number"/>
    <w:basedOn w:val="DefaultParagraphFont"/>
    <w:rsid w:val="00153C42"/>
    <w:rPr>
      <w:rFonts w:cs="Times New Roman"/>
    </w:rPr>
  </w:style>
  <w:style w:type="paragraph" w:styleId="PlainText">
    <w:name w:val="Plain Text"/>
    <w:basedOn w:val="Normal"/>
    <w:rsid w:val="00153C42"/>
    <w:rPr>
      <w:rFonts w:ascii="Courier New" w:hAnsi="Courier New" w:cs="Courier New"/>
    </w:rPr>
  </w:style>
  <w:style w:type="paragraph" w:styleId="BodyText2">
    <w:name w:val="Body Text 2"/>
    <w:basedOn w:val="Normal"/>
    <w:rsid w:val="00153C42"/>
    <w:pPr>
      <w:tabs>
        <w:tab w:val="left" w:pos="1890"/>
        <w:tab w:val="left" w:pos="4320"/>
        <w:tab w:val="left" w:pos="6480"/>
      </w:tabs>
      <w:jc w:val="both"/>
    </w:pPr>
  </w:style>
  <w:style w:type="paragraph" w:styleId="BodyTextIndent2">
    <w:name w:val="Body Text Indent 2"/>
    <w:basedOn w:val="Normal"/>
    <w:rsid w:val="00153C42"/>
    <w:pPr>
      <w:tabs>
        <w:tab w:val="left" w:pos="720"/>
        <w:tab w:val="left" w:pos="1890"/>
        <w:tab w:val="left" w:pos="4320"/>
        <w:tab w:val="left" w:pos="6480"/>
      </w:tabs>
      <w:ind w:left="720"/>
    </w:pPr>
    <w:rPr>
      <w:sz w:val="24"/>
      <w:szCs w:val="24"/>
    </w:rPr>
  </w:style>
  <w:style w:type="paragraph" w:styleId="BodyText">
    <w:name w:val="Body Text"/>
    <w:basedOn w:val="Normal"/>
    <w:rsid w:val="00153C42"/>
    <w:pPr>
      <w:tabs>
        <w:tab w:val="left" w:pos="1890"/>
        <w:tab w:val="left" w:pos="4320"/>
        <w:tab w:val="left" w:pos="6480"/>
      </w:tabs>
    </w:pPr>
    <w:rPr>
      <w:sz w:val="24"/>
      <w:szCs w:val="24"/>
    </w:rPr>
  </w:style>
  <w:style w:type="character" w:styleId="Hyperlink">
    <w:name w:val="Hyperlink"/>
    <w:basedOn w:val="DefaultParagraphFont"/>
    <w:rsid w:val="00153C42"/>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customStyle="1" w:styleId="Default">
    <w:name w:val="Default"/>
    <w:rsid w:val="002C4999"/>
    <w:pPr>
      <w:autoSpaceDE w:val="0"/>
      <w:autoSpaceDN w:val="0"/>
      <w:adjustRightInd w:val="0"/>
    </w:pPr>
    <w:rPr>
      <w:color w:val="000000"/>
      <w:sz w:val="24"/>
      <w:szCs w:val="24"/>
    </w:rPr>
  </w:style>
  <w:style w:type="paragraph" w:styleId="ListParagraph">
    <w:name w:val="List Paragraph"/>
    <w:basedOn w:val="Normal"/>
    <w:uiPriority w:val="34"/>
    <w:qFormat/>
    <w:rsid w:val="002C4999"/>
    <w:pPr>
      <w:ind w:left="720"/>
      <w:contextualSpacing/>
    </w:pPr>
  </w:style>
  <w:style w:type="character" w:styleId="CommentReference">
    <w:name w:val="annotation reference"/>
    <w:basedOn w:val="DefaultParagraphFont"/>
    <w:semiHidden/>
    <w:unhideWhenUsed/>
    <w:rsid w:val="00FD0075"/>
    <w:rPr>
      <w:sz w:val="16"/>
      <w:szCs w:val="16"/>
    </w:rPr>
  </w:style>
  <w:style w:type="paragraph" w:styleId="CommentText">
    <w:name w:val="annotation text"/>
    <w:basedOn w:val="Normal"/>
    <w:link w:val="CommentTextChar"/>
    <w:semiHidden/>
    <w:unhideWhenUsed/>
    <w:rsid w:val="00FD0075"/>
  </w:style>
  <w:style w:type="character" w:customStyle="1" w:styleId="CommentTextChar">
    <w:name w:val="Comment Text Char"/>
    <w:basedOn w:val="DefaultParagraphFont"/>
    <w:link w:val="CommentText"/>
    <w:semiHidden/>
    <w:rsid w:val="00FD0075"/>
  </w:style>
  <w:style w:type="paragraph" w:styleId="CommentSubject">
    <w:name w:val="annotation subject"/>
    <w:basedOn w:val="CommentText"/>
    <w:next w:val="CommentText"/>
    <w:link w:val="CommentSubjectChar"/>
    <w:semiHidden/>
    <w:unhideWhenUsed/>
    <w:rsid w:val="00FD0075"/>
    <w:rPr>
      <w:b/>
      <w:bCs/>
    </w:rPr>
  </w:style>
  <w:style w:type="character" w:customStyle="1" w:styleId="CommentSubjectChar">
    <w:name w:val="Comment Subject Char"/>
    <w:basedOn w:val="CommentTextChar"/>
    <w:link w:val="CommentSubject"/>
    <w:semiHidden/>
    <w:rsid w:val="00FD0075"/>
    <w:rPr>
      <w:b/>
      <w:bCs/>
    </w:rPr>
  </w:style>
  <w:style w:type="paragraph" w:styleId="Revision">
    <w:name w:val="Revision"/>
    <w:hidden/>
    <w:uiPriority w:val="99"/>
    <w:semiHidden/>
    <w:rsid w:val="00FD0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6192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SignificantOrder xmlns="dc463f71-b30c-4ab2-9473-d307f9d35888">false</SignificantOrder>
    <Date1 xmlns="dc463f71-b30c-4ab2-9473-d307f9d35888">2018-01-12T08:00:00+00:00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52B161B-CD2E-41B9-9CC7-176583BF4391}">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6a7bd91e-004b-490a-8704-e368d63d59a0"/>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9C09ACB-CD57-4428-9A14-4788DD11E8FD}">
  <ds:schemaRefs>
    <ds:schemaRef ds:uri="http://schemas.microsoft.com/sharepoint/v3/contenttype/forms"/>
  </ds:schemaRefs>
</ds:datastoreItem>
</file>

<file path=customXml/itemProps3.xml><?xml version="1.0" encoding="utf-8"?>
<ds:datastoreItem xmlns:ds="http://schemas.openxmlformats.org/officeDocument/2006/customXml" ds:itemID="{30CBE79B-4CBB-4763-8B90-73D11ED5117A}"/>
</file>

<file path=customXml/itemProps4.xml><?xml version="1.0" encoding="utf-8"?>
<ds:datastoreItem xmlns:ds="http://schemas.openxmlformats.org/officeDocument/2006/customXml" ds:itemID="{21CFF7B9-C733-4E3D-8BA4-808BB9ACAC8E}">
  <ds:schemaRefs>
    <ds:schemaRef ds:uri="http://schemas.openxmlformats.org/officeDocument/2006/bibliography"/>
  </ds:schemaRefs>
</ds:datastoreItem>
</file>

<file path=customXml/itemProps5.xml><?xml version="1.0" encoding="utf-8"?>
<ds:datastoreItem xmlns:ds="http://schemas.openxmlformats.org/officeDocument/2006/customXml" ds:itemID="{F2C569C5-8FFA-4245-B66B-A7F549EB0432}"/>
</file>

<file path=docProps/app.xml><?xml version="1.0" encoding="utf-8"?>
<Properties xmlns="http://schemas.openxmlformats.org/officeDocument/2006/extended-properties" xmlns:vt="http://schemas.openxmlformats.org/officeDocument/2006/docPropsVTypes">
  <Template>Normal.dotm</Template>
  <TotalTime>0</TotalTime>
  <Pages>4</Pages>
  <Words>2003</Words>
  <Characters>10396</Characters>
  <Application>Microsoft Office Word</Application>
  <DocSecurity>4</DocSecurity>
  <Lines>159</Lines>
  <Paragraphs>47</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12352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subject/>
  <dc:creator>Kelly Norwood</dc:creator>
  <cp:keywords/>
  <dc:description/>
  <cp:lastModifiedBy>Huey, Lorilyn (UTC)</cp:lastModifiedBy>
  <cp:revision>2</cp:revision>
  <cp:lastPrinted>2018-01-11T23:33:00Z</cp:lastPrinted>
  <dcterms:created xsi:type="dcterms:W3CDTF">2018-01-16T17:33:00Z</dcterms:created>
  <dcterms:modified xsi:type="dcterms:W3CDTF">2018-01-16T17:33:00Z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0x0101006E56B4D1795A2E4DB2F0B01679ED314A004293D7BF2DB2434CBA4573E3DBB11230</vt:lpwstr>
  </property>
  <property fmtid="{D5CDD505-2E9C-101B-9397-08002B2CF9AE}" pid="3" name="_docset_NoMedatataSyncRequired">
    <vt:lpwstr>False</vt:lpwstr>
  </property>
  <property fmtid="{D5CDD505-2E9C-101B-9397-08002B2CF9AE}" pid="4" name="IsEFSEC">
    <vt:bool>false</vt:bool>
  </property>
</Properties>
</file>