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E0" w:rsidRPr="00CD4FE0" w:rsidRDefault="00CD4FE0" w:rsidP="00CD4FE0">
      <w:pPr>
        <w:tabs>
          <w:tab w:val="center" w:pos="4680"/>
        </w:tabs>
        <w:jc w:val="center"/>
        <w:rPr>
          <w:rFonts w:eastAsia="Times New Roman" w:cs="Times New Roman"/>
        </w:rPr>
      </w:pPr>
    </w:p>
    <w:p w:rsidR="00CD4FE0" w:rsidRPr="00CD4FE0" w:rsidRDefault="00CD4FE0" w:rsidP="00CD4FE0">
      <w:pPr>
        <w:tabs>
          <w:tab w:val="center" w:pos="4680"/>
        </w:tabs>
        <w:jc w:val="center"/>
        <w:rPr>
          <w:rFonts w:eastAsia="Times New Roman" w:cs="Times New Roman"/>
        </w:rPr>
      </w:pPr>
    </w:p>
    <w:p w:rsidR="00CD4FE0" w:rsidRPr="00CD4FE0" w:rsidRDefault="00CD4FE0" w:rsidP="00CD4FE0">
      <w:pPr>
        <w:tabs>
          <w:tab w:val="center" w:pos="4680"/>
        </w:tabs>
        <w:ind w:right="-252" w:hanging="360"/>
        <w:jc w:val="center"/>
        <w:rPr>
          <w:rFonts w:eastAsia="Times New Roman" w:cs="Times New Roman"/>
          <w:b/>
          <w:bCs/>
        </w:rPr>
      </w:pPr>
      <w:r w:rsidRPr="00CD4FE0">
        <w:rPr>
          <w:rFonts w:eastAsia="Times New Roman" w:cs="Times New Roman"/>
          <w:b/>
          <w:bCs/>
        </w:rPr>
        <w:t>BEFORE THE WASHINGTON</w:t>
      </w:r>
    </w:p>
    <w:p w:rsidR="00CD4FE0" w:rsidRPr="00CD4FE0" w:rsidRDefault="00CD4FE0" w:rsidP="00CD4FE0">
      <w:pPr>
        <w:tabs>
          <w:tab w:val="center" w:pos="4680"/>
        </w:tabs>
        <w:ind w:right="-252" w:hanging="360"/>
        <w:jc w:val="center"/>
        <w:rPr>
          <w:rFonts w:eastAsia="Times New Roman" w:cs="Times New Roman"/>
          <w:b/>
          <w:bCs/>
        </w:rPr>
      </w:pPr>
      <w:r w:rsidRPr="00CD4FE0">
        <w:rPr>
          <w:rFonts w:eastAsia="Times New Roman" w:cs="Times New Roman"/>
          <w:b/>
          <w:bCs/>
        </w:rPr>
        <w:t>UTILITIES AND TRANSPORTATION COMMISSION</w:t>
      </w:r>
    </w:p>
    <w:p w:rsidR="00CD4FE0" w:rsidRPr="00CD4FE0" w:rsidRDefault="00CD4FE0" w:rsidP="00CD4FE0">
      <w:pPr>
        <w:tabs>
          <w:tab w:val="center" w:pos="4680"/>
        </w:tabs>
        <w:ind w:right="-252"/>
        <w:rPr>
          <w:rFonts w:eastAsia="Times New Roman" w:cs="Times New Roman"/>
          <w:b/>
          <w:bCs/>
        </w:rPr>
      </w:pPr>
    </w:p>
    <w:p w:rsidR="00CD4FE0" w:rsidRPr="00CD4FE0" w:rsidRDefault="00CD4FE0" w:rsidP="00CD4FE0">
      <w:pPr>
        <w:jc w:val="both"/>
        <w:rPr>
          <w:rFonts w:eastAsia="Times New Roman" w:cs="Times New Roman"/>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CD4FE0" w:rsidRPr="00CD4FE0" w:rsidTr="00923F66">
        <w:tc>
          <w:tcPr>
            <w:tcW w:w="4590" w:type="dxa"/>
            <w:tcBorders>
              <w:top w:val="single" w:sz="6" w:space="0" w:color="FFFFFF"/>
              <w:left w:val="single" w:sz="6" w:space="0" w:color="FFFFFF"/>
              <w:bottom w:val="single" w:sz="6" w:space="0" w:color="000000"/>
              <w:right w:val="single" w:sz="6" w:space="0" w:color="FFFFFF"/>
            </w:tcBorders>
          </w:tcPr>
          <w:p w:rsidR="00CD4FE0" w:rsidRPr="00CD4FE0" w:rsidRDefault="00CD4FE0" w:rsidP="00CD4FE0">
            <w:pPr>
              <w:rPr>
                <w:rFonts w:eastAsia="Times New Roman" w:cs="Times New Roman"/>
                <w:b/>
              </w:rPr>
            </w:pPr>
            <w:r w:rsidRPr="00CD4FE0">
              <w:rPr>
                <w:rFonts w:eastAsia="Times New Roman" w:cs="Times New Roman"/>
                <w:b/>
              </w:rPr>
              <w:t xml:space="preserve">WASHINGTON UTILITIES AND TRANSPORTATION COMMISSION, </w:t>
            </w:r>
          </w:p>
          <w:p w:rsidR="00CD4FE0" w:rsidRPr="00CD4FE0" w:rsidRDefault="00CD4FE0" w:rsidP="00CD4FE0">
            <w:pPr>
              <w:rPr>
                <w:rFonts w:eastAsia="Times New Roman" w:cs="Times New Roman"/>
                <w:b/>
              </w:rPr>
            </w:pPr>
          </w:p>
          <w:p w:rsidR="00CD4FE0" w:rsidRPr="00CD4FE0" w:rsidRDefault="00CD4FE0" w:rsidP="00CD4FE0">
            <w:pPr>
              <w:rPr>
                <w:rFonts w:eastAsia="Times New Roman" w:cs="Times New Roman"/>
                <w:b/>
              </w:rPr>
            </w:pPr>
            <w:r w:rsidRPr="00CD4FE0">
              <w:rPr>
                <w:rFonts w:eastAsia="Times New Roman" w:cs="Times New Roman"/>
                <w:b/>
              </w:rPr>
              <w:tab/>
            </w:r>
            <w:r w:rsidRPr="00CD4FE0">
              <w:rPr>
                <w:rFonts w:eastAsia="Times New Roman" w:cs="Times New Roman"/>
                <w:b/>
              </w:rPr>
              <w:tab/>
              <w:t>Complainant,</w:t>
            </w:r>
          </w:p>
          <w:p w:rsidR="00CD4FE0" w:rsidRPr="00CD4FE0" w:rsidRDefault="00CD4FE0" w:rsidP="00CD4FE0">
            <w:pPr>
              <w:rPr>
                <w:rFonts w:eastAsia="Times New Roman" w:cs="Times New Roman"/>
                <w:b/>
              </w:rPr>
            </w:pPr>
          </w:p>
          <w:p w:rsidR="00CD4FE0" w:rsidRPr="00CD4FE0" w:rsidRDefault="00CD4FE0" w:rsidP="00CD4FE0">
            <w:pPr>
              <w:rPr>
                <w:rFonts w:eastAsia="Times New Roman" w:cs="Times New Roman"/>
                <w:b/>
              </w:rPr>
            </w:pPr>
            <w:r w:rsidRPr="00CD4FE0">
              <w:rPr>
                <w:rFonts w:eastAsia="Times New Roman" w:cs="Times New Roman"/>
                <w:b/>
              </w:rPr>
              <w:tab/>
            </w:r>
            <w:proofErr w:type="gramStart"/>
            <w:r w:rsidRPr="00CD4FE0">
              <w:rPr>
                <w:rFonts w:eastAsia="Times New Roman" w:cs="Times New Roman"/>
                <w:b/>
              </w:rPr>
              <w:t>v</w:t>
            </w:r>
            <w:proofErr w:type="gramEnd"/>
            <w:r w:rsidRPr="00CD4FE0">
              <w:rPr>
                <w:rFonts w:eastAsia="Times New Roman" w:cs="Times New Roman"/>
                <w:b/>
              </w:rPr>
              <w:t>.</w:t>
            </w:r>
          </w:p>
          <w:p w:rsidR="00CD4FE0" w:rsidRPr="00CD4FE0" w:rsidRDefault="00CD4FE0" w:rsidP="00CD4FE0">
            <w:pPr>
              <w:rPr>
                <w:rFonts w:eastAsia="Times New Roman" w:cs="Times New Roman"/>
                <w:b/>
              </w:rPr>
            </w:pPr>
          </w:p>
          <w:p w:rsidR="00CD4FE0" w:rsidRPr="00CD4FE0" w:rsidRDefault="00CD4FE0" w:rsidP="00CD4FE0">
            <w:pPr>
              <w:rPr>
                <w:rFonts w:eastAsia="Times New Roman" w:cs="Times New Roman"/>
                <w:b/>
              </w:rPr>
            </w:pPr>
            <w:r w:rsidRPr="00CD4FE0">
              <w:rPr>
                <w:rFonts w:eastAsia="Times New Roman" w:cs="Times New Roman"/>
                <w:b/>
              </w:rPr>
              <w:t xml:space="preserve">PACIFICORP D/B/A PACIFIC POWER &amp; LIGHT COMPANY, </w:t>
            </w:r>
          </w:p>
          <w:p w:rsidR="00CD4FE0" w:rsidRPr="00CD4FE0" w:rsidRDefault="00CD4FE0" w:rsidP="00CD4FE0">
            <w:pPr>
              <w:rPr>
                <w:rFonts w:eastAsia="Times New Roman" w:cs="Times New Roman"/>
                <w:b/>
              </w:rPr>
            </w:pPr>
          </w:p>
          <w:p w:rsidR="00CD4FE0" w:rsidRPr="00CD4FE0" w:rsidRDefault="00CD4FE0" w:rsidP="00CD4FE0">
            <w:pPr>
              <w:spacing w:after="19"/>
              <w:rPr>
                <w:rFonts w:eastAsia="Times New Roman" w:cs="Times New Roman"/>
                <w:b/>
              </w:rPr>
            </w:pPr>
            <w:r w:rsidRPr="00CD4FE0">
              <w:rPr>
                <w:rFonts w:eastAsia="Times New Roman" w:cs="Times New Roman"/>
                <w:b/>
              </w:rPr>
              <w:tab/>
            </w:r>
            <w:r w:rsidRPr="00CD4FE0">
              <w:rPr>
                <w:rFonts w:eastAsia="Times New Roman" w:cs="Times New Roman"/>
                <w:b/>
              </w:rPr>
              <w:tab/>
              <w:t>Respondent.</w:t>
            </w:r>
          </w:p>
          <w:p w:rsidR="00CD4FE0" w:rsidRPr="00CD4FE0" w:rsidRDefault="00CD4FE0" w:rsidP="00CD4FE0">
            <w:pPr>
              <w:spacing w:after="19"/>
              <w:rPr>
                <w:rFonts w:eastAsia="Times New Roman" w:cs="Times New Roman"/>
                <w:b/>
              </w:rPr>
            </w:pPr>
          </w:p>
        </w:tc>
        <w:tc>
          <w:tcPr>
            <w:tcW w:w="4590" w:type="dxa"/>
            <w:tcBorders>
              <w:top w:val="single" w:sz="6" w:space="0" w:color="FFFFFF"/>
              <w:left w:val="single" w:sz="6" w:space="0" w:color="000000"/>
              <w:bottom w:val="single" w:sz="6" w:space="0" w:color="FFFFFF"/>
              <w:right w:val="single" w:sz="6" w:space="0" w:color="FFFFFF"/>
            </w:tcBorders>
          </w:tcPr>
          <w:p w:rsidR="00CD4FE0" w:rsidRPr="00CD4FE0" w:rsidRDefault="00CD4FE0" w:rsidP="00CD4FE0">
            <w:pPr>
              <w:ind w:firstLine="720"/>
              <w:rPr>
                <w:rFonts w:eastAsia="Times New Roman" w:cs="Times New Roman"/>
                <w:b/>
              </w:rPr>
            </w:pPr>
            <w:r w:rsidRPr="00CD4FE0">
              <w:rPr>
                <w:rFonts w:eastAsia="Times New Roman" w:cs="Times New Roman"/>
                <w:b/>
              </w:rPr>
              <w:t xml:space="preserve">DOCKET </w:t>
            </w:r>
            <w:proofErr w:type="spellStart"/>
            <w:r w:rsidRPr="00CD4FE0">
              <w:rPr>
                <w:rFonts w:eastAsia="Times New Roman" w:cs="Times New Roman"/>
                <w:b/>
              </w:rPr>
              <w:t>UE</w:t>
            </w:r>
            <w:proofErr w:type="spellEnd"/>
            <w:r w:rsidRPr="00CD4FE0">
              <w:rPr>
                <w:rFonts w:eastAsia="Times New Roman" w:cs="Times New Roman"/>
                <w:b/>
              </w:rPr>
              <w:t xml:space="preserve">-130043 </w:t>
            </w:r>
          </w:p>
          <w:p w:rsidR="00CD4FE0" w:rsidRPr="00CD4FE0" w:rsidRDefault="00CD4FE0" w:rsidP="00CD4FE0">
            <w:pPr>
              <w:rPr>
                <w:rFonts w:eastAsia="Times New Roman" w:cs="Times New Roman"/>
                <w:b/>
              </w:rPr>
            </w:pPr>
          </w:p>
          <w:p w:rsidR="00CD4FE0" w:rsidRPr="00CD4FE0" w:rsidRDefault="00CD4FE0" w:rsidP="00CD4FE0">
            <w:pPr>
              <w:spacing w:after="19"/>
              <w:ind w:left="720"/>
              <w:rPr>
                <w:rFonts w:eastAsia="Times New Roman" w:cs="Times New Roman"/>
                <w:b/>
              </w:rPr>
            </w:pPr>
          </w:p>
        </w:tc>
      </w:tr>
    </w:tbl>
    <w:p w:rsidR="00CD4FE0" w:rsidRPr="00CD4FE0" w:rsidRDefault="00CD4FE0" w:rsidP="00CD4FE0">
      <w:pPr>
        <w:rPr>
          <w:rFonts w:eastAsia="Times New Roman" w:cs="Times New Roman"/>
          <w:b/>
          <w:bCs/>
        </w:rPr>
      </w:pPr>
    </w:p>
    <w:p w:rsidR="00CD4FE0" w:rsidRPr="00CD4FE0" w:rsidRDefault="00CD4FE0" w:rsidP="00CD4FE0">
      <w:pPr>
        <w:rPr>
          <w:rFonts w:eastAsia="Times New Roman" w:cs="Times New Roman"/>
        </w:rPr>
      </w:pPr>
    </w:p>
    <w:p w:rsidR="00CD4FE0" w:rsidRPr="00CD4FE0" w:rsidRDefault="00CD4FE0" w:rsidP="00CD4FE0">
      <w:pPr>
        <w:rPr>
          <w:rFonts w:eastAsia="Times New Roman" w:cs="Times New Roman"/>
        </w:rPr>
      </w:pPr>
    </w:p>
    <w:p w:rsidR="00CD4FE0" w:rsidRPr="00CD4FE0" w:rsidRDefault="00CD4FE0" w:rsidP="00CD4FE0">
      <w:pPr>
        <w:rPr>
          <w:rFonts w:eastAsia="Times New Roman" w:cs="Times New Roman"/>
        </w:rPr>
      </w:pPr>
    </w:p>
    <w:p w:rsidR="00CD4FE0" w:rsidRPr="00CD4FE0" w:rsidRDefault="00CD4FE0" w:rsidP="00CD4FE0">
      <w:pPr>
        <w:jc w:val="center"/>
        <w:rPr>
          <w:rFonts w:eastAsia="Times New Roman" w:cs="Times New Roman"/>
          <w:b/>
          <w:bCs/>
        </w:rPr>
      </w:pPr>
      <w:r>
        <w:rPr>
          <w:rFonts w:eastAsia="Times New Roman" w:cs="Times New Roman"/>
          <w:b/>
          <w:bCs/>
        </w:rPr>
        <w:t>REPLY</w:t>
      </w:r>
      <w:r w:rsidRPr="00CD4FE0">
        <w:rPr>
          <w:rFonts w:eastAsia="Times New Roman" w:cs="Times New Roman"/>
          <w:b/>
          <w:bCs/>
        </w:rPr>
        <w:t xml:space="preserve"> BRIEF ON BEHALF OF COMMISSION STAFF</w:t>
      </w:r>
    </w:p>
    <w:p w:rsidR="00CD4FE0" w:rsidRPr="00CD4FE0" w:rsidRDefault="00CD4FE0" w:rsidP="00CD4FE0">
      <w:pPr>
        <w:rPr>
          <w:rFonts w:eastAsia="Times New Roman" w:cs="Times New Roman"/>
          <w:b/>
          <w:bCs/>
        </w:rPr>
      </w:pPr>
    </w:p>
    <w:p w:rsidR="00CD4FE0" w:rsidRPr="00CD4FE0" w:rsidRDefault="00CD4FE0" w:rsidP="00CD4FE0">
      <w:pPr>
        <w:rPr>
          <w:rFonts w:eastAsia="Times New Roman" w:cs="Times New Roman"/>
          <w:b/>
          <w:bCs/>
        </w:rPr>
      </w:pPr>
    </w:p>
    <w:p w:rsidR="00CD4FE0" w:rsidRPr="00CD4FE0" w:rsidRDefault="00CD4FE0" w:rsidP="00CD4FE0">
      <w:pPr>
        <w:ind w:left="3600" w:firstLine="720"/>
        <w:rPr>
          <w:rFonts w:eastAsia="Times New Roman" w:cs="Times New Roman"/>
          <w:b/>
          <w:bCs/>
        </w:rPr>
      </w:pPr>
      <w:r w:rsidRPr="00CD4FE0">
        <w:rPr>
          <w:rFonts w:eastAsia="Times New Roman" w:cs="Times New Roman"/>
          <w:b/>
          <w:bCs/>
        </w:rPr>
        <w:t>October 1</w:t>
      </w:r>
      <w:r>
        <w:rPr>
          <w:rFonts w:eastAsia="Times New Roman" w:cs="Times New Roman"/>
          <w:b/>
          <w:bCs/>
        </w:rPr>
        <w:t>1</w:t>
      </w:r>
      <w:r w:rsidRPr="00CD4FE0">
        <w:rPr>
          <w:rFonts w:eastAsia="Times New Roman" w:cs="Times New Roman"/>
          <w:b/>
          <w:bCs/>
        </w:rPr>
        <w:t xml:space="preserve">, 2013 </w:t>
      </w:r>
    </w:p>
    <w:p w:rsidR="00CD4FE0" w:rsidRPr="00CD4FE0" w:rsidRDefault="00CD4FE0" w:rsidP="00CD4FE0">
      <w:pPr>
        <w:rPr>
          <w:rFonts w:eastAsia="Times New Roman" w:cs="Times New Roman"/>
          <w:b/>
          <w:bCs/>
        </w:rPr>
      </w:pPr>
    </w:p>
    <w:p w:rsidR="00CD4FE0" w:rsidRPr="00CD4FE0" w:rsidRDefault="00CD4FE0" w:rsidP="00CD4FE0">
      <w:pPr>
        <w:rPr>
          <w:rFonts w:eastAsia="Times New Roman" w:cs="Times New Roman"/>
          <w:b/>
          <w:bCs/>
        </w:rPr>
      </w:pP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t>ROBERT W. FERGUSON</w:t>
      </w:r>
    </w:p>
    <w:p w:rsidR="00CD4FE0" w:rsidRPr="00CD4FE0" w:rsidRDefault="00CD4FE0" w:rsidP="00CD4FE0">
      <w:pPr>
        <w:rPr>
          <w:rFonts w:eastAsia="Times New Roman" w:cs="Times New Roman"/>
          <w:b/>
          <w:bCs/>
        </w:rPr>
      </w:pP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t xml:space="preserve">Attorney General </w:t>
      </w:r>
    </w:p>
    <w:p w:rsidR="00CD4FE0" w:rsidRPr="00CD4FE0" w:rsidRDefault="00CD4FE0" w:rsidP="00CD4FE0">
      <w:pPr>
        <w:rPr>
          <w:rFonts w:eastAsia="Times New Roman" w:cs="Times New Roman"/>
          <w:b/>
          <w:bCs/>
        </w:rPr>
      </w:pPr>
    </w:p>
    <w:p w:rsidR="00CD4FE0" w:rsidRPr="00CD4FE0" w:rsidRDefault="00CD4FE0" w:rsidP="00CD4FE0">
      <w:pPr>
        <w:rPr>
          <w:rFonts w:eastAsia="Times New Roman" w:cs="Times New Roman"/>
          <w:b/>
        </w:rPr>
      </w:pP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r>
      <w:r w:rsidRPr="00CD4FE0">
        <w:rPr>
          <w:rFonts w:eastAsia="Times New Roman" w:cs="Times New Roman"/>
          <w:b/>
          <w:bCs/>
        </w:rPr>
        <w:tab/>
        <w:t xml:space="preserve">ROBERT D. CEDARBAUM </w:t>
      </w:r>
    </w:p>
    <w:p w:rsidR="00CD4FE0" w:rsidRPr="00CD4FE0" w:rsidRDefault="00CD4FE0" w:rsidP="00CD4FE0">
      <w:pPr>
        <w:rPr>
          <w:rFonts w:eastAsia="Times New Roman" w:cs="Times New Roman"/>
          <w:b/>
        </w:rPr>
      </w:pP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t xml:space="preserve">Assistant Attorney General </w:t>
      </w:r>
    </w:p>
    <w:p w:rsidR="00CD4FE0" w:rsidRPr="00CD4FE0" w:rsidRDefault="00CD4FE0" w:rsidP="00CD4FE0">
      <w:pPr>
        <w:rPr>
          <w:rFonts w:eastAsia="Times New Roman" w:cs="Times New Roman"/>
          <w:b/>
        </w:rPr>
      </w:pP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t xml:space="preserve">Office of the Attorney General </w:t>
      </w:r>
    </w:p>
    <w:p w:rsidR="00CD4FE0" w:rsidRPr="00CD4FE0" w:rsidRDefault="00CD4FE0" w:rsidP="00CD4FE0">
      <w:pPr>
        <w:rPr>
          <w:rFonts w:eastAsia="Times New Roman" w:cs="Times New Roman"/>
          <w:b/>
        </w:rPr>
      </w:pP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t>Utilities &amp; Transportation Division</w:t>
      </w:r>
    </w:p>
    <w:p w:rsidR="00CD4FE0" w:rsidRPr="00CD4FE0" w:rsidRDefault="00CD4FE0" w:rsidP="00CD4FE0">
      <w:pPr>
        <w:rPr>
          <w:rFonts w:eastAsia="Times New Roman" w:cs="Times New Roman"/>
          <w:b/>
        </w:rPr>
      </w:pP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t xml:space="preserve"> </w:t>
      </w:r>
    </w:p>
    <w:p w:rsidR="00CD4FE0" w:rsidRPr="00CD4FE0" w:rsidRDefault="00CD4FE0" w:rsidP="00CD4FE0">
      <w:pPr>
        <w:rPr>
          <w:rFonts w:eastAsia="Times New Roman" w:cs="Times New Roman"/>
          <w:b/>
        </w:rPr>
      </w:pP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t>1400 S Evergreen Park Drive S.W.</w:t>
      </w:r>
    </w:p>
    <w:p w:rsidR="00CD4FE0" w:rsidRPr="00CD4FE0" w:rsidRDefault="00CD4FE0" w:rsidP="00CD4FE0">
      <w:pPr>
        <w:rPr>
          <w:rFonts w:eastAsia="Times New Roman" w:cs="Times New Roman"/>
          <w:b/>
        </w:rPr>
      </w:pP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CD4FE0">
                <w:rPr>
                  <w:rFonts w:eastAsia="Times New Roman" w:cs="Times New Roman"/>
                  <w:b/>
                </w:rPr>
                <w:t>P.O. Box</w:t>
              </w:r>
            </w:smartTag>
          </w:smartTag>
          <w:r w:rsidRPr="00CD4FE0">
            <w:rPr>
              <w:rFonts w:eastAsia="Times New Roman" w:cs="Times New Roman"/>
              <w:b/>
            </w:rPr>
            <w:t xml:space="preserve"> 40128</w:t>
          </w:r>
        </w:smartTag>
      </w:smartTag>
    </w:p>
    <w:p w:rsidR="00CD4FE0" w:rsidRPr="00CD4FE0" w:rsidRDefault="00CD4FE0" w:rsidP="00CD4FE0">
      <w:pPr>
        <w:rPr>
          <w:rFonts w:eastAsia="Times New Roman" w:cs="Times New Roman"/>
          <w:b/>
        </w:rPr>
      </w:pP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smartTag w:uri="urn:schemas-microsoft-com:office:smarttags" w:element="City">
        <w:smartTag w:uri="urn:schemas-microsoft-com:office:smarttags" w:element="place">
          <w:r w:rsidRPr="00CD4FE0">
            <w:rPr>
              <w:rFonts w:eastAsia="Times New Roman" w:cs="Times New Roman"/>
              <w:b/>
            </w:rPr>
            <w:t>Olympia</w:t>
          </w:r>
        </w:smartTag>
        <w:r w:rsidRPr="00CD4FE0">
          <w:rPr>
            <w:rFonts w:eastAsia="Times New Roman" w:cs="Times New Roman"/>
            <w:b/>
          </w:rPr>
          <w:t xml:space="preserve">, </w:t>
        </w:r>
        <w:smartTag w:uri="urn:schemas-microsoft-com:office:smarttags" w:element="PostalCode">
          <w:smartTag w:uri="urn:schemas-microsoft-com:office:smarttags" w:element="State">
            <w:r w:rsidRPr="00CD4FE0">
              <w:rPr>
                <w:rFonts w:eastAsia="Times New Roman" w:cs="Times New Roman"/>
                <w:b/>
              </w:rPr>
              <w:t>WA</w:t>
            </w:r>
          </w:smartTag>
        </w:smartTag>
        <w:r w:rsidRPr="00CD4FE0">
          <w:rPr>
            <w:rFonts w:eastAsia="Times New Roman" w:cs="Times New Roman"/>
            <w:b/>
          </w:rPr>
          <w:t xml:space="preserve">  </w:t>
        </w:r>
        <w:smartTag w:uri="urn:schemas-microsoft-com:office:smarttags" w:element="PostalCode">
          <w:r w:rsidRPr="00CD4FE0">
            <w:rPr>
              <w:rFonts w:eastAsia="Times New Roman" w:cs="Times New Roman"/>
              <w:b/>
            </w:rPr>
            <w:t>98504-0128</w:t>
          </w:r>
        </w:smartTag>
      </w:smartTag>
      <w:r w:rsidRPr="00CD4FE0">
        <w:rPr>
          <w:rFonts w:eastAsia="Times New Roman" w:cs="Times New Roman"/>
          <w:b/>
        </w:rPr>
        <w:t xml:space="preserve"> </w:t>
      </w:r>
    </w:p>
    <w:p w:rsidR="00CD4FE0" w:rsidRPr="00CD4FE0" w:rsidRDefault="00CD4FE0" w:rsidP="00CD4FE0">
      <w:pPr>
        <w:rPr>
          <w:rFonts w:eastAsia="Times New Roman" w:cs="Times New Roman"/>
          <w:b/>
          <w:bCs/>
        </w:rPr>
      </w:pP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r>
      <w:r w:rsidRPr="00CD4FE0">
        <w:rPr>
          <w:rFonts w:eastAsia="Times New Roman" w:cs="Times New Roman"/>
          <w:b/>
        </w:rPr>
        <w:tab/>
        <w:t>(360) 664-1188</w:t>
      </w:r>
      <w:r w:rsidR="00DC294F">
        <w:rPr>
          <w:rFonts w:eastAsia="Times New Roman" w:cs="Times New Roman"/>
          <w:b/>
        </w:rPr>
        <w:t xml:space="preserve"> </w:t>
      </w:r>
    </w:p>
    <w:p w:rsidR="00CD4FE0" w:rsidRPr="00CD4FE0" w:rsidRDefault="00CD4FE0" w:rsidP="00CD4FE0">
      <w:pPr>
        <w:rPr>
          <w:rFonts w:eastAsia="Times New Roman" w:cs="Times New Roman"/>
        </w:rPr>
      </w:pPr>
    </w:p>
    <w:p w:rsidR="00CD4FE0" w:rsidRPr="00CD4FE0" w:rsidRDefault="00CD4FE0" w:rsidP="00CD4FE0">
      <w:pPr>
        <w:rPr>
          <w:rFonts w:eastAsia="Times New Roman" w:cs="Times New Roman"/>
        </w:rPr>
      </w:pPr>
    </w:p>
    <w:p w:rsidR="00CD4FE0" w:rsidRPr="00CD4FE0" w:rsidRDefault="00CD4FE0" w:rsidP="00CD4FE0">
      <w:pPr>
        <w:rPr>
          <w:rFonts w:eastAsia="Times New Roman" w:cs="Times New Roman"/>
        </w:rPr>
      </w:pPr>
    </w:p>
    <w:p w:rsidR="00CD4FE0" w:rsidRPr="00CD4FE0" w:rsidRDefault="00CD4FE0" w:rsidP="00CD4FE0">
      <w:pPr>
        <w:rPr>
          <w:rFonts w:eastAsia="Times New Roman" w:cs="Times New Roman"/>
        </w:rPr>
      </w:pPr>
    </w:p>
    <w:p w:rsidR="00CD4FE0" w:rsidRPr="00CD4FE0" w:rsidRDefault="00CD4FE0" w:rsidP="00CD4FE0">
      <w:pPr>
        <w:jc w:val="center"/>
        <w:rPr>
          <w:rFonts w:eastAsia="Times New Roman" w:cs="Times New Roman"/>
          <w:b/>
        </w:rPr>
      </w:pPr>
    </w:p>
    <w:p w:rsidR="00CD4FE0" w:rsidRPr="00CD4FE0" w:rsidRDefault="00CD4FE0" w:rsidP="00CD4FE0">
      <w:pPr>
        <w:rPr>
          <w:rFonts w:eastAsia="Times New Roman" w:cs="Times New Roman"/>
        </w:rPr>
      </w:pPr>
    </w:p>
    <w:p w:rsidR="00CD4FE0" w:rsidRPr="00CD4FE0" w:rsidRDefault="00CD4FE0" w:rsidP="00CD4FE0">
      <w:pPr>
        <w:rPr>
          <w:rFonts w:eastAsia="Times New Roman" w:cs="Times New Roman"/>
        </w:rPr>
        <w:sectPr w:rsidR="00CD4FE0" w:rsidRPr="00CD4FE0" w:rsidSect="00923F66">
          <w:pgSz w:w="12240" w:h="15840" w:code="1"/>
          <w:pgMar w:top="1440" w:right="1440" w:bottom="1440" w:left="1440" w:header="720" w:footer="720" w:gutter="0"/>
          <w:cols w:space="720"/>
          <w:docGrid w:linePitch="360"/>
        </w:sectPr>
      </w:pPr>
    </w:p>
    <w:p w:rsidR="00CD4FE0" w:rsidRDefault="00CD4FE0" w:rsidP="00CD4FE0">
      <w:pPr>
        <w:widowControl w:val="0"/>
        <w:contextualSpacing/>
        <w:jc w:val="center"/>
        <w:rPr>
          <w:rFonts w:eastAsia="Calibri" w:cs="Times New Roman"/>
        </w:rPr>
      </w:pPr>
      <w:r w:rsidRPr="00CD4FE0">
        <w:rPr>
          <w:rFonts w:eastAsia="Calibri" w:cs="Times New Roman"/>
          <w:b/>
        </w:rPr>
        <w:lastRenderedPageBreak/>
        <w:t>TABLE OF CONTENTS</w:t>
      </w:r>
      <w:r w:rsidRPr="00CD4FE0">
        <w:rPr>
          <w:rFonts w:eastAsia="Calibri" w:cs="Times New Roman"/>
        </w:rPr>
        <w:t xml:space="preserve"> </w:t>
      </w:r>
    </w:p>
    <w:p w:rsidR="00D43F93" w:rsidRDefault="00D43F93" w:rsidP="00CD4FE0">
      <w:pPr>
        <w:widowControl w:val="0"/>
        <w:contextualSpacing/>
        <w:jc w:val="center"/>
        <w:rPr>
          <w:rFonts w:eastAsia="Calibri" w:cs="Times New Roman"/>
        </w:rPr>
      </w:pPr>
    </w:p>
    <w:p w:rsidR="00D43F93" w:rsidRPr="00CD4FE0" w:rsidRDefault="00D43F93" w:rsidP="00CD4FE0">
      <w:pPr>
        <w:widowControl w:val="0"/>
        <w:contextualSpacing/>
        <w:jc w:val="center"/>
        <w:rPr>
          <w:rFonts w:eastAsia="Calibri" w:cs="Times New Roman"/>
        </w:rPr>
      </w:pPr>
    </w:p>
    <w:p w:rsidR="00CD4FE0" w:rsidRPr="00D43F93" w:rsidRDefault="00D43F93" w:rsidP="009D2AA7">
      <w:pPr>
        <w:widowControl w:val="0"/>
        <w:tabs>
          <w:tab w:val="left" w:pos="720"/>
          <w:tab w:val="left" w:pos="1440"/>
          <w:tab w:val="left" w:pos="2160"/>
          <w:tab w:val="right" w:leader="dot" w:pos="9000"/>
        </w:tabs>
        <w:contextualSpacing/>
        <w:rPr>
          <w:rFonts w:eastAsia="Calibri" w:cs="Times New Roman"/>
        </w:rPr>
      </w:pPr>
      <w:r>
        <w:rPr>
          <w:rFonts w:eastAsia="Calibri" w:cs="Times New Roman"/>
        </w:rPr>
        <w:t>I.</w:t>
      </w:r>
      <w:r>
        <w:rPr>
          <w:rFonts w:eastAsia="Calibri" w:cs="Times New Roman"/>
        </w:rPr>
        <w:tab/>
        <w:t>INTRODUCTION</w:t>
      </w:r>
      <w:r w:rsidR="009D2AA7">
        <w:rPr>
          <w:rFonts w:eastAsia="Calibri" w:cs="Times New Roman"/>
        </w:rPr>
        <w:t xml:space="preserve"> </w:t>
      </w:r>
      <w:r w:rsidR="009D2AA7">
        <w:rPr>
          <w:rFonts w:eastAsia="Calibri" w:cs="Times New Roman"/>
        </w:rPr>
        <w:tab/>
        <w:t>1</w:t>
      </w:r>
    </w:p>
    <w:p w:rsidR="00CD4FE0" w:rsidRPr="00CD4FE0" w:rsidRDefault="00CD4FE0" w:rsidP="00CD4FE0">
      <w:pPr>
        <w:widowControl w:val="0"/>
        <w:contextualSpacing/>
        <w:jc w:val="center"/>
        <w:rPr>
          <w:rFonts w:eastAsia="Calibri" w:cs="Times New Roman"/>
          <w:b/>
        </w:rPr>
      </w:pPr>
    </w:p>
    <w:p w:rsidR="00CD4FE0" w:rsidRDefault="00D43F93" w:rsidP="00CD4FE0">
      <w:pPr>
        <w:tabs>
          <w:tab w:val="left" w:pos="720"/>
          <w:tab w:val="left" w:pos="1440"/>
          <w:tab w:val="right" w:leader="dot" w:pos="9000"/>
        </w:tabs>
      </w:pPr>
      <w:r>
        <w:t>I</w:t>
      </w:r>
      <w:r w:rsidR="00CD4FE0" w:rsidRPr="00CD4FE0">
        <w:t>I.</w:t>
      </w:r>
      <w:r w:rsidR="00CD4FE0" w:rsidRPr="00CD4FE0">
        <w:tab/>
        <w:t>ARGUMENT</w:t>
      </w:r>
      <w:r w:rsidR="00CD4FE0">
        <w:t xml:space="preserve"> </w:t>
      </w:r>
      <w:r w:rsidR="00CD4FE0">
        <w:tab/>
        <w:t>1</w:t>
      </w:r>
    </w:p>
    <w:p w:rsidR="00CD4FE0" w:rsidRPr="00CD4FE0" w:rsidRDefault="00CD4FE0" w:rsidP="00CD4FE0">
      <w:pPr>
        <w:tabs>
          <w:tab w:val="left" w:pos="720"/>
          <w:tab w:val="left" w:pos="1440"/>
          <w:tab w:val="right" w:leader="dot" w:pos="9000"/>
        </w:tabs>
      </w:pPr>
    </w:p>
    <w:p w:rsidR="00CD4FE0" w:rsidRDefault="00CD4FE0" w:rsidP="00CD4FE0">
      <w:pPr>
        <w:tabs>
          <w:tab w:val="left" w:pos="720"/>
          <w:tab w:val="left" w:pos="1440"/>
          <w:tab w:val="left" w:pos="2160"/>
          <w:tab w:val="left" w:pos="2880"/>
          <w:tab w:val="right" w:leader="dot" w:pos="9000"/>
        </w:tabs>
        <w:ind w:firstLine="720"/>
      </w:pPr>
      <w:r w:rsidRPr="00CD4FE0">
        <w:t>A.</w:t>
      </w:r>
      <w:r w:rsidRPr="00CD4FE0">
        <w:tab/>
        <w:t>Cost of Capital</w:t>
      </w:r>
      <w:r>
        <w:t xml:space="preserve"> </w:t>
      </w:r>
      <w:r>
        <w:tab/>
        <w:t>1</w:t>
      </w:r>
    </w:p>
    <w:p w:rsidR="00CD4FE0" w:rsidRPr="00CD4FE0" w:rsidRDefault="00CD4FE0" w:rsidP="00CD4FE0">
      <w:pPr>
        <w:tabs>
          <w:tab w:val="left" w:pos="720"/>
          <w:tab w:val="left" w:pos="1440"/>
          <w:tab w:val="left" w:pos="2160"/>
          <w:tab w:val="left" w:pos="2880"/>
          <w:tab w:val="right" w:leader="dot" w:pos="9000"/>
        </w:tabs>
        <w:ind w:firstLine="720"/>
      </w:pPr>
    </w:p>
    <w:p w:rsidR="00CD4FE0" w:rsidRDefault="00CD4FE0" w:rsidP="00CD4FE0">
      <w:pPr>
        <w:widowControl w:val="0"/>
        <w:tabs>
          <w:tab w:val="left" w:pos="720"/>
          <w:tab w:val="left" w:pos="1440"/>
          <w:tab w:val="left" w:pos="2160"/>
          <w:tab w:val="left" w:pos="2880"/>
          <w:tab w:val="left" w:pos="3600"/>
          <w:tab w:val="right" w:leader="dot" w:pos="9000"/>
        </w:tabs>
      </w:pPr>
      <w:r w:rsidRPr="00CD4FE0">
        <w:tab/>
      </w:r>
      <w:r w:rsidRPr="00CD4FE0">
        <w:tab/>
        <w:t>1.</w:t>
      </w:r>
      <w:r w:rsidRPr="00CD4FE0">
        <w:tab/>
        <w:t>Return on Equity</w:t>
      </w:r>
      <w:r>
        <w:t xml:space="preserve"> </w:t>
      </w:r>
      <w:r>
        <w:tab/>
        <w:t>1</w:t>
      </w:r>
    </w:p>
    <w:p w:rsidR="00CD4FE0" w:rsidRDefault="00CD4FE0" w:rsidP="00CD4FE0">
      <w:pPr>
        <w:widowControl w:val="0"/>
        <w:tabs>
          <w:tab w:val="left" w:pos="720"/>
          <w:tab w:val="left" w:pos="1440"/>
          <w:tab w:val="left" w:pos="2160"/>
          <w:tab w:val="left" w:pos="2880"/>
          <w:tab w:val="left" w:pos="3600"/>
          <w:tab w:val="right" w:leader="dot" w:pos="9000"/>
        </w:tabs>
        <w:rPr>
          <w:rFonts w:cs="Times New Roman"/>
        </w:rPr>
      </w:pPr>
    </w:p>
    <w:p w:rsidR="00CD4FE0" w:rsidRDefault="00CD4FE0" w:rsidP="00CD4FE0">
      <w:pPr>
        <w:widowControl w:val="0"/>
        <w:tabs>
          <w:tab w:val="left" w:pos="720"/>
          <w:tab w:val="left" w:pos="1440"/>
          <w:tab w:val="left" w:pos="2160"/>
          <w:tab w:val="left" w:pos="2880"/>
          <w:tab w:val="left" w:pos="3600"/>
          <w:tab w:val="right" w:leader="dot" w:pos="9000"/>
        </w:tabs>
      </w:pPr>
      <w:r>
        <w:tab/>
      </w:r>
      <w:r>
        <w:tab/>
      </w:r>
      <w:r w:rsidRPr="00CD4FE0">
        <w:t>2.</w:t>
      </w:r>
      <w:r w:rsidRPr="00CD4FE0">
        <w:tab/>
        <w:t>Capital Structure</w:t>
      </w:r>
      <w:r>
        <w:t xml:space="preserve"> </w:t>
      </w:r>
      <w:r w:rsidR="007F7936">
        <w:tab/>
        <w:t>3</w:t>
      </w:r>
    </w:p>
    <w:p w:rsidR="00CD4FE0" w:rsidRDefault="00CD4FE0" w:rsidP="00CD4FE0">
      <w:pPr>
        <w:widowControl w:val="0"/>
        <w:tabs>
          <w:tab w:val="left" w:pos="720"/>
          <w:tab w:val="left" w:pos="1440"/>
          <w:tab w:val="left" w:pos="2160"/>
          <w:tab w:val="left" w:pos="2880"/>
          <w:tab w:val="left" w:pos="3600"/>
          <w:tab w:val="right" w:leader="dot" w:pos="9000"/>
        </w:tabs>
      </w:pPr>
    </w:p>
    <w:p w:rsidR="002A7211" w:rsidRDefault="002A7211" w:rsidP="00CD4FE0">
      <w:pPr>
        <w:widowControl w:val="0"/>
        <w:tabs>
          <w:tab w:val="left" w:pos="720"/>
          <w:tab w:val="left" w:pos="1440"/>
          <w:tab w:val="left" w:pos="2160"/>
          <w:tab w:val="left" w:pos="2880"/>
          <w:tab w:val="left" w:pos="3600"/>
          <w:tab w:val="right" w:leader="dot" w:pos="9000"/>
        </w:tabs>
      </w:pPr>
      <w:r>
        <w:tab/>
      </w:r>
      <w:r>
        <w:tab/>
      </w:r>
      <w:r w:rsidRPr="002A7211">
        <w:t>3.</w:t>
      </w:r>
      <w:r w:rsidRPr="002A7211">
        <w:tab/>
        <w:t>Overall Cost of Capital</w:t>
      </w:r>
      <w:r w:rsidR="007F7936">
        <w:t xml:space="preserve"> </w:t>
      </w:r>
      <w:r w:rsidR="007F7936">
        <w:tab/>
        <w:t>4</w:t>
      </w:r>
    </w:p>
    <w:p w:rsidR="00FD4858" w:rsidRDefault="00FD4858" w:rsidP="00CD4FE0">
      <w:pPr>
        <w:widowControl w:val="0"/>
        <w:tabs>
          <w:tab w:val="left" w:pos="720"/>
          <w:tab w:val="left" w:pos="1440"/>
          <w:tab w:val="left" w:pos="2160"/>
          <w:tab w:val="left" w:pos="2880"/>
          <w:tab w:val="left" w:pos="3600"/>
          <w:tab w:val="right" w:leader="dot" w:pos="9000"/>
        </w:tabs>
      </w:pPr>
    </w:p>
    <w:p w:rsidR="00FD4858" w:rsidRDefault="00FD4858" w:rsidP="00CD4FE0">
      <w:pPr>
        <w:widowControl w:val="0"/>
        <w:tabs>
          <w:tab w:val="left" w:pos="720"/>
          <w:tab w:val="left" w:pos="1440"/>
          <w:tab w:val="left" w:pos="2160"/>
          <w:tab w:val="left" w:pos="2880"/>
          <w:tab w:val="left" w:pos="3600"/>
          <w:tab w:val="right" w:leader="dot" w:pos="9000"/>
        </w:tabs>
      </w:pPr>
      <w:r>
        <w:tab/>
      </w:r>
      <w:r w:rsidRPr="00FD4858">
        <w:t>B.</w:t>
      </w:r>
      <w:r w:rsidRPr="00FD4858">
        <w:tab/>
      </w:r>
      <w:proofErr w:type="spellStart"/>
      <w:r w:rsidRPr="00FD4858">
        <w:t>QF</w:t>
      </w:r>
      <w:proofErr w:type="spellEnd"/>
      <w:r w:rsidRPr="00FD4858">
        <w:t xml:space="preserve"> Purchased Power Costs</w:t>
      </w:r>
      <w:r w:rsidR="007F7936">
        <w:t xml:space="preserve"> </w:t>
      </w:r>
      <w:r w:rsidR="007F7936">
        <w:tab/>
        <w:t>5</w:t>
      </w:r>
    </w:p>
    <w:p w:rsidR="00E720CA" w:rsidRDefault="00E720CA" w:rsidP="00CD4FE0">
      <w:pPr>
        <w:widowControl w:val="0"/>
        <w:tabs>
          <w:tab w:val="left" w:pos="720"/>
          <w:tab w:val="left" w:pos="1440"/>
          <w:tab w:val="left" w:pos="2160"/>
          <w:tab w:val="left" w:pos="2880"/>
          <w:tab w:val="left" w:pos="3600"/>
          <w:tab w:val="right" w:leader="dot" w:pos="9000"/>
        </w:tabs>
      </w:pPr>
    </w:p>
    <w:p w:rsidR="00E720CA" w:rsidRDefault="00E720CA" w:rsidP="00CD4FE0">
      <w:pPr>
        <w:widowControl w:val="0"/>
        <w:tabs>
          <w:tab w:val="left" w:pos="720"/>
          <w:tab w:val="left" w:pos="1440"/>
          <w:tab w:val="left" w:pos="2160"/>
          <w:tab w:val="left" w:pos="2880"/>
          <w:tab w:val="left" w:pos="3600"/>
          <w:tab w:val="right" w:leader="dot" w:pos="9000"/>
        </w:tabs>
      </w:pPr>
      <w:r>
        <w:tab/>
      </w:r>
      <w:r w:rsidRPr="00E720CA">
        <w:t>C.</w:t>
      </w:r>
      <w:r w:rsidRPr="00E720CA">
        <w:tab/>
        <w:t>Non-Power Cost Allocations</w:t>
      </w:r>
      <w:r w:rsidR="007F7936">
        <w:t xml:space="preserve"> </w:t>
      </w:r>
      <w:r w:rsidR="007F7936">
        <w:tab/>
        <w:t>7</w:t>
      </w:r>
    </w:p>
    <w:p w:rsidR="004B0B66" w:rsidRDefault="004B0B66" w:rsidP="00CD4FE0">
      <w:pPr>
        <w:widowControl w:val="0"/>
        <w:tabs>
          <w:tab w:val="left" w:pos="720"/>
          <w:tab w:val="left" w:pos="1440"/>
          <w:tab w:val="left" w:pos="2160"/>
          <w:tab w:val="left" w:pos="2880"/>
          <w:tab w:val="left" w:pos="3600"/>
          <w:tab w:val="right" w:leader="dot" w:pos="9000"/>
        </w:tabs>
      </w:pPr>
    </w:p>
    <w:p w:rsidR="004B0B66" w:rsidRPr="004B0B66" w:rsidRDefault="004B0B66" w:rsidP="00CD4FE0">
      <w:pPr>
        <w:widowControl w:val="0"/>
        <w:tabs>
          <w:tab w:val="left" w:pos="720"/>
          <w:tab w:val="left" w:pos="1440"/>
          <w:tab w:val="left" w:pos="2160"/>
          <w:tab w:val="left" w:pos="2880"/>
          <w:tab w:val="left" w:pos="3600"/>
          <w:tab w:val="right" w:leader="dot" w:pos="9000"/>
        </w:tabs>
      </w:pPr>
      <w:r>
        <w:tab/>
      </w:r>
      <w:r w:rsidRPr="004B0B66">
        <w:t>D.</w:t>
      </w:r>
      <w:r w:rsidRPr="004B0B66">
        <w:tab/>
        <w:t>Major Plant Additions</w:t>
      </w:r>
      <w:r>
        <w:t xml:space="preserve"> </w:t>
      </w:r>
      <w:r w:rsidR="00D43F93">
        <w:t>and the Expedited Rate Filing</w:t>
      </w:r>
      <w:r w:rsidR="007F7936">
        <w:tab/>
        <w:t>10</w:t>
      </w:r>
    </w:p>
    <w:p w:rsidR="00CD4FE0" w:rsidRDefault="00CD4FE0" w:rsidP="00CD4FE0">
      <w:pPr>
        <w:widowControl w:val="0"/>
        <w:tabs>
          <w:tab w:val="left" w:pos="720"/>
          <w:tab w:val="left" w:pos="1440"/>
          <w:tab w:val="left" w:pos="2160"/>
          <w:tab w:val="left" w:pos="2880"/>
          <w:tab w:val="left" w:pos="3600"/>
          <w:tab w:val="right" w:leader="dot" w:pos="9000"/>
        </w:tabs>
        <w:rPr>
          <w:rFonts w:cs="Times New Roman"/>
        </w:rPr>
      </w:pPr>
    </w:p>
    <w:p w:rsidR="009E5FE8" w:rsidRDefault="009E5FE8" w:rsidP="00CD4FE0">
      <w:pPr>
        <w:widowControl w:val="0"/>
        <w:tabs>
          <w:tab w:val="left" w:pos="720"/>
          <w:tab w:val="left" w:pos="1440"/>
          <w:tab w:val="left" w:pos="2160"/>
          <w:tab w:val="left" w:pos="2880"/>
          <w:tab w:val="left" w:pos="3600"/>
          <w:tab w:val="right" w:leader="dot" w:pos="9000"/>
        </w:tabs>
      </w:pPr>
      <w:r>
        <w:tab/>
      </w:r>
      <w:r w:rsidRPr="009E5FE8">
        <w:t>E.</w:t>
      </w:r>
      <w:r w:rsidRPr="009E5FE8">
        <w:tab/>
        <w:t>End-of-Period versus Average-of-Monthly Average Rate Base</w:t>
      </w:r>
      <w:r w:rsidR="007F7936">
        <w:t xml:space="preserve"> </w:t>
      </w:r>
      <w:r w:rsidR="007F7936">
        <w:tab/>
        <w:t>12</w:t>
      </w:r>
    </w:p>
    <w:p w:rsidR="009E5FE8" w:rsidRDefault="009E5FE8" w:rsidP="00CD4FE0">
      <w:pPr>
        <w:widowControl w:val="0"/>
        <w:tabs>
          <w:tab w:val="left" w:pos="720"/>
          <w:tab w:val="left" w:pos="1440"/>
          <w:tab w:val="left" w:pos="2160"/>
          <w:tab w:val="left" w:pos="2880"/>
          <w:tab w:val="left" w:pos="3600"/>
          <w:tab w:val="right" w:leader="dot" w:pos="9000"/>
        </w:tabs>
      </w:pPr>
    </w:p>
    <w:p w:rsidR="001C1E8C" w:rsidRPr="001C1E8C" w:rsidRDefault="001C1E8C" w:rsidP="001C1E8C">
      <w:pPr>
        <w:widowControl w:val="0"/>
        <w:tabs>
          <w:tab w:val="left" w:pos="720"/>
          <w:tab w:val="left" w:pos="1440"/>
          <w:tab w:val="left" w:pos="2160"/>
          <w:tab w:val="left" w:pos="2880"/>
          <w:tab w:val="right" w:leader="dot" w:pos="9000"/>
        </w:tabs>
      </w:pPr>
      <w:r>
        <w:tab/>
      </w:r>
      <w:r w:rsidRPr="001C1E8C">
        <w:t>F.</w:t>
      </w:r>
      <w:r w:rsidRPr="001C1E8C">
        <w:tab/>
        <w:t>Working Capital</w:t>
      </w:r>
      <w:r w:rsidR="007F7936">
        <w:t xml:space="preserve"> </w:t>
      </w:r>
      <w:r w:rsidR="007F7936">
        <w:tab/>
        <w:t>13</w:t>
      </w:r>
    </w:p>
    <w:p w:rsidR="009E5FE8" w:rsidRPr="009E5FE8" w:rsidRDefault="009E5FE8" w:rsidP="00CD4FE0">
      <w:pPr>
        <w:widowControl w:val="0"/>
        <w:tabs>
          <w:tab w:val="left" w:pos="720"/>
          <w:tab w:val="left" w:pos="1440"/>
          <w:tab w:val="left" w:pos="2160"/>
          <w:tab w:val="left" w:pos="2880"/>
          <w:tab w:val="left" w:pos="3600"/>
          <w:tab w:val="right" w:leader="dot" w:pos="9000"/>
        </w:tabs>
        <w:rPr>
          <w:rFonts w:cs="Times New Roman"/>
        </w:rPr>
      </w:pPr>
    </w:p>
    <w:p w:rsidR="00CD4FE0" w:rsidRPr="00CD4FE0" w:rsidRDefault="00CD4FE0" w:rsidP="00CD4FE0">
      <w:pPr>
        <w:widowControl w:val="0"/>
        <w:tabs>
          <w:tab w:val="left" w:pos="720"/>
          <w:tab w:val="left" w:pos="1440"/>
          <w:tab w:val="left" w:pos="2160"/>
          <w:tab w:val="left" w:pos="2880"/>
          <w:tab w:val="left" w:pos="3600"/>
          <w:tab w:val="right" w:leader="dot" w:pos="9000"/>
        </w:tabs>
        <w:contextualSpacing/>
        <w:rPr>
          <w:rFonts w:eastAsia="Calibri" w:cs="Times New Roman"/>
        </w:rPr>
      </w:pPr>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rPr>
      </w:pPr>
    </w:p>
    <w:p w:rsidR="00CD4FE0" w:rsidRPr="00CD4FE0" w:rsidRDefault="00CD4FE0" w:rsidP="00CD4FE0">
      <w:pPr>
        <w:rPr>
          <w:rFonts w:eastAsia="Calibri" w:cs="Times New Roman"/>
        </w:rPr>
      </w:pPr>
      <w:r w:rsidRPr="00CD4FE0">
        <w:br w:type="page"/>
      </w:r>
    </w:p>
    <w:p w:rsidR="00CD4FE0" w:rsidRPr="00CD4FE0" w:rsidRDefault="00CD4FE0" w:rsidP="00CD4FE0">
      <w:pPr>
        <w:widowControl w:val="0"/>
        <w:tabs>
          <w:tab w:val="left" w:pos="720"/>
          <w:tab w:val="left" w:pos="1440"/>
          <w:tab w:val="left" w:pos="2160"/>
          <w:tab w:val="right" w:leader="dot" w:pos="9000"/>
        </w:tabs>
        <w:contextualSpacing/>
        <w:jc w:val="center"/>
        <w:rPr>
          <w:rFonts w:eastAsia="Calibri" w:cs="Times New Roman"/>
          <w:b/>
        </w:rPr>
      </w:pPr>
      <w:r w:rsidRPr="00CD4FE0">
        <w:rPr>
          <w:rFonts w:eastAsia="Calibri" w:cs="Times New Roman"/>
          <w:b/>
        </w:rPr>
        <w:lastRenderedPageBreak/>
        <w:t>TABLE OF AUTHORITIES</w:t>
      </w:r>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b/>
        </w:rPr>
      </w:pPr>
    </w:p>
    <w:p w:rsidR="00CD4FE0" w:rsidRPr="00CD4FE0" w:rsidRDefault="00CD4FE0" w:rsidP="00CD4FE0">
      <w:pPr>
        <w:widowControl w:val="0"/>
        <w:tabs>
          <w:tab w:val="left" w:pos="720"/>
          <w:tab w:val="left" w:pos="1440"/>
          <w:tab w:val="left" w:pos="2160"/>
          <w:tab w:val="right" w:leader="dot" w:pos="9000"/>
        </w:tabs>
        <w:contextualSpacing/>
        <w:jc w:val="center"/>
        <w:rPr>
          <w:rFonts w:eastAsia="Calibri" w:cs="Times New Roman"/>
          <w:i/>
        </w:rPr>
      </w:pPr>
      <w:r w:rsidRPr="00CD4FE0">
        <w:rPr>
          <w:rFonts w:eastAsia="Calibri" w:cs="Times New Roman"/>
          <w:i/>
        </w:rPr>
        <w:t>Table of Administrative Cases</w:t>
      </w:r>
    </w:p>
    <w:p w:rsidR="00CD4FE0" w:rsidRDefault="00CD4FE0" w:rsidP="00CD4FE0">
      <w:pPr>
        <w:widowControl w:val="0"/>
        <w:tabs>
          <w:tab w:val="left" w:pos="720"/>
          <w:tab w:val="left" w:pos="1440"/>
          <w:tab w:val="left" w:pos="2160"/>
          <w:tab w:val="right" w:leader="dot" w:pos="9000"/>
        </w:tabs>
        <w:contextualSpacing/>
        <w:rPr>
          <w:rFonts w:eastAsia="Calibri" w:cs="Times New Roman"/>
        </w:rPr>
      </w:pPr>
    </w:p>
    <w:p w:rsidR="00536396" w:rsidRPr="00536396" w:rsidRDefault="00536396" w:rsidP="00CD4FE0">
      <w:pPr>
        <w:widowControl w:val="0"/>
        <w:tabs>
          <w:tab w:val="left" w:pos="720"/>
          <w:tab w:val="left" w:pos="1440"/>
          <w:tab w:val="left" w:pos="2160"/>
          <w:tab w:val="right" w:leader="dot" w:pos="9000"/>
        </w:tabs>
        <w:contextualSpacing/>
        <w:rPr>
          <w:rFonts w:cs="Times New Roman"/>
          <w:i/>
        </w:rPr>
      </w:pPr>
      <w:r w:rsidRPr="00536396">
        <w:rPr>
          <w:rFonts w:cs="Times New Roman"/>
          <w:i/>
        </w:rPr>
        <w:t xml:space="preserve">WUTC v. PacifiCorp, </w:t>
      </w:r>
    </w:p>
    <w:p w:rsidR="00536396" w:rsidRPr="00536396" w:rsidRDefault="00536396" w:rsidP="00CD4FE0">
      <w:pPr>
        <w:widowControl w:val="0"/>
        <w:tabs>
          <w:tab w:val="left" w:pos="720"/>
          <w:tab w:val="left" w:pos="1440"/>
          <w:tab w:val="left" w:pos="2160"/>
          <w:tab w:val="right" w:leader="dot" w:pos="9000"/>
        </w:tabs>
        <w:contextualSpacing/>
        <w:rPr>
          <w:rFonts w:cs="Times New Roman"/>
        </w:rPr>
      </w:pPr>
      <w:r w:rsidRPr="00536396">
        <w:rPr>
          <w:rFonts w:cs="Times New Roman"/>
          <w:i/>
        </w:rPr>
        <w:tab/>
      </w:r>
      <w:r w:rsidRPr="00536396">
        <w:rPr>
          <w:rFonts w:cs="Times New Roman"/>
        </w:rPr>
        <w:t xml:space="preserve">Docket </w:t>
      </w:r>
      <w:proofErr w:type="spellStart"/>
      <w:r w:rsidRPr="00536396">
        <w:rPr>
          <w:rFonts w:cs="Times New Roman"/>
        </w:rPr>
        <w:t>UE</w:t>
      </w:r>
      <w:proofErr w:type="spellEnd"/>
      <w:r w:rsidRPr="00536396">
        <w:rPr>
          <w:rFonts w:cs="Times New Roman"/>
        </w:rPr>
        <w:t xml:space="preserve">-050684, Order 04 </w:t>
      </w:r>
      <w:r w:rsidR="0047632A">
        <w:rPr>
          <w:rFonts w:cs="Times New Roman"/>
        </w:rPr>
        <w:t xml:space="preserve">(April 17, 2006) </w:t>
      </w:r>
      <w:r w:rsidR="0047632A">
        <w:rPr>
          <w:rFonts w:cs="Times New Roman"/>
        </w:rPr>
        <w:tab/>
        <w:t>3</w:t>
      </w:r>
    </w:p>
    <w:p w:rsidR="00536396" w:rsidRPr="00536396" w:rsidRDefault="00536396" w:rsidP="00CD4FE0">
      <w:pPr>
        <w:widowControl w:val="0"/>
        <w:tabs>
          <w:tab w:val="left" w:pos="720"/>
          <w:tab w:val="left" w:pos="1440"/>
          <w:tab w:val="left" w:pos="2160"/>
          <w:tab w:val="right" w:leader="dot" w:pos="9000"/>
        </w:tabs>
        <w:contextualSpacing/>
        <w:rPr>
          <w:rFonts w:eastAsia="Calibri" w:cs="Times New Roman"/>
        </w:rPr>
      </w:pPr>
    </w:p>
    <w:p w:rsidR="00CD4FE0" w:rsidRPr="00DD72C5" w:rsidRDefault="00CD4FE0" w:rsidP="00CD4FE0">
      <w:pPr>
        <w:widowControl w:val="0"/>
        <w:tabs>
          <w:tab w:val="left" w:pos="720"/>
          <w:tab w:val="left" w:pos="1440"/>
          <w:tab w:val="left" w:pos="2160"/>
          <w:tab w:val="right" w:leader="dot" w:pos="9000"/>
        </w:tabs>
        <w:contextualSpacing/>
        <w:rPr>
          <w:rFonts w:eastAsia="Calibri" w:cs="Times New Roman"/>
          <w:i/>
        </w:rPr>
      </w:pPr>
      <w:r w:rsidRPr="00DD72C5">
        <w:rPr>
          <w:rFonts w:eastAsia="Calibri" w:cs="Times New Roman"/>
          <w:i/>
        </w:rPr>
        <w:t xml:space="preserve">WUTC v. PacifiCorp, </w:t>
      </w:r>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rPr>
      </w:pPr>
      <w:r w:rsidRPr="00DD72C5">
        <w:rPr>
          <w:rFonts w:eastAsia="Calibri" w:cs="Times New Roman"/>
          <w:i/>
        </w:rPr>
        <w:tab/>
      </w:r>
      <w:r w:rsidRPr="00DD72C5">
        <w:rPr>
          <w:rFonts w:eastAsia="Calibri" w:cs="Times New Roman"/>
        </w:rPr>
        <w:t xml:space="preserve">Docket </w:t>
      </w:r>
      <w:proofErr w:type="spellStart"/>
      <w:r w:rsidRPr="00DD72C5">
        <w:rPr>
          <w:rFonts w:eastAsia="Calibri" w:cs="Times New Roman"/>
        </w:rPr>
        <w:t>UE</w:t>
      </w:r>
      <w:proofErr w:type="spellEnd"/>
      <w:r w:rsidRPr="00DD72C5">
        <w:rPr>
          <w:rFonts w:eastAsia="Calibri" w:cs="Times New Roman"/>
        </w:rPr>
        <w:t xml:space="preserve">-100749, Order 06 (March </w:t>
      </w:r>
      <w:r w:rsidR="004B0B66" w:rsidRPr="00DD72C5">
        <w:rPr>
          <w:rFonts w:eastAsia="Calibri" w:cs="Times New Roman"/>
        </w:rPr>
        <w:t xml:space="preserve">25, 2011) </w:t>
      </w:r>
      <w:r w:rsidR="004B0B66" w:rsidRPr="00DD72C5">
        <w:rPr>
          <w:rFonts w:eastAsia="Calibri" w:cs="Times New Roman"/>
        </w:rPr>
        <w:tab/>
      </w:r>
      <w:r w:rsidR="0047632A">
        <w:rPr>
          <w:rFonts w:eastAsia="Calibri" w:cs="Times New Roman"/>
        </w:rPr>
        <w:t>3, 8</w:t>
      </w:r>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rPr>
      </w:pPr>
    </w:p>
    <w:p w:rsidR="00CD4FE0" w:rsidRPr="00DD72C5" w:rsidRDefault="00CD4FE0" w:rsidP="00CD4FE0">
      <w:pPr>
        <w:widowControl w:val="0"/>
        <w:tabs>
          <w:tab w:val="left" w:pos="720"/>
          <w:tab w:val="left" w:pos="1440"/>
          <w:tab w:val="left" w:pos="2160"/>
          <w:tab w:val="right" w:leader="dot" w:pos="9000"/>
        </w:tabs>
        <w:contextualSpacing/>
        <w:rPr>
          <w:rFonts w:eastAsia="Calibri" w:cs="Times New Roman"/>
        </w:rPr>
      </w:pPr>
      <w:r w:rsidRPr="00DD72C5">
        <w:rPr>
          <w:rFonts w:eastAsia="Calibri" w:cs="Times New Roman"/>
          <w:i/>
        </w:rPr>
        <w:t>WUTC v. Washington Natural Gas Company</w:t>
      </w:r>
      <w:r w:rsidRPr="00DD72C5">
        <w:rPr>
          <w:rFonts w:eastAsia="Calibri" w:cs="Times New Roman"/>
        </w:rPr>
        <w:t xml:space="preserve">, </w:t>
      </w:r>
    </w:p>
    <w:p w:rsidR="00CD4FE0" w:rsidRPr="00DD72C5" w:rsidRDefault="00CD4FE0" w:rsidP="00CD4FE0">
      <w:pPr>
        <w:widowControl w:val="0"/>
        <w:tabs>
          <w:tab w:val="left" w:pos="720"/>
          <w:tab w:val="left" w:pos="1440"/>
          <w:tab w:val="left" w:pos="2160"/>
          <w:tab w:val="right" w:leader="dot" w:pos="9000"/>
        </w:tabs>
        <w:contextualSpacing/>
        <w:rPr>
          <w:rFonts w:eastAsia="Calibri" w:cs="Times New Roman"/>
        </w:rPr>
      </w:pPr>
      <w:r w:rsidRPr="00DD72C5">
        <w:rPr>
          <w:rFonts w:eastAsia="Calibri" w:cs="Times New Roman"/>
        </w:rPr>
        <w:tab/>
        <w:t xml:space="preserve">Dockets </w:t>
      </w:r>
      <w:proofErr w:type="spellStart"/>
      <w:r w:rsidRPr="00DD72C5">
        <w:rPr>
          <w:rFonts w:eastAsia="Calibri" w:cs="Times New Roman"/>
        </w:rPr>
        <w:t>UG</w:t>
      </w:r>
      <w:proofErr w:type="spellEnd"/>
      <w:r w:rsidRPr="00DD72C5">
        <w:rPr>
          <w:rFonts w:eastAsia="Calibri" w:cs="Times New Roman"/>
        </w:rPr>
        <w:t xml:space="preserve">-940034 and </w:t>
      </w:r>
      <w:proofErr w:type="spellStart"/>
      <w:r w:rsidRPr="00DD72C5">
        <w:rPr>
          <w:rFonts w:eastAsia="Calibri" w:cs="Times New Roman"/>
        </w:rPr>
        <w:t>UG</w:t>
      </w:r>
      <w:proofErr w:type="spellEnd"/>
      <w:r w:rsidRPr="00DD72C5">
        <w:rPr>
          <w:rFonts w:eastAsia="Calibri" w:cs="Times New Roman"/>
        </w:rPr>
        <w:t xml:space="preserve">-940814, Supplemental Order 05 </w:t>
      </w:r>
    </w:p>
    <w:p w:rsidR="00CD4FE0" w:rsidRPr="00CD4FE0" w:rsidRDefault="004B0B66" w:rsidP="00CD4FE0">
      <w:pPr>
        <w:widowControl w:val="0"/>
        <w:tabs>
          <w:tab w:val="left" w:pos="720"/>
          <w:tab w:val="left" w:pos="1440"/>
          <w:tab w:val="left" w:pos="2160"/>
          <w:tab w:val="right" w:leader="dot" w:pos="9000"/>
        </w:tabs>
        <w:contextualSpacing/>
        <w:rPr>
          <w:rFonts w:eastAsia="Calibri" w:cs="Times New Roman"/>
        </w:rPr>
      </w:pPr>
      <w:r w:rsidRPr="00DD72C5">
        <w:rPr>
          <w:rFonts w:eastAsia="Calibri" w:cs="Times New Roman"/>
        </w:rPr>
        <w:tab/>
        <w:t xml:space="preserve">(April 11, 1995) </w:t>
      </w:r>
      <w:r w:rsidRPr="00DD72C5">
        <w:rPr>
          <w:rFonts w:eastAsia="Calibri" w:cs="Times New Roman"/>
        </w:rPr>
        <w:tab/>
      </w:r>
      <w:r w:rsidR="0047632A">
        <w:rPr>
          <w:rFonts w:eastAsia="Calibri" w:cs="Times New Roman"/>
        </w:rPr>
        <w:t>9</w:t>
      </w:r>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rPr>
      </w:pPr>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rPr>
      </w:pPr>
    </w:p>
    <w:p w:rsidR="00CD4FE0" w:rsidRDefault="00CD4FE0" w:rsidP="00CD4FE0">
      <w:pPr>
        <w:widowControl w:val="0"/>
        <w:tabs>
          <w:tab w:val="left" w:pos="720"/>
          <w:tab w:val="left" w:pos="1440"/>
          <w:tab w:val="left" w:pos="2160"/>
          <w:tab w:val="right" w:leader="dot" w:pos="9000"/>
        </w:tabs>
        <w:contextualSpacing/>
        <w:jc w:val="center"/>
        <w:rPr>
          <w:rFonts w:eastAsia="Calibri" w:cs="Times New Roman"/>
          <w:i/>
        </w:rPr>
      </w:pPr>
      <w:r w:rsidRPr="00CD4FE0">
        <w:rPr>
          <w:rFonts w:eastAsia="Calibri" w:cs="Times New Roman"/>
          <w:i/>
        </w:rPr>
        <w:t>Statues and Rules</w:t>
      </w:r>
    </w:p>
    <w:p w:rsidR="00D43F93" w:rsidRDefault="00D43F93" w:rsidP="00CD4FE0">
      <w:pPr>
        <w:widowControl w:val="0"/>
        <w:tabs>
          <w:tab w:val="left" w:pos="720"/>
          <w:tab w:val="left" w:pos="1440"/>
          <w:tab w:val="left" w:pos="2160"/>
          <w:tab w:val="right" w:leader="dot" w:pos="9000"/>
        </w:tabs>
        <w:contextualSpacing/>
        <w:jc w:val="center"/>
        <w:rPr>
          <w:rFonts w:eastAsia="Calibri" w:cs="Times New Roman"/>
          <w:i/>
        </w:rPr>
      </w:pPr>
    </w:p>
    <w:p w:rsidR="00D43F93" w:rsidRPr="00D43F93" w:rsidRDefault="00D43F93" w:rsidP="00C4523F">
      <w:pPr>
        <w:widowControl w:val="0"/>
        <w:tabs>
          <w:tab w:val="left" w:pos="720"/>
          <w:tab w:val="left" w:pos="1440"/>
          <w:tab w:val="right" w:leader="dot" w:pos="9000"/>
        </w:tabs>
        <w:contextualSpacing/>
        <w:rPr>
          <w:rFonts w:eastAsia="Calibri" w:cs="Times New Roman"/>
        </w:rPr>
      </w:pPr>
      <w:r>
        <w:rPr>
          <w:rFonts w:eastAsia="Calibri" w:cs="Times New Roman"/>
        </w:rPr>
        <w:t>WAC 480-07-510</w:t>
      </w:r>
      <w:r w:rsidR="00C4523F">
        <w:rPr>
          <w:rFonts w:eastAsia="Calibri" w:cs="Times New Roman"/>
        </w:rPr>
        <w:t xml:space="preserve"> </w:t>
      </w:r>
      <w:r w:rsidR="00C4523F">
        <w:rPr>
          <w:rFonts w:eastAsia="Calibri" w:cs="Times New Roman"/>
        </w:rPr>
        <w:tab/>
        <w:t>12</w:t>
      </w:r>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rPr>
      </w:pPr>
    </w:p>
    <w:p w:rsidR="00CD4FE0" w:rsidRPr="00CD4FE0" w:rsidRDefault="0047632A" w:rsidP="00352B53">
      <w:pPr>
        <w:widowControl w:val="0"/>
        <w:tabs>
          <w:tab w:val="left" w:pos="720"/>
          <w:tab w:val="left" w:pos="1440"/>
          <w:tab w:val="right" w:leader="dot" w:pos="9000"/>
        </w:tabs>
        <w:contextualSpacing/>
        <w:rPr>
          <w:rFonts w:eastAsia="Calibri" w:cs="Times New Roman"/>
        </w:rPr>
      </w:pPr>
      <w:r>
        <w:t xml:space="preserve">RCW 80.04.250 </w:t>
      </w:r>
      <w:r>
        <w:tab/>
        <w:t>5</w:t>
      </w:r>
      <w:bookmarkStart w:id="0" w:name="_GoBack"/>
      <w:bookmarkEnd w:id="0"/>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rPr>
      </w:pPr>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rPr>
      </w:pPr>
    </w:p>
    <w:p w:rsidR="00CD4FE0" w:rsidRPr="00CD4FE0" w:rsidRDefault="00CD4FE0" w:rsidP="00CD4FE0">
      <w:pPr>
        <w:widowControl w:val="0"/>
        <w:tabs>
          <w:tab w:val="left" w:pos="720"/>
          <w:tab w:val="left" w:pos="1440"/>
          <w:tab w:val="left" w:pos="2160"/>
          <w:tab w:val="right" w:leader="dot" w:pos="9000"/>
        </w:tabs>
        <w:contextualSpacing/>
        <w:rPr>
          <w:rFonts w:eastAsia="Calibri" w:cs="Times New Roman"/>
        </w:rPr>
      </w:pPr>
    </w:p>
    <w:p w:rsidR="00CD4FE0" w:rsidRPr="00CD4FE0" w:rsidRDefault="00CD4FE0" w:rsidP="00CD4FE0">
      <w:pPr>
        <w:spacing w:after="200" w:line="276" w:lineRule="auto"/>
        <w:rPr>
          <w:rFonts w:cs="Times New Roman"/>
        </w:rPr>
        <w:sectPr w:rsidR="00CD4FE0" w:rsidRPr="00CD4FE0" w:rsidSect="00923F66">
          <w:footerReference w:type="default" r:id="rId9"/>
          <w:pgSz w:w="12240" w:h="15840"/>
          <w:pgMar w:top="1440" w:right="1440" w:bottom="1440" w:left="1440" w:header="720" w:footer="720" w:gutter="0"/>
          <w:pgNumType w:fmt="lowerRoman" w:start="1"/>
          <w:cols w:space="720"/>
          <w:docGrid w:linePitch="360"/>
        </w:sectPr>
      </w:pPr>
    </w:p>
    <w:p w:rsidR="00A0009F" w:rsidRPr="00A0009F" w:rsidRDefault="00A0009F" w:rsidP="00A0009F">
      <w:pPr>
        <w:pStyle w:val="ListParagraph"/>
        <w:jc w:val="center"/>
        <w:rPr>
          <w:b/>
        </w:rPr>
      </w:pPr>
      <w:r>
        <w:rPr>
          <w:b/>
        </w:rPr>
        <w:lastRenderedPageBreak/>
        <w:t>I.</w:t>
      </w:r>
      <w:r>
        <w:rPr>
          <w:b/>
        </w:rPr>
        <w:tab/>
        <w:t>INTRODUCTION</w:t>
      </w:r>
    </w:p>
    <w:p w:rsidR="00180353" w:rsidRPr="00923F66" w:rsidRDefault="00A0009F" w:rsidP="00923F66">
      <w:pPr>
        <w:pStyle w:val="ListParagraph"/>
        <w:numPr>
          <w:ilvl w:val="0"/>
          <w:numId w:val="15"/>
        </w:numPr>
        <w:rPr>
          <w:b/>
        </w:rPr>
      </w:pPr>
      <w:r>
        <w:tab/>
      </w:r>
      <w:r w:rsidR="00E758B4" w:rsidRPr="00923F66">
        <w:t>Staff’s Reply Brief</w:t>
      </w:r>
      <w:r w:rsidR="00AC67A6">
        <w:t xml:space="preserve"> </w:t>
      </w:r>
      <w:r w:rsidR="00180353" w:rsidRPr="00923F66">
        <w:t>respond</w:t>
      </w:r>
      <w:r w:rsidR="00E758B4" w:rsidRPr="00923F66">
        <w:t>s</w:t>
      </w:r>
      <w:r w:rsidR="00180353" w:rsidRPr="00923F66">
        <w:t xml:space="preserve"> only to </w:t>
      </w:r>
      <w:r w:rsidR="00895428" w:rsidRPr="00923F66">
        <w:t>Company arguments that</w:t>
      </w:r>
      <w:r w:rsidR="00180353" w:rsidRPr="00923F66">
        <w:t xml:space="preserve"> misstate or mischaracterize the Staff position on an issue</w:t>
      </w:r>
      <w:r w:rsidR="0069424B" w:rsidRPr="00923F66">
        <w:t>, or that divert the Commission</w:t>
      </w:r>
      <w:r w:rsidR="00D35D6C">
        <w:t>’s attention</w:t>
      </w:r>
      <w:r w:rsidR="00D876CE">
        <w:t xml:space="preserve"> </w:t>
      </w:r>
      <w:r w:rsidR="0069424B" w:rsidRPr="00923F66">
        <w:t>from the essential issue</w:t>
      </w:r>
      <w:r w:rsidR="00180353" w:rsidRPr="00923F66">
        <w:t xml:space="preserve">.  Our silence on any argument presented by </w:t>
      </w:r>
      <w:r w:rsidR="00895428" w:rsidRPr="00923F66">
        <w:t>PacifiCorp</w:t>
      </w:r>
      <w:r w:rsidR="00E758B4" w:rsidRPr="00923F66">
        <w:t xml:space="preserve"> </w:t>
      </w:r>
      <w:r w:rsidR="00180353" w:rsidRPr="00923F66">
        <w:t xml:space="preserve">should not be construed as agreement with </w:t>
      </w:r>
      <w:r w:rsidR="00895428" w:rsidRPr="00923F66">
        <w:t>the Company</w:t>
      </w:r>
      <w:r w:rsidR="00180353" w:rsidRPr="00923F66">
        <w:t xml:space="preserve"> on that </w:t>
      </w:r>
      <w:r w:rsidR="007B1A61">
        <w:t xml:space="preserve">issue </w:t>
      </w:r>
      <w:r w:rsidR="00D50D22" w:rsidRPr="00923F66">
        <w:t xml:space="preserve">or any related </w:t>
      </w:r>
      <w:r w:rsidR="00180353" w:rsidRPr="00923F66">
        <w:t>issue.</w:t>
      </w:r>
    </w:p>
    <w:p w:rsidR="00FB1CEC" w:rsidRDefault="00151FB5" w:rsidP="00FB1CEC">
      <w:pPr>
        <w:spacing w:line="480" w:lineRule="auto"/>
        <w:jc w:val="center"/>
        <w:rPr>
          <w:b/>
        </w:rPr>
      </w:pPr>
      <w:r>
        <w:rPr>
          <w:b/>
        </w:rPr>
        <w:t>I</w:t>
      </w:r>
      <w:r w:rsidR="00A0009F">
        <w:rPr>
          <w:b/>
        </w:rPr>
        <w:t>I</w:t>
      </w:r>
      <w:r>
        <w:rPr>
          <w:b/>
        </w:rPr>
        <w:t>.</w:t>
      </w:r>
      <w:r>
        <w:rPr>
          <w:b/>
        </w:rPr>
        <w:tab/>
        <w:t>ARGUMENT</w:t>
      </w:r>
    </w:p>
    <w:p w:rsidR="00151FB5" w:rsidRDefault="00151FB5" w:rsidP="002E1BC1">
      <w:pPr>
        <w:spacing w:line="480" w:lineRule="auto"/>
        <w:rPr>
          <w:b/>
        </w:rPr>
      </w:pPr>
      <w:r>
        <w:rPr>
          <w:b/>
        </w:rPr>
        <w:t>A.</w:t>
      </w:r>
      <w:r>
        <w:rPr>
          <w:b/>
        </w:rPr>
        <w:tab/>
        <w:t>Cost of Capital</w:t>
      </w:r>
    </w:p>
    <w:p w:rsidR="00B55906" w:rsidRPr="00B55906" w:rsidRDefault="00151FB5" w:rsidP="001D212A">
      <w:pPr>
        <w:spacing w:line="480" w:lineRule="auto"/>
        <w:ind w:firstLine="720"/>
        <w:rPr>
          <w:b/>
        </w:rPr>
      </w:pPr>
      <w:r>
        <w:rPr>
          <w:b/>
        </w:rPr>
        <w:t>1</w:t>
      </w:r>
      <w:r w:rsidR="00B55906" w:rsidRPr="00B55906">
        <w:rPr>
          <w:b/>
        </w:rPr>
        <w:t>.</w:t>
      </w:r>
      <w:r w:rsidR="00B55906" w:rsidRPr="00B55906">
        <w:rPr>
          <w:b/>
        </w:rPr>
        <w:tab/>
        <w:t>Return on Equity</w:t>
      </w:r>
    </w:p>
    <w:p w:rsidR="007B0159" w:rsidRPr="0081744A" w:rsidRDefault="00923F66" w:rsidP="00923F66">
      <w:pPr>
        <w:pStyle w:val="ListParagraph"/>
        <w:numPr>
          <w:ilvl w:val="0"/>
          <w:numId w:val="15"/>
        </w:numPr>
      </w:pPr>
      <w:r>
        <w:tab/>
      </w:r>
      <w:r w:rsidR="00245110" w:rsidRPr="00801D71">
        <w:t xml:space="preserve">The </w:t>
      </w:r>
      <w:r w:rsidR="00151FB5">
        <w:t xml:space="preserve">main </w:t>
      </w:r>
      <w:r w:rsidR="00245110" w:rsidRPr="00801D71">
        <w:t xml:space="preserve">issue presented by the initial briefs is whether </w:t>
      </w:r>
      <w:r w:rsidR="00D35D6C">
        <w:t xml:space="preserve">the Commission should </w:t>
      </w:r>
      <w:r w:rsidR="00D35D6C" w:rsidRPr="00801D71">
        <w:t>abandon the Discounted Cash Flow (“</w:t>
      </w:r>
      <w:proofErr w:type="spellStart"/>
      <w:r w:rsidR="00D35D6C" w:rsidRPr="00801D71">
        <w:t>DCF</w:t>
      </w:r>
      <w:proofErr w:type="spellEnd"/>
      <w:r w:rsidR="00D35D6C" w:rsidRPr="00801D71">
        <w:t xml:space="preserve">”) approach to determining the cost of equity </w:t>
      </w:r>
      <w:r w:rsidR="00D35D6C">
        <w:t xml:space="preserve">because of </w:t>
      </w:r>
      <w:r w:rsidR="00FB1CEC" w:rsidRPr="00801D71">
        <w:t>a</w:t>
      </w:r>
      <w:r w:rsidR="00E05EF5">
        <w:t xml:space="preserve">n </w:t>
      </w:r>
      <w:r w:rsidR="00FB1CEC" w:rsidRPr="00801D71">
        <w:t xml:space="preserve">increase in interest rates </w:t>
      </w:r>
      <w:r w:rsidR="00E05EF5">
        <w:t xml:space="preserve">occurring </w:t>
      </w:r>
      <w:r w:rsidR="00913D8B">
        <w:t>only this past summer</w:t>
      </w:r>
      <w:r w:rsidR="00E05EF5">
        <w:t xml:space="preserve"> </w:t>
      </w:r>
      <w:r w:rsidR="00151FB5">
        <w:t>with un</w:t>
      </w:r>
      <w:r w:rsidR="00D35D6C">
        <w:t>known duration and consequences</w:t>
      </w:r>
      <w:r w:rsidR="00245110" w:rsidRPr="00801D71">
        <w:t xml:space="preserve">.  </w:t>
      </w:r>
      <w:r w:rsidR="004E5E0E">
        <w:t xml:space="preserve">Staff recommends that </w:t>
      </w:r>
      <w:r w:rsidR="00C06D59">
        <w:t xml:space="preserve">the Commission </w:t>
      </w:r>
      <w:r w:rsidR="00913D8B">
        <w:t>not go down that road</w:t>
      </w:r>
      <w:r w:rsidR="00801D71" w:rsidRPr="00801D71">
        <w:t xml:space="preserve">.  </w:t>
      </w:r>
      <w:r w:rsidR="004E5E0E">
        <w:t>As Mr. Elgin stated, t</w:t>
      </w:r>
      <w:r w:rsidR="007B0159" w:rsidRPr="00801D71">
        <w:t>he price of common stock is set in highly competitive capital markets that reflect investor expectations</w:t>
      </w:r>
      <w:r w:rsidR="00801D71" w:rsidRPr="00801D71">
        <w:t xml:space="preserve"> </w:t>
      </w:r>
      <w:r w:rsidR="00B374AF">
        <w:t>based on all relevant information</w:t>
      </w:r>
      <w:r w:rsidR="007B0159" w:rsidRPr="00801D71">
        <w:t>.</w:t>
      </w:r>
      <w:r w:rsidR="004E5E0E">
        <w:rPr>
          <w:rStyle w:val="FootnoteReference"/>
        </w:rPr>
        <w:footnoteReference w:id="1"/>
      </w:r>
      <w:r w:rsidR="007B0159" w:rsidRPr="00801D71">
        <w:t xml:space="preserve">  The </w:t>
      </w:r>
      <w:proofErr w:type="spellStart"/>
      <w:r w:rsidR="007B0159" w:rsidRPr="00801D71">
        <w:t>DCF</w:t>
      </w:r>
      <w:proofErr w:type="spellEnd"/>
      <w:r w:rsidR="007B0159" w:rsidRPr="00801D71">
        <w:t xml:space="preserve"> model relies on the price of common stock</w:t>
      </w:r>
      <w:r w:rsidR="00913D8B">
        <w:t>.</w:t>
      </w:r>
      <w:r w:rsidR="00E05EF5">
        <w:t xml:space="preserve">  </w:t>
      </w:r>
      <w:r w:rsidR="004E5E0E">
        <w:t>T</w:t>
      </w:r>
      <w:r w:rsidR="007B0159" w:rsidRPr="00801D71">
        <w:t xml:space="preserve">herefore, </w:t>
      </w:r>
      <w:r w:rsidR="00E758B4">
        <w:t xml:space="preserve">the </w:t>
      </w:r>
      <w:proofErr w:type="spellStart"/>
      <w:r w:rsidR="00E758B4">
        <w:t>DCF</w:t>
      </w:r>
      <w:proofErr w:type="spellEnd"/>
      <w:r w:rsidR="00E758B4">
        <w:t xml:space="preserve"> model</w:t>
      </w:r>
      <w:r w:rsidR="004E5E0E">
        <w:t xml:space="preserve"> </w:t>
      </w:r>
      <w:r w:rsidR="007B0159" w:rsidRPr="00801D71">
        <w:t>is a reliable indicator of the cost of equity.</w:t>
      </w:r>
      <w:r w:rsidR="007E56BC">
        <w:t xml:space="preserve">  </w:t>
      </w:r>
      <w:r w:rsidR="00801D71" w:rsidRPr="00801D71">
        <w:t xml:space="preserve">Boise </w:t>
      </w:r>
      <w:r w:rsidR="00801D71">
        <w:t>White Paper</w:t>
      </w:r>
      <w:r w:rsidR="00C06D59">
        <w:t xml:space="preserve"> agrees </w:t>
      </w:r>
      <w:r w:rsidR="00CA1B66">
        <w:t xml:space="preserve">with Staff </w:t>
      </w:r>
      <w:r w:rsidR="00801D71" w:rsidRPr="00801D71">
        <w:t xml:space="preserve">that </w:t>
      </w:r>
      <w:r w:rsidR="004E5E0E">
        <w:t>t</w:t>
      </w:r>
      <w:r w:rsidR="00801D71">
        <w:t xml:space="preserve">he </w:t>
      </w:r>
      <w:proofErr w:type="spellStart"/>
      <w:r w:rsidR="00801D71">
        <w:t>DCF</w:t>
      </w:r>
      <w:proofErr w:type="spellEnd"/>
      <w:r w:rsidR="00801D71">
        <w:t xml:space="preserve"> model produces </w:t>
      </w:r>
      <w:r w:rsidR="00D50D22">
        <w:t>“</w:t>
      </w:r>
      <w:r w:rsidR="00801D71">
        <w:t>reliable r</w:t>
      </w:r>
      <w:r w:rsidR="004E5E0E">
        <w:t xml:space="preserve">esults that correctly gauge the </w:t>
      </w:r>
      <w:r w:rsidR="00151FB5">
        <w:t xml:space="preserve">appetite of the market </w:t>
      </w:r>
      <w:r w:rsidR="00801D71">
        <w:t>for uti</w:t>
      </w:r>
      <w:r w:rsidR="004E5E0E">
        <w:t>lity stock</w:t>
      </w:r>
      <w:r w:rsidR="00180353">
        <w:t>s . . .</w:t>
      </w:r>
      <w:r w:rsidR="00801D71">
        <w:t>”</w:t>
      </w:r>
      <w:r w:rsidR="00801D71">
        <w:rPr>
          <w:rStyle w:val="FootnoteReference"/>
        </w:rPr>
        <w:footnoteReference w:id="2"/>
      </w:r>
    </w:p>
    <w:p w:rsidR="007B0159" w:rsidRDefault="00923F66" w:rsidP="00923F66">
      <w:pPr>
        <w:pStyle w:val="ListParagraph"/>
        <w:numPr>
          <w:ilvl w:val="0"/>
          <w:numId w:val="15"/>
        </w:numPr>
      </w:pPr>
      <w:r>
        <w:tab/>
      </w:r>
      <w:r w:rsidR="002E1BC1">
        <w:t xml:space="preserve">The Company argues that rising interest rates </w:t>
      </w:r>
      <w:r w:rsidR="00B374AF">
        <w:t xml:space="preserve">just before hearings </w:t>
      </w:r>
      <w:r w:rsidR="002E1BC1">
        <w:t xml:space="preserve">have increased its cost of equity, which can </w:t>
      </w:r>
      <w:r w:rsidR="00B86096">
        <w:t xml:space="preserve">now </w:t>
      </w:r>
      <w:r w:rsidR="002E1BC1">
        <w:t xml:space="preserve">be measured </w:t>
      </w:r>
      <w:r w:rsidR="00151FB5">
        <w:t xml:space="preserve">only </w:t>
      </w:r>
      <w:r w:rsidR="002E1BC1">
        <w:t xml:space="preserve">by Dr. </w:t>
      </w:r>
      <w:proofErr w:type="spellStart"/>
      <w:r w:rsidR="002E1BC1">
        <w:t>Hadaway’</w:t>
      </w:r>
      <w:r w:rsidR="00FB1CEC">
        <w:t>s</w:t>
      </w:r>
      <w:proofErr w:type="spellEnd"/>
      <w:r w:rsidR="00FB1CEC">
        <w:t xml:space="preserve"> updated Risk P</w:t>
      </w:r>
      <w:r w:rsidR="002E1BC1">
        <w:t>remium analyses.</w:t>
      </w:r>
      <w:r w:rsidR="002E1BC1">
        <w:rPr>
          <w:rStyle w:val="FootnoteReference"/>
        </w:rPr>
        <w:footnoteReference w:id="3"/>
      </w:r>
      <w:r w:rsidR="002E1BC1">
        <w:t xml:space="preserve">  </w:t>
      </w:r>
      <w:r w:rsidR="007B0159">
        <w:t>PacifiCorp</w:t>
      </w:r>
      <w:r w:rsidR="00C06D59">
        <w:t>, therefore,</w:t>
      </w:r>
      <w:r w:rsidR="00D876CE">
        <w:t xml:space="preserve"> asks the Commission to </w:t>
      </w:r>
      <w:r w:rsidR="007B0159">
        <w:t xml:space="preserve">ignore </w:t>
      </w:r>
      <w:r w:rsidR="005C038C">
        <w:t xml:space="preserve">all </w:t>
      </w:r>
      <w:proofErr w:type="spellStart"/>
      <w:r w:rsidR="00C06D59">
        <w:t>DCF</w:t>
      </w:r>
      <w:proofErr w:type="spellEnd"/>
      <w:r w:rsidR="00C06D59">
        <w:t xml:space="preserve"> results, including </w:t>
      </w:r>
      <w:r w:rsidR="00D876CE">
        <w:t>not only Mr. Elgin’s that supports a</w:t>
      </w:r>
      <w:r w:rsidR="00CA1B66">
        <w:t xml:space="preserve"> 9.00 percent </w:t>
      </w:r>
      <w:r w:rsidR="00CF5DC7">
        <w:t xml:space="preserve">return on </w:t>
      </w:r>
      <w:r w:rsidR="00D876CE">
        <w:t>equity</w:t>
      </w:r>
      <w:r w:rsidR="00CA1B66">
        <w:t xml:space="preserve">, but also </w:t>
      </w:r>
      <w:r w:rsidR="001B210D">
        <w:t xml:space="preserve">the three studies </w:t>
      </w:r>
      <w:r w:rsidR="007B0159">
        <w:t xml:space="preserve">submitted by </w:t>
      </w:r>
      <w:r w:rsidR="00CA1B66">
        <w:t xml:space="preserve">Dr. </w:t>
      </w:r>
      <w:proofErr w:type="spellStart"/>
      <w:r w:rsidR="00CA1B66">
        <w:lastRenderedPageBreak/>
        <w:t>Hadaway</w:t>
      </w:r>
      <w:proofErr w:type="spellEnd"/>
      <w:r w:rsidR="00CA1B66">
        <w:t xml:space="preserve"> </w:t>
      </w:r>
      <w:r w:rsidR="005C038C">
        <w:t xml:space="preserve">that </w:t>
      </w:r>
      <w:r w:rsidR="001B210D">
        <w:t>all produce a return on equity no more than 9 percent</w:t>
      </w:r>
      <w:r w:rsidR="00D50D22">
        <w:t>,</w:t>
      </w:r>
      <w:r w:rsidR="001B210D">
        <w:rPr>
          <w:rStyle w:val="FootnoteReference"/>
        </w:rPr>
        <w:footnoteReference w:id="4"/>
      </w:r>
      <w:r w:rsidR="001C7832">
        <w:t xml:space="preserve"> and the three studies </w:t>
      </w:r>
      <w:r w:rsidR="00B374AF">
        <w:t>present</w:t>
      </w:r>
      <w:r w:rsidR="001C7832">
        <w:t xml:space="preserve">ed by Mr. Gorman that produce </w:t>
      </w:r>
      <w:r w:rsidR="00CF5DC7">
        <w:t>a</w:t>
      </w:r>
      <w:r w:rsidR="001C7832">
        <w:t>n average return on equity of 8.83 percent.</w:t>
      </w:r>
      <w:r w:rsidR="001C7832">
        <w:rPr>
          <w:rStyle w:val="FootnoteReference"/>
        </w:rPr>
        <w:footnoteReference w:id="5"/>
      </w:r>
    </w:p>
    <w:p w:rsidR="001B210D" w:rsidRDefault="00923F66" w:rsidP="00923F66">
      <w:pPr>
        <w:pStyle w:val="ListParagraph"/>
        <w:numPr>
          <w:ilvl w:val="0"/>
          <w:numId w:val="15"/>
        </w:numPr>
      </w:pPr>
      <w:r>
        <w:tab/>
      </w:r>
      <w:r w:rsidR="002E1BC1">
        <w:t>In support of thi</w:t>
      </w:r>
      <w:r w:rsidR="007B0159">
        <w:t>s position</w:t>
      </w:r>
      <w:r w:rsidR="005C038C">
        <w:t xml:space="preserve">, the Company claims </w:t>
      </w:r>
      <w:r w:rsidR="00962839">
        <w:t xml:space="preserve">Mr. Elgin admitted </w:t>
      </w:r>
      <w:r w:rsidR="008E0BF8">
        <w:t>his r</w:t>
      </w:r>
      <w:r w:rsidR="002E1BC1">
        <w:t xml:space="preserve">eturn on equity </w:t>
      </w:r>
      <w:r w:rsidR="00D35D6C">
        <w:t xml:space="preserve">range </w:t>
      </w:r>
      <w:r w:rsidR="008E0BF8">
        <w:t xml:space="preserve">should be </w:t>
      </w:r>
      <w:r w:rsidR="002E1BC1">
        <w:t>increase</w:t>
      </w:r>
      <w:r w:rsidR="008E0BF8">
        <w:t>d</w:t>
      </w:r>
      <w:r w:rsidR="002E1BC1">
        <w:t xml:space="preserve"> 25 basis points to account for </w:t>
      </w:r>
      <w:r w:rsidR="00C75824">
        <w:t>changes in market conditions since he filed his written testimony</w:t>
      </w:r>
      <w:r w:rsidR="002E1BC1">
        <w:t>.</w:t>
      </w:r>
      <w:r w:rsidR="002E1BC1">
        <w:rPr>
          <w:rStyle w:val="FootnoteReference"/>
        </w:rPr>
        <w:footnoteReference w:id="6"/>
      </w:r>
      <w:r w:rsidR="00D35D6C">
        <w:t xml:space="preserve">  PacifiCorp</w:t>
      </w:r>
      <w:r w:rsidR="007E56BC">
        <w:t>’s</w:t>
      </w:r>
      <w:r w:rsidR="002E1BC1">
        <w:t xml:space="preserve"> </w:t>
      </w:r>
      <w:r w:rsidR="00B374AF">
        <w:t>characterization of</w:t>
      </w:r>
      <w:r w:rsidR="007E56BC">
        <w:t xml:space="preserve"> Mr. Elgi</w:t>
      </w:r>
      <w:r w:rsidR="00962839">
        <w:t xml:space="preserve">n’s testimony is misleading because it is </w:t>
      </w:r>
      <w:r w:rsidR="007E56BC">
        <w:t>taken compl</w:t>
      </w:r>
      <w:r w:rsidR="001B210D">
        <w:t xml:space="preserve">etely out of context.  </w:t>
      </w:r>
      <w:r w:rsidR="007E56BC">
        <w:t xml:space="preserve">Mr. Elgin did </w:t>
      </w:r>
      <w:r w:rsidR="007E56BC" w:rsidRPr="00923F66">
        <w:rPr>
          <w:i/>
        </w:rPr>
        <w:t>not</w:t>
      </w:r>
      <w:r w:rsidR="007E56BC">
        <w:t xml:space="preserve"> state that h</w:t>
      </w:r>
      <w:r w:rsidR="00D35D6C">
        <w:t>is equity range</w:t>
      </w:r>
      <w:r w:rsidR="00D876CE">
        <w:t xml:space="preserve"> </w:t>
      </w:r>
      <w:r w:rsidR="007E56BC" w:rsidRPr="00923F66">
        <w:rPr>
          <w:i/>
        </w:rPr>
        <w:t xml:space="preserve">should </w:t>
      </w:r>
      <w:r w:rsidR="007E56BC">
        <w:t>be increased as a result of recent increases in interest rates</w:t>
      </w:r>
      <w:r w:rsidR="001B210D">
        <w:t xml:space="preserve">.  </w:t>
      </w:r>
      <w:r w:rsidR="00E75FAB">
        <w:t>Very much to the contrary</w:t>
      </w:r>
      <w:r w:rsidR="001B210D">
        <w:t xml:space="preserve">, he stated </w:t>
      </w:r>
      <w:r w:rsidR="007E56BC">
        <w:t xml:space="preserve">that </w:t>
      </w:r>
      <w:r w:rsidR="00E75FAB">
        <w:t>“</w:t>
      </w:r>
      <w:r w:rsidR="007E56BC">
        <w:t>equity costs change slowly over time</w:t>
      </w:r>
      <w:r w:rsidR="00E75FAB">
        <w:t>,</w:t>
      </w:r>
      <w:r w:rsidR="007E56BC">
        <w:t xml:space="preserve"> and how they change is </w:t>
      </w:r>
      <w:r w:rsidR="00E75FAB">
        <w:t xml:space="preserve">again </w:t>
      </w:r>
      <w:r w:rsidR="007E56BC">
        <w:t>reflected in the price investors</w:t>
      </w:r>
      <w:r w:rsidR="001B210D">
        <w:t xml:space="preserve"> are willing to pay for common equities</w:t>
      </w:r>
      <w:r w:rsidR="00710E3D">
        <w:t xml:space="preserve">.” </w:t>
      </w:r>
      <w:r w:rsidR="00C06D59">
        <w:rPr>
          <w:rStyle w:val="FootnoteReference"/>
        </w:rPr>
        <w:footnoteReference w:id="7"/>
      </w:r>
      <w:r w:rsidR="001B210D">
        <w:t xml:space="preserve">  Thus</w:t>
      </w:r>
      <w:r w:rsidR="005C038C">
        <w:t>, he testified</w:t>
      </w:r>
      <w:r w:rsidR="001B210D">
        <w:t xml:space="preserve"> there is: </w:t>
      </w:r>
    </w:p>
    <w:p w:rsidR="001B210D" w:rsidRDefault="001B210D" w:rsidP="00536396">
      <w:pPr>
        <w:ind w:left="720" w:right="720"/>
      </w:pPr>
      <w:r>
        <w:t xml:space="preserve">[W]ay too much quibbling about, well, interest rates went this way and interest rates went up and down and what do you actually use for – in a risk premium study.  Look at equity prices, look at how the market is reacting in relationship to what’s happening in long-term interest rate, and then make a judgment.  But if you look at today’s dividend yields, they’re still lower than when Dr. </w:t>
      </w:r>
      <w:proofErr w:type="spellStart"/>
      <w:r>
        <w:t>Hadaway</w:t>
      </w:r>
      <w:proofErr w:type="spellEnd"/>
      <w:r>
        <w:t xml:space="preserve"> and I filed our initial testimony.</w:t>
      </w:r>
      <w:r>
        <w:rPr>
          <w:rStyle w:val="FootnoteReference"/>
        </w:rPr>
        <w:footnoteReference w:id="8"/>
      </w:r>
    </w:p>
    <w:p w:rsidR="001B210D" w:rsidRDefault="001B210D" w:rsidP="001B210D">
      <w:pPr>
        <w:ind w:left="720"/>
      </w:pPr>
    </w:p>
    <w:p w:rsidR="005C038C" w:rsidRDefault="00E75FAB" w:rsidP="00E75FAB">
      <w:pPr>
        <w:spacing w:line="480" w:lineRule="auto"/>
      </w:pPr>
      <w:r>
        <w:t xml:space="preserve">It was </w:t>
      </w:r>
      <w:r w:rsidR="008B316F">
        <w:t xml:space="preserve">only </w:t>
      </w:r>
      <w:r>
        <w:t xml:space="preserve">in this context that Mr. Elgin stated </w:t>
      </w:r>
      <w:r w:rsidR="005C038C">
        <w:t xml:space="preserve">he </w:t>
      </w:r>
      <w:r>
        <w:t xml:space="preserve">would </w:t>
      </w:r>
      <w:r w:rsidR="00710E3D">
        <w:t>update</w:t>
      </w:r>
      <w:r>
        <w:t xml:space="preserve"> </w:t>
      </w:r>
      <w:r w:rsidR="008504C8">
        <w:t>the</w:t>
      </w:r>
      <w:r>
        <w:t xml:space="preserve"> </w:t>
      </w:r>
      <w:r w:rsidR="00B86096">
        <w:t xml:space="preserve">range </w:t>
      </w:r>
      <w:r w:rsidR="008504C8">
        <w:t>of</w:t>
      </w:r>
      <w:r w:rsidR="00B86096">
        <w:t xml:space="preserve"> </w:t>
      </w:r>
      <w:r w:rsidR="008504C8">
        <w:t>his</w:t>
      </w:r>
      <w:r w:rsidR="00B86096">
        <w:t xml:space="preserve"> </w:t>
      </w:r>
      <w:r w:rsidR="008504C8">
        <w:t xml:space="preserve">equity </w:t>
      </w:r>
      <w:r>
        <w:t>cost</w:t>
      </w:r>
      <w:r w:rsidR="00D50D22">
        <w:t>.  An</w:t>
      </w:r>
      <w:r w:rsidR="008B316F">
        <w:t xml:space="preserve"> update, however, was not his recommendation</w:t>
      </w:r>
      <w:r w:rsidR="009556D3">
        <w:t xml:space="preserve"> nor did he concede </w:t>
      </w:r>
      <w:r w:rsidR="00B374AF">
        <w:t>that an update</w:t>
      </w:r>
      <w:r w:rsidR="009556D3">
        <w:t xml:space="preserve"> was necessary</w:t>
      </w:r>
      <w:r w:rsidR="008B316F">
        <w:t>.</w:t>
      </w:r>
      <w:r w:rsidR="005C038C">
        <w:t xml:space="preserve">  </w:t>
      </w:r>
    </w:p>
    <w:p w:rsidR="00B55906" w:rsidRDefault="00923F66" w:rsidP="00923F66">
      <w:pPr>
        <w:pStyle w:val="ListParagraph"/>
        <w:numPr>
          <w:ilvl w:val="0"/>
          <w:numId w:val="15"/>
        </w:numPr>
      </w:pPr>
      <w:r>
        <w:tab/>
      </w:r>
      <w:r w:rsidR="00D50D22">
        <w:t>E</w:t>
      </w:r>
      <w:r w:rsidR="000D530C">
        <w:t xml:space="preserve">ven with an update, </w:t>
      </w:r>
      <w:r w:rsidR="00C75824">
        <w:t>his return on equity range would be 8.75</w:t>
      </w:r>
      <w:r w:rsidR="000D530C">
        <w:t xml:space="preserve"> percent to 9.25 percent</w:t>
      </w:r>
      <w:r w:rsidR="00C75824">
        <w:t>.</w:t>
      </w:r>
      <w:r w:rsidR="00C75824">
        <w:rPr>
          <w:rStyle w:val="FootnoteReference"/>
        </w:rPr>
        <w:footnoteReference w:id="9"/>
      </w:r>
      <w:r w:rsidR="00D876CE">
        <w:t xml:space="preserve">  His </w:t>
      </w:r>
      <w:r w:rsidR="00C75824">
        <w:t>9.0 percent return on equity</w:t>
      </w:r>
      <w:r w:rsidR="00710E3D">
        <w:t xml:space="preserve"> </w:t>
      </w:r>
      <w:r w:rsidR="00C06D59">
        <w:t xml:space="preserve">is </w:t>
      </w:r>
      <w:r w:rsidR="00B374AF">
        <w:t xml:space="preserve">still </w:t>
      </w:r>
      <w:r w:rsidR="00C06D59">
        <w:t xml:space="preserve">within that </w:t>
      </w:r>
      <w:r w:rsidR="00D876CE">
        <w:t>range.  As the midpoint</w:t>
      </w:r>
      <w:r w:rsidR="00142D66">
        <w:t xml:space="preserve">, a </w:t>
      </w:r>
      <w:r w:rsidR="00C75824">
        <w:t>9.0 percent e</w:t>
      </w:r>
      <w:r w:rsidR="00142D66">
        <w:t xml:space="preserve">quity return </w:t>
      </w:r>
      <w:r w:rsidR="00C75824">
        <w:t xml:space="preserve">still accounts for pressure </w:t>
      </w:r>
      <w:r w:rsidR="00B86096">
        <w:t xml:space="preserve">due to volatility in </w:t>
      </w:r>
      <w:r w:rsidR="00C75824">
        <w:t>interest rates</w:t>
      </w:r>
      <w:r w:rsidR="005C038C">
        <w:t xml:space="preserve">, if the Commission’s judgment is to </w:t>
      </w:r>
      <w:r w:rsidR="00CF5DC7">
        <w:t>rest its cost o</w:t>
      </w:r>
      <w:r w:rsidR="00710E3D">
        <w:t>f</w:t>
      </w:r>
      <w:r w:rsidR="00CF5DC7">
        <w:t xml:space="preserve"> equity determination on </w:t>
      </w:r>
      <w:r w:rsidR="009556D3">
        <w:t xml:space="preserve">extremely </w:t>
      </w:r>
      <w:r w:rsidR="005C038C">
        <w:t>recent interest rate changes</w:t>
      </w:r>
      <w:r w:rsidR="00D50D22">
        <w:t>.</w:t>
      </w:r>
      <w:r w:rsidR="005C038C">
        <w:t xml:space="preserve">  </w:t>
      </w:r>
    </w:p>
    <w:p w:rsidR="00923F66" w:rsidRDefault="00923F66" w:rsidP="00923F66">
      <w:pPr>
        <w:pStyle w:val="ListParagraph"/>
        <w:numPr>
          <w:ilvl w:val="0"/>
          <w:numId w:val="15"/>
        </w:numPr>
      </w:pPr>
      <w:r>
        <w:lastRenderedPageBreak/>
        <w:tab/>
      </w:r>
      <w:r w:rsidR="009556D3">
        <w:t>PacifiC</w:t>
      </w:r>
      <w:r w:rsidR="000D530C">
        <w:t>orp</w:t>
      </w:r>
      <w:r w:rsidR="008B316F">
        <w:t xml:space="preserve">’s </w:t>
      </w:r>
      <w:r w:rsidR="00B374AF">
        <w:t xml:space="preserve">characterization </w:t>
      </w:r>
      <w:r w:rsidR="008B316F">
        <w:t xml:space="preserve">of Mr. Elgin’s testimony </w:t>
      </w:r>
      <w:r w:rsidR="00AC67A6">
        <w:t xml:space="preserve">does a disservice </w:t>
      </w:r>
      <w:r w:rsidR="00B374AF">
        <w:t>to th</w:t>
      </w:r>
      <w:r w:rsidR="00CF5DC7">
        <w:t>e</w:t>
      </w:r>
      <w:r w:rsidR="00B374AF">
        <w:t xml:space="preserve"> </w:t>
      </w:r>
      <w:r w:rsidR="00CF5DC7">
        <w:t xml:space="preserve">cost of equity </w:t>
      </w:r>
      <w:r w:rsidR="00B374AF">
        <w:t>debate</w:t>
      </w:r>
      <w:r w:rsidR="00CF5DC7">
        <w:t xml:space="preserve"> before the Commission</w:t>
      </w:r>
      <w:r w:rsidR="00AC67A6">
        <w:t>.  But</w:t>
      </w:r>
      <w:r w:rsidR="00B374AF">
        <w:t xml:space="preserve">, it </w:t>
      </w:r>
      <w:r w:rsidR="00AC67A6">
        <w:t>does</w:t>
      </w:r>
      <w:r w:rsidR="008B316F">
        <w:t xml:space="preserve"> reveal a </w:t>
      </w:r>
      <w:r w:rsidR="00710E3D">
        <w:t>significant contradiction</w:t>
      </w:r>
      <w:r w:rsidR="008B316F">
        <w:t xml:space="preserve"> in the Company’s position on the impact of interest rates on the cost of equity.  When the Commission established PacifiCorp’s 9.8 percent cost of equity in March 2011</w:t>
      </w:r>
      <w:r w:rsidR="000D530C">
        <w:t>,</w:t>
      </w:r>
      <w:r w:rsidR="008B316F">
        <w:rPr>
          <w:rStyle w:val="FootnoteReference"/>
        </w:rPr>
        <w:footnoteReference w:id="10"/>
      </w:r>
      <w:r w:rsidR="008B316F">
        <w:t xml:space="preserve"> long-term interest rates were 5.56 percent (Single-A Utility Rate) and 4.51 percent (30-Year Treasury Rate).</w:t>
      </w:r>
      <w:r w:rsidR="008B316F">
        <w:rPr>
          <w:rStyle w:val="FootnoteReference"/>
        </w:rPr>
        <w:footnoteReference w:id="11"/>
      </w:r>
      <w:r w:rsidR="008B316F">
        <w:t xml:space="preserve">  When the Company filed its case in the current docket </w:t>
      </w:r>
      <w:r w:rsidR="00D35D6C">
        <w:t xml:space="preserve">in January 2013, </w:t>
      </w:r>
      <w:r w:rsidR="00C06D59">
        <w:t xml:space="preserve">long-term </w:t>
      </w:r>
      <w:r w:rsidR="008B316F">
        <w:t xml:space="preserve">interest rates were </w:t>
      </w:r>
      <w:r w:rsidR="00B374AF">
        <w:t xml:space="preserve">much </w:t>
      </w:r>
      <w:r w:rsidR="008B316F">
        <w:t xml:space="preserve">lower:  4.15 percent (Single-A Utility Rate) and 3.08 percent </w:t>
      </w:r>
      <w:r w:rsidR="009556D3">
        <w:t>(</w:t>
      </w:r>
      <w:r w:rsidR="008B316F">
        <w:t>30-Year Treasury Rate).</w:t>
      </w:r>
      <w:r w:rsidR="009556D3">
        <w:t xml:space="preserve">  </w:t>
      </w:r>
    </w:p>
    <w:p w:rsidR="008B316F" w:rsidRDefault="00CF5DC7" w:rsidP="00923F66">
      <w:pPr>
        <w:pStyle w:val="ListParagraph"/>
        <w:numPr>
          <w:ilvl w:val="0"/>
          <w:numId w:val="15"/>
        </w:numPr>
      </w:pPr>
      <w:r>
        <w:tab/>
      </w:r>
      <w:r w:rsidR="009556D3">
        <w:t xml:space="preserve">Therefore, if, as PacifiCorp contends, the cost of equity </w:t>
      </w:r>
      <w:r w:rsidR="00C06D59">
        <w:t>should track</w:t>
      </w:r>
      <w:r w:rsidR="00D50D22">
        <w:t xml:space="preserve"> interest rate</w:t>
      </w:r>
      <w:r w:rsidR="00D876CE">
        <w:t>s</w:t>
      </w:r>
      <w:r w:rsidR="009556D3">
        <w:t xml:space="preserve">, </w:t>
      </w:r>
      <w:r w:rsidR="00B374AF">
        <w:t>the Company</w:t>
      </w:r>
      <w:r w:rsidR="009556D3">
        <w:t xml:space="preserve"> should have requested a lower cost of equity than 9.8 percent.  Instead, it requested a higher r</w:t>
      </w:r>
      <w:r w:rsidR="00142D66">
        <w:t xml:space="preserve">eturn </w:t>
      </w:r>
      <w:r w:rsidR="000D530C">
        <w:t>of 10 percent</w:t>
      </w:r>
      <w:r w:rsidR="009556D3">
        <w:t>.  Apparently</w:t>
      </w:r>
      <w:r w:rsidR="00AC67A6">
        <w:t>,</w:t>
      </w:r>
      <w:r w:rsidR="009556D3">
        <w:t xml:space="preserve"> the Company would have the Commission </w:t>
      </w:r>
      <w:r w:rsidR="00C06D59">
        <w:t xml:space="preserve">only </w:t>
      </w:r>
      <w:r w:rsidR="009556D3" w:rsidRPr="00923F66">
        <w:rPr>
          <w:i/>
        </w:rPr>
        <w:t>increase</w:t>
      </w:r>
      <w:r w:rsidR="009556D3">
        <w:t xml:space="preserve"> the cost of equity when interest rates go up, but not </w:t>
      </w:r>
      <w:r w:rsidR="009556D3" w:rsidRPr="00923F66">
        <w:rPr>
          <w:i/>
        </w:rPr>
        <w:t xml:space="preserve">decrease </w:t>
      </w:r>
      <w:r w:rsidR="009556D3">
        <w:t xml:space="preserve">the cost of equity when interest rates go down.  The only explanation for this </w:t>
      </w:r>
      <w:r>
        <w:t>contradiction</w:t>
      </w:r>
      <w:r w:rsidR="009556D3">
        <w:t xml:space="preserve"> is that PacifiCorp </w:t>
      </w:r>
      <w:r w:rsidR="00AC67A6">
        <w:t>wants</w:t>
      </w:r>
      <w:r w:rsidR="009556D3">
        <w:t xml:space="preserve"> all </w:t>
      </w:r>
      <w:proofErr w:type="spellStart"/>
      <w:r w:rsidR="009556D3">
        <w:t>DCF</w:t>
      </w:r>
      <w:proofErr w:type="spellEnd"/>
      <w:r w:rsidR="009556D3">
        <w:t xml:space="preserve"> results ignored, including </w:t>
      </w:r>
      <w:r w:rsidR="000D530C">
        <w:t xml:space="preserve">even </w:t>
      </w:r>
      <w:r w:rsidR="00710E3D">
        <w:t>its own</w:t>
      </w:r>
      <w:r w:rsidR="00C06D59">
        <w:t xml:space="preserve">, when </w:t>
      </w:r>
      <w:r w:rsidR="009556D3">
        <w:t xml:space="preserve">the </w:t>
      </w:r>
      <w:proofErr w:type="spellStart"/>
      <w:r w:rsidR="009556D3">
        <w:t>DCF</w:t>
      </w:r>
      <w:proofErr w:type="spellEnd"/>
      <w:r w:rsidR="009556D3">
        <w:t xml:space="preserve"> mod</w:t>
      </w:r>
      <w:r w:rsidR="000D530C">
        <w:t xml:space="preserve">el does not produce the </w:t>
      </w:r>
      <w:r w:rsidR="009556D3">
        <w:t>result</w:t>
      </w:r>
      <w:r w:rsidR="000D530C">
        <w:t>s the Company desires</w:t>
      </w:r>
      <w:r w:rsidR="009556D3">
        <w:t xml:space="preserve">. </w:t>
      </w:r>
      <w:r w:rsidR="00F23BBF">
        <w:t xml:space="preserve"> </w:t>
      </w:r>
      <w:r w:rsidR="00D50D22">
        <w:t>The Commission should reject the Company’s strategy.</w:t>
      </w:r>
    </w:p>
    <w:p w:rsidR="000D530C" w:rsidRDefault="00710E3D" w:rsidP="001D212A">
      <w:pPr>
        <w:spacing w:line="480" w:lineRule="auto"/>
        <w:ind w:firstLine="720"/>
        <w:rPr>
          <w:b/>
        </w:rPr>
      </w:pPr>
      <w:r>
        <w:rPr>
          <w:b/>
        </w:rPr>
        <w:t>2</w:t>
      </w:r>
      <w:r w:rsidR="000D530C" w:rsidRPr="000D530C">
        <w:rPr>
          <w:b/>
        </w:rPr>
        <w:t>.</w:t>
      </w:r>
      <w:r w:rsidR="000D530C" w:rsidRPr="000D530C">
        <w:rPr>
          <w:b/>
        </w:rPr>
        <w:tab/>
        <w:t>Capital Structure</w:t>
      </w:r>
    </w:p>
    <w:p w:rsidR="00B57D13" w:rsidRDefault="00923F66" w:rsidP="00923F66">
      <w:pPr>
        <w:pStyle w:val="ListParagraph"/>
        <w:numPr>
          <w:ilvl w:val="0"/>
          <w:numId w:val="15"/>
        </w:numPr>
      </w:pPr>
      <w:r>
        <w:tab/>
      </w:r>
      <w:r w:rsidR="000D530C" w:rsidRPr="00F0232F">
        <w:t>Staff’s proposal to impute 4 percent short-term debt in the capital s</w:t>
      </w:r>
      <w:r w:rsidR="00B57D13">
        <w:t xml:space="preserve">tructure </w:t>
      </w:r>
      <w:r w:rsidR="000D530C" w:rsidRPr="00F0232F">
        <w:t>ensure</w:t>
      </w:r>
      <w:r w:rsidR="00B57D13">
        <w:t>s</w:t>
      </w:r>
      <w:r w:rsidR="000D530C" w:rsidRPr="00F0232F">
        <w:t xml:space="preserve"> ratepayers </w:t>
      </w:r>
      <w:r w:rsidR="00B57D13">
        <w:t xml:space="preserve">will </w:t>
      </w:r>
      <w:r w:rsidR="000D530C" w:rsidRPr="00F0232F">
        <w:t>achieve the lowest overall cost of capital</w:t>
      </w:r>
      <w:r w:rsidR="00B57D13">
        <w:t xml:space="preserve"> consistent with the </w:t>
      </w:r>
      <w:r w:rsidR="00B57D13" w:rsidRPr="000545C4">
        <w:t>Commission</w:t>
      </w:r>
      <w:r w:rsidR="00B57D13">
        <w:t>’s decision</w:t>
      </w:r>
      <w:r w:rsidR="00B57D13" w:rsidRPr="000545C4">
        <w:t xml:space="preserve"> that a balanced capital structure should consider “all sources of capital available to a company.”</w:t>
      </w:r>
      <w:r w:rsidR="00B57D13" w:rsidRPr="00333DD2">
        <w:rPr>
          <w:rStyle w:val="FootnoteReference"/>
        </w:rPr>
        <w:footnoteReference w:id="12"/>
      </w:r>
      <w:r w:rsidR="00B57D13">
        <w:t xml:space="preserve">  </w:t>
      </w:r>
      <w:r w:rsidR="000D530C" w:rsidRPr="00F0232F">
        <w:t xml:space="preserve">When combined with </w:t>
      </w:r>
      <w:r w:rsidR="00142D66">
        <w:t xml:space="preserve">a </w:t>
      </w:r>
      <w:r w:rsidR="000D530C" w:rsidRPr="00F0232F">
        <w:t>46 percent equity</w:t>
      </w:r>
      <w:r w:rsidR="00142D66">
        <w:t xml:space="preserve"> ratio</w:t>
      </w:r>
      <w:r w:rsidR="00AC67A6">
        <w:t xml:space="preserve">, Staff’s </w:t>
      </w:r>
      <w:r w:rsidR="000D530C" w:rsidRPr="00F0232F">
        <w:t>capital structure restores a balance of safety and economy that prot</w:t>
      </w:r>
      <w:r w:rsidR="00AC67A6">
        <w:t xml:space="preserve">ects ratepayers from the </w:t>
      </w:r>
      <w:r w:rsidR="000D530C" w:rsidRPr="00F0232F">
        <w:t xml:space="preserve">decisions of </w:t>
      </w:r>
      <w:proofErr w:type="spellStart"/>
      <w:r w:rsidR="000D530C" w:rsidRPr="00F0232F">
        <w:t>MEHC</w:t>
      </w:r>
      <w:proofErr w:type="spellEnd"/>
      <w:r w:rsidR="000D530C" w:rsidRPr="00F0232F">
        <w:t>, while still allowing PacifiCorp to obtain capital on reasonable terms a</w:t>
      </w:r>
      <w:r w:rsidR="00142D66">
        <w:t xml:space="preserve">nd conditions because it </w:t>
      </w:r>
      <w:r w:rsidR="00F0232F" w:rsidRPr="00F0232F">
        <w:t>support</w:t>
      </w:r>
      <w:r w:rsidR="00142D66">
        <w:t>s</w:t>
      </w:r>
      <w:r w:rsidR="00F0232F" w:rsidRPr="00F0232F">
        <w:t xml:space="preserve"> a BBB corporate credit rating and </w:t>
      </w:r>
      <w:r w:rsidR="00B86096">
        <w:t>a</w:t>
      </w:r>
      <w:r w:rsidR="00E05EF5">
        <w:t>n</w:t>
      </w:r>
      <w:r w:rsidR="00B86096">
        <w:t xml:space="preserve"> </w:t>
      </w:r>
      <w:r w:rsidR="00F0232F" w:rsidRPr="00F0232F">
        <w:t>A- secured bond rating consistent with industry standa</w:t>
      </w:r>
      <w:r w:rsidR="00B57D13">
        <w:t>rds</w:t>
      </w:r>
      <w:r w:rsidR="00F0232F" w:rsidRPr="00F0232F">
        <w:t>.</w:t>
      </w:r>
    </w:p>
    <w:p w:rsidR="008F63E0" w:rsidRDefault="00242468" w:rsidP="00242468">
      <w:pPr>
        <w:pStyle w:val="ListParagraph"/>
        <w:numPr>
          <w:ilvl w:val="0"/>
          <w:numId w:val="15"/>
        </w:numPr>
        <w:tabs>
          <w:tab w:val="left" w:pos="720"/>
          <w:tab w:val="left" w:pos="1440"/>
          <w:tab w:val="left" w:pos="9240"/>
        </w:tabs>
      </w:pPr>
      <w:r>
        <w:lastRenderedPageBreak/>
        <w:tab/>
      </w:r>
      <w:r w:rsidR="00F0232F">
        <w:t>The Company disputes Staff’</w:t>
      </w:r>
      <w:r w:rsidR="00C06D59">
        <w:t xml:space="preserve">s proposed capital structure, </w:t>
      </w:r>
      <w:r w:rsidR="00E60854">
        <w:t xml:space="preserve">alleging </w:t>
      </w:r>
      <w:r w:rsidR="00F0232F">
        <w:t xml:space="preserve">Mr. </w:t>
      </w:r>
      <w:r w:rsidR="00D50D22">
        <w:t xml:space="preserve">Elgin admitted </w:t>
      </w:r>
      <w:r w:rsidR="00F0232F">
        <w:t>his proposed equity ratio of 46 percent would “support” a three-step credit rating downgrade for PacifiCorp.</w:t>
      </w:r>
      <w:r w:rsidR="00F0232F">
        <w:rPr>
          <w:rStyle w:val="FootnoteReference"/>
        </w:rPr>
        <w:footnoteReference w:id="13"/>
      </w:r>
      <w:r w:rsidR="00F0232F">
        <w:t xml:space="preserve">  This alleged downgrade would </w:t>
      </w:r>
      <w:r w:rsidR="00710E3D">
        <w:t xml:space="preserve">then </w:t>
      </w:r>
      <w:r w:rsidR="00F0232F">
        <w:t>likely result in increased borrowing costs and potential limitation on access to capital.</w:t>
      </w:r>
      <w:r w:rsidR="00F0232F">
        <w:rPr>
          <w:rStyle w:val="FootnoteReference"/>
        </w:rPr>
        <w:footnoteReference w:id="14"/>
      </w:r>
      <w:r w:rsidR="00F0232F">
        <w:t xml:space="preserve">  </w:t>
      </w:r>
    </w:p>
    <w:p w:rsidR="008F63E0" w:rsidRDefault="00242468" w:rsidP="00242468">
      <w:pPr>
        <w:pStyle w:val="ListParagraph"/>
        <w:numPr>
          <w:ilvl w:val="0"/>
          <w:numId w:val="15"/>
        </w:numPr>
        <w:tabs>
          <w:tab w:val="left" w:pos="720"/>
          <w:tab w:val="left" w:pos="1440"/>
          <w:tab w:val="left" w:pos="9240"/>
        </w:tabs>
      </w:pPr>
      <w:r>
        <w:tab/>
      </w:r>
      <w:r w:rsidR="00F0232F">
        <w:t>Again, the Comp</w:t>
      </w:r>
      <w:r w:rsidR="008F63E0">
        <w:t xml:space="preserve">any mischaracterizes </w:t>
      </w:r>
      <w:r w:rsidR="00F0232F">
        <w:t xml:space="preserve">Mr. Elgin’s testimony </w:t>
      </w:r>
      <w:r w:rsidR="008F63E0">
        <w:t xml:space="preserve">and </w:t>
      </w:r>
      <w:r w:rsidR="00F0232F">
        <w:t>mislead</w:t>
      </w:r>
      <w:r w:rsidR="008F63E0">
        <w:t>s the Commission by doing so.</w:t>
      </w:r>
      <w:r w:rsidR="00F0232F">
        <w:t xml:space="preserve">  Mr. Elgin d</w:t>
      </w:r>
      <w:r w:rsidR="008F63E0">
        <w:t>id not state</w:t>
      </w:r>
      <w:r w:rsidR="00B57D13">
        <w:t xml:space="preserve"> that his capital structure recommendation would support a three-notch credit downgrade</w:t>
      </w:r>
      <w:r w:rsidR="00E60854">
        <w:t>.  Rather</w:t>
      </w:r>
      <w:r w:rsidR="008F63E0">
        <w:t xml:space="preserve">, </w:t>
      </w:r>
      <w:r w:rsidR="008F63E0" w:rsidRPr="0081744A">
        <w:t>he accepted Mr. William’s the</w:t>
      </w:r>
      <w:r w:rsidR="00650EEE">
        <w:t xml:space="preserve">ory that a 46 percent equity ratio </w:t>
      </w:r>
      <w:r w:rsidR="008F63E0" w:rsidRPr="0081744A">
        <w:t xml:space="preserve">could lower the Company’s </w:t>
      </w:r>
      <w:r w:rsidR="008F63E0">
        <w:t>secured debt</w:t>
      </w:r>
      <w:r w:rsidR="008F63E0" w:rsidRPr="0081744A">
        <w:t xml:space="preserve"> credit rating </w:t>
      </w:r>
      <w:r w:rsidR="008F63E0" w:rsidRPr="008F63E0">
        <w:rPr>
          <w:i/>
        </w:rPr>
        <w:t>one</w:t>
      </w:r>
      <w:r w:rsidR="008F63E0">
        <w:t xml:space="preserve"> notch from “A” to “A-” </w:t>
      </w:r>
      <w:r w:rsidR="008F63E0" w:rsidRPr="0081744A">
        <w:t>and increase its cost of debt.</w:t>
      </w:r>
      <w:r w:rsidR="008F63E0" w:rsidRPr="00622FE0">
        <w:rPr>
          <w:rStyle w:val="FootnoteReference"/>
        </w:rPr>
        <w:footnoteReference w:id="15"/>
      </w:r>
      <w:r w:rsidR="008F63E0" w:rsidRPr="0081744A">
        <w:t xml:space="preserve">  Theref</w:t>
      </w:r>
      <w:r w:rsidR="008F63E0">
        <w:t xml:space="preserve">ore, he </w:t>
      </w:r>
      <w:r w:rsidR="008F63E0" w:rsidRPr="0081744A">
        <w:t xml:space="preserve">calculated a hypothetical cost of debt </w:t>
      </w:r>
      <w:r w:rsidR="00710E3D">
        <w:t xml:space="preserve">of 5.34 percent </w:t>
      </w:r>
      <w:r w:rsidR="008F63E0" w:rsidRPr="0081744A">
        <w:t>using the debt cost of Avista</w:t>
      </w:r>
      <w:r w:rsidR="008F63E0">
        <w:t xml:space="preserve"> because Avista is an </w:t>
      </w:r>
      <w:r w:rsidR="008F63E0" w:rsidRPr="0081744A">
        <w:t xml:space="preserve">investment grade utility with an equity ratio of 46 percent </w:t>
      </w:r>
      <w:r w:rsidR="00710E3D">
        <w:t xml:space="preserve">and </w:t>
      </w:r>
      <w:r w:rsidR="008F63E0" w:rsidRPr="0081744A">
        <w:t>a</w:t>
      </w:r>
      <w:r w:rsidR="00650EEE">
        <w:t xml:space="preserve"> secured bond rating of A-</w:t>
      </w:r>
      <w:r w:rsidR="008F63E0" w:rsidRPr="0081744A">
        <w:t>.</w:t>
      </w:r>
      <w:r w:rsidR="008F63E0">
        <w:rPr>
          <w:rStyle w:val="FootnoteReference"/>
        </w:rPr>
        <w:footnoteReference w:id="16"/>
      </w:r>
      <w:r w:rsidR="008F63E0" w:rsidRPr="0081744A">
        <w:t xml:space="preserve">  </w:t>
      </w:r>
    </w:p>
    <w:p w:rsidR="00650EEE" w:rsidRDefault="00242468" w:rsidP="00242468">
      <w:pPr>
        <w:pStyle w:val="ListParagraph"/>
        <w:numPr>
          <w:ilvl w:val="0"/>
          <w:numId w:val="15"/>
        </w:numPr>
        <w:tabs>
          <w:tab w:val="left" w:pos="720"/>
          <w:tab w:val="left" w:pos="1440"/>
          <w:tab w:val="left" w:pos="9240"/>
        </w:tabs>
      </w:pPr>
      <w:r>
        <w:tab/>
      </w:r>
      <w:r w:rsidR="00650EEE">
        <w:t xml:space="preserve">It appears that the Company reached its allegation of a three-step credit downgrade </w:t>
      </w:r>
      <w:r w:rsidR="00061DE7">
        <w:t xml:space="preserve">under the Staff proposal </w:t>
      </w:r>
      <w:r w:rsidR="00650EEE">
        <w:t xml:space="preserve">by comparing PacifiCorp’s </w:t>
      </w:r>
      <w:r w:rsidR="00E60854">
        <w:t xml:space="preserve">current </w:t>
      </w:r>
      <w:r w:rsidR="00650EEE">
        <w:t xml:space="preserve">secured debt rating of “A” with </w:t>
      </w:r>
      <w:r w:rsidR="00E60854">
        <w:t xml:space="preserve">a possible reduction in </w:t>
      </w:r>
      <w:r w:rsidR="00C5696E">
        <w:t xml:space="preserve">its </w:t>
      </w:r>
      <w:r w:rsidR="00E60854">
        <w:t xml:space="preserve">unsecured debt rating to </w:t>
      </w:r>
      <w:r w:rsidR="00650EEE">
        <w:t xml:space="preserve">“BBB”.  That is an “apples to oranges” comparison that Mr. Elgin never adopted nor admitted could </w:t>
      </w:r>
      <w:r w:rsidR="00C06D59">
        <w:t xml:space="preserve">or would </w:t>
      </w:r>
      <w:r w:rsidR="00650EEE">
        <w:t>occur.</w:t>
      </w:r>
    </w:p>
    <w:p w:rsidR="00650EEE" w:rsidRDefault="00710E3D" w:rsidP="008F63E0">
      <w:pPr>
        <w:pStyle w:val="ListParagraph"/>
        <w:tabs>
          <w:tab w:val="left" w:pos="720"/>
          <w:tab w:val="left" w:pos="1440"/>
          <w:tab w:val="left" w:pos="9240"/>
        </w:tabs>
        <w:rPr>
          <w:b/>
        </w:rPr>
      </w:pPr>
      <w:r>
        <w:rPr>
          <w:b/>
        </w:rPr>
        <w:tab/>
        <w:t>3</w:t>
      </w:r>
      <w:r w:rsidR="00650EEE" w:rsidRPr="00650EEE">
        <w:rPr>
          <w:b/>
        </w:rPr>
        <w:t>.</w:t>
      </w:r>
      <w:r w:rsidR="00650EEE" w:rsidRPr="00650EEE">
        <w:rPr>
          <w:b/>
        </w:rPr>
        <w:tab/>
        <w:t>Overall Cost of Capital</w:t>
      </w:r>
    </w:p>
    <w:p w:rsidR="00650EEE" w:rsidRPr="00650EEE" w:rsidRDefault="00E720CA" w:rsidP="00E720CA">
      <w:pPr>
        <w:pStyle w:val="ListParagraph"/>
        <w:numPr>
          <w:ilvl w:val="0"/>
          <w:numId w:val="15"/>
        </w:numPr>
        <w:tabs>
          <w:tab w:val="left" w:pos="720"/>
          <w:tab w:val="left" w:pos="1440"/>
          <w:tab w:val="left" w:pos="9240"/>
        </w:tabs>
      </w:pPr>
      <w:r>
        <w:tab/>
      </w:r>
      <w:r w:rsidR="00650EEE">
        <w:t>PacifiCor</w:t>
      </w:r>
      <w:r w:rsidR="006372D8">
        <w:t xml:space="preserve">p attempts to gloss over </w:t>
      </w:r>
      <w:r w:rsidR="00650EEE">
        <w:t xml:space="preserve">the magnitude of its cost of capital </w:t>
      </w:r>
      <w:r w:rsidR="0076386F">
        <w:t>proposal</w:t>
      </w:r>
      <w:r w:rsidR="00650EEE">
        <w:t xml:space="preserve"> by stati</w:t>
      </w:r>
      <w:r w:rsidR="006372D8">
        <w:t xml:space="preserve">ng that its recommended overall rate of </w:t>
      </w:r>
      <w:r w:rsidR="00650EEE">
        <w:t>return of 7.75 percent</w:t>
      </w:r>
      <w:r w:rsidR="006372D8">
        <w:t xml:space="preserve"> is virtually the same as the currently authorized overall return of 7.74 percent, reflecting a “substantial decrease in the Company’s cost of debt and only a small increase in the Company’s ROE.”</w:t>
      </w:r>
      <w:r w:rsidR="006372D8">
        <w:rPr>
          <w:rStyle w:val="FootnoteReference"/>
        </w:rPr>
        <w:footnoteReference w:id="17"/>
      </w:r>
    </w:p>
    <w:p w:rsidR="00F0232F" w:rsidRPr="006372D8" w:rsidRDefault="00E720CA" w:rsidP="00E720CA">
      <w:pPr>
        <w:pStyle w:val="ListParagraph"/>
        <w:numPr>
          <w:ilvl w:val="0"/>
          <w:numId w:val="15"/>
        </w:numPr>
        <w:tabs>
          <w:tab w:val="left" w:pos="720"/>
          <w:tab w:val="left" w:pos="1440"/>
          <w:tab w:val="left" w:pos="9240"/>
        </w:tabs>
      </w:pPr>
      <w:r>
        <w:lastRenderedPageBreak/>
        <w:tab/>
      </w:r>
      <w:r w:rsidR="006372D8">
        <w:t xml:space="preserve">The Company ignores the very real and significant impacts of its </w:t>
      </w:r>
      <w:r w:rsidR="00D50D22">
        <w:t>proposal.</w:t>
      </w:r>
      <w:r w:rsidR="006372D8">
        <w:t xml:space="preserve">  As Mr. Elgin showed, the Company’s proposal to increase </w:t>
      </w:r>
      <w:r w:rsidR="00B86096">
        <w:t>its equity ratio</w:t>
      </w:r>
      <w:r w:rsidR="00E05EF5">
        <w:t xml:space="preserve"> </w:t>
      </w:r>
      <w:r w:rsidR="00B86096">
        <w:t>to over 52</w:t>
      </w:r>
      <w:r w:rsidR="006372D8">
        <w:t xml:space="preserve"> </w:t>
      </w:r>
      <w:r w:rsidR="00CF48F8">
        <w:t xml:space="preserve">percent and ignore short-term debt </w:t>
      </w:r>
      <w:r w:rsidR="006372D8">
        <w:t xml:space="preserve">comes at a </w:t>
      </w:r>
      <w:r w:rsidR="00C06D59">
        <w:t xml:space="preserve">heavy </w:t>
      </w:r>
      <w:r w:rsidR="006372D8">
        <w:t>cost to ratepayers of $7 million to $8 million per year.</w:t>
      </w:r>
      <w:r w:rsidR="006372D8">
        <w:rPr>
          <w:rStyle w:val="FootnoteReference"/>
        </w:rPr>
        <w:footnoteReference w:id="18"/>
      </w:r>
      <w:r w:rsidR="00142D66">
        <w:t xml:space="preserve">  PacifiCorp </w:t>
      </w:r>
      <w:r w:rsidR="006372D8">
        <w:t>never disputed Mr</w:t>
      </w:r>
      <w:r w:rsidR="007A6C28">
        <w:t>. Elgin’s demonstr</w:t>
      </w:r>
      <w:r w:rsidR="00142D66">
        <w:t xml:space="preserve">ation.  It also </w:t>
      </w:r>
      <w:r w:rsidR="007A6C28">
        <w:t xml:space="preserve">never presented substantiated evidence that these </w:t>
      </w:r>
      <w:r w:rsidR="0076386F">
        <w:t xml:space="preserve">un-rebutted </w:t>
      </w:r>
      <w:r w:rsidR="007A6C28">
        <w:t xml:space="preserve">costs are outweighed by </w:t>
      </w:r>
      <w:r w:rsidR="00C06D59">
        <w:t xml:space="preserve">any </w:t>
      </w:r>
      <w:r w:rsidR="007A6C28">
        <w:t>real benefits for ratepayers.</w:t>
      </w:r>
      <w:r w:rsidR="00B86096">
        <w:t xml:space="preserve">  Staff is the on</w:t>
      </w:r>
      <w:r w:rsidR="0059087A">
        <w:t xml:space="preserve">ly party whose overall cost of capital recommendation </w:t>
      </w:r>
      <w:r w:rsidR="00B86096">
        <w:t>restore</w:t>
      </w:r>
      <w:r w:rsidR="0059087A">
        <w:t>s</w:t>
      </w:r>
      <w:r w:rsidR="00B86096">
        <w:t xml:space="preserve"> balance to the </w:t>
      </w:r>
      <w:r w:rsidR="0059087A">
        <w:t xml:space="preserve">financing </w:t>
      </w:r>
      <w:r w:rsidR="00B86096">
        <w:t xml:space="preserve">decisions imposed </w:t>
      </w:r>
      <w:r w:rsidR="00D50D22">
        <w:t xml:space="preserve">on the Company </w:t>
      </w:r>
      <w:r w:rsidR="00B86096">
        <w:t xml:space="preserve">by </w:t>
      </w:r>
      <w:proofErr w:type="spellStart"/>
      <w:r w:rsidR="0059087A">
        <w:t>MEHC</w:t>
      </w:r>
      <w:proofErr w:type="spellEnd"/>
      <w:r w:rsidR="0059087A">
        <w:t xml:space="preserve"> and the costs of those decisions </w:t>
      </w:r>
      <w:r w:rsidR="00061DE7">
        <w:t>for</w:t>
      </w:r>
      <w:r w:rsidR="0059087A">
        <w:t xml:space="preserve"> customers.</w:t>
      </w:r>
    </w:p>
    <w:p w:rsidR="000D530C" w:rsidRDefault="00620812" w:rsidP="001D212A">
      <w:pPr>
        <w:spacing w:line="480" w:lineRule="auto"/>
        <w:rPr>
          <w:b/>
        </w:rPr>
      </w:pPr>
      <w:r>
        <w:rPr>
          <w:b/>
        </w:rPr>
        <w:t>B.</w:t>
      </w:r>
      <w:r>
        <w:rPr>
          <w:b/>
        </w:rPr>
        <w:tab/>
      </w:r>
      <w:proofErr w:type="spellStart"/>
      <w:r>
        <w:rPr>
          <w:b/>
        </w:rPr>
        <w:t>QF</w:t>
      </w:r>
      <w:proofErr w:type="spellEnd"/>
      <w:r>
        <w:rPr>
          <w:b/>
        </w:rPr>
        <w:t xml:space="preserve"> Purchased Power Costs</w:t>
      </w:r>
      <w:r w:rsidR="00FD4858">
        <w:rPr>
          <w:b/>
        </w:rPr>
        <w:t xml:space="preserve"> </w:t>
      </w:r>
    </w:p>
    <w:p w:rsidR="00691D5E" w:rsidRPr="0081744A" w:rsidRDefault="00E720CA" w:rsidP="00E720CA">
      <w:pPr>
        <w:pStyle w:val="ListParagraph"/>
        <w:numPr>
          <w:ilvl w:val="0"/>
          <w:numId w:val="15"/>
        </w:numPr>
        <w:tabs>
          <w:tab w:val="left" w:pos="720"/>
          <w:tab w:val="left" w:pos="1440"/>
          <w:tab w:val="left" w:pos="9240"/>
        </w:tabs>
      </w:pPr>
      <w:r>
        <w:tab/>
      </w:r>
      <w:r w:rsidR="00691D5E">
        <w:t xml:space="preserve">Under the current </w:t>
      </w:r>
      <w:proofErr w:type="spellStart"/>
      <w:r w:rsidR="00691D5E" w:rsidRPr="0081744A">
        <w:t>WCA</w:t>
      </w:r>
      <w:proofErr w:type="spellEnd"/>
      <w:r w:rsidR="00691D5E" w:rsidRPr="0081744A">
        <w:t xml:space="preserve"> cost allocation methodology, the cost of purchased power contracts with </w:t>
      </w:r>
      <w:proofErr w:type="spellStart"/>
      <w:r w:rsidR="00691D5E" w:rsidRPr="0081744A">
        <w:t>QFs</w:t>
      </w:r>
      <w:proofErr w:type="spellEnd"/>
      <w:r w:rsidR="00691D5E" w:rsidRPr="0081744A">
        <w:t xml:space="preserve"> located in Oregon and Californi</w:t>
      </w:r>
      <w:r w:rsidR="00691D5E">
        <w:t xml:space="preserve">a are not included in Washington rates.  </w:t>
      </w:r>
    </w:p>
    <w:p w:rsidR="00CF2AFB" w:rsidRDefault="00691D5E" w:rsidP="00691D5E">
      <w:pPr>
        <w:spacing w:line="480" w:lineRule="auto"/>
      </w:pPr>
      <w:r w:rsidRPr="0081744A">
        <w:t xml:space="preserve">PacifiCorp proposes to </w:t>
      </w:r>
      <w:r>
        <w:t>revise that method by including</w:t>
      </w:r>
      <w:r w:rsidRPr="0081744A">
        <w:t xml:space="preserve"> the cost of power purchased from Oregon</w:t>
      </w:r>
      <w:r w:rsidR="00A40FFD">
        <w:t xml:space="preserve"> and California </w:t>
      </w:r>
      <w:proofErr w:type="spellStart"/>
      <w:r w:rsidR="00A40FFD">
        <w:t>QFs</w:t>
      </w:r>
      <w:proofErr w:type="spellEnd"/>
      <w:r w:rsidR="00A40FFD">
        <w:t xml:space="preserve"> and allocating</w:t>
      </w:r>
      <w:r w:rsidRPr="0081744A">
        <w:t xml:space="preserve"> a portion of that cost to Washington.</w:t>
      </w:r>
      <w:r w:rsidR="00142D66">
        <w:t xml:space="preserve">  Staff, Boise Whi</w:t>
      </w:r>
      <w:r w:rsidR="0062510A">
        <w:t xml:space="preserve">te Paper, and Public Counsel all </w:t>
      </w:r>
      <w:r w:rsidR="00142D66">
        <w:t>oppose the Company’s proposal.</w:t>
      </w:r>
    </w:p>
    <w:p w:rsidR="00691D5E" w:rsidRDefault="00E720CA" w:rsidP="00E720CA">
      <w:pPr>
        <w:pStyle w:val="ListParagraph"/>
        <w:numPr>
          <w:ilvl w:val="0"/>
          <w:numId w:val="15"/>
        </w:numPr>
      </w:pPr>
      <w:r>
        <w:tab/>
      </w:r>
      <w:r w:rsidR="00691D5E">
        <w:t>The fundamental argument presented by the Com</w:t>
      </w:r>
      <w:r w:rsidR="0062510A">
        <w:t xml:space="preserve">pany </w:t>
      </w:r>
      <w:r w:rsidR="00691D5E">
        <w:t xml:space="preserve">is that these </w:t>
      </w:r>
      <w:proofErr w:type="spellStart"/>
      <w:r w:rsidR="0062510A">
        <w:t>QF</w:t>
      </w:r>
      <w:proofErr w:type="spellEnd"/>
      <w:r w:rsidR="0062510A">
        <w:t xml:space="preserve"> contracts</w:t>
      </w:r>
      <w:r w:rsidR="00691D5E">
        <w:t xml:space="preserve"> benefit Washington customers.</w:t>
      </w:r>
      <w:r w:rsidR="00691D5E">
        <w:rPr>
          <w:rStyle w:val="FootnoteReference"/>
        </w:rPr>
        <w:footnoteReference w:id="19"/>
      </w:r>
      <w:r w:rsidR="00691D5E">
        <w:t xml:space="preserve">  The Company refers to Commission precedent under the “used and useful” standard of RCW 80.04.250 for its focus on customer benefits.  That precedent does not apply here since “used and useful” is a rate base standard and the Oregon and California </w:t>
      </w:r>
      <w:proofErr w:type="spellStart"/>
      <w:r w:rsidR="00691D5E">
        <w:t>QF</w:t>
      </w:r>
      <w:proofErr w:type="spellEnd"/>
      <w:r w:rsidR="00691D5E">
        <w:t xml:space="preserve"> costs are </w:t>
      </w:r>
      <w:r w:rsidR="00A40FFD">
        <w:t>not rate base items.  They are purchased power contracts.</w:t>
      </w:r>
    </w:p>
    <w:p w:rsidR="00A40FFD" w:rsidRDefault="00E720CA" w:rsidP="00E720CA">
      <w:pPr>
        <w:pStyle w:val="ListParagraph"/>
        <w:numPr>
          <w:ilvl w:val="0"/>
          <w:numId w:val="15"/>
        </w:numPr>
      </w:pPr>
      <w:r>
        <w:tab/>
      </w:r>
      <w:r w:rsidR="00A40FFD">
        <w:t xml:space="preserve">More important, the Company’s argument entirely misses the point.  The issue is not whether Washington customers benefit from the contracts with </w:t>
      </w:r>
      <w:r w:rsidR="00F23BBF">
        <w:t xml:space="preserve">the </w:t>
      </w:r>
      <w:r w:rsidR="00A40FFD">
        <w:t xml:space="preserve">Oregon and California </w:t>
      </w:r>
      <w:proofErr w:type="spellStart"/>
      <w:r w:rsidR="00A40FFD">
        <w:t>QFs</w:t>
      </w:r>
      <w:proofErr w:type="spellEnd"/>
      <w:r w:rsidR="00A40FFD">
        <w:t xml:space="preserve">.  The issue is </w:t>
      </w:r>
      <w:r w:rsidR="0062510A">
        <w:t xml:space="preserve">whether the Company should be allowed to shift any </w:t>
      </w:r>
      <w:r w:rsidR="00E60854">
        <w:t xml:space="preserve">of the costs of those contracts </w:t>
      </w:r>
      <w:r w:rsidR="0062510A">
        <w:lastRenderedPageBreak/>
        <w:t xml:space="preserve">to Washington when those costs are the direct result of the </w:t>
      </w:r>
      <w:proofErr w:type="spellStart"/>
      <w:r w:rsidR="00E60854">
        <w:t>PURPA</w:t>
      </w:r>
      <w:proofErr w:type="spellEnd"/>
      <w:r w:rsidR="00E60854">
        <w:t xml:space="preserve"> policy decisions </w:t>
      </w:r>
      <w:r w:rsidR="004E5443">
        <w:t>of</w:t>
      </w:r>
      <w:r w:rsidR="00A40FFD">
        <w:t xml:space="preserve"> </w:t>
      </w:r>
      <w:r w:rsidR="0062510A">
        <w:t xml:space="preserve">those </w:t>
      </w:r>
      <w:r w:rsidR="0069424B">
        <w:t>other states</w:t>
      </w:r>
      <w:r w:rsidR="00861ACA">
        <w:t xml:space="preserve">.  While </w:t>
      </w:r>
      <w:proofErr w:type="spellStart"/>
      <w:r w:rsidR="00861ACA">
        <w:t>PURPA</w:t>
      </w:r>
      <w:proofErr w:type="spellEnd"/>
      <w:r w:rsidR="00861ACA">
        <w:t xml:space="preserve"> allows Oregon and California </w:t>
      </w:r>
      <w:r w:rsidR="0069424B">
        <w:t xml:space="preserve">to decide </w:t>
      </w:r>
      <w:r w:rsidR="0062510A">
        <w:t xml:space="preserve">their own </w:t>
      </w:r>
      <w:r w:rsidR="00861ACA">
        <w:t>policies</w:t>
      </w:r>
      <w:r w:rsidR="007B763E">
        <w:t xml:space="preserve"> and methodologies</w:t>
      </w:r>
      <w:r w:rsidR="00861ACA">
        <w:t xml:space="preserve">, there is nothing in </w:t>
      </w:r>
      <w:proofErr w:type="spellStart"/>
      <w:r w:rsidR="00861ACA">
        <w:t>PURPA</w:t>
      </w:r>
      <w:proofErr w:type="spellEnd"/>
      <w:r w:rsidR="00861ACA">
        <w:t xml:space="preserve"> that compels this Commission to </w:t>
      </w:r>
      <w:r w:rsidR="00AC252D">
        <w:t xml:space="preserve">abdicate its duty to protect Washington ratepayers by </w:t>
      </w:r>
      <w:r w:rsidR="00861ACA">
        <w:t>accept</w:t>
      </w:r>
      <w:r w:rsidR="00AC252D">
        <w:t>ing</w:t>
      </w:r>
      <w:r w:rsidR="00861ACA">
        <w:t xml:space="preserve"> the cost </w:t>
      </w:r>
      <w:r w:rsidR="00AC252D">
        <w:t>consequences of those</w:t>
      </w:r>
      <w:r w:rsidR="00861ACA">
        <w:t xml:space="preserve"> decisions.  </w:t>
      </w:r>
    </w:p>
    <w:p w:rsidR="00FB77A8" w:rsidRDefault="00E720CA" w:rsidP="00E720CA">
      <w:pPr>
        <w:pStyle w:val="ListParagraph"/>
        <w:numPr>
          <w:ilvl w:val="0"/>
          <w:numId w:val="15"/>
        </w:numPr>
      </w:pPr>
      <w:r>
        <w:tab/>
      </w:r>
      <w:r w:rsidR="00861ACA">
        <w:t xml:space="preserve">Indeed, </w:t>
      </w:r>
      <w:r w:rsidR="00E60854">
        <w:t xml:space="preserve">those consequences </w:t>
      </w:r>
      <w:r w:rsidR="00AC252D">
        <w:t xml:space="preserve">are significant </w:t>
      </w:r>
      <w:r w:rsidR="0062510A">
        <w:t xml:space="preserve">and would </w:t>
      </w:r>
      <w:r w:rsidR="00AC252D">
        <w:t xml:space="preserve">cause substantial ratepayer impacts if the Commission does not act to protect Washington ratepayers.  As Staff pointed out, </w:t>
      </w:r>
      <w:r w:rsidR="00580AB3">
        <w:t xml:space="preserve">if just three Oregon </w:t>
      </w:r>
      <w:proofErr w:type="spellStart"/>
      <w:r w:rsidR="00580AB3">
        <w:t>QF</w:t>
      </w:r>
      <w:proofErr w:type="spellEnd"/>
      <w:r w:rsidR="00580AB3">
        <w:t xml:space="preserve"> contracts had durations of five years as restricted by this Commission’s rules, they would have been renewed </w:t>
      </w:r>
      <w:r w:rsidR="00E60854">
        <w:t>recently</w:t>
      </w:r>
      <w:r w:rsidR="00580AB3">
        <w:t xml:space="preserve"> at much lower rates, which would have reduced power costs for the </w:t>
      </w:r>
      <w:proofErr w:type="spellStart"/>
      <w:r w:rsidR="00580AB3">
        <w:t>WCA</w:t>
      </w:r>
      <w:proofErr w:type="spellEnd"/>
      <w:r w:rsidR="00580AB3">
        <w:t xml:space="preserve"> by about $6.6 million.</w:t>
      </w:r>
      <w:r w:rsidR="00580AB3">
        <w:rPr>
          <w:rStyle w:val="FootnoteReference"/>
        </w:rPr>
        <w:footnoteReference w:id="20"/>
      </w:r>
      <w:r w:rsidR="004E5443">
        <w:t xml:space="preserve">  </w:t>
      </w:r>
      <w:r w:rsidR="004E5443">
        <w:tab/>
      </w:r>
    </w:p>
    <w:p w:rsidR="004E5443" w:rsidRDefault="00E720CA" w:rsidP="00E720CA">
      <w:pPr>
        <w:pStyle w:val="ListParagraph"/>
        <w:numPr>
          <w:ilvl w:val="0"/>
          <w:numId w:val="15"/>
        </w:numPr>
      </w:pPr>
      <w:r>
        <w:tab/>
      </w:r>
      <w:r w:rsidR="004E5443">
        <w:t>The Company argues that its proposal is consistent with Commissi</w:t>
      </w:r>
      <w:r w:rsidR="00FB77A8">
        <w:t xml:space="preserve">on treatment of other </w:t>
      </w:r>
      <w:r w:rsidR="004E5443">
        <w:t xml:space="preserve">out-of-state </w:t>
      </w:r>
      <w:proofErr w:type="spellStart"/>
      <w:r w:rsidR="004E5443">
        <w:t>QF</w:t>
      </w:r>
      <w:proofErr w:type="spellEnd"/>
      <w:r w:rsidR="0069424B">
        <w:t xml:space="preserve"> contracts, citing </w:t>
      </w:r>
      <w:r w:rsidR="001F2A1C">
        <w:t xml:space="preserve">the inclusion in Washington rates of the cost of an Avista contract with an Idaho </w:t>
      </w:r>
      <w:proofErr w:type="spellStart"/>
      <w:r w:rsidR="001F2A1C">
        <w:t>QF</w:t>
      </w:r>
      <w:proofErr w:type="spellEnd"/>
      <w:r w:rsidR="004E5443">
        <w:t>.</w:t>
      </w:r>
      <w:r w:rsidR="004E5443">
        <w:rPr>
          <w:rStyle w:val="FootnoteReference"/>
        </w:rPr>
        <w:footnoteReference w:id="21"/>
      </w:r>
      <w:r w:rsidR="004E5443">
        <w:t xml:space="preserve">  </w:t>
      </w:r>
      <w:r w:rsidR="0069424B">
        <w:t xml:space="preserve">However, </w:t>
      </w:r>
      <w:r w:rsidR="001F2A1C">
        <w:t xml:space="preserve">the Company </w:t>
      </w:r>
      <w:r w:rsidR="0069424B">
        <w:t xml:space="preserve">never </w:t>
      </w:r>
      <w:r w:rsidR="001F2A1C">
        <w:t>show</w:t>
      </w:r>
      <w:r w:rsidR="00FB77A8">
        <w:t>ed</w:t>
      </w:r>
      <w:r w:rsidR="001F2A1C">
        <w:t xml:space="preserve"> that the </w:t>
      </w:r>
      <w:proofErr w:type="spellStart"/>
      <w:r w:rsidR="001F2A1C">
        <w:t>PURPA</w:t>
      </w:r>
      <w:proofErr w:type="spellEnd"/>
      <w:r w:rsidR="001F2A1C">
        <w:t xml:space="preserve"> policies of Washington and Idaho are dissimilar and that Washington ratepayers would be adversely affected by Idaho’s approach.</w:t>
      </w:r>
      <w:r w:rsidR="00E60854">
        <w:t xml:space="preserve">  The Commission has </w:t>
      </w:r>
      <w:r w:rsidR="001F2A1C">
        <w:t xml:space="preserve">the authority to protect Washington ratepayers from </w:t>
      </w:r>
      <w:r w:rsidR="0069424B">
        <w:t xml:space="preserve">any </w:t>
      </w:r>
      <w:r w:rsidR="001F2A1C">
        <w:t xml:space="preserve">such adverse consequences, if </w:t>
      </w:r>
      <w:r w:rsidR="00F23BBF">
        <w:t xml:space="preserve">and when </w:t>
      </w:r>
      <w:r w:rsidR="001F2A1C">
        <w:t xml:space="preserve">they </w:t>
      </w:r>
      <w:r w:rsidR="00FB77A8">
        <w:t>are</w:t>
      </w:r>
      <w:r w:rsidR="0069424B">
        <w:t xml:space="preserve"> </w:t>
      </w:r>
      <w:r w:rsidR="001F2A1C">
        <w:t>shown to exist.</w:t>
      </w:r>
    </w:p>
    <w:p w:rsidR="00A40FFD" w:rsidRDefault="00E720CA" w:rsidP="00E720CA">
      <w:pPr>
        <w:pStyle w:val="ListParagraph"/>
        <w:numPr>
          <w:ilvl w:val="0"/>
          <w:numId w:val="15"/>
        </w:numPr>
      </w:pPr>
      <w:r>
        <w:tab/>
      </w:r>
      <w:r w:rsidR="007B763E">
        <w:t>Finally, the Company argues that the energy policies of Oregon and Washington are substantially aligned.</w:t>
      </w:r>
      <w:r w:rsidR="007B763E">
        <w:rPr>
          <w:rStyle w:val="FootnoteReference"/>
        </w:rPr>
        <w:footnoteReference w:id="22"/>
      </w:r>
      <w:r w:rsidR="005A064A">
        <w:t xml:space="preserve">  These vague references to </w:t>
      </w:r>
      <w:r w:rsidR="0069424B">
        <w:t xml:space="preserve">broad </w:t>
      </w:r>
      <w:r w:rsidR="005A064A">
        <w:t xml:space="preserve">energy policies and their goals are beside the point.  As Staff demonstrated, the </w:t>
      </w:r>
      <w:proofErr w:type="spellStart"/>
      <w:r w:rsidR="005A064A">
        <w:t>PURPA</w:t>
      </w:r>
      <w:proofErr w:type="spellEnd"/>
      <w:r w:rsidR="005A064A">
        <w:t xml:space="preserve"> p</w:t>
      </w:r>
      <w:r w:rsidR="00FB77A8">
        <w:t xml:space="preserve">olicies of Washington and </w:t>
      </w:r>
      <w:r w:rsidR="005A064A">
        <w:t xml:space="preserve">Oregon are materially different.  Those differences have cost consequences.  Directly assigning the cost of </w:t>
      </w:r>
      <w:proofErr w:type="spellStart"/>
      <w:r w:rsidR="005A064A">
        <w:t>QF</w:t>
      </w:r>
      <w:proofErr w:type="spellEnd"/>
      <w:r w:rsidR="005A064A">
        <w:t xml:space="preserve"> power to the state where the resource is located and the cost is determined ensures that the ratepayers of each state are not affected adversely by the </w:t>
      </w:r>
      <w:proofErr w:type="spellStart"/>
      <w:r w:rsidR="005A064A">
        <w:t>PURPA</w:t>
      </w:r>
      <w:proofErr w:type="spellEnd"/>
      <w:r w:rsidR="005A064A">
        <w:t xml:space="preserve"> policies of another s</w:t>
      </w:r>
      <w:r w:rsidR="00FB77A8">
        <w:t xml:space="preserve">tate.  </w:t>
      </w:r>
    </w:p>
    <w:p w:rsidR="00FB77A8" w:rsidRPr="0069424B" w:rsidRDefault="00E720CA" w:rsidP="00E720CA">
      <w:pPr>
        <w:pStyle w:val="ListParagraph"/>
        <w:numPr>
          <w:ilvl w:val="0"/>
          <w:numId w:val="15"/>
        </w:numPr>
      </w:pPr>
      <w:r>
        <w:lastRenderedPageBreak/>
        <w:tab/>
      </w:r>
      <w:r w:rsidR="00FB77A8">
        <w:t>In short, the Company’s remedy is to ask Oregon and California to pay the</w:t>
      </w:r>
      <w:r w:rsidR="00E60854">
        <w:t xml:space="preserve"> entire</w:t>
      </w:r>
      <w:r w:rsidR="00FB77A8">
        <w:t xml:space="preserve"> cost of </w:t>
      </w:r>
      <w:proofErr w:type="spellStart"/>
      <w:r w:rsidR="00FB77A8">
        <w:t>QF</w:t>
      </w:r>
      <w:proofErr w:type="spellEnd"/>
      <w:r w:rsidR="00FB77A8">
        <w:t xml:space="preserve"> contracts that is the result of their commission’s decisions for implementing </w:t>
      </w:r>
      <w:proofErr w:type="spellStart"/>
      <w:r w:rsidR="00FB77A8">
        <w:t>PURPA</w:t>
      </w:r>
      <w:proofErr w:type="spellEnd"/>
      <w:r w:rsidR="00FB77A8">
        <w:t>.  The remedy is not to ask Washington customers to pay those costs.  Otherwise, and contrary to PacifiCorp’s claim,</w:t>
      </w:r>
      <w:r w:rsidR="00FB77A8">
        <w:rPr>
          <w:rStyle w:val="FootnoteReference"/>
        </w:rPr>
        <w:footnoteReference w:id="23"/>
      </w:r>
      <w:r w:rsidR="00FB77A8">
        <w:t xml:space="preserve"> Washington ratepayers will be harmed.</w:t>
      </w:r>
    </w:p>
    <w:p w:rsidR="00826F77" w:rsidRDefault="00CF48F8" w:rsidP="001D212A">
      <w:pPr>
        <w:spacing w:line="480" w:lineRule="auto"/>
        <w:rPr>
          <w:b/>
        </w:rPr>
      </w:pPr>
      <w:r>
        <w:rPr>
          <w:b/>
        </w:rPr>
        <w:t>C.</w:t>
      </w:r>
      <w:r>
        <w:rPr>
          <w:b/>
        </w:rPr>
        <w:tab/>
        <w:t>Non-Power Cost Allocations</w:t>
      </w:r>
      <w:r w:rsidR="00E720CA">
        <w:rPr>
          <w:b/>
        </w:rPr>
        <w:t xml:space="preserve">  </w:t>
      </w:r>
    </w:p>
    <w:p w:rsidR="006F7D6F" w:rsidRDefault="00E720CA" w:rsidP="00E720CA">
      <w:pPr>
        <w:pStyle w:val="ListParagraph"/>
        <w:numPr>
          <w:ilvl w:val="0"/>
          <w:numId w:val="15"/>
        </w:numPr>
      </w:pPr>
      <w:r>
        <w:tab/>
      </w:r>
      <w:r w:rsidR="00C22E3D" w:rsidRPr="006F18E8">
        <w:t>The C</w:t>
      </w:r>
      <w:r w:rsidR="00C22E3D">
        <w:t xml:space="preserve">ompany proposes several </w:t>
      </w:r>
      <w:r w:rsidR="00C22E3D" w:rsidRPr="006F18E8">
        <w:t>modifications</w:t>
      </w:r>
      <w:r w:rsidR="00C22E3D" w:rsidRPr="00355F33">
        <w:t xml:space="preserve"> </w:t>
      </w:r>
      <w:r w:rsidR="00C22E3D">
        <w:t xml:space="preserve">to the approved </w:t>
      </w:r>
      <w:r w:rsidR="00C22E3D" w:rsidRPr="006F18E8">
        <w:t>W</w:t>
      </w:r>
      <w:r w:rsidR="00C22E3D">
        <w:t xml:space="preserve">est </w:t>
      </w:r>
      <w:r w:rsidR="00C22E3D" w:rsidRPr="006F18E8">
        <w:t>C</w:t>
      </w:r>
      <w:r w:rsidR="00C22E3D">
        <w:t>ontrol Area cost allocation method.  Howeve</w:t>
      </w:r>
      <w:r w:rsidR="006F7D6F">
        <w:t xml:space="preserve">r, PacifiCorp did </w:t>
      </w:r>
      <w:r w:rsidR="00104890">
        <w:t xml:space="preserve">not </w:t>
      </w:r>
      <w:r w:rsidR="00C22E3D">
        <w:t>comprehensive</w:t>
      </w:r>
      <w:r w:rsidR="006F7D6F">
        <w:t xml:space="preserve">ly review </w:t>
      </w:r>
      <w:r w:rsidR="00C22E3D">
        <w:t xml:space="preserve">the </w:t>
      </w:r>
      <w:proofErr w:type="spellStart"/>
      <w:r w:rsidR="00C22E3D">
        <w:t>WCA</w:t>
      </w:r>
      <w:proofErr w:type="spellEnd"/>
      <w:r w:rsidR="00C22E3D">
        <w:t xml:space="preserve"> method</w:t>
      </w:r>
      <w:r w:rsidR="006F7D6F">
        <w:t>,</w:t>
      </w:r>
      <w:r w:rsidR="00C22E3D">
        <w:t xml:space="preserve"> as evidenced </w:t>
      </w:r>
      <w:r w:rsidR="00104890">
        <w:t xml:space="preserve">both </w:t>
      </w:r>
      <w:r w:rsidR="00C22E3D">
        <w:t>by inconsistencies in i</w:t>
      </w:r>
      <w:r w:rsidR="006F7D6F">
        <w:t>t</w:t>
      </w:r>
      <w:r w:rsidR="00E5574F">
        <w:t xml:space="preserve">s proposed </w:t>
      </w:r>
      <w:r w:rsidR="00C22E3D">
        <w:t xml:space="preserve">Control Area Generation West </w:t>
      </w:r>
      <w:r w:rsidR="00BF4198">
        <w:t>(“</w:t>
      </w:r>
      <w:proofErr w:type="spellStart"/>
      <w:r w:rsidR="00BF4198">
        <w:t>CAGW</w:t>
      </w:r>
      <w:proofErr w:type="spellEnd"/>
      <w:r w:rsidR="00BF4198">
        <w:t xml:space="preserve">”) </w:t>
      </w:r>
      <w:r w:rsidR="00C22E3D">
        <w:t xml:space="preserve">and </w:t>
      </w:r>
      <w:r w:rsidR="006F7D6F">
        <w:t xml:space="preserve">System Generation </w:t>
      </w:r>
      <w:r w:rsidR="00BF4198">
        <w:t>(“</w:t>
      </w:r>
      <w:proofErr w:type="spellStart"/>
      <w:r w:rsidR="00BF4198">
        <w:t>SG</w:t>
      </w:r>
      <w:proofErr w:type="spellEnd"/>
      <w:r w:rsidR="00BF4198">
        <w:t xml:space="preserve">”) </w:t>
      </w:r>
      <w:r w:rsidR="00C22E3D">
        <w:t xml:space="preserve">allocation factors and </w:t>
      </w:r>
      <w:r w:rsidR="006F7D6F">
        <w:t>its failure</w:t>
      </w:r>
      <w:r w:rsidR="00C22E3D">
        <w:t xml:space="preserve"> to address the </w:t>
      </w:r>
      <w:r w:rsidR="006F7D6F">
        <w:t xml:space="preserve">System Overhead </w:t>
      </w:r>
      <w:r w:rsidR="00C22E3D">
        <w:t>allocation f</w:t>
      </w:r>
      <w:r w:rsidR="006F7D6F">
        <w:t>actor.  Thus</w:t>
      </w:r>
      <w:r w:rsidR="00C22E3D">
        <w:t>,</w:t>
      </w:r>
      <w:r w:rsidR="00E5574F">
        <w:t xml:space="preserve"> </w:t>
      </w:r>
      <w:r w:rsidR="00C22E3D">
        <w:t>Staff</w:t>
      </w:r>
      <w:r w:rsidR="0076386F">
        <w:t>’s</w:t>
      </w:r>
      <w:r w:rsidR="00C22E3D">
        <w:t xml:space="preserve"> </w:t>
      </w:r>
      <w:r w:rsidR="00104890">
        <w:t>primary recommendation is</w:t>
      </w:r>
      <w:r w:rsidR="00C22E3D">
        <w:t xml:space="preserve"> that the Commission </w:t>
      </w:r>
      <w:r w:rsidR="00A27884">
        <w:t xml:space="preserve">should </w:t>
      </w:r>
      <w:r w:rsidR="009E6BE6">
        <w:t>reject th</w:t>
      </w:r>
      <w:r w:rsidR="00C22E3D">
        <w:t xml:space="preserve">e revisions and set rates based upon the approved </w:t>
      </w:r>
      <w:proofErr w:type="spellStart"/>
      <w:r w:rsidR="00BF4198">
        <w:t>WCA</w:t>
      </w:r>
      <w:proofErr w:type="spellEnd"/>
      <w:r w:rsidR="00BF4198">
        <w:t xml:space="preserve"> method since t</w:t>
      </w:r>
      <w:r w:rsidR="00E5574F">
        <w:t>here is no basis to conclude that th</w:t>
      </w:r>
      <w:r w:rsidR="00055923">
        <w:t xml:space="preserve">e Company’s </w:t>
      </w:r>
      <w:r w:rsidR="00104890">
        <w:t xml:space="preserve">selective </w:t>
      </w:r>
      <w:r w:rsidR="00BF4198">
        <w:t xml:space="preserve">proposals </w:t>
      </w:r>
      <w:r w:rsidR="00E5574F">
        <w:t>fairly allocate total system costs to Washington.</w:t>
      </w:r>
    </w:p>
    <w:p w:rsidR="001E2C72" w:rsidRDefault="00E720CA" w:rsidP="00E720CA">
      <w:pPr>
        <w:pStyle w:val="ListParagraph"/>
        <w:numPr>
          <w:ilvl w:val="0"/>
          <w:numId w:val="15"/>
        </w:numPr>
      </w:pPr>
      <w:r>
        <w:tab/>
      </w:r>
      <w:r w:rsidR="006F7D6F">
        <w:t xml:space="preserve">Staff also recommends that the Commission order the Company to provide a Report and other calculations for use in its next general rate case that will allow the </w:t>
      </w:r>
      <w:proofErr w:type="spellStart"/>
      <w:r w:rsidR="006F7D6F">
        <w:t>WCA</w:t>
      </w:r>
      <w:proofErr w:type="spellEnd"/>
      <w:r w:rsidR="006F7D6F">
        <w:t xml:space="preserve"> method to be evaluated in a comprehensive manner and any necessary revisions adopted.  </w:t>
      </w:r>
      <w:r w:rsidR="00BF4198">
        <w:t>S</w:t>
      </w:r>
      <w:r w:rsidR="006F7D6F">
        <w:t xml:space="preserve">hould the Commission </w:t>
      </w:r>
      <w:r w:rsidR="00BF4198">
        <w:t xml:space="preserve">nevertheless </w:t>
      </w:r>
      <w:r w:rsidR="006F7D6F">
        <w:t xml:space="preserve">accept any of the Company’s </w:t>
      </w:r>
      <w:r w:rsidR="00E5574F">
        <w:t>cost allocation revisions, Staff offers</w:t>
      </w:r>
      <w:r w:rsidR="006F7D6F">
        <w:t xml:space="preserve"> </w:t>
      </w:r>
      <w:r w:rsidR="00055923">
        <w:t>a sec</w:t>
      </w:r>
      <w:r w:rsidR="00B30727">
        <w:t xml:space="preserve">ondary recommendation </w:t>
      </w:r>
      <w:r w:rsidR="0076386F">
        <w:t xml:space="preserve">for </w:t>
      </w:r>
      <w:r w:rsidR="00055923">
        <w:t xml:space="preserve">allocation </w:t>
      </w:r>
      <w:r w:rsidR="00B30727">
        <w:t xml:space="preserve">factor </w:t>
      </w:r>
      <w:r w:rsidR="006F7D6F">
        <w:t>revis</w:t>
      </w:r>
      <w:r w:rsidR="00E5574F">
        <w:t>ions</w:t>
      </w:r>
      <w:r w:rsidR="0076386F">
        <w:t xml:space="preserve"> the Commission should adopt </w:t>
      </w:r>
      <w:r w:rsidR="007E2E9E">
        <w:t>entirely</w:t>
      </w:r>
      <w:r w:rsidR="00F23BBF">
        <w:t xml:space="preserve"> </w:t>
      </w:r>
      <w:r w:rsidR="00E5574F">
        <w:t xml:space="preserve">in an effort to anticipate issues that </w:t>
      </w:r>
      <w:r w:rsidR="00BF4198">
        <w:t>the Report may reveal</w:t>
      </w:r>
      <w:r w:rsidR="00E5574F">
        <w:t>.</w:t>
      </w:r>
    </w:p>
    <w:p w:rsidR="005A064A" w:rsidRDefault="004B0B66" w:rsidP="004B0B66">
      <w:pPr>
        <w:pStyle w:val="Answer-Testimony"/>
        <w:numPr>
          <w:ilvl w:val="0"/>
          <w:numId w:val="15"/>
        </w:numPr>
      </w:pPr>
      <w:r>
        <w:tab/>
      </w:r>
      <w:r w:rsidR="00E5574F">
        <w:t>None of the Company’s argumen</w:t>
      </w:r>
      <w:r w:rsidR="009E6BE6">
        <w:t xml:space="preserve">ts </w:t>
      </w:r>
      <w:r w:rsidR="00E5574F">
        <w:t xml:space="preserve">should dissuade the Commission from accepting Staff’s </w:t>
      </w:r>
      <w:r w:rsidR="00BF4198">
        <w:t xml:space="preserve">primary </w:t>
      </w:r>
      <w:r w:rsidR="00055923">
        <w:t>or</w:t>
      </w:r>
      <w:r w:rsidR="00E16EF9">
        <w:t>, if necessary,</w:t>
      </w:r>
      <w:r w:rsidR="00055923">
        <w:t xml:space="preserve"> secondary </w:t>
      </w:r>
      <w:r w:rsidR="00E5574F">
        <w:t>recommendation</w:t>
      </w:r>
      <w:r w:rsidR="00055923">
        <w:t xml:space="preserve">.  </w:t>
      </w:r>
      <w:r w:rsidR="005A47E7">
        <w:t xml:space="preserve">First, </w:t>
      </w:r>
      <w:r w:rsidR="0043017A">
        <w:t>PacifiCorp argues Staff’s position is inconsistent with Commission precedent that</w:t>
      </w:r>
      <w:r w:rsidR="0069424B">
        <w:t>, over the objection of the Company,</w:t>
      </w:r>
      <w:r w:rsidR="0043017A">
        <w:t xml:space="preserve"> accepted individual changes to the </w:t>
      </w:r>
      <w:proofErr w:type="spellStart"/>
      <w:r w:rsidR="0043017A">
        <w:t>WCA</w:t>
      </w:r>
      <w:proofErr w:type="spellEnd"/>
      <w:r w:rsidR="0043017A">
        <w:t xml:space="preserve"> method without first completing the initial five-year </w:t>
      </w:r>
      <w:r w:rsidR="0043017A">
        <w:lastRenderedPageBreak/>
        <w:t>review.</w:t>
      </w:r>
      <w:r w:rsidR="0043017A">
        <w:rPr>
          <w:rStyle w:val="FootnoteReference"/>
        </w:rPr>
        <w:footnoteReference w:id="24"/>
      </w:r>
      <w:r w:rsidR="0043017A">
        <w:t xml:space="preserve">  </w:t>
      </w:r>
      <w:r w:rsidR="005A064A">
        <w:t xml:space="preserve">However, PacifiCorp was overruled in that case because </w:t>
      </w:r>
      <w:r w:rsidR="005A064A">
        <w:rPr>
          <w:sz w:val="25"/>
          <w:szCs w:val="25"/>
        </w:rPr>
        <w:t xml:space="preserve">the Company’s argument was “contrary to the principles underlying the </w:t>
      </w:r>
      <w:proofErr w:type="spellStart"/>
      <w:r w:rsidR="005A064A">
        <w:rPr>
          <w:sz w:val="25"/>
          <w:szCs w:val="25"/>
        </w:rPr>
        <w:t>WCA</w:t>
      </w:r>
      <w:proofErr w:type="spellEnd"/>
      <w:r w:rsidR="005A064A">
        <w:rPr>
          <w:sz w:val="25"/>
          <w:szCs w:val="25"/>
        </w:rPr>
        <w:t xml:space="preserve"> methodology: </w:t>
      </w:r>
      <w:r w:rsidR="009E6BE6">
        <w:rPr>
          <w:sz w:val="25"/>
          <w:szCs w:val="25"/>
        </w:rPr>
        <w:t xml:space="preserve"> </w:t>
      </w:r>
      <w:r w:rsidR="005A064A">
        <w:rPr>
          <w:sz w:val="25"/>
          <w:szCs w:val="25"/>
        </w:rPr>
        <w:t>that is, those burdens align with benefits.”</w:t>
      </w:r>
      <w:r w:rsidR="005A064A">
        <w:rPr>
          <w:rStyle w:val="FootnoteReference"/>
          <w:sz w:val="25"/>
          <w:szCs w:val="25"/>
        </w:rPr>
        <w:footnoteReference w:id="25"/>
      </w:r>
      <w:r w:rsidR="005A064A">
        <w:t xml:space="preserve">  In contrast, Staff’s position in this case is that the Commission needs additional narrow and specific information in order to </w:t>
      </w:r>
      <w:r w:rsidR="009E6BE6">
        <w:t xml:space="preserve">develop a sufficient record to </w:t>
      </w:r>
      <w:r w:rsidR="005A064A">
        <w:t xml:space="preserve">ensure consistency between the allocation of burdens and benefits within the </w:t>
      </w:r>
      <w:proofErr w:type="spellStart"/>
      <w:r w:rsidR="005A064A">
        <w:t>WCA</w:t>
      </w:r>
      <w:proofErr w:type="spellEnd"/>
      <w:r w:rsidR="005A064A">
        <w:t>.</w:t>
      </w:r>
      <w:r w:rsidR="005A064A">
        <w:rPr>
          <w:rStyle w:val="FootnoteReference"/>
        </w:rPr>
        <w:footnoteReference w:id="26"/>
      </w:r>
      <w:r w:rsidR="005A064A">
        <w:t xml:space="preserve"> </w:t>
      </w:r>
    </w:p>
    <w:p w:rsidR="005A47E7" w:rsidRDefault="004B0B66" w:rsidP="004B0B66">
      <w:pPr>
        <w:pStyle w:val="Answer-Testimony"/>
        <w:numPr>
          <w:ilvl w:val="0"/>
          <w:numId w:val="15"/>
        </w:numPr>
      </w:pPr>
      <w:r>
        <w:tab/>
      </w:r>
      <w:r w:rsidR="005A47E7">
        <w:t xml:space="preserve">PacifiCorp states </w:t>
      </w:r>
      <w:r w:rsidR="00E16EF9">
        <w:t xml:space="preserve">that its proposals are designed to create greater consistency between </w:t>
      </w:r>
      <w:r w:rsidR="005A47E7">
        <w:t xml:space="preserve">inter-jurisdictional allocations </w:t>
      </w:r>
      <w:r w:rsidR="00E16EF9">
        <w:t xml:space="preserve">and </w:t>
      </w:r>
      <w:r w:rsidR="009E6BE6">
        <w:t>its cost of service study</w:t>
      </w:r>
      <w:r w:rsidR="00E16EF9">
        <w:t xml:space="preserve"> (“</w:t>
      </w:r>
      <w:proofErr w:type="spellStart"/>
      <w:r w:rsidR="00E16EF9">
        <w:t>COSS</w:t>
      </w:r>
      <w:proofErr w:type="spellEnd"/>
      <w:r w:rsidR="00E16EF9">
        <w:t>”), which is a pri</w:t>
      </w:r>
      <w:r w:rsidR="00104890">
        <w:t xml:space="preserve">nciple Staff supports but </w:t>
      </w:r>
      <w:r w:rsidR="00E16EF9">
        <w:t>is not embodied in Staff’s primary recommendation</w:t>
      </w:r>
      <w:r w:rsidR="005A47E7">
        <w:t>.</w:t>
      </w:r>
      <w:r w:rsidR="005A47E7">
        <w:rPr>
          <w:rStyle w:val="FootnoteReference"/>
        </w:rPr>
        <w:footnoteReference w:id="27"/>
      </w:r>
      <w:r w:rsidR="004C43C3">
        <w:t xml:space="preserve">  However, </w:t>
      </w:r>
      <w:r w:rsidR="00442773">
        <w:t>while</w:t>
      </w:r>
      <w:r w:rsidR="00442773" w:rsidRPr="001C42A4">
        <w:t xml:space="preserve"> </w:t>
      </w:r>
      <w:r w:rsidR="00442773">
        <w:t xml:space="preserve">greater consistency between inter-jurisdictional allocations and </w:t>
      </w:r>
      <w:r w:rsidR="007E2E9E">
        <w:t xml:space="preserve">a </w:t>
      </w:r>
      <w:proofErr w:type="spellStart"/>
      <w:r w:rsidR="00442773">
        <w:t>COSS</w:t>
      </w:r>
      <w:proofErr w:type="spellEnd"/>
      <w:r w:rsidR="00442773">
        <w:t xml:space="preserve"> is a principle Staff supports, it </w:t>
      </w:r>
      <w:r w:rsidR="00104890">
        <w:t>is</w:t>
      </w:r>
      <w:r w:rsidR="00E16EF9">
        <w:t xml:space="preserve"> subordinate </w:t>
      </w:r>
      <w:r w:rsidR="005A47E7" w:rsidRPr="00271B76">
        <w:t xml:space="preserve">to the importance of internal consistency within the </w:t>
      </w:r>
      <w:proofErr w:type="spellStart"/>
      <w:r w:rsidR="005A47E7" w:rsidRPr="00271B76">
        <w:t>WCA</w:t>
      </w:r>
      <w:proofErr w:type="spellEnd"/>
      <w:r w:rsidR="005A47E7" w:rsidRPr="00271B76">
        <w:t xml:space="preserve"> </w:t>
      </w:r>
      <w:r w:rsidR="00E16EF9">
        <w:t>method</w:t>
      </w:r>
      <w:r w:rsidR="00AB0439">
        <w:t>.  T</w:t>
      </w:r>
      <w:r w:rsidR="004C43C3">
        <w:t>he Company’s proposals</w:t>
      </w:r>
      <w:r w:rsidR="00AB0439">
        <w:t xml:space="preserve"> sacrifice internal consistency within the </w:t>
      </w:r>
      <w:proofErr w:type="spellStart"/>
      <w:r w:rsidR="00AB0439">
        <w:t>WCA</w:t>
      </w:r>
      <w:proofErr w:type="spellEnd"/>
      <w:r w:rsidR="00AB0439">
        <w:t xml:space="preserve"> method</w:t>
      </w:r>
      <w:r w:rsidR="00E16EF9">
        <w:t xml:space="preserve">.  </w:t>
      </w:r>
      <w:r w:rsidR="00AB0439">
        <w:t>That inconsistency is significant, as S</w:t>
      </w:r>
      <w:r w:rsidR="004C43C3">
        <w:t>taf</w:t>
      </w:r>
      <w:r w:rsidR="00D50D22">
        <w:t>f explained and the Company did not refute</w:t>
      </w:r>
      <w:r w:rsidR="004C43C3">
        <w:t>.</w:t>
      </w:r>
      <w:r w:rsidR="004C43C3">
        <w:rPr>
          <w:rStyle w:val="FootnoteReference"/>
        </w:rPr>
        <w:footnoteReference w:id="28"/>
      </w:r>
      <w:r w:rsidR="004C43C3">
        <w:t xml:space="preserve">  </w:t>
      </w:r>
    </w:p>
    <w:p w:rsidR="00595813" w:rsidRDefault="004B0B66" w:rsidP="004B0B66">
      <w:pPr>
        <w:pStyle w:val="ListParagraph"/>
        <w:numPr>
          <w:ilvl w:val="0"/>
          <w:numId w:val="15"/>
        </w:numPr>
      </w:pPr>
      <w:r>
        <w:tab/>
      </w:r>
      <w:r w:rsidR="00BF4198" w:rsidRPr="004B0B66">
        <w:t xml:space="preserve">Regarding Staff’s secondary recommendation to revise the demand/energy weightings in the </w:t>
      </w:r>
      <w:proofErr w:type="spellStart"/>
      <w:r w:rsidR="00BF4198" w:rsidRPr="004B0B66">
        <w:t>SG</w:t>
      </w:r>
      <w:proofErr w:type="spellEnd"/>
      <w:r w:rsidR="00BF4198" w:rsidRPr="004B0B66">
        <w:t xml:space="preserve"> and </w:t>
      </w:r>
      <w:proofErr w:type="spellStart"/>
      <w:r w:rsidR="00BF4198" w:rsidRPr="004B0B66">
        <w:t>CAGW</w:t>
      </w:r>
      <w:proofErr w:type="spellEnd"/>
      <w:r w:rsidR="00BF4198" w:rsidRPr="004B0B66">
        <w:t xml:space="preserve"> alloc</w:t>
      </w:r>
      <w:r w:rsidR="00595813" w:rsidRPr="004B0B66">
        <w:t>ation factors, PacifiCorp alleges</w:t>
      </w:r>
      <w:r w:rsidR="00BF4198" w:rsidRPr="004B0B66">
        <w:t xml:space="preserve"> that </w:t>
      </w:r>
      <w:r w:rsidR="00017DED">
        <w:t>Staff did</w:t>
      </w:r>
      <w:r w:rsidR="00BF4198">
        <w:t xml:space="preserve"> not propose similar changes to the </w:t>
      </w:r>
      <w:proofErr w:type="spellStart"/>
      <w:r w:rsidR="007E2E9E">
        <w:t>COSS</w:t>
      </w:r>
      <w:proofErr w:type="spellEnd"/>
      <w:r w:rsidR="00AB0439">
        <w:t>.</w:t>
      </w:r>
      <w:r w:rsidR="00BF4198">
        <w:rPr>
          <w:rStyle w:val="FootnoteReference"/>
        </w:rPr>
        <w:footnoteReference w:id="29"/>
      </w:r>
      <w:r w:rsidR="00055923">
        <w:t xml:space="preserve">  The Company’s argument is disingenuous.  As the Commission is well aware, the p</w:t>
      </w:r>
      <w:r w:rsidR="009E6BE6">
        <w:t xml:space="preserve">arties settled the </w:t>
      </w:r>
      <w:proofErr w:type="spellStart"/>
      <w:r w:rsidR="00055923">
        <w:t>COSS</w:t>
      </w:r>
      <w:proofErr w:type="spellEnd"/>
      <w:r w:rsidR="00055923">
        <w:t xml:space="preserve"> in this case</w:t>
      </w:r>
      <w:r w:rsidR="00017DED">
        <w:t>, but only as support for the rate spread and rate design they also settled</w:t>
      </w:r>
      <w:r w:rsidR="00595813">
        <w:t xml:space="preserve">. </w:t>
      </w:r>
      <w:r w:rsidR="00595813" w:rsidRPr="00595813">
        <w:t xml:space="preserve"> </w:t>
      </w:r>
      <w:r w:rsidR="00595813">
        <w:t xml:space="preserve">The Company should not be allowed to criticize Staff for allegedly not proposing changes to the </w:t>
      </w:r>
      <w:proofErr w:type="spellStart"/>
      <w:r w:rsidR="00595813">
        <w:t>COSS</w:t>
      </w:r>
      <w:proofErr w:type="spellEnd"/>
      <w:r w:rsidR="00595813">
        <w:t xml:space="preserve"> when Staff agreed to set aside </w:t>
      </w:r>
      <w:proofErr w:type="spellStart"/>
      <w:r w:rsidR="00595813">
        <w:t>COSS</w:t>
      </w:r>
      <w:proofErr w:type="spellEnd"/>
      <w:r w:rsidR="00595813">
        <w:t xml:space="preserve"> issues in this case </w:t>
      </w:r>
      <w:r w:rsidR="00017DED">
        <w:t>in an effort to collaboratively resolve issues.</w:t>
      </w:r>
    </w:p>
    <w:p w:rsidR="00BF4198" w:rsidRDefault="004B0B66" w:rsidP="004B0B66">
      <w:pPr>
        <w:pStyle w:val="ListParagraph"/>
        <w:numPr>
          <w:ilvl w:val="0"/>
          <w:numId w:val="15"/>
        </w:numPr>
      </w:pPr>
      <w:r>
        <w:lastRenderedPageBreak/>
        <w:tab/>
      </w:r>
      <w:r w:rsidR="00D20FE2">
        <w:t>Moreover, t</w:t>
      </w:r>
      <w:r w:rsidR="00595813">
        <w:t xml:space="preserve">he Company’s argument </w:t>
      </w:r>
      <w:r w:rsidR="007E2E9E">
        <w:t xml:space="preserve">mischaracterizes the Staff </w:t>
      </w:r>
      <w:r w:rsidR="00595813">
        <w:t xml:space="preserve">litigation </w:t>
      </w:r>
      <w:r w:rsidR="007E2E9E">
        <w:t xml:space="preserve">position on the </w:t>
      </w:r>
      <w:proofErr w:type="spellStart"/>
      <w:r w:rsidR="007E2E9E">
        <w:t>COSS</w:t>
      </w:r>
      <w:proofErr w:type="spellEnd"/>
      <w:r w:rsidR="007E2E9E">
        <w:t>.  B</w:t>
      </w:r>
      <w:r w:rsidR="00B30727">
        <w:t xml:space="preserve">efore the settlement was reached, </w:t>
      </w:r>
      <w:r w:rsidR="00AB0439">
        <w:t xml:space="preserve">Staff </w:t>
      </w:r>
      <w:r w:rsidR="00C74262">
        <w:t xml:space="preserve">actually </w:t>
      </w:r>
      <w:r w:rsidR="00AB0439">
        <w:t>did</w:t>
      </w:r>
      <w:r w:rsidR="00C74262">
        <w:t xml:space="preserve"> </w:t>
      </w:r>
      <w:r w:rsidR="00AB0439">
        <w:t>propose</w:t>
      </w:r>
      <w:r w:rsidR="00BF4198">
        <w:t xml:space="preserve"> to use 200</w:t>
      </w:r>
      <w:r w:rsidR="00055923">
        <w:t xml:space="preserve"> </w:t>
      </w:r>
      <w:r w:rsidR="00BF4198">
        <w:t>C</w:t>
      </w:r>
      <w:r w:rsidR="00055923">
        <w:t xml:space="preserve">oincident </w:t>
      </w:r>
      <w:r w:rsidR="00BF4198">
        <w:t>P</w:t>
      </w:r>
      <w:r w:rsidR="00055923">
        <w:t>eak</w:t>
      </w:r>
      <w:r w:rsidR="00BF4198">
        <w:t xml:space="preserve"> </w:t>
      </w:r>
      <w:r w:rsidR="00017DED">
        <w:t>(“</w:t>
      </w:r>
      <w:proofErr w:type="spellStart"/>
      <w:r w:rsidR="00017DED">
        <w:t>CP</w:t>
      </w:r>
      <w:proofErr w:type="spellEnd"/>
      <w:r w:rsidR="00017DED">
        <w:t xml:space="preserve">”) </w:t>
      </w:r>
      <w:r w:rsidR="00BF4198">
        <w:t>dat</w:t>
      </w:r>
      <w:r w:rsidR="00B30727">
        <w:t>a</w:t>
      </w:r>
      <w:r w:rsidR="005A47E7">
        <w:t xml:space="preserve">, which is </w:t>
      </w:r>
      <w:r w:rsidR="00BF4198">
        <w:t xml:space="preserve">consistent with </w:t>
      </w:r>
      <w:r w:rsidR="005A47E7">
        <w:t>Staff’s s</w:t>
      </w:r>
      <w:r w:rsidR="00BF4198">
        <w:t>econdary recommendation.</w:t>
      </w:r>
      <w:r w:rsidR="005A47E7">
        <w:rPr>
          <w:rStyle w:val="FootnoteReference"/>
        </w:rPr>
        <w:footnoteReference w:id="30"/>
      </w:r>
      <w:r w:rsidR="00BF4198">
        <w:t xml:space="preserve">  </w:t>
      </w:r>
      <w:r w:rsidR="005A47E7">
        <w:t xml:space="preserve">Staff </w:t>
      </w:r>
      <w:r w:rsidR="00B30727">
        <w:t xml:space="preserve">also </w:t>
      </w:r>
      <w:r w:rsidR="005A47E7">
        <w:t xml:space="preserve">explained </w:t>
      </w:r>
      <w:r w:rsidR="00BF4198">
        <w:t xml:space="preserve">that </w:t>
      </w:r>
      <w:r w:rsidR="005A47E7">
        <w:t>its</w:t>
      </w:r>
      <w:r w:rsidR="00BF4198">
        <w:t xml:space="preserve"> primary recommendation is even more important due to the settlement in this case and </w:t>
      </w:r>
      <w:r w:rsidR="00AB0439">
        <w:t xml:space="preserve">the </w:t>
      </w:r>
      <w:r w:rsidR="00BF4198">
        <w:t>likeliho</w:t>
      </w:r>
      <w:r w:rsidR="005A47E7">
        <w:t xml:space="preserve">od of litigation </w:t>
      </w:r>
      <w:r w:rsidR="00A5191A">
        <w:t xml:space="preserve">of the </w:t>
      </w:r>
      <w:proofErr w:type="spellStart"/>
      <w:r w:rsidR="00A5191A">
        <w:t>COSS</w:t>
      </w:r>
      <w:proofErr w:type="spellEnd"/>
      <w:r w:rsidR="00A5191A">
        <w:t xml:space="preserve"> </w:t>
      </w:r>
      <w:r w:rsidR="005A47E7">
        <w:t>in the next general rate case</w:t>
      </w:r>
      <w:r w:rsidR="00BF4198">
        <w:t>.</w:t>
      </w:r>
      <w:r w:rsidR="005A47E7">
        <w:rPr>
          <w:rStyle w:val="FootnoteReference"/>
        </w:rPr>
        <w:footnoteReference w:id="31"/>
      </w:r>
    </w:p>
    <w:p w:rsidR="00E5574F" w:rsidRDefault="004B0B66" w:rsidP="004B0B66">
      <w:pPr>
        <w:pStyle w:val="ListParagraph"/>
        <w:numPr>
          <w:ilvl w:val="0"/>
          <w:numId w:val="15"/>
        </w:numPr>
      </w:pPr>
      <w:r>
        <w:tab/>
      </w:r>
      <w:r w:rsidR="00017DED" w:rsidRPr="004B0B66">
        <w:t xml:space="preserve">PacifiCorp </w:t>
      </w:r>
      <w:r w:rsidR="00E5574F" w:rsidRPr="004B0B66">
        <w:t xml:space="preserve">argues that </w:t>
      </w:r>
      <w:r w:rsidR="00C84B7F" w:rsidRPr="004B0B66">
        <w:t xml:space="preserve">an Order relied upon by </w:t>
      </w:r>
      <w:r w:rsidR="00E5574F" w:rsidRPr="004B0B66">
        <w:t>S</w:t>
      </w:r>
      <w:r w:rsidR="00C84B7F" w:rsidRPr="004B0B66">
        <w:t xml:space="preserve">taff </w:t>
      </w:r>
      <w:r w:rsidR="00E5574F" w:rsidRPr="004B0B66">
        <w:t>does not address the classification of costs between demand and energy.</w:t>
      </w:r>
      <w:r w:rsidR="00E5574F" w:rsidRPr="00D5508C">
        <w:rPr>
          <w:rStyle w:val="FootnoteReference"/>
        </w:rPr>
        <w:footnoteReference w:id="32"/>
      </w:r>
      <w:r w:rsidR="00C84B7F" w:rsidRPr="004B0B66">
        <w:t xml:space="preserve">  </w:t>
      </w:r>
      <w:r w:rsidR="007E2E9E" w:rsidRPr="004B0B66">
        <w:t>The Company is wrong.  T</w:t>
      </w:r>
      <w:r w:rsidR="00E5574F" w:rsidRPr="00C84B7F">
        <w:t xml:space="preserve">he </w:t>
      </w:r>
      <w:r w:rsidR="00C84B7F">
        <w:t xml:space="preserve">cited </w:t>
      </w:r>
      <w:r w:rsidR="00E5574F" w:rsidRPr="00C84B7F">
        <w:t>precedent relates to the apportionment of costs using usage-based data</w:t>
      </w:r>
      <w:r w:rsidR="00A5191A">
        <w:t xml:space="preserve"> and </w:t>
      </w:r>
      <w:r w:rsidR="00E5574F" w:rsidRPr="00C84B7F">
        <w:t xml:space="preserve">states that the Commission prefers an average peak calculation that best reflects “actual peak </w:t>
      </w:r>
      <w:r w:rsidR="00E5574F" w:rsidRPr="004B0B66">
        <w:rPr>
          <w:i/>
        </w:rPr>
        <w:t>usage.</w:t>
      </w:r>
      <w:r w:rsidR="00E5574F" w:rsidRPr="00C84B7F">
        <w:t>”</w:t>
      </w:r>
      <w:r w:rsidR="00E5574F" w:rsidRPr="00C84B7F">
        <w:rPr>
          <w:rStyle w:val="FootnoteReference"/>
        </w:rPr>
        <w:t xml:space="preserve"> </w:t>
      </w:r>
      <w:r w:rsidR="00E5574F">
        <w:rPr>
          <w:rStyle w:val="FootnoteReference"/>
        </w:rPr>
        <w:footnoteReference w:id="33"/>
      </w:r>
      <w:r w:rsidR="00E5574F" w:rsidRPr="00C84B7F">
        <w:rPr>
          <w:rStyle w:val="FootnoteReference"/>
        </w:rPr>
        <w:t xml:space="preserve"> </w:t>
      </w:r>
      <w:r w:rsidR="00C84B7F">
        <w:t xml:space="preserve"> </w:t>
      </w:r>
      <w:r w:rsidR="00FA364C">
        <w:t>Therefore, it is the distinction between cost-based data and usage-based data that is important, not the distinction between classification and</w:t>
      </w:r>
      <w:r w:rsidR="00FA364C" w:rsidRPr="00C84B7F">
        <w:t xml:space="preserve"> allocation.  </w:t>
      </w:r>
      <w:r w:rsidR="00FA364C">
        <w:t>T</w:t>
      </w:r>
      <w:r w:rsidR="00E5574F" w:rsidRPr="00C84B7F">
        <w:t>he Company has switched from using cost-based data to usage-based data in this case.</w:t>
      </w:r>
      <w:r w:rsidR="00E5574F">
        <w:rPr>
          <w:rStyle w:val="FootnoteReference"/>
        </w:rPr>
        <w:footnoteReference w:id="34"/>
      </w:r>
      <w:r w:rsidR="00C84B7F">
        <w:t xml:space="preserve">  </w:t>
      </w:r>
      <w:r w:rsidR="00E5574F" w:rsidRPr="00C84B7F">
        <w:t xml:space="preserve">Therefore, the precedent </w:t>
      </w:r>
      <w:r w:rsidR="00BF4198">
        <w:t xml:space="preserve">cited by Staff </w:t>
      </w:r>
      <w:r w:rsidR="00E5574F" w:rsidRPr="00C84B7F">
        <w:t xml:space="preserve">is </w:t>
      </w:r>
      <w:r w:rsidR="00BF4198">
        <w:t xml:space="preserve">clearly </w:t>
      </w:r>
      <w:r w:rsidR="00E5574F" w:rsidRPr="00C84B7F">
        <w:t xml:space="preserve">relevant.  </w:t>
      </w:r>
    </w:p>
    <w:p w:rsidR="009D2AA7" w:rsidRDefault="004B0B66" w:rsidP="004B0B66">
      <w:pPr>
        <w:pStyle w:val="ListParagraph"/>
        <w:numPr>
          <w:ilvl w:val="0"/>
          <w:numId w:val="15"/>
        </w:numPr>
      </w:pPr>
      <w:r>
        <w:tab/>
      </w:r>
      <w:r w:rsidR="00AB0439">
        <w:t>Finally, the Company argues that PacifiCorp and Staff’s seconda</w:t>
      </w:r>
      <w:r w:rsidR="00B30727">
        <w:t xml:space="preserve">ry recommendation </w:t>
      </w:r>
      <w:r w:rsidR="00AB0439">
        <w:t>are often contradictory and both cannot be adopted.</w:t>
      </w:r>
      <w:r w:rsidR="00AB0439">
        <w:rPr>
          <w:rStyle w:val="FootnoteReference"/>
        </w:rPr>
        <w:footnoteReference w:id="35"/>
      </w:r>
      <w:r w:rsidR="00AB0439">
        <w:t xml:space="preserve">  However, Staff was clear that</w:t>
      </w:r>
      <w:r w:rsidR="00AB0439" w:rsidRPr="00AB0439">
        <w:t xml:space="preserve"> if the Commission </w:t>
      </w:r>
      <w:r w:rsidR="00AB0439">
        <w:t>were to accept</w:t>
      </w:r>
      <w:r w:rsidR="00AB0439" w:rsidRPr="00AB0439">
        <w:t xml:space="preserve"> </w:t>
      </w:r>
      <w:r w:rsidR="00AB0439" w:rsidRPr="004B0B66">
        <w:rPr>
          <w:i/>
        </w:rPr>
        <w:t>any</w:t>
      </w:r>
      <w:r w:rsidR="00AB0439" w:rsidRPr="00AB0439">
        <w:t xml:space="preserve"> </w:t>
      </w:r>
      <w:r w:rsidR="00AB0439">
        <w:t xml:space="preserve">of the Company’s modification, </w:t>
      </w:r>
      <w:r w:rsidR="00AB0439" w:rsidRPr="00AB0439">
        <w:t xml:space="preserve">it should accept </w:t>
      </w:r>
      <w:r w:rsidR="00AB0439" w:rsidRPr="004B0B66">
        <w:rPr>
          <w:i/>
        </w:rPr>
        <w:t>all</w:t>
      </w:r>
      <w:r w:rsidR="00AB0439" w:rsidRPr="00AB0439">
        <w:t xml:space="preserve"> of Staff’s.</w:t>
      </w:r>
      <w:r w:rsidR="00A5191A">
        <w:rPr>
          <w:rStyle w:val="FootnoteReference"/>
        </w:rPr>
        <w:footnoteReference w:id="36"/>
      </w:r>
      <w:r w:rsidR="00AB0439" w:rsidRPr="00AB0439">
        <w:t xml:space="preserve">  </w:t>
      </w:r>
      <w:r w:rsidR="00A5191A">
        <w:t xml:space="preserve">Staff clearly laid out </w:t>
      </w:r>
      <w:r w:rsidR="00C74262">
        <w:t>all of its revisions, as compared to the Company’s</w:t>
      </w:r>
      <w:r w:rsidR="00A5191A">
        <w:t>:</w:t>
      </w:r>
      <w:r w:rsidR="00A5191A">
        <w:rPr>
          <w:rStyle w:val="FootnoteReference"/>
        </w:rPr>
        <w:footnoteReference w:id="37"/>
      </w:r>
    </w:p>
    <w:p w:rsidR="009D2AA7" w:rsidRDefault="009D2AA7">
      <w:pPr>
        <w:rPr>
          <w:rFonts w:eastAsia="Calibri" w:cs="Times New Roman"/>
        </w:rPr>
      </w:pPr>
      <w:r>
        <w:br w:type="page"/>
      </w:r>
    </w:p>
    <w:p w:rsidR="00A5191A" w:rsidRPr="00B30727" w:rsidRDefault="00A5191A" w:rsidP="009D2AA7">
      <w:pPr>
        <w:pStyle w:val="ListParagraph"/>
      </w:pPr>
    </w:p>
    <w:tbl>
      <w:tblPr>
        <w:tblStyle w:val="TableGrid"/>
        <w:tblpPr w:leftFromText="180" w:rightFromText="180" w:vertAnchor="text" w:horzAnchor="margin" w:tblpXSpec="center" w:tblpY="50"/>
        <w:tblW w:w="7578" w:type="dxa"/>
        <w:tblLook w:val="04A0" w:firstRow="1" w:lastRow="0" w:firstColumn="1" w:lastColumn="0" w:noHBand="0" w:noVBand="1"/>
      </w:tblPr>
      <w:tblGrid>
        <w:gridCol w:w="2088"/>
        <w:gridCol w:w="1710"/>
        <w:gridCol w:w="1890"/>
        <w:gridCol w:w="1890"/>
      </w:tblGrid>
      <w:tr w:rsidR="00A5191A" w:rsidRPr="00A5191A" w:rsidTr="00A5191A">
        <w:trPr>
          <w:cantSplit/>
          <w:trHeight w:val="533"/>
        </w:trPr>
        <w:tc>
          <w:tcPr>
            <w:tcW w:w="2088" w:type="dxa"/>
            <w:vAlign w:val="bottom"/>
          </w:tcPr>
          <w:p w:rsidR="00A5191A" w:rsidRPr="00A5191A" w:rsidRDefault="00A5191A" w:rsidP="00A5191A">
            <w:pPr>
              <w:jc w:val="center"/>
              <w:rPr>
                <w:b/>
                <w:sz w:val="24"/>
                <w:szCs w:val="24"/>
              </w:rPr>
            </w:pPr>
            <w:r w:rsidRPr="00A5191A">
              <w:rPr>
                <w:b/>
                <w:sz w:val="24"/>
                <w:szCs w:val="24"/>
              </w:rPr>
              <w:t>Allocation Factor</w:t>
            </w:r>
          </w:p>
        </w:tc>
        <w:tc>
          <w:tcPr>
            <w:tcW w:w="1710" w:type="dxa"/>
            <w:vAlign w:val="bottom"/>
          </w:tcPr>
          <w:p w:rsidR="00A5191A" w:rsidRPr="00A5191A" w:rsidRDefault="00A5191A" w:rsidP="00A5191A">
            <w:pPr>
              <w:jc w:val="center"/>
              <w:rPr>
                <w:b/>
                <w:sz w:val="24"/>
                <w:szCs w:val="24"/>
              </w:rPr>
            </w:pPr>
            <w:proofErr w:type="spellStart"/>
            <w:r w:rsidRPr="00A5191A">
              <w:rPr>
                <w:b/>
                <w:sz w:val="24"/>
                <w:szCs w:val="24"/>
              </w:rPr>
              <w:t>WCA</w:t>
            </w:r>
            <w:proofErr w:type="spellEnd"/>
            <w:r w:rsidRPr="00A5191A">
              <w:rPr>
                <w:b/>
                <w:sz w:val="24"/>
                <w:szCs w:val="24"/>
              </w:rPr>
              <w:t>:</w:t>
            </w:r>
          </w:p>
          <w:p w:rsidR="00A5191A" w:rsidRPr="00A5191A" w:rsidRDefault="00A5191A" w:rsidP="00A5191A">
            <w:pPr>
              <w:jc w:val="center"/>
              <w:rPr>
                <w:b/>
                <w:sz w:val="24"/>
                <w:szCs w:val="24"/>
              </w:rPr>
            </w:pPr>
            <w:r w:rsidRPr="00A5191A">
              <w:rPr>
                <w:b/>
                <w:sz w:val="24"/>
                <w:szCs w:val="24"/>
              </w:rPr>
              <w:t>Original</w:t>
            </w:r>
          </w:p>
        </w:tc>
        <w:tc>
          <w:tcPr>
            <w:tcW w:w="1890" w:type="dxa"/>
            <w:vAlign w:val="bottom"/>
          </w:tcPr>
          <w:p w:rsidR="00A5191A" w:rsidRPr="00A5191A" w:rsidRDefault="00A5191A" w:rsidP="00A5191A">
            <w:pPr>
              <w:jc w:val="center"/>
              <w:rPr>
                <w:b/>
                <w:sz w:val="24"/>
                <w:szCs w:val="24"/>
              </w:rPr>
            </w:pPr>
            <w:proofErr w:type="spellStart"/>
            <w:r w:rsidRPr="00A5191A">
              <w:rPr>
                <w:b/>
                <w:sz w:val="24"/>
                <w:szCs w:val="24"/>
              </w:rPr>
              <w:t>WCA</w:t>
            </w:r>
            <w:proofErr w:type="spellEnd"/>
            <w:r w:rsidRPr="00A5191A">
              <w:rPr>
                <w:b/>
                <w:sz w:val="24"/>
                <w:szCs w:val="24"/>
              </w:rPr>
              <w:t>:</w:t>
            </w:r>
          </w:p>
          <w:p w:rsidR="00A5191A" w:rsidRPr="00A5191A" w:rsidRDefault="00A5191A" w:rsidP="00A5191A">
            <w:pPr>
              <w:jc w:val="center"/>
              <w:rPr>
                <w:b/>
                <w:sz w:val="24"/>
                <w:szCs w:val="24"/>
              </w:rPr>
            </w:pPr>
            <w:r w:rsidRPr="00A5191A">
              <w:rPr>
                <w:b/>
                <w:sz w:val="24"/>
                <w:szCs w:val="24"/>
              </w:rPr>
              <w:t>Company</w:t>
            </w:r>
          </w:p>
        </w:tc>
        <w:tc>
          <w:tcPr>
            <w:tcW w:w="1890" w:type="dxa"/>
            <w:vAlign w:val="bottom"/>
          </w:tcPr>
          <w:p w:rsidR="00A5191A" w:rsidRPr="00A5191A" w:rsidRDefault="00A5191A" w:rsidP="00A5191A">
            <w:pPr>
              <w:jc w:val="center"/>
              <w:rPr>
                <w:b/>
                <w:sz w:val="24"/>
                <w:szCs w:val="24"/>
              </w:rPr>
            </w:pPr>
            <w:proofErr w:type="spellStart"/>
            <w:r w:rsidRPr="00A5191A">
              <w:rPr>
                <w:b/>
                <w:sz w:val="24"/>
                <w:szCs w:val="24"/>
              </w:rPr>
              <w:t>WCA</w:t>
            </w:r>
            <w:proofErr w:type="spellEnd"/>
            <w:r w:rsidRPr="00A5191A">
              <w:rPr>
                <w:b/>
                <w:sz w:val="24"/>
                <w:szCs w:val="24"/>
              </w:rPr>
              <w:t>:</w:t>
            </w:r>
          </w:p>
          <w:p w:rsidR="00A5191A" w:rsidRPr="00A5191A" w:rsidRDefault="00A5191A" w:rsidP="00A5191A">
            <w:pPr>
              <w:jc w:val="center"/>
              <w:rPr>
                <w:b/>
                <w:sz w:val="24"/>
                <w:szCs w:val="24"/>
              </w:rPr>
            </w:pPr>
            <w:r w:rsidRPr="00A5191A">
              <w:rPr>
                <w:b/>
                <w:sz w:val="24"/>
                <w:szCs w:val="24"/>
              </w:rPr>
              <w:t>Staff</w:t>
            </w:r>
          </w:p>
        </w:tc>
      </w:tr>
      <w:tr w:rsidR="00A5191A" w:rsidRPr="00A5191A" w:rsidTr="00A5191A">
        <w:trPr>
          <w:trHeight w:val="632"/>
        </w:trPr>
        <w:tc>
          <w:tcPr>
            <w:tcW w:w="2088" w:type="dxa"/>
            <w:vAlign w:val="bottom"/>
          </w:tcPr>
          <w:p w:rsidR="00A5191A" w:rsidRPr="00A5191A" w:rsidRDefault="00A5191A" w:rsidP="00A5191A">
            <w:pPr>
              <w:jc w:val="center"/>
              <w:rPr>
                <w:i/>
                <w:sz w:val="24"/>
                <w:szCs w:val="24"/>
              </w:rPr>
            </w:pPr>
            <w:r w:rsidRPr="00A5191A">
              <w:rPr>
                <w:i/>
                <w:sz w:val="24"/>
                <w:szCs w:val="24"/>
              </w:rPr>
              <w:t>System Generation:</w:t>
            </w:r>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Base Component</w:t>
            </w:r>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Weighting</w:t>
            </w:r>
          </w:p>
        </w:tc>
        <w:tc>
          <w:tcPr>
            <w:tcW w:w="1710" w:type="dxa"/>
            <w:vAlign w:val="bottom"/>
          </w:tcPr>
          <w:p w:rsidR="00A5191A" w:rsidRPr="00A5191A" w:rsidRDefault="00A5191A" w:rsidP="00A5191A">
            <w:pPr>
              <w:jc w:val="center"/>
              <w:rPr>
                <w:sz w:val="24"/>
                <w:szCs w:val="24"/>
              </w:rPr>
            </w:pPr>
          </w:p>
          <w:p w:rsidR="00A5191A" w:rsidRPr="00A5191A" w:rsidRDefault="00A5191A" w:rsidP="00A5191A">
            <w:pPr>
              <w:jc w:val="center"/>
              <w:rPr>
                <w:sz w:val="24"/>
                <w:szCs w:val="24"/>
              </w:rPr>
            </w:pPr>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 xml:space="preserve">12 </w:t>
            </w:r>
            <w:proofErr w:type="spellStart"/>
            <w:r w:rsidRPr="00A5191A">
              <w:rPr>
                <w:sz w:val="24"/>
                <w:szCs w:val="24"/>
              </w:rPr>
              <w:t>CP</w:t>
            </w:r>
            <w:proofErr w:type="spellEnd"/>
            <w:r w:rsidRPr="00A5191A">
              <w:rPr>
                <w:sz w:val="24"/>
                <w:szCs w:val="24"/>
              </w:rPr>
              <w:t xml:space="preserve"> – </w:t>
            </w:r>
            <w:proofErr w:type="spellStart"/>
            <w:r w:rsidRPr="00A5191A">
              <w:rPr>
                <w:sz w:val="24"/>
                <w:szCs w:val="24"/>
              </w:rPr>
              <w:t>TS</w:t>
            </w:r>
            <w:proofErr w:type="spellEnd"/>
          </w:p>
          <w:p w:rsidR="00A5191A" w:rsidRPr="00A5191A" w:rsidRDefault="00A5191A" w:rsidP="00A5191A">
            <w:pPr>
              <w:jc w:val="center"/>
              <w:rPr>
                <w:sz w:val="24"/>
                <w:szCs w:val="24"/>
              </w:rPr>
            </w:pPr>
            <w:r w:rsidRPr="00A5191A">
              <w:rPr>
                <w:sz w:val="24"/>
                <w:szCs w:val="24"/>
              </w:rPr>
              <w:t xml:space="preserve"> </w:t>
            </w:r>
          </w:p>
          <w:p w:rsidR="00A5191A" w:rsidRPr="00A5191A" w:rsidRDefault="00A5191A" w:rsidP="00A5191A">
            <w:pPr>
              <w:jc w:val="center"/>
              <w:rPr>
                <w:sz w:val="24"/>
                <w:szCs w:val="24"/>
              </w:rPr>
            </w:pPr>
            <w:r w:rsidRPr="00A5191A">
              <w:rPr>
                <w:sz w:val="24"/>
                <w:szCs w:val="24"/>
              </w:rPr>
              <w:t>Stipulated</w:t>
            </w:r>
          </w:p>
        </w:tc>
        <w:tc>
          <w:tcPr>
            <w:tcW w:w="1890" w:type="dxa"/>
            <w:vAlign w:val="bottom"/>
          </w:tcPr>
          <w:p w:rsidR="00A5191A" w:rsidRPr="00A5191A" w:rsidRDefault="00A5191A" w:rsidP="00A5191A">
            <w:pPr>
              <w:jc w:val="center"/>
              <w:rPr>
                <w:sz w:val="24"/>
                <w:szCs w:val="24"/>
              </w:rPr>
            </w:pPr>
          </w:p>
          <w:p w:rsidR="00A5191A" w:rsidRPr="00A5191A" w:rsidRDefault="00A5191A" w:rsidP="00A5191A">
            <w:pPr>
              <w:jc w:val="center"/>
              <w:rPr>
                <w:sz w:val="24"/>
                <w:szCs w:val="24"/>
              </w:rPr>
            </w:pPr>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 xml:space="preserve">12 </w:t>
            </w:r>
            <w:proofErr w:type="spellStart"/>
            <w:r w:rsidRPr="00A5191A">
              <w:rPr>
                <w:sz w:val="24"/>
                <w:szCs w:val="24"/>
              </w:rPr>
              <w:t>CP</w:t>
            </w:r>
            <w:proofErr w:type="spellEnd"/>
            <w:r w:rsidRPr="00A5191A">
              <w:rPr>
                <w:sz w:val="24"/>
                <w:szCs w:val="24"/>
              </w:rPr>
              <w:t xml:space="preserve"> – </w:t>
            </w:r>
            <w:proofErr w:type="spellStart"/>
            <w:r w:rsidRPr="00A5191A">
              <w:rPr>
                <w:sz w:val="24"/>
                <w:szCs w:val="24"/>
              </w:rPr>
              <w:t>TS</w:t>
            </w:r>
            <w:proofErr w:type="spellEnd"/>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 xml:space="preserve"> Stipulated</w:t>
            </w:r>
          </w:p>
        </w:tc>
        <w:tc>
          <w:tcPr>
            <w:tcW w:w="1890" w:type="dxa"/>
            <w:vAlign w:val="bottom"/>
          </w:tcPr>
          <w:p w:rsidR="00A5191A" w:rsidRPr="00A5191A" w:rsidRDefault="00A5191A" w:rsidP="00A5191A">
            <w:pPr>
              <w:jc w:val="center"/>
              <w:rPr>
                <w:sz w:val="24"/>
                <w:szCs w:val="24"/>
              </w:rPr>
            </w:pPr>
          </w:p>
          <w:p w:rsidR="00A5191A" w:rsidRPr="00A5191A" w:rsidRDefault="00A5191A" w:rsidP="00A5191A">
            <w:pPr>
              <w:jc w:val="center"/>
              <w:rPr>
                <w:sz w:val="24"/>
                <w:szCs w:val="24"/>
              </w:rPr>
            </w:pPr>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 xml:space="preserve">200 </w:t>
            </w:r>
            <w:proofErr w:type="spellStart"/>
            <w:r w:rsidRPr="00A5191A">
              <w:rPr>
                <w:sz w:val="24"/>
                <w:szCs w:val="24"/>
              </w:rPr>
              <w:t>CP</w:t>
            </w:r>
            <w:proofErr w:type="spellEnd"/>
            <w:r w:rsidRPr="00A5191A">
              <w:rPr>
                <w:sz w:val="24"/>
                <w:szCs w:val="24"/>
              </w:rPr>
              <w:t xml:space="preserve"> – </w:t>
            </w:r>
            <w:proofErr w:type="spellStart"/>
            <w:r w:rsidRPr="00A5191A">
              <w:rPr>
                <w:sz w:val="24"/>
                <w:szCs w:val="24"/>
              </w:rPr>
              <w:t>TS</w:t>
            </w:r>
            <w:proofErr w:type="spellEnd"/>
            <w:r w:rsidRPr="00A5191A">
              <w:rPr>
                <w:sz w:val="24"/>
                <w:szCs w:val="24"/>
              </w:rPr>
              <w:t xml:space="preserve"> </w:t>
            </w:r>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 xml:space="preserve">200 </w:t>
            </w:r>
            <w:proofErr w:type="spellStart"/>
            <w:r w:rsidRPr="00A5191A">
              <w:rPr>
                <w:sz w:val="24"/>
                <w:szCs w:val="24"/>
              </w:rPr>
              <w:t>CP</w:t>
            </w:r>
            <w:proofErr w:type="spellEnd"/>
            <w:r w:rsidRPr="00A5191A">
              <w:rPr>
                <w:sz w:val="24"/>
                <w:szCs w:val="24"/>
              </w:rPr>
              <w:t xml:space="preserve"> – </w:t>
            </w:r>
            <w:proofErr w:type="spellStart"/>
            <w:r w:rsidRPr="00A5191A">
              <w:rPr>
                <w:sz w:val="24"/>
                <w:szCs w:val="24"/>
              </w:rPr>
              <w:t>TS</w:t>
            </w:r>
            <w:proofErr w:type="spellEnd"/>
          </w:p>
        </w:tc>
      </w:tr>
      <w:tr w:rsidR="00A5191A" w:rsidRPr="00A5191A" w:rsidTr="00A5191A">
        <w:trPr>
          <w:trHeight w:val="893"/>
        </w:trPr>
        <w:tc>
          <w:tcPr>
            <w:tcW w:w="2088" w:type="dxa"/>
            <w:vAlign w:val="bottom"/>
          </w:tcPr>
          <w:p w:rsidR="00A5191A" w:rsidRPr="00A5191A" w:rsidRDefault="00A5191A" w:rsidP="00A5191A">
            <w:pPr>
              <w:jc w:val="center"/>
              <w:rPr>
                <w:i/>
                <w:sz w:val="24"/>
                <w:szCs w:val="24"/>
              </w:rPr>
            </w:pPr>
            <w:r w:rsidRPr="00A5191A">
              <w:rPr>
                <w:i/>
                <w:sz w:val="24"/>
                <w:szCs w:val="24"/>
              </w:rPr>
              <w:t>Control Area Generation West:</w:t>
            </w:r>
          </w:p>
          <w:p w:rsidR="00A5191A" w:rsidRPr="00A5191A" w:rsidRDefault="00A5191A" w:rsidP="00A5191A">
            <w:pPr>
              <w:jc w:val="center"/>
              <w:rPr>
                <w:i/>
                <w:sz w:val="24"/>
                <w:szCs w:val="24"/>
              </w:rPr>
            </w:pPr>
          </w:p>
          <w:p w:rsidR="00A5191A" w:rsidRPr="00A5191A" w:rsidRDefault="00A5191A" w:rsidP="00A5191A">
            <w:pPr>
              <w:jc w:val="center"/>
              <w:rPr>
                <w:sz w:val="24"/>
                <w:szCs w:val="24"/>
              </w:rPr>
            </w:pPr>
            <w:r w:rsidRPr="00A5191A">
              <w:rPr>
                <w:sz w:val="24"/>
                <w:szCs w:val="24"/>
              </w:rPr>
              <w:t>Base Component</w:t>
            </w:r>
          </w:p>
          <w:p w:rsidR="00A5191A" w:rsidRPr="00A5191A" w:rsidRDefault="00A5191A" w:rsidP="00A5191A">
            <w:pPr>
              <w:jc w:val="center"/>
              <w:rPr>
                <w:sz w:val="24"/>
                <w:szCs w:val="24"/>
              </w:rPr>
            </w:pPr>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Weighting</w:t>
            </w:r>
          </w:p>
        </w:tc>
        <w:tc>
          <w:tcPr>
            <w:tcW w:w="1710" w:type="dxa"/>
            <w:vAlign w:val="bottom"/>
          </w:tcPr>
          <w:p w:rsidR="00A5191A" w:rsidRPr="00A5191A" w:rsidRDefault="00A5191A" w:rsidP="00A5191A">
            <w:pPr>
              <w:jc w:val="center"/>
              <w:rPr>
                <w:sz w:val="24"/>
                <w:szCs w:val="24"/>
              </w:rPr>
            </w:pPr>
            <w:r w:rsidRPr="00A5191A">
              <w:rPr>
                <w:sz w:val="24"/>
                <w:szCs w:val="24"/>
              </w:rPr>
              <w:t xml:space="preserve">12 </w:t>
            </w:r>
            <w:proofErr w:type="spellStart"/>
            <w:r w:rsidRPr="00A5191A">
              <w:rPr>
                <w:sz w:val="24"/>
                <w:szCs w:val="24"/>
              </w:rPr>
              <w:t>CP</w:t>
            </w:r>
            <w:proofErr w:type="spellEnd"/>
            <w:r w:rsidRPr="00A5191A">
              <w:rPr>
                <w:sz w:val="24"/>
                <w:szCs w:val="24"/>
              </w:rPr>
              <w:t xml:space="preserve"> – </w:t>
            </w:r>
            <w:proofErr w:type="spellStart"/>
            <w:r w:rsidRPr="00A5191A">
              <w:rPr>
                <w:sz w:val="24"/>
                <w:szCs w:val="24"/>
              </w:rPr>
              <w:t>WCA</w:t>
            </w:r>
            <w:proofErr w:type="spellEnd"/>
          </w:p>
          <w:p w:rsidR="00A5191A" w:rsidRPr="00A5191A" w:rsidRDefault="00A5191A" w:rsidP="00A5191A">
            <w:pPr>
              <w:jc w:val="center"/>
              <w:rPr>
                <w:sz w:val="24"/>
                <w:szCs w:val="24"/>
              </w:rPr>
            </w:pPr>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Stipulated</w:t>
            </w:r>
          </w:p>
        </w:tc>
        <w:tc>
          <w:tcPr>
            <w:tcW w:w="1890" w:type="dxa"/>
            <w:vAlign w:val="bottom"/>
          </w:tcPr>
          <w:p w:rsidR="00A5191A" w:rsidRPr="00A5191A" w:rsidRDefault="00A5191A" w:rsidP="00A5191A">
            <w:pPr>
              <w:jc w:val="center"/>
              <w:rPr>
                <w:sz w:val="24"/>
                <w:szCs w:val="24"/>
              </w:rPr>
            </w:pPr>
            <w:r w:rsidRPr="00A5191A">
              <w:rPr>
                <w:sz w:val="24"/>
                <w:szCs w:val="24"/>
              </w:rPr>
              <w:t xml:space="preserve">200 </w:t>
            </w:r>
            <w:proofErr w:type="spellStart"/>
            <w:r w:rsidRPr="00A5191A">
              <w:rPr>
                <w:sz w:val="24"/>
                <w:szCs w:val="24"/>
              </w:rPr>
              <w:t>CP</w:t>
            </w:r>
            <w:proofErr w:type="spellEnd"/>
            <w:r w:rsidRPr="00A5191A">
              <w:rPr>
                <w:sz w:val="24"/>
                <w:szCs w:val="24"/>
              </w:rPr>
              <w:t xml:space="preserve"> – </w:t>
            </w:r>
            <w:proofErr w:type="spellStart"/>
            <w:r w:rsidRPr="00A5191A">
              <w:rPr>
                <w:sz w:val="24"/>
                <w:szCs w:val="24"/>
              </w:rPr>
              <w:t>WCA</w:t>
            </w:r>
            <w:proofErr w:type="spellEnd"/>
            <w:r w:rsidRPr="00A5191A">
              <w:rPr>
                <w:sz w:val="24"/>
                <w:szCs w:val="24"/>
              </w:rPr>
              <w:t xml:space="preserve"> </w:t>
            </w:r>
          </w:p>
          <w:p w:rsidR="00A5191A" w:rsidRPr="00A5191A" w:rsidRDefault="00A5191A" w:rsidP="00A5191A">
            <w:pPr>
              <w:jc w:val="center"/>
              <w:rPr>
                <w:sz w:val="24"/>
                <w:szCs w:val="24"/>
              </w:rPr>
            </w:pPr>
          </w:p>
          <w:p w:rsidR="00A5191A" w:rsidRPr="00A5191A" w:rsidRDefault="00A5191A" w:rsidP="00A5191A">
            <w:pPr>
              <w:jc w:val="center"/>
              <w:rPr>
                <w:sz w:val="24"/>
                <w:szCs w:val="24"/>
              </w:rPr>
            </w:pPr>
            <w:r w:rsidRPr="00A5191A">
              <w:rPr>
                <w:sz w:val="24"/>
                <w:szCs w:val="24"/>
              </w:rPr>
              <w:t xml:space="preserve"> Load Factor – </w:t>
            </w:r>
            <w:proofErr w:type="spellStart"/>
            <w:r w:rsidRPr="00A5191A">
              <w:rPr>
                <w:sz w:val="24"/>
                <w:szCs w:val="24"/>
              </w:rPr>
              <w:t>WCA</w:t>
            </w:r>
            <w:proofErr w:type="spellEnd"/>
          </w:p>
        </w:tc>
        <w:tc>
          <w:tcPr>
            <w:tcW w:w="1890" w:type="dxa"/>
            <w:vAlign w:val="bottom"/>
          </w:tcPr>
          <w:p w:rsidR="00A5191A" w:rsidRPr="00A5191A" w:rsidRDefault="00A5191A" w:rsidP="00A5191A">
            <w:pPr>
              <w:jc w:val="center"/>
              <w:rPr>
                <w:sz w:val="24"/>
                <w:szCs w:val="24"/>
              </w:rPr>
            </w:pPr>
            <w:r w:rsidRPr="00A5191A">
              <w:rPr>
                <w:sz w:val="24"/>
                <w:szCs w:val="24"/>
              </w:rPr>
              <w:t xml:space="preserve">200 </w:t>
            </w:r>
            <w:proofErr w:type="spellStart"/>
            <w:r w:rsidRPr="00A5191A">
              <w:rPr>
                <w:sz w:val="24"/>
                <w:szCs w:val="24"/>
              </w:rPr>
              <w:t>CP</w:t>
            </w:r>
            <w:proofErr w:type="spellEnd"/>
            <w:r w:rsidRPr="00A5191A">
              <w:rPr>
                <w:sz w:val="24"/>
                <w:szCs w:val="24"/>
              </w:rPr>
              <w:t xml:space="preserve"> – </w:t>
            </w:r>
            <w:proofErr w:type="spellStart"/>
            <w:r w:rsidRPr="00A5191A">
              <w:rPr>
                <w:sz w:val="24"/>
                <w:szCs w:val="24"/>
              </w:rPr>
              <w:t>WCA</w:t>
            </w:r>
            <w:proofErr w:type="spellEnd"/>
          </w:p>
          <w:p w:rsidR="00A5191A" w:rsidRPr="00A5191A" w:rsidRDefault="00A5191A" w:rsidP="00A5191A">
            <w:pPr>
              <w:rPr>
                <w:sz w:val="24"/>
                <w:szCs w:val="24"/>
              </w:rPr>
            </w:pPr>
          </w:p>
          <w:p w:rsidR="00A5191A" w:rsidRPr="00A5191A" w:rsidRDefault="00A5191A" w:rsidP="00A5191A">
            <w:pPr>
              <w:rPr>
                <w:sz w:val="24"/>
                <w:szCs w:val="24"/>
              </w:rPr>
            </w:pPr>
          </w:p>
          <w:p w:rsidR="00A5191A" w:rsidRPr="00A5191A" w:rsidRDefault="00A5191A" w:rsidP="00A5191A">
            <w:pPr>
              <w:rPr>
                <w:sz w:val="24"/>
                <w:szCs w:val="24"/>
              </w:rPr>
            </w:pPr>
            <w:r w:rsidRPr="00A5191A">
              <w:rPr>
                <w:sz w:val="24"/>
                <w:szCs w:val="24"/>
              </w:rPr>
              <w:t xml:space="preserve"> 200 </w:t>
            </w:r>
            <w:proofErr w:type="spellStart"/>
            <w:r w:rsidRPr="00A5191A">
              <w:rPr>
                <w:sz w:val="24"/>
                <w:szCs w:val="24"/>
              </w:rPr>
              <w:t>CP</w:t>
            </w:r>
            <w:proofErr w:type="spellEnd"/>
            <w:r w:rsidRPr="00A5191A">
              <w:rPr>
                <w:sz w:val="24"/>
                <w:szCs w:val="24"/>
              </w:rPr>
              <w:t xml:space="preserve"> – </w:t>
            </w:r>
            <w:proofErr w:type="spellStart"/>
            <w:r w:rsidRPr="00A5191A">
              <w:rPr>
                <w:sz w:val="24"/>
                <w:szCs w:val="24"/>
              </w:rPr>
              <w:t>WCA</w:t>
            </w:r>
            <w:proofErr w:type="spellEnd"/>
          </w:p>
        </w:tc>
      </w:tr>
    </w:tbl>
    <w:p w:rsidR="00A5191A" w:rsidRPr="00A5191A" w:rsidRDefault="00A5191A" w:rsidP="00A5191A">
      <w:pPr>
        <w:pStyle w:val="Answer-Testimony"/>
        <w:rPr>
          <w:color w:val="FFFFFF" w:themeColor="background1"/>
        </w:rPr>
      </w:pPr>
      <w:r w:rsidRPr="00A5191A">
        <w:rPr>
          <w:color w:val="FFFFFF" w:themeColor="background1"/>
        </w:rPr>
        <w:t>RR</w:t>
      </w:r>
    </w:p>
    <w:p w:rsidR="00A5191A" w:rsidRDefault="00A5191A" w:rsidP="00A5191A">
      <w:pPr>
        <w:pStyle w:val="Answer-Testimony"/>
        <w:rPr>
          <w:color w:val="FFFFFF" w:themeColor="background1"/>
        </w:rPr>
      </w:pPr>
    </w:p>
    <w:p w:rsidR="004B0B66" w:rsidRDefault="004B0B66" w:rsidP="00A5191A">
      <w:pPr>
        <w:pStyle w:val="Answer-Testimony"/>
        <w:rPr>
          <w:color w:val="FFFFFF" w:themeColor="background1"/>
        </w:rPr>
      </w:pPr>
    </w:p>
    <w:p w:rsidR="004B0B66" w:rsidRDefault="004B0B66" w:rsidP="00A5191A">
      <w:pPr>
        <w:pStyle w:val="Answer-Testimony"/>
        <w:rPr>
          <w:color w:val="FFFFFF" w:themeColor="background1"/>
        </w:rPr>
      </w:pPr>
    </w:p>
    <w:p w:rsidR="004B0B66" w:rsidRDefault="004B0B66" w:rsidP="00A5191A">
      <w:pPr>
        <w:pStyle w:val="Answer-Testimony"/>
        <w:rPr>
          <w:color w:val="FFFFFF" w:themeColor="background1"/>
        </w:rPr>
      </w:pPr>
    </w:p>
    <w:p w:rsidR="004B0B66" w:rsidRDefault="004B0B66" w:rsidP="00A5191A">
      <w:pPr>
        <w:pStyle w:val="Answer-Testimony"/>
        <w:rPr>
          <w:color w:val="FFFFFF" w:themeColor="background1"/>
        </w:rPr>
      </w:pPr>
    </w:p>
    <w:p w:rsidR="00E5574F" w:rsidRPr="001E2C72" w:rsidRDefault="004B0B66" w:rsidP="004B0B66">
      <w:pPr>
        <w:pStyle w:val="Answer-Testimony"/>
        <w:numPr>
          <w:ilvl w:val="0"/>
          <w:numId w:val="15"/>
        </w:numPr>
      </w:pPr>
      <w:r>
        <w:tab/>
      </w:r>
      <w:r w:rsidR="00C74262">
        <w:t xml:space="preserve">The </w:t>
      </w:r>
      <w:r w:rsidR="00A5191A" w:rsidRPr="00A5191A">
        <w:t xml:space="preserve">Company’s proposal </w:t>
      </w:r>
      <w:r w:rsidR="005A064A">
        <w:t xml:space="preserve">is to use </w:t>
      </w:r>
      <w:r w:rsidR="00A5191A" w:rsidRPr="00A5191A">
        <w:t>a load factor (</w:t>
      </w:r>
      <w:proofErr w:type="spellStart"/>
      <w:r w:rsidR="00A5191A" w:rsidRPr="00A5191A">
        <w:t>1CP</w:t>
      </w:r>
      <w:proofErr w:type="spellEnd"/>
      <w:r w:rsidR="00A5191A" w:rsidRPr="00A5191A">
        <w:t xml:space="preserve">) for the </w:t>
      </w:r>
      <w:proofErr w:type="spellStart"/>
      <w:r w:rsidR="005A064A">
        <w:t>CAGW</w:t>
      </w:r>
      <w:proofErr w:type="spellEnd"/>
      <w:r w:rsidR="005A064A">
        <w:t xml:space="preserve"> </w:t>
      </w:r>
      <w:r w:rsidR="00A5191A" w:rsidRPr="00A5191A">
        <w:t>weighting</w:t>
      </w:r>
      <w:r w:rsidR="00B30727">
        <w:t>,</w:t>
      </w:r>
      <w:r w:rsidR="00A5191A" w:rsidRPr="00A5191A">
        <w:t xml:space="preserve"> while Staf</w:t>
      </w:r>
      <w:r w:rsidR="00250FFE">
        <w:t xml:space="preserve">f </w:t>
      </w:r>
      <w:r w:rsidR="00A5191A" w:rsidRPr="00A5191A">
        <w:t xml:space="preserve">would </w:t>
      </w:r>
      <w:r w:rsidR="0069424B">
        <w:t xml:space="preserve">use </w:t>
      </w:r>
      <w:proofErr w:type="spellStart"/>
      <w:r w:rsidR="00A5191A" w:rsidRPr="00A5191A">
        <w:t>200CP</w:t>
      </w:r>
      <w:proofErr w:type="spellEnd"/>
      <w:r w:rsidR="00A5191A" w:rsidRPr="00A5191A">
        <w:t>.  That is th</w:t>
      </w:r>
      <w:r w:rsidR="00B30727">
        <w:t xml:space="preserve">e only place where </w:t>
      </w:r>
      <w:r w:rsidR="00250FFE">
        <w:t>PacifiCorp</w:t>
      </w:r>
      <w:r w:rsidR="00B30727">
        <w:t xml:space="preserve"> can claim </w:t>
      </w:r>
      <w:r w:rsidR="00C74262">
        <w:t>any incompatibility</w:t>
      </w:r>
      <w:r w:rsidR="00017DED">
        <w:t xml:space="preserve"> between its </w:t>
      </w:r>
      <w:r w:rsidR="00A5191A" w:rsidRPr="00A5191A">
        <w:t>propo</w:t>
      </w:r>
      <w:r w:rsidR="0069424B">
        <w:t>sed modification</w:t>
      </w:r>
      <w:r w:rsidR="00D20FE2">
        <w:t>s</w:t>
      </w:r>
      <w:r w:rsidR="0069424B">
        <w:t xml:space="preserve"> </w:t>
      </w:r>
      <w:r w:rsidR="00A5191A" w:rsidRPr="00A5191A">
        <w:t>and Staff</w:t>
      </w:r>
      <w:r w:rsidR="00B30727">
        <w:t>’s secondary recommendation</w:t>
      </w:r>
      <w:r w:rsidR="00017DED">
        <w:t>s</w:t>
      </w:r>
      <w:r w:rsidR="00A5191A" w:rsidRPr="00A5191A">
        <w:t>.</w:t>
      </w:r>
      <w:r w:rsidR="00B30727">
        <w:t xml:space="preserve">  Thus, the Company’s accusation is a gross overstatement at best</w:t>
      </w:r>
      <w:r w:rsidR="00371428">
        <w:t xml:space="preserve"> that </w:t>
      </w:r>
      <w:r w:rsidR="00C74262">
        <w:t>should not be the</w:t>
      </w:r>
      <w:r w:rsidR="00371428">
        <w:t xml:space="preserve"> determining factor</w:t>
      </w:r>
      <w:r w:rsidR="00B30727">
        <w:t>.</w:t>
      </w:r>
    </w:p>
    <w:p w:rsidR="00826F77" w:rsidRDefault="00CF48F8" w:rsidP="001D212A">
      <w:pPr>
        <w:spacing w:line="480" w:lineRule="auto"/>
        <w:rPr>
          <w:b/>
        </w:rPr>
      </w:pPr>
      <w:r>
        <w:rPr>
          <w:b/>
        </w:rPr>
        <w:t>D.</w:t>
      </w:r>
      <w:r>
        <w:rPr>
          <w:b/>
        </w:rPr>
        <w:tab/>
        <w:t>Major Plant Additions</w:t>
      </w:r>
      <w:r w:rsidR="004B0B66">
        <w:rPr>
          <w:b/>
        </w:rPr>
        <w:t xml:space="preserve"> </w:t>
      </w:r>
      <w:r w:rsidR="00A26575">
        <w:rPr>
          <w:b/>
        </w:rPr>
        <w:t xml:space="preserve">and </w:t>
      </w:r>
      <w:r w:rsidR="0073032E">
        <w:rPr>
          <w:b/>
        </w:rPr>
        <w:t>the Expedited Rate Filing</w:t>
      </w:r>
    </w:p>
    <w:p w:rsidR="0096132B" w:rsidRDefault="004B0B66" w:rsidP="004B0B66">
      <w:pPr>
        <w:pStyle w:val="ListParagraph"/>
        <w:numPr>
          <w:ilvl w:val="0"/>
          <w:numId w:val="15"/>
        </w:numPr>
        <w:tabs>
          <w:tab w:val="left" w:pos="-1440"/>
        </w:tabs>
      </w:pPr>
      <w:r>
        <w:tab/>
      </w:r>
      <w:r w:rsidR="0096132B" w:rsidRPr="00472BE3">
        <w:t xml:space="preserve">Staff recommends a “bright line” standard that would include only </w:t>
      </w:r>
      <w:r w:rsidR="0096132B">
        <w:t xml:space="preserve">major </w:t>
      </w:r>
      <w:r w:rsidR="0096132B" w:rsidRPr="00472BE3">
        <w:t xml:space="preserve">plant additions that were in service on January 11, 2013, the date the Company filed this general rate case, followed by a timely expedited rate filing </w:t>
      </w:r>
      <w:r w:rsidR="00A5036F">
        <w:t>(“</w:t>
      </w:r>
      <w:proofErr w:type="spellStart"/>
      <w:r w:rsidR="00A5036F">
        <w:t>ERF</w:t>
      </w:r>
      <w:proofErr w:type="spellEnd"/>
      <w:r w:rsidR="00A5036F">
        <w:t xml:space="preserve">”) </w:t>
      </w:r>
      <w:r w:rsidR="0096132B" w:rsidRPr="00472BE3">
        <w:t xml:space="preserve">to recover plant additions completed after that date.  Therefore, Staff includes </w:t>
      </w:r>
      <w:r w:rsidR="0096132B">
        <w:t xml:space="preserve">the </w:t>
      </w:r>
      <w:r w:rsidR="0096132B" w:rsidRPr="00472BE3">
        <w:t>Soda Springs</w:t>
      </w:r>
      <w:r w:rsidR="0096132B">
        <w:t xml:space="preserve"> Fish Passage</w:t>
      </w:r>
      <w:r w:rsidR="0096132B" w:rsidRPr="00472BE3">
        <w:t xml:space="preserve">, Swift </w:t>
      </w:r>
      <w:r w:rsidR="0096132B">
        <w:t xml:space="preserve">Fish Collector </w:t>
      </w:r>
      <w:r w:rsidR="0096132B" w:rsidRPr="00472BE3">
        <w:t xml:space="preserve">and Prospect </w:t>
      </w:r>
      <w:r w:rsidR="0096132B">
        <w:t xml:space="preserve">In-Stream Flow/Automation system </w:t>
      </w:r>
      <w:r w:rsidR="0096132B" w:rsidRPr="00472BE3">
        <w:t xml:space="preserve">because they were in service on January 11, 2013.  Using that same </w:t>
      </w:r>
      <w:r w:rsidR="00FA364C">
        <w:t xml:space="preserve">in-service </w:t>
      </w:r>
      <w:r w:rsidR="0096132B" w:rsidRPr="00472BE3">
        <w:t xml:space="preserve">cut-off date, Staff </w:t>
      </w:r>
      <w:r w:rsidR="0096132B">
        <w:t>excludes</w:t>
      </w:r>
      <w:r w:rsidR="0096132B" w:rsidRPr="00472BE3">
        <w:t xml:space="preserve"> </w:t>
      </w:r>
      <w:r w:rsidR="0096132B">
        <w:t xml:space="preserve">the </w:t>
      </w:r>
      <w:proofErr w:type="spellStart"/>
      <w:r w:rsidR="0096132B" w:rsidRPr="00472BE3">
        <w:t>Merwin</w:t>
      </w:r>
      <w:proofErr w:type="spellEnd"/>
      <w:r w:rsidR="0096132B" w:rsidRPr="00472BE3">
        <w:t xml:space="preserve"> </w:t>
      </w:r>
      <w:r w:rsidR="0096132B">
        <w:t xml:space="preserve">Fish Collector </w:t>
      </w:r>
      <w:r w:rsidR="0096132B" w:rsidRPr="00472BE3">
        <w:t xml:space="preserve">and the Jim Bridger turbine upgrade. </w:t>
      </w:r>
      <w:r w:rsidR="0096132B">
        <w:t xml:space="preserve"> Staff </w:t>
      </w:r>
      <w:r w:rsidR="0096132B" w:rsidRPr="00472BE3">
        <w:t>also correct</w:t>
      </w:r>
      <w:r w:rsidR="0096132B">
        <w:t>s</w:t>
      </w:r>
      <w:r w:rsidR="0096132B" w:rsidRPr="00472BE3">
        <w:t xml:space="preserve"> depreciation expense and accumulated reserve, and remove</w:t>
      </w:r>
      <w:r w:rsidR="0096132B">
        <w:t>s</w:t>
      </w:r>
      <w:r w:rsidR="0096132B" w:rsidRPr="00472BE3">
        <w:t xml:space="preserve"> projected </w:t>
      </w:r>
      <w:proofErr w:type="spellStart"/>
      <w:r w:rsidR="0096132B" w:rsidRPr="00472BE3">
        <w:t>O&amp;M</w:t>
      </w:r>
      <w:proofErr w:type="spellEnd"/>
      <w:r w:rsidR="0096132B" w:rsidRPr="00472BE3">
        <w:t xml:space="preserve"> expenses for </w:t>
      </w:r>
      <w:proofErr w:type="spellStart"/>
      <w:r w:rsidR="0096132B" w:rsidRPr="00472BE3">
        <w:t>Merwin</w:t>
      </w:r>
      <w:proofErr w:type="spellEnd"/>
      <w:r w:rsidR="0096132B" w:rsidRPr="00472BE3">
        <w:t xml:space="preserve"> and Swift</w:t>
      </w:r>
      <w:r w:rsidR="0096132B">
        <w:t xml:space="preserve"> that are not known and measurable</w:t>
      </w:r>
      <w:r w:rsidR="0096132B" w:rsidRPr="00472BE3">
        <w:t>.</w:t>
      </w:r>
    </w:p>
    <w:p w:rsidR="00A26575" w:rsidRDefault="00A26575" w:rsidP="004B0B66">
      <w:pPr>
        <w:pStyle w:val="ListParagraph"/>
        <w:numPr>
          <w:ilvl w:val="0"/>
          <w:numId w:val="15"/>
        </w:numPr>
        <w:tabs>
          <w:tab w:val="left" w:pos="-1440"/>
        </w:tabs>
      </w:pPr>
      <w:r>
        <w:lastRenderedPageBreak/>
        <w:tab/>
        <w:t>The Company complains</w:t>
      </w:r>
      <w:r w:rsidR="0073032E">
        <w:t xml:space="preserve"> that the Staff </w:t>
      </w:r>
      <w:proofErr w:type="spellStart"/>
      <w:r w:rsidR="0073032E">
        <w:t>ERF</w:t>
      </w:r>
      <w:proofErr w:type="spellEnd"/>
      <w:r w:rsidR="0073032E">
        <w:t xml:space="preserve"> proposal will not address regulatory lag, alleging, in particular, that the </w:t>
      </w:r>
      <w:proofErr w:type="spellStart"/>
      <w:r w:rsidR="0073032E">
        <w:t>ERF</w:t>
      </w:r>
      <w:proofErr w:type="spellEnd"/>
      <w:r w:rsidR="0073032E">
        <w:t xml:space="preserve"> will not provide timely recovery of the Jim Bridger turbine upgrade.</w:t>
      </w:r>
      <w:r w:rsidR="0073032E">
        <w:rPr>
          <w:rStyle w:val="FootnoteReference"/>
        </w:rPr>
        <w:footnoteReference w:id="38"/>
      </w:r>
      <w:r w:rsidR="0073032E">
        <w:t xml:space="preserve">  Staff has explained previously that any delay in the recovery of the Jim Bridger upgrade does not contribute to any under-earning associated with regulatory lag,</w:t>
      </w:r>
      <w:r w:rsidR="0073032E" w:rsidRPr="0073032E">
        <w:t xml:space="preserve"> </w:t>
      </w:r>
      <w:r w:rsidR="0073032E">
        <w:t>provided that the Company’s compliance filing removes the upgrade from the calculation of net power costs.</w:t>
      </w:r>
      <w:r w:rsidR="0073032E">
        <w:rPr>
          <w:rStyle w:val="FootnoteReference"/>
        </w:rPr>
        <w:footnoteReference w:id="39"/>
      </w:r>
      <w:r w:rsidR="0073032E">
        <w:t xml:space="preserve">  </w:t>
      </w:r>
      <w:r w:rsidR="00906D7F">
        <w:tab/>
      </w:r>
      <w:r w:rsidR="0073032E">
        <w:t>Moreover, as M</w:t>
      </w:r>
      <w:r w:rsidR="00250FFE">
        <w:t>s. Reynolds explained</w:t>
      </w:r>
      <w:r w:rsidR="0073032E">
        <w:t>:  “I also think that the company would be able to file an alternative expedited rate filing that might depend on the July [2012] to June [2013] period, file that in January [2014], and have rates maybe four months later.”</w:t>
      </w:r>
      <w:r w:rsidR="0073032E">
        <w:rPr>
          <w:rStyle w:val="FootnoteReference"/>
        </w:rPr>
        <w:footnoteReference w:id="40"/>
      </w:r>
      <w:r w:rsidR="00D876CE">
        <w:t xml:space="preserve">  Thus, the </w:t>
      </w:r>
      <w:proofErr w:type="spellStart"/>
      <w:r w:rsidR="00D876CE">
        <w:t>ERF</w:t>
      </w:r>
      <w:proofErr w:type="spellEnd"/>
      <w:r w:rsidR="00D876CE">
        <w:t xml:space="preserve"> </w:t>
      </w:r>
      <w:r w:rsidR="00906D7F">
        <w:t>can accommodate</w:t>
      </w:r>
      <w:r w:rsidR="00D876CE">
        <w:t xml:space="preserve"> </w:t>
      </w:r>
      <w:r w:rsidR="00906D7F">
        <w:t>earlier recovery of the Jim Bridger upgrade than feared by PacifiCorp.</w:t>
      </w:r>
    </w:p>
    <w:p w:rsidR="0096132B" w:rsidRDefault="004B0B66" w:rsidP="004B0B66">
      <w:pPr>
        <w:pStyle w:val="ListParagraph"/>
        <w:numPr>
          <w:ilvl w:val="0"/>
          <w:numId w:val="15"/>
        </w:numPr>
        <w:tabs>
          <w:tab w:val="left" w:pos="-1440"/>
        </w:tabs>
      </w:pPr>
      <w:r>
        <w:tab/>
      </w:r>
      <w:r w:rsidR="0096132B">
        <w:t>Pa</w:t>
      </w:r>
      <w:r w:rsidR="002323E8">
        <w:t>cifiCorp</w:t>
      </w:r>
      <w:r w:rsidR="00371428">
        <w:t xml:space="preserve"> proposes a </w:t>
      </w:r>
      <w:r w:rsidR="0096132B">
        <w:t>separate tariff ri</w:t>
      </w:r>
      <w:r w:rsidR="00371428">
        <w:t xml:space="preserve">der for </w:t>
      </w:r>
      <w:r w:rsidR="0096132B">
        <w:t xml:space="preserve">the </w:t>
      </w:r>
      <w:proofErr w:type="spellStart"/>
      <w:r w:rsidR="0096132B">
        <w:t>Merwin</w:t>
      </w:r>
      <w:proofErr w:type="spellEnd"/>
      <w:r w:rsidR="0096132B">
        <w:t xml:space="preserve"> Fish Collector </w:t>
      </w:r>
      <w:r w:rsidR="00371428">
        <w:t xml:space="preserve">once it </w:t>
      </w:r>
      <w:r w:rsidR="0096132B">
        <w:t xml:space="preserve">is in service (projected for February 2014).  </w:t>
      </w:r>
      <w:r w:rsidR="00A5036F">
        <w:t xml:space="preserve">That alternative is unnecessary given the </w:t>
      </w:r>
      <w:proofErr w:type="spellStart"/>
      <w:r w:rsidR="00A5036F">
        <w:t>ERF</w:t>
      </w:r>
      <w:proofErr w:type="spellEnd"/>
      <w:r w:rsidR="00A5036F">
        <w:t xml:space="preserve"> proposed by Staff that would consider </w:t>
      </w:r>
      <w:r w:rsidR="00906D7F">
        <w:t xml:space="preserve">timely </w:t>
      </w:r>
      <w:r w:rsidR="00620812">
        <w:t xml:space="preserve">rate recovery for </w:t>
      </w:r>
      <w:r w:rsidR="00A5036F">
        <w:t xml:space="preserve">both </w:t>
      </w:r>
      <w:proofErr w:type="spellStart"/>
      <w:r w:rsidR="00A5036F">
        <w:t>Merwin</w:t>
      </w:r>
      <w:proofErr w:type="spellEnd"/>
      <w:r w:rsidR="00A5036F">
        <w:t xml:space="preserve"> and the Jim Bridger upgrade</w:t>
      </w:r>
      <w:r w:rsidR="0073032E">
        <w:t xml:space="preserve">. </w:t>
      </w:r>
    </w:p>
    <w:p w:rsidR="00A5036F" w:rsidRDefault="004B0B66" w:rsidP="004B0B66">
      <w:pPr>
        <w:pStyle w:val="ListParagraph"/>
        <w:numPr>
          <w:ilvl w:val="0"/>
          <w:numId w:val="15"/>
        </w:numPr>
        <w:tabs>
          <w:tab w:val="left" w:pos="-1440"/>
        </w:tabs>
      </w:pPr>
      <w:r>
        <w:tab/>
      </w:r>
      <w:r w:rsidR="00A5036F">
        <w:t>Moreover, the Company</w:t>
      </w:r>
      <w:r w:rsidR="00620812">
        <w:t xml:space="preserve">’s proposal would set </w:t>
      </w:r>
      <w:r w:rsidR="00371428">
        <w:t xml:space="preserve">precedent for an </w:t>
      </w:r>
      <w:r w:rsidR="00A5036F">
        <w:t xml:space="preserve">individual tariff rider </w:t>
      </w:r>
      <w:r w:rsidR="00D876CE">
        <w:t xml:space="preserve">for each </w:t>
      </w:r>
      <w:r w:rsidR="00A5036F">
        <w:t xml:space="preserve">plant </w:t>
      </w:r>
      <w:r w:rsidR="00620812">
        <w:t xml:space="preserve">addition </w:t>
      </w:r>
      <w:r w:rsidR="00A5036F">
        <w:t xml:space="preserve">scheduled to go into service after the cut-off date </w:t>
      </w:r>
      <w:r w:rsidR="00D876CE">
        <w:t>set</w:t>
      </w:r>
      <w:r w:rsidR="00A5036F">
        <w:t xml:space="preserve"> in a rate </w:t>
      </w:r>
      <w:r w:rsidR="00371428">
        <w:t xml:space="preserve">proceeding.  Staff submits </w:t>
      </w:r>
      <w:r w:rsidR="00A5036F">
        <w:t xml:space="preserve">this would be </w:t>
      </w:r>
      <w:r w:rsidR="00C141D8">
        <w:t xml:space="preserve">poor </w:t>
      </w:r>
      <w:r w:rsidR="00371428">
        <w:t xml:space="preserve">ratemaking </w:t>
      </w:r>
      <w:r w:rsidR="00C141D8">
        <w:t xml:space="preserve">policy, </w:t>
      </w:r>
      <w:r w:rsidR="00A5036F">
        <w:t>administratively burdensome to the Commission</w:t>
      </w:r>
      <w:r w:rsidR="00C141D8">
        <w:t>,</w:t>
      </w:r>
      <w:r w:rsidR="00A5036F">
        <w:t xml:space="preserve"> and confusing to customers</w:t>
      </w:r>
      <w:r w:rsidR="00906D7F">
        <w:t>,</w:t>
      </w:r>
      <w:r w:rsidR="00C141D8">
        <w:t xml:space="preserve"> </w:t>
      </w:r>
      <w:r w:rsidR="00906D7F">
        <w:t xml:space="preserve">particularly </w:t>
      </w:r>
      <w:r w:rsidR="00C141D8">
        <w:t>if a separate line item on a bill is required.</w:t>
      </w:r>
    </w:p>
    <w:p w:rsidR="002F1F16" w:rsidRDefault="00906D7F" w:rsidP="004B0B66">
      <w:pPr>
        <w:pStyle w:val="ListParagraph"/>
        <w:numPr>
          <w:ilvl w:val="0"/>
          <w:numId w:val="15"/>
        </w:numPr>
        <w:tabs>
          <w:tab w:val="left" w:pos="-1440"/>
        </w:tabs>
      </w:pPr>
      <w:r>
        <w:tab/>
        <w:t xml:space="preserve">Finally, Public Counsel argues against any </w:t>
      </w:r>
      <w:proofErr w:type="spellStart"/>
      <w:r>
        <w:t>ERF</w:t>
      </w:r>
      <w:proofErr w:type="spellEnd"/>
      <w:r>
        <w:t xml:space="preserve"> that would exceed a three percent increase in annual revenues.</w:t>
      </w:r>
      <w:r>
        <w:rPr>
          <w:rStyle w:val="FootnoteReference"/>
        </w:rPr>
        <w:footnoteReference w:id="41"/>
      </w:r>
      <w:r w:rsidR="00D67092">
        <w:t xml:space="preserve">  Staff opposes that restriction given that plant additions typically comprise a major portion of a utility’s rate increase request and should be recognized f</w:t>
      </w:r>
      <w:r w:rsidR="002F1F16">
        <w:t xml:space="preserve">or ratemaking purposes if </w:t>
      </w:r>
      <w:r w:rsidR="00D67092">
        <w:t xml:space="preserve">they are </w:t>
      </w:r>
      <w:r w:rsidR="002F1F16">
        <w:t xml:space="preserve">shown to be </w:t>
      </w:r>
      <w:r w:rsidR="00D67092">
        <w:t xml:space="preserve">prudent.  </w:t>
      </w:r>
    </w:p>
    <w:p w:rsidR="00906D7F" w:rsidRPr="0096132B" w:rsidRDefault="002F1F16" w:rsidP="004B0B66">
      <w:pPr>
        <w:pStyle w:val="ListParagraph"/>
        <w:numPr>
          <w:ilvl w:val="0"/>
          <w:numId w:val="15"/>
        </w:numPr>
        <w:tabs>
          <w:tab w:val="left" w:pos="-1440"/>
        </w:tabs>
      </w:pPr>
      <w:r>
        <w:lastRenderedPageBreak/>
        <w:tab/>
      </w:r>
      <w:r w:rsidR="00D67092">
        <w:t>Public Counsel’s reliance on WAC 480-07-510 that defines a “general rate case” as a filing that exceeds</w:t>
      </w:r>
      <w:r>
        <w:t xml:space="preserve"> 3 percent is also misplaced.  </w:t>
      </w:r>
      <w:r w:rsidR="00D67092">
        <w:t xml:space="preserve">The </w:t>
      </w:r>
      <w:proofErr w:type="spellStart"/>
      <w:r w:rsidR="00D67092">
        <w:t>ERF</w:t>
      </w:r>
      <w:proofErr w:type="spellEnd"/>
      <w:r w:rsidR="00D67092">
        <w:t xml:space="preserve"> </w:t>
      </w:r>
      <w:r w:rsidR="00D876CE">
        <w:t>Staff proposes</w:t>
      </w:r>
      <w:r w:rsidR="00D67092">
        <w:t xml:space="preserve"> excludes review of the Comp</w:t>
      </w:r>
      <w:r>
        <w:t xml:space="preserve">any’s cost of capital and avoids other </w:t>
      </w:r>
      <w:r w:rsidR="00D67092">
        <w:t xml:space="preserve">controversial items typically </w:t>
      </w:r>
      <w:r>
        <w:t xml:space="preserve">addressed in a general rate case.  Thus, there is no reason to require all of the documentation required by the rule for a general rate case.  Nor should that rule be used as a barrier to an </w:t>
      </w:r>
      <w:proofErr w:type="spellStart"/>
      <w:r>
        <w:t>ERF</w:t>
      </w:r>
      <w:proofErr w:type="spellEnd"/>
      <w:r>
        <w:t xml:space="preserve"> that exceeds three percent.</w:t>
      </w:r>
    </w:p>
    <w:p w:rsidR="00826F77" w:rsidRDefault="001D212A" w:rsidP="001D212A">
      <w:pPr>
        <w:spacing w:line="480" w:lineRule="auto"/>
        <w:rPr>
          <w:b/>
        </w:rPr>
      </w:pPr>
      <w:r>
        <w:rPr>
          <w:b/>
        </w:rPr>
        <w:t>E.</w:t>
      </w:r>
      <w:r>
        <w:rPr>
          <w:b/>
        </w:rPr>
        <w:tab/>
        <w:t>End-of-Period versus Average-of-Monthly Average Rate Base</w:t>
      </w:r>
      <w:r w:rsidR="009E5FE8">
        <w:rPr>
          <w:b/>
        </w:rPr>
        <w:t xml:space="preserve"> </w:t>
      </w:r>
    </w:p>
    <w:p w:rsidR="00C141D8" w:rsidRDefault="009E5FE8" w:rsidP="009E5FE8">
      <w:pPr>
        <w:pStyle w:val="P25"/>
        <w:numPr>
          <w:ilvl w:val="0"/>
          <w:numId w:val="15"/>
        </w:numPr>
        <w:tabs>
          <w:tab w:val="clear" w:pos="810"/>
          <w:tab w:val="clear" w:pos="1440"/>
        </w:tabs>
        <w:outlineLvl w:val="0"/>
        <w:rPr>
          <w:rFonts w:ascii="Times New Roman" w:hAnsi="Times New Roman" w:cs="Times New Roman"/>
          <w:b w:val="0"/>
          <w:u w:val="none"/>
        </w:rPr>
      </w:pPr>
      <w:r>
        <w:rPr>
          <w:rFonts w:ascii="Times New Roman" w:hAnsi="Times New Roman" w:cs="Times New Roman"/>
          <w:b w:val="0"/>
          <w:u w:val="none"/>
        </w:rPr>
        <w:tab/>
      </w:r>
      <w:r w:rsidR="00C141D8" w:rsidRPr="00383F5C">
        <w:rPr>
          <w:rFonts w:ascii="Times New Roman" w:hAnsi="Times New Roman" w:cs="Times New Roman"/>
          <w:b w:val="0"/>
          <w:u w:val="none"/>
        </w:rPr>
        <w:t xml:space="preserve">The Company included restating adjustments to reflect electricity plant at </w:t>
      </w:r>
      <w:proofErr w:type="spellStart"/>
      <w:r w:rsidR="00C141D8">
        <w:rPr>
          <w:rFonts w:ascii="Times New Roman" w:hAnsi="Times New Roman" w:cs="Times New Roman"/>
          <w:b w:val="0"/>
          <w:u w:val="none"/>
        </w:rPr>
        <w:t>EOP</w:t>
      </w:r>
      <w:proofErr w:type="spellEnd"/>
      <w:r w:rsidR="00C141D8" w:rsidRPr="00383F5C">
        <w:rPr>
          <w:rFonts w:ascii="Times New Roman" w:hAnsi="Times New Roman" w:cs="Times New Roman"/>
          <w:b w:val="0"/>
          <w:u w:val="none"/>
        </w:rPr>
        <w:t xml:space="preserve"> balances rather than </w:t>
      </w:r>
      <w:r w:rsidR="00C141D8">
        <w:rPr>
          <w:rFonts w:ascii="Times New Roman" w:hAnsi="Times New Roman" w:cs="Times New Roman"/>
          <w:b w:val="0"/>
          <w:u w:val="none"/>
        </w:rPr>
        <w:t xml:space="preserve">AMA </w:t>
      </w:r>
      <w:r w:rsidR="00C141D8" w:rsidRPr="00383F5C">
        <w:rPr>
          <w:rFonts w:ascii="Times New Roman" w:hAnsi="Times New Roman" w:cs="Times New Roman"/>
          <w:b w:val="0"/>
          <w:u w:val="none"/>
        </w:rPr>
        <w:t xml:space="preserve">balances.  </w:t>
      </w:r>
      <w:r w:rsidR="00C141D8">
        <w:rPr>
          <w:rFonts w:ascii="Times New Roman" w:hAnsi="Times New Roman" w:cs="Times New Roman"/>
          <w:b w:val="0"/>
          <w:u w:val="none"/>
        </w:rPr>
        <w:t>The Commission should reject this proposal and maintain AMA rate base balances, consistent with its favored approach and in light of PacifiCorp’s failure to prove that a</w:t>
      </w:r>
      <w:r w:rsidR="00250FFE">
        <w:rPr>
          <w:rFonts w:ascii="Times New Roman" w:hAnsi="Times New Roman" w:cs="Times New Roman"/>
          <w:b w:val="0"/>
          <w:u w:val="none"/>
        </w:rPr>
        <w:t xml:space="preserve">n </w:t>
      </w:r>
      <w:proofErr w:type="spellStart"/>
      <w:r w:rsidR="00250FFE">
        <w:rPr>
          <w:rFonts w:ascii="Times New Roman" w:hAnsi="Times New Roman" w:cs="Times New Roman"/>
          <w:b w:val="0"/>
          <w:u w:val="none"/>
        </w:rPr>
        <w:t>EOP</w:t>
      </w:r>
      <w:proofErr w:type="spellEnd"/>
      <w:r w:rsidR="00C141D8">
        <w:rPr>
          <w:rFonts w:ascii="Times New Roman" w:hAnsi="Times New Roman" w:cs="Times New Roman"/>
          <w:b w:val="0"/>
          <w:u w:val="none"/>
        </w:rPr>
        <w:t xml:space="preserve"> approach is warranted in this case.</w:t>
      </w:r>
    </w:p>
    <w:p w:rsidR="00DE21E2" w:rsidRDefault="009E5FE8" w:rsidP="009E5FE8">
      <w:pPr>
        <w:pStyle w:val="P25"/>
        <w:numPr>
          <w:ilvl w:val="0"/>
          <w:numId w:val="15"/>
        </w:numPr>
        <w:tabs>
          <w:tab w:val="clear" w:pos="810"/>
          <w:tab w:val="clear" w:pos="1440"/>
        </w:tabs>
        <w:outlineLvl w:val="0"/>
        <w:rPr>
          <w:rFonts w:ascii="Times New Roman" w:hAnsi="Times New Roman"/>
          <w:b w:val="0"/>
          <w:u w:val="none"/>
        </w:rPr>
      </w:pPr>
      <w:r>
        <w:rPr>
          <w:rFonts w:ascii="Times New Roman" w:hAnsi="Times New Roman" w:cs="Times New Roman"/>
          <w:b w:val="0"/>
          <w:u w:val="none"/>
        </w:rPr>
        <w:tab/>
      </w:r>
      <w:r w:rsidR="00C141D8" w:rsidRPr="0069424B">
        <w:rPr>
          <w:rFonts w:ascii="Times New Roman" w:hAnsi="Times New Roman" w:cs="Times New Roman"/>
          <w:b w:val="0"/>
          <w:u w:val="none"/>
        </w:rPr>
        <w:t xml:space="preserve">Staff </w:t>
      </w:r>
      <w:r w:rsidR="00B0052F">
        <w:rPr>
          <w:rFonts w:ascii="Times New Roman" w:hAnsi="Times New Roman" w:cs="Times New Roman"/>
          <w:b w:val="0"/>
          <w:u w:val="none"/>
        </w:rPr>
        <w:t xml:space="preserve">is willing to accept, and has accepted, </w:t>
      </w:r>
      <w:proofErr w:type="spellStart"/>
      <w:r w:rsidR="00B0052F">
        <w:rPr>
          <w:rFonts w:ascii="Times New Roman" w:hAnsi="Times New Roman" w:cs="Times New Roman"/>
          <w:b w:val="0"/>
          <w:u w:val="none"/>
        </w:rPr>
        <w:t>EOP</w:t>
      </w:r>
      <w:proofErr w:type="spellEnd"/>
      <w:r w:rsidR="00B0052F">
        <w:rPr>
          <w:rFonts w:ascii="Times New Roman" w:hAnsi="Times New Roman" w:cs="Times New Roman"/>
          <w:b w:val="0"/>
          <w:u w:val="none"/>
        </w:rPr>
        <w:t xml:space="preserve"> rate base balances</w:t>
      </w:r>
      <w:r w:rsidR="002F1F16">
        <w:rPr>
          <w:rFonts w:ascii="Times New Roman" w:hAnsi="Times New Roman" w:cs="Times New Roman"/>
          <w:b w:val="0"/>
          <w:u w:val="none"/>
        </w:rPr>
        <w:t xml:space="preserve"> in appropriate circumstances</w:t>
      </w:r>
      <w:r w:rsidR="00B0052F">
        <w:rPr>
          <w:rFonts w:ascii="Times New Roman" w:hAnsi="Times New Roman" w:cs="Times New Roman"/>
          <w:b w:val="0"/>
          <w:u w:val="none"/>
        </w:rPr>
        <w:t>, but it is not Staff’s burden to make the Company’s case here.   Moreover, while Pub</w:t>
      </w:r>
      <w:r w:rsidR="00371428">
        <w:rPr>
          <w:rFonts w:ascii="Times New Roman" w:hAnsi="Times New Roman" w:cs="Times New Roman"/>
          <w:b w:val="0"/>
          <w:u w:val="none"/>
        </w:rPr>
        <w:t xml:space="preserve">lic Counsel advocates for </w:t>
      </w:r>
      <w:r w:rsidR="00250FFE">
        <w:rPr>
          <w:rFonts w:ascii="Times New Roman" w:hAnsi="Times New Roman" w:cs="Times New Roman"/>
          <w:b w:val="0"/>
          <w:u w:val="none"/>
        </w:rPr>
        <w:t xml:space="preserve">an </w:t>
      </w:r>
      <w:proofErr w:type="spellStart"/>
      <w:r w:rsidR="00250FFE">
        <w:rPr>
          <w:rFonts w:ascii="Times New Roman" w:hAnsi="Times New Roman" w:cs="Times New Roman"/>
          <w:b w:val="0"/>
          <w:u w:val="none"/>
        </w:rPr>
        <w:t>EOP</w:t>
      </w:r>
      <w:proofErr w:type="spellEnd"/>
      <w:r w:rsidR="00250FFE">
        <w:rPr>
          <w:rFonts w:ascii="Times New Roman" w:hAnsi="Times New Roman" w:cs="Times New Roman"/>
          <w:b w:val="0"/>
          <w:u w:val="none"/>
        </w:rPr>
        <w:t xml:space="preserve"> rate base </w:t>
      </w:r>
      <w:r w:rsidR="00B0052F">
        <w:rPr>
          <w:rFonts w:ascii="Times New Roman" w:hAnsi="Times New Roman" w:cs="Times New Roman"/>
          <w:b w:val="0"/>
          <w:u w:val="none"/>
        </w:rPr>
        <w:t>with</w:t>
      </w:r>
      <w:r w:rsidR="00250FFE">
        <w:rPr>
          <w:rFonts w:ascii="Times New Roman" w:hAnsi="Times New Roman"/>
          <w:b w:val="0"/>
          <w:u w:val="none"/>
        </w:rPr>
        <w:t xml:space="preserve"> corresponding </w:t>
      </w:r>
      <w:r w:rsidR="00C141D8">
        <w:rPr>
          <w:rFonts w:ascii="Times New Roman" w:hAnsi="Times New Roman"/>
          <w:b w:val="0"/>
          <w:u w:val="none"/>
        </w:rPr>
        <w:t>adjustments to revenues and expenses</w:t>
      </w:r>
      <w:r w:rsidR="00B0052F">
        <w:rPr>
          <w:rFonts w:ascii="Times New Roman" w:hAnsi="Times New Roman"/>
          <w:b w:val="0"/>
          <w:u w:val="none"/>
        </w:rPr>
        <w:t>,</w:t>
      </w:r>
      <w:r w:rsidR="006C5DEF">
        <w:rPr>
          <w:rStyle w:val="FootnoteReference"/>
          <w:rFonts w:ascii="Times New Roman" w:hAnsi="Times New Roman"/>
          <w:b w:val="0"/>
          <w:u w:val="none"/>
        </w:rPr>
        <w:footnoteReference w:id="42"/>
      </w:r>
      <w:r w:rsidR="00B0052F">
        <w:rPr>
          <w:rFonts w:ascii="Times New Roman" w:hAnsi="Times New Roman"/>
          <w:b w:val="0"/>
          <w:u w:val="none"/>
        </w:rPr>
        <w:t xml:space="preserve"> the Company disputes Public Counsel’s</w:t>
      </w:r>
      <w:r w:rsidR="008044BE">
        <w:rPr>
          <w:rFonts w:ascii="Times New Roman" w:hAnsi="Times New Roman"/>
          <w:b w:val="0"/>
          <w:u w:val="none"/>
        </w:rPr>
        <w:t xml:space="preserve"> revenue normalization adjustment.</w:t>
      </w:r>
      <w:r w:rsidR="008044BE">
        <w:rPr>
          <w:rStyle w:val="FootnoteReference"/>
          <w:rFonts w:ascii="Times New Roman" w:hAnsi="Times New Roman"/>
          <w:b w:val="0"/>
          <w:u w:val="none"/>
        </w:rPr>
        <w:footnoteReference w:id="43"/>
      </w:r>
      <w:r w:rsidR="008044BE">
        <w:rPr>
          <w:rFonts w:ascii="Times New Roman" w:hAnsi="Times New Roman"/>
          <w:b w:val="0"/>
          <w:u w:val="none"/>
        </w:rPr>
        <w:t xml:space="preserve">  That dispute highlights the insufficient record in this case upon which the Commission could adopt an </w:t>
      </w:r>
      <w:proofErr w:type="spellStart"/>
      <w:r w:rsidR="008044BE">
        <w:rPr>
          <w:rFonts w:ascii="Times New Roman" w:hAnsi="Times New Roman"/>
          <w:b w:val="0"/>
          <w:u w:val="none"/>
        </w:rPr>
        <w:t>EOP</w:t>
      </w:r>
      <w:proofErr w:type="spellEnd"/>
      <w:r w:rsidR="008044BE">
        <w:rPr>
          <w:rFonts w:ascii="Times New Roman" w:hAnsi="Times New Roman"/>
          <w:b w:val="0"/>
          <w:u w:val="none"/>
        </w:rPr>
        <w:t xml:space="preserve"> rate base</w:t>
      </w:r>
      <w:r w:rsidR="00B0052F">
        <w:rPr>
          <w:rFonts w:ascii="Times New Roman" w:hAnsi="Times New Roman"/>
          <w:b w:val="0"/>
          <w:u w:val="none"/>
        </w:rPr>
        <w:t xml:space="preserve"> even if PacifiCorp had </w:t>
      </w:r>
      <w:r w:rsidR="00371428">
        <w:rPr>
          <w:rFonts w:ascii="Times New Roman" w:hAnsi="Times New Roman"/>
          <w:b w:val="0"/>
          <w:u w:val="none"/>
        </w:rPr>
        <w:t>carried its burden to prove</w:t>
      </w:r>
      <w:r w:rsidR="00B0052F">
        <w:rPr>
          <w:rFonts w:ascii="Times New Roman" w:hAnsi="Times New Roman"/>
          <w:b w:val="0"/>
          <w:u w:val="none"/>
        </w:rPr>
        <w:t xml:space="preserve"> a need for </w:t>
      </w:r>
      <w:proofErr w:type="spellStart"/>
      <w:r w:rsidR="00B0052F">
        <w:rPr>
          <w:rFonts w:ascii="Times New Roman" w:hAnsi="Times New Roman"/>
          <w:b w:val="0"/>
          <w:u w:val="none"/>
        </w:rPr>
        <w:t>EOP</w:t>
      </w:r>
      <w:proofErr w:type="spellEnd"/>
      <w:r w:rsidR="00B0052F">
        <w:rPr>
          <w:rFonts w:ascii="Times New Roman" w:hAnsi="Times New Roman"/>
          <w:b w:val="0"/>
          <w:u w:val="none"/>
        </w:rPr>
        <w:t xml:space="preserve"> treatment.</w:t>
      </w:r>
    </w:p>
    <w:p w:rsidR="00C141D8" w:rsidRPr="0069424B" w:rsidRDefault="009E5FE8" w:rsidP="009E5FE8">
      <w:pPr>
        <w:pStyle w:val="P25"/>
        <w:numPr>
          <w:ilvl w:val="0"/>
          <w:numId w:val="15"/>
        </w:numPr>
        <w:tabs>
          <w:tab w:val="clear" w:pos="810"/>
          <w:tab w:val="clear" w:pos="1440"/>
        </w:tabs>
        <w:outlineLvl w:val="0"/>
        <w:rPr>
          <w:b w:val="0"/>
        </w:rPr>
      </w:pPr>
      <w:r>
        <w:rPr>
          <w:rFonts w:ascii="Times New Roman" w:hAnsi="Times New Roman"/>
          <w:b w:val="0"/>
          <w:u w:val="none"/>
        </w:rPr>
        <w:tab/>
      </w:r>
      <w:r w:rsidR="00DE21E2">
        <w:rPr>
          <w:rFonts w:ascii="Times New Roman" w:hAnsi="Times New Roman"/>
          <w:b w:val="0"/>
          <w:u w:val="none"/>
        </w:rPr>
        <w:t xml:space="preserve">In contrast, Staff’s AMA balances </w:t>
      </w:r>
      <w:r w:rsidR="00B0052F">
        <w:rPr>
          <w:rFonts w:ascii="Times New Roman" w:hAnsi="Times New Roman"/>
          <w:b w:val="0"/>
          <w:u w:val="none"/>
        </w:rPr>
        <w:t>maintain the standard treatment that</w:t>
      </w:r>
      <w:r w:rsidR="00DE21E2">
        <w:rPr>
          <w:rFonts w:ascii="Times New Roman" w:hAnsi="Times New Roman"/>
          <w:b w:val="0"/>
          <w:u w:val="none"/>
        </w:rPr>
        <w:t xml:space="preserve"> match</w:t>
      </w:r>
      <w:r w:rsidR="00B0052F">
        <w:rPr>
          <w:rFonts w:ascii="Times New Roman" w:hAnsi="Times New Roman"/>
          <w:b w:val="0"/>
          <w:u w:val="none"/>
        </w:rPr>
        <w:t>es</w:t>
      </w:r>
      <w:r w:rsidR="00DE21E2">
        <w:rPr>
          <w:rFonts w:ascii="Times New Roman" w:hAnsi="Times New Roman"/>
          <w:b w:val="0"/>
          <w:u w:val="none"/>
        </w:rPr>
        <w:t xml:space="preserve"> rate base over the course of the test year wit</w:t>
      </w:r>
      <w:r w:rsidR="00D876CE">
        <w:rPr>
          <w:rFonts w:ascii="Times New Roman" w:hAnsi="Times New Roman"/>
          <w:b w:val="0"/>
          <w:u w:val="none"/>
        </w:rPr>
        <w:t xml:space="preserve">h revenue and expenses </w:t>
      </w:r>
      <w:r w:rsidR="00DE21E2">
        <w:rPr>
          <w:rFonts w:ascii="Times New Roman" w:hAnsi="Times New Roman"/>
          <w:b w:val="0"/>
          <w:u w:val="none"/>
        </w:rPr>
        <w:t xml:space="preserve">over that same period.  </w:t>
      </w:r>
      <w:r w:rsidR="00B0052F">
        <w:rPr>
          <w:rFonts w:ascii="Times New Roman" w:hAnsi="Times New Roman"/>
          <w:b w:val="0"/>
          <w:u w:val="none"/>
        </w:rPr>
        <w:t>The Commission should adopt this appr</w:t>
      </w:r>
      <w:r w:rsidR="00D876CE">
        <w:rPr>
          <w:rFonts w:ascii="Times New Roman" w:hAnsi="Times New Roman"/>
          <w:b w:val="0"/>
          <w:u w:val="none"/>
        </w:rPr>
        <w:t>oach until PacifiCorp meets</w:t>
      </w:r>
      <w:r w:rsidR="00B0052F">
        <w:rPr>
          <w:rFonts w:ascii="Times New Roman" w:hAnsi="Times New Roman"/>
          <w:b w:val="0"/>
          <w:u w:val="none"/>
        </w:rPr>
        <w:t xml:space="preserve"> its responsibility to explain fully its rationale for </w:t>
      </w:r>
      <w:proofErr w:type="spellStart"/>
      <w:r w:rsidR="00B0052F">
        <w:rPr>
          <w:rFonts w:ascii="Times New Roman" w:hAnsi="Times New Roman"/>
          <w:b w:val="0"/>
          <w:u w:val="none"/>
        </w:rPr>
        <w:t>EOP</w:t>
      </w:r>
      <w:proofErr w:type="spellEnd"/>
      <w:r w:rsidR="00B0052F">
        <w:rPr>
          <w:rFonts w:ascii="Times New Roman" w:hAnsi="Times New Roman"/>
          <w:b w:val="0"/>
          <w:u w:val="none"/>
        </w:rPr>
        <w:t xml:space="preserve"> rate</w:t>
      </w:r>
      <w:r w:rsidR="00371428">
        <w:rPr>
          <w:rFonts w:ascii="Times New Roman" w:hAnsi="Times New Roman"/>
          <w:b w:val="0"/>
          <w:u w:val="none"/>
        </w:rPr>
        <w:t xml:space="preserve"> base </w:t>
      </w:r>
      <w:r w:rsidR="006C5DEF">
        <w:rPr>
          <w:rFonts w:ascii="Times New Roman" w:hAnsi="Times New Roman"/>
          <w:b w:val="0"/>
          <w:u w:val="none"/>
        </w:rPr>
        <w:t xml:space="preserve">either in an appropriately filed </w:t>
      </w:r>
      <w:proofErr w:type="spellStart"/>
      <w:r w:rsidR="006C5DEF">
        <w:rPr>
          <w:rFonts w:ascii="Times New Roman" w:hAnsi="Times New Roman"/>
          <w:b w:val="0"/>
          <w:u w:val="none"/>
        </w:rPr>
        <w:t>ERF</w:t>
      </w:r>
      <w:proofErr w:type="spellEnd"/>
      <w:r w:rsidR="006C5DEF">
        <w:rPr>
          <w:rFonts w:ascii="Times New Roman" w:hAnsi="Times New Roman"/>
          <w:b w:val="0"/>
          <w:u w:val="none"/>
        </w:rPr>
        <w:t xml:space="preserve"> or its next general rate case</w:t>
      </w:r>
      <w:r w:rsidR="00B0052F">
        <w:rPr>
          <w:rFonts w:ascii="Times New Roman" w:hAnsi="Times New Roman"/>
          <w:b w:val="0"/>
          <w:u w:val="none"/>
        </w:rPr>
        <w:t>.</w:t>
      </w:r>
      <w:r w:rsidR="006C5DEF">
        <w:rPr>
          <w:rStyle w:val="FootnoteReference"/>
          <w:rFonts w:ascii="Times New Roman" w:hAnsi="Times New Roman"/>
          <w:b w:val="0"/>
          <w:u w:val="none"/>
        </w:rPr>
        <w:footnoteReference w:id="44"/>
      </w:r>
    </w:p>
    <w:p w:rsidR="00826F77" w:rsidRDefault="001D212A" w:rsidP="009D2AA7">
      <w:pPr>
        <w:keepNext/>
        <w:spacing w:line="480" w:lineRule="auto"/>
        <w:rPr>
          <w:b/>
        </w:rPr>
      </w:pPr>
      <w:r>
        <w:rPr>
          <w:b/>
        </w:rPr>
        <w:lastRenderedPageBreak/>
        <w:t>F.</w:t>
      </w:r>
      <w:r>
        <w:rPr>
          <w:b/>
        </w:rPr>
        <w:tab/>
        <w:t>Working Capital</w:t>
      </w:r>
      <w:r w:rsidR="001C1E8C">
        <w:rPr>
          <w:b/>
        </w:rPr>
        <w:t xml:space="preserve"> </w:t>
      </w:r>
    </w:p>
    <w:p w:rsidR="00826F77" w:rsidRDefault="001C1E8C" w:rsidP="001C1E8C">
      <w:pPr>
        <w:pStyle w:val="ListParagraph"/>
        <w:numPr>
          <w:ilvl w:val="0"/>
          <w:numId w:val="15"/>
        </w:numPr>
      </w:pPr>
      <w:r>
        <w:tab/>
      </w:r>
      <w:r w:rsidR="00250FFE">
        <w:t xml:space="preserve">PacifiCorp proposes </w:t>
      </w:r>
      <w:r w:rsidR="00826F77" w:rsidRPr="00975713">
        <w:t xml:space="preserve">refinements to the calculation of </w:t>
      </w:r>
      <w:r w:rsidR="00826F77">
        <w:t>investor-supplied working capital (“</w:t>
      </w:r>
      <w:proofErr w:type="spellStart"/>
      <w:r w:rsidR="00826F77">
        <w:t>ISWC</w:t>
      </w:r>
      <w:proofErr w:type="spellEnd"/>
      <w:r w:rsidR="00826F77">
        <w:t xml:space="preserve">”) </w:t>
      </w:r>
      <w:r w:rsidR="00826F77" w:rsidRPr="00975713">
        <w:t>for post-retirement pens</w:t>
      </w:r>
      <w:r w:rsidR="00371428">
        <w:t xml:space="preserve">ion benefits and derivatives.  </w:t>
      </w:r>
      <w:r w:rsidR="00826F77">
        <w:t xml:space="preserve">Staff supports the </w:t>
      </w:r>
      <w:r w:rsidR="00250FFE">
        <w:t>proposals.</w:t>
      </w:r>
      <w:r w:rsidR="00CF49EB">
        <w:rPr>
          <w:rStyle w:val="FootnoteReference"/>
        </w:rPr>
        <w:footnoteReference w:id="45"/>
      </w:r>
      <w:r w:rsidR="00250FFE">
        <w:t xml:space="preserve">  Public Counsel opposes them.</w:t>
      </w:r>
    </w:p>
    <w:p w:rsidR="00416C39" w:rsidRDefault="001C1E8C" w:rsidP="001C1E8C">
      <w:pPr>
        <w:pStyle w:val="ListParagraph"/>
        <w:numPr>
          <w:ilvl w:val="0"/>
          <w:numId w:val="15"/>
        </w:numPr>
      </w:pPr>
      <w:r>
        <w:tab/>
      </w:r>
      <w:r w:rsidR="00250FFE">
        <w:t xml:space="preserve">The basis for Public Counsel’s </w:t>
      </w:r>
      <w:r w:rsidR="00CF49EB">
        <w:t>challenge are factual allegations</w:t>
      </w:r>
      <w:r w:rsidR="001D212A">
        <w:t xml:space="preserve"> </w:t>
      </w:r>
      <w:r w:rsidR="00416C39">
        <w:t>that:</w:t>
      </w:r>
      <w:r w:rsidR="00CF49EB">
        <w:t xml:space="preserve">  1) pension and other post retirement assets do not exceed liabilities and, therefore, investor funds have not been used to fund working capital; and 2) there was a deferred tax impact from derivative assets.</w:t>
      </w:r>
      <w:r w:rsidR="00CF49EB">
        <w:rPr>
          <w:rStyle w:val="FootnoteReference"/>
        </w:rPr>
        <w:footnoteReference w:id="46"/>
      </w:r>
      <w:r w:rsidR="00CF49EB">
        <w:t xml:space="preserve">  </w:t>
      </w:r>
    </w:p>
    <w:p w:rsidR="00C22E3D" w:rsidRPr="001C1E8C" w:rsidRDefault="001C1E8C" w:rsidP="001C1E8C">
      <w:pPr>
        <w:pStyle w:val="ListParagraph"/>
        <w:numPr>
          <w:ilvl w:val="0"/>
          <w:numId w:val="15"/>
        </w:numPr>
      </w:pPr>
      <w:r>
        <w:tab/>
      </w:r>
      <w:r w:rsidR="00416C39">
        <w:t>Public Counsel relies on PacifiCorp’s 2012 Form 10-K for these allegations.  That document</w:t>
      </w:r>
      <w:r w:rsidR="00D876CE">
        <w:t xml:space="preserve"> is not an exhibit </w:t>
      </w:r>
      <w:r w:rsidR="00416C39">
        <w:t>even though Public Counsel had ample opportunity to introduce the document at hearing.  Public Counsel’s arguments should, therefore, be rejec</w:t>
      </w:r>
      <w:r w:rsidR="001D212A">
        <w:t>ted since t</w:t>
      </w:r>
      <w:r w:rsidR="001E2C72">
        <w:t xml:space="preserve">hey are not based on </w:t>
      </w:r>
      <w:r w:rsidR="00595052">
        <w:t xml:space="preserve">the </w:t>
      </w:r>
      <w:r w:rsidR="00416C39">
        <w:t xml:space="preserve">record </w:t>
      </w:r>
      <w:r w:rsidR="00595052">
        <w:t xml:space="preserve">and do not provide other parties a meaningful </w:t>
      </w:r>
      <w:r w:rsidR="00416C39">
        <w:t>opportunity to respond</w:t>
      </w:r>
      <w:r w:rsidR="00416C39" w:rsidRPr="001C1E8C">
        <w:t>.</w:t>
      </w:r>
      <w:r w:rsidR="00C22E3D" w:rsidRPr="001C1E8C">
        <w:t xml:space="preserve">  </w:t>
      </w:r>
    </w:p>
    <w:p w:rsidR="00CF49EB" w:rsidRPr="00C22E3D" w:rsidRDefault="001C1E8C" w:rsidP="001C1E8C">
      <w:pPr>
        <w:pStyle w:val="ListParagraph"/>
        <w:numPr>
          <w:ilvl w:val="0"/>
          <w:numId w:val="15"/>
        </w:numPr>
      </w:pPr>
      <w:r>
        <w:tab/>
      </w:r>
      <w:r w:rsidR="00C22E3D">
        <w:t>Moreover</w:t>
      </w:r>
      <w:r w:rsidR="00C22E3D" w:rsidRPr="00C22E3D">
        <w:t>, the test</w:t>
      </w:r>
      <w:r w:rsidR="00250FFE">
        <w:t xml:space="preserve"> period for this case</w:t>
      </w:r>
      <w:r w:rsidR="00D43F93">
        <w:t>,</w:t>
      </w:r>
      <w:r w:rsidR="00250FFE">
        <w:t xml:space="preserve"> including </w:t>
      </w:r>
      <w:r w:rsidR="00371428">
        <w:t xml:space="preserve">the working capital </w:t>
      </w:r>
      <w:r w:rsidR="00C22E3D" w:rsidRPr="00C22E3D">
        <w:t>adjustment, is the twelve-months ending June 30, 2012, n</w:t>
      </w:r>
      <w:r w:rsidR="00C22E3D">
        <w:t xml:space="preserve">ot the calendar year </w:t>
      </w:r>
      <w:r w:rsidR="00C22E3D" w:rsidRPr="00C22E3D">
        <w:t>2012 used in the Form 10-K. </w:t>
      </w:r>
      <w:r w:rsidR="00C22E3D">
        <w:t xml:space="preserve">  Public Counsel’s reliance on the 2012 Form 10-K is, therefore, misplaced</w:t>
      </w:r>
      <w:r w:rsidR="00371428">
        <w:t xml:space="preserve"> in any event</w:t>
      </w:r>
      <w:r w:rsidR="00C22E3D">
        <w:t>.</w:t>
      </w:r>
    </w:p>
    <w:p w:rsidR="003D7236" w:rsidRDefault="001C1E8C" w:rsidP="00A0009F">
      <w:pPr>
        <w:pStyle w:val="ListParagraph"/>
        <w:numPr>
          <w:ilvl w:val="0"/>
          <w:numId w:val="15"/>
        </w:numPr>
        <w:rPr>
          <w:color w:val="000000"/>
        </w:rPr>
      </w:pPr>
      <w:r>
        <w:rPr>
          <w:color w:val="000000"/>
        </w:rPr>
        <w:tab/>
      </w:r>
      <w:r w:rsidR="001D212A" w:rsidRPr="001C1E8C">
        <w:rPr>
          <w:color w:val="000000"/>
        </w:rPr>
        <w:t xml:space="preserve">Under the </w:t>
      </w:r>
      <w:proofErr w:type="spellStart"/>
      <w:r w:rsidR="001D212A" w:rsidRPr="001C1E8C">
        <w:rPr>
          <w:color w:val="000000"/>
        </w:rPr>
        <w:t>ISWC</w:t>
      </w:r>
      <w:proofErr w:type="spellEnd"/>
      <w:r w:rsidR="001D212A" w:rsidRPr="001C1E8C">
        <w:rPr>
          <w:color w:val="000000"/>
        </w:rPr>
        <w:t xml:space="preserve"> method, the primary accounting categories of assets, liabilities, and owner’s equity “require analysis to properly determine what amounts constitute invested capital and what amounts constitute investments.”</w:t>
      </w:r>
      <w:r w:rsidR="001D212A">
        <w:rPr>
          <w:rStyle w:val="FootnoteReference"/>
          <w:color w:val="000000"/>
        </w:rPr>
        <w:footnoteReference w:id="47"/>
      </w:r>
      <w:r w:rsidR="001D212A" w:rsidRPr="001C1E8C">
        <w:rPr>
          <w:color w:val="000000"/>
        </w:rPr>
        <w:t xml:space="preserve"> </w:t>
      </w:r>
      <w:r w:rsidR="001E2C72" w:rsidRPr="001C1E8C">
        <w:rPr>
          <w:color w:val="000000"/>
        </w:rPr>
        <w:t xml:space="preserve"> </w:t>
      </w:r>
      <w:r w:rsidR="001D212A" w:rsidRPr="001C1E8C">
        <w:rPr>
          <w:color w:val="000000"/>
        </w:rPr>
        <w:t xml:space="preserve">That is exactly what </w:t>
      </w:r>
      <w:r w:rsidR="00371428" w:rsidRPr="001C1E8C">
        <w:rPr>
          <w:color w:val="000000"/>
        </w:rPr>
        <w:t xml:space="preserve">is accomplished by </w:t>
      </w:r>
      <w:r w:rsidR="001D212A" w:rsidRPr="001C1E8C">
        <w:rPr>
          <w:color w:val="000000"/>
        </w:rPr>
        <w:t>the proposed r</w:t>
      </w:r>
      <w:r w:rsidR="00371428" w:rsidRPr="001C1E8C">
        <w:rPr>
          <w:color w:val="000000"/>
        </w:rPr>
        <w:t>efinements for derivatives and post-retirement pension benefits</w:t>
      </w:r>
      <w:r w:rsidR="001E2C72" w:rsidRPr="001C1E8C">
        <w:rPr>
          <w:color w:val="000000"/>
        </w:rPr>
        <w:t xml:space="preserve">.  Public Counsel states nothing to detract from that conclusion. </w:t>
      </w:r>
      <w:r w:rsidR="001D212A" w:rsidRPr="001C1E8C">
        <w:rPr>
          <w:color w:val="000000"/>
        </w:rPr>
        <w:t xml:space="preserve"> Staff encourages the Commission to embrace this </w:t>
      </w:r>
    </w:p>
    <w:p w:rsidR="003D7236" w:rsidRDefault="003D7236">
      <w:pPr>
        <w:rPr>
          <w:rFonts w:eastAsia="Calibri" w:cs="Times New Roman"/>
          <w:color w:val="000000"/>
        </w:rPr>
      </w:pPr>
      <w:r>
        <w:rPr>
          <w:color w:val="000000"/>
        </w:rPr>
        <w:br w:type="page"/>
      </w:r>
    </w:p>
    <w:p w:rsidR="000C7B18" w:rsidRPr="00A0009F" w:rsidRDefault="001D212A" w:rsidP="003D7236">
      <w:pPr>
        <w:pStyle w:val="ListParagraph"/>
        <w:rPr>
          <w:color w:val="000000"/>
        </w:rPr>
      </w:pPr>
      <w:r w:rsidRPr="001C1E8C">
        <w:rPr>
          <w:color w:val="000000"/>
        </w:rPr>
        <w:lastRenderedPageBreak/>
        <w:t xml:space="preserve">opportunity to improve </w:t>
      </w:r>
      <w:r w:rsidR="001E2C72" w:rsidRPr="001C1E8C">
        <w:rPr>
          <w:color w:val="000000"/>
        </w:rPr>
        <w:t>the working capital calculation by accepting the Company’s proposals for derivatives and post-retirement pension benefi</w:t>
      </w:r>
      <w:r w:rsidR="00A0009F">
        <w:rPr>
          <w:color w:val="000000"/>
        </w:rPr>
        <w:t>ts.</w:t>
      </w:r>
    </w:p>
    <w:p w:rsidR="000C7B18" w:rsidRPr="000C7B18" w:rsidRDefault="000C7B18" w:rsidP="000C7B18">
      <w:pPr>
        <w:autoSpaceDE w:val="0"/>
        <w:autoSpaceDN w:val="0"/>
        <w:ind w:right="18" w:firstLine="720"/>
        <w:rPr>
          <w:rFonts w:eastAsia="Calibri" w:cs="Times New Roman"/>
        </w:rPr>
      </w:pPr>
      <w:r w:rsidRPr="000C7B18">
        <w:rPr>
          <w:rFonts w:eastAsia="Calibri" w:cs="Times New Roman"/>
        </w:rPr>
        <w:t>DATED this 1</w:t>
      </w:r>
      <w:r>
        <w:rPr>
          <w:rFonts w:eastAsia="Calibri" w:cs="Times New Roman"/>
        </w:rPr>
        <w:t>1</w:t>
      </w:r>
      <w:r w:rsidRPr="000C7B18">
        <w:rPr>
          <w:rFonts w:eastAsia="Calibri" w:cs="Times New Roman"/>
          <w:vertAlign w:val="superscript"/>
        </w:rPr>
        <w:t>th</w:t>
      </w:r>
      <w:r>
        <w:rPr>
          <w:rFonts w:eastAsia="Calibri" w:cs="Times New Roman"/>
        </w:rPr>
        <w:t xml:space="preserve"> </w:t>
      </w:r>
      <w:r w:rsidRPr="000C7B18">
        <w:rPr>
          <w:rFonts w:eastAsia="Calibri" w:cs="Times New Roman"/>
        </w:rPr>
        <w:t>day of October 2013.</w:t>
      </w:r>
    </w:p>
    <w:p w:rsidR="000C7B18" w:rsidRPr="000C7B18" w:rsidRDefault="000C7B18" w:rsidP="000C7B18">
      <w:pPr>
        <w:autoSpaceDE w:val="0"/>
        <w:autoSpaceDN w:val="0"/>
        <w:ind w:right="18" w:firstLine="4320"/>
        <w:rPr>
          <w:rFonts w:eastAsia="Calibri" w:cs="Times New Roman"/>
        </w:rPr>
      </w:pPr>
    </w:p>
    <w:p w:rsidR="000C7B18" w:rsidRPr="000C7B18" w:rsidRDefault="000C7B18" w:rsidP="000C7B18">
      <w:pPr>
        <w:autoSpaceDE w:val="0"/>
        <w:autoSpaceDN w:val="0"/>
        <w:ind w:right="18" w:firstLine="4320"/>
        <w:rPr>
          <w:rFonts w:eastAsia="Calibri" w:cs="Times New Roman"/>
        </w:rPr>
      </w:pPr>
      <w:r w:rsidRPr="000C7B18">
        <w:rPr>
          <w:rFonts w:eastAsia="Calibri" w:cs="Times New Roman"/>
        </w:rPr>
        <w:t xml:space="preserve">Respectfully submitted, </w:t>
      </w:r>
    </w:p>
    <w:p w:rsidR="000C7B18" w:rsidRPr="000C7B18" w:rsidRDefault="000C7B18" w:rsidP="000C7B18">
      <w:pPr>
        <w:autoSpaceDE w:val="0"/>
        <w:autoSpaceDN w:val="0"/>
        <w:ind w:right="18" w:firstLine="4320"/>
        <w:rPr>
          <w:rFonts w:eastAsia="Calibri" w:cs="Times New Roman"/>
        </w:rPr>
      </w:pPr>
    </w:p>
    <w:p w:rsidR="000C7B18" w:rsidRPr="000C7B18" w:rsidRDefault="000C7B18" w:rsidP="000C7B18">
      <w:pPr>
        <w:autoSpaceDE w:val="0"/>
        <w:autoSpaceDN w:val="0"/>
        <w:ind w:right="18" w:firstLine="4320"/>
        <w:rPr>
          <w:rFonts w:eastAsia="Calibri" w:cs="Times New Roman"/>
        </w:rPr>
      </w:pPr>
      <w:r w:rsidRPr="000C7B18">
        <w:rPr>
          <w:rFonts w:eastAsia="Calibri" w:cs="Times New Roman"/>
        </w:rPr>
        <w:t xml:space="preserve">ROBERT W. FERGUSON </w:t>
      </w:r>
    </w:p>
    <w:p w:rsidR="000C7B18" w:rsidRPr="000C7B18" w:rsidRDefault="000C7B18" w:rsidP="000C7B18">
      <w:pPr>
        <w:autoSpaceDE w:val="0"/>
        <w:autoSpaceDN w:val="0"/>
        <w:ind w:right="18" w:firstLine="4320"/>
        <w:rPr>
          <w:rFonts w:eastAsia="Calibri" w:cs="Times New Roman"/>
        </w:rPr>
      </w:pPr>
      <w:r w:rsidRPr="000C7B18">
        <w:rPr>
          <w:rFonts w:eastAsia="Calibri" w:cs="Times New Roman"/>
        </w:rPr>
        <w:t>Attorney General</w:t>
      </w:r>
    </w:p>
    <w:p w:rsidR="000C7B18" w:rsidRPr="000C7B18" w:rsidRDefault="000C7B18" w:rsidP="000C7B18">
      <w:pPr>
        <w:autoSpaceDE w:val="0"/>
        <w:autoSpaceDN w:val="0"/>
        <w:ind w:right="18" w:firstLine="4320"/>
        <w:rPr>
          <w:rFonts w:eastAsia="Calibri" w:cs="Times New Roman"/>
        </w:rPr>
      </w:pPr>
    </w:p>
    <w:p w:rsidR="000C7B18" w:rsidRPr="000C7B18" w:rsidRDefault="000C7B18" w:rsidP="000C7B18">
      <w:pPr>
        <w:autoSpaceDE w:val="0"/>
        <w:autoSpaceDN w:val="0"/>
        <w:ind w:right="18" w:firstLine="4320"/>
        <w:rPr>
          <w:rFonts w:eastAsia="Calibri" w:cs="Times New Roman"/>
        </w:rPr>
      </w:pPr>
    </w:p>
    <w:p w:rsidR="000C7B18" w:rsidRPr="000C7B18" w:rsidRDefault="000C7B18" w:rsidP="000C7B18">
      <w:pPr>
        <w:autoSpaceDE w:val="0"/>
        <w:autoSpaceDN w:val="0"/>
        <w:ind w:right="18" w:firstLine="4320"/>
        <w:rPr>
          <w:rFonts w:eastAsia="Calibri" w:cs="Times New Roman"/>
        </w:rPr>
      </w:pPr>
    </w:p>
    <w:p w:rsidR="000C7B18" w:rsidRPr="000C7B18" w:rsidRDefault="000C7B18" w:rsidP="000C7B18">
      <w:pPr>
        <w:autoSpaceDE w:val="0"/>
        <w:autoSpaceDN w:val="0"/>
        <w:ind w:right="18" w:firstLine="4320"/>
        <w:rPr>
          <w:rFonts w:eastAsia="Calibri" w:cs="Times New Roman"/>
        </w:rPr>
      </w:pPr>
      <w:r w:rsidRPr="000C7B18">
        <w:rPr>
          <w:rFonts w:eastAsia="Calibri" w:cs="Times New Roman"/>
        </w:rPr>
        <w:t>______________________________</w:t>
      </w:r>
    </w:p>
    <w:p w:rsidR="000C7B18" w:rsidRPr="000C7B18" w:rsidRDefault="000C7B18" w:rsidP="000C7B18">
      <w:pPr>
        <w:autoSpaceDE w:val="0"/>
        <w:autoSpaceDN w:val="0"/>
        <w:ind w:right="18" w:firstLine="4320"/>
        <w:rPr>
          <w:rFonts w:eastAsia="Calibri" w:cs="Times New Roman"/>
        </w:rPr>
      </w:pPr>
      <w:r w:rsidRPr="000C7B18">
        <w:rPr>
          <w:rFonts w:eastAsia="Calibri" w:cs="Times New Roman"/>
        </w:rPr>
        <w:t xml:space="preserve">ROBERT D. CEDARBAUM </w:t>
      </w:r>
    </w:p>
    <w:p w:rsidR="000C7B18" w:rsidRPr="000C7B18" w:rsidRDefault="000C7B18" w:rsidP="000C7B18">
      <w:pPr>
        <w:autoSpaceDE w:val="0"/>
        <w:autoSpaceDN w:val="0"/>
        <w:ind w:right="18" w:firstLine="4320"/>
        <w:rPr>
          <w:rFonts w:eastAsia="Calibri" w:cs="Times New Roman"/>
        </w:rPr>
      </w:pPr>
      <w:r w:rsidRPr="000C7B18">
        <w:rPr>
          <w:rFonts w:eastAsia="Calibri" w:cs="Times New Roman"/>
        </w:rPr>
        <w:t>Assistant Attorney General</w:t>
      </w:r>
    </w:p>
    <w:p w:rsidR="000C7B18" w:rsidRPr="000C7B18" w:rsidRDefault="000C7B18" w:rsidP="000C7B18">
      <w:pPr>
        <w:autoSpaceDE w:val="0"/>
        <w:autoSpaceDN w:val="0"/>
        <w:ind w:right="18" w:firstLine="4320"/>
        <w:rPr>
          <w:rFonts w:eastAsia="Calibri" w:cs="Times New Roman"/>
        </w:rPr>
      </w:pPr>
      <w:r w:rsidRPr="000C7B18">
        <w:rPr>
          <w:rFonts w:eastAsia="Calibri" w:cs="Times New Roman"/>
        </w:rPr>
        <w:t>Counsel for Washington Utilities and</w:t>
      </w:r>
    </w:p>
    <w:p w:rsidR="000C7B18" w:rsidRPr="000C7B18" w:rsidRDefault="000C7B18" w:rsidP="000C7B18">
      <w:pPr>
        <w:autoSpaceDE w:val="0"/>
        <w:autoSpaceDN w:val="0"/>
        <w:ind w:right="18" w:firstLine="4320"/>
        <w:rPr>
          <w:rFonts w:eastAsia="Calibri" w:cs="Times New Roman"/>
        </w:rPr>
      </w:pPr>
      <w:r w:rsidRPr="000C7B18">
        <w:rPr>
          <w:rFonts w:eastAsia="Calibri" w:cs="Times New Roman"/>
        </w:rPr>
        <w:t>Transportation Commission Staff</w:t>
      </w:r>
    </w:p>
    <w:p w:rsidR="000C7B18" w:rsidRPr="000C7B18" w:rsidRDefault="000C7B18" w:rsidP="000C7B18">
      <w:pPr>
        <w:spacing w:line="480" w:lineRule="auto"/>
        <w:rPr>
          <w:rFonts w:cs="Times New Roman"/>
        </w:rPr>
      </w:pPr>
    </w:p>
    <w:p w:rsidR="00C75824" w:rsidRDefault="00C75824" w:rsidP="002E1BC1">
      <w:pPr>
        <w:spacing w:line="480" w:lineRule="auto"/>
      </w:pPr>
    </w:p>
    <w:sectPr w:rsidR="00C75824" w:rsidSect="009D2AA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BF" w:rsidRDefault="00F23BBF" w:rsidP="002E1BC1">
      <w:r>
        <w:separator/>
      </w:r>
    </w:p>
  </w:endnote>
  <w:endnote w:type="continuationSeparator" w:id="0">
    <w:p w:rsidR="00F23BBF" w:rsidRDefault="00F23BBF" w:rsidP="002E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BF" w:rsidRPr="00FF431B" w:rsidRDefault="00F23BBF">
    <w:pPr>
      <w:pStyle w:val="Footer"/>
    </w:pPr>
  </w:p>
  <w:p w:rsidR="00F23BBF" w:rsidRPr="00FF431B" w:rsidRDefault="00F23BBF">
    <w:pPr>
      <w:pStyle w:val="Footer"/>
      <w:rPr>
        <w:sz w:val="20"/>
        <w:szCs w:val="20"/>
      </w:rPr>
    </w:pPr>
    <w:r>
      <w:rPr>
        <w:sz w:val="20"/>
        <w:szCs w:val="20"/>
      </w:rPr>
      <w:t>REPLY BRIEF ON BEHALF OF COMMISSION STAFF</w:t>
    </w:r>
    <w:r w:rsidRPr="00FF431B">
      <w:rPr>
        <w:sz w:val="20"/>
        <w:szCs w:val="20"/>
      </w:rPr>
      <w:t xml:space="preserve"> - </w:t>
    </w:r>
    <w:r w:rsidRPr="00FF431B">
      <w:rPr>
        <w:rStyle w:val="PageNumber"/>
        <w:sz w:val="20"/>
        <w:szCs w:val="20"/>
      </w:rPr>
      <w:fldChar w:fldCharType="begin"/>
    </w:r>
    <w:r w:rsidRPr="00FF431B">
      <w:rPr>
        <w:rStyle w:val="PageNumber"/>
        <w:sz w:val="20"/>
        <w:szCs w:val="20"/>
      </w:rPr>
      <w:instrText xml:space="preserve"> PAGE </w:instrText>
    </w:r>
    <w:r w:rsidRPr="00FF431B">
      <w:rPr>
        <w:rStyle w:val="PageNumber"/>
        <w:sz w:val="20"/>
        <w:szCs w:val="20"/>
      </w:rPr>
      <w:fldChar w:fldCharType="separate"/>
    </w:r>
    <w:r w:rsidR="0047632A">
      <w:rPr>
        <w:rStyle w:val="PageNumber"/>
        <w:noProof/>
        <w:sz w:val="20"/>
        <w:szCs w:val="20"/>
      </w:rPr>
      <w:t>ii</w:t>
    </w:r>
    <w:r w:rsidRPr="00FF431B">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BF" w:rsidRDefault="00F23BBF" w:rsidP="002E1BC1">
      <w:r>
        <w:separator/>
      </w:r>
    </w:p>
  </w:footnote>
  <w:footnote w:type="continuationSeparator" w:id="0">
    <w:p w:rsidR="00F23BBF" w:rsidRDefault="00F23BBF" w:rsidP="002E1BC1">
      <w:r>
        <w:continuationSeparator/>
      </w:r>
    </w:p>
  </w:footnote>
  <w:footnote w:id="1">
    <w:p w:rsidR="00F23BBF" w:rsidRDefault="00F23BBF">
      <w:pPr>
        <w:pStyle w:val="FootnoteText"/>
      </w:pPr>
      <w:r>
        <w:rPr>
          <w:rStyle w:val="FootnoteReference"/>
        </w:rPr>
        <w:footnoteRef/>
      </w:r>
      <w:r>
        <w:t xml:space="preserve"> Elgin, Tr. 234:13-20.  See also Staff Initial Br. at ¶55, citing, Elgin, Exh. No. </w:t>
      </w:r>
      <w:proofErr w:type="spellStart"/>
      <w:r>
        <w:t>KLE-1T</w:t>
      </w:r>
      <w:proofErr w:type="spellEnd"/>
      <w:r>
        <w:t xml:space="preserve"> at 5:21-6:3.</w:t>
      </w:r>
    </w:p>
  </w:footnote>
  <w:footnote w:id="2">
    <w:p w:rsidR="00F23BBF" w:rsidRDefault="00F23BBF">
      <w:pPr>
        <w:pStyle w:val="FootnoteText"/>
      </w:pPr>
      <w:r>
        <w:rPr>
          <w:rStyle w:val="FootnoteReference"/>
        </w:rPr>
        <w:footnoteRef/>
      </w:r>
      <w:r>
        <w:t xml:space="preserve"> Boise White Paper Post Hearing Br. at page 13 (Note:  the paragraph on page 13 is not numbered).</w:t>
      </w:r>
    </w:p>
  </w:footnote>
  <w:footnote w:id="3">
    <w:p w:rsidR="00F23BBF" w:rsidRDefault="00F23BBF">
      <w:pPr>
        <w:pStyle w:val="FootnoteText"/>
      </w:pPr>
      <w:r>
        <w:rPr>
          <w:rStyle w:val="FootnoteReference"/>
        </w:rPr>
        <w:footnoteRef/>
      </w:r>
      <w:r>
        <w:t xml:space="preserve"> </w:t>
      </w:r>
      <w:proofErr w:type="gramStart"/>
      <w:r>
        <w:t>PacifiCorp Opening Br. at ¶¶13-20.</w:t>
      </w:r>
      <w:proofErr w:type="gramEnd"/>
    </w:p>
  </w:footnote>
  <w:footnote w:id="4">
    <w:p w:rsidR="00F23BBF" w:rsidRDefault="00F23BBF" w:rsidP="001B210D">
      <w:pPr>
        <w:pStyle w:val="FootnoteText"/>
      </w:pPr>
      <w:r>
        <w:rPr>
          <w:rStyle w:val="FootnoteReference"/>
        </w:rPr>
        <w:footnoteRef/>
      </w:r>
      <w:r>
        <w:t xml:space="preserve"> See </w:t>
      </w:r>
      <w:proofErr w:type="spellStart"/>
      <w:r>
        <w:t>Hadaway</w:t>
      </w:r>
      <w:proofErr w:type="spellEnd"/>
      <w:r>
        <w:t xml:space="preserve">, Exh. No. </w:t>
      </w:r>
      <w:proofErr w:type="spellStart"/>
      <w:proofErr w:type="gramStart"/>
      <w:smartTag w:uri="urn:schemas-microsoft-com:office:smarttags" w:element="stockticker">
        <w:r>
          <w:t>SCH</w:t>
        </w:r>
      </w:smartTag>
      <w:proofErr w:type="spellEnd"/>
      <w:r>
        <w:t>-15 at 2.</w:t>
      </w:r>
      <w:proofErr w:type="gramEnd"/>
      <w:r>
        <w:t xml:space="preserve">  Dr. </w:t>
      </w:r>
      <w:proofErr w:type="spellStart"/>
      <w:r>
        <w:t>Hadaway’s</w:t>
      </w:r>
      <w:proofErr w:type="spellEnd"/>
      <w:r>
        <w:t xml:space="preserve"> constant growth </w:t>
      </w:r>
      <w:proofErr w:type="spellStart"/>
      <w:r>
        <w:t>DCF</w:t>
      </w:r>
      <w:proofErr w:type="spellEnd"/>
      <w:r>
        <w:t xml:space="preserve"> result was 9 percent.  His two other </w:t>
      </w:r>
      <w:proofErr w:type="spellStart"/>
      <w:r>
        <w:t>DCF</w:t>
      </w:r>
      <w:proofErr w:type="spellEnd"/>
      <w:r>
        <w:t xml:space="preserve"> studies produced a return on equity no more than 9 percent, when adjusted for a more recent </w:t>
      </w:r>
      <w:smartTag w:uri="urn:schemas-microsoft-com:office:smarttags" w:element="stockticker">
        <w:r>
          <w:t>GDP</w:t>
        </w:r>
      </w:smartTag>
      <w:r>
        <w:t xml:space="preserve"> historical growth rate of 4.3 to 4.5 percent, rather than the 5.6 percent rate used by Dr. </w:t>
      </w:r>
      <w:proofErr w:type="spellStart"/>
      <w:r>
        <w:t>Hadaway</w:t>
      </w:r>
      <w:proofErr w:type="spellEnd"/>
      <w:r>
        <w:t xml:space="preserve">.  </w:t>
      </w:r>
      <w:proofErr w:type="gramStart"/>
      <w:r>
        <w:t>Staff Initial Br. at ¶49.</w:t>
      </w:r>
      <w:proofErr w:type="gramEnd"/>
      <w:r>
        <w:t xml:space="preserve">  Both the Commission and Staff have rejected the use of historical </w:t>
      </w:r>
      <w:smartTag w:uri="urn:schemas-microsoft-com:office:smarttags" w:element="stockticker">
        <w:r>
          <w:t>GDP</w:t>
        </w:r>
      </w:smartTag>
      <w:r>
        <w:t xml:space="preserve"> growth in a </w:t>
      </w:r>
      <w:proofErr w:type="spellStart"/>
      <w:r>
        <w:t>DCF</w:t>
      </w:r>
      <w:proofErr w:type="spellEnd"/>
      <w:r>
        <w:t xml:space="preserve"> analysis.  </w:t>
      </w:r>
      <w:proofErr w:type="gramStart"/>
      <w:r>
        <w:t>Staff Initial Br. at ¶50.</w:t>
      </w:r>
      <w:proofErr w:type="gramEnd"/>
    </w:p>
  </w:footnote>
  <w:footnote w:id="5">
    <w:p w:rsidR="00F23BBF" w:rsidRDefault="00F23BBF">
      <w:pPr>
        <w:pStyle w:val="FootnoteText"/>
      </w:pPr>
      <w:r>
        <w:rPr>
          <w:rStyle w:val="FootnoteReference"/>
        </w:rPr>
        <w:footnoteRef/>
      </w:r>
      <w:r>
        <w:t xml:space="preserve"> </w:t>
      </w:r>
      <w:proofErr w:type="gramStart"/>
      <w:r>
        <w:t>Boise White Paper Post Hearing Br. ¶¶19-21.</w:t>
      </w:r>
      <w:proofErr w:type="gramEnd"/>
    </w:p>
  </w:footnote>
  <w:footnote w:id="6">
    <w:p w:rsidR="00F23BBF" w:rsidRDefault="00F23BBF">
      <w:pPr>
        <w:pStyle w:val="FootnoteText"/>
      </w:pPr>
      <w:r>
        <w:rPr>
          <w:rStyle w:val="FootnoteReference"/>
        </w:rPr>
        <w:footnoteRef/>
      </w:r>
      <w:r>
        <w:t xml:space="preserve"> </w:t>
      </w:r>
      <w:proofErr w:type="gramStart"/>
      <w:r>
        <w:t>PacifiCorp Opening Br. at ¶14.</w:t>
      </w:r>
      <w:proofErr w:type="gramEnd"/>
    </w:p>
  </w:footnote>
  <w:footnote w:id="7">
    <w:p w:rsidR="00F23BBF" w:rsidRDefault="00F23BBF">
      <w:pPr>
        <w:pStyle w:val="FootnoteText"/>
      </w:pPr>
      <w:r>
        <w:rPr>
          <w:rStyle w:val="FootnoteReference"/>
        </w:rPr>
        <w:footnoteRef/>
      </w:r>
      <w:r>
        <w:t xml:space="preserve"> Elgin, Tr. 234:17-19.</w:t>
      </w:r>
    </w:p>
  </w:footnote>
  <w:footnote w:id="8">
    <w:p w:rsidR="00F23BBF" w:rsidRDefault="00F23BBF">
      <w:pPr>
        <w:pStyle w:val="FootnoteText"/>
      </w:pPr>
      <w:r>
        <w:rPr>
          <w:rStyle w:val="FootnoteReference"/>
        </w:rPr>
        <w:footnoteRef/>
      </w:r>
      <w:r>
        <w:t xml:space="preserve"> Elgin, Tr. 234:21-235:4.  </w:t>
      </w:r>
    </w:p>
  </w:footnote>
  <w:footnote w:id="9">
    <w:p w:rsidR="00F23BBF" w:rsidRDefault="00F23BBF">
      <w:pPr>
        <w:pStyle w:val="FootnoteText"/>
      </w:pPr>
      <w:r>
        <w:rPr>
          <w:rStyle w:val="FootnoteReference"/>
        </w:rPr>
        <w:footnoteRef/>
      </w:r>
      <w:r>
        <w:t xml:space="preserve"> Elgin, Tr. 268:9.</w:t>
      </w:r>
    </w:p>
  </w:footnote>
  <w:footnote w:id="10">
    <w:p w:rsidR="00F23BBF" w:rsidRDefault="00F23BBF">
      <w:pPr>
        <w:pStyle w:val="FootnoteText"/>
      </w:pPr>
      <w:r>
        <w:rPr>
          <w:rStyle w:val="FootnoteReference"/>
        </w:rPr>
        <w:footnoteRef/>
      </w:r>
      <w:r>
        <w:t xml:space="preserve"> </w:t>
      </w:r>
      <w:r>
        <w:rPr>
          <w:i/>
        </w:rPr>
        <w:t>W</w:t>
      </w:r>
      <w:r w:rsidRPr="00F12C1A">
        <w:rPr>
          <w:i/>
        </w:rPr>
        <w:t xml:space="preserve">UTC </w:t>
      </w:r>
      <w:r>
        <w:rPr>
          <w:i/>
        </w:rPr>
        <w:t xml:space="preserve">v. </w:t>
      </w:r>
      <w:r w:rsidRPr="00F12C1A">
        <w:rPr>
          <w:i/>
        </w:rPr>
        <w:t xml:space="preserve">PacifiCorp, </w:t>
      </w:r>
      <w:r w:rsidRPr="00017380">
        <w:t xml:space="preserve">Docket </w:t>
      </w:r>
      <w:proofErr w:type="spellStart"/>
      <w:r w:rsidRPr="00017380">
        <w:t>UE</w:t>
      </w:r>
      <w:proofErr w:type="spellEnd"/>
      <w:r w:rsidRPr="00017380">
        <w:t>-100749, O</w:t>
      </w:r>
      <w:r>
        <w:t>rder 06 (March 25, 2011).</w:t>
      </w:r>
    </w:p>
  </w:footnote>
  <w:footnote w:id="11">
    <w:p w:rsidR="00F23BBF" w:rsidRDefault="00F23BBF">
      <w:pPr>
        <w:pStyle w:val="FootnoteText"/>
      </w:pPr>
      <w:r>
        <w:rPr>
          <w:rStyle w:val="FootnoteReference"/>
        </w:rPr>
        <w:footnoteRef/>
      </w:r>
      <w:r>
        <w:t xml:space="preserve"> </w:t>
      </w:r>
      <w:proofErr w:type="spellStart"/>
      <w:r>
        <w:t>Hadaway</w:t>
      </w:r>
      <w:proofErr w:type="spellEnd"/>
      <w:r>
        <w:t xml:space="preserve">, Exh. No. </w:t>
      </w:r>
      <w:proofErr w:type="spellStart"/>
      <w:r>
        <w:t>SCH-10T</w:t>
      </w:r>
      <w:proofErr w:type="spellEnd"/>
      <w:r>
        <w:t xml:space="preserve"> at 5, Table 1.</w:t>
      </w:r>
    </w:p>
  </w:footnote>
  <w:footnote w:id="12">
    <w:p w:rsidR="00F23BBF" w:rsidRPr="00333DD2" w:rsidRDefault="00F23BBF" w:rsidP="00B57D13">
      <w:pPr>
        <w:tabs>
          <w:tab w:val="left" w:pos="720"/>
          <w:tab w:val="left" w:pos="1440"/>
          <w:tab w:val="left" w:pos="9240"/>
        </w:tabs>
        <w:ind w:left="720" w:hanging="720"/>
        <w:rPr>
          <w:rFonts w:cs="Times New Roman"/>
          <w:sz w:val="20"/>
          <w:szCs w:val="20"/>
        </w:rPr>
      </w:pPr>
      <w:r w:rsidRPr="00333DD2">
        <w:rPr>
          <w:rStyle w:val="FootnoteReference"/>
          <w:sz w:val="20"/>
          <w:szCs w:val="20"/>
        </w:rPr>
        <w:footnoteRef/>
      </w:r>
      <w:r w:rsidRPr="00333DD2">
        <w:rPr>
          <w:rFonts w:cs="Times New Roman"/>
          <w:sz w:val="20"/>
          <w:szCs w:val="20"/>
        </w:rPr>
        <w:t xml:space="preserve"> </w:t>
      </w:r>
      <w:proofErr w:type="gramStart"/>
      <w:r w:rsidRPr="00333DD2">
        <w:rPr>
          <w:rFonts w:cs="Times New Roman"/>
          <w:i/>
          <w:sz w:val="20"/>
          <w:szCs w:val="20"/>
        </w:rPr>
        <w:t>WUTC v. PacifiCorp</w:t>
      </w:r>
      <w:r>
        <w:rPr>
          <w:rFonts w:cs="Times New Roman"/>
          <w:i/>
          <w:sz w:val="20"/>
          <w:szCs w:val="20"/>
        </w:rPr>
        <w:t xml:space="preserve">, </w:t>
      </w:r>
      <w:r w:rsidRPr="00333DD2">
        <w:rPr>
          <w:rFonts w:cs="Times New Roman"/>
          <w:sz w:val="20"/>
          <w:szCs w:val="20"/>
        </w:rPr>
        <w:t xml:space="preserve">Docket </w:t>
      </w:r>
      <w:proofErr w:type="spellStart"/>
      <w:r w:rsidRPr="00333DD2">
        <w:rPr>
          <w:rFonts w:cs="Times New Roman"/>
          <w:sz w:val="20"/>
          <w:szCs w:val="20"/>
        </w:rPr>
        <w:t>UE</w:t>
      </w:r>
      <w:proofErr w:type="spellEnd"/>
      <w:r w:rsidRPr="00333DD2">
        <w:rPr>
          <w:rFonts w:cs="Times New Roman"/>
          <w:sz w:val="20"/>
          <w:szCs w:val="20"/>
        </w:rPr>
        <w:t>-050684, Order 04 at ¶224 (April 17, 2006).</w:t>
      </w:r>
      <w:proofErr w:type="gramEnd"/>
    </w:p>
  </w:footnote>
  <w:footnote w:id="13">
    <w:p w:rsidR="00F23BBF" w:rsidRDefault="00F23BBF">
      <w:pPr>
        <w:pStyle w:val="FootnoteText"/>
      </w:pPr>
      <w:r>
        <w:rPr>
          <w:rStyle w:val="FootnoteReference"/>
        </w:rPr>
        <w:footnoteRef/>
      </w:r>
      <w:r>
        <w:t xml:space="preserve"> </w:t>
      </w:r>
      <w:proofErr w:type="gramStart"/>
      <w:r>
        <w:t>PacifiCorp Opening Br. at ¶¶35 and 50.</w:t>
      </w:r>
      <w:proofErr w:type="gramEnd"/>
      <w:r>
        <w:t xml:space="preserve">  We assume the Company used the term “support” to acknowledge that it cannot know with certainty how credit rating agencies will or will not react to decisions of regulatory commissions.</w:t>
      </w:r>
    </w:p>
  </w:footnote>
  <w:footnote w:id="14">
    <w:p w:rsidR="00F23BBF" w:rsidRDefault="00F23BBF">
      <w:pPr>
        <w:pStyle w:val="FootnoteText"/>
      </w:pPr>
      <w:r>
        <w:rPr>
          <w:rStyle w:val="FootnoteReference"/>
        </w:rPr>
        <w:footnoteRef/>
      </w:r>
      <w:r>
        <w:t xml:space="preserve"> </w:t>
      </w:r>
      <w:proofErr w:type="gramStart"/>
      <w:r>
        <w:t>PacifiCorp Opening Br. at ¶35.</w:t>
      </w:r>
      <w:proofErr w:type="gramEnd"/>
    </w:p>
  </w:footnote>
  <w:footnote w:id="15">
    <w:p w:rsidR="00F23BBF" w:rsidRDefault="00F23BBF" w:rsidP="008F63E0">
      <w:pPr>
        <w:pStyle w:val="FootnoteText"/>
      </w:pPr>
      <w:r>
        <w:rPr>
          <w:rStyle w:val="FootnoteReference"/>
        </w:rPr>
        <w:footnoteRef/>
      </w:r>
      <w:r>
        <w:t xml:space="preserve"> Elgin, Exh. No. </w:t>
      </w:r>
      <w:proofErr w:type="spellStart"/>
      <w:proofErr w:type="gramStart"/>
      <w:r>
        <w:t>KLE-1T</w:t>
      </w:r>
      <w:proofErr w:type="spellEnd"/>
      <w:r>
        <w:t xml:space="preserve"> at 37:1-13, citing, Williams, Exh.</w:t>
      </w:r>
      <w:proofErr w:type="gramEnd"/>
      <w:r>
        <w:t xml:space="preserve"> No. </w:t>
      </w:r>
      <w:proofErr w:type="spellStart"/>
      <w:r>
        <w:t>BNW-1T</w:t>
      </w:r>
      <w:proofErr w:type="spellEnd"/>
      <w:r>
        <w:t xml:space="preserve"> at 15:19-16:4.</w:t>
      </w:r>
    </w:p>
  </w:footnote>
  <w:footnote w:id="16">
    <w:p w:rsidR="00F23BBF" w:rsidRDefault="00F23BBF" w:rsidP="008F63E0">
      <w:pPr>
        <w:pStyle w:val="FootnoteText"/>
      </w:pPr>
      <w:r>
        <w:rPr>
          <w:rStyle w:val="FootnoteReference"/>
        </w:rPr>
        <w:footnoteRef/>
      </w:r>
      <w:r>
        <w:t xml:space="preserve"> Elgin, Exh. No. </w:t>
      </w:r>
      <w:proofErr w:type="spellStart"/>
      <w:proofErr w:type="gramStart"/>
      <w:r>
        <w:t>KLE</w:t>
      </w:r>
      <w:proofErr w:type="spellEnd"/>
      <w:r>
        <w:t>-3.</w:t>
      </w:r>
      <w:proofErr w:type="gramEnd"/>
    </w:p>
  </w:footnote>
  <w:footnote w:id="17">
    <w:p w:rsidR="00F23BBF" w:rsidRDefault="00F23BBF">
      <w:pPr>
        <w:pStyle w:val="FootnoteText"/>
      </w:pPr>
      <w:r>
        <w:rPr>
          <w:rStyle w:val="FootnoteReference"/>
        </w:rPr>
        <w:footnoteRef/>
      </w:r>
      <w:r>
        <w:t xml:space="preserve"> </w:t>
      </w:r>
      <w:proofErr w:type="gramStart"/>
      <w:r>
        <w:t>PacifiCorp Opening Br. at ¶11.</w:t>
      </w:r>
      <w:proofErr w:type="gramEnd"/>
    </w:p>
  </w:footnote>
  <w:footnote w:id="18">
    <w:p w:rsidR="00F23BBF" w:rsidRDefault="00F23BBF">
      <w:pPr>
        <w:pStyle w:val="FootnoteText"/>
      </w:pPr>
      <w:r>
        <w:rPr>
          <w:rStyle w:val="FootnoteReference"/>
        </w:rPr>
        <w:footnoteRef/>
      </w:r>
      <w:r>
        <w:t xml:space="preserve"> Elgin, Exh. No. </w:t>
      </w:r>
      <w:proofErr w:type="spellStart"/>
      <w:r>
        <w:t>KLE-1T</w:t>
      </w:r>
      <w:proofErr w:type="spellEnd"/>
      <w:r>
        <w:t xml:space="preserve"> at 45:24-46:5.  These costs are not offset by the lower actual cost of debt of 5.29 percent that PacifiCorp now proposes, given the actual capital structure that PacifiCorp also proposes with no short-term debt and over 52 percent equity.</w:t>
      </w:r>
    </w:p>
  </w:footnote>
  <w:footnote w:id="19">
    <w:p w:rsidR="00F23BBF" w:rsidRDefault="00F23BBF">
      <w:pPr>
        <w:pStyle w:val="FootnoteText"/>
      </w:pPr>
      <w:r>
        <w:rPr>
          <w:rStyle w:val="FootnoteReference"/>
        </w:rPr>
        <w:footnoteRef/>
      </w:r>
      <w:r>
        <w:t xml:space="preserve"> </w:t>
      </w:r>
      <w:proofErr w:type="gramStart"/>
      <w:r>
        <w:t>PacifiCorp Opening Br. at ¶¶55-60.</w:t>
      </w:r>
      <w:proofErr w:type="gramEnd"/>
    </w:p>
  </w:footnote>
  <w:footnote w:id="20">
    <w:p w:rsidR="00F23BBF" w:rsidRDefault="00F23BBF">
      <w:pPr>
        <w:pStyle w:val="FootnoteText"/>
      </w:pPr>
      <w:r>
        <w:rPr>
          <w:rStyle w:val="FootnoteReference"/>
        </w:rPr>
        <w:footnoteRef/>
      </w:r>
      <w:r>
        <w:t xml:space="preserve"> Gomez, Exh. No. </w:t>
      </w:r>
      <w:proofErr w:type="spellStart"/>
      <w:proofErr w:type="gramStart"/>
      <w:r>
        <w:t>DCG-1CT</w:t>
      </w:r>
      <w:proofErr w:type="spellEnd"/>
      <w:r>
        <w:t xml:space="preserve"> at 13, </w:t>
      </w:r>
      <w:proofErr w:type="spellStart"/>
      <w:r>
        <w:t>n29</w:t>
      </w:r>
      <w:proofErr w:type="spellEnd"/>
      <w:r>
        <w:t>.</w:t>
      </w:r>
      <w:proofErr w:type="gramEnd"/>
      <w:r>
        <w:t xml:space="preserve">  See also Staff Initial Br. at ¶81, citing, Exh. No. B-4, Attachment 293-</w:t>
      </w:r>
      <w:proofErr w:type="spellStart"/>
      <w:r>
        <w:t>2</w:t>
      </w:r>
      <w:proofErr w:type="gramStart"/>
      <w:r>
        <w:t>,CONF.xlxs</w:t>
      </w:r>
      <w:proofErr w:type="spellEnd"/>
      <w:proofErr w:type="gramEnd"/>
      <w:r>
        <w:t>.</w:t>
      </w:r>
    </w:p>
  </w:footnote>
  <w:footnote w:id="21">
    <w:p w:rsidR="00F23BBF" w:rsidRDefault="00F23BBF">
      <w:pPr>
        <w:pStyle w:val="FootnoteText"/>
      </w:pPr>
      <w:r>
        <w:rPr>
          <w:rStyle w:val="FootnoteReference"/>
        </w:rPr>
        <w:footnoteRef/>
      </w:r>
      <w:r>
        <w:t xml:space="preserve"> </w:t>
      </w:r>
      <w:proofErr w:type="gramStart"/>
      <w:r>
        <w:t>PacifiCorp Opening Br. at ¶57.</w:t>
      </w:r>
      <w:proofErr w:type="gramEnd"/>
    </w:p>
  </w:footnote>
  <w:footnote w:id="22">
    <w:p w:rsidR="00F23BBF" w:rsidRDefault="00F23BBF">
      <w:pPr>
        <w:pStyle w:val="FootnoteText"/>
      </w:pPr>
      <w:r>
        <w:rPr>
          <w:rStyle w:val="FootnoteReference"/>
        </w:rPr>
        <w:footnoteRef/>
      </w:r>
      <w:r>
        <w:t xml:space="preserve"> </w:t>
      </w:r>
      <w:proofErr w:type="gramStart"/>
      <w:r>
        <w:t>PacifiCorp Opening Br. at ¶¶63-67.</w:t>
      </w:r>
      <w:proofErr w:type="gramEnd"/>
    </w:p>
  </w:footnote>
  <w:footnote w:id="23">
    <w:p w:rsidR="00F23BBF" w:rsidRDefault="00F23BBF" w:rsidP="00FB77A8">
      <w:pPr>
        <w:pStyle w:val="FootnoteText"/>
      </w:pPr>
      <w:r>
        <w:rPr>
          <w:rStyle w:val="FootnoteReference"/>
        </w:rPr>
        <w:footnoteRef/>
      </w:r>
      <w:r>
        <w:t xml:space="preserve"> </w:t>
      </w:r>
      <w:proofErr w:type="gramStart"/>
      <w:r>
        <w:t>PacifiCorp Opening Br. at ¶¶61-62.</w:t>
      </w:r>
      <w:proofErr w:type="gramEnd"/>
    </w:p>
  </w:footnote>
  <w:footnote w:id="24">
    <w:p w:rsidR="00F23BBF" w:rsidRDefault="00F23BBF" w:rsidP="0043017A">
      <w:pPr>
        <w:pStyle w:val="FootnoteText"/>
      </w:pPr>
      <w:r>
        <w:rPr>
          <w:rStyle w:val="FootnoteReference"/>
        </w:rPr>
        <w:footnoteRef/>
      </w:r>
      <w:r>
        <w:t xml:space="preserve"> </w:t>
      </w:r>
      <w:proofErr w:type="gramStart"/>
      <w:r>
        <w:t>PacifiCorp Opening Br. at ¶130.</w:t>
      </w:r>
      <w:proofErr w:type="gramEnd"/>
    </w:p>
  </w:footnote>
  <w:footnote w:id="25">
    <w:p w:rsidR="00F23BBF" w:rsidRDefault="00F23BBF" w:rsidP="005A064A">
      <w:pPr>
        <w:pStyle w:val="FootnoteText"/>
      </w:pPr>
      <w:r>
        <w:rPr>
          <w:rStyle w:val="FootnoteReference"/>
        </w:rPr>
        <w:footnoteRef/>
      </w:r>
      <w:r>
        <w:t xml:space="preserve"> </w:t>
      </w:r>
      <w:proofErr w:type="gramStart"/>
      <w:r w:rsidRPr="0069424B">
        <w:rPr>
          <w:i/>
        </w:rPr>
        <w:t>WUTC v. PacifiCorp</w:t>
      </w:r>
      <w:r>
        <w:t xml:space="preserve">, Docket </w:t>
      </w:r>
      <w:proofErr w:type="spellStart"/>
      <w:r>
        <w:t>UE</w:t>
      </w:r>
      <w:proofErr w:type="spellEnd"/>
      <w:r>
        <w:t>-100749, Order 06 at ¶172 (March 25, 2011).</w:t>
      </w:r>
      <w:proofErr w:type="gramEnd"/>
    </w:p>
  </w:footnote>
  <w:footnote w:id="26">
    <w:p w:rsidR="00F23BBF" w:rsidRDefault="00F23BBF" w:rsidP="005A064A">
      <w:pPr>
        <w:pStyle w:val="FootnoteText"/>
      </w:pPr>
      <w:r>
        <w:rPr>
          <w:rStyle w:val="FootnoteReference"/>
        </w:rPr>
        <w:footnoteRef/>
      </w:r>
      <w:r>
        <w:t xml:space="preserve"> </w:t>
      </w:r>
      <w:proofErr w:type="gramStart"/>
      <w:r>
        <w:t>Staff Initial Br. at ¶104.</w:t>
      </w:r>
      <w:proofErr w:type="gramEnd"/>
    </w:p>
  </w:footnote>
  <w:footnote w:id="27">
    <w:p w:rsidR="00F23BBF" w:rsidRDefault="00F23BBF" w:rsidP="005A47E7">
      <w:pPr>
        <w:pStyle w:val="FootnoteText"/>
      </w:pPr>
      <w:r>
        <w:rPr>
          <w:rStyle w:val="FootnoteReference"/>
        </w:rPr>
        <w:footnoteRef/>
      </w:r>
      <w:r>
        <w:t xml:space="preserve"> </w:t>
      </w:r>
      <w:proofErr w:type="gramStart"/>
      <w:r>
        <w:t>PacifiCorp Opening Br. at ¶131.</w:t>
      </w:r>
      <w:proofErr w:type="gramEnd"/>
      <w:r>
        <w:fldChar w:fldCharType="begin"/>
      </w:r>
      <w:r>
        <w:instrText xml:space="preserve"> ADDIN BA \xc &lt;@rec&gt; \xl 19 \s KBKQKB000164 \l "</w:instrText>
      </w:r>
      <w:r>
        <w:rPr>
          <w:sz w:val="24"/>
        </w:rPr>
        <w:instrText>White, TR. 431:4-14</w:instrText>
      </w:r>
      <w:r>
        <w:instrText xml:space="preserve">" </w:instrText>
      </w:r>
      <w:r>
        <w:fldChar w:fldCharType="end"/>
      </w:r>
    </w:p>
  </w:footnote>
  <w:footnote w:id="28">
    <w:p w:rsidR="00F23BBF" w:rsidRDefault="00F23BBF">
      <w:pPr>
        <w:pStyle w:val="FootnoteText"/>
      </w:pPr>
      <w:r>
        <w:rPr>
          <w:rStyle w:val="FootnoteReference"/>
        </w:rPr>
        <w:footnoteRef/>
      </w:r>
      <w:r>
        <w:t xml:space="preserve"> </w:t>
      </w:r>
      <w:proofErr w:type="gramStart"/>
      <w:r>
        <w:t>Staff Initial Br. at ¶¶116-117.</w:t>
      </w:r>
      <w:proofErr w:type="gramEnd"/>
    </w:p>
  </w:footnote>
  <w:footnote w:id="29">
    <w:p w:rsidR="00F23BBF" w:rsidRDefault="00F23BBF" w:rsidP="00BF4198">
      <w:pPr>
        <w:pStyle w:val="FootnoteText"/>
      </w:pPr>
      <w:r>
        <w:rPr>
          <w:rStyle w:val="FootnoteReference"/>
        </w:rPr>
        <w:footnoteRef/>
      </w:r>
      <w:r>
        <w:t xml:space="preserve"> </w:t>
      </w:r>
      <w:proofErr w:type="gramStart"/>
      <w:r>
        <w:t>PacifiCorp Opening Br. at ¶135.</w:t>
      </w:r>
      <w:proofErr w:type="gramEnd"/>
      <w:r>
        <w:fldChar w:fldCharType="begin"/>
      </w:r>
      <w:r>
        <w:instrText xml:space="preserve"> ADDIN BA \xc &lt;@$id&gt; \xl 11 \s ID </w:instrText>
      </w:r>
      <w:r>
        <w:fldChar w:fldCharType="end"/>
      </w:r>
      <w:r>
        <w:t xml:space="preserve"> </w:t>
      </w:r>
      <w:r>
        <w:fldChar w:fldCharType="begin"/>
      </w:r>
      <w:r>
        <w:instrText xml:space="preserve"> ADDIN BA \xc &lt;@$rec&gt; \xl 19 \s KBKQKB000164 </w:instrText>
      </w:r>
      <w:r>
        <w:fldChar w:fldCharType="end"/>
      </w:r>
    </w:p>
  </w:footnote>
  <w:footnote w:id="30">
    <w:p w:rsidR="00F23BBF" w:rsidRPr="00595813" w:rsidRDefault="00F23BBF">
      <w:pPr>
        <w:pStyle w:val="FootnoteText"/>
      </w:pPr>
      <w:r w:rsidRPr="00595813">
        <w:rPr>
          <w:rStyle w:val="FootnoteReference"/>
        </w:rPr>
        <w:footnoteRef/>
      </w:r>
      <w:r w:rsidRPr="00595813">
        <w:t xml:space="preserve"> Mickelson, Exh. No. </w:t>
      </w:r>
      <w:proofErr w:type="spellStart"/>
      <w:proofErr w:type="gramStart"/>
      <w:r w:rsidRPr="00595813">
        <w:t>CTM-1T</w:t>
      </w:r>
      <w:proofErr w:type="spellEnd"/>
      <w:r w:rsidRPr="00595813">
        <w:t xml:space="preserve"> at 14:15-15:20.</w:t>
      </w:r>
      <w:proofErr w:type="gramEnd"/>
    </w:p>
  </w:footnote>
  <w:footnote w:id="31">
    <w:p w:rsidR="00F23BBF" w:rsidRDefault="00F23BBF" w:rsidP="00595813">
      <w:r w:rsidRPr="00595813">
        <w:rPr>
          <w:rStyle w:val="FootnoteReference"/>
          <w:sz w:val="20"/>
          <w:szCs w:val="20"/>
        </w:rPr>
        <w:footnoteRef/>
      </w:r>
      <w:r w:rsidRPr="00595813">
        <w:rPr>
          <w:sz w:val="20"/>
          <w:szCs w:val="20"/>
        </w:rPr>
        <w:t xml:space="preserve"> </w:t>
      </w:r>
      <w:proofErr w:type="gramStart"/>
      <w:r w:rsidRPr="00595813">
        <w:rPr>
          <w:sz w:val="20"/>
          <w:szCs w:val="20"/>
        </w:rPr>
        <w:t>Staff Initial Br. at ¶108.</w:t>
      </w:r>
      <w:proofErr w:type="gramEnd"/>
      <w:r w:rsidRPr="00595813">
        <w:rPr>
          <w:sz w:val="20"/>
          <w:szCs w:val="20"/>
        </w:rPr>
        <w:t xml:space="preserve">  All pa</w:t>
      </w:r>
      <w:r>
        <w:rPr>
          <w:sz w:val="20"/>
          <w:szCs w:val="20"/>
        </w:rPr>
        <w:t xml:space="preserve">rties reserved the right </w:t>
      </w:r>
      <w:r w:rsidRPr="00595813">
        <w:rPr>
          <w:sz w:val="20"/>
          <w:szCs w:val="20"/>
        </w:rPr>
        <w:t xml:space="preserve">to contest the facts, principles and methodology underlying the </w:t>
      </w:r>
      <w:proofErr w:type="spellStart"/>
      <w:r w:rsidRPr="00595813">
        <w:rPr>
          <w:sz w:val="20"/>
          <w:szCs w:val="20"/>
        </w:rPr>
        <w:t>COSS</w:t>
      </w:r>
      <w:proofErr w:type="spellEnd"/>
      <w:r w:rsidRPr="00595813">
        <w:rPr>
          <w:sz w:val="20"/>
          <w:szCs w:val="20"/>
        </w:rPr>
        <w:t xml:space="preserve"> in the next general rate case.  The “No Precedent” clause of the settlement is clear on that point.  </w:t>
      </w:r>
    </w:p>
  </w:footnote>
  <w:footnote w:id="32">
    <w:p w:rsidR="00F23BBF" w:rsidRDefault="00F23BBF" w:rsidP="00E5574F">
      <w:pPr>
        <w:pStyle w:val="FootnoteText"/>
      </w:pPr>
      <w:r>
        <w:rPr>
          <w:rStyle w:val="FootnoteReference"/>
        </w:rPr>
        <w:footnoteRef/>
      </w:r>
      <w:r>
        <w:t xml:space="preserve"> </w:t>
      </w:r>
      <w:proofErr w:type="gramStart"/>
      <w:r>
        <w:t>PacifiCorp Opening Br. at ¶135.</w:t>
      </w:r>
      <w:proofErr w:type="gramEnd"/>
      <w:r>
        <w:t xml:space="preserve"> </w:t>
      </w:r>
    </w:p>
  </w:footnote>
  <w:footnote w:id="33">
    <w:p w:rsidR="00F23BBF" w:rsidRPr="001B70B7" w:rsidRDefault="00F23BBF" w:rsidP="00E5574F">
      <w:pPr>
        <w:pStyle w:val="FootnoteText"/>
      </w:pPr>
      <w:r>
        <w:rPr>
          <w:rStyle w:val="FootnoteReference"/>
        </w:rPr>
        <w:footnoteRef/>
      </w:r>
      <w:r>
        <w:t xml:space="preserve"> </w:t>
      </w:r>
      <w:r>
        <w:rPr>
          <w:i/>
        </w:rPr>
        <w:t xml:space="preserve">WUTC v. Washington Natural Gas Company, </w:t>
      </w:r>
      <w:r>
        <w:t xml:space="preserve">Dockets </w:t>
      </w:r>
      <w:proofErr w:type="spellStart"/>
      <w:r>
        <w:t>UG</w:t>
      </w:r>
      <w:proofErr w:type="spellEnd"/>
      <w:r>
        <w:t>-940034/</w:t>
      </w:r>
      <w:proofErr w:type="spellStart"/>
      <w:r>
        <w:t>UG</w:t>
      </w:r>
      <w:proofErr w:type="spellEnd"/>
      <w:r>
        <w:t>-940814, Supplemental Order 05 at 8 (April 11, 1995).  (Emphasis added.)</w:t>
      </w:r>
    </w:p>
  </w:footnote>
  <w:footnote w:id="34">
    <w:p w:rsidR="00F23BBF" w:rsidRDefault="00F23BBF" w:rsidP="00E5574F">
      <w:pPr>
        <w:pStyle w:val="FootnoteText"/>
      </w:pPr>
      <w:r>
        <w:rPr>
          <w:rStyle w:val="FootnoteReference"/>
        </w:rPr>
        <w:footnoteRef/>
      </w:r>
      <w:r>
        <w:t xml:space="preserve"> </w:t>
      </w:r>
      <w:proofErr w:type="gramStart"/>
      <w:r>
        <w:t>Steward, Exh.</w:t>
      </w:r>
      <w:proofErr w:type="gramEnd"/>
      <w:r>
        <w:t xml:space="preserve"> No. </w:t>
      </w:r>
      <w:proofErr w:type="spellStart"/>
      <w:r>
        <w:t>JRS-7T</w:t>
      </w:r>
      <w:proofErr w:type="spellEnd"/>
      <w:r>
        <w:t xml:space="preserve"> at 5:8-11 states that the BPA agreement, which provided cost data, expired in 2011 so the Company began using a load factor, which is based on customer usage.  See Exhibit No. </w:t>
      </w:r>
      <w:proofErr w:type="spellStart"/>
      <w:proofErr w:type="gramStart"/>
      <w:r>
        <w:t>CCP</w:t>
      </w:r>
      <w:proofErr w:type="spellEnd"/>
      <w:r>
        <w:t>-4 at 1.</w:t>
      </w:r>
      <w:proofErr w:type="gramEnd"/>
    </w:p>
  </w:footnote>
  <w:footnote w:id="35">
    <w:p w:rsidR="00F23BBF" w:rsidRDefault="00F23BBF" w:rsidP="00AB0439">
      <w:pPr>
        <w:pStyle w:val="FootnoteText"/>
      </w:pPr>
      <w:r>
        <w:rPr>
          <w:rStyle w:val="FootnoteReference"/>
        </w:rPr>
        <w:footnoteRef/>
      </w:r>
      <w:r>
        <w:t xml:space="preserve"> </w:t>
      </w:r>
      <w:r>
        <w:fldChar w:fldCharType="begin"/>
      </w:r>
      <w:r>
        <w:instrText xml:space="preserve"> ADDIN BA \xc &lt;@rec&gt; \xl 24 \s KBKQKB000165 \l "</w:instrText>
      </w:r>
      <w:r>
        <w:rPr>
          <w:sz w:val="24"/>
        </w:rPr>
        <w:instrText>Dalley, TR. 283:17–284:3</w:instrText>
      </w:r>
      <w:r>
        <w:instrText xml:space="preserve">" </w:instrText>
      </w:r>
      <w:r>
        <w:fldChar w:fldCharType="end"/>
      </w:r>
      <w:proofErr w:type="gramStart"/>
      <w:r>
        <w:t>PacifiCorp Opening Br. at ¶132.</w:t>
      </w:r>
      <w:proofErr w:type="gramEnd"/>
    </w:p>
  </w:footnote>
  <w:footnote w:id="36">
    <w:p w:rsidR="00F23BBF" w:rsidRDefault="00F23BBF">
      <w:pPr>
        <w:pStyle w:val="FootnoteText"/>
      </w:pPr>
      <w:r>
        <w:rPr>
          <w:rStyle w:val="FootnoteReference"/>
        </w:rPr>
        <w:footnoteRef/>
      </w:r>
      <w:r>
        <w:t xml:space="preserve"> </w:t>
      </w:r>
      <w:proofErr w:type="gramStart"/>
      <w:r>
        <w:t>Staff Initial Br. at ¶109.</w:t>
      </w:r>
      <w:proofErr w:type="gramEnd"/>
    </w:p>
  </w:footnote>
  <w:footnote w:id="37">
    <w:p w:rsidR="00F23BBF" w:rsidRDefault="00F23BBF">
      <w:pPr>
        <w:pStyle w:val="FootnoteText"/>
      </w:pPr>
      <w:r>
        <w:rPr>
          <w:rStyle w:val="FootnoteReference"/>
        </w:rPr>
        <w:footnoteRef/>
      </w:r>
      <w:r>
        <w:t xml:space="preserve"> White, Exh. No. KAW-</w:t>
      </w:r>
      <w:proofErr w:type="spellStart"/>
      <w:r>
        <w:t>1CT</w:t>
      </w:r>
      <w:proofErr w:type="spellEnd"/>
      <w:r>
        <w:t xml:space="preserve"> at 24, Table 1.</w:t>
      </w:r>
    </w:p>
  </w:footnote>
  <w:footnote w:id="38">
    <w:p w:rsidR="00F23BBF" w:rsidRDefault="00F23BBF">
      <w:pPr>
        <w:pStyle w:val="FootnoteText"/>
      </w:pPr>
      <w:r>
        <w:rPr>
          <w:rStyle w:val="FootnoteReference"/>
        </w:rPr>
        <w:footnoteRef/>
      </w:r>
      <w:r>
        <w:t xml:space="preserve"> </w:t>
      </w:r>
      <w:proofErr w:type="gramStart"/>
      <w:r>
        <w:t>PacifiCorp Opening Br. at ¶125.</w:t>
      </w:r>
      <w:proofErr w:type="gramEnd"/>
    </w:p>
  </w:footnote>
  <w:footnote w:id="39">
    <w:p w:rsidR="00F23BBF" w:rsidRDefault="00F23BBF">
      <w:pPr>
        <w:pStyle w:val="FootnoteText"/>
      </w:pPr>
      <w:r>
        <w:rPr>
          <w:rStyle w:val="FootnoteReference"/>
        </w:rPr>
        <w:footnoteRef/>
      </w:r>
      <w:r>
        <w:t xml:space="preserve"> </w:t>
      </w:r>
      <w:proofErr w:type="gramStart"/>
      <w:r>
        <w:t>Staff Initial Br. at ¶¶152-153.</w:t>
      </w:r>
      <w:proofErr w:type="gramEnd"/>
    </w:p>
  </w:footnote>
  <w:footnote w:id="40">
    <w:p w:rsidR="00F23BBF" w:rsidRDefault="00F23BBF">
      <w:pPr>
        <w:pStyle w:val="FootnoteText"/>
      </w:pPr>
      <w:r>
        <w:rPr>
          <w:rStyle w:val="FootnoteReference"/>
        </w:rPr>
        <w:footnoteRef/>
      </w:r>
      <w:r>
        <w:t xml:space="preserve"> Reynolds, Tr. 410:16-20.</w:t>
      </w:r>
    </w:p>
  </w:footnote>
  <w:footnote w:id="41">
    <w:p w:rsidR="00F23BBF" w:rsidRDefault="00F23BBF">
      <w:pPr>
        <w:pStyle w:val="FootnoteText"/>
      </w:pPr>
      <w:r>
        <w:rPr>
          <w:rStyle w:val="FootnoteReference"/>
        </w:rPr>
        <w:footnoteRef/>
      </w:r>
      <w:r>
        <w:t xml:space="preserve"> </w:t>
      </w:r>
      <w:proofErr w:type="gramStart"/>
      <w:r>
        <w:t>Public Counsel Br. at ¶¶34-36.</w:t>
      </w:r>
      <w:proofErr w:type="gramEnd"/>
    </w:p>
  </w:footnote>
  <w:footnote w:id="42">
    <w:p w:rsidR="00F23BBF" w:rsidRDefault="00F23BBF">
      <w:pPr>
        <w:pStyle w:val="FootnoteText"/>
      </w:pPr>
      <w:r>
        <w:rPr>
          <w:rStyle w:val="FootnoteReference"/>
        </w:rPr>
        <w:footnoteRef/>
      </w:r>
      <w:r>
        <w:t xml:space="preserve"> </w:t>
      </w:r>
      <w:proofErr w:type="gramStart"/>
      <w:r>
        <w:t>Public Counsel Br. at ¶25.</w:t>
      </w:r>
      <w:proofErr w:type="gramEnd"/>
    </w:p>
  </w:footnote>
  <w:footnote w:id="43">
    <w:p w:rsidR="00F23BBF" w:rsidRDefault="00F23BBF">
      <w:pPr>
        <w:pStyle w:val="FootnoteText"/>
      </w:pPr>
      <w:r>
        <w:rPr>
          <w:rStyle w:val="FootnoteReference"/>
        </w:rPr>
        <w:footnoteRef/>
      </w:r>
      <w:r>
        <w:t xml:space="preserve"> </w:t>
      </w:r>
      <w:proofErr w:type="gramStart"/>
      <w:r>
        <w:t>PacifiCorp Opening Br. at ¶¶146-147.</w:t>
      </w:r>
      <w:proofErr w:type="gramEnd"/>
    </w:p>
  </w:footnote>
  <w:footnote w:id="44">
    <w:p w:rsidR="00F23BBF" w:rsidRDefault="00F23BBF">
      <w:pPr>
        <w:pStyle w:val="FootnoteText"/>
      </w:pPr>
      <w:r>
        <w:rPr>
          <w:rStyle w:val="FootnoteReference"/>
        </w:rPr>
        <w:footnoteRef/>
      </w:r>
      <w:r>
        <w:t xml:space="preserve"> Adoption of AMA rate base balances in this case does not preclude consideration of an </w:t>
      </w:r>
      <w:proofErr w:type="spellStart"/>
      <w:r>
        <w:t>ERF</w:t>
      </w:r>
      <w:proofErr w:type="spellEnd"/>
      <w:r>
        <w:t xml:space="preserve"> based on </w:t>
      </w:r>
      <w:proofErr w:type="spellStart"/>
      <w:r>
        <w:t>EOP</w:t>
      </w:r>
      <w:proofErr w:type="spellEnd"/>
      <w:r>
        <w:t xml:space="preserve"> accounts.</w:t>
      </w:r>
    </w:p>
  </w:footnote>
  <w:footnote w:id="45">
    <w:p w:rsidR="00F23BBF" w:rsidRDefault="00F23BBF">
      <w:pPr>
        <w:pStyle w:val="FootnoteText"/>
      </w:pPr>
      <w:r>
        <w:rPr>
          <w:rStyle w:val="FootnoteReference"/>
        </w:rPr>
        <w:footnoteRef/>
      </w:r>
      <w:r>
        <w:t xml:space="preserve"> </w:t>
      </w:r>
      <w:proofErr w:type="gramStart"/>
      <w:r>
        <w:t>Staff Initial Br. at ¶¶183-186.</w:t>
      </w:r>
      <w:proofErr w:type="gramEnd"/>
    </w:p>
  </w:footnote>
  <w:footnote w:id="46">
    <w:p w:rsidR="00F23BBF" w:rsidRDefault="00F23BBF">
      <w:pPr>
        <w:pStyle w:val="FootnoteText"/>
      </w:pPr>
      <w:r>
        <w:rPr>
          <w:rStyle w:val="FootnoteReference"/>
        </w:rPr>
        <w:footnoteRef/>
      </w:r>
      <w:r>
        <w:t xml:space="preserve"> </w:t>
      </w:r>
      <w:proofErr w:type="gramStart"/>
      <w:r>
        <w:t>Public Counsel Br. at ¶¶84-86.</w:t>
      </w:r>
      <w:proofErr w:type="gramEnd"/>
      <w:r>
        <w:t xml:space="preserve">  All of Public Counsel’s remaining arguments have been previously addressed and disproven.  </w:t>
      </w:r>
      <w:proofErr w:type="gramStart"/>
      <w:r>
        <w:t>Staff Initial Br. at ¶¶187-190.</w:t>
      </w:r>
      <w:proofErr w:type="gramEnd"/>
    </w:p>
  </w:footnote>
  <w:footnote w:id="47">
    <w:p w:rsidR="00F23BBF" w:rsidRPr="001D212A" w:rsidRDefault="00F23BBF">
      <w:pPr>
        <w:pStyle w:val="FootnoteText"/>
      </w:pPr>
      <w:r>
        <w:rPr>
          <w:rStyle w:val="FootnoteReference"/>
        </w:rPr>
        <w:footnoteRef/>
      </w:r>
      <w:r>
        <w:t xml:space="preserve"> </w:t>
      </w:r>
      <w:proofErr w:type="spellStart"/>
      <w:r w:rsidRPr="001D212A">
        <w:rPr>
          <w:rFonts w:cs="Times New Roman"/>
          <w:iCs/>
          <w:color w:val="000000"/>
        </w:rPr>
        <w:t>Stuver</w:t>
      </w:r>
      <w:proofErr w:type="spellEnd"/>
      <w:r w:rsidRPr="001D212A">
        <w:rPr>
          <w:rFonts w:cs="Times New Roman"/>
          <w:iCs/>
          <w:color w:val="000000"/>
        </w:rPr>
        <w:t xml:space="preserve">, Exh. No. </w:t>
      </w:r>
      <w:proofErr w:type="spellStart"/>
      <w:r w:rsidRPr="001D212A">
        <w:rPr>
          <w:rFonts w:cs="Times New Roman"/>
          <w:iCs/>
          <w:color w:val="000000"/>
        </w:rPr>
        <w:t>DKS-3T</w:t>
      </w:r>
      <w:proofErr w:type="spellEnd"/>
      <w:r w:rsidRPr="001D212A">
        <w:rPr>
          <w:rFonts w:cs="Times New Roman"/>
          <w:iCs/>
          <w:color w:val="000000"/>
        </w:rPr>
        <w:t xml:space="preserve"> </w:t>
      </w:r>
      <w:r>
        <w:rPr>
          <w:rFonts w:cs="Times New Roman"/>
          <w:iCs/>
          <w:color w:val="000000"/>
        </w:rPr>
        <w:t xml:space="preserve">at </w:t>
      </w:r>
      <w:r w:rsidRPr="001D212A">
        <w:rPr>
          <w:rFonts w:cs="Times New Roman"/>
          <w:iCs/>
          <w:color w:val="000000"/>
        </w:rPr>
        <w:t>5:4-7</w:t>
      </w:r>
      <w:r>
        <w:rPr>
          <w:rFonts w:cs="Times New Roman"/>
          <w:iCs/>
          <w:color w:val="000000"/>
        </w:rPr>
        <w:t xml:space="preserve"> quoting t</w:t>
      </w:r>
      <w:r w:rsidRPr="001D212A">
        <w:rPr>
          <w:rFonts w:cs="Times New Roman"/>
          <w:iCs/>
          <w:color w:val="000000"/>
        </w:rPr>
        <w:t xml:space="preserve">estimony of Thomas E. </w:t>
      </w:r>
      <w:proofErr w:type="spellStart"/>
      <w:r w:rsidRPr="001D212A">
        <w:rPr>
          <w:rFonts w:cs="Times New Roman"/>
          <w:iCs/>
          <w:color w:val="000000"/>
        </w:rPr>
        <w:t>Schooley</w:t>
      </w:r>
      <w:proofErr w:type="spellEnd"/>
      <w:r w:rsidRPr="001D212A">
        <w:rPr>
          <w:rFonts w:cs="Times New Roman"/>
          <w:iCs/>
          <w:color w:val="000000"/>
        </w:rPr>
        <w:t xml:space="preserve">, Exh. No. </w:t>
      </w:r>
      <w:proofErr w:type="spellStart"/>
      <w:r w:rsidRPr="001D212A">
        <w:rPr>
          <w:rFonts w:cs="Times New Roman"/>
          <w:iCs/>
          <w:color w:val="000000"/>
        </w:rPr>
        <w:t>TES-1T</w:t>
      </w:r>
      <w:proofErr w:type="spellEnd"/>
      <w:r w:rsidRPr="001D212A">
        <w:rPr>
          <w:rFonts w:cs="Times New Roman"/>
          <w:iCs/>
          <w:color w:val="000000"/>
        </w:rPr>
        <w:t xml:space="preserve"> at 13, Docket </w:t>
      </w:r>
      <w:proofErr w:type="spellStart"/>
      <w:r w:rsidRPr="001D212A">
        <w:rPr>
          <w:rFonts w:cs="Times New Roman"/>
          <w:iCs/>
          <w:color w:val="000000"/>
        </w:rPr>
        <w:t>UE</w:t>
      </w:r>
      <w:proofErr w:type="spellEnd"/>
      <w:r w:rsidRPr="001D212A">
        <w:rPr>
          <w:rFonts w:cs="Times New Roman"/>
          <w:iCs/>
          <w:color w:val="000000"/>
        </w:rPr>
        <w:t>-100749 (October 5, 2010; revised October 8, 2010).]</w:t>
      </w:r>
      <w:r w:rsidRPr="001D212A">
        <w:rPr>
          <w:rFonts w:cs="Times New Roman"/>
          <w:color w:val="000000"/>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D6A97A"/>
    <w:lvl w:ilvl="0">
      <w:start w:val="1"/>
      <w:numFmt w:val="decimal"/>
      <w:lvlText w:val="%1."/>
      <w:lvlJc w:val="left"/>
      <w:pPr>
        <w:tabs>
          <w:tab w:val="num" w:pos="1800"/>
        </w:tabs>
        <w:ind w:left="1800" w:hanging="360"/>
      </w:pPr>
    </w:lvl>
  </w:abstractNum>
  <w:abstractNum w:abstractNumId="1">
    <w:nsid w:val="FFFFFF7D"/>
    <w:multiLevelType w:val="singleLevel"/>
    <w:tmpl w:val="F7725F80"/>
    <w:lvl w:ilvl="0">
      <w:start w:val="1"/>
      <w:numFmt w:val="decimal"/>
      <w:lvlText w:val="%1."/>
      <w:lvlJc w:val="left"/>
      <w:pPr>
        <w:tabs>
          <w:tab w:val="num" w:pos="1440"/>
        </w:tabs>
        <w:ind w:left="1440" w:hanging="360"/>
      </w:pPr>
    </w:lvl>
  </w:abstractNum>
  <w:abstractNum w:abstractNumId="2">
    <w:nsid w:val="FFFFFF7E"/>
    <w:multiLevelType w:val="singleLevel"/>
    <w:tmpl w:val="93827030"/>
    <w:lvl w:ilvl="0">
      <w:start w:val="1"/>
      <w:numFmt w:val="decimal"/>
      <w:lvlText w:val="%1."/>
      <w:lvlJc w:val="left"/>
      <w:pPr>
        <w:tabs>
          <w:tab w:val="num" w:pos="1080"/>
        </w:tabs>
        <w:ind w:left="1080" w:hanging="360"/>
      </w:pPr>
    </w:lvl>
  </w:abstractNum>
  <w:abstractNum w:abstractNumId="3">
    <w:nsid w:val="FFFFFF7F"/>
    <w:multiLevelType w:val="singleLevel"/>
    <w:tmpl w:val="ECB2EF64"/>
    <w:lvl w:ilvl="0">
      <w:start w:val="1"/>
      <w:numFmt w:val="decimal"/>
      <w:lvlText w:val="%1."/>
      <w:lvlJc w:val="left"/>
      <w:pPr>
        <w:tabs>
          <w:tab w:val="num" w:pos="720"/>
        </w:tabs>
        <w:ind w:left="720" w:hanging="360"/>
      </w:pPr>
    </w:lvl>
  </w:abstractNum>
  <w:abstractNum w:abstractNumId="4">
    <w:nsid w:val="FFFFFF80"/>
    <w:multiLevelType w:val="singleLevel"/>
    <w:tmpl w:val="87E610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7898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28C0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BCB4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784E86A"/>
    <w:lvl w:ilvl="0">
      <w:start w:val="1"/>
      <w:numFmt w:val="decimal"/>
      <w:lvlText w:val="%1."/>
      <w:lvlJc w:val="left"/>
      <w:pPr>
        <w:tabs>
          <w:tab w:val="num" w:pos="360"/>
        </w:tabs>
        <w:ind w:left="360" w:hanging="360"/>
      </w:pPr>
    </w:lvl>
  </w:abstractNum>
  <w:abstractNum w:abstractNumId="9">
    <w:nsid w:val="FFFFFF89"/>
    <w:multiLevelType w:val="singleLevel"/>
    <w:tmpl w:val="D122AC78"/>
    <w:lvl w:ilvl="0">
      <w:start w:val="1"/>
      <w:numFmt w:val="bullet"/>
      <w:lvlText w:val=""/>
      <w:lvlJc w:val="left"/>
      <w:pPr>
        <w:tabs>
          <w:tab w:val="num" w:pos="360"/>
        </w:tabs>
        <w:ind w:left="360" w:hanging="360"/>
      </w:pPr>
      <w:rPr>
        <w:rFonts w:ascii="Symbol" w:hAnsi="Symbol" w:hint="default"/>
      </w:rPr>
    </w:lvl>
  </w:abstractNum>
  <w:abstractNum w:abstractNumId="10">
    <w:nsid w:val="012B76D3"/>
    <w:multiLevelType w:val="hybridMultilevel"/>
    <w:tmpl w:val="9196B234"/>
    <w:lvl w:ilvl="0" w:tplc="734E0BD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10F0E89"/>
    <w:multiLevelType w:val="hybridMultilevel"/>
    <w:tmpl w:val="183AC526"/>
    <w:lvl w:ilvl="0" w:tplc="FAD0C446">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3B4194"/>
    <w:multiLevelType w:val="hybridMultilevel"/>
    <w:tmpl w:val="0ED4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350C8"/>
    <w:multiLevelType w:val="hybridMultilevel"/>
    <w:tmpl w:val="AD2A9260"/>
    <w:lvl w:ilvl="0" w:tplc="734E0BD8">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2309BA"/>
    <w:multiLevelType w:val="hybridMultilevel"/>
    <w:tmpl w:val="902ED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42C7F6C"/>
    <w:multiLevelType w:val="hybridMultilevel"/>
    <w:tmpl w:val="2832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71696D"/>
    <w:multiLevelType w:val="hybridMultilevel"/>
    <w:tmpl w:val="856ABCC6"/>
    <w:lvl w:ilvl="0" w:tplc="734E0BD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D11A9"/>
    <w:multiLevelType w:val="hybridMultilevel"/>
    <w:tmpl w:val="BDCA7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6606F4"/>
    <w:multiLevelType w:val="hybridMultilevel"/>
    <w:tmpl w:val="B34A917A"/>
    <w:lvl w:ilvl="0" w:tplc="734E0BD8">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4"/>
  </w:num>
  <w:num w:numId="3">
    <w:abstractNumId w:val="17"/>
  </w:num>
  <w:num w:numId="4">
    <w:abstractNumId w:val="12"/>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18"/>
  </w:num>
  <w:num w:numId="16">
    <w:abstractNumId w:val="0"/>
  </w:num>
  <w:num w:numId="17">
    <w:abstractNumId w:val="10"/>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C1"/>
    <w:rsid w:val="00017DED"/>
    <w:rsid w:val="00051107"/>
    <w:rsid w:val="00055923"/>
    <w:rsid w:val="00061DE7"/>
    <w:rsid w:val="000A2DC2"/>
    <w:rsid w:val="000A6B52"/>
    <w:rsid w:val="000C7B18"/>
    <w:rsid w:val="000D530C"/>
    <w:rsid w:val="00104890"/>
    <w:rsid w:val="00142D66"/>
    <w:rsid w:val="00151FB5"/>
    <w:rsid w:val="00180353"/>
    <w:rsid w:val="001B210D"/>
    <w:rsid w:val="001C1E8C"/>
    <w:rsid w:val="001C7832"/>
    <w:rsid w:val="001D212A"/>
    <w:rsid w:val="001E2C72"/>
    <w:rsid w:val="001F2A1C"/>
    <w:rsid w:val="002277B1"/>
    <w:rsid w:val="002323E8"/>
    <w:rsid w:val="00242468"/>
    <w:rsid w:val="00245110"/>
    <w:rsid w:val="00250FFE"/>
    <w:rsid w:val="002A7211"/>
    <w:rsid w:val="002D31A9"/>
    <w:rsid w:val="002E1BC1"/>
    <w:rsid w:val="002F1F16"/>
    <w:rsid w:val="00352B53"/>
    <w:rsid w:val="00371428"/>
    <w:rsid w:val="003D7236"/>
    <w:rsid w:val="00416C39"/>
    <w:rsid w:val="0043017A"/>
    <w:rsid w:val="00442773"/>
    <w:rsid w:val="0047632A"/>
    <w:rsid w:val="004B0B66"/>
    <w:rsid w:val="004C43C3"/>
    <w:rsid w:val="004E5443"/>
    <w:rsid w:val="004E5E0E"/>
    <w:rsid w:val="0050599E"/>
    <w:rsid w:val="00536396"/>
    <w:rsid w:val="00580AB3"/>
    <w:rsid w:val="0059087A"/>
    <w:rsid w:val="00595052"/>
    <w:rsid w:val="00595813"/>
    <w:rsid w:val="005A064A"/>
    <w:rsid w:val="005A47E7"/>
    <w:rsid w:val="005C038C"/>
    <w:rsid w:val="00620812"/>
    <w:rsid w:val="0062510A"/>
    <w:rsid w:val="006372D8"/>
    <w:rsid w:val="00650EEE"/>
    <w:rsid w:val="00691D5E"/>
    <w:rsid w:val="0069424B"/>
    <w:rsid w:val="006C5DEF"/>
    <w:rsid w:val="006F7D6F"/>
    <w:rsid w:val="00710E3D"/>
    <w:rsid w:val="0073032E"/>
    <w:rsid w:val="0076386F"/>
    <w:rsid w:val="007A6C28"/>
    <w:rsid w:val="007B0159"/>
    <w:rsid w:val="007B1A61"/>
    <w:rsid w:val="007B763E"/>
    <w:rsid w:val="007E2E9E"/>
    <w:rsid w:val="007E56BC"/>
    <w:rsid w:val="007F7936"/>
    <w:rsid w:val="00801D71"/>
    <w:rsid w:val="008044BE"/>
    <w:rsid w:val="00826F77"/>
    <w:rsid w:val="008504C8"/>
    <w:rsid w:val="00861ACA"/>
    <w:rsid w:val="00893354"/>
    <w:rsid w:val="00895428"/>
    <w:rsid w:val="008B316F"/>
    <w:rsid w:val="008D7C32"/>
    <w:rsid w:val="008E0BF8"/>
    <w:rsid w:val="008F63E0"/>
    <w:rsid w:val="00906D7F"/>
    <w:rsid w:val="00913D8B"/>
    <w:rsid w:val="009158F0"/>
    <w:rsid w:val="00923F66"/>
    <w:rsid w:val="009556D3"/>
    <w:rsid w:val="0096132B"/>
    <w:rsid w:val="00962839"/>
    <w:rsid w:val="00981631"/>
    <w:rsid w:val="009D2AA7"/>
    <w:rsid w:val="009E5FE8"/>
    <w:rsid w:val="009E6BE6"/>
    <w:rsid w:val="00A0009F"/>
    <w:rsid w:val="00A26575"/>
    <w:rsid w:val="00A27884"/>
    <w:rsid w:val="00A40FFD"/>
    <w:rsid w:val="00A5036F"/>
    <w:rsid w:val="00A5191A"/>
    <w:rsid w:val="00AB0439"/>
    <w:rsid w:val="00AC252D"/>
    <w:rsid w:val="00AC67A6"/>
    <w:rsid w:val="00B0052F"/>
    <w:rsid w:val="00B30727"/>
    <w:rsid w:val="00B374AF"/>
    <w:rsid w:val="00B55906"/>
    <w:rsid w:val="00B57D13"/>
    <w:rsid w:val="00B86096"/>
    <w:rsid w:val="00BF4198"/>
    <w:rsid w:val="00C06D59"/>
    <w:rsid w:val="00C141D8"/>
    <w:rsid w:val="00C22E3D"/>
    <w:rsid w:val="00C4523F"/>
    <w:rsid w:val="00C5696E"/>
    <w:rsid w:val="00C74262"/>
    <w:rsid w:val="00C75824"/>
    <w:rsid w:val="00C84B7F"/>
    <w:rsid w:val="00CA1B66"/>
    <w:rsid w:val="00CD4FE0"/>
    <w:rsid w:val="00CF2AFB"/>
    <w:rsid w:val="00CF48F8"/>
    <w:rsid w:val="00CF49EB"/>
    <w:rsid w:val="00CF5DC7"/>
    <w:rsid w:val="00D20FE2"/>
    <w:rsid w:val="00D35D6C"/>
    <w:rsid w:val="00D43F93"/>
    <w:rsid w:val="00D455FA"/>
    <w:rsid w:val="00D50D22"/>
    <w:rsid w:val="00D67092"/>
    <w:rsid w:val="00D876CE"/>
    <w:rsid w:val="00DC0F77"/>
    <w:rsid w:val="00DC294F"/>
    <w:rsid w:val="00DD72C5"/>
    <w:rsid w:val="00DE21E2"/>
    <w:rsid w:val="00DE271B"/>
    <w:rsid w:val="00E05EF5"/>
    <w:rsid w:val="00E16EF9"/>
    <w:rsid w:val="00E5574F"/>
    <w:rsid w:val="00E60854"/>
    <w:rsid w:val="00E720CA"/>
    <w:rsid w:val="00E758B4"/>
    <w:rsid w:val="00E75FAB"/>
    <w:rsid w:val="00EC5217"/>
    <w:rsid w:val="00F0232F"/>
    <w:rsid w:val="00F23BBF"/>
    <w:rsid w:val="00F700F9"/>
    <w:rsid w:val="00FA364C"/>
    <w:rsid w:val="00FB1CEC"/>
    <w:rsid w:val="00FB3C32"/>
    <w:rsid w:val="00FB77A8"/>
    <w:rsid w:val="00FD2A7F"/>
    <w:rsid w:val="00FD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2E1BC1"/>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2E1BC1"/>
    <w:rPr>
      <w:sz w:val="20"/>
      <w:szCs w:val="20"/>
    </w:rPr>
  </w:style>
  <w:style w:type="character" w:styleId="FootnoteReference">
    <w:name w:val="footnote reference"/>
    <w:basedOn w:val="DefaultParagraphFont"/>
    <w:uiPriority w:val="99"/>
    <w:unhideWhenUsed/>
    <w:rsid w:val="002E1BC1"/>
    <w:rPr>
      <w:vertAlign w:val="superscript"/>
    </w:rPr>
  </w:style>
  <w:style w:type="paragraph" w:styleId="ListParagraph">
    <w:name w:val="List Paragraph"/>
    <w:basedOn w:val="Normal"/>
    <w:uiPriority w:val="34"/>
    <w:qFormat/>
    <w:rsid w:val="00923F66"/>
    <w:pPr>
      <w:spacing w:line="480" w:lineRule="auto"/>
      <w:contextualSpacing/>
    </w:pPr>
    <w:rPr>
      <w:rFonts w:eastAsia="Calibri" w:cs="Times New Roman"/>
    </w:rPr>
  </w:style>
  <w:style w:type="paragraph" w:styleId="BalloonText">
    <w:name w:val="Balloon Text"/>
    <w:basedOn w:val="Normal"/>
    <w:link w:val="BalloonTextChar"/>
    <w:uiPriority w:val="99"/>
    <w:semiHidden/>
    <w:unhideWhenUsed/>
    <w:rsid w:val="00E05EF5"/>
    <w:rPr>
      <w:rFonts w:ascii="Tahoma" w:hAnsi="Tahoma" w:cs="Tahoma"/>
      <w:sz w:val="16"/>
      <w:szCs w:val="16"/>
    </w:rPr>
  </w:style>
  <w:style w:type="character" w:customStyle="1" w:styleId="BalloonTextChar">
    <w:name w:val="Balloon Text Char"/>
    <w:basedOn w:val="DefaultParagraphFont"/>
    <w:link w:val="BalloonText"/>
    <w:uiPriority w:val="99"/>
    <w:semiHidden/>
    <w:rsid w:val="00E05EF5"/>
    <w:rPr>
      <w:rFonts w:ascii="Tahoma" w:hAnsi="Tahoma" w:cs="Tahoma"/>
      <w:sz w:val="16"/>
      <w:szCs w:val="16"/>
    </w:rPr>
  </w:style>
  <w:style w:type="paragraph" w:customStyle="1" w:styleId="Answer-Testimony">
    <w:name w:val="Answer - Testimony"/>
    <w:basedOn w:val="Normal"/>
    <w:link w:val="Answer-TestimonyChar"/>
    <w:qFormat/>
    <w:rsid w:val="004C43C3"/>
    <w:pPr>
      <w:spacing w:line="480" w:lineRule="auto"/>
      <w:ind w:left="720" w:hanging="720"/>
    </w:pPr>
    <w:rPr>
      <w:rFonts w:eastAsia="Times New Roman" w:cs="Times New Roman"/>
    </w:rPr>
  </w:style>
  <w:style w:type="character" w:customStyle="1" w:styleId="Answer-TestimonyChar">
    <w:name w:val="Answer - Testimony Char"/>
    <w:basedOn w:val="DefaultParagraphFont"/>
    <w:link w:val="Answer-Testimony"/>
    <w:rsid w:val="004C43C3"/>
    <w:rPr>
      <w:rFonts w:eastAsia="Times New Roman" w:cs="Times New Roman"/>
      <w:szCs w:val="24"/>
    </w:rPr>
  </w:style>
  <w:style w:type="table" w:styleId="TableGrid">
    <w:name w:val="Table Grid"/>
    <w:basedOn w:val="TableNormal"/>
    <w:uiPriority w:val="59"/>
    <w:rsid w:val="00A5191A"/>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3017A"/>
    <w:rPr>
      <w:sz w:val="16"/>
      <w:szCs w:val="16"/>
    </w:rPr>
  </w:style>
  <w:style w:type="paragraph" w:styleId="CommentText">
    <w:name w:val="annotation text"/>
    <w:basedOn w:val="Normal"/>
    <w:link w:val="CommentTextChar"/>
    <w:uiPriority w:val="99"/>
    <w:semiHidden/>
    <w:unhideWhenUsed/>
    <w:rsid w:val="0043017A"/>
    <w:rPr>
      <w:sz w:val="20"/>
      <w:szCs w:val="20"/>
    </w:rPr>
  </w:style>
  <w:style w:type="character" w:customStyle="1" w:styleId="CommentTextChar">
    <w:name w:val="Comment Text Char"/>
    <w:basedOn w:val="DefaultParagraphFont"/>
    <w:link w:val="CommentText"/>
    <w:uiPriority w:val="99"/>
    <w:semiHidden/>
    <w:rsid w:val="0043017A"/>
    <w:rPr>
      <w:sz w:val="20"/>
      <w:szCs w:val="20"/>
    </w:rPr>
  </w:style>
  <w:style w:type="paragraph" w:styleId="CommentSubject">
    <w:name w:val="annotation subject"/>
    <w:basedOn w:val="CommentText"/>
    <w:next w:val="CommentText"/>
    <w:link w:val="CommentSubjectChar"/>
    <w:uiPriority w:val="99"/>
    <w:semiHidden/>
    <w:unhideWhenUsed/>
    <w:rsid w:val="0043017A"/>
    <w:rPr>
      <w:b/>
      <w:bCs/>
    </w:rPr>
  </w:style>
  <w:style w:type="character" w:customStyle="1" w:styleId="CommentSubjectChar">
    <w:name w:val="Comment Subject Char"/>
    <w:basedOn w:val="CommentTextChar"/>
    <w:link w:val="CommentSubject"/>
    <w:uiPriority w:val="99"/>
    <w:semiHidden/>
    <w:rsid w:val="0043017A"/>
    <w:rPr>
      <w:b/>
      <w:bCs/>
      <w:sz w:val="20"/>
      <w:szCs w:val="20"/>
    </w:rPr>
  </w:style>
  <w:style w:type="paragraph" w:customStyle="1" w:styleId="P25">
    <w:name w:val="P25"/>
    <w:basedOn w:val="Normal"/>
    <w:hidden/>
    <w:rsid w:val="00C141D8"/>
    <w:pPr>
      <w:widowControl w:val="0"/>
      <w:tabs>
        <w:tab w:val="left" w:pos="810"/>
        <w:tab w:val="left" w:pos="1440"/>
      </w:tabs>
      <w:autoSpaceDE w:val="0"/>
      <w:autoSpaceDN w:val="0"/>
      <w:adjustRightInd w:val="0"/>
      <w:spacing w:line="480" w:lineRule="auto"/>
    </w:pPr>
    <w:rPr>
      <w:rFonts w:ascii="Courier" w:eastAsia="Times New Roman" w:hAnsi="Courier" w:cs="Courier"/>
      <w:b/>
      <w:szCs w:val="20"/>
      <w:u w:val="single"/>
    </w:rPr>
  </w:style>
  <w:style w:type="paragraph" w:styleId="Footer">
    <w:name w:val="footer"/>
    <w:basedOn w:val="Normal"/>
    <w:link w:val="FooterChar"/>
    <w:uiPriority w:val="99"/>
    <w:unhideWhenUsed/>
    <w:rsid w:val="00CD4FE0"/>
    <w:pPr>
      <w:tabs>
        <w:tab w:val="center" w:pos="4680"/>
        <w:tab w:val="right" w:pos="9360"/>
      </w:tabs>
    </w:pPr>
  </w:style>
  <w:style w:type="character" w:customStyle="1" w:styleId="FooterChar">
    <w:name w:val="Footer Char"/>
    <w:basedOn w:val="DefaultParagraphFont"/>
    <w:link w:val="Footer"/>
    <w:uiPriority w:val="99"/>
    <w:rsid w:val="00CD4FE0"/>
  </w:style>
  <w:style w:type="character" w:styleId="PageNumber">
    <w:name w:val="page number"/>
    <w:basedOn w:val="DefaultParagraphFont"/>
    <w:rsid w:val="00CD4FE0"/>
  </w:style>
  <w:style w:type="paragraph" w:styleId="Header">
    <w:name w:val="header"/>
    <w:basedOn w:val="Normal"/>
    <w:link w:val="HeaderChar"/>
    <w:uiPriority w:val="99"/>
    <w:unhideWhenUsed/>
    <w:rsid w:val="00CD4FE0"/>
    <w:pPr>
      <w:tabs>
        <w:tab w:val="center" w:pos="4680"/>
        <w:tab w:val="right" w:pos="9360"/>
      </w:tabs>
    </w:pPr>
  </w:style>
  <w:style w:type="character" w:customStyle="1" w:styleId="HeaderChar">
    <w:name w:val="Header Char"/>
    <w:basedOn w:val="DefaultParagraphFont"/>
    <w:link w:val="Header"/>
    <w:uiPriority w:val="99"/>
    <w:rsid w:val="00CD4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unhideWhenUsed/>
    <w:qFormat/>
    <w:rsid w:val="002E1BC1"/>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2E1BC1"/>
    <w:rPr>
      <w:sz w:val="20"/>
      <w:szCs w:val="20"/>
    </w:rPr>
  </w:style>
  <w:style w:type="character" w:styleId="FootnoteReference">
    <w:name w:val="footnote reference"/>
    <w:basedOn w:val="DefaultParagraphFont"/>
    <w:uiPriority w:val="99"/>
    <w:unhideWhenUsed/>
    <w:rsid w:val="002E1BC1"/>
    <w:rPr>
      <w:vertAlign w:val="superscript"/>
    </w:rPr>
  </w:style>
  <w:style w:type="paragraph" w:styleId="ListParagraph">
    <w:name w:val="List Paragraph"/>
    <w:basedOn w:val="Normal"/>
    <w:uiPriority w:val="34"/>
    <w:qFormat/>
    <w:rsid w:val="00923F66"/>
    <w:pPr>
      <w:spacing w:line="480" w:lineRule="auto"/>
      <w:contextualSpacing/>
    </w:pPr>
    <w:rPr>
      <w:rFonts w:eastAsia="Calibri" w:cs="Times New Roman"/>
    </w:rPr>
  </w:style>
  <w:style w:type="paragraph" w:styleId="BalloonText">
    <w:name w:val="Balloon Text"/>
    <w:basedOn w:val="Normal"/>
    <w:link w:val="BalloonTextChar"/>
    <w:uiPriority w:val="99"/>
    <w:semiHidden/>
    <w:unhideWhenUsed/>
    <w:rsid w:val="00E05EF5"/>
    <w:rPr>
      <w:rFonts w:ascii="Tahoma" w:hAnsi="Tahoma" w:cs="Tahoma"/>
      <w:sz w:val="16"/>
      <w:szCs w:val="16"/>
    </w:rPr>
  </w:style>
  <w:style w:type="character" w:customStyle="1" w:styleId="BalloonTextChar">
    <w:name w:val="Balloon Text Char"/>
    <w:basedOn w:val="DefaultParagraphFont"/>
    <w:link w:val="BalloonText"/>
    <w:uiPriority w:val="99"/>
    <w:semiHidden/>
    <w:rsid w:val="00E05EF5"/>
    <w:rPr>
      <w:rFonts w:ascii="Tahoma" w:hAnsi="Tahoma" w:cs="Tahoma"/>
      <w:sz w:val="16"/>
      <w:szCs w:val="16"/>
    </w:rPr>
  </w:style>
  <w:style w:type="paragraph" w:customStyle="1" w:styleId="Answer-Testimony">
    <w:name w:val="Answer - Testimony"/>
    <w:basedOn w:val="Normal"/>
    <w:link w:val="Answer-TestimonyChar"/>
    <w:qFormat/>
    <w:rsid w:val="004C43C3"/>
    <w:pPr>
      <w:spacing w:line="480" w:lineRule="auto"/>
      <w:ind w:left="720" w:hanging="720"/>
    </w:pPr>
    <w:rPr>
      <w:rFonts w:eastAsia="Times New Roman" w:cs="Times New Roman"/>
    </w:rPr>
  </w:style>
  <w:style w:type="character" w:customStyle="1" w:styleId="Answer-TestimonyChar">
    <w:name w:val="Answer - Testimony Char"/>
    <w:basedOn w:val="DefaultParagraphFont"/>
    <w:link w:val="Answer-Testimony"/>
    <w:rsid w:val="004C43C3"/>
    <w:rPr>
      <w:rFonts w:eastAsia="Times New Roman" w:cs="Times New Roman"/>
      <w:szCs w:val="24"/>
    </w:rPr>
  </w:style>
  <w:style w:type="table" w:styleId="TableGrid">
    <w:name w:val="Table Grid"/>
    <w:basedOn w:val="TableNormal"/>
    <w:uiPriority w:val="59"/>
    <w:rsid w:val="00A5191A"/>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3017A"/>
    <w:rPr>
      <w:sz w:val="16"/>
      <w:szCs w:val="16"/>
    </w:rPr>
  </w:style>
  <w:style w:type="paragraph" w:styleId="CommentText">
    <w:name w:val="annotation text"/>
    <w:basedOn w:val="Normal"/>
    <w:link w:val="CommentTextChar"/>
    <w:uiPriority w:val="99"/>
    <w:semiHidden/>
    <w:unhideWhenUsed/>
    <w:rsid w:val="0043017A"/>
    <w:rPr>
      <w:sz w:val="20"/>
      <w:szCs w:val="20"/>
    </w:rPr>
  </w:style>
  <w:style w:type="character" w:customStyle="1" w:styleId="CommentTextChar">
    <w:name w:val="Comment Text Char"/>
    <w:basedOn w:val="DefaultParagraphFont"/>
    <w:link w:val="CommentText"/>
    <w:uiPriority w:val="99"/>
    <w:semiHidden/>
    <w:rsid w:val="0043017A"/>
    <w:rPr>
      <w:sz w:val="20"/>
      <w:szCs w:val="20"/>
    </w:rPr>
  </w:style>
  <w:style w:type="paragraph" w:styleId="CommentSubject">
    <w:name w:val="annotation subject"/>
    <w:basedOn w:val="CommentText"/>
    <w:next w:val="CommentText"/>
    <w:link w:val="CommentSubjectChar"/>
    <w:uiPriority w:val="99"/>
    <w:semiHidden/>
    <w:unhideWhenUsed/>
    <w:rsid w:val="0043017A"/>
    <w:rPr>
      <w:b/>
      <w:bCs/>
    </w:rPr>
  </w:style>
  <w:style w:type="character" w:customStyle="1" w:styleId="CommentSubjectChar">
    <w:name w:val="Comment Subject Char"/>
    <w:basedOn w:val="CommentTextChar"/>
    <w:link w:val="CommentSubject"/>
    <w:uiPriority w:val="99"/>
    <w:semiHidden/>
    <w:rsid w:val="0043017A"/>
    <w:rPr>
      <w:b/>
      <w:bCs/>
      <w:sz w:val="20"/>
      <w:szCs w:val="20"/>
    </w:rPr>
  </w:style>
  <w:style w:type="paragraph" w:customStyle="1" w:styleId="P25">
    <w:name w:val="P25"/>
    <w:basedOn w:val="Normal"/>
    <w:hidden/>
    <w:rsid w:val="00C141D8"/>
    <w:pPr>
      <w:widowControl w:val="0"/>
      <w:tabs>
        <w:tab w:val="left" w:pos="810"/>
        <w:tab w:val="left" w:pos="1440"/>
      </w:tabs>
      <w:autoSpaceDE w:val="0"/>
      <w:autoSpaceDN w:val="0"/>
      <w:adjustRightInd w:val="0"/>
      <w:spacing w:line="480" w:lineRule="auto"/>
    </w:pPr>
    <w:rPr>
      <w:rFonts w:ascii="Courier" w:eastAsia="Times New Roman" w:hAnsi="Courier" w:cs="Courier"/>
      <w:b/>
      <w:szCs w:val="20"/>
      <w:u w:val="single"/>
    </w:rPr>
  </w:style>
  <w:style w:type="paragraph" w:styleId="Footer">
    <w:name w:val="footer"/>
    <w:basedOn w:val="Normal"/>
    <w:link w:val="FooterChar"/>
    <w:uiPriority w:val="99"/>
    <w:unhideWhenUsed/>
    <w:rsid w:val="00CD4FE0"/>
    <w:pPr>
      <w:tabs>
        <w:tab w:val="center" w:pos="4680"/>
        <w:tab w:val="right" w:pos="9360"/>
      </w:tabs>
    </w:pPr>
  </w:style>
  <w:style w:type="character" w:customStyle="1" w:styleId="FooterChar">
    <w:name w:val="Footer Char"/>
    <w:basedOn w:val="DefaultParagraphFont"/>
    <w:link w:val="Footer"/>
    <w:uiPriority w:val="99"/>
    <w:rsid w:val="00CD4FE0"/>
  </w:style>
  <w:style w:type="character" w:styleId="PageNumber">
    <w:name w:val="page number"/>
    <w:basedOn w:val="DefaultParagraphFont"/>
    <w:rsid w:val="00CD4FE0"/>
  </w:style>
  <w:style w:type="paragraph" w:styleId="Header">
    <w:name w:val="header"/>
    <w:basedOn w:val="Normal"/>
    <w:link w:val="HeaderChar"/>
    <w:uiPriority w:val="99"/>
    <w:unhideWhenUsed/>
    <w:rsid w:val="00CD4FE0"/>
    <w:pPr>
      <w:tabs>
        <w:tab w:val="center" w:pos="4680"/>
        <w:tab w:val="right" w:pos="9360"/>
      </w:tabs>
    </w:pPr>
  </w:style>
  <w:style w:type="character" w:customStyle="1" w:styleId="HeaderChar">
    <w:name w:val="Header Char"/>
    <w:basedOn w:val="DefaultParagraphFont"/>
    <w:link w:val="Header"/>
    <w:uiPriority w:val="99"/>
    <w:rsid w:val="00CD4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9070">
      <w:bodyDiv w:val="1"/>
      <w:marLeft w:val="0"/>
      <w:marRight w:val="0"/>
      <w:marTop w:val="0"/>
      <w:marBottom w:val="0"/>
      <w:divBdr>
        <w:top w:val="none" w:sz="0" w:space="0" w:color="auto"/>
        <w:left w:val="none" w:sz="0" w:space="0" w:color="auto"/>
        <w:bottom w:val="none" w:sz="0" w:space="0" w:color="auto"/>
        <w:right w:val="none" w:sz="0" w:space="0" w:color="auto"/>
      </w:divBdr>
    </w:div>
    <w:div w:id="42041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2013-10-11T07:00:00+00:00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B19A0-46A8-47F7-AE9D-1EA17D7D59EF}"/>
</file>

<file path=customXml/itemProps2.xml><?xml version="1.0" encoding="utf-8"?>
<ds:datastoreItem xmlns:ds="http://schemas.openxmlformats.org/officeDocument/2006/customXml" ds:itemID="{52291526-8EBE-4747-955C-6BAEF8F9C81C}"/>
</file>

<file path=customXml/itemProps3.xml><?xml version="1.0" encoding="utf-8"?>
<ds:datastoreItem xmlns:ds="http://schemas.openxmlformats.org/officeDocument/2006/customXml" ds:itemID="{009980A3-3374-44DD-82F9-76D7DC5DEAC6}"/>
</file>

<file path=customXml/itemProps4.xml><?xml version="1.0" encoding="utf-8"?>
<ds:datastoreItem xmlns:ds="http://schemas.openxmlformats.org/officeDocument/2006/customXml" ds:itemID="{C3DB9067-0D75-4765-A2FC-793F6A14BC32}"/>
</file>

<file path=customXml/itemProps5.xml><?xml version="1.0" encoding="utf-8"?>
<ds:datastoreItem xmlns:ds="http://schemas.openxmlformats.org/officeDocument/2006/customXml" ds:itemID="{B3D4A29B-57D6-4116-9171-C1A3AC367E17}"/>
</file>

<file path=docProps/app.xml><?xml version="1.0" encoding="utf-8"?>
<Properties xmlns="http://schemas.openxmlformats.org/officeDocument/2006/extended-properties" xmlns:vt="http://schemas.openxmlformats.org/officeDocument/2006/docPropsVTypes">
  <Template>Normal</Template>
  <TotalTime>4</TotalTime>
  <Pages>17</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Krista Gross (UTC)</cp:lastModifiedBy>
  <cp:revision>4</cp:revision>
  <cp:lastPrinted>2013-10-09T21:08:00Z</cp:lastPrinted>
  <dcterms:created xsi:type="dcterms:W3CDTF">2013-10-11T15:27:00Z</dcterms:created>
  <dcterms:modified xsi:type="dcterms:W3CDTF">2013-10-11T15:45:00Z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