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Pr="00360BD3" w:rsidRDefault="0015150E" w:rsidP="0015150E">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15150E" w:rsidRPr="00360BD3" w:rsidRDefault="0015150E" w:rsidP="0015150E">
      <w:pPr>
        <w:tabs>
          <w:tab w:val="left" w:pos="1260"/>
        </w:tabs>
        <w:spacing w:line="480" w:lineRule="auto"/>
      </w:pPr>
    </w:p>
    <w:p w:rsidR="0015150E" w:rsidRPr="00831CC0" w:rsidRDefault="0015150E" w:rsidP="0015150E">
      <w:pPr>
        <w:tabs>
          <w:tab w:val="left" w:pos="1260"/>
        </w:tabs>
        <w:jc w:val="center"/>
      </w:pPr>
      <w:r w:rsidRPr="00360BD3">
        <w:t xml:space="preserve">DOCKET NO. </w:t>
      </w:r>
      <w:r>
        <w:t>UE-1</w:t>
      </w:r>
      <w:r w:rsidR="00F506D7">
        <w:t>5</w:t>
      </w:r>
      <w:r w:rsidRPr="00831CC0">
        <w:t>______</w:t>
      </w:r>
    </w:p>
    <w:p w:rsidR="0015150E" w:rsidRPr="00831CC0" w:rsidRDefault="0015150E" w:rsidP="0015150E">
      <w:pPr>
        <w:tabs>
          <w:tab w:val="left" w:pos="1260"/>
        </w:tabs>
        <w:jc w:val="center"/>
      </w:pPr>
    </w:p>
    <w:p w:rsidR="0015150E" w:rsidRPr="00D138B2" w:rsidRDefault="0015150E" w:rsidP="0015150E">
      <w:pPr>
        <w:tabs>
          <w:tab w:val="left" w:pos="1260"/>
        </w:tabs>
        <w:jc w:val="center"/>
      </w:pPr>
      <w:r w:rsidRPr="00360BD3">
        <w:t xml:space="preserve">DOCKET NO. </w:t>
      </w:r>
      <w:r w:rsidR="00F506D7">
        <w:t>UG-15</w:t>
      </w:r>
      <w:r w:rsidRPr="00D138B2">
        <w:t>______</w:t>
      </w:r>
    </w:p>
    <w:p w:rsidR="0015150E" w:rsidRDefault="0015150E" w:rsidP="0015150E">
      <w:pPr>
        <w:tabs>
          <w:tab w:val="left" w:pos="1260"/>
        </w:tabs>
        <w:spacing w:line="480" w:lineRule="auto"/>
        <w:jc w:val="center"/>
      </w:pPr>
    </w:p>
    <w:p w:rsidR="0015150E" w:rsidRPr="00360BD3" w:rsidRDefault="0015150E" w:rsidP="0015150E">
      <w:pPr>
        <w:tabs>
          <w:tab w:val="left" w:pos="1260"/>
        </w:tabs>
        <w:spacing w:line="480" w:lineRule="auto"/>
        <w:jc w:val="center"/>
      </w:pPr>
      <w:r w:rsidRPr="00360BD3">
        <w:t xml:space="preserve">DIRECT TESTIMONY OF </w:t>
      </w:r>
    </w:p>
    <w:p w:rsidR="0015150E" w:rsidRPr="00360BD3" w:rsidRDefault="007268A4" w:rsidP="0015150E">
      <w:pPr>
        <w:tabs>
          <w:tab w:val="left" w:pos="1260"/>
        </w:tabs>
        <w:spacing w:line="480" w:lineRule="auto"/>
        <w:jc w:val="center"/>
      </w:pPr>
      <w:r>
        <w:t xml:space="preserve">DR. </w:t>
      </w:r>
      <w:r w:rsidR="00F506D7">
        <w:t>GRANT D.</w:t>
      </w:r>
      <w:r w:rsidR="001C654A">
        <w:t xml:space="preserve"> </w:t>
      </w:r>
      <w:r w:rsidR="00F506D7">
        <w:t>FORSYTH</w:t>
      </w:r>
    </w:p>
    <w:p w:rsidR="0015150E" w:rsidRDefault="0015150E" w:rsidP="0015150E">
      <w:pPr>
        <w:jc w:val="center"/>
        <w:sectPr w:rsidR="0015150E" w:rsidSect="000235B9">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BE4BF8" w:rsidRPr="00235414" w:rsidRDefault="00BE4BF8" w:rsidP="00E009D0">
      <w:pPr>
        <w:pStyle w:val="Heading5"/>
        <w:rPr>
          <w:u w:val="single"/>
        </w:rPr>
      </w:pPr>
      <w:r w:rsidRPr="00235414">
        <w:rPr>
          <w:rStyle w:val="PageNumber"/>
          <w:u w:val="single"/>
        </w:rPr>
        <w:lastRenderedPageBreak/>
        <w:t>I.  INTRODUCTION</w:t>
      </w:r>
    </w:p>
    <w:p w:rsidR="00BE4BF8" w:rsidRDefault="00BE4BF8" w:rsidP="00BE4BF8">
      <w:pPr>
        <w:pStyle w:val="BodyTextIndent3"/>
        <w:tabs>
          <w:tab w:val="clear" w:pos="1260"/>
          <w:tab w:val="left" w:pos="720"/>
        </w:tabs>
      </w:pPr>
      <w:r>
        <w:t>Q.</w:t>
      </w:r>
      <w:r>
        <w:tab/>
        <w:t>Please state your name, employer and business address.</w:t>
      </w:r>
    </w:p>
    <w:p w:rsidR="00BE4BF8" w:rsidRDefault="007F4D4B" w:rsidP="00BE4BF8">
      <w:pPr>
        <w:pStyle w:val="BodyTextIndent"/>
        <w:tabs>
          <w:tab w:val="left" w:pos="720"/>
        </w:tabs>
        <w:spacing w:after="0" w:line="480" w:lineRule="auto"/>
        <w:ind w:left="0" w:firstLine="720"/>
        <w:jc w:val="both"/>
      </w:pPr>
      <w:r>
        <w:t>A.</w:t>
      </w:r>
      <w:r>
        <w:tab/>
        <w:t xml:space="preserve">My name is </w:t>
      </w:r>
      <w:r w:rsidR="007268A4">
        <w:t xml:space="preserve">Dr. </w:t>
      </w:r>
      <w:r w:rsidR="00E7692C">
        <w:t>Grant D. Forsyth</w:t>
      </w:r>
      <w:r>
        <w:t>.</w:t>
      </w:r>
      <w:r w:rsidR="00BE4BF8">
        <w:t xml:space="preserve"> I am employed by Avista Corporation as </w:t>
      </w:r>
      <w:r w:rsidR="00350D70">
        <w:t>its</w:t>
      </w:r>
      <w:r w:rsidR="00BE4BF8">
        <w:t xml:space="preserve"> </w:t>
      </w:r>
      <w:r w:rsidR="00E7692C">
        <w:t>Chief Economist</w:t>
      </w:r>
      <w:r>
        <w:t xml:space="preserve">. </w:t>
      </w:r>
      <w:r w:rsidR="00FA031E">
        <w:t xml:space="preserve"> </w:t>
      </w:r>
      <w:r w:rsidR="00BE4BF8">
        <w:t>My business address is 1411 E. Mission Avenue, Spokane, Washington.</w:t>
      </w:r>
    </w:p>
    <w:p w:rsidR="00BE4BF8" w:rsidRDefault="00BE4BF8" w:rsidP="00BE4BF8">
      <w:pPr>
        <w:tabs>
          <w:tab w:val="left" w:pos="720"/>
        </w:tabs>
        <w:spacing w:line="480" w:lineRule="auto"/>
        <w:ind w:firstLine="720"/>
        <w:jc w:val="both"/>
        <w:rPr>
          <w:b/>
          <w:bCs/>
        </w:rPr>
      </w:pPr>
      <w:r>
        <w:rPr>
          <w:b/>
          <w:bCs/>
        </w:rPr>
        <w:t>Q.</w:t>
      </w:r>
      <w:r>
        <w:rPr>
          <w:b/>
          <w:bCs/>
        </w:rPr>
        <w:tab/>
      </w:r>
      <w:r w:rsidR="000D21E6">
        <w:rPr>
          <w:b/>
        </w:rPr>
        <w:t>D</w:t>
      </w:r>
      <w:r>
        <w:rPr>
          <w:b/>
        </w:rPr>
        <w:t xml:space="preserve">r. </w:t>
      </w:r>
      <w:r w:rsidR="00EB0993">
        <w:rPr>
          <w:b/>
        </w:rPr>
        <w:t>Forsyth</w:t>
      </w:r>
      <w:r>
        <w:rPr>
          <w:b/>
        </w:rPr>
        <w:t>, please provide information pertaining to your educational background and professional experience.</w:t>
      </w:r>
    </w:p>
    <w:p w:rsidR="00894B10" w:rsidRDefault="00BE4BF8" w:rsidP="00E009D0">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00E7692C">
        <w:rPr>
          <w:snapToGrid w:val="0"/>
        </w:rPr>
        <w:t>Central</w:t>
      </w:r>
      <w:r w:rsidRPr="00131BB7">
        <w:rPr>
          <w:snapToGrid w:val="0"/>
        </w:rPr>
        <w:t xml:space="preserve"> Washington University with a Bachelor of Arts Degree in </w:t>
      </w:r>
      <w:r w:rsidR="00E7692C">
        <w:rPr>
          <w:snapToGrid w:val="0"/>
        </w:rPr>
        <w:t>Economics, the University of Oregon with an MBA in Finance, and Washington State University with a Ph.D. in Economics</w:t>
      </w:r>
      <w:r>
        <w:rPr>
          <w:snapToGrid w:val="0"/>
        </w:rPr>
        <w:t>.</w:t>
      </w:r>
      <w:r w:rsidR="00E7692C">
        <w:rPr>
          <w:snapToGrid w:val="0"/>
        </w:rPr>
        <w:t xml:space="preserve">  Before </w:t>
      </w:r>
      <w:r w:rsidR="009D72D9">
        <w:rPr>
          <w:snapToGrid w:val="0"/>
        </w:rPr>
        <w:t>j</w:t>
      </w:r>
      <w:r w:rsidR="00E7692C">
        <w:rPr>
          <w:snapToGrid w:val="0"/>
        </w:rPr>
        <w:t>oining Avista in April 2012, I was a tenured faculty member in the Department of Economics at Ea</w:t>
      </w:r>
      <w:r w:rsidR="00377A43">
        <w:rPr>
          <w:snapToGrid w:val="0"/>
        </w:rPr>
        <w:t xml:space="preserve">stern Washington University.  In my </w:t>
      </w:r>
      <w:r w:rsidR="00E7692C">
        <w:rPr>
          <w:snapToGrid w:val="0"/>
        </w:rPr>
        <w:t>13-year career</w:t>
      </w:r>
      <w:r w:rsidR="00377A43">
        <w:rPr>
          <w:snapToGrid w:val="0"/>
        </w:rPr>
        <w:t xml:space="preserve"> at EWU, beginning in 1999, I specialized</w:t>
      </w:r>
      <w:r w:rsidR="00E7692C">
        <w:rPr>
          <w:snapToGrid w:val="0"/>
        </w:rPr>
        <w:t xml:space="preserve"> in money and banking, macroeconomics, international finance, and regional economic analysis.  </w:t>
      </w:r>
      <w:r w:rsidR="002A4D2C">
        <w:rPr>
          <w:snapToGrid w:val="0"/>
        </w:rPr>
        <w:t xml:space="preserve">The majority of my academic research </w:t>
      </w:r>
      <w:r w:rsidR="004D23C6">
        <w:rPr>
          <w:snapToGrid w:val="0"/>
        </w:rPr>
        <w:t>used</w:t>
      </w:r>
      <w:r w:rsidR="002A4D2C">
        <w:rPr>
          <w:snapToGrid w:val="0"/>
        </w:rPr>
        <w:t xml:space="preserve"> applied econometrics.  </w:t>
      </w:r>
      <w:r w:rsidR="00E7692C">
        <w:rPr>
          <w:snapToGrid w:val="0"/>
        </w:rPr>
        <w:t xml:space="preserve">Prior to EWU, I worked </w:t>
      </w:r>
      <w:r w:rsidR="00CB3604">
        <w:rPr>
          <w:snapToGrid w:val="0"/>
        </w:rPr>
        <w:t>in the Czech R</w:t>
      </w:r>
      <w:r w:rsidR="00E7692C">
        <w:rPr>
          <w:snapToGrid w:val="0"/>
        </w:rPr>
        <w:t>epublic as an academic economist (1996-1997) and private sector economist</w:t>
      </w:r>
      <w:r w:rsidR="00CB3604">
        <w:rPr>
          <w:snapToGrid w:val="0"/>
        </w:rPr>
        <w:t xml:space="preserve"> (1997-1999)</w:t>
      </w:r>
      <w:r w:rsidR="00E7692C">
        <w:rPr>
          <w:snapToGrid w:val="0"/>
        </w:rPr>
        <w:t xml:space="preserve"> </w:t>
      </w:r>
      <w:r w:rsidR="00CB3604">
        <w:rPr>
          <w:snapToGrid w:val="0"/>
        </w:rPr>
        <w:t xml:space="preserve">in </w:t>
      </w:r>
      <w:r w:rsidR="004D23C6">
        <w:rPr>
          <w:snapToGrid w:val="0"/>
        </w:rPr>
        <w:t xml:space="preserve">the </w:t>
      </w:r>
      <w:r w:rsidR="00E7692C">
        <w:rPr>
          <w:snapToGrid w:val="0"/>
        </w:rPr>
        <w:t>Czech financial industry</w:t>
      </w:r>
      <w:r w:rsidR="002A4D2C">
        <w:rPr>
          <w:snapToGrid w:val="0"/>
        </w:rPr>
        <w:t xml:space="preserve">.  My financial industry </w:t>
      </w:r>
      <w:r w:rsidR="0014470B">
        <w:rPr>
          <w:snapToGrid w:val="0"/>
        </w:rPr>
        <w:t>position was</w:t>
      </w:r>
      <w:r w:rsidR="002A4D2C">
        <w:rPr>
          <w:snapToGrid w:val="0"/>
        </w:rPr>
        <w:t xml:space="preserve"> the Director of Research for</w:t>
      </w:r>
      <w:r w:rsidR="00350D70">
        <w:rPr>
          <w:snapToGrid w:val="0"/>
        </w:rPr>
        <w:t xml:space="preserve"> a</w:t>
      </w:r>
      <w:r w:rsidR="002A4D2C">
        <w:rPr>
          <w:snapToGrid w:val="0"/>
        </w:rPr>
        <w:t xml:space="preserve"> diversified </w:t>
      </w:r>
      <w:r w:rsidR="0014470B">
        <w:rPr>
          <w:snapToGrid w:val="0"/>
        </w:rPr>
        <w:t xml:space="preserve">Czech </w:t>
      </w:r>
      <w:r w:rsidR="002A4D2C">
        <w:rPr>
          <w:snapToGrid w:val="0"/>
        </w:rPr>
        <w:t xml:space="preserve">financial holding company.  In this position I </w:t>
      </w:r>
      <w:r w:rsidR="004D23C6">
        <w:rPr>
          <w:snapToGrid w:val="0"/>
        </w:rPr>
        <w:t>oversaw</w:t>
      </w:r>
      <w:r w:rsidR="002A4D2C">
        <w:rPr>
          <w:snapToGrid w:val="0"/>
        </w:rPr>
        <w:t xml:space="preserve"> a staff doing both equity and macroeconomic research. </w:t>
      </w:r>
    </w:p>
    <w:p w:rsidR="00BE4BF8" w:rsidRDefault="00894B10" w:rsidP="00E009D0">
      <w:pPr>
        <w:tabs>
          <w:tab w:val="left" w:pos="720"/>
        </w:tabs>
        <w:spacing w:line="480" w:lineRule="auto"/>
        <w:ind w:firstLine="720"/>
        <w:jc w:val="both"/>
      </w:pPr>
      <w:r>
        <w:rPr>
          <w:snapToGrid w:val="0"/>
        </w:rPr>
        <w:t>My primary job duties at Avista include (1) generating the customer and load forecasts for electric and natural gas</w:t>
      </w:r>
      <w:r w:rsidR="00350D70">
        <w:rPr>
          <w:snapToGrid w:val="0"/>
        </w:rPr>
        <w:t xml:space="preserve"> operations</w:t>
      </w:r>
      <w:r>
        <w:rPr>
          <w:snapToGrid w:val="0"/>
        </w:rPr>
        <w:t>;</w:t>
      </w:r>
      <w:r w:rsidR="000D21E6">
        <w:rPr>
          <w:rStyle w:val="FootnoteReference"/>
          <w:snapToGrid w:val="0"/>
        </w:rPr>
        <w:footnoteReference w:id="1"/>
      </w:r>
      <w:r>
        <w:rPr>
          <w:snapToGrid w:val="0"/>
        </w:rPr>
        <w:t xml:space="preserve"> (2) generating the peak load forecast for electric</w:t>
      </w:r>
      <w:r w:rsidR="00350D70">
        <w:rPr>
          <w:snapToGrid w:val="0"/>
        </w:rPr>
        <w:t xml:space="preserve"> operations</w:t>
      </w:r>
      <w:r>
        <w:rPr>
          <w:snapToGrid w:val="0"/>
        </w:rPr>
        <w:t xml:space="preserve">; </w:t>
      </w:r>
      <w:r w:rsidR="004D23C6">
        <w:rPr>
          <w:snapToGrid w:val="0"/>
        </w:rPr>
        <w:t xml:space="preserve">and </w:t>
      </w:r>
      <w:r>
        <w:rPr>
          <w:snapToGrid w:val="0"/>
        </w:rPr>
        <w:t>(3)</w:t>
      </w:r>
      <w:r w:rsidR="00EB0993">
        <w:rPr>
          <w:snapToGrid w:val="0"/>
        </w:rPr>
        <w:t xml:space="preserve"> participating in external policy groups.  </w:t>
      </w:r>
      <w:r w:rsidR="00AD54C3">
        <w:rPr>
          <w:snapToGrid w:val="0"/>
        </w:rPr>
        <w:t xml:space="preserve">Current examples of </w:t>
      </w:r>
      <w:r w:rsidR="00AD54C3">
        <w:rPr>
          <w:snapToGrid w:val="0"/>
        </w:rPr>
        <w:lastRenderedPageBreak/>
        <w:t>external policy groups include</w:t>
      </w:r>
      <w:r w:rsidR="00EB0993">
        <w:rPr>
          <w:snapToGrid w:val="0"/>
        </w:rPr>
        <w:t xml:space="preserve"> the Washington Governor’</w:t>
      </w:r>
      <w:r w:rsidR="00D7730C">
        <w:rPr>
          <w:snapToGrid w:val="0"/>
        </w:rPr>
        <w:t xml:space="preserve">s Council of Economic Advisors and Washington’s </w:t>
      </w:r>
      <w:r w:rsidR="00D7730C">
        <w:t>Citizen Commission for Performance Measurement of Tax Preferences.</w:t>
      </w:r>
    </w:p>
    <w:p w:rsidR="00BE4BF8" w:rsidRDefault="00BE4BF8" w:rsidP="00BE4BF8">
      <w:pPr>
        <w:tabs>
          <w:tab w:val="left" w:pos="720"/>
        </w:tabs>
        <w:spacing w:line="480" w:lineRule="auto"/>
        <w:ind w:firstLine="720"/>
        <w:jc w:val="both"/>
        <w:rPr>
          <w:b/>
          <w:bCs/>
        </w:rPr>
      </w:pPr>
      <w:r>
        <w:rPr>
          <w:b/>
          <w:bCs/>
        </w:rPr>
        <w:t>Q.</w:t>
      </w:r>
      <w:r>
        <w:rPr>
          <w:b/>
          <w:bCs/>
        </w:rPr>
        <w:tab/>
        <w:t>Wha</w:t>
      </w:r>
      <w:r w:rsidR="007E35A0">
        <w:rPr>
          <w:b/>
          <w:bCs/>
        </w:rPr>
        <w:t>t is the scope of your testimony</w:t>
      </w:r>
      <w:r>
        <w:rPr>
          <w:b/>
          <w:bCs/>
        </w:rPr>
        <w:t>?</w:t>
      </w:r>
    </w:p>
    <w:p w:rsidR="00377A43" w:rsidRDefault="00BE4BF8" w:rsidP="00EE0655">
      <w:pPr>
        <w:pStyle w:val="BodyText"/>
        <w:tabs>
          <w:tab w:val="left" w:pos="720"/>
        </w:tabs>
        <w:spacing w:line="480" w:lineRule="auto"/>
        <w:ind w:firstLine="720"/>
        <w:jc w:val="both"/>
        <w:rPr>
          <w:b w:val="0"/>
          <w:bCs w:val="0"/>
        </w:rPr>
      </w:pPr>
      <w:r>
        <w:rPr>
          <w:b w:val="0"/>
          <w:bCs w:val="0"/>
        </w:rPr>
        <w:t>A.</w:t>
      </w:r>
      <w:r>
        <w:rPr>
          <w:b w:val="0"/>
          <w:bCs w:val="0"/>
        </w:rPr>
        <w:tab/>
      </w:r>
      <w:r w:rsidR="007E35A0">
        <w:rPr>
          <w:b w:val="0"/>
          <w:bCs w:val="0"/>
        </w:rPr>
        <w:t xml:space="preserve">My testimony will describe the </w:t>
      </w:r>
      <w:r w:rsidR="002A4D2C">
        <w:rPr>
          <w:b w:val="0"/>
          <w:bCs w:val="0"/>
        </w:rPr>
        <w:t xml:space="preserve">methodology used </w:t>
      </w:r>
      <w:r w:rsidR="00377A43">
        <w:rPr>
          <w:b w:val="0"/>
          <w:bCs w:val="0"/>
        </w:rPr>
        <w:t>to determine the annual growth rates</w:t>
      </w:r>
      <w:r w:rsidR="001C654A">
        <w:rPr>
          <w:b w:val="0"/>
          <w:bCs w:val="0"/>
        </w:rPr>
        <w:t xml:space="preserve"> and historical trends</w:t>
      </w:r>
      <w:r w:rsidR="00377A43">
        <w:rPr>
          <w:b w:val="0"/>
          <w:bCs w:val="0"/>
        </w:rPr>
        <w:t xml:space="preserve"> </w:t>
      </w:r>
      <w:r w:rsidR="002A4D2C">
        <w:rPr>
          <w:b w:val="0"/>
          <w:bCs w:val="0"/>
        </w:rPr>
        <w:t xml:space="preserve">for Avista’s </w:t>
      </w:r>
      <w:r w:rsidR="00377A43">
        <w:rPr>
          <w:b w:val="0"/>
          <w:bCs w:val="0"/>
        </w:rPr>
        <w:t xml:space="preserve">expense </w:t>
      </w:r>
      <w:r w:rsidR="005018E9">
        <w:rPr>
          <w:b w:val="0"/>
          <w:bCs w:val="0"/>
        </w:rPr>
        <w:t>and net plant</w:t>
      </w:r>
      <w:r w:rsidR="009D72D9">
        <w:rPr>
          <w:b w:val="0"/>
          <w:bCs w:val="0"/>
        </w:rPr>
        <w:t>-</w:t>
      </w:r>
      <w:r w:rsidR="005018E9">
        <w:rPr>
          <w:b w:val="0"/>
          <w:bCs w:val="0"/>
        </w:rPr>
        <w:t>related expenditure</w:t>
      </w:r>
      <w:r w:rsidR="00377A43">
        <w:rPr>
          <w:b w:val="0"/>
          <w:bCs w:val="0"/>
        </w:rPr>
        <w:t xml:space="preserve"> categories.</w:t>
      </w:r>
      <w:r w:rsidR="005018E9">
        <w:rPr>
          <w:b w:val="0"/>
          <w:bCs w:val="0"/>
        </w:rPr>
        <w:t xml:space="preserve">  For purposes of my testimony, the use of the term “expenditures” will refer to both expense cost categories </w:t>
      </w:r>
      <w:r w:rsidR="00E94B5B">
        <w:rPr>
          <w:b w:val="0"/>
          <w:bCs w:val="0"/>
        </w:rPr>
        <w:t>as well as net plant investment-</w:t>
      </w:r>
      <w:r w:rsidR="005018E9">
        <w:rPr>
          <w:b w:val="0"/>
          <w:bCs w:val="0"/>
        </w:rPr>
        <w:t>related cost categories.</w:t>
      </w:r>
      <w:r w:rsidR="0088412A">
        <w:rPr>
          <w:b w:val="0"/>
          <w:bCs w:val="0"/>
        </w:rPr>
        <w:t xml:space="preserve">  These historical growth rates were used by Ms. Andrews as the starting point in developing appropriate growth rates for her attrition analysis.</w:t>
      </w:r>
    </w:p>
    <w:p w:rsidR="00B63DE7" w:rsidRDefault="00377A43" w:rsidP="00EE0655">
      <w:pPr>
        <w:pStyle w:val="BodyText"/>
        <w:tabs>
          <w:tab w:val="left" w:pos="720"/>
        </w:tabs>
        <w:spacing w:line="480" w:lineRule="auto"/>
        <w:ind w:firstLine="720"/>
        <w:jc w:val="both"/>
        <w:rPr>
          <w:b w:val="0"/>
        </w:rPr>
      </w:pPr>
      <w:r>
        <w:rPr>
          <w:b w:val="0"/>
          <w:bCs w:val="0"/>
        </w:rPr>
        <w:t>My testimony</w:t>
      </w:r>
      <w:r w:rsidR="004D23C6">
        <w:rPr>
          <w:b w:val="0"/>
          <w:bCs w:val="0"/>
        </w:rPr>
        <w:t xml:space="preserve"> </w:t>
      </w:r>
      <w:r w:rsidR="00B63DE7">
        <w:rPr>
          <w:b w:val="0"/>
          <w:bCs w:val="0"/>
        </w:rPr>
        <w:t>will describe</w:t>
      </w:r>
      <w:r>
        <w:rPr>
          <w:b w:val="0"/>
          <w:bCs w:val="0"/>
        </w:rPr>
        <w:t>,</w:t>
      </w:r>
      <w:r w:rsidR="00B63DE7">
        <w:rPr>
          <w:b w:val="0"/>
          <w:bCs w:val="0"/>
        </w:rPr>
        <w:t xml:space="preserve"> in a step-by-step fashion</w:t>
      </w:r>
      <w:r>
        <w:rPr>
          <w:b w:val="0"/>
          <w:bCs w:val="0"/>
        </w:rPr>
        <w:t>,</w:t>
      </w:r>
      <w:r w:rsidR="00B63DE7">
        <w:rPr>
          <w:b w:val="0"/>
          <w:bCs w:val="0"/>
        </w:rPr>
        <w:t xml:space="preserve"> the rational</w:t>
      </w:r>
      <w:r w:rsidR="009176D4">
        <w:rPr>
          <w:b w:val="0"/>
          <w:bCs w:val="0"/>
        </w:rPr>
        <w:t>e</w:t>
      </w:r>
      <w:r w:rsidR="00B63DE7">
        <w:rPr>
          <w:b w:val="0"/>
          <w:bCs w:val="0"/>
        </w:rPr>
        <w:t xml:space="preserve"> for</w:t>
      </w:r>
      <w:r w:rsidR="009176D4">
        <w:rPr>
          <w:b w:val="0"/>
          <w:bCs w:val="0"/>
        </w:rPr>
        <w:t xml:space="preserve"> the following:</w:t>
      </w:r>
      <w:r w:rsidR="00B63DE7">
        <w:rPr>
          <w:b w:val="0"/>
          <w:bCs w:val="0"/>
        </w:rPr>
        <w:t xml:space="preserve"> </w:t>
      </w:r>
      <w:r w:rsidR="009176D4">
        <w:rPr>
          <w:b w:val="0"/>
          <w:bCs w:val="0"/>
        </w:rPr>
        <w:t xml:space="preserve"> </w:t>
      </w:r>
      <w:r w:rsidR="00B63DE7">
        <w:rPr>
          <w:b w:val="0"/>
          <w:bCs w:val="0"/>
        </w:rPr>
        <w:t>(</w:t>
      </w:r>
      <w:r w:rsidR="00E94B5B">
        <w:rPr>
          <w:b w:val="0"/>
          <w:bCs w:val="0"/>
        </w:rPr>
        <w:t>1</w:t>
      </w:r>
      <w:r w:rsidR="00B63DE7">
        <w:rPr>
          <w:b w:val="0"/>
          <w:bCs w:val="0"/>
        </w:rPr>
        <w:t xml:space="preserve">) </w:t>
      </w:r>
      <w:r w:rsidR="004D23C6">
        <w:rPr>
          <w:b w:val="0"/>
          <w:bCs w:val="0"/>
        </w:rPr>
        <w:t xml:space="preserve">the </w:t>
      </w:r>
      <w:r w:rsidR="00B63DE7">
        <w:rPr>
          <w:b w:val="0"/>
          <w:bCs w:val="0"/>
        </w:rPr>
        <w:t xml:space="preserve">historical time period of the </w:t>
      </w:r>
      <w:r w:rsidR="00847FA4">
        <w:rPr>
          <w:b w:val="0"/>
          <w:bCs w:val="0"/>
        </w:rPr>
        <w:t>analysis</w:t>
      </w:r>
      <w:r w:rsidR="00B63DE7">
        <w:rPr>
          <w:b w:val="0"/>
          <w:bCs w:val="0"/>
        </w:rPr>
        <w:t>; (</w:t>
      </w:r>
      <w:r w:rsidR="00E94B5B">
        <w:rPr>
          <w:b w:val="0"/>
          <w:bCs w:val="0"/>
        </w:rPr>
        <w:t>2</w:t>
      </w:r>
      <w:r w:rsidR="00B63DE7">
        <w:rPr>
          <w:b w:val="0"/>
          <w:bCs w:val="0"/>
        </w:rPr>
        <w:t xml:space="preserve">) </w:t>
      </w:r>
      <w:r>
        <w:rPr>
          <w:b w:val="0"/>
          <w:bCs w:val="0"/>
        </w:rPr>
        <w:t xml:space="preserve">the use of a </w:t>
      </w:r>
      <w:r w:rsidR="00607571">
        <w:rPr>
          <w:b w:val="0"/>
          <w:bCs w:val="0"/>
        </w:rPr>
        <w:t>compound growth</w:t>
      </w:r>
      <w:r w:rsidR="00B23692">
        <w:rPr>
          <w:b w:val="0"/>
          <w:bCs w:val="0"/>
        </w:rPr>
        <w:t xml:space="preserve"> formula</w:t>
      </w:r>
      <w:r w:rsidR="00B63DE7">
        <w:rPr>
          <w:b w:val="0"/>
          <w:bCs w:val="0"/>
        </w:rPr>
        <w:t xml:space="preserve"> versus alternati</w:t>
      </w:r>
      <w:r w:rsidR="009176D4">
        <w:rPr>
          <w:b w:val="0"/>
          <w:bCs w:val="0"/>
        </w:rPr>
        <w:t>ve methods</w:t>
      </w:r>
      <w:r>
        <w:rPr>
          <w:b w:val="0"/>
          <w:bCs w:val="0"/>
        </w:rPr>
        <w:t>; and (</w:t>
      </w:r>
      <w:r w:rsidR="00E94B5B">
        <w:rPr>
          <w:b w:val="0"/>
          <w:bCs w:val="0"/>
        </w:rPr>
        <w:t>3</w:t>
      </w:r>
      <w:r>
        <w:rPr>
          <w:b w:val="0"/>
          <w:bCs w:val="0"/>
        </w:rPr>
        <w:t>) the use of</w:t>
      </w:r>
      <w:r w:rsidR="00B63DE7">
        <w:rPr>
          <w:b w:val="0"/>
          <w:bCs w:val="0"/>
        </w:rPr>
        <w:t xml:space="preserve"> the geometric </w:t>
      </w:r>
      <w:r w:rsidR="00B23692">
        <w:rPr>
          <w:b w:val="0"/>
          <w:bCs w:val="0"/>
        </w:rPr>
        <w:t xml:space="preserve">average </w:t>
      </w:r>
      <w:r w:rsidR="00B63DE7">
        <w:rPr>
          <w:b w:val="0"/>
          <w:bCs w:val="0"/>
        </w:rPr>
        <w:t xml:space="preserve">rate of </w:t>
      </w:r>
      <w:r w:rsidR="00B23692">
        <w:rPr>
          <w:b w:val="0"/>
          <w:bCs w:val="0"/>
        </w:rPr>
        <w:t xml:space="preserve">growth </w:t>
      </w:r>
      <w:r w:rsidR="00B63DE7">
        <w:rPr>
          <w:b w:val="0"/>
          <w:bCs w:val="0"/>
        </w:rPr>
        <w:t xml:space="preserve">versus other methods </w:t>
      </w:r>
      <w:r>
        <w:rPr>
          <w:b w:val="0"/>
          <w:bCs w:val="0"/>
        </w:rPr>
        <w:t>to determine annual</w:t>
      </w:r>
      <w:r w:rsidR="008B2436">
        <w:rPr>
          <w:b w:val="0"/>
          <w:bCs w:val="0"/>
        </w:rPr>
        <w:t xml:space="preserve"> growth rates.</w:t>
      </w:r>
      <w:r w:rsidR="00B63DE7">
        <w:rPr>
          <w:b w:val="0"/>
          <w:bCs w:val="0"/>
        </w:rPr>
        <w:t xml:space="preserve">  </w:t>
      </w:r>
    </w:p>
    <w:p w:rsidR="00377A43" w:rsidRPr="009B5E92" w:rsidRDefault="00377A43" w:rsidP="00377A43">
      <w:pPr>
        <w:pStyle w:val="BodyText"/>
        <w:tabs>
          <w:tab w:val="left" w:pos="720"/>
        </w:tabs>
        <w:spacing w:line="480" w:lineRule="auto"/>
        <w:ind w:firstLine="720"/>
        <w:jc w:val="both"/>
        <w:rPr>
          <w:b w:val="0"/>
        </w:rPr>
      </w:pPr>
      <w:r w:rsidRPr="00EE0655">
        <w:rPr>
          <w:b w:val="0"/>
        </w:rPr>
        <w:t>A table of contents for my testimony is as follows:</w:t>
      </w:r>
    </w:p>
    <w:p w:rsidR="00377A43" w:rsidRPr="00A433F6" w:rsidRDefault="00377A43" w:rsidP="00377A43">
      <w:pPr>
        <w:pStyle w:val="BodyText2"/>
        <w:tabs>
          <w:tab w:val="left" w:pos="1440"/>
          <w:tab w:val="left" w:pos="7200"/>
        </w:tabs>
        <w:spacing w:line="240" w:lineRule="auto"/>
        <w:ind w:firstLine="450"/>
        <w:rPr>
          <w:bCs/>
          <w:u w:val="single"/>
        </w:rPr>
      </w:pPr>
      <w:r>
        <w:rPr>
          <w:bCs/>
          <w:u w:val="single"/>
        </w:rPr>
        <w:t>Description</w:t>
      </w:r>
      <w:r w:rsidRPr="00A433F6">
        <w:rPr>
          <w:bCs/>
          <w:u w:val="single"/>
        </w:rPr>
        <w:tab/>
      </w:r>
      <w:r>
        <w:rPr>
          <w:bCs/>
          <w:u w:val="single"/>
        </w:rPr>
        <w:tab/>
      </w:r>
      <w:r w:rsidRPr="00A433F6">
        <w:rPr>
          <w:bCs/>
          <w:u w:val="single"/>
        </w:rPr>
        <w:t>Page</w:t>
      </w:r>
    </w:p>
    <w:p w:rsidR="00377A43" w:rsidRDefault="00377A43" w:rsidP="00377A43">
      <w:pPr>
        <w:pStyle w:val="BodyText2"/>
        <w:tabs>
          <w:tab w:val="left" w:pos="1440"/>
          <w:tab w:val="left" w:pos="1980"/>
          <w:tab w:val="right" w:pos="8280"/>
        </w:tabs>
        <w:spacing w:line="240" w:lineRule="auto"/>
        <w:ind w:firstLine="450"/>
        <w:rPr>
          <w:bCs/>
        </w:rPr>
      </w:pPr>
      <w:r w:rsidRPr="00A433F6">
        <w:rPr>
          <w:bCs/>
        </w:rPr>
        <w:t>I.</w:t>
      </w:r>
      <w:r w:rsidRPr="00A433F6">
        <w:rPr>
          <w:bCs/>
        </w:rPr>
        <w:tab/>
        <w:t>Introduction</w:t>
      </w:r>
      <w:r w:rsidRPr="00A433F6">
        <w:rPr>
          <w:bCs/>
        </w:rPr>
        <w:tab/>
        <w:t>1</w:t>
      </w:r>
    </w:p>
    <w:p w:rsidR="00847FA4" w:rsidRPr="00A433F6" w:rsidRDefault="00847FA4" w:rsidP="00377A43">
      <w:pPr>
        <w:pStyle w:val="BodyText2"/>
        <w:tabs>
          <w:tab w:val="left" w:pos="1440"/>
          <w:tab w:val="left" w:pos="1980"/>
          <w:tab w:val="right" w:pos="8280"/>
        </w:tabs>
        <w:spacing w:line="240" w:lineRule="auto"/>
        <w:ind w:firstLine="450"/>
        <w:rPr>
          <w:bCs/>
        </w:rPr>
      </w:pPr>
      <w:r>
        <w:rPr>
          <w:bCs/>
        </w:rPr>
        <w:t>II.</w:t>
      </w:r>
      <w:r>
        <w:rPr>
          <w:bCs/>
        </w:rPr>
        <w:tab/>
        <w:t>Testimony Summary</w:t>
      </w:r>
      <w:r>
        <w:rPr>
          <w:bCs/>
        </w:rPr>
        <w:tab/>
        <w:t>3</w:t>
      </w:r>
    </w:p>
    <w:p w:rsidR="00377A43" w:rsidRDefault="00377A43" w:rsidP="00377A43">
      <w:pPr>
        <w:pStyle w:val="BodyText2"/>
        <w:tabs>
          <w:tab w:val="left" w:pos="1440"/>
          <w:tab w:val="left" w:pos="1980"/>
          <w:tab w:val="right" w:pos="8280"/>
        </w:tabs>
        <w:spacing w:line="240" w:lineRule="auto"/>
        <w:ind w:firstLine="450"/>
        <w:rPr>
          <w:bCs/>
        </w:rPr>
      </w:pPr>
      <w:r w:rsidRPr="00A433F6">
        <w:rPr>
          <w:bCs/>
        </w:rPr>
        <w:t>II</w:t>
      </w:r>
      <w:r w:rsidR="00847FA4">
        <w:rPr>
          <w:bCs/>
        </w:rPr>
        <w:t>I</w:t>
      </w:r>
      <w:r w:rsidRPr="00A433F6">
        <w:rPr>
          <w:bCs/>
        </w:rPr>
        <w:t>.</w:t>
      </w:r>
      <w:r w:rsidRPr="00A433F6">
        <w:rPr>
          <w:bCs/>
        </w:rPr>
        <w:tab/>
      </w:r>
      <w:r>
        <w:rPr>
          <w:bCs/>
        </w:rPr>
        <w:t xml:space="preserve">Historical Time Period of the </w:t>
      </w:r>
      <w:r w:rsidR="005E5AA1">
        <w:rPr>
          <w:bCs/>
        </w:rPr>
        <w:t>Analysis</w:t>
      </w:r>
      <w:r w:rsidR="005018E9">
        <w:rPr>
          <w:bCs/>
        </w:rPr>
        <w:tab/>
      </w:r>
      <w:r w:rsidR="00350D70">
        <w:rPr>
          <w:bCs/>
        </w:rPr>
        <w:t>4</w:t>
      </w:r>
    </w:p>
    <w:p w:rsidR="00377A43" w:rsidRDefault="00847FA4" w:rsidP="00377A43">
      <w:pPr>
        <w:pStyle w:val="BodyText2"/>
        <w:tabs>
          <w:tab w:val="left" w:pos="1440"/>
          <w:tab w:val="left" w:pos="1980"/>
          <w:tab w:val="right" w:pos="8280"/>
        </w:tabs>
        <w:spacing w:line="240" w:lineRule="auto"/>
        <w:ind w:firstLine="446"/>
        <w:rPr>
          <w:bCs/>
        </w:rPr>
      </w:pPr>
      <w:r>
        <w:rPr>
          <w:bCs/>
        </w:rPr>
        <w:t>IV</w:t>
      </w:r>
      <w:r w:rsidR="00377A43">
        <w:rPr>
          <w:bCs/>
        </w:rPr>
        <w:t>.</w:t>
      </w:r>
      <w:r w:rsidR="00377A43">
        <w:rPr>
          <w:bCs/>
        </w:rPr>
        <w:tab/>
      </w:r>
      <w:r w:rsidR="0088412A">
        <w:rPr>
          <w:bCs/>
        </w:rPr>
        <w:t>T</w:t>
      </w:r>
      <w:r w:rsidR="00377A43">
        <w:t>he Compound Growth Formula</w:t>
      </w:r>
      <w:r w:rsidR="00377A43">
        <w:rPr>
          <w:bCs/>
        </w:rPr>
        <w:tab/>
      </w:r>
      <w:r w:rsidR="00350D70">
        <w:rPr>
          <w:bCs/>
        </w:rPr>
        <w:t>6</w:t>
      </w:r>
    </w:p>
    <w:p w:rsidR="00377A43" w:rsidRDefault="00377A43" w:rsidP="00FB33F1">
      <w:pPr>
        <w:pStyle w:val="BodyText2"/>
        <w:tabs>
          <w:tab w:val="left" w:pos="1440"/>
          <w:tab w:val="left" w:pos="1980"/>
          <w:tab w:val="right" w:pos="8280"/>
        </w:tabs>
        <w:spacing w:line="240" w:lineRule="auto"/>
        <w:ind w:firstLine="446"/>
        <w:rPr>
          <w:bCs/>
        </w:rPr>
      </w:pPr>
      <w:r>
        <w:rPr>
          <w:bCs/>
        </w:rPr>
        <w:t>V</w:t>
      </w:r>
      <w:r w:rsidRPr="00A433F6">
        <w:rPr>
          <w:bCs/>
        </w:rPr>
        <w:t>.</w:t>
      </w:r>
      <w:r w:rsidRPr="00A433F6">
        <w:rPr>
          <w:bCs/>
        </w:rPr>
        <w:tab/>
      </w:r>
      <w:r w:rsidR="0088412A">
        <w:rPr>
          <w:bCs/>
        </w:rPr>
        <w:t>T</w:t>
      </w:r>
      <w:r>
        <w:rPr>
          <w:bCs/>
        </w:rPr>
        <w:t>he Geometric Average Rate of Growth</w:t>
      </w:r>
      <w:r w:rsidRPr="00A433F6">
        <w:rPr>
          <w:bCs/>
        </w:rPr>
        <w:tab/>
      </w:r>
      <w:r w:rsidR="00251F1E">
        <w:rPr>
          <w:bCs/>
        </w:rPr>
        <w:t>1</w:t>
      </w:r>
      <w:r w:rsidR="00350D70">
        <w:rPr>
          <w:bCs/>
        </w:rPr>
        <w:t>1</w:t>
      </w:r>
    </w:p>
    <w:p w:rsidR="00E94B5B" w:rsidRDefault="00E94B5B" w:rsidP="00FB33F1">
      <w:pPr>
        <w:pStyle w:val="BodyText2"/>
        <w:tabs>
          <w:tab w:val="left" w:pos="1440"/>
          <w:tab w:val="left" w:pos="1980"/>
          <w:tab w:val="right" w:pos="8280"/>
        </w:tabs>
        <w:spacing w:after="240" w:line="240" w:lineRule="auto"/>
        <w:ind w:firstLine="446"/>
        <w:rPr>
          <w:bCs/>
        </w:rPr>
      </w:pPr>
      <w:r>
        <w:rPr>
          <w:bCs/>
        </w:rPr>
        <w:t xml:space="preserve">VI. </w:t>
      </w:r>
      <w:r>
        <w:rPr>
          <w:bCs/>
        </w:rPr>
        <w:tab/>
      </w:r>
      <w:r w:rsidRPr="00FB33F1">
        <w:rPr>
          <w:bCs/>
        </w:rPr>
        <w:t>Conclusion</w:t>
      </w:r>
      <w:r w:rsidRPr="00FB33F1">
        <w:rPr>
          <w:bCs/>
        </w:rPr>
        <w:tab/>
      </w:r>
      <w:r w:rsidR="00FB33F1">
        <w:rPr>
          <w:bCs/>
        </w:rPr>
        <w:t>1</w:t>
      </w:r>
      <w:r w:rsidR="0088412A">
        <w:rPr>
          <w:bCs/>
        </w:rPr>
        <w:t>3</w:t>
      </w:r>
    </w:p>
    <w:p w:rsidR="00377A43" w:rsidRPr="00135497" w:rsidRDefault="00377A43" w:rsidP="00377A43">
      <w:pPr>
        <w:pStyle w:val="BodyText"/>
        <w:tabs>
          <w:tab w:val="left" w:pos="720"/>
        </w:tabs>
        <w:spacing w:line="480" w:lineRule="auto"/>
        <w:ind w:firstLine="720"/>
        <w:jc w:val="both"/>
        <w:rPr>
          <w:bCs w:val="0"/>
        </w:rPr>
      </w:pPr>
      <w:r w:rsidRPr="00135497">
        <w:rPr>
          <w:bCs w:val="0"/>
        </w:rPr>
        <w:t>Q.</w:t>
      </w:r>
      <w:r w:rsidRPr="00135497">
        <w:rPr>
          <w:bCs w:val="0"/>
        </w:rPr>
        <w:tab/>
        <w:t>Are you sponsoring any exhibits in this proceeding?</w:t>
      </w:r>
    </w:p>
    <w:p w:rsidR="00EF116F" w:rsidRDefault="00377A43" w:rsidP="00FA031E">
      <w:pPr>
        <w:tabs>
          <w:tab w:val="left" w:pos="0"/>
        </w:tabs>
        <w:spacing w:line="480" w:lineRule="auto"/>
        <w:ind w:firstLine="720"/>
        <w:jc w:val="both"/>
        <w:rPr>
          <w:bCs/>
        </w:rPr>
      </w:pPr>
      <w:r w:rsidRPr="00135497">
        <w:t>A.</w:t>
      </w:r>
      <w:r w:rsidRPr="00135497">
        <w:tab/>
      </w:r>
      <w:r w:rsidR="005C11A1">
        <w:t>No. Additional information can be found within my workpapers submitted with the Company’s filed case.</w:t>
      </w:r>
      <w:r w:rsidR="00EF116F">
        <w:br w:type="page"/>
      </w:r>
    </w:p>
    <w:p w:rsidR="00847FA4" w:rsidRPr="00847FA4" w:rsidRDefault="00847FA4" w:rsidP="009B3C62">
      <w:pPr>
        <w:tabs>
          <w:tab w:val="left" w:pos="0"/>
        </w:tabs>
        <w:spacing w:line="480" w:lineRule="auto"/>
        <w:ind w:firstLine="720"/>
        <w:jc w:val="center"/>
        <w:rPr>
          <w:b/>
          <w:u w:val="single"/>
        </w:rPr>
      </w:pPr>
      <w:r>
        <w:rPr>
          <w:b/>
          <w:u w:val="single"/>
        </w:rPr>
        <w:lastRenderedPageBreak/>
        <w:t xml:space="preserve">II. </w:t>
      </w:r>
      <w:r w:rsidRPr="00847FA4">
        <w:rPr>
          <w:b/>
          <w:u w:val="single"/>
        </w:rPr>
        <w:t>TESTIMONY SUMMARY</w:t>
      </w:r>
    </w:p>
    <w:p w:rsidR="005E5AA1" w:rsidRPr="005E5AA1" w:rsidRDefault="00847FA4" w:rsidP="00847FA4">
      <w:pPr>
        <w:tabs>
          <w:tab w:val="left" w:pos="0"/>
        </w:tabs>
        <w:spacing w:line="480" w:lineRule="auto"/>
        <w:ind w:firstLine="720"/>
        <w:jc w:val="both"/>
        <w:rPr>
          <w:b/>
        </w:rPr>
      </w:pPr>
      <w:r w:rsidRPr="005E5AA1">
        <w:rPr>
          <w:b/>
        </w:rPr>
        <w:t xml:space="preserve">Q. </w:t>
      </w:r>
      <w:r w:rsidRPr="005E5AA1">
        <w:rPr>
          <w:b/>
        </w:rPr>
        <w:tab/>
      </w:r>
      <w:r w:rsidR="000D21E6">
        <w:rPr>
          <w:b/>
        </w:rPr>
        <w:t>Please summarize the historical data</w:t>
      </w:r>
      <w:r w:rsidR="005E5AA1">
        <w:rPr>
          <w:b/>
        </w:rPr>
        <w:t xml:space="preserve"> period</w:t>
      </w:r>
      <w:r w:rsidRPr="005E5AA1">
        <w:rPr>
          <w:b/>
        </w:rPr>
        <w:t xml:space="preserve"> </w:t>
      </w:r>
      <w:r w:rsidR="000D21E6">
        <w:rPr>
          <w:b/>
        </w:rPr>
        <w:t xml:space="preserve">being reviewed by you </w:t>
      </w:r>
      <w:r w:rsidR="009D72D9">
        <w:rPr>
          <w:b/>
        </w:rPr>
        <w:t>for your trend analysis</w:t>
      </w:r>
      <w:r w:rsidR="000D21E6">
        <w:rPr>
          <w:b/>
        </w:rPr>
        <w:t>.</w:t>
      </w:r>
    </w:p>
    <w:p w:rsidR="00DB0B55" w:rsidRDefault="00E64DB3" w:rsidP="00847FA4">
      <w:pPr>
        <w:tabs>
          <w:tab w:val="left" w:pos="0"/>
        </w:tabs>
        <w:spacing w:line="480" w:lineRule="auto"/>
        <w:ind w:firstLine="720"/>
        <w:jc w:val="both"/>
      </w:pPr>
      <w:r>
        <w:t>A.</w:t>
      </w:r>
      <w:r>
        <w:tab/>
        <w:t>The historical data use</w:t>
      </w:r>
      <w:r w:rsidR="000D21E6">
        <w:t xml:space="preserve">d for the </w:t>
      </w:r>
      <w:r w:rsidR="009D72D9">
        <w:t>trend</w:t>
      </w:r>
      <w:r w:rsidR="000D21E6">
        <w:t xml:space="preserve"> </w:t>
      </w:r>
      <w:r>
        <w:t xml:space="preserve">analysis </w:t>
      </w:r>
      <w:r w:rsidR="000D21E6">
        <w:t xml:space="preserve">is </w:t>
      </w:r>
      <w:r w:rsidR="00350D70">
        <w:t xml:space="preserve">from </w:t>
      </w:r>
      <w:r w:rsidR="000D21E6">
        <w:t>20</w:t>
      </w:r>
      <w:r w:rsidR="00E94B5B">
        <w:t>0</w:t>
      </w:r>
      <w:r w:rsidR="0088412A">
        <w:t>1</w:t>
      </w:r>
      <w:r w:rsidR="00E94B5B">
        <w:t xml:space="preserve">-2013.  The </w:t>
      </w:r>
      <w:r w:rsidR="000D21E6">
        <w:t xml:space="preserve">period used for the </w:t>
      </w:r>
      <w:r w:rsidR="009D72D9">
        <w:t xml:space="preserve">trend </w:t>
      </w:r>
      <w:r w:rsidR="000D21E6">
        <w:t xml:space="preserve">analysis </w:t>
      </w:r>
      <w:r>
        <w:t>should reflect</w:t>
      </w:r>
      <w:r w:rsidR="00350D70">
        <w:t>,</w:t>
      </w:r>
      <w:r>
        <w:t xml:space="preserve"> as close</w:t>
      </w:r>
      <w:r w:rsidR="00350D70">
        <w:t>ly</w:t>
      </w:r>
      <w:r>
        <w:t xml:space="preserve"> as possible</w:t>
      </w:r>
      <w:r w:rsidR="00350D70">
        <w:t>,</w:t>
      </w:r>
      <w:r>
        <w:t xml:space="preserve"> the Company’s recent and planned expenditures.  Regardless of the methodology for determining expenditure growth rates, using time periods that no longer represent recent and planned expenditures can lead to inaccurate representations of future growth.  Annual capital investment for the 2001-2013 </w:t>
      </w:r>
      <w:proofErr w:type="gramStart"/>
      <w:r>
        <w:t>period</w:t>
      </w:r>
      <w:proofErr w:type="gramEnd"/>
      <w:r>
        <w:t xml:space="preserve"> clearly shows a significant shift in the expenditure trend starting in 2007.  This is the case for both electric and natural gas operations.  Specifically, in 2007</w:t>
      </w:r>
      <w:r w:rsidR="00350D70">
        <w:t>,</w:t>
      </w:r>
      <w:r>
        <w:t xml:space="preserve"> capital investment started increasing at a significantly faster pace compared to the 2001-2006 period.  </w:t>
      </w:r>
    </w:p>
    <w:p w:rsidR="005E5AA1" w:rsidRPr="00AA5ED1" w:rsidRDefault="00E64DB3" w:rsidP="00847FA4">
      <w:pPr>
        <w:tabs>
          <w:tab w:val="left" w:pos="0"/>
        </w:tabs>
        <w:spacing w:line="480" w:lineRule="auto"/>
        <w:ind w:firstLine="720"/>
        <w:jc w:val="both"/>
        <w:rPr>
          <w:b/>
        </w:rPr>
      </w:pPr>
      <w:r>
        <w:t xml:space="preserve">Given current and planned </w:t>
      </w:r>
      <w:r w:rsidR="00335F61">
        <w:t>expenditures</w:t>
      </w:r>
      <w:r>
        <w:t xml:space="preserve"> by the Company, we do not foresee a return to the expenditure trend of the 2001-2006 </w:t>
      </w:r>
      <w:proofErr w:type="gramStart"/>
      <w:r>
        <w:t>period</w:t>
      </w:r>
      <w:proofErr w:type="gramEnd"/>
      <w:r w:rsidR="00350D70">
        <w:t xml:space="preserve"> in the near-term</w:t>
      </w:r>
      <w:r>
        <w:t xml:space="preserve">.  </w:t>
      </w:r>
      <w:r w:rsidRPr="003F25F8">
        <w:t>In fact, the expectation is that expenditures will experience accelerated, non-linear growth during the 2014-2016 period</w:t>
      </w:r>
      <w:r w:rsidR="00F954BF">
        <w:t xml:space="preserve"> from that experienced during 2007-2013</w:t>
      </w:r>
      <w:r w:rsidRPr="003F25F8">
        <w:t>.</w:t>
      </w:r>
      <w:r>
        <w:t xml:space="preserve">  </w:t>
      </w:r>
      <w:r w:rsidR="00F954BF">
        <w:t xml:space="preserve">Company witness </w:t>
      </w:r>
      <w:r>
        <w:t xml:space="preserve">Mr. Thies, in his testimony, explains why Avista has increased its capital spending in recent years, and why it plans to continue a higher level of spending for the near-term.  </w:t>
      </w:r>
      <w:r w:rsidR="009423DF">
        <w:t xml:space="preserve">Company witness </w:t>
      </w:r>
      <w:r>
        <w:t>Ms. Andrews has made an adjustment to the capital investment-related growth rates to better reflect the</w:t>
      </w:r>
      <w:r w:rsidR="00E94B5B">
        <w:t xml:space="preserve"> 2016</w:t>
      </w:r>
      <w:r>
        <w:t xml:space="preserve"> rate year, which she explains in her testimony.</w:t>
      </w:r>
    </w:p>
    <w:p w:rsidR="009423DF" w:rsidRDefault="009423DF" w:rsidP="00847FA4">
      <w:pPr>
        <w:tabs>
          <w:tab w:val="left" w:pos="0"/>
        </w:tabs>
        <w:spacing w:line="480" w:lineRule="auto"/>
        <w:ind w:firstLine="720"/>
        <w:jc w:val="both"/>
      </w:pPr>
      <w:r w:rsidRPr="00AA5ED1">
        <w:rPr>
          <w:b/>
        </w:rPr>
        <w:t xml:space="preserve">Q. </w:t>
      </w:r>
      <w:r w:rsidR="00AA5ED1" w:rsidRPr="00AA5ED1">
        <w:rPr>
          <w:b/>
        </w:rPr>
        <w:tab/>
      </w:r>
      <w:r w:rsidRPr="00AA5ED1">
        <w:rPr>
          <w:b/>
        </w:rPr>
        <w:t xml:space="preserve">What is the basic analytical approach </w:t>
      </w:r>
      <w:r w:rsidR="00AA5ED1" w:rsidRPr="00AA5ED1">
        <w:rPr>
          <w:b/>
        </w:rPr>
        <w:t xml:space="preserve">underlying the </w:t>
      </w:r>
      <w:r w:rsidR="009D72D9">
        <w:rPr>
          <w:b/>
        </w:rPr>
        <w:t>trend</w:t>
      </w:r>
      <w:r w:rsidR="00AA5ED1" w:rsidRPr="00AA5ED1">
        <w:rPr>
          <w:b/>
        </w:rPr>
        <w:t xml:space="preserve"> analysis?</w:t>
      </w:r>
    </w:p>
    <w:p w:rsidR="0088412A" w:rsidRDefault="00AA5ED1" w:rsidP="00AB5B14">
      <w:pPr>
        <w:tabs>
          <w:tab w:val="left" w:pos="0"/>
        </w:tabs>
        <w:spacing w:line="480" w:lineRule="auto"/>
        <w:ind w:firstLine="720"/>
        <w:jc w:val="both"/>
      </w:pPr>
      <w:r>
        <w:t xml:space="preserve">A. </w:t>
      </w:r>
      <w:r>
        <w:tab/>
        <w:t xml:space="preserve">The Company’s </w:t>
      </w:r>
      <w:r w:rsidR="009D72D9">
        <w:t>trend</w:t>
      </w:r>
      <w:r>
        <w:t xml:space="preserve"> analysis uses traditional compounding growth theory to arrive at base-line growth rates for certain expenditure categories, including net plant.  In particular, the tr</w:t>
      </w:r>
      <w:r w:rsidR="009D72D9">
        <w:t>end</w:t>
      </w:r>
      <w:r>
        <w:t xml:space="preserve"> analysis uses the </w:t>
      </w:r>
      <w:r w:rsidRPr="00EB3CF0">
        <w:rPr>
          <w:b/>
          <w:i/>
        </w:rPr>
        <w:t>compound growth rate formula</w:t>
      </w:r>
      <w:r>
        <w:t xml:space="preserve"> (CGF)</w:t>
      </w:r>
      <w:r w:rsidR="00656B79">
        <w:t xml:space="preserve">.  The CGF </w:t>
      </w:r>
      <w:r w:rsidR="00402E87">
        <w:t xml:space="preserve">has </w:t>
      </w:r>
      <w:r w:rsidR="00402E87">
        <w:lastRenderedPageBreak/>
        <w:t>wide</w:t>
      </w:r>
      <w:r>
        <w:t xml:space="preserve"> applications in finance and economics for modeling </w:t>
      </w:r>
      <w:r w:rsidR="00656B79">
        <w:t xml:space="preserve">values </w:t>
      </w:r>
      <w:r w:rsidR="00402E87">
        <w:t xml:space="preserve">that are not </w:t>
      </w:r>
      <w:r w:rsidR="00CE4E55">
        <w:t>expected</w:t>
      </w:r>
      <w:r w:rsidR="00402E87">
        <w:t xml:space="preserve"> t</w:t>
      </w:r>
      <w:r w:rsidR="00CE4E55">
        <w:t>o</w:t>
      </w:r>
      <w:r w:rsidR="00656B79">
        <w:t xml:space="preserve"> accumulat</w:t>
      </w:r>
      <w:r w:rsidR="00402E87">
        <w:t>e</w:t>
      </w:r>
      <w:r w:rsidR="00656B79">
        <w:t xml:space="preserve"> in a linear fashion over time.  Examples </w:t>
      </w:r>
      <w:r w:rsidR="00FC315F">
        <w:t xml:space="preserve">where the CGF is used </w:t>
      </w:r>
      <w:r w:rsidR="00656B79">
        <w:t xml:space="preserve">include </w:t>
      </w:r>
      <w:r w:rsidR="00FC315F">
        <w:t xml:space="preserve">the modeling of </w:t>
      </w:r>
      <w:r w:rsidR="00656B79">
        <w:t>investment dollars, population, and capital accumulation.</w:t>
      </w:r>
      <w:r>
        <w:t xml:space="preserve">  </w:t>
      </w:r>
    </w:p>
    <w:p w:rsidR="00AB5B14" w:rsidRDefault="00C14231" w:rsidP="00AB5B14">
      <w:pPr>
        <w:tabs>
          <w:tab w:val="left" w:pos="0"/>
        </w:tabs>
        <w:spacing w:line="480" w:lineRule="auto"/>
        <w:ind w:firstLine="720"/>
        <w:jc w:val="both"/>
      </w:pPr>
      <w:r>
        <w:t xml:space="preserve">The CGF can be directly applied to any historical expenditure series to generate a </w:t>
      </w:r>
      <w:r w:rsidR="004F47C3">
        <w:t>single growth rate that represents a</w:t>
      </w:r>
      <w:r w:rsidR="00CB17E4">
        <w:t xml:space="preserve"> mathematically </w:t>
      </w:r>
      <w:r w:rsidR="004F47C3">
        <w:t xml:space="preserve">consistent average annual growth rate </w:t>
      </w:r>
      <w:r w:rsidR="005B647C">
        <w:t>for</w:t>
      </w:r>
      <w:r w:rsidR="004F47C3">
        <w:t xml:space="preserve"> that historical period</w:t>
      </w:r>
      <w:r w:rsidR="00CB17E4">
        <w:t xml:space="preserve">.  </w:t>
      </w:r>
      <w:r>
        <w:t>Th</w:t>
      </w:r>
      <w:r w:rsidR="00CB17E4">
        <w:t xml:space="preserve">is </w:t>
      </w:r>
      <w:r>
        <w:t>growth</w:t>
      </w:r>
      <w:r w:rsidR="00CB17E4">
        <w:t xml:space="preserve"> rate </w:t>
      </w:r>
      <w:r>
        <w:t>can serve as</w:t>
      </w:r>
      <w:r w:rsidR="00CB17E4">
        <w:t xml:space="preserve"> the initial, base-line rate for each relevant expenditure </w:t>
      </w:r>
      <w:r w:rsidR="005B647C">
        <w:t>category</w:t>
      </w:r>
      <w:r w:rsidR="00CB17E4">
        <w:t>.</w:t>
      </w:r>
      <w:r w:rsidR="0088412A">
        <w:t xml:space="preserve"> </w:t>
      </w:r>
    </w:p>
    <w:p w:rsidR="009D72D9" w:rsidRDefault="009D72D9" w:rsidP="00AB5B14">
      <w:pPr>
        <w:tabs>
          <w:tab w:val="left" w:pos="0"/>
        </w:tabs>
        <w:spacing w:line="480" w:lineRule="auto"/>
        <w:ind w:firstLine="720"/>
        <w:jc w:val="both"/>
      </w:pPr>
    </w:p>
    <w:p w:rsidR="00EE0655" w:rsidRPr="009B3C62" w:rsidRDefault="009B3C62" w:rsidP="009B3C62">
      <w:pPr>
        <w:tabs>
          <w:tab w:val="left" w:pos="0"/>
        </w:tabs>
        <w:spacing w:line="480" w:lineRule="auto"/>
        <w:ind w:firstLine="720"/>
        <w:jc w:val="center"/>
        <w:rPr>
          <w:b/>
          <w:u w:val="single"/>
        </w:rPr>
      </w:pPr>
      <w:r w:rsidRPr="009B3C62">
        <w:rPr>
          <w:b/>
          <w:u w:val="single"/>
        </w:rPr>
        <w:t>II</w:t>
      </w:r>
      <w:r w:rsidR="00847FA4">
        <w:rPr>
          <w:b/>
          <w:u w:val="single"/>
        </w:rPr>
        <w:t>I</w:t>
      </w:r>
      <w:r w:rsidRPr="009B3C62">
        <w:rPr>
          <w:b/>
          <w:u w:val="single"/>
        </w:rPr>
        <w:t xml:space="preserve">. </w:t>
      </w:r>
      <w:r w:rsidR="00EB672D" w:rsidRPr="009B3C62">
        <w:rPr>
          <w:b/>
          <w:u w:val="single"/>
        </w:rPr>
        <w:t xml:space="preserve">HISTORICAL TIME PERIOD OF THE </w:t>
      </w:r>
      <w:r w:rsidR="005E5AA1">
        <w:rPr>
          <w:b/>
          <w:u w:val="single"/>
        </w:rPr>
        <w:t>ANALYSIS</w:t>
      </w:r>
    </w:p>
    <w:p w:rsidR="00C72386" w:rsidRPr="00C72386" w:rsidRDefault="00C72386" w:rsidP="00135497">
      <w:pPr>
        <w:tabs>
          <w:tab w:val="left" w:pos="0"/>
        </w:tabs>
        <w:spacing w:line="480" w:lineRule="auto"/>
        <w:ind w:firstLine="720"/>
        <w:jc w:val="both"/>
        <w:rPr>
          <w:b/>
        </w:rPr>
      </w:pPr>
      <w:r w:rsidRPr="00C72386">
        <w:rPr>
          <w:b/>
        </w:rPr>
        <w:t xml:space="preserve">Q. </w:t>
      </w:r>
      <w:r w:rsidR="00B02788">
        <w:rPr>
          <w:b/>
        </w:rPr>
        <w:tab/>
      </w:r>
      <w:r w:rsidR="005018E9">
        <w:rPr>
          <w:b/>
        </w:rPr>
        <w:t xml:space="preserve">Why is the </w:t>
      </w:r>
      <w:r w:rsidRPr="00C72386">
        <w:rPr>
          <w:b/>
        </w:rPr>
        <w:t xml:space="preserve">time period for the </w:t>
      </w:r>
      <w:r w:rsidR="005E5AA1">
        <w:rPr>
          <w:b/>
        </w:rPr>
        <w:t>analysis</w:t>
      </w:r>
      <w:r w:rsidRPr="00C72386">
        <w:rPr>
          <w:b/>
        </w:rPr>
        <w:t xml:space="preserve"> </w:t>
      </w:r>
      <w:r w:rsidR="005018E9">
        <w:rPr>
          <w:b/>
        </w:rPr>
        <w:t xml:space="preserve">of historical trends </w:t>
      </w:r>
      <w:r w:rsidRPr="00C72386">
        <w:rPr>
          <w:b/>
        </w:rPr>
        <w:t xml:space="preserve">important? </w:t>
      </w:r>
    </w:p>
    <w:p w:rsidR="007E5E79" w:rsidRDefault="00607571" w:rsidP="00135497">
      <w:pPr>
        <w:tabs>
          <w:tab w:val="left" w:pos="0"/>
        </w:tabs>
        <w:spacing w:line="480" w:lineRule="auto"/>
        <w:ind w:firstLine="720"/>
        <w:jc w:val="both"/>
      </w:pPr>
      <w:r>
        <w:t xml:space="preserve">A.  </w:t>
      </w:r>
      <w:r w:rsidR="00B02788">
        <w:tab/>
      </w:r>
      <w:r w:rsidR="0088412A">
        <w:t>T</w:t>
      </w:r>
      <w:r w:rsidR="00C72386">
        <w:t>he historical data used should reflect</w:t>
      </w:r>
      <w:r w:rsidR="00350D70">
        <w:t>,</w:t>
      </w:r>
      <w:r w:rsidR="00C72386">
        <w:t xml:space="preserve"> as close</w:t>
      </w:r>
      <w:r w:rsidR="00350D70">
        <w:t>ly</w:t>
      </w:r>
      <w:r w:rsidR="00C72386">
        <w:t xml:space="preserve"> a</w:t>
      </w:r>
      <w:r w:rsidR="00435FEA">
        <w:t>s</w:t>
      </w:r>
      <w:r w:rsidR="005018E9">
        <w:t xml:space="preserve"> possible</w:t>
      </w:r>
      <w:r w:rsidR="00350D70">
        <w:t>,</w:t>
      </w:r>
      <w:r w:rsidR="005018E9">
        <w:t xml:space="preserve"> the C</w:t>
      </w:r>
      <w:r w:rsidR="00C72386">
        <w:t xml:space="preserve">ompany’s </w:t>
      </w:r>
      <w:r w:rsidR="007E5E79">
        <w:t>recent</w:t>
      </w:r>
      <w:r w:rsidR="00C72386">
        <w:t xml:space="preserve"> and planned </w:t>
      </w:r>
      <w:r w:rsidR="00B02788">
        <w:t>expenditures</w:t>
      </w:r>
      <w:r w:rsidR="00C72386">
        <w:t>.</w:t>
      </w:r>
      <w:r w:rsidR="007E5E79">
        <w:t xml:space="preserve">  </w:t>
      </w:r>
      <w:r w:rsidR="00E64DB3">
        <w:t>Regardless of the</w:t>
      </w:r>
      <w:r w:rsidR="00963E6D">
        <w:t xml:space="preserve"> </w:t>
      </w:r>
      <w:r w:rsidR="00014774">
        <w:t xml:space="preserve">methodology </w:t>
      </w:r>
      <w:r w:rsidR="00963E6D">
        <w:t xml:space="preserve">for </w:t>
      </w:r>
      <w:r>
        <w:t xml:space="preserve">determining </w:t>
      </w:r>
      <w:r w:rsidR="00963E6D">
        <w:t>expenditure growth rates</w:t>
      </w:r>
      <w:r w:rsidR="00014774">
        <w:t>, u</w:t>
      </w:r>
      <w:r w:rsidR="007E5E79">
        <w:t xml:space="preserve">sing </w:t>
      </w:r>
      <w:r w:rsidR="00BA3802">
        <w:t xml:space="preserve">time </w:t>
      </w:r>
      <w:r w:rsidR="007E5E79">
        <w:t xml:space="preserve">periods that </w:t>
      </w:r>
      <w:r w:rsidR="009D72D9">
        <w:t>do not</w:t>
      </w:r>
      <w:r>
        <w:t xml:space="preserve"> </w:t>
      </w:r>
      <w:r w:rsidR="007E5E79">
        <w:t>represent recent a</w:t>
      </w:r>
      <w:r w:rsidR="00B02788">
        <w:t xml:space="preserve">nd planned expenditures </w:t>
      </w:r>
      <w:r w:rsidR="007E5E79">
        <w:t xml:space="preserve">can lead </w:t>
      </w:r>
      <w:r w:rsidR="00014774">
        <w:t xml:space="preserve">to </w:t>
      </w:r>
      <w:r w:rsidR="004D23C6">
        <w:t>inaccurate</w:t>
      </w:r>
      <w:r w:rsidR="007E5E79">
        <w:t xml:space="preserve"> </w:t>
      </w:r>
      <w:r w:rsidR="003F25F8">
        <w:t>representations</w:t>
      </w:r>
      <w:r w:rsidR="00014774">
        <w:t xml:space="preserve"> of </w:t>
      </w:r>
      <w:r w:rsidR="00963E6D">
        <w:t>future g</w:t>
      </w:r>
      <w:r w:rsidR="00014774">
        <w:t>rowth</w:t>
      </w:r>
      <w:r w:rsidR="007E5E79">
        <w:t xml:space="preserve">. </w:t>
      </w:r>
    </w:p>
    <w:p w:rsidR="007E5E79" w:rsidRDefault="00014774" w:rsidP="00135497">
      <w:pPr>
        <w:tabs>
          <w:tab w:val="left" w:pos="0"/>
        </w:tabs>
        <w:spacing w:line="480" w:lineRule="auto"/>
        <w:ind w:firstLine="720"/>
        <w:jc w:val="both"/>
        <w:rPr>
          <w:b/>
        </w:rPr>
      </w:pPr>
      <w:r w:rsidRPr="00014774">
        <w:rPr>
          <w:b/>
        </w:rPr>
        <w:t xml:space="preserve">Q.  </w:t>
      </w:r>
      <w:r w:rsidR="00B02788">
        <w:rPr>
          <w:b/>
        </w:rPr>
        <w:tab/>
        <w:t>How has Avista’s annual capital investment changed over</w:t>
      </w:r>
      <w:r w:rsidR="00743C20">
        <w:rPr>
          <w:b/>
        </w:rPr>
        <w:t xml:space="preserve"> </w:t>
      </w:r>
      <w:r w:rsidR="00B02788">
        <w:rPr>
          <w:b/>
        </w:rPr>
        <w:t>time</w:t>
      </w:r>
      <w:r w:rsidRPr="00014774">
        <w:rPr>
          <w:b/>
        </w:rPr>
        <w:t xml:space="preserve">? </w:t>
      </w:r>
    </w:p>
    <w:p w:rsidR="00AB5B14" w:rsidRDefault="00014774" w:rsidP="00AB5B14">
      <w:pPr>
        <w:tabs>
          <w:tab w:val="left" w:pos="0"/>
        </w:tabs>
        <w:spacing w:line="480" w:lineRule="auto"/>
        <w:ind w:firstLine="720"/>
        <w:jc w:val="both"/>
      </w:pPr>
      <w:r w:rsidRPr="00014774">
        <w:t xml:space="preserve">A. </w:t>
      </w:r>
      <w:r>
        <w:t xml:space="preserve"> </w:t>
      </w:r>
      <w:r w:rsidR="00B02788">
        <w:tab/>
        <w:t>Annual capital investment for the</w:t>
      </w:r>
      <w:r>
        <w:t xml:space="preserve"> 2001-2013 </w:t>
      </w:r>
      <w:proofErr w:type="gramStart"/>
      <w:r>
        <w:t>period</w:t>
      </w:r>
      <w:proofErr w:type="gramEnd"/>
      <w:r>
        <w:t xml:space="preserve"> clearly shows a significant shift in the expenditure trend starting in 2007.  </w:t>
      </w:r>
      <w:r w:rsidR="00BA3802">
        <w:t xml:space="preserve">This is the case for both electric and natural gas operations.  </w:t>
      </w:r>
      <w:r>
        <w:t>Specifically</w:t>
      </w:r>
      <w:r w:rsidR="00743C20">
        <w:t>, in 2007</w:t>
      </w:r>
      <w:r w:rsidR="00350D70">
        <w:t>,</w:t>
      </w:r>
      <w:r w:rsidR="00743C20">
        <w:t xml:space="preserve"> capital investment</w:t>
      </w:r>
      <w:r w:rsidR="001D50D3">
        <w:t xml:space="preserve"> started</w:t>
      </w:r>
      <w:r>
        <w:t xml:space="preserve"> increasing at a significantly faster pace </w:t>
      </w:r>
      <w:r w:rsidR="00607571">
        <w:t>compared to the</w:t>
      </w:r>
      <w:r>
        <w:t xml:space="preserve"> 2001-2006 period.</w:t>
      </w:r>
      <w:r w:rsidR="001D50D3">
        <w:t xml:space="preserve">  Figure 1 </w:t>
      </w:r>
      <w:r w:rsidR="00743C20">
        <w:t xml:space="preserve">below illustrates </w:t>
      </w:r>
      <w:r w:rsidR="00607571">
        <w:t xml:space="preserve">the observed shift that started in </w:t>
      </w:r>
      <w:r w:rsidR="001D50D3">
        <w:t>2007</w:t>
      </w:r>
      <w:r w:rsidR="00D74C30">
        <w:t xml:space="preserve">.  </w:t>
      </w:r>
      <w:r w:rsidR="00743C20">
        <w:t>In Figure 1,</w:t>
      </w:r>
      <w:r w:rsidR="00EF4501">
        <w:t xml:space="preserve"> </w:t>
      </w:r>
      <w:proofErr w:type="gramStart"/>
      <w:r w:rsidR="00EF4501">
        <w:t>E(</w:t>
      </w:r>
      <w:proofErr w:type="gramEnd"/>
      <w:r w:rsidR="00EF4501">
        <w:t xml:space="preserve">$) is </w:t>
      </w:r>
      <w:r w:rsidR="00C567FD">
        <w:t xml:space="preserve">the </w:t>
      </w:r>
      <w:r w:rsidR="00743C20">
        <w:t xml:space="preserve">annual </w:t>
      </w:r>
      <w:r w:rsidR="00EF4501">
        <w:t>expenditure</w:t>
      </w:r>
      <w:r w:rsidR="00C567FD">
        <w:t xml:space="preserve"> level in dollars</w:t>
      </w:r>
      <w:r w:rsidR="00EF4501">
        <w:t xml:space="preserve">, the black dots are annual expenditures for the 2001-2006 period highlighted by a </w:t>
      </w:r>
      <w:r w:rsidR="00A31A10">
        <w:t>black dashed</w:t>
      </w:r>
      <w:r w:rsidR="00E94B5B">
        <w:t xml:space="preserve"> trend </w:t>
      </w:r>
      <w:r w:rsidR="00EF4501">
        <w:t xml:space="preserve">line.  The </w:t>
      </w:r>
      <w:r w:rsidR="003F25F8">
        <w:t>grey</w:t>
      </w:r>
      <w:r w:rsidR="00EF4501">
        <w:t xml:space="preserve"> dots are expenditures for the 2007-2013 period highlighted by a </w:t>
      </w:r>
      <w:r w:rsidR="003F25F8">
        <w:t>grey</w:t>
      </w:r>
      <w:r w:rsidR="00EF4501">
        <w:t xml:space="preserve"> </w:t>
      </w:r>
      <w:r w:rsidR="00A31A10">
        <w:t xml:space="preserve">dashed </w:t>
      </w:r>
      <w:r w:rsidR="00EF4501">
        <w:t xml:space="preserve">trend line.  </w:t>
      </w:r>
      <w:r w:rsidR="00D74C30">
        <w:t>The year 2007 rep</w:t>
      </w:r>
      <w:r w:rsidR="00792E34">
        <w:t xml:space="preserve">resents a transition or “kink </w:t>
      </w:r>
      <w:r w:rsidR="00D74C30">
        <w:lastRenderedPageBreak/>
        <w:t>point</w:t>
      </w:r>
      <w:r w:rsidR="00792E34">
        <w:t>”</w:t>
      </w:r>
      <w:r w:rsidR="00D74C30">
        <w:t xml:space="preserve"> in the previous historical trend, where </w:t>
      </w:r>
      <w:r w:rsidR="00743C20">
        <w:t xml:space="preserve">the </w:t>
      </w:r>
      <w:r w:rsidR="00D74C30">
        <w:t>trend is steeper</w:t>
      </w:r>
      <w:r>
        <w:t xml:space="preserve"> </w:t>
      </w:r>
      <w:r w:rsidR="00D74C30">
        <w:t xml:space="preserve">following the kink point.  </w:t>
      </w:r>
      <w:r w:rsidR="00743C20">
        <w:t>If the Company’s plans call for expenditures to continue at the higher level on an annual basis</w:t>
      </w:r>
      <w:r w:rsidR="00D74C30">
        <w:t xml:space="preserve">, </w:t>
      </w:r>
      <w:r w:rsidR="00743C20">
        <w:t xml:space="preserve">then </w:t>
      </w:r>
      <w:r w:rsidR="00D74C30">
        <w:t xml:space="preserve">the expenditure trend for the 2001-2006 period is </w:t>
      </w:r>
      <w:r w:rsidR="009B3C62">
        <w:t>not</w:t>
      </w:r>
      <w:r w:rsidR="00D74C30">
        <w:t xml:space="preserve"> a valid reference period</w:t>
      </w:r>
      <w:r w:rsidR="003F25F8">
        <w:t>,</w:t>
      </w:r>
      <w:r w:rsidR="00D74C30">
        <w:t xml:space="preserve"> </w:t>
      </w:r>
      <w:r w:rsidR="000A1E11">
        <w:t xml:space="preserve">because </w:t>
      </w:r>
      <w:r w:rsidR="00BA3802">
        <w:t xml:space="preserve">it is no </w:t>
      </w:r>
      <w:r w:rsidR="000A1E11">
        <w:t xml:space="preserve">longer representative of </w:t>
      </w:r>
      <w:r w:rsidR="00743C20">
        <w:t>the C</w:t>
      </w:r>
      <w:r w:rsidR="004D23C6">
        <w:t>ompany’s</w:t>
      </w:r>
      <w:r w:rsidR="000A1E11">
        <w:t xml:space="preserve"> expenditure </w:t>
      </w:r>
      <w:r w:rsidR="004D23C6">
        <w:t>trend</w:t>
      </w:r>
      <w:r w:rsidR="00AA0E49">
        <w:t>.</w:t>
      </w:r>
    </w:p>
    <w:p w:rsidR="00EE61EC" w:rsidRDefault="00443277" w:rsidP="00135497">
      <w:pPr>
        <w:tabs>
          <w:tab w:val="left" w:pos="0"/>
        </w:tabs>
        <w:spacing w:line="480" w:lineRule="auto"/>
        <w:ind w:firstLine="720"/>
        <w:jc w:val="both"/>
        <w:rPr>
          <w:b/>
        </w:rPr>
      </w:pPr>
      <w:r w:rsidRPr="00443277">
        <w:pict>
          <v:group id="_x0000_s1056" editas="canvas" style="position:absolute;left:0;text-align:left;margin-left:6.1pt;margin-top:7.5pt;width:437.45pt;height:280.8pt;z-index:251659264" coordorigin="2529,4739" coordsize="673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529;top:4739;width:6730;height:4320" o:preferrelative="f" stroked="t" strokecolor="black [3213]">
              <v:fill o:detectmouseclick="t"/>
              <v:path o:extrusionok="t" o:connecttype="none"/>
              <o:lock v:ext="edit" text="t"/>
            </v:shape>
            <v:shapetype id="_x0000_t32" coordsize="21600,21600" o:spt="32" o:oned="t" path="m,l21600,21600e" filled="f">
              <v:path arrowok="t" fillok="f" o:connecttype="none"/>
              <o:lock v:ext="edit" shapetype="t"/>
            </v:shapetype>
            <v:shape id="_x0000_s1058" type="#_x0000_t32" style="position:absolute;left:3317;top:5284;width:10;height:3207" o:connectortype="straight"/>
            <v:shape id="_x0000_s1059" type="#_x0000_t32" style="position:absolute;left:3153;top:8251;width:5192;height:1" o:connectortype="straight"/>
            <v:shapetype id="_x0000_t202" coordsize="21600,21600" o:spt="202" path="m,l,21600r21600,l21600,xe">
              <v:stroke joinstyle="miter"/>
              <v:path gradientshapeok="t" o:connecttype="rect"/>
            </v:shapetype>
            <v:shape id="_x0000_s1060" type="#_x0000_t202" style="position:absolute;left:8288;top:8077;width:776;height:319" stroked="f">
              <v:textbox style="mso-next-textbox:#_x0000_s1060">
                <w:txbxContent>
                  <w:p w:rsidR="00350D70" w:rsidRDefault="00350D70" w:rsidP="00D939EA">
                    <w:r>
                      <w:t>Year</w:t>
                    </w:r>
                  </w:p>
                </w:txbxContent>
              </v:textbox>
            </v:shape>
            <v:shape id="_x0000_s1061" type="#_x0000_t202" style="position:absolute;left:2746;top:5226;width:573;height:320" filled="f" stroked="f">
              <v:textbox style="mso-next-textbox:#_x0000_s1061">
                <w:txbxContent>
                  <w:p w:rsidR="00350D70" w:rsidRDefault="00350D70" w:rsidP="00D939EA">
                    <w:proofErr w:type="gramStart"/>
                    <w:r>
                      <w:t>E(</w:t>
                    </w:r>
                    <w:proofErr w:type="gramEnd"/>
                    <w:r>
                      <w:t>$)</w:t>
                    </w:r>
                  </w:p>
                </w:txbxContent>
              </v:textbox>
            </v:shape>
            <v:shape id="_x0000_s1062" type="#_x0000_t202" style="position:absolute;left:5602;top:8300;width:712;height:320" stroked="f">
              <v:textbox style="mso-next-textbox:#_x0000_s1062">
                <w:txbxContent>
                  <w:p w:rsidR="00350D70" w:rsidRDefault="00350D70" w:rsidP="00D939EA">
                    <w:r>
                      <w:t>2007</w:t>
                    </w:r>
                  </w:p>
                </w:txbxContent>
              </v:textbox>
            </v:shape>
            <v:oval id="_x0000_s1063" style="position:absolute;left:3634;top:7768;width:155;height:145" fillcolor="#666 [1936]" strokecolor="black [3200]" strokeweight="1pt">
              <v:fill color2="black [3200]" focus="50%" type="gradient"/>
              <v:shadow on="t" type="perspective" color="#7f7f7f [1601]" offset="1pt" offset2="-3pt"/>
            </v:oval>
            <v:oval id="_x0000_s1064" style="position:absolute;left:4012;top:7693;width:155;height:144" fillcolor="#666 [1936]" strokecolor="black [3200]" strokeweight="1pt">
              <v:fill color2="black [3200]" focus="50%" type="gradient"/>
              <v:shadow on="t" type="perspective" color="#7f7f7f [1601]" offset="1pt" offset2="-3pt"/>
            </v:oval>
            <v:oval id="_x0000_s1065" style="position:absolute;left:4408;top:7627;width:156;height:144" fillcolor="#666 [1936]" strokecolor="black [3200]" strokeweight="1pt">
              <v:fill color2="black [3200]" focus="50%" type="gradient"/>
              <v:shadow on="t" type="perspective" color="#7f7f7f [1601]" offset="1pt" offset2="-3pt"/>
            </v:oval>
            <v:oval id="_x0000_s1066" style="position:absolute;left:4825;top:7552;width:156;height:144" fillcolor="#666 [1936]" strokecolor="black [3200]" strokeweight="1pt">
              <v:fill color2="black [3200]" focus="50%" type="gradient"/>
              <v:shadow on="t" type="perspective" color="#7f7f7f [1601]" offset="1pt" offset2="-3pt"/>
            </v:oval>
            <v:oval id="_x0000_s1067" style="position:absolute;left:5199;top:7482;width:155;height:142" fillcolor="#666 [1936]" strokecolor="black [3200]" strokeweight="1pt">
              <v:fill color2="black [3200]" focus="50%" type="gradient"/>
              <v:shadow on="t" type="perspective" color="#7f7f7f [1601]" offset="1pt" offset2="-3pt"/>
            </v:oval>
            <v:oval id="_x0000_s1068" style="position:absolute;left:5547;top:7436;width:156;height:142" fillcolor="#666 [1936]" strokecolor="black [3200]" strokeweight="1pt">
              <v:fill color2="black [3200]" focus="50%" type="gradient"/>
              <v:shadow on="t" type="perspective" color="#7f7f7f [1601]" offset="1pt" offset2="-3pt"/>
            </v:oval>
            <v:oval id="_x0000_s1069" style="position:absolute;left:5829;top:7351;width:155;height:142" fillcolor="#666 [1936]" strokecolor="#666 [1936]" strokeweight="1pt">
              <v:fill color2="#ccc [656]" angle="-45" focus="-50%" type="gradient"/>
              <v:shadow on="t" type="perspective" color="#7f7f7f [1601]" opacity=".5" offset="1pt" offset2="-3pt"/>
            </v:oval>
            <v:oval id="_x0000_s1070" style="position:absolute;left:6053;top:7112;width:154;height:141" fillcolor="#666 [1936]" strokecolor="#666 [1936]" strokeweight="1pt">
              <v:fill color2="#ccc [656]" angle="-45" focus="-50%" type="gradient"/>
              <v:shadow on="t" type="perspective" color="#7f7f7f [1601]" opacity=".5" offset="1pt" offset2="-3pt"/>
            </v:oval>
            <v:oval id="_x0000_s1071" style="position:absolute;left:6295;top:6883;width:155;height:140" fillcolor="#666 [1936]" strokecolor="#666 [1936]" strokeweight="1pt">
              <v:fill color2="#ccc [656]" angle="-45" focus="-50%" type="gradient"/>
              <v:shadow on="t" type="perspective" color="#7f7f7f [1601]" opacity=".5" offset="1pt" offset2="-3pt"/>
            </v:oval>
            <v:oval id="_x0000_s1072" style="position:absolute;left:6518;top:6652;width:155;height:140" fillcolor="#666 [1936]" strokecolor="#666 [1936]" strokeweight="1pt">
              <v:fill color2="#ccc [656]" angle="-45" focus="-50%" type="gradient"/>
              <v:shadow on="t" type="perspective" color="#7f7f7f [1601]" opacity=".5" offset="1pt" offset2="-3pt"/>
            </v:oval>
            <v:oval id="_x0000_s1073" style="position:absolute;left:6732;top:6423;width:155;height:140" fillcolor="#666 [1936]" strokecolor="#666 [1936]" strokeweight="1pt">
              <v:fill color2="#ccc [656]" angle="-45" focus="-50%" type="gradient"/>
              <v:shadow on="t" type="perspective" color="#7f7f7f [1601]" opacity=".5" offset="1pt" offset2="-3pt"/>
            </v:oval>
            <v:oval id="_x0000_s1074" style="position:absolute;left:6947;top:6193;width:154;height:140" fillcolor="#666 [1936]" strokecolor="#666 [1936]" strokeweight="1pt">
              <v:fill color2="#ccc [656]" angle="-45" focus="-50%" type="gradient"/>
              <v:shadow on="t" type="perspective" color="#7f7f7f [1601]" opacity=".5" offset="1pt" offset2="-3pt"/>
            </v:oval>
            <v:oval id="_x0000_s1075" style="position:absolute;left:7142;top:5953;width:154;height:140" fillcolor="#666 [1936]" strokecolor="#666 [1936]" strokeweight="1pt">
              <v:fill color2="#ccc [656]" angle="-45" focus="-50%" type="gradient"/>
              <v:shadow on="t" type="perspective" color="#7f7f7f [1601]" opacity=".5" offset="1pt" offset2="-3pt"/>
            </v:oval>
            <v:shape id="_x0000_s1076" type="#_x0000_t202" style="position:absolute;left:6983;top:8312;width:754;height:320" stroked="f">
              <v:textbox style="mso-next-textbox:#_x0000_s1076">
                <w:txbxContent>
                  <w:p w:rsidR="00350D70" w:rsidRDefault="00350D70" w:rsidP="00D939EA">
                    <w:r>
                      <w:t>2013</w:t>
                    </w:r>
                  </w:p>
                </w:txbxContent>
              </v:textbox>
            </v:shape>
            <v:shape id="_x0000_s1077" type="#_x0000_t202" style="position:absolute;left:3467;top:8324;width:797;height:320" stroked="f">
              <v:textbox style="mso-next-textbox:#_x0000_s1077">
                <w:txbxContent>
                  <w:p w:rsidR="00350D70" w:rsidRDefault="00350D70" w:rsidP="00D939EA">
                    <w:r>
                      <w:t>2001</w:t>
                    </w:r>
                  </w:p>
                </w:txbxContent>
              </v:textbox>
            </v:shape>
            <v:shape id="_x0000_s1078" type="#_x0000_t32" style="position:absolute;left:3715;top:7472;width:2137;height:378;flip:y" o:connectortype="straight" strokecolor="black [3213]" strokeweight="3pt">
              <v:stroke dashstyle="1 1"/>
            </v:shape>
            <v:shape id="_x0000_s1079" type="#_x0000_t32" style="position:absolute;left:7264;top:6072;width:10;height:2159;flip:y" o:connectortype="straight">
              <v:stroke dashstyle="1 1"/>
            </v:shape>
            <v:shape id="_x0000_s1080" type="#_x0000_t32" style="position:absolute;left:5907;top:7493;width:1;height:740;flip:x y" o:connectortype="straight">
              <v:stroke dashstyle="1 1"/>
            </v:shape>
            <v:shape id="_x0000_s1081" type="#_x0000_t32" style="position:absolute;left:3712;top:7913;width:4;height:331;flip:x y" o:connectortype="straight">
              <v:stroke dashstyle="1 1"/>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82" type="#_x0000_t42" style="position:absolute;left:3576;top:6504;width:1454;height:517" adj="27989,42107,25451,5786,22971,5786,5177,-10350">
              <v:stroke startarrow="block"/>
              <v:textbox style="mso-next-textbox:#_x0000_s1082">
                <w:txbxContent>
                  <w:p w:rsidR="00350D70" w:rsidRDefault="00350D70" w:rsidP="00B24377">
                    <w:pPr>
                      <w:shd w:val="clear" w:color="auto" w:fill="D9D9D9" w:themeFill="background1" w:themeFillShade="D9"/>
                      <w:jc w:val="center"/>
                      <w:rPr>
                        <w:sz w:val="20"/>
                        <w:szCs w:val="20"/>
                      </w:rPr>
                    </w:pPr>
                    <w:r>
                      <w:rPr>
                        <w:sz w:val="20"/>
                        <w:szCs w:val="20"/>
                      </w:rPr>
                      <w:t>Black dashed line:</w:t>
                    </w:r>
                  </w:p>
                  <w:p w:rsidR="00350D70" w:rsidRPr="004B3F0C" w:rsidRDefault="00350D70" w:rsidP="00B24377">
                    <w:pPr>
                      <w:shd w:val="clear" w:color="auto" w:fill="D9D9D9" w:themeFill="background1" w:themeFillShade="D9"/>
                      <w:jc w:val="center"/>
                      <w:rPr>
                        <w:sz w:val="20"/>
                        <w:szCs w:val="20"/>
                      </w:rPr>
                    </w:pPr>
                    <w:r>
                      <w:rPr>
                        <w:sz w:val="20"/>
                        <w:szCs w:val="20"/>
                      </w:rPr>
                      <w:t xml:space="preserve">2001-2006 </w:t>
                    </w:r>
                    <w:proofErr w:type="gramStart"/>
                    <w:r>
                      <w:rPr>
                        <w:sz w:val="20"/>
                        <w:szCs w:val="20"/>
                      </w:rPr>
                      <w:t>trend</w:t>
                    </w:r>
                    <w:proofErr w:type="gramEnd"/>
                  </w:p>
                </w:txbxContent>
              </v:textbox>
              <o:callout v:ext="edit" minusx="t" minusy="t"/>
            </v:shape>
            <v:shape id="_x0000_s1083" type="#_x0000_t32" style="position:absolute;left:5852;top:6093;width:1367;height:1379;flip:y" o:connectortype="straight" strokecolor="#7f7f7f [1612]" strokeweight="3pt">
              <v:stroke dashstyle="1 1"/>
            </v:shape>
            <v:shape id="_x0000_s1084" type="#_x0000_t42" style="position:absolute;left:7671;top:6514;width:1415;height:528" adj="-10724,-3054,-6014,5668,-1409,5668,6577,-13980">
              <v:stroke startarrow="block"/>
              <v:textbox style="mso-next-textbox:#_x0000_s1084">
                <w:txbxContent>
                  <w:p w:rsidR="00350D70" w:rsidRPr="004B3F0C" w:rsidRDefault="00350D70" w:rsidP="00B24377">
                    <w:pPr>
                      <w:shd w:val="clear" w:color="auto" w:fill="D9D9D9" w:themeFill="background1" w:themeFillShade="D9"/>
                      <w:jc w:val="center"/>
                      <w:rPr>
                        <w:sz w:val="20"/>
                        <w:szCs w:val="20"/>
                      </w:rPr>
                    </w:pPr>
                    <w:r>
                      <w:rPr>
                        <w:sz w:val="20"/>
                        <w:szCs w:val="20"/>
                      </w:rPr>
                      <w:t xml:space="preserve">Grey dashed line: 2007-2013 </w:t>
                    </w:r>
                    <w:proofErr w:type="gramStart"/>
                    <w:r>
                      <w:rPr>
                        <w:sz w:val="20"/>
                        <w:szCs w:val="20"/>
                      </w:rPr>
                      <w:t>trend</w:t>
                    </w:r>
                    <w:proofErr w:type="gramEnd"/>
                  </w:p>
                </w:txbxContent>
              </v:textbox>
            </v:shape>
            <v:shape id="_x0000_s1085" type="#_x0000_t202" style="position:absolute;left:5147;top:4942;width:1570;height:337" stroked="f">
              <v:textbox style="mso-next-textbox:#_x0000_s1085">
                <w:txbxContent>
                  <w:p w:rsidR="00350D70" w:rsidRPr="004F0BEB" w:rsidRDefault="00350D70" w:rsidP="00D939EA">
                    <w:pPr>
                      <w:jc w:val="center"/>
                      <w:rPr>
                        <w:b/>
                      </w:rPr>
                    </w:pPr>
                    <w:r w:rsidRPr="004F0BEB">
                      <w:rPr>
                        <w:b/>
                      </w:rPr>
                      <w:t>Figure 1</w:t>
                    </w:r>
                  </w:p>
                </w:txbxContent>
              </v:textbox>
            </v:shape>
            <v:shape id="_x0000_s1086" type="#_x0000_t42" style="position:absolute;left:3917;top:5685;width:1683;height:654" adj="25381,53720,24068,4574,22785,4574,7414,-8183">
              <v:stroke startarrow="block"/>
              <v:textbox style="mso-next-textbox:#_x0000_s1086">
                <w:txbxContent>
                  <w:p w:rsidR="00350D70" w:rsidRPr="004B3F0C" w:rsidRDefault="00350D70" w:rsidP="00B24377">
                    <w:pPr>
                      <w:shd w:val="clear" w:color="auto" w:fill="D9D9D9" w:themeFill="background1" w:themeFillShade="D9"/>
                      <w:jc w:val="center"/>
                      <w:rPr>
                        <w:sz w:val="20"/>
                        <w:szCs w:val="20"/>
                      </w:rPr>
                    </w:pPr>
                    <w:r>
                      <w:rPr>
                        <w:sz w:val="20"/>
                        <w:szCs w:val="20"/>
                      </w:rPr>
                      <w:t>2007: “kink point” where the trend changes</w:t>
                    </w:r>
                  </w:p>
                </w:txbxContent>
              </v:textbox>
              <o:callout v:ext="edit" minusx="t" minusy="t"/>
            </v:shape>
          </v:group>
        </w:pict>
      </w: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9B3C62" w:rsidRPr="009B3C62" w:rsidRDefault="009B3C62" w:rsidP="00135497">
      <w:pPr>
        <w:tabs>
          <w:tab w:val="left" w:pos="0"/>
        </w:tabs>
        <w:spacing w:line="480" w:lineRule="auto"/>
        <w:ind w:firstLine="720"/>
        <w:jc w:val="both"/>
        <w:rPr>
          <w:b/>
        </w:rPr>
      </w:pPr>
      <w:r w:rsidRPr="009B3C62">
        <w:rPr>
          <w:b/>
        </w:rPr>
        <w:t xml:space="preserve">Q.  </w:t>
      </w:r>
      <w:r w:rsidR="00743C20">
        <w:rPr>
          <w:b/>
        </w:rPr>
        <w:tab/>
        <w:t xml:space="preserve">Is there </w:t>
      </w:r>
      <w:r w:rsidRPr="009B3C62">
        <w:rPr>
          <w:b/>
        </w:rPr>
        <w:t xml:space="preserve">reason to believe the 2007-2013 expenditure trend will revert to the 2001-2006 period </w:t>
      </w:r>
      <w:proofErr w:type="gramStart"/>
      <w:r w:rsidRPr="009B3C62">
        <w:rPr>
          <w:b/>
        </w:rPr>
        <w:t>trend</w:t>
      </w:r>
      <w:proofErr w:type="gramEnd"/>
      <w:r>
        <w:rPr>
          <w:b/>
        </w:rPr>
        <w:t xml:space="preserve"> in the near future</w:t>
      </w:r>
      <w:r w:rsidRPr="009B3C62">
        <w:rPr>
          <w:b/>
        </w:rPr>
        <w:t>?</w:t>
      </w:r>
      <w:r w:rsidR="000A1E11" w:rsidRPr="009B3C62">
        <w:rPr>
          <w:b/>
        </w:rPr>
        <w:t xml:space="preserve"> </w:t>
      </w:r>
      <w:r w:rsidR="00D74C30" w:rsidRPr="009B3C62">
        <w:rPr>
          <w:b/>
        </w:rPr>
        <w:t xml:space="preserve"> </w:t>
      </w:r>
      <w:r w:rsidR="00014774" w:rsidRPr="009B3C62">
        <w:rPr>
          <w:b/>
        </w:rPr>
        <w:t xml:space="preserve"> </w:t>
      </w:r>
    </w:p>
    <w:p w:rsidR="00AB5B14" w:rsidRDefault="009B3C62" w:rsidP="00AB5B14">
      <w:pPr>
        <w:tabs>
          <w:tab w:val="left" w:pos="0"/>
        </w:tabs>
        <w:spacing w:line="480" w:lineRule="auto"/>
        <w:ind w:firstLine="720"/>
        <w:jc w:val="both"/>
      </w:pPr>
      <w:r>
        <w:t>A.</w:t>
      </w:r>
      <w:r w:rsidR="00014774">
        <w:t xml:space="preserve">   </w:t>
      </w:r>
      <w:r w:rsidR="00743C20">
        <w:tab/>
      </w:r>
      <w:r>
        <w:t xml:space="preserve">No.  Given current and planned </w:t>
      </w:r>
      <w:r w:rsidR="00335F61">
        <w:t>expenditures</w:t>
      </w:r>
      <w:r w:rsidR="00537AB7">
        <w:t xml:space="preserve"> by </w:t>
      </w:r>
      <w:r w:rsidR="00743C20">
        <w:t>the C</w:t>
      </w:r>
      <w:r w:rsidR="004D23C6">
        <w:t>ompany</w:t>
      </w:r>
      <w:r>
        <w:t xml:space="preserve">, </w:t>
      </w:r>
      <w:r w:rsidR="00537AB7">
        <w:t xml:space="preserve">we do not </w:t>
      </w:r>
      <w:r w:rsidR="004D23C6">
        <w:t>foresee</w:t>
      </w:r>
      <w:r>
        <w:t xml:space="preserve"> a return to the expenditure </w:t>
      </w:r>
      <w:r w:rsidR="00281EB4">
        <w:t xml:space="preserve">trend </w:t>
      </w:r>
      <w:r>
        <w:t xml:space="preserve">of the 2001-2006 </w:t>
      </w:r>
      <w:proofErr w:type="gramStart"/>
      <w:r>
        <w:t>period</w:t>
      </w:r>
      <w:proofErr w:type="gramEnd"/>
      <w:r w:rsidR="00350D70">
        <w:t xml:space="preserve"> in the near-term</w:t>
      </w:r>
      <w:r>
        <w:t>.</w:t>
      </w:r>
      <w:r w:rsidR="006750AF">
        <w:t xml:space="preserve">  </w:t>
      </w:r>
      <w:r w:rsidR="006750AF" w:rsidRPr="003F25F8">
        <w:t>In fact, the expectation is that expenditures will experience accelerated</w:t>
      </w:r>
      <w:r w:rsidR="005A7C92" w:rsidRPr="003F25F8">
        <w:t>, non-linear</w:t>
      </w:r>
      <w:r w:rsidR="00743C20" w:rsidRPr="003F25F8">
        <w:t xml:space="preserve"> growth during </w:t>
      </w:r>
      <w:r w:rsidR="006750AF" w:rsidRPr="003F25F8">
        <w:t xml:space="preserve">the 2014-2016 </w:t>
      </w:r>
      <w:proofErr w:type="gramStart"/>
      <w:r w:rsidR="006750AF" w:rsidRPr="003F25F8">
        <w:t>period</w:t>
      </w:r>
      <w:proofErr w:type="gramEnd"/>
      <w:r w:rsidR="006750AF" w:rsidRPr="003F25F8">
        <w:t>.</w:t>
      </w:r>
      <w:r w:rsidR="005A7C92">
        <w:t xml:space="preserve">  </w:t>
      </w:r>
      <w:r w:rsidR="00281EB4">
        <w:t>Mr. Thies, in his testimony, explains why Avista has increased its capital spending in recent years, and why it plans to continue a higher level of spending for</w:t>
      </w:r>
      <w:r w:rsidR="003F25F8">
        <w:t xml:space="preserve"> </w:t>
      </w:r>
      <w:r w:rsidR="003F25F8">
        <w:lastRenderedPageBreak/>
        <w:t>the near-term.  Ms. Andrews has</w:t>
      </w:r>
      <w:r w:rsidR="00281EB4">
        <w:t xml:space="preserve"> made an adjustment to the capital investment-related growth rates to better reflect the rate year, which she explains in her testimony.</w:t>
      </w:r>
    </w:p>
    <w:p w:rsidR="004F4BEB" w:rsidRDefault="004F4BEB" w:rsidP="00AB5B14">
      <w:pPr>
        <w:tabs>
          <w:tab w:val="left" w:pos="0"/>
        </w:tabs>
        <w:spacing w:line="480" w:lineRule="auto"/>
        <w:ind w:firstLine="720"/>
        <w:jc w:val="both"/>
      </w:pPr>
    </w:p>
    <w:p w:rsidR="008B3047" w:rsidRPr="005A7C92" w:rsidRDefault="00EB672D" w:rsidP="005A7C92">
      <w:pPr>
        <w:tabs>
          <w:tab w:val="left" w:pos="0"/>
        </w:tabs>
        <w:spacing w:line="480" w:lineRule="auto"/>
        <w:ind w:firstLine="720"/>
        <w:jc w:val="center"/>
        <w:rPr>
          <w:b/>
          <w:u w:val="single"/>
        </w:rPr>
      </w:pPr>
      <w:r>
        <w:rPr>
          <w:b/>
          <w:bCs/>
          <w:u w:val="single"/>
        </w:rPr>
        <w:t>I</w:t>
      </w:r>
      <w:r w:rsidR="00847FA4">
        <w:rPr>
          <w:b/>
          <w:bCs/>
          <w:u w:val="single"/>
        </w:rPr>
        <w:t>V</w:t>
      </w:r>
      <w:r>
        <w:rPr>
          <w:b/>
          <w:bCs/>
          <w:u w:val="single"/>
        </w:rPr>
        <w:t xml:space="preserve">. </w:t>
      </w:r>
      <w:r w:rsidRPr="005A7C92">
        <w:rPr>
          <w:b/>
          <w:u w:val="single"/>
        </w:rPr>
        <w:t>THE COMPOUND GROWTH FORMULA</w:t>
      </w:r>
    </w:p>
    <w:p w:rsidR="008B3047" w:rsidRPr="009216E2" w:rsidRDefault="00D94615" w:rsidP="00135497">
      <w:pPr>
        <w:tabs>
          <w:tab w:val="left" w:pos="0"/>
        </w:tabs>
        <w:spacing w:line="480" w:lineRule="auto"/>
        <w:ind w:firstLine="720"/>
        <w:jc w:val="both"/>
        <w:rPr>
          <w:b/>
        </w:rPr>
      </w:pPr>
      <w:r w:rsidRPr="009216E2">
        <w:rPr>
          <w:b/>
        </w:rPr>
        <w:t xml:space="preserve">Q. </w:t>
      </w:r>
      <w:r w:rsidR="00281EB4">
        <w:rPr>
          <w:b/>
        </w:rPr>
        <w:tab/>
      </w:r>
      <w:r w:rsidR="009216E2" w:rsidRPr="009216E2">
        <w:rPr>
          <w:b/>
        </w:rPr>
        <w:t>What is the compound growth formula</w:t>
      </w:r>
      <w:r w:rsidR="00281EB4">
        <w:rPr>
          <w:b/>
        </w:rPr>
        <w:t xml:space="preserve">, and why is appropriate for the </w:t>
      </w:r>
      <w:r w:rsidR="003F25F8">
        <w:rPr>
          <w:b/>
        </w:rPr>
        <w:t>trend</w:t>
      </w:r>
      <w:r w:rsidR="00281EB4">
        <w:rPr>
          <w:b/>
        </w:rPr>
        <w:t xml:space="preserve"> analysis</w:t>
      </w:r>
      <w:r w:rsidR="009216E2" w:rsidRPr="009216E2">
        <w:rPr>
          <w:b/>
        </w:rPr>
        <w:t>?</w:t>
      </w:r>
    </w:p>
    <w:p w:rsidR="0045734E" w:rsidRDefault="009216E2" w:rsidP="0045734E">
      <w:pPr>
        <w:tabs>
          <w:tab w:val="left" w:pos="0"/>
        </w:tabs>
        <w:spacing w:line="480" w:lineRule="auto"/>
        <w:ind w:firstLine="720"/>
        <w:jc w:val="both"/>
      </w:pPr>
      <w:r>
        <w:t xml:space="preserve">A. </w:t>
      </w:r>
      <w:r w:rsidR="00281EB4">
        <w:tab/>
      </w:r>
      <w:r>
        <w:t xml:space="preserve">The </w:t>
      </w:r>
      <w:r w:rsidRPr="00EB3CF0">
        <w:rPr>
          <w:b/>
          <w:i/>
        </w:rPr>
        <w:t>compound growth rate formula</w:t>
      </w:r>
      <w:r>
        <w:t xml:space="preserve"> (CGF) has wide applications in finance and economics.</w:t>
      </w:r>
      <w:r w:rsidR="005A7C92">
        <w:t xml:space="preserve">  </w:t>
      </w:r>
      <w:r w:rsidR="004D23C6">
        <w:t>The</w:t>
      </w:r>
      <w:r w:rsidR="005A7C92">
        <w:t xml:space="preserve"> CGF is appropriate when a given variable</w:t>
      </w:r>
      <w:r w:rsidR="004D23C6">
        <w:t xml:space="preserve">—for example, a dollar value—is </w:t>
      </w:r>
      <w:r w:rsidR="005A7C92">
        <w:t xml:space="preserve">expected </w:t>
      </w:r>
      <w:r w:rsidR="005A7C92" w:rsidRPr="00281EB4">
        <w:t>to increase in a non-linear fashion over time,</w:t>
      </w:r>
      <w:r w:rsidR="005A7C92">
        <w:t xml:space="preserve"> starting from a given base period.   </w:t>
      </w:r>
      <w:r w:rsidR="004C320D">
        <w:t xml:space="preserve">The basic </w:t>
      </w:r>
      <w:r w:rsidR="004D23C6">
        <w:t>CGF</w:t>
      </w:r>
      <w:r w:rsidR="004C320D">
        <w:t xml:space="preserve"> is given as </w:t>
      </w:r>
      <w:proofErr w:type="spellStart"/>
      <w:r w:rsidR="00EC660C">
        <w:t>V</w:t>
      </w:r>
      <w:r w:rsidR="00EC660C" w:rsidRPr="004C320D">
        <w:rPr>
          <w:vertAlign w:val="subscript"/>
        </w:rPr>
        <w:t>t</w:t>
      </w:r>
      <w:proofErr w:type="spellEnd"/>
      <w:r w:rsidR="00EC660C">
        <w:t xml:space="preserve"> = </w:t>
      </w:r>
      <w:proofErr w:type="gramStart"/>
      <w:r w:rsidR="004C320D">
        <w:t>V</w:t>
      </w:r>
      <w:r w:rsidR="004C320D" w:rsidRPr="004C320D">
        <w:rPr>
          <w:vertAlign w:val="subscript"/>
        </w:rPr>
        <w:t>0</w:t>
      </w:r>
      <w:r w:rsidR="004C320D">
        <w:t>(</w:t>
      </w:r>
      <w:proofErr w:type="gramEnd"/>
      <w:r w:rsidR="004C320D">
        <w:t>1+r)</w:t>
      </w:r>
      <w:r w:rsidR="004C320D" w:rsidRPr="004C320D">
        <w:rPr>
          <w:vertAlign w:val="superscript"/>
        </w:rPr>
        <w:t>t</w:t>
      </w:r>
      <w:r w:rsidR="004C320D">
        <w:t>.  Here, V</w:t>
      </w:r>
      <w:r w:rsidR="004C320D" w:rsidRPr="004C320D">
        <w:rPr>
          <w:vertAlign w:val="subscript"/>
        </w:rPr>
        <w:t>0</w:t>
      </w:r>
      <w:r w:rsidR="004C320D">
        <w:t xml:space="preserve"> is the starting base period value from which compounding starts; r is the assumed annual growth rate of V starting from V</w:t>
      </w:r>
      <w:r w:rsidR="004C320D" w:rsidRPr="004C320D">
        <w:rPr>
          <w:vertAlign w:val="subscript"/>
        </w:rPr>
        <w:t>0</w:t>
      </w:r>
      <w:r w:rsidR="004C320D">
        <w:t xml:space="preserve">; </w:t>
      </w:r>
      <w:r w:rsidR="001D0E55">
        <w:t xml:space="preserve">t is the number of years over which r is to be applied; and </w:t>
      </w:r>
      <w:proofErr w:type="spellStart"/>
      <w:proofErr w:type="gramStart"/>
      <w:r w:rsidR="001D0E55">
        <w:t>V</w:t>
      </w:r>
      <w:r w:rsidR="001D0E55" w:rsidRPr="001D0E55">
        <w:rPr>
          <w:vertAlign w:val="subscript"/>
        </w:rPr>
        <w:t>t</w:t>
      </w:r>
      <w:proofErr w:type="spellEnd"/>
      <w:proofErr w:type="gramEnd"/>
      <w:r w:rsidR="001D0E55">
        <w:t xml:space="preserve"> is the amount of V after t years of growth at rate r. </w:t>
      </w:r>
      <w:r w:rsidR="0045734E">
        <w:t xml:space="preserve"> The </w:t>
      </w:r>
      <w:r w:rsidR="00607571">
        <w:t xml:space="preserve">entire </w:t>
      </w:r>
      <w:r w:rsidR="0045734E">
        <w:t>term (1+r</w:t>
      </w:r>
      <w:proofErr w:type="gramStart"/>
      <w:r w:rsidR="0045734E">
        <w:t>)</w:t>
      </w:r>
      <w:r w:rsidR="0045734E" w:rsidRPr="0045734E">
        <w:rPr>
          <w:vertAlign w:val="superscript"/>
        </w:rPr>
        <w:t>t</w:t>
      </w:r>
      <w:proofErr w:type="gramEnd"/>
      <w:r w:rsidR="0045734E">
        <w:t xml:space="preserve"> is called the </w:t>
      </w:r>
      <w:r w:rsidR="0045734E" w:rsidRPr="00D2575B">
        <w:rPr>
          <w:b/>
          <w:i/>
        </w:rPr>
        <w:t>compound factor</w:t>
      </w:r>
      <w:r w:rsidR="0045734E">
        <w:t>.</w:t>
      </w:r>
    </w:p>
    <w:p w:rsidR="00461468" w:rsidRDefault="00461468" w:rsidP="0045734E">
      <w:pPr>
        <w:tabs>
          <w:tab w:val="left" w:pos="0"/>
        </w:tabs>
        <w:spacing w:line="480" w:lineRule="auto"/>
        <w:ind w:firstLine="720"/>
        <w:jc w:val="both"/>
        <w:rPr>
          <w:b/>
        </w:rPr>
      </w:pPr>
      <w:r w:rsidRPr="009216E2">
        <w:rPr>
          <w:b/>
        </w:rPr>
        <w:t xml:space="preserve">Q. </w:t>
      </w:r>
      <w:r w:rsidR="00281EB4">
        <w:rPr>
          <w:b/>
        </w:rPr>
        <w:tab/>
      </w:r>
      <w:r>
        <w:rPr>
          <w:b/>
        </w:rPr>
        <w:t>Can this formula be demonstrated with a simple example</w:t>
      </w:r>
      <w:r w:rsidRPr="009216E2">
        <w:rPr>
          <w:b/>
        </w:rPr>
        <w:t>?</w:t>
      </w:r>
    </w:p>
    <w:p w:rsidR="00461468" w:rsidRDefault="00461468" w:rsidP="0045734E">
      <w:pPr>
        <w:tabs>
          <w:tab w:val="left" w:pos="0"/>
        </w:tabs>
        <w:spacing w:line="480" w:lineRule="auto"/>
        <w:ind w:firstLine="720"/>
        <w:jc w:val="both"/>
      </w:pPr>
      <w:r w:rsidRPr="00461468">
        <w:t xml:space="preserve">A. </w:t>
      </w:r>
      <w:r w:rsidR="00281EB4">
        <w:tab/>
      </w:r>
      <w:r>
        <w:t>Yes.  Let V</w:t>
      </w:r>
      <w:r w:rsidRPr="00461468">
        <w:rPr>
          <w:vertAlign w:val="subscript"/>
        </w:rPr>
        <w:t>0</w:t>
      </w:r>
      <w:r>
        <w:t xml:space="preserve"> = $100</w:t>
      </w:r>
      <w:r w:rsidR="00D2575B">
        <w:t xml:space="preserve"> for the base period value; r = 0.10; </w:t>
      </w:r>
      <w:r>
        <w:t>and t = 3.  At the end of year 3, V</w:t>
      </w:r>
      <w:r w:rsidRPr="00461468">
        <w:rPr>
          <w:vertAlign w:val="subscript"/>
        </w:rPr>
        <w:t>0</w:t>
      </w:r>
      <w:r>
        <w:t xml:space="preserve"> will have grown to $100(1</w:t>
      </w:r>
      <w:r w:rsidR="00C346F6">
        <w:t xml:space="preserve"> </w:t>
      </w:r>
      <w:r>
        <w:t>+</w:t>
      </w:r>
      <w:r w:rsidR="00C346F6">
        <w:t xml:space="preserve"> </w:t>
      </w:r>
      <w:r>
        <w:t>0.10)</w:t>
      </w:r>
      <w:r w:rsidRPr="00461468">
        <w:rPr>
          <w:vertAlign w:val="superscript"/>
        </w:rPr>
        <w:t>3</w:t>
      </w:r>
      <w:r>
        <w:t xml:space="preserve"> = $100(1.10)</w:t>
      </w:r>
      <w:r w:rsidRPr="00461468">
        <w:rPr>
          <w:vertAlign w:val="superscript"/>
        </w:rPr>
        <w:t>3</w:t>
      </w:r>
      <w:r>
        <w:t xml:space="preserve"> = $100(1.331) = $133.10.  </w:t>
      </w:r>
      <w:r w:rsidR="00D2575B">
        <w:t>That is, at the end of year 3, V</w:t>
      </w:r>
      <w:r w:rsidR="00D2575B" w:rsidRPr="00461468">
        <w:rPr>
          <w:vertAlign w:val="subscript"/>
        </w:rPr>
        <w:t>3</w:t>
      </w:r>
      <w:r w:rsidR="00D2575B">
        <w:t xml:space="preserve"> = $133.10.  </w:t>
      </w:r>
      <w:r w:rsidR="00156388">
        <w:t xml:space="preserve">Note that the </w:t>
      </w:r>
      <w:r w:rsidR="00156388" w:rsidRPr="00814756">
        <w:t>compound factor</w:t>
      </w:r>
      <w:r w:rsidR="00D2575B">
        <w:t xml:space="preserve"> for t = 3 is 1.331.  </w:t>
      </w:r>
      <w:r w:rsidR="00156388">
        <w:t xml:space="preserve">  </w:t>
      </w:r>
      <w:r w:rsidR="004D23C6">
        <w:t xml:space="preserve">On a year-to-year basis, </w:t>
      </w:r>
      <w:r w:rsidR="00156388">
        <w:t>V</w:t>
      </w:r>
      <w:r w:rsidR="00156388" w:rsidRPr="00156388">
        <w:rPr>
          <w:vertAlign w:val="subscript"/>
        </w:rPr>
        <w:t>0</w:t>
      </w:r>
      <w:r w:rsidR="00156388">
        <w:t xml:space="preserve"> will grow</w:t>
      </w:r>
      <w:r w:rsidR="00435FEA">
        <w:t xml:space="preserve"> as</w:t>
      </w:r>
      <w:r w:rsidR="00156388">
        <w:t xml:space="preserve"> </w:t>
      </w:r>
      <w:r w:rsidR="00D2575B">
        <w:t>follows:</w:t>
      </w:r>
    </w:p>
    <w:p w:rsidR="00EC660C" w:rsidRDefault="00814756" w:rsidP="0045734E">
      <w:pPr>
        <w:tabs>
          <w:tab w:val="left" w:pos="0"/>
        </w:tabs>
        <w:spacing w:line="480" w:lineRule="auto"/>
        <w:ind w:firstLine="720"/>
        <w:jc w:val="both"/>
      </w:pPr>
      <w:r>
        <w:t>[1]</w:t>
      </w:r>
      <w:r w:rsidR="00D2575B">
        <w:t xml:space="preserve"> </w:t>
      </w:r>
      <w:r w:rsidR="00607571">
        <w:t xml:space="preserve">For </w:t>
      </w:r>
      <w:r w:rsidR="00D2575B">
        <w:t xml:space="preserve">t = 1: </w:t>
      </w:r>
      <w:r w:rsidR="00EC660C">
        <w:t>V</w:t>
      </w:r>
      <w:r w:rsidR="00EC660C" w:rsidRPr="00EC660C">
        <w:rPr>
          <w:vertAlign w:val="subscript"/>
        </w:rPr>
        <w:t>1</w:t>
      </w:r>
      <w:r w:rsidR="00EC660C">
        <w:t xml:space="preserve"> = </w:t>
      </w:r>
      <w:r w:rsidR="00D2575B">
        <w:t>$100</w:t>
      </w:r>
      <w:r w:rsidR="007622A3">
        <w:t>*</w:t>
      </w:r>
      <w:r w:rsidR="00D2575B">
        <w:t>(1</w:t>
      </w:r>
      <w:r w:rsidR="00C346F6">
        <w:t xml:space="preserve"> </w:t>
      </w:r>
      <w:r w:rsidR="00D2575B">
        <w:t>+</w:t>
      </w:r>
      <w:r w:rsidR="00C346F6">
        <w:t xml:space="preserve"> </w:t>
      </w:r>
      <w:r w:rsidR="00D2575B">
        <w:t>0.10)</w:t>
      </w:r>
      <w:r w:rsidR="00D2575B">
        <w:rPr>
          <w:vertAlign w:val="superscript"/>
        </w:rPr>
        <w:t>1</w:t>
      </w:r>
      <w:r w:rsidR="00D2575B">
        <w:t xml:space="preserve"> = $100</w:t>
      </w:r>
      <w:r w:rsidR="007622A3">
        <w:t>*</w:t>
      </w:r>
      <w:r w:rsidR="00D2575B">
        <w:t>(1.10)</w:t>
      </w:r>
      <w:r w:rsidR="00D2575B">
        <w:rPr>
          <w:vertAlign w:val="superscript"/>
        </w:rPr>
        <w:t>1</w:t>
      </w:r>
      <w:r w:rsidR="00D2575B">
        <w:t xml:space="preserve"> = $100</w:t>
      </w:r>
      <w:r w:rsidR="007622A3">
        <w:t>*</w:t>
      </w:r>
      <w:r w:rsidR="00D2575B">
        <w:t>(1.10) = $110.00</w:t>
      </w:r>
      <w:r>
        <w:t xml:space="preserve"> </w:t>
      </w:r>
    </w:p>
    <w:p w:rsidR="00EC660C" w:rsidRDefault="00814756" w:rsidP="0045734E">
      <w:pPr>
        <w:tabs>
          <w:tab w:val="left" w:pos="0"/>
        </w:tabs>
        <w:spacing w:line="480" w:lineRule="auto"/>
        <w:ind w:firstLine="720"/>
        <w:jc w:val="both"/>
      </w:pPr>
      <w:r>
        <w:t>[2]</w:t>
      </w:r>
      <w:r w:rsidR="00D2575B">
        <w:t xml:space="preserve"> </w:t>
      </w:r>
      <w:r w:rsidR="00607571">
        <w:t xml:space="preserve">For </w:t>
      </w:r>
      <w:r w:rsidR="00D2575B">
        <w:t xml:space="preserve">t = 2: </w:t>
      </w:r>
      <w:r w:rsidR="00EC660C">
        <w:t>V</w:t>
      </w:r>
      <w:r w:rsidR="00EC660C">
        <w:rPr>
          <w:vertAlign w:val="subscript"/>
        </w:rPr>
        <w:t xml:space="preserve">2 </w:t>
      </w:r>
      <w:r w:rsidR="00EC660C" w:rsidRPr="00EC660C">
        <w:t>=</w:t>
      </w:r>
      <w:r w:rsidR="00EC660C">
        <w:rPr>
          <w:vertAlign w:val="subscript"/>
        </w:rPr>
        <w:t xml:space="preserve"> </w:t>
      </w:r>
      <w:r w:rsidR="00D2575B">
        <w:t>$100</w:t>
      </w:r>
      <w:r w:rsidR="007622A3">
        <w:t>*</w:t>
      </w:r>
      <w:r w:rsidR="00D2575B">
        <w:t>(1</w:t>
      </w:r>
      <w:r w:rsidR="00C346F6">
        <w:t xml:space="preserve"> </w:t>
      </w:r>
      <w:r w:rsidR="00D2575B">
        <w:t>+</w:t>
      </w:r>
      <w:r w:rsidR="00C346F6">
        <w:t xml:space="preserve"> </w:t>
      </w:r>
      <w:r w:rsidR="00D2575B">
        <w:t>0.10)</w:t>
      </w:r>
      <w:r w:rsidR="00D2575B">
        <w:rPr>
          <w:vertAlign w:val="superscript"/>
        </w:rPr>
        <w:t>2</w:t>
      </w:r>
      <w:r w:rsidR="00D2575B">
        <w:t xml:space="preserve"> = $100</w:t>
      </w:r>
      <w:r w:rsidR="007622A3">
        <w:t>*</w:t>
      </w:r>
      <w:r w:rsidR="00D2575B">
        <w:t>(1.10)</w:t>
      </w:r>
      <w:r w:rsidR="00D2575B">
        <w:rPr>
          <w:vertAlign w:val="superscript"/>
        </w:rPr>
        <w:t>2</w:t>
      </w:r>
      <w:r w:rsidR="00D2575B">
        <w:t xml:space="preserve"> = $100</w:t>
      </w:r>
      <w:r w:rsidR="007622A3">
        <w:t>*</w:t>
      </w:r>
      <w:r w:rsidR="00D2575B">
        <w:t>(1.21) = $121.00</w:t>
      </w:r>
    </w:p>
    <w:p w:rsidR="00D2575B" w:rsidRDefault="00814756" w:rsidP="0045734E">
      <w:pPr>
        <w:tabs>
          <w:tab w:val="left" w:pos="0"/>
        </w:tabs>
        <w:spacing w:line="480" w:lineRule="auto"/>
        <w:ind w:firstLine="720"/>
        <w:jc w:val="both"/>
      </w:pPr>
      <w:r>
        <w:t>[3]</w:t>
      </w:r>
      <w:r w:rsidR="00D2575B">
        <w:t xml:space="preserve"> </w:t>
      </w:r>
      <w:r w:rsidR="00607571">
        <w:t xml:space="preserve">For </w:t>
      </w:r>
      <w:r w:rsidR="00D2575B">
        <w:t xml:space="preserve">t = 3: </w:t>
      </w:r>
      <w:r w:rsidR="00EC660C">
        <w:t>V</w:t>
      </w:r>
      <w:r w:rsidR="00EC660C">
        <w:rPr>
          <w:vertAlign w:val="subscript"/>
        </w:rPr>
        <w:t xml:space="preserve">3 </w:t>
      </w:r>
      <w:r w:rsidR="00EC660C" w:rsidRPr="00EC660C">
        <w:t>=</w:t>
      </w:r>
      <w:r w:rsidR="00EC660C">
        <w:t xml:space="preserve"> </w:t>
      </w:r>
      <w:r w:rsidR="00D2575B">
        <w:t>$100</w:t>
      </w:r>
      <w:r w:rsidR="007622A3">
        <w:t>*</w:t>
      </w:r>
      <w:r w:rsidR="00D2575B">
        <w:t>(1</w:t>
      </w:r>
      <w:r w:rsidR="00C346F6">
        <w:t xml:space="preserve"> </w:t>
      </w:r>
      <w:r w:rsidR="00D2575B">
        <w:t>+</w:t>
      </w:r>
      <w:r w:rsidR="00C346F6">
        <w:t xml:space="preserve"> </w:t>
      </w:r>
      <w:r w:rsidR="00D2575B">
        <w:t>0.10)</w:t>
      </w:r>
      <w:r w:rsidR="00D2575B" w:rsidRPr="00461468">
        <w:rPr>
          <w:vertAlign w:val="superscript"/>
        </w:rPr>
        <w:t>3</w:t>
      </w:r>
      <w:r w:rsidR="00D2575B">
        <w:t xml:space="preserve"> = $100</w:t>
      </w:r>
      <w:r w:rsidR="007622A3">
        <w:t>*</w:t>
      </w:r>
      <w:r w:rsidR="00D2575B">
        <w:t>(1.10)</w:t>
      </w:r>
      <w:r w:rsidR="00D2575B" w:rsidRPr="00461468">
        <w:rPr>
          <w:vertAlign w:val="superscript"/>
        </w:rPr>
        <w:t>3</w:t>
      </w:r>
      <w:r w:rsidR="00D2575B">
        <w:t xml:space="preserve"> = $100</w:t>
      </w:r>
      <w:r w:rsidR="007622A3">
        <w:t>*</w:t>
      </w:r>
      <w:r w:rsidR="00D2575B">
        <w:t>(1.331) = $133.10</w:t>
      </w:r>
      <w:r w:rsidR="005C11D7">
        <w:t xml:space="preserve"> </w:t>
      </w:r>
    </w:p>
    <w:p w:rsidR="004D23C6" w:rsidRDefault="004D23C6" w:rsidP="00D2575B">
      <w:pPr>
        <w:tabs>
          <w:tab w:val="left" w:pos="0"/>
        </w:tabs>
        <w:spacing w:line="480" w:lineRule="auto"/>
        <w:jc w:val="both"/>
      </w:pPr>
      <w:r>
        <w:t>For</w:t>
      </w:r>
      <w:r w:rsidR="00814756">
        <w:t xml:space="preserve"> t = 1</w:t>
      </w:r>
      <w:r w:rsidR="00D2575B">
        <w:t xml:space="preserve"> the compound factor is 1.10</w:t>
      </w:r>
      <w:r w:rsidR="00814756">
        <w:t xml:space="preserve"> and for t = 2 </w:t>
      </w:r>
      <w:r w:rsidR="00D2575B">
        <w:t>the compound factor is 1.21.</w:t>
      </w:r>
      <w:r w:rsidR="00814756">
        <w:t xml:space="preserve">  </w:t>
      </w:r>
    </w:p>
    <w:p w:rsidR="00D2575B" w:rsidRDefault="004D23C6" w:rsidP="00D2575B">
      <w:pPr>
        <w:tabs>
          <w:tab w:val="left" w:pos="0"/>
        </w:tabs>
        <w:spacing w:line="480" w:lineRule="auto"/>
        <w:jc w:val="both"/>
      </w:pPr>
      <w:r>
        <w:lastRenderedPageBreak/>
        <w:tab/>
      </w:r>
      <w:r w:rsidR="00814756">
        <w:t xml:space="preserve">It is important to note that the year-to-year </w:t>
      </w:r>
      <w:r w:rsidR="005C11D7">
        <w:t>percentage change in</w:t>
      </w:r>
      <w:r w:rsidR="00814756">
        <w:t xml:space="preserve"> V </w:t>
      </w:r>
      <w:r w:rsidR="00821D23">
        <w:t>is equal to</w:t>
      </w:r>
      <w:r w:rsidR="00814756">
        <w:t xml:space="preserve"> r</w:t>
      </w:r>
      <w:r w:rsidR="00EE5B5F">
        <w:t xml:space="preserve">—that is, </w:t>
      </w:r>
      <w:r w:rsidR="00EC660C">
        <w:t xml:space="preserve">r = </w:t>
      </w:r>
      <w:r w:rsidR="00EE5B5F">
        <w:t>(110</w:t>
      </w:r>
      <w:r w:rsidR="00C346F6">
        <w:t xml:space="preserve"> </w:t>
      </w:r>
      <w:r w:rsidR="0025192A">
        <w:t>–</w:t>
      </w:r>
      <w:r w:rsidR="00C346F6">
        <w:t xml:space="preserve"> </w:t>
      </w:r>
      <w:r w:rsidR="00EE5B5F">
        <w:t>100)/100 = (121</w:t>
      </w:r>
      <w:r w:rsidR="00C346F6">
        <w:t xml:space="preserve"> </w:t>
      </w:r>
      <w:r w:rsidR="0025192A">
        <w:t>–</w:t>
      </w:r>
      <w:r w:rsidR="00C346F6">
        <w:t xml:space="preserve"> </w:t>
      </w:r>
      <w:r w:rsidR="00EE5B5F">
        <w:t>110)/110 = (13</w:t>
      </w:r>
      <w:r w:rsidR="00793CD9">
        <w:t>3</w:t>
      </w:r>
      <w:r w:rsidR="00EE5B5F">
        <w:t>.10</w:t>
      </w:r>
      <w:r w:rsidR="00C346F6">
        <w:t xml:space="preserve"> </w:t>
      </w:r>
      <w:r w:rsidR="0025192A">
        <w:t>–</w:t>
      </w:r>
      <w:r w:rsidR="00C346F6">
        <w:t xml:space="preserve"> </w:t>
      </w:r>
      <w:r w:rsidR="00EE5B5F">
        <w:t xml:space="preserve">121)/121 = </w:t>
      </w:r>
      <w:r w:rsidR="00821D23" w:rsidRPr="009D72D9">
        <w:rPr>
          <w:u w:val="single"/>
        </w:rPr>
        <w:t>0.10</w:t>
      </w:r>
      <w:r w:rsidR="00814756">
        <w:t xml:space="preserve">.  </w:t>
      </w:r>
      <w:r w:rsidR="00EE5B5F" w:rsidRPr="006D440C">
        <w:t>Regardless</w:t>
      </w:r>
      <w:r w:rsidR="008F40E2">
        <w:t xml:space="preserve"> of</w:t>
      </w:r>
      <w:r w:rsidR="00EE5B5F" w:rsidRPr="006D440C">
        <w:t xml:space="preserve"> how r is chosen, </w:t>
      </w:r>
      <w:r w:rsidR="006E0AFC" w:rsidRPr="006D440C">
        <w:t>r</w:t>
      </w:r>
      <w:r w:rsidR="00EE5B5F" w:rsidRPr="006D440C">
        <w:t xml:space="preserve"> will always</w:t>
      </w:r>
      <w:r w:rsidR="006E0AFC" w:rsidRPr="006D440C">
        <w:t xml:space="preserve"> equal the</w:t>
      </w:r>
      <w:r w:rsidR="00EE5B5F" w:rsidRPr="006D440C">
        <w:t xml:space="preserve"> year</w:t>
      </w:r>
      <w:r w:rsidR="006E0AFC" w:rsidRPr="006D440C">
        <w:t>-</w:t>
      </w:r>
      <w:r w:rsidR="00EE5B5F" w:rsidRPr="006D440C">
        <w:t>to</w:t>
      </w:r>
      <w:r w:rsidR="006E0AFC" w:rsidRPr="006D440C">
        <w:t>-</w:t>
      </w:r>
      <w:r w:rsidR="00EE5B5F" w:rsidRPr="006D440C">
        <w:t>year percentage change in V.</w:t>
      </w:r>
      <w:r w:rsidR="005C11D7" w:rsidRPr="006D440C">
        <w:t xml:space="preserve"> </w:t>
      </w:r>
      <w:r w:rsidR="009D72D9">
        <w:t xml:space="preserve"> </w:t>
      </w:r>
      <w:r w:rsidR="00821D23" w:rsidRPr="006D440C">
        <w:t>Thus, it is V, and not r</w:t>
      </w:r>
      <w:r w:rsidR="004148DB" w:rsidRPr="006D440C">
        <w:t xml:space="preserve">, that increases non-linearly </w:t>
      </w:r>
      <w:r w:rsidR="00E048FD" w:rsidRPr="006D440C">
        <w:t>over time</w:t>
      </w:r>
      <w:r w:rsidR="00821D23" w:rsidRPr="006D440C">
        <w:t>.</w:t>
      </w:r>
      <w:r w:rsidR="00980E5C" w:rsidRPr="006D440C">
        <w:t xml:space="preserve">  </w:t>
      </w:r>
      <w:r w:rsidR="00655133">
        <w:t xml:space="preserve">This can be seen by the fact that the </w:t>
      </w:r>
      <w:r w:rsidR="004148DB">
        <w:t xml:space="preserve">annual </w:t>
      </w:r>
      <w:r w:rsidR="00655133">
        <w:t xml:space="preserve">dollar change in V is </w:t>
      </w:r>
      <w:r w:rsidR="00D500A4">
        <w:t xml:space="preserve">slightly </w:t>
      </w:r>
      <w:r>
        <w:t>higher</w:t>
      </w:r>
      <w:r w:rsidR="00655133">
        <w:t xml:space="preserve"> each year, even though the </w:t>
      </w:r>
      <w:r w:rsidR="004148DB">
        <w:t xml:space="preserve">annual </w:t>
      </w:r>
      <w:r w:rsidR="00655133">
        <w:t xml:space="preserve">percentage change in V is constant.  </w:t>
      </w:r>
      <w:r w:rsidR="00E048FD">
        <w:t>This is becau</w:t>
      </w:r>
      <w:r>
        <w:t>se time, t,</w:t>
      </w:r>
      <w:r w:rsidR="00E048FD">
        <w:t xml:space="preserve"> appears as an exponent in the CGF; as </w:t>
      </w:r>
      <w:r w:rsidR="008F40E2">
        <w:t xml:space="preserve">a </w:t>
      </w:r>
      <w:r w:rsidR="00E048FD">
        <w:t>result, the dollar change in V will n</w:t>
      </w:r>
      <w:r w:rsidR="00824FFA">
        <w:t>ot be constant over time</w:t>
      </w:r>
      <w:r w:rsidR="00E048FD">
        <w:t xml:space="preserve">.  </w:t>
      </w:r>
      <w:r w:rsidR="00980E5C">
        <w:t xml:space="preserve">Figure 2 demonstrates </w:t>
      </w:r>
      <w:r w:rsidR="00F26F68">
        <w:t>these</w:t>
      </w:r>
      <w:r w:rsidR="00383195">
        <w:t xml:space="preserve"> issues </w:t>
      </w:r>
      <w:r w:rsidR="00980E5C">
        <w:t>graphically.</w:t>
      </w:r>
    </w:p>
    <w:p w:rsidR="00980E5C" w:rsidRDefault="00443277" w:rsidP="00D2575B">
      <w:pPr>
        <w:tabs>
          <w:tab w:val="left" w:pos="0"/>
        </w:tabs>
        <w:spacing w:line="480" w:lineRule="auto"/>
        <w:jc w:val="both"/>
      </w:pPr>
      <w:r>
        <w:pict>
          <v:group id="_x0000_s1088" editas="canvas" style="position:absolute;left:0;text-align:left;margin-left:.8pt;margin-top:.8pt;width:473.7pt;height:280.8pt;z-index:-251656192" coordorigin="2310,4739" coordsize="7287,4320">
            <o:lock v:ext="edit" aspectratio="t"/>
            <v:shape id="_x0000_s1089" type="#_x0000_t75" style="position:absolute;left:2310;top:4739;width:7287;height:4320" o:preferrelative="f" stroked="t" strokecolor="black [3213]">
              <v:fill o:detectmouseclick="t"/>
              <v:path o:extrusionok="t" o:connecttype="none"/>
              <o:lock v:ext="edit" text="t"/>
            </v:shape>
            <v:shape id="_x0000_s1090" type="#_x0000_t32" style="position:absolute;left:4048;top:5462;width:10;height:3207" o:connectortype="straight"/>
            <v:shape id="_x0000_s1091" type="#_x0000_t32" style="position:absolute;left:3885;top:8419;width:4899;height:10;flip:y" o:connectortype="straight"/>
            <v:shape id="_x0000_s1092" type="#_x0000_t202" style="position:absolute;left:8620;top:8244;width:890;height:350" stroked="f">
              <v:textbox style="mso-next-textbox:#_x0000_s1092">
                <w:txbxContent>
                  <w:p w:rsidR="00350D70" w:rsidRDefault="00350D70" w:rsidP="00E048FD">
                    <w:r>
                      <w:t>Time (t)</w:t>
                    </w:r>
                  </w:p>
                </w:txbxContent>
              </v:textbox>
            </v:shape>
            <v:shape id="_x0000_s1093" type="#_x0000_t202" style="position:absolute;left:3135;top:5436;width:1056;height:351" filled="f" stroked="f">
              <v:textbox style="mso-next-textbox:#_x0000_s1093">
                <w:txbxContent>
                  <w:p w:rsidR="00350D70" w:rsidRDefault="00350D70" w:rsidP="00E048FD">
                    <w:r>
                      <w:t>Value (V)</w:t>
                    </w:r>
                  </w:p>
                </w:txbxContent>
              </v:textbox>
            </v:shape>
            <v:oval id="_x0000_s1095" style="position:absolute;left:3958;top:7999;width:155;height:145" fillcolor="black [3200]" strokecolor="black [3200]" strokeweight="10pt">
              <v:stroke linestyle="thinThin"/>
              <v:shadow color="#868686"/>
            </v:oval>
            <v:oval id="_x0000_s1096" style="position:absolute;left:5191;top:7567;width:157;height:145" fillcolor="black [3200]" strokecolor="black [3200]" strokeweight="10pt">
              <v:stroke linestyle="thinThin"/>
              <v:shadow color="#868686"/>
            </v:oval>
            <v:oval id="_x0000_s1099" style="position:absolute;left:6389;top:6971;width:156;height:141" fillcolor="black [3200]" strokecolor="black [3200]" strokeweight="10pt">
              <v:stroke linestyle="thinThin"/>
              <v:shadow color="#868686"/>
            </v:oval>
            <v:oval id="_x0000_s1100" style="position:absolute;left:7461;top:6046;width:154;height:143" fillcolor="black [3200]" strokecolor="black [3200]" strokeweight="10pt">
              <v:stroke linestyle="thinThin"/>
              <v:shadow color="#868686"/>
            </v:oval>
            <v:shape id="_x0000_s1109" type="#_x0000_t202" style="position:absolute;left:3698;top:8441;width:358;height:320" filled="f" stroked="f">
              <v:textbox style="mso-next-textbox:#_x0000_s1109">
                <w:txbxContent>
                  <w:p w:rsidR="00350D70" w:rsidRDefault="00350D70" w:rsidP="00E048FD">
                    <w:r>
                      <w:t>0</w:t>
                    </w:r>
                  </w:p>
                </w:txbxContent>
              </v:textbox>
            </v:shape>
            <v:shape id="_x0000_s1111" type="#_x0000_t32" style="position:absolute;left:7529;top:6229;width:7;height:2160;flip:y" o:connectortype="straight">
              <v:stroke dashstyle="1 1"/>
            </v:shape>
            <v:shape id="_x0000_s1112" type="#_x0000_t32" style="position:absolute;left:6472;top:7159;width:3;height:1265;flip:x y" o:connectortype="straight">
              <v:stroke dashstyle="1 1"/>
            </v:shape>
            <v:shape id="_x0000_s1113" type="#_x0000_t32" style="position:absolute;left:5298;top:7654;width:1;height:800;flip:y" o:connectortype="straight">
              <v:stroke dashstyle="1 1"/>
            </v:shape>
            <v:shape id="_x0000_s1117" type="#_x0000_t202" style="position:absolute;left:5503;top:4932;width:1570;height:335" stroked="f">
              <v:textbox style="mso-next-textbox:#_x0000_s1117">
                <w:txbxContent>
                  <w:p w:rsidR="00350D70" w:rsidRPr="004F0BEB" w:rsidRDefault="00350D70" w:rsidP="00E048FD">
                    <w:pPr>
                      <w:jc w:val="center"/>
                      <w:rPr>
                        <w:b/>
                      </w:rPr>
                    </w:pPr>
                    <w:r w:rsidRPr="004F0BEB">
                      <w:rPr>
                        <w:b/>
                      </w:rPr>
                      <w:t xml:space="preserve">Figure </w:t>
                    </w:r>
                    <w:r>
                      <w:rPr>
                        <w:b/>
                      </w:rPr>
                      <w:t>2</w:t>
                    </w:r>
                  </w:p>
                </w:txbxContent>
              </v:textbox>
            </v:shape>
            <v:shape id="_x0000_s1118" type="#_x0000_t42" style="position:absolute;left:7852;top:6646;width:1129;height:1279" adj="-14694,1313,-8157,2339,-1767,2339,-55656,7837" fillcolor="#d8d8d8 [2732]">
              <v:stroke startarrow="block"/>
              <v:textbox style="mso-next-textbox:#_x0000_s1118">
                <w:txbxContent>
                  <w:p w:rsidR="00350D70" w:rsidRPr="004B3F0C" w:rsidRDefault="00350D70" w:rsidP="00E048FD">
                    <w:pPr>
                      <w:jc w:val="center"/>
                      <w:rPr>
                        <w:sz w:val="20"/>
                        <w:szCs w:val="20"/>
                      </w:rPr>
                    </w:pPr>
                    <w:r>
                      <w:rPr>
                        <w:sz w:val="20"/>
                        <w:szCs w:val="20"/>
                      </w:rPr>
                      <w:t>Line between points has a slight non-linear bend when plotted against time.</w:t>
                    </w:r>
                  </w:p>
                </w:txbxContent>
              </v:textbox>
            </v:shape>
            <v:shape id="_x0000_s1119" type="#_x0000_t202" style="position:absolute;left:5159;top:8476;width:312;height:353" filled="f" stroked="f">
              <v:textbox style="mso-next-textbox:#_x0000_s1119">
                <w:txbxContent>
                  <w:p w:rsidR="00350D70" w:rsidRDefault="00350D70" w:rsidP="00E048FD">
                    <w:r>
                      <w:t>1</w:t>
                    </w:r>
                  </w:p>
                </w:txbxContent>
              </v:textbox>
            </v:shape>
            <v:shape id="_x0000_s1120" type="#_x0000_t202" style="position:absolute;left:6339;top:8454;width:310;height:320" filled="f" stroked="f">
              <v:textbox style="mso-next-textbox:#_x0000_s1120">
                <w:txbxContent>
                  <w:p w:rsidR="00350D70" w:rsidRDefault="00350D70" w:rsidP="00E048FD">
                    <w:r>
                      <w:t>2</w:t>
                    </w:r>
                  </w:p>
                </w:txbxContent>
              </v:textbox>
            </v:shape>
            <v:shape id="_x0000_s1121" type="#_x0000_t202" style="position:absolute;left:7381;top:8451;width:311;height:320" filled="f" stroked="f">
              <v:textbox style="mso-next-textbox:#_x0000_s1121">
                <w:txbxContent>
                  <w:p w:rsidR="00350D70" w:rsidRDefault="00350D70" w:rsidP="00E048FD">
                    <w:r>
                      <w:t>3</w:t>
                    </w:r>
                  </w:p>
                </w:txbxContent>
              </v:textbox>
            </v:shape>
            <v:shape id="_x0000_s1123" style="position:absolute;left:4066;top:6136;width:3479;height:1945" coordsize="4523,2527" path="m,2527c540,2347,1080,2168,1603,1942v523,-226,1048,-450,1535,-774c3625,844,4074,422,4523,e" filled="f" strokecolor="black [3213]" strokeweight="3pt">
              <v:stroke dashstyle="1 1"/>
              <v:path arrowok="t"/>
            </v:shape>
            <v:shape id="_x0000_s1125" type="#_x0000_t202" style="position:absolute;left:3310;top:7921;width:701;height:353" filled="f" stroked="f">
              <v:textbox style="mso-next-textbox:#_x0000_s1125">
                <w:txbxContent>
                  <w:p w:rsidR="00350D70" w:rsidRDefault="00350D70" w:rsidP="00E048FD">
                    <w:r>
                      <w:t>$100</w:t>
                    </w:r>
                  </w:p>
                </w:txbxContent>
              </v:textbox>
            </v:shape>
            <v:shape id="_x0000_s1126" type="#_x0000_t32" style="position:absolute;left:4052;top:7654;width:1247;height:10;flip:y" o:connectortype="straight">
              <v:stroke dashstyle="1 1"/>
            </v:shape>
            <v:shape id="_x0000_s1128" type="#_x0000_t32" style="position:absolute;left:4050;top:7027;width:2453;height:8" o:connectortype="straight">
              <v:stroke dashstyle="1 1"/>
            </v:shape>
            <v:shape id="_x0000_s1130" type="#_x0000_t32" style="position:absolute;left:4080;top:6136;width:3488;height:20;flip:y" o:connectortype="straight">
              <v:stroke dashstyle="1 1"/>
            </v:shape>
            <v:shape id="_x0000_s1131" type="#_x0000_t202" style="position:absolute;left:3316;top:7487;width:700;height:354" filled="f" stroked="f">
              <v:textbox style="mso-next-textbox:#_x0000_s1131">
                <w:txbxContent>
                  <w:p w:rsidR="00350D70" w:rsidRDefault="00350D70" w:rsidP="00E048FD">
                    <w:r>
                      <w:t>$110</w:t>
                    </w:r>
                  </w:p>
                </w:txbxContent>
              </v:textbox>
            </v:shape>
            <v:shape id="_x0000_s1132" type="#_x0000_t202" style="position:absolute;left:3343;top:6824;width:703;height:352" filled="f" stroked="f">
              <v:textbox style="mso-next-textbox:#_x0000_s1132">
                <w:txbxContent>
                  <w:p w:rsidR="00350D70" w:rsidRDefault="00350D70" w:rsidP="00E048FD">
                    <w:r>
                      <w:t>$121</w:t>
                    </w:r>
                  </w:p>
                </w:txbxContent>
              </v:textbox>
            </v:shape>
            <v:shape id="_x0000_s1133" type="#_x0000_t202" style="position:absolute;left:3238;top:5974;width:845;height:353" filled="f" stroked="f">
              <v:textbox style="mso-next-textbox:#_x0000_s1133">
                <w:txbxContent>
                  <w:p w:rsidR="00350D70" w:rsidRDefault="00350D70" w:rsidP="00E048FD">
                    <w:r>
                      <w:t>$133.10</w:t>
                    </w:r>
                  </w:p>
                </w:txbxContent>
              </v:textbox>
            </v:shape>
            <v:shape id="_x0000_s1134" type="#_x0000_t42" style="position:absolute;left:4599;top:6235;width:1663;height:663" adj="-6584,11376,-3886,4510,-1199,4510,6844,34806" filled="f">
              <v:stroke startarrow="block"/>
              <v:textbox style="mso-next-textbox:#_x0000_s1134">
                <w:txbxContent>
                  <w:p w:rsidR="00350D70" w:rsidRPr="004B3F0C" w:rsidRDefault="00350D70" w:rsidP="00B24377">
                    <w:pPr>
                      <w:shd w:val="clear" w:color="auto" w:fill="D9D9D9" w:themeFill="background1" w:themeFillShade="D9"/>
                      <w:jc w:val="center"/>
                      <w:rPr>
                        <w:sz w:val="20"/>
                        <w:szCs w:val="20"/>
                      </w:rPr>
                    </w:pPr>
                    <w:r>
                      <w:rPr>
                        <w:sz w:val="20"/>
                        <w:szCs w:val="20"/>
                      </w:rPr>
                      <w:t>Year-to-year percentage change is always r = 0.10</w:t>
                    </w:r>
                  </w:p>
                </w:txbxContent>
              </v:textbox>
              <o:callout v:ext="edit" minusy="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5" type="#_x0000_t87" style="position:absolute;left:2980;top:7649;width:300;height:472" strokeweight="1pt"/>
            <v:shape id="_x0000_s1136" type="#_x0000_t87" style="position:absolute;left:2996;top:6934;width:280;height:607" strokeweight="1pt"/>
            <v:shape id="_x0000_s1137" type="#_x0000_t87" style="position:absolute;left:3013;top:6124;width:280;height:755" strokeweight="1pt"/>
            <v:shape id="_x0000_s1138" type="#_x0000_t202" style="position:absolute;left:2508;top:7724;width:552;height:350" filled="f" stroked="f">
              <v:textbox style="mso-next-textbox:#_x0000_s1138">
                <w:txbxContent>
                  <w:p w:rsidR="00350D70" w:rsidRDefault="00350D70" w:rsidP="00E048FD">
                    <w:r>
                      <w:t>$10</w:t>
                    </w:r>
                  </w:p>
                </w:txbxContent>
              </v:textbox>
            </v:shape>
            <v:shape id="_x0000_s1139" type="#_x0000_t202" style="position:absolute;left:2495;top:7082;width:553;height:350" filled="f" stroked="f">
              <v:textbox style="mso-next-textbox:#_x0000_s1139">
                <w:txbxContent>
                  <w:p w:rsidR="00350D70" w:rsidRDefault="00350D70" w:rsidP="00E048FD">
                    <w:r>
                      <w:t>$11</w:t>
                    </w:r>
                  </w:p>
                </w:txbxContent>
              </v:textbox>
            </v:shape>
            <v:shape id="_x0000_s1140" type="#_x0000_t202" style="position:absolute;left:2352;top:6324;width:773;height:350" filled="f" stroked="f">
              <v:textbox style="mso-next-textbox:#_x0000_s1140">
                <w:txbxContent>
                  <w:p w:rsidR="00350D70" w:rsidRDefault="00350D70" w:rsidP="00E048FD">
                    <w:r>
                      <w:t>$12.10</w:t>
                    </w:r>
                  </w:p>
                </w:txbxContent>
              </v:textbox>
            </v:shape>
            <v:shape id="_x0000_s1141" type="#_x0000_t42" style="position:absolute;left:3290;top:4895;width:1986;height:463" adj="-6073,65948,-5413,6458,-1004,6458,21976,120845" fillcolor="#d8d8d8 [2732]">
              <v:stroke startarrow="block"/>
              <v:textbox style="mso-next-textbox:#_x0000_s1141">
                <w:txbxContent>
                  <w:p w:rsidR="00350D70" w:rsidRPr="004B3F0C" w:rsidRDefault="00350D70" w:rsidP="00E048FD">
                    <w:pPr>
                      <w:jc w:val="center"/>
                      <w:rPr>
                        <w:sz w:val="20"/>
                        <w:szCs w:val="20"/>
                      </w:rPr>
                    </w:pPr>
                    <w:r>
                      <w:rPr>
                        <w:sz w:val="20"/>
                        <w:szCs w:val="20"/>
                      </w:rPr>
                      <w:t>Dollar change is slightly increasing each year.</w:t>
                    </w:r>
                  </w:p>
                </w:txbxContent>
              </v:textbox>
              <o:callout v:ext="edit" minusy="t"/>
            </v:shape>
          </v:group>
        </w:pict>
      </w: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EE61EC" w:rsidRDefault="00EE61EC" w:rsidP="00135497">
      <w:pPr>
        <w:tabs>
          <w:tab w:val="left" w:pos="0"/>
        </w:tabs>
        <w:spacing w:line="480" w:lineRule="auto"/>
        <w:ind w:firstLine="720"/>
        <w:jc w:val="both"/>
        <w:rPr>
          <w:b/>
        </w:rPr>
      </w:pPr>
    </w:p>
    <w:p w:rsidR="00A1786D" w:rsidRPr="00A1786D" w:rsidRDefault="00A1786D" w:rsidP="00135497">
      <w:pPr>
        <w:tabs>
          <w:tab w:val="left" w:pos="0"/>
        </w:tabs>
        <w:spacing w:line="480" w:lineRule="auto"/>
        <w:ind w:firstLine="720"/>
        <w:jc w:val="both"/>
        <w:rPr>
          <w:b/>
        </w:rPr>
      </w:pPr>
      <w:r w:rsidRPr="00A1786D">
        <w:rPr>
          <w:b/>
        </w:rPr>
        <w:t xml:space="preserve">Q.  </w:t>
      </w:r>
      <w:r w:rsidR="00281EB4">
        <w:rPr>
          <w:b/>
        </w:rPr>
        <w:tab/>
      </w:r>
      <w:r w:rsidRPr="00A1786D">
        <w:rPr>
          <w:b/>
        </w:rPr>
        <w:t>What are the cumulative one-year, two-year, and three-year growth rates using CGF?</w:t>
      </w:r>
    </w:p>
    <w:p w:rsidR="00607571" w:rsidRDefault="00A1786D" w:rsidP="00135497">
      <w:pPr>
        <w:tabs>
          <w:tab w:val="left" w:pos="0"/>
        </w:tabs>
        <w:spacing w:line="480" w:lineRule="auto"/>
        <w:ind w:firstLine="720"/>
        <w:jc w:val="both"/>
      </w:pPr>
      <w:r>
        <w:t xml:space="preserve">A.  </w:t>
      </w:r>
      <w:r w:rsidR="00281EB4">
        <w:tab/>
      </w:r>
      <w:r>
        <w:t>The cumulative growth rate</w:t>
      </w:r>
      <w:r w:rsidR="00607571">
        <w:t xml:space="preserve"> over t years</w:t>
      </w:r>
      <w:r>
        <w:t xml:space="preserve">, </w:t>
      </w:r>
      <w:proofErr w:type="spellStart"/>
      <w:proofErr w:type="gramStart"/>
      <w:r>
        <w:t>R</w:t>
      </w:r>
      <w:r w:rsidRPr="00A1786D">
        <w:rPr>
          <w:vertAlign w:val="subscript"/>
        </w:rPr>
        <w:t>t</w:t>
      </w:r>
      <w:proofErr w:type="spellEnd"/>
      <w:proofErr w:type="gramEnd"/>
      <w:r>
        <w:t>, can be easily calculated by subtract</w:t>
      </w:r>
      <w:r w:rsidR="00607571">
        <w:t xml:space="preserve">ing one from the compound growth </w:t>
      </w:r>
      <w:r w:rsidR="00B45633">
        <w:t>f</w:t>
      </w:r>
      <w:r w:rsidR="00607571">
        <w:t>actors:</w:t>
      </w:r>
    </w:p>
    <w:p w:rsidR="0046041F" w:rsidRDefault="00607571" w:rsidP="00135497">
      <w:pPr>
        <w:tabs>
          <w:tab w:val="left" w:pos="0"/>
        </w:tabs>
        <w:spacing w:line="480" w:lineRule="auto"/>
        <w:ind w:firstLine="720"/>
        <w:jc w:val="both"/>
      </w:pPr>
      <w:r>
        <w:lastRenderedPageBreak/>
        <w:t xml:space="preserve">[1] </w:t>
      </w:r>
      <w:r w:rsidR="0046041F">
        <w:t>F</w:t>
      </w:r>
      <w:r>
        <w:t xml:space="preserve">or </w:t>
      </w:r>
      <w:r w:rsidR="00A1786D">
        <w:t>t =</w:t>
      </w:r>
      <w:r w:rsidR="00EC660C">
        <w:t xml:space="preserve"> </w:t>
      </w:r>
      <w:r w:rsidR="0046041F">
        <w:t>1:</w:t>
      </w:r>
      <w:r w:rsidR="00A1786D">
        <w:t xml:space="preserve"> </w:t>
      </w:r>
      <w:r w:rsidR="00EC660C">
        <w:t>R</w:t>
      </w:r>
      <w:r w:rsidR="00EC660C" w:rsidRPr="00A1786D">
        <w:rPr>
          <w:vertAlign w:val="subscript"/>
        </w:rPr>
        <w:t>1</w:t>
      </w:r>
      <w:r w:rsidR="00EC660C">
        <w:rPr>
          <w:vertAlign w:val="subscript"/>
        </w:rPr>
        <w:t xml:space="preserve"> </w:t>
      </w:r>
      <w:r w:rsidR="00EC660C">
        <w:t xml:space="preserve">= </w:t>
      </w:r>
      <w:r w:rsidR="00A1786D">
        <w:t>(1+ r</w:t>
      </w:r>
      <w:proofErr w:type="gramStart"/>
      <w:r w:rsidR="00A1786D">
        <w:t>)</w:t>
      </w:r>
      <w:r w:rsidR="00A1786D" w:rsidRPr="0045734E">
        <w:rPr>
          <w:vertAlign w:val="superscript"/>
        </w:rPr>
        <w:t>1</w:t>
      </w:r>
      <w:proofErr w:type="gramEnd"/>
      <w:r w:rsidR="0046041F">
        <w:t xml:space="preserve"> – 1</w:t>
      </w:r>
    </w:p>
    <w:p w:rsidR="0046041F" w:rsidRDefault="0046041F" w:rsidP="00135497">
      <w:pPr>
        <w:tabs>
          <w:tab w:val="left" w:pos="0"/>
        </w:tabs>
        <w:spacing w:line="480" w:lineRule="auto"/>
        <w:ind w:firstLine="720"/>
        <w:jc w:val="both"/>
      </w:pPr>
      <w:r>
        <w:t xml:space="preserve">[2] For t = 2: </w:t>
      </w:r>
      <w:r w:rsidR="00EC660C">
        <w:t>R</w:t>
      </w:r>
      <w:r w:rsidR="00EC660C">
        <w:rPr>
          <w:vertAlign w:val="subscript"/>
        </w:rPr>
        <w:t xml:space="preserve">2 </w:t>
      </w:r>
      <w:r w:rsidR="00EC660C">
        <w:t xml:space="preserve">= </w:t>
      </w:r>
      <w:r w:rsidR="00A1786D">
        <w:t>(1+ r</w:t>
      </w:r>
      <w:proofErr w:type="gramStart"/>
      <w:r w:rsidR="00A1786D">
        <w:t>)</w:t>
      </w:r>
      <w:r w:rsidR="00870DC1">
        <w:rPr>
          <w:vertAlign w:val="superscript"/>
        </w:rPr>
        <w:t>2</w:t>
      </w:r>
      <w:proofErr w:type="gramEnd"/>
      <w:r w:rsidR="00A1786D">
        <w:t xml:space="preserve"> – 1</w:t>
      </w:r>
    </w:p>
    <w:p w:rsidR="0046041F" w:rsidRDefault="0046041F" w:rsidP="0046041F">
      <w:pPr>
        <w:tabs>
          <w:tab w:val="left" w:pos="0"/>
        </w:tabs>
        <w:spacing w:line="480" w:lineRule="auto"/>
        <w:ind w:firstLine="720"/>
        <w:jc w:val="both"/>
      </w:pPr>
      <w:r>
        <w:t xml:space="preserve">[3] For t = 3: </w:t>
      </w:r>
      <w:r w:rsidR="00EC660C">
        <w:t>R</w:t>
      </w:r>
      <w:r w:rsidR="00EC660C">
        <w:rPr>
          <w:vertAlign w:val="subscript"/>
        </w:rPr>
        <w:t xml:space="preserve">3 </w:t>
      </w:r>
      <w:r w:rsidR="00EC660C">
        <w:t xml:space="preserve">= </w:t>
      </w:r>
      <w:r w:rsidR="00870DC1">
        <w:t>(1+ r</w:t>
      </w:r>
      <w:proofErr w:type="gramStart"/>
      <w:r w:rsidR="00870DC1">
        <w:t>)</w:t>
      </w:r>
      <w:r w:rsidR="00870DC1">
        <w:rPr>
          <w:vertAlign w:val="superscript"/>
        </w:rPr>
        <w:t>3</w:t>
      </w:r>
      <w:proofErr w:type="gramEnd"/>
      <w:r>
        <w:t xml:space="preserve"> – 1</w:t>
      </w:r>
      <w:r w:rsidR="00870DC1">
        <w:t xml:space="preserve">  </w:t>
      </w:r>
    </w:p>
    <w:p w:rsidR="00A1786D" w:rsidRDefault="00870DC1" w:rsidP="0046041F">
      <w:pPr>
        <w:tabs>
          <w:tab w:val="left" w:pos="0"/>
        </w:tabs>
        <w:spacing w:line="480" w:lineRule="auto"/>
        <w:jc w:val="both"/>
      </w:pPr>
      <w:r>
        <w:t>Using the example from above with r = 0.10</w:t>
      </w:r>
      <w:r w:rsidR="003D0080">
        <w:t>, the following cumulative growth rates would result</w:t>
      </w:r>
      <w:r>
        <w:t>: R</w:t>
      </w:r>
      <w:r w:rsidRPr="00A1786D">
        <w:rPr>
          <w:vertAlign w:val="subscript"/>
        </w:rPr>
        <w:t>1</w:t>
      </w:r>
      <w:r>
        <w:t xml:space="preserve"> = 0.10; R</w:t>
      </w:r>
      <w:r>
        <w:rPr>
          <w:vertAlign w:val="subscript"/>
        </w:rPr>
        <w:t>2</w:t>
      </w:r>
      <w:r>
        <w:t xml:space="preserve"> = 0.21; and R</w:t>
      </w:r>
      <w:r w:rsidRPr="00870DC1">
        <w:rPr>
          <w:vertAlign w:val="subscript"/>
        </w:rPr>
        <w:t>3</w:t>
      </w:r>
      <w:r>
        <w:t xml:space="preserve"> = 0.331.</w:t>
      </w:r>
      <w:r w:rsidR="00320DCE">
        <w:t xml:space="preserve">  This means V will have grown 10% after 1 year, 21% after 2 years, and 33.1% after 3 years.</w:t>
      </w:r>
    </w:p>
    <w:p w:rsidR="00320DCE" w:rsidRDefault="00320DCE" w:rsidP="00135497">
      <w:pPr>
        <w:tabs>
          <w:tab w:val="left" w:pos="0"/>
        </w:tabs>
        <w:spacing w:line="480" w:lineRule="auto"/>
        <w:ind w:firstLine="720"/>
        <w:jc w:val="both"/>
        <w:rPr>
          <w:b/>
        </w:rPr>
      </w:pPr>
      <w:r w:rsidRPr="00320DCE">
        <w:rPr>
          <w:b/>
        </w:rPr>
        <w:t xml:space="preserve">Q.  </w:t>
      </w:r>
      <w:r w:rsidR="00281EB4">
        <w:rPr>
          <w:b/>
        </w:rPr>
        <w:tab/>
      </w:r>
      <w:r w:rsidRPr="00320DCE">
        <w:rPr>
          <w:b/>
        </w:rPr>
        <w:t>Is</w:t>
      </w:r>
      <w:r w:rsidR="0046041F">
        <w:rPr>
          <w:b/>
        </w:rPr>
        <w:t xml:space="preserve"> the above</w:t>
      </w:r>
      <w:r w:rsidR="00AD14A7">
        <w:rPr>
          <w:b/>
        </w:rPr>
        <w:t xml:space="preserve"> calculation </w:t>
      </w:r>
      <w:r w:rsidR="0046041F">
        <w:rPr>
          <w:b/>
        </w:rPr>
        <w:t xml:space="preserve">just </w:t>
      </w:r>
      <w:r w:rsidR="00EC660C">
        <w:rPr>
          <w:b/>
        </w:rPr>
        <w:t>the</w:t>
      </w:r>
      <w:r w:rsidRPr="00320DCE">
        <w:rPr>
          <w:b/>
        </w:rPr>
        <w:t xml:space="preserve"> same as </w:t>
      </w:r>
      <w:r w:rsidR="00EC660C">
        <w:rPr>
          <w:b/>
        </w:rPr>
        <w:t xml:space="preserve">simply </w:t>
      </w:r>
      <w:r w:rsidRPr="00320DCE">
        <w:rPr>
          <w:b/>
        </w:rPr>
        <w:t>taking the growth rate</w:t>
      </w:r>
      <w:r w:rsidR="00EC660C">
        <w:rPr>
          <w:b/>
        </w:rPr>
        <w:t>,</w:t>
      </w:r>
      <w:r w:rsidRPr="00320DCE">
        <w:rPr>
          <w:b/>
        </w:rPr>
        <w:t xml:space="preserve"> r, and multiplying by the years in the future</w:t>
      </w:r>
      <w:r w:rsidR="00EC660C">
        <w:rPr>
          <w:b/>
        </w:rPr>
        <w:t>—that is R</w:t>
      </w:r>
      <w:r w:rsidR="00EC660C" w:rsidRPr="00EC660C">
        <w:rPr>
          <w:b/>
          <w:vertAlign w:val="subscript"/>
        </w:rPr>
        <w:t>1</w:t>
      </w:r>
      <w:r w:rsidR="00EC660C">
        <w:rPr>
          <w:b/>
        </w:rPr>
        <w:t xml:space="preserve"> = r</w:t>
      </w:r>
      <w:r w:rsidR="00A415ED">
        <w:rPr>
          <w:b/>
        </w:rPr>
        <w:t>*1</w:t>
      </w:r>
      <w:r w:rsidR="00EC660C">
        <w:rPr>
          <w:b/>
        </w:rPr>
        <w:t>, R</w:t>
      </w:r>
      <w:r w:rsidR="00EC660C">
        <w:rPr>
          <w:b/>
          <w:vertAlign w:val="subscript"/>
        </w:rPr>
        <w:t>2</w:t>
      </w:r>
      <w:r w:rsidR="00A415ED">
        <w:rPr>
          <w:b/>
        </w:rPr>
        <w:t xml:space="preserve"> = </w:t>
      </w:r>
      <w:r w:rsidR="00EC660C">
        <w:rPr>
          <w:b/>
        </w:rPr>
        <w:t>r</w:t>
      </w:r>
      <w:r w:rsidR="00A415ED">
        <w:rPr>
          <w:b/>
        </w:rPr>
        <w:t>*2</w:t>
      </w:r>
      <w:r w:rsidR="00EC660C">
        <w:rPr>
          <w:b/>
        </w:rPr>
        <w:t>, and R</w:t>
      </w:r>
      <w:r w:rsidR="00EC660C">
        <w:rPr>
          <w:b/>
          <w:vertAlign w:val="subscript"/>
        </w:rPr>
        <w:t>3</w:t>
      </w:r>
      <w:r w:rsidR="00A415ED">
        <w:rPr>
          <w:b/>
        </w:rPr>
        <w:t xml:space="preserve"> = r*3</w:t>
      </w:r>
      <w:r w:rsidRPr="00320DCE">
        <w:rPr>
          <w:b/>
        </w:rPr>
        <w:t>?</w:t>
      </w:r>
    </w:p>
    <w:p w:rsidR="00F26F68" w:rsidRDefault="00320DCE" w:rsidP="00135497">
      <w:pPr>
        <w:tabs>
          <w:tab w:val="left" w:pos="0"/>
        </w:tabs>
        <w:spacing w:line="480" w:lineRule="auto"/>
        <w:ind w:firstLine="720"/>
        <w:jc w:val="both"/>
      </w:pPr>
      <w:r w:rsidRPr="00320DCE">
        <w:t xml:space="preserve">A. </w:t>
      </w:r>
      <w:r w:rsidR="00281EB4">
        <w:tab/>
      </w:r>
      <w:r w:rsidR="00EC660C">
        <w:t xml:space="preserve">No.  Multiplying </w:t>
      </w:r>
      <w:r w:rsidR="009A0DFC">
        <w:t>the growth rate, r, by the number of future years is a l</w:t>
      </w:r>
      <w:r w:rsidR="003F25F8">
        <w:t xml:space="preserve">inear approximation of the </w:t>
      </w:r>
      <w:r w:rsidR="009A0DFC">
        <w:t>cumulative growth rate</w:t>
      </w:r>
      <w:r w:rsidR="004A49B3">
        <w:t xml:space="preserve"> for a value growing in non-linear fashion</w:t>
      </w:r>
      <w:r w:rsidR="009A0DFC">
        <w:t xml:space="preserve">.   </w:t>
      </w:r>
      <w:r w:rsidR="007223BC">
        <w:t xml:space="preserve">The cumulative growth rate </w:t>
      </w:r>
      <w:r w:rsidR="00F26F68">
        <w:t>r*t is on</w:t>
      </w:r>
      <w:r w:rsidR="007223BC">
        <w:t xml:space="preserve">ly appropriate if future growth </w:t>
      </w:r>
      <w:r w:rsidR="00A520EA">
        <w:t>is linear with respect to</w:t>
      </w:r>
      <w:r w:rsidR="00F26F68">
        <w:t xml:space="preserve"> </w:t>
      </w:r>
      <w:r w:rsidR="00A520EA">
        <w:t xml:space="preserve">time.  In this case, the </w:t>
      </w:r>
      <w:r w:rsidR="00DF78AD">
        <w:t xml:space="preserve">liner </w:t>
      </w:r>
      <w:r w:rsidR="00A520EA">
        <w:t xml:space="preserve">growth </w:t>
      </w:r>
      <w:r w:rsidR="00DF78AD">
        <w:t xml:space="preserve">rate </w:t>
      </w:r>
      <w:r w:rsidR="00A520EA">
        <w:t xml:space="preserve">formula </w:t>
      </w:r>
      <w:r w:rsidR="00DF78AD">
        <w:t xml:space="preserve">(LGF) </w:t>
      </w:r>
      <w:r w:rsidR="00A520EA">
        <w:t xml:space="preserve">becomes </w:t>
      </w:r>
      <w:proofErr w:type="spellStart"/>
      <w:proofErr w:type="gramStart"/>
      <w:r w:rsidR="00A520EA">
        <w:t>Vt</w:t>
      </w:r>
      <w:proofErr w:type="spellEnd"/>
      <w:proofErr w:type="gramEnd"/>
      <w:r w:rsidR="00F26F68">
        <w:t xml:space="preserve"> = </w:t>
      </w:r>
      <w:r w:rsidR="000E5694">
        <w:t>V</w:t>
      </w:r>
      <w:r w:rsidR="000E5694" w:rsidRPr="004C320D">
        <w:rPr>
          <w:vertAlign w:val="subscript"/>
        </w:rPr>
        <w:t>0</w:t>
      </w:r>
      <w:r w:rsidR="00F26F68">
        <w:t xml:space="preserve">*(1 + r*t).  </w:t>
      </w:r>
      <w:r w:rsidR="00A520EA">
        <w:t>As before, let V</w:t>
      </w:r>
      <w:r w:rsidR="00A520EA" w:rsidRPr="00156388">
        <w:rPr>
          <w:vertAlign w:val="subscript"/>
        </w:rPr>
        <w:t>0</w:t>
      </w:r>
      <w:r w:rsidR="00A520EA">
        <w:t xml:space="preserve"> = $100 and r = 0.10.  </w:t>
      </w:r>
      <w:r w:rsidR="00F26F68">
        <w:t xml:space="preserve">On a year-to-year basis, </w:t>
      </w:r>
      <w:proofErr w:type="spellStart"/>
      <w:proofErr w:type="gramStart"/>
      <w:r w:rsidR="00A520EA">
        <w:t>V</w:t>
      </w:r>
      <w:r w:rsidR="00A520EA" w:rsidRPr="00A520EA">
        <w:rPr>
          <w:vertAlign w:val="subscript"/>
        </w:rPr>
        <w:t>t</w:t>
      </w:r>
      <w:proofErr w:type="spellEnd"/>
      <w:proofErr w:type="gramEnd"/>
      <w:r w:rsidR="00A520EA">
        <w:t xml:space="preserve"> is calculated as follows</w:t>
      </w:r>
      <w:r w:rsidR="00F26F68">
        <w:t>:</w:t>
      </w:r>
    </w:p>
    <w:p w:rsidR="00A76AB9" w:rsidRDefault="00A76AB9" w:rsidP="00A76AB9">
      <w:pPr>
        <w:tabs>
          <w:tab w:val="left" w:pos="0"/>
        </w:tabs>
        <w:spacing w:line="480" w:lineRule="auto"/>
        <w:ind w:firstLine="720"/>
        <w:jc w:val="both"/>
      </w:pPr>
      <w:r>
        <w:t>[1] For t = 1: V</w:t>
      </w:r>
      <w:r w:rsidRPr="00EC660C">
        <w:rPr>
          <w:vertAlign w:val="subscript"/>
        </w:rPr>
        <w:t>1</w:t>
      </w:r>
      <w:r>
        <w:t xml:space="preserve"> = $100*(1 + 0.10*1) = $100*(1.10) = $110 </w:t>
      </w:r>
    </w:p>
    <w:p w:rsidR="00A76AB9" w:rsidRDefault="00A76AB9" w:rsidP="00A76AB9">
      <w:pPr>
        <w:tabs>
          <w:tab w:val="left" w:pos="0"/>
        </w:tabs>
        <w:spacing w:line="480" w:lineRule="auto"/>
        <w:ind w:firstLine="720"/>
        <w:jc w:val="both"/>
      </w:pPr>
      <w:r>
        <w:t>[2] For t = 2: V</w:t>
      </w:r>
      <w:r>
        <w:rPr>
          <w:vertAlign w:val="subscript"/>
        </w:rPr>
        <w:t xml:space="preserve">2 </w:t>
      </w:r>
      <w:r w:rsidRPr="00EC660C">
        <w:t>=</w:t>
      </w:r>
      <w:r>
        <w:rPr>
          <w:vertAlign w:val="subscript"/>
        </w:rPr>
        <w:t xml:space="preserve"> </w:t>
      </w:r>
      <w:r>
        <w:t>$100*(1 + 0.10*2) = $100*(1.20) = $120</w:t>
      </w:r>
    </w:p>
    <w:p w:rsidR="00F26F68" w:rsidRDefault="00A76AB9" w:rsidP="00A76AB9">
      <w:pPr>
        <w:tabs>
          <w:tab w:val="left" w:pos="0"/>
        </w:tabs>
        <w:spacing w:line="480" w:lineRule="auto"/>
        <w:ind w:firstLine="720"/>
        <w:jc w:val="both"/>
      </w:pPr>
      <w:r>
        <w:t>[3] For t = 3: V</w:t>
      </w:r>
      <w:r>
        <w:rPr>
          <w:vertAlign w:val="subscript"/>
        </w:rPr>
        <w:t xml:space="preserve">3 </w:t>
      </w:r>
      <w:r w:rsidRPr="00EC660C">
        <w:t>=</w:t>
      </w:r>
      <w:r>
        <w:t xml:space="preserve"> $100*(1 + 0.10*3) = $100*(1.30) = $130</w:t>
      </w:r>
    </w:p>
    <w:p w:rsidR="009D72D9" w:rsidRDefault="00905E04" w:rsidP="009D72D9">
      <w:pPr>
        <w:tabs>
          <w:tab w:val="left" w:pos="0"/>
        </w:tabs>
        <w:spacing w:line="480" w:lineRule="auto"/>
        <w:jc w:val="both"/>
      </w:pPr>
      <w:r>
        <w:t xml:space="preserve">Only in the first year is </w:t>
      </w:r>
      <w:r w:rsidR="00DF78AD">
        <w:t xml:space="preserve">the LGF </w:t>
      </w:r>
      <w:r w:rsidR="00B03F0F">
        <w:t>is equal to</w:t>
      </w:r>
      <w:r>
        <w:t xml:space="preserve"> the </w:t>
      </w:r>
      <w:r w:rsidR="00DF78AD">
        <w:t>CGF</w:t>
      </w:r>
      <w:r>
        <w:t>.  The above values are imposed on Figure 2 to create Figure 3.</w:t>
      </w:r>
      <w:r w:rsidR="009D72D9">
        <w:br w:type="page"/>
      </w:r>
    </w:p>
    <w:p w:rsidR="00905E04" w:rsidRDefault="00443277" w:rsidP="00905E04">
      <w:pPr>
        <w:tabs>
          <w:tab w:val="left" w:pos="0"/>
        </w:tabs>
        <w:spacing w:line="480" w:lineRule="auto"/>
        <w:jc w:val="both"/>
      </w:pPr>
      <w:r>
        <w:lastRenderedPageBreak/>
        <w:pict>
          <v:group id="_x0000_s1145" editas="canvas" style="position:absolute;left:0;text-align:left;margin-left:1.3pt;margin-top:11.8pt;width:439.9pt;height:303.2pt;z-index:-251655168" coordorigin="2310,4739" coordsize="6767,4665">
            <o:lock v:ext="edit" aspectratio="t"/>
            <v:shape id="_x0000_s1146" type="#_x0000_t75" style="position:absolute;left:2310;top:4739;width:6767;height:4665" o:preferrelative="f" stroked="t" strokecolor="black [3213]">
              <v:fill o:detectmouseclick="t"/>
              <v:path o:extrusionok="t" o:connecttype="none"/>
              <o:lock v:ext="edit" text="t"/>
            </v:shape>
            <v:shape id="_x0000_s1147" type="#_x0000_t32" style="position:absolute;left:3328;top:5097;width:1;height:3865" o:connectortype="straight"/>
            <v:shape id="_x0000_s1148" type="#_x0000_t32" style="position:absolute;left:3153;top:8712;width:4899;height:10;flip:y" o:connectortype="straight"/>
            <v:shape id="_x0000_s1149" type="#_x0000_t202" style="position:absolute;left:7995;top:8547;width:965;height:350" stroked="f">
              <v:textbox style="mso-next-textbox:#_x0000_s1149">
                <w:txbxContent>
                  <w:p w:rsidR="00350D70" w:rsidRDefault="00350D70" w:rsidP="009369BB">
                    <w:r>
                      <w:t>Time (t)</w:t>
                    </w:r>
                  </w:p>
                </w:txbxContent>
              </v:textbox>
            </v:shape>
            <v:shape id="_x0000_s1150" type="#_x0000_t202" style="position:absolute;left:2310;top:4934;width:1055;height:352" filled="f" stroked="f">
              <v:textbox style="mso-next-textbox:#_x0000_s1150">
                <w:txbxContent>
                  <w:p w:rsidR="00350D70" w:rsidRDefault="00350D70" w:rsidP="009369BB">
                    <w:r>
                      <w:t>Value (V)</w:t>
                    </w:r>
                  </w:p>
                </w:txbxContent>
              </v:textbox>
            </v:shape>
            <v:oval id="_x0000_s1151" style="position:absolute;left:3228;top:8170;width:154;height:140" fillcolor="#7f7f7f [1612]" strokecolor="#7f7f7f [1612]" strokeweight="10pt">
              <v:stroke linestyle="thinThin"/>
              <v:shadow color="#868686"/>
            </v:oval>
            <v:oval id="_x0000_s1152" style="position:absolute;left:4452;top:7506;width:157;height:142" fillcolor="#7f7f7f [1612]" strokecolor="#7f7f7f [1612]" strokeweight="10pt">
              <v:stroke linestyle="thinThin"/>
              <v:shadow color="#868686"/>
            </v:oval>
            <v:shape id="_x0000_s1155" type="#_x0000_t202" style="position:absolute;left:2966;top:8732;width:359;height:320" filled="f" stroked="f">
              <v:textbox style="mso-next-textbox:#_x0000_s1155">
                <w:txbxContent>
                  <w:p w:rsidR="00350D70" w:rsidRDefault="00350D70" w:rsidP="009369BB">
                    <w:r>
                      <w:t>0</w:t>
                    </w:r>
                  </w:p>
                </w:txbxContent>
              </v:textbox>
            </v:shape>
            <v:shape id="_x0000_s1156" type="#_x0000_t32" style="position:absolute;left:6910;top:5516;width:10;height:3206;flip:x y" o:connectortype="straight">
              <v:stroke dashstyle="1 1"/>
            </v:shape>
            <v:shape id="_x0000_s1157" type="#_x0000_t32" style="position:absolute;left:5651;top:6768;width:18;height:1949;flip:x y" o:connectortype="straight">
              <v:stroke dashstyle="1 1"/>
            </v:shape>
            <v:shape id="_x0000_s1158" type="#_x0000_t32" style="position:absolute;left:4555;top:7755;width:11;height:947;flip:x y" o:connectortype="straight">
              <v:stroke dashstyle="1 1"/>
            </v:shape>
            <v:shape id="_x0000_s1159" type="#_x0000_t202" style="position:absolute;left:4711;top:4882;width:1568;height:335" stroked="f">
              <v:textbox style="mso-next-textbox:#_x0000_s1159">
                <w:txbxContent>
                  <w:p w:rsidR="00350D70" w:rsidRPr="004F0BEB" w:rsidRDefault="00350D70" w:rsidP="009369BB">
                    <w:pPr>
                      <w:jc w:val="center"/>
                      <w:rPr>
                        <w:b/>
                      </w:rPr>
                    </w:pPr>
                    <w:r w:rsidRPr="004F0BEB">
                      <w:rPr>
                        <w:b/>
                      </w:rPr>
                      <w:t xml:space="preserve">Figure </w:t>
                    </w:r>
                    <w:r>
                      <w:rPr>
                        <w:b/>
                      </w:rPr>
                      <w:t>3</w:t>
                    </w:r>
                  </w:p>
                </w:txbxContent>
              </v:textbox>
            </v:shape>
            <v:shape id="_x0000_s1161" type="#_x0000_t202" style="position:absolute;left:4428;top:8695;width:313;height:355" filled="f" stroked="f">
              <v:textbox style="mso-next-textbox:#_x0000_s1161">
                <w:txbxContent>
                  <w:p w:rsidR="00350D70" w:rsidRDefault="00350D70" w:rsidP="009369BB">
                    <w:r>
                      <w:t>1</w:t>
                    </w:r>
                  </w:p>
                </w:txbxContent>
              </v:textbox>
            </v:shape>
            <v:shape id="_x0000_s1162" type="#_x0000_t202" style="position:absolute;left:5535;top:8715;width:310;height:322" filled="f" stroked="f">
              <v:textbox style="mso-next-textbox:#_x0000_s1162">
                <w:txbxContent>
                  <w:p w:rsidR="00350D70" w:rsidRDefault="00350D70" w:rsidP="009369BB">
                    <w:r>
                      <w:t>2</w:t>
                    </w:r>
                  </w:p>
                </w:txbxContent>
              </v:textbox>
            </v:shape>
            <v:shape id="_x0000_s1163" type="#_x0000_t202" style="position:absolute;left:6764;top:8722;width:310;height:320" filled="f" stroked="f">
              <v:textbox style="mso-next-textbox:#_x0000_s1163">
                <w:txbxContent>
                  <w:p w:rsidR="00350D70" w:rsidRDefault="00350D70" w:rsidP="009369BB">
                    <w:r>
                      <w:t>3</w:t>
                    </w:r>
                  </w:p>
                </w:txbxContent>
              </v:textbox>
            </v:shape>
            <v:shape id="_x0000_s1169" type="#_x0000_t202" style="position:absolute;left:3788;top:7281;width:698;height:353" filled="f" stroked="f">
              <v:textbox style="mso-next-textbox:#_x0000_s1169">
                <w:txbxContent>
                  <w:p w:rsidR="00350D70" w:rsidRDefault="00350D70" w:rsidP="009369BB">
                    <w:r>
                      <w:t>$110</w:t>
                    </w:r>
                  </w:p>
                </w:txbxContent>
              </v:textbox>
            </v:shape>
            <v:shape id="_x0000_s1170" type="#_x0000_t202" style="position:absolute;left:5023;top:6321;width:703;height:353" filled="f" stroked="f">
              <v:textbox style="mso-next-textbox:#_x0000_s1170">
                <w:txbxContent>
                  <w:p w:rsidR="00350D70" w:rsidRDefault="00350D70" w:rsidP="009369BB">
                    <w:r>
                      <w:t>$121</w:t>
                    </w:r>
                  </w:p>
                </w:txbxContent>
              </v:textbox>
            </v:shape>
            <v:shape id="_x0000_s1183" type="#_x0000_t32" style="position:absolute;left:3249;top:6349;width:3660;height:1886;flip:y" o:connectortype="straight" strokecolor="#7f7f7f [1612]" strokeweight="3pt"/>
            <v:oval id="_x0000_s1187" style="position:absolute;left:6801;top:5449;width:153;height:143" fillcolor="black [3200]" strokecolor="black [3200]" strokeweight="10pt">
              <v:stroke linestyle="thinThin"/>
              <v:shadow color="#868686"/>
            </v:oval>
            <v:oval id="_x0000_s1188" style="position:absolute;left:5565;top:6563;width:151;height:140" fillcolor="black [3200]" strokecolor="black [3200]" strokeweight="10pt">
              <v:stroke linestyle="thinThin"/>
              <v:shadow color="#868686"/>
            </v:oval>
            <v:oval id="_x0000_s1189" style="position:absolute;left:5588;top:6911;width:151;height:140" fillcolor="#7f7f7f [1612]" strokecolor="#7f7f7f [1612]" strokeweight="10pt">
              <v:stroke linestyle="thinThin"/>
              <v:shadow color="#868686"/>
            </v:oval>
            <v:oval id="_x0000_s1190" style="position:absolute;left:6814;top:6289;width:153;height:140" fillcolor="#7f7f7f [1612]" strokecolor="#7f7f7f [1612]" strokeweight="10pt">
              <v:stroke linestyle="thinThin"/>
              <v:shadow color="#868686"/>
            </v:oval>
            <v:shape id="_x0000_s1191" type="#_x0000_t202" style="position:absolute;left:5616;top:7061;width:703;height:352" filled="f" stroked="f">
              <v:textbox style="mso-next-textbox:#_x0000_s1191">
                <w:txbxContent>
                  <w:p w:rsidR="00350D70" w:rsidRDefault="00350D70" w:rsidP="009369BB">
                    <w:r>
                      <w:t>$120</w:t>
                    </w:r>
                  </w:p>
                </w:txbxContent>
              </v:textbox>
            </v:shape>
            <v:shape id="_x0000_s1192" type="#_x0000_t202" style="position:absolute;left:2582;top:8073;width:698;height:352" filled="f" stroked="f">
              <v:textbox style="mso-next-textbox:#_x0000_s1192">
                <w:txbxContent>
                  <w:p w:rsidR="00350D70" w:rsidRDefault="00350D70" w:rsidP="009369BB">
                    <w:r>
                      <w:t>$100</w:t>
                    </w:r>
                  </w:p>
                </w:txbxContent>
              </v:textbox>
            </v:shape>
            <v:shape id="_x0000_s1193" style="position:absolute;left:3290;top:5516;width:3597;height:2717" coordsize="4673,3532" path="m,3532c554,3269,1108,3006,1617,2662v509,-344,931,-751,1440,-1195c3566,1023,4119,511,4673,e" filled="f" strokeweight="3pt">
              <v:stroke dashstyle="1 1"/>
              <v:path arrowok="t"/>
            </v:shape>
            <v:shape id="_x0000_s1195" type="#_x0000_t202" style="position:absolute;left:7025;top:6431;width:702;height:350" filled="f" stroked="f">
              <v:textbox style="mso-next-textbox:#_x0000_s1195">
                <w:txbxContent>
                  <w:p w:rsidR="00350D70" w:rsidRDefault="00350D70" w:rsidP="009369BB">
                    <w:r>
                      <w:t>$130</w:t>
                    </w:r>
                  </w:p>
                </w:txbxContent>
              </v:textbox>
            </v:shape>
            <v:shape id="_x0000_s1196" type="#_x0000_t202" style="position:absolute;left:6086;top:5124;width:846;height:352" filled="f" stroked="f">
              <v:textbox style="mso-next-textbox:#_x0000_s1196">
                <w:txbxContent>
                  <w:p w:rsidR="00350D70" w:rsidRDefault="00350D70" w:rsidP="009369BB">
                    <w:r>
                      <w:t>$133.10</w:t>
                    </w:r>
                  </w:p>
                </w:txbxContent>
              </v:textbox>
            </v:shape>
            <v:shape id="_x0000_s1197" type="#_x0000_t202" style="position:absolute;left:4651;top:7653;width:698;height:352" filled="f" stroked="f">
              <v:textbox style="mso-next-textbox:#_x0000_s1197">
                <w:txbxContent>
                  <w:p w:rsidR="00350D70" w:rsidRDefault="00350D70" w:rsidP="009369BB">
                    <w:r>
                      <w:t>$110</w:t>
                    </w:r>
                  </w:p>
                </w:txbxContent>
              </v:textbox>
            </v:shape>
            <v:shape id="_x0000_s1198" type="#_x0000_t42" style="position:absolute;left:7072;top:7028;width:1778;height:1057" adj="-9464,-6524,-5251,2830,-1121,2830,-39426,9700" fillcolor="#d8d8d8 [2732]">
              <v:stroke startarrow="block"/>
              <v:textbox style="mso-next-textbox:#_x0000_s1198">
                <w:txbxContent>
                  <w:p w:rsidR="00350D70" w:rsidRPr="004B3F0C" w:rsidRDefault="00350D70" w:rsidP="009369BB">
                    <w:pPr>
                      <w:jc w:val="center"/>
                      <w:rPr>
                        <w:sz w:val="20"/>
                        <w:szCs w:val="20"/>
                      </w:rPr>
                    </w:pPr>
                    <w:r>
                      <w:rPr>
                        <w:sz w:val="20"/>
                        <w:szCs w:val="20"/>
                      </w:rPr>
                      <w:t>Grey line is linear, representing the LGF.  Year-to-year growth falls below r = 0.10 after Year 1.</w:t>
                    </w:r>
                  </w:p>
                </w:txbxContent>
              </v:textbox>
            </v:shape>
            <v:shape id="_x0000_s1199" type="#_x0000_t42" style="position:absolute;left:3617;top:5281;width:1244;height:1044;flip:x" adj="-23723,11619,-12496,2865,-1602,2865,58365,9709" fillcolor="#d8d8d8 [2732]">
              <v:stroke startarrow="block"/>
              <v:textbox style="mso-next-textbox:#_x0000_s1199">
                <w:txbxContent>
                  <w:p w:rsidR="00350D70" w:rsidRPr="004B3F0C" w:rsidRDefault="00350D70" w:rsidP="009369BB">
                    <w:pPr>
                      <w:jc w:val="center"/>
                      <w:rPr>
                        <w:sz w:val="20"/>
                        <w:szCs w:val="20"/>
                      </w:rPr>
                    </w:pPr>
                    <w:r>
                      <w:rPr>
                        <w:sz w:val="20"/>
                        <w:szCs w:val="20"/>
                      </w:rPr>
                      <w:t>Black dashed line is the non-linear CGF line from Figure 2 with r = 0.10.</w:t>
                    </w:r>
                  </w:p>
                </w:txbxContent>
              </v:textbox>
              <o:callout v:ext="edit" minusx="t" minusy="t"/>
            </v:shape>
          </v:group>
        </w:pict>
      </w: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EE61EC" w:rsidRDefault="00EE61EC" w:rsidP="00905E04">
      <w:pPr>
        <w:tabs>
          <w:tab w:val="left" w:pos="0"/>
        </w:tabs>
        <w:spacing w:line="480" w:lineRule="auto"/>
        <w:jc w:val="both"/>
      </w:pPr>
    </w:p>
    <w:p w:rsidR="00905E04" w:rsidRDefault="00905E04" w:rsidP="00905E04">
      <w:pPr>
        <w:tabs>
          <w:tab w:val="left" w:pos="0"/>
        </w:tabs>
        <w:spacing w:line="480" w:lineRule="auto"/>
        <w:jc w:val="both"/>
      </w:pPr>
    </w:p>
    <w:p w:rsidR="00905E04" w:rsidRDefault="001B15E7" w:rsidP="00905E04">
      <w:pPr>
        <w:tabs>
          <w:tab w:val="left" w:pos="0"/>
        </w:tabs>
        <w:spacing w:line="480" w:lineRule="auto"/>
        <w:jc w:val="both"/>
      </w:pPr>
      <w:r>
        <w:t xml:space="preserve">The grey line shows the path of </w:t>
      </w:r>
      <w:r w:rsidR="00DF78AD">
        <w:t>the LGF</w:t>
      </w:r>
      <w:r>
        <w:t xml:space="preserve"> with </w:t>
      </w:r>
      <w:r w:rsidR="00DF78AD">
        <w:t>V</w:t>
      </w:r>
      <w:r w:rsidR="00DF78AD" w:rsidRPr="00DF78AD">
        <w:rPr>
          <w:vertAlign w:val="subscript"/>
        </w:rPr>
        <w:t>0</w:t>
      </w:r>
      <w:r w:rsidR="00DF78AD">
        <w:t xml:space="preserve"> = $100 and </w:t>
      </w:r>
      <w:r>
        <w:t xml:space="preserve">r = 0.10.  After t = 1, the </w:t>
      </w:r>
      <w:r w:rsidR="00DF78AD">
        <w:t>LGF</w:t>
      </w:r>
      <w:r w:rsidR="008A661B">
        <w:t xml:space="preserve"> is</w:t>
      </w:r>
      <w:r>
        <w:t xml:space="preserve"> always below the black-dashed line, which represents CGF path with r = 0.10.  As time increases, the difference between the two lines</w:t>
      </w:r>
      <w:r w:rsidR="008A661B">
        <w:t xml:space="preserve"> will continue to</w:t>
      </w:r>
      <w:r>
        <w:t xml:space="preserve"> increase.  </w:t>
      </w:r>
      <w:r w:rsidR="008A661B" w:rsidRPr="00DF78AD">
        <w:t xml:space="preserve">This means </w:t>
      </w:r>
      <w:r w:rsidR="00DF78AD" w:rsidRPr="00DF78AD">
        <w:t xml:space="preserve">applying the LGF </w:t>
      </w:r>
      <w:r w:rsidR="008A661B" w:rsidRPr="00DF78AD">
        <w:t xml:space="preserve">when </w:t>
      </w:r>
      <w:proofErr w:type="spellStart"/>
      <w:proofErr w:type="gramStart"/>
      <w:r w:rsidR="00A25EA9" w:rsidRPr="00DF78AD">
        <w:t>V</w:t>
      </w:r>
      <w:r w:rsidR="00A25EA9" w:rsidRPr="00DF78AD">
        <w:rPr>
          <w:vertAlign w:val="subscript"/>
        </w:rPr>
        <w:t>t</w:t>
      </w:r>
      <w:proofErr w:type="spellEnd"/>
      <w:proofErr w:type="gramEnd"/>
      <w:r w:rsidR="00A25EA9" w:rsidRPr="00DF78AD">
        <w:t xml:space="preserve"> </w:t>
      </w:r>
      <w:r w:rsidR="008A661B" w:rsidRPr="00DF78AD">
        <w:t xml:space="preserve">is </w:t>
      </w:r>
      <w:r w:rsidR="00A25EA9" w:rsidRPr="00DF78AD">
        <w:t xml:space="preserve">following </w:t>
      </w:r>
      <w:r w:rsidR="00DF78AD">
        <w:t xml:space="preserve">the </w:t>
      </w:r>
      <w:r w:rsidR="00DF78AD" w:rsidRPr="00DF78AD">
        <w:t>CGF</w:t>
      </w:r>
      <w:r w:rsidR="00A25EA9" w:rsidRPr="00DF78AD">
        <w:t xml:space="preserve"> </w:t>
      </w:r>
      <w:r w:rsidR="008A661B" w:rsidRPr="00DF78AD">
        <w:t xml:space="preserve">will generate </w:t>
      </w:r>
      <w:r w:rsidR="002501BD" w:rsidRPr="00DF78AD">
        <w:t>increasingly large error</w:t>
      </w:r>
      <w:r w:rsidR="00DF78AD">
        <w:t>s</w:t>
      </w:r>
      <w:r w:rsidR="002501BD" w:rsidRPr="00DF78AD">
        <w:t xml:space="preserve"> over time.</w:t>
      </w:r>
      <w:r w:rsidR="008A661B">
        <w:t xml:space="preserve"> </w:t>
      </w:r>
      <w:r w:rsidR="00DF78AD">
        <w:t xml:space="preserve">  It is </w:t>
      </w:r>
      <w:r w:rsidR="002501BD">
        <w:t>important to note that</w:t>
      </w:r>
      <w:r w:rsidR="006D440C">
        <w:t xml:space="preserve"> with the </w:t>
      </w:r>
      <w:r w:rsidR="00B03F0F">
        <w:t>LGF</w:t>
      </w:r>
      <w:r w:rsidR="006D440C">
        <w:t xml:space="preserve">, </w:t>
      </w:r>
      <w:r w:rsidR="002501BD">
        <w:t>year-to-year growth</w:t>
      </w:r>
      <w:r w:rsidR="006D440C">
        <w:t xml:space="preserve"> </w:t>
      </w:r>
      <w:r w:rsidR="00DF78AD">
        <w:t>no longer equals</w:t>
      </w:r>
      <w:r w:rsidR="002501BD">
        <w:t xml:space="preserve"> r after </w:t>
      </w:r>
      <w:r w:rsidR="006D440C">
        <w:t>t = 1</w:t>
      </w:r>
      <w:r w:rsidR="002501BD">
        <w:t xml:space="preserve">. </w:t>
      </w:r>
      <w:r w:rsidR="006D440C">
        <w:t xml:space="preserve"> Using Figure 3, the percentage change </w:t>
      </w:r>
      <w:r w:rsidR="005E6C53">
        <w:t>at the end of Y</w:t>
      </w:r>
      <w:r w:rsidR="006D440C">
        <w:t>ear 1, r</w:t>
      </w:r>
      <w:r w:rsidR="006D440C" w:rsidRPr="006D440C">
        <w:rPr>
          <w:vertAlign w:val="subscript"/>
        </w:rPr>
        <w:t>1</w:t>
      </w:r>
      <w:r w:rsidR="006D440C">
        <w:t>, is r</w:t>
      </w:r>
      <w:r w:rsidR="006D440C" w:rsidRPr="006D440C">
        <w:rPr>
          <w:vertAlign w:val="subscript"/>
        </w:rPr>
        <w:t>1</w:t>
      </w:r>
      <w:r w:rsidR="00A415ED">
        <w:t xml:space="preserve"> = </w:t>
      </w:r>
      <w:r w:rsidR="006D440C">
        <w:t>(110 – 100)/100 = 0.10; for Year 2, r</w:t>
      </w:r>
      <w:r w:rsidR="006D440C" w:rsidRPr="006D440C">
        <w:rPr>
          <w:vertAlign w:val="subscript"/>
        </w:rPr>
        <w:t>2</w:t>
      </w:r>
      <w:r w:rsidR="006D440C">
        <w:t xml:space="preserve"> = (120 – 110)/110 = 0.091; and for Year 3, r</w:t>
      </w:r>
      <w:r w:rsidR="006D440C" w:rsidRPr="006D440C">
        <w:rPr>
          <w:vertAlign w:val="subscript"/>
        </w:rPr>
        <w:t>3</w:t>
      </w:r>
      <w:r w:rsidR="006D440C">
        <w:t xml:space="preserve"> = (130 – 120)/120 = 0.083.  </w:t>
      </w:r>
      <w:r w:rsidR="00F135DE">
        <w:t>This means as t increases</w:t>
      </w:r>
      <w:r w:rsidR="006D440C">
        <w:t>,</w:t>
      </w:r>
      <w:r w:rsidR="00F135DE">
        <w:t xml:space="preserve"> the year-to-year </w:t>
      </w:r>
      <w:r w:rsidR="006A4054">
        <w:t>percentage change is falling</w:t>
      </w:r>
      <w:r w:rsidR="006D440C">
        <w:t>.</w:t>
      </w:r>
      <w:r w:rsidR="00DF78AD">
        <w:t xml:space="preserve">  In contrast, as noted above, </w:t>
      </w:r>
      <w:proofErr w:type="spellStart"/>
      <w:proofErr w:type="gramStart"/>
      <w:r w:rsidR="00DF78AD">
        <w:t>r</w:t>
      </w:r>
      <w:r w:rsidR="00DF78AD" w:rsidRPr="00DF78AD">
        <w:rPr>
          <w:vertAlign w:val="subscript"/>
        </w:rPr>
        <w:t>t</w:t>
      </w:r>
      <w:proofErr w:type="spellEnd"/>
      <w:proofErr w:type="gramEnd"/>
      <w:r w:rsidR="00DF78AD">
        <w:t xml:space="preserve"> = r in the CGF.</w:t>
      </w:r>
    </w:p>
    <w:p w:rsidR="00B6317E" w:rsidRPr="00D26147" w:rsidRDefault="00B6317E" w:rsidP="00135497">
      <w:pPr>
        <w:tabs>
          <w:tab w:val="left" w:pos="0"/>
        </w:tabs>
        <w:spacing w:line="480" w:lineRule="auto"/>
        <w:ind w:firstLine="720"/>
        <w:jc w:val="both"/>
        <w:rPr>
          <w:b/>
        </w:rPr>
      </w:pPr>
      <w:proofErr w:type="gramStart"/>
      <w:r w:rsidRPr="00D26147">
        <w:rPr>
          <w:b/>
        </w:rPr>
        <w:t xml:space="preserve">Q. </w:t>
      </w:r>
      <w:r w:rsidR="00281EB4">
        <w:rPr>
          <w:b/>
        </w:rPr>
        <w:tab/>
      </w:r>
      <w:r w:rsidR="00817BF9">
        <w:rPr>
          <w:b/>
        </w:rPr>
        <w:t>For</w:t>
      </w:r>
      <w:proofErr w:type="gramEnd"/>
      <w:r w:rsidR="00817BF9">
        <w:rPr>
          <w:b/>
        </w:rPr>
        <w:t xml:space="preserve"> a given number of years into the future, h</w:t>
      </w:r>
      <w:r w:rsidR="00DF1636">
        <w:rPr>
          <w:b/>
        </w:rPr>
        <w:t xml:space="preserve">ow </w:t>
      </w:r>
      <w:r w:rsidR="006A4054">
        <w:rPr>
          <w:b/>
        </w:rPr>
        <w:t>significant is the difference between the cumulative growth</w:t>
      </w:r>
      <w:r w:rsidR="007223BC">
        <w:rPr>
          <w:b/>
        </w:rPr>
        <w:t xml:space="preserve"> rate using the CGF </w:t>
      </w:r>
      <w:r w:rsidR="006A4054">
        <w:rPr>
          <w:b/>
        </w:rPr>
        <w:t>and</w:t>
      </w:r>
      <w:r w:rsidR="0028655F">
        <w:rPr>
          <w:b/>
        </w:rPr>
        <w:t xml:space="preserve"> </w:t>
      </w:r>
      <w:r w:rsidR="00817BF9">
        <w:rPr>
          <w:b/>
        </w:rPr>
        <w:t>LGF</w:t>
      </w:r>
      <w:r w:rsidRPr="00D26147">
        <w:rPr>
          <w:b/>
        </w:rPr>
        <w:t>?</w:t>
      </w:r>
    </w:p>
    <w:p w:rsidR="001C12B2" w:rsidRDefault="00251E7C" w:rsidP="00F135DE">
      <w:pPr>
        <w:tabs>
          <w:tab w:val="left" w:pos="0"/>
        </w:tabs>
        <w:spacing w:line="480" w:lineRule="auto"/>
        <w:ind w:firstLine="720"/>
        <w:jc w:val="both"/>
      </w:pPr>
      <w:r>
        <w:lastRenderedPageBreak/>
        <w:t xml:space="preserve">A. </w:t>
      </w:r>
      <w:r w:rsidR="00281EB4">
        <w:tab/>
      </w:r>
      <w:r w:rsidR="00F135DE">
        <w:t xml:space="preserve">It can be easily shown that when </w:t>
      </w:r>
      <w:proofErr w:type="gramStart"/>
      <w:r w:rsidR="00F135DE">
        <w:t>r  &gt;</w:t>
      </w:r>
      <w:proofErr w:type="gramEnd"/>
      <w:r w:rsidR="00F135DE">
        <w:t xml:space="preserve"> 0, r*t will always be less than (1+r)</w:t>
      </w:r>
      <w:r w:rsidR="00F135DE" w:rsidRPr="009A0DFC">
        <w:rPr>
          <w:vertAlign w:val="superscript"/>
        </w:rPr>
        <w:t>t</w:t>
      </w:r>
      <w:r w:rsidR="00F135DE">
        <w:t xml:space="preserve"> – 1 for any t over one year.  In other words, for t &gt; 1, r*t will under-estimate cumulative growth </w:t>
      </w:r>
      <w:r w:rsidR="00DF78AD">
        <w:t>when</w:t>
      </w:r>
      <w:r w:rsidR="00F135DE">
        <w:t xml:space="preserve"> a value is incre</w:t>
      </w:r>
      <w:r w:rsidR="00817BF9">
        <w:t>asing in the non-linear fashion</w:t>
      </w:r>
      <w:r w:rsidR="005A1CA4">
        <w:t xml:space="preserve"> of the CGF</w:t>
      </w:r>
      <w:r w:rsidR="00817BF9">
        <w:t>.</w:t>
      </w:r>
      <w:r w:rsidR="0046041F">
        <w:t xml:space="preserve">  The degree</w:t>
      </w:r>
      <w:r w:rsidR="003D0080">
        <w:t xml:space="preserve"> of</w:t>
      </w:r>
      <w:r w:rsidR="0046041F">
        <w:t xml:space="preserve"> </w:t>
      </w:r>
      <w:r w:rsidR="003D0080">
        <w:t>understatement increases as the growth rate, r,</w:t>
      </w:r>
      <w:r w:rsidR="0046041F">
        <w:t xml:space="preserve"> </w:t>
      </w:r>
      <w:proofErr w:type="gramStart"/>
      <w:r w:rsidR="003D0080">
        <w:t>increases</w:t>
      </w:r>
      <w:proofErr w:type="gramEnd"/>
      <w:r w:rsidR="0046041F">
        <w:t xml:space="preserve">.  </w:t>
      </w:r>
      <w:r w:rsidR="003D0080">
        <w:t>That is</w:t>
      </w:r>
      <w:r w:rsidR="0046041F">
        <w:t xml:space="preserve">, the larger r is, the larger the difference between </w:t>
      </w:r>
      <w:proofErr w:type="spellStart"/>
      <w:r w:rsidR="0046041F">
        <w:t>R</w:t>
      </w:r>
      <w:r w:rsidR="0046041F" w:rsidRPr="0046041F">
        <w:rPr>
          <w:vertAlign w:val="subscript"/>
        </w:rPr>
        <w:t>t</w:t>
      </w:r>
      <w:proofErr w:type="spellEnd"/>
      <w:r w:rsidR="0046041F">
        <w:t xml:space="preserve"> = (1+r</w:t>
      </w:r>
      <w:proofErr w:type="gramStart"/>
      <w:r w:rsidR="0046041F">
        <w:t>)</w:t>
      </w:r>
      <w:r w:rsidR="0046041F" w:rsidRPr="009A0DFC">
        <w:rPr>
          <w:vertAlign w:val="superscript"/>
        </w:rPr>
        <w:t>t</w:t>
      </w:r>
      <w:proofErr w:type="gramEnd"/>
      <w:r w:rsidR="0046041F">
        <w:t xml:space="preserve"> – 1 and </w:t>
      </w:r>
      <w:r w:rsidR="00007352">
        <w:t>t</w:t>
      </w:r>
      <w:r w:rsidR="0046041F">
        <w:t>*r</w:t>
      </w:r>
      <w:r w:rsidR="00007352">
        <w:t xml:space="preserve"> for </w:t>
      </w:r>
      <w:r w:rsidR="00336C73">
        <w:t xml:space="preserve">any </w:t>
      </w:r>
      <w:r w:rsidR="00566BA1">
        <w:t>t &gt; 1</w:t>
      </w:r>
      <w:r w:rsidR="0046041F">
        <w:t>.</w:t>
      </w:r>
      <w:r w:rsidR="00AD14A7">
        <w:t xml:space="preserve">  The simple example in Table </w:t>
      </w:r>
      <w:r w:rsidR="005A1CA4">
        <w:t>1</w:t>
      </w:r>
      <w:r w:rsidR="00AD14A7">
        <w:t xml:space="preserve"> </w:t>
      </w:r>
      <w:r w:rsidR="009D72D9">
        <w:t xml:space="preserve">below </w:t>
      </w:r>
      <w:r w:rsidR="00AD14A7">
        <w:t>highlights this point.  The first column</w:t>
      </w:r>
      <w:r w:rsidR="001C12B2">
        <w:t xml:space="preserve"> (column A)</w:t>
      </w:r>
      <w:r w:rsidR="00AD14A7">
        <w:t xml:space="preserve"> shows annual compounding growth rates, r, from 1% to 10%.  </w:t>
      </w:r>
      <w:r w:rsidR="001C12B2">
        <w:t xml:space="preserve">Column B </w:t>
      </w:r>
      <w:r w:rsidR="00AD14A7">
        <w:t xml:space="preserve">shows the cumulative growth rate over three years </w:t>
      </w:r>
      <w:r w:rsidR="005A1CA4">
        <w:t xml:space="preserve">(t = 3) </w:t>
      </w:r>
      <w:r w:rsidR="00AD14A7">
        <w:t xml:space="preserve">using the </w:t>
      </w:r>
      <w:r w:rsidR="005A1CA4">
        <w:t xml:space="preserve">non-linear </w:t>
      </w:r>
      <w:r w:rsidR="00DA37E6">
        <w:t>cumulative</w:t>
      </w:r>
      <w:r w:rsidR="005A1CA4">
        <w:t xml:space="preserve"> rate</w:t>
      </w:r>
      <w:r w:rsidR="00AD14A7">
        <w:t>, R</w:t>
      </w:r>
      <w:r w:rsidR="00AD14A7">
        <w:rPr>
          <w:vertAlign w:val="subscript"/>
        </w:rPr>
        <w:t>3</w:t>
      </w:r>
      <w:r w:rsidR="00AD14A7">
        <w:t xml:space="preserve"> = (1+r</w:t>
      </w:r>
      <w:proofErr w:type="gramStart"/>
      <w:r w:rsidR="00AD14A7">
        <w:t>)</w:t>
      </w:r>
      <w:r w:rsidR="00AD14A7">
        <w:rPr>
          <w:vertAlign w:val="superscript"/>
        </w:rPr>
        <w:t>3</w:t>
      </w:r>
      <w:proofErr w:type="gramEnd"/>
      <w:r w:rsidR="00AD14A7">
        <w:t xml:space="preserve"> – 1.  </w:t>
      </w:r>
      <w:r w:rsidR="001C12B2">
        <w:t>C</w:t>
      </w:r>
      <w:r w:rsidR="00AD14A7">
        <w:t xml:space="preserve">olumn </w:t>
      </w:r>
      <w:r w:rsidR="001C12B2">
        <w:t xml:space="preserve">C </w:t>
      </w:r>
      <w:r w:rsidR="005A1CA4">
        <w:t xml:space="preserve">shows the linear </w:t>
      </w:r>
      <w:r w:rsidR="00DA37E6">
        <w:t xml:space="preserve">cumulative </w:t>
      </w:r>
      <w:r w:rsidR="005A1CA4">
        <w:t>rate,</w:t>
      </w:r>
      <w:r w:rsidR="00AD14A7">
        <w:t xml:space="preserve"> 3*r.  </w:t>
      </w:r>
      <w:r w:rsidR="001C12B2">
        <w:t xml:space="preserve">Column D shows column B minus column C, which is the difference between the </w:t>
      </w:r>
      <w:r w:rsidR="00DA37E6">
        <w:t xml:space="preserve">non-linear cumulative rate </w:t>
      </w:r>
      <w:r w:rsidR="001C12B2">
        <w:t xml:space="preserve">and </w:t>
      </w:r>
      <w:r w:rsidR="00325407">
        <w:t xml:space="preserve">the </w:t>
      </w:r>
      <w:r w:rsidR="00B03F0F">
        <w:t xml:space="preserve">cumulative </w:t>
      </w:r>
      <w:r w:rsidR="001C12B2">
        <w:t xml:space="preserve">linear </w:t>
      </w:r>
      <w:r w:rsidR="00DA37E6">
        <w:t>rate</w:t>
      </w:r>
      <w:r w:rsidR="001C12B2">
        <w:t>.   Column D shows that</w:t>
      </w:r>
      <w:r w:rsidR="00AD14A7">
        <w:t xml:space="preserve"> as r increases, the difference between the cumulative</w:t>
      </w:r>
      <w:r w:rsidR="00FF19E9">
        <w:t xml:space="preserve"> growth rates increases at an increasing rate.  Th</w:t>
      </w:r>
      <w:r w:rsidR="00325407">
        <w:t xml:space="preserve">e </w:t>
      </w:r>
      <w:r w:rsidR="00FF19E9">
        <w:t xml:space="preserve">relationship </w:t>
      </w:r>
      <w:r w:rsidR="00325407">
        <w:t xml:space="preserve">between column A and B </w:t>
      </w:r>
      <w:r w:rsidR="00FF19E9">
        <w:t xml:space="preserve">is graphed in Figure </w:t>
      </w:r>
      <w:r w:rsidR="00070E2B">
        <w:t>4</w:t>
      </w:r>
      <w:r w:rsidR="00FF19E9">
        <w:t>.</w:t>
      </w:r>
      <w:r w:rsidR="00AD14A7">
        <w:t xml:space="preserve">  </w:t>
      </w:r>
    </w:p>
    <w:tbl>
      <w:tblPr>
        <w:tblStyle w:val="LightGrid"/>
        <w:tblpPr w:leftFromText="180" w:rightFromText="180" w:vertAnchor="text" w:horzAnchor="margin" w:tblpXSpec="center" w:tblpY="336"/>
        <w:tblW w:w="5525" w:type="dxa"/>
        <w:tblLook w:val="04A0"/>
      </w:tblPr>
      <w:tblGrid>
        <w:gridCol w:w="976"/>
        <w:gridCol w:w="1488"/>
        <w:gridCol w:w="1659"/>
        <w:gridCol w:w="1402"/>
      </w:tblGrid>
      <w:tr w:rsidR="009D72D9" w:rsidRPr="001C12B2" w:rsidTr="009D72D9">
        <w:trPr>
          <w:cnfStyle w:val="100000000000"/>
          <w:trHeight w:val="300"/>
        </w:trPr>
        <w:tc>
          <w:tcPr>
            <w:cnfStyle w:val="001000000000"/>
            <w:tcW w:w="5525" w:type="dxa"/>
            <w:gridSpan w:val="4"/>
            <w:noWrap/>
            <w:hideMark/>
          </w:tcPr>
          <w:p w:rsidR="009D72D9" w:rsidRPr="001C12B2" w:rsidRDefault="009D72D9" w:rsidP="009D72D9">
            <w:pPr>
              <w:suppressAutoHyphens w:val="0"/>
              <w:autoSpaceDE/>
              <w:jc w:val="center"/>
              <w:rPr>
                <w:rFonts w:eastAsia="Times New Roman"/>
                <w:color w:val="000000"/>
                <w:sz w:val="22"/>
                <w:szCs w:val="22"/>
                <w:lang w:eastAsia="en-US"/>
              </w:rPr>
            </w:pPr>
            <w:r w:rsidRPr="001C12B2">
              <w:rPr>
                <w:rFonts w:eastAsia="Times New Roman"/>
                <w:color w:val="000000"/>
                <w:sz w:val="22"/>
                <w:szCs w:val="22"/>
                <w:lang w:eastAsia="en-US"/>
              </w:rPr>
              <w:t>Table 1</w:t>
            </w:r>
          </w:p>
        </w:tc>
      </w:tr>
      <w:tr w:rsidR="009D72D9" w:rsidRPr="001C12B2" w:rsidTr="009D72D9">
        <w:trPr>
          <w:cnfStyle w:val="000000100000"/>
          <w:trHeight w:val="300"/>
        </w:trPr>
        <w:tc>
          <w:tcPr>
            <w:cnfStyle w:val="001000000000"/>
            <w:tcW w:w="976" w:type="dxa"/>
            <w:noWrap/>
            <w:hideMark/>
          </w:tcPr>
          <w:p w:rsidR="009D72D9" w:rsidRDefault="009D72D9" w:rsidP="009D72D9">
            <w:pPr>
              <w:suppressAutoHyphens w:val="0"/>
              <w:autoSpaceDE/>
              <w:jc w:val="center"/>
              <w:rPr>
                <w:rFonts w:eastAsia="Times New Roman"/>
                <w:color w:val="000000"/>
                <w:sz w:val="22"/>
                <w:szCs w:val="22"/>
                <w:lang w:eastAsia="en-US"/>
              </w:rPr>
            </w:pPr>
            <w:r w:rsidRPr="001C12B2">
              <w:rPr>
                <w:rFonts w:eastAsia="Times New Roman"/>
                <w:color w:val="000000"/>
                <w:sz w:val="22"/>
                <w:szCs w:val="22"/>
                <w:lang w:eastAsia="en-US"/>
              </w:rPr>
              <w:t xml:space="preserve">A: </w:t>
            </w:r>
          </w:p>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Annual Growth Rate (r)</w:t>
            </w:r>
          </w:p>
        </w:tc>
        <w:tc>
          <w:tcPr>
            <w:tcW w:w="1488"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B: </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sidRPr="001C12B2">
              <w:rPr>
                <w:rFonts w:eastAsia="Times New Roman"/>
                <w:b/>
                <w:color w:val="000000"/>
                <w:sz w:val="22"/>
                <w:szCs w:val="22"/>
                <w:lang w:eastAsia="en-US"/>
              </w:rPr>
              <w:t>Compounded Accumulated Growth, t =3</w:t>
            </w:r>
          </w:p>
        </w:tc>
        <w:tc>
          <w:tcPr>
            <w:tcW w:w="1659"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C:</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 </w:t>
            </w:r>
            <w:r w:rsidRPr="001C12B2">
              <w:rPr>
                <w:rFonts w:eastAsia="Times New Roman"/>
                <w:b/>
                <w:color w:val="000000"/>
                <w:sz w:val="22"/>
                <w:szCs w:val="22"/>
                <w:lang w:eastAsia="en-US"/>
              </w:rPr>
              <w:t>Linear Accumulated Growth, t = 3</w:t>
            </w:r>
          </w:p>
        </w:tc>
        <w:tc>
          <w:tcPr>
            <w:tcW w:w="1402" w:type="dxa"/>
            <w:noWrap/>
            <w:hideMark/>
          </w:tcPr>
          <w:p w:rsidR="009D72D9" w:rsidRDefault="009D72D9" w:rsidP="009D72D9">
            <w:pPr>
              <w:suppressAutoHyphens w:val="0"/>
              <w:autoSpaceDE/>
              <w:jc w:val="center"/>
              <w:cnfStyle w:val="000000100000"/>
              <w:rPr>
                <w:rFonts w:eastAsia="Times New Roman"/>
                <w:b/>
                <w:color w:val="000000"/>
                <w:sz w:val="22"/>
                <w:szCs w:val="22"/>
                <w:lang w:eastAsia="en-US"/>
              </w:rPr>
            </w:pPr>
            <w:r>
              <w:rPr>
                <w:rFonts w:eastAsia="Times New Roman"/>
                <w:b/>
                <w:color w:val="000000"/>
                <w:sz w:val="22"/>
                <w:szCs w:val="22"/>
                <w:lang w:eastAsia="en-US"/>
              </w:rPr>
              <w:t xml:space="preserve">D: </w:t>
            </w:r>
          </w:p>
          <w:p w:rsidR="009D72D9" w:rsidRPr="001C12B2" w:rsidRDefault="009D72D9" w:rsidP="009D72D9">
            <w:pPr>
              <w:suppressAutoHyphens w:val="0"/>
              <w:autoSpaceDE/>
              <w:jc w:val="center"/>
              <w:cnfStyle w:val="000000100000"/>
              <w:rPr>
                <w:rFonts w:eastAsia="Times New Roman"/>
                <w:b/>
                <w:color w:val="000000"/>
                <w:sz w:val="22"/>
                <w:szCs w:val="22"/>
                <w:lang w:eastAsia="en-US"/>
              </w:rPr>
            </w:pPr>
            <w:r w:rsidRPr="001C12B2">
              <w:rPr>
                <w:rFonts w:eastAsia="Times New Roman"/>
                <w:b/>
                <w:color w:val="000000"/>
                <w:sz w:val="22"/>
                <w:szCs w:val="22"/>
                <w:lang w:eastAsia="en-US"/>
              </w:rPr>
              <w:t xml:space="preserve">Difference: </w:t>
            </w:r>
            <w:r>
              <w:rPr>
                <w:rFonts w:eastAsia="Times New Roman"/>
                <w:b/>
                <w:color w:val="000000"/>
                <w:sz w:val="22"/>
                <w:szCs w:val="22"/>
                <w:lang w:eastAsia="en-US"/>
              </w:rPr>
              <w:t>B minus C</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1.0%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3.03%</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3.00%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0.0%</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2.0%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6.12%</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6.00%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0.1%</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3.0%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9.27%</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9.00%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0.3%</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4.0%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12.49%</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12.00%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0.5%</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5.0%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15.76%</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15.00%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0.8%</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6.0%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19.10%</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18.00%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1.1%</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7.0%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22.50%</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21.00%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1.5%</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8.0%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25.97%</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24.00%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2.0%</w:t>
            </w:r>
          </w:p>
        </w:tc>
      </w:tr>
      <w:tr w:rsidR="009D72D9" w:rsidRPr="001C12B2" w:rsidTr="009D72D9">
        <w:trPr>
          <w:cnfStyle w:val="00000001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9.0%</w:t>
            </w:r>
          </w:p>
        </w:tc>
        <w:tc>
          <w:tcPr>
            <w:tcW w:w="1488"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29.50%</w:t>
            </w:r>
          </w:p>
        </w:tc>
        <w:tc>
          <w:tcPr>
            <w:tcW w:w="1659" w:type="dxa"/>
            <w:noWrap/>
            <w:vAlign w:val="bottom"/>
            <w:hideMark/>
          </w:tcPr>
          <w:p w:rsidR="009D72D9" w:rsidRPr="00F014A5" w:rsidRDefault="009D72D9" w:rsidP="009D72D9">
            <w:pPr>
              <w:jc w:val="center"/>
              <w:cnfStyle w:val="000000010000"/>
              <w:rPr>
                <w:color w:val="000000"/>
                <w:sz w:val="22"/>
                <w:szCs w:val="22"/>
              </w:rPr>
            </w:pPr>
            <w:r w:rsidRPr="00F014A5">
              <w:rPr>
                <w:color w:val="000000"/>
                <w:sz w:val="22"/>
                <w:szCs w:val="22"/>
              </w:rPr>
              <w:t>27.00%</w:t>
            </w:r>
          </w:p>
        </w:tc>
        <w:tc>
          <w:tcPr>
            <w:tcW w:w="1402" w:type="dxa"/>
            <w:noWrap/>
            <w:hideMark/>
          </w:tcPr>
          <w:p w:rsidR="009D72D9" w:rsidRPr="001C12B2" w:rsidRDefault="009D72D9" w:rsidP="009D72D9">
            <w:pPr>
              <w:suppressAutoHyphens w:val="0"/>
              <w:autoSpaceDE/>
              <w:jc w:val="center"/>
              <w:cnfStyle w:val="000000010000"/>
              <w:rPr>
                <w:rFonts w:eastAsia="Times New Roman"/>
                <w:color w:val="000000"/>
                <w:sz w:val="22"/>
                <w:szCs w:val="22"/>
                <w:lang w:eastAsia="en-US"/>
              </w:rPr>
            </w:pPr>
            <w:r w:rsidRPr="001C12B2">
              <w:rPr>
                <w:rFonts w:eastAsia="Times New Roman"/>
                <w:color w:val="000000"/>
                <w:sz w:val="22"/>
                <w:szCs w:val="22"/>
                <w:lang w:eastAsia="en-US"/>
              </w:rPr>
              <w:t>2.5%</w:t>
            </w:r>
          </w:p>
        </w:tc>
      </w:tr>
      <w:tr w:rsidR="009D72D9" w:rsidRPr="001C12B2" w:rsidTr="009D72D9">
        <w:trPr>
          <w:cnfStyle w:val="000000100000"/>
          <w:trHeight w:val="300"/>
        </w:trPr>
        <w:tc>
          <w:tcPr>
            <w:cnfStyle w:val="001000000000"/>
            <w:tcW w:w="976" w:type="dxa"/>
            <w:noWrap/>
            <w:hideMark/>
          </w:tcPr>
          <w:p w:rsidR="009D72D9" w:rsidRPr="001C12B2" w:rsidRDefault="009D72D9" w:rsidP="009D72D9">
            <w:pPr>
              <w:suppressAutoHyphens w:val="0"/>
              <w:autoSpaceDE/>
              <w:jc w:val="center"/>
              <w:rPr>
                <w:rFonts w:ascii="Times New Roman" w:eastAsia="Times New Roman" w:hAnsi="Times New Roman" w:cs="Times New Roman"/>
                <w:color w:val="000000"/>
                <w:sz w:val="22"/>
                <w:szCs w:val="22"/>
                <w:lang w:eastAsia="en-US"/>
              </w:rPr>
            </w:pPr>
            <w:r w:rsidRPr="001C12B2">
              <w:rPr>
                <w:rFonts w:ascii="Times New Roman" w:eastAsia="Times New Roman" w:hAnsi="Times New Roman" w:cs="Times New Roman"/>
                <w:color w:val="000000"/>
                <w:sz w:val="22"/>
                <w:szCs w:val="22"/>
                <w:lang w:eastAsia="en-US"/>
              </w:rPr>
              <w:t>10.0%</w:t>
            </w:r>
          </w:p>
        </w:tc>
        <w:tc>
          <w:tcPr>
            <w:tcW w:w="1488"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33.10%</w:t>
            </w:r>
          </w:p>
        </w:tc>
        <w:tc>
          <w:tcPr>
            <w:tcW w:w="1659" w:type="dxa"/>
            <w:noWrap/>
            <w:vAlign w:val="bottom"/>
            <w:hideMark/>
          </w:tcPr>
          <w:p w:rsidR="009D72D9" w:rsidRPr="00F014A5" w:rsidRDefault="009D72D9" w:rsidP="009D72D9">
            <w:pPr>
              <w:jc w:val="center"/>
              <w:cnfStyle w:val="000000100000"/>
              <w:rPr>
                <w:color w:val="000000"/>
                <w:sz w:val="22"/>
                <w:szCs w:val="22"/>
              </w:rPr>
            </w:pPr>
            <w:r w:rsidRPr="00F014A5">
              <w:rPr>
                <w:color w:val="000000"/>
                <w:sz w:val="22"/>
                <w:szCs w:val="22"/>
              </w:rPr>
              <w:t>30.00%</w:t>
            </w:r>
          </w:p>
        </w:tc>
        <w:tc>
          <w:tcPr>
            <w:tcW w:w="1402" w:type="dxa"/>
            <w:noWrap/>
            <w:hideMark/>
          </w:tcPr>
          <w:p w:rsidR="009D72D9" w:rsidRPr="001C12B2" w:rsidRDefault="009D72D9" w:rsidP="009D72D9">
            <w:pPr>
              <w:suppressAutoHyphens w:val="0"/>
              <w:autoSpaceDE/>
              <w:jc w:val="center"/>
              <w:cnfStyle w:val="000000100000"/>
              <w:rPr>
                <w:rFonts w:eastAsia="Times New Roman"/>
                <w:color w:val="000000"/>
                <w:sz w:val="22"/>
                <w:szCs w:val="22"/>
                <w:lang w:eastAsia="en-US"/>
              </w:rPr>
            </w:pPr>
            <w:r w:rsidRPr="001C12B2">
              <w:rPr>
                <w:rFonts w:eastAsia="Times New Roman"/>
                <w:color w:val="000000"/>
                <w:sz w:val="22"/>
                <w:szCs w:val="22"/>
                <w:lang w:eastAsia="en-US"/>
              </w:rPr>
              <w:t>3.1%</w:t>
            </w:r>
          </w:p>
        </w:tc>
      </w:tr>
    </w:tbl>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EE61EC" w:rsidRDefault="00EE61EC" w:rsidP="00F135DE">
      <w:pPr>
        <w:tabs>
          <w:tab w:val="left" w:pos="0"/>
        </w:tabs>
        <w:spacing w:line="480" w:lineRule="auto"/>
        <w:ind w:firstLine="720"/>
        <w:jc w:val="both"/>
      </w:pPr>
    </w:p>
    <w:p w:rsidR="009D72D9" w:rsidRDefault="009D72D9">
      <w:pPr>
        <w:suppressAutoHyphens w:val="0"/>
        <w:autoSpaceDE/>
      </w:pPr>
      <w:r>
        <w:br w:type="page"/>
      </w:r>
    </w:p>
    <w:p w:rsidR="00EE61EC" w:rsidRDefault="00EE61EC" w:rsidP="00883BF8">
      <w:pPr>
        <w:tabs>
          <w:tab w:val="left" w:pos="0"/>
        </w:tabs>
        <w:spacing w:line="480" w:lineRule="auto"/>
        <w:ind w:firstLine="270"/>
        <w:jc w:val="both"/>
        <w:rPr>
          <w:noProof/>
          <w:lang w:eastAsia="en-US"/>
        </w:rPr>
      </w:pPr>
      <w:r>
        <w:rPr>
          <w:noProof/>
          <w:lang w:eastAsia="en-US"/>
        </w:rPr>
        <w:lastRenderedPageBreak/>
        <w:drawing>
          <wp:anchor distT="0" distB="0" distL="114300" distR="114300" simplePos="0" relativeHeight="251658240" behindDoc="1" locked="0" layoutInCell="1" allowOverlap="1">
            <wp:simplePos x="0" y="0"/>
            <wp:positionH relativeFrom="column">
              <wp:posOffset>74295</wp:posOffset>
            </wp:positionH>
            <wp:positionV relativeFrom="paragraph">
              <wp:posOffset>1905</wp:posOffset>
            </wp:positionV>
            <wp:extent cx="5679440" cy="325310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79440" cy="3253105"/>
                    </a:xfrm>
                    <a:prstGeom prst="rect">
                      <a:avLst/>
                    </a:prstGeom>
                    <a:noFill/>
                    <a:ln w="9525">
                      <a:noFill/>
                      <a:miter lim="800000"/>
                      <a:headEnd/>
                      <a:tailEnd/>
                    </a:ln>
                  </pic:spPr>
                </pic:pic>
              </a:graphicData>
            </a:graphic>
          </wp:anchor>
        </w:drawing>
      </w:r>
    </w:p>
    <w:p w:rsidR="00EE61EC" w:rsidRDefault="00EE61EC" w:rsidP="00883BF8">
      <w:pPr>
        <w:tabs>
          <w:tab w:val="left" w:pos="0"/>
        </w:tabs>
        <w:spacing w:line="480" w:lineRule="auto"/>
        <w:ind w:firstLine="270"/>
        <w:jc w:val="both"/>
        <w:rPr>
          <w:noProof/>
          <w:lang w:eastAsia="en-US"/>
        </w:rPr>
      </w:pPr>
    </w:p>
    <w:p w:rsidR="00EE61EC" w:rsidRDefault="00EE61EC" w:rsidP="00883BF8">
      <w:pPr>
        <w:tabs>
          <w:tab w:val="left" w:pos="0"/>
        </w:tabs>
        <w:spacing w:line="480" w:lineRule="auto"/>
        <w:ind w:firstLine="270"/>
        <w:jc w:val="both"/>
        <w:rPr>
          <w:noProof/>
          <w:lang w:eastAsia="en-US"/>
        </w:rPr>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EE61EC" w:rsidRDefault="00EE61EC" w:rsidP="00883BF8">
      <w:pPr>
        <w:tabs>
          <w:tab w:val="left" w:pos="0"/>
        </w:tabs>
        <w:spacing w:line="480" w:lineRule="auto"/>
        <w:ind w:firstLine="270"/>
        <w:jc w:val="both"/>
      </w:pPr>
    </w:p>
    <w:p w:rsidR="00FF19E9" w:rsidRDefault="00FF19E9" w:rsidP="00883BF8">
      <w:pPr>
        <w:tabs>
          <w:tab w:val="left" w:pos="0"/>
        </w:tabs>
        <w:spacing w:line="480" w:lineRule="auto"/>
        <w:ind w:firstLine="270"/>
        <w:jc w:val="both"/>
      </w:pPr>
    </w:p>
    <w:p w:rsidR="000831B7" w:rsidRPr="000831B7" w:rsidRDefault="000831B7" w:rsidP="00135497">
      <w:pPr>
        <w:tabs>
          <w:tab w:val="left" w:pos="0"/>
        </w:tabs>
        <w:spacing w:line="480" w:lineRule="auto"/>
        <w:ind w:firstLine="720"/>
        <w:jc w:val="both"/>
        <w:rPr>
          <w:b/>
        </w:rPr>
      </w:pPr>
      <w:r w:rsidRPr="000831B7">
        <w:rPr>
          <w:b/>
        </w:rPr>
        <w:t xml:space="preserve">Q.  </w:t>
      </w:r>
      <w:r w:rsidR="003F25F8">
        <w:rPr>
          <w:b/>
        </w:rPr>
        <w:tab/>
      </w:r>
      <w:r w:rsidRPr="000831B7">
        <w:rPr>
          <w:b/>
        </w:rPr>
        <w:t xml:space="preserve">Does this mean that the linear </w:t>
      </w:r>
      <w:r w:rsidR="00DA37E6">
        <w:rPr>
          <w:b/>
        </w:rPr>
        <w:t>rate</w:t>
      </w:r>
      <w:r w:rsidRPr="000831B7">
        <w:rPr>
          <w:b/>
        </w:rPr>
        <w:t xml:space="preserve"> is only a problem when it involves higher </w:t>
      </w:r>
      <w:r w:rsidR="00FF19E9">
        <w:rPr>
          <w:b/>
        </w:rPr>
        <w:t>values of the growth rate, r</w:t>
      </w:r>
      <w:r w:rsidRPr="000831B7">
        <w:rPr>
          <w:b/>
        </w:rPr>
        <w:t>?</w:t>
      </w:r>
    </w:p>
    <w:p w:rsidR="00AB5B14" w:rsidRDefault="000831B7" w:rsidP="00FF19E9">
      <w:pPr>
        <w:tabs>
          <w:tab w:val="left" w:pos="0"/>
        </w:tabs>
        <w:spacing w:line="480" w:lineRule="auto"/>
        <w:ind w:firstLine="720"/>
        <w:jc w:val="both"/>
      </w:pPr>
      <w:r>
        <w:t xml:space="preserve">A. </w:t>
      </w:r>
      <w:r w:rsidR="00DA37E6">
        <w:tab/>
      </w:r>
      <w:r>
        <w:t>No</w:t>
      </w:r>
      <w:r w:rsidR="00D53455">
        <w:t xml:space="preserve">.  If the growth rate, r, appears </w:t>
      </w:r>
      <w:r w:rsidR="00DA37E6">
        <w:t>small</w:t>
      </w:r>
      <w:r>
        <w:t>, but is being applied to large dollar amounts,</w:t>
      </w:r>
      <w:r w:rsidR="00FF19E9">
        <w:t xml:space="preserve"> then</w:t>
      </w:r>
      <w:r w:rsidR="00DA37E6">
        <w:t xml:space="preserve"> </w:t>
      </w:r>
      <w:r>
        <w:t>small differences can amount to significant differences in the accumulation of dollars over time.</w:t>
      </w:r>
      <w:r w:rsidR="00AD14A7">
        <w:t xml:space="preserve"> </w:t>
      </w:r>
    </w:p>
    <w:p w:rsidR="001C12B2" w:rsidRPr="00320DCE" w:rsidRDefault="001C12B2" w:rsidP="00FF19E9">
      <w:pPr>
        <w:tabs>
          <w:tab w:val="left" w:pos="0"/>
        </w:tabs>
        <w:spacing w:line="480" w:lineRule="auto"/>
        <w:ind w:firstLine="720"/>
        <w:jc w:val="both"/>
      </w:pPr>
    </w:p>
    <w:p w:rsidR="00EB672D" w:rsidRPr="00EB672D" w:rsidRDefault="00EB672D" w:rsidP="00EB672D">
      <w:pPr>
        <w:tabs>
          <w:tab w:val="left" w:pos="0"/>
        </w:tabs>
        <w:spacing w:line="480" w:lineRule="auto"/>
        <w:ind w:firstLine="720"/>
        <w:jc w:val="center"/>
        <w:rPr>
          <w:b/>
          <w:u w:val="single"/>
        </w:rPr>
      </w:pPr>
      <w:r w:rsidRPr="00EB672D">
        <w:rPr>
          <w:b/>
          <w:bCs/>
          <w:u w:val="single"/>
        </w:rPr>
        <w:t>V. THE GEOMETRIC AVERAGE RATE OF GROWTH</w:t>
      </w:r>
    </w:p>
    <w:p w:rsidR="00C113E3" w:rsidRPr="003F04E5" w:rsidRDefault="00C113E3" w:rsidP="00135497">
      <w:pPr>
        <w:tabs>
          <w:tab w:val="left" w:pos="0"/>
        </w:tabs>
        <w:spacing w:line="480" w:lineRule="auto"/>
        <w:ind w:firstLine="720"/>
        <w:jc w:val="both"/>
        <w:rPr>
          <w:b/>
        </w:rPr>
      </w:pPr>
      <w:r w:rsidRPr="003F04E5">
        <w:rPr>
          <w:b/>
        </w:rPr>
        <w:t xml:space="preserve">Q. </w:t>
      </w:r>
      <w:r w:rsidR="003F25F8">
        <w:rPr>
          <w:b/>
        </w:rPr>
        <w:tab/>
      </w:r>
      <w:r w:rsidR="003F04E5" w:rsidRPr="003F04E5">
        <w:rPr>
          <w:b/>
        </w:rPr>
        <w:t>What is the geometric average growth rate (</w:t>
      </w:r>
      <w:r w:rsidR="00007352">
        <w:rPr>
          <w:b/>
        </w:rPr>
        <w:t>GAR</w:t>
      </w:r>
      <w:r w:rsidR="003F04E5" w:rsidRPr="003F04E5">
        <w:rPr>
          <w:b/>
        </w:rPr>
        <w:t>)?</w:t>
      </w:r>
    </w:p>
    <w:p w:rsidR="003F04E5" w:rsidRDefault="003F04E5" w:rsidP="00135497">
      <w:pPr>
        <w:tabs>
          <w:tab w:val="left" w:pos="0"/>
        </w:tabs>
        <w:spacing w:line="480" w:lineRule="auto"/>
        <w:ind w:firstLine="720"/>
        <w:jc w:val="both"/>
      </w:pPr>
      <w:r>
        <w:t>A.</w:t>
      </w:r>
      <w:r w:rsidR="002E005E">
        <w:t xml:space="preserve"> </w:t>
      </w:r>
      <w:r w:rsidR="00DA37E6">
        <w:tab/>
      </w:r>
      <w:r w:rsidR="0088412A">
        <w:t xml:space="preserve">Using historical data from the 2001-2013 </w:t>
      </w:r>
      <w:proofErr w:type="gramStart"/>
      <w:r w:rsidR="0088412A">
        <w:t>period</w:t>
      </w:r>
      <w:proofErr w:type="gramEnd"/>
      <w:r w:rsidR="0088412A">
        <w:t xml:space="preserve"> the annual growth rate is calculated using the </w:t>
      </w:r>
      <w:r w:rsidR="0088412A" w:rsidRPr="003F25F8">
        <w:t>geometric average growth rate</w:t>
      </w:r>
      <w:r w:rsidR="0088412A">
        <w:t xml:space="preserve"> (GAR).  That is r = GAR in the trend analysis.  </w:t>
      </w:r>
      <w:r w:rsidR="005B58E6">
        <w:t>GAR</w:t>
      </w:r>
      <w:r w:rsidR="002E005E">
        <w:t xml:space="preserve"> is the </w:t>
      </w:r>
      <w:r w:rsidR="002E005E" w:rsidRPr="008509D4">
        <w:rPr>
          <w:b/>
          <w:i/>
        </w:rPr>
        <w:t>exact compounding growth rate</w:t>
      </w:r>
      <w:r w:rsidR="002E005E">
        <w:t xml:space="preserve"> that </w:t>
      </w:r>
      <w:r w:rsidR="00792E34">
        <w:t xml:space="preserve">would cause some starting value, </w:t>
      </w:r>
      <w:r w:rsidR="0021484D">
        <w:t>V</w:t>
      </w:r>
      <w:r w:rsidR="0021484D" w:rsidRPr="0021484D">
        <w:rPr>
          <w:vertAlign w:val="subscript"/>
        </w:rPr>
        <w:t>0</w:t>
      </w:r>
      <w:r w:rsidR="00792E34">
        <w:t xml:space="preserve">, to grow to some ending value, </w:t>
      </w:r>
      <w:proofErr w:type="spellStart"/>
      <w:proofErr w:type="gramStart"/>
      <w:r w:rsidR="0021484D">
        <w:t>V</w:t>
      </w:r>
      <w:r w:rsidR="0021484D" w:rsidRPr="0021484D">
        <w:rPr>
          <w:vertAlign w:val="subscript"/>
        </w:rPr>
        <w:t>t</w:t>
      </w:r>
      <w:proofErr w:type="spellEnd"/>
      <w:proofErr w:type="gramEnd"/>
      <w:r w:rsidR="0021484D">
        <w:t xml:space="preserve">, </w:t>
      </w:r>
      <w:r w:rsidR="008509D4">
        <w:t>over t years</w:t>
      </w:r>
      <w:r w:rsidR="002E005E">
        <w:t>.</w:t>
      </w:r>
      <w:r w:rsidR="00792E34">
        <w:t xml:space="preserve">  In other words, </w:t>
      </w:r>
      <w:r w:rsidR="00007352">
        <w:t>GAR</w:t>
      </w:r>
      <w:r w:rsidR="00366BAB">
        <w:t xml:space="preserve"> is the growth rate that ensures </w:t>
      </w:r>
      <w:proofErr w:type="spellStart"/>
      <w:r w:rsidR="00553D0F">
        <w:t>V</w:t>
      </w:r>
      <w:r w:rsidR="00553D0F" w:rsidRPr="004C320D">
        <w:rPr>
          <w:vertAlign w:val="subscript"/>
        </w:rPr>
        <w:t>t</w:t>
      </w:r>
      <w:proofErr w:type="spellEnd"/>
      <w:r w:rsidR="00553D0F">
        <w:t xml:space="preserve"> = </w:t>
      </w:r>
      <w:r w:rsidR="00366BAB">
        <w:t>V</w:t>
      </w:r>
      <w:r w:rsidR="00366BAB" w:rsidRPr="004C320D">
        <w:rPr>
          <w:vertAlign w:val="subscript"/>
        </w:rPr>
        <w:t>0</w:t>
      </w:r>
      <w:r w:rsidR="00792E34">
        <w:t>*</w:t>
      </w:r>
      <w:r w:rsidR="00366BAB">
        <w:t>(1+</w:t>
      </w:r>
      <w:r w:rsidR="005B58E6">
        <w:t xml:space="preserve"> GAR</w:t>
      </w:r>
      <w:proofErr w:type="gramStart"/>
      <w:r w:rsidR="00366BAB">
        <w:t>)</w:t>
      </w:r>
      <w:r w:rsidR="00366BAB" w:rsidRPr="004C320D">
        <w:rPr>
          <w:vertAlign w:val="superscript"/>
        </w:rPr>
        <w:t>t</w:t>
      </w:r>
      <w:proofErr w:type="gramEnd"/>
      <w:r w:rsidR="00553D0F">
        <w:t xml:space="preserve">  h</w:t>
      </w:r>
      <w:r w:rsidR="00792E34">
        <w:t>olds exactly.</w:t>
      </w:r>
    </w:p>
    <w:p w:rsidR="00856F6A" w:rsidRPr="00856F6A" w:rsidRDefault="00856F6A" w:rsidP="00135497">
      <w:pPr>
        <w:tabs>
          <w:tab w:val="left" w:pos="0"/>
        </w:tabs>
        <w:spacing w:line="480" w:lineRule="auto"/>
        <w:ind w:firstLine="720"/>
        <w:jc w:val="both"/>
        <w:rPr>
          <w:b/>
        </w:rPr>
      </w:pPr>
      <w:r w:rsidRPr="00856F6A">
        <w:rPr>
          <w:b/>
        </w:rPr>
        <w:lastRenderedPageBreak/>
        <w:t xml:space="preserve">Q. </w:t>
      </w:r>
      <w:r w:rsidR="003F25F8">
        <w:rPr>
          <w:b/>
        </w:rPr>
        <w:tab/>
      </w:r>
      <w:r w:rsidRPr="00856F6A">
        <w:rPr>
          <w:b/>
        </w:rPr>
        <w:t xml:space="preserve">How is </w:t>
      </w:r>
      <w:r w:rsidR="00007352">
        <w:rPr>
          <w:b/>
        </w:rPr>
        <w:t>GAR</w:t>
      </w:r>
      <w:r w:rsidRPr="00856F6A">
        <w:rPr>
          <w:b/>
        </w:rPr>
        <w:t xml:space="preserve"> calculated?</w:t>
      </w:r>
    </w:p>
    <w:p w:rsidR="002E7772" w:rsidRDefault="00856F6A" w:rsidP="00135497">
      <w:pPr>
        <w:tabs>
          <w:tab w:val="left" w:pos="0"/>
        </w:tabs>
        <w:spacing w:line="480" w:lineRule="auto"/>
        <w:ind w:firstLine="720"/>
        <w:jc w:val="both"/>
      </w:pPr>
      <w:r>
        <w:t>A.</w:t>
      </w:r>
      <w:r w:rsidR="00651FA0">
        <w:t xml:space="preserve"> </w:t>
      </w:r>
      <w:r w:rsidR="00DA37E6">
        <w:tab/>
      </w:r>
      <w:r w:rsidR="00651FA0">
        <w:t>There are two formulas tha</w:t>
      </w:r>
      <w:r w:rsidR="008F40E2">
        <w:t>t</w:t>
      </w:r>
      <w:r w:rsidR="00651FA0">
        <w:t xml:space="preserve"> can produce </w:t>
      </w:r>
      <w:r w:rsidR="00007352">
        <w:t>GAR</w:t>
      </w:r>
      <w:r w:rsidR="00651FA0">
        <w:t>.</w:t>
      </w:r>
      <w:r w:rsidR="0021484D">
        <w:t xml:space="preserve">  Both formulas produce the </w:t>
      </w:r>
      <w:r w:rsidR="002E7772">
        <w:t xml:space="preserve">same </w:t>
      </w:r>
      <w:r w:rsidR="005B58E6">
        <w:t>GAR</w:t>
      </w:r>
      <w:r w:rsidR="0021484D">
        <w:t xml:space="preserve">, but it is instructive to examine both.  </w:t>
      </w:r>
      <w:r w:rsidR="00651FA0">
        <w:t xml:space="preserve"> </w:t>
      </w:r>
      <w:r w:rsidR="009D72D9">
        <w:t>The more commonly</w:t>
      </w:r>
      <w:r w:rsidR="002E7772">
        <w:t xml:space="preserve"> used </w:t>
      </w:r>
      <w:r w:rsidR="00007352">
        <w:t>GAR</w:t>
      </w:r>
      <w:r w:rsidR="002E7772">
        <w:t xml:space="preserve"> formula comes directly from the formula </w:t>
      </w:r>
      <w:proofErr w:type="spellStart"/>
      <w:r w:rsidR="00D26147">
        <w:t>V</w:t>
      </w:r>
      <w:r w:rsidR="00D26147" w:rsidRPr="004C320D">
        <w:rPr>
          <w:vertAlign w:val="subscript"/>
        </w:rPr>
        <w:t>t</w:t>
      </w:r>
      <w:proofErr w:type="spellEnd"/>
      <w:r w:rsidR="00D26147">
        <w:t xml:space="preserve"> = </w:t>
      </w:r>
      <w:r w:rsidR="002E7772">
        <w:t>V</w:t>
      </w:r>
      <w:r w:rsidR="002E7772" w:rsidRPr="004C320D">
        <w:rPr>
          <w:vertAlign w:val="subscript"/>
        </w:rPr>
        <w:t>0</w:t>
      </w:r>
      <w:r w:rsidR="007622A3">
        <w:t>*</w:t>
      </w:r>
      <w:r w:rsidR="002E7772">
        <w:t>(1</w:t>
      </w:r>
      <w:r w:rsidR="0025192A">
        <w:t xml:space="preserve"> </w:t>
      </w:r>
      <w:r w:rsidR="002E7772">
        <w:t>+</w:t>
      </w:r>
      <w:r w:rsidR="0025192A">
        <w:t xml:space="preserve"> </w:t>
      </w:r>
      <w:r w:rsidR="00AC059C">
        <w:t>G</w:t>
      </w:r>
      <w:r w:rsidR="00007352">
        <w:t>A</w:t>
      </w:r>
      <w:r w:rsidR="002E7772">
        <w:t>R</w:t>
      </w:r>
      <w:proofErr w:type="gramStart"/>
      <w:r w:rsidR="002E7772">
        <w:t>)</w:t>
      </w:r>
      <w:r w:rsidR="002E7772" w:rsidRPr="004C320D">
        <w:rPr>
          <w:vertAlign w:val="superscript"/>
        </w:rPr>
        <w:t>t</w:t>
      </w:r>
      <w:proofErr w:type="gramEnd"/>
      <w:r w:rsidR="002E7772">
        <w:t xml:space="preserve">.  Rearranging terms to solve for </w:t>
      </w:r>
      <w:r w:rsidR="00007352">
        <w:t>GAR</w:t>
      </w:r>
      <w:r w:rsidR="002E7772">
        <w:t xml:space="preserve"> produces the following formula: </w:t>
      </w:r>
      <w:r w:rsidR="00007352">
        <w:t>GAR</w:t>
      </w:r>
      <w:r w:rsidR="00651FA0">
        <w:t xml:space="preserve"> = (</w:t>
      </w:r>
      <w:proofErr w:type="spellStart"/>
      <w:r w:rsidR="00651FA0">
        <w:t>V</w:t>
      </w:r>
      <w:r w:rsidR="00651FA0" w:rsidRPr="00651FA0">
        <w:rPr>
          <w:vertAlign w:val="subscript"/>
        </w:rPr>
        <w:t>t</w:t>
      </w:r>
      <w:proofErr w:type="spellEnd"/>
      <w:r w:rsidR="00651FA0">
        <w:t>/V</w:t>
      </w:r>
      <w:r w:rsidR="00651FA0" w:rsidRPr="00651FA0">
        <w:rPr>
          <w:vertAlign w:val="subscript"/>
        </w:rPr>
        <w:t>0</w:t>
      </w:r>
      <w:r w:rsidR="00651FA0">
        <w:t>)</w:t>
      </w:r>
      <w:r w:rsidR="00651FA0" w:rsidRPr="00651FA0">
        <w:rPr>
          <w:vertAlign w:val="superscript"/>
        </w:rPr>
        <w:t>1/t</w:t>
      </w:r>
      <w:r w:rsidR="00651FA0">
        <w:rPr>
          <w:vertAlign w:val="superscript"/>
        </w:rPr>
        <w:t xml:space="preserve"> </w:t>
      </w:r>
      <w:r w:rsidR="0093726F">
        <w:t>–</w:t>
      </w:r>
      <w:r w:rsidR="00651FA0">
        <w:t xml:space="preserve"> 1</w:t>
      </w:r>
      <w:r w:rsidR="002E7772">
        <w:t xml:space="preserve">.  Therefore, </w:t>
      </w:r>
      <w:r w:rsidR="00C92A75">
        <w:t>to</w:t>
      </w:r>
      <w:r w:rsidR="00BE252E">
        <w:t xml:space="preserve"> calculate </w:t>
      </w:r>
      <w:r w:rsidR="00007352">
        <w:t>GAR</w:t>
      </w:r>
      <w:r w:rsidR="002E7772">
        <w:t xml:space="preserve"> </w:t>
      </w:r>
      <w:r w:rsidR="00C92A75">
        <w:t xml:space="preserve">all one needs </w:t>
      </w:r>
      <w:r w:rsidR="002E7772">
        <w:t>is a</w:t>
      </w:r>
      <w:r w:rsidR="00BE252E">
        <w:t xml:space="preserve"> </w:t>
      </w:r>
      <w:r w:rsidR="005B58E6">
        <w:t xml:space="preserve">historical </w:t>
      </w:r>
      <w:r w:rsidR="002E7772">
        <w:t>starting value</w:t>
      </w:r>
      <w:r w:rsidR="00C92A75">
        <w:t>,</w:t>
      </w:r>
      <w:r w:rsidR="004D3C6D">
        <w:t>V</w:t>
      </w:r>
      <w:r w:rsidR="004D3C6D" w:rsidRPr="004D3C6D">
        <w:rPr>
          <w:vertAlign w:val="subscript"/>
        </w:rPr>
        <w:t>0</w:t>
      </w:r>
      <w:r w:rsidR="002E7772">
        <w:t>, ending value</w:t>
      </w:r>
      <w:r w:rsidR="00C92A75">
        <w:t xml:space="preserve">, </w:t>
      </w:r>
      <w:proofErr w:type="spellStart"/>
      <w:r w:rsidR="004D3C6D">
        <w:t>V</w:t>
      </w:r>
      <w:r w:rsidR="004D3C6D" w:rsidRPr="004D3C6D">
        <w:rPr>
          <w:vertAlign w:val="subscript"/>
        </w:rPr>
        <w:t>t</w:t>
      </w:r>
      <w:proofErr w:type="spellEnd"/>
      <w:r w:rsidR="002E7772">
        <w:t>, and the</w:t>
      </w:r>
      <w:r w:rsidR="00BE252E">
        <w:t xml:space="preserve"> number of</w:t>
      </w:r>
      <w:r w:rsidR="002E7772">
        <w:t xml:space="preserve"> </w:t>
      </w:r>
      <w:r w:rsidR="005B05A5">
        <w:t>years</w:t>
      </w:r>
      <w:r w:rsidR="004D3C6D">
        <w:t xml:space="preserve"> (t)</w:t>
      </w:r>
      <w:r w:rsidR="00BE252E">
        <w:t xml:space="preserve"> </w:t>
      </w:r>
      <w:r w:rsidR="002E7772">
        <w:t>between V</w:t>
      </w:r>
      <w:r w:rsidR="002E7772" w:rsidRPr="002E7772">
        <w:rPr>
          <w:vertAlign w:val="subscript"/>
        </w:rPr>
        <w:t>0</w:t>
      </w:r>
      <w:r w:rsidR="002E7772">
        <w:t xml:space="preserve"> and V</w:t>
      </w:r>
      <w:r w:rsidR="002E7772" w:rsidRPr="002E7772">
        <w:rPr>
          <w:vertAlign w:val="subscript"/>
        </w:rPr>
        <w:t>t</w:t>
      </w:r>
      <w:r w:rsidR="002E7772">
        <w:t xml:space="preserve">.  </w:t>
      </w:r>
      <w:r w:rsidR="0093726F">
        <w:t xml:space="preserve"> </w:t>
      </w:r>
    </w:p>
    <w:p w:rsidR="00856F6A" w:rsidRPr="00AC059C" w:rsidRDefault="00BE252E" w:rsidP="00BE252E">
      <w:pPr>
        <w:tabs>
          <w:tab w:val="left" w:pos="0"/>
        </w:tabs>
        <w:spacing w:line="480" w:lineRule="auto"/>
        <w:ind w:firstLine="720"/>
        <w:jc w:val="both"/>
      </w:pPr>
      <w:r>
        <w:t xml:space="preserve">An alternative formula for calculating </w:t>
      </w:r>
      <w:r w:rsidR="00007352">
        <w:t>GAR</w:t>
      </w:r>
      <w:r>
        <w:t xml:space="preserve"> is </w:t>
      </w:r>
      <w:r w:rsidR="00007352">
        <w:t>GAR</w:t>
      </w:r>
      <w:r w:rsidR="0093726F">
        <w:t xml:space="preserve"> = </w:t>
      </w:r>
      <w:r w:rsidR="00366BAB">
        <w:t>[</w:t>
      </w:r>
      <w:r w:rsidR="0093726F">
        <w:t xml:space="preserve">(1 + </w:t>
      </w:r>
      <w:r w:rsidR="005B05A5">
        <w:t>g</w:t>
      </w:r>
      <w:r w:rsidR="005B05A5" w:rsidRPr="005B05A5">
        <w:rPr>
          <w:sz w:val="20"/>
          <w:szCs w:val="20"/>
          <w:vertAlign w:val="subscript"/>
        </w:rPr>
        <w:t>1</w:t>
      </w:r>
      <w:r w:rsidR="0093726F">
        <w:t>)</w:t>
      </w:r>
      <w:r w:rsidR="007622A3">
        <w:t>*</w:t>
      </w:r>
      <w:r w:rsidR="00366BAB">
        <w:t xml:space="preserve">(1 + </w:t>
      </w:r>
      <w:r w:rsidR="005B05A5">
        <w:t>g</w:t>
      </w:r>
      <w:r w:rsidR="005B05A5" w:rsidRPr="005B05A5">
        <w:rPr>
          <w:sz w:val="20"/>
          <w:szCs w:val="20"/>
          <w:vertAlign w:val="subscript"/>
        </w:rPr>
        <w:t>2</w:t>
      </w:r>
      <w:r w:rsidR="00366BAB">
        <w:t>)</w:t>
      </w:r>
      <w:r w:rsidR="007622A3">
        <w:t>*</w:t>
      </w:r>
      <w:r w:rsidR="00366BAB">
        <w:t xml:space="preserve">(1 + </w:t>
      </w:r>
      <w:r w:rsidR="005B05A5">
        <w:t>g</w:t>
      </w:r>
      <w:r w:rsidR="005B05A5" w:rsidRPr="005B05A5">
        <w:rPr>
          <w:sz w:val="20"/>
          <w:szCs w:val="20"/>
          <w:vertAlign w:val="subscript"/>
        </w:rPr>
        <w:t>3</w:t>
      </w:r>
      <w:r w:rsidR="00366BAB">
        <w:t>)</w:t>
      </w:r>
      <w:r w:rsidR="007622A3">
        <w:t>*</w:t>
      </w:r>
      <w:r w:rsidR="00366BAB">
        <w:t>…</w:t>
      </w:r>
      <w:r w:rsidR="00007352">
        <w:t>*(1+</w:t>
      </w:r>
      <w:r w:rsidR="00007352" w:rsidRPr="00007352">
        <w:t xml:space="preserve"> </w:t>
      </w:r>
      <w:r w:rsidR="00007352">
        <w:t>g</w:t>
      </w:r>
      <w:r w:rsidR="00007352" w:rsidRPr="005B05A5">
        <w:rPr>
          <w:sz w:val="20"/>
          <w:szCs w:val="20"/>
          <w:vertAlign w:val="subscript"/>
        </w:rPr>
        <w:t>t</w:t>
      </w:r>
      <w:r w:rsidR="00007352">
        <w:rPr>
          <w:sz w:val="20"/>
          <w:szCs w:val="20"/>
          <w:vertAlign w:val="subscript"/>
        </w:rPr>
        <w:t>-1</w:t>
      </w:r>
      <w:r w:rsidR="00007352">
        <w:t>)*</w:t>
      </w:r>
      <w:r w:rsidR="00366BAB">
        <w:t xml:space="preserve">(1 + </w:t>
      </w:r>
      <w:proofErr w:type="spellStart"/>
      <w:r w:rsidR="005B05A5">
        <w:t>g</w:t>
      </w:r>
      <w:r w:rsidR="00366BAB" w:rsidRPr="005B05A5">
        <w:rPr>
          <w:sz w:val="20"/>
          <w:szCs w:val="20"/>
          <w:vertAlign w:val="subscript"/>
        </w:rPr>
        <w:t>t</w:t>
      </w:r>
      <w:proofErr w:type="spellEnd"/>
      <w:r w:rsidR="00366BAB">
        <w:t>)</w:t>
      </w:r>
      <w:proofErr w:type="gramStart"/>
      <w:r w:rsidR="00366BAB">
        <w:t>]</w:t>
      </w:r>
      <w:r w:rsidR="005B05A5" w:rsidRPr="005B05A5">
        <w:rPr>
          <w:vertAlign w:val="superscript"/>
        </w:rPr>
        <w:t>1</w:t>
      </w:r>
      <w:proofErr w:type="gramEnd"/>
      <w:r w:rsidR="005B05A5" w:rsidRPr="005B05A5">
        <w:rPr>
          <w:vertAlign w:val="superscript"/>
        </w:rPr>
        <w:t>/t</w:t>
      </w:r>
      <w:r w:rsidR="004D3C6D">
        <w:rPr>
          <w:vertAlign w:val="superscript"/>
        </w:rPr>
        <w:t xml:space="preserve">  </w:t>
      </w:r>
      <w:r w:rsidR="0025192A">
        <w:t>–</w:t>
      </w:r>
      <w:r w:rsidR="004D3C6D">
        <w:t xml:space="preserve"> 1</w:t>
      </w:r>
      <w:r w:rsidR="005B05A5">
        <w:t>.  Here g is the annual growth rate of V going from one year to the next through year t.  For example, g</w:t>
      </w:r>
      <w:r w:rsidR="005B05A5" w:rsidRPr="005B05A5">
        <w:rPr>
          <w:sz w:val="20"/>
          <w:szCs w:val="20"/>
          <w:vertAlign w:val="subscript"/>
        </w:rPr>
        <w:t>1</w:t>
      </w:r>
      <w:r w:rsidR="005B05A5">
        <w:t xml:space="preserve"> = (V</w:t>
      </w:r>
      <w:r w:rsidR="005B05A5">
        <w:rPr>
          <w:vertAlign w:val="subscript"/>
        </w:rPr>
        <w:t>1</w:t>
      </w:r>
      <w:r w:rsidR="0025192A">
        <w:rPr>
          <w:vertAlign w:val="subscript"/>
        </w:rPr>
        <w:t xml:space="preserve"> </w:t>
      </w:r>
      <w:r w:rsidR="0025192A">
        <w:t xml:space="preserve">– </w:t>
      </w:r>
      <w:r w:rsidR="005B05A5">
        <w:t>V</w:t>
      </w:r>
      <w:r w:rsidR="005B05A5" w:rsidRPr="005B05A5">
        <w:rPr>
          <w:vertAlign w:val="subscript"/>
        </w:rPr>
        <w:t>0</w:t>
      </w:r>
      <w:r w:rsidR="005B05A5">
        <w:t>)/V</w:t>
      </w:r>
      <w:r w:rsidR="005B05A5" w:rsidRPr="005B05A5">
        <w:rPr>
          <w:vertAlign w:val="subscript"/>
        </w:rPr>
        <w:t>0</w:t>
      </w:r>
      <w:r w:rsidR="005B05A5">
        <w:t>; g</w:t>
      </w:r>
      <w:r w:rsidR="005B05A5">
        <w:rPr>
          <w:sz w:val="20"/>
          <w:szCs w:val="20"/>
          <w:vertAlign w:val="subscript"/>
        </w:rPr>
        <w:t>2</w:t>
      </w:r>
      <w:r w:rsidR="005B05A5">
        <w:t xml:space="preserve"> = (V</w:t>
      </w:r>
      <w:r w:rsidR="005B05A5">
        <w:rPr>
          <w:vertAlign w:val="subscript"/>
        </w:rPr>
        <w:t>2</w:t>
      </w:r>
      <w:r w:rsidR="0025192A">
        <w:rPr>
          <w:vertAlign w:val="subscript"/>
        </w:rPr>
        <w:t xml:space="preserve"> </w:t>
      </w:r>
      <w:r w:rsidR="0025192A">
        <w:t xml:space="preserve">– </w:t>
      </w:r>
      <w:r w:rsidR="005B05A5">
        <w:t>V</w:t>
      </w:r>
      <w:r w:rsidR="005B05A5">
        <w:rPr>
          <w:vertAlign w:val="subscript"/>
        </w:rPr>
        <w:t>1</w:t>
      </w:r>
      <w:r w:rsidR="005B05A5">
        <w:t>)/V</w:t>
      </w:r>
      <w:r w:rsidR="005B05A5">
        <w:rPr>
          <w:vertAlign w:val="subscript"/>
        </w:rPr>
        <w:t xml:space="preserve">1; </w:t>
      </w:r>
      <w:r w:rsidR="005B05A5">
        <w:t>g</w:t>
      </w:r>
      <w:r w:rsidR="005B05A5">
        <w:rPr>
          <w:sz w:val="20"/>
          <w:szCs w:val="20"/>
          <w:vertAlign w:val="subscript"/>
        </w:rPr>
        <w:t>3</w:t>
      </w:r>
      <w:r w:rsidR="005B05A5">
        <w:t xml:space="preserve"> = (V</w:t>
      </w:r>
      <w:r w:rsidR="005B05A5">
        <w:rPr>
          <w:vertAlign w:val="subscript"/>
        </w:rPr>
        <w:t>3</w:t>
      </w:r>
      <w:r w:rsidR="0025192A">
        <w:rPr>
          <w:vertAlign w:val="subscript"/>
        </w:rPr>
        <w:t xml:space="preserve"> </w:t>
      </w:r>
      <w:r w:rsidR="0025192A">
        <w:t xml:space="preserve">– </w:t>
      </w:r>
      <w:r w:rsidR="005B05A5">
        <w:t>V</w:t>
      </w:r>
      <w:r w:rsidR="005B05A5">
        <w:rPr>
          <w:vertAlign w:val="subscript"/>
        </w:rPr>
        <w:t>2</w:t>
      </w:r>
      <w:r w:rsidR="005B05A5">
        <w:t>)/V</w:t>
      </w:r>
      <w:r w:rsidR="005B05A5">
        <w:rPr>
          <w:vertAlign w:val="subscript"/>
        </w:rPr>
        <w:t>2</w:t>
      </w:r>
      <w:r w:rsidR="005B05A5">
        <w:t>; and so on</w:t>
      </w:r>
      <w:r w:rsidR="004D3C6D">
        <w:t xml:space="preserve"> through V</w:t>
      </w:r>
      <w:r w:rsidR="004D3C6D" w:rsidRPr="004D3C6D">
        <w:rPr>
          <w:vertAlign w:val="subscript"/>
        </w:rPr>
        <w:t>t</w:t>
      </w:r>
      <w:r w:rsidR="005B05A5">
        <w:t>.</w:t>
      </w:r>
      <w:r w:rsidR="004D3C6D">
        <w:t xml:space="preserve">  </w:t>
      </w:r>
      <w:r w:rsidR="004D3C6D" w:rsidRPr="00AC059C">
        <w:rPr>
          <w:b/>
          <w:i/>
        </w:rPr>
        <w:t>This formula highlights that</w:t>
      </w:r>
      <w:r w:rsidR="0002108C">
        <w:rPr>
          <w:b/>
          <w:i/>
        </w:rPr>
        <w:t xml:space="preserve"> G</w:t>
      </w:r>
      <w:r w:rsidR="00007352">
        <w:rPr>
          <w:b/>
          <w:i/>
        </w:rPr>
        <w:t>A</w:t>
      </w:r>
      <w:r w:rsidR="004D3C6D" w:rsidRPr="00AC059C">
        <w:rPr>
          <w:b/>
          <w:i/>
        </w:rPr>
        <w:t>R is really averaging multiple growth rates using the geometric average rather than the simple average</w:t>
      </w:r>
      <w:r w:rsidR="004D3C6D" w:rsidRPr="00AC059C">
        <w:rPr>
          <w:i/>
        </w:rPr>
        <w:t>.</w:t>
      </w:r>
      <w:r w:rsidR="00AC059C">
        <w:rPr>
          <w:i/>
        </w:rPr>
        <w:t xml:space="preserve"> </w:t>
      </w:r>
      <w:r w:rsidR="00AC059C">
        <w:t xml:space="preserve">A common misunderstanding is that </w:t>
      </w:r>
      <w:r w:rsidR="00007352">
        <w:t>GAR</w:t>
      </w:r>
      <w:r w:rsidR="00AC059C">
        <w:t xml:space="preserve"> is only using two</w:t>
      </w:r>
      <w:r w:rsidR="000E4EB5">
        <w:t xml:space="preserve"> data points when, in fact, </w:t>
      </w:r>
      <w:r w:rsidR="00D8164C">
        <w:t>it is equivalent to</w:t>
      </w:r>
      <w:r w:rsidR="000E4EB5">
        <w:t xml:space="preserve"> </w:t>
      </w:r>
      <w:r w:rsidR="00AC059C">
        <w:t>using multiple data points that have been converted into annual growth rates.</w:t>
      </w:r>
    </w:p>
    <w:p w:rsidR="0093726F" w:rsidRDefault="0093726F" w:rsidP="0093726F">
      <w:pPr>
        <w:tabs>
          <w:tab w:val="left" w:pos="0"/>
        </w:tabs>
        <w:spacing w:line="480" w:lineRule="auto"/>
        <w:ind w:firstLine="720"/>
        <w:jc w:val="both"/>
        <w:rPr>
          <w:b/>
        </w:rPr>
      </w:pPr>
      <w:r w:rsidRPr="009216E2">
        <w:rPr>
          <w:b/>
        </w:rPr>
        <w:t xml:space="preserve">Q. </w:t>
      </w:r>
      <w:r w:rsidR="003F25F8">
        <w:rPr>
          <w:b/>
        </w:rPr>
        <w:tab/>
      </w:r>
      <w:r>
        <w:rPr>
          <w:b/>
        </w:rPr>
        <w:t>Can these formulas be demonstrated with a simple example</w:t>
      </w:r>
      <w:r w:rsidRPr="009216E2">
        <w:rPr>
          <w:b/>
        </w:rPr>
        <w:t>?</w:t>
      </w:r>
    </w:p>
    <w:p w:rsidR="00D8164C" w:rsidRDefault="0093726F" w:rsidP="00FF19E9">
      <w:pPr>
        <w:tabs>
          <w:tab w:val="left" w:pos="0"/>
        </w:tabs>
        <w:spacing w:line="480" w:lineRule="auto"/>
        <w:ind w:firstLine="720"/>
        <w:jc w:val="both"/>
      </w:pPr>
      <w:r>
        <w:t xml:space="preserve">A.  </w:t>
      </w:r>
      <w:r w:rsidR="00DA37E6">
        <w:tab/>
      </w:r>
      <w:r>
        <w:t xml:space="preserve">Yes. </w:t>
      </w:r>
      <w:r w:rsidR="0025192A">
        <w:t xml:space="preserve">Table </w:t>
      </w:r>
      <w:r w:rsidR="00AD14A7">
        <w:t>2</w:t>
      </w:r>
      <w:r w:rsidR="0025192A">
        <w:t xml:space="preserve"> </w:t>
      </w:r>
      <w:r w:rsidR="00154EC9">
        <w:t xml:space="preserve">below </w:t>
      </w:r>
      <w:r w:rsidR="0025192A">
        <w:t>shows a series that is growing over time. V</w:t>
      </w:r>
      <w:r w:rsidR="00D8164C">
        <w:t xml:space="preserve">alue is </w:t>
      </w:r>
      <w:proofErr w:type="spellStart"/>
      <w:proofErr w:type="gramStart"/>
      <w:r w:rsidR="00D8164C">
        <w:t>V</w:t>
      </w:r>
      <w:r w:rsidR="00D8164C" w:rsidRPr="00D8164C">
        <w:rPr>
          <w:vertAlign w:val="subscript"/>
        </w:rPr>
        <w:t>t</w:t>
      </w:r>
      <w:proofErr w:type="spellEnd"/>
      <w:proofErr w:type="gramEnd"/>
      <w:r w:rsidR="008509D4">
        <w:t xml:space="preserve"> for </w:t>
      </w:r>
      <w:r w:rsidR="0025192A">
        <w:t>year</w:t>
      </w:r>
      <w:r w:rsidR="008509D4">
        <w:t>s</w:t>
      </w:r>
      <w:r w:rsidR="0025192A">
        <w:t xml:space="preserve"> </w:t>
      </w:r>
      <w:r w:rsidR="00C50152">
        <w:t>zero through six.</w:t>
      </w:r>
      <w:r w:rsidR="008509D4">
        <w:t xml:space="preserve">  Annual Growth is “g” </w:t>
      </w:r>
      <w:r w:rsidR="00D8164C">
        <w:t xml:space="preserve">the growth rate </w:t>
      </w:r>
      <w:r w:rsidR="008509D4">
        <w:t xml:space="preserve">for </w:t>
      </w:r>
      <w:r w:rsidR="00D8164C">
        <w:t>each of the six years</w:t>
      </w:r>
      <w:r w:rsidR="008509D4">
        <w:t xml:space="preserve">.  </w:t>
      </w:r>
    </w:p>
    <w:tbl>
      <w:tblPr>
        <w:tblStyle w:val="LightGrid"/>
        <w:tblpPr w:leftFromText="180" w:rightFromText="180" w:vertAnchor="text" w:horzAnchor="margin" w:tblpXSpec="center" w:tblpY="126"/>
        <w:tblW w:w="5022" w:type="dxa"/>
        <w:tblLook w:val="04A0"/>
      </w:tblPr>
      <w:tblGrid>
        <w:gridCol w:w="976"/>
        <w:gridCol w:w="1904"/>
        <w:gridCol w:w="2142"/>
      </w:tblGrid>
      <w:tr w:rsidR="00EE61EC" w:rsidRPr="008509D4" w:rsidTr="00EE61EC">
        <w:trPr>
          <w:cnfStyle w:val="100000000000"/>
          <w:trHeight w:val="300"/>
        </w:trPr>
        <w:tc>
          <w:tcPr>
            <w:cnfStyle w:val="001000000000"/>
            <w:tcW w:w="5022" w:type="dxa"/>
            <w:gridSpan w:val="3"/>
            <w:noWrap/>
            <w:hideMark/>
          </w:tcPr>
          <w:p w:rsidR="00EE61EC" w:rsidRPr="008509D4" w:rsidRDefault="00EE61EC" w:rsidP="00EE61EC">
            <w:pPr>
              <w:suppressAutoHyphens w:val="0"/>
              <w:autoSpaceDE/>
              <w:jc w:val="center"/>
              <w:rPr>
                <w:rFonts w:eastAsia="Times New Roman"/>
                <w:color w:val="000000"/>
                <w:sz w:val="22"/>
                <w:szCs w:val="22"/>
                <w:lang w:eastAsia="en-US"/>
              </w:rPr>
            </w:pPr>
            <w:r>
              <w:rPr>
                <w:rFonts w:eastAsia="Times New Roman"/>
                <w:color w:val="000000"/>
                <w:sz w:val="22"/>
                <w:szCs w:val="22"/>
                <w:lang w:eastAsia="en-US"/>
              </w:rPr>
              <w:t>Table 2</w:t>
            </w:r>
          </w:p>
        </w:tc>
      </w:tr>
      <w:tr w:rsidR="00EE61EC" w:rsidRPr="008509D4" w:rsidTr="00EE61EC">
        <w:trPr>
          <w:cnfStyle w:val="000000100000"/>
          <w:trHeight w:val="369"/>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Year</w:t>
            </w:r>
          </w:p>
        </w:tc>
        <w:tc>
          <w:tcPr>
            <w:tcW w:w="1904" w:type="dxa"/>
            <w:noWrap/>
            <w:hideMark/>
          </w:tcPr>
          <w:p w:rsidR="00EE61EC" w:rsidRPr="002B03EC" w:rsidRDefault="00EE61EC" w:rsidP="00EE61EC">
            <w:pPr>
              <w:suppressAutoHyphens w:val="0"/>
              <w:autoSpaceDE/>
              <w:jc w:val="center"/>
              <w:cnfStyle w:val="000000100000"/>
              <w:rPr>
                <w:rFonts w:eastAsia="Times New Roman"/>
                <w:b/>
                <w:color w:val="000000"/>
                <w:sz w:val="22"/>
                <w:szCs w:val="22"/>
                <w:lang w:eastAsia="en-US"/>
              </w:rPr>
            </w:pPr>
            <w:r w:rsidRPr="002B03EC">
              <w:rPr>
                <w:rFonts w:eastAsia="Times New Roman"/>
                <w:b/>
                <w:color w:val="000000"/>
                <w:sz w:val="22"/>
                <w:szCs w:val="22"/>
                <w:lang w:eastAsia="en-US"/>
              </w:rPr>
              <w:t>Value (V)</w:t>
            </w:r>
          </w:p>
        </w:tc>
        <w:tc>
          <w:tcPr>
            <w:tcW w:w="2142" w:type="dxa"/>
            <w:noWrap/>
            <w:hideMark/>
          </w:tcPr>
          <w:p w:rsidR="00EE61EC" w:rsidRPr="002B03EC" w:rsidRDefault="00EE61EC" w:rsidP="00EE61EC">
            <w:pPr>
              <w:suppressAutoHyphens w:val="0"/>
              <w:autoSpaceDE/>
              <w:jc w:val="center"/>
              <w:cnfStyle w:val="000000100000"/>
              <w:rPr>
                <w:rFonts w:eastAsia="Times New Roman"/>
                <w:b/>
                <w:color w:val="000000"/>
                <w:sz w:val="22"/>
                <w:szCs w:val="22"/>
                <w:lang w:eastAsia="en-US"/>
              </w:rPr>
            </w:pPr>
            <w:r w:rsidRPr="002B03EC">
              <w:rPr>
                <w:rFonts w:eastAsia="Times New Roman"/>
                <w:b/>
                <w:color w:val="000000"/>
                <w:sz w:val="22"/>
                <w:szCs w:val="22"/>
                <w:lang w:eastAsia="en-US"/>
              </w:rPr>
              <w:t>Annual Growth (g)</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0</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56</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1</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62</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0.107</w:t>
            </w:r>
            <w:r>
              <w:rPr>
                <w:rFonts w:eastAsia="Times New Roman"/>
                <w:color w:val="000000"/>
                <w:sz w:val="22"/>
                <w:szCs w:val="22"/>
                <w:lang w:eastAsia="en-US"/>
              </w:rPr>
              <w:t xml:space="preserve"> or 10.7%</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2</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68</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0.097</w:t>
            </w:r>
            <w:r>
              <w:rPr>
                <w:rFonts w:eastAsia="Times New Roman"/>
                <w:color w:val="000000"/>
                <w:sz w:val="22"/>
                <w:szCs w:val="22"/>
                <w:lang w:eastAsia="en-US"/>
              </w:rPr>
              <w:t xml:space="preserve"> or 9.7%</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3</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75</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0.103</w:t>
            </w:r>
            <w:r>
              <w:rPr>
                <w:rFonts w:eastAsia="Times New Roman"/>
                <w:color w:val="000000"/>
                <w:sz w:val="22"/>
                <w:szCs w:val="22"/>
                <w:lang w:eastAsia="en-US"/>
              </w:rPr>
              <w:t xml:space="preserve"> or 10.3%</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4</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84</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0.120</w:t>
            </w:r>
            <w:r>
              <w:rPr>
                <w:rFonts w:eastAsia="Times New Roman"/>
                <w:color w:val="000000"/>
                <w:sz w:val="22"/>
                <w:szCs w:val="22"/>
                <w:lang w:eastAsia="en-US"/>
              </w:rPr>
              <w:t xml:space="preserve"> or 12%</w:t>
            </w:r>
          </w:p>
        </w:tc>
      </w:tr>
      <w:tr w:rsidR="00EE61EC" w:rsidRPr="008509D4" w:rsidTr="00EE61EC">
        <w:trPr>
          <w:cnfStyle w:val="00000010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5</w:t>
            </w:r>
          </w:p>
        </w:tc>
        <w:tc>
          <w:tcPr>
            <w:tcW w:w="1904"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91</w:t>
            </w:r>
          </w:p>
        </w:tc>
        <w:tc>
          <w:tcPr>
            <w:tcW w:w="2142" w:type="dxa"/>
            <w:noWrap/>
            <w:hideMark/>
          </w:tcPr>
          <w:p w:rsidR="00EE61EC" w:rsidRPr="008509D4" w:rsidRDefault="00EE61EC" w:rsidP="00EE61EC">
            <w:pPr>
              <w:suppressAutoHyphens w:val="0"/>
              <w:autoSpaceDE/>
              <w:jc w:val="center"/>
              <w:cnfStyle w:val="000000100000"/>
              <w:rPr>
                <w:rFonts w:eastAsia="Times New Roman"/>
                <w:color w:val="000000"/>
                <w:sz w:val="22"/>
                <w:szCs w:val="22"/>
                <w:lang w:eastAsia="en-US"/>
              </w:rPr>
            </w:pPr>
            <w:r w:rsidRPr="008509D4">
              <w:rPr>
                <w:rFonts w:eastAsia="Times New Roman"/>
                <w:color w:val="000000"/>
                <w:sz w:val="22"/>
                <w:szCs w:val="22"/>
                <w:lang w:eastAsia="en-US"/>
              </w:rPr>
              <w:t>0.083</w:t>
            </w:r>
            <w:r>
              <w:rPr>
                <w:rFonts w:eastAsia="Times New Roman"/>
                <w:color w:val="000000"/>
                <w:sz w:val="22"/>
                <w:szCs w:val="22"/>
                <w:lang w:eastAsia="en-US"/>
              </w:rPr>
              <w:t xml:space="preserve"> or 8.3%</w:t>
            </w:r>
          </w:p>
        </w:tc>
      </w:tr>
      <w:tr w:rsidR="00EE61EC" w:rsidRPr="008509D4" w:rsidTr="00EE61EC">
        <w:trPr>
          <w:cnfStyle w:val="000000010000"/>
          <w:trHeight w:val="300"/>
        </w:trPr>
        <w:tc>
          <w:tcPr>
            <w:cnfStyle w:val="001000000000"/>
            <w:tcW w:w="976" w:type="dxa"/>
            <w:noWrap/>
            <w:hideMark/>
          </w:tcPr>
          <w:p w:rsidR="00EE61EC" w:rsidRPr="008509D4" w:rsidRDefault="00EE61EC" w:rsidP="00EE61EC">
            <w:pPr>
              <w:suppressAutoHyphens w:val="0"/>
              <w:autoSpaceDE/>
              <w:jc w:val="center"/>
              <w:rPr>
                <w:rFonts w:ascii="Times New Roman" w:eastAsia="Times New Roman" w:hAnsi="Times New Roman" w:cs="Times New Roman"/>
                <w:color w:val="000000"/>
                <w:sz w:val="22"/>
                <w:szCs w:val="22"/>
                <w:lang w:eastAsia="en-US"/>
              </w:rPr>
            </w:pPr>
            <w:r w:rsidRPr="008509D4">
              <w:rPr>
                <w:rFonts w:ascii="Times New Roman" w:eastAsia="Times New Roman" w:hAnsi="Times New Roman" w:cs="Times New Roman"/>
                <w:color w:val="000000"/>
                <w:sz w:val="22"/>
                <w:szCs w:val="22"/>
                <w:lang w:eastAsia="en-US"/>
              </w:rPr>
              <w:t>6</w:t>
            </w:r>
          </w:p>
        </w:tc>
        <w:tc>
          <w:tcPr>
            <w:tcW w:w="1904"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Pr>
                <w:rFonts w:eastAsia="Times New Roman"/>
                <w:color w:val="000000"/>
                <w:sz w:val="22"/>
                <w:szCs w:val="22"/>
                <w:lang w:eastAsia="en-US"/>
              </w:rPr>
              <w:t>$</w:t>
            </w:r>
            <w:r w:rsidRPr="008509D4">
              <w:rPr>
                <w:rFonts w:eastAsia="Times New Roman"/>
                <w:color w:val="000000"/>
                <w:sz w:val="22"/>
                <w:szCs w:val="22"/>
                <w:lang w:eastAsia="en-US"/>
              </w:rPr>
              <w:t>100</w:t>
            </w:r>
          </w:p>
        </w:tc>
        <w:tc>
          <w:tcPr>
            <w:tcW w:w="2142" w:type="dxa"/>
            <w:noWrap/>
            <w:hideMark/>
          </w:tcPr>
          <w:p w:rsidR="00EE61EC" w:rsidRPr="008509D4" w:rsidRDefault="00EE61EC" w:rsidP="00EE61EC">
            <w:pPr>
              <w:suppressAutoHyphens w:val="0"/>
              <w:autoSpaceDE/>
              <w:jc w:val="center"/>
              <w:cnfStyle w:val="000000010000"/>
              <w:rPr>
                <w:rFonts w:eastAsia="Times New Roman"/>
                <w:color w:val="000000"/>
                <w:sz w:val="22"/>
                <w:szCs w:val="22"/>
                <w:lang w:eastAsia="en-US"/>
              </w:rPr>
            </w:pPr>
            <w:r w:rsidRPr="008509D4">
              <w:rPr>
                <w:rFonts w:eastAsia="Times New Roman"/>
                <w:color w:val="000000"/>
                <w:sz w:val="22"/>
                <w:szCs w:val="22"/>
                <w:lang w:eastAsia="en-US"/>
              </w:rPr>
              <w:t>0.099</w:t>
            </w:r>
            <w:r>
              <w:rPr>
                <w:rFonts w:eastAsia="Times New Roman"/>
                <w:color w:val="000000"/>
                <w:sz w:val="22"/>
                <w:szCs w:val="22"/>
                <w:lang w:eastAsia="en-US"/>
              </w:rPr>
              <w:t xml:space="preserve"> or 9.9%</w:t>
            </w:r>
          </w:p>
        </w:tc>
      </w:tr>
    </w:tbl>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EE61EC" w:rsidRDefault="00EE61EC" w:rsidP="00FF19E9">
      <w:pPr>
        <w:tabs>
          <w:tab w:val="left" w:pos="0"/>
        </w:tabs>
        <w:spacing w:line="480" w:lineRule="auto"/>
        <w:ind w:firstLine="720"/>
        <w:jc w:val="both"/>
      </w:pPr>
    </w:p>
    <w:p w:rsidR="008509D4" w:rsidRDefault="008509D4" w:rsidP="00FF19E9">
      <w:pPr>
        <w:tabs>
          <w:tab w:val="left" w:pos="0"/>
        </w:tabs>
        <w:spacing w:line="480" w:lineRule="auto"/>
        <w:jc w:val="both"/>
      </w:pPr>
    </w:p>
    <w:p w:rsidR="008509D4" w:rsidRDefault="008509D4" w:rsidP="001C727B">
      <w:pPr>
        <w:tabs>
          <w:tab w:val="left" w:pos="0"/>
        </w:tabs>
        <w:spacing w:line="480" w:lineRule="auto"/>
        <w:jc w:val="both"/>
      </w:pPr>
      <w:r>
        <w:lastRenderedPageBreak/>
        <w:t>Using the value column</w:t>
      </w:r>
      <w:r w:rsidR="00AC059C">
        <w:t xml:space="preserve"> to first calculate </w:t>
      </w:r>
      <w:r w:rsidR="00007352">
        <w:t>GAR</w:t>
      </w:r>
      <w:r w:rsidR="00D8164C">
        <w:t xml:space="preserve"> can be done easily</w:t>
      </w:r>
      <w:r w:rsidR="00AC059C">
        <w:t>:</w:t>
      </w:r>
      <w:r>
        <w:t xml:space="preserve"> </w:t>
      </w:r>
      <w:r w:rsidR="00007352">
        <w:t>GAR</w:t>
      </w:r>
      <w:r>
        <w:t xml:space="preserve"> = </w:t>
      </w:r>
      <w:r w:rsidR="00AC059C">
        <w:t>(</w:t>
      </w:r>
      <w:proofErr w:type="spellStart"/>
      <w:r w:rsidR="00AC059C">
        <w:t>V</w:t>
      </w:r>
      <w:r w:rsidR="00AC059C" w:rsidRPr="00651FA0">
        <w:rPr>
          <w:vertAlign w:val="subscript"/>
        </w:rPr>
        <w:t>t</w:t>
      </w:r>
      <w:proofErr w:type="spellEnd"/>
      <w:r w:rsidR="00AC059C">
        <w:t>/V</w:t>
      </w:r>
      <w:r w:rsidR="00AC059C" w:rsidRPr="00651FA0">
        <w:rPr>
          <w:vertAlign w:val="subscript"/>
        </w:rPr>
        <w:t>0</w:t>
      </w:r>
      <w:r w:rsidR="00AC059C">
        <w:t>)</w:t>
      </w:r>
      <w:r w:rsidR="00AC059C" w:rsidRPr="00651FA0">
        <w:rPr>
          <w:vertAlign w:val="superscript"/>
        </w:rPr>
        <w:t>1/t</w:t>
      </w:r>
      <w:r w:rsidR="00AC059C">
        <w:rPr>
          <w:vertAlign w:val="superscript"/>
        </w:rPr>
        <w:t xml:space="preserve"> </w:t>
      </w:r>
      <w:r w:rsidR="00AC059C">
        <w:t xml:space="preserve">– 1 = </w:t>
      </w:r>
      <w:r>
        <w:t>(100/56)</w:t>
      </w:r>
      <w:r w:rsidR="00AC059C">
        <w:rPr>
          <w:vertAlign w:val="superscript"/>
        </w:rPr>
        <w:t>1/6</w:t>
      </w:r>
      <w:r>
        <w:rPr>
          <w:vertAlign w:val="superscript"/>
        </w:rPr>
        <w:t xml:space="preserve"> </w:t>
      </w:r>
      <w:r>
        <w:t xml:space="preserve">– 1 </w:t>
      </w:r>
      <w:r w:rsidR="00AC059C">
        <w:t xml:space="preserve">= </w:t>
      </w:r>
      <w:r w:rsidR="006F6681">
        <w:t>0</w:t>
      </w:r>
      <w:r w:rsidR="00AC059C">
        <w:t xml:space="preserve">.10146 or 10.146%.  </w:t>
      </w:r>
      <w:r w:rsidR="001C727B">
        <w:t>Note that V</w:t>
      </w:r>
      <w:r w:rsidR="001C727B" w:rsidRPr="004C320D">
        <w:rPr>
          <w:vertAlign w:val="subscript"/>
        </w:rPr>
        <w:t>0</w:t>
      </w:r>
      <w:r w:rsidR="007622A3">
        <w:t>*</w:t>
      </w:r>
      <w:r w:rsidR="001C727B">
        <w:t>(1+</w:t>
      </w:r>
      <w:r w:rsidR="00007352">
        <w:t>GAR</w:t>
      </w:r>
      <w:proofErr w:type="gramStart"/>
      <w:r w:rsidR="001C727B">
        <w:t>)</w:t>
      </w:r>
      <w:r w:rsidR="001C727B" w:rsidRPr="004C320D">
        <w:rPr>
          <w:vertAlign w:val="superscript"/>
        </w:rPr>
        <w:t>t</w:t>
      </w:r>
      <w:proofErr w:type="gramEnd"/>
      <w:r w:rsidR="001C727B">
        <w:t xml:space="preserve"> = 56</w:t>
      </w:r>
      <w:r w:rsidR="007622A3">
        <w:t>*</w:t>
      </w:r>
      <w:r w:rsidR="001C727B">
        <w:t>(1 + 0.10146)</w:t>
      </w:r>
      <w:r w:rsidR="001C727B">
        <w:rPr>
          <w:vertAlign w:val="superscript"/>
        </w:rPr>
        <w:t>6</w:t>
      </w:r>
      <w:r w:rsidR="001C727B">
        <w:t xml:space="preserve"> = 100.  This shows that </w:t>
      </w:r>
      <w:r w:rsidR="005C5276">
        <w:t>GAR</w:t>
      </w:r>
      <w:r w:rsidR="001C727B">
        <w:t xml:space="preserve"> is the single </w:t>
      </w:r>
      <w:r w:rsidR="00D8164C">
        <w:t xml:space="preserve">average </w:t>
      </w:r>
      <w:r w:rsidR="001C727B">
        <w:t xml:space="preserve">growth rate that will generate the same value in year 6 as applying the actual annual growth rates starting from </w:t>
      </w:r>
      <w:r w:rsidR="00D8164C">
        <w:t>V</w:t>
      </w:r>
      <w:r w:rsidR="00D8164C" w:rsidRPr="00D8164C">
        <w:rPr>
          <w:vertAlign w:val="subscript"/>
        </w:rPr>
        <w:t>0</w:t>
      </w:r>
      <w:r w:rsidR="001C727B">
        <w:t>: 56</w:t>
      </w:r>
      <w:r w:rsidR="007622A3">
        <w:t>*</w:t>
      </w:r>
      <w:r w:rsidR="001C727B">
        <w:t>(1 +</w:t>
      </w:r>
      <w:r w:rsidR="006F6681">
        <w:t xml:space="preserve"> 0</w:t>
      </w:r>
      <w:r w:rsidR="001C727B">
        <w:t>.10146)</w:t>
      </w:r>
      <w:r w:rsidR="001C727B">
        <w:rPr>
          <w:vertAlign w:val="superscript"/>
        </w:rPr>
        <w:t xml:space="preserve">6 </w:t>
      </w:r>
      <w:r w:rsidR="001C727B">
        <w:t>= 56</w:t>
      </w:r>
      <w:r w:rsidR="007622A3">
        <w:t>*</w:t>
      </w:r>
      <w:r w:rsidR="001C727B">
        <w:t>(1 + 0.107)</w:t>
      </w:r>
      <w:r w:rsidR="007622A3">
        <w:t>*</w:t>
      </w:r>
      <w:r w:rsidR="001C727B">
        <w:t>(1 + 0.097)</w:t>
      </w:r>
      <w:r w:rsidR="007622A3">
        <w:t>*</w:t>
      </w:r>
      <w:r w:rsidR="001C727B">
        <w:t>(1 + 0.103)</w:t>
      </w:r>
      <w:r w:rsidR="007622A3">
        <w:t>*</w:t>
      </w:r>
      <w:r w:rsidR="001C727B">
        <w:t>(1 + 0.120)</w:t>
      </w:r>
      <w:r w:rsidR="007622A3">
        <w:t>*</w:t>
      </w:r>
      <w:r w:rsidR="001C727B">
        <w:t>(1 + 0.083)</w:t>
      </w:r>
      <w:r w:rsidR="007622A3">
        <w:t>*</w:t>
      </w:r>
      <w:r w:rsidR="001C727B">
        <w:t xml:space="preserve">(1 + 0.099).  </w:t>
      </w:r>
      <w:r w:rsidR="00007352">
        <w:t>GAR</w:t>
      </w:r>
      <w:r w:rsidR="00BD77F0">
        <w:t xml:space="preserve"> converts</w:t>
      </w:r>
      <w:r w:rsidR="001C727B">
        <w:t xml:space="preserve"> six individual growth rates </w:t>
      </w:r>
      <w:r w:rsidR="00BD77F0">
        <w:t xml:space="preserve">into </w:t>
      </w:r>
      <w:r w:rsidR="001C727B">
        <w:t>single geometric average growth rate</w:t>
      </w:r>
      <w:r w:rsidR="00BD77F0">
        <w:t xml:space="preserve"> so we can say, “On average over </w:t>
      </w:r>
      <w:r w:rsidR="00C902B8">
        <w:t xml:space="preserve">these </w:t>
      </w:r>
      <w:r w:rsidR="00553D0F">
        <w:t xml:space="preserve">six years, the starting value of $56 </w:t>
      </w:r>
      <w:r w:rsidR="00BD77F0">
        <w:t>grew at a</w:t>
      </w:r>
      <w:r w:rsidR="008706E5">
        <w:t xml:space="preserve">n annual </w:t>
      </w:r>
      <w:r w:rsidR="00BD77F0">
        <w:t xml:space="preserve">compounding rate </w:t>
      </w:r>
      <w:r w:rsidR="008706E5">
        <w:t>equivalent to</w:t>
      </w:r>
      <w:r w:rsidR="00BD77F0">
        <w:t xml:space="preserve"> 10.146%.”</w:t>
      </w:r>
      <w:r w:rsidR="001C727B">
        <w:t xml:space="preserve"> </w:t>
      </w:r>
      <w:r w:rsidR="00EC7C91">
        <w:t xml:space="preserve"> The alternative </w:t>
      </w:r>
      <w:r w:rsidR="00007352">
        <w:t>GAR</w:t>
      </w:r>
      <w:r w:rsidR="00EC7C91">
        <w:t xml:space="preserve"> formula is </w:t>
      </w:r>
      <w:r w:rsidR="00007352">
        <w:t>GAR</w:t>
      </w:r>
      <w:r w:rsidR="00EC7C91">
        <w:t xml:space="preserve"> = [(1 + g</w:t>
      </w:r>
      <w:r w:rsidR="00EC7C91" w:rsidRPr="005B05A5">
        <w:rPr>
          <w:sz w:val="20"/>
          <w:szCs w:val="20"/>
          <w:vertAlign w:val="subscript"/>
        </w:rPr>
        <w:t>1</w:t>
      </w:r>
      <w:r w:rsidR="00EC7C91">
        <w:t>)</w:t>
      </w:r>
      <w:r w:rsidR="007622A3">
        <w:t>*</w:t>
      </w:r>
      <w:r w:rsidR="00EC7C91">
        <w:t>(1 + g</w:t>
      </w:r>
      <w:r w:rsidR="00EC7C91" w:rsidRPr="005B05A5">
        <w:rPr>
          <w:sz w:val="20"/>
          <w:szCs w:val="20"/>
          <w:vertAlign w:val="subscript"/>
        </w:rPr>
        <w:t>2</w:t>
      </w:r>
      <w:r w:rsidR="00EC7C91">
        <w:t>)</w:t>
      </w:r>
      <w:r w:rsidR="007622A3">
        <w:t>*</w:t>
      </w:r>
      <w:r w:rsidR="00EC7C91">
        <w:t>(1 + g</w:t>
      </w:r>
      <w:r w:rsidR="00EC7C91" w:rsidRPr="005B05A5">
        <w:rPr>
          <w:sz w:val="20"/>
          <w:szCs w:val="20"/>
          <w:vertAlign w:val="subscript"/>
        </w:rPr>
        <w:t>3</w:t>
      </w:r>
      <w:r w:rsidR="00EC7C91">
        <w:t>)</w:t>
      </w:r>
      <w:proofErr w:type="gramStart"/>
      <w:r w:rsidR="00EC7C91">
        <w:t>…(</w:t>
      </w:r>
      <w:proofErr w:type="gramEnd"/>
      <w:r w:rsidR="00EC7C91">
        <w:t xml:space="preserve">1 + </w:t>
      </w:r>
      <w:proofErr w:type="spellStart"/>
      <w:r w:rsidR="00EC7C91">
        <w:t>g</w:t>
      </w:r>
      <w:r w:rsidR="00EC7C91" w:rsidRPr="005B05A5">
        <w:rPr>
          <w:sz w:val="20"/>
          <w:szCs w:val="20"/>
          <w:vertAlign w:val="subscript"/>
        </w:rPr>
        <w:t>t</w:t>
      </w:r>
      <w:proofErr w:type="spellEnd"/>
      <w:r w:rsidR="00EC7C91">
        <w:t>)]</w:t>
      </w:r>
      <w:r w:rsidR="00EC7C91" w:rsidRPr="005B05A5">
        <w:rPr>
          <w:vertAlign w:val="superscript"/>
        </w:rPr>
        <w:t>1/t</w:t>
      </w:r>
      <w:r w:rsidR="00EC7C91">
        <w:rPr>
          <w:vertAlign w:val="superscript"/>
        </w:rPr>
        <w:t xml:space="preserve">  </w:t>
      </w:r>
      <w:r w:rsidR="00EC7C91">
        <w:t>– 1 = [(1 + 0.107)</w:t>
      </w:r>
      <w:r w:rsidR="007622A3">
        <w:t>*</w:t>
      </w:r>
      <w:r w:rsidR="00EC7C91">
        <w:t>(1 + 0.097)</w:t>
      </w:r>
      <w:r w:rsidR="007622A3">
        <w:t>*</w:t>
      </w:r>
      <w:r w:rsidR="00EC7C91">
        <w:t>(1 + 0.103)</w:t>
      </w:r>
      <w:r w:rsidR="007622A3">
        <w:t xml:space="preserve">* </w:t>
      </w:r>
      <w:r w:rsidR="00EC7C91">
        <w:t>(1 + 0.120)</w:t>
      </w:r>
      <w:r w:rsidR="007622A3">
        <w:t>*</w:t>
      </w:r>
      <w:r w:rsidR="00EC7C91">
        <w:t>(1 + 0.083)</w:t>
      </w:r>
      <w:r w:rsidR="007622A3">
        <w:t xml:space="preserve">* </w:t>
      </w:r>
      <w:r w:rsidR="00EC7C91">
        <w:t>(1 + 0.099)]</w:t>
      </w:r>
      <w:r w:rsidR="00EC7C91" w:rsidRPr="00EC7C91">
        <w:rPr>
          <w:vertAlign w:val="superscript"/>
        </w:rPr>
        <w:t xml:space="preserve"> </w:t>
      </w:r>
      <w:r w:rsidR="00EC7C91" w:rsidRPr="005B05A5">
        <w:rPr>
          <w:vertAlign w:val="superscript"/>
        </w:rPr>
        <w:t>1/</w:t>
      </w:r>
      <w:r w:rsidR="00EC7C91">
        <w:rPr>
          <w:vertAlign w:val="superscript"/>
        </w:rPr>
        <w:t xml:space="preserve">6  </w:t>
      </w:r>
      <w:r w:rsidR="00EC7C91">
        <w:t xml:space="preserve">– 1 = 0.10146.  Again, this </w:t>
      </w:r>
      <w:r w:rsidR="00007352">
        <w:t>GAR</w:t>
      </w:r>
      <w:r w:rsidR="00EC7C91">
        <w:t xml:space="preserve"> formula demonstrates that </w:t>
      </w:r>
      <w:r w:rsidR="00007352">
        <w:t>GAR</w:t>
      </w:r>
      <w:r w:rsidR="00EC7C91">
        <w:t xml:space="preserve"> is </w:t>
      </w:r>
      <w:r w:rsidR="002B03EC">
        <w:t xml:space="preserve">equivalent to </w:t>
      </w:r>
      <w:r w:rsidR="00EC7C91">
        <w:t>using multiple annual growth rates to generate a single, compounding equivalent growth rate.</w:t>
      </w:r>
    </w:p>
    <w:p w:rsidR="002B03EC" w:rsidRDefault="002B03EC" w:rsidP="002B03EC">
      <w:pPr>
        <w:tabs>
          <w:tab w:val="left" w:pos="0"/>
        </w:tabs>
        <w:spacing w:line="480" w:lineRule="auto"/>
        <w:ind w:firstLine="720"/>
        <w:jc w:val="both"/>
        <w:rPr>
          <w:b/>
        </w:rPr>
      </w:pPr>
      <w:r w:rsidRPr="000831B7">
        <w:rPr>
          <w:b/>
        </w:rPr>
        <w:t>Q.</w:t>
      </w:r>
      <w:r>
        <w:t xml:space="preserve"> </w:t>
      </w:r>
      <w:r w:rsidR="00154EC9">
        <w:tab/>
      </w:r>
      <w:r w:rsidR="0088412A">
        <w:rPr>
          <w:b/>
        </w:rPr>
        <w:t>What a</w:t>
      </w:r>
      <w:r w:rsidR="00154EC9">
        <w:rPr>
          <w:b/>
        </w:rPr>
        <w:t xml:space="preserve">re </w:t>
      </w:r>
      <w:r w:rsidR="0088412A">
        <w:rPr>
          <w:b/>
        </w:rPr>
        <w:t xml:space="preserve">the geometric average growth rates </w:t>
      </w:r>
      <w:r w:rsidR="001705ED">
        <w:rPr>
          <w:b/>
        </w:rPr>
        <w:t xml:space="preserve">for </w:t>
      </w:r>
      <w:r w:rsidRPr="002B03EC">
        <w:rPr>
          <w:b/>
        </w:rPr>
        <w:t>the 200</w:t>
      </w:r>
      <w:r w:rsidR="0088412A">
        <w:rPr>
          <w:b/>
        </w:rPr>
        <w:t>1</w:t>
      </w:r>
      <w:r w:rsidRPr="002B03EC">
        <w:rPr>
          <w:b/>
        </w:rPr>
        <w:t xml:space="preserve">-2013 </w:t>
      </w:r>
      <w:r>
        <w:rPr>
          <w:b/>
        </w:rPr>
        <w:t xml:space="preserve">historical </w:t>
      </w:r>
      <w:proofErr w:type="gramStart"/>
      <w:r w:rsidRPr="002B03EC">
        <w:rPr>
          <w:b/>
        </w:rPr>
        <w:t>period</w:t>
      </w:r>
      <w:proofErr w:type="gramEnd"/>
      <w:r w:rsidRPr="002B03EC">
        <w:rPr>
          <w:b/>
        </w:rPr>
        <w:t>?</w:t>
      </w:r>
    </w:p>
    <w:p w:rsidR="002B03EC" w:rsidRDefault="002B03EC" w:rsidP="002B03EC">
      <w:pPr>
        <w:tabs>
          <w:tab w:val="left" w:pos="0"/>
        </w:tabs>
        <w:spacing w:line="480" w:lineRule="auto"/>
        <w:ind w:firstLine="720"/>
        <w:jc w:val="both"/>
      </w:pPr>
      <w:r w:rsidRPr="002B03EC">
        <w:t xml:space="preserve">A. </w:t>
      </w:r>
      <w:r w:rsidR="00DA37E6">
        <w:tab/>
      </w:r>
      <w:r w:rsidR="00007352">
        <w:t>GAR</w:t>
      </w:r>
      <w:r w:rsidR="0088412A">
        <w:t xml:space="preserve"> was</w:t>
      </w:r>
      <w:r w:rsidR="0002108C">
        <w:t xml:space="preserve"> </w:t>
      </w:r>
      <w:r>
        <w:t>calculated using the 200</w:t>
      </w:r>
      <w:r w:rsidR="0088412A">
        <w:t>1</w:t>
      </w:r>
      <w:r>
        <w:t>-2013 period</w:t>
      </w:r>
      <w:r w:rsidR="00707380">
        <w:t xml:space="preserve"> for both electric and natural gas expenditures</w:t>
      </w:r>
      <w:r w:rsidR="0002108C">
        <w:t xml:space="preserve">.  The resulting </w:t>
      </w:r>
      <w:r w:rsidR="00007352">
        <w:t>GAR</w:t>
      </w:r>
      <w:r w:rsidR="0002108C">
        <w:t xml:space="preserve"> </w:t>
      </w:r>
      <w:r w:rsidR="00154EC9">
        <w:t xml:space="preserve">for each expenditure category is shown in Lines </w:t>
      </w:r>
      <w:r w:rsidR="00154EC9" w:rsidRPr="00E94B5B">
        <w:t>7 to 12</w:t>
      </w:r>
      <w:r w:rsidR="00154EC9">
        <w:t xml:space="preserve"> of </w:t>
      </w:r>
      <w:r w:rsidR="00154EC9" w:rsidRPr="0041559E">
        <w:t>Page 9</w:t>
      </w:r>
      <w:r w:rsidR="00154EC9">
        <w:t xml:space="preserve"> of Ms. Andrews Exhibits (EMA-2) and (EMA-3)</w:t>
      </w:r>
      <w:r w:rsidR="0088412A">
        <w:t>.  These growth rates were used by Ms. Andrews as the starting point in developing appropriate growth rates for her attrition analysis</w:t>
      </w:r>
      <w:r w:rsidR="00154EC9">
        <w:t xml:space="preserve">. </w:t>
      </w:r>
    </w:p>
    <w:p w:rsidR="003372D4" w:rsidRDefault="003372D4" w:rsidP="002B03EC">
      <w:pPr>
        <w:tabs>
          <w:tab w:val="left" w:pos="0"/>
        </w:tabs>
        <w:spacing w:line="480" w:lineRule="auto"/>
        <w:ind w:firstLine="720"/>
        <w:jc w:val="both"/>
      </w:pPr>
    </w:p>
    <w:p w:rsidR="00E94B5B" w:rsidRPr="00E94B5B" w:rsidRDefault="00E94B5B" w:rsidP="00E94B5B">
      <w:pPr>
        <w:tabs>
          <w:tab w:val="left" w:pos="0"/>
        </w:tabs>
        <w:spacing w:line="480" w:lineRule="auto"/>
        <w:ind w:firstLine="720"/>
        <w:jc w:val="center"/>
        <w:rPr>
          <w:b/>
          <w:u w:val="single"/>
        </w:rPr>
      </w:pPr>
      <w:r w:rsidRPr="00EB672D">
        <w:rPr>
          <w:b/>
          <w:bCs/>
          <w:u w:val="single"/>
        </w:rPr>
        <w:t>V</w:t>
      </w:r>
      <w:r>
        <w:rPr>
          <w:b/>
          <w:bCs/>
          <w:u w:val="single"/>
        </w:rPr>
        <w:t>I</w:t>
      </w:r>
      <w:r w:rsidRPr="00EB672D">
        <w:rPr>
          <w:b/>
          <w:bCs/>
          <w:u w:val="single"/>
        </w:rPr>
        <w:t xml:space="preserve">. </w:t>
      </w:r>
      <w:r>
        <w:rPr>
          <w:b/>
          <w:bCs/>
          <w:u w:val="single"/>
        </w:rPr>
        <w:t>CONCLUSION</w:t>
      </w:r>
    </w:p>
    <w:p w:rsidR="00E94B5B" w:rsidRDefault="00E94B5B" w:rsidP="002B03EC">
      <w:pPr>
        <w:tabs>
          <w:tab w:val="left" w:pos="0"/>
        </w:tabs>
        <w:spacing w:line="480" w:lineRule="auto"/>
        <w:ind w:firstLine="720"/>
        <w:jc w:val="both"/>
        <w:rPr>
          <w:b/>
        </w:rPr>
      </w:pPr>
      <w:r>
        <w:rPr>
          <w:b/>
        </w:rPr>
        <w:t xml:space="preserve">Q.  </w:t>
      </w:r>
      <w:r w:rsidR="00FB33F1">
        <w:rPr>
          <w:b/>
        </w:rPr>
        <w:tab/>
        <w:t>What conclusions follow from your analysis?</w:t>
      </w:r>
    </w:p>
    <w:p w:rsidR="00FB33F1" w:rsidRDefault="00FB33F1" w:rsidP="002B03EC">
      <w:pPr>
        <w:tabs>
          <w:tab w:val="left" w:pos="0"/>
        </w:tabs>
        <w:spacing w:line="480" w:lineRule="auto"/>
        <w:ind w:firstLine="720"/>
        <w:jc w:val="both"/>
      </w:pPr>
      <w:r w:rsidRPr="00FB33F1">
        <w:t xml:space="preserve">A. </w:t>
      </w:r>
      <w:r>
        <w:tab/>
        <w:t xml:space="preserve">The following points should be emphasized: </w:t>
      </w:r>
    </w:p>
    <w:p w:rsidR="00FB33F1" w:rsidRDefault="00FB33F1" w:rsidP="001B458D">
      <w:pPr>
        <w:tabs>
          <w:tab w:val="left" w:pos="0"/>
        </w:tabs>
        <w:spacing w:line="480" w:lineRule="auto"/>
        <w:ind w:left="1440" w:hanging="720"/>
        <w:jc w:val="both"/>
      </w:pPr>
      <w:r>
        <w:lastRenderedPageBreak/>
        <w:t>(1)</w:t>
      </w:r>
      <w:r w:rsidRPr="00FB33F1">
        <w:t xml:space="preserve"> </w:t>
      </w:r>
      <w:r w:rsidR="001B458D">
        <w:tab/>
      </w:r>
      <w:r w:rsidR="0041559E">
        <w:t>D</w:t>
      </w:r>
      <w:r>
        <w:t xml:space="preserve">ata used for </w:t>
      </w:r>
      <w:r w:rsidR="0041559E">
        <w:t xml:space="preserve">a trend analysis </w:t>
      </w:r>
      <w:r w:rsidR="0088412A">
        <w:t>for the</w:t>
      </w:r>
      <w:r w:rsidR="0041559E">
        <w:t xml:space="preserve"> purpose of an attrition study</w:t>
      </w:r>
      <w:r>
        <w:t xml:space="preserve"> should reflect</w:t>
      </w:r>
      <w:r w:rsidR="005C5276">
        <w:t>,</w:t>
      </w:r>
      <w:r>
        <w:t xml:space="preserve"> as close</w:t>
      </w:r>
      <w:r w:rsidR="005C5276">
        <w:t>ly</w:t>
      </w:r>
      <w:r>
        <w:t xml:space="preserve"> as possible</w:t>
      </w:r>
      <w:r w:rsidR="005C5276">
        <w:t>,</w:t>
      </w:r>
      <w:r>
        <w:t xml:space="preserve"> the Company’s recent and planned expenditures.  Regardless of the methodology for determining expenditure growth rates, using time periods that no longer represent recent and planned expenditures can lead to inaccurate representations of future growth.</w:t>
      </w:r>
    </w:p>
    <w:p w:rsidR="00FB33F1" w:rsidRPr="00731200" w:rsidRDefault="001B458D" w:rsidP="001B458D">
      <w:pPr>
        <w:tabs>
          <w:tab w:val="left" w:pos="0"/>
        </w:tabs>
        <w:spacing w:line="480" w:lineRule="auto"/>
        <w:ind w:left="1440" w:hanging="720"/>
        <w:jc w:val="both"/>
      </w:pPr>
      <w:r>
        <w:t xml:space="preserve">(2) </w:t>
      </w:r>
      <w:r>
        <w:tab/>
      </w:r>
      <w:r w:rsidR="00FB33F1">
        <w:t xml:space="preserve">Annual capital investment for the 2001-2013 </w:t>
      </w:r>
      <w:proofErr w:type="gramStart"/>
      <w:r w:rsidR="00FB33F1">
        <w:t>per</w:t>
      </w:r>
      <w:r>
        <w:t>iod</w:t>
      </w:r>
      <w:proofErr w:type="gramEnd"/>
      <w:r>
        <w:t xml:space="preserve"> clearly shows a significant </w:t>
      </w:r>
      <w:r w:rsidR="00FB33F1">
        <w:t>shift in the expenditure trend starting in 2007.</w:t>
      </w:r>
      <w:r>
        <w:t xml:space="preserve">  </w:t>
      </w:r>
      <w:r w:rsidRPr="003F25F8">
        <w:t xml:space="preserve">In fact, the expectation is that expenditures will </w:t>
      </w:r>
      <w:r w:rsidRPr="00731200">
        <w:t xml:space="preserve">experience </w:t>
      </w:r>
      <w:r w:rsidR="00EF0390" w:rsidRPr="00731200">
        <w:t xml:space="preserve">additional </w:t>
      </w:r>
      <w:r w:rsidRPr="00731200">
        <w:t>accelerated, non-linear growth during the 2014-2016 period from that experienced during 2007-2013.</w:t>
      </w:r>
    </w:p>
    <w:p w:rsidR="00FB33F1" w:rsidRPr="00FB33F1" w:rsidRDefault="001B458D" w:rsidP="001B458D">
      <w:pPr>
        <w:tabs>
          <w:tab w:val="left" w:pos="0"/>
        </w:tabs>
        <w:spacing w:line="480" w:lineRule="auto"/>
        <w:ind w:left="1440" w:hanging="720"/>
        <w:jc w:val="both"/>
      </w:pPr>
      <w:r w:rsidRPr="00731200">
        <w:t xml:space="preserve">(3) </w:t>
      </w:r>
      <w:r w:rsidRPr="00731200">
        <w:tab/>
        <w:t xml:space="preserve">The compound growth formula (CGF) is appropriate when a given variable—for example, a dollar value—is expected to increase in a non-linear fashion over time.  </w:t>
      </w:r>
      <w:r w:rsidR="00814D8B">
        <w:t>T</w:t>
      </w:r>
      <w:r w:rsidR="00EF0390" w:rsidRPr="00731200">
        <w:t xml:space="preserve">he use of </w:t>
      </w:r>
      <w:r w:rsidRPr="00731200">
        <w:t xml:space="preserve">linear models </w:t>
      </w:r>
      <w:r w:rsidR="00814D8B">
        <w:t xml:space="preserve">would </w:t>
      </w:r>
      <w:r w:rsidRPr="00731200">
        <w:t>significantly under-estimate future expenditure levels.</w:t>
      </w:r>
      <w:r w:rsidR="0088412A">
        <w:t xml:space="preserve">  </w:t>
      </w:r>
      <w:r w:rsidRPr="00731200">
        <w:t>The CGF can be directly applied to any historical expenditure series to generate a single growth rate that represents a mathematically consistent</w:t>
      </w:r>
      <w:r>
        <w:t xml:space="preserve"> average annual growth rate for that historical period.  </w:t>
      </w:r>
    </w:p>
    <w:p w:rsidR="005D60EB" w:rsidRPr="005D60EB" w:rsidRDefault="005D60EB" w:rsidP="002B03EC">
      <w:pPr>
        <w:tabs>
          <w:tab w:val="left" w:pos="0"/>
        </w:tabs>
        <w:spacing w:line="480" w:lineRule="auto"/>
        <w:ind w:firstLine="720"/>
        <w:jc w:val="both"/>
        <w:rPr>
          <w:b/>
        </w:rPr>
      </w:pPr>
      <w:r w:rsidRPr="005D60EB">
        <w:rPr>
          <w:b/>
        </w:rPr>
        <w:t xml:space="preserve">Q. </w:t>
      </w:r>
      <w:r w:rsidR="00154EC9">
        <w:rPr>
          <w:b/>
        </w:rPr>
        <w:tab/>
      </w:r>
      <w:r w:rsidRPr="005D60EB">
        <w:rPr>
          <w:b/>
        </w:rPr>
        <w:t xml:space="preserve">Does this conclude your </w:t>
      </w:r>
      <w:r w:rsidR="00C63360">
        <w:rPr>
          <w:b/>
        </w:rPr>
        <w:t xml:space="preserve">pre-filed </w:t>
      </w:r>
      <w:r w:rsidR="001705ED">
        <w:rPr>
          <w:b/>
        </w:rPr>
        <w:t xml:space="preserve">direct </w:t>
      </w:r>
      <w:r w:rsidRPr="005D60EB">
        <w:rPr>
          <w:b/>
        </w:rPr>
        <w:t>testimony?</w:t>
      </w:r>
    </w:p>
    <w:p w:rsidR="002B03EC" w:rsidRPr="001C727B" w:rsidRDefault="005D60EB" w:rsidP="003645BD">
      <w:pPr>
        <w:tabs>
          <w:tab w:val="left" w:pos="0"/>
        </w:tabs>
        <w:spacing w:line="480" w:lineRule="auto"/>
        <w:ind w:firstLine="720"/>
        <w:jc w:val="both"/>
      </w:pPr>
      <w:r>
        <w:t xml:space="preserve">A. </w:t>
      </w:r>
      <w:r w:rsidR="00FB33F1">
        <w:tab/>
      </w:r>
      <w:r>
        <w:t>Yes.</w:t>
      </w:r>
    </w:p>
    <w:sectPr w:rsidR="002B03EC" w:rsidRPr="001C727B" w:rsidSect="00C63360">
      <w:headerReference w:type="default" r:id="rId12"/>
      <w:headerReference w:type="first" r:id="rId13"/>
      <w:footerReference w:type="first" r:id="rId14"/>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70" w:rsidRDefault="00350D70">
      <w:r>
        <w:separator/>
      </w:r>
    </w:p>
  </w:endnote>
  <w:endnote w:type="continuationSeparator" w:id="0">
    <w:p w:rsidR="00350D70" w:rsidRDefault="00350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350D70" w:rsidRPr="00EF116F" w:rsidRDefault="00350D70" w:rsidP="00303C8F">
        <w:pPr>
          <w:pStyle w:val="Footer"/>
          <w:tabs>
            <w:tab w:val="clear" w:pos="4320"/>
            <w:tab w:val="clear" w:pos="8640"/>
            <w:tab w:val="left" w:pos="180"/>
            <w:tab w:val="right" w:pos="9360"/>
          </w:tabs>
        </w:pPr>
        <w:r w:rsidRPr="00EF116F">
          <w:t xml:space="preserve">Direct </w:t>
        </w:r>
        <w:r>
          <w:t>Testimony of Grant D. Forsyth</w:t>
        </w:r>
      </w:p>
      <w:p w:rsidR="00350D70" w:rsidRPr="00EF116F" w:rsidRDefault="00350D70" w:rsidP="00303C8F">
        <w:pPr>
          <w:pStyle w:val="Footer"/>
          <w:tabs>
            <w:tab w:val="clear" w:pos="4320"/>
            <w:tab w:val="clear" w:pos="8640"/>
            <w:tab w:val="left" w:pos="180"/>
            <w:tab w:val="right" w:pos="9360"/>
          </w:tabs>
        </w:pPr>
        <w:r w:rsidRPr="00EF116F">
          <w:t>Avista Corporation</w:t>
        </w:r>
      </w:p>
      <w:p w:rsidR="00350D70" w:rsidRPr="00303C8F" w:rsidRDefault="00350D70" w:rsidP="00F506D7">
        <w:pPr>
          <w:pStyle w:val="Footer"/>
          <w:tabs>
            <w:tab w:val="clear" w:pos="8640"/>
            <w:tab w:val="right" w:pos="8910"/>
          </w:tabs>
        </w:pPr>
        <w:r w:rsidRPr="00EF116F">
          <w:t>Docket Nos. UE-1</w:t>
        </w:r>
        <w:r>
          <w:t>5</w:t>
        </w:r>
        <w:r w:rsidRPr="00EF116F">
          <w:t>___ and UG-1</w:t>
        </w:r>
        <w:r>
          <w:t>5</w:t>
        </w:r>
        <w:r w:rsidRPr="00EF116F">
          <w:t>___</w:t>
        </w:r>
        <w:r w:rsidRPr="00EF116F">
          <w:tab/>
        </w:r>
        <w:r w:rsidRPr="00EF116F">
          <w:tab/>
          <w:t xml:space="preserve">Page </w:t>
        </w:r>
        <w:fldSimple w:instr=" PAGE   \* MERGEFORMAT ">
          <w:r w:rsidR="008F40E2">
            <w:rPr>
              <w:noProof/>
            </w:rPr>
            <w:t>11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Pr="00EF116F" w:rsidRDefault="00350D70" w:rsidP="00B624EE">
    <w:pPr>
      <w:pStyle w:val="Footer"/>
      <w:tabs>
        <w:tab w:val="clear" w:pos="4320"/>
        <w:tab w:val="clear" w:pos="8640"/>
        <w:tab w:val="left" w:pos="180"/>
        <w:tab w:val="right" w:pos="9360"/>
      </w:tabs>
    </w:pPr>
    <w:r w:rsidRPr="00EF116F">
      <w:t xml:space="preserve">Direct Testimony of </w:t>
    </w:r>
    <w:r>
      <w:t>Grant</w:t>
    </w:r>
    <w:r w:rsidRPr="00EF116F">
      <w:t xml:space="preserve"> </w:t>
    </w:r>
    <w:r>
      <w:t>D</w:t>
    </w:r>
    <w:r w:rsidRPr="00EF116F">
      <w:t xml:space="preserve">. </w:t>
    </w:r>
    <w:r>
      <w:t>Forsyth</w:t>
    </w:r>
  </w:p>
  <w:p w:rsidR="00350D70" w:rsidRPr="00EF116F" w:rsidRDefault="00350D70" w:rsidP="00B624EE">
    <w:pPr>
      <w:pStyle w:val="Footer"/>
      <w:tabs>
        <w:tab w:val="clear" w:pos="4320"/>
        <w:tab w:val="clear" w:pos="8640"/>
        <w:tab w:val="left" w:pos="180"/>
        <w:tab w:val="right" w:pos="9360"/>
      </w:tabs>
    </w:pPr>
    <w:r w:rsidRPr="00EF116F">
      <w:t>Avista Corporation</w:t>
    </w:r>
  </w:p>
  <w:p w:rsidR="00350D70" w:rsidRPr="00EF116F" w:rsidRDefault="00350D70" w:rsidP="00B624EE">
    <w:pPr>
      <w:pStyle w:val="Footer"/>
      <w:tabs>
        <w:tab w:val="clear" w:pos="4320"/>
        <w:tab w:val="clear" w:pos="8640"/>
        <w:tab w:val="left" w:pos="180"/>
        <w:tab w:val="right" w:pos="9360"/>
      </w:tabs>
      <w:rPr>
        <w:rStyle w:val="PageNumber"/>
      </w:rPr>
    </w:pPr>
    <w:r w:rsidRPr="00EF116F">
      <w:t>Docket Nos. UE-1</w:t>
    </w:r>
    <w:r>
      <w:t>5</w:t>
    </w:r>
    <w:r w:rsidRPr="00EF116F">
      <w:t>___ and UG-1</w:t>
    </w:r>
    <w:r>
      <w:t>5</w:t>
    </w:r>
    <w:r w:rsidRPr="00EF116F">
      <w:t>___</w:t>
    </w:r>
    <w:r w:rsidRPr="00EF116F">
      <w:tab/>
      <w:t xml:space="preserve">Page </w:t>
    </w:r>
    <w:r w:rsidR="00443277" w:rsidRPr="00EF116F">
      <w:rPr>
        <w:rStyle w:val="PageNumber"/>
      </w:rPr>
      <w:fldChar w:fldCharType="begin"/>
    </w:r>
    <w:r w:rsidRPr="00EF116F">
      <w:rPr>
        <w:rStyle w:val="PageNumber"/>
      </w:rPr>
      <w:instrText xml:space="preserve"> PAGE </w:instrText>
    </w:r>
    <w:r w:rsidR="00443277" w:rsidRPr="00EF116F">
      <w:rPr>
        <w:rStyle w:val="PageNumber"/>
      </w:rPr>
      <w:fldChar w:fldCharType="separate"/>
    </w:r>
    <w:r w:rsidR="008F40E2">
      <w:rPr>
        <w:rStyle w:val="PageNumber"/>
        <w:noProof/>
      </w:rPr>
      <w:t>1</w:t>
    </w:r>
    <w:r w:rsidR="00443277" w:rsidRPr="00EF11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70" w:rsidRDefault="00350D70">
      <w:r>
        <w:separator/>
      </w:r>
    </w:p>
  </w:footnote>
  <w:footnote w:type="continuationSeparator" w:id="0">
    <w:p w:rsidR="00350D70" w:rsidRDefault="00350D70">
      <w:r>
        <w:continuationSeparator/>
      </w:r>
    </w:p>
  </w:footnote>
  <w:footnote w:id="1">
    <w:p w:rsidR="00350D70" w:rsidRDefault="00350D70">
      <w:pPr>
        <w:pStyle w:val="FootnoteText"/>
      </w:pPr>
      <w:r>
        <w:rPr>
          <w:rStyle w:val="FootnoteReference"/>
        </w:rPr>
        <w:footnoteRef/>
      </w:r>
      <w:r>
        <w:t xml:space="preserve"> My forecasts are used in the Company’s revenue model and are frequently used as modeling inputs by the Company’s Power Supply and Gas Supply departments.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pPr>
      <w:pStyle w:val="Header"/>
      <w:jc w:val="right"/>
    </w:pPr>
    <w:r>
      <w:t>Exhibit No. _</w:t>
    </w:r>
    <w:proofErr w:type="gramStart"/>
    <w:r>
      <w:t>_(</w:t>
    </w:r>
    <w:proofErr w:type="gramEnd"/>
    <w:r>
      <w:t>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rsidP="00EF116F">
    <w:pPr>
      <w:pStyle w:val="Header"/>
      <w:jc w:val="right"/>
    </w:pPr>
    <w:r>
      <w:t>Exhibit No.__ (GDF-1T)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pPr>
      <w:pStyle w:val="Header"/>
      <w:jc w:val="right"/>
    </w:pPr>
    <w:r>
      <w:t>Exhibit No. __</w:t>
    </w:r>
    <w:proofErr w:type="gramStart"/>
    <w:r>
      <w:t>_(</w:t>
    </w:r>
    <w:proofErr w:type="gramEnd"/>
    <w:r>
      <w:t>GDF-1T)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70" w:rsidRDefault="00350D70" w:rsidP="00EF116F">
    <w:pPr>
      <w:pStyle w:val="Header"/>
      <w:tabs>
        <w:tab w:val="clear" w:pos="8640"/>
        <w:tab w:val="right" w:pos="9270"/>
      </w:tabs>
      <w:jc w:val="right"/>
    </w:pPr>
    <w:r>
      <w:t>Exhibit No. __</w:t>
    </w:r>
    <w:proofErr w:type="gramStart"/>
    <w:r>
      <w:t>_(</w:t>
    </w:r>
    <w:proofErr w:type="gramEnd"/>
    <w:r>
      <w:t>GDF-1T)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9A4920"/>
    <w:multiLevelType w:val="hybridMultilevel"/>
    <w:tmpl w:val="128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2B62"/>
    <w:multiLevelType w:val="hybridMultilevel"/>
    <w:tmpl w:val="30768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C34EFF"/>
    <w:multiLevelType w:val="hybridMultilevel"/>
    <w:tmpl w:val="CB5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D4788"/>
    <w:multiLevelType w:val="hybridMultilevel"/>
    <w:tmpl w:val="294488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33E89"/>
    <w:multiLevelType w:val="hybridMultilevel"/>
    <w:tmpl w:val="A8A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4453A"/>
    <w:multiLevelType w:val="hybridMultilevel"/>
    <w:tmpl w:val="273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31057"/>
    <w:multiLevelType w:val="hybridMultilevel"/>
    <w:tmpl w:val="059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01931"/>
    <w:multiLevelType w:val="hybridMultilevel"/>
    <w:tmpl w:val="6D8E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076D24"/>
    <w:multiLevelType w:val="hybridMultilevel"/>
    <w:tmpl w:val="7FC66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55EF6"/>
    <w:multiLevelType w:val="hybridMultilevel"/>
    <w:tmpl w:val="B4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2693"/>
    <w:multiLevelType w:val="hybridMultilevel"/>
    <w:tmpl w:val="284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F86E4A"/>
    <w:multiLevelType w:val="hybridMultilevel"/>
    <w:tmpl w:val="C4F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16122"/>
    <w:multiLevelType w:val="hybridMultilevel"/>
    <w:tmpl w:val="9488A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30C6E"/>
    <w:multiLevelType w:val="hybridMultilevel"/>
    <w:tmpl w:val="315C10DA"/>
    <w:lvl w:ilvl="0" w:tplc="CF2ECB0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31789F"/>
    <w:multiLevelType w:val="hybridMultilevel"/>
    <w:tmpl w:val="631C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E203F2"/>
    <w:multiLevelType w:val="hybridMultilevel"/>
    <w:tmpl w:val="E6721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19A293A"/>
    <w:multiLevelType w:val="hybridMultilevel"/>
    <w:tmpl w:val="7E2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81F56"/>
    <w:multiLevelType w:val="hybridMultilevel"/>
    <w:tmpl w:val="D35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10ED9"/>
    <w:multiLevelType w:val="hybridMultilevel"/>
    <w:tmpl w:val="9AC2B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5725E62"/>
    <w:multiLevelType w:val="hybridMultilevel"/>
    <w:tmpl w:val="28A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D3E54"/>
    <w:multiLevelType w:val="hybridMultilevel"/>
    <w:tmpl w:val="BCF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6"/>
  </w:num>
  <w:num w:numId="6">
    <w:abstractNumId w:val="6"/>
  </w:num>
  <w:num w:numId="7">
    <w:abstractNumId w:val="23"/>
  </w:num>
  <w:num w:numId="8">
    <w:abstractNumId w:val="35"/>
  </w:num>
  <w:num w:numId="9">
    <w:abstractNumId w:val="38"/>
  </w:num>
  <w:num w:numId="10">
    <w:abstractNumId w:val="19"/>
  </w:num>
  <w:num w:numId="11">
    <w:abstractNumId w:val="22"/>
  </w:num>
  <w:num w:numId="12">
    <w:abstractNumId w:val="24"/>
  </w:num>
  <w:num w:numId="13">
    <w:abstractNumId w:val="13"/>
  </w:num>
  <w:num w:numId="14">
    <w:abstractNumId w:val="8"/>
  </w:num>
  <w:num w:numId="15">
    <w:abstractNumId w:val="25"/>
  </w:num>
  <w:num w:numId="16">
    <w:abstractNumId w:val="20"/>
  </w:num>
  <w:num w:numId="17">
    <w:abstractNumId w:val="11"/>
  </w:num>
  <w:num w:numId="18">
    <w:abstractNumId w:val="32"/>
  </w:num>
  <w:num w:numId="19">
    <w:abstractNumId w:val="5"/>
  </w:num>
  <w:num w:numId="20">
    <w:abstractNumId w:val="10"/>
  </w:num>
  <w:num w:numId="21">
    <w:abstractNumId w:val="12"/>
  </w:num>
  <w:num w:numId="22">
    <w:abstractNumId w:val="33"/>
  </w:num>
  <w:num w:numId="23">
    <w:abstractNumId w:val="17"/>
  </w:num>
  <w:num w:numId="24">
    <w:abstractNumId w:val="4"/>
  </w:num>
  <w:num w:numId="25">
    <w:abstractNumId w:val="27"/>
  </w:num>
  <w:num w:numId="26">
    <w:abstractNumId w:val="7"/>
  </w:num>
  <w:num w:numId="27">
    <w:abstractNumId w:val="9"/>
  </w:num>
  <w:num w:numId="28">
    <w:abstractNumId w:val="29"/>
  </w:num>
  <w:num w:numId="29">
    <w:abstractNumId w:val="21"/>
  </w:num>
  <w:num w:numId="30">
    <w:abstractNumId w:val="15"/>
  </w:num>
  <w:num w:numId="31">
    <w:abstractNumId w:val="30"/>
  </w:num>
  <w:num w:numId="32">
    <w:abstractNumId w:val="37"/>
  </w:num>
  <w:num w:numId="33">
    <w:abstractNumId w:val="36"/>
  </w:num>
  <w:num w:numId="34">
    <w:abstractNumId w:val="14"/>
  </w:num>
  <w:num w:numId="35">
    <w:abstractNumId w:val="31"/>
  </w:num>
  <w:num w:numId="36">
    <w:abstractNumId w:val="28"/>
  </w:num>
  <w:num w:numId="37">
    <w:abstractNumId w:val="26"/>
  </w:num>
  <w:num w:numId="38">
    <w:abstractNumId w:val="3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153601">
      <v:stroke dashstyle="1 1"/>
      <o:colormenu v:ext="edit" fillcolor="none" strokecolor="none [1612]"/>
    </o:shapedefaults>
  </w:hdrShapeDefaults>
  <w:footnotePr>
    <w:footnote w:id="-1"/>
    <w:footnote w:id="0"/>
  </w:footnotePr>
  <w:endnotePr>
    <w:endnote w:id="-1"/>
    <w:endnote w:id="0"/>
  </w:endnotePr>
  <w:compat/>
  <w:rsids>
    <w:rsidRoot w:val="00E51C9B"/>
    <w:rsid w:val="00000592"/>
    <w:rsid w:val="00001BAE"/>
    <w:rsid w:val="00004203"/>
    <w:rsid w:val="00006D7C"/>
    <w:rsid w:val="00006FC2"/>
    <w:rsid w:val="00007352"/>
    <w:rsid w:val="00010C1B"/>
    <w:rsid w:val="000118E1"/>
    <w:rsid w:val="0001207F"/>
    <w:rsid w:val="000124B1"/>
    <w:rsid w:val="00012513"/>
    <w:rsid w:val="00014774"/>
    <w:rsid w:val="00014978"/>
    <w:rsid w:val="00015ACF"/>
    <w:rsid w:val="000169D5"/>
    <w:rsid w:val="0001704C"/>
    <w:rsid w:val="00020131"/>
    <w:rsid w:val="0002108C"/>
    <w:rsid w:val="0002334D"/>
    <w:rsid w:val="000235B9"/>
    <w:rsid w:val="00023A56"/>
    <w:rsid w:val="000242DA"/>
    <w:rsid w:val="000275B4"/>
    <w:rsid w:val="0003341F"/>
    <w:rsid w:val="00033964"/>
    <w:rsid w:val="0003536B"/>
    <w:rsid w:val="000370B3"/>
    <w:rsid w:val="00040B45"/>
    <w:rsid w:val="00041159"/>
    <w:rsid w:val="00045955"/>
    <w:rsid w:val="000463F7"/>
    <w:rsid w:val="0004684F"/>
    <w:rsid w:val="00051375"/>
    <w:rsid w:val="00052924"/>
    <w:rsid w:val="00053778"/>
    <w:rsid w:val="00053F21"/>
    <w:rsid w:val="000550DF"/>
    <w:rsid w:val="00056D45"/>
    <w:rsid w:val="00060EE3"/>
    <w:rsid w:val="000663DB"/>
    <w:rsid w:val="0006744B"/>
    <w:rsid w:val="00070157"/>
    <w:rsid w:val="00070E2B"/>
    <w:rsid w:val="000769B5"/>
    <w:rsid w:val="00076E2B"/>
    <w:rsid w:val="000776A1"/>
    <w:rsid w:val="000815D0"/>
    <w:rsid w:val="000831B7"/>
    <w:rsid w:val="000834AD"/>
    <w:rsid w:val="00085E07"/>
    <w:rsid w:val="00086417"/>
    <w:rsid w:val="000864ED"/>
    <w:rsid w:val="00087165"/>
    <w:rsid w:val="00087A49"/>
    <w:rsid w:val="0009034F"/>
    <w:rsid w:val="0009328D"/>
    <w:rsid w:val="00094228"/>
    <w:rsid w:val="00096CC7"/>
    <w:rsid w:val="000A0DBB"/>
    <w:rsid w:val="000A14DB"/>
    <w:rsid w:val="000A1E11"/>
    <w:rsid w:val="000A5696"/>
    <w:rsid w:val="000A62EB"/>
    <w:rsid w:val="000A6CC2"/>
    <w:rsid w:val="000B1F39"/>
    <w:rsid w:val="000B6C8C"/>
    <w:rsid w:val="000B7B71"/>
    <w:rsid w:val="000C1C7B"/>
    <w:rsid w:val="000C3E82"/>
    <w:rsid w:val="000C4023"/>
    <w:rsid w:val="000C6B7C"/>
    <w:rsid w:val="000D1440"/>
    <w:rsid w:val="000D21E6"/>
    <w:rsid w:val="000D58CD"/>
    <w:rsid w:val="000D5918"/>
    <w:rsid w:val="000D5920"/>
    <w:rsid w:val="000D7532"/>
    <w:rsid w:val="000E440C"/>
    <w:rsid w:val="000E4EB5"/>
    <w:rsid w:val="000E5694"/>
    <w:rsid w:val="000E6A3B"/>
    <w:rsid w:val="000E6CFC"/>
    <w:rsid w:val="000F305A"/>
    <w:rsid w:val="000F5DC8"/>
    <w:rsid w:val="000F62ED"/>
    <w:rsid w:val="001007E2"/>
    <w:rsid w:val="00101674"/>
    <w:rsid w:val="00103DEA"/>
    <w:rsid w:val="00105A02"/>
    <w:rsid w:val="00106BB9"/>
    <w:rsid w:val="00107288"/>
    <w:rsid w:val="00114C14"/>
    <w:rsid w:val="001155B9"/>
    <w:rsid w:val="00115A25"/>
    <w:rsid w:val="001161C0"/>
    <w:rsid w:val="0011643C"/>
    <w:rsid w:val="00116498"/>
    <w:rsid w:val="00116B3E"/>
    <w:rsid w:val="00117827"/>
    <w:rsid w:val="00117847"/>
    <w:rsid w:val="00120492"/>
    <w:rsid w:val="00122D2A"/>
    <w:rsid w:val="00125216"/>
    <w:rsid w:val="001262BB"/>
    <w:rsid w:val="001269D1"/>
    <w:rsid w:val="00126B21"/>
    <w:rsid w:val="00127B18"/>
    <w:rsid w:val="00127F8C"/>
    <w:rsid w:val="001306D9"/>
    <w:rsid w:val="001319FD"/>
    <w:rsid w:val="00131BB7"/>
    <w:rsid w:val="00131F5E"/>
    <w:rsid w:val="00132BB3"/>
    <w:rsid w:val="00133B8E"/>
    <w:rsid w:val="00135497"/>
    <w:rsid w:val="00136149"/>
    <w:rsid w:val="0013657E"/>
    <w:rsid w:val="001401BD"/>
    <w:rsid w:val="001419B8"/>
    <w:rsid w:val="00142B37"/>
    <w:rsid w:val="0014470B"/>
    <w:rsid w:val="00147A5C"/>
    <w:rsid w:val="00147CD9"/>
    <w:rsid w:val="0015035F"/>
    <w:rsid w:val="0015038B"/>
    <w:rsid w:val="0015150E"/>
    <w:rsid w:val="00151BFE"/>
    <w:rsid w:val="00151FF5"/>
    <w:rsid w:val="00152525"/>
    <w:rsid w:val="00154059"/>
    <w:rsid w:val="00154DE9"/>
    <w:rsid w:val="00154EC9"/>
    <w:rsid w:val="00156388"/>
    <w:rsid w:val="001571D4"/>
    <w:rsid w:val="00160394"/>
    <w:rsid w:val="00164E4C"/>
    <w:rsid w:val="001677F0"/>
    <w:rsid w:val="00167E51"/>
    <w:rsid w:val="001705ED"/>
    <w:rsid w:val="00170A4D"/>
    <w:rsid w:val="00173553"/>
    <w:rsid w:val="001770E6"/>
    <w:rsid w:val="00177367"/>
    <w:rsid w:val="0018257E"/>
    <w:rsid w:val="00184D7C"/>
    <w:rsid w:val="00186A41"/>
    <w:rsid w:val="00186CAB"/>
    <w:rsid w:val="00191FA3"/>
    <w:rsid w:val="0019250D"/>
    <w:rsid w:val="00192ACF"/>
    <w:rsid w:val="0019366F"/>
    <w:rsid w:val="00194A05"/>
    <w:rsid w:val="001957F6"/>
    <w:rsid w:val="001974C4"/>
    <w:rsid w:val="001A0F1E"/>
    <w:rsid w:val="001A4928"/>
    <w:rsid w:val="001A749D"/>
    <w:rsid w:val="001A78CC"/>
    <w:rsid w:val="001B15E7"/>
    <w:rsid w:val="001B19C7"/>
    <w:rsid w:val="001B1C86"/>
    <w:rsid w:val="001B3316"/>
    <w:rsid w:val="001B458D"/>
    <w:rsid w:val="001B53D3"/>
    <w:rsid w:val="001C12B2"/>
    <w:rsid w:val="001C2224"/>
    <w:rsid w:val="001C3BD2"/>
    <w:rsid w:val="001C60FC"/>
    <w:rsid w:val="001C654A"/>
    <w:rsid w:val="001C727B"/>
    <w:rsid w:val="001D0E55"/>
    <w:rsid w:val="001D1EA4"/>
    <w:rsid w:val="001D3CFA"/>
    <w:rsid w:val="001D409D"/>
    <w:rsid w:val="001D50D3"/>
    <w:rsid w:val="001D5923"/>
    <w:rsid w:val="001D69CF"/>
    <w:rsid w:val="001D6D12"/>
    <w:rsid w:val="001D6F45"/>
    <w:rsid w:val="001E27F8"/>
    <w:rsid w:val="001F05C1"/>
    <w:rsid w:val="001F1EDF"/>
    <w:rsid w:val="001F205D"/>
    <w:rsid w:val="001F3159"/>
    <w:rsid w:val="00202670"/>
    <w:rsid w:val="00203161"/>
    <w:rsid w:val="00203E52"/>
    <w:rsid w:val="00205153"/>
    <w:rsid w:val="00212D90"/>
    <w:rsid w:val="002131E9"/>
    <w:rsid w:val="0021484D"/>
    <w:rsid w:val="002159C8"/>
    <w:rsid w:val="00215EB2"/>
    <w:rsid w:val="002170C5"/>
    <w:rsid w:val="002213DB"/>
    <w:rsid w:val="00223872"/>
    <w:rsid w:val="00225CD7"/>
    <w:rsid w:val="00226F13"/>
    <w:rsid w:val="002271C5"/>
    <w:rsid w:val="002278D9"/>
    <w:rsid w:val="00231DE5"/>
    <w:rsid w:val="00231E72"/>
    <w:rsid w:val="00234AFC"/>
    <w:rsid w:val="00235414"/>
    <w:rsid w:val="002355DC"/>
    <w:rsid w:val="00235C45"/>
    <w:rsid w:val="002375F7"/>
    <w:rsid w:val="00237F94"/>
    <w:rsid w:val="00243D42"/>
    <w:rsid w:val="002441CF"/>
    <w:rsid w:val="00244628"/>
    <w:rsid w:val="002461CD"/>
    <w:rsid w:val="002466CE"/>
    <w:rsid w:val="002501BD"/>
    <w:rsid w:val="0025192A"/>
    <w:rsid w:val="00251E7C"/>
    <w:rsid w:val="00251F1E"/>
    <w:rsid w:val="00253A76"/>
    <w:rsid w:val="00253AE3"/>
    <w:rsid w:val="00254277"/>
    <w:rsid w:val="00254E53"/>
    <w:rsid w:val="002558FA"/>
    <w:rsid w:val="002561E5"/>
    <w:rsid w:val="002570CF"/>
    <w:rsid w:val="0025714B"/>
    <w:rsid w:val="00257F06"/>
    <w:rsid w:val="00260935"/>
    <w:rsid w:val="002629D2"/>
    <w:rsid w:val="0027305D"/>
    <w:rsid w:val="00280082"/>
    <w:rsid w:val="00281D0B"/>
    <w:rsid w:val="00281EB4"/>
    <w:rsid w:val="0028642E"/>
    <w:rsid w:val="0028655F"/>
    <w:rsid w:val="002875AA"/>
    <w:rsid w:val="002875CB"/>
    <w:rsid w:val="0028762C"/>
    <w:rsid w:val="00292755"/>
    <w:rsid w:val="00292EBE"/>
    <w:rsid w:val="00292FBF"/>
    <w:rsid w:val="0029566A"/>
    <w:rsid w:val="00295A9B"/>
    <w:rsid w:val="00296285"/>
    <w:rsid w:val="00296C44"/>
    <w:rsid w:val="002A174B"/>
    <w:rsid w:val="002A4D2C"/>
    <w:rsid w:val="002A78F6"/>
    <w:rsid w:val="002B03EC"/>
    <w:rsid w:val="002B340F"/>
    <w:rsid w:val="002B3912"/>
    <w:rsid w:val="002B4307"/>
    <w:rsid w:val="002B7EFD"/>
    <w:rsid w:val="002C675D"/>
    <w:rsid w:val="002C7AC1"/>
    <w:rsid w:val="002D3CB2"/>
    <w:rsid w:val="002D3CE3"/>
    <w:rsid w:val="002D4085"/>
    <w:rsid w:val="002D4B7B"/>
    <w:rsid w:val="002D6340"/>
    <w:rsid w:val="002D6AB4"/>
    <w:rsid w:val="002D6B0A"/>
    <w:rsid w:val="002D6C9E"/>
    <w:rsid w:val="002E005E"/>
    <w:rsid w:val="002E0440"/>
    <w:rsid w:val="002E0D27"/>
    <w:rsid w:val="002E2AE7"/>
    <w:rsid w:val="002E32ED"/>
    <w:rsid w:val="002E354E"/>
    <w:rsid w:val="002E359C"/>
    <w:rsid w:val="002E5942"/>
    <w:rsid w:val="002E7124"/>
    <w:rsid w:val="002E7772"/>
    <w:rsid w:val="002F0610"/>
    <w:rsid w:val="002F2FFE"/>
    <w:rsid w:val="002F3D0E"/>
    <w:rsid w:val="002F4B8E"/>
    <w:rsid w:val="002F6527"/>
    <w:rsid w:val="00303731"/>
    <w:rsid w:val="00303C8F"/>
    <w:rsid w:val="00306536"/>
    <w:rsid w:val="003073DF"/>
    <w:rsid w:val="003116A0"/>
    <w:rsid w:val="00312DC2"/>
    <w:rsid w:val="0031323F"/>
    <w:rsid w:val="0031466B"/>
    <w:rsid w:val="00314CF9"/>
    <w:rsid w:val="00314D98"/>
    <w:rsid w:val="00315194"/>
    <w:rsid w:val="0031625C"/>
    <w:rsid w:val="0031757F"/>
    <w:rsid w:val="00320DCE"/>
    <w:rsid w:val="0032363D"/>
    <w:rsid w:val="0032383B"/>
    <w:rsid w:val="00325407"/>
    <w:rsid w:val="00326F6B"/>
    <w:rsid w:val="003270F8"/>
    <w:rsid w:val="00331E7C"/>
    <w:rsid w:val="0033386E"/>
    <w:rsid w:val="00333C01"/>
    <w:rsid w:val="003357BA"/>
    <w:rsid w:val="00335F61"/>
    <w:rsid w:val="00336C73"/>
    <w:rsid w:val="003372D4"/>
    <w:rsid w:val="00337754"/>
    <w:rsid w:val="00340E37"/>
    <w:rsid w:val="00341AEB"/>
    <w:rsid w:val="00341DEE"/>
    <w:rsid w:val="00342364"/>
    <w:rsid w:val="00346638"/>
    <w:rsid w:val="00350BF9"/>
    <w:rsid w:val="00350D70"/>
    <w:rsid w:val="0035551F"/>
    <w:rsid w:val="00355855"/>
    <w:rsid w:val="00360E02"/>
    <w:rsid w:val="0036260A"/>
    <w:rsid w:val="00363C9B"/>
    <w:rsid w:val="003645BD"/>
    <w:rsid w:val="003647D9"/>
    <w:rsid w:val="00365455"/>
    <w:rsid w:val="003659C3"/>
    <w:rsid w:val="00366BAB"/>
    <w:rsid w:val="00367A77"/>
    <w:rsid w:val="00371964"/>
    <w:rsid w:val="00372B8D"/>
    <w:rsid w:val="00374454"/>
    <w:rsid w:val="00375B30"/>
    <w:rsid w:val="00375B93"/>
    <w:rsid w:val="00375E79"/>
    <w:rsid w:val="00376B5B"/>
    <w:rsid w:val="00377131"/>
    <w:rsid w:val="00377A43"/>
    <w:rsid w:val="00380ABC"/>
    <w:rsid w:val="00382889"/>
    <w:rsid w:val="00383195"/>
    <w:rsid w:val="00385161"/>
    <w:rsid w:val="00387F99"/>
    <w:rsid w:val="00391CE1"/>
    <w:rsid w:val="003931E2"/>
    <w:rsid w:val="00393336"/>
    <w:rsid w:val="003957EE"/>
    <w:rsid w:val="0039582C"/>
    <w:rsid w:val="003A0DEC"/>
    <w:rsid w:val="003A1171"/>
    <w:rsid w:val="003A149A"/>
    <w:rsid w:val="003A15F3"/>
    <w:rsid w:val="003A27D0"/>
    <w:rsid w:val="003A56B2"/>
    <w:rsid w:val="003A67E8"/>
    <w:rsid w:val="003A75BB"/>
    <w:rsid w:val="003B453F"/>
    <w:rsid w:val="003B7F59"/>
    <w:rsid w:val="003C29EB"/>
    <w:rsid w:val="003C68C5"/>
    <w:rsid w:val="003C7606"/>
    <w:rsid w:val="003C7701"/>
    <w:rsid w:val="003D0080"/>
    <w:rsid w:val="003D1D24"/>
    <w:rsid w:val="003D4CEB"/>
    <w:rsid w:val="003D5C17"/>
    <w:rsid w:val="003E2358"/>
    <w:rsid w:val="003E4A83"/>
    <w:rsid w:val="003E4B56"/>
    <w:rsid w:val="003E5023"/>
    <w:rsid w:val="003E6606"/>
    <w:rsid w:val="003E6DE7"/>
    <w:rsid w:val="003F04E5"/>
    <w:rsid w:val="003F08C6"/>
    <w:rsid w:val="003F25F8"/>
    <w:rsid w:val="003F2AD4"/>
    <w:rsid w:val="003F2C10"/>
    <w:rsid w:val="003F4CD5"/>
    <w:rsid w:val="003F556C"/>
    <w:rsid w:val="003F5E96"/>
    <w:rsid w:val="00400BD3"/>
    <w:rsid w:val="00400D90"/>
    <w:rsid w:val="004011B3"/>
    <w:rsid w:val="00402631"/>
    <w:rsid w:val="00402E87"/>
    <w:rsid w:val="00403D2E"/>
    <w:rsid w:val="00403ED8"/>
    <w:rsid w:val="0040476D"/>
    <w:rsid w:val="0040535E"/>
    <w:rsid w:val="00405FC2"/>
    <w:rsid w:val="00411952"/>
    <w:rsid w:val="00412BC0"/>
    <w:rsid w:val="00412C21"/>
    <w:rsid w:val="004148DB"/>
    <w:rsid w:val="0041512D"/>
    <w:rsid w:val="00415253"/>
    <w:rsid w:val="004152AC"/>
    <w:rsid w:val="0041559E"/>
    <w:rsid w:val="00417A9C"/>
    <w:rsid w:val="00417C23"/>
    <w:rsid w:val="00417D3E"/>
    <w:rsid w:val="004205B4"/>
    <w:rsid w:val="00421BEC"/>
    <w:rsid w:val="00423489"/>
    <w:rsid w:val="004236DD"/>
    <w:rsid w:val="0042694F"/>
    <w:rsid w:val="00434642"/>
    <w:rsid w:val="00435414"/>
    <w:rsid w:val="00435FEA"/>
    <w:rsid w:val="004367DD"/>
    <w:rsid w:val="004401E4"/>
    <w:rsid w:val="00443277"/>
    <w:rsid w:val="00444F97"/>
    <w:rsid w:val="004463E0"/>
    <w:rsid w:val="004466F8"/>
    <w:rsid w:val="00446F40"/>
    <w:rsid w:val="00450104"/>
    <w:rsid w:val="0045098D"/>
    <w:rsid w:val="00451222"/>
    <w:rsid w:val="004519AF"/>
    <w:rsid w:val="00452365"/>
    <w:rsid w:val="0045336D"/>
    <w:rsid w:val="004540B7"/>
    <w:rsid w:val="0045428C"/>
    <w:rsid w:val="0045457F"/>
    <w:rsid w:val="0045505F"/>
    <w:rsid w:val="0045734E"/>
    <w:rsid w:val="00457850"/>
    <w:rsid w:val="0046041F"/>
    <w:rsid w:val="00461468"/>
    <w:rsid w:val="00465912"/>
    <w:rsid w:val="00466A33"/>
    <w:rsid w:val="00467038"/>
    <w:rsid w:val="0047460D"/>
    <w:rsid w:val="00475078"/>
    <w:rsid w:val="0047580B"/>
    <w:rsid w:val="0048234E"/>
    <w:rsid w:val="00487E65"/>
    <w:rsid w:val="00492043"/>
    <w:rsid w:val="00492871"/>
    <w:rsid w:val="00494C97"/>
    <w:rsid w:val="004964B7"/>
    <w:rsid w:val="004A03D8"/>
    <w:rsid w:val="004A1FF8"/>
    <w:rsid w:val="004A28F6"/>
    <w:rsid w:val="004A3E86"/>
    <w:rsid w:val="004A3FC4"/>
    <w:rsid w:val="004A44CE"/>
    <w:rsid w:val="004A49B3"/>
    <w:rsid w:val="004A7663"/>
    <w:rsid w:val="004B0A4A"/>
    <w:rsid w:val="004B2AF4"/>
    <w:rsid w:val="004C0983"/>
    <w:rsid w:val="004C11F5"/>
    <w:rsid w:val="004C320D"/>
    <w:rsid w:val="004C3316"/>
    <w:rsid w:val="004C3FE5"/>
    <w:rsid w:val="004C42EA"/>
    <w:rsid w:val="004D23C6"/>
    <w:rsid w:val="004D30CB"/>
    <w:rsid w:val="004D3309"/>
    <w:rsid w:val="004D3C6D"/>
    <w:rsid w:val="004D3E45"/>
    <w:rsid w:val="004D5640"/>
    <w:rsid w:val="004E12D5"/>
    <w:rsid w:val="004E257E"/>
    <w:rsid w:val="004E5C68"/>
    <w:rsid w:val="004E5CD7"/>
    <w:rsid w:val="004F028C"/>
    <w:rsid w:val="004F47C3"/>
    <w:rsid w:val="004F4A5C"/>
    <w:rsid w:val="004F4BEB"/>
    <w:rsid w:val="004F4C40"/>
    <w:rsid w:val="004F54B7"/>
    <w:rsid w:val="004F565D"/>
    <w:rsid w:val="004F581D"/>
    <w:rsid w:val="004F60F8"/>
    <w:rsid w:val="005018E9"/>
    <w:rsid w:val="00503DDE"/>
    <w:rsid w:val="00504880"/>
    <w:rsid w:val="005058D7"/>
    <w:rsid w:val="00506362"/>
    <w:rsid w:val="00511E63"/>
    <w:rsid w:val="00513DA0"/>
    <w:rsid w:val="00515616"/>
    <w:rsid w:val="00517851"/>
    <w:rsid w:val="00521343"/>
    <w:rsid w:val="00522397"/>
    <w:rsid w:val="00524D39"/>
    <w:rsid w:val="00525ED8"/>
    <w:rsid w:val="0053222B"/>
    <w:rsid w:val="005322C7"/>
    <w:rsid w:val="005323A4"/>
    <w:rsid w:val="005338A9"/>
    <w:rsid w:val="0053435E"/>
    <w:rsid w:val="00534699"/>
    <w:rsid w:val="00536EC6"/>
    <w:rsid w:val="00537AB7"/>
    <w:rsid w:val="0054094A"/>
    <w:rsid w:val="0054144C"/>
    <w:rsid w:val="00541D48"/>
    <w:rsid w:val="00542E98"/>
    <w:rsid w:val="00544F8D"/>
    <w:rsid w:val="00546A87"/>
    <w:rsid w:val="00550643"/>
    <w:rsid w:val="00552240"/>
    <w:rsid w:val="0055373A"/>
    <w:rsid w:val="00553D0F"/>
    <w:rsid w:val="00554B3C"/>
    <w:rsid w:val="00555573"/>
    <w:rsid w:val="005615AC"/>
    <w:rsid w:val="00563F42"/>
    <w:rsid w:val="00564F26"/>
    <w:rsid w:val="00566091"/>
    <w:rsid w:val="00566BA1"/>
    <w:rsid w:val="00567432"/>
    <w:rsid w:val="0056791D"/>
    <w:rsid w:val="00570E96"/>
    <w:rsid w:val="00571043"/>
    <w:rsid w:val="00572124"/>
    <w:rsid w:val="005733C9"/>
    <w:rsid w:val="00576077"/>
    <w:rsid w:val="005760E7"/>
    <w:rsid w:val="00577447"/>
    <w:rsid w:val="00577B64"/>
    <w:rsid w:val="00580E7B"/>
    <w:rsid w:val="00582F85"/>
    <w:rsid w:val="00586922"/>
    <w:rsid w:val="0058706E"/>
    <w:rsid w:val="00587C89"/>
    <w:rsid w:val="00590E1D"/>
    <w:rsid w:val="005912CF"/>
    <w:rsid w:val="00591FE2"/>
    <w:rsid w:val="005937AB"/>
    <w:rsid w:val="0059453C"/>
    <w:rsid w:val="0059519D"/>
    <w:rsid w:val="00595369"/>
    <w:rsid w:val="00596580"/>
    <w:rsid w:val="005A175A"/>
    <w:rsid w:val="005A1CA4"/>
    <w:rsid w:val="005A3881"/>
    <w:rsid w:val="005A78D4"/>
    <w:rsid w:val="005A7C92"/>
    <w:rsid w:val="005B04A6"/>
    <w:rsid w:val="005B05A5"/>
    <w:rsid w:val="005B37AE"/>
    <w:rsid w:val="005B490E"/>
    <w:rsid w:val="005B5191"/>
    <w:rsid w:val="005B58E6"/>
    <w:rsid w:val="005B647C"/>
    <w:rsid w:val="005C07E9"/>
    <w:rsid w:val="005C1145"/>
    <w:rsid w:val="005C11A1"/>
    <w:rsid w:val="005C11D7"/>
    <w:rsid w:val="005C21C4"/>
    <w:rsid w:val="005C5276"/>
    <w:rsid w:val="005C6A3F"/>
    <w:rsid w:val="005C6C68"/>
    <w:rsid w:val="005D1D45"/>
    <w:rsid w:val="005D3EB4"/>
    <w:rsid w:val="005D53B5"/>
    <w:rsid w:val="005D5874"/>
    <w:rsid w:val="005D60EB"/>
    <w:rsid w:val="005D616E"/>
    <w:rsid w:val="005D7218"/>
    <w:rsid w:val="005E06F5"/>
    <w:rsid w:val="005E0F5A"/>
    <w:rsid w:val="005E11FA"/>
    <w:rsid w:val="005E26FF"/>
    <w:rsid w:val="005E27D9"/>
    <w:rsid w:val="005E39CD"/>
    <w:rsid w:val="005E3FAB"/>
    <w:rsid w:val="005E5AA1"/>
    <w:rsid w:val="005E6639"/>
    <w:rsid w:val="005E6C53"/>
    <w:rsid w:val="005F301A"/>
    <w:rsid w:val="005F52FA"/>
    <w:rsid w:val="005F5970"/>
    <w:rsid w:val="0060041C"/>
    <w:rsid w:val="00602113"/>
    <w:rsid w:val="00602644"/>
    <w:rsid w:val="00602A09"/>
    <w:rsid w:val="0060365F"/>
    <w:rsid w:val="00604C64"/>
    <w:rsid w:val="00604DFE"/>
    <w:rsid w:val="00605549"/>
    <w:rsid w:val="006055FB"/>
    <w:rsid w:val="00607571"/>
    <w:rsid w:val="00607724"/>
    <w:rsid w:val="00607832"/>
    <w:rsid w:val="00610502"/>
    <w:rsid w:val="00614BF8"/>
    <w:rsid w:val="00617D77"/>
    <w:rsid w:val="006248D1"/>
    <w:rsid w:val="0062613E"/>
    <w:rsid w:val="0062621A"/>
    <w:rsid w:val="006279A8"/>
    <w:rsid w:val="00631FB4"/>
    <w:rsid w:val="006327F9"/>
    <w:rsid w:val="00632AB8"/>
    <w:rsid w:val="0063384B"/>
    <w:rsid w:val="00634AA7"/>
    <w:rsid w:val="00634C5D"/>
    <w:rsid w:val="006378A6"/>
    <w:rsid w:val="00640BCA"/>
    <w:rsid w:val="00641D1B"/>
    <w:rsid w:val="006439DE"/>
    <w:rsid w:val="00643FBC"/>
    <w:rsid w:val="0064451C"/>
    <w:rsid w:val="00645A80"/>
    <w:rsid w:val="0065062A"/>
    <w:rsid w:val="00651FA0"/>
    <w:rsid w:val="0065201D"/>
    <w:rsid w:val="0065254C"/>
    <w:rsid w:val="006535F0"/>
    <w:rsid w:val="00654DAB"/>
    <w:rsid w:val="00655133"/>
    <w:rsid w:val="00656933"/>
    <w:rsid w:val="00656B79"/>
    <w:rsid w:val="00661CA4"/>
    <w:rsid w:val="00662FB5"/>
    <w:rsid w:val="006639CB"/>
    <w:rsid w:val="00666CA1"/>
    <w:rsid w:val="00667A43"/>
    <w:rsid w:val="00672ACB"/>
    <w:rsid w:val="006750AF"/>
    <w:rsid w:val="00675B17"/>
    <w:rsid w:val="0068131C"/>
    <w:rsid w:val="00682360"/>
    <w:rsid w:val="00682860"/>
    <w:rsid w:val="00682D8A"/>
    <w:rsid w:val="0068320B"/>
    <w:rsid w:val="0068339F"/>
    <w:rsid w:val="00683936"/>
    <w:rsid w:val="00685480"/>
    <w:rsid w:val="00690BC4"/>
    <w:rsid w:val="00691025"/>
    <w:rsid w:val="00691BD5"/>
    <w:rsid w:val="00697441"/>
    <w:rsid w:val="006A347D"/>
    <w:rsid w:val="006A4054"/>
    <w:rsid w:val="006A5B09"/>
    <w:rsid w:val="006A6FD5"/>
    <w:rsid w:val="006A703C"/>
    <w:rsid w:val="006B0C79"/>
    <w:rsid w:val="006B0FAF"/>
    <w:rsid w:val="006B419C"/>
    <w:rsid w:val="006B5253"/>
    <w:rsid w:val="006B60F2"/>
    <w:rsid w:val="006C042C"/>
    <w:rsid w:val="006C165A"/>
    <w:rsid w:val="006C4E5A"/>
    <w:rsid w:val="006C60E8"/>
    <w:rsid w:val="006D1659"/>
    <w:rsid w:val="006D440C"/>
    <w:rsid w:val="006D4980"/>
    <w:rsid w:val="006D4F05"/>
    <w:rsid w:val="006D5E8D"/>
    <w:rsid w:val="006D6555"/>
    <w:rsid w:val="006D745A"/>
    <w:rsid w:val="006E06DD"/>
    <w:rsid w:val="006E0AFC"/>
    <w:rsid w:val="006E0D6B"/>
    <w:rsid w:val="006E2331"/>
    <w:rsid w:val="006E554E"/>
    <w:rsid w:val="006E664F"/>
    <w:rsid w:val="006E7665"/>
    <w:rsid w:val="006F1FED"/>
    <w:rsid w:val="006F3480"/>
    <w:rsid w:val="006F6681"/>
    <w:rsid w:val="007004F2"/>
    <w:rsid w:val="007012A2"/>
    <w:rsid w:val="00703050"/>
    <w:rsid w:val="007032B0"/>
    <w:rsid w:val="00704671"/>
    <w:rsid w:val="007060F5"/>
    <w:rsid w:val="00707380"/>
    <w:rsid w:val="007101D8"/>
    <w:rsid w:val="0071070B"/>
    <w:rsid w:val="0071230C"/>
    <w:rsid w:val="00712C63"/>
    <w:rsid w:val="0071481C"/>
    <w:rsid w:val="00714B00"/>
    <w:rsid w:val="007162C6"/>
    <w:rsid w:val="00716782"/>
    <w:rsid w:val="007169AF"/>
    <w:rsid w:val="007208A1"/>
    <w:rsid w:val="007223BC"/>
    <w:rsid w:val="00725E3E"/>
    <w:rsid w:val="007268A4"/>
    <w:rsid w:val="0073034E"/>
    <w:rsid w:val="00731200"/>
    <w:rsid w:val="00733098"/>
    <w:rsid w:val="00733F81"/>
    <w:rsid w:val="007346FA"/>
    <w:rsid w:val="00735247"/>
    <w:rsid w:val="00735CC3"/>
    <w:rsid w:val="00743A75"/>
    <w:rsid w:val="00743C20"/>
    <w:rsid w:val="007454FC"/>
    <w:rsid w:val="00745BC5"/>
    <w:rsid w:val="0074622D"/>
    <w:rsid w:val="00750087"/>
    <w:rsid w:val="0075201E"/>
    <w:rsid w:val="00754853"/>
    <w:rsid w:val="00755FFA"/>
    <w:rsid w:val="00756D3B"/>
    <w:rsid w:val="00757442"/>
    <w:rsid w:val="00760673"/>
    <w:rsid w:val="00761558"/>
    <w:rsid w:val="00762005"/>
    <w:rsid w:val="007622A3"/>
    <w:rsid w:val="007624D8"/>
    <w:rsid w:val="00764823"/>
    <w:rsid w:val="00766895"/>
    <w:rsid w:val="00772810"/>
    <w:rsid w:val="007741B7"/>
    <w:rsid w:val="007761BB"/>
    <w:rsid w:val="0078003A"/>
    <w:rsid w:val="0078181F"/>
    <w:rsid w:val="00786D4A"/>
    <w:rsid w:val="00791EE4"/>
    <w:rsid w:val="00792716"/>
    <w:rsid w:val="00792745"/>
    <w:rsid w:val="00792E34"/>
    <w:rsid w:val="007930AB"/>
    <w:rsid w:val="00793CD9"/>
    <w:rsid w:val="00794F27"/>
    <w:rsid w:val="00795192"/>
    <w:rsid w:val="00796835"/>
    <w:rsid w:val="0079741C"/>
    <w:rsid w:val="007A02B9"/>
    <w:rsid w:val="007A0349"/>
    <w:rsid w:val="007A3761"/>
    <w:rsid w:val="007A5D9E"/>
    <w:rsid w:val="007A746A"/>
    <w:rsid w:val="007A7DDB"/>
    <w:rsid w:val="007A7FC4"/>
    <w:rsid w:val="007B2469"/>
    <w:rsid w:val="007B3086"/>
    <w:rsid w:val="007B462B"/>
    <w:rsid w:val="007B539C"/>
    <w:rsid w:val="007B62A2"/>
    <w:rsid w:val="007B6BA2"/>
    <w:rsid w:val="007B6E3E"/>
    <w:rsid w:val="007C26DC"/>
    <w:rsid w:val="007C2E11"/>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E4F0B"/>
    <w:rsid w:val="007E518F"/>
    <w:rsid w:val="007E5E79"/>
    <w:rsid w:val="007F4802"/>
    <w:rsid w:val="007F4D4B"/>
    <w:rsid w:val="00801106"/>
    <w:rsid w:val="0080391B"/>
    <w:rsid w:val="00805262"/>
    <w:rsid w:val="00807189"/>
    <w:rsid w:val="00814756"/>
    <w:rsid w:val="00814D8B"/>
    <w:rsid w:val="008163F2"/>
    <w:rsid w:val="00817BF9"/>
    <w:rsid w:val="008215B3"/>
    <w:rsid w:val="00821D23"/>
    <w:rsid w:val="008221C1"/>
    <w:rsid w:val="00824FFA"/>
    <w:rsid w:val="00826208"/>
    <w:rsid w:val="0082683E"/>
    <w:rsid w:val="00826B5A"/>
    <w:rsid w:val="00826BDC"/>
    <w:rsid w:val="00830352"/>
    <w:rsid w:val="0083071B"/>
    <w:rsid w:val="00830AA8"/>
    <w:rsid w:val="008315E7"/>
    <w:rsid w:val="0083447B"/>
    <w:rsid w:val="00834713"/>
    <w:rsid w:val="008358AD"/>
    <w:rsid w:val="00836DAE"/>
    <w:rsid w:val="00836F62"/>
    <w:rsid w:val="00843019"/>
    <w:rsid w:val="00845003"/>
    <w:rsid w:val="008465FD"/>
    <w:rsid w:val="00847FA4"/>
    <w:rsid w:val="0085085C"/>
    <w:rsid w:val="008509D4"/>
    <w:rsid w:val="008521C6"/>
    <w:rsid w:val="0085344D"/>
    <w:rsid w:val="0085441B"/>
    <w:rsid w:val="00855385"/>
    <w:rsid w:val="008563F7"/>
    <w:rsid w:val="0085689B"/>
    <w:rsid w:val="00856F6A"/>
    <w:rsid w:val="00861CE7"/>
    <w:rsid w:val="00862942"/>
    <w:rsid w:val="00863138"/>
    <w:rsid w:val="00863141"/>
    <w:rsid w:val="00863B90"/>
    <w:rsid w:val="00865F41"/>
    <w:rsid w:val="008676CB"/>
    <w:rsid w:val="008706E5"/>
    <w:rsid w:val="00870DC1"/>
    <w:rsid w:val="0087519D"/>
    <w:rsid w:val="00876437"/>
    <w:rsid w:val="00876631"/>
    <w:rsid w:val="00877621"/>
    <w:rsid w:val="008812E3"/>
    <w:rsid w:val="00883BF8"/>
    <w:rsid w:val="0088412A"/>
    <w:rsid w:val="00887A88"/>
    <w:rsid w:val="00887C02"/>
    <w:rsid w:val="00891E28"/>
    <w:rsid w:val="0089324E"/>
    <w:rsid w:val="00894759"/>
    <w:rsid w:val="00894B10"/>
    <w:rsid w:val="00897C7A"/>
    <w:rsid w:val="008A661B"/>
    <w:rsid w:val="008A7E1C"/>
    <w:rsid w:val="008B08CF"/>
    <w:rsid w:val="008B0B72"/>
    <w:rsid w:val="008B19A1"/>
    <w:rsid w:val="008B1F6F"/>
    <w:rsid w:val="008B2436"/>
    <w:rsid w:val="008B3047"/>
    <w:rsid w:val="008B361E"/>
    <w:rsid w:val="008B428D"/>
    <w:rsid w:val="008B6027"/>
    <w:rsid w:val="008B79BD"/>
    <w:rsid w:val="008C1B15"/>
    <w:rsid w:val="008C1DBA"/>
    <w:rsid w:val="008C23AD"/>
    <w:rsid w:val="008C31DC"/>
    <w:rsid w:val="008C3E1A"/>
    <w:rsid w:val="008C4CF5"/>
    <w:rsid w:val="008C6FE0"/>
    <w:rsid w:val="008D69EE"/>
    <w:rsid w:val="008D7554"/>
    <w:rsid w:val="008E0D82"/>
    <w:rsid w:val="008E4F54"/>
    <w:rsid w:val="008F078B"/>
    <w:rsid w:val="008F0B08"/>
    <w:rsid w:val="008F1EAE"/>
    <w:rsid w:val="008F211C"/>
    <w:rsid w:val="008F219A"/>
    <w:rsid w:val="008F22FB"/>
    <w:rsid w:val="008F3450"/>
    <w:rsid w:val="008F40E2"/>
    <w:rsid w:val="008F63FF"/>
    <w:rsid w:val="008F6CAC"/>
    <w:rsid w:val="008F7878"/>
    <w:rsid w:val="009022E8"/>
    <w:rsid w:val="00905E04"/>
    <w:rsid w:val="00907272"/>
    <w:rsid w:val="00910F31"/>
    <w:rsid w:val="009130FF"/>
    <w:rsid w:val="0091426C"/>
    <w:rsid w:val="009144DA"/>
    <w:rsid w:val="0091455E"/>
    <w:rsid w:val="009164BB"/>
    <w:rsid w:val="009176D4"/>
    <w:rsid w:val="00917B39"/>
    <w:rsid w:val="00920063"/>
    <w:rsid w:val="009216E2"/>
    <w:rsid w:val="009225A1"/>
    <w:rsid w:val="00922D4F"/>
    <w:rsid w:val="00923341"/>
    <w:rsid w:val="00923D0D"/>
    <w:rsid w:val="009246BE"/>
    <w:rsid w:val="00927A09"/>
    <w:rsid w:val="00927F6D"/>
    <w:rsid w:val="009302E0"/>
    <w:rsid w:val="0093393E"/>
    <w:rsid w:val="00934893"/>
    <w:rsid w:val="00934F63"/>
    <w:rsid w:val="00935305"/>
    <w:rsid w:val="009353CE"/>
    <w:rsid w:val="00935E6C"/>
    <w:rsid w:val="00936485"/>
    <w:rsid w:val="009368C6"/>
    <w:rsid w:val="009369BB"/>
    <w:rsid w:val="00936C01"/>
    <w:rsid w:val="0093726F"/>
    <w:rsid w:val="009423DF"/>
    <w:rsid w:val="009514AB"/>
    <w:rsid w:val="0095420D"/>
    <w:rsid w:val="00961B3C"/>
    <w:rsid w:val="00962649"/>
    <w:rsid w:val="009631F4"/>
    <w:rsid w:val="00963E6D"/>
    <w:rsid w:val="00966778"/>
    <w:rsid w:val="009704D2"/>
    <w:rsid w:val="00972E9B"/>
    <w:rsid w:val="00973F15"/>
    <w:rsid w:val="0097404D"/>
    <w:rsid w:val="009754B7"/>
    <w:rsid w:val="00975F8B"/>
    <w:rsid w:val="00977415"/>
    <w:rsid w:val="0098081B"/>
    <w:rsid w:val="00980955"/>
    <w:rsid w:val="00980E5C"/>
    <w:rsid w:val="0098239B"/>
    <w:rsid w:val="00982451"/>
    <w:rsid w:val="0098630A"/>
    <w:rsid w:val="00987814"/>
    <w:rsid w:val="00990B01"/>
    <w:rsid w:val="00990DE6"/>
    <w:rsid w:val="00992181"/>
    <w:rsid w:val="00992F6F"/>
    <w:rsid w:val="00995285"/>
    <w:rsid w:val="00995E0B"/>
    <w:rsid w:val="00995F9D"/>
    <w:rsid w:val="009A0DFC"/>
    <w:rsid w:val="009A22FB"/>
    <w:rsid w:val="009A24A0"/>
    <w:rsid w:val="009A2E49"/>
    <w:rsid w:val="009A4855"/>
    <w:rsid w:val="009A6056"/>
    <w:rsid w:val="009B290D"/>
    <w:rsid w:val="009B3C62"/>
    <w:rsid w:val="009B41E1"/>
    <w:rsid w:val="009B495A"/>
    <w:rsid w:val="009B49E0"/>
    <w:rsid w:val="009B5E92"/>
    <w:rsid w:val="009B6A5A"/>
    <w:rsid w:val="009B6D4D"/>
    <w:rsid w:val="009B76E9"/>
    <w:rsid w:val="009C09A5"/>
    <w:rsid w:val="009C1D9A"/>
    <w:rsid w:val="009C2A48"/>
    <w:rsid w:val="009C5863"/>
    <w:rsid w:val="009C6698"/>
    <w:rsid w:val="009C6F0A"/>
    <w:rsid w:val="009D0FCA"/>
    <w:rsid w:val="009D3452"/>
    <w:rsid w:val="009D5850"/>
    <w:rsid w:val="009D72D9"/>
    <w:rsid w:val="009E07E4"/>
    <w:rsid w:val="009E0E3F"/>
    <w:rsid w:val="009E15C9"/>
    <w:rsid w:val="009E2BCF"/>
    <w:rsid w:val="009E4400"/>
    <w:rsid w:val="009E4D5A"/>
    <w:rsid w:val="009E4E27"/>
    <w:rsid w:val="009E4FAC"/>
    <w:rsid w:val="009E6CC2"/>
    <w:rsid w:val="009E6F6C"/>
    <w:rsid w:val="009F0A8E"/>
    <w:rsid w:val="009F1B86"/>
    <w:rsid w:val="009F34C1"/>
    <w:rsid w:val="009F395B"/>
    <w:rsid w:val="009F3BDA"/>
    <w:rsid w:val="009F7866"/>
    <w:rsid w:val="00A00D7F"/>
    <w:rsid w:val="00A00DAD"/>
    <w:rsid w:val="00A023F0"/>
    <w:rsid w:val="00A02465"/>
    <w:rsid w:val="00A02ED8"/>
    <w:rsid w:val="00A07BB3"/>
    <w:rsid w:val="00A10B8E"/>
    <w:rsid w:val="00A11EFF"/>
    <w:rsid w:val="00A1267D"/>
    <w:rsid w:val="00A130A2"/>
    <w:rsid w:val="00A15C48"/>
    <w:rsid w:val="00A16829"/>
    <w:rsid w:val="00A16A6D"/>
    <w:rsid w:val="00A17345"/>
    <w:rsid w:val="00A1786D"/>
    <w:rsid w:val="00A2080E"/>
    <w:rsid w:val="00A25EA9"/>
    <w:rsid w:val="00A26553"/>
    <w:rsid w:val="00A2788A"/>
    <w:rsid w:val="00A27EB2"/>
    <w:rsid w:val="00A31A10"/>
    <w:rsid w:val="00A32793"/>
    <w:rsid w:val="00A346A0"/>
    <w:rsid w:val="00A372F5"/>
    <w:rsid w:val="00A415ED"/>
    <w:rsid w:val="00A416E0"/>
    <w:rsid w:val="00A42695"/>
    <w:rsid w:val="00A4330B"/>
    <w:rsid w:val="00A44143"/>
    <w:rsid w:val="00A46555"/>
    <w:rsid w:val="00A469C7"/>
    <w:rsid w:val="00A46CBC"/>
    <w:rsid w:val="00A50AFC"/>
    <w:rsid w:val="00A51655"/>
    <w:rsid w:val="00A520EA"/>
    <w:rsid w:val="00A552D7"/>
    <w:rsid w:val="00A646EE"/>
    <w:rsid w:val="00A70CB7"/>
    <w:rsid w:val="00A74DFE"/>
    <w:rsid w:val="00A75C78"/>
    <w:rsid w:val="00A76AB9"/>
    <w:rsid w:val="00A77C07"/>
    <w:rsid w:val="00A80FFE"/>
    <w:rsid w:val="00A82600"/>
    <w:rsid w:val="00A83057"/>
    <w:rsid w:val="00A85637"/>
    <w:rsid w:val="00A913A0"/>
    <w:rsid w:val="00A920E3"/>
    <w:rsid w:val="00A9378A"/>
    <w:rsid w:val="00A9381B"/>
    <w:rsid w:val="00A96133"/>
    <w:rsid w:val="00A96D60"/>
    <w:rsid w:val="00A96FFE"/>
    <w:rsid w:val="00A97248"/>
    <w:rsid w:val="00AA0E49"/>
    <w:rsid w:val="00AA2298"/>
    <w:rsid w:val="00AA564F"/>
    <w:rsid w:val="00AA5ED1"/>
    <w:rsid w:val="00AA6910"/>
    <w:rsid w:val="00AB0B15"/>
    <w:rsid w:val="00AB2EEF"/>
    <w:rsid w:val="00AB41B2"/>
    <w:rsid w:val="00AB58BC"/>
    <w:rsid w:val="00AB5B14"/>
    <w:rsid w:val="00AB62F7"/>
    <w:rsid w:val="00AB7573"/>
    <w:rsid w:val="00AB75F4"/>
    <w:rsid w:val="00AC059C"/>
    <w:rsid w:val="00AC2059"/>
    <w:rsid w:val="00AC4B73"/>
    <w:rsid w:val="00AC7162"/>
    <w:rsid w:val="00AD11CE"/>
    <w:rsid w:val="00AD14A7"/>
    <w:rsid w:val="00AD2818"/>
    <w:rsid w:val="00AD54C3"/>
    <w:rsid w:val="00AD71F8"/>
    <w:rsid w:val="00AD7AA6"/>
    <w:rsid w:val="00AE0B3C"/>
    <w:rsid w:val="00AE18CA"/>
    <w:rsid w:val="00AE4C6D"/>
    <w:rsid w:val="00AE6370"/>
    <w:rsid w:val="00AE7853"/>
    <w:rsid w:val="00AE7AB5"/>
    <w:rsid w:val="00AF15B0"/>
    <w:rsid w:val="00AF3339"/>
    <w:rsid w:val="00AF49F7"/>
    <w:rsid w:val="00AF56A0"/>
    <w:rsid w:val="00AF59DF"/>
    <w:rsid w:val="00AF6C49"/>
    <w:rsid w:val="00AF6DAA"/>
    <w:rsid w:val="00AF70ED"/>
    <w:rsid w:val="00B00CB7"/>
    <w:rsid w:val="00B02788"/>
    <w:rsid w:val="00B03E6C"/>
    <w:rsid w:val="00B03F0F"/>
    <w:rsid w:val="00B0428A"/>
    <w:rsid w:val="00B047AC"/>
    <w:rsid w:val="00B0518B"/>
    <w:rsid w:val="00B05B4D"/>
    <w:rsid w:val="00B06CB6"/>
    <w:rsid w:val="00B1085A"/>
    <w:rsid w:val="00B11B67"/>
    <w:rsid w:val="00B12E69"/>
    <w:rsid w:val="00B16DFD"/>
    <w:rsid w:val="00B175E9"/>
    <w:rsid w:val="00B21F94"/>
    <w:rsid w:val="00B22423"/>
    <w:rsid w:val="00B23692"/>
    <w:rsid w:val="00B24377"/>
    <w:rsid w:val="00B24568"/>
    <w:rsid w:val="00B24C17"/>
    <w:rsid w:val="00B2609B"/>
    <w:rsid w:val="00B26166"/>
    <w:rsid w:val="00B2678E"/>
    <w:rsid w:val="00B27DDD"/>
    <w:rsid w:val="00B3069C"/>
    <w:rsid w:val="00B30FC5"/>
    <w:rsid w:val="00B315D8"/>
    <w:rsid w:val="00B348C1"/>
    <w:rsid w:val="00B356EA"/>
    <w:rsid w:val="00B3621A"/>
    <w:rsid w:val="00B41686"/>
    <w:rsid w:val="00B45633"/>
    <w:rsid w:val="00B45BB4"/>
    <w:rsid w:val="00B4797E"/>
    <w:rsid w:val="00B501AC"/>
    <w:rsid w:val="00B501CB"/>
    <w:rsid w:val="00B50704"/>
    <w:rsid w:val="00B50991"/>
    <w:rsid w:val="00B50EC3"/>
    <w:rsid w:val="00B53434"/>
    <w:rsid w:val="00B54D49"/>
    <w:rsid w:val="00B54FD9"/>
    <w:rsid w:val="00B624EE"/>
    <w:rsid w:val="00B6280E"/>
    <w:rsid w:val="00B6317E"/>
    <w:rsid w:val="00B6326C"/>
    <w:rsid w:val="00B63DE7"/>
    <w:rsid w:val="00B64D94"/>
    <w:rsid w:val="00B66247"/>
    <w:rsid w:val="00B66EAF"/>
    <w:rsid w:val="00B66F69"/>
    <w:rsid w:val="00B706E7"/>
    <w:rsid w:val="00B70E56"/>
    <w:rsid w:val="00B752C5"/>
    <w:rsid w:val="00B77717"/>
    <w:rsid w:val="00B77C3E"/>
    <w:rsid w:val="00B80C45"/>
    <w:rsid w:val="00B80C95"/>
    <w:rsid w:val="00B8232A"/>
    <w:rsid w:val="00B83518"/>
    <w:rsid w:val="00B843CA"/>
    <w:rsid w:val="00B846A4"/>
    <w:rsid w:val="00B919B8"/>
    <w:rsid w:val="00B91F4D"/>
    <w:rsid w:val="00B9268F"/>
    <w:rsid w:val="00B936A5"/>
    <w:rsid w:val="00B95E70"/>
    <w:rsid w:val="00B96C13"/>
    <w:rsid w:val="00BA17D3"/>
    <w:rsid w:val="00BA1D5E"/>
    <w:rsid w:val="00BA2369"/>
    <w:rsid w:val="00BA25FC"/>
    <w:rsid w:val="00BA3802"/>
    <w:rsid w:val="00BA610B"/>
    <w:rsid w:val="00BA6D58"/>
    <w:rsid w:val="00BB0692"/>
    <w:rsid w:val="00BB0A34"/>
    <w:rsid w:val="00BB1D3D"/>
    <w:rsid w:val="00BB387A"/>
    <w:rsid w:val="00BB74B8"/>
    <w:rsid w:val="00BC3CF5"/>
    <w:rsid w:val="00BC40C8"/>
    <w:rsid w:val="00BC4906"/>
    <w:rsid w:val="00BD000D"/>
    <w:rsid w:val="00BD1253"/>
    <w:rsid w:val="00BD2DD7"/>
    <w:rsid w:val="00BD4321"/>
    <w:rsid w:val="00BD4FD1"/>
    <w:rsid w:val="00BD77F0"/>
    <w:rsid w:val="00BE2291"/>
    <w:rsid w:val="00BE252E"/>
    <w:rsid w:val="00BE4A10"/>
    <w:rsid w:val="00BE4BF8"/>
    <w:rsid w:val="00BE51C3"/>
    <w:rsid w:val="00BE65A0"/>
    <w:rsid w:val="00BF1431"/>
    <w:rsid w:val="00BF14CF"/>
    <w:rsid w:val="00BF1B49"/>
    <w:rsid w:val="00BF4F25"/>
    <w:rsid w:val="00BF4F37"/>
    <w:rsid w:val="00BF6BDA"/>
    <w:rsid w:val="00BF7009"/>
    <w:rsid w:val="00BF78F5"/>
    <w:rsid w:val="00C04C66"/>
    <w:rsid w:val="00C113E3"/>
    <w:rsid w:val="00C129E2"/>
    <w:rsid w:val="00C134D2"/>
    <w:rsid w:val="00C14231"/>
    <w:rsid w:val="00C1686A"/>
    <w:rsid w:val="00C201D6"/>
    <w:rsid w:val="00C227A1"/>
    <w:rsid w:val="00C228B6"/>
    <w:rsid w:val="00C22DC3"/>
    <w:rsid w:val="00C2300B"/>
    <w:rsid w:val="00C251C9"/>
    <w:rsid w:val="00C26F1A"/>
    <w:rsid w:val="00C27048"/>
    <w:rsid w:val="00C30DE4"/>
    <w:rsid w:val="00C30FB5"/>
    <w:rsid w:val="00C3217B"/>
    <w:rsid w:val="00C346F6"/>
    <w:rsid w:val="00C45660"/>
    <w:rsid w:val="00C45F01"/>
    <w:rsid w:val="00C477CD"/>
    <w:rsid w:val="00C50152"/>
    <w:rsid w:val="00C514AF"/>
    <w:rsid w:val="00C529FA"/>
    <w:rsid w:val="00C52A15"/>
    <w:rsid w:val="00C5314E"/>
    <w:rsid w:val="00C53B29"/>
    <w:rsid w:val="00C54D82"/>
    <w:rsid w:val="00C567FD"/>
    <w:rsid w:val="00C56FBC"/>
    <w:rsid w:val="00C60624"/>
    <w:rsid w:val="00C60CEF"/>
    <w:rsid w:val="00C63360"/>
    <w:rsid w:val="00C72386"/>
    <w:rsid w:val="00C73F37"/>
    <w:rsid w:val="00C74020"/>
    <w:rsid w:val="00C740C5"/>
    <w:rsid w:val="00C761B5"/>
    <w:rsid w:val="00C77060"/>
    <w:rsid w:val="00C87904"/>
    <w:rsid w:val="00C87F96"/>
    <w:rsid w:val="00C9028C"/>
    <w:rsid w:val="00C902B8"/>
    <w:rsid w:val="00C92A75"/>
    <w:rsid w:val="00C94B8B"/>
    <w:rsid w:val="00C94D18"/>
    <w:rsid w:val="00CA0B5E"/>
    <w:rsid w:val="00CA0E90"/>
    <w:rsid w:val="00CA1A5D"/>
    <w:rsid w:val="00CA1F3F"/>
    <w:rsid w:val="00CA24A1"/>
    <w:rsid w:val="00CA2C61"/>
    <w:rsid w:val="00CA2F5A"/>
    <w:rsid w:val="00CA36A0"/>
    <w:rsid w:val="00CA37A1"/>
    <w:rsid w:val="00CA3924"/>
    <w:rsid w:val="00CA7B2E"/>
    <w:rsid w:val="00CB17E4"/>
    <w:rsid w:val="00CB1B8D"/>
    <w:rsid w:val="00CB2ACA"/>
    <w:rsid w:val="00CB3604"/>
    <w:rsid w:val="00CB4075"/>
    <w:rsid w:val="00CB513B"/>
    <w:rsid w:val="00CC51FC"/>
    <w:rsid w:val="00CC565E"/>
    <w:rsid w:val="00CD2E8F"/>
    <w:rsid w:val="00CD3D0C"/>
    <w:rsid w:val="00CD4DA6"/>
    <w:rsid w:val="00CD6424"/>
    <w:rsid w:val="00CD707B"/>
    <w:rsid w:val="00CE211D"/>
    <w:rsid w:val="00CE38EE"/>
    <w:rsid w:val="00CE4E55"/>
    <w:rsid w:val="00CE5FC0"/>
    <w:rsid w:val="00CE62B3"/>
    <w:rsid w:val="00CE737B"/>
    <w:rsid w:val="00CE7F4C"/>
    <w:rsid w:val="00CF2CC6"/>
    <w:rsid w:val="00CF3264"/>
    <w:rsid w:val="00CF3B78"/>
    <w:rsid w:val="00D01572"/>
    <w:rsid w:val="00D05033"/>
    <w:rsid w:val="00D05206"/>
    <w:rsid w:val="00D10997"/>
    <w:rsid w:val="00D10B5D"/>
    <w:rsid w:val="00D12893"/>
    <w:rsid w:val="00D12B5B"/>
    <w:rsid w:val="00D13873"/>
    <w:rsid w:val="00D14BAA"/>
    <w:rsid w:val="00D1542D"/>
    <w:rsid w:val="00D16264"/>
    <w:rsid w:val="00D16B08"/>
    <w:rsid w:val="00D16EBA"/>
    <w:rsid w:val="00D17526"/>
    <w:rsid w:val="00D227B1"/>
    <w:rsid w:val="00D22A22"/>
    <w:rsid w:val="00D23AAF"/>
    <w:rsid w:val="00D2549E"/>
    <w:rsid w:val="00D2575B"/>
    <w:rsid w:val="00D26147"/>
    <w:rsid w:val="00D268EA"/>
    <w:rsid w:val="00D26A2A"/>
    <w:rsid w:val="00D26BE3"/>
    <w:rsid w:val="00D307FA"/>
    <w:rsid w:val="00D30C3A"/>
    <w:rsid w:val="00D31581"/>
    <w:rsid w:val="00D33459"/>
    <w:rsid w:val="00D347C9"/>
    <w:rsid w:val="00D34CBA"/>
    <w:rsid w:val="00D35195"/>
    <w:rsid w:val="00D41B2A"/>
    <w:rsid w:val="00D46CE2"/>
    <w:rsid w:val="00D47583"/>
    <w:rsid w:val="00D500A4"/>
    <w:rsid w:val="00D50184"/>
    <w:rsid w:val="00D5046E"/>
    <w:rsid w:val="00D53455"/>
    <w:rsid w:val="00D54054"/>
    <w:rsid w:val="00D54457"/>
    <w:rsid w:val="00D553C9"/>
    <w:rsid w:val="00D56611"/>
    <w:rsid w:val="00D62620"/>
    <w:rsid w:val="00D62DFC"/>
    <w:rsid w:val="00D636B5"/>
    <w:rsid w:val="00D63CDD"/>
    <w:rsid w:val="00D65FC2"/>
    <w:rsid w:val="00D66D27"/>
    <w:rsid w:val="00D703F1"/>
    <w:rsid w:val="00D704C8"/>
    <w:rsid w:val="00D70BF1"/>
    <w:rsid w:val="00D725F9"/>
    <w:rsid w:val="00D726B1"/>
    <w:rsid w:val="00D72C46"/>
    <w:rsid w:val="00D73F71"/>
    <w:rsid w:val="00D741F0"/>
    <w:rsid w:val="00D74C30"/>
    <w:rsid w:val="00D76643"/>
    <w:rsid w:val="00D768AE"/>
    <w:rsid w:val="00D7730C"/>
    <w:rsid w:val="00D80781"/>
    <w:rsid w:val="00D8086E"/>
    <w:rsid w:val="00D8164C"/>
    <w:rsid w:val="00D84278"/>
    <w:rsid w:val="00D86C25"/>
    <w:rsid w:val="00D90000"/>
    <w:rsid w:val="00D90E14"/>
    <w:rsid w:val="00D91835"/>
    <w:rsid w:val="00D92E9E"/>
    <w:rsid w:val="00D9368C"/>
    <w:rsid w:val="00D939EA"/>
    <w:rsid w:val="00D94615"/>
    <w:rsid w:val="00D9771B"/>
    <w:rsid w:val="00D97D54"/>
    <w:rsid w:val="00DA1E1D"/>
    <w:rsid w:val="00DA2324"/>
    <w:rsid w:val="00DA2532"/>
    <w:rsid w:val="00DA27B0"/>
    <w:rsid w:val="00DA2939"/>
    <w:rsid w:val="00DA37E6"/>
    <w:rsid w:val="00DA4BFD"/>
    <w:rsid w:val="00DB0B55"/>
    <w:rsid w:val="00DB141D"/>
    <w:rsid w:val="00DB16BE"/>
    <w:rsid w:val="00DB20F7"/>
    <w:rsid w:val="00DB2E25"/>
    <w:rsid w:val="00DB5B1E"/>
    <w:rsid w:val="00DB630B"/>
    <w:rsid w:val="00DB64BB"/>
    <w:rsid w:val="00DC4B5F"/>
    <w:rsid w:val="00DC54CA"/>
    <w:rsid w:val="00DC57FD"/>
    <w:rsid w:val="00DC581D"/>
    <w:rsid w:val="00DC7621"/>
    <w:rsid w:val="00DD1438"/>
    <w:rsid w:val="00DD36A4"/>
    <w:rsid w:val="00DD390B"/>
    <w:rsid w:val="00DD3BE3"/>
    <w:rsid w:val="00DD3F71"/>
    <w:rsid w:val="00DD4329"/>
    <w:rsid w:val="00DD626A"/>
    <w:rsid w:val="00DD67CC"/>
    <w:rsid w:val="00DD67F9"/>
    <w:rsid w:val="00DD748B"/>
    <w:rsid w:val="00DD78A2"/>
    <w:rsid w:val="00DE10BC"/>
    <w:rsid w:val="00DE1DDD"/>
    <w:rsid w:val="00DE2DF9"/>
    <w:rsid w:val="00DE2E5D"/>
    <w:rsid w:val="00DE32FD"/>
    <w:rsid w:val="00DE3EFF"/>
    <w:rsid w:val="00DE6821"/>
    <w:rsid w:val="00DF1636"/>
    <w:rsid w:val="00DF22D6"/>
    <w:rsid w:val="00DF2C05"/>
    <w:rsid w:val="00DF39FE"/>
    <w:rsid w:val="00DF6456"/>
    <w:rsid w:val="00DF6DB3"/>
    <w:rsid w:val="00DF722C"/>
    <w:rsid w:val="00DF78AD"/>
    <w:rsid w:val="00E009D0"/>
    <w:rsid w:val="00E01CBC"/>
    <w:rsid w:val="00E0318F"/>
    <w:rsid w:val="00E03F0A"/>
    <w:rsid w:val="00E043E6"/>
    <w:rsid w:val="00E048FD"/>
    <w:rsid w:val="00E05B70"/>
    <w:rsid w:val="00E0625D"/>
    <w:rsid w:val="00E06F77"/>
    <w:rsid w:val="00E1100C"/>
    <w:rsid w:val="00E11C32"/>
    <w:rsid w:val="00E1658A"/>
    <w:rsid w:val="00E308EC"/>
    <w:rsid w:val="00E318CD"/>
    <w:rsid w:val="00E318EC"/>
    <w:rsid w:val="00E34194"/>
    <w:rsid w:val="00E35ACD"/>
    <w:rsid w:val="00E41AC6"/>
    <w:rsid w:val="00E42FEE"/>
    <w:rsid w:val="00E44C44"/>
    <w:rsid w:val="00E4596A"/>
    <w:rsid w:val="00E46421"/>
    <w:rsid w:val="00E5072B"/>
    <w:rsid w:val="00E51470"/>
    <w:rsid w:val="00E51C9B"/>
    <w:rsid w:val="00E537D1"/>
    <w:rsid w:val="00E545B3"/>
    <w:rsid w:val="00E54AA5"/>
    <w:rsid w:val="00E563AB"/>
    <w:rsid w:val="00E6065B"/>
    <w:rsid w:val="00E63DBF"/>
    <w:rsid w:val="00E64550"/>
    <w:rsid w:val="00E6492A"/>
    <w:rsid w:val="00E64DB3"/>
    <w:rsid w:val="00E65EC1"/>
    <w:rsid w:val="00E663A1"/>
    <w:rsid w:val="00E66BBC"/>
    <w:rsid w:val="00E66C97"/>
    <w:rsid w:val="00E67CFD"/>
    <w:rsid w:val="00E70984"/>
    <w:rsid w:val="00E738E4"/>
    <w:rsid w:val="00E73E72"/>
    <w:rsid w:val="00E766C0"/>
    <w:rsid w:val="00E7692C"/>
    <w:rsid w:val="00E818D7"/>
    <w:rsid w:val="00E81AD8"/>
    <w:rsid w:val="00E86594"/>
    <w:rsid w:val="00E87F7B"/>
    <w:rsid w:val="00E906A6"/>
    <w:rsid w:val="00E91ABF"/>
    <w:rsid w:val="00E93432"/>
    <w:rsid w:val="00E94B11"/>
    <w:rsid w:val="00E94B5B"/>
    <w:rsid w:val="00E96834"/>
    <w:rsid w:val="00E96F10"/>
    <w:rsid w:val="00EA0DBD"/>
    <w:rsid w:val="00EA11E8"/>
    <w:rsid w:val="00EA13A7"/>
    <w:rsid w:val="00EA1DAD"/>
    <w:rsid w:val="00EA332E"/>
    <w:rsid w:val="00EA62F3"/>
    <w:rsid w:val="00EB028F"/>
    <w:rsid w:val="00EB0993"/>
    <w:rsid w:val="00EB2119"/>
    <w:rsid w:val="00EB2129"/>
    <w:rsid w:val="00EB24C9"/>
    <w:rsid w:val="00EB3C55"/>
    <w:rsid w:val="00EB3CF0"/>
    <w:rsid w:val="00EB5217"/>
    <w:rsid w:val="00EB672D"/>
    <w:rsid w:val="00EB751D"/>
    <w:rsid w:val="00EB798E"/>
    <w:rsid w:val="00EC152A"/>
    <w:rsid w:val="00EC35A4"/>
    <w:rsid w:val="00EC5639"/>
    <w:rsid w:val="00EC660C"/>
    <w:rsid w:val="00EC6A27"/>
    <w:rsid w:val="00EC6B65"/>
    <w:rsid w:val="00EC6E6D"/>
    <w:rsid w:val="00EC7C91"/>
    <w:rsid w:val="00ED0B91"/>
    <w:rsid w:val="00ED21CA"/>
    <w:rsid w:val="00ED2457"/>
    <w:rsid w:val="00EE0655"/>
    <w:rsid w:val="00EE0E04"/>
    <w:rsid w:val="00EE160C"/>
    <w:rsid w:val="00EE19D3"/>
    <w:rsid w:val="00EE5B5F"/>
    <w:rsid w:val="00EE61EC"/>
    <w:rsid w:val="00EF0390"/>
    <w:rsid w:val="00EF03BA"/>
    <w:rsid w:val="00EF09E7"/>
    <w:rsid w:val="00EF116F"/>
    <w:rsid w:val="00EF2031"/>
    <w:rsid w:val="00EF24A7"/>
    <w:rsid w:val="00EF4293"/>
    <w:rsid w:val="00EF4501"/>
    <w:rsid w:val="00EF502C"/>
    <w:rsid w:val="00F014A5"/>
    <w:rsid w:val="00F01739"/>
    <w:rsid w:val="00F027FA"/>
    <w:rsid w:val="00F049BC"/>
    <w:rsid w:val="00F0534E"/>
    <w:rsid w:val="00F05837"/>
    <w:rsid w:val="00F11D0E"/>
    <w:rsid w:val="00F12557"/>
    <w:rsid w:val="00F12C39"/>
    <w:rsid w:val="00F135DE"/>
    <w:rsid w:val="00F136CF"/>
    <w:rsid w:val="00F14489"/>
    <w:rsid w:val="00F175DC"/>
    <w:rsid w:val="00F17DED"/>
    <w:rsid w:val="00F209F4"/>
    <w:rsid w:val="00F215D5"/>
    <w:rsid w:val="00F249A0"/>
    <w:rsid w:val="00F262BE"/>
    <w:rsid w:val="00F26855"/>
    <w:rsid w:val="00F26F68"/>
    <w:rsid w:val="00F31C58"/>
    <w:rsid w:val="00F339E2"/>
    <w:rsid w:val="00F40568"/>
    <w:rsid w:val="00F42E45"/>
    <w:rsid w:val="00F44727"/>
    <w:rsid w:val="00F45219"/>
    <w:rsid w:val="00F45279"/>
    <w:rsid w:val="00F457FF"/>
    <w:rsid w:val="00F4762F"/>
    <w:rsid w:val="00F506D7"/>
    <w:rsid w:val="00F55242"/>
    <w:rsid w:val="00F560A6"/>
    <w:rsid w:val="00F60038"/>
    <w:rsid w:val="00F631AA"/>
    <w:rsid w:val="00F63614"/>
    <w:rsid w:val="00F63699"/>
    <w:rsid w:val="00F636A5"/>
    <w:rsid w:val="00F64544"/>
    <w:rsid w:val="00F65041"/>
    <w:rsid w:val="00F675D1"/>
    <w:rsid w:val="00F703A5"/>
    <w:rsid w:val="00F72992"/>
    <w:rsid w:val="00F72BFA"/>
    <w:rsid w:val="00F74022"/>
    <w:rsid w:val="00F773F9"/>
    <w:rsid w:val="00F80A88"/>
    <w:rsid w:val="00F81B0A"/>
    <w:rsid w:val="00F836C1"/>
    <w:rsid w:val="00F85BC6"/>
    <w:rsid w:val="00F90EF8"/>
    <w:rsid w:val="00F94070"/>
    <w:rsid w:val="00F954BF"/>
    <w:rsid w:val="00F955F6"/>
    <w:rsid w:val="00FA031E"/>
    <w:rsid w:val="00FA3FD0"/>
    <w:rsid w:val="00FA5548"/>
    <w:rsid w:val="00FA59C2"/>
    <w:rsid w:val="00FA612C"/>
    <w:rsid w:val="00FA6E65"/>
    <w:rsid w:val="00FB33F1"/>
    <w:rsid w:val="00FB4C23"/>
    <w:rsid w:val="00FB71E2"/>
    <w:rsid w:val="00FB74EA"/>
    <w:rsid w:val="00FC15CA"/>
    <w:rsid w:val="00FC315F"/>
    <w:rsid w:val="00FC35AE"/>
    <w:rsid w:val="00FC44F7"/>
    <w:rsid w:val="00FC4CB3"/>
    <w:rsid w:val="00FC5E72"/>
    <w:rsid w:val="00FC63FA"/>
    <w:rsid w:val="00FD0E01"/>
    <w:rsid w:val="00FD114F"/>
    <w:rsid w:val="00FD3A06"/>
    <w:rsid w:val="00FE10C6"/>
    <w:rsid w:val="00FE2710"/>
    <w:rsid w:val="00FE7A5F"/>
    <w:rsid w:val="00FF008A"/>
    <w:rsid w:val="00FF0C16"/>
    <w:rsid w:val="00FF19E9"/>
    <w:rsid w:val="00FF1FA0"/>
    <w:rsid w:val="00FF51D8"/>
    <w:rsid w:val="00FF5790"/>
    <w:rsid w:val="00FF66F3"/>
    <w:rsid w:val="00FF72D5"/>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53601">
      <v:stroke dashstyle="1 1"/>
      <o:colormenu v:ext="edit" fillcolor="none" strokecolor="none [1612]"/>
    </o:shapedefaults>
    <o:shapelayout v:ext="edit">
      <o:idmap v:ext="edit" data="1"/>
      <o:rules v:ext="edit">
        <o:r id="V:Rule7" type="callout" idref="#_x0000_s1082"/>
        <o:r id="V:Rule9" type="callout" idref="#_x0000_s1084"/>
        <o:r id="V:Rule10" type="callout" idref="#_x0000_s1086"/>
        <o:r id="V:Rule16" type="callout" idref="#_x0000_s1118"/>
        <o:r id="V:Rule20" type="callout" idref="#_x0000_s1134"/>
        <o:r id="V:Rule21" type="callout" idref="#_x0000_s1141"/>
        <o:r id="V:Rule28" type="callout" idref="#_x0000_s1198"/>
        <o:r id="V:Rule29" type="callout" idref="#_x0000_s1199"/>
        <o:r id="V:Rule30" type="connector" idref="#_x0000_s1083">
          <o:proxy start="" idref="#_x0000_s1069" connectloc="3"/>
          <o:proxy end="" idref="#_x0000_s1075" connectloc="4"/>
        </o:r>
        <o:r id="V:Rule31" type="connector" idref="#_x0000_s1080">
          <o:proxy end="" idref="#_x0000_s1069" connectloc="4"/>
        </o:r>
        <o:r id="V:Rule32" type="connector" idref="#_x0000_s1126">
          <o:proxy end="" idref="#_x0000_s1123" connectloc="1"/>
        </o:r>
        <o:r id="V:Rule33" type="connector" idref="#_x0000_s1128">
          <o:proxy end="" idref="#_x0000_s1123" connectloc="2"/>
        </o:r>
        <o:r id="V:Rule34" type="connector" idref="#_x0000_s1130">
          <o:proxy end="" idref="#_x0000_s1123" connectloc="3"/>
        </o:r>
        <o:r id="V:Rule35" type="connector" idref="#_x0000_s1112"/>
        <o:r id="V:Rule36" type="connector" idref="#_x0000_s1058"/>
        <o:r id="V:Rule37" type="connector" idref="#_x0000_s1079">
          <o:proxy end="" idref="#_x0000_s1075" connectloc="5"/>
        </o:r>
        <o:r id="V:Rule38" type="connector" idref="#_x0000_s1158"/>
        <o:r id="V:Rule39" type="connector" idref="#_x0000_s1078">
          <o:proxy end="" idref="#_x0000_s1069" connectloc="3"/>
        </o:r>
        <o:r id="V:Rule40" type="connector" idref="#_x0000_s1111"/>
        <o:r id="V:Rule41" type="connector" idref="#_x0000_s1156">
          <o:proxy start="" idref="#_x0000_s1163" connectloc="0"/>
          <o:proxy end="" idref="#_x0000_s1193" connectloc="3"/>
        </o:r>
        <o:r id="V:Rule42" type="connector" idref="#_x0000_s1081">
          <o:proxy end="" idref="#_x0000_s1063" connectloc="4"/>
        </o:r>
        <o:r id="V:Rule43" type="connector" idref="#_x0000_s1157"/>
        <o:r id="V:Rule44" type="connector" idref="#_x0000_s1147"/>
        <o:r id="V:Rule45" type="connector" idref="#_x0000_s1059"/>
        <o:r id="V:Rule46" type="connector" idref="#_x0000_s1091"/>
        <o:r id="V:Rule47" type="connector" idref="#_x0000_s1148"/>
        <o:r id="V:Rule48" type="connector" idref="#_x0000_s1183"/>
        <o:r id="V:Rule49" type="connector" idref="#_x0000_s1090"/>
        <o:r id="V:Rule50" type="connector" idref="#_x0000_s1113">
          <o:proxy end="" idref="#_x0000_s112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unhideWhenUsed/>
    <w:rsid w:val="005D616E"/>
    <w:pPr>
      <w:spacing w:after="120" w:line="480" w:lineRule="auto"/>
    </w:pPr>
  </w:style>
  <w:style w:type="character" w:customStyle="1" w:styleId="BodyText2Char">
    <w:name w:val="Body Text 2 Char"/>
    <w:basedOn w:val="DefaultParagraphFont"/>
    <w:link w:val="BodyText2"/>
    <w:uiPriority w:val="99"/>
    <w:rsid w:val="005D616E"/>
    <w:rPr>
      <w:rFonts w:eastAsia="MS Mincho"/>
      <w:sz w:val="24"/>
      <w:szCs w:val="24"/>
      <w:lang w:eastAsia="ar-SA"/>
    </w:rPr>
  </w:style>
  <w:style w:type="paragraph" w:styleId="CommentText">
    <w:name w:val="annotation text"/>
    <w:basedOn w:val="Normal"/>
    <w:link w:val="CommentTextChar"/>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rsid w:val="005D616E"/>
  </w:style>
  <w:style w:type="character" w:customStyle="1" w:styleId="HeaderChar">
    <w:name w:val="Header Char"/>
    <w:basedOn w:val="DefaultParagraphFont"/>
    <w:link w:val="Header"/>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147A5C"/>
    <w:rPr>
      <w:rFonts w:eastAsia="MS Mincho"/>
      <w:lang w:eastAsia="ar-SA"/>
    </w:rPr>
  </w:style>
  <w:style w:type="character" w:customStyle="1" w:styleId="apple-style-span">
    <w:name w:val="apple-style-span"/>
    <w:basedOn w:val="DefaultParagraphFont"/>
    <w:rsid w:val="00147A5C"/>
  </w:style>
  <w:style w:type="character" w:styleId="CommentReference">
    <w:name w:val="annotation reference"/>
    <w:basedOn w:val="DefaultParagraphFont"/>
    <w:uiPriority w:val="99"/>
    <w:semiHidden/>
    <w:unhideWhenUsed/>
    <w:rsid w:val="009B3C62"/>
    <w:rPr>
      <w:sz w:val="16"/>
      <w:szCs w:val="16"/>
    </w:rPr>
  </w:style>
  <w:style w:type="paragraph" w:styleId="CommentSubject">
    <w:name w:val="annotation subject"/>
    <w:basedOn w:val="CommentText"/>
    <w:next w:val="CommentText"/>
    <w:link w:val="CommentSubjectChar"/>
    <w:uiPriority w:val="99"/>
    <w:semiHidden/>
    <w:unhideWhenUsed/>
    <w:rsid w:val="009B3C62"/>
    <w:pPr>
      <w:suppressAutoHyphens/>
      <w:autoSpaceDN/>
    </w:pPr>
    <w:rPr>
      <w:rFonts w:eastAsia="MS Mincho"/>
      <w:b/>
      <w:bCs/>
      <w:lang w:eastAsia="ar-SA"/>
    </w:rPr>
  </w:style>
  <w:style w:type="character" w:customStyle="1" w:styleId="CommentSubjectChar">
    <w:name w:val="Comment Subject Char"/>
    <w:basedOn w:val="CommentTextChar"/>
    <w:link w:val="CommentSubject"/>
    <w:uiPriority w:val="99"/>
    <w:semiHidden/>
    <w:rsid w:val="009B3C62"/>
    <w:rPr>
      <w:rFonts w:eastAsia="MS Mincho"/>
      <w:b/>
      <w:bCs/>
      <w:lang w:eastAsia="ar-SA"/>
    </w:rPr>
  </w:style>
  <w:style w:type="table" w:styleId="LightGrid">
    <w:name w:val="Light Grid"/>
    <w:basedOn w:val="TableNormal"/>
    <w:uiPriority w:val="62"/>
    <w:rsid w:val="008509D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70140529">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 w:id="20842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9D2D1-6864-4017-BBAF-CC8EAABCC188}"/>
</file>

<file path=customXml/itemProps2.xml><?xml version="1.0" encoding="utf-8"?>
<ds:datastoreItem xmlns:ds="http://schemas.openxmlformats.org/officeDocument/2006/customXml" ds:itemID="{874282C1-D907-4C39-B7BE-3C0BF92DC19E}"/>
</file>

<file path=customXml/itemProps3.xml><?xml version="1.0" encoding="utf-8"?>
<ds:datastoreItem xmlns:ds="http://schemas.openxmlformats.org/officeDocument/2006/customXml" ds:itemID="{DFE7751D-F7F9-4C17-93D8-B4D3F2DFBC29}"/>
</file>

<file path=customXml/itemProps4.xml><?xml version="1.0" encoding="utf-8"?>
<ds:datastoreItem xmlns:ds="http://schemas.openxmlformats.org/officeDocument/2006/customXml" ds:itemID="{AA3F13E2-7274-476D-95CA-6479474A8840}"/>
</file>

<file path=customXml/itemProps5.xml><?xml version="1.0" encoding="utf-8"?>
<ds:datastoreItem xmlns:ds="http://schemas.openxmlformats.org/officeDocument/2006/customXml" ds:itemID="{A30081A1-8397-42F7-9E85-B8C0F78E6221}"/>
</file>

<file path=docProps/app.xml><?xml version="1.0" encoding="utf-8"?>
<Properties xmlns="http://schemas.openxmlformats.org/officeDocument/2006/extended-properties" xmlns:vt="http://schemas.openxmlformats.org/officeDocument/2006/docPropsVTypes">
  <Template>Normal</Template>
  <TotalTime>0</TotalTime>
  <Pages>15</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2015-02-03T16:25:00Z</dcterms:created>
  <dcterms:modified xsi:type="dcterms:W3CDTF">2015-02-04T01:31:00Z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