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3F9" w:rsidRPr="006F2F97" w:rsidRDefault="00F643F9" w:rsidP="00F643F9">
      <w:pPr>
        <w:rPr>
          <w:sz w:val="24"/>
        </w:rPr>
      </w:pPr>
      <w:r w:rsidRPr="006F2F97">
        <w:rPr>
          <w:b/>
          <w:sz w:val="24"/>
          <w:u w:val="single"/>
        </w:rPr>
        <w:t>PSE Data Request No. 013 to WUTC Staff</w:t>
      </w:r>
      <w:proofErr w:type="gramStart"/>
      <w:r w:rsidRPr="006F2F97">
        <w:rPr>
          <w:b/>
          <w:sz w:val="24"/>
          <w:u w:val="single"/>
        </w:rPr>
        <w:t>:</w:t>
      </w:r>
      <w:proofErr w:type="gramEnd"/>
      <w:r w:rsidRPr="006F2F97">
        <w:rPr>
          <w:b/>
          <w:sz w:val="24"/>
          <w:u w:val="single"/>
        </w:rPr>
        <w:br/>
      </w:r>
      <w:r w:rsidRPr="006F2F97">
        <w:rPr>
          <w:sz w:val="24"/>
        </w:rPr>
        <w:t>RE:</w:t>
      </w:r>
      <w:r w:rsidRPr="006F2F97">
        <w:rPr>
          <w:sz w:val="24"/>
        </w:rPr>
        <w:tab/>
        <w:t xml:space="preserve">Keating, </w:t>
      </w:r>
      <w:proofErr w:type="spellStart"/>
      <w:r w:rsidRPr="006F2F97">
        <w:rPr>
          <w:sz w:val="24"/>
        </w:rPr>
        <w:t>Exh</w:t>
      </w:r>
      <w:proofErr w:type="spellEnd"/>
      <w:r w:rsidRPr="006F2F97">
        <w:rPr>
          <w:sz w:val="24"/>
        </w:rPr>
        <w:t>. No. EJK-1T, 27:8-11</w:t>
      </w:r>
    </w:p>
    <w:p w:rsidR="00F643F9" w:rsidRDefault="00F643F9" w:rsidP="00F643F9">
      <w:pPr>
        <w:rPr>
          <w:sz w:val="24"/>
        </w:rPr>
      </w:pPr>
    </w:p>
    <w:p w:rsidR="00F643F9" w:rsidRPr="00A62205" w:rsidRDefault="00F643F9" w:rsidP="00F643F9">
      <w:pPr>
        <w:rPr>
          <w:sz w:val="24"/>
        </w:rPr>
      </w:pPr>
      <w:r w:rsidRPr="00A62205">
        <w:rPr>
          <w:sz w:val="24"/>
        </w:rPr>
        <w:t>Please explain whether or not WUTC Staff would support or require the evaluation of the acquisition of a demand-side resource with more than a 20-year useful life using only five years of projections.  If not, please reconcile this explanation with WUTC Staff’s use of only five years to evaluate the impact of the permanent load reductions resulting of the transfer of PSE’s assets in Jefferson County to JPUD.</w:t>
      </w:r>
    </w:p>
    <w:p w:rsidR="00F643F9" w:rsidRDefault="00F643F9" w:rsidP="00F643F9">
      <w:pPr>
        <w:rPr>
          <w:b/>
          <w:sz w:val="24"/>
          <w:u w:val="single"/>
        </w:rPr>
      </w:pPr>
    </w:p>
    <w:p w:rsidR="00F643F9" w:rsidRDefault="00F643F9" w:rsidP="00F643F9">
      <w:pPr>
        <w:rPr>
          <w:b/>
          <w:bCs/>
          <w:sz w:val="24"/>
        </w:rPr>
      </w:pPr>
      <w:r w:rsidRPr="00A62205">
        <w:rPr>
          <w:b/>
          <w:bCs/>
          <w:sz w:val="24"/>
        </w:rPr>
        <w:t xml:space="preserve">RESPONSE:  </w:t>
      </w:r>
    </w:p>
    <w:p w:rsidR="00F643F9" w:rsidRDefault="00F643F9" w:rsidP="00F643F9">
      <w:pPr>
        <w:rPr>
          <w:sz w:val="24"/>
        </w:rPr>
      </w:pPr>
    </w:p>
    <w:p w:rsidR="00F643F9" w:rsidRPr="00A62205" w:rsidRDefault="00F643F9" w:rsidP="00F643F9">
      <w:pPr>
        <w:rPr>
          <w:sz w:val="24"/>
        </w:rPr>
      </w:pPr>
      <w:r>
        <w:rPr>
          <w:sz w:val="24"/>
        </w:rPr>
        <w:t>No.  Please see Exhibit No. EJK-1T, 27:6-28:1.</w:t>
      </w:r>
    </w:p>
    <w:p w:rsidR="00F643F9" w:rsidRPr="00A62205" w:rsidRDefault="00F643F9" w:rsidP="00F643F9">
      <w:pPr>
        <w:rPr>
          <w:sz w:val="24"/>
        </w:rPr>
      </w:pPr>
    </w:p>
    <w:p w:rsidR="003123CC" w:rsidRDefault="00ED341A">
      <w:bookmarkStart w:id="0" w:name="_GoBack"/>
      <w:bookmarkEnd w:id="0"/>
    </w:p>
    <w:sectPr w:rsidR="003123C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3F9" w:rsidRDefault="00F643F9" w:rsidP="00F643F9">
      <w:r>
        <w:separator/>
      </w:r>
    </w:p>
  </w:endnote>
  <w:endnote w:type="continuationSeparator" w:id="0">
    <w:p w:rsidR="00F643F9" w:rsidRDefault="00F643F9" w:rsidP="00F64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3F9" w:rsidRDefault="00F643F9" w:rsidP="00F643F9">
      <w:r>
        <w:separator/>
      </w:r>
    </w:p>
  </w:footnote>
  <w:footnote w:type="continuationSeparator" w:id="0">
    <w:p w:rsidR="00F643F9" w:rsidRDefault="00F643F9" w:rsidP="00F643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3F9" w:rsidRPr="00F643F9" w:rsidRDefault="00F643F9" w:rsidP="00F643F9">
    <w:pPr>
      <w:tabs>
        <w:tab w:val="center" w:pos="4320"/>
      </w:tabs>
      <w:jc w:val="center"/>
      <w:rPr>
        <w:sz w:val="24"/>
      </w:rPr>
    </w:pPr>
    <w:smartTag w:uri="urn:schemas-microsoft-com:office:smarttags" w:element="State">
      <w:smartTag w:uri="urn:schemas-microsoft-com:office:smarttags" w:element="place">
        <w:r w:rsidRPr="00F643F9">
          <w:rPr>
            <w:sz w:val="24"/>
          </w:rPr>
          <w:t>WASHINGTON</w:t>
        </w:r>
      </w:smartTag>
    </w:smartTag>
    <w:r w:rsidRPr="00F643F9">
      <w:rPr>
        <w:sz w:val="24"/>
      </w:rPr>
      <w:t xml:space="preserve"> UTILITIES AND TRANSPORTATION COMMISSION STAFF</w:t>
    </w:r>
  </w:p>
  <w:p w:rsidR="00F643F9" w:rsidRPr="00F643F9" w:rsidRDefault="00F643F9" w:rsidP="00F643F9">
    <w:pPr>
      <w:tabs>
        <w:tab w:val="center" w:pos="4680"/>
      </w:tabs>
      <w:jc w:val="center"/>
      <w:rPr>
        <w:sz w:val="24"/>
      </w:rPr>
    </w:pPr>
    <w:r w:rsidRPr="00F643F9">
      <w:rPr>
        <w:sz w:val="24"/>
      </w:rPr>
      <w:t>RESPONSE TO DATA REQUEST</w:t>
    </w:r>
  </w:p>
  <w:p w:rsidR="00F643F9" w:rsidRPr="00F643F9" w:rsidRDefault="00F643F9" w:rsidP="00F643F9">
    <w:pPr>
      <w:tabs>
        <w:tab w:val="center" w:pos="4680"/>
      </w:tabs>
      <w:jc w:val="center"/>
      <w:rPr>
        <w:sz w:val="24"/>
      </w:rPr>
    </w:pPr>
  </w:p>
  <w:tbl>
    <w:tblPr>
      <w:tblW w:w="0" w:type="auto"/>
      <w:tblLayout w:type="fixed"/>
      <w:tblCellMar>
        <w:left w:w="0" w:type="dxa"/>
        <w:right w:w="0" w:type="dxa"/>
      </w:tblCellMar>
      <w:tblLook w:val="0000" w:firstRow="0" w:lastRow="0" w:firstColumn="0" w:lastColumn="0" w:noHBand="0" w:noVBand="0"/>
    </w:tblPr>
    <w:tblGrid>
      <w:gridCol w:w="4320"/>
      <w:gridCol w:w="720"/>
      <w:gridCol w:w="4320"/>
    </w:tblGrid>
    <w:tr w:rsidR="00F643F9" w:rsidRPr="00F643F9" w:rsidTr="00DF008E">
      <w:tblPrEx>
        <w:tblCellMar>
          <w:top w:w="0" w:type="dxa"/>
          <w:left w:w="0" w:type="dxa"/>
          <w:bottom w:w="0" w:type="dxa"/>
          <w:right w:w="0" w:type="dxa"/>
        </w:tblCellMar>
      </w:tblPrEx>
      <w:tc>
        <w:tcPr>
          <w:tcW w:w="4320" w:type="dxa"/>
          <w:tcBorders>
            <w:top w:val="nil"/>
            <w:left w:val="nil"/>
            <w:bottom w:val="nil"/>
            <w:right w:val="nil"/>
          </w:tcBorders>
        </w:tcPr>
        <w:p w:rsidR="00F643F9" w:rsidRPr="00F643F9" w:rsidRDefault="00F643F9" w:rsidP="00F643F9">
          <w:pPr>
            <w:tabs>
              <w:tab w:val="center" w:pos="3870"/>
            </w:tabs>
            <w:jc w:val="center"/>
            <w:rPr>
              <w:sz w:val="24"/>
            </w:rPr>
          </w:pPr>
          <w:r w:rsidRPr="00F643F9">
            <w:rPr>
              <w:sz w:val="24"/>
            </w:rPr>
            <w:t>DATE PREPARED:</w:t>
          </w:r>
          <w:r w:rsidRPr="00F643F9">
            <w:rPr>
              <w:sz w:val="24"/>
            </w:rPr>
            <w:tab/>
            <w:t>April 14, 2014</w:t>
          </w:r>
        </w:p>
        <w:p w:rsidR="00F643F9" w:rsidRPr="00F643F9" w:rsidRDefault="00F643F9" w:rsidP="00F643F9">
          <w:pPr>
            <w:tabs>
              <w:tab w:val="center" w:pos="4230"/>
            </w:tabs>
            <w:jc w:val="center"/>
            <w:rPr>
              <w:sz w:val="24"/>
            </w:rPr>
          </w:pPr>
          <w:r>
            <w:rPr>
              <w:sz w:val="24"/>
            </w:rPr>
            <w:t>DOCKET:</w:t>
          </w:r>
          <w:r w:rsidRPr="00F643F9">
            <w:rPr>
              <w:sz w:val="24"/>
            </w:rPr>
            <w:tab/>
            <w:t>UE-132027</w:t>
          </w:r>
        </w:p>
        <w:p w:rsidR="00F643F9" w:rsidRPr="00F643F9" w:rsidRDefault="00F643F9" w:rsidP="00F643F9">
          <w:pPr>
            <w:tabs>
              <w:tab w:val="center" w:pos="4140"/>
            </w:tabs>
            <w:jc w:val="center"/>
            <w:rPr>
              <w:sz w:val="24"/>
            </w:rPr>
          </w:pPr>
          <w:r w:rsidRPr="00F643F9">
            <w:rPr>
              <w:sz w:val="24"/>
            </w:rPr>
            <w:t>REQUESTER:</w:t>
          </w:r>
          <w:r w:rsidRPr="00F643F9">
            <w:rPr>
              <w:sz w:val="24"/>
            </w:rPr>
            <w:tab/>
            <w:t>PSE</w:t>
          </w:r>
        </w:p>
        <w:p w:rsidR="00F643F9" w:rsidRPr="00F643F9" w:rsidRDefault="00F643F9" w:rsidP="00F643F9">
          <w:pPr>
            <w:tabs>
              <w:tab w:val="center" w:pos="4680"/>
            </w:tabs>
            <w:jc w:val="center"/>
            <w:rPr>
              <w:sz w:val="24"/>
            </w:rPr>
          </w:pPr>
        </w:p>
      </w:tc>
      <w:tc>
        <w:tcPr>
          <w:tcW w:w="720" w:type="dxa"/>
          <w:tcBorders>
            <w:top w:val="nil"/>
            <w:left w:val="nil"/>
            <w:bottom w:val="nil"/>
            <w:right w:val="nil"/>
          </w:tcBorders>
        </w:tcPr>
        <w:p w:rsidR="00F643F9" w:rsidRPr="00F643F9" w:rsidRDefault="00F643F9" w:rsidP="00F643F9">
          <w:pPr>
            <w:tabs>
              <w:tab w:val="center" w:pos="4680"/>
            </w:tabs>
            <w:jc w:val="center"/>
            <w:rPr>
              <w:sz w:val="24"/>
            </w:rPr>
          </w:pPr>
        </w:p>
      </w:tc>
      <w:tc>
        <w:tcPr>
          <w:tcW w:w="4320" w:type="dxa"/>
          <w:tcBorders>
            <w:top w:val="nil"/>
            <w:left w:val="nil"/>
            <w:bottom w:val="nil"/>
            <w:right w:val="nil"/>
          </w:tcBorders>
        </w:tcPr>
        <w:p w:rsidR="00F643F9" w:rsidRPr="00F643F9" w:rsidRDefault="00F643F9" w:rsidP="00F643F9">
          <w:pPr>
            <w:tabs>
              <w:tab w:val="center" w:pos="3780"/>
            </w:tabs>
            <w:jc w:val="center"/>
            <w:rPr>
              <w:sz w:val="24"/>
            </w:rPr>
          </w:pPr>
          <w:r>
            <w:rPr>
              <w:sz w:val="24"/>
            </w:rPr>
            <w:t>WITNESS:</w:t>
          </w:r>
          <w:r w:rsidRPr="00F643F9">
            <w:rPr>
              <w:sz w:val="24"/>
            </w:rPr>
            <w:tab/>
            <w:t xml:space="preserve">EJ Keating </w:t>
          </w:r>
        </w:p>
        <w:p w:rsidR="00F643F9" w:rsidRPr="00F643F9" w:rsidRDefault="00F643F9" w:rsidP="00F643F9">
          <w:pPr>
            <w:tabs>
              <w:tab w:val="center" w:pos="3780"/>
            </w:tabs>
            <w:jc w:val="center"/>
            <w:rPr>
              <w:sz w:val="24"/>
            </w:rPr>
          </w:pPr>
          <w:r w:rsidRPr="00F643F9">
            <w:rPr>
              <w:sz w:val="24"/>
            </w:rPr>
            <w:t xml:space="preserve">RESPONDER:  </w:t>
          </w:r>
          <w:r w:rsidRPr="00F643F9">
            <w:rPr>
              <w:sz w:val="24"/>
            </w:rPr>
            <w:tab/>
            <w:t>EJ Keating</w:t>
          </w:r>
        </w:p>
        <w:p w:rsidR="00F643F9" w:rsidRPr="00F643F9" w:rsidRDefault="00F643F9" w:rsidP="00F643F9">
          <w:pPr>
            <w:tabs>
              <w:tab w:val="center" w:pos="3690"/>
            </w:tabs>
            <w:jc w:val="center"/>
            <w:rPr>
              <w:sz w:val="24"/>
            </w:rPr>
          </w:pPr>
          <w:r w:rsidRPr="00F643F9">
            <w:rPr>
              <w:sz w:val="24"/>
            </w:rPr>
            <w:t xml:space="preserve">TELEPHONE:  </w:t>
          </w:r>
          <w:r w:rsidRPr="00F643F9">
            <w:rPr>
              <w:sz w:val="24"/>
            </w:rPr>
            <w:tab/>
            <w:t>(360) 664-1312</w:t>
          </w:r>
        </w:p>
        <w:p w:rsidR="00F643F9" w:rsidRPr="00F643F9" w:rsidRDefault="00F643F9" w:rsidP="00F643F9">
          <w:pPr>
            <w:tabs>
              <w:tab w:val="center" w:pos="4680"/>
            </w:tabs>
            <w:jc w:val="center"/>
            <w:rPr>
              <w:sz w:val="24"/>
            </w:rPr>
          </w:pPr>
        </w:p>
      </w:tc>
    </w:tr>
  </w:tbl>
  <w:p w:rsidR="00F643F9" w:rsidRDefault="00F643F9" w:rsidP="00F643F9">
    <w:pPr>
      <w:spacing w:line="240" w:lineRule="exac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FB9"/>
    <w:rsid w:val="00292610"/>
    <w:rsid w:val="00704FB9"/>
    <w:rsid w:val="00713B1B"/>
    <w:rsid w:val="00ED341A"/>
    <w:rsid w:val="00F64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3F9"/>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43F9"/>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643F9"/>
  </w:style>
  <w:style w:type="paragraph" w:styleId="Footer">
    <w:name w:val="footer"/>
    <w:basedOn w:val="Normal"/>
    <w:link w:val="FooterChar"/>
    <w:uiPriority w:val="99"/>
    <w:unhideWhenUsed/>
    <w:rsid w:val="00F643F9"/>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643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3F9"/>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43F9"/>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643F9"/>
  </w:style>
  <w:style w:type="paragraph" w:styleId="Footer">
    <w:name w:val="footer"/>
    <w:basedOn w:val="Normal"/>
    <w:link w:val="FooterChar"/>
    <w:uiPriority w:val="99"/>
    <w:unhideWhenUsed/>
    <w:rsid w:val="00F643F9"/>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64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87A0A5D7D9C4E4DAB7922844D35C890" ma:contentTypeVersion="135" ma:contentTypeDescription="" ma:contentTypeScope="" ma:versionID="70a3fd3cd15240eeeb6ebd65f477f98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Petition for Accounting Order</CaseType>
    <IndustryCode xmlns="dc463f71-b30c-4ab2-9473-d307f9d35888">140</IndustryCode>
    <CaseStatus xmlns="dc463f71-b30c-4ab2-9473-d307f9d35888">Closed</CaseStatus>
    <OpenedDate xmlns="dc463f71-b30c-4ab2-9473-d307f9d35888">2013-10-31T07:00:00+00:00</OpenedDate>
    <Date1 xmlns="dc463f71-b30c-4ab2-9473-d307f9d35888">2014-04-22T07:00:00+00:00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132027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6975F37-2B9B-42F8-9BB6-711D33851B96}"/>
</file>

<file path=customXml/itemProps2.xml><?xml version="1.0" encoding="utf-8"?>
<ds:datastoreItem xmlns:ds="http://schemas.openxmlformats.org/officeDocument/2006/customXml" ds:itemID="{9EBAFBB9-341B-473C-B432-CABA02DAF1B0}"/>
</file>

<file path=customXml/itemProps3.xml><?xml version="1.0" encoding="utf-8"?>
<ds:datastoreItem xmlns:ds="http://schemas.openxmlformats.org/officeDocument/2006/customXml" ds:itemID="{14422E4C-6438-4C25-A5C1-6BE670312ABC}"/>
</file>

<file path=customXml/itemProps4.xml><?xml version="1.0" encoding="utf-8"?>
<ds:datastoreItem xmlns:ds="http://schemas.openxmlformats.org/officeDocument/2006/customXml" ds:itemID="{9CDEE7F2-E58E-47C0-A744-F80B874CC368}"/>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Puget Sound Energy</dc:creator>
  <cp:lastModifiedBy>Puget Sound Energy</cp:lastModifiedBy>
  <cp:revision>2</cp:revision>
  <dcterms:created xsi:type="dcterms:W3CDTF">2014-04-17T21:24:00Z</dcterms:created>
  <dcterms:modified xsi:type="dcterms:W3CDTF">2014-04-17T21:24:00Z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0x0101006E56B4D1795A2E4DB2F0B01679ED314A00C87A0A5D7D9C4E4DAB7922844D35C890</vt:lpwstr>
  </property>
  <property fmtid="{D5CDD505-2E9C-101B-9397-08002B2CF9AE}" pid="3" name="_docset_NoMedatataSyncRequired">
    <vt:lpwstr>False</vt:lpwstr>
  </property>
</Properties>
</file>